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60" w:before="120" w:line="240" w:lineRule="auto"/>
        <w:jc w:val="center"/>
        <w:rPr>
          <w:b w:val="1"/>
          <w:i w:val="1"/>
          <w:color w:val="ff0000"/>
          <w:sz w:val="16"/>
          <w:szCs w:val="16"/>
        </w:rPr>
      </w:pPr>
      <w:r w:rsidDel="00000000" w:rsidR="00000000" w:rsidRPr="00000000">
        <w:rPr>
          <w:b w:val="1"/>
          <w:sz w:val="32"/>
          <w:szCs w:val="32"/>
          <w:rtl w:val="0"/>
        </w:rPr>
        <w:t xml:space="preserve">Oświadczenie Wnioskodawcy</w:t>
      </w:r>
      <w:r w:rsidDel="00000000" w:rsidR="00000000" w:rsidRPr="00000000">
        <w:rPr>
          <w:rtl w:val="0"/>
        </w:rPr>
      </w:r>
    </w:p>
    <w:p w:rsidR="00000000" w:rsidDel="00000000" w:rsidP="00000000" w:rsidRDefault="00000000" w:rsidRPr="00000000" w14:paraId="00000002">
      <w:pPr>
        <w:spacing w:after="360" w:before="120" w:line="240" w:lineRule="auto"/>
        <w:jc w:val="center"/>
        <w:rPr>
          <w:b w:val="1"/>
          <w:sz w:val="28"/>
          <w:szCs w:val="28"/>
        </w:rPr>
      </w:pPr>
      <w:r w:rsidDel="00000000" w:rsidR="00000000" w:rsidRPr="00000000">
        <w:rPr>
          <w:b w:val="1"/>
          <w:sz w:val="28"/>
          <w:szCs w:val="28"/>
          <w:rtl w:val="0"/>
        </w:rPr>
        <w:t xml:space="preserve">Connect for Global Change </w:t>
      </w:r>
    </w:p>
    <w:p w:rsidR="00000000" w:rsidDel="00000000" w:rsidP="00000000" w:rsidRDefault="00000000" w:rsidRPr="00000000" w14:paraId="00000003">
      <w:pPr>
        <w:spacing w:after="0" w:before="120" w:line="240" w:lineRule="auto"/>
        <w:jc w:val="center"/>
        <w:rPr>
          <w:b w:val="1"/>
          <w:i w:val="1"/>
        </w:rPr>
      </w:pPr>
      <w:r w:rsidDel="00000000" w:rsidR="00000000" w:rsidRPr="00000000">
        <w:rPr>
          <w:rtl w:val="0"/>
        </w:rPr>
      </w:r>
    </w:p>
    <w:p w:rsidR="00000000" w:rsidDel="00000000" w:rsidP="00000000" w:rsidRDefault="00000000" w:rsidRPr="00000000" w14:paraId="00000004">
      <w:pPr>
        <w:spacing w:after="40" w:before="40" w:line="240" w:lineRule="auto"/>
        <w:jc w:val="both"/>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Niżej podpisany Wnioskodawca, reprezentujący następującą organizację: </w:t>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12" w:val="single"/>
        </w:tblBorders>
        <w:tblLayout w:type="fixed"/>
        <w:tblLook w:val="0400"/>
      </w:tblPr>
      <w:tblGrid>
        <w:gridCol w:w="3397"/>
        <w:gridCol w:w="5619"/>
        <w:tblGridChange w:id="0">
          <w:tblGrid>
            <w:gridCol w:w="3397"/>
            <w:gridCol w:w="5619"/>
          </w:tblGrid>
        </w:tblGridChange>
      </w:tblGrid>
      <w:tr>
        <w:trPr>
          <w:cantSplit w:val="0"/>
          <w:trHeight w:val="578.90625" w:hRule="atLeast"/>
          <w:tblHeader w:val="0"/>
        </w:trPr>
        <w:tc>
          <w:tcPr>
            <w:tcBorders>
              <w:right w:color="000000" w:space="0" w:sz="4" w:val="single"/>
            </w:tcBorders>
            <w:shd w:fill="auto" w:val="clear"/>
          </w:tcPr>
          <w:p w:rsidR="00000000" w:rsidDel="00000000" w:rsidP="00000000" w:rsidRDefault="00000000" w:rsidRPr="00000000" w14:paraId="00000007">
            <w:pPr>
              <w:rPr>
                <w:b w:val="1"/>
                <w:sz w:val="24"/>
                <w:szCs w:val="24"/>
              </w:rPr>
            </w:pPr>
            <w:r w:rsidDel="00000000" w:rsidR="00000000" w:rsidRPr="00000000">
              <w:rPr>
                <w:sz w:val="24"/>
                <w:szCs w:val="24"/>
                <w:rtl w:val="0"/>
              </w:rPr>
              <w:t xml:space="preserve">Pełna oficjalna nazwa:  </w:t>
            </w:r>
            <w:r w:rsidDel="00000000" w:rsidR="00000000" w:rsidRPr="00000000">
              <w:rPr>
                <w:rtl w:val="0"/>
              </w:rPr>
            </w:r>
          </w:p>
        </w:tc>
        <w:tc>
          <w:tcPr>
            <w:tcBorders>
              <w:left w:color="000000" w:space="0" w:sz="4" w:val="single"/>
            </w:tcBorders>
          </w:tcPr>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0A">
            <w:pPr>
              <w:rPr>
                <w:sz w:val="24"/>
                <w:szCs w:val="24"/>
              </w:rPr>
            </w:pPr>
            <w:r w:rsidDel="00000000" w:rsidR="00000000" w:rsidRPr="00000000">
              <w:rPr>
                <w:sz w:val="24"/>
                <w:szCs w:val="24"/>
                <w:rtl w:val="0"/>
              </w:rPr>
              <w:t xml:space="preserve">Oficjalna forma prawna: </w:t>
            </w:r>
          </w:p>
        </w:tc>
        <w:tc>
          <w:tcPr>
            <w:tcBorders>
              <w:left w:color="000000" w:space="0" w:sz="4" w:val="single"/>
            </w:tcBorders>
          </w:tcPr>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0D">
            <w:pPr>
              <w:rPr>
                <w:b w:val="1"/>
                <w:sz w:val="24"/>
                <w:szCs w:val="24"/>
              </w:rPr>
            </w:pPr>
            <w:r w:rsidDel="00000000" w:rsidR="00000000" w:rsidRPr="00000000">
              <w:rPr>
                <w:sz w:val="24"/>
                <w:szCs w:val="24"/>
                <w:rtl w:val="0"/>
              </w:rPr>
              <w:t xml:space="preserve">Numer rejestracyjny KRS</w:t>
            </w:r>
            <w:r w:rsidDel="00000000" w:rsidR="00000000" w:rsidRPr="00000000">
              <w:rPr>
                <w:b w:val="1"/>
                <w:sz w:val="24"/>
                <w:szCs w:val="24"/>
                <w:rtl w:val="0"/>
              </w:rPr>
              <w:t xml:space="preserve">: </w:t>
            </w:r>
          </w:p>
        </w:tc>
        <w:tc>
          <w:tcPr>
            <w:tcBorders>
              <w:left w:color="000000" w:space="0" w:sz="4" w:val="single"/>
            </w:tcBorders>
          </w:tcPr>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10">
            <w:pPr>
              <w:rPr>
                <w:sz w:val="24"/>
                <w:szCs w:val="24"/>
              </w:rPr>
            </w:pPr>
            <w:r w:rsidDel="00000000" w:rsidR="00000000" w:rsidRPr="00000000">
              <w:rPr>
                <w:sz w:val="24"/>
                <w:szCs w:val="24"/>
                <w:rtl w:val="0"/>
              </w:rPr>
              <w:t xml:space="preserve">Pełny adres rejestracyjny: </w:t>
            </w:r>
          </w:p>
        </w:tc>
        <w:tc>
          <w:tcPr>
            <w:tcBorders>
              <w:left w:color="000000" w:space="0" w:sz="4" w:val="single"/>
            </w:tcBorders>
          </w:tcPr>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13">
            <w:pPr>
              <w:rPr>
                <w:sz w:val="24"/>
                <w:szCs w:val="24"/>
              </w:rPr>
            </w:pPr>
            <w:r w:rsidDel="00000000" w:rsidR="00000000" w:rsidRPr="00000000">
              <w:rPr>
                <w:sz w:val="24"/>
                <w:szCs w:val="24"/>
                <w:rtl w:val="0"/>
              </w:rPr>
              <w:t xml:space="preserve">NIP:</w:t>
            </w:r>
          </w:p>
        </w:tc>
        <w:tc>
          <w:tcPr>
            <w:tcBorders>
              <w:left w:color="000000" w:space="0" w:sz="4" w:val="single"/>
            </w:tcBorders>
          </w:tcPr>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tc>
      </w:tr>
    </w:tbl>
    <w:p w:rsidR="00000000" w:rsidDel="00000000" w:rsidP="00000000" w:rsidRDefault="00000000" w:rsidRPr="00000000" w14:paraId="00000016">
      <w:pPr>
        <w:spacing w:after="0" w:line="240" w:lineRule="auto"/>
        <w:ind w:left="1" w:firstLine="1"/>
        <w:jc w:val="both"/>
        <w:rPr/>
      </w:pPr>
      <w:r w:rsidDel="00000000" w:rsidR="00000000" w:rsidRPr="00000000">
        <w:rPr>
          <w:rtl w:val="0"/>
        </w:rPr>
      </w:r>
    </w:p>
    <w:p w:rsidR="00000000" w:rsidDel="00000000" w:rsidP="00000000" w:rsidRDefault="00000000" w:rsidRPr="00000000" w14:paraId="00000017">
      <w:pPr>
        <w:spacing w:after="0" w:before="120" w:line="240" w:lineRule="auto"/>
        <w:ind w:left="1" w:firstLine="1"/>
        <w:jc w:val="both"/>
        <w:rPr>
          <w:sz w:val="24"/>
          <w:szCs w:val="24"/>
        </w:rPr>
      </w:pPr>
      <w:r w:rsidDel="00000000" w:rsidR="00000000" w:rsidRPr="00000000">
        <w:rPr>
          <w:sz w:val="24"/>
          <w:szCs w:val="24"/>
          <w:rtl w:val="0"/>
        </w:rPr>
        <w:t xml:space="preserve">w celu zapewnienia </w:t>
      </w:r>
      <w:r w:rsidDel="00000000" w:rsidR="00000000" w:rsidRPr="00000000">
        <w:rPr>
          <w:sz w:val="24"/>
          <w:szCs w:val="24"/>
          <w:rtl w:val="0"/>
        </w:rPr>
        <w:t xml:space="preserve">Operatorowi programu Connect for Global Change</w:t>
      </w:r>
      <w:r w:rsidDel="00000000" w:rsidR="00000000" w:rsidRPr="00000000">
        <w:rPr>
          <w:sz w:val="24"/>
          <w:szCs w:val="24"/>
          <w:rtl w:val="0"/>
        </w:rPr>
        <w:t xml:space="preserve"> uzasadnionej pewności, że Wnioskodawca jest w stanie przeprowadzić uzgodnione działania, upoważniony reprezentant Wnioskodawcy oświadcza, że ww. organizacja zostanie wykluczona z uczestnictwa w programie grantowym Connect, jeżeli:</w:t>
      </w:r>
    </w:p>
    <w:p w:rsidR="00000000" w:rsidDel="00000000" w:rsidP="00000000" w:rsidRDefault="00000000" w:rsidRPr="00000000" w14:paraId="00000018">
      <w:pPr>
        <w:spacing w:after="0" w:before="120" w:line="240" w:lineRule="auto"/>
        <w:ind w:left="1" w:firstLine="1"/>
        <w:jc w:val="both"/>
        <w:rPr>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0" w:afterAutospacing="0" w:before="120" w:line="240" w:lineRule="auto"/>
        <w:ind w:left="566.9291338582675" w:hanging="360"/>
        <w:rPr>
          <w:sz w:val="24"/>
          <w:szCs w:val="24"/>
        </w:rPr>
      </w:pPr>
      <w:r w:rsidDel="00000000" w:rsidR="00000000" w:rsidRPr="00000000">
        <w:rPr>
          <w:sz w:val="24"/>
          <w:szCs w:val="24"/>
          <w:rtl w:val="0"/>
        </w:rPr>
        <w:t xml:space="preserve">znajduje się w stanie upadłości, podlega postępowaniu upadłościowemu lub likwidacyjnemu, jego aktywami zarządza likwidator lub sąd, znajduje się w układzie z wierzycielami, jej działalność jest zawieszona lub znajduje się w analogicznej sytuacji wynikającej z podobnej procedury przewidzianej w krajowych przepisach ustawowych lub wykonawczych;</w:t>
        <w:br w:type="textWrapping"/>
      </w:r>
    </w:p>
    <w:p w:rsidR="00000000" w:rsidDel="00000000" w:rsidP="00000000" w:rsidRDefault="00000000" w:rsidRPr="00000000" w14:paraId="0000001A">
      <w:pPr>
        <w:numPr>
          <w:ilvl w:val="0"/>
          <w:numId w:val="1"/>
        </w:numPr>
        <w:spacing w:after="0" w:afterAutospacing="0" w:before="0" w:beforeAutospacing="0" w:line="240" w:lineRule="auto"/>
        <w:ind w:left="566.9291338582675" w:hanging="360"/>
        <w:rPr>
          <w:sz w:val="24"/>
          <w:szCs w:val="24"/>
        </w:rPr>
      </w:pPr>
      <w:r w:rsidDel="00000000" w:rsidR="00000000" w:rsidRPr="00000000">
        <w:rPr>
          <w:sz w:val="24"/>
          <w:szCs w:val="24"/>
          <w:rtl w:val="0"/>
        </w:rPr>
        <w:t xml:space="preserve">zostały stwierdzone prawomocnym wyrokiem sądu lub ostateczną decyzją administracyjną, że organizacja naruszyła obowiązki dotyczące płatności podatków lub składek na ubezpieczenie społeczne zgodnie z obowiązującym prawem;</w:t>
        <w:br w:type="textWrapping"/>
      </w:r>
    </w:p>
    <w:p w:rsidR="00000000" w:rsidDel="00000000" w:rsidP="00000000" w:rsidRDefault="00000000" w:rsidRPr="00000000" w14:paraId="0000001B">
      <w:pPr>
        <w:numPr>
          <w:ilvl w:val="0"/>
          <w:numId w:val="1"/>
        </w:numPr>
        <w:spacing w:after="0" w:afterAutospacing="0" w:before="0" w:beforeAutospacing="0" w:line="240" w:lineRule="auto"/>
        <w:ind w:left="566.9291338582675" w:hanging="360"/>
        <w:rPr>
          <w:sz w:val="24"/>
          <w:szCs w:val="24"/>
        </w:rPr>
      </w:pPr>
      <w:r w:rsidDel="00000000" w:rsidR="00000000" w:rsidRPr="00000000">
        <w:rPr>
          <w:sz w:val="24"/>
          <w:szCs w:val="24"/>
          <w:rtl w:val="0"/>
        </w:rPr>
        <w:t xml:space="preserve">prawomocnym wyrokiem sądu lub ostateczną decyzją administracyjną ustalono, że ww. podmiot jest winny poważnego wykroczenia zawodowego polegającego na naruszeniu obowiązujących przepisów ustawowych lub wykonawczych lub norm etycznych, lub jakiegokolwiek niewłaściwego postępowania, które ma wpływ na jego wiarygodność zawodową, jeżeli takie postępowanie wskazuje na bezprawny zamiar lub rażące niedbalstwo, w tym w szczególności któregokolwiek z poniższych:</w:t>
        <w:br w:type="textWrapping"/>
      </w:r>
    </w:p>
    <w:p w:rsidR="00000000" w:rsidDel="00000000" w:rsidP="00000000" w:rsidRDefault="00000000" w:rsidRPr="00000000" w14:paraId="0000001C">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podania w sposób nieuczciwy lub wynikający z zaniedbania nieprawdziwych informacji wymaganych do weryfikacji braku podstaw wykluczenia lub spełnienia kryteriów kwalifikacji lub w ramach realizacji umowy;</w:t>
      </w:r>
    </w:p>
    <w:p w:rsidR="00000000" w:rsidDel="00000000" w:rsidP="00000000" w:rsidRDefault="00000000" w:rsidRPr="00000000" w14:paraId="0000001D">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zawierania porozumień z innymi podmiotami w celu zakłócenia konkurencji;</w:t>
      </w:r>
    </w:p>
    <w:p w:rsidR="00000000" w:rsidDel="00000000" w:rsidP="00000000" w:rsidRDefault="00000000" w:rsidRPr="00000000" w14:paraId="0000001E">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naruszenie praw własności intelektualnej;</w:t>
      </w:r>
    </w:p>
    <w:p w:rsidR="00000000" w:rsidDel="00000000" w:rsidP="00000000" w:rsidRDefault="00000000" w:rsidRPr="00000000" w14:paraId="0000001F">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próby wywarcia wpływu na proces decyzyjny instytucji zamawiającej w trakcie postępowania o udzielenie zamówienia;</w:t>
      </w:r>
    </w:p>
    <w:p w:rsidR="00000000" w:rsidDel="00000000" w:rsidP="00000000" w:rsidRDefault="00000000" w:rsidRPr="00000000" w14:paraId="00000020">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próby uzyskania informacji poufnych, które mogą zapewnić mu nienależne korzyści w postępowaniu o udzielenie zamówienia;</w:t>
        <w:br w:type="textWrapping"/>
      </w:r>
    </w:p>
    <w:p w:rsidR="00000000" w:rsidDel="00000000" w:rsidP="00000000" w:rsidRDefault="00000000" w:rsidRPr="00000000" w14:paraId="00000021">
      <w:pPr>
        <w:numPr>
          <w:ilvl w:val="0"/>
          <w:numId w:val="1"/>
        </w:numPr>
        <w:spacing w:after="0" w:afterAutospacing="0" w:before="0" w:beforeAutospacing="0" w:line="240" w:lineRule="auto"/>
        <w:ind w:left="720" w:hanging="360"/>
        <w:jc w:val="both"/>
        <w:rPr>
          <w:sz w:val="24"/>
          <w:szCs w:val="24"/>
        </w:rPr>
      </w:pPr>
      <w:r w:rsidDel="00000000" w:rsidR="00000000" w:rsidRPr="00000000">
        <w:rPr>
          <w:sz w:val="24"/>
          <w:szCs w:val="24"/>
          <w:rtl w:val="0"/>
        </w:rPr>
        <w:t xml:space="preserve">stwierdzono prawomocnym wyrokiem, że ww. podmiot jest winny któregokolwiek z poniższych czynów:</w:t>
        <w:br w:type="textWrapping"/>
      </w:r>
    </w:p>
    <w:p w:rsidR="00000000" w:rsidDel="00000000" w:rsidP="00000000" w:rsidRDefault="00000000" w:rsidRPr="00000000" w14:paraId="00000022">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nadużycia finansowego, w rozumieniu art. 3 dyrektywy Parlamentu Europejskiego i Rady (UE) 2017/1371 z dnia 5 lipca 2017 r. w sprawie zwalczania nadużyć na szkodę interesów finansowych Unii za pośrednictwem prawa karnego oraz art. 1 Konwencji w sprawie ochrony interesów finansowych Wspólnot Europejskich sporządzonej aktem Rady z dnia 26 lipca 1995 r.;</w:t>
      </w:r>
    </w:p>
    <w:p w:rsidR="00000000" w:rsidDel="00000000" w:rsidP="00000000" w:rsidRDefault="00000000" w:rsidRPr="00000000" w14:paraId="00000023">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korupcji, w rozumieniu art. 4 ust. 2 dyrektywy (UE) 2017/1371 i art. 3 Konwencji w sprawie zwalczania korupcji funkcjonariuszy Wspólnot Europejskich lub funkcjonariuszy państw członkowskich Unii Europejskiej, sporządzonej aktem Rady z dnia 26 maja 1997 r. , oraz korupcji zdefiniowanej w prawie kraju, w którym znajduje się </w:t>
      </w:r>
      <w:r w:rsidDel="00000000" w:rsidR="00000000" w:rsidRPr="00000000">
        <w:rPr>
          <w:sz w:val="24"/>
          <w:szCs w:val="24"/>
          <w:rtl w:val="0"/>
        </w:rPr>
        <w:t xml:space="preserve">Operator programu Connect for Global Change</w:t>
      </w:r>
      <w:r w:rsidDel="00000000" w:rsidR="00000000" w:rsidRPr="00000000">
        <w:rPr>
          <w:sz w:val="24"/>
          <w:szCs w:val="24"/>
          <w:rtl w:val="0"/>
        </w:rPr>
        <w:t xml:space="preserve">;</w:t>
      </w:r>
    </w:p>
    <w:p w:rsidR="00000000" w:rsidDel="00000000" w:rsidP="00000000" w:rsidRDefault="00000000" w:rsidRPr="00000000" w14:paraId="00000024">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zachowania związanego z organizacją przestępczą, o której mowa w art. 2 decyzji ramowej Rady 2008/841/WSiSW z dnia 24 października 2008 r. w sprawie zwalczania przestępczości zorganizowanej;</w:t>
      </w:r>
    </w:p>
    <w:p w:rsidR="00000000" w:rsidDel="00000000" w:rsidP="00000000" w:rsidRDefault="00000000" w:rsidRPr="00000000" w14:paraId="00000025">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prania pieniędzy lub finansowania terroryzmu w rozumieniu art. 1 ust. 3, 4 i 5 dyrektywy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oraz dyrektywę Komisji 2006/70/WE;</w:t>
      </w:r>
    </w:p>
    <w:p w:rsidR="00000000" w:rsidDel="00000000" w:rsidP="00000000" w:rsidRDefault="00000000" w:rsidRPr="00000000" w14:paraId="00000026">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przestępstw związanych z terroryzmem lub przestępstw związanych z działalnością terrorystyczną, określonych odpowiednio w art. 1 i 3 decyzji ramowej Rady z dnia 13 czerwca 2002 r. w sprawie zwalczania terroryzmu [89], lub podżegania do popełnienia takich przestępstw, pomocnictwa w ich popełnieniu lub usiłowania ich popełnienia, o czym mowa w art. 4 tej decyzji ramowej;</w:t>
      </w:r>
    </w:p>
    <w:p w:rsidR="00000000" w:rsidDel="00000000" w:rsidP="00000000" w:rsidRDefault="00000000" w:rsidRPr="00000000" w14:paraId="00000027">
      <w:pPr>
        <w:numPr>
          <w:ilvl w:val="1"/>
          <w:numId w:val="1"/>
        </w:numPr>
        <w:spacing w:after="0" w:afterAutospacing="0" w:before="0" w:beforeAutospacing="0" w:line="240" w:lineRule="auto"/>
        <w:ind w:left="1440" w:hanging="360"/>
        <w:rPr>
          <w:sz w:val="24"/>
          <w:szCs w:val="24"/>
        </w:rPr>
      </w:pPr>
      <w:r w:rsidDel="00000000" w:rsidR="00000000" w:rsidRPr="00000000">
        <w:rPr>
          <w:sz w:val="24"/>
          <w:szCs w:val="24"/>
          <w:rtl w:val="0"/>
        </w:rPr>
        <w:t xml:space="preserve">pracy dzieci lub innych form handlu ludźmi zgodnie z definicją zawartą w art. 2 dyrektywy Parlamentu Europejskiego i Rady 2011/36/UE z dnia 5 kwietnia 2011 r. w sprawie zapobiegania handlowi ludźmi i zwalczania tego procederu oraz ochrony ofiar, zastępującej decyzję ramową Rady 2002/629/WSiSW;</w:t>
        <w:br w:type="textWrapping"/>
      </w:r>
    </w:p>
    <w:p w:rsidR="00000000" w:rsidDel="00000000" w:rsidP="00000000" w:rsidRDefault="00000000" w:rsidRPr="00000000" w14:paraId="00000028">
      <w:pPr>
        <w:numPr>
          <w:ilvl w:val="0"/>
          <w:numId w:val="1"/>
        </w:numPr>
        <w:spacing w:after="0" w:afterAutospacing="0" w:before="0" w:beforeAutospacing="0" w:line="240" w:lineRule="auto"/>
        <w:ind w:left="720" w:hanging="360"/>
        <w:jc w:val="both"/>
        <w:rPr>
          <w:sz w:val="24"/>
          <w:szCs w:val="24"/>
        </w:rPr>
      </w:pPr>
      <w:r w:rsidDel="00000000" w:rsidR="00000000" w:rsidRPr="00000000">
        <w:rPr>
          <w:sz w:val="24"/>
          <w:szCs w:val="24"/>
          <w:rtl w:val="0"/>
        </w:rPr>
        <w:t xml:space="preserve">wykazane zostały istotne niedociągnięcia w wypełnianiu zobowiązań w ramach realizacji umów dotacji finansowanych przez UE, co doprowadziło do wcześniejszego rozwiązania zobowiązania prawnego lub do zastosowania kar umownych lub innych kar umownych lub co zostało wykryte w wyniku kontroli i audytów lub dochodzeń przeprowadzonych przez urzędnika zatwierdzającego, OLAF lub Trybunał Obrachunkowy;</w:t>
        <w:br w:type="textWrapping"/>
      </w:r>
    </w:p>
    <w:p w:rsidR="00000000" w:rsidDel="00000000" w:rsidP="00000000" w:rsidRDefault="00000000" w:rsidRPr="00000000" w14:paraId="00000029">
      <w:pPr>
        <w:numPr>
          <w:ilvl w:val="0"/>
          <w:numId w:val="1"/>
        </w:numPr>
        <w:spacing w:after="0" w:before="0" w:beforeAutospacing="0" w:line="240" w:lineRule="auto"/>
        <w:ind w:left="720" w:hanging="360"/>
        <w:jc w:val="both"/>
        <w:rPr>
          <w:sz w:val="24"/>
          <w:szCs w:val="24"/>
        </w:rPr>
      </w:pPr>
      <w:r w:rsidDel="00000000" w:rsidR="00000000" w:rsidRPr="00000000">
        <w:rPr>
          <w:sz w:val="24"/>
          <w:szCs w:val="24"/>
          <w:rtl w:val="0"/>
        </w:rPr>
        <w:t xml:space="preserve">stwierdzono prawomocnym wyrokiem lub ostateczną decyzją administracyjną, że ww. podmiot dopuścił się nieprawidłowości w rozumieniu art. 1 ust. 2 rozporządzenia Rady (WE, Euratom) nr 2988/95 z dnia 18 grudnia 1995 r. w sprawie ochrony interesów finansowych Wspólnot Europejskich.</w:t>
        <w:br w:type="textWrapping"/>
      </w:r>
    </w:p>
    <w:p w:rsidR="00000000" w:rsidDel="00000000" w:rsidP="00000000" w:rsidRDefault="00000000" w:rsidRPr="00000000" w14:paraId="0000002A">
      <w:pPr>
        <w:spacing w:after="60" w:before="240" w:line="276" w:lineRule="auto"/>
        <w:jc w:val="both"/>
        <w:rPr>
          <w:sz w:val="24"/>
          <w:szCs w:val="24"/>
        </w:rPr>
      </w:pPr>
      <w:r w:rsidDel="00000000" w:rsidR="00000000" w:rsidRPr="00000000">
        <w:rPr>
          <w:sz w:val="24"/>
          <w:szCs w:val="24"/>
          <w:rtl w:val="0"/>
        </w:rPr>
        <w:t xml:space="preserve">Upoważniony reprezentant Wnioskodawcy musi zaświadczyć, że nie znajduje się w żadnej z sytuacji wymienionych powyżej i złożyć podpis w imieniu Wnioskodawcy.</w:t>
      </w:r>
    </w:p>
    <w:p w:rsidR="00000000" w:rsidDel="00000000" w:rsidP="00000000" w:rsidRDefault="00000000" w:rsidRPr="00000000" w14:paraId="0000002B">
      <w:pPr>
        <w:spacing w:after="0" w:before="120" w:line="240" w:lineRule="auto"/>
        <w:jc w:val="both"/>
        <w:rPr>
          <w:sz w:val="24"/>
          <w:szCs w:val="24"/>
        </w:rPr>
      </w:pPr>
      <w:r w:rsidDel="00000000" w:rsidR="00000000" w:rsidRPr="00000000">
        <w:rPr>
          <w:sz w:val="24"/>
          <w:szCs w:val="24"/>
          <w:rtl w:val="0"/>
        </w:rPr>
        <w:t xml:space="preserve">Wnioskodawca musi, w przypadku przyznania grantu, niezwłocznie poinformować Operatora Connect for Global Change o wszelkich zmianach w zadeklarowanej sytuacji.</w:t>
      </w:r>
    </w:p>
    <w:p w:rsidR="00000000" w:rsidDel="00000000" w:rsidP="00000000" w:rsidRDefault="00000000" w:rsidRPr="00000000" w14:paraId="0000002C">
      <w:pPr>
        <w:spacing w:after="60" w:before="240" w:line="276" w:lineRule="auto"/>
        <w:jc w:val="both"/>
        <w:rPr>
          <w:sz w:val="24"/>
          <w:szCs w:val="24"/>
        </w:rPr>
      </w:pPr>
      <w:r w:rsidDel="00000000" w:rsidR="00000000" w:rsidRPr="00000000">
        <w:rPr>
          <w:rtl w:val="0"/>
        </w:rPr>
      </w:r>
    </w:p>
    <w:sdt>
      <w:sdtPr>
        <w:lock w:val="contentLocked"/>
        <w:tag w:val="goog_rdk_0"/>
      </w:sdtPr>
      <w:sdtContent>
        <w:tbl>
          <w:tblPr>
            <w:tblStyle w:val="Table2"/>
            <w:tblW w:w="97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9"/>
            <w:gridCol w:w="4879"/>
            <w:tblGridChange w:id="0">
              <w:tblGrid>
                <w:gridCol w:w="4879"/>
                <w:gridCol w:w="487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120" w:before="120" w:line="276" w:lineRule="auto"/>
                  <w:rPr>
                    <w:sz w:val="24"/>
                    <w:szCs w:val="24"/>
                  </w:rPr>
                </w:pPr>
                <w:r w:rsidDel="00000000" w:rsidR="00000000" w:rsidRPr="00000000">
                  <w:rPr>
                    <w:sz w:val="24"/>
                    <w:szCs w:val="24"/>
                    <w:rtl w:val="0"/>
                  </w:rPr>
                  <w:t xml:space="preserve">Podpis osoby upoważnionej (lub osób upoważnionych) do reprezentowania Wnioskodawcy</w:t>
                </w:r>
                <w:r w:rsidDel="00000000" w:rsidR="00000000" w:rsidRPr="00000000">
                  <w:rPr>
                    <w:sz w:val="24"/>
                    <w:szCs w:val="24"/>
                    <w:rtl w:val="0"/>
                  </w:rPr>
                  <w:t xml:space="preserve"> (zgodnie z KRS)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32">
      <w:pPr>
        <w:tabs>
          <w:tab w:val="left" w:leader="none" w:pos="4395"/>
          <w:tab w:val="left" w:leader="none" w:pos="7797"/>
        </w:tabs>
        <w:spacing w:after="280" w:before="280"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3">
      <w:pPr>
        <w:tabs>
          <w:tab w:val="left" w:leader="none" w:pos="4395"/>
          <w:tab w:val="left" w:leader="none" w:pos="7797"/>
        </w:tabs>
        <w:spacing w:after="280" w:before="280" w:line="240" w:lineRule="auto"/>
        <w:jc w:val="both"/>
        <w:rPr>
          <w:i w:val="1"/>
          <w:sz w:val="24"/>
          <w:szCs w:val="24"/>
        </w:rPr>
        <w:sectPr>
          <w:headerReference r:id="rId7" w:type="default"/>
          <w:headerReference r:id="rId8" w:type="first"/>
          <w:footerReference r:id="rId9" w:type="default"/>
          <w:footerReference r:id="rId10" w:type="first"/>
          <w:pgSz w:h="16838" w:w="11906" w:orient="portrait"/>
          <w:pgMar w:bottom="824" w:top="910" w:left="708.6614173228347" w:right="1440" w:header="1133.8582677165355" w:footer="1133.8582677165355"/>
          <w:pgNumType w:start="1"/>
        </w:sectPr>
      </w:pPr>
      <w:r w:rsidDel="00000000" w:rsidR="00000000" w:rsidRPr="00000000">
        <w:rPr>
          <w:i w:val="1"/>
          <w:sz w:val="24"/>
          <w:szCs w:val="24"/>
          <w:rtl w:val="0"/>
        </w:rPr>
        <w:t xml:space="preserve">Uwaga. Akceptowany jest podpis: (1) elektroniczny - do podpisania pliku elektronicznie można zastosować podpisy kwalifikowane, podpisy zaufane lub inne podpisy elektroniczne (np. Autenti) lub (2) odręczny wraz z datą.</w:t>
      </w:r>
      <w:r w:rsidDel="00000000" w:rsidR="00000000" w:rsidRPr="00000000">
        <w:rPr>
          <w:rtl w:val="0"/>
        </w:rPr>
      </w:r>
    </w:p>
    <w:p w:rsidR="00000000" w:rsidDel="00000000" w:rsidP="00000000" w:rsidRDefault="00000000" w:rsidRPr="00000000" w14:paraId="00000034">
      <w:pPr>
        <w:spacing w:after="0" w:lineRule="auto"/>
        <w:ind w:left="-1440" w:right="10466" w:firstLine="0"/>
        <w:rPr/>
      </w:pPr>
      <w:r w:rsidDel="00000000" w:rsidR="00000000" w:rsidRPr="00000000">
        <w:rPr>
          <w:rtl w:val="0"/>
        </w:rPr>
        <w:br w:type="textWrapping"/>
      </w:r>
      <w:r w:rsidDel="00000000" w:rsidR="00000000" w:rsidRPr="00000000">
        <w:drawing>
          <wp:anchor allowOverlap="1" behindDoc="0" distB="0" distT="0" distL="0" distR="0" hidden="0" layoutInCell="1" locked="0" relativeHeight="0" simplePos="0">
            <wp:simplePos x="0" y="0"/>
            <wp:positionH relativeFrom="column">
              <wp:posOffset>-914392</wp:posOffset>
            </wp:positionH>
            <wp:positionV relativeFrom="paragraph">
              <wp:posOffset>-914392</wp:posOffset>
            </wp:positionV>
            <wp:extent cx="7581900" cy="10696575"/>
            <wp:effectExtent b="0" l="0" r="0" t="0"/>
            <wp:wrapNone/>
            <wp:docPr descr="Afbeelding met tekst, schermopname, Lettertype, ontwerp&#10;&#10;Automatisch gegenereerde beschrijving" id="2106754062" name="image8.png"/>
            <a:graphic>
              <a:graphicData uri="http://schemas.openxmlformats.org/drawingml/2006/picture">
                <pic:pic>
                  <pic:nvPicPr>
                    <pic:cNvPr descr="Afbeelding met tekst, schermopname, Lettertype, ontwerp&#10;&#10;Automatisch gegenereerde beschrijving" id="0" name="image8.png"/>
                    <pic:cNvPicPr preferRelativeResize="0"/>
                  </pic:nvPicPr>
                  <pic:blipFill>
                    <a:blip r:embed="rId11"/>
                    <a:srcRect b="125" l="0" r="0" t="124"/>
                    <a:stretch>
                      <a:fillRect/>
                    </a:stretch>
                  </pic:blipFill>
                  <pic:spPr>
                    <a:xfrm>
                      <a:off x="0" y="0"/>
                      <a:ext cx="7581900" cy="10696575"/>
                    </a:xfrm>
                    <a:prstGeom prst="rect"/>
                    <a:ln/>
                  </pic:spPr>
                </pic:pic>
              </a:graphicData>
            </a:graphic>
          </wp:anchor>
        </w:drawing>
      </w:r>
    </w:p>
    <w:p w:rsidR="00000000" w:rsidDel="00000000" w:rsidP="00000000" w:rsidRDefault="00000000" w:rsidRPr="00000000" w14:paraId="00000035">
      <w:pPr>
        <w:rPr/>
      </w:pPr>
      <w:r w:rsidDel="00000000" w:rsidR="00000000" w:rsidRPr="00000000">
        <w:rPr>
          <w:rtl w:val="0"/>
        </w:rPr>
      </w:r>
    </w:p>
    <w:sectPr>
      <w:headerReference r:id="rId12" w:type="default"/>
      <w:headerReference r:id="rId13" w:type="first"/>
      <w:footerReference r:id="rId14" w:type="default"/>
      <w:footerReference r:id="rId15" w:type="first"/>
      <w:type w:val="nextPage"/>
      <w:pgSz w:h="16838" w:w="11906" w:orient="portrait"/>
      <w:pgMar w:bottom="1440" w:top="1440" w:left="1440" w:right="1440" w:header="1133.8582677165355" w:footer="1133.858267716535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3C">
    <w:pPr>
      <w:jc w:val="righ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Connect for Global Change </w:t>
    </w:r>
    <w:r w:rsidDel="00000000" w:rsidR="00000000" w:rsidRPr="00000000">
      <w:rPr>
        <w:rFonts w:ascii="Montserrat Medium" w:cs="Montserrat Medium" w:eastAsia="Montserrat Medium" w:hAnsi="Montserrat Medium"/>
        <w:sz w:val="20"/>
        <w:szCs w:val="20"/>
        <w:rtl w:val="0"/>
      </w:rPr>
      <w:t xml:space="preserve">Deklaracja Wnioskodawcy </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b w:val="1"/>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drawing>
        <wp:inline distB="114300" distT="114300" distL="114300" distR="114300">
          <wp:extent cx="1149249" cy="723038"/>
          <wp:effectExtent b="0" l="0" r="0" t="0"/>
          <wp:docPr id="210675406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9249" cy="723038"/>
                  </a:xfrm>
                  <a:prstGeom prst="rect"/>
                  <a:ln/>
                </pic:spPr>
              </pic:pic>
            </a:graphicData>
          </a:graphic>
        </wp:inline>
      </w:drawing>
    </w:r>
    <w:r w:rsidDel="00000000" w:rsidR="00000000" w:rsidRPr="00000000">
      <w:rPr>
        <w:rtl w:val="0"/>
      </w:rPr>
      <w:t xml:space="preserve"> </w:t>
      <w:tab/>
      <w:tab/>
      <w:tab/>
      <w:tab/>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4200525</wp:posOffset>
          </wp:positionH>
          <wp:positionV relativeFrom="paragraph">
            <wp:posOffset>371475</wp:posOffset>
          </wp:positionV>
          <wp:extent cx="1087354" cy="245700"/>
          <wp:effectExtent b="0" l="0" r="0" t="0"/>
          <wp:wrapNone/>
          <wp:docPr id="2106754069" name="image5.png"/>
          <a:graphic>
            <a:graphicData uri="http://schemas.openxmlformats.org/drawingml/2006/picture">
              <pic:pic>
                <pic:nvPicPr>
                  <pic:cNvPr id="0" name="image5.png"/>
                  <pic:cNvPicPr preferRelativeResize="0"/>
                </pic:nvPicPr>
                <pic:blipFill>
                  <a:blip r:embed="rId2"/>
                  <a:srcRect b="0" l="236" r="236" t="0"/>
                  <a:stretch>
                    <a:fillRect/>
                  </a:stretch>
                </pic:blipFill>
                <pic:spPr>
                  <a:xfrm>
                    <a:off x="0" y="0"/>
                    <a:ext cx="1087354" cy="2457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5391150</wp:posOffset>
          </wp:positionH>
          <wp:positionV relativeFrom="paragraph">
            <wp:posOffset>333375</wp:posOffset>
          </wp:positionV>
          <wp:extent cx="972649" cy="280988"/>
          <wp:effectExtent b="0" l="0" r="0" t="0"/>
          <wp:wrapNone/>
          <wp:docPr id="2106754065"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972649" cy="280988"/>
                  </a:xfrm>
                  <a:prstGeom prst="rect"/>
                  <a:ln/>
                </pic:spPr>
              </pic:pic>
            </a:graphicData>
          </a:graphic>
        </wp:anchor>
      </w:drawing>
    </w:r>
  </w:p>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drawing>
        <wp:inline distB="114300" distT="114300" distL="114300" distR="114300">
          <wp:extent cx="1014413" cy="641933"/>
          <wp:effectExtent b="0" l="0" r="0" t="0"/>
          <wp:docPr id="210675406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4413" cy="641933"/>
                  </a:xfrm>
                  <a:prstGeom prst="rect"/>
                  <a:ln/>
                </pic:spPr>
              </pic:pic>
            </a:graphicData>
          </a:graphic>
        </wp:inline>
      </w:drawing>
    </w:r>
    <w:r w:rsidDel="00000000" w:rsidR="00000000" w:rsidRPr="00000000">
      <w:rPr>
        <w:rtl w:val="0"/>
      </w:rPr>
      <w:t xml:space="preserve"> </w:t>
      <w:tab/>
      <w:tab/>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3648075</wp:posOffset>
          </wp:positionH>
          <wp:positionV relativeFrom="paragraph">
            <wp:posOffset>285750</wp:posOffset>
          </wp:positionV>
          <wp:extent cx="972649" cy="280988"/>
          <wp:effectExtent b="0" l="0" r="0" t="0"/>
          <wp:wrapNone/>
          <wp:docPr id="2106754067"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972649" cy="2809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304800</wp:posOffset>
          </wp:positionV>
          <wp:extent cx="1087354" cy="245700"/>
          <wp:effectExtent b="0" l="0" r="0" t="0"/>
          <wp:wrapNone/>
          <wp:docPr id="2106754066" name="image6.png"/>
          <a:graphic>
            <a:graphicData uri="http://schemas.openxmlformats.org/drawingml/2006/picture">
              <pic:pic>
                <pic:nvPicPr>
                  <pic:cNvPr id="0" name="image6.png"/>
                  <pic:cNvPicPr preferRelativeResize="0"/>
                </pic:nvPicPr>
                <pic:blipFill>
                  <a:blip r:embed="rId3"/>
                  <a:srcRect b="0" l="236" r="236" t="0"/>
                  <a:stretch>
                    <a:fillRect/>
                  </a:stretch>
                </pic:blipFill>
                <pic:spPr>
                  <a:xfrm>
                    <a:off x="0" y="0"/>
                    <a:ext cx="1087354" cy="2457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-914392</wp:posOffset>
          </wp:positionH>
          <wp:positionV relativeFrom="paragraph">
            <wp:posOffset>-457192</wp:posOffset>
          </wp:positionV>
          <wp:extent cx="7581900" cy="10691813"/>
          <wp:effectExtent b="0" l="0" r="0" t="0"/>
          <wp:wrapNone/>
          <wp:docPr descr="Afbeelding met tekst, schermopname, Lettertype, water&#10;&#10;Automatisch gegenereerde beschrijving" id="2106754068" name="image7.png"/>
          <a:graphic>
            <a:graphicData uri="http://schemas.openxmlformats.org/drawingml/2006/picture">
              <pic:pic>
                <pic:nvPicPr>
                  <pic:cNvPr descr="Afbeelding met tekst, schermopname, Lettertype, water&#10;&#10;Automatisch gegenereerde beschrijving" id="0" name="image7.png"/>
                  <pic:cNvPicPr preferRelativeResize="0"/>
                </pic:nvPicPr>
                <pic:blipFill>
                  <a:blip r:embed="rId1"/>
                  <a:srcRect b="112" l="0" r="0" t="113"/>
                  <a:stretch>
                    <a:fillRect/>
                  </a:stretch>
                </pic:blipFill>
                <pic:spPr>
                  <a:xfrm>
                    <a:off x="0" y="0"/>
                    <a:ext cx="7581900" cy="10691813"/>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76" w:lineRule="auto"/>
    </w:pPr>
    <w:rPr>
      <w:rFonts w:ascii="Montserrat" w:cs="Montserrat" w:eastAsia="Montserrat" w:hAnsi="Montserrat"/>
      <w:b w:val="1"/>
      <w:sz w:val="26"/>
      <w:szCs w:val="26"/>
    </w:rPr>
  </w:style>
  <w:style w:type="paragraph" w:styleId="Heading2">
    <w:name w:val="heading 2"/>
    <w:basedOn w:val="Normal"/>
    <w:next w:val="Normal"/>
    <w:pPr>
      <w:keepNext w:val="1"/>
      <w:keepLines w:val="1"/>
      <w:spacing w:after="0" w:before="360" w:lineRule="auto"/>
    </w:pPr>
    <w:rPr>
      <w:rFonts w:ascii="Montserrat" w:cs="Montserrat" w:eastAsia="Montserrat" w:hAnsi="Montserrat"/>
      <w:b w:val="1"/>
      <w:sz w:val="24"/>
      <w:szCs w:val="24"/>
    </w:rPr>
  </w:style>
  <w:style w:type="paragraph" w:styleId="Heading3">
    <w:name w:val="heading 3"/>
    <w:basedOn w:val="Normal"/>
    <w:next w:val="Normal"/>
    <w:pPr>
      <w:keepNext w:val="1"/>
      <w:keepLines w:val="1"/>
      <w:spacing w:after="40" w:line="276"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Pr>
      <w:color w:val="000000"/>
    </w:rPr>
  </w:style>
  <w:style w:type="paragraph" w:styleId="Nagwek1">
    <w:name w:val="heading 1"/>
    <w:basedOn w:val="Normalny"/>
    <w:next w:val="Normalny"/>
    <w:uiPriority w:val="9"/>
    <w:qFormat w:val="1"/>
    <w:pPr>
      <w:keepNext w:val="1"/>
      <w:keepLines w:val="1"/>
      <w:spacing w:after="200" w:line="276" w:lineRule="auto"/>
      <w:outlineLvl w:val="0"/>
    </w:pPr>
    <w:rPr>
      <w:rFonts w:ascii="Montserrat" w:cs="Montserrat" w:eastAsia="Montserrat" w:hAnsi="Montserrat"/>
      <w:b w:val="1"/>
      <w:sz w:val="26"/>
      <w:szCs w:val="26"/>
    </w:rPr>
  </w:style>
  <w:style w:type="paragraph" w:styleId="Nagwek2">
    <w:name w:val="heading 2"/>
    <w:basedOn w:val="Normalny"/>
    <w:next w:val="Normalny"/>
    <w:uiPriority w:val="9"/>
    <w:semiHidden w:val="1"/>
    <w:unhideWhenUsed w:val="1"/>
    <w:qFormat w:val="1"/>
    <w:pPr>
      <w:keepNext w:val="1"/>
      <w:keepLines w:val="1"/>
      <w:spacing w:after="0" w:before="360"/>
      <w:outlineLvl w:val="1"/>
    </w:pPr>
    <w:rPr>
      <w:rFonts w:ascii="Montserrat" w:cs="Montserrat" w:eastAsia="Montserrat" w:hAnsi="Montserrat"/>
      <w:b w:val="1"/>
      <w:sz w:val="24"/>
      <w:szCs w:val="24"/>
    </w:rPr>
  </w:style>
  <w:style w:type="paragraph" w:styleId="Nagwek3">
    <w:name w:val="heading 3"/>
    <w:basedOn w:val="Normalny"/>
    <w:next w:val="Normalny"/>
    <w:uiPriority w:val="9"/>
    <w:semiHidden w:val="1"/>
    <w:unhideWhenUsed w:val="1"/>
    <w:qFormat w:val="1"/>
    <w:pPr>
      <w:keepNext w:val="1"/>
      <w:keepLines w:val="1"/>
      <w:spacing w:after="40" w:line="276" w:lineRule="auto"/>
      <w:outlineLvl w:val="2"/>
    </w:pPr>
    <w:rPr>
      <w:u w:val="single"/>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430" w:line="236" w:lineRule="auto"/>
      <w:ind w:left="91"/>
    </w:pPr>
    <w:rPr>
      <w:rFonts w:ascii="Montserrat" w:cs="Montserrat" w:eastAsia="Montserrat" w:hAnsi="Montserrat"/>
      <w:sz w:val="50"/>
      <w:szCs w:val="50"/>
    </w:rPr>
  </w:style>
  <w:style w:type="table" w:styleId="a" w:customStyle="1">
    <w:basedOn w:val="Standardowy"/>
    <w:pPr>
      <w:spacing w:after="0" w:line="240" w:lineRule="auto"/>
    </w:pPr>
    <w:tblPr>
      <w:tblStyleRowBandSize w:val="1"/>
      <w:tblStyleColBandSize w:val="1"/>
    </w:tblPr>
  </w:style>
  <w:style w:type="table" w:styleId="a0" w:customStyle="1">
    <w:basedOn w:val="Standardowy"/>
    <w:pPr>
      <w:spacing w:after="0" w:line="240" w:lineRule="auto"/>
    </w:pPr>
    <w:tblPr>
      <w:tblStyleRowBandSize w:val="1"/>
      <w:tblStyleColBandSize w:val="1"/>
    </w:tblPr>
  </w:style>
  <w:style w:type="paragraph" w:styleId="Nagwek">
    <w:name w:val="header"/>
    <w:basedOn w:val="Normalny"/>
    <w:link w:val="NagwekZnak"/>
    <w:uiPriority w:val="99"/>
    <w:unhideWhenUsed w:val="1"/>
    <w:rsid w:val="00D31596"/>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D31596"/>
    <w:rPr>
      <w:color w:val="000000"/>
    </w:rPr>
  </w:style>
  <w:style w:type="paragraph" w:styleId="Stopka">
    <w:name w:val="footer"/>
    <w:basedOn w:val="Normalny"/>
    <w:link w:val="StopkaZnak"/>
    <w:uiPriority w:val="99"/>
    <w:unhideWhenUsed w:val="1"/>
    <w:rsid w:val="00D31596"/>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31596"/>
    <w:rPr>
      <w:color w:val="000000"/>
    </w:rPr>
  </w:style>
  <w:style w:type="table" w:styleId="a1" w:customStyle="1">
    <w:basedOn w:val="TableNormal4"/>
    <w:pPr>
      <w:spacing w:after="0" w:line="240" w:lineRule="auto"/>
    </w:pPr>
    <w:tblPr>
      <w:tblStyleRowBandSize w:val="1"/>
      <w:tblStyleColBandSize w:val="1"/>
      <w:tblCellMar>
        <w:left w:w="108.0" w:type="dxa"/>
        <w:right w:w="108.0" w:type="dxa"/>
      </w:tblCellMar>
    </w:tblPr>
  </w:style>
  <w:style w:type="table" w:styleId="a2" w:customStyle="1">
    <w:basedOn w:val="TableNormal4"/>
    <w:pPr>
      <w:spacing w:after="0" w:line="240" w:lineRule="auto"/>
    </w:pPr>
    <w:tblPr>
      <w:tblStyleRowBandSize w:val="1"/>
      <w:tblStyleColBandSize w:val="1"/>
      <w:tblCellMar>
        <w:left w:w="108.0" w:type="dxa"/>
        <w:right w:w="108.0" w:type="dxa"/>
      </w:tblCellMar>
    </w:tblPr>
  </w:style>
  <w:style w:type="table" w:styleId="a3" w:customStyle="1">
    <w:basedOn w:val="TableNormal4"/>
    <w:tblPr>
      <w:tblStyleRowBandSize w:val="1"/>
      <w:tblStyleColBandSize w:val="1"/>
      <w:tblCellMar>
        <w:left w:w="70.0" w:type="dxa"/>
        <w:right w:w="70.0" w:type="dxa"/>
      </w:tblCellMar>
    </w:tblPr>
  </w:style>
  <w:style w:type="table" w:styleId="a4" w:customStyle="1">
    <w:basedOn w:val="TableNormal4"/>
    <w:tblPr>
      <w:tblStyleRowBandSize w:val="1"/>
      <w:tblStyleColBandSize w:val="1"/>
      <w:tblCellMar>
        <w:left w:w="10.0" w:type="dxa"/>
        <w:right w:w="10.0" w:type="dxa"/>
      </w:tblCellMar>
    </w:tblPr>
  </w:style>
  <w:style w:type="table" w:styleId="a5" w:customStyle="1">
    <w:basedOn w:val="TableNormal4"/>
    <w:pPr>
      <w:spacing w:after="0" w:line="240" w:lineRule="auto"/>
    </w:pPr>
    <w:tblPr>
      <w:tblStyleRowBandSize w:val="1"/>
      <w:tblStyleColBandSize w:val="1"/>
      <w:tblCellMar>
        <w:left w:w="108.0" w:type="dxa"/>
        <w:right w:w="108.0" w:type="dxa"/>
      </w:tblCellMar>
    </w:tblPr>
  </w:style>
  <w:style w:type="table" w:styleId="a6" w:customStyle="1">
    <w:basedOn w:val="TableNormal4"/>
    <w:pPr>
      <w:spacing w:after="0" w:line="240" w:lineRule="auto"/>
    </w:pPr>
    <w:tblPr>
      <w:tblStyleRowBandSize w:val="1"/>
      <w:tblStyleColBandSize w:val="1"/>
      <w:tblCellMar>
        <w:left w:w="108.0" w:type="dxa"/>
        <w:right w:w="108.0" w:type="dxa"/>
      </w:tblCellMar>
    </w:tblPr>
  </w:style>
  <w:style w:type="table" w:styleId="a7" w:customStyle="1">
    <w:basedOn w:val="TableNormal4"/>
    <w:tblPr>
      <w:tblStyleRowBandSize w:val="1"/>
      <w:tblStyleColBandSize w:val="1"/>
      <w:tblCellMar>
        <w:left w:w="115.0" w:type="dxa"/>
        <w:right w:w="115.0" w:type="dxa"/>
      </w:tblCellMar>
    </w:tblPr>
  </w:style>
  <w:style w:type="table" w:styleId="a8" w:customStyle="1">
    <w:basedOn w:val="TableNormal4"/>
    <w:pPr>
      <w:spacing w:after="0" w:line="240" w:lineRule="auto"/>
    </w:pPr>
    <w:tblPr>
      <w:tblStyleRowBandSize w:val="1"/>
      <w:tblStyleColBandSize w:val="1"/>
      <w:tblCellMar>
        <w:left w:w="108.0" w:type="dxa"/>
        <w:right w:w="108.0" w:type="dxa"/>
      </w:tblCellMar>
    </w:tblPr>
  </w:style>
  <w:style w:type="character" w:styleId="Odwoaniedokomentarza">
    <w:name w:val="annotation reference"/>
    <w:basedOn w:val="Domylnaczcionkaakapitu"/>
    <w:uiPriority w:val="99"/>
    <w:semiHidden w:val="1"/>
    <w:unhideWhenUsed w:val="1"/>
    <w:rsid w:val="00483917"/>
    <w:rPr>
      <w:sz w:val="16"/>
      <w:szCs w:val="16"/>
    </w:rPr>
  </w:style>
  <w:style w:type="paragraph" w:styleId="Tekstkomentarza">
    <w:name w:val="annotation text"/>
    <w:basedOn w:val="Normalny"/>
    <w:link w:val="TekstkomentarzaZnak"/>
    <w:uiPriority w:val="99"/>
    <w:unhideWhenUsed w:val="1"/>
    <w:rsid w:val="00483917"/>
    <w:pPr>
      <w:spacing w:line="240" w:lineRule="auto"/>
    </w:pPr>
    <w:rPr>
      <w:sz w:val="20"/>
      <w:szCs w:val="20"/>
    </w:rPr>
  </w:style>
  <w:style w:type="character" w:styleId="TekstkomentarzaZnak" w:customStyle="1">
    <w:name w:val="Tekst komentarza Znak"/>
    <w:basedOn w:val="Domylnaczcionkaakapitu"/>
    <w:link w:val="Tekstkomentarza"/>
    <w:uiPriority w:val="99"/>
    <w:rsid w:val="00483917"/>
    <w:rPr>
      <w:color w:val="000000"/>
      <w:sz w:val="20"/>
      <w:szCs w:val="20"/>
    </w:rPr>
  </w:style>
  <w:style w:type="paragraph" w:styleId="Tematkomentarza">
    <w:name w:val="annotation subject"/>
    <w:basedOn w:val="Tekstkomentarza"/>
    <w:next w:val="Tekstkomentarza"/>
    <w:link w:val="TematkomentarzaZnak"/>
    <w:uiPriority w:val="99"/>
    <w:semiHidden w:val="1"/>
    <w:unhideWhenUsed w:val="1"/>
    <w:rsid w:val="00483917"/>
    <w:rPr>
      <w:b w:val="1"/>
      <w:bCs w:val="1"/>
    </w:rPr>
  </w:style>
  <w:style w:type="character" w:styleId="TematkomentarzaZnak" w:customStyle="1">
    <w:name w:val="Temat komentarza Znak"/>
    <w:basedOn w:val="TekstkomentarzaZnak"/>
    <w:link w:val="Tematkomentarza"/>
    <w:uiPriority w:val="99"/>
    <w:semiHidden w:val="1"/>
    <w:rsid w:val="00483917"/>
    <w:rPr>
      <w:b w:val="1"/>
      <w:bCs w:val="1"/>
      <w:color w:val="000000"/>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430" w:line="236" w:lineRule="auto"/>
      <w:ind w:left="91"/>
    </w:pPr>
    <w:rPr>
      <w:rFonts w:ascii="Montserrat" w:cs="Montserrat" w:eastAsia="Montserrat" w:hAnsi="Montserrat"/>
      <w:sz w:val="50"/>
      <w:szCs w:val="5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4.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 Id="rId3"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1gABRCYpBB/sNMLDnRz7b9lTg==">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2024-08-14T09:04:00Z</dcterms:created>
  <dc:creator>Laura Zuidema</dc:creator>
</cp:coreProperties>
</file>