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4EAB4" w14:textId="57A50D77" w:rsidR="00975726" w:rsidRDefault="009B50A2" w:rsidP="001C1F62">
      <w:pPr>
        <w:pStyle w:val="Title"/>
        <w:spacing w:before="7800"/>
        <w:ind w:left="907" w:right="663"/>
      </w:pPr>
      <w:r>
        <w:t>Response Paper</w:t>
      </w:r>
    </w:p>
    <w:p w14:paraId="2B7CC918" w14:textId="53C64C46" w:rsidR="002300AC" w:rsidRDefault="004602E3" w:rsidP="001A25AE">
      <w:pPr>
        <w:pStyle w:val="Subtitle"/>
        <w:ind w:left="910" w:right="662"/>
      </w:pPr>
      <w:r>
        <w:t xml:space="preserve">Sampling and </w:t>
      </w:r>
      <w:r w:rsidR="004339F1">
        <w:t xml:space="preserve">Test Procedures for </w:t>
      </w:r>
      <w:proofErr w:type="spellStart"/>
      <w:r>
        <w:t>Prepackaged</w:t>
      </w:r>
      <w:proofErr w:type="spellEnd"/>
      <w:r>
        <w:t xml:space="preserve"> Products</w:t>
      </w:r>
    </w:p>
    <w:p w14:paraId="3EE2015D" w14:textId="5FF4FA4C" w:rsidR="001A2DC6" w:rsidRPr="009F699D" w:rsidRDefault="00750895" w:rsidP="009F699D">
      <w:pPr>
        <w:pStyle w:val="Subtitle"/>
        <w:ind w:left="910" w:right="662"/>
        <w:rPr>
          <w:rStyle w:val="Hyperlink"/>
          <w:color w:val="939598" w:themeColor="background2"/>
          <w:u w:val="none"/>
        </w:rPr>
      </w:pPr>
      <w:r>
        <w:t>May</w:t>
      </w:r>
      <w:r w:rsidR="002052FD">
        <w:t xml:space="preserve"> </w:t>
      </w:r>
      <w:r w:rsidR="009F699D">
        <w:t>20</w:t>
      </w:r>
      <w:r w:rsidR="004339F1">
        <w:t>21</w:t>
      </w:r>
    </w:p>
    <w:p w14:paraId="3D5AC79C" w14:textId="116DEB71" w:rsidR="00516A8B" w:rsidRPr="00EC059A" w:rsidRDefault="00EC059A" w:rsidP="00EC059A">
      <w:pPr>
        <w:tabs>
          <w:tab w:val="left" w:pos="2513"/>
        </w:tabs>
        <w:sectPr w:rsidR="00516A8B" w:rsidRPr="00EC059A" w:rsidSect="00EC059A">
          <w:footerReference w:type="default" r:id="rId11"/>
          <w:pgSz w:w="11906" w:h="16838"/>
          <w:pgMar w:top="1440" w:right="1440" w:bottom="1440" w:left="1440" w:header="708" w:footer="850" w:gutter="0"/>
          <w:pgNumType w:fmt="lowerRoman"/>
          <w:cols w:space="708"/>
          <w:docGrid w:linePitch="360"/>
        </w:sectPr>
      </w:pPr>
      <w:bookmarkStart w:id="0" w:name="_Toc419991345"/>
      <w:r>
        <w:tab/>
      </w:r>
    </w:p>
    <w:p w14:paraId="43636A62" w14:textId="77777777" w:rsidR="000C639D" w:rsidRDefault="000C639D" w:rsidP="00D74593">
      <w:pPr>
        <w:pStyle w:val="Heading1"/>
      </w:pPr>
      <w:bookmarkStart w:id="1" w:name="_Toc60821705"/>
      <w:bookmarkEnd w:id="0"/>
      <w:r>
        <w:lastRenderedPageBreak/>
        <w:t>Introduction</w:t>
      </w:r>
      <w:bookmarkEnd w:id="1"/>
    </w:p>
    <w:p w14:paraId="298E5741" w14:textId="33CB31B2" w:rsidR="00D0069B" w:rsidRDefault="00CD06BF" w:rsidP="00CD06BF">
      <w:r>
        <w:t xml:space="preserve">This response paper provides outcomes and responses following the consultation conducted in </w:t>
      </w:r>
      <w:r w:rsidR="00846E63">
        <w:t>October/November 2020</w:t>
      </w:r>
      <w:r>
        <w:t xml:space="preserve"> on the </w:t>
      </w:r>
      <w:r w:rsidR="00846E63">
        <w:t xml:space="preserve">revision of </w:t>
      </w:r>
      <w:r w:rsidR="004602E3">
        <w:t xml:space="preserve">the Sampling and </w:t>
      </w:r>
      <w:r w:rsidR="00846E63">
        <w:t xml:space="preserve">Test Procedures for </w:t>
      </w:r>
      <w:proofErr w:type="spellStart"/>
      <w:r w:rsidR="004602E3">
        <w:t>Prepackaged</w:t>
      </w:r>
      <w:proofErr w:type="spellEnd"/>
      <w:r w:rsidR="004602E3">
        <w:t xml:space="preserve"> Product</w:t>
      </w:r>
      <w:r w:rsidR="00846E63">
        <w:t xml:space="preserve">s. </w:t>
      </w:r>
      <w:r>
        <w:t xml:space="preserve">The consultation sought feedback on the </w:t>
      </w:r>
      <w:r w:rsidR="00D0069B">
        <w:t>revised draft which included several key amendments including:</w:t>
      </w:r>
    </w:p>
    <w:p w14:paraId="62D080B4" w14:textId="7A793511" w:rsidR="004602E3" w:rsidRPr="004602E3" w:rsidRDefault="004602E3" w:rsidP="004602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szCs w:val="20"/>
          <w:lang w:val="en" w:eastAsia="en-AU"/>
        </w:rPr>
      </w:pPr>
      <w:r w:rsidRPr="004602E3">
        <w:rPr>
          <w:rFonts w:eastAsia="Times New Roman" w:cstheme="minorHAnsi"/>
          <w:color w:val="000000"/>
          <w:szCs w:val="20"/>
          <w:lang w:val="en" w:eastAsia="en-AU"/>
        </w:rPr>
        <w:t>incorporating new test methods for linear and area measurement</w:t>
      </w:r>
      <w:r>
        <w:rPr>
          <w:rFonts w:eastAsia="Times New Roman" w:cstheme="minorHAnsi"/>
          <w:color w:val="000000"/>
          <w:szCs w:val="20"/>
          <w:lang w:val="en" w:eastAsia="en-AU"/>
        </w:rPr>
        <w:t>;</w:t>
      </w:r>
    </w:p>
    <w:p w14:paraId="73E65AF2" w14:textId="16F5D420" w:rsidR="004602E3" w:rsidRPr="004602E3" w:rsidRDefault="004602E3" w:rsidP="004602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szCs w:val="20"/>
          <w:lang w:val="en" w:eastAsia="en-AU"/>
        </w:rPr>
      </w:pPr>
      <w:r w:rsidRPr="004602E3">
        <w:rPr>
          <w:rFonts w:eastAsia="Times New Roman" w:cstheme="minorHAnsi"/>
          <w:color w:val="000000"/>
          <w:szCs w:val="20"/>
          <w:lang w:val="en" w:eastAsia="en-AU"/>
        </w:rPr>
        <w:t>expanding the range of products for volumetric measurement tests</w:t>
      </w:r>
      <w:r>
        <w:rPr>
          <w:rFonts w:eastAsia="Times New Roman" w:cstheme="minorHAnsi"/>
          <w:color w:val="000000"/>
          <w:szCs w:val="20"/>
          <w:lang w:val="en" w:eastAsia="en-AU"/>
        </w:rPr>
        <w:t>;</w:t>
      </w:r>
    </w:p>
    <w:p w14:paraId="673BF9C9" w14:textId="6FD79F45" w:rsidR="004602E3" w:rsidRPr="004602E3" w:rsidRDefault="004602E3" w:rsidP="004602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szCs w:val="20"/>
          <w:lang w:val="en" w:eastAsia="en-AU"/>
        </w:rPr>
      </w:pPr>
      <w:r w:rsidRPr="004602E3">
        <w:rPr>
          <w:rFonts w:eastAsia="Times New Roman" w:cstheme="minorHAnsi"/>
          <w:color w:val="000000"/>
          <w:szCs w:val="20"/>
          <w:lang w:val="en" w:eastAsia="en-AU"/>
        </w:rPr>
        <w:t>allowing flexibility in recording test results</w:t>
      </w:r>
      <w:r>
        <w:rPr>
          <w:rFonts w:eastAsia="Times New Roman" w:cstheme="minorHAnsi"/>
          <w:color w:val="000000"/>
          <w:szCs w:val="20"/>
          <w:lang w:val="en" w:eastAsia="en-AU"/>
        </w:rPr>
        <w:t>; and</w:t>
      </w:r>
    </w:p>
    <w:p w14:paraId="02EA883D" w14:textId="77777777" w:rsidR="004602E3" w:rsidRPr="004602E3" w:rsidRDefault="004602E3" w:rsidP="004602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000000"/>
          <w:szCs w:val="20"/>
          <w:lang w:val="en" w:eastAsia="en-AU"/>
        </w:rPr>
      </w:pPr>
      <w:proofErr w:type="gramStart"/>
      <w:r w:rsidRPr="004602E3">
        <w:rPr>
          <w:rFonts w:eastAsia="Times New Roman" w:cstheme="minorHAnsi"/>
          <w:color w:val="000000"/>
          <w:szCs w:val="20"/>
          <w:lang w:val="en" w:eastAsia="en-AU"/>
        </w:rPr>
        <w:t>amendments</w:t>
      </w:r>
      <w:proofErr w:type="gramEnd"/>
      <w:r w:rsidRPr="004602E3">
        <w:rPr>
          <w:rFonts w:eastAsia="Times New Roman" w:cstheme="minorHAnsi"/>
          <w:color w:val="000000"/>
          <w:szCs w:val="20"/>
          <w:lang w:val="en" w:eastAsia="en-AU"/>
        </w:rPr>
        <w:t xml:space="preserve"> to enhance cl</w:t>
      </w:r>
      <w:bookmarkStart w:id="2" w:name="_GoBack"/>
      <w:bookmarkEnd w:id="2"/>
      <w:r w:rsidRPr="004602E3">
        <w:rPr>
          <w:rFonts w:eastAsia="Times New Roman" w:cstheme="minorHAnsi"/>
          <w:color w:val="000000"/>
          <w:szCs w:val="20"/>
          <w:lang w:val="en" w:eastAsia="en-AU"/>
        </w:rPr>
        <w:t>arity of test procedures and facilitate internal consistency.</w:t>
      </w:r>
    </w:p>
    <w:p w14:paraId="70B0DF5D" w14:textId="7ECCF81A" w:rsidR="00CD06BF" w:rsidRDefault="00CD06BF" w:rsidP="00CD06BF">
      <w:r>
        <w:t xml:space="preserve">The consultation </w:t>
      </w:r>
      <w:r w:rsidR="003D772E">
        <w:t>is available</w:t>
      </w:r>
      <w:r>
        <w:t xml:space="preserve"> here:</w:t>
      </w:r>
    </w:p>
    <w:p w14:paraId="3E061D7E" w14:textId="0F57868C" w:rsidR="004602E3" w:rsidRDefault="00750895" w:rsidP="00CD06BF">
      <w:hyperlink r:id="rId12" w:history="1">
        <w:r w:rsidR="004602E3" w:rsidRPr="00575247">
          <w:rPr>
            <w:rStyle w:val="Hyperlink"/>
          </w:rPr>
          <w:t>https://consult.industry.gov.au/national-measurement-institute/sampling-and-test-procedures-prepackaged-products/</w:t>
        </w:r>
      </w:hyperlink>
    </w:p>
    <w:p w14:paraId="09ADF93D" w14:textId="3575C6A1" w:rsidR="00CD06BF" w:rsidRDefault="00CD06BF" w:rsidP="00CD06BF">
      <w:pPr>
        <w:pStyle w:val="Heading1"/>
      </w:pPr>
      <w:bookmarkStart w:id="3" w:name="_Toc60821706"/>
      <w:r>
        <w:t>The Outcomes</w:t>
      </w:r>
      <w:bookmarkEnd w:id="3"/>
    </w:p>
    <w:p w14:paraId="34DBB753" w14:textId="30209327" w:rsidR="006D2A00" w:rsidRDefault="00CE5619" w:rsidP="005D2169">
      <w:r w:rsidRPr="00CE5619">
        <w:t xml:space="preserve">The Chief </w:t>
      </w:r>
      <w:proofErr w:type="spellStart"/>
      <w:r w:rsidRPr="00CE5619">
        <w:t>Metrologist</w:t>
      </w:r>
      <w:proofErr w:type="spellEnd"/>
      <w:r w:rsidRPr="00CE5619">
        <w:t xml:space="preserve"> has determined </w:t>
      </w:r>
      <w:r>
        <w:t xml:space="preserve">the revised </w:t>
      </w:r>
      <w:r w:rsidR="005D730B">
        <w:t>document</w:t>
      </w:r>
      <w:r w:rsidR="005D2169">
        <w:t xml:space="preserve"> as </w:t>
      </w:r>
      <w:r w:rsidR="005D730B">
        <w:t>the Sampling and</w:t>
      </w:r>
      <w:r w:rsidR="0056679C">
        <w:t xml:space="preserve"> </w:t>
      </w:r>
      <w:r w:rsidR="005D2169">
        <w:t>Test Procedures for</w:t>
      </w:r>
      <w:r w:rsidR="005D730B">
        <w:t xml:space="preserve"> </w:t>
      </w:r>
      <w:proofErr w:type="spellStart"/>
      <w:r w:rsidR="005D730B">
        <w:t>Prepackaged</w:t>
      </w:r>
      <w:proofErr w:type="spellEnd"/>
      <w:r w:rsidR="005D730B">
        <w:t xml:space="preserve"> Products </w:t>
      </w:r>
      <w:r w:rsidR="005D2169">
        <w:t xml:space="preserve">– </w:t>
      </w:r>
      <w:r w:rsidR="005D730B">
        <w:t>First edition, third</w:t>
      </w:r>
      <w:r w:rsidR="005D2169">
        <w:t xml:space="preserve"> revision. </w:t>
      </w:r>
      <w:r w:rsidR="00D308F2" w:rsidRPr="00D308F2">
        <w:t xml:space="preserve">The new </w:t>
      </w:r>
      <w:r w:rsidR="00D308F2">
        <w:t>version</w:t>
      </w:r>
      <w:r w:rsidR="00D308F2" w:rsidRPr="00D308F2">
        <w:t xml:space="preserve"> of the </w:t>
      </w:r>
      <w:r w:rsidRPr="00CE5619">
        <w:t xml:space="preserve">Sampling and Test Procedures for </w:t>
      </w:r>
      <w:proofErr w:type="spellStart"/>
      <w:r w:rsidRPr="00CE5619">
        <w:t>Prepackaged</w:t>
      </w:r>
      <w:proofErr w:type="spellEnd"/>
      <w:r w:rsidRPr="00CE5619">
        <w:t xml:space="preserve"> Products </w:t>
      </w:r>
      <w:r w:rsidR="00D308F2" w:rsidRPr="00D308F2">
        <w:t xml:space="preserve">is available from the Department of Industry website here: </w:t>
      </w:r>
      <w:hyperlink r:id="rId13" w:history="1">
        <w:r w:rsidR="00D9322A" w:rsidRPr="00680319">
          <w:rPr>
            <w:rStyle w:val="Hyperlink"/>
          </w:rPr>
          <w:t>https://www.industry.gov.au/data-and-publications/test-procedures</w:t>
        </w:r>
      </w:hyperlink>
    </w:p>
    <w:p w14:paraId="1DAA4590" w14:textId="164DB4CB" w:rsidR="00CE703E" w:rsidRDefault="00CE703E" w:rsidP="00CE703E">
      <w:pPr>
        <w:pStyle w:val="Heading1"/>
      </w:pPr>
      <w:bookmarkStart w:id="4" w:name="_Toc476674090"/>
      <w:bookmarkStart w:id="5" w:name="_Toc60821707"/>
      <w:r>
        <w:t>R</w:t>
      </w:r>
      <w:r w:rsidR="00CD70C5">
        <w:t>ationale</w:t>
      </w:r>
      <w:bookmarkEnd w:id="4"/>
      <w:bookmarkEnd w:id="5"/>
    </w:p>
    <w:p w14:paraId="283B5F29" w14:textId="3D4B916F" w:rsidR="00CE703E" w:rsidRDefault="00D308F2" w:rsidP="00CE703E">
      <w:r>
        <w:t>NMI received 3 submissions</w:t>
      </w:r>
      <w:r w:rsidR="00D9322A">
        <w:t xml:space="preserve"> (2 of those confidential)</w:t>
      </w:r>
      <w:r>
        <w:t xml:space="preserve">. </w:t>
      </w:r>
      <w:r w:rsidR="00CE703E">
        <w:t xml:space="preserve">NMI analysed </w:t>
      </w:r>
      <w:r>
        <w:t xml:space="preserve">all </w:t>
      </w:r>
      <w:r w:rsidR="00CE703E">
        <w:t>feedback</w:t>
      </w:r>
      <w:r>
        <w:t xml:space="preserve"> received</w:t>
      </w:r>
      <w:r w:rsidR="00CE703E">
        <w:t xml:space="preserve"> and notes the following key points:</w:t>
      </w:r>
    </w:p>
    <w:p w14:paraId="5114320D" w14:textId="506B47E2" w:rsidR="00E35D23" w:rsidRDefault="00E35D23" w:rsidP="00326B69">
      <w:pPr>
        <w:pStyle w:val="ListParagraph"/>
        <w:numPr>
          <w:ilvl w:val="0"/>
          <w:numId w:val="36"/>
        </w:numPr>
      </w:pPr>
      <w:r>
        <w:t xml:space="preserve">The revised procedure now incorporates new methods </w:t>
      </w:r>
      <w:r w:rsidR="000362C1">
        <w:t xml:space="preserve">and test reports </w:t>
      </w:r>
      <w:r>
        <w:t>for prepackaged products marked by reference to linear or area measurement.</w:t>
      </w:r>
    </w:p>
    <w:p w14:paraId="6F2462CF" w14:textId="3819A7DD" w:rsidR="000362C1" w:rsidRDefault="00E35D23" w:rsidP="000362C1">
      <w:pPr>
        <w:pStyle w:val="ListParagraph"/>
        <w:numPr>
          <w:ilvl w:val="0"/>
          <w:numId w:val="36"/>
        </w:numPr>
      </w:pPr>
      <w:r>
        <w:t xml:space="preserve">Flexibility </w:t>
      </w:r>
      <w:r w:rsidR="00EB6D57">
        <w:t xml:space="preserve">applied </w:t>
      </w:r>
      <w:r>
        <w:t>with respect to recording details and test results of control instruments.</w:t>
      </w:r>
    </w:p>
    <w:p w14:paraId="3683E42B" w14:textId="1AC3E206" w:rsidR="00D74593" w:rsidRDefault="00CE703E" w:rsidP="005D2169">
      <w:pPr>
        <w:spacing w:before="240"/>
        <w:rPr>
          <w:rFonts w:asciiTheme="majorHAnsi" w:eastAsiaTheme="majorEastAsia" w:hAnsiTheme="majorHAnsi" w:cstheme="majorBidi"/>
          <w:b/>
          <w:bCs/>
          <w:color w:val="7C1222" w:themeColor="accent1" w:themeShade="BF"/>
          <w:sz w:val="28"/>
          <w:szCs w:val="28"/>
        </w:rPr>
      </w:pPr>
      <w:r>
        <w:t>NMI considers the</w:t>
      </w:r>
      <w:r w:rsidR="003650C7">
        <w:t xml:space="preserve"> outcomes provide for a more flexible</w:t>
      </w:r>
      <w:r w:rsidR="00EB6D57">
        <w:t xml:space="preserve"> test procedure, incorporating </w:t>
      </w:r>
      <w:r w:rsidR="000362C1">
        <w:t>te</w:t>
      </w:r>
      <w:r w:rsidR="00EB6D57">
        <w:t xml:space="preserve">st methods sufficient to determine </w:t>
      </w:r>
      <w:r w:rsidR="000362C1">
        <w:t xml:space="preserve">the </w:t>
      </w:r>
      <w:r w:rsidR="00EB6D57">
        <w:t xml:space="preserve">net measurement of the </w:t>
      </w:r>
      <w:r w:rsidR="000362C1">
        <w:t xml:space="preserve">various </w:t>
      </w:r>
      <w:proofErr w:type="spellStart"/>
      <w:r w:rsidR="00EB6D57">
        <w:t>prepackaged</w:t>
      </w:r>
      <w:proofErr w:type="spellEnd"/>
      <w:r w:rsidR="00EB6D57">
        <w:t xml:space="preserve"> </w:t>
      </w:r>
      <w:r w:rsidR="000362C1">
        <w:t>products</w:t>
      </w:r>
      <w:r w:rsidR="00EB6D57">
        <w:t>, imported,</w:t>
      </w:r>
      <w:r w:rsidR="000362C1">
        <w:t xml:space="preserve"> packed</w:t>
      </w:r>
      <w:r w:rsidR="00EB6D57">
        <w:t>, offered for sale</w:t>
      </w:r>
      <w:r w:rsidR="000362C1">
        <w:t xml:space="preserve"> </w:t>
      </w:r>
      <w:r w:rsidR="00EB6D57">
        <w:t>and/or</w:t>
      </w:r>
      <w:r w:rsidR="000362C1">
        <w:t xml:space="preserve"> sold </w:t>
      </w:r>
      <w:r w:rsidR="00EB6D57">
        <w:t>to ensure compliance with the requirements of trade measurement legislation.</w:t>
      </w:r>
    </w:p>
    <w:sectPr w:rsidR="00D74593" w:rsidSect="00033354">
      <w:footerReference w:type="default" r:id="rId14"/>
      <w:pgSz w:w="11906" w:h="16838"/>
      <w:pgMar w:top="1440" w:right="1440" w:bottom="1440" w:left="1440" w:header="70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B3329" w14:textId="77777777" w:rsidR="004E13C3" w:rsidRDefault="004E13C3" w:rsidP="00B526AB">
      <w:pPr>
        <w:spacing w:after="0" w:line="240" w:lineRule="auto"/>
      </w:pPr>
      <w:r>
        <w:separator/>
      </w:r>
    </w:p>
  </w:endnote>
  <w:endnote w:type="continuationSeparator" w:id="0">
    <w:p w14:paraId="41AF63B8" w14:textId="77777777" w:rsidR="004E13C3" w:rsidRDefault="004E13C3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83B7" w14:textId="6E801E73" w:rsidR="002052FD" w:rsidRDefault="002052F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0C9ACD2" wp14:editId="78E1BF9B">
          <wp:simplePos x="0" y="0"/>
          <wp:positionH relativeFrom="margin">
            <wp:posOffset>-940279</wp:posOffset>
          </wp:positionH>
          <wp:positionV relativeFrom="paragraph">
            <wp:posOffset>177033</wp:posOffset>
          </wp:positionV>
          <wp:extent cx="7614502" cy="405394"/>
          <wp:effectExtent l="0" t="0" r="0" b="0"/>
          <wp:wrapNone/>
          <wp:docPr id="3" name="Picture 3" descr="Decorative footer graphic element" title="Document Repor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46" cy="411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D1AC3" w14:textId="5CC177F2" w:rsidR="002052FD" w:rsidRDefault="002052F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CA86CDA" wp14:editId="3798DA3D">
          <wp:simplePos x="0" y="0"/>
          <wp:positionH relativeFrom="page">
            <wp:posOffset>-34506</wp:posOffset>
          </wp:positionH>
          <wp:positionV relativeFrom="paragraph">
            <wp:posOffset>144217</wp:posOffset>
          </wp:positionV>
          <wp:extent cx="7729268" cy="379095"/>
          <wp:effectExtent l="0" t="0" r="5080" b="1905"/>
          <wp:wrapNone/>
          <wp:docPr id="5" name="Picture 5" descr="Decorative footer graphic element" title="Document Repor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843" cy="3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69D">
      <w:t xml:space="preserve"> </w:t>
    </w:r>
    <w:r w:rsidR="00EB6D57">
      <w:t xml:space="preserve">Response Paper, Sampling and Test Procedures for </w:t>
    </w:r>
    <w:proofErr w:type="spellStart"/>
    <w:r w:rsidR="00EB6D57">
      <w:t>Prepackaged</w:t>
    </w:r>
    <w:proofErr w:type="spellEnd"/>
    <w:r w:rsidR="00EB6D57">
      <w:t xml:space="preserve"> Products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089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6D3B8" w14:textId="77777777" w:rsidR="004E13C3" w:rsidRDefault="004E13C3" w:rsidP="00B526AB">
      <w:pPr>
        <w:spacing w:after="0" w:line="240" w:lineRule="auto"/>
      </w:pPr>
      <w:r>
        <w:separator/>
      </w:r>
    </w:p>
  </w:footnote>
  <w:footnote w:type="continuationSeparator" w:id="0">
    <w:p w14:paraId="51259E46" w14:textId="77777777" w:rsidR="004E13C3" w:rsidRDefault="004E13C3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6192E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6192E" w:themeColor="accent1"/>
      </w:rPr>
    </w:lvl>
  </w:abstractNum>
  <w:abstractNum w:abstractNumId="10" w15:restartNumberingAfterBreak="0">
    <w:nsid w:val="01000E57"/>
    <w:multiLevelType w:val="hybridMultilevel"/>
    <w:tmpl w:val="9B942C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562852"/>
    <w:multiLevelType w:val="hybridMultilevel"/>
    <w:tmpl w:val="1EE69F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C93A0F"/>
    <w:multiLevelType w:val="hybridMultilevel"/>
    <w:tmpl w:val="2452C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21879"/>
    <w:multiLevelType w:val="hybridMultilevel"/>
    <w:tmpl w:val="3D925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126EDB"/>
    <w:multiLevelType w:val="hybridMultilevel"/>
    <w:tmpl w:val="4D3EC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9927BB"/>
    <w:multiLevelType w:val="hybridMultilevel"/>
    <w:tmpl w:val="D8166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B2B61"/>
    <w:multiLevelType w:val="hybridMultilevel"/>
    <w:tmpl w:val="B71059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4540CEB"/>
    <w:multiLevelType w:val="hybridMultilevel"/>
    <w:tmpl w:val="9CA84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5328E"/>
    <w:multiLevelType w:val="multilevel"/>
    <w:tmpl w:val="D7AEC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1D193A"/>
    <w:multiLevelType w:val="hybridMultilevel"/>
    <w:tmpl w:val="E772B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E0DE7"/>
    <w:multiLevelType w:val="hybridMultilevel"/>
    <w:tmpl w:val="211C9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C160D"/>
    <w:multiLevelType w:val="hybridMultilevel"/>
    <w:tmpl w:val="7DB02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0D3FCE"/>
    <w:multiLevelType w:val="hybridMultilevel"/>
    <w:tmpl w:val="9FBA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81650"/>
    <w:multiLevelType w:val="hybridMultilevel"/>
    <w:tmpl w:val="8190D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27F2C"/>
    <w:multiLevelType w:val="hybridMultilevel"/>
    <w:tmpl w:val="01406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E784D"/>
    <w:multiLevelType w:val="multilevel"/>
    <w:tmpl w:val="D7AEC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680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BD1C4D"/>
    <w:multiLevelType w:val="hybridMultilevel"/>
    <w:tmpl w:val="F1A01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D17E8"/>
    <w:multiLevelType w:val="hybridMultilevel"/>
    <w:tmpl w:val="B4FE0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0B66"/>
    <w:multiLevelType w:val="multilevel"/>
    <w:tmpl w:val="D0B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65770"/>
    <w:multiLevelType w:val="hybridMultilevel"/>
    <w:tmpl w:val="73C6E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10E57"/>
    <w:multiLevelType w:val="hybridMultilevel"/>
    <w:tmpl w:val="8E00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E5EEC"/>
    <w:multiLevelType w:val="hybridMultilevel"/>
    <w:tmpl w:val="F2146C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83EB8"/>
    <w:multiLevelType w:val="hybridMultilevel"/>
    <w:tmpl w:val="8DD6A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C2801"/>
    <w:multiLevelType w:val="hybridMultilevel"/>
    <w:tmpl w:val="C92AFA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242EA8"/>
    <w:multiLevelType w:val="hybridMultilevel"/>
    <w:tmpl w:val="3B463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17483"/>
    <w:multiLevelType w:val="multilevel"/>
    <w:tmpl w:val="31EA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414FED"/>
    <w:multiLevelType w:val="hybridMultilevel"/>
    <w:tmpl w:val="E8B05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64324"/>
    <w:multiLevelType w:val="hybridMultilevel"/>
    <w:tmpl w:val="121AE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B21116"/>
    <w:multiLevelType w:val="hybridMultilevel"/>
    <w:tmpl w:val="7C041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2"/>
  </w:num>
  <w:num w:numId="14">
    <w:abstractNumId w:val="23"/>
  </w:num>
  <w:num w:numId="15">
    <w:abstractNumId w:val="16"/>
  </w:num>
  <w:num w:numId="16">
    <w:abstractNumId w:val="38"/>
  </w:num>
  <w:num w:numId="17">
    <w:abstractNumId w:val="37"/>
  </w:num>
  <w:num w:numId="18">
    <w:abstractNumId w:val="29"/>
  </w:num>
  <w:num w:numId="19">
    <w:abstractNumId w:val="30"/>
  </w:num>
  <w:num w:numId="20">
    <w:abstractNumId w:val="26"/>
  </w:num>
  <w:num w:numId="21">
    <w:abstractNumId w:val="34"/>
  </w:num>
  <w:num w:numId="22">
    <w:abstractNumId w:val="14"/>
  </w:num>
  <w:num w:numId="23">
    <w:abstractNumId w:val="10"/>
  </w:num>
  <w:num w:numId="24">
    <w:abstractNumId w:val="36"/>
  </w:num>
  <w:num w:numId="25">
    <w:abstractNumId w:val="19"/>
  </w:num>
  <w:num w:numId="26">
    <w:abstractNumId w:val="27"/>
  </w:num>
  <w:num w:numId="27">
    <w:abstractNumId w:val="13"/>
  </w:num>
  <w:num w:numId="28">
    <w:abstractNumId w:val="11"/>
  </w:num>
  <w:num w:numId="29">
    <w:abstractNumId w:val="21"/>
  </w:num>
  <w:num w:numId="30">
    <w:abstractNumId w:val="33"/>
  </w:num>
  <w:num w:numId="31">
    <w:abstractNumId w:val="32"/>
  </w:num>
  <w:num w:numId="32">
    <w:abstractNumId w:val="31"/>
  </w:num>
  <w:num w:numId="33">
    <w:abstractNumId w:val="20"/>
  </w:num>
  <w:num w:numId="34">
    <w:abstractNumId w:val="18"/>
  </w:num>
  <w:num w:numId="35">
    <w:abstractNumId w:val="18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680" w:hanging="283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6">
    <w:abstractNumId w:val="25"/>
  </w:num>
  <w:num w:numId="37">
    <w:abstractNumId w:val="15"/>
  </w:num>
  <w:num w:numId="38">
    <w:abstractNumId w:val="24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0"/>
    <w:rsid w:val="000003C4"/>
    <w:rsid w:val="00016B15"/>
    <w:rsid w:val="00027E44"/>
    <w:rsid w:val="00033354"/>
    <w:rsid w:val="00035689"/>
    <w:rsid w:val="000362C1"/>
    <w:rsid w:val="000404A2"/>
    <w:rsid w:val="000433D1"/>
    <w:rsid w:val="000503CA"/>
    <w:rsid w:val="0006793A"/>
    <w:rsid w:val="000759DC"/>
    <w:rsid w:val="00076BAA"/>
    <w:rsid w:val="00081002"/>
    <w:rsid w:val="000829D9"/>
    <w:rsid w:val="000840CD"/>
    <w:rsid w:val="00086902"/>
    <w:rsid w:val="00096B83"/>
    <w:rsid w:val="000A28FE"/>
    <w:rsid w:val="000A5C19"/>
    <w:rsid w:val="000B1762"/>
    <w:rsid w:val="000B4181"/>
    <w:rsid w:val="000C639D"/>
    <w:rsid w:val="000D1D05"/>
    <w:rsid w:val="000D3397"/>
    <w:rsid w:val="000D49A2"/>
    <w:rsid w:val="000F0AA1"/>
    <w:rsid w:val="00120C8B"/>
    <w:rsid w:val="00140332"/>
    <w:rsid w:val="00152CE7"/>
    <w:rsid w:val="001557F7"/>
    <w:rsid w:val="00163B54"/>
    <w:rsid w:val="001734EF"/>
    <w:rsid w:val="00192D01"/>
    <w:rsid w:val="00197821"/>
    <w:rsid w:val="00197D80"/>
    <w:rsid w:val="001A25AE"/>
    <w:rsid w:val="001A2DC6"/>
    <w:rsid w:val="001A4B9A"/>
    <w:rsid w:val="001C1F62"/>
    <w:rsid w:val="001D5AB5"/>
    <w:rsid w:val="001E7D44"/>
    <w:rsid w:val="00202B3C"/>
    <w:rsid w:val="002052FD"/>
    <w:rsid w:val="0022001F"/>
    <w:rsid w:val="0022113E"/>
    <w:rsid w:val="002245DA"/>
    <w:rsid w:val="002300AC"/>
    <w:rsid w:val="00231ADB"/>
    <w:rsid w:val="00244596"/>
    <w:rsid w:val="00253F12"/>
    <w:rsid w:val="00263E00"/>
    <w:rsid w:val="0026650A"/>
    <w:rsid w:val="00266FDF"/>
    <w:rsid w:val="002A2FCC"/>
    <w:rsid w:val="002B57BF"/>
    <w:rsid w:val="002B7A53"/>
    <w:rsid w:val="002C315A"/>
    <w:rsid w:val="002D3954"/>
    <w:rsid w:val="002D3EE2"/>
    <w:rsid w:val="002D4D85"/>
    <w:rsid w:val="002E14EA"/>
    <w:rsid w:val="002E201E"/>
    <w:rsid w:val="002E69EA"/>
    <w:rsid w:val="002E6BF1"/>
    <w:rsid w:val="002E6CBA"/>
    <w:rsid w:val="002F5179"/>
    <w:rsid w:val="002F65AF"/>
    <w:rsid w:val="00304F04"/>
    <w:rsid w:val="00316A5A"/>
    <w:rsid w:val="00316B18"/>
    <w:rsid w:val="00322893"/>
    <w:rsid w:val="003242DF"/>
    <w:rsid w:val="00326B69"/>
    <w:rsid w:val="00327D25"/>
    <w:rsid w:val="003332F2"/>
    <w:rsid w:val="00337367"/>
    <w:rsid w:val="00356487"/>
    <w:rsid w:val="0035706B"/>
    <w:rsid w:val="003650C7"/>
    <w:rsid w:val="003824FE"/>
    <w:rsid w:val="0038442D"/>
    <w:rsid w:val="00387F87"/>
    <w:rsid w:val="00394C96"/>
    <w:rsid w:val="00395808"/>
    <w:rsid w:val="003B4F6F"/>
    <w:rsid w:val="003B53A6"/>
    <w:rsid w:val="003B6D20"/>
    <w:rsid w:val="003D390A"/>
    <w:rsid w:val="003D772E"/>
    <w:rsid w:val="003F145B"/>
    <w:rsid w:val="00402E42"/>
    <w:rsid w:val="00407ECA"/>
    <w:rsid w:val="004111E9"/>
    <w:rsid w:val="00424C24"/>
    <w:rsid w:val="004339F1"/>
    <w:rsid w:val="00436B60"/>
    <w:rsid w:val="004443C4"/>
    <w:rsid w:val="00452BA6"/>
    <w:rsid w:val="004602E3"/>
    <w:rsid w:val="0046752E"/>
    <w:rsid w:val="00483060"/>
    <w:rsid w:val="00487286"/>
    <w:rsid w:val="004903CC"/>
    <w:rsid w:val="004A5B30"/>
    <w:rsid w:val="004B3C62"/>
    <w:rsid w:val="004B58DB"/>
    <w:rsid w:val="004C0852"/>
    <w:rsid w:val="004C52F1"/>
    <w:rsid w:val="004D30FE"/>
    <w:rsid w:val="004D4541"/>
    <w:rsid w:val="004D5145"/>
    <w:rsid w:val="004E0EFC"/>
    <w:rsid w:val="004E13C3"/>
    <w:rsid w:val="004E3DC4"/>
    <w:rsid w:val="004F4410"/>
    <w:rsid w:val="00511009"/>
    <w:rsid w:val="00513A41"/>
    <w:rsid w:val="00516A8B"/>
    <w:rsid w:val="005325A0"/>
    <w:rsid w:val="00537B55"/>
    <w:rsid w:val="00537BA5"/>
    <w:rsid w:val="00547CFF"/>
    <w:rsid w:val="005528D8"/>
    <w:rsid w:val="00556987"/>
    <w:rsid w:val="0056001A"/>
    <w:rsid w:val="00562DEF"/>
    <w:rsid w:val="005642F2"/>
    <w:rsid w:val="0056679C"/>
    <w:rsid w:val="00580210"/>
    <w:rsid w:val="00585806"/>
    <w:rsid w:val="00595C25"/>
    <w:rsid w:val="005A44E8"/>
    <w:rsid w:val="005B1F61"/>
    <w:rsid w:val="005C09AD"/>
    <w:rsid w:val="005C6646"/>
    <w:rsid w:val="005D0228"/>
    <w:rsid w:val="005D2169"/>
    <w:rsid w:val="005D323D"/>
    <w:rsid w:val="005D5956"/>
    <w:rsid w:val="005D730B"/>
    <w:rsid w:val="005E655F"/>
    <w:rsid w:val="005E71B0"/>
    <w:rsid w:val="005E73E2"/>
    <w:rsid w:val="005F1934"/>
    <w:rsid w:val="00602C92"/>
    <w:rsid w:val="006108EE"/>
    <w:rsid w:val="00616391"/>
    <w:rsid w:val="00616E7C"/>
    <w:rsid w:val="00621B45"/>
    <w:rsid w:val="00624E05"/>
    <w:rsid w:val="00630088"/>
    <w:rsid w:val="00632C35"/>
    <w:rsid w:val="006356DC"/>
    <w:rsid w:val="00644475"/>
    <w:rsid w:val="00660976"/>
    <w:rsid w:val="006662C6"/>
    <w:rsid w:val="00671623"/>
    <w:rsid w:val="0067325E"/>
    <w:rsid w:val="0067779D"/>
    <w:rsid w:val="006B1150"/>
    <w:rsid w:val="006C2852"/>
    <w:rsid w:val="006D1534"/>
    <w:rsid w:val="006D2A00"/>
    <w:rsid w:val="006D30C5"/>
    <w:rsid w:val="006E13E5"/>
    <w:rsid w:val="006E524B"/>
    <w:rsid w:val="006E5470"/>
    <w:rsid w:val="006F161D"/>
    <w:rsid w:val="00706965"/>
    <w:rsid w:val="00707ABB"/>
    <w:rsid w:val="0071191C"/>
    <w:rsid w:val="00714F92"/>
    <w:rsid w:val="00722511"/>
    <w:rsid w:val="00723B30"/>
    <w:rsid w:val="00725CC7"/>
    <w:rsid w:val="00727A0E"/>
    <w:rsid w:val="007359BD"/>
    <w:rsid w:val="00745BA3"/>
    <w:rsid w:val="00750895"/>
    <w:rsid w:val="00754739"/>
    <w:rsid w:val="00773AE2"/>
    <w:rsid w:val="007809F6"/>
    <w:rsid w:val="007819E6"/>
    <w:rsid w:val="007932F7"/>
    <w:rsid w:val="007A1978"/>
    <w:rsid w:val="007A3757"/>
    <w:rsid w:val="007A5A97"/>
    <w:rsid w:val="007B780A"/>
    <w:rsid w:val="007C6679"/>
    <w:rsid w:val="007D5B30"/>
    <w:rsid w:val="007F610E"/>
    <w:rsid w:val="007F767A"/>
    <w:rsid w:val="00822068"/>
    <w:rsid w:val="0082448C"/>
    <w:rsid w:val="00826F96"/>
    <w:rsid w:val="00827013"/>
    <w:rsid w:val="00833D34"/>
    <w:rsid w:val="008355DC"/>
    <w:rsid w:val="008362C6"/>
    <w:rsid w:val="00846154"/>
    <w:rsid w:val="00846E63"/>
    <w:rsid w:val="00850038"/>
    <w:rsid w:val="008608B0"/>
    <w:rsid w:val="00864EAD"/>
    <w:rsid w:val="00865DC8"/>
    <w:rsid w:val="00882E21"/>
    <w:rsid w:val="0088639D"/>
    <w:rsid w:val="008913A0"/>
    <w:rsid w:val="008A29C5"/>
    <w:rsid w:val="008B769B"/>
    <w:rsid w:val="008C132D"/>
    <w:rsid w:val="008D048D"/>
    <w:rsid w:val="008D1C86"/>
    <w:rsid w:val="008E16BA"/>
    <w:rsid w:val="008F6CD4"/>
    <w:rsid w:val="009007B1"/>
    <w:rsid w:val="0090323A"/>
    <w:rsid w:val="0090780F"/>
    <w:rsid w:val="00910686"/>
    <w:rsid w:val="00916BD6"/>
    <w:rsid w:val="00943742"/>
    <w:rsid w:val="00956813"/>
    <w:rsid w:val="00970DE8"/>
    <w:rsid w:val="0097407A"/>
    <w:rsid w:val="00975726"/>
    <w:rsid w:val="0097786D"/>
    <w:rsid w:val="00985031"/>
    <w:rsid w:val="009876EE"/>
    <w:rsid w:val="00990A7A"/>
    <w:rsid w:val="00991FDD"/>
    <w:rsid w:val="009A0EF0"/>
    <w:rsid w:val="009B50A2"/>
    <w:rsid w:val="009B6B4B"/>
    <w:rsid w:val="009C0371"/>
    <w:rsid w:val="009D42FC"/>
    <w:rsid w:val="009D574F"/>
    <w:rsid w:val="009D7BB6"/>
    <w:rsid w:val="009F699D"/>
    <w:rsid w:val="009F7FC4"/>
    <w:rsid w:val="00A02C02"/>
    <w:rsid w:val="00A05645"/>
    <w:rsid w:val="00A06089"/>
    <w:rsid w:val="00A15845"/>
    <w:rsid w:val="00A26F6E"/>
    <w:rsid w:val="00A3662F"/>
    <w:rsid w:val="00A37988"/>
    <w:rsid w:val="00A41C55"/>
    <w:rsid w:val="00A45CAA"/>
    <w:rsid w:val="00A51E16"/>
    <w:rsid w:val="00A74109"/>
    <w:rsid w:val="00A767F2"/>
    <w:rsid w:val="00A85BA1"/>
    <w:rsid w:val="00A87EDA"/>
    <w:rsid w:val="00A93AAE"/>
    <w:rsid w:val="00AC291B"/>
    <w:rsid w:val="00AD2887"/>
    <w:rsid w:val="00AF2648"/>
    <w:rsid w:val="00AF4DD7"/>
    <w:rsid w:val="00B41FAA"/>
    <w:rsid w:val="00B430E2"/>
    <w:rsid w:val="00B526AB"/>
    <w:rsid w:val="00B54BB4"/>
    <w:rsid w:val="00B56966"/>
    <w:rsid w:val="00B6046A"/>
    <w:rsid w:val="00B6279D"/>
    <w:rsid w:val="00B77DB4"/>
    <w:rsid w:val="00B81715"/>
    <w:rsid w:val="00B858E2"/>
    <w:rsid w:val="00B93B6E"/>
    <w:rsid w:val="00BA6253"/>
    <w:rsid w:val="00BB685E"/>
    <w:rsid w:val="00BD1943"/>
    <w:rsid w:val="00BE08E3"/>
    <w:rsid w:val="00BF41AA"/>
    <w:rsid w:val="00C03127"/>
    <w:rsid w:val="00C23AA8"/>
    <w:rsid w:val="00C24ACC"/>
    <w:rsid w:val="00C4227A"/>
    <w:rsid w:val="00C454B6"/>
    <w:rsid w:val="00C53F47"/>
    <w:rsid w:val="00C54504"/>
    <w:rsid w:val="00C6056A"/>
    <w:rsid w:val="00C62858"/>
    <w:rsid w:val="00C712C4"/>
    <w:rsid w:val="00C736AA"/>
    <w:rsid w:val="00C76E1B"/>
    <w:rsid w:val="00C8042D"/>
    <w:rsid w:val="00C93031"/>
    <w:rsid w:val="00CB2680"/>
    <w:rsid w:val="00CC5EA7"/>
    <w:rsid w:val="00CC7875"/>
    <w:rsid w:val="00CD06BF"/>
    <w:rsid w:val="00CD70C5"/>
    <w:rsid w:val="00CE5619"/>
    <w:rsid w:val="00CE6E9F"/>
    <w:rsid w:val="00CE703E"/>
    <w:rsid w:val="00CF6032"/>
    <w:rsid w:val="00D0069B"/>
    <w:rsid w:val="00D24966"/>
    <w:rsid w:val="00D308F2"/>
    <w:rsid w:val="00D33CBE"/>
    <w:rsid w:val="00D33D69"/>
    <w:rsid w:val="00D476DD"/>
    <w:rsid w:val="00D57C05"/>
    <w:rsid w:val="00D61974"/>
    <w:rsid w:val="00D642FD"/>
    <w:rsid w:val="00D64705"/>
    <w:rsid w:val="00D74593"/>
    <w:rsid w:val="00D767E9"/>
    <w:rsid w:val="00D87BC8"/>
    <w:rsid w:val="00D9322A"/>
    <w:rsid w:val="00DB7BF9"/>
    <w:rsid w:val="00DE269D"/>
    <w:rsid w:val="00DF1766"/>
    <w:rsid w:val="00E02C98"/>
    <w:rsid w:val="00E1035C"/>
    <w:rsid w:val="00E16A4B"/>
    <w:rsid w:val="00E24B1C"/>
    <w:rsid w:val="00E24FAE"/>
    <w:rsid w:val="00E319E9"/>
    <w:rsid w:val="00E35D23"/>
    <w:rsid w:val="00E36039"/>
    <w:rsid w:val="00E42FFF"/>
    <w:rsid w:val="00E51FBC"/>
    <w:rsid w:val="00E63C85"/>
    <w:rsid w:val="00E6701B"/>
    <w:rsid w:val="00E72774"/>
    <w:rsid w:val="00E729C0"/>
    <w:rsid w:val="00E73B77"/>
    <w:rsid w:val="00E764A9"/>
    <w:rsid w:val="00E81262"/>
    <w:rsid w:val="00E832FA"/>
    <w:rsid w:val="00E91991"/>
    <w:rsid w:val="00E93A7C"/>
    <w:rsid w:val="00EA3776"/>
    <w:rsid w:val="00EB6D57"/>
    <w:rsid w:val="00EC059A"/>
    <w:rsid w:val="00EC5776"/>
    <w:rsid w:val="00ED17D8"/>
    <w:rsid w:val="00EE33C6"/>
    <w:rsid w:val="00EE3907"/>
    <w:rsid w:val="00EE5636"/>
    <w:rsid w:val="00EE6BC0"/>
    <w:rsid w:val="00EF0B89"/>
    <w:rsid w:val="00EF1EBD"/>
    <w:rsid w:val="00EF6BC7"/>
    <w:rsid w:val="00F1185D"/>
    <w:rsid w:val="00F11C75"/>
    <w:rsid w:val="00F12BD2"/>
    <w:rsid w:val="00F25F29"/>
    <w:rsid w:val="00F26764"/>
    <w:rsid w:val="00F37875"/>
    <w:rsid w:val="00F425C1"/>
    <w:rsid w:val="00F645D4"/>
    <w:rsid w:val="00F77ECB"/>
    <w:rsid w:val="00F85F57"/>
    <w:rsid w:val="00F93BED"/>
    <w:rsid w:val="00F943AA"/>
    <w:rsid w:val="00FA0C03"/>
    <w:rsid w:val="00FA34CA"/>
    <w:rsid w:val="00FC056F"/>
    <w:rsid w:val="00FC70DE"/>
    <w:rsid w:val="00FC719C"/>
    <w:rsid w:val="00FD0340"/>
    <w:rsid w:val="00FD324C"/>
    <w:rsid w:val="00FD33DB"/>
    <w:rsid w:val="00FD5DE8"/>
    <w:rsid w:val="00FE1769"/>
    <w:rsid w:val="00FF08E7"/>
    <w:rsid w:val="00FF232B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ADE3B04"/>
  <w15:docId w15:val="{8EDBA570-12DA-4C7E-889E-65661E51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19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6192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6192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0C1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4593"/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A6192E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BC7"/>
    <w:pPr>
      <w:spacing w:before="888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BC7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2068"/>
    <w:rPr>
      <w:rFonts w:asciiTheme="majorHAnsi" w:eastAsiaTheme="majorEastAsia" w:hAnsiTheme="majorHAnsi" w:cstheme="majorBidi"/>
      <w:b/>
      <w:bCs/>
      <w:color w:val="A6192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068"/>
    <w:rPr>
      <w:rFonts w:asciiTheme="majorHAnsi" w:eastAsiaTheme="majorEastAsia" w:hAnsiTheme="majorHAnsi" w:cstheme="majorBidi"/>
      <w:b/>
      <w:bCs/>
      <w:i/>
      <w:iCs/>
      <w:color w:val="A6192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2068"/>
    <w:rPr>
      <w:rFonts w:asciiTheme="majorHAnsi" w:eastAsiaTheme="majorEastAsia" w:hAnsiTheme="majorHAnsi" w:cstheme="majorBidi"/>
      <w:color w:val="520C16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A6192E" w:themeColor="accent1"/>
        <w:left w:val="single" w:sz="8" w:space="0" w:color="A6192E" w:themeColor="accent1"/>
        <w:bottom w:val="single" w:sz="8" w:space="0" w:color="A6192E" w:themeColor="accent1"/>
        <w:right w:val="single" w:sz="8" w:space="0" w:color="A619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19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band1Horz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572D2D" w:themeColor="accent2"/>
        <w:left w:val="single" w:sz="8" w:space="0" w:color="572D2D" w:themeColor="accent2"/>
        <w:bottom w:val="single" w:sz="8" w:space="0" w:color="572D2D" w:themeColor="accent2"/>
        <w:right w:val="single" w:sz="8" w:space="0" w:color="572D2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2D2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band1Horz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71CC98" w:themeColor="accent3"/>
        <w:left w:val="single" w:sz="8" w:space="0" w:color="71CC98" w:themeColor="accent3"/>
        <w:bottom w:val="single" w:sz="8" w:space="0" w:color="71CC98" w:themeColor="accent3"/>
        <w:right w:val="single" w:sz="8" w:space="0" w:color="71CC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C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band1Horz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B7B09C" w:themeColor="accent4"/>
        <w:left w:val="single" w:sz="8" w:space="0" w:color="B7B09C" w:themeColor="accent4"/>
        <w:bottom w:val="single" w:sz="8" w:space="0" w:color="B7B09C" w:themeColor="accent4"/>
        <w:right w:val="single" w:sz="8" w:space="0" w:color="B7B09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B09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band1Horz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A6192E" w:themeColor="accent1"/>
        <w:insideH w:val="single" w:sz="2" w:space="0" w:color="A6192E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192E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71CC98" w:themeColor="accent3"/>
        <w:bottom w:val="single" w:sz="4" w:space="1" w:color="71CC98" w:themeColor="accent3"/>
      </w:pBdr>
      <w:spacing w:before="240" w:after="240"/>
    </w:pPr>
    <w:rPr>
      <w:i/>
      <w:iCs/>
      <w:color w:val="A6192E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A6192E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A6192E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2A2FCC"/>
    <w:pPr>
      <w:spacing w:before="120" w:line="240" w:lineRule="auto"/>
    </w:pPr>
    <w:rPr>
      <w:bCs/>
      <w:color w:val="A6192E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A6192E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A6192E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572D2D" w:themeColor="accent2"/>
        <w:left w:val="single" w:sz="4" w:space="4" w:color="572D2D" w:themeColor="accent2"/>
        <w:bottom w:val="single" w:sz="4" w:space="4" w:color="572D2D" w:themeColor="accent2"/>
        <w:right w:val="single" w:sz="4" w:space="4" w:color="572D2D" w:themeColor="accent2"/>
      </w:pBdr>
      <w:shd w:val="clear" w:color="auto" w:fill="F1E5E5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572D2D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572D2D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paragraph" w:styleId="ListParagraph">
    <w:name w:val="List Paragraph"/>
    <w:basedOn w:val="Normal"/>
    <w:uiPriority w:val="34"/>
    <w:qFormat/>
    <w:rsid w:val="00CD06BF"/>
    <w:pPr>
      <w:spacing w:line="240" w:lineRule="auto"/>
      <w:ind w:left="720"/>
    </w:pPr>
    <w:rPr>
      <w:rFonts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7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C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6E63"/>
    <w:rPr>
      <w:color w:val="C973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499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3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2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19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1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04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20189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3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dustry.gov.au/data-and-publications/test-procedu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.industry.gov.au/national-measurement-institute/sampling-and-test-procedures-prepackaged-produc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cience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A6192E"/>
      </a:accent1>
      <a:accent2>
        <a:srgbClr val="572D2D"/>
      </a:accent2>
      <a:accent3>
        <a:srgbClr val="71CC98"/>
      </a:accent3>
      <a:accent4>
        <a:srgbClr val="B7B09C"/>
      </a:accent4>
      <a:accent5>
        <a:srgbClr val="58595B"/>
      </a:accent5>
      <a:accent6>
        <a:srgbClr val="6D6E70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537FC6FD94646A86461B35952B3B6" ma:contentTypeVersion="0" ma:contentTypeDescription="Create a new document." ma:contentTypeScope="" ma:versionID="983559623591219a4b403c2274f35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6646-D286-4723-B434-DEF0C0651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A3076-7D58-4FEF-9C5C-62B636F63A9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ACC440-8998-4402-AAAF-E779FF5E5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01CF83-CC27-4704-B263-5B008093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 Report Cover template (external)</vt:lpstr>
    </vt:vector>
  </TitlesOfParts>
  <Company>DIISRTE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 Report Cover template (external)</dc:title>
  <dc:creator>Gunning, Paul</dc:creator>
  <cp:lastModifiedBy>Jarrett, Chris</cp:lastModifiedBy>
  <cp:revision>2</cp:revision>
  <cp:lastPrinted>2017-10-26T23:35:00Z</cp:lastPrinted>
  <dcterms:created xsi:type="dcterms:W3CDTF">2021-05-07T00:17:00Z</dcterms:created>
  <dcterms:modified xsi:type="dcterms:W3CDTF">2021-05-07T00:17:00Z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0x010100013537FC6FD94646A86461B35952B3B6</vt:lpwstr>
  </property>
</Properties>
</file>