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74839327" w:displacedByCustomXml="next"/>
    <w:bookmarkStart w:id="1" w:name="_Toc67998743" w:displacedByCustomXml="next"/>
    <w:bookmarkStart w:id="2" w:name="_Toc68000183" w:displacedByCustomXml="next"/>
    <w:bookmarkStart w:id="3" w:name="_Toc68083114" w:displacedByCustomXml="next"/>
    <w:bookmarkStart w:id="4" w:name="_Toc68083509" w:displacedByCustomXml="next"/>
    <w:bookmarkStart w:id="5" w:name="_Toc68088362" w:displacedByCustomXml="next"/>
    <w:bookmarkStart w:id="6" w:name="_Toc68105048" w:displacedByCustomXml="next"/>
    <w:bookmarkStart w:id="7" w:name="_Toc67330167" w:displacedByCustomXml="next"/>
    <w:bookmarkStart w:id="8" w:name="_Toc67328485" w:displacedByCustomXml="next"/>
    <w:bookmarkStart w:id="9" w:name="_Toc67329096" w:displacedByCustomXml="next"/>
    <w:bookmarkStart w:id="10" w:name="_Toc67329344" w:displacedByCustomXml="next"/>
    <w:bookmarkStart w:id="11" w:name="_Toc66704764" w:displacedByCustomXml="next"/>
    <w:bookmarkStart w:id="12" w:name="_Toc65514348" w:displacedByCustomXml="next"/>
    <w:bookmarkStart w:id="13" w:name="_Toc64299946" w:displacedByCustomXml="next"/>
    <w:bookmarkStart w:id="14" w:name="_Toc64302357" w:displacedByCustomXml="next"/>
    <w:bookmarkStart w:id="15" w:name="_Toc57204968" w:displacedByCustomXml="next"/>
    <w:bookmarkStart w:id="16" w:name="_Toc57199101" w:displacedByCustomXml="next"/>
    <w:bookmarkStart w:id="17" w:name="_Toc57123898" w:displacedByCustomXml="next"/>
    <w:bookmarkStart w:id="18" w:name="_Toc19289801" w:displacedByCustomXml="next"/>
    <w:bookmarkStart w:id="19" w:name="_Toc57304639" w:displacedByCustomXml="next"/>
    <w:bookmarkStart w:id="20" w:name="_Toc62043712" w:displacedByCustomXml="next"/>
    <w:bookmarkStart w:id="21" w:name="_Toc65168359" w:displacedByCustomXml="next"/>
    <w:bookmarkStart w:id="22" w:name="_Toc65168109" w:displacedByCustomXml="next"/>
    <w:bookmarkStart w:id="23" w:name="_Toc66865478" w:displacedByCustomXml="next"/>
    <w:bookmarkStart w:id="24" w:name="_Toc67562600" w:displacedByCustomXml="next"/>
    <w:bookmarkStart w:id="25" w:name="_Toc67553856" w:displacedByCustomXml="next"/>
    <w:sdt>
      <w:sdtPr>
        <w:rPr>
          <w:rFonts w:asciiTheme="minorHAnsi" w:eastAsiaTheme="minorHAnsi" w:hAnsiTheme="minorHAnsi" w:cstheme="minorBidi"/>
          <w:color w:val="auto"/>
          <w:spacing w:val="0"/>
          <w:kern w:val="0"/>
          <w:sz w:val="22"/>
          <w:szCs w:val="22"/>
        </w:rPr>
        <w:id w:val="-2088995269"/>
        <w:docPartObj>
          <w:docPartGallery w:val="Cover Pages"/>
          <w:docPartUnique/>
        </w:docPartObj>
      </w:sdtPr>
      <w:sdtEndPr/>
      <w:sdtContent>
        <w:bookmarkEnd w:id="1" w:displacedByCustomXml="next"/>
        <w:bookmarkEnd w:id="2" w:displacedByCustomXml="next"/>
        <w:bookmarkEnd w:id="3" w:displacedByCustomXml="next"/>
        <w:bookmarkEnd w:id="4" w:displacedByCustomXml="next"/>
        <w:bookmarkEnd w:id="5" w:displacedByCustomXml="next"/>
        <w:bookmarkEnd w:id="6" w:displacedByCustomXml="next"/>
        <w:bookmarkEnd w:id="7" w:displacedByCustomXml="next"/>
        <w:bookmarkEnd w:id="8" w:displacedByCustomXml="next"/>
        <w:bookmarkEnd w:id="9" w:displacedByCustomXml="next"/>
        <w:bookmarkEnd w:id="10" w:displacedByCustomXml="next"/>
        <w:bookmarkEnd w:id="11" w:displacedByCustomXml="next"/>
        <w:bookmarkEnd w:id="12" w:displacedByCustomXml="next"/>
        <w:bookmarkEnd w:id="13" w:displacedByCustomXml="next"/>
        <w:bookmarkEnd w:id="14" w:displacedByCustomXml="next"/>
        <w:bookmarkEnd w:id="15" w:displacedByCustomXml="next"/>
        <w:bookmarkEnd w:id="16" w:displacedByCustomXml="next"/>
        <w:bookmarkEnd w:id="17" w:displacedByCustomXml="next"/>
        <w:bookmarkEnd w:id="18" w:displacedByCustomXml="next"/>
        <w:bookmarkEnd w:id="19" w:displacedByCustomXml="next"/>
        <w:bookmarkEnd w:id="20" w:displacedByCustomXml="next"/>
        <w:bookmarkEnd w:id="21" w:displacedByCustomXml="next"/>
        <w:bookmarkEnd w:id="22" w:displacedByCustomXml="next"/>
        <w:bookmarkEnd w:id="23" w:displacedByCustomXml="next"/>
        <w:bookmarkEnd w:id="24" w:displacedByCustomXml="next"/>
        <w:bookmarkEnd w:id="25" w:displacedByCustomXml="next"/>
        <w:sdt>
          <w:sdtPr>
            <w:alias w:val="Title"/>
            <w:tag w:val=""/>
            <w:id w:val="-856345196"/>
            <w:placeholder>
              <w:docPart w:val="2B95F21A025A4639A0029495A8866CC4"/>
            </w:placeholder>
            <w:dataBinding w:prefixMappings="xmlns:ns0='http://purl.org/dc/elements/1.1/' xmlns:ns1='http://schemas.openxmlformats.org/package/2006/metadata/core-properties' " w:xpath="/ns1:coreProperties[1]/ns0:title[1]" w:storeItemID="{6C3C8BC8-F283-45AE-878A-BAB7291924A1}"/>
            <w:text/>
          </w:sdtPr>
          <w:sdtEndPr/>
          <w:sdtContent>
            <w:p w14:paraId="58664D0A" w14:textId="3E05B636" w:rsidR="0068286F" w:rsidRDefault="00F533B0" w:rsidP="000E599A">
              <w:pPr>
                <w:pStyle w:val="Title"/>
              </w:pPr>
              <w:r>
                <w:t>A Hydrogen Guarantee of Origin scheme for Australia</w:t>
              </w:r>
            </w:p>
          </w:sdtContent>
        </w:sdt>
        <w:bookmarkEnd w:id="0" w:displacedByCustomXml="prev"/>
        <w:p w14:paraId="67A6523F" w14:textId="77777777" w:rsidR="00697567" w:rsidRPr="00697567" w:rsidRDefault="0008183A" w:rsidP="00697567">
          <w:pPr>
            <w:pStyle w:val="Subtitle"/>
          </w:pPr>
          <w:r>
            <w:t>Discussion paper</w:t>
          </w:r>
        </w:p>
        <w:p w14:paraId="72AE1E04" w14:textId="6AF27B73" w:rsidR="0068286F" w:rsidRPr="001D51DA" w:rsidRDefault="00A24B54" w:rsidP="001D51DA">
          <w:pPr>
            <w:pStyle w:val="Authoranddate"/>
          </w:pPr>
          <w:r w:rsidRPr="00A24B54">
            <w:rPr>
              <w:b/>
              <w:sz w:val="24"/>
            </w:rPr>
            <w:t>Note to participants</w:t>
          </w:r>
          <w:r w:rsidRPr="00A24B54">
            <w:rPr>
              <w:sz w:val="24"/>
            </w:rPr>
            <w:t>: The issues canvassed in this paper are intended to facilitate consultation by the Department of Industry, Science, Energy and Resources and have not been endorsed by the Australian Government.</w:t>
          </w:r>
        </w:p>
        <w:p w14:paraId="2FE08C72" w14:textId="77777777" w:rsidR="00A24B54" w:rsidRDefault="00A24B54" w:rsidP="0081712E"/>
        <w:p w14:paraId="712B4264" w14:textId="6ADFA498" w:rsidR="00D7173C" w:rsidRDefault="0068286F" w:rsidP="0081712E">
          <w:r w:rsidRPr="001D51DA">
            <w:t>Date</w:t>
          </w:r>
          <w:r w:rsidR="00B361D9">
            <w:t xml:space="preserve">: </w:t>
          </w:r>
          <w:r w:rsidR="00640B15">
            <w:t>June</w:t>
          </w:r>
          <w:r w:rsidR="00C97D4A">
            <w:t xml:space="preserve"> </w:t>
          </w:r>
          <w:r w:rsidR="000E71BE">
            <w:t>2021</w:t>
          </w:r>
          <w:r w:rsidR="00DE4D6A">
            <w:tab/>
          </w:r>
        </w:p>
        <w:p w14:paraId="31919D9F" w14:textId="77777777" w:rsidR="00D7173C" w:rsidRDefault="00D7173C" w:rsidP="00B75F4C">
          <w:pPr>
            <w:rPr>
              <w:b/>
            </w:rPr>
          </w:pPr>
        </w:p>
        <w:p w14:paraId="056B8922" w14:textId="77777777" w:rsidR="0081712E" w:rsidRDefault="0081712E">
          <w:pPr>
            <w:rPr>
              <w:b/>
            </w:rPr>
          </w:pPr>
        </w:p>
        <w:p w14:paraId="09789733" w14:textId="77777777" w:rsidR="0081712E" w:rsidRDefault="0081712E">
          <w:pPr>
            <w:rPr>
              <w:b/>
            </w:rPr>
          </w:pPr>
        </w:p>
        <w:p w14:paraId="724D3BB1" w14:textId="77777777" w:rsidR="0081712E" w:rsidRDefault="0081712E">
          <w:pPr>
            <w:rPr>
              <w:b/>
            </w:rPr>
          </w:pPr>
        </w:p>
        <w:p w14:paraId="17F7F009" w14:textId="77777777" w:rsidR="0081712E" w:rsidRDefault="0081712E">
          <w:pPr>
            <w:rPr>
              <w:b/>
            </w:rPr>
          </w:pPr>
        </w:p>
        <w:p w14:paraId="1DC05121" w14:textId="77777777" w:rsidR="0081712E" w:rsidRDefault="0081712E">
          <w:pPr>
            <w:rPr>
              <w:b/>
            </w:rPr>
          </w:pPr>
        </w:p>
        <w:p w14:paraId="75F519E1" w14:textId="77777777" w:rsidR="0081712E" w:rsidRDefault="0081712E">
          <w:pPr>
            <w:rPr>
              <w:b/>
            </w:rPr>
          </w:pPr>
        </w:p>
        <w:p w14:paraId="56EEC419" w14:textId="77777777" w:rsidR="0081712E" w:rsidRDefault="0081712E">
          <w:pPr>
            <w:rPr>
              <w:b/>
            </w:rPr>
          </w:pPr>
        </w:p>
        <w:p w14:paraId="20E5DA8F" w14:textId="77777777" w:rsidR="0081712E" w:rsidRDefault="0081712E">
          <w:pPr>
            <w:rPr>
              <w:b/>
            </w:rPr>
          </w:pPr>
        </w:p>
        <w:p w14:paraId="2CFE73DF" w14:textId="77777777" w:rsidR="0081712E" w:rsidRDefault="0081712E">
          <w:pPr>
            <w:rPr>
              <w:b/>
            </w:rPr>
          </w:pPr>
        </w:p>
        <w:p w14:paraId="38AFF646" w14:textId="77777777" w:rsidR="0081712E" w:rsidRDefault="0081712E">
          <w:pPr>
            <w:rPr>
              <w:b/>
            </w:rPr>
          </w:pPr>
        </w:p>
        <w:p w14:paraId="5187A11D" w14:textId="77777777" w:rsidR="0081712E" w:rsidRDefault="0081712E">
          <w:pPr>
            <w:rPr>
              <w:b/>
            </w:rPr>
          </w:pPr>
        </w:p>
        <w:p w14:paraId="68B16F81" w14:textId="265613FB" w:rsidR="0068286F" w:rsidRPr="00806473" w:rsidRDefault="0068286F"/>
        <w:p w14:paraId="484AC614" w14:textId="56B43B88" w:rsidR="001D216A" w:rsidRDefault="001D216A" w:rsidP="003B47A9">
          <w:pPr>
            <w:pStyle w:val="Heading2"/>
          </w:pPr>
          <w:bookmarkStart w:id="26" w:name="_Toc19023739"/>
          <w:bookmarkStart w:id="27" w:name="_Toc19289802"/>
          <w:bookmarkStart w:id="28" w:name="_Toc57123899"/>
          <w:bookmarkStart w:id="29" w:name="_Toc57199102"/>
          <w:bookmarkStart w:id="30" w:name="_Toc57204969"/>
          <w:bookmarkStart w:id="31" w:name="_Toc57304640"/>
          <w:bookmarkStart w:id="32" w:name="_Toc62043713"/>
          <w:bookmarkStart w:id="33" w:name="_Toc64299947"/>
          <w:bookmarkStart w:id="34" w:name="_Toc64302358"/>
          <w:bookmarkStart w:id="35" w:name="_Toc65168110"/>
          <w:bookmarkStart w:id="36" w:name="_Toc65168360"/>
          <w:bookmarkStart w:id="37" w:name="_Toc65514349"/>
          <w:bookmarkStart w:id="38" w:name="_Toc66704765"/>
          <w:bookmarkStart w:id="39" w:name="_Toc66865479"/>
          <w:bookmarkStart w:id="40" w:name="_Toc67328486"/>
          <w:bookmarkStart w:id="41" w:name="_Toc67329097"/>
          <w:bookmarkStart w:id="42" w:name="_Toc67329345"/>
          <w:bookmarkStart w:id="43" w:name="_Toc67330168"/>
          <w:bookmarkStart w:id="44" w:name="_Ref67504635"/>
          <w:bookmarkStart w:id="45" w:name="_Ref67504751"/>
          <w:bookmarkStart w:id="46" w:name="_Toc67553857"/>
          <w:bookmarkStart w:id="47" w:name="_Toc67562601"/>
          <w:bookmarkStart w:id="48" w:name="_Toc67998744"/>
          <w:bookmarkStart w:id="49" w:name="_Toc68000184"/>
          <w:bookmarkStart w:id="50" w:name="_Toc68083115"/>
          <w:bookmarkStart w:id="51" w:name="_Toc68083510"/>
          <w:bookmarkStart w:id="52" w:name="_Toc68088363"/>
          <w:bookmarkStart w:id="53" w:name="_Toc68105049"/>
          <w:bookmarkStart w:id="54" w:name="_Toc74839328"/>
          <w:r w:rsidRPr="001D216A">
            <w:lastRenderedPageBreak/>
            <w:t>Copyright</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779DD02B" w14:textId="60733891" w:rsidR="0068286F" w:rsidRPr="0068286F" w:rsidRDefault="0068286F" w:rsidP="0068286F">
          <w:pPr>
            <w:rPr>
              <w:rStyle w:val="Strong"/>
            </w:rPr>
          </w:pPr>
          <w:r w:rsidRPr="0068286F">
            <w:rPr>
              <w:rStyle w:val="Strong"/>
            </w:rPr>
            <w:t xml:space="preserve">© Commonwealth of </w:t>
          </w:r>
          <w:r w:rsidR="007F31C9">
            <w:rPr>
              <w:rStyle w:val="Strong"/>
            </w:rPr>
            <w:t>Australia 2021</w:t>
          </w:r>
        </w:p>
        <w:p w14:paraId="7C47F8D4" w14:textId="77777777" w:rsidR="0068286F" w:rsidRPr="0068286F" w:rsidRDefault="0068286F" w:rsidP="0068286F">
          <w:pPr>
            <w:rPr>
              <w:rStyle w:val="Strong"/>
            </w:rPr>
          </w:pPr>
          <w:r w:rsidRPr="0068286F">
            <w:rPr>
              <w:rStyle w:val="Strong"/>
            </w:rPr>
            <w:t>Ownership of intellectual property rights</w:t>
          </w:r>
        </w:p>
        <w:p w14:paraId="7021DCEA" w14:textId="77777777" w:rsidR="0068286F" w:rsidRDefault="0068286F" w:rsidP="0068286F">
          <w:r>
            <w:t>Unless otherwise noted, copyright (and any other intellectual property rights, if any) in this publication is owned by the Commonwealth of Australia.</w:t>
          </w:r>
        </w:p>
        <w:p w14:paraId="5E24FF9B" w14:textId="77777777" w:rsidR="0068286F" w:rsidRDefault="0068286F" w:rsidP="0068286F">
          <w:pPr>
            <w:rPr>
              <w:rStyle w:val="Strong"/>
            </w:rPr>
          </w:pPr>
          <w:r w:rsidRPr="0068286F">
            <w:rPr>
              <w:rStyle w:val="Strong"/>
            </w:rPr>
            <w:t>Creative Commons licence</w:t>
          </w:r>
        </w:p>
        <w:p w14:paraId="4C6ECE3A" w14:textId="77777777" w:rsidR="001D216A" w:rsidRPr="0068286F" w:rsidRDefault="001D216A" w:rsidP="0068286F">
          <w:pPr>
            <w:rPr>
              <w:rStyle w:val="Strong"/>
            </w:rPr>
          </w:pPr>
          <w:r>
            <w:rPr>
              <w:b/>
              <w:noProof/>
              <w:lang w:eastAsia="en-AU"/>
            </w:rPr>
            <w:drawing>
              <wp:inline distT="0" distB="0" distL="0" distR="0" wp14:anchorId="42CE3252" wp14:editId="42CE3253">
                <wp:extent cx="1128889" cy="440267"/>
                <wp:effectExtent l="0" t="0" r="0" b="0"/>
                <wp:docPr id="4" name="Picture 4" descr="Creative Commons CC BY logo" title="Creative Commons 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ative commons.pn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129401" cy="440467"/>
                        </a:xfrm>
                        <a:prstGeom prst="rect">
                          <a:avLst/>
                        </a:prstGeom>
                        <a:ln>
                          <a:noFill/>
                        </a:ln>
                        <a:extLst>
                          <a:ext uri="{53640926-AAD7-44D8-BBD7-CCE9431645EC}">
                            <a14:shadowObscured xmlns:a14="http://schemas.microsoft.com/office/drawing/2010/main"/>
                          </a:ext>
                        </a:extLst>
                      </pic:spPr>
                    </pic:pic>
                  </a:graphicData>
                </a:graphic>
              </wp:inline>
            </w:drawing>
          </w:r>
        </w:p>
        <w:p w14:paraId="51EA56A5" w14:textId="77777777" w:rsidR="0068286F" w:rsidRPr="001D216A" w:rsidRDefault="0068286F" w:rsidP="0068286F">
          <w:pPr>
            <w:rPr>
              <w:rStyle w:val="Strong"/>
            </w:rPr>
          </w:pPr>
          <w:r w:rsidRPr="001D216A">
            <w:rPr>
              <w:rStyle w:val="Strong"/>
            </w:rPr>
            <w:t xml:space="preserve">Attribution </w:t>
          </w:r>
        </w:p>
        <w:p w14:paraId="260ACE09" w14:textId="77777777" w:rsidR="0068286F" w:rsidRPr="001D216A" w:rsidRDefault="0068286F" w:rsidP="0068286F">
          <w:pPr>
            <w:rPr>
              <w:rStyle w:val="Strong"/>
            </w:rPr>
          </w:pPr>
          <w:r w:rsidRPr="001D216A">
            <w:rPr>
              <w:rStyle w:val="Strong"/>
            </w:rPr>
            <w:t>CC BY</w:t>
          </w:r>
        </w:p>
        <w:p w14:paraId="078EFDCC" w14:textId="77777777" w:rsidR="0068286F" w:rsidRDefault="0068286F" w:rsidP="0068286F">
          <w:r>
            <w:t>All material in this publication is licensed under a Creative Commons Attribution 4.0 International Licence, save for content supplied by third parties, logos, any material protected by trademark or otherwise noted in this publication, and the Commonwealth Coat of Arms.</w:t>
          </w:r>
        </w:p>
        <w:p w14:paraId="13AB3C60" w14:textId="77777777" w:rsidR="0068286F" w:rsidRDefault="0068286F" w:rsidP="0068286F">
          <w:r>
            <w:t xml:space="preserve">Creative Commons Attribution 4.0 International Licence is a standard form licence agreement that allows you to copy, distribute, transmit and adapt this publication provided you attribute the work. A summary of the licence terms is available from </w:t>
          </w:r>
          <w:hyperlink r:id="rId13" w:history="1">
            <w:r w:rsidR="001D216A" w:rsidRPr="00DB39DE">
              <w:rPr>
                <w:rStyle w:val="Hyperlink"/>
              </w:rPr>
              <w:t>https://creativecommons.org/licenses/by/4.0/</w:t>
            </w:r>
          </w:hyperlink>
        </w:p>
        <w:p w14:paraId="2B37EA5F" w14:textId="77777777" w:rsidR="0068286F" w:rsidRDefault="0068286F" w:rsidP="0068286F">
          <w:r>
            <w:t xml:space="preserve">The full licence terms are available from </w:t>
          </w:r>
          <w:hyperlink r:id="rId14" w:history="1">
            <w:r w:rsidR="001D216A" w:rsidRPr="00DB39DE">
              <w:rPr>
                <w:rStyle w:val="Hyperlink"/>
              </w:rPr>
              <w:t>https://creativecommons.org/licenses/by/4.0/legalcode</w:t>
            </w:r>
          </w:hyperlink>
        </w:p>
        <w:p w14:paraId="1B26FA88" w14:textId="77777777" w:rsidR="0068286F" w:rsidRDefault="0068286F" w:rsidP="0068286F">
          <w:r>
            <w:t xml:space="preserve">Content contained herein should be attributed as </w:t>
          </w:r>
          <w:r w:rsidR="001D216A" w:rsidRPr="0046678C">
            <w:rPr>
              <w:i/>
            </w:rPr>
            <w:t>Report</w:t>
          </w:r>
          <w:r w:rsidRPr="0046678C">
            <w:rPr>
              <w:i/>
            </w:rPr>
            <w:t xml:space="preserve"> title</w:t>
          </w:r>
          <w:r w:rsidR="001D216A" w:rsidRPr="000F2564">
            <w:rPr>
              <w:i/>
            </w:rPr>
            <w:t>, Australian Government Department of Industry, Science</w:t>
          </w:r>
          <w:r w:rsidR="00CC5F88">
            <w:rPr>
              <w:i/>
            </w:rPr>
            <w:t>, Energy and Resources</w:t>
          </w:r>
          <w:r w:rsidRPr="000F2564">
            <w:t>.</w:t>
          </w:r>
        </w:p>
        <w:p w14:paraId="002E7D0F" w14:textId="77777777" w:rsidR="0068286F" w:rsidRPr="001D216A" w:rsidRDefault="0068286F" w:rsidP="003B47A9">
          <w:pPr>
            <w:pStyle w:val="Heading2"/>
          </w:pPr>
          <w:bookmarkStart w:id="55" w:name="_Toc19023740"/>
          <w:bookmarkStart w:id="56" w:name="_Toc19289803"/>
          <w:bookmarkStart w:id="57" w:name="_Toc57123900"/>
          <w:bookmarkStart w:id="58" w:name="_Toc57199103"/>
          <w:bookmarkStart w:id="59" w:name="_Toc57204970"/>
          <w:bookmarkStart w:id="60" w:name="_Toc57304641"/>
          <w:bookmarkStart w:id="61" w:name="_Toc62043714"/>
          <w:bookmarkStart w:id="62" w:name="_Toc64299948"/>
          <w:bookmarkStart w:id="63" w:name="_Toc64302359"/>
          <w:bookmarkStart w:id="64" w:name="_Toc65168111"/>
          <w:bookmarkStart w:id="65" w:name="_Toc65168361"/>
          <w:bookmarkStart w:id="66" w:name="_Toc65514350"/>
          <w:bookmarkStart w:id="67" w:name="_Toc66704766"/>
          <w:bookmarkStart w:id="68" w:name="_Toc66865480"/>
          <w:bookmarkStart w:id="69" w:name="_Toc67328487"/>
          <w:bookmarkStart w:id="70" w:name="_Toc67329098"/>
          <w:bookmarkStart w:id="71" w:name="_Toc67329346"/>
          <w:bookmarkStart w:id="72" w:name="_Toc67330169"/>
          <w:bookmarkStart w:id="73" w:name="_Toc67553858"/>
          <w:bookmarkStart w:id="74" w:name="_Toc67562602"/>
          <w:bookmarkStart w:id="75" w:name="_Toc67998745"/>
          <w:bookmarkStart w:id="76" w:name="_Toc68000185"/>
          <w:bookmarkStart w:id="77" w:name="_Toc68083116"/>
          <w:bookmarkStart w:id="78" w:name="_Toc68083511"/>
          <w:bookmarkStart w:id="79" w:name="_Toc68088364"/>
          <w:bookmarkStart w:id="80" w:name="_Toc68105050"/>
          <w:bookmarkStart w:id="81" w:name="_Toc74839329"/>
          <w:r w:rsidRPr="001D216A">
            <w:t>Disclaimer</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0DEB3096" w14:textId="0B5292D0" w:rsidR="000F2564" w:rsidRDefault="0068286F" w:rsidP="0068286F">
          <w:r>
            <w:t>The Australian Government as represented by the Department of Industry, Science</w:t>
          </w:r>
          <w:r w:rsidR="00CC5F88">
            <w:t>, Energy and Resources</w:t>
          </w:r>
          <w:r>
            <w:t xml:space="preserve"> has exercised due care and skill in the preparation and compilation of the information and data in this publication. Notwithstanding, the Commonwealth of Australia, its officers, employees, or agents disclaim any liability, including liability for negligence, loss howsoever caused, damage, injury, expense or cost incurred by any person as a result of accessing, using or relying upon any of the information or data in this publication to the maximum extent permitted by law. No representation expressed or implied is made as to the currency, accuracy, reliability or completeness of the information contained in this publication. The reader should rely on their own inquiries to independently confirm the information and comment on which they intend to act. This publication does not indicate commitment by the Australian Government to a particular course of action.</w:t>
          </w:r>
        </w:p>
        <w:p w14:paraId="22822E97" w14:textId="77777777" w:rsidR="00BE7F84" w:rsidRDefault="00BE7F84" w:rsidP="00BE7F84">
          <w:bookmarkStart w:id="82" w:name="_Toc19289804"/>
          <w:bookmarkStart w:id="83" w:name="_Toc57123901"/>
          <w:bookmarkStart w:id="84" w:name="_Toc57199104"/>
          <w:bookmarkStart w:id="85" w:name="_Toc57204971"/>
          <w:bookmarkStart w:id="86" w:name="_Toc57304642"/>
          <w:bookmarkStart w:id="87" w:name="_Toc62043715"/>
          <w:bookmarkStart w:id="88" w:name="_Toc64299949"/>
          <w:bookmarkStart w:id="89" w:name="_Toc64302360"/>
          <w:bookmarkStart w:id="90" w:name="_Toc65168112"/>
          <w:bookmarkStart w:id="91" w:name="_Toc65168362"/>
          <w:bookmarkStart w:id="92" w:name="_Toc65514351"/>
          <w:bookmarkStart w:id="93" w:name="_Toc66704767"/>
          <w:bookmarkStart w:id="94" w:name="_Toc67328488"/>
          <w:bookmarkStart w:id="95" w:name="_Toc67329099"/>
          <w:bookmarkStart w:id="96" w:name="_Toc67329347"/>
          <w:bookmarkStart w:id="97" w:name="_Toc67562603"/>
          <w:bookmarkStart w:id="98" w:name="_Toc67998746"/>
          <w:bookmarkStart w:id="99" w:name="_Toc68000186"/>
          <w:bookmarkStart w:id="100" w:name="_Toc68083117"/>
          <w:bookmarkStart w:id="101" w:name="_Toc68083512"/>
          <w:bookmarkStart w:id="102" w:name="_Toc68105051"/>
        </w:p>
        <w:p w14:paraId="3E8FCE27" w14:textId="77777777" w:rsidR="00BE7F84" w:rsidRDefault="00BE7F84" w:rsidP="00BE7F84">
          <w:pPr>
            <w:rPr>
              <w:rFonts w:asciiTheme="majorHAnsi" w:eastAsiaTheme="majorEastAsia" w:hAnsiTheme="majorHAnsi" w:cstheme="majorBidi"/>
              <w:color w:val="005677" w:themeColor="text2"/>
              <w:sz w:val="48"/>
              <w:szCs w:val="32"/>
            </w:rPr>
          </w:pPr>
          <w:r>
            <w:br w:type="page"/>
          </w:r>
        </w:p>
        <w:p w14:paraId="0E9FA1EF" w14:textId="77421E42" w:rsidR="00E3027E" w:rsidRDefault="00E3027E" w:rsidP="005F166A">
          <w:pPr>
            <w:pStyle w:val="Heading1"/>
          </w:pPr>
          <w:bookmarkStart w:id="103" w:name="_Toc74839330"/>
          <w:r>
            <w:lastRenderedPageBreak/>
            <w:t>Contents</w:t>
          </w:r>
          <w:bookmarkStart w:id="104" w:name="_GoBack"/>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4E778E92" w14:textId="77777777" w:rsidR="00A4774A" w:rsidRDefault="00E3027E">
          <w:pPr>
            <w:pStyle w:val="TOC1"/>
            <w:rPr>
              <w:rFonts w:eastAsiaTheme="minorEastAsia"/>
              <w:noProof/>
              <w:lang w:eastAsia="en-AU"/>
            </w:rPr>
          </w:pPr>
          <w:r>
            <w:fldChar w:fldCharType="begin"/>
          </w:r>
          <w:r>
            <w:instrText xml:space="preserve"> TOC \o "1-2" \h \z \u </w:instrText>
          </w:r>
          <w:r>
            <w:fldChar w:fldCharType="separate"/>
          </w:r>
          <w:hyperlink w:anchor="_Toc74839327" w:history="1">
            <w:r w:rsidR="00A4774A" w:rsidRPr="00A348F7">
              <w:rPr>
                <w:rStyle w:val="Hyperlink"/>
                <w:noProof/>
              </w:rPr>
              <w:t>A Hydrogen Guarantee of Origin scheme for Australia</w:t>
            </w:r>
            <w:r w:rsidR="00A4774A">
              <w:rPr>
                <w:noProof/>
                <w:webHidden/>
              </w:rPr>
              <w:tab/>
            </w:r>
            <w:r w:rsidR="00A4774A">
              <w:rPr>
                <w:noProof/>
                <w:webHidden/>
              </w:rPr>
              <w:fldChar w:fldCharType="begin"/>
            </w:r>
            <w:r w:rsidR="00A4774A">
              <w:rPr>
                <w:noProof/>
                <w:webHidden/>
              </w:rPr>
              <w:instrText xml:space="preserve"> PAGEREF _Toc74839327 \h </w:instrText>
            </w:r>
            <w:r w:rsidR="00A4774A">
              <w:rPr>
                <w:noProof/>
                <w:webHidden/>
              </w:rPr>
            </w:r>
            <w:r w:rsidR="00A4774A">
              <w:rPr>
                <w:noProof/>
                <w:webHidden/>
              </w:rPr>
              <w:fldChar w:fldCharType="separate"/>
            </w:r>
            <w:r w:rsidR="00A4774A">
              <w:rPr>
                <w:noProof/>
                <w:webHidden/>
              </w:rPr>
              <w:t>1</w:t>
            </w:r>
            <w:r w:rsidR="00A4774A">
              <w:rPr>
                <w:noProof/>
                <w:webHidden/>
              </w:rPr>
              <w:fldChar w:fldCharType="end"/>
            </w:r>
          </w:hyperlink>
        </w:p>
        <w:p w14:paraId="5BA54D0E" w14:textId="77777777" w:rsidR="00A4774A" w:rsidRDefault="00A4774A">
          <w:pPr>
            <w:pStyle w:val="TOC2"/>
            <w:tabs>
              <w:tab w:val="right" w:leader="dot" w:pos="8721"/>
            </w:tabs>
            <w:rPr>
              <w:rFonts w:eastAsiaTheme="minorEastAsia"/>
              <w:noProof/>
              <w:lang w:eastAsia="en-AU"/>
            </w:rPr>
          </w:pPr>
          <w:hyperlink w:anchor="_Toc74839328" w:history="1">
            <w:r w:rsidRPr="00A348F7">
              <w:rPr>
                <w:rStyle w:val="Hyperlink"/>
                <w:noProof/>
              </w:rPr>
              <w:t>Copyright</w:t>
            </w:r>
            <w:r>
              <w:rPr>
                <w:noProof/>
                <w:webHidden/>
              </w:rPr>
              <w:tab/>
            </w:r>
            <w:r>
              <w:rPr>
                <w:noProof/>
                <w:webHidden/>
              </w:rPr>
              <w:fldChar w:fldCharType="begin"/>
            </w:r>
            <w:r>
              <w:rPr>
                <w:noProof/>
                <w:webHidden/>
              </w:rPr>
              <w:instrText xml:space="preserve"> PAGEREF _Toc74839328 \h </w:instrText>
            </w:r>
            <w:r>
              <w:rPr>
                <w:noProof/>
                <w:webHidden/>
              </w:rPr>
            </w:r>
            <w:r>
              <w:rPr>
                <w:noProof/>
                <w:webHidden/>
              </w:rPr>
              <w:fldChar w:fldCharType="separate"/>
            </w:r>
            <w:r>
              <w:rPr>
                <w:noProof/>
                <w:webHidden/>
              </w:rPr>
              <w:t>2</w:t>
            </w:r>
            <w:r>
              <w:rPr>
                <w:noProof/>
                <w:webHidden/>
              </w:rPr>
              <w:fldChar w:fldCharType="end"/>
            </w:r>
          </w:hyperlink>
        </w:p>
        <w:p w14:paraId="6F8A0001" w14:textId="77777777" w:rsidR="00A4774A" w:rsidRDefault="00A4774A">
          <w:pPr>
            <w:pStyle w:val="TOC2"/>
            <w:tabs>
              <w:tab w:val="right" w:leader="dot" w:pos="8721"/>
            </w:tabs>
            <w:rPr>
              <w:rFonts w:eastAsiaTheme="minorEastAsia"/>
              <w:noProof/>
              <w:lang w:eastAsia="en-AU"/>
            </w:rPr>
          </w:pPr>
          <w:hyperlink w:anchor="_Toc74839329" w:history="1">
            <w:r w:rsidRPr="00A348F7">
              <w:rPr>
                <w:rStyle w:val="Hyperlink"/>
                <w:noProof/>
              </w:rPr>
              <w:t>Disclaimer</w:t>
            </w:r>
            <w:r>
              <w:rPr>
                <w:noProof/>
                <w:webHidden/>
              </w:rPr>
              <w:tab/>
            </w:r>
            <w:r>
              <w:rPr>
                <w:noProof/>
                <w:webHidden/>
              </w:rPr>
              <w:fldChar w:fldCharType="begin"/>
            </w:r>
            <w:r>
              <w:rPr>
                <w:noProof/>
                <w:webHidden/>
              </w:rPr>
              <w:instrText xml:space="preserve"> PAGEREF _Toc74839329 \h </w:instrText>
            </w:r>
            <w:r>
              <w:rPr>
                <w:noProof/>
                <w:webHidden/>
              </w:rPr>
            </w:r>
            <w:r>
              <w:rPr>
                <w:noProof/>
                <w:webHidden/>
              </w:rPr>
              <w:fldChar w:fldCharType="separate"/>
            </w:r>
            <w:r>
              <w:rPr>
                <w:noProof/>
                <w:webHidden/>
              </w:rPr>
              <w:t>2</w:t>
            </w:r>
            <w:r>
              <w:rPr>
                <w:noProof/>
                <w:webHidden/>
              </w:rPr>
              <w:fldChar w:fldCharType="end"/>
            </w:r>
          </w:hyperlink>
        </w:p>
        <w:p w14:paraId="1C2F121D" w14:textId="77777777" w:rsidR="00A4774A" w:rsidRDefault="00A4774A">
          <w:pPr>
            <w:pStyle w:val="TOC1"/>
            <w:rPr>
              <w:rFonts w:eastAsiaTheme="minorEastAsia"/>
              <w:noProof/>
              <w:lang w:eastAsia="en-AU"/>
            </w:rPr>
          </w:pPr>
          <w:hyperlink w:anchor="_Toc74839330" w:history="1">
            <w:r w:rsidRPr="00A348F7">
              <w:rPr>
                <w:rStyle w:val="Hyperlink"/>
                <w:noProof/>
              </w:rPr>
              <w:t>Contents</w:t>
            </w:r>
            <w:r>
              <w:rPr>
                <w:noProof/>
                <w:webHidden/>
              </w:rPr>
              <w:tab/>
            </w:r>
            <w:r>
              <w:rPr>
                <w:noProof/>
                <w:webHidden/>
              </w:rPr>
              <w:fldChar w:fldCharType="begin"/>
            </w:r>
            <w:r>
              <w:rPr>
                <w:noProof/>
                <w:webHidden/>
              </w:rPr>
              <w:instrText xml:space="preserve"> PAGEREF _Toc74839330 \h </w:instrText>
            </w:r>
            <w:r>
              <w:rPr>
                <w:noProof/>
                <w:webHidden/>
              </w:rPr>
            </w:r>
            <w:r>
              <w:rPr>
                <w:noProof/>
                <w:webHidden/>
              </w:rPr>
              <w:fldChar w:fldCharType="separate"/>
            </w:r>
            <w:r>
              <w:rPr>
                <w:noProof/>
                <w:webHidden/>
              </w:rPr>
              <w:t>3</w:t>
            </w:r>
            <w:r>
              <w:rPr>
                <w:noProof/>
                <w:webHidden/>
              </w:rPr>
              <w:fldChar w:fldCharType="end"/>
            </w:r>
          </w:hyperlink>
        </w:p>
        <w:p w14:paraId="54D69DCD" w14:textId="77777777" w:rsidR="00A4774A" w:rsidRDefault="00A4774A">
          <w:pPr>
            <w:pStyle w:val="TOC1"/>
            <w:rPr>
              <w:rFonts w:eastAsiaTheme="minorEastAsia"/>
              <w:noProof/>
              <w:lang w:eastAsia="en-AU"/>
            </w:rPr>
          </w:pPr>
          <w:hyperlink w:anchor="_Toc74839331" w:history="1">
            <w:r w:rsidRPr="00A348F7">
              <w:rPr>
                <w:rStyle w:val="Hyperlink"/>
                <w:noProof/>
              </w:rPr>
              <w:t>Executive Summary</w:t>
            </w:r>
            <w:r>
              <w:rPr>
                <w:noProof/>
                <w:webHidden/>
              </w:rPr>
              <w:tab/>
            </w:r>
            <w:r>
              <w:rPr>
                <w:noProof/>
                <w:webHidden/>
              </w:rPr>
              <w:fldChar w:fldCharType="begin"/>
            </w:r>
            <w:r>
              <w:rPr>
                <w:noProof/>
                <w:webHidden/>
              </w:rPr>
              <w:instrText xml:space="preserve"> PAGEREF _Toc74839331 \h </w:instrText>
            </w:r>
            <w:r>
              <w:rPr>
                <w:noProof/>
                <w:webHidden/>
              </w:rPr>
            </w:r>
            <w:r>
              <w:rPr>
                <w:noProof/>
                <w:webHidden/>
              </w:rPr>
              <w:fldChar w:fldCharType="separate"/>
            </w:r>
            <w:r>
              <w:rPr>
                <w:noProof/>
                <w:webHidden/>
              </w:rPr>
              <w:t>5</w:t>
            </w:r>
            <w:r>
              <w:rPr>
                <w:noProof/>
                <w:webHidden/>
              </w:rPr>
              <w:fldChar w:fldCharType="end"/>
            </w:r>
          </w:hyperlink>
        </w:p>
        <w:p w14:paraId="4870B550" w14:textId="77777777" w:rsidR="00A4774A" w:rsidRDefault="00A4774A">
          <w:pPr>
            <w:pStyle w:val="TOC1"/>
            <w:rPr>
              <w:rFonts w:eastAsiaTheme="minorEastAsia"/>
              <w:noProof/>
              <w:lang w:eastAsia="en-AU"/>
            </w:rPr>
          </w:pPr>
          <w:hyperlink w:anchor="_Toc74839332" w:history="1">
            <w:r w:rsidRPr="00A348F7">
              <w:rPr>
                <w:rStyle w:val="Hyperlink"/>
                <w:noProof/>
              </w:rPr>
              <w:t>How to have your say</w:t>
            </w:r>
            <w:r>
              <w:rPr>
                <w:noProof/>
                <w:webHidden/>
              </w:rPr>
              <w:tab/>
            </w:r>
            <w:r>
              <w:rPr>
                <w:noProof/>
                <w:webHidden/>
              </w:rPr>
              <w:fldChar w:fldCharType="begin"/>
            </w:r>
            <w:r>
              <w:rPr>
                <w:noProof/>
                <w:webHidden/>
              </w:rPr>
              <w:instrText xml:space="preserve"> PAGEREF _Toc74839332 \h </w:instrText>
            </w:r>
            <w:r>
              <w:rPr>
                <w:noProof/>
                <w:webHidden/>
              </w:rPr>
            </w:r>
            <w:r>
              <w:rPr>
                <w:noProof/>
                <w:webHidden/>
              </w:rPr>
              <w:fldChar w:fldCharType="separate"/>
            </w:r>
            <w:r>
              <w:rPr>
                <w:noProof/>
                <w:webHidden/>
              </w:rPr>
              <w:t>8</w:t>
            </w:r>
            <w:r>
              <w:rPr>
                <w:noProof/>
                <w:webHidden/>
              </w:rPr>
              <w:fldChar w:fldCharType="end"/>
            </w:r>
          </w:hyperlink>
        </w:p>
        <w:p w14:paraId="26E890DC" w14:textId="77777777" w:rsidR="00A4774A" w:rsidRDefault="00A4774A">
          <w:pPr>
            <w:pStyle w:val="TOC1"/>
            <w:rPr>
              <w:rFonts w:eastAsiaTheme="minorEastAsia"/>
              <w:noProof/>
              <w:lang w:eastAsia="en-AU"/>
            </w:rPr>
          </w:pPr>
          <w:hyperlink w:anchor="_Toc74839333" w:history="1">
            <w:r w:rsidRPr="00A348F7">
              <w:rPr>
                <w:rStyle w:val="Hyperlink"/>
                <w:noProof/>
              </w:rPr>
              <w:t>1. Introduction</w:t>
            </w:r>
            <w:r>
              <w:rPr>
                <w:noProof/>
                <w:webHidden/>
              </w:rPr>
              <w:tab/>
            </w:r>
            <w:r>
              <w:rPr>
                <w:noProof/>
                <w:webHidden/>
              </w:rPr>
              <w:fldChar w:fldCharType="begin"/>
            </w:r>
            <w:r>
              <w:rPr>
                <w:noProof/>
                <w:webHidden/>
              </w:rPr>
              <w:instrText xml:space="preserve"> PAGEREF _Toc74839333 \h </w:instrText>
            </w:r>
            <w:r>
              <w:rPr>
                <w:noProof/>
                <w:webHidden/>
              </w:rPr>
            </w:r>
            <w:r>
              <w:rPr>
                <w:noProof/>
                <w:webHidden/>
              </w:rPr>
              <w:fldChar w:fldCharType="separate"/>
            </w:r>
            <w:r>
              <w:rPr>
                <w:noProof/>
                <w:webHidden/>
              </w:rPr>
              <w:t>9</w:t>
            </w:r>
            <w:r>
              <w:rPr>
                <w:noProof/>
                <w:webHidden/>
              </w:rPr>
              <w:fldChar w:fldCharType="end"/>
            </w:r>
          </w:hyperlink>
        </w:p>
        <w:p w14:paraId="430A16BF" w14:textId="77777777" w:rsidR="00A4774A" w:rsidRDefault="00A4774A">
          <w:pPr>
            <w:pStyle w:val="TOC2"/>
            <w:tabs>
              <w:tab w:val="left" w:pos="880"/>
              <w:tab w:val="right" w:leader="dot" w:pos="8721"/>
            </w:tabs>
            <w:rPr>
              <w:rFonts w:eastAsiaTheme="minorEastAsia"/>
              <w:noProof/>
              <w:lang w:eastAsia="en-AU"/>
            </w:rPr>
          </w:pPr>
          <w:hyperlink w:anchor="_Toc74839334" w:history="1">
            <w:r w:rsidRPr="00A348F7">
              <w:rPr>
                <w:rStyle w:val="Hyperlink"/>
                <w:noProof/>
              </w:rPr>
              <w:t>1.1</w:t>
            </w:r>
            <w:r>
              <w:rPr>
                <w:rFonts w:eastAsiaTheme="minorEastAsia"/>
                <w:noProof/>
                <w:lang w:eastAsia="en-AU"/>
              </w:rPr>
              <w:tab/>
            </w:r>
            <w:r w:rsidRPr="00A348F7">
              <w:rPr>
                <w:rStyle w:val="Hyperlink"/>
                <w:noProof/>
              </w:rPr>
              <w:t>Why do we need a Guarantee of Origin scheme for hydrogen?</w:t>
            </w:r>
            <w:r>
              <w:rPr>
                <w:noProof/>
                <w:webHidden/>
              </w:rPr>
              <w:tab/>
            </w:r>
            <w:r>
              <w:rPr>
                <w:noProof/>
                <w:webHidden/>
              </w:rPr>
              <w:fldChar w:fldCharType="begin"/>
            </w:r>
            <w:r>
              <w:rPr>
                <w:noProof/>
                <w:webHidden/>
              </w:rPr>
              <w:instrText xml:space="preserve"> PAGEREF _Toc74839334 \h </w:instrText>
            </w:r>
            <w:r>
              <w:rPr>
                <w:noProof/>
                <w:webHidden/>
              </w:rPr>
            </w:r>
            <w:r>
              <w:rPr>
                <w:noProof/>
                <w:webHidden/>
              </w:rPr>
              <w:fldChar w:fldCharType="separate"/>
            </w:r>
            <w:r>
              <w:rPr>
                <w:noProof/>
                <w:webHidden/>
              </w:rPr>
              <w:t>9</w:t>
            </w:r>
            <w:r>
              <w:rPr>
                <w:noProof/>
                <w:webHidden/>
              </w:rPr>
              <w:fldChar w:fldCharType="end"/>
            </w:r>
          </w:hyperlink>
        </w:p>
        <w:p w14:paraId="75177A85" w14:textId="77777777" w:rsidR="00A4774A" w:rsidRDefault="00A4774A">
          <w:pPr>
            <w:pStyle w:val="TOC2"/>
            <w:tabs>
              <w:tab w:val="left" w:pos="880"/>
              <w:tab w:val="right" w:leader="dot" w:pos="8721"/>
            </w:tabs>
            <w:rPr>
              <w:rFonts w:eastAsiaTheme="minorEastAsia"/>
              <w:noProof/>
              <w:lang w:eastAsia="en-AU"/>
            </w:rPr>
          </w:pPr>
          <w:hyperlink w:anchor="_Toc74839335" w:history="1">
            <w:r w:rsidRPr="00A348F7">
              <w:rPr>
                <w:rStyle w:val="Hyperlink"/>
                <w:noProof/>
              </w:rPr>
              <w:t>1.2</w:t>
            </w:r>
            <w:r>
              <w:rPr>
                <w:rFonts w:eastAsiaTheme="minorEastAsia"/>
                <w:noProof/>
                <w:lang w:eastAsia="en-AU"/>
              </w:rPr>
              <w:tab/>
            </w:r>
            <w:r w:rsidRPr="00A348F7">
              <w:rPr>
                <w:rStyle w:val="Hyperlink"/>
                <w:noProof/>
              </w:rPr>
              <w:t>National Hydrogen Strategy</w:t>
            </w:r>
            <w:r>
              <w:rPr>
                <w:noProof/>
                <w:webHidden/>
              </w:rPr>
              <w:tab/>
            </w:r>
            <w:r>
              <w:rPr>
                <w:noProof/>
                <w:webHidden/>
              </w:rPr>
              <w:fldChar w:fldCharType="begin"/>
            </w:r>
            <w:r>
              <w:rPr>
                <w:noProof/>
                <w:webHidden/>
              </w:rPr>
              <w:instrText xml:space="preserve"> PAGEREF _Toc74839335 \h </w:instrText>
            </w:r>
            <w:r>
              <w:rPr>
                <w:noProof/>
                <w:webHidden/>
              </w:rPr>
            </w:r>
            <w:r>
              <w:rPr>
                <w:noProof/>
                <w:webHidden/>
              </w:rPr>
              <w:fldChar w:fldCharType="separate"/>
            </w:r>
            <w:r>
              <w:rPr>
                <w:noProof/>
                <w:webHidden/>
              </w:rPr>
              <w:t>10</w:t>
            </w:r>
            <w:r>
              <w:rPr>
                <w:noProof/>
                <w:webHidden/>
              </w:rPr>
              <w:fldChar w:fldCharType="end"/>
            </w:r>
          </w:hyperlink>
        </w:p>
        <w:p w14:paraId="20C4380E" w14:textId="77777777" w:rsidR="00A4774A" w:rsidRDefault="00A4774A">
          <w:pPr>
            <w:pStyle w:val="TOC2"/>
            <w:tabs>
              <w:tab w:val="left" w:pos="880"/>
              <w:tab w:val="right" w:leader="dot" w:pos="8721"/>
            </w:tabs>
            <w:rPr>
              <w:rFonts w:eastAsiaTheme="minorEastAsia"/>
              <w:noProof/>
              <w:lang w:eastAsia="en-AU"/>
            </w:rPr>
          </w:pPr>
          <w:hyperlink w:anchor="_Toc74839336" w:history="1">
            <w:r w:rsidRPr="00A348F7">
              <w:rPr>
                <w:rStyle w:val="Hyperlink"/>
                <w:noProof/>
              </w:rPr>
              <w:t>1.3</w:t>
            </w:r>
            <w:r>
              <w:rPr>
                <w:rFonts w:eastAsiaTheme="minorEastAsia"/>
                <w:noProof/>
                <w:lang w:eastAsia="en-AU"/>
              </w:rPr>
              <w:tab/>
            </w:r>
            <w:r w:rsidRPr="00A348F7">
              <w:rPr>
                <w:rStyle w:val="Hyperlink"/>
                <w:noProof/>
              </w:rPr>
              <w:t>International context</w:t>
            </w:r>
            <w:r>
              <w:rPr>
                <w:noProof/>
                <w:webHidden/>
              </w:rPr>
              <w:tab/>
            </w:r>
            <w:r>
              <w:rPr>
                <w:noProof/>
                <w:webHidden/>
              </w:rPr>
              <w:fldChar w:fldCharType="begin"/>
            </w:r>
            <w:r>
              <w:rPr>
                <w:noProof/>
                <w:webHidden/>
              </w:rPr>
              <w:instrText xml:space="preserve"> PAGEREF _Toc74839336 \h </w:instrText>
            </w:r>
            <w:r>
              <w:rPr>
                <w:noProof/>
                <w:webHidden/>
              </w:rPr>
            </w:r>
            <w:r>
              <w:rPr>
                <w:noProof/>
                <w:webHidden/>
              </w:rPr>
              <w:fldChar w:fldCharType="separate"/>
            </w:r>
            <w:r>
              <w:rPr>
                <w:noProof/>
                <w:webHidden/>
              </w:rPr>
              <w:t>11</w:t>
            </w:r>
            <w:r>
              <w:rPr>
                <w:noProof/>
                <w:webHidden/>
              </w:rPr>
              <w:fldChar w:fldCharType="end"/>
            </w:r>
          </w:hyperlink>
        </w:p>
        <w:p w14:paraId="22A72EC1" w14:textId="77777777" w:rsidR="00A4774A" w:rsidRDefault="00A4774A">
          <w:pPr>
            <w:pStyle w:val="TOC2"/>
            <w:tabs>
              <w:tab w:val="left" w:pos="880"/>
              <w:tab w:val="right" w:leader="dot" w:pos="8721"/>
            </w:tabs>
            <w:rPr>
              <w:rFonts w:eastAsiaTheme="minorEastAsia"/>
              <w:noProof/>
              <w:lang w:eastAsia="en-AU"/>
            </w:rPr>
          </w:pPr>
          <w:hyperlink w:anchor="_Toc74839337" w:history="1">
            <w:r w:rsidRPr="00A348F7">
              <w:rPr>
                <w:rStyle w:val="Hyperlink"/>
                <w:noProof/>
              </w:rPr>
              <w:t>1.4</w:t>
            </w:r>
            <w:r>
              <w:rPr>
                <w:rFonts w:eastAsiaTheme="minorEastAsia"/>
                <w:noProof/>
                <w:lang w:eastAsia="en-AU"/>
              </w:rPr>
              <w:tab/>
            </w:r>
            <w:r w:rsidRPr="00A348F7">
              <w:rPr>
                <w:rStyle w:val="Hyperlink"/>
                <w:noProof/>
              </w:rPr>
              <w:t>Domestic consultation</w:t>
            </w:r>
            <w:r>
              <w:rPr>
                <w:noProof/>
                <w:webHidden/>
              </w:rPr>
              <w:tab/>
            </w:r>
            <w:r>
              <w:rPr>
                <w:noProof/>
                <w:webHidden/>
              </w:rPr>
              <w:fldChar w:fldCharType="begin"/>
            </w:r>
            <w:r>
              <w:rPr>
                <w:noProof/>
                <w:webHidden/>
              </w:rPr>
              <w:instrText xml:space="preserve"> PAGEREF _Toc74839337 \h </w:instrText>
            </w:r>
            <w:r>
              <w:rPr>
                <w:noProof/>
                <w:webHidden/>
              </w:rPr>
            </w:r>
            <w:r>
              <w:rPr>
                <w:noProof/>
                <w:webHidden/>
              </w:rPr>
              <w:fldChar w:fldCharType="separate"/>
            </w:r>
            <w:r>
              <w:rPr>
                <w:noProof/>
                <w:webHidden/>
              </w:rPr>
              <w:t>13</w:t>
            </w:r>
            <w:r>
              <w:rPr>
                <w:noProof/>
                <w:webHidden/>
              </w:rPr>
              <w:fldChar w:fldCharType="end"/>
            </w:r>
          </w:hyperlink>
        </w:p>
        <w:p w14:paraId="02B96866" w14:textId="77777777" w:rsidR="00A4774A" w:rsidRDefault="00A4774A">
          <w:pPr>
            <w:pStyle w:val="TOC2"/>
            <w:tabs>
              <w:tab w:val="left" w:pos="880"/>
              <w:tab w:val="right" w:leader="dot" w:pos="8721"/>
            </w:tabs>
            <w:rPr>
              <w:rFonts w:eastAsiaTheme="minorEastAsia"/>
              <w:noProof/>
              <w:lang w:eastAsia="en-AU"/>
            </w:rPr>
          </w:pPr>
          <w:hyperlink w:anchor="_Toc74839338" w:history="1">
            <w:r w:rsidRPr="00A348F7">
              <w:rPr>
                <w:rStyle w:val="Hyperlink"/>
                <w:noProof/>
              </w:rPr>
              <w:t>1.5</w:t>
            </w:r>
            <w:r>
              <w:rPr>
                <w:rFonts w:eastAsiaTheme="minorEastAsia"/>
                <w:noProof/>
                <w:lang w:eastAsia="en-AU"/>
              </w:rPr>
              <w:tab/>
            </w:r>
            <w:r w:rsidRPr="00A348F7">
              <w:rPr>
                <w:rStyle w:val="Hyperlink"/>
                <w:noProof/>
              </w:rPr>
              <w:t>Design approach</w:t>
            </w:r>
            <w:r>
              <w:rPr>
                <w:noProof/>
                <w:webHidden/>
              </w:rPr>
              <w:tab/>
            </w:r>
            <w:r>
              <w:rPr>
                <w:noProof/>
                <w:webHidden/>
              </w:rPr>
              <w:fldChar w:fldCharType="begin"/>
            </w:r>
            <w:r>
              <w:rPr>
                <w:noProof/>
                <w:webHidden/>
              </w:rPr>
              <w:instrText xml:space="preserve"> PAGEREF _Toc74839338 \h </w:instrText>
            </w:r>
            <w:r>
              <w:rPr>
                <w:noProof/>
                <w:webHidden/>
              </w:rPr>
            </w:r>
            <w:r>
              <w:rPr>
                <w:noProof/>
                <w:webHidden/>
              </w:rPr>
              <w:fldChar w:fldCharType="separate"/>
            </w:r>
            <w:r>
              <w:rPr>
                <w:noProof/>
                <w:webHidden/>
              </w:rPr>
              <w:t>15</w:t>
            </w:r>
            <w:r>
              <w:rPr>
                <w:noProof/>
                <w:webHidden/>
              </w:rPr>
              <w:fldChar w:fldCharType="end"/>
            </w:r>
          </w:hyperlink>
        </w:p>
        <w:p w14:paraId="1DE6D312" w14:textId="77777777" w:rsidR="00A4774A" w:rsidRDefault="00A4774A">
          <w:pPr>
            <w:pStyle w:val="TOC1"/>
            <w:rPr>
              <w:rFonts w:eastAsiaTheme="minorEastAsia"/>
              <w:noProof/>
              <w:lang w:eastAsia="en-AU"/>
            </w:rPr>
          </w:pPr>
          <w:hyperlink w:anchor="_Toc74839339" w:history="1">
            <w:r w:rsidRPr="00A348F7">
              <w:rPr>
                <w:rStyle w:val="Hyperlink"/>
                <w:noProof/>
              </w:rPr>
              <w:t>2. Scheme design, coverage and administration</w:t>
            </w:r>
            <w:r>
              <w:rPr>
                <w:noProof/>
                <w:webHidden/>
              </w:rPr>
              <w:tab/>
            </w:r>
            <w:r>
              <w:rPr>
                <w:noProof/>
                <w:webHidden/>
              </w:rPr>
              <w:fldChar w:fldCharType="begin"/>
            </w:r>
            <w:r>
              <w:rPr>
                <w:noProof/>
                <w:webHidden/>
              </w:rPr>
              <w:instrText xml:space="preserve"> PAGEREF _Toc74839339 \h </w:instrText>
            </w:r>
            <w:r>
              <w:rPr>
                <w:noProof/>
                <w:webHidden/>
              </w:rPr>
            </w:r>
            <w:r>
              <w:rPr>
                <w:noProof/>
                <w:webHidden/>
              </w:rPr>
              <w:fldChar w:fldCharType="separate"/>
            </w:r>
            <w:r>
              <w:rPr>
                <w:noProof/>
                <w:webHidden/>
              </w:rPr>
              <w:t>16</w:t>
            </w:r>
            <w:r>
              <w:rPr>
                <w:noProof/>
                <w:webHidden/>
              </w:rPr>
              <w:fldChar w:fldCharType="end"/>
            </w:r>
          </w:hyperlink>
        </w:p>
        <w:p w14:paraId="3B3C0DFE" w14:textId="77777777" w:rsidR="00A4774A" w:rsidRDefault="00A4774A">
          <w:pPr>
            <w:pStyle w:val="TOC2"/>
            <w:tabs>
              <w:tab w:val="right" w:leader="dot" w:pos="8721"/>
            </w:tabs>
            <w:rPr>
              <w:rFonts w:eastAsiaTheme="minorEastAsia"/>
              <w:noProof/>
              <w:lang w:eastAsia="en-AU"/>
            </w:rPr>
          </w:pPr>
          <w:hyperlink w:anchor="_Toc74839340" w:history="1">
            <w:r w:rsidRPr="00A348F7">
              <w:rPr>
                <w:rStyle w:val="Hyperlink"/>
                <w:noProof/>
              </w:rPr>
              <w:t>2.1 Coverage</w:t>
            </w:r>
            <w:r>
              <w:rPr>
                <w:noProof/>
                <w:webHidden/>
              </w:rPr>
              <w:tab/>
            </w:r>
            <w:r>
              <w:rPr>
                <w:noProof/>
                <w:webHidden/>
              </w:rPr>
              <w:fldChar w:fldCharType="begin"/>
            </w:r>
            <w:r>
              <w:rPr>
                <w:noProof/>
                <w:webHidden/>
              </w:rPr>
              <w:instrText xml:space="preserve"> PAGEREF _Toc74839340 \h </w:instrText>
            </w:r>
            <w:r>
              <w:rPr>
                <w:noProof/>
                <w:webHidden/>
              </w:rPr>
            </w:r>
            <w:r>
              <w:rPr>
                <w:noProof/>
                <w:webHidden/>
              </w:rPr>
              <w:fldChar w:fldCharType="separate"/>
            </w:r>
            <w:r>
              <w:rPr>
                <w:noProof/>
                <w:webHidden/>
              </w:rPr>
              <w:t>16</w:t>
            </w:r>
            <w:r>
              <w:rPr>
                <w:noProof/>
                <w:webHidden/>
              </w:rPr>
              <w:fldChar w:fldCharType="end"/>
            </w:r>
          </w:hyperlink>
        </w:p>
        <w:p w14:paraId="09F19973" w14:textId="77777777" w:rsidR="00A4774A" w:rsidRDefault="00A4774A">
          <w:pPr>
            <w:pStyle w:val="TOC2"/>
            <w:tabs>
              <w:tab w:val="right" w:leader="dot" w:pos="8721"/>
            </w:tabs>
            <w:rPr>
              <w:rFonts w:eastAsiaTheme="minorEastAsia"/>
              <w:noProof/>
              <w:lang w:eastAsia="en-AU"/>
            </w:rPr>
          </w:pPr>
          <w:hyperlink w:anchor="_Toc74839341" w:history="1">
            <w:r w:rsidRPr="00A348F7">
              <w:rPr>
                <w:rStyle w:val="Hyperlink"/>
                <w:noProof/>
              </w:rPr>
              <w:t>2.2 Carbon accounting frameworks</w:t>
            </w:r>
            <w:r>
              <w:rPr>
                <w:noProof/>
                <w:webHidden/>
              </w:rPr>
              <w:tab/>
            </w:r>
            <w:r>
              <w:rPr>
                <w:noProof/>
                <w:webHidden/>
              </w:rPr>
              <w:fldChar w:fldCharType="begin"/>
            </w:r>
            <w:r>
              <w:rPr>
                <w:noProof/>
                <w:webHidden/>
              </w:rPr>
              <w:instrText xml:space="preserve"> PAGEREF _Toc74839341 \h </w:instrText>
            </w:r>
            <w:r>
              <w:rPr>
                <w:noProof/>
                <w:webHidden/>
              </w:rPr>
            </w:r>
            <w:r>
              <w:rPr>
                <w:noProof/>
                <w:webHidden/>
              </w:rPr>
              <w:fldChar w:fldCharType="separate"/>
            </w:r>
            <w:r>
              <w:rPr>
                <w:noProof/>
                <w:webHidden/>
              </w:rPr>
              <w:t>19</w:t>
            </w:r>
            <w:r>
              <w:rPr>
                <w:noProof/>
                <w:webHidden/>
              </w:rPr>
              <w:fldChar w:fldCharType="end"/>
            </w:r>
          </w:hyperlink>
        </w:p>
        <w:p w14:paraId="149891E5" w14:textId="77777777" w:rsidR="00A4774A" w:rsidRDefault="00A4774A">
          <w:pPr>
            <w:pStyle w:val="TOC2"/>
            <w:tabs>
              <w:tab w:val="right" w:leader="dot" w:pos="8721"/>
            </w:tabs>
            <w:rPr>
              <w:rFonts w:eastAsiaTheme="minorEastAsia"/>
              <w:noProof/>
              <w:lang w:eastAsia="en-AU"/>
            </w:rPr>
          </w:pPr>
          <w:hyperlink w:anchor="_Toc74839342" w:history="1">
            <w:r w:rsidRPr="00A348F7">
              <w:rPr>
                <w:rStyle w:val="Hyperlink"/>
                <w:noProof/>
              </w:rPr>
              <w:t>2.3 Treatment of offsets</w:t>
            </w:r>
            <w:r>
              <w:rPr>
                <w:noProof/>
                <w:webHidden/>
              </w:rPr>
              <w:tab/>
            </w:r>
            <w:r>
              <w:rPr>
                <w:noProof/>
                <w:webHidden/>
              </w:rPr>
              <w:fldChar w:fldCharType="begin"/>
            </w:r>
            <w:r>
              <w:rPr>
                <w:noProof/>
                <w:webHidden/>
              </w:rPr>
              <w:instrText xml:space="preserve"> PAGEREF _Toc74839342 \h </w:instrText>
            </w:r>
            <w:r>
              <w:rPr>
                <w:noProof/>
                <w:webHidden/>
              </w:rPr>
            </w:r>
            <w:r>
              <w:rPr>
                <w:noProof/>
                <w:webHidden/>
              </w:rPr>
              <w:fldChar w:fldCharType="separate"/>
            </w:r>
            <w:r>
              <w:rPr>
                <w:noProof/>
                <w:webHidden/>
              </w:rPr>
              <w:t>21</w:t>
            </w:r>
            <w:r>
              <w:rPr>
                <w:noProof/>
                <w:webHidden/>
              </w:rPr>
              <w:fldChar w:fldCharType="end"/>
            </w:r>
          </w:hyperlink>
        </w:p>
        <w:p w14:paraId="3C21ABC0" w14:textId="77777777" w:rsidR="00A4774A" w:rsidRDefault="00A4774A">
          <w:pPr>
            <w:pStyle w:val="TOC2"/>
            <w:tabs>
              <w:tab w:val="right" w:leader="dot" w:pos="8721"/>
            </w:tabs>
            <w:rPr>
              <w:rFonts w:eastAsiaTheme="minorEastAsia"/>
              <w:noProof/>
              <w:lang w:eastAsia="en-AU"/>
            </w:rPr>
          </w:pPr>
          <w:hyperlink w:anchor="_Toc74839343" w:history="1">
            <w:r w:rsidRPr="00A348F7">
              <w:rPr>
                <w:rStyle w:val="Hyperlink"/>
                <w:noProof/>
              </w:rPr>
              <w:t>2.4 Scheme governance and administration</w:t>
            </w:r>
            <w:r>
              <w:rPr>
                <w:noProof/>
                <w:webHidden/>
              </w:rPr>
              <w:tab/>
            </w:r>
            <w:r>
              <w:rPr>
                <w:noProof/>
                <w:webHidden/>
              </w:rPr>
              <w:fldChar w:fldCharType="begin"/>
            </w:r>
            <w:r>
              <w:rPr>
                <w:noProof/>
                <w:webHidden/>
              </w:rPr>
              <w:instrText xml:space="preserve"> PAGEREF _Toc74839343 \h </w:instrText>
            </w:r>
            <w:r>
              <w:rPr>
                <w:noProof/>
                <w:webHidden/>
              </w:rPr>
            </w:r>
            <w:r>
              <w:rPr>
                <w:noProof/>
                <w:webHidden/>
              </w:rPr>
              <w:fldChar w:fldCharType="separate"/>
            </w:r>
            <w:r>
              <w:rPr>
                <w:noProof/>
                <w:webHidden/>
              </w:rPr>
              <w:t>22</w:t>
            </w:r>
            <w:r>
              <w:rPr>
                <w:noProof/>
                <w:webHidden/>
              </w:rPr>
              <w:fldChar w:fldCharType="end"/>
            </w:r>
          </w:hyperlink>
        </w:p>
        <w:p w14:paraId="72C6A902" w14:textId="77777777" w:rsidR="00A4774A" w:rsidRDefault="00A4774A">
          <w:pPr>
            <w:pStyle w:val="TOC2"/>
            <w:tabs>
              <w:tab w:val="right" w:leader="dot" w:pos="8721"/>
            </w:tabs>
            <w:rPr>
              <w:rFonts w:eastAsiaTheme="minorEastAsia"/>
              <w:noProof/>
              <w:lang w:eastAsia="en-AU"/>
            </w:rPr>
          </w:pPr>
          <w:hyperlink w:anchor="_Toc74839344" w:history="1">
            <w:r w:rsidRPr="00A348F7">
              <w:rPr>
                <w:rStyle w:val="Hyperlink"/>
                <w:noProof/>
              </w:rPr>
              <w:t>2.5 Regulatory framework</w:t>
            </w:r>
            <w:r>
              <w:rPr>
                <w:noProof/>
                <w:webHidden/>
              </w:rPr>
              <w:tab/>
            </w:r>
            <w:r>
              <w:rPr>
                <w:noProof/>
                <w:webHidden/>
              </w:rPr>
              <w:fldChar w:fldCharType="begin"/>
            </w:r>
            <w:r>
              <w:rPr>
                <w:noProof/>
                <w:webHidden/>
              </w:rPr>
              <w:instrText xml:space="preserve"> PAGEREF _Toc74839344 \h </w:instrText>
            </w:r>
            <w:r>
              <w:rPr>
                <w:noProof/>
                <w:webHidden/>
              </w:rPr>
            </w:r>
            <w:r>
              <w:rPr>
                <w:noProof/>
                <w:webHidden/>
              </w:rPr>
              <w:fldChar w:fldCharType="separate"/>
            </w:r>
            <w:r>
              <w:rPr>
                <w:noProof/>
                <w:webHidden/>
              </w:rPr>
              <w:t>22</w:t>
            </w:r>
            <w:r>
              <w:rPr>
                <w:noProof/>
                <w:webHidden/>
              </w:rPr>
              <w:fldChar w:fldCharType="end"/>
            </w:r>
          </w:hyperlink>
        </w:p>
        <w:p w14:paraId="4A4E9DC6" w14:textId="77777777" w:rsidR="00A4774A" w:rsidRDefault="00A4774A">
          <w:pPr>
            <w:pStyle w:val="TOC2"/>
            <w:tabs>
              <w:tab w:val="right" w:leader="dot" w:pos="8721"/>
            </w:tabs>
            <w:rPr>
              <w:rFonts w:eastAsiaTheme="minorEastAsia"/>
              <w:noProof/>
              <w:lang w:eastAsia="en-AU"/>
            </w:rPr>
          </w:pPr>
          <w:hyperlink w:anchor="_Toc74839345" w:history="1">
            <w:r w:rsidRPr="00A348F7">
              <w:rPr>
                <w:rStyle w:val="Hyperlink"/>
                <w:noProof/>
              </w:rPr>
              <w:t>2.6 Reporting</w:t>
            </w:r>
            <w:r>
              <w:rPr>
                <w:noProof/>
                <w:webHidden/>
              </w:rPr>
              <w:tab/>
            </w:r>
            <w:r>
              <w:rPr>
                <w:noProof/>
                <w:webHidden/>
              </w:rPr>
              <w:fldChar w:fldCharType="begin"/>
            </w:r>
            <w:r>
              <w:rPr>
                <w:noProof/>
                <w:webHidden/>
              </w:rPr>
              <w:instrText xml:space="preserve"> PAGEREF _Toc74839345 \h </w:instrText>
            </w:r>
            <w:r>
              <w:rPr>
                <w:noProof/>
                <w:webHidden/>
              </w:rPr>
            </w:r>
            <w:r>
              <w:rPr>
                <w:noProof/>
                <w:webHidden/>
              </w:rPr>
              <w:fldChar w:fldCharType="separate"/>
            </w:r>
            <w:r>
              <w:rPr>
                <w:noProof/>
                <w:webHidden/>
              </w:rPr>
              <w:t>24</w:t>
            </w:r>
            <w:r>
              <w:rPr>
                <w:noProof/>
                <w:webHidden/>
              </w:rPr>
              <w:fldChar w:fldCharType="end"/>
            </w:r>
          </w:hyperlink>
        </w:p>
        <w:p w14:paraId="45078C12" w14:textId="77777777" w:rsidR="00A4774A" w:rsidRDefault="00A4774A">
          <w:pPr>
            <w:pStyle w:val="TOC1"/>
            <w:tabs>
              <w:tab w:val="left" w:pos="440"/>
            </w:tabs>
            <w:rPr>
              <w:rFonts w:eastAsiaTheme="minorEastAsia"/>
              <w:noProof/>
              <w:lang w:eastAsia="en-AU"/>
            </w:rPr>
          </w:pPr>
          <w:hyperlink w:anchor="_Toc74839346" w:history="1">
            <w:r w:rsidRPr="00A348F7">
              <w:rPr>
                <w:rStyle w:val="Hyperlink"/>
                <w:noProof/>
              </w:rPr>
              <w:t>3.</w:t>
            </w:r>
            <w:r>
              <w:rPr>
                <w:rFonts w:eastAsiaTheme="minorEastAsia"/>
                <w:noProof/>
                <w:lang w:eastAsia="en-AU"/>
              </w:rPr>
              <w:tab/>
            </w:r>
            <w:r w:rsidRPr="00A348F7">
              <w:rPr>
                <w:rStyle w:val="Hyperlink"/>
                <w:noProof/>
              </w:rPr>
              <w:t>Carbon accounting methodology</w:t>
            </w:r>
            <w:r>
              <w:rPr>
                <w:noProof/>
                <w:webHidden/>
              </w:rPr>
              <w:tab/>
            </w:r>
            <w:r>
              <w:rPr>
                <w:noProof/>
                <w:webHidden/>
              </w:rPr>
              <w:fldChar w:fldCharType="begin"/>
            </w:r>
            <w:r>
              <w:rPr>
                <w:noProof/>
                <w:webHidden/>
              </w:rPr>
              <w:instrText xml:space="preserve"> PAGEREF _Toc74839346 \h </w:instrText>
            </w:r>
            <w:r>
              <w:rPr>
                <w:noProof/>
                <w:webHidden/>
              </w:rPr>
            </w:r>
            <w:r>
              <w:rPr>
                <w:noProof/>
                <w:webHidden/>
              </w:rPr>
              <w:fldChar w:fldCharType="separate"/>
            </w:r>
            <w:r>
              <w:rPr>
                <w:noProof/>
                <w:webHidden/>
              </w:rPr>
              <w:t>25</w:t>
            </w:r>
            <w:r>
              <w:rPr>
                <w:noProof/>
                <w:webHidden/>
              </w:rPr>
              <w:fldChar w:fldCharType="end"/>
            </w:r>
          </w:hyperlink>
        </w:p>
        <w:p w14:paraId="4D9571E5" w14:textId="77777777" w:rsidR="00A4774A" w:rsidRDefault="00A4774A">
          <w:pPr>
            <w:pStyle w:val="TOC2"/>
            <w:tabs>
              <w:tab w:val="left" w:pos="880"/>
              <w:tab w:val="right" w:leader="dot" w:pos="8721"/>
            </w:tabs>
            <w:rPr>
              <w:rFonts w:eastAsiaTheme="minorEastAsia"/>
              <w:noProof/>
              <w:lang w:eastAsia="en-AU"/>
            </w:rPr>
          </w:pPr>
          <w:hyperlink w:anchor="_Toc74839347" w:history="1">
            <w:r w:rsidRPr="00A348F7">
              <w:rPr>
                <w:rStyle w:val="Hyperlink"/>
                <w:noProof/>
              </w:rPr>
              <w:t>3.1</w:t>
            </w:r>
            <w:r>
              <w:rPr>
                <w:rFonts w:eastAsiaTheme="minorEastAsia"/>
                <w:noProof/>
                <w:lang w:eastAsia="en-AU"/>
              </w:rPr>
              <w:tab/>
            </w:r>
            <w:r w:rsidRPr="00A348F7">
              <w:rPr>
                <w:rStyle w:val="Hyperlink"/>
                <w:noProof/>
              </w:rPr>
              <w:t xml:space="preserve"> Emissions sources</w:t>
            </w:r>
            <w:r>
              <w:rPr>
                <w:noProof/>
                <w:webHidden/>
              </w:rPr>
              <w:tab/>
            </w:r>
            <w:r>
              <w:rPr>
                <w:noProof/>
                <w:webHidden/>
              </w:rPr>
              <w:fldChar w:fldCharType="begin"/>
            </w:r>
            <w:r>
              <w:rPr>
                <w:noProof/>
                <w:webHidden/>
              </w:rPr>
              <w:instrText xml:space="preserve"> PAGEREF _Toc74839347 \h </w:instrText>
            </w:r>
            <w:r>
              <w:rPr>
                <w:noProof/>
                <w:webHidden/>
              </w:rPr>
            </w:r>
            <w:r>
              <w:rPr>
                <w:noProof/>
                <w:webHidden/>
              </w:rPr>
              <w:fldChar w:fldCharType="separate"/>
            </w:r>
            <w:r>
              <w:rPr>
                <w:noProof/>
                <w:webHidden/>
              </w:rPr>
              <w:t>26</w:t>
            </w:r>
            <w:r>
              <w:rPr>
                <w:noProof/>
                <w:webHidden/>
              </w:rPr>
              <w:fldChar w:fldCharType="end"/>
            </w:r>
          </w:hyperlink>
        </w:p>
        <w:p w14:paraId="793F327C" w14:textId="77777777" w:rsidR="00A4774A" w:rsidRDefault="00A4774A">
          <w:pPr>
            <w:pStyle w:val="TOC2"/>
            <w:tabs>
              <w:tab w:val="right" w:leader="dot" w:pos="8721"/>
            </w:tabs>
            <w:rPr>
              <w:rFonts w:eastAsiaTheme="minorEastAsia"/>
              <w:noProof/>
              <w:lang w:eastAsia="en-AU"/>
            </w:rPr>
          </w:pPr>
          <w:hyperlink w:anchor="_Toc74839348" w:history="1">
            <w:r w:rsidRPr="00A348F7">
              <w:rPr>
                <w:rStyle w:val="Hyperlink"/>
                <w:noProof/>
              </w:rPr>
              <w:t>3.2 Methodologies for estimating scope 1 emissions</w:t>
            </w:r>
            <w:r>
              <w:rPr>
                <w:noProof/>
                <w:webHidden/>
              </w:rPr>
              <w:tab/>
            </w:r>
            <w:r>
              <w:rPr>
                <w:noProof/>
                <w:webHidden/>
              </w:rPr>
              <w:fldChar w:fldCharType="begin"/>
            </w:r>
            <w:r>
              <w:rPr>
                <w:noProof/>
                <w:webHidden/>
              </w:rPr>
              <w:instrText xml:space="preserve"> PAGEREF _Toc74839348 \h </w:instrText>
            </w:r>
            <w:r>
              <w:rPr>
                <w:noProof/>
                <w:webHidden/>
              </w:rPr>
            </w:r>
            <w:r>
              <w:rPr>
                <w:noProof/>
                <w:webHidden/>
              </w:rPr>
              <w:fldChar w:fldCharType="separate"/>
            </w:r>
            <w:r>
              <w:rPr>
                <w:noProof/>
                <w:webHidden/>
              </w:rPr>
              <w:t>27</w:t>
            </w:r>
            <w:r>
              <w:rPr>
                <w:noProof/>
                <w:webHidden/>
              </w:rPr>
              <w:fldChar w:fldCharType="end"/>
            </w:r>
          </w:hyperlink>
        </w:p>
        <w:p w14:paraId="0880A627" w14:textId="77777777" w:rsidR="00A4774A" w:rsidRDefault="00A4774A">
          <w:pPr>
            <w:pStyle w:val="TOC2"/>
            <w:tabs>
              <w:tab w:val="right" w:leader="dot" w:pos="8721"/>
            </w:tabs>
            <w:rPr>
              <w:rFonts w:eastAsiaTheme="minorEastAsia"/>
              <w:noProof/>
              <w:lang w:eastAsia="en-AU"/>
            </w:rPr>
          </w:pPr>
          <w:hyperlink w:anchor="_Toc74839349" w:history="1">
            <w:r w:rsidRPr="00A348F7">
              <w:rPr>
                <w:rStyle w:val="Hyperlink"/>
                <w:noProof/>
              </w:rPr>
              <w:t>3.3 Measuring upstream emissions</w:t>
            </w:r>
            <w:r>
              <w:rPr>
                <w:noProof/>
                <w:webHidden/>
              </w:rPr>
              <w:tab/>
            </w:r>
            <w:r>
              <w:rPr>
                <w:noProof/>
                <w:webHidden/>
              </w:rPr>
              <w:fldChar w:fldCharType="begin"/>
            </w:r>
            <w:r>
              <w:rPr>
                <w:noProof/>
                <w:webHidden/>
              </w:rPr>
              <w:instrText xml:space="preserve"> PAGEREF _Toc74839349 \h </w:instrText>
            </w:r>
            <w:r>
              <w:rPr>
                <w:noProof/>
                <w:webHidden/>
              </w:rPr>
            </w:r>
            <w:r>
              <w:rPr>
                <w:noProof/>
                <w:webHidden/>
              </w:rPr>
              <w:fldChar w:fldCharType="separate"/>
            </w:r>
            <w:r>
              <w:rPr>
                <w:noProof/>
                <w:webHidden/>
              </w:rPr>
              <w:t>28</w:t>
            </w:r>
            <w:r>
              <w:rPr>
                <w:noProof/>
                <w:webHidden/>
              </w:rPr>
              <w:fldChar w:fldCharType="end"/>
            </w:r>
          </w:hyperlink>
        </w:p>
        <w:p w14:paraId="4A72D73F" w14:textId="77777777" w:rsidR="00A4774A" w:rsidRDefault="00A4774A">
          <w:pPr>
            <w:pStyle w:val="TOC2"/>
            <w:tabs>
              <w:tab w:val="right" w:leader="dot" w:pos="8721"/>
            </w:tabs>
            <w:rPr>
              <w:rFonts w:eastAsiaTheme="minorEastAsia"/>
              <w:noProof/>
              <w:lang w:eastAsia="en-AU"/>
            </w:rPr>
          </w:pPr>
          <w:hyperlink w:anchor="_Toc74839350" w:history="1">
            <w:r w:rsidRPr="00A348F7">
              <w:rPr>
                <w:rStyle w:val="Hyperlink"/>
                <w:noProof/>
              </w:rPr>
              <w:t>3.4 Scope 2 emissions</w:t>
            </w:r>
            <w:r>
              <w:rPr>
                <w:noProof/>
                <w:webHidden/>
              </w:rPr>
              <w:tab/>
            </w:r>
            <w:r>
              <w:rPr>
                <w:noProof/>
                <w:webHidden/>
              </w:rPr>
              <w:fldChar w:fldCharType="begin"/>
            </w:r>
            <w:r>
              <w:rPr>
                <w:noProof/>
                <w:webHidden/>
              </w:rPr>
              <w:instrText xml:space="preserve"> PAGEREF _Toc74839350 \h </w:instrText>
            </w:r>
            <w:r>
              <w:rPr>
                <w:noProof/>
                <w:webHidden/>
              </w:rPr>
            </w:r>
            <w:r>
              <w:rPr>
                <w:noProof/>
                <w:webHidden/>
              </w:rPr>
              <w:fldChar w:fldCharType="separate"/>
            </w:r>
            <w:r>
              <w:rPr>
                <w:noProof/>
                <w:webHidden/>
              </w:rPr>
              <w:t>28</w:t>
            </w:r>
            <w:r>
              <w:rPr>
                <w:noProof/>
                <w:webHidden/>
              </w:rPr>
              <w:fldChar w:fldCharType="end"/>
            </w:r>
          </w:hyperlink>
        </w:p>
        <w:p w14:paraId="32B864C1" w14:textId="77777777" w:rsidR="00A4774A" w:rsidRDefault="00A4774A">
          <w:pPr>
            <w:pStyle w:val="TOC2"/>
            <w:tabs>
              <w:tab w:val="right" w:leader="dot" w:pos="8721"/>
            </w:tabs>
            <w:rPr>
              <w:rFonts w:eastAsiaTheme="minorEastAsia"/>
              <w:noProof/>
              <w:lang w:eastAsia="en-AU"/>
            </w:rPr>
          </w:pPr>
          <w:hyperlink w:anchor="_Toc74839351" w:history="1">
            <w:r w:rsidRPr="00A348F7">
              <w:rPr>
                <w:rStyle w:val="Hyperlink"/>
                <w:noProof/>
              </w:rPr>
              <w:t>3.5 Verifying and tracking renewable electricity inputs</w:t>
            </w:r>
            <w:r>
              <w:rPr>
                <w:noProof/>
                <w:webHidden/>
              </w:rPr>
              <w:tab/>
            </w:r>
            <w:r>
              <w:rPr>
                <w:noProof/>
                <w:webHidden/>
              </w:rPr>
              <w:fldChar w:fldCharType="begin"/>
            </w:r>
            <w:r>
              <w:rPr>
                <w:noProof/>
                <w:webHidden/>
              </w:rPr>
              <w:instrText xml:space="preserve"> PAGEREF _Toc74839351 \h </w:instrText>
            </w:r>
            <w:r>
              <w:rPr>
                <w:noProof/>
                <w:webHidden/>
              </w:rPr>
            </w:r>
            <w:r>
              <w:rPr>
                <w:noProof/>
                <w:webHidden/>
              </w:rPr>
              <w:fldChar w:fldCharType="separate"/>
            </w:r>
            <w:r>
              <w:rPr>
                <w:noProof/>
                <w:webHidden/>
              </w:rPr>
              <w:t>30</w:t>
            </w:r>
            <w:r>
              <w:rPr>
                <w:noProof/>
                <w:webHidden/>
              </w:rPr>
              <w:fldChar w:fldCharType="end"/>
            </w:r>
          </w:hyperlink>
        </w:p>
        <w:p w14:paraId="66FE03EC" w14:textId="77777777" w:rsidR="00A4774A" w:rsidRDefault="00A4774A">
          <w:pPr>
            <w:pStyle w:val="TOC2"/>
            <w:tabs>
              <w:tab w:val="right" w:leader="dot" w:pos="8721"/>
            </w:tabs>
            <w:rPr>
              <w:rFonts w:eastAsiaTheme="minorEastAsia"/>
              <w:noProof/>
              <w:lang w:eastAsia="en-AU"/>
            </w:rPr>
          </w:pPr>
          <w:hyperlink w:anchor="_Toc74839352" w:history="1">
            <w:r w:rsidRPr="00A348F7">
              <w:rPr>
                <w:rStyle w:val="Hyperlink"/>
                <w:noProof/>
              </w:rPr>
              <w:t>3.6 Allocating emissions to co-products</w:t>
            </w:r>
            <w:r>
              <w:rPr>
                <w:noProof/>
                <w:webHidden/>
              </w:rPr>
              <w:tab/>
            </w:r>
            <w:r>
              <w:rPr>
                <w:noProof/>
                <w:webHidden/>
              </w:rPr>
              <w:fldChar w:fldCharType="begin"/>
            </w:r>
            <w:r>
              <w:rPr>
                <w:noProof/>
                <w:webHidden/>
              </w:rPr>
              <w:instrText xml:space="preserve"> PAGEREF _Toc74839352 \h </w:instrText>
            </w:r>
            <w:r>
              <w:rPr>
                <w:noProof/>
                <w:webHidden/>
              </w:rPr>
            </w:r>
            <w:r>
              <w:rPr>
                <w:noProof/>
                <w:webHidden/>
              </w:rPr>
              <w:fldChar w:fldCharType="separate"/>
            </w:r>
            <w:r>
              <w:rPr>
                <w:noProof/>
                <w:webHidden/>
              </w:rPr>
              <w:t>35</w:t>
            </w:r>
            <w:r>
              <w:rPr>
                <w:noProof/>
                <w:webHidden/>
              </w:rPr>
              <w:fldChar w:fldCharType="end"/>
            </w:r>
          </w:hyperlink>
        </w:p>
        <w:p w14:paraId="39E95D56" w14:textId="77777777" w:rsidR="00A4774A" w:rsidRDefault="00A4774A">
          <w:pPr>
            <w:pStyle w:val="TOC2"/>
            <w:tabs>
              <w:tab w:val="right" w:leader="dot" w:pos="8721"/>
            </w:tabs>
            <w:rPr>
              <w:rFonts w:eastAsiaTheme="minorEastAsia"/>
              <w:noProof/>
              <w:lang w:eastAsia="en-AU"/>
            </w:rPr>
          </w:pPr>
          <w:hyperlink w:anchor="_Toc74839353" w:history="1">
            <w:r w:rsidRPr="00A348F7">
              <w:rPr>
                <w:rStyle w:val="Hyperlink"/>
                <w:noProof/>
              </w:rPr>
              <w:t>3.7 Carbon Capture, Utilisation and Storage</w:t>
            </w:r>
            <w:r>
              <w:rPr>
                <w:noProof/>
                <w:webHidden/>
              </w:rPr>
              <w:tab/>
            </w:r>
            <w:r>
              <w:rPr>
                <w:noProof/>
                <w:webHidden/>
              </w:rPr>
              <w:fldChar w:fldCharType="begin"/>
            </w:r>
            <w:r>
              <w:rPr>
                <w:noProof/>
                <w:webHidden/>
              </w:rPr>
              <w:instrText xml:space="preserve"> PAGEREF _Toc74839353 \h </w:instrText>
            </w:r>
            <w:r>
              <w:rPr>
                <w:noProof/>
                <w:webHidden/>
              </w:rPr>
            </w:r>
            <w:r>
              <w:rPr>
                <w:noProof/>
                <w:webHidden/>
              </w:rPr>
              <w:fldChar w:fldCharType="separate"/>
            </w:r>
            <w:r>
              <w:rPr>
                <w:noProof/>
                <w:webHidden/>
              </w:rPr>
              <w:t>42</w:t>
            </w:r>
            <w:r>
              <w:rPr>
                <w:noProof/>
                <w:webHidden/>
              </w:rPr>
              <w:fldChar w:fldCharType="end"/>
            </w:r>
          </w:hyperlink>
        </w:p>
        <w:p w14:paraId="48AE7599" w14:textId="77777777" w:rsidR="00A4774A" w:rsidRDefault="00A4774A">
          <w:pPr>
            <w:pStyle w:val="TOC2"/>
            <w:tabs>
              <w:tab w:val="right" w:leader="dot" w:pos="8721"/>
            </w:tabs>
            <w:rPr>
              <w:rFonts w:eastAsiaTheme="minorEastAsia"/>
              <w:noProof/>
              <w:lang w:eastAsia="en-AU"/>
            </w:rPr>
          </w:pPr>
          <w:hyperlink w:anchor="_Toc74839354" w:history="1">
            <w:r w:rsidRPr="00A348F7">
              <w:rPr>
                <w:rStyle w:val="Hyperlink"/>
                <w:noProof/>
              </w:rPr>
              <w:t>3.8 Materiality threshold</w:t>
            </w:r>
            <w:r>
              <w:rPr>
                <w:noProof/>
                <w:webHidden/>
              </w:rPr>
              <w:tab/>
            </w:r>
            <w:r>
              <w:rPr>
                <w:noProof/>
                <w:webHidden/>
              </w:rPr>
              <w:fldChar w:fldCharType="begin"/>
            </w:r>
            <w:r>
              <w:rPr>
                <w:noProof/>
                <w:webHidden/>
              </w:rPr>
              <w:instrText xml:space="preserve"> PAGEREF _Toc74839354 \h </w:instrText>
            </w:r>
            <w:r>
              <w:rPr>
                <w:noProof/>
                <w:webHidden/>
              </w:rPr>
            </w:r>
            <w:r>
              <w:rPr>
                <w:noProof/>
                <w:webHidden/>
              </w:rPr>
              <w:fldChar w:fldCharType="separate"/>
            </w:r>
            <w:r>
              <w:rPr>
                <w:noProof/>
                <w:webHidden/>
              </w:rPr>
              <w:t>43</w:t>
            </w:r>
            <w:r>
              <w:rPr>
                <w:noProof/>
                <w:webHidden/>
              </w:rPr>
              <w:fldChar w:fldCharType="end"/>
            </w:r>
          </w:hyperlink>
        </w:p>
        <w:p w14:paraId="67E241C0" w14:textId="77777777" w:rsidR="00A4774A" w:rsidRDefault="00A4774A">
          <w:pPr>
            <w:pStyle w:val="TOC1"/>
            <w:rPr>
              <w:rFonts w:eastAsiaTheme="minorEastAsia"/>
              <w:noProof/>
              <w:lang w:eastAsia="en-AU"/>
            </w:rPr>
          </w:pPr>
          <w:hyperlink w:anchor="_Toc74839355" w:history="1">
            <w:r w:rsidRPr="00A348F7">
              <w:rPr>
                <w:rStyle w:val="Hyperlink"/>
                <w:noProof/>
              </w:rPr>
              <w:t>4. Next steps</w:t>
            </w:r>
            <w:r>
              <w:rPr>
                <w:noProof/>
                <w:webHidden/>
              </w:rPr>
              <w:tab/>
            </w:r>
            <w:r>
              <w:rPr>
                <w:noProof/>
                <w:webHidden/>
              </w:rPr>
              <w:fldChar w:fldCharType="begin"/>
            </w:r>
            <w:r>
              <w:rPr>
                <w:noProof/>
                <w:webHidden/>
              </w:rPr>
              <w:instrText xml:space="preserve"> PAGEREF _Toc74839355 \h </w:instrText>
            </w:r>
            <w:r>
              <w:rPr>
                <w:noProof/>
                <w:webHidden/>
              </w:rPr>
            </w:r>
            <w:r>
              <w:rPr>
                <w:noProof/>
                <w:webHidden/>
              </w:rPr>
              <w:fldChar w:fldCharType="separate"/>
            </w:r>
            <w:r>
              <w:rPr>
                <w:noProof/>
                <w:webHidden/>
              </w:rPr>
              <w:t>44</w:t>
            </w:r>
            <w:r>
              <w:rPr>
                <w:noProof/>
                <w:webHidden/>
              </w:rPr>
              <w:fldChar w:fldCharType="end"/>
            </w:r>
          </w:hyperlink>
        </w:p>
        <w:p w14:paraId="6E01546A" w14:textId="77777777" w:rsidR="00A4774A" w:rsidRDefault="00A4774A">
          <w:pPr>
            <w:pStyle w:val="TOC2"/>
            <w:tabs>
              <w:tab w:val="right" w:leader="dot" w:pos="8721"/>
            </w:tabs>
            <w:rPr>
              <w:rFonts w:eastAsiaTheme="minorEastAsia"/>
              <w:noProof/>
              <w:lang w:eastAsia="en-AU"/>
            </w:rPr>
          </w:pPr>
          <w:hyperlink w:anchor="_Toc74839356" w:history="1">
            <w:r w:rsidRPr="00A348F7">
              <w:rPr>
                <w:rStyle w:val="Hyperlink"/>
                <w:noProof/>
              </w:rPr>
              <w:t>4.1 Trial phase</w:t>
            </w:r>
            <w:r>
              <w:rPr>
                <w:noProof/>
                <w:webHidden/>
              </w:rPr>
              <w:tab/>
            </w:r>
            <w:r>
              <w:rPr>
                <w:noProof/>
                <w:webHidden/>
              </w:rPr>
              <w:fldChar w:fldCharType="begin"/>
            </w:r>
            <w:r>
              <w:rPr>
                <w:noProof/>
                <w:webHidden/>
              </w:rPr>
              <w:instrText xml:space="preserve"> PAGEREF _Toc74839356 \h </w:instrText>
            </w:r>
            <w:r>
              <w:rPr>
                <w:noProof/>
                <w:webHidden/>
              </w:rPr>
            </w:r>
            <w:r>
              <w:rPr>
                <w:noProof/>
                <w:webHidden/>
              </w:rPr>
              <w:fldChar w:fldCharType="separate"/>
            </w:r>
            <w:r>
              <w:rPr>
                <w:noProof/>
                <w:webHidden/>
              </w:rPr>
              <w:t>44</w:t>
            </w:r>
            <w:r>
              <w:rPr>
                <w:noProof/>
                <w:webHidden/>
              </w:rPr>
              <w:fldChar w:fldCharType="end"/>
            </w:r>
          </w:hyperlink>
        </w:p>
        <w:p w14:paraId="44105567" w14:textId="77777777" w:rsidR="00A4774A" w:rsidRDefault="00A4774A">
          <w:pPr>
            <w:pStyle w:val="TOC1"/>
            <w:rPr>
              <w:rFonts w:eastAsiaTheme="minorEastAsia"/>
              <w:noProof/>
              <w:lang w:eastAsia="en-AU"/>
            </w:rPr>
          </w:pPr>
          <w:hyperlink w:anchor="_Toc74839357" w:history="1">
            <w:r w:rsidRPr="00A348F7">
              <w:rPr>
                <w:rStyle w:val="Hyperlink"/>
                <w:noProof/>
              </w:rPr>
              <w:t>Attachment A: Description of hydrogen produced from electrolysis</w:t>
            </w:r>
            <w:r>
              <w:rPr>
                <w:noProof/>
                <w:webHidden/>
              </w:rPr>
              <w:tab/>
            </w:r>
            <w:r>
              <w:rPr>
                <w:noProof/>
                <w:webHidden/>
              </w:rPr>
              <w:fldChar w:fldCharType="begin"/>
            </w:r>
            <w:r>
              <w:rPr>
                <w:noProof/>
                <w:webHidden/>
              </w:rPr>
              <w:instrText xml:space="preserve"> PAGEREF _Toc74839357 \h </w:instrText>
            </w:r>
            <w:r>
              <w:rPr>
                <w:noProof/>
                <w:webHidden/>
              </w:rPr>
            </w:r>
            <w:r>
              <w:rPr>
                <w:noProof/>
                <w:webHidden/>
              </w:rPr>
              <w:fldChar w:fldCharType="separate"/>
            </w:r>
            <w:r>
              <w:rPr>
                <w:noProof/>
                <w:webHidden/>
              </w:rPr>
              <w:t>46</w:t>
            </w:r>
            <w:r>
              <w:rPr>
                <w:noProof/>
                <w:webHidden/>
              </w:rPr>
              <w:fldChar w:fldCharType="end"/>
            </w:r>
          </w:hyperlink>
        </w:p>
        <w:p w14:paraId="41A923AA" w14:textId="77777777" w:rsidR="00A4774A" w:rsidRDefault="00A4774A">
          <w:pPr>
            <w:pStyle w:val="TOC2"/>
            <w:tabs>
              <w:tab w:val="right" w:leader="dot" w:pos="8721"/>
            </w:tabs>
            <w:rPr>
              <w:rFonts w:eastAsiaTheme="minorEastAsia"/>
              <w:noProof/>
              <w:lang w:eastAsia="en-AU"/>
            </w:rPr>
          </w:pPr>
          <w:hyperlink w:anchor="_Toc74839358" w:history="1">
            <w:r w:rsidRPr="00A348F7">
              <w:rPr>
                <w:rStyle w:val="Hyperlink"/>
                <w:noProof/>
              </w:rPr>
              <w:t>Process description</w:t>
            </w:r>
            <w:r>
              <w:rPr>
                <w:noProof/>
                <w:webHidden/>
              </w:rPr>
              <w:tab/>
            </w:r>
            <w:r>
              <w:rPr>
                <w:noProof/>
                <w:webHidden/>
              </w:rPr>
              <w:fldChar w:fldCharType="begin"/>
            </w:r>
            <w:r>
              <w:rPr>
                <w:noProof/>
                <w:webHidden/>
              </w:rPr>
              <w:instrText xml:space="preserve"> PAGEREF _Toc74839358 \h </w:instrText>
            </w:r>
            <w:r>
              <w:rPr>
                <w:noProof/>
                <w:webHidden/>
              </w:rPr>
            </w:r>
            <w:r>
              <w:rPr>
                <w:noProof/>
                <w:webHidden/>
              </w:rPr>
              <w:fldChar w:fldCharType="separate"/>
            </w:r>
            <w:r>
              <w:rPr>
                <w:noProof/>
                <w:webHidden/>
              </w:rPr>
              <w:t>46</w:t>
            </w:r>
            <w:r>
              <w:rPr>
                <w:noProof/>
                <w:webHidden/>
              </w:rPr>
              <w:fldChar w:fldCharType="end"/>
            </w:r>
          </w:hyperlink>
        </w:p>
        <w:p w14:paraId="10CA0308" w14:textId="77777777" w:rsidR="00A4774A" w:rsidRDefault="00A4774A">
          <w:pPr>
            <w:pStyle w:val="TOC2"/>
            <w:tabs>
              <w:tab w:val="right" w:leader="dot" w:pos="8721"/>
            </w:tabs>
            <w:rPr>
              <w:rFonts w:eastAsiaTheme="minorEastAsia"/>
              <w:noProof/>
              <w:lang w:eastAsia="en-AU"/>
            </w:rPr>
          </w:pPr>
          <w:hyperlink w:anchor="_Toc74839359" w:history="1">
            <w:r w:rsidRPr="00A348F7">
              <w:rPr>
                <w:rStyle w:val="Hyperlink"/>
                <w:noProof/>
              </w:rPr>
              <w:t>Sources of emissions</w:t>
            </w:r>
            <w:r>
              <w:rPr>
                <w:noProof/>
                <w:webHidden/>
              </w:rPr>
              <w:tab/>
            </w:r>
            <w:r>
              <w:rPr>
                <w:noProof/>
                <w:webHidden/>
              </w:rPr>
              <w:fldChar w:fldCharType="begin"/>
            </w:r>
            <w:r>
              <w:rPr>
                <w:noProof/>
                <w:webHidden/>
              </w:rPr>
              <w:instrText xml:space="preserve"> PAGEREF _Toc74839359 \h </w:instrText>
            </w:r>
            <w:r>
              <w:rPr>
                <w:noProof/>
                <w:webHidden/>
              </w:rPr>
            </w:r>
            <w:r>
              <w:rPr>
                <w:noProof/>
                <w:webHidden/>
              </w:rPr>
              <w:fldChar w:fldCharType="separate"/>
            </w:r>
            <w:r>
              <w:rPr>
                <w:noProof/>
                <w:webHidden/>
              </w:rPr>
              <w:t>47</w:t>
            </w:r>
            <w:r>
              <w:rPr>
                <w:noProof/>
                <w:webHidden/>
              </w:rPr>
              <w:fldChar w:fldCharType="end"/>
            </w:r>
          </w:hyperlink>
        </w:p>
        <w:p w14:paraId="30E30E51" w14:textId="77777777" w:rsidR="00A4774A" w:rsidRDefault="00A4774A">
          <w:pPr>
            <w:pStyle w:val="TOC2"/>
            <w:tabs>
              <w:tab w:val="right" w:leader="dot" w:pos="8721"/>
            </w:tabs>
            <w:rPr>
              <w:rFonts w:eastAsiaTheme="minorEastAsia"/>
              <w:noProof/>
              <w:lang w:eastAsia="en-AU"/>
            </w:rPr>
          </w:pPr>
          <w:hyperlink w:anchor="_Toc74839360" w:history="1">
            <w:r w:rsidRPr="00A348F7">
              <w:rPr>
                <w:rStyle w:val="Hyperlink"/>
                <w:noProof/>
              </w:rPr>
              <w:t>Information to be reported</w:t>
            </w:r>
            <w:r>
              <w:rPr>
                <w:noProof/>
                <w:webHidden/>
              </w:rPr>
              <w:tab/>
            </w:r>
            <w:r>
              <w:rPr>
                <w:noProof/>
                <w:webHidden/>
              </w:rPr>
              <w:fldChar w:fldCharType="begin"/>
            </w:r>
            <w:r>
              <w:rPr>
                <w:noProof/>
                <w:webHidden/>
              </w:rPr>
              <w:instrText xml:space="preserve"> PAGEREF _Toc74839360 \h </w:instrText>
            </w:r>
            <w:r>
              <w:rPr>
                <w:noProof/>
                <w:webHidden/>
              </w:rPr>
            </w:r>
            <w:r>
              <w:rPr>
                <w:noProof/>
                <w:webHidden/>
              </w:rPr>
              <w:fldChar w:fldCharType="separate"/>
            </w:r>
            <w:r>
              <w:rPr>
                <w:noProof/>
                <w:webHidden/>
              </w:rPr>
              <w:t>48</w:t>
            </w:r>
            <w:r>
              <w:rPr>
                <w:noProof/>
                <w:webHidden/>
              </w:rPr>
              <w:fldChar w:fldCharType="end"/>
            </w:r>
          </w:hyperlink>
        </w:p>
        <w:p w14:paraId="11A90D0D" w14:textId="77777777" w:rsidR="00A4774A" w:rsidRDefault="00A4774A">
          <w:pPr>
            <w:pStyle w:val="TOC1"/>
            <w:rPr>
              <w:rFonts w:eastAsiaTheme="minorEastAsia"/>
              <w:noProof/>
              <w:lang w:eastAsia="en-AU"/>
            </w:rPr>
          </w:pPr>
          <w:hyperlink w:anchor="_Toc74839361" w:history="1">
            <w:r w:rsidRPr="00A348F7">
              <w:rPr>
                <w:rStyle w:val="Hyperlink"/>
                <w:noProof/>
              </w:rPr>
              <w:t>Attachment B: Coal Gasification with CCS</w:t>
            </w:r>
            <w:r>
              <w:rPr>
                <w:noProof/>
                <w:webHidden/>
              </w:rPr>
              <w:tab/>
            </w:r>
            <w:r>
              <w:rPr>
                <w:noProof/>
                <w:webHidden/>
              </w:rPr>
              <w:fldChar w:fldCharType="begin"/>
            </w:r>
            <w:r>
              <w:rPr>
                <w:noProof/>
                <w:webHidden/>
              </w:rPr>
              <w:instrText xml:space="preserve"> PAGEREF _Toc74839361 \h </w:instrText>
            </w:r>
            <w:r>
              <w:rPr>
                <w:noProof/>
                <w:webHidden/>
              </w:rPr>
            </w:r>
            <w:r>
              <w:rPr>
                <w:noProof/>
                <w:webHidden/>
              </w:rPr>
              <w:fldChar w:fldCharType="separate"/>
            </w:r>
            <w:r>
              <w:rPr>
                <w:noProof/>
                <w:webHidden/>
              </w:rPr>
              <w:t>50</w:t>
            </w:r>
            <w:r>
              <w:rPr>
                <w:noProof/>
                <w:webHidden/>
              </w:rPr>
              <w:fldChar w:fldCharType="end"/>
            </w:r>
          </w:hyperlink>
        </w:p>
        <w:p w14:paraId="1D66541D" w14:textId="77777777" w:rsidR="00A4774A" w:rsidRDefault="00A4774A">
          <w:pPr>
            <w:pStyle w:val="TOC2"/>
            <w:tabs>
              <w:tab w:val="right" w:leader="dot" w:pos="8721"/>
            </w:tabs>
            <w:rPr>
              <w:rFonts w:eastAsiaTheme="minorEastAsia"/>
              <w:noProof/>
              <w:lang w:eastAsia="en-AU"/>
            </w:rPr>
          </w:pPr>
          <w:hyperlink w:anchor="_Toc74839362" w:history="1">
            <w:r w:rsidRPr="00A348F7">
              <w:rPr>
                <w:rStyle w:val="Hyperlink"/>
                <w:noProof/>
              </w:rPr>
              <w:t>Process description</w:t>
            </w:r>
            <w:r>
              <w:rPr>
                <w:noProof/>
                <w:webHidden/>
              </w:rPr>
              <w:tab/>
            </w:r>
            <w:r>
              <w:rPr>
                <w:noProof/>
                <w:webHidden/>
              </w:rPr>
              <w:fldChar w:fldCharType="begin"/>
            </w:r>
            <w:r>
              <w:rPr>
                <w:noProof/>
                <w:webHidden/>
              </w:rPr>
              <w:instrText xml:space="preserve"> PAGEREF _Toc74839362 \h </w:instrText>
            </w:r>
            <w:r>
              <w:rPr>
                <w:noProof/>
                <w:webHidden/>
              </w:rPr>
            </w:r>
            <w:r>
              <w:rPr>
                <w:noProof/>
                <w:webHidden/>
              </w:rPr>
              <w:fldChar w:fldCharType="separate"/>
            </w:r>
            <w:r>
              <w:rPr>
                <w:noProof/>
                <w:webHidden/>
              </w:rPr>
              <w:t>50</w:t>
            </w:r>
            <w:r>
              <w:rPr>
                <w:noProof/>
                <w:webHidden/>
              </w:rPr>
              <w:fldChar w:fldCharType="end"/>
            </w:r>
          </w:hyperlink>
        </w:p>
        <w:p w14:paraId="79B58C56" w14:textId="77777777" w:rsidR="00A4774A" w:rsidRDefault="00A4774A">
          <w:pPr>
            <w:pStyle w:val="TOC2"/>
            <w:tabs>
              <w:tab w:val="right" w:leader="dot" w:pos="8721"/>
            </w:tabs>
            <w:rPr>
              <w:rFonts w:eastAsiaTheme="minorEastAsia"/>
              <w:noProof/>
              <w:lang w:eastAsia="en-AU"/>
            </w:rPr>
          </w:pPr>
          <w:hyperlink w:anchor="_Toc74839363" w:history="1">
            <w:r w:rsidRPr="00A348F7">
              <w:rPr>
                <w:rStyle w:val="Hyperlink"/>
                <w:noProof/>
              </w:rPr>
              <w:t>Sources of emissions</w:t>
            </w:r>
            <w:r>
              <w:rPr>
                <w:noProof/>
                <w:webHidden/>
              </w:rPr>
              <w:tab/>
            </w:r>
            <w:r>
              <w:rPr>
                <w:noProof/>
                <w:webHidden/>
              </w:rPr>
              <w:fldChar w:fldCharType="begin"/>
            </w:r>
            <w:r>
              <w:rPr>
                <w:noProof/>
                <w:webHidden/>
              </w:rPr>
              <w:instrText xml:space="preserve"> PAGEREF _Toc74839363 \h </w:instrText>
            </w:r>
            <w:r>
              <w:rPr>
                <w:noProof/>
                <w:webHidden/>
              </w:rPr>
            </w:r>
            <w:r>
              <w:rPr>
                <w:noProof/>
                <w:webHidden/>
              </w:rPr>
              <w:fldChar w:fldCharType="separate"/>
            </w:r>
            <w:r>
              <w:rPr>
                <w:noProof/>
                <w:webHidden/>
              </w:rPr>
              <w:t>53</w:t>
            </w:r>
            <w:r>
              <w:rPr>
                <w:noProof/>
                <w:webHidden/>
              </w:rPr>
              <w:fldChar w:fldCharType="end"/>
            </w:r>
          </w:hyperlink>
        </w:p>
        <w:p w14:paraId="44D5BB19" w14:textId="77777777" w:rsidR="00A4774A" w:rsidRDefault="00A4774A">
          <w:pPr>
            <w:pStyle w:val="TOC2"/>
            <w:tabs>
              <w:tab w:val="right" w:leader="dot" w:pos="8721"/>
            </w:tabs>
            <w:rPr>
              <w:rFonts w:eastAsiaTheme="minorEastAsia"/>
              <w:noProof/>
              <w:lang w:eastAsia="en-AU"/>
            </w:rPr>
          </w:pPr>
          <w:hyperlink w:anchor="_Toc74839364" w:history="1">
            <w:r w:rsidRPr="00A348F7">
              <w:rPr>
                <w:rStyle w:val="Hyperlink"/>
                <w:noProof/>
              </w:rPr>
              <w:t>Information to be reported</w:t>
            </w:r>
            <w:r>
              <w:rPr>
                <w:noProof/>
                <w:webHidden/>
              </w:rPr>
              <w:tab/>
            </w:r>
            <w:r>
              <w:rPr>
                <w:noProof/>
                <w:webHidden/>
              </w:rPr>
              <w:fldChar w:fldCharType="begin"/>
            </w:r>
            <w:r>
              <w:rPr>
                <w:noProof/>
                <w:webHidden/>
              </w:rPr>
              <w:instrText xml:space="preserve"> PAGEREF _Toc74839364 \h </w:instrText>
            </w:r>
            <w:r>
              <w:rPr>
                <w:noProof/>
                <w:webHidden/>
              </w:rPr>
            </w:r>
            <w:r>
              <w:rPr>
                <w:noProof/>
                <w:webHidden/>
              </w:rPr>
              <w:fldChar w:fldCharType="separate"/>
            </w:r>
            <w:r>
              <w:rPr>
                <w:noProof/>
                <w:webHidden/>
              </w:rPr>
              <w:t>56</w:t>
            </w:r>
            <w:r>
              <w:rPr>
                <w:noProof/>
                <w:webHidden/>
              </w:rPr>
              <w:fldChar w:fldCharType="end"/>
            </w:r>
          </w:hyperlink>
        </w:p>
        <w:p w14:paraId="567791A9" w14:textId="77777777" w:rsidR="00A4774A" w:rsidRDefault="00A4774A">
          <w:pPr>
            <w:pStyle w:val="TOC1"/>
            <w:rPr>
              <w:rFonts w:eastAsiaTheme="minorEastAsia"/>
              <w:noProof/>
              <w:lang w:eastAsia="en-AU"/>
            </w:rPr>
          </w:pPr>
          <w:hyperlink w:anchor="_Toc74839365" w:history="1">
            <w:r w:rsidRPr="00A348F7">
              <w:rPr>
                <w:rStyle w:val="Hyperlink"/>
                <w:noProof/>
              </w:rPr>
              <w:t>Attachment C: Natural gas steam methane reforming with CCS</w:t>
            </w:r>
            <w:r>
              <w:rPr>
                <w:noProof/>
                <w:webHidden/>
              </w:rPr>
              <w:tab/>
            </w:r>
            <w:r>
              <w:rPr>
                <w:noProof/>
                <w:webHidden/>
              </w:rPr>
              <w:fldChar w:fldCharType="begin"/>
            </w:r>
            <w:r>
              <w:rPr>
                <w:noProof/>
                <w:webHidden/>
              </w:rPr>
              <w:instrText xml:space="preserve"> PAGEREF _Toc74839365 \h </w:instrText>
            </w:r>
            <w:r>
              <w:rPr>
                <w:noProof/>
                <w:webHidden/>
              </w:rPr>
            </w:r>
            <w:r>
              <w:rPr>
                <w:noProof/>
                <w:webHidden/>
              </w:rPr>
              <w:fldChar w:fldCharType="separate"/>
            </w:r>
            <w:r>
              <w:rPr>
                <w:noProof/>
                <w:webHidden/>
              </w:rPr>
              <w:t>58</w:t>
            </w:r>
            <w:r>
              <w:rPr>
                <w:noProof/>
                <w:webHidden/>
              </w:rPr>
              <w:fldChar w:fldCharType="end"/>
            </w:r>
          </w:hyperlink>
        </w:p>
        <w:p w14:paraId="441BE998" w14:textId="77777777" w:rsidR="00A4774A" w:rsidRDefault="00A4774A">
          <w:pPr>
            <w:pStyle w:val="TOC2"/>
            <w:tabs>
              <w:tab w:val="right" w:leader="dot" w:pos="8721"/>
            </w:tabs>
            <w:rPr>
              <w:rFonts w:eastAsiaTheme="minorEastAsia"/>
              <w:noProof/>
              <w:lang w:eastAsia="en-AU"/>
            </w:rPr>
          </w:pPr>
          <w:hyperlink w:anchor="_Toc74839366" w:history="1">
            <w:r w:rsidRPr="00A348F7">
              <w:rPr>
                <w:rStyle w:val="Hyperlink"/>
                <w:noProof/>
              </w:rPr>
              <w:t>Process description</w:t>
            </w:r>
            <w:r>
              <w:rPr>
                <w:noProof/>
                <w:webHidden/>
              </w:rPr>
              <w:tab/>
            </w:r>
            <w:r>
              <w:rPr>
                <w:noProof/>
                <w:webHidden/>
              </w:rPr>
              <w:fldChar w:fldCharType="begin"/>
            </w:r>
            <w:r>
              <w:rPr>
                <w:noProof/>
                <w:webHidden/>
              </w:rPr>
              <w:instrText xml:space="preserve"> PAGEREF _Toc74839366 \h </w:instrText>
            </w:r>
            <w:r>
              <w:rPr>
                <w:noProof/>
                <w:webHidden/>
              </w:rPr>
            </w:r>
            <w:r>
              <w:rPr>
                <w:noProof/>
                <w:webHidden/>
              </w:rPr>
              <w:fldChar w:fldCharType="separate"/>
            </w:r>
            <w:r>
              <w:rPr>
                <w:noProof/>
                <w:webHidden/>
              </w:rPr>
              <w:t>58</w:t>
            </w:r>
            <w:r>
              <w:rPr>
                <w:noProof/>
                <w:webHidden/>
              </w:rPr>
              <w:fldChar w:fldCharType="end"/>
            </w:r>
          </w:hyperlink>
        </w:p>
        <w:p w14:paraId="7DDD46F4" w14:textId="77777777" w:rsidR="00A4774A" w:rsidRDefault="00A4774A">
          <w:pPr>
            <w:pStyle w:val="TOC2"/>
            <w:tabs>
              <w:tab w:val="right" w:leader="dot" w:pos="8721"/>
            </w:tabs>
            <w:rPr>
              <w:rFonts w:eastAsiaTheme="minorEastAsia"/>
              <w:noProof/>
              <w:lang w:eastAsia="en-AU"/>
            </w:rPr>
          </w:pPr>
          <w:hyperlink w:anchor="_Toc74839367" w:history="1">
            <w:r w:rsidRPr="00A348F7">
              <w:rPr>
                <w:rStyle w:val="Hyperlink"/>
                <w:noProof/>
              </w:rPr>
              <w:t>Sources of emissions</w:t>
            </w:r>
            <w:r>
              <w:rPr>
                <w:noProof/>
                <w:webHidden/>
              </w:rPr>
              <w:tab/>
            </w:r>
            <w:r>
              <w:rPr>
                <w:noProof/>
                <w:webHidden/>
              </w:rPr>
              <w:fldChar w:fldCharType="begin"/>
            </w:r>
            <w:r>
              <w:rPr>
                <w:noProof/>
                <w:webHidden/>
              </w:rPr>
              <w:instrText xml:space="preserve"> PAGEREF _Toc74839367 \h </w:instrText>
            </w:r>
            <w:r>
              <w:rPr>
                <w:noProof/>
                <w:webHidden/>
              </w:rPr>
            </w:r>
            <w:r>
              <w:rPr>
                <w:noProof/>
                <w:webHidden/>
              </w:rPr>
              <w:fldChar w:fldCharType="separate"/>
            </w:r>
            <w:r>
              <w:rPr>
                <w:noProof/>
                <w:webHidden/>
              </w:rPr>
              <w:t>61</w:t>
            </w:r>
            <w:r>
              <w:rPr>
                <w:noProof/>
                <w:webHidden/>
              </w:rPr>
              <w:fldChar w:fldCharType="end"/>
            </w:r>
          </w:hyperlink>
        </w:p>
        <w:p w14:paraId="2CF7FD92" w14:textId="77777777" w:rsidR="00A4774A" w:rsidRDefault="00A4774A">
          <w:pPr>
            <w:pStyle w:val="TOC2"/>
            <w:tabs>
              <w:tab w:val="right" w:leader="dot" w:pos="8721"/>
            </w:tabs>
            <w:rPr>
              <w:rFonts w:eastAsiaTheme="minorEastAsia"/>
              <w:noProof/>
              <w:lang w:eastAsia="en-AU"/>
            </w:rPr>
          </w:pPr>
          <w:hyperlink w:anchor="_Toc74839368" w:history="1">
            <w:r w:rsidRPr="00A348F7">
              <w:rPr>
                <w:rStyle w:val="Hyperlink"/>
                <w:noProof/>
              </w:rPr>
              <w:t>Information to be reported</w:t>
            </w:r>
            <w:r>
              <w:rPr>
                <w:noProof/>
                <w:webHidden/>
              </w:rPr>
              <w:tab/>
            </w:r>
            <w:r>
              <w:rPr>
                <w:noProof/>
                <w:webHidden/>
              </w:rPr>
              <w:fldChar w:fldCharType="begin"/>
            </w:r>
            <w:r>
              <w:rPr>
                <w:noProof/>
                <w:webHidden/>
              </w:rPr>
              <w:instrText xml:space="preserve"> PAGEREF _Toc74839368 \h </w:instrText>
            </w:r>
            <w:r>
              <w:rPr>
                <w:noProof/>
                <w:webHidden/>
              </w:rPr>
            </w:r>
            <w:r>
              <w:rPr>
                <w:noProof/>
                <w:webHidden/>
              </w:rPr>
              <w:fldChar w:fldCharType="separate"/>
            </w:r>
            <w:r>
              <w:rPr>
                <w:noProof/>
                <w:webHidden/>
              </w:rPr>
              <w:t>64</w:t>
            </w:r>
            <w:r>
              <w:rPr>
                <w:noProof/>
                <w:webHidden/>
              </w:rPr>
              <w:fldChar w:fldCharType="end"/>
            </w:r>
          </w:hyperlink>
        </w:p>
        <w:p w14:paraId="40C7987D" w14:textId="77777777" w:rsidR="00A4774A" w:rsidRDefault="00A4774A">
          <w:pPr>
            <w:pStyle w:val="TOC1"/>
            <w:rPr>
              <w:rFonts w:eastAsiaTheme="minorEastAsia"/>
              <w:noProof/>
              <w:lang w:eastAsia="en-AU"/>
            </w:rPr>
          </w:pPr>
          <w:hyperlink w:anchor="_Toc74839369" w:history="1">
            <w:r w:rsidRPr="00A348F7">
              <w:rPr>
                <w:rStyle w:val="Hyperlink"/>
                <w:noProof/>
              </w:rPr>
              <w:t>Attachment D: Grid electricity emissions</w:t>
            </w:r>
            <w:r>
              <w:rPr>
                <w:noProof/>
                <w:webHidden/>
              </w:rPr>
              <w:tab/>
            </w:r>
            <w:r>
              <w:rPr>
                <w:noProof/>
                <w:webHidden/>
              </w:rPr>
              <w:fldChar w:fldCharType="begin"/>
            </w:r>
            <w:r>
              <w:rPr>
                <w:noProof/>
                <w:webHidden/>
              </w:rPr>
              <w:instrText xml:space="preserve"> PAGEREF _Toc74839369 \h </w:instrText>
            </w:r>
            <w:r>
              <w:rPr>
                <w:noProof/>
                <w:webHidden/>
              </w:rPr>
            </w:r>
            <w:r>
              <w:rPr>
                <w:noProof/>
                <w:webHidden/>
              </w:rPr>
              <w:fldChar w:fldCharType="separate"/>
            </w:r>
            <w:r>
              <w:rPr>
                <w:noProof/>
                <w:webHidden/>
              </w:rPr>
              <w:t>66</w:t>
            </w:r>
            <w:r>
              <w:rPr>
                <w:noProof/>
                <w:webHidden/>
              </w:rPr>
              <w:fldChar w:fldCharType="end"/>
            </w:r>
          </w:hyperlink>
        </w:p>
        <w:p w14:paraId="4431D411" w14:textId="77777777" w:rsidR="00A4774A" w:rsidRDefault="00A4774A">
          <w:pPr>
            <w:pStyle w:val="TOC2"/>
            <w:tabs>
              <w:tab w:val="right" w:leader="dot" w:pos="8721"/>
            </w:tabs>
            <w:rPr>
              <w:rFonts w:eastAsiaTheme="minorEastAsia"/>
              <w:noProof/>
              <w:lang w:eastAsia="en-AU"/>
            </w:rPr>
          </w:pPr>
          <w:hyperlink w:anchor="_Toc74839370" w:history="1">
            <w:r w:rsidRPr="00A348F7">
              <w:rPr>
                <w:rStyle w:val="Hyperlink"/>
                <w:noProof/>
              </w:rPr>
              <w:t>Reporting</w:t>
            </w:r>
            <w:r>
              <w:rPr>
                <w:noProof/>
                <w:webHidden/>
              </w:rPr>
              <w:tab/>
            </w:r>
            <w:r>
              <w:rPr>
                <w:noProof/>
                <w:webHidden/>
              </w:rPr>
              <w:fldChar w:fldCharType="begin"/>
            </w:r>
            <w:r>
              <w:rPr>
                <w:noProof/>
                <w:webHidden/>
              </w:rPr>
              <w:instrText xml:space="preserve"> PAGEREF _Toc74839370 \h </w:instrText>
            </w:r>
            <w:r>
              <w:rPr>
                <w:noProof/>
                <w:webHidden/>
              </w:rPr>
            </w:r>
            <w:r>
              <w:rPr>
                <w:noProof/>
                <w:webHidden/>
              </w:rPr>
              <w:fldChar w:fldCharType="separate"/>
            </w:r>
            <w:r>
              <w:rPr>
                <w:noProof/>
                <w:webHidden/>
              </w:rPr>
              <w:t>66</w:t>
            </w:r>
            <w:r>
              <w:rPr>
                <w:noProof/>
                <w:webHidden/>
              </w:rPr>
              <w:fldChar w:fldCharType="end"/>
            </w:r>
          </w:hyperlink>
        </w:p>
        <w:p w14:paraId="46A17627" w14:textId="77777777" w:rsidR="00A4774A" w:rsidRDefault="00A4774A">
          <w:pPr>
            <w:pStyle w:val="TOC2"/>
            <w:tabs>
              <w:tab w:val="right" w:leader="dot" w:pos="8721"/>
            </w:tabs>
            <w:rPr>
              <w:rFonts w:eastAsiaTheme="minorEastAsia"/>
              <w:noProof/>
              <w:lang w:eastAsia="en-AU"/>
            </w:rPr>
          </w:pPr>
          <w:hyperlink w:anchor="_Toc74839371" w:history="1">
            <w:r w:rsidRPr="00A348F7">
              <w:rPr>
                <w:rStyle w:val="Hyperlink"/>
                <w:noProof/>
              </w:rPr>
              <w:t>Renewable Energy Certificates</w:t>
            </w:r>
            <w:r>
              <w:rPr>
                <w:noProof/>
                <w:webHidden/>
              </w:rPr>
              <w:tab/>
            </w:r>
            <w:r>
              <w:rPr>
                <w:noProof/>
                <w:webHidden/>
              </w:rPr>
              <w:fldChar w:fldCharType="begin"/>
            </w:r>
            <w:r>
              <w:rPr>
                <w:noProof/>
                <w:webHidden/>
              </w:rPr>
              <w:instrText xml:space="preserve"> PAGEREF _Toc74839371 \h </w:instrText>
            </w:r>
            <w:r>
              <w:rPr>
                <w:noProof/>
                <w:webHidden/>
              </w:rPr>
            </w:r>
            <w:r>
              <w:rPr>
                <w:noProof/>
                <w:webHidden/>
              </w:rPr>
              <w:fldChar w:fldCharType="separate"/>
            </w:r>
            <w:r>
              <w:rPr>
                <w:noProof/>
                <w:webHidden/>
              </w:rPr>
              <w:t>66</w:t>
            </w:r>
            <w:r>
              <w:rPr>
                <w:noProof/>
                <w:webHidden/>
              </w:rPr>
              <w:fldChar w:fldCharType="end"/>
            </w:r>
          </w:hyperlink>
        </w:p>
        <w:p w14:paraId="3B3E982D" w14:textId="77777777" w:rsidR="00A4774A" w:rsidRDefault="00A4774A">
          <w:pPr>
            <w:pStyle w:val="TOC2"/>
            <w:tabs>
              <w:tab w:val="right" w:leader="dot" w:pos="8721"/>
            </w:tabs>
            <w:rPr>
              <w:rFonts w:eastAsiaTheme="minorEastAsia"/>
              <w:noProof/>
              <w:lang w:eastAsia="en-AU"/>
            </w:rPr>
          </w:pPr>
          <w:hyperlink w:anchor="_Toc74839372" w:history="1">
            <w:r w:rsidRPr="00A348F7">
              <w:rPr>
                <w:rStyle w:val="Hyperlink"/>
                <w:noProof/>
              </w:rPr>
              <w:t>Renewable Energy Target (RET)</w:t>
            </w:r>
            <w:r>
              <w:rPr>
                <w:noProof/>
                <w:webHidden/>
              </w:rPr>
              <w:tab/>
            </w:r>
            <w:r>
              <w:rPr>
                <w:noProof/>
                <w:webHidden/>
              </w:rPr>
              <w:fldChar w:fldCharType="begin"/>
            </w:r>
            <w:r>
              <w:rPr>
                <w:noProof/>
                <w:webHidden/>
              </w:rPr>
              <w:instrText xml:space="preserve"> PAGEREF _Toc74839372 \h </w:instrText>
            </w:r>
            <w:r>
              <w:rPr>
                <w:noProof/>
                <w:webHidden/>
              </w:rPr>
            </w:r>
            <w:r>
              <w:rPr>
                <w:noProof/>
                <w:webHidden/>
              </w:rPr>
              <w:fldChar w:fldCharType="separate"/>
            </w:r>
            <w:r>
              <w:rPr>
                <w:noProof/>
                <w:webHidden/>
              </w:rPr>
              <w:t>67</w:t>
            </w:r>
            <w:r>
              <w:rPr>
                <w:noProof/>
                <w:webHidden/>
              </w:rPr>
              <w:fldChar w:fldCharType="end"/>
            </w:r>
          </w:hyperlink>
        </w:p>
        <w:p w14:paraId="6B60C04D" w14:textId="77777777" w:rsidR="00A4774A" w:rsidRDefault="00A4774A">
          <w:pPr>
            <w:pStyle w:val="TOC2"/>
            <w:tabs>
              <w:tab w:val="right" w:leader="dot" w:pos="8721"/>
            </w:tabs>
            <w:rPr>
              <w:rFonts w:eastAsiaTheme="minorEastAsia"/>
              <w:noProof/>
              <w:lang w:eastAsia="en-AU"/>
            </w:rPr>
          </w:pPr>
          <w:hyperlink w:anchor="_Toc74839373" w:history="1">
            <w:r w:rsidRPr="00A348F7">
              <w:rPr>
                <w:rStyle w:val="Hyperlink"/>
                <w:noProof/>
              </w:rPr>
              <w:t>GreenPower</w:t>
            </w:r>
            <w:r>
              <w:rPr>
                <w:noProof/>
                <w:webHidden/>
              </w:rPr>
              <w:tab/>
            </w:r>
            <w:r>
              <w:rPr>
                <w:noProof/>
                <w:webHidden/>
              </w:rPr>
              <w:fldChar w:fldCharType="begin"/>
            </w:r>
            <w:r>
              <w:rPr>
                <w:noProof/>
                <w:webHidden/>
              </w:rPr>
              <w:instrText xml:space="preserve"> PAGEREF _Toc74839373 \h </w:instrText>
            </w:r>
            <w:r>
              <w:rPr>
                <w:noProof/>
                <w:webHidden/>
              </w:rPr>
            </w:r>
            <w:r>
              <w:rPr>
                <w:noProof/>
                <w:webHidden/>
              </w:rPr>
              <w:fldChar w:fldCharType="separate"/>
            </w:r>
            <w:r>
              <w:rPr>
                <w:noProof/>
                <w:webHidden/>
              </w:rPr>
              <w:t>67</w:t>
            </w:r>
            <w:r>
              <w:rPr>
                <w:noProof/>
                <w:webHidden/>
              </w:rPr>
              <w:fldChar w:fldCharType="end"/>
            </w:r>
          </w:hyperlink>
        </w:p>
        <w:p w14:paraId="79BE2E86" w14:textId="77777777" w:rsidR="00A4774A" w:rsidRDefault="00A4774A">
          <w:pPr>
            <w:pStyle w:val="TOC2"/>
            <w:tabs>
              <w:tab w:val="right" w:leader="dot" w:pos="8721"/>
            </w:tabs>
            <w:rPr>
              <w:rFonts w:eastAsiaTheme="minorEastAsia"/>
              <w:noProof/>
              <w:lang w:eastAsia="en-AU"/>
            </w:rPr>
          </w:pPr>
          <w:hyperlink w:anchor="_Toc74839374" w:history="1">
            <w:r w:rsidRPr="00A348F7">
              <w:rPr>
                <w:rStyle w:val="Hyperlink"/>
                <w:noProof/>
              </w:rPr>
              <w:t>Power Purchase Agreements</w:t>
            </w:r>
            <w:r>
              <w:rPr>
                <w:noProof/>
                <w:webHidden/>
              </w:rPr>
              <w:tab/>
            </w:r>
            <w:r>
              <w:rPr>
                <w:noProof/>
                <w:webHidden/>
              </w:rPr>
              <w:fldChar w:fldCharType="begin"/>
            </w:r>
            <w:r>
              <w:rPr>
                <w:noProof/>
                <w:webHidden/>
              </w:rPr>
              <w:instrText xml:space="preserve"> PAGEREF _Toc74839374 \h </w:instrText>
            </w:r>
            <w:r>
              <w:rPr>
                <w:noProof/>
                <w:webHidden/>
              </w:rPr>
            </w:r>
            <w:r>
              <w:rPr>
                <w:noProof/>
                <w:webHidden/>
              </w:rPr>
              <w:fldChar w:fldCharType="separate"/>
            </w:r>
            <w:r>
              <w:rPr>
                <w:noProof/>
                <w:webHidden/>
              </w:rPr>
              <w:t>68</w:t>
            </w:r>
            <w:r>
              <w:rPr>
                <w:noProof/>
                <w:webHidden/>
              </w:rPr>
              <w:fldChar w:fldCharType="end"/>
            </w:r>
          </w:hyperlink>
        </w:p>
        <w:p w14:paraId="100BC1E5" w14:textId="77777777" w:rsidR="00A4774A" w:rsidRDefault="00A4774A">
          <w:pPr>
            <w:pStyle w:val="TOC2"/>
            <w:tabs>
              <w:tab w:val="right" w:leader="dot" w:pos="8721"/>
            </w:tabs>
            <w:rPr>
              <w:rFonts w:eastAsiaTheme="minorEastAsia"/>
              <w:noProof/>
              <w:lang w:eastAsia="en-AU"/>
            </w:rPr>
          </w:pPr>
          <w:hyperlink w:anchor="_Toc74839375" w:history="1">
            <w:r w:rsidRPr="00A348F7">
              <w:rPr>
                <w:rStyle w:val="Hyperlink"/>
                <w:noProof/>
              </w:rPr>
              <w:t>Local Renewable Energy Generation</w:t>
            </w:r>
            <w:r>
              <w:rPr>
                <w:noProof/>
                <w:webHidden/>
              </w:rPr>
              <w:tab/>
            </w:r>
            <w:r>
              <w:rPr>
                <w:noProof/>
                <w:webHidden/>
              </w:rPr>
              <w:fldChar w:fldCharType="begin"/>
            </w:r>
            <w:r>
              <w:rPr>
                <w:noProof/>
                <w:webHidden/>
              </w:rPr>
              <w:instrText xml:space="preserve"> PAGEREF _Toc74839375 \h </w:instrText>
            </w:r>
            <w:r>
              <w:rPr>
                <w:noProof/>
                <w:webHidden/>
              </w:rPr>
            </w:r>
            <w:r>
              <w:rPr>
                <w:noProof/>
                <w:webHidden/>
              </w:rPr>
              <w:fldChar w:fldCharType="separate"/>
            </w:r>
            <w:r>
              <w:rPr>
                <w:noProof/>
                <w:webHidden/>
              </w:rPr>
              <w:t>68</w:t>
            </w:r>
            <w:r>
              <w:rPr>
                <w:noProof/>
                <w:webHidden/>
              </w:rPr>
              <w:fldChar w:fldCharType="end"/>
            </w:r>
          </w:hyperlink>
        </w:p>
        <w:p w14:paraId="2E1A215E" w14:textId="77777777" w:rsidR="00A4774A" w:rsidRDefault="00A4774A">
          <w:pPr>
            <w:pStyle w:val="TOC2"/>
            <w:tabs>
              <w:tab w:val="right" w:leader="dot" w:pos="8721"/>
            </w:tabs>
            <w:rPr>
              <w:rFonts w:eastAsiaTheme="minorEastAsia"/>
              <w:noProof/>
              <w:lang w:eastAsia="en-AU"/>
            </w:rPr>
          </w:pPr>
          <w:hyperlink w:anchor="_Toc74839376" w:history="1">
            <w:r w:rsidRPr="00A348F7">
              <w:rPr>
                <w:rStyle w:val="Hyperlink"/>
                <w:noProof/>
              </w:rPr>
              <w:t>Jurisdictional Renewable Energy Targets</w:t>
            </w:r>
            <w:r>
              <w:rPr>
                <w:noProof/>
                <w:webHidden/>
              </w:rPr>
              <w:tab/>
            </w:r>
            <w:r>
              <w:rPr>
                <w:noProof/>
                <w:webHidden/>
              </w:rPr>
              <w:fldChar w:fldCharType="begin"/>
            </w:r>
            <w:r>
              <w:rPr>
                <w:noProof/>
                <w:webHidden/>
              </w:rPr>
              <w:instrText xml:space="preserve"> PAGEREF _Toc74839376 \h </w:instrText>
            </w:r>
            <w:r>
              <w:rPr>
                <w:noProof/>
                <w:webHidden/>
              </w:rPr>
            </w:r>
            <w:r>
              <w:rPr>
                <w:noProof/>
                <w:webHidden/>
              </w:rPr>
              <w:fldChar w:fldCharType="separate"/>
            </w:r>
            <w:r>
              <w:rPr>
                <w:noProof/>
                <w:webHidden/>
              </w:rPr>
              <w:t>69</w:t>
            </w:r>
            <w:r>
              <w:rPr>
                <w:noProof/>
                <w:webHidden/>
              </w:rPr>
              <w:fldChar w:fldCharType="end"/>
            </w:r>
          </w:hyperlink>
        </w:p>
        <w:p w14:paraId="3B7EEF50" w14:textId="77777777" w:rsidR="00A4774A" w:rsidRDefault="00A4774A">
          <w:pPr>
            <w:pStyle w:val="TOC2"/>
            <w:tabs>
              <w:tab w:val="right" w:leader="dot" w:pos="8721"/>
            </w:tabs>
            <w:rPr>
              <w:rFonts w:eastAsiaTheme="minorEastAsia"/>
              <w:noProof/>
              <w:lang w:eastAsia="en-AU"/>
            </w:rPr>
          </w:pPr>
          <w:hyperlink w:anchor="_Toc74839377" w:history="1">
            <w:r w:rsidRPr="00A348F7">
              <w:rPr>
                <w:rStyle w:val="Hyperlink"/>
                <w:noProof/>
              </w:rPr>
              <w:t>Climate Active Certified Carbon Neutral Electricity</w:t>
            </w:r>
            <w:r>
              <w:rPr>
                <w:noProof/>
                <w:webHidden/>
              </w:rPr>
              <w:tab/>
            </w:r>
            <w:r>
              <w:rPr>
                <w:noProof/>
                <w:webHidden/>
              </w:rPr>
              <w:fldChar w:fldCharType="begin"/>
            </w:r>
            <w:r>
              <w:rPr>
                <w:noProof/>
                <w:webHidden/>
              </w:rPr>
              <w:instrText xml:space="preserve"> PAGEREF _Toc74839377 \h </w:instrText>
            </w:r>
            <w:r>
              <w:rPr>
                <w:noProof/>
                <w:webHidden/>
              </w:rPr>
            </w:r>
            <w:r>
              <w:rPr>
                <w:noProof/>
                <w:webHidden/>
              </w:rPr>
              <w:fldChar w:fldCharType="separate"/>
            </w:r>
            <w:r>
              <w:rPr>
                <w:noProof/>
                <w:webHidden/>
              </w:rPr>
              <w:t>69</w:t>
            </w:r>
            <w:r>
              <w:rPr>
                <w:noProof/>
                <w:webHidden/>
              </w:rPr>
              <w:fldChar w:fldCharType="end"/>
            </w:r>
          </w:hyperlink>
        </w:p>
        <w:p w14:paraId="0FAF9393" w14:textId="77777777" w:rsidR="00A4774A" w:rsidRDefault="00A4774A">
          <w:pPr>
            <w:pStyle w:val="TOC2"/>
            <w:tabs>
              <w:tab w:val="right" w:leader="dot" w:pos="8721"/>
            </w:tabs>
            <w:rPr>
              <w:rFonts w:eastAsiaTheme="minorEastAsia"/>
              <w:noProof/>
              <w:lang w:eastAsia="en-AU"/>
            </w:rPr>
          </w:pPr>
          <w:hyperlink w:anchor="_Toc74839378" w:history="1">
            <w:r w:rsidRPr="00A348F7">
              <w:rPr>
                <w:rStyle w:val="Hyperlink"/>
                <w:noProof/>
              </w:rPr>
              <w:t>Grid Imported (Residual) Electricity</w:t>
            </w:r>
            <w:r>
              <w:rPr>
                <w:noProof/>
                <w:webHidden/>
              </w:rPr>
              <w:tab/>
            </w:r>
            <w:r>
              <w:rPr>
                <w:noProof/>
                <w:webHidden/>
              </w:rPr>
              <w:fldChar w:fldCharType="begin"/>
            </w:r>
            <w:r>
              <w:rPr>
                <w:noProof/>
                <w:webHidden/>
              </w:rPr>
              <w:instrText xml:space="preserve"> PAGEREF _Toc74839378 \h </w:instrText>
            </w:r>
            <w:r>
              <w:rPr>
                <w:noProof/>
                <w:webHidden/>
              </w:rPr>
            </w:r>
            <w:r>
              <w:rPr>
                <w:noProof/>
                <w:webHidden/>
              </w:rPr>
              <w:fldChar w:fldCharType="separate"/>
            </w:r>
            <w:r>
              <w:rPr>
                <w:noProof/>
                <w:webHidden/>
              </w:rPr>
              <w:t>69</w:t>
            </w:r>
            <w:r>
              <w:rPr>
                <w:noProof/>
                <w:webHidden/>
              </w:rPr>
              <w:fldChar w:fldCharType="end"/>
            </w:r>
          </w:hyperlink>
        </w:p>
        <w:p w14:paraId="5DBD3B21" w14:textId="77777777" w:rsidR="00A4774A" w:rsidRDefault="00A4774A">
          <w:pPr>
            <w:pStyle w:val="TOC1"/>
            <w:rPr>
              <w:rFonts w:eastAsiaTheme="minorEastAsia"/>
              <w:noProof/>
              <w:lang w:eastAsia="en-AU"/>
            </w:rPr>
          </w:pPr>
          <w:hyperlink w:anchor="_Toc74839379" w:history="1">
            <w:r w:rsidRPr="00A348F7">
              <w:rPr>
                <w:rStyle w:val="Hyperlink"/>
                <w:noProof/>
              </w:rPr>
              <w:t>Attachment E: Summary of NGERS methods and other guidance</w:t>
            </w:r>
            <w:r>
              <w:rPr>
                <w:noProof/>
                <w:webHidden/>
              </w:rPr>
              <w:tab/>
            </w:r>
            <w:r>
              <w:rPr>
                <w:noProof/>
                <w:webHidden/>
              </w:rPr>
              <w:fldChar w:fldCharType="begin"/>
            </w:r>
            <w:r>
              <w:rPr>
                <w:noProof/>
                <w:webHidden/>
              </w:rPr>
              <w:instrText xml:space="preserve"> PAGEREF _Toc74839379 \h </w:instrText>
            </w:r>
            <w:r>
              <w:rPr>
                <w:noProof/>
                <w:webHidden/>
              </w:rPr>
            </w:r>
            <w:r>
              <w:rPr>
                <w:noProof/>
                <w:webHidden/>
              </w:rPr>
              <w:fldChar w:fldCharType="separate"/>
            </w:r>
            <w:r>
              <w:rPr>
                <w:noProof/>
                <w:webHidden/>
              </w:rPr>
              <w:t>70</w:t>
            </w:r>
            <w:r>
              <w:rPr>
                <w:noProof/>
                <w:webHidden/>
              </w:rPr>
              <w:fldChar w:fldCharType="end"/>
            </w:r>
          </w:hyperlink>
        </w:p>
        <w:p w14:paraId="3F923AD4" w14:textId="77777777" w:rsidR="00A4774A" w:rsidRDefault="00A4774A">
          <w:pPr>
            <w:pStyle w:val="TOC1"/>
            <w:rPr>
              <w:rFonts w:eastAsiaTheme="minorEastAsia"/>
              <w:noProof/>
              <w:lang w:eastAsia="en-AU"/>
            </w:rPr>
          </w:pPr>
          <w:hyperlink w:anchor="_Toc74839380" w:history="1">
            <w:r w:rsidRPr="00A348F7">
              <w:rPr>
                <w:rStyle w:val="Hyperlink"/>
                <w:noProof/>
              </w:rPr>
              <w:t>Attachment F: Glossary</w:t>
            </w:r>
            <w:r>
              <w:rPr>
                <w:noProof/>
                <w:webHidden/>
              </w:rPr>
              <w:tab/>
            </w:r>
            <w:r>
              <w:rPr>
                <w:noProof/>
                <w:webHidden/>
              </w:rPr>
              <w:fldChar w:fldCharType="begin"/>
            </w:r>
            <w:r>
              <w:rPr>
                <w:noProof/>
                <w:webHidden/>
              </w:rPr>
              <w:instrText xml:space="preserve"> PAGEREF _Toc74839380 \h </w:instrText>
            </w:r>
            <w:r>
              <w:rPr>
                <w:noProof/>
                <w:webHidden/>
              </w:rPr>
            </w:r>
            <w:r>
              <w:rPr>
                <w:noProof/>
                <w:webHidden/>
              </w:rPr>
              <w:fldChar w:fldCharType="separate"/>
            </w:r>
            <w:r>
              <w:rPr>
                <w:noProof/>
                <w:webHidden/>
              </w:rPr>
              <w:t>0</w:t>
            </w:r>
            <w:r>
              <w:rPr>
                <w:noProof/>
                <w:webHidden/>
              </w:rPr>
              <w:fldChar w:fldCharType="end"/>
            </w:r>
          </w:hyperlink>
        </w:p>
        <w:p w14:paraId="6AF8FA95" w14:textId="77777777" w:rsidR="000F2564" w:rsidRDefault="00E3027E" w:rsidP="00E3027E">
          <w:r>
            <w:fldChar w:fldCharType="end"/>
          </w:r>
        </w:p>
        <w:p w14:paraId="6CB205CF" w14:textId="52E62233" w:rsidR="000F2564" w:rsidRDefault="00A4774A" w:rsidP="00B251DB"/>
      </w:sdtContent>
    </w:sdt>
    <w:p w14:paraId="0495D4C2" w14:textId="77777777" w:rsidR="00E3027E" w:rsidRDefault="000F2564">
      <w:r>
        <w:br w:type="page"/>
      </w:r>
    </w:p>
    <w:p w14:paraId="00793265" w14:textId="531BE6AE" w:rsidR="00030F3D" w:rsidRDefault="00030F3D" w:rsidP="00030F3D">
      <w:pPr>
        <w:pStyle w:val="Heading1"/>
      </w:pPr>
      <w:bookmarkStart w:id="105" w:name="_Toc65168363"/>
      <w:bookmarkStart w:id="106" w:name="_Toc67329100"/>
      <w:bookmarkStart w:id="107" w:name="_Toc67329348"/>
      <w:bookmarkStart w:id="108" w:name="_Toc67562604"/>
      <w:bookmarkStart w:id="109" w:name="_Toc68000187"/>
      <w:bookmarkStart w:id="110" w:name="_Toc68083118"/>
      <w:bookmarkStart w:id="111" w:name="_Toc68083513"/>
      <w:bookmarkStart w:id="112" w:name="_Toc68105052"/>
      <w:bookmarkStart w:id="113" w:name="_Toc62043716"/>
      <w:bookmarkStart w:id="114" w:name="_Toc64302361"/>
      <w:bookmarkStart w:id="115" w:name="_Toc19023741"/>
      <w:bookmarkStart w:id="116" w:name="_Toc74839331"/>
      <w:r>
        <w:lastRenderedPageBreak/>
        <w:t>Executive Summary</w:t>
      </w:r>
      <w:bookmarkEnd w:id="105"/>
      <w:bookmarkEnd w:id="106"/>
      <w:bookmarkEnd w:id="107"/>
      <w:bookmarkEnd w:id="108"/>
      <w:bookmarkEnd w:id="109"/>
      <w:bookmarkEnd w:id="110"/>
      <w:bookmarkEnd w:id="111"/>
      <w:bookmarkEnd w:id="112"/>
      <w:bookmarkEnd w:id="116"/>
    </w:p>
    <w:p w14:paraId="3D7DF05B" w14:textId="086422D4" w:rsidR="002F5FDD" w:rsidRDefault="002F5FDD" w:rsidP="002F5FDD">
      <w:r>
        <w:t xml:space="preserve">The establishment of </w:t>
      </w:r>
      <w:r w:rsidR="00D733DE">
        <w:t>a</w:t>
      </w:r>
      <w:r>
        <w:t xml:space="preserve"> hydrogen Guarantee of Origin (GO), or certification scheme, is a priority action under Australia’s National Hydrogen Strategy. This scheme will be vital to give purchasers transparency as </w:t>
      </w:r>
      <w:r w:rsidR="00B75F4C">
        <w:t xml:space="preserve">Australia and </w:t>
      </w:r>
      <w:r w:rsidR="00B2539B">
        <w:t xml:space="preserve">the world looks to facilitate </w:t>
      </w:r>
      <w:r>
        <w:t xml:space="preserve">clean hydrogen trade. </w:t>
      </w:r>
    </w:p>
    <w:p w14:paraId="77FB8B07" w14:textId="4A0CAD8E" w:rsidR="002F5FDD" w:rsidRDefault="002F5FDD" w:rsidP="002F5FDD">
      <w:r>
        <w:t xml:space="preserve">Hydrogen will be an internationally traded commodity, and Australia has </w:t>
      </w:r>
      <w:r w:rsidR="00B75F4C">
        <w:t xml:space="preserve">the potential to be a major </w:t>
      </w:r>
      <w:r>
        <w:t>exporter. Therefore it is crucial that the methodology underpinning hydrogen GO schemes in countries seeking to trade</w:t>
      </w:r>
      <w:r w:rsidR="00292578">
        <w:t xml:space="preserve"> hydrogen is consistent, e</w:t>
      </w:r>
      <w:r>
        <w:t xml:space="preserve">nabling an accurate comparison of hydrogen </w:t>
      </w:r>
      <w:r w:rsidR="0031121E">
        <w:t>produced by different countries</w:t>
      </w:r>
      <w:r>
        <w:t xml:space="preserve">. </w:t>
      </w:r>
      <w:r w:rsidR="00A24B54">
        <w:t xml:space="preserve">It is also important that a hydrogen GO scheme promotes choice and allows </w:t>
      </w:r>
      <w:r w:rsidR="005D0AFF">
        <w:t xml:space="preserve">consumers to have access to </w:t>
      </w:r>
      <w:r w:rsidR="00A24B54">
        <w:t xml:space="preserve">information </w:t>
      </w:r>
      <w:r w:rsidR="005D0AFF">
        <w:t xml:space="preserve">that will </w:t>
      </w:r>
      <w:r w:rsidR="00A24B54">
        <w:t xml:space="preserve">enable them to choose the product best suited to their needs. </w:t>
      </w:r>
    </w:p>
    <w:p w14:paraId="08FA9D07" w14:textId="4EBDAD30" w:rsidR="00B75F4C" w:rsidRDefault="00B75F4C" w:rsidP="00B75F4C">
      <w:pPr>
        <w:rPr>
          <w:iCs/>
        </w:rPr>
      </w:pPr>
      <w:r>
        <w:rPr>
          <w:iCs/>
        </w:rPr>
        <w:t>This paper outlines methodologies for guaranteeing the origin of clean hydrogen from three main production pathways: electr</w:t>
      </w:r>
      <w:r w:rsidR="00191CF6">
        <w:rPr>
          <w:iCs/>
        </w:rPr>
        <w:t>olysis, coal gasification with carbon capture and storage (CCS)</w:t>
      </w:r>
      <w:r w:rsidR="00A24B54">
        <w:rPr>
          <w:iCs/>
        </w:rPr>
        <w:t>,</w:t>
      </w:r>
      <w:r>
        <w:rPr>
          <w:iCs/>
        </w:rPr>
        <w:t xml:space="preserve"> and </w:t>
      </w:r>
      <w:r w:rsidR="00191CF6">
        <w:rPr>
          <w:iCs/>
        </w:rPr>
        <w:t>steam methane reforming with CC</w:t>
      </w:r>
      <w:r>
        <w:rPr>
          <w:iCs/>
        </w:rPr>
        <w:t xml:space="preserve">S. </w:t>
      </w:r>
      <w:r w:rsidRPr="003E2824">
        <w:rPr>
          <w:iCs/>
        </w:rPr>
        <w:t>In support of the scheme’s ability to distinguish between different sources of energy used in hydrogen production, the paper also outlin</w:t>
      </w:r>
      <w:r>
        <w:rPr>
          <w:iCs/>
        </w:rPr>
        <w:t>es options for the verification</w:t>
      </w:r>
      <w:r w:rsidRPr="003E2824">
        <w:rPr>
          <w:iCs/>
        </w:rPr>
        <w:t xml:space="preserve"> of renewable electricity </w:t>
      </w:r>
      <w:r>
        <w:rPr>
          <w:iCs/>
        </w:rPr>
        <w:t xml:space="preserve">as an </w:t>
      </w:r>
      <w:r w:rsidRPr="003E2824">
        <w:rPr>
          <w:iCs/>
        </w:rPr>
        <w:t>input.</w:t>
      </w:r>
    </w:p>
    <w:p w14:paraId="60EE064F" w14:textId="2F4615F9" w:rsidR="00B75F4C" w:rsidRPr="00B75F4C" w:rsidRDefault="00B75F4C" w:rsidP="002F5FDD">
      <w:pPr>
        <w:rPr>
          <w:iCs/>
        </w:rPr>
      </w:pPr>
      <w:r>
        <w:rPr>
          <w:iCs/>
        </w:rPr>
        <w:t xml:space="preserve">The scheme may need to evolve over time to include additional hydrogen production pathways, additional components of the hydrogen value chain such as storage and transport, and downstream products such as low-emissions steel. In particular, it is important for hydrogen energy carriers such as ammonia to be covered. This work is underway and will be released for consultation in coming months. </w:t>
      </w:r>
    </w:p>
    <w:p w14:paraId="02C4241D" w14:textId="17FB9CC3" w:rsidR="00FA0442" w:rsidRDefault="00292578" w:rsidP="00D84D9E">
      <w:r>
        <w:t>Clean hydrogen can</w:t>
      </w:r>
      <w:r w:rsidR="002F5FDD">
        <w:t xml:space="preserve"> </w:t>
      </w:r>
      <w:r w:rsidR="00FA0442">
        <w:t xml:space="preserve">be </w:t>
      </w:r>
      <w:r w:rsidR="002F5FDD">
        <w:t xml:space="preserve">used </w:t>
      </w:r>
      <w:r w:rsidR="002702CF">
        <w:t xml:space="preserve">as an input </w:t>
      </w:r>
      <w:r w:rsidR="002F5FDD">
        <w:t>to reduce the emissions associated with the production of ‘</w:t>
      </w:r>
      <w:r w:rsidR="00FA0442">
        <w:t>downstream</w:t>
      </w:r>
      <w:r w:rsidR="002F5FDD">
        <w:t>’</w:t>
      </w:r>
      <w:r w:rsidR="00FA0442">
        <w:t xml:space="preserve"> products such as ammonia</w:t>
      </w:r>
      <w:r w:rsidR="00B75F4C">
        <w:t>, electricity or</w:t>
      </w:r>
      <w:r w:rsidR="000B3FA2">
        <w:t xml:space="preserve"> steel</w:t>
      </w:r>
      <w:r w:rsidR="002F5FDD">
        <w:t>.</w:t>
      </w:r>
      <w:r w:rsidR="002702CF">
        <w:t xml:space="preserve"> As with hydrogen</w:t>
      </w:r>
      <w:r w:rsidR="00D733DE">
        <w:t xml:space="preserve"> itself</w:t>
      </w:r>
      <w:r w:rsidR="002702CF">
        <w:t xml:space="preserve">, </w:t>
      </w:r>
      <w:r w:rsidR="00FA0442">
        <w:t xml:space="preserve">there may be a </w:t>
      </w:r>
      <w:r w:rsidR="002702CF">
        <w:t xml:space="preserve">future </w:t>
      </w:r>
      <w:r w:rsidR="00FA0442">
        <w:t xml:space="preserve">need </w:t>
      </w:r>
      <w:r w:rsidR="002702CF">
        <w:t xml:space="preserve">to </w:t>
      </w:r>
      <w:r w:rsidR="00FA0442">
        <w:t>track</w:t>
      </w:r>
      <w:r w:rsidR="002702CF">
        <w:t xml:space="preserve"> and </w:t>
      </w:r>
      <w:r>
        <w:t>verify</w:t>
      </w:r>
      <w:r w:rsidR="00FA0442">
        <w:t xml:space="preserve"> the emissions associated with these products. </w:t>
      </w:r>
      <w:r w:rsidR="002702CF">
        <w:t xml:space="preserve">It is intended that the </w:t>
      </w:r>
      <w:r w:rsidR="008E0D58">
        <w:t xml:space="preserve">approach presented in this paper </w:t>
      </w:r>
      <w:r w:rsidR="00FA0442">
        <w:t>can be built on over time</w:t>
      </w:r>
      <w:r w:rsidR="002702CF">
        <w:t>, forming a</w:t>
      </w:r>
      <w:r w:rsidR="00FA0442">
        <w:t xml:space="preserve"> broader frame</w:t>
      </w:r>
      <w:r w:rsidR="00046B86">
        <w:t>work for guaranteeing</w:t>
      </w:r>
      <w:r w:rsidR="00FA0442">
        <w:t xml:space="preserve"> </w:t>
      </w:r>
      <w:r w:rsidR="00E03E75">
        <w:t xml:space="preserve">the origin of </w:t>
      </w:r>
      <w:r w:rsidR="00FA0442">
        <w:t xml:space="preserve">a range of </w:t>
      </w:r>
      <w:r w:rsidR="002702CF">
        <w:t xml:space="preserve">decarbonised or </w:t>
      </w:r>
      <w:r w:rsidR="00FA0442">
        <w:t>low emission</w:t>
      </w:r>
      <w:r w:rsidR="002702CF">
        <w:t xml:space="preserve"> </w:t>
      </w:r>
      <w:r w:rsidR="00FA0442">
        <w:t>products.</w:t>
      </w:r>
    </w:p>
    <w:p w14:paraId="27EB968B" w14:textId="41B38C76" w:rsidR="00F07A7D" w:rsidRDefault="00D84D9E" w:rsidP="00D84D9E">
      <w:r>
        <w:t xml:space="preserve">The </w:t>
      </w:r>
      <w:r w:rsidR="00D7173C">
        <w:t>Department of Industry, Science, Energy and Resources (the Department)</w:t>
      </w:r>
      <w:r>
        <w:t xml:space="preserve"> has been working both domestically and internationally on the development of a</w:t>
      </w:r>
      <w:r w:rsidR="000A620D">
        <w:t>n initial</w:t>
      </w:r>
      <w:r>
        <w:t xml:space="preserve"> hydrogen </w:t>
      </w:r>
      <w:r w:rsidR="00A707B9">
        <w:t>GO</w:t>
      </w:r>
      <w:r>
        <w:t xml:space="preserve"> scheme. </w:t>
      </w:r>
      <w:r w:rsidR="00D973F2">
        <w:t>Domestic c</w:t>
      </w:r>
      <w:r w:rsidR="000B3FA2">
        <w:t xml:space="preserve">onsultation was undertaken </w:t>
      </w:r>
      <w:r w:rsidR="00D973F2">
        <w:t xml:space="preserve">during </w:t>
      </w:r>
      <w:r w:rsidR="000B3FA2">
        <w:t xml:space="preserve">2020, with </w:t>
      </w:r>
      <w:r w:rsidRPr="00D84D9E">
        <w:t xml:space="preserve">a survey released </w:t>
      </w:r>
      <w:r w:rsidR="00B2539B">
        <w:t>through the Department of Industry, Science</w:t>
      </w:r>
      <w:r w:rsidR="00C50DEB">
        <w:t>,</w:t>
      </w:r>
      <w:r w:rsidR="00B2539B">
        <w:t xml:space="preserve"> Energy and Resource’s (the Department) </w:t>
      </w:r>
      <w:r w:rsidR="002702CF">
        <w:t xml:space="preserve">consultation hub </w:t>
      </w:r>
      <w:r w:rsidRPr="00D84D9E">
        <w:t>in June</w:t>
      </w:r>
      <w:r>
        <w:t xml:space="preserve"> </w:t>
      </w:r>
      <w:r w:rsidR="002702CF">
        <w:t xml:space="preserve">and a </w:t>
      </w:r>
      <w:r w:rsidRPr="00D84D9E">
        <w:t xml:space="preserve">workshop held </w:t>
      </w:r>
      <w:r w:rsidR="000B3FA2">
        <w:t xml:space="preserve">in </w:t>
      </w:r>
      <w:r w:rsidRPr="00D84D9E">
        <w:t xml:space="preserve">September. </w:t>
      </w:r>
    </w:p>
    <w:p w14:paraId="360D8765" w14:textId="538C9837" w:rsidR="004567F6" w:rsidRDefault="00D84D9E" w:rsidP="00D84D9E">
      <w:pPr>
        <w:rPr>
          <w:i/>
          <w:iCs/>
        </w:rPr>
      </w:pPr>
      <w:r>
        <w:t xml:space="preserve">Internationally the </w:t>
      </w:r>
      <w:r w:rsidR="00DE30EC">
        <w:t xml:space="preserve">Department is working on behalf of the </w:t>
      </w:r>
      <w:r>
        <w:t xml:space="preserve">Australian Government </w:t>
      </w:r>
      <w:r w:rsidR="00DE30EC">
        <w:t xml:space="preserve">as a member of the </w:t>
      </w:r>
      <w:r w:rsidRPr="00D84D9E">
        <w:t>International Partnership for Hydrogen and Fuel Cells in the Economy’s (IPHE</w:t>
      </w:r>
      <w:r>
        <w:t>) Hydrogen Production Analysis Taskforce</w:t>
      </w:r>
      <w:r w:rsidR="002C5568">
        <w:t>,</w:t>
      </w:r>
      <w:r>
        <w:t xml:space="preserve"> which is aiming to </w:t>
      </w:r>
      <w:r w:rsidRPr="00D84D9E">
        <w:rPr>
          <w:i/>
          <w:iCs/>
        </w:rPr>
        <w:t>develop a mutually agreed methodology to determine the carbon emissions asso</w:t>
      </w:r>
      <w:r w:rsidR="0000413C">
        <w:rPr>
          <w:i/>
          <w:iCs/>
        </w:rPr>
        <w:t>ciated with hydrogen production</w:t>
      </w:r>
      <w:r>
        <w:rPr>
          <w:i/>
          <w:iCs/>
        </w:rPr>
        <w:t xml:space="preserve">. </w:t>
      </w:r>
    </w:p>
    <w:p w14:paraId="7821CA00" w14:textId="23C1DDD4" w:rsidR="00D84D9E" w:rsidRPr="00984663" w:rsidRDefault="00984663" w:rsidP="00D84D9E">
      <w:pPr>
        <w:rPr>
          <w:iCs/>
        </w:rPr>
      </w:pPr>
      <w:r>
        <w:rPr>
          <w:iCs/>
        </w:rPr>
        <w:t xml:space="preserve">Australia </w:t>
      </w:r>
      <w:r w:rsidR="000B3FA2">
        <w:rPr>
          <w:iCs/>
        </w:rPr>
        <w:t>is leading the group’s efforts to</w:t>
      </w:r>
      <w:r>
        <w:rPr>
          <w:iCs/>
        </w:rPr>
        <w:t xml:space="preserve"> </w:t>
      </w:r>
      <w:r w:rsidR="00F07A7D">
        <w:rPr>
          <w:iCs/>
        </w:rPr>
        <w:t>develop</w:t>
      </w:r>
      <w:r w:rsidR="000B3FA2">
        <w:rPr>
          <w:iCs/>
        </w:rPr>
        <w:t xml:space="preserve"> </w:t>
      </w:r>
      <w:r>
        <w:rPr>
          <w:iCs/>
        </w:rPr>
        <w:t xml:space="preserve">proposed methodologies for </w:t>
      </w:r>
      <w:r w:rsidR="000B3FA2">
        <w:rPr>
          <w:iCs/>
        </w:rPr>
        <w:t>the certification of hydrogen produced from</w:t>
      </w:r>
      <w:r w:rsidR="00DE30EC">
        <w:rPr>
          <w:iCs/>
        </w:rPr>
        <w:t xml:space="preserve"> </w:t>
      </w:r>
      <w:r>
        <w:rPr>
          <w:iCs/>
        </w:rPr>
        <w:t>electroly</w:t>
      </w:r>
      <w:r w:rsidR="008F539A">
        <w:rPr>
          <w:iCs/>
        </w:rPr>
        <w:t>sis and</w:t>
      </w:r>
      <w:r w:rsidR="00B2539B">
        <w:rPr>
          <w:iCs/>
        </w:rPr>
        <w:t xml:space="preserve"> from</w:t>
      </w:r>
      <w:r w:rsidR="008F539A">
        <w:rPr>
          <w:iCs/>
        </w:rPr>
        <w:t xml:space="preserve"> coal gasification with </w:t>
      </w:r>
      <w:r w:rsidR="00191CF6">
        <w:rPr>
          <w:iCs/>
        </w:rPr>
        <w:t>CCS</w:t>
      </w:r>
      <w:r>
        <w:rPr>
          <w:iCs/>
        </w:rPr>
        <w:t xml:space="preserve">. </w:t>
      </w:r>
      <w:r w:rsidR="00537766">
        <w:rPr>
          <w:iCs/>
        </w:rPr>
        <w:t xml:space="preserve">It </w:t>
      </w:r>
      <w:r w:rsidR="00292578">
        <w:rPr>
          <w:iCs/>
        </w:rPr>
        <w:t>is envisaged t</w:t>
      </w:r>
      <w:r w:rsidR="008E0D58">
        <w:rPr>
          <w:iCs/>
        </w:rPr>
        <w:t xml:space="preserve">he methodology developed by IPHE will </w:t>
      </w:r>
      <w:r w:rsidR="000B3FA2">
        <w:rPr>
          <w:iCs/>
        </w:rPr>
        <w:t xml:space="preserve">then </w:t>
      </w:r>
      <w:r w:rsidR="008E0D58">
        <w:rPr>
          <w:iCs/>
        </w:rPr>
        <w:t>form the inputs to a</w:t>
      </w:r>
      <w:r w:rsidR="002C5568">
        <w:rPr>
          <w:iCs/>
        </w:rPr>
        <w:t xml:space="preserve"> future </w:t>
      </w:r>
      <w:r w:rsidR="008E0D58">
        <w:rPr>
          <w:iCs/>
        </w:rPr>
        <w:t>international standard</w:t>
      </w:r>
      <w:r w:rsidR="00D44C20">
        <w:rPr>
          <w:iCs/>
        </w:rPr>
        <w:t>.</w:t>
      </w:r>
    </w:p>
    <w:p w14:paraId="52488C5D" w14:textId="45B4B34D" w:rsidR="00EE2399" w:rsidRDefault="0053762F" w:rsidP="00D84D9E">
      <w:pPr>
        <w:rPr>
          <w:iCs/>
        </w:rPr>
      </w:pPr>
      <w:r>
        <w:rPr>
          <w:iCs/>
        </w:rPr>
        <w:t xml:space="preserve">To </w:t>
      </w:r>
      <w:r w:rsidR="00B2539B">
        <w:rPr>
          <w:iCs/>
        </w:rPr>
        <w:t>identify priorities</w:t>
      </w:r>
      <w:r w:rsidR="00D44C20">
        <w:rPr>
          <w:iCs/>
        </w:rPr>
        <w:t xml:space="preserve"> and trade-offs, </w:t>
      </w:r>
      <w:r w:rsidR="00DE30EC">
        <w:rPr>
          <w:iCs/>
        </w:rPr>
        <w:t xml:space="preserve">the Department commissioned </w:t>
      </w:r>
      <w:r w:rsidR="002C5568">
        <w:rPr>
          <w:iCs/>
        </w:rPr>
        <w:t xml:space="preserve">Australian </w:t>
      </w:r>
      <w:r w:rsidR="001407DA">
        <w:rPr>
          <w:iCs/>
        </w:rPr>
        <w:t xml:space="preserve">energy </w:t>
      </w:r>
      <w:r w:rsidR="002C5568">
        <w:rPr>
          <w:iCs/>
        </w:rPr>
        <w:t xml:space="preserve">consultancy </w:t>
      </w:r>
      <w:r w:rsidR="00046B86">
        <w:rPr>
          <w:iCs/>
        </w:rPr>
        <w:t xml:space="preserve">Energetics </w:t>
      </w:r>
      <w:r w:rsidR="00D84D9E">
        <w:rPr>
          <w:iCs/>
        </w:rPr>
        <w:t xml:space="preserve">to provide advice on options for a </w:t>
      </w:r>
      <w:r w:rsidR="00D733DE">
        <w:rPr>
          <w:iCs/>
        </w:rPr>
        <w:t>domestic</w:t>
      </w:r>
      <w:r w:rsidR="00124144">
        <w:rPr>
          <w:iCs/>
        </w:rPr>
        <w:t xml:space="preserve"> GO</w:t>
      </w:r>
      <w:r w:rsidR="00D84D9E">
        <w:rPr>
          <w:iCs/>
        </w:rPr>
        <w:t xml:space="preserve"> scheme. </w:t>
      </w:r>
      <w:r w:rsidR="001407DA">
        <w:rPr>
          <w:iCs/>
        </w:rPr>
        <w:t>This analysis identified a</w:t>
      </w:r>
      <w:r w:rsidR="00BB0AC3">
        <w:rPr>
          <w:iCs/>
        </w:rPr>
        <w:t>n IPHE aligned</w:t>
      </w:r>
      <w:r w:rsidR="00A76F3A" w:rsidRPr="00D84D9E">
        <w:rPr>
          <w:iCs/>
        </w:rPr>
        <w:t xml:space="preserve"> domestic scheme</w:t>
      </w:r>
      <w:r w:rsidR="001407DA">
        <w:rPr>
          <w:iCs/>
        </w:rPr>
        <w:t xml:space="preserve">, which </w:t>
      </w:r>
      <w:r w:rsidR="00B75F4C">
        <w:rPr>
          <w:iCs/>
        </w:rPr>
        <w:t>could</w:t>
      </w:r>
      <w:r w:rsidR="00DE30EC">
        <w:rPr>
          <w:iCs/>
        </w:rPr>
        <w:t xml:space="preserve"> </w:t>
      </w:r>
      <w:r w:rsidR="00A76F3A" w:rsidRPr="00D84D9E">
        <w:rPr>
          <w:iCs/>
        </w:rPr>
        <w:t>transition</w:t>
      </w:r>
      <w:r w:rsidR="001407DA">
        <w:rPr>
          <w:iCs/>
        </w:rPr>
        <w:t xml:space="preserve"> </w:t>
      </w:r>
      <w:r w:rsidR="00A76F3A" w:rsidRPr="00D84D9E">
        <w:rPr>
          <w:iCs/>
        </w:rPr>
        <w:t>to an internat</w:t>
      </w:r>
      <w:r w:rsidR="00793D10">
        <w:rPr>
          <w:iCs/>
        </w:rPr>
        <w:t xml:space="preserve">ional scheme or </w:t>
      </w:r>
      <w:r w:rsidR="008E0D58">
        <w:rPr>
          <w:iCs/>
        </w:rPr>
        <w:t>standard over time</w:t>
      </w:r>
      <w:r w:rsidR="00D84D9E">
        <w:rPr>
          <w:iCs/>
        </w:rPr>
        <w:t>.</w:t>
      </w:r>
    </w:p>
    <w:p w14:paraId="40D36E1F" w14:textId="1D6575C4" w:rsidR="00D84D9E" w:rsidRDefault="004567F6" w:rsidP="00D84D9E">
      <w:pPr>
        <w:rPr>
          <w:iCs/>
        </w:rPr>
      </w:pPr>
      <w:r>
        <w:rPr>
          <w:iCs/>
        </w:rPr>
        <w:t xml:space="preserve">IPHE </w:t>
      </w:r>
      <w:r w:rsidR="00B75F4C">
        <w:rPr>
          <w:iCs/>
        </w:rPr>
        <w:t>i</w:t>
      </w:r>
      <w:r>
        <w:rPr>
          <w:iCs/>
        </w:rPr>
        <w:t xml:space="preserve">s </w:t>
      </w:r>
      <w:r w:rsidR="00D733DE">
        <w:rPr>
          <w:iCs/>
        </w:rPr>
        <w:t>look</w:t>
      </w:r>
      <w:r w:rsidR="00B75F4C">
        <w:rPr>
          <w:iCs/>
        </w:rPr>
        <w:t>ing</w:t>
      </w:r>
      <w:r w:rsidR="00D733DE">
        <w:rPr>
          <w:iCs/>
        </w:rPr>
        <w:t xml:space="preserve"> </w:t>
      </w:r>
      <w:r w:rsidR="00537766">
        <w:rPr>
          <w:iCs/>
        </w:rPr>
        <w:t xml:space="preserve">to </w:t>
      </w:r>
      <w:r w:rsidR="00D733DE">
        <w:rPr>
          <w:iCs/>
        </w:rPr>
        <w:t>build on the</w:t>
      </w:r>
      <w:r w:rsidR="00B75F4C">
        <w:rPr>
          <w:iCs/>
        </w:rPr>
        <w:t xml:space="preserve"> European</w:t>
      </w:r>
      <w:r w:rsidR="00D733DE">
        <w:rPr>
          <w:iCs/>
        </w:rPr>
        <w:t xml:space="preserve"> </w:t>
      </w:r>
      <w:r>
        <w:rPr>
          <w:iCs/>
        </w:rPr>
        <w:t xml:space="preserve">CertifHy approach </w:t>
      </w:r>
      <w:r w:rsidR="00D44C20">
        <w:rPr>
          <w:iCs/>
        </w:rPr>
        <w:t xml:space="preserve">in developing its </w:t>
      </w:r>
      <w:r>
        <w:rPr>
          <w:iCs/>
        </w:rPr>
        <w:t xml:space="preserve">methodology, </w:t>
      </w:r>
      <w:r w:rsidR="00D733DE">
        <w:rPr>
          <w:iCs/>
        </w:rPr>
        <w:t xml:space="preserve">aiming to ensure that any future GO scheme agreed by IPHE members will be applicable to a broad </w:t>
      </w:r>
      <w:r w:rsidR="00D733DE">
        <w:rPr>
          <w:iCs/>
        </w:rPr>
        <w:lastRenderedPageBreak/>
        <w:t xml:space="preserve">range of countries and hydrogen production processes. </w:t>
      </w:r>
      <w:r w:rsidR="00D84D9E">
        <w:rPr>
          <w:iCs/>
        </w:rPr>
        <w:t xml:space="preserve">The </w:t>
      </w:r>
      <w:r w:rsidR="00B75F4C">
        <w:rPr>
          <w:iCs/>
        </w:rPr>
        <w:t>Department</w:t>
      </w:r>
      <w:r w:rsidR="00D84D9E">
        <w:rPr>
          <w:iCs/>
        </w:rPr>
        <w:t xml:space="preserve"> considers </w:t>
      </w:r>
      <w:r w:rsidR="00B75F4C">
        <w:rPr>
          <w:iCs/>
        </w:rPr>
        <w:t>this</w:t>
      </w:r>
      <w:r w:rsidR="00D84D9E">
        <w:rPr>
          <w:iCs/>
        </w:rPr>
        <w:t xml:space="preserve"> represents the best way to balance the needs </w:t>
      </w:r>
      <w:r>
        <w:rPr>
          <w:iCs/>
        </w:rPr>
        <w:t xml:space="preserve">of </w:t>
      </w:r>
      <w:r w:rsidR="00D84D9E">
        <w:rPr>
          <w:iCs/>
        </w:rPr>
        <w:t>timeline</w:t>
      </w:r>
      <w:r w:rsidR="00D126D2">
        <w:rPr>
          <w:iCs/>
        </w:rPr>
        <w:t>ss and international alignment</w:t>
      </w:r>
      <w:r>
        <w:rPr>
          <w:iCs/>
        </w:rPr>
        <w:t>,</w:t>
      </w:r>
      <w:r w:rsidR="00D126D2">
        <w:rPr>
          <w:iCs/>
        </w:rPr>
        <w:t xml:space="preserve"> and</w:t>
      </w:r>
      <w:r w:rsidR="00B1377A">
        <w:rPr>
          <w:iCs/>
        </w:rPr>
        <w:t xml:space="preserve"> </w:t>
      </w:r>
      <w:r>
        <w:rPr>
          <w:iCs/>
        </w:rPr>
        <w:t xml:space="preserve">will </w:t>
      </w:r>
      <w:r w:rsidR="00B1377A">
        <w:rPr>
          <w:iCs/>
        </w:rPr>
        <w:t>p</w:t>
      </w:r>
      <w:r w:rsidR="00A76F3A" w:rsidRPr="00B1377A">
        <w:rPr>
          <w:iCs/>
        </w:rPr>
        <w:t>ositio</w:t>
      </w:r>
      <w:r w:rsidR="00E12905">
        <w:rPr>
          <w:iCs/>
        </w:rPr>
        <w:t xml:space="preserve">n </w:t>
      </w:r>
      <w:r w:rsidR="0053762F">
        <w:rPr>
          <w:iCs/>
        </w:rPr>
        <w:t>Australia to be consistent with the development of a</w:t>
      </w:r>
      <w:r w:rsidR="00A76F3A" w:rsidRPr="00B1377A">
        <w:rPr>
          <w:iCs/>
        </w:rPr>
        <w:t xml:space="preserve"> global scheme</w:t>
      </w:r>
      <w:r w:rsidR="00B1377A">
        <w:rPr>
          <w:iCs/>
        </w:rPr>
        <w:t xml:space="preserve"> that is</w:t>
      </w:r>
      <w:r w:rsidR="00A76F3A" w:rsidRPr="00B1377A">
        <w:rPr>
          <w:iCs/>
        </w:rPr>
        <w:t xml:space="preserve"> most likely to achieve broad acceptance across export markets</w:t>
      </w:r>
      <w:r w:rsidR="00B1377A">
        <w:rPr>
          <w:iCs/>
        </w:rPr>
        <w:t xml:space="preserve">. </w:t>
      </w:r>
    </w:p>
    <w:p w14:paraId="6F4DBB02" w14:textId="0C373AF9" w:rsidR="00E17037" w:rsidRDefault="007355F2" w:rsidP="00215BCA">
      <w:pPr>
        <w:rPr>
          <w:iCs/>
        </w:rPr>
      </w:pPr>
      <w:r>
        <w:rPr>
          <w:iCs/>
        </w:rPr>
        <w:t xml:space="preserve">Through domestic consultation </w:t>
      </w:r>
      <w:r w:rsidR="00E12905">
        <w:rPr>
          <w:iCs/>
        </w:rPr>
        <w:t xml:space="preserve">the Department also </w:t>
      </w:r>
      <w:r>
        <w:rPr>
          <w:iCs/>
        </w:rPr>
        <w:t xml:space="preserve">heard a strong desire for a hydrogen </w:t>
      </w:r>
      <w:r w:rsidR="00DE1808">
        <w:rPr>
          <w:iCs/>
        </w:rPr>
        <w:t>GO</w:t>
      </w:r>
      <w:r>
        <w:rPr>
          <w:iCs/>
        </w:rPr>
        <w:t xml:space="preserve"> scheme to draw on existing reporting frameworks, such as the National Energy and Gr</w:t>
      </w:r>
      <w:r w:rsidR="009F1940">
        <w:rPr>
          <w:iCs/>
        </w:rPr>
        <w:t xml:space="preserve">eenhouse Reporting </w:t>
      </w:r>
      <w:r w:rsidR="0064712D">
        <w:rPr>
          <w:iCs/>
        </w:rPr>
        <w:t>S</w:t>
      </w:r>
      <w:r w:rsidR="00CA557D">
        <w:rPr>
          <w:iCs/>
        </w:rPr>
        <w:t>cheme</w:t>
      </w:r>
      <w:r w:rsidR="009F1940">
        <w:rPr>
          <w:iCs/>
        </w:rPr>
        <w:t xml:space="preserve"> (NGERS)</w:t>
      </w:r>
      <w:r>
        <w:rPr>
          <w:iCs/>
        </w:rPr>
        <w:t xml:space="preserve">. </w:t>
      </w:r>
      <w:r w:rsidR="00FB3C53">
        <w:rPr>
          <w:iCs/>
        </w:rPr>
        <w:t>However</w:t>
      </w:r>
      <w:r w:rsidR="00DE30EC">
        <w:rPr>
          <w:iCs/>
        </w:rPr>
        <w:t xml:space="preserve">, industry </w:t>
      </w:r>
      <w:r w:rsidR="00FB3C53">
        <w:rPr>
          <w:iCs/>
        </w:rPr>
        <w:t>st</w:t>
      </w:r>
      <w:r w:rsidR="00CA557D">
        <w:rPr>
          <w:iCs/>
        </w:rPr>
        <w:t>akeholders recognised</w:t>
      </w:r>
      <w:r w:rsidR="009F1940">
        <w:rPr>
          <w:iCs/>
        </w:rPr>
        <w:t xml:space="preserve"> NGERS</w:t>
      </w:r>
      <w:r>
        <w:rPr>
          <w:iCs/>
        </w:rPr>
        <w:t xml:space="preserve"> alone would not be sufficient for the purposes of</w:t>
      </w:r>
      <w:r w:rsidR="008652ED">
        <w:rPr>
          <w:iCs/>
        </w:rPr>
        <w:t xml:space="preserve"> a</w:t>
      </w:r>
      <w:r>
        <w:rPr>
          <w:iCs/>
        </w:rPr>
        <w:t xml:space="preserve"> hydrogen </w:t>
      </w:r>
      <w:r w:rsidR="00DE1808">
        <w:rPr>
          <w:iCs/>
        </w:rPr>
        <w:t>GO</w:t>
      </w:r>
      <w:r w:rsidR="00FB3C53">
        <w:rPr>
          <w:iCs/>
        </w:rPr>
        <w:t xml:space="preserve"> </w:t>
      </w:r>
      <w:r w:rsidR="0053762F">
        <w:rPr>
          <w:iCs/>
        </w:rPr>
        <w:t>scheme. For example,</w:t>
      </w:r>
      <w:r w:rsidR="00FB3C53">
        <w:rPr>
          <w:iCs/>
        </w:rPr>
        <w:t xml:space="preserve"> </w:t>
      </w:r>
      <w:r w:rsidR="009F1940">
        <w:rPr>
          <w:iCs/>
        </w:rPr>
        <w:t>the NGERS</w:t>
      </w:r>
      <w:r w:rsidR="00E17037">
        <w:rPr>
          <w:iCs/>
        </w:rPr>
        <w:t xml:space="preserve"> </w:t>
      </w:r>
      <w:r w:rsidR="00FB3C53">
        <w:rPr>
          <w:iCs/>
        </w:rPr>
        <w:t>is</w:t>
      </w:r>
      <w:r>
        <w:rPr>
          <w:iCs/>
        </w:rPr>
        <w:t xml:space="preserve"> de</w:t>
      </w:r>
      <w:r w:rsidR="0053762F">
        <w:rPr>
          <w:iCs/>
        </w:rPr>
        <w:t>signed to calculate emissions from a</w:t>
      </w:r>
      <w:r>
        <w:rPr>
          <w:iCs/>
        </w:rPr>
        <w:t xml:space="preserve"> facility</w:t>
      </w:r>
      <w:r w:rsidR="0053762F">
        <w:rPr>
          <w:iCs/>
        </w:rPr>
        <w:t xml:space="preserve"> </w:t>
      </w:r>
      <w:r w:rsidR="00F648C0">
        <w:rPr>
          <w:iCs/>
        </w:rPr>
        <w:t>and assist with the compilation of</w:t>
      </w:r>
      <w:r w:rsidR="0053762F">
        <w:rPr>
          <w:iCs/>
        </w:rPr>
        <w:t xml:space="preserve"> Australia’s national carbon inventory,</w:t>
      </w:r>
      <w:r w:rsidR="00FB3C53">
        <w:rPr>
          <w:iCs/>
        </w:rPr>
        <w:t xml:space="preserve"> rather than</w:t>
      </w:r>
      <w:r>
        <w:rPr>
          <w:iCs/>
        </w:rPr>
        <w:t xml:space="preserve"> to </w:t>
      </w:r>
      <w:r w:rsidR="0053762F">
        <w:rPr>
          <w:iCs/>
        </w:rPr>
        <w:t xml:space="preserve">attribute emissions to </w:t>
      </w:r>
      <w:r>
        <w:rPr>
          <w:iCs/>
        </w:rPr>
        <w:t xml:space="preserve">a particular product, </w:t>
      </w:r>
      <w:r w:rsidR="00DE30EC">
        <w:rPr>
          <w:iCs/>
        </w:rPr>
        <w:t xml:space="preserve">such as </w:t>
      </w:r>
      <w:r>
        <w:rPr>
          <w:iCs/>
        </w:rPr>
        <w:t xml:space="preserve">hydrogen. </w:t>
      </w:r>
    </w:p>
    <w:p w14:paraId="70287FA6" w14:textId="0494EF95" w:rsidR="007355F2" w:rsidRPr="00E17037" w:rsidRDefault="0053762F" w:rsidP="00D84D9E">
      <w:pPr>
        <w:rPr>
          <w:iCs/>
        </w:rPr>
      </w:pPr>
      <w:r>
        <w:rPr>
          <w:iCs/>
        </w:rPr>
        <w:t>Certification schemes for products such as hydr</w:t>
      </w:r>
      <w:r w:rsidR="00717456">
        <w:rPr>
          <w:iCs/>
        </w:rPr>
        <w:t>ogen commonly draw on the foundational principles for carbon accounting</w:t>
      </w:r>
      <w:r>
        <w:rPr>
          <w:iCs/>
        </w:rPr>
        <w:t xml:space="preserve"> presented in </w:t>
      </w:r>
      <w:r w:rsidR="00A26433">
        <w:t>International Organization for Standardization</w:t>
      </w:r>
      <w:r w:rsidR="00A26433">
        <w:rPr>
          <w:iCs/>
        </w:rPr>
        <w:t xml:space="preserve"> (</w:t>
      </w:r>
      <w:r>
        <w:rPr>
          <w:iCs/>
        </w:rPr>
        <w:t>IS</w:t>
      </w:r>
      <w:r w:rsidR="00046B86">
        <w:rPr>
          <w:iCs/>
        </w:rPr>
        <w:t>O</w:t>
      </w:r>
      <w:r w:rsidR="00A26433">
        <w:rPr>
          <w:iCs/>
        </w:rPr>
        <w:t>)</w:t>
      </w:r>
      <w:r w:rsidR="00046B86">
        <w:rPr>
          <w:iCs/>
        </w:rPr>
        <w:t xml:space="preserve"> </w:t>
      </w:r>
      <w:r w:rsidR="00D44C20">
        <w:rPr>
          <w:iCs/>
        </w:rPr>
        <w:t>s</w:t>
      </w:r>
      <w:r w:rsidR="00046B86">
        <w:rPr>
          <w:iCs/>
        </w:rPr>
        <w:t>tandards relating</w:t>
      </w:r>
      <w:r w:rsidR="00E23D44">
        <w:rPr>
          <w:iCs/>
        </w:rPr>
        <w:t xml:space="preserve"> to </w:t>
      </w:r>
      <w:r w:rsidR="00D44C20">
        <w:rPr>
          <w:iCs/>
        </w:rPr>
        <w:t xml:space="preserve">the carbon footprint and </w:t>
      </w:r>
      <w:r w:rsidR="00E23D44">
        <w:rPr>
          <w:iCs/>
        </w:rPr>
        <w:t xml:space="preserve">life cycle assessment </w:t>
      </w:r>
      <w:r w:rsidR="00717456">
        <w:rPr>
          <w:iCs/>
        </w:rPr>
        <w:t xml:space="preserve">of products, </w:t>
      </w:r>
      <w:r w:rsidRPr="00215BCA">
        <w:rPr>
          <w:iCs/>
        </w:rPr>
        <w:t>and the Greenhouse Gas Protocol</w:t>
      </w:r>
      <w:r>
        <w:rPr>
          <w:iCs/>
        </w:rPr>
        <w:t xml:space="preserve">. </w:t>
      </w:r>
      <w:r w:rsidR="00717456" w:rsidRPr="00215BCA">
        <w:rPr>
          <w:iCs/>
        </w:rPr>
        <w:t xml:space="preserve">These standards provide principles, framework, requirements and guidelines to support the estimation of emissions associated with a given </w:t>
      </w:r>
      <w:r w:rsidR="00F648C0">
        <w:rPr>
          <w:iCs/>
        </w:rPr>
        <w:t>product</w:t>
      </w:r>
      <w:r w:rsidR="00717456" w:rsidRPr="00215BCA">
        <w:rPr>
          <w:iCs/>
        </w:rPr>
        <w:t xml:space="preserve">. </w:t>
      </w:r>
      <w:r w:rsidR="00F865E0">
        <w:rPr>
          <w:iCs/>
        </w:rPr>
        <w:t>These form</w:t>
      </w:r>
      <w:r>
        <w:rPr>
          <w:iCs/>
        </w:rPr>
        <w:t xml:space="preserve"> the frameworks on which existing</w:t>
      </w:r>
      <w:r w:rsidR="00962428">
        <w:rPr>
          <w:iCs/>
        </w:rPr>
        <w:t xml:space="preserve"> and emerging </w:t>
      </w:r>
      <w:r w:rsidR="00422A98">
        <w:rPr>
          <w:iCs/>
        </w:rPr>
        <w:t xml:space="preserve">hydrogen guarantee of origin </w:t>
      </w:r>
      <w:r>
        <w:rPr>
          <w:iCs/>
        </w:rPr>
        <w:t>schemes are based</w:t>
      </w:r>
      <w:r w:rsidR="002F1E3A">
        <w:rPr>
          <w:iCs/>
        </w:rPr>
        <w:t>,</w:t>
      </w:r>
      <w:r>
        <w:rPr>
          <w:iCs/>
        </w:rPr>
        <w:t xml:space="preserve"> and that IPHE has agreed to use</w:t>
      </w:r>
      <w:r w:rsidR="00717456">
        <w:rPr>
          <w:iCs/>
        </w:rPr>
        <w:t xml:space="preserve"> as the basis for </w:t>
      </w:r>
      <w:r w:rsidR="00046B86">
        <w:rPr>
          <w:iCs/>
        </w:rPr>
        <w:t>its standard. The Intergovernmental Panel on Climate Change (</w:t>
      </w:r>
      <w:r w:rsidR="00717456" w:rsidRPr="00717456">
        <w:rPr>
          <w:iCs/>
        </w:rPr>
        <w:t>IPCC</w:t>
      </w:r>
      <w:r w:rsidR="00046B86">
        <w:rPr>
          <w:iCs/>
        </w:rPr>
        <w:t>)</w:t>
      </w:r>
      <w:r w:rsidR="00717456" w:rsidRPr="00717456">
        <w:rPr>
          <w:iCs/>
        </w:rPr>
        <w:t xml:space="preserve"> Guidelines for National Greenhouse Inventories</w:t>
      </w:r>
      <w:r w:rsidR="00717456">
        <w:rPr>
          <w:iCs/>
        </w:rPr>
        <w:t xml:space="preserve"> </w:t>
      </w:r>
      <w:r w:rsidR="009268D4">
        <w:rPr>
          <w:iCs/>
        </w:rPr>
        <w:t>also</w:t>
      </w:r>
      <w:r w:rsidR="00717456">
        <w:rPr>
          <w:iCs/>
        </w:rPr>
        <w:t xml:space="preserve"> provide specific</w:t>
      </w:r>
      <w:r w:rsidR="00717456">
        <w:t xml:space="preserve"> methods and emissions factors to support calculation of the GHG inventory for hydrogen. In Australi</w:t>
      </w:r>
      <w:r w:rsidR="000A3FA7">
        <w:t xml:space="preserve">a, the NGERS </w:t>
      </w:r>
      <w:r w:rsidR="00215BCA">
        <w:t xml:space="preserve">provides a national application of the IPCC guidelines. </w:t>
      </w:r>
    </w:p>
    <w:p w14:paraId="6FB1B79A" w14:textId="7CAE0764" w:rsidR="00215BCA" w:rsidRDefault="00D84D9E" w:rsidP="00D84D9E">
      <w:pPr>
        <w:rPr>
          <w:iCs/>
        </w:rPr>
      </w:pPr>
      <w:r>
        <w:rPr>
          <w:iCs/>
        </w:rPr>
        <w:t>This paper presents an approach to</w:t>
      </w:r>
      <w:r w:rsidR="00D7146E">
        <w:rPr>
          <w:iCs/>
        </w:rPr>
        <w:t xml:space="preserve"> </w:t>
      </w:r>
      <w:r w:rsidR="00F648C0">
        <w:rPr>
          <w:iCs/>
        </w:rPr>
        <w:t>a</w:t>
      </w:r>
      <w:r w:rsidR="000A620D">
        <w:rPr>
          <w:iCs/>
        </w:rPr>
        <w:t>n initial</w:t>
      </w:r>
      <w:r w:rsidR="00F648C0">
        <w:rPr>
          <w:iCs/>
        </w:rPr>
        <w:t xml:space="preserve"> </w:t>
      </w:r>
      <w:r w:rsidR="00D7146E">
        <w:rPr>
          <w:iCs/>
        </w:rPr>
        <w:t>hydrogen</w:t>
      </w:r>
      <w:r>
        <w:rPr>
          <w:iCs/>
        </w:rPr>
        <w:t xml:space="preserve"> </w:t>
      </w:r>
      <w:r w:rsidR="00DE1808">
        <w:rPr>
          <w:iCs/>
        </w:rPr>
        <w:t>GO</w:t>
      </w:r>
      <w:r w:rsidR="00F648C0">
        <w:rPr>
          <w:iCs/>
        </w:rPr>
        <w:t xml:space="preserve"> scheme</w:t>
      </w:r>
      <w:r>
        <w:rPr>
          <w:iCs/>
        </w:rPr>
        <w:t xml:space="preserve"> that is consistent with the work so far through IPHE</w:t>
      </w:r>
      <w:r w:rsidR="005D0AFF">
        <w:rPr>
          <w:iCs/>
        </w:rPr>
        <w:t>,</w:t>
      </w:r>
      <w:r w:rsidR="00191CF6">
        <w:rPr>
          <w:iCs/>
        </w:rPr>
        <w:t xml:space="preserve"> </w:t>
      </w:r>
      <w:r w:rsidR="00F865E0">
        <w:rPr>
          <w:iCs/>
        </w:rPr>
        <w:t xml:space="preserve">based on </w:t>
      </w:r>
      <w:r w:rsidR="00564DCF">
        <w:rPr>
          <w:iCs/>
        </w:rPr>
        <w:t>feedback from stakeholders in 2020</w:t>
      </w:r>
      <w:r w:rsidR="005D0AFF">
        <w:rPr>
          <w:iCs/>
        </w:rPr>
        <w:t>, and promotes informed choice</w:t>
      </w:r>
      <w:r>
        <w:rPr>
          <w:iCs/>
        </w:rPr>
        <w:t xml:space="preserve">. </w:t>
      </w:r>
      <w:r w:rsidR="00215BCA">
        <w:rPr>
          <w:iCs/>
        </w:rPr>
        <w:t xml:space="preserve">To </w:t>
      </w:r>
      <w:r w:rsidR="00115234">
        <w:rPr>
          <w:iCs/>
        </w:rPr>
        <w:t>date, IPHE members are broadly aligned</w:t>
      </w:r>
      <w:r w:rsidR="00215BCA">
        <w:rPr>
          <w:iCs/>
        </w:rPr>
        <w:t xml:space="preserve"> on the</w:t>
      </w:r>
      <w:r w:rsidR="00115234">
        <w:rPr>
          <w:iCs/>
        </w:rPr>
        <w:t xml:space="preserve"> </w:t>
      </w:r>
      <w:r w:rsidR="008A1AD8">
        <w:rPr>
          <w:iCs/>
        </w:rPr>
        <w:t>high level aspects of the methodology, and are</w:t>
      </w:r>
      <w:r w:rsidR="00F648C0">
        <w:rPr>
          <w:iCs/>
        </w:rPr>
        <w:t xml:space="preserve"> continuing to discuss</w:t>
      </w:r>
      <w:r w:rsidR="005D59B6">
        <w:rPr>
          <w:iCs/>
        </w:rPr>
        <w:t xml:space="preserve"> </w:t>
      </w:r>
      <w:r w:rsidR="008A1AD8">
        <w:rPr>
          <w:iCs/>
        </w:rPr>
        <w:t xml:space="preserve">details such as </w:t>
      </w:r>
      <w:r w:rsidR="005D59B6">
        <w:rPr>
          <w:iCs/>
        </w:rPr>
        <w:t xml:space="preserve">methods for allocating emissions to co-products </w:t>
      </w:r>
      <w:r w:rsidR="00857737">
        <w:rPr>
          <w:iCs/>
        </w:rPr>
        <w:t>(</w:t>
      </w:r>
      <w:r w:rsidR="005D59B6">
        <w:rPr>
          <w:iCs/>
        </w:rPr>
        <w:t>where hydrogen is not the only output of the production process</w:t>
      </w:r>
      <w:r w:rsidR="00857737">
        <w:rPr>
          <w:iCs/>
        </w:rPr>
        <w:t>)</w:t>
      </w:r>
      <w:r w:rsidR="005D59B6">
        <w:rPr>
          <w:iCs/>
        </w:rPr>
        <w:t>.</w:t>
      </w:r>
      <w:r w:rsidR="00115234">
        <w:rPr>
          <w:iCs/>
        </w:rPr>
        <w:t xml:space="preserve"> However</w:t>
      </w:r>
      <w:r w:rsidR="009268D4">
        <w:rPr>
          <w:iCs/>
        </w:rPr>
        <w:t>,</w:t>
      </w:r>
      <w:r w:rsidR="00115234">
        <w:rPr>
          <w:iCs/>
        </w:rPr>
        <w:t xml:space="preserve"> it should be noted that no </w:t>
      </w:r>
      <w:r w:rsidR="005628B2">
        <w:rPr>
          <w:iCs/>
        </w:rPr>
        <w:t xml:space="preserve">decisions have been formally taken </w:t>
      </w:r>
      <w:r w:rsidR="00115234">
        <w:rPr>
          <w:iCs/>
        </w:rPr>
        <w:t xml:space="preserve">by IPHE, so the approach presented in this paper should not be taken as final. </w:t>
      </w:r>
      <w:r w:rsidR="00F865E0">
        <w:t xml:space="preserve">The scheme design </w:t>
      </w:r>
      <w:r w:rsidR="005628B2">
        <w:t>should</w:t>
      </w:r>
      <w:r w:rsidR="003B24F0">
        <w:t xml:space="preserve"> be adaptable</w:t>
      </w:r>
      <w:r w:rsidR="003B24F0" w:rsidRPr="00341F2B">
        <w:t xml:space="preserve"> over time to </w:t>
      </w:r>
      <w:r w:rsidR="003B24F0" w:rsidRPr="00CC5C3B">
        <w:t>remain consistent with the international standard</w:t>
      </w:r>
      <w:r w:rsidR="009268D4">
        <w:t>,</w:t>
      </w:r>
      <w:r w:rsidR="003B24F0" w:rsidRPr="00CC5C3B">
        <w:t xml:space="preserve"> or with global scheme developments</w:t>
      </w:r>
      <w:r w:rsidR="009268D4">
        <w:t xml:space="preserve">, </w:t>
      </w:r>
      <w:r w:rsidR="003B24F0" w:rsidRPr="00CC5C3B">
        <w:t xml:space="preserve">should </w:t>
      </w:r>
      <w:r w:rsidR="003B24F0">
        <w:t>this occur</w:t>
      </w:r>
      <w:r w:rsidR="003B24F0" w:rsidRPr="00341F2B">
        <w:t>.</w:t>
      </w:r>
    </w:p>
    <w:p w14:paraId="4376D2DE" w14:textId="3640136E" w:rsidR="00624933" w:rsidRDefault="0000413C">
      <w:pPr>
        <w:rPr>
          <w:iCs/>
        </w:rPr>
      </w:pPr>
      <w:r>
        <w:rPr>
          <w:iCs/>
        </w:rPr>
        <w:t>Following this consult</w:t>
      </w:r>
      <w:r w:rsidR="00177F4E">
        <w:rPr>
          <w:iCs/>
        </w:rPr>
        <w:t>ation, next steps will include trialling</w:t>
      </w:r>
      <w:r>
        <w:rPr>
          <w:iCs/>
        </w:rPr>
        <w:t xml:space="preserve"> the proposed methodologies for the three production pathways </w:t>
      </w:r>
      <w:r w:rsidR="00984663">
        <w:rPr>
          <w:iCs/>
        </w:rPr>
        <w:t>outlined here. This</w:t>
      </w:r>
      <w:r w:rsidR="00566853">
        <w:rPr>
          <w:iCs/>
        </w:rPr>
        <w:t xml:space="preserve"> will</w:t>
      </w:r>
      <w:r w:rsidR="00984663">
        <w:rPr>
          <w:iCs/>
        </w:rPr>
        <w:t xml:space="preserve"> test</w:t>
      </w:r>
      <w:r>
        <w:rPr>
          <w:iCs/>
        </w:rPr>
        <w:t xml:space="preserve"> the methodologies on actual projects, allowing us to further refine the methodol</w:t>
      </w:r>
      <w:r w:rsidR="00177F4E">
        <w:rPr>
          <w:iCs/>
        </w:rPr>
        <w:t>ogy. It is envisaged that trials</w:t>
      </w:r>
      <w:r>
        <w:rPr>
          <w:iCs/>
        </w:rPr>
        <w:t xml:space="preserve"> will </w:t>
      </w:r>
      <w:r w:rsidR="00E868F2">
        <w:rPr>
          <w:iCs/>
        </w:rPr>
        <w:t xml:space="preserve">be launched </w:t>
      </w:r>
      <w:r>
        <w:rPr>
          <w:iCs/>
        </w:rPr>
        <w:t xml:space="preserve">in </w:t>
      </w:r>
      <w:r w:rsidR="00DC604B">
        <w:rPr>
          <w:iCs/>
        </w:rPr>
        <w:t>the second half of 2021</w:t>
      </w:r>
      <w:r w:rsidR="0057192D">
        <w:rPr>
          <w:iCs/>
        </w:rPr>
        <w:t>.</w:t>
      </w:r>
    </w:p>
    <w:p w14:paraId="148A070A" w14:textId="3F8F1410" w:rsidR="00DE5406" w:rsidRDefault="00962428" w:rsidP="00962428">
      <w:pPr>
        <w:rPr>
          <w:iCs/>
        </w:rPr>
      </w:pPr>
      <w:r>
        <w:rPr>
          <w:iCs/>
        </w:rPr>
        <w:t>This paper contains questions for stakehold</w:t>
      </w:r>
      <w:r w:rsidR="000A620D">
        <w:rPr>
          <w:iCs/>
        </w:rPr>
        <w:t xml:space="preserve">ers on the proposed design of an initial Australian </w:t>
      </w:r>
      <w:r w:rsidR="00F67272">
        <w:rPr>
          <w:iCs/>
        </w:rPr>
        <w:t xml:space="preserve">hydrogen </w:t>
      </w:r>
      <w:r>
        <w:rPr>
          <w:iCs/>
        </w:rPr>
        <w:t>GO scheme. The feedback will be used to design a pilot scheme</w:t>
      </w:r>
      <w:r w:rsidR="005628B2">
        <w:rPr>
          <w:iCs/>
        </w:rPr>
        <w:t xml:space="preserve"> and</w:t>
      </w:r>
      <w:r>
        <w:rPr>
          <w:iCs/>
        </w:rPr>
        <w:t xml:space="preserve"> confirm Australia’s position </w:t>
      </w:r>
      <w:r w:rsidR="005628B2">
        <w:rPr>
          <w:iCs/>
        </w:rPr>
        <w:t xml:space="preserve">in </w:t>
      </w:r>
      <w:r>
        <w:rPr>
          <w:iCs/>
        </w:rPr>
        <w:t xml:space="preserve">IPHE. Feedback will further help to identify priorities for future expansion of the </w:t>
      </w:r>
      <w:r w:rsidR="000A620D">
        <w:rPr>
          <w:iCs/>
        </w:rPr>
        <w:t xml:space="preserve">initial </w:t>
      </w:r>
      <w:r>
        <w:rPr>
          <w:iCs/>
        </w:rPr>
        <w:t xml:space="preserve">scheme. </w:t>
      </w:r>
    </w:p>
    <w:p w14:paraId="3AC28DE7" w14:textId="5997BBDD" w:rsidR="00DE5406" w:rsidRDefault="008410FF" w:rsidP="008410FF">
      <w:pPr>
        <w:jc w:val="center"/>
        <w:rPr>
          <w:iCs/>
        </w:rPr>
      </w:pPr>
      <w:r w:rsidRPr="00EB0DA2">
        <w:rPr>
          <w:noProof/>
          <w:lang w:eastAsia="en-AU"/>
        </w:rPr>
        <w:lastRenderedPageBreak/>
        <w:drawing>
          <wp:inline distT="0" distB="0" distL="0" distR="0" wp14:anchorId="5B201073" wp14:editId="619A3B5C">
            <wp:extent cx="4256955" cy="5732473"/>
            <wp:effectExtent l="0" t="0" r="0" b="1905"/>
            <wp:docPr id="39" name="Picture 4" descr="Diagram showing production of hydrogen from renewable sources and low emissions fossil fuels using carbon capture and storage " title="Hydrogen production dia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stretch>
                      <a:fillRect/>
                    </a:stretch>
                  </pic:blipFill>
                  <pic:spPr>
                    <a:xfrm>
                      <a:off x="0" y="0"/>
                      <a:ext cx="4256955" cy="5732473"/>
                    </a:xfrm>
                    <a:prstGeom prst="rect">
                      <a:avLst/>
                    </a:prstGeom>
                  </pic:spPr>
                </pic:pic>
              </a:graphicData>
            </a:graphic>
          </wp:inline>
        </w:drawing>
      </w:r>
      <w:r w:rsidR="00DE5406">
        <w:rPr>
          <w:iCs/>
        </w:rPr>
        <w:br w:type="page"/>
      </w:r>
    </w:p>
    <w:p w14:paraId="7C34FBC7" w14:textId="0E1849DB" w:rsidR="00962428" w:rsidRDefault="00DE5406" w:rsidP="00DE5406">
      <w:pPr>
        <w:pStyle w:val="Heading1"/>
      </w:pPr>
      <w:bookmarkStart w:id="117" w:name="_Toc74839332"/>
      <w:r>
        <w:lastRenderedPageBreak/>
        <w:t>How to have your say</w:t>
      </w:r>
      <w:bookmarkEnd w:id="117"/>
    </w:p>
    <w:p w14:paraId="1A67C594" w14:textId="0E2FB6A6" w:rsidR="00372425" w:rsidRDefault="0048248E">
      <w:bookmarkStart w:id="118" w:name="_Toc65168364"/>
      <w:bookmarkStart w:id="119" w:name="_Toc67329101"/>
      <w:bookmarkStart w:id="120" w:name="_Toc67329349"/>
      <w:r>
        <w:t xml:space="preserve">The Department of Industry, Science, Energy and Resources are seeking feedback on the proposed approach for a Hydrogen Guarantee of Origin scheme for Australia. </w:t>
      </w:r>
      <w:r w:rsidR="00372425">
        <w:t xml:space="preserve">Responses to this discussion paper can be provided directly through the Department of Industry, Science, Energy and Resources </w:t>
      </w:r>
      <w:hyperlink r:id="rId16" w:history="1">
        <w:r w:rsidR="00372425" w:rsidRPr="00372425">
          <w:rPr>
            <w:rStyle w:val="Hyperlink"/>
          </w:rPr>
          <w:t>consultation hub</w:t>
        </w:r>
      </w:hyperlink>
      <w:r w:rsidR="00372425">
        <w:t xml:space="preserve">. </w:t>
      </w:r>
    </w:p>
    <w:p w14:paraId="6390A08C" w14:textId="77777777" w:rsidR="00372425" w:rsidRDefault="00372425">
      <w:r>
        <w:t xml:space="preserve">Submissions close Friday 30 July 2021. </w:t>
      </w:r>
    </w:p>
    <w:p w14:paraId="79443F15" w14:textId="3E6C11C5" w:rsidR="0074744D" w:rsidRDefault="0074744D">
      <w:pPr>
        <w:rPr>
          <w:rFonts w:asciiTheme="majorHAnsi" w:eastAsiaTheme="majorEastAsia" w:hAnsiTheme="majorHAnsi" w:cstheme="majorBidi"/>
          <w:color w:val="005677" w:themeColor="text2"/>
          <w:sz w:val="48"/>
          <w:szCs w:val="32"/>
        </w:rPr>
      </w:pPr>
      <w:r>
        <w:br w:type="page"/>
      </w:r>
    </w:p>
    <w:p w14:paraId="030FC204" w14:textId="3056AD3C" w:rsidR="004B4254" w:rsidRDefault="002F4B30" w:rsidP="00624933">
      <w:pPr>
        <w:pStyle w:val="Heading1"/>
      </w:pPr>
      <w:bookmarkStart w:id="121" w:name="_Toc67562605"/>
      <w:bookmarkStart w:id="122" w:name="_Toc68000188"/>
      <w:bookmarkStart w:id="123" w:name="_Toc68083119"/>
      <w:bookmarkStart w:id="124" w:name="_Toc68083514"/>
      <w:bookmarkStart w:id="125" w:name="_Toc68105053"/>
      <w:bookmarkStart w:id="126" w:name="_Toc74839333"/>
      <w:r>
        <w:lastRenderedPageBreak/>
        <w:t xml:space="preserve">1. </w:t>
      </w:r>
      <w:r w:rsidR="0074199A">
        <w:t>Introduction</w:t>
      </w:r>
      <w:bookmarkEnd w:id="113"/>
      <w:bookmarkEnd w:id="114"/>
      <w:bookmarkEnd w:id="118"/>
      <w:bookmarkEnd w:id="119"/>
      <w:bookmarkEnd w:id="120"/>
      <w:bookmarkEnd w:id="121"/>
      <w:bookmarkEnd w:id="122"/>
      <w:bookmarkEnd w:id="123"/>
      <w:bookmarkEnd w:id="124"/>
      <w:bookmarkEnd w:id="125"/>
      <w:bookmarkEnd w:id="126"/>
    </w:p>
    <w:p w14:paraId="7EFA390F" w14:textId="50F95F12" w:rsidR="00DB4138" w:rsidRDefault="0074199A" w:rsidP="003B47A9">
      <w:pPr>
        <w:pStyle w:val="Heading2"/>
        <w:numPr>
          <w:ilvl w:val="1"/>
          <w:numId w:val="1"/>
        </w:numPr>
      </w:pPr>
      <w:bookmarkStart w:id="127" w:name="_Toc62043717"/>
      <w:bookmarkStart w:id="128" w:name="_Toc64302362"/>
      <w:bookmarkStart w:id="129" w:name="_Toc65168365"/>
      <w:bookmarkStart w:id="130" w:name="_Toc67329102"/>
      <w:bookmarkStart w:id="131" w:name="_Toc67329350"/>
      <w:bookmarkStart w:id="132" w:name="_Toc67562606"/>
      <w:bookmarkStart w:id="133" w:name="_Toc68000189"/>
      <w:bookmarkStart w:id="134" w:name="_Toc68083120"/>
      <w:bookmarkStart w:id="135" w:name="_Toc68083515"/>
      <w:bookmarkStart w:id="136" w:name="_Toc68105054"/>
      <w:bookmarkStart w:id="137" w:name="_Toc74839334"/>
      <w:r>
        <w:t xml:space="preserve">Why do we need a </w:t>
      </w:r>
      <w:r w:rsidR="009A7C0D">
        <w:t>Guarantee of Origin</w:t>
      </w:r>
      <w:r>
        <w:t xml:space="preserve"> </w:t>
      </w:r>
      <w:r w:rsidR="00822FF3">
        <w:t>s</w:t>
      </w:r>
      <w:r>
        <w:t xml:space="preserve">cheme for </w:t>
      </w:r>
      <w:r w:rsidR="000F1BF1">
        <w:t>h</w:t>
      </w:r>
      <w:r>
        <w:t>ydrogen?</w:t>
      </w:r>
      <w:bookmarkEnd w:id="127"/>
      <w:bookmarkEnd w:id="128"/>
      <w:bookmarkEnd w:id="129"/>
      <w:bookmarkEnd w:id="130"/>
      <w:bookmarkEnd w:id="131"/>
      <w:bookmarkEnd w:id="132"/>
      <w:bookmarkEnd w:id="133"/>
      <w:bookmarkEnd w:id="134"/>
      <w:bookmarkEnd w:id="135"/>
      <w:bookmarkEnd w:id="136"/>
      <w:bookmarkEnd w:id="137"/>
    </w:p>
    <w:p w14:paraId="51B551CE" w14:textId="76974A5B" w:rsidR="003C2C7B" w:rsidRDefault="003C2C7B" w:rsidP="002C207D">
      <w:r>
        <w:t>Hydrog</w:t>
      </w:r>
      <w:r w:rsidR="00664FB4">
        <w:t>en is</w:t>
      </w:r>
      <w:r>
        <w:t xml:space="preserve"> a flexible, safe, transportable and storable fuel that can be used to power vehicles and generate heat and electricity. When it is used it produces no carbon emissions, but </w:t>
      </w:r>
      <w:r w:rsidR="009A7C0D">
        <w:t>whether hydrogen</w:t>
      </w:r>
      <w:r w:rsidR="006B2878">
        <w:t xml:space="preserve"> is </w:t>
      </w:r>
      <w:r w:rsidR="00037B5B">
        <w:t>zero or low</w:t>
      </w:r>
      <w:r w:rsidR="006B2878">
        <w:t xml:space="preserve"> </w:t>
      </w:r>
      <w:r>
        <w:t xml:space="preserve">emissions depends on how it is produced. </w:t>
      </w:r>
    </w:p>
    <w:p w14:paraId="7732C65B" w14:textId="0374E8AB" w:rsidR="00002DDD" w:rsidRDefault="003852F8" w:rsidP="002C207D">
      <w:r>
        <w:t>Clean</w:t>
      </w:r>
      <w:r w:rsidR="002130AF">
        <w:t xml:space="preserve"> hydrogen production pathways are currently more expensive</w:t>
      </w:r>
      <w:r w:rsidR="0078336B">
        <w:t xml:space="preserve"> than the current production pathways that mostly use steam methane reforming</w:t>
      </w:r>
      <w:r w:rsidR="0028367E">
        <w:t xml:space="preserve"> without carbon capture and storage (</w:t>
      </w:r>
      <w:r w:rsidR="000F460C">
        <w:t>CCS</w:t>
      </w:r>
      <w:r w:rsidR="0028367E">
        <w:t>)</w:t>
      </w:r>
      <w:r w:rsidR="0078336B">
        <w:t>. H</w:t>
      </w:r>
      <w:r w:rsidR="002130AF">
        <w:t>owever, consumers are showing inter</w:t>
      </w:r>
      <w:r w:rsidR="0078336B">
        <w:t xml:space="preserve">est </w:t>
      </w:r>
      <w:r w:rsidR="005C18B0">
        <w:t xml:space="preserve">in reducing carbon emissions and </w:t>
      </w:r>
      <w:r w:rsidR="002130AF">
        <w:t>willing</w:t>
      </w:r>
      <w:r w:rsidR="005C18B0">
        <w:t>ness</w:t>
      </w:r>
      <w:r w:rsidR="002130AF">
        <w:t xml:space="preserve"> to pay a premium for low-emission fuels. </w:t>
      </w:r>
    </w:p>
    <w:p w14:paraId="16DD0524" w14:textId="085E7116" w:rsidR="001A1B4D" w:rsidRDefault="001A1B4D" w:rsidP="002C207D">
      <w:r w:rsidRPr="001A1B4D">
        <w:rPr>
          <w:noProof/>
          <w:lang w:eastAsia="en-AU"/>
        </w:rPr>
        <w:drawing>
          <wp:inline distT="0" distB="0" distL="0" distR="0" wp14:anchorId="2A25074D" wp14:editId="7BCD1231">
            <wp:extent cx="5544185" cy="4646295"/>
            <wp:effectExtent l="0" t="0" r="0" b="1905"/>
            <wp:docPr id="14" name="Picture 8" descr="Diagram of hydrogen production from renewable electrolysis and coal and gas steam methane reforming " title="Production pathways for hydr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7"/>
                    <a:stretch>
                      <a:fillRect/>
                    </a:stretch>
                  </pic:blipFill>
                  <pic:spPr>
                    <a:xfrm>
                      <a:off x="0" y="0"/>
                      <a:ext cx="5544185" cy="4646295"/>
                    </a:xfrm>
                    <a:prstGeom prst="rect">
                      <a:avLst/>
                    </a:prstGeom>
                  </pic:spPr>
                </pic:pic>
              </a:graphicData>
            </a:graphic>
          </wp:inline>
        </w:drawing>
      </w:r>
    </w:p>
    <w:p w14:paraId="3E6A30D9" w14:textId="4DCC5C5D" w:rsidR="006F794E" w:rsidRPr="003A3561" w:rsidRDefault="006F794E" w:rsidP="003A3561">
      <w:pPr>
        <w:pStyle w:val="Caption"/>
        <w:jc w:val="center"/>
      </w:pPr>
      <w:r w:rsidRPr="003A3561">
        <w:t xml:space="preserve">Production pathways for </w:t>
      </w:r>
      <w:r w:rsidR="00FA3F50" w:rsidRPr="003A3561">
        <w:t>clean hydrogen—</w:t>
      </w:r>
      <w:r w:rsidRPr="003A3561">
        <w:t>electrolysis and thermochemical reactions</w:t>
      </w:r>
    </w:p>
    <w:p w14:paraId="6C1C98F6" w14:textId="0AE0BA98" w:rsidR="0028367E" w:rsidRDefault="0028367E" w:rsidP="002C207D">
      <w:r>
        <w:t xml:space="preserve">A </w:t>
      </w:r>
      <w:r w:rsidR="009A7C0D">
        <w:t>Guarantee of Origin</w:t>
      </w:r>
      <w:r w:rsidR="002130AF">
        <w:t xml:space="preserve"> (GO) </w:t>
      </w:r>
      <w:r>
        <w:t xml:space="preserve">or </w:t>
      </w:r>
      <w:r w:rsidR="00D7146E">
        <w:t>certification</w:t>
      </w:r>
      <w:r>
        <w:t xml:space="preserve"> </w:t>
      </w:r>
      <w:r w:rsidR="002130AF">
        <w:t xml:space="preserve">scheme for hydrogen </w:t>
      </w:r>
      <w:r>
        <w:t>will provide</w:t>
      </w:r>
      <w:r w:rsidR="002130AF">
        <w:t xml:space="preserve"> a consistent and accurate approach to track the </w:t>
      </w:r>
      <w:r w:rsidR="003C2C7B">
        <w:t>key attributes</w:t>
      </w:r>
      <w:r w:rsidR="002130AF">
        <w:t xml:space="preserve"> associated with hydrogen production</w:t>
      </w:r>
      <w:r w:rsidR="003C2C7B">
        <w:t>, in particular its carbon footprint</w:t>
      </w:r>
      <w:r w:rsidR="002130AF">
        <w:t xml:space="preserve">. A GO scheme </w:t>
      </w:r>
      <w:r w:rsidR="009A7C0D">
        <w:t>would provide</w:t>
      </w:r>
      <w:r w:rsidR="002761B3">
        <w:t xml:space="preserve"> much needed</w:t>
      </w:r>
      <w:r w:rsidR="002130AF">
        <w:t xml:space="preserve"> transparency </w:t>
      </w:r>
      <w:r w:rsidR="002761B3">
        <w:t xml:space="preserve">to consumers </w:t>
      </w:r>
      <w:r w:rsidR="002130AF">
        <w:t>around the environmental impact of the hyd</w:t>
      </w:r>
      <w:r>
        <w:t>rogen being purchased and used.</w:t>
      </w:r>
    </w:p>
    <w:p w14:paraId="04F54A21" w14:textId="13AF9938" w:rsidR="00EF67C4" w:rsidRDefault="0028367E" w:rsidP="002C207D">
      <w:r>
        <w:t>Hydrogen will be an internationally traded commodity and Australia is well placed to be a maj</w:t>
      </w:r>
      <w:r w:rsidR="00D7146E">
        <w:t>or exporter. It is important that</w:t>
      </w:r>
      <w:r>
        <w:t xml:space="preserve"> hydrogen </w:t>
      </w:r>
      <w:r w:rsidR="00DE1808">
        <w:t>GO</w:t>
      </w:r>
      <w:r>
        <w:t xml:space="preserve"> </w:t>
      </w:r>
      <w:r w:rsidR="00B92042">
        <w:t>s</w:t>
      </w:r>
      <w:r>
        <w:t>chemes are internationally consistent to facilitate efficient international trade</w:t>
      </w:r>
      <w:r w:rsidR="00E87DD7">
        <w:t xml:space="preserve"> and enables informed choice for customers</w:t>
      </w:r>
      <w:r>
        <w:t>. This will be vital</w:t>
      </w:r>
      <w:r w:rsidR="00715081">
        <w:t xml:space="preserve"> to allow </w:t>
      </w:r>
      <w:r w:rsidR="00715081">
        <w:lastRenderedPageBreak/>
        <w:t xml:space="preserve">Australia </w:t>
      </w:r>
      <w:r w:rsidR="005E2617">
        <w:t xml:space="preserve">to </w:t>
      </w:r>
      <w:r w:rsidR="00715081">
        <w:t xml:space="preserve">scale up </w:t>
      </w:r>
      <w:r>
        <w:t xml:space="preserve">its </w:t>
      </w:r>
      <w:r w:rsidR="00715081">
        <w:t>domestic industry and reach our po</w:t>
      </w:r>
      <w:r w:rsidR="002B6897">
        <w:t>tential as a hydrogen producer</w:t>
      </w:r>
      <w:r w:rsidR="00715081">
        <w:t xml:space="preserve"> and export powerhouse. </w:t>
      </w:r>
    </w:p>
    <w:p w14:paraId="44FB6317" w14:textId="2DD65436" w:rsidR="00C0097C" w:rsidRDefault="00C0097C" w:rsidP="002C207D">
      <w:r>
        <w:t>This paper focuses on developing the carbon accounting methodology and regulatory aspects of the scheme. The scheme would provide branding opportunities for</w:t>
      </w:r>
      <w:r w:rsidR="00BF6665">
        <w:t xml:space="preserve"> certified hydrogen</w:t>
      </w:r>
      <w:r>
        <w:t xml:space="preserve">, however this aspect will be considered at a later date and there may be options for Government and non-Government branding. </w:t>
      </w:r>
    </w:p>
    <w:p w14:paraId="0BF3D943" w14:textId="01661A49" w:rsidR="003C2C7B" w:rsidRPr="005178F7" w:rsidRDefault="003C2C7B" w:rsidP="003B47A9">
      <w:pPr>
        <w:pStyle w:val="Heading2"/>
        <w:numPr>
          <w:ilvl w:val="1"/>
          <w:numId w:val="1"/>
        </w:numPr>
      </w:pPr>
      <w:bookmarkStart w:id="138" w:name="_Toc62043718"/>
      <w:bookmarkStart w:id="139" w:name="_Toc64302363"/>
      <w:bookmarkStart w:id="140" w:name="_Toc65168366"/>
      <w:bookmarkStart w:id="141" w:name="_Toc67329103"/>
      <w:bookmarkStart w:id="142" w:name="_Toc67329351"/>
      <w:bookmarkStart w:id="143" w:name="_Toc67562607"/>
      <w:bookmarkStart w:id="144" w:name="_Toc68000190"/>
      <w:bookmarkStart w:id="145" w:name="_Toc68083121"/>
      <w:bookmarkStart w:id="146" w:name="_Toc68083516"/>
      <w:bookmarkStart w:id="147" w:name="_Toc68105055"/>
      <w:bookmarkStart w:id="148" w:name="_Toc74839335"/>
      <w:r>
        <w:t>National Hydrogen Strategy</w:t>
      </w:r>
      <w:bookmarkEnd w:id="138"/>
      <w:bookmarkEnd w:id="139"/>
      <w:bookmarkEnd w:id="140"/>
      <w:bookmarkEnd w:id="141"/>
      <w:bookmarkEnd w:id="142"/>
      <w:bookmarkEnd w:id="143"/>
      <w:bookmarkEnd w:id="144"/>
      <w:bookmarkEnd w:id="145"/>
      <w:bookmarkEnd w:id="146"/>
      <w:bookmarkEnd w:id="147"/>
      <w:bookmarkEnd w:id="148"/>
    </w:p>
    <w:p w14:paraId="40B10884" w14:textId="450B01FD" w:rsidR="0066417B" w:rsidRDefault="001A1B4D" w:rsidP="003C2C7B">
      <w:r w:rsidRPr="001841A8">
        <w:rPr>
          <w:noProof/>
          <w:lang w:eastAsia="en-AU"/>
        </w:rPr>
        <w:drawing>
          <wp:anchor distT="0" distB="0" distL="114300" distR="114300" simplePos="0" relativeHeight="251658243" behindDoc="0" locked="0" layoutInCell="1" allowOverlap="1" wp14:anchorId="1EFEF1D6" wp14:editId="1CA32E4F">
            <wp:simplePos x="0" y="0"/>
            <wp:positionH relativeFrom="margin">
              <wp:posOffset>3391535</wp:posOffset>
            </wp:positionH>
            <wp:positionV relativeFrom="paragraph">
              <wp:posOffset>57785</wp:posOffset>
            </wp:positionV>
            <wp:extent cx="2565400" cy="3522345"/>
            <wp:effectExtent l="0" t="0" r="6350" b="1905"/>
            <wp:wrapSquare wrapText="bothSides"/>
            <wp:docPr id="8" name="Picture 7" descr="Image of front cover of Australia's National Hydrogen Strategy" title="Australia's National Hydrogen Strategy ">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C47A9F90-711D-4DB7-823C-483D2F0A76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C47A9F90-711D-4DB7-823C-483D2F0A76BC}"/>
                        </a:ext>
                      </a:extLst>
                    </pic:cNvPr>
                    <pic:cNvPicPr>
                      <a:picLocks noChangeAspect="1"/>
                    </pic:cNvPicPr>
                  </pic:nvPicPr>
                  <pic:blipFill>
                    <a:blip r:embed="rId18" cstate="email">
                      <a:extLst>
                        <a:ext uri="{28A0092B-C50C-407E-A947-70E740481C1C}">
                          <a14:useLocalDpi xmlns:a14="http://schemas.microsoft.com/office/drawing/2010/main" val="0"/>
                        </a:ext>
                      </a:extLst>
                    </a:blip>
                    <a:stretch>
                      <a:fillRect/>
                    </a:stretch>
                  </pic:blipFill>
                  <pic:spPr>
                    <a:xfrm>
                      <a:off x="0" y="0"/>
                      <a:ext cx="2565400" cy="3522345"/>
                    </a:xfrm>
                    <a:prstGeom prst="rect">
                      <a:avLst/>
                    </a:prstGeom>
                  </pic:spPr>
                </pic:pic>
              </a:graphicData>
            </a:graphic>
            <wp14:sizeRelH relativeFrom="page">
              <wp14:pctWidth>0</wp14:pctWidth>
            </wp14:sizeRelH>
            <wp14:sizeRelV relativeFrom="page">
              <wp14:pctHeight>0</wp14:pctHeight>
            </wp14:sizeRelV>
          </wp:anchor>
        </w:drawing>
      </w:r>
      <w:r w:rsidR="0066417B">
        <w:t xml:space="preserve">Australia’s </w:t>
      </w:r>
      <w:r w:rsidR="00762738">
        <w:t>N</w:t>
      </w:r>
      <w:r w:rsidR="0066417B">
        <w:t xml:space="preserve">ational Hydrogen Strategy </w:t>
      </w:r>
      <w:r w:rsidR="005C18B0">
        <w:t xml:space="preserve">(the Strategy) </w:t>
      </w:r>
      <w:r w:rsidR="0066417B">
        <w:t xml:space="preserve">was released by </w:t>
      </w:r>
      <w:r w:rsidR="000F1BF1">
        <w:t xml:space="preserve">the </w:t>
      </w:r>
      <w:r w:rsidR="0066417B">
        <w:t>Australia</w:t>
      </w:r>
      <w:r w:rsidR="005E2617">
        <w:t>n</w:t>
      </w:r>
      <w:r w:rsidR="0066417B">
        <w:t xml:space="preserve"> Government</w:t>
      </w:r>
      <w:r w:rsidR="001C42BF">
        <w:t xml:space="preserve"> in November 2019. It identifies</w:t>
      </w:r>
      <w:r w:rsidR="0066417B">
        <w:t xml:space="preserve"> 57 actions to build Australia’s hydrogen industry, themed around national coordination, developing production capacity supported by local demand, responsive regulation, international engagement, innovation and research and development, skills and workforce and community confidence. </w:t>
      </w:r>
    </w:p>
    <w:p w14:paraId="4661C09C" w14:textId="2AC49D0C" w:rsidR="001A1B4D" w:rsidRDefault="001C42BF" w:rsidP="003C2C7B">
      <w:r>
        <w:t>The d</w:t>
      </w:r>
      <w:r w:rsidR="003C2C7B">
        <w:t>evelopmen</w:t>
      </w:r>
      <w:r w:rsidR="00C34329">
        <w:t xml:space="preserve">t of a </w:t>
      </w:r>
      <w:r w:rsidR="00D461B8">
        <w:t>hydrogen</w:t>
      </w:r>
      <w:r w:rsidR="00C34329">
        <w:t xml:space="preserve"> </w:t>
      </w:r>
      <w:r w:rsidR="00DE1808">
        <w:t>GO</w:t>
      </w:r>
      <w:r w:rsidR="00C34329">
        <w:t xml:space="preserve"> scheme</w:t>
      </w:r>
      <w:r w:rsidR="003C2C7B">
        <w:t xml:space="preserve"> is a key action item and </w:t>
      </w:r>
      <w:r w:rsidR="00086F1C">
        <w:t xml:space="preserve">an </w:t>
      </w:r>
      <w:r w:rsidR="003C2C7B">
        <w:t xml:space="preserve">early priority agreed by </w:t>
      </w:r>
      <w:r w:rsidR="00F87475">
        <w:t>the Australian and state and territory governments</w:t>
      </w:r>
      <w:r w:rsidR="003C2C7B">
        <w:t xml:space="preserve"> in the </w:t>
      </w:r>
      <w:r w:rsidR="005C18B0">
        <w:t>Strategy. The S</w:t>
      </w:r>
      <w:r w:rsidR="003C2C7B">
        <w:t>trategy recognises that a global scheme would be ideal to facilitate international trade and provide consumers w</w:t>
      </w:r>
      <w:r>
        <w:t>ith the assurances they seek</w:t>
      </w:r>
      <w:r w:rsidR="00086F1C">
        <w:t>. T</w:t>
      </w:r>
      <w:r w:rsidR="003C2C7B">
        <w:t>he strategy</w:t>
      </w:r>
      <w:r w:rsidR="005C18B0">
        <w:t xml:space="preserve"> therefore</w:t>
      </w:r>
      <w:r w:rsidR="003C2C7B">
        <w:t xml:space="preserve"> states that Australia will seek to be a leader in the development of an international </w:t>
      </w:r>
      <w:r>
        <w:t xml:space="preserve">hydrogen </w:t>
      </w:r>
      <w:r w:rsidR="00DE1808">
        <w:t>GO</w:t>
      </w:r>
      <w:r w:rsidR="003C2C7B">
        <w:t xml:space="preserve"> scheme, and that any domestic scheme should build on or harmonise with international schemes. The Strategy </w:t>
      </w:r>
      <w:r w:rsidR="00453D46">
        <w:t xml:space="preserve">however </w:t>
      </w:r>
      <w:r w:rsidR="003C2C7B">
        <w:t>notes that agreeing an international scheme should not delay inve</w:t>
      </w:r>
      <w:r w:rsidR="00E1433F">
        <w:t>stment in hydro</w:t>
      </w:r>
      <w:r w:rsidR="00C34329">
        <w:t>gen production</w:t>
      </w:r>
      <w:r w:rsidR="003C2C7B">
        <w:t xml:space="preserve">. </w:t>
      </w:r>
    </w:p>
    <w:p w14:paraId="3296ACB7" w14:textId="2F270766" w:rsidR="003C2C7B" w:rsidRDefault="003C2C7B" w:rsidP="003C2C7B">
      <w:r>
        <w:t xml:space="preserve">The Strategy </w:t>
      </w:r>
      <w:r w:rsidR="00086F1C">
        <w:t>identifies that ideally</w:t>
      </w:r>
      <w:r>
        <w:t xml:space="preserve"> an i</w:t>
      </w:r>
      <w:r w:rsidR="001C42BF">
        <w:t xml:space="preserve">nitial </w:t>
      </w:r>
      <w:r>
        <w:t>scheme</w:t>
      </w:r>
      <w:r w:rsidR="00086F1C">
        <w:t xml:space="preserve"> covering hydrogen production will emerge</w:t>
      </w:r>
      <w:r>
        <w:t xml:space="preserve"> </w:t>
      </w:r>
      <w:r w:rsidR="00086F1C">
        <w:t>to sup</w:t>
      </w:r>
      <w:r w:rsidR="00664FB4">
        <w:t>port early projects</w:t>
      </w:r>
      <w:r w:rsidR="00D461B8">
        <w:t>. T</w:t>
      </w:r>
      <w:r w:rsidR="00664FB4">
        <w:t>his</w:t>
      </w:r>
      <w:r w:rsidR="00086F1C">
        <w:t xml:space="preserve"> could be changed or built on over time to consider other factors and other processes as needed to support industry growth and to align with international developments. This initial scheme would</w:t>
      </w:r>
      <w:r>
        <w:t xml:space="preserve"> verif</w:t>
      </w:r>
      <w:r w:rsidR="00086F1C">
        <w:t>y</w:t>
      </w:r>
      <w:r>
        <w:t xml:space="preserve"> and track</w:t>
      </w:r>
      <w:r w:rsidR="00D461B8">
        <w:t>:</w:t>
      </w:r>
      <w:r>
        <w:t xml:space="preserve"> </w:t>
      </w:r>
    </w:p>
    <w:p w14:paraId="596CC085" w14:textId="6FF9AEF5" w:rsidR="003C2C7B" w:rsidRDefault="003C2C7B" w:rsidP="00A214E2">
      <w:pPr>
        <w:pStyle w:val="ListParagraph"/>
        <w:keepNext/>
        <w:numPr>
          <w:ilvl w:val="0"/>
          <w:numId w:val="23"/>
        </w:numPr>
        <w:ind w:left="1077" w:hanging="357"/>
      </w:pPr>
      <w:r>
        <w:t>Production technology</w:t>
      </w:r>
      <w:r w:rsidR="00D82BA6">
        <w:t>,</w:t>
      </w:r>
    </w:p>
    <w:p w14:paraId="3C229891" w14:textId="374F69C8" w:rsidR="003C2C7B" w:rsidRDefault="003C2C7B" w:rsidP="00C20DB5">
      <w:pPr>
        <w:pStyle w:val="ListParagraph"/>
        <w:numPr>
          <w:ilvl w:val="0"/>
          <w:numId w:val="23"/>
        </w:numPr>
      </w:pPr>
      <w:r>
        <w:t>Carbon emissions associated with production (scope 1 and scope 2</w:t>
      </w:r>
      <w:r w:rsidR="00BF6665">
        <w:rPr>
          <w:rStyle w:val="FootnoteReference"/>
        </w:rPr>
        <w:footnoteReference w:id="2"/>
      </w:r>
      <w:r>
        <w:t xml:space="preserve">), and </w:t>
      </w:r>
    </w:p>
    <w:p w14:paraId="1643BBE2" w14:textId="77777777" w:rsidR="003C2C7B" w:rsidRPr="00715081" w:rsidRDefault="003C2C7B" w:rsidP="00C20DB5">
      <w:pPr>
        <w:pStyle w:val="ListParagraph"/>
        <w:numPr>
          <w:ilvl w:val="0"/>
          <w:numId w:val="23"/>
        </w:numPr>
      </w:pPr>
      <w:r>
        <w:t xml:space="preserve">Production location. </w:t>
      </w:r>
    </w:p>
    <w:p w14:paraId="00E974AC" w14:textId="30C60E5A" w:rsidR="00086F1C" w:rsidRDefault="00086F1C" w:rsidP="002C207D">
      <w:r>
        <w:t xml:space="preserve">Feedback from stakeholders during consultations has identified that it will be essential to also track the source of energy used in production in any initial scheme. </w:t>
      </w:r>
    </w:p>
    <w:p w14:paraId="01580B7E" w14:textId="205B7FAC" w:rsidR="001A1B4D" w:rsidRDefault="00564DCF">
      <w:r>
        <w:t xml:space="preserve">Consistent with </w:t>
      </w:r>
      <w:r w:rsidR="00086F1C">
        <w:t>this approach</w:t>
      </w:r>
      <w:r>
        <w:t xml:space="preserve">, the focus of this paper is </w:t>
      </w:r>
      <w:r w:rsidR="00086F1C">
        <w:t xml:space="preserve">to develop methods </w:t>
      </w:r>
      <w:r>
        <w:t xml:space="preserve">for transparently calculating the carbon emissions associated with hydrogen production. </w:t>
      </w:r>
      <w:r w:rsidR="00857737">
        <w:t>This will allow buyers of hydrogen to set their own definitions of ‘green’ or ‘</w:t>
      </w:r>
      <w:r w:rsidR="00544571">
        <w:t>blue</w:t>
      </w:r>
      <w:r w:rsidR="00857737">
        <w:t xml:space="preserve">’ hydrogen with reference to agreed international standards. </w:t>
      </w:r>
    </w:p>
    <w:p w14:paraId="72F061BD" w14:textId="7940371C" w:rsidR="001A1B4D" w:rsidRDefault="006F794E" w:rsidP="002C207D">
      <w:r w:rsidRPr="001A1B4D">
        <w:rPr>
          <w:noProof/>
          <w:lang w:eastAsia="en-AU"/>
        </w:rPr>
        <w:lastRenderedPageBreak/>
        <w:drawing>
          <wp:inline distT="0" distB="0" distL="0" distR="0" wp14:anchorId="2F8F2D73" wp14:editId="08258E91">
            <wp:extent cx="4572705" cy="5309419"/>
            <wp:effectExtent l="0" t="0" r="0" b="5715"/>
            <wp:docPr id="9" name="Picture 6" descr="Diagram showing uses of hydrogen. This covers exports, heat, chemical feedstock, transport, grid elecricity, remote sites " title="Uses of hydro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9"/>
                    <a:stretch>
                      <a:fillRect/>
                    </a:stretch>
                  </pic:blipFill>
                  <pic:spPr>
                    <a:xfrm>
                      <a:off x="0" y="0"/>
                      <a:ext cx="4572705" cy="5309419"/>
                    </a:xfrm>
                    <a:prstGeom prst="rect">
                      <a:avLst/>
                    </a:prstGeom>
                  </pic:spPr>
                </pic:pic>
              </a:graphicData>
            </a:graphic>
          </wp:inline>
        </w:drawing>
      </w:r>
    </w:p>
    <w:p w14:paraId="26249EF4" w14:textId="6377E353" w:rsidR="0074199A" w:rsidRDefault="0074199A" w:rsidP="003B47A9">
      <w:pPr>
        <w:pStyle w:val="Heading2"/>
        <w:numPr>
          <w:ilvl w:val="1"/>
          <w:numId w:val="1"/>
        </w:numPr>
      </w:pPr>
      <w:bookmarkStart w:id="149" w:name="_Toc62043719"/>
      <w:bookmarkStart w:id="150" w:name="_Toc64302364"/>
      <w:bookmarkStart w:id="151" w:name="_Toc65168367"/>
      <w:bookmarkStart w:id="152" w:name="_Toc67329104"/>
      <w:bookmarkStart w:id="153" w:name="_Toc67329352"/>
      <w:bookmarkStart w:id="154" w:name="_Toc67562608"/>
      <w:bookmarkStart w:id="155" w:name="_Toc68000191"/>
      <w:bookmarkStart w:id="156" w:name="_Toc68083122"/>
      <w:bookmarkStart w:id="157" w:name="_Toc68083517"/>
      <w:bookmarkStart w:id="158" w:name="_Toc68105056"/>
      <w:bookmarkStart w:id="159" w:name="_Toc74839336"/>
      <w:r>
        <w:t>International context</w:t>
      </w:r>
      <w:bookmarkEnd w:id="149"/>
      <w:bookmarkEnd w:id="150"/>
      <w:bookmarkEnd w:id="151"/>
      <w:bookmarkEnd w:id="152"/>
      <w:bookmarkEnd w:id="153"/>
      <w:bookmarkEnd w:id="154"/>
      <w:bookmarkEnd w:id="155"/>
      <w:bookmarkEnd w:id="156"/>
      <w:bookmarkEnd w:id="157"/>
      <w:bookmarkEnd w:id="158"/>
      <w:bookmarkEnd w:id="159"/>
      <w:r>
        <w:t xml:space="preserve"> </w:t>
      </w:r>
    </w:p>
    <w:p w14:paraId="352F5C45" w14:textId="228681C3" w:rsidR="00F71590" w:rsidRDefault="00F71590" w:rsidP="00F71590">
      <w:r>
        <w:t xml:space="preserve">Several </w:t>
      </w:r>
      <w:r w:rsidR="00DE1808">
        <w:t>GO</w:t>
      </w:r>
      <w:r>
        <w:t xml:space="preserve"> schemes </w:t>
      </w:r>
      <w:r w:rsidR="00715081">
        <w:t xml:space="preserve">for </w:t>
      </w:r>
      <w:r w:rsidR="00673C4F">
        <w:t xml:space="preserve">renewables based </w:t>
      </w:r>
      <w:r w:rsidR="00715081">
        <w:t>or low-carbon hydrogen</w:t>
      </w:r>
      <w:r w:rsidR="00564DCF">
        <w:t xml:space="preserve"> are already in development,</w:t>
      </w:r>
      <w:r>
        <w:t xml:space="preserve"> the most </w:t>
      </w:r>
      <w:r w:rsidR="00715081">
        <w:t>advanced</w:t>
      </w:r>
      <w:r>
        <w:t xml:space="preserve"> of which is </w:t>
      </w:r>
      <w:r w:rsidR="00453D46">
        <w:t xml:space="preserve">the European scheme </w:t>
      </w:r>
      <w:r>
        <w:t xml:space="preserve">CertifHy. CertifHy was founded in 2014 </w:t>
      </w:r>
      <w:r w:rsidR="002B0453">
        <w:t>by a cons</w:t>
      </w:r>
      <w:r w:rsidR="00564DCF">
        <w:t xml:space="preserve">ortium of industry stakeholders with the aim of designing and </w:t>
      </w:r>
      <w:r>
        <w:t>implement</w:t>
      </w:r>
      <w:r w:rsidR="00564DCF">
        <w:t>ing</w:t>
      </w:r>
      <w:r>
        <w:t xml:space="preserve"> </w:t>
      </w:r>
      <w:r w:rsidR="00DC604B">
        <w:t xml:space="preserve">Europe's first comprehensive </w:t>
      </w:r>
      <w:r w:rsidR="00DE1808">
        <w:t>GO</w:t>
      </w:r>
      <w:r>
        <w:t xml:space="preserve"> scheme for </w:t>
      </w:r>
      <w:r w:rsidR="00673C4F">
        <w:t xml:space="preserve">renewable </w:t>
      </w:r>
      <w:r>
        <w:t xml:space="preserve">and low-carbon hydrogen. </w:t>
      </w:r>
      <w:r w:rsidR="007A6123">
        <w:t>The CertifHy scheme is closely aligned to European Union policies</w:t>
      </w:r>
      <w:r w:rsidR="00753781">
        <w:t>, specifically the Renewable Energy Directives (R</w:t>
      </w:r>
      <w:r w:rsidR="00EA17A0">
        <w:t>ED I and II). It includes</w:t>
      </w:r>
      <w:r w:rsidR="00753781">
        <w:t xml:space="preserve"> eligibility requirements that set minimum thresholds of the emissions intensity of hydrogen that can be cert</w:t>
      </w:r>
      <w:r w:rsidR="00AB270B">
        <w:t>ified under the scheme.</w:t>
      </w:r>
      <w:r w:rsidR="00FD7A30">
        <w:t xml:space="preserve"> CertifHy has been implemented through a phased approach with Phase 1 (2014</w:t>
      </w:r>
      <w:r w:rsidR="00D461B8">
        <w:t>–</w:t>
      </w:r>
      <w:r w:rsidR="00FD7A30">
        <w:t>16) focusing on the design of the scheme, phase 2 (2017</w:t>
      </w:r>
      <w:r w:rsidR="00D461B8">
        <w:t>–</w:t>
      </w:r>
      <w:r w:rsidR="00FD7A30">
        <w:t>19) focusing on the governance infrastructure and four pilot projects to</w:t>
      </w:r>
      <w:r w:rsidR="002B6897">
        <w:t xml:space="preserve"> test the scheme</w:t>
      </w:r>
      <w:r w:rsidR="00FD7A30">
        <w:t xml:space="preserve"> design, and the third</w:t>
      </w:r>
      <w:r w:rsidR="009A430F">
        <w:t xml:space="preserve"> and current</w:t>
      </w:r>
      <w:r w:rsidR="00FD7A30">
        <w:t xml:space="preserve"> phase focussing on EU wide deployment. </w:t>
      </w:r>
      <w:r w:rsidR="00AB270B">
        <w:t xml:space="preserve"> </w:t>
      </w:r>
    </w:p>
    <w:p w14:paraId="071F5F66" w14:textId="17C3F355" w:rsidR="00F71590" w:rsidRDefault="00F71590" w:rsidP="00F71590">
      <w:r>
        <w:t xml:space="preserve">Country specific hydrogen </w:t>
      </w:r>
      <w:r w:rsidR="00DE1808">
        <w:t>GO</w:t>
      </w:r>
      <w:r>
        <w:t xml:space="preserve"> schemes in Germany (</w:t>
      </w:r>
      <w:r w:rsidRPr="0071625D">
        <w:t>T</w:t>
      </w:r>
      <w:r w:rsidR="0071625D">
        <w:t>U</w:t>
      </w:r>
      <w:r w:rsidRPr="0071625D">
        <w:t>V</w:t>
      </w:r>
      <w:r w:rsidR="00BB7A52">
        <w:t xml:space="preserve"> SUD</w:t>
      </w:r>
      <w:r>
        <w:t>) and France (AFHYPAC) are less developed b</w:t>
      </w:r>
      <w:r w:rsidR="00D7146E">
        <w:t xml:space="preserve">ut similarly </w:t>
      </w:r>
      <w:r w:rsidR="00422A98">
        <w:t>aimed at ver</w:t>
      </w:r>
      <w:r w:rsidR="00D461B8">
        <w:t>i</w:t>
      </w:r>
      <w:r w:rsidR="00422A98">
        <w:t>fying</w:t>
      </w:r>
      <w:r>
        <w:t xml:space="preserve"> the amount of hydrogen produced from renewable or sustainable sources. Renewable </w:t>
      </w:r>
      <w:r w:rsidR="00D7146E">
        <w:t>Guarantee</w:t>
      </w:r>
      <w:r w:rsidR="00857737">
        <w:t>s</w:t>
      </w:r>
      <w:r w:rsidR="00D7146E">
        <w:t xml:space="preserve"> of Origin</w:t>
      </w:r>
      <w:r>
        <w:t xml:space="preserve"> for</w:t>
      </w:r>
      <w:r w:rsidR="0071625D">
        <w:t xml:space="preserve"> </w:t>
      </w:r>
      <w:r>
        <w:t>fuels exist across North America, Taiwan and Singapore through the Green-e® Energy</w:t>
      </w:r>
      <w:r w:rsidR="0052592D">
        <w:t xml:space="preserve"> </w:t>
      </w:r>
      <w:r>
        <w:t xml:space="preserve">Renewables Fuels </w:t>
      </w:r>
      <w:r w:rsidR="0052592D">
        <w:t>standards</w:t>
      </w:r>
      <w:r>
        <w:t xml:space="preserve"> and the </w:t>
      </w:r>
      <w:r w:rsidR="00D461B8">
        <w:t>g</w:t>
      </w:r>
      <w:r>
        <w:t>reenhouse gases, regulated emissions and energy use in technologies (GREET) model</w:t>
      </w:r>
      <w:r w:rsidR="00AB270B">
        <w:t>. Hydrogen</w:t>
      </w:r>
      <w:r>
        <w:t xml:space="preserve"> is not </w:t>
      </w:r>
      <w:r w:rsidR="0052592D">
        <w:t>yet</w:t>
      </w:r>
      <w:r>
        <w:t xml:space="preserve"> explicitly included in these schemes.</w:t>
      </w:r>
      <w:r w:rsidR="00F40482">
        <w:t xml:space="preserve"> </w:t>
      </w:r>
      <w:r w:rsidR="00FD7A30">
        <w:t>For detail</w:t>
      </w:r>
      <w:r w:rsidR="002B6897">
        <w:t>s</w:t>
      </w:r>
      <w:r w:rsidR="00FD7A30">
        <w:t xml:space="preserve"> of international </w:t>
      </w:r>
      <w:r w:rsidR="00DE1808">
        <w:t>GO</w:t>
      </w:r>
      <w:r w:rsidR="00FD7A30">
        <w:t xml:space="preserve"> schemes please refer to </w:t>
      </w:r>
      <w:r w:rsidR="00FD7A30">
        <w:lastRenderedPageBreak/>
        <w:t xml:space="preserve">Chapter 2 and </w:t>
      </w:r>
      <w:r w:rsidR="00D202AB">
        <w:t>Appendices</w:t>
      </w:r>
      <w:r w:rsidR="00FD7A30">
        <w:t xml:space="preserve"> A,</w:t>
      </w:r>
      <w:r w:rsidR="00D202AB">
        <w:t xml:space="preserve"> </w:t>
      </w:r>
      <w:r w:rsidR="00FD7A30">
        <w:t xml:space="preserve">B, and C of the Energetics report </w:t>
      </w:r>
      <w:r w:rsidR="00FD7A30" w:rsidRPr="00FD7A30">
        <w:rPr>
          <w:i/>
        </w:rPr>
        <w:t xml:space="preserve">Hydrogen </w:t>
      </w:r>
      <w:r w:rsidR="00664FB4">
        <w:rPr>
          <w:i/>
        </w:rPr>
        <w:t>Guarantee of Origin</w:t>
      </w:r>
      <w:r w:rsidR="00FD7A30" w:rsidRPr="00FD7A30">
        <w:rPr>
          <w:i/>
        </w:rPr>
        <w:t>s for Australia – Options Paper</w:t>
      </w:r>
      <w:r w:rsidR="00FD7A30">
        <w:rPr>
          <w:i/>
        </w:rPr>
        <w:t xml:space="preserve"> </w:t>
      </w:r>
      <w:r w:rsidR="00FD7A30">
        <w:t>(Energetics 2021).</w:t>
      </w:r>
    </w:p>
    <w:p w14:paraId="50131BEF" w14:textId="73F0BF64" w:rsidR="001A1B4D" w:rsidRDefault="001A1B4D" w:rsidP="00F71590">
      <w:r>
        <w:rPr>
          <w:noProof/>
          <w:lang w:eastAsia="en-AU"/>
        </w:rPr>
        <w:drawing>
          <wp:inline distT="0" distB="0" distL="0" distR="0" wp14:anchorId="75EB51E4" wp14:editId="17AC6BDC">
            <wp:extent cx="6312015" cy="3549650"/>
            <wp:effectExtent l="0" t="0" r="0" b="0"/>
            <wp:docPr id="7" name="Picture 7" descr="Image of the ship The Suiso Frontier: the world’s first liquefied hydrogen carrier" title="Susio Frontier 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ettyimages-108328898-612x612 ship at sea.jpg"/>
                    <pic:cNvPicPr/>
                  </pic:nvPicPr>
                  <pic:blipFill>
                    <a:blip r:embed="rId20">
                      <a:extLst>
                        <a:ext uri="{28A0092B-C50C-407E-A947-70E740481C1C}">
                          <a14:useLocalDpi xmlns:a14="http://schemas.microsoft.com/office/drawing/2010/main" val="0"/>
                        </a:ext>
                      </a:extLst>
                    </a:blip>
                    <a:stretch>
                      <a:fillRect/>
                    </a:stretch>
                  </pic:blipFill>
                  <pic:spPr>
                    <a:xfrm>
                      <a:off x="0" y="0"/>
                      <a:ext cx="6315034" cy="3551348"/>
                    </a:xfrm>
                    <a:prstGeom prst="rect">
                      <a:avLst/>
                    </a:prstGeom>
                  </pic:spPr>
                </pic:pic>
              </a:graphicData>
            </a:graphic>
          </wp:inline>
        </w:drawing>
      </w:r>
    </w:p>
    <w:p w14:paraId="78E97F7F" w14:textId="0A399DD4" w:rsidR="001A1B4D" w:rsidRDefault="001A1B4D" w:rsidP="00C2712D">
      <w:pPr>
        <w:pStyle w:val="Caption"/>
        <w:jc w:val="center"/>
      </w:pPr>
      <w:r w:rsidRPr="00BD74FD">
        <w:t xml:space="preserve">The Suiso Frontier: the world’s </w:t>
      </w:r>
      <w:r w:rsidR="00C2712D">
        <w:t>first liquefied hydrogen carrier.</w:t>
      </w:r>
      <w:r>
        <w:t xml:space="preserve"> </w:t>
      </w:r>
      <w:r w:rsidRPr="00BD74FD">
        <w:t>Image</w:t>
      </w:r>
      <w:r w:rsidR="00C2712D">
        <w:t xml:space="preserve">: HySTRA </w:t>
      </w:r>
    </w:p>
    <w:p w14:paraId="284175EC" w14:textId="77777777" w:rsidR="001A1B4D" w:rsidRDefault="001A1B4D" w:rsidP="00F71590"/>
    <w:p w14:paraId="250A9D79" w14:textId="7D59F319" w:rsidR="00CA309F" w:rsidRDefault="00CA309F" w:rsidP="00CA309F">
      <w:pPr>
        <w:pStyle w:val="Heading3"/>
      </w:pPr>
      <w:r>
        <w:t>1.3.1 International Partnership for Hydrogen and Fuel Cells in the Economy</w:t>
      </w:r>
    </w:p>
    <w:p w14:paraId="43922ADC" w14:textId="0B47823B" w:rsidR="00F40482" w:rsidRDefault="00F40482" w:rsidP="00F40482">
      <w:r>
        <w:t>The International Partnership for Hydrogen and Fuel Cells in the Economy (IPHE</w:t>
      </w:r>
      <w:r w:rsidR="00FD7A30">
        <w:t>) is an international government-to-government partnership</w:t>
      </w:r>
      <w:r>
        <w:t xml:space="preserve"> whose goal is to promote the advancement of technical hydrogen industry standards and protocols that are expected to underpin future trade and investment. This includes work on safety standards, regulation development, </w:t>
      </w:r>
      <w:r w:rsidR="001C42BF">
        <w:t>certification</w:t>
      </w:r>
      <w:r>
        <w:t>, trading, intellectual pr</w:t>
      </w:r>
      <w:r w:rsidR="00FD7A30">
        <w:t>operty</w:t>
      </w:r>
      <w:r w:rsidR="00857737">
        <w:t>, and education. IPHE has</w:t>
      </w:r>
      <w:r w:rsidR="00FD7A30">
        <w:t xml:space="preserve"> 22 members including many European countries, the United Kingdom, the USA, Japan, </w:t>
      </w:r>
      <w:r w:rsidR="00D461B8">
        <w:t xml:space="preserve">Republic of </w:t>
      </w:r>
      <w:r w:rsidR="00FD7A30">
        <w:t>Korea, Chile and others.</w:t>
      </w:r>
    </w:p>
    <w:p w14:paraId="41417886" w14:textId="2057EB8F" w:rsidR="00CA309F" w:rsidRDefault="006952A6" w:rsidP="00CA309F">
      <w:r>
        <w:t xml:space="preserve">The IPHE formed its </w:t>
      </w:r>
      <w:r w:rsidR="00F40482">
        <w:t>Hydrogen Production Analysis Taskforce (H2PA)</w:t>
      </w:r>
      <w:r>
        <w:t xml:space="preserve"> in March 2020</w:t>
      </w:r>
      <w:r w:rsidR="00F40482">
        <w:t xml:space="preserve"> to develop a “mutually agreed methodology for determining the greenhouse gas and other emissions associated with the production of hydrogen</w:t>
      </w:r>
      <w:r>
        <w:t>”</w:t>
      </w:r>
      <w:r w:rsidR="00FD7A30">
        <w:t>.</w:t>
      </w:r>
      <w:r w:rsidR="00D202AB">
        <w:t xml:space="preserve"> This is the most advanced in</w:t>
      </w:r>
      <w:r w:rsidR="00564DCF">
        <w:t>ternational forum for discussions on</w:t>
      </w:r>
      <w:r w:rsidR="00D202AB">
        <w:t xml:space="preserve"> hydrogen </w:t>
      </w:r>
      <w:r w:rsidR="001C42BF">
        <w:t>certification</w:t>
      </w:r>
      <w:r w:rsidR="00D202AB">
        <w:t xml:space="preserve"> and has broad representation.</w:t>
      </w:r>
      <w:r w:rsidR="00FD7A30">
        <w:t xml:space="preserve"> </w:t>
      </w:r>
      <w:r w:rsidR="00CA309F">
        <w:t>The IPHE H2PA Taskforce is led by France, with the USA and the Euro</w:t>
      </w:r>
      <w:r w:rsidR="005E78BA">
        <w:t xml:space="preserve">pean Commission as co-leads. </w:t>
      </w:r>
      <w:r w:rsidR="00CA309F">
        <w:t>Australia has taken a lead role through</w:t>
      </w:r>
      <w:r w:rsidR="00453D46">
        <w:t>out</w:t>
      </w:r>
      <w:r w:rsidR="00CA309F">
        <w:t xml:space="preserve"> 2020 and 2021.  </w:t>
      </w:r>
      <w:r w:rsidR="00673C4F">
        <w:t xml:space="preserve">Most of </w:t>
      </w:r>
      <w:r w:rsidR="00CA309F">
        <w:t xml:space="preserve">Australia’s </w:t>
      </w:r>
      <w:r w:rsidR="00673C4F">
        <w:t xml:space="preserve">key trading </w:t>
      </w:r>
      <w:r w:rsidR="00CA309F">
        <w:t>partners</w:t>
      </w:r>
      <w:r w:rsidR="00045176">
        <w:t>,</w:t>
      </w:r>
      <w:r w:rsidR="00673C4F">
        <w:t xml:space="preserve"> including</w:t>
      </w:r>
      <w:r w:rsidR="00CA309F">
        <w:t xml:space="preserve"> Japan, Germany</w:t>
      </w:r>
      <w:r w:rsidR="00564DCF">
        <w:t xml:space="preserve"> and Republic of Korea a</w:t>
      </w:r>
      <w:r w:rsidR="00CA309F">
        <w:t xml:space="preserve">re active in IPHE. </w:t>
      </w:r>
    </w:p>
    <w:p w14:paraId="3ADC062F" w14:textId="2E89407A" w:rsidR="00CA309F" w:rsidRDefault="00FD7A30" w:rsidP="00FD7A30">
      <w:r>
        <w:t xml:space="preserve">The </w:t>
      </w:r>
      <w:r w:rsidR="00453D46">
        <w:t>H2PA</w:t>
      </w:r>
      <w:r w:rsidR="00275871">
        <w:t xml:space="preserve"> Taskforce is aiming to develop</w:t>
      </w:r>
      <w:r>
        <w:t xml:space="preserve"> a draft methodology</w:t>
      </w:r>
      <w:r w:rsidR="001C42BF">
        <w:t xml:space="preserve"> by </w:t>
      </w:r>
      <w:r w:rsidR="00B1231B">
        <w:t>mid-2021</w:t>
      </w:r>
      <w:r w:rsidR="00275871">
        <w:t>, which c</w:t>
      </w:r>
      <w:r w:rsidR="00D202AB">
        <w:t>ould form the basis of an international standard</w:t>
      </w:r>
      <w:r w:rsidR="006952A6">
        <w:t xml:space="preserve">. </w:t>
      </w:r>
      <w:r w:rsidR="00D202AB" w:rsidRPr="00D202AB">
        <w:t>Establishing</w:t>
      </w:r>
      <w:r w:rsidR="006952A6" w:rsidRPr="00D202AB">
        <w:t xml:space="preserve"> this methodology will help</w:t>
      </w:r>
      <w:r w:rsidR="00857737">
        <w:t xml:space="preserve"> to</w:t>
      </w:r>
      <w:r w:rsidR="00275871">
        <w:t xml:space="preserve"> facilitate </w:t>
      </w:r>
      <w:r w:rsidR="006952A6" w:rsidRPr="00D202AB">
        <w:t>market valuat</w:t>
      </w:r>
      <w:r w:rsidR="00275871">
        <w:t>ion and international trade in ‘</w:t>
      </w:r>
      <w:r w:rsidR="006952A6" w:rsidRPr="00D202AB">
        <w:t>clean’ hydrogen by recommending a common approach established by several countries.</w:t>
      </w:r>
      <w:bookmarkStart w:id="160" w:name="_Toc62043720"/>
      <w:bookmarkEnd w:id="115"/>
      <w:r w:rsidR="00CA309F" w:rsidRPr="00CA309F">
        <w:t xml:space="preserve"> </w:t>
      </w:r>
      <w:r w:rsidR="00453D46">
        <w:t xml:space="preserve">Alignment </w:t>
      </w:r>
      <w:r w:rsidR="00EA17A0">
        <w:t xml:space="preserve">of Australia’s scheme </w:t>
      </w:r>
      <w:r w:rsidR="00453D46">
        <w:t xml:space="preserve">with IPHE would </w:t>
      </w:r>
      <w:r w:rsidR="006157E9">
        <w:t>greatly improve the prospects</w:t>
      </w:r>
      <w:r w:rsidR="00453D46">
        <w:t xml:space="preserve"> that a domestic </w:t>
      </w:r>
      <w:r w:rsidR="00DE1808">
        <w:t>GO</w:t>
      </w:r>
      <w:r w:rsidR="00453D46">
        <w:t xml:space="preserve"> scheme will be accepted by our export trade partners.</w:t>
      </w:r>
    </w:p>
    <w:p w14:paraId="513B9BE2" w14:textId="7E14AE43" w:rsidR="00D202AB" w:rsidRDefault="00CA309F" w:rsidP="00D202AB">
      <w:r>
        <w:lastRenderedPageBreak/>
        <w:t>IPH</w:t>
      </w:r>
      <w:r w:rsidR="001C42BF">
        <w:t>E members (including Australia) are aligned in</w:t>
      </w:r>
      <w:r w:rsidR="00D202AB">
        <w:t xml:space="preserve"> consider</w:t>
      </w:r>
      <w:r w:rsidR="001C42BF">
        <w:t>ing</w:t>
      </w:r>
      <w:r w:rsidR="00D202AB">
        <w:t xml:space="preserve"> that a hydrogen GO scheme should include all technologies </w:t>
      </w:r>
      <w:r w:rsidR="00453D46">
        <w:t>to</w:t>
      </w:r>
      <w:r w:rsidR="00D202AB">
        <w:t xml:space="preserve"> produce clean hydrogen. However</w:t>
      </w:r>
      <w:r w:rsidR="00D461B8">
        <w:t>,</w:t>
      </w:r>
      <w:r w:rsidR="00D202AB">
        <w:t xml:space="preserve"> a method for calculating</w:t>
      </w:r>
      <w:r w:rsidR="00857737">
        <w:t xml:space="preserve"> greenhouse gas emissions for each production method </w:t>
      </w:r>
      <w:r w:rsidR="00D202AB">
        <w:t>need</w:t>
      </w:r>
      <w:r w:rsidR="00857737">
        <w:t>s to be developed before that</w:t>
      </w:r>
      <w:r w:rsidR="00D202AB">
        <w:t xml:space="preserve"> technolo</w:t>
      </w:r>
      <w:r w:rsidR="00857737">
        <w:t>gy can</w:t>
      </w:r>
      <w:r w:rsidR="00D202AB">
        <w:t xml:space="preserve"> be included. Therefore IPHE has prioritised developing methods for the </w:t>
      </w:r>
      <w:r w:rsidR="00275871">
        <w:t>four of the</w:t>
      </w:r>
      <w:r w:rsidR="00453D46">
        <w:t xml:space="preserve"> </w:t>
      </w:r>
      <w:r w:rsidR="00D202AB">
        <w:t>most common current technologies in the short term. Sub-groups were formed within the Taskforce to look at the detailed carbon accounting methodology for each of the</w:t>
      </w:r>
      <w:r w:rsidR="00453D46">
        <w:t>se</w:t>
      </w:r>
      <w:r w:rsidR="00D202AB">
        <w:t xml:space="preserve"> pathways. Australia has been leading two of these groups on coal gasification and </w:t>
      </w:r>
      <w:r w:rsidR="00BF6665">
        <w:t xml:space="preserve">on </w:t>
      </w:r>
      <w:r w:rsidR="00D202AB">
        <w:t>electrolysis</w:t>
      </w:r>
      <w:r w:rsidR="00962428">
        <w:t xml:space="preserve"> and has been contributing to the </w:t>
      </w:r>
      <w:r w:rsidR="00A26433" w:rsidRPr="00D202AB">
        <w:t>Steam</w:t>
      </w:r>
      <w:r w:rsidR="00A26433">
        <w:t xml:space="preserve"> Methane Reforming (</w:t>
      </w:r>
      <w:r w:rsidR="00962428">
        <w:t>SMR</w:t>
      </w:r>
      <w:r w:rsidR="00A26433">
        <w:t>)</w:t>
      </w:r>
      <w:r w:rsidR="00962428">
        <w:t xml:space="preserve"> group</w:t>
      </w:r>
      <w:r w:rsidR="00275871">
        <w:t>. The</w:t>
      </w:r>
      <w:r w:rsidR="00D202AB">
        <w:t xml:space="preserve"> pathways and sub-groups are detailed below. </w:t>
      </w:r>
    </w:p>
    <w:tbl>
      <w:tblPr>
        <w:tblStyle w:val="TableGrid"/>
        <w:tblW w:w="0" w:type="auto"/>
        <w:tblLook w:val="04A0" w:firstRow="1" w:lastRow="0" w:firstColumn="1" w:lastColumn="0" w:noHBand="0" w:noVBand="1"/>
        <w:tblDescription w:val="Table showing the lead and member countries working on the different hydrogen production pathway analysis in the IPHE. "/>
      </w:tblPr>
      <w:tblGrid>
        <w:gridCol w:w="2908"/>
        <w:gridCol w:w="2906"/>
        <w:gridCol w:w="2907"/>
      </w:tblGrid>
      <w:tr w:rsidR="00D202AB" w14:paraId="7D37E1A6" w14:textId="77777777" w:rsidTr="00275871">
        <w:trPr>
          <w:tblHeader/>
        </w:trPr>
        <w:tc>
          <w:tcPr>
            <w:tcW w:w="2908" w:type="dxa"/>
          </w:tcPr>
          <w:p w14:paraId="3E51BE91" w14:textId="7E45AEC3" w:rsidR="00D202AB" w:rsidRPr="00D202AB" w:rsidRDefault="00D202AB" w:rsidP="00D202AB">
            <w:pPr>
              <w:rPr>
                <w:b/>
              </w:rPr>
            </w:pPr>
            <w:r>
              <w:rPr>
                <w:b/>
              </w:rPr>
              <w:t>Sub-group</w:t>
            </w:r>
          </w:p>
        </w:tc>
        <w:tc>
          <w:tcPr>
            <w:tcW w:w="2906" w:type="dxa"/>
          </w:tcPr>
          <w:p w14:paraId="610896FE" w14:textId="524E60A8" w:rsidR="00D202AB" w:rsidRPr="00D202AB" w:rsidRDefault="00D202AB" w:rsidP="00D202AB">
            <w:pPr>
              <w:rPr>
                <w:b/>
              </w:rPr>
            </w:pPr>
            <w:r>
              <w:rPr>
                <w:b/>
              </w:rPr>
              <w:t>Lead country</w:t>
            </w:r>
          </w:p>
        </w:tc>
        <w:tc>
          <w:tcPr>
            <w:tcW w:w="2907" w:type="dxa"/>
          </w:tcPr>
          <w:p w14:paraId="219571B5" w14:textId="23DEE393" w:rsidR="00D202AB" w:rsidRPr="00D202AB" w:rsidRDefault="00D202AB" w:rsidP="00D202AB">
            <w:pPr>
              <w:rPr>
                <w:b/>
              </w:rPr>
            </w:pPr>
            <w:r>
              <w:rPr>
                <w:b/>
              </w:rPr>
              <w:t>Members</w:t>
            </w:r>
          </w:p>
        </w:tc>
      </w:tr>
      <w:tr w:rsidR="00D202AB" w14:paraId="6F4081C4" w14:textId="77777777" w:rsidTr="00275871">
        <w:tc>
          <w:tcPr>
            <w:tcW w:w="2908" w:type="dxa"/>
          </w:tcPr>
          <w:p w14:paraId="63D8A6A5" w14:textId="156CB400" w:rsidR="00D202AB" w:rsidRDefault="00D202AB" w:rsidP="00D202AB">
            <w:r w:rsidRPr="00D202AB">
              <w:t>Electricity (Renewable, Grid) with Electrolysis</w:t>
            </w:r>
          </w:p>
        </w:tc>
        <w:tc>
          <w:tcPr>
            <w:tcW w:w="2906" w:type="dxa"/>
          </w:tcPr>
          <w:p w14:paraId="097E0633" w14:textId="06422E7C" w:rsidR="00D202AB" w:rsidRDefault="00D202AB" w:rsidP="00D202AB">
            <w:r>
              <w:t>Australia</w:t>
            </w:r>
          </w:p>
        </w:tc>
        <w:tc>
          <w:tcPr>
            <w:tcW w:w="2907" w:type="dxa"/>
          </w:tcPr>
          <w:p w14:paraId="42C0887A" w14:textId="1B24EC69" w:rsidR="00D202AB" w:rsidRDefault="00D202AB" w:rsidP="00D202AB">
            <w:r w:rsidRPr="00D202AB">
              <w:t>France, Germany, Japan, UK, USA</w:t>
            </w:r>
            <w:r w:rsidR="004C3C0A">
              <w:t>, EC</w:t>
            </w:r>
          </w:p>
        </w:tc>
      </w:tr>
      <w:tr w:rsidR="00D202AB" w14:paraId="136A33C7" w14:textId="77777777" w:rsidTr="00275871">
        <w:tc>
          <w:tcPr>
            <w:tcW w:w="2908" w:type="dxa"/>
          </w:tcPr>
          <w:p w14:paraId="18BF270E" w14:textId="0F3D4C7B" w:rsidR="00D202AB" w:rsidRDefault="00D202AB" w:rsidP="00D202AB">
            <w:r w:rsidRPr="00D202AB">
              <w:t>Coal Gasification with CCS</w:t>
            </w:r>
          </w:p>
        </w:tc>
        <w:tc>
          <w:tcPr>
            <w:tcW w:w="2906" w:type="dxa"/>
          </w:tcPr>
          <w:p w14:paraId="7849F875" w14:textId="73ABA05A" w:rsidR="00D202AB" w:rsidRDefault="00D202AB" w:rsidP="00D202AB">
            <w:r>
              <w:t>Australia</w:t>
            </w:r>
          </w:p>
        </w:tc>
        <w:tc>
          <w:tcPr>
            <w:tcW w:w="2907" w:type="dxa"/>
          </w:tcPr>
          <w:p w14:paraId="48CD9F6F" w14:textId="6A535F7D" w:rsidR="00D202AB" w:rsidRDefault="00D202AB" w:rsidP="00D202AB">
            <w:r w:rsidRPr="00D202AB">
              <w:t>Japan, South Africa, USA</w:t>
            </w:r>
          </w:p>
        </w:tc>
      </w:tr>
      <w:tr w:rsidR="00D202AB" w14:paraId="343EC5D9" w14:textId="77777777" w:rsidTr="00275871">
        <w:tc>
          <w:tcPr>
            <w:tcW w:w="2908" w:type="dxa"/>
          </w:tcPr>
          <w:p w14:paraId="6C511396" w14:textId="3DABCE58" w:rsidR="00D202AB" w:rsidRDefault="00D202AB" w:rsidP="00D202AB">
            <w:r w:rsidRPr="00D202AB">
              <w:t>Steam</w:t>
            </w:r>
            <w:r w:rsidR="00CA309F">
              <w:t xml:space="preserve"> Methane Reforming</w:t>
            </w:r>
            <w:r w:rsidR="00883BD4">
              <w:t xml:space="preserve"> (SMR)</w:t>
            </w:r>
            <w:r w:rsidR="00CA309F">
              <w:t xml:space="preserve"> </w:t>
            </w:r>
            <w:r w:rsidR="00883BD4">
              <w:t xml:space="preserve">of natural gas </w:t>
            </w:r>
            <w:r w:rsidR="00CA309F">
              <w:t>with CCS</w:t>
            </w:r>
          </w:p>
        </w:tc>
        <w:tc>
          <w:tcPr>
            <w:tcW w:w="2906" w:type="dxa"/>
          </w:tcPr>
          <w:p w14:paraId="7D694777" w14:textId="636FE8EB" w:rsidR="00D202AB" w:rsidRDefault="00CA309F" w:rsidP="00D202AB">
            <w:r>
              <w:t>France</w:t>
            </w:r>
          </w:p>
        </w:tc>
        <w:tc>
          <w:tcPr>
            <w:tcW w:w="2907" w:type="dxa"/>
          </w:tcPr>
          <w:p w14:paraId="4AE7A8AD" w14:textId="7A12E091" w:rsidR="00D202AB" w:rsidRDefault="00CA309F" w:rsidP="00D202AB">
            <w:r w:rsidRPr="00D202AB">
              <w:t xml:space="preserve">Australia, UK, </w:t>
            </w:r>
            <w:r w:rsidR="004C3C0A">
              <w:t xml:space="preserve">EC, </w:t>
            </w:r>
            <w:r w:rsidRPr="00D202AB">
              <w:t>The Netherlands</w:t>
            </w:r>
          </w:p>
        </w:tc>
      </w:tr>
      <w:tr w:rsidR="00D202AB" w14:paraId="2CA096D8" w14:textId="77777777" w:rsidTr="00275871">
        <w:tc>
          <w:tcPr>
            <w:tcW w:w="2908" w:type="dxa"/>
          </w:tcPr>
          <w:p w14:paraId="6738D6DE" w14:textId="5251A738" w:rsidR="00D202AB" w:rsidRDefault="008B4B1E" w:rsidP="00D202AB">
            <w:r>
              <w:t>By</w:t>
            </w:r>
            <w:r w:rsidR="00CA309F" w:rsidRPr="00D202AB">
              <w:t>-Product</w:t>
            </w:r>
          </w:p>
        </w:tc>
        <w:tc>
          <w:tcPr>
            <w:tcW w:w="2906" w:type="dxa"/>
          </w:tcPr>
          <w:p w14:paraId="0A97F5F7" w14:textId="4ACA1451" w:rsidR="00D202AB" w:rsidRDefault="00CA309F" w:rsidP="00D202AB">
            <w:r w:rsidRPr="00D202AB">
              <w:t>The Netherlands</w:t>
            </w:r>
          </w:p>
        </w:tc>
        <w:tc>
          <w:tcPr>
            <w:tcW w:w="2907" w:type="dxa"/>
          </w:tcPr>
          <w:p w14:paraId="02C3CD1E" w14:textId="4D765432" w:rsidR="00D202AB" w:rsidRDefault="00CA309F" w:rsidP="00D202AB">
            <w:r w:rsidRPr="00D202AB">
              <w:t xml:space="preserve">France, Japan, </w:t>
            </w:r>
            <w:r w:rsidR="00D461B8">
              <w:t xml:space="preserve">Republic of </w:t>
            </w:r>
            <w:r w:rsidRPr="00D202AB">
              <w:t>Korea, South Africa, UK</w:t>
            </w:r>
            <w:r w:rsidR="004C3C0A">
              <w:t>, EC</w:t>
            </w:r>
          </w:p>
        </w:tc>
      </w:tr>
    </w:tbl>
    <w:p w14:paraId="3538FBB7" w14:textId="0DA9F86F" w:rsidR="005178F7" w:rsidRPr="005178F7" w:rsidRDefault="0074199A" w:rsidP="003B47A9">
      <w:pPr>
        <w:pStyle w:val="Heading2"/>
        <w:numPr>
          <w:ilvl w:val="1"/>
          <w:numId w:val="1"/>
        </w:numPr>
      </w:pPr>
      <w:bookmarkStart w:id="161" w:name="_Toc62043722"/>
      <w:bookmarkStart w:id="162" w:name="_Toc64302365"/>
      <w:bookmarkStart w:id="163" w:name="_Toc65168368"/>
      <w:bookmarkStart w:id="164" w:name="_Toc67329105"/>
      <w:bookmarkStart w:id="165" w:name="_Toc67329353"/>
      <w:bookmarkStart w:id="166" w:name="_Toc67562609"/>
      <w:bookmarkStart w:id="167" w:name="_Toc68000192"/>
      <w:bookmarkStart w:id="168" w:name="_Toc68083123"/>
      <w:bookmarkStart w:id="169" w:name="_Toc68083518"/>
      <w:bookmarkStart w:id="170" w:name="_Toc68105057"/>
      <w:bookmarkStart w:id="171" w:name="_Toc74839337"/>
      <w:bookmarkEnd w:id="160"/>
      <w:r>
        <w:t>Domestic consultation</w:t>
      </w:r>
      <w:bookmarkEnd w:id="161"/>
      <w:bookmarkEnd w:id="162"/>
      <w:bookmarkEnd w:id="163"/>
      <w:bookmarkEnd w:id="164"/>
      <w:bookmarkEnd w:id="165"/>
      <w:bookmarkEnd w:id="166"/>
      <w:bookmarkEnd w:id="167"/>
      <w:bookmarkEnd w:id="168"/>
      <w:bookmarkEnd w:id="169"/>
      <w:bookmarkEnd w:id="170"/>
      <w:bookmarkEnd w:id="171"/>
    </w:p>
    <w:p w14:paraId="7616E05B" w14:textId="046E346A" w:rsidR="00DF6E2C" w:rsidRDefault="00142B97" w:rsidP="00DF6E2C">
      <w:bookmarkStart w:id="172" w:name="_Toc19023744"/>
      <w:r>
        <w:t>In addition to international engagement, extensive</w:t>
      </w:r>
      <w:r w:rsidR="00DF6E2C">
        <w:t xml:space="preserve"> domestic industry </w:t>
      </w:r>
      <w:r>
        <w:t>c</w:t>
      </w:r>
      <w:r w:rsidR="00DF6E2C">
        <w:t>onsultation occurred throughout 2020</w:t>
      </w:r>
      <w:r w:rsidR="00333C4D">
        <w:t xml:space="preserve"> to determine priorities and preferences for a hydrogen </w:t>
      </w:r>
      <w:r w:rsidR="00DE1808">
        <w:t>GO</w:t>
      </w:r>
      <w:r w:rsidR="00BC6865">
        <w:t xml:space="preserve"> scheme</w:t>
      </w:r>
      <w:r w:rsidR="00DF6E2C">
        <w:t xml:space="preserve">. </w:t>
      </w:r>
    </w:p>
    <w:p w14:paraId="23CA6D66" w14:textId="69B14E9F" w:rsidR="00DF6E2C" w:rsidRDefault="00DF6E2C" w:rsidP="00DF6E2C">
      <w:r>
        <w:t xml:space="preserve">In June 2020, an </w:t>
      </w:r>
      <w:r w:rsidR="00333C4D">
        <w:t>online</w:t>
      </w:r>
      <w:r>
        <w:t xml:space="preserve"> survey was released to identify the most important features of a hydrogen </w:t>
      </w:r>
      <w:r w:rsidR="00DE1808">
        <w:t>GO</w:t>
      </w:r>
      <w:r>
        <w:t xml:space="preserve"> scheme to industry. Th</w:t>
      </w:r>
      <w:r w:rsidR="004074EC">
        <w:t>is survey found that timeliness</w:t>
      </w:r>
      <w:r>
        <w:t xml:space="preserve"> is essential</w:t>
      </w:r>
      <w:r w:rsidR="00D461B8">
        <w:t>,</w:t>
      </w:r>
      <w:r>
        <w:t xml:space="preserve"> with most stakeholders stating that a scheme will need to be in place by 2022</w:t>
      </w:r>
      <w:r w:rsidR="00382BFC">
        <w:t xml:space="preserve"> i</w:t>
      </w:r>
      <w:r w:rsidR="002149F3">
        <w:t>n order to not delay industry growth</w:t>
      </w:r>
      <w:r>
        <w:t xml:space="preserve">. </w:t>
      </w:r>
      <w:r w:rsidR="00F01605">
        <w:t>International alignment with a domestic</w:t>
      </w:r>
      <w:r>
        <w:t xml:space="preserve"> </w:t>
      </w:r>
      <w:r w:rsidR="00DE1808">
        <w:t>GO</w:t>
      </w:r>
      <w:r>
        <w:t xml:space="preserve"> scheme was also </w:t>
      </w:r>
      <w:r w:rsidR="00382BFC">
        <w:t>identified as a required feature</w:t>
      </w:r>
      <w:r w:rsidR="00F01605">
        <w:t xml:space="preserve">. </w:t>
      </w:r>
    </w:p>
    <w:p w14:paraId="75CEB4D9" w14:textId="693842AF" w:rsidR="00073EAA" w:rsidRDefault="00073EAA" w:rsidP="0081712E">
      <w:pPr>
        <w:keepNext/>
      </w:pPr>
      <w:r>
        <w:rPr>
          <w:noProof/>
          <w:lang w:eastAsia="en-AU"/>
        </w:rPr>
        <w:lastRenderedPageBreak/>
        <w:drawing>
          <wp:inline distT="0" distB="0" distL="0" distR="0" wp14:anchorId="2E6323D2" wp14:editId="28CC0613">
            <wp:extent cx="5518206" cy="3669430"/>
            <wp:effectExtent l="0" t="0" r="6350" b="7620"/>
            <wp:docPr id="19" name="Picture 19" descr="People inspecting an industrial installation at the Hydrogen Energy Supply Chain (HESC) pilot project in Victoria's LaTrobe Valley " title="Image of HESC hydrogen pilot project fac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aller HESC pic.jpg"/>
                    <pic:cNvPicPr/>
                  </pic:nvPicPr>
                  <pic:blipFill>
                    <a:blip r:embed="rId21">
                      <a:extLst>
                        <a:ext uri="{28A0092B-C50C-407E-A947-70E740481C1C}">
                          <a14:useLocalDpi xmlns:a14="http://schemas.microsoft.com/office/drawing/2010/main" val="0"/>
                        </a:ext>
                      </a:extLst>
                    </a:blip>
                    <a:stretch>
                      <a:fillRect/>
                    </a:stretch>
                  </pic:blipFill>
                  <pic:spPr>
                    <a:xfrm>
                      <a:off x="0" y="0"/>
                      <a:ext cx="5518206" cy="3669430"/>
                    </a:xfrm>
                    <a:prstGeom prst="rect">
                      <a:avLst/>
                    </a:prstGeom>
                  </pic:spPr>
                </pic:pic>
              </a:graphicData>
            </a:graphic>
          </wp:inline>
        </w:drawing>
      </w:r>
    </w:p>
    <w:p w14:paraId="0E0BF49A" w14:textId="6F8A2A7C" w:rsidR="00073EAA" w:rsidRDefault="00073EAA" w:rsidP="00073EAA">
      <w:pPr>
        <w:pStyle w:val="Caption"/>
        <w:jc w:val="center"/>
      </w:pPr>
      <w:r w:rsidRPr="00191513">
        <w:t>The Hydrogen Energy Supply Chain (HESC) pilot project uses coal gasification technology to produce hydrogen</w:t>
      </w:r>
      <w:r>
        <w:t xml:space="preserve">. </w:t>
      </w:r>
      <w:r w:rsidRPr="00191513">
        <w:t>Managed by J-POWER/J-POWER Latrobe Valley Pty Ltd.</w:t>
      </w:r>
    </w:p>
    <w:p w14:paraId="60B04242" w14:textId="4485B74B" w:rsidR="00BA1ADA" w:rsidRDefault="00D123BA" w:rsidP="00DF6E2C">
      <w:r>
        <w:t>The key findings from the survey are:</w:t>
      </w:r>
    </w:p>
    <w:p w14:paraId="558CA976" w14:textId="0D34B1AD" w:rsidR="00C91AFF" w:rsidRPr="00BA1ADA" w:rsidRDefault="00D123BA" w:rsidP="0079029D">
      <w:pPr>
        <w:numPr>
          <w:ilvl w:val="0"/>
          <w:numId w:val="2"/>
        </w:numPr>
      </w:pPr>
      <w:r>
        <w:t xml:space="preserve">Timing – 68% of survey respondents wanted a scheme to start in 2022. </w:t>
      </w:r>
    </w:p>
    <w:p w14:paraId="104E07EF" w14:textId="3F7C1359" w:rsidR="00C91AFF" w:rsidRPr="00BA1ADA" w:rsidRDefault="00D123BA" w:rsidP="0079029D">
      <w:pPr>
        <w:numPr>
          <w:ilvl w:val="0"/>
          <w:numId w:val="2"/>
        </w:numPr>
      </w:pPr>
      <w:r>
        <w:t>The scheme should be i</w:t>
      </w:r>
      <w:r w:rsidR="00C91AFF" w:rsidRPr="00BA1ADA">
        <w:t>nternationally aligned and supported by key trading partners</w:t>
      </w:r>
      <w:r>
        <w:t xml:space="preserve"> </w:t>
      </w:r>
      <w:r w:rsidR="00F3758E">
        <w:t>– around</w:t>
      </w:r>
      <w:r w:rsidRPr="00D123BA">
        <w:t xml:space="preserve"> 75% of stakeholders thought an international scheme is more important </w:t>
      </w:r>
      <w:r w:rsidR="00BC6865">
        <w:t xml:space="preserve">than a domestic scheme, </w:t>
      </w:r>
      <w:r w:rsidRPr="00D123BA">
        <w:t>or international and domestic schemes are equally important</w:t>
      </w:r>
      <w:r w:rsidR="00F32849">
        <w:t>.</w:t>
      </w:r>
    </w:p>
    <w:p w14:paraId="1C931D2A" w14:textId="47567A8F" w:rsidR="00FA43C0" w:rsidRDefault="00C91AFF" w:rsidP="0079029D">
      <w:pPr>
        <w:numPr>
          <w:ilvl w:val="0"/>
          <w:numId w:val="2"/>
        </w:numPr>
      </w:pPr>
      <w:r w:rsidRPr="00BA1ADA">
        <w:t>T</w:t>
      </w:r>
      <w:r w:rsidR="00D123BA">
        <w:t>he scheme should include t</w:t>
      </w:r>
      <w:r w:rsidRPr="00BA1ADA">
        <w:t>ransparent and robust carbon accounting</w:t>
      </w:r>
      <w:r w:rsidR="00F32849">
        <w:t xml:space="preserve"> provisions</w:t>
      </w:r>
      <w:r w:rsidRPr="00BA1ADA">
        <w:t>, leveraging existing</w:t>
      </w:r>
      <w:r w:rsidR="00D123BA">
        <w:t xml:space="preserve"> </w:t>
      </w:r>
      <w:r w:rsidR="002149F3">
        <w:t xml:space="preserve">Australian </w:t>
      </w:r>
      <w:r w:rsidR="00D123BA">
        <w:t>frameworks</w:t>
      </w:r>
      <w:r w:rsidR="00F32849">
        <w:t>. I</w:t>
      </w:r>
      <w:r w:rsidR="00BE6991">
        <w:t xml:space="preserve">n particular 40% thought the scheme should align with NGERS, </w:t>
      </w:r>
      <w:r w:rsidR="004074EC">
        <w:t xml:space="preserve">but </w:t>
      </w:r>
      <w:r w:rsidR="00D123BA">
        <w:t xml:space="preserve">the </w:t>
      </w:r>
      <w:r w:rsidR="009E3C72">
        <w:t>Renewable Energy Target (</w:t>
      </w:r>
      <w:r w:rsidR="00D123BA">
        <w:t>RET</w:t>
      </w:r>
      <w:r w:rsidR="009E3C72">
        <w:t>) scheme</w:t>
      </w:r>
      <w:r w:rsidR="00D123BA">
        <w:t>, Climate</w:t>
      </w:r>
      <w:r w:rsidR="008B427C">
        <w:t xml:space="preserve"> </w:t>
      </w:r>
      <w:r w:rsidR="00D123BA">
        <w:t>Active and GreenPower</w:t>
      </w:r>
      <w:r w:rsidR="00BE6991">
        <w:t xml:space="preserve"> were also frequently cited</w:t>
      </w:r>
      <w:r w:rsidR="00D123BA">
        <w:t xml:space="preserve">. </w:t>
      </w:r>
    </w:p>
    <w:p w14:paraId="0C78B609" w14:textId="2163BBCA" w:rsidR="00FA43C0" w:rsidRPr="00BA1ADA" w:rsidRDefault="00FA43C0" w:rsidP="00FA43C0">
      <w:pPr>
        <w:numPr>
          <w:ilvl w:val="0"/>
          <w:numId w:val="2"/>
        </w:numPr>
      </w:pPr>
      <w:r>
        <w:t xml:space="preserve">Stakeholders supported </w:t>
      </w:r>
      <w:r w:rsidR="00B969ED">
        <w:t xml:space="preserve">leveraging the </w:t>
      </w:r>
      <w:r w:rsidR="009E3C72">
        <w:t xml:space="preserve">RET </w:t>
      </w:r>
      <w:r w:rsidR="00B969ED">
        <w:t>scheme as a framework for verifying the renewable energy input to hydrogen production. S</w:t>
      </w:r>
      <w:r>
        <w:t xml:space="preserve">ome stakeholders noted that ‘below baseline’ renewable generation does not receive certificates under the RET, so an additional mechanism for tracking below baseline generation may be required. </w:t>
      </w:r>
    </w:p>
    <w:p w14:paraId="3796AD68" w14:textId="5389E406" w:rsidR="00BA1ADA" w:rsidRDefault="00D123BA" w:rsidP="0079029D">
      <w:pPr>
        <w:numPr>
          <w:ilvl w:val="0"/>
          <w:numId w:val="2"/>
        </w:numPr>
      </w:pPr>
      <w:r>
        <w:t>The s</w:t>
      </w:r>
      <w:r w:rsidR="00C91AFF" w:rsidRPr="00BA1ADA">
        <w:t>cheme should dist</w:t>
      </w:r>
      <w:r w:rsidR="002149F3">
        <w:t>inguish between the energy sources and technologies used to produce hydrogen</w:t>
      </w:r>
      <w:r w:rsidR="00DD3195">
        <w:t>.</w:t>
      </w:r>
    </w:p>
    <w:p w14:paraId="16D67C12" w14:textId="326BE944" w:rsidR="00F32849" w:rsidRDefault="00F32849" w:rsidP="0079029D">
      <w:pPr>
        <w:numPr>
          <w:ilvl w:val="0"/>
          <w:numId w:val="2"/>
        </w:numPr>
      </w:pPr>
      <w:r>
        <w:t>The scheme shoul</w:t>
      </w:r>
      <w:r w:rsidR="00793D10">
        <w:t>d be technology neutral</w:t>
      </w:r>
      <w:r w:rsidR="002149F3">
        <w:t xml:space="preserve"> (i.e. all technologies for producing clean hydrogen should be included in the scheme)</w:t>
      </w:r>
      <w:r>
        <w:t xml:space="preserve">. </w:t>
      </w:r>
    </w:p>
    <w:p w14:paraId="36C459F5" w14:textId="20234CD1" w:rsidR="00F32849" w:rsidRDefault="00F32849" w:rsidP="0079029D">
      <w:pPr>
        <w:numPr>
          <w:ilvl w:val="0"/>
          <w:numId w:val="2"/>
        </w:numPr>
      </w:pPr>
      <w:r>
        <w:t>Credibility, simplicity and low complia</w:t>
      </w:r>
      <w:r w:rsidR="00EA17A0">
        <w:t>nce cost are</w:t>
      </w:r>
      <w:r>
        <w:t xml:space="preserve"> important features. </w:t>
      </w:r>
    </w:p>
    <w:p w14:paraId="6E524A53" w14:textId="35E1C652" w:rsidR="00F32849" w:rsidRDefault="00F32849" w:rsidP="0079029D">
      <w:pPr>
        <w:numPr>
          <w:ilvl w:val="0"/>
          <w:numId w:val="2"/>
        </w:numPr>
      </w:pPr>
      <w:r>
        <w:t>Preference for a government-led scheme.</w:t>
      </w:r>
    </w:p>
    <w:p w14:paraId="0BF334E9" w14:textId="4A93C661" w:rsidR="00F32849" w:rsidRDefault="00DF6E2C" w:rsidP="00F32849">
      <w:r>
        <w:t>A workshop with stakeholders held in September 2020 focused on better understanding</w:t>
      </w:r>
      <w:r w:rsidR="00A84C11">
        <w:t xml:space="preserve"> the key features </w:t>
      </w:r>
      <w:r>
        <w:t>stakeholders identified through the su</w:t>
      </w:r>
      <w:r w:rsidR="00BE6991">
        <w:t xml:space="preserve">rvey. </w:t>
      </w:r>
      <w:r w:rsidR="00F32849">
        <w:t xml:space="preserve">For the purposes of the workshop, </w:t>
      </w:r>
      <w:r w:rsidR="00F32849">
        <w:lastRenderedPageBreak/>
        <w:t xml:space="preserve">participants were presented with three nominal models for a future Australian GO scheme, referred to as ‘strawman’ models. Workshop respondents were asked to consider their preferences for the nominal models, considering </w:t>
      </w:r>
      <w:r w:rsidR="00883BD4">
        <w:t xml:space="preserve">five </w:t>
      </w:r>
      <w:r w:rsidR="00F32849">
        <w:t xml:space="preserve">key features of a </w:t>
      </w:r>
      <w:r w:rsidR="00DE1808">
        <w:t>GO</w:t>
      </w:r>
      <w:r w:rsidR="00F32849">
        <w:t xml:space="preserve"> scheme </w:t>
      </w:r>
      <w:r w:rsidR="00883BD4">
        <w:t>–</w:t>
      </w:r>
      <w:r w:rsidR="00F32849">
        <w:t xml:space="preserve"> </w:t>
      </w:r>
      <w:r w:rsidR="00883BD4">
        <w:t xml:space="preserve">system </w:t>
      </w:r>
      <w:r w:rsidR="00F32849">
        <w:t>boundar</w:t>
      </w:r>
      <w:r w:rsidR="00883BD4">
        <w:t>ies</w:t>
      </w:r>
      <w:r w:rsidR="00F32849">
        <w:t xml:space="preserve">, </w:t>
      </w:r>
      <w:r w:rsidR="00883BD4">
        <w:t xml:space="preserve">coverage, </w:t>
      </w:r>
      <w:r w:rsidR="00F32849">
        <w:t>emission</w:t>
      </w:r>
      <w:r w:rsidR="00883BD4">
        <w:t>s</w:t>
      </w:r>
      <w:r w:rsidR="00F32849">
        <w:t xml:space="preserve"> accounting </w:t>
      </w:r>
      <w:r w:rsidR="00883BD4">
        <w:t>frameworks</w:t>
      </w:r>
      <w:r w:rsidR="00F32849">
        <w:t>, use of offsets and scheme governance.</w:t>
      </w:r>
      <w:r w:rsidR="00C64742">
        <w:t xml:space="preserve"> These features are covered in greater detail later in this report. </w:t>
      </w:r>
    </w:p>
    <w:p w14:paraId="6933378F" w14:textId="7F3CABE7" w:rsidR="00BE6991" w:rsidRDefault="00F32849" w:rsidP="008C7EA1">
      <w:r>
        <w:t xml:space="preserve">The workshop clarified findings from the survey and found that generally stakeholders had a preference for something set up quickly with a presumed domestic market focus that could be easily adapted to be in line with international approaches. Stakeholders recognised the tension between international alignment and timely development of a domestic scheme and it was broadly acknowledged that a domestic scheme would need to be </w:t>
      </w:r>
      <w:r w:rsidR="007B2560">
        <w:t xml:space="preserve">flexible and evolve over time. </w:t>
      </w:r>
    </w:p>
    <w:p w14:paraId="6F16E227" w14:textId="0329493A" w:rsidR="009C0EB7" w:rsidRPr="0074199A" w:rsidRDefault="00F32849" w:rsidP="00DF6E2C">
      <w:r>
        <w:t xml:space="preserve">The consultation conducted during 2020 </w:t>
      </w:r>
      <w:r w:rsidR="009C0EB7">
        <w:t>provided</w:t>
      </w:r>
      <w:r>
        <w:t xml:space="preserve"> </w:t>
      </w:r>
      <w:r w:rsidR="002D218F">
        <w:t xml:space="preserve">industry views on </w:t>
      </w:r>
      <w:r w:rsidR="009C0EB7">
        <w:t xml:space="preserve">broad </w:t>
      </w:r>
      <w:r w:rsidR="002D218F">
        <w:t xml:space="preserve">scheme </w:t>
      </w:r>
      <w:r w:rsidR="009C0EB7">
        <w:t xml:space="preserve">parameters that helped shape </w:t>
      </w:r>
      <w:r w:rsidR="006B0671">
        <w:t>the Department</w:t>
      </w:r>
      <w:r w:rsidR="002D218F">
        <w:t>’s</w:t>
      </w:r>
      <w:r w:rsidR="006B0671">
        <w:t xml:space="preserve"> </w:t>
      </w:r>
      <w:r w:rsidR="009C0EB7">
        <w:t>work through IPHE</w:t>
      </w:r>
      <w:r>
        <w:t xml:space="preserve">. For further detail on the consultations and findings please refer to Chapter 3 </w:t>
      </w:r>
      <w:r w:rsidR="00BC6865">
        <w:t xml:space="preserve">of </w:t>
      </w:r>
      <w:r w:rsidR="00311843">
        <w:t xml:space="preserve">the Energetics Report </w:t>
      </w:r>
      <w:r w:rsidR="00311843" w:rsidRPr="00FD7A30">
        <w:rPr>
          <w:i/>
        </w:rPr>
        <w:t xml:space="preserve">Hydrogen </w:t>
      </w:r>
      <w:r w:rsidR="00311843">
        <w:rPr>
          <w:i/>
        </w:rPr>
        <w:t>Guarantee of Origin</w:t>
      </w:r>
      <w:r w:rsidR="00311843" w:rsidRPr="00FD7A30">
        <w:rPr>
          <w:i/>
        </w:rPr>
        <w:t>s for Australia – Options Paper</w:t>
      </w:r>
      <w:r>
        <w:t xml:space="preserve">.  </w:t>
      </w:r>
    </w:p>
    <w:p w14:paraId="3228428B" w14:textId="2746A634" w:rsidR="005178F7" w:rsidRPr="005178F7" w:rsidRDefault="00E96052" w:rsidP="003B47A9">
      <w:pPr>
        <w:pStyle w:val="Heading2"/>
        <w:numPr>
          <w:ilvl w:val="1"/>
          <w:numId w:val="1"/>
        </w:numPr>
      </w:pPr>
      <w:bookmarkStart w:id="173" w:name="_Toc74839338"/>
      <w:r>
        <w:t>Design approach</w:t>
      </w:r>
      <w:bookmarkEnd w:id="173"/>
      <w:r>
        <w:t xml:space="preserve"> </w:t>
      </w:r>
    </w:p>
    <w:p w14:paraId="1E16A94D" w14:textId="5730F919" w:rsidR="003E726A" w:rsidRDefault="006B0671" w:rsidP="003E726A">
      <w:r>
        <w:t>Energetics was commissioned by the Department</w:t>
      </w:r>
      <w:r w:rsidR="006559D3">
        <w:t xml:space="preserve"> in July 2020</w:t>
      </w:r>
      <w:r>
        <w:t xml:space="preserve"> to collate the findings from the domestic consultation and the Department’</w:t>
      </w:r>
      <w:r w:rsidR="001D6BAE">
        <w:t>s ongoing work through IPHE and provide design options for</w:t>
      </w:r>
      <w:r>
        <w:t xml:space="preserve"> a </w:t>
      </w:r>
      <w:r w:rsidR="001D6BAE">
        <w:t xml:space="preserve">hydrogen </w:t>
      </w:r>
      <w:r>
        <w:t xml:space="preserve">GO scheme. These options were designed to optimise the tensions </w:t>
      </w:r>
      <w:r w:rsidR="00F964E6">
        <w:t xml:space="preserve">inherent </w:t>
      </w:r>
      <w:r w:rsidR="006A22D8">
        <w:t>between industry need</w:t>
      </w:r>
      <w:r>
        <w:t xml:space="preserve"> for a </w:t>
      </w:r>
      <w:r w:rsidR="001D6BAE">
        <w:t xml:space="preserve">timely </w:t>
      </w:r>
      <w:r>
        <w:t xml:space="preserve">domestic scheme </w:t>
      </w:r>
      <w:r w:rsidR="00F964E6">
        <w:t xml:space="preserve">and </w:t>
      </w:r>
      <w:r>
        <w:t>align</w:t>
      </w:r>
      <w:r w:rsidR="00F964E6">
        <w:t>ment</w:t>
      </w:r>
      <w:r>
        <w:t xml:space="preserve"> with international frameworks</w:t>
      </w:r>
      <w:r w:rsidR="00F964E6">
        <w:t xml:space="preserve"> under development</w:t>
      </w:r>
      <w:r>
        <w:t xml:space="preserve">. </w:t>
      </w:r>
    </w:p>
    <w:p w14:paraId="20090B31" w14:textId="35917B1A" w:rsidR="008E4C12" w:rsidRDefault="008E4C12" w:rsidP="003E726A">
      <w:r>
        <w:t xml:space="preserve">Energetics presented three potential design options on a GO scheme. </w:t>
      </w:r>
      <w:r w:rsidR="00610316" w:rsidRPr="00610316">
        <w:rPr>
          <w:bCs/>
        </w:rPr>
        <w:t>All three options require the establishment of a new domestic scheme</w:t>
      </w:r>
      <w:r w:rsidR="00610316">
        <w:t xml:space="preserve"> for the </w:t>
      </w:r>
      <w:r w:rsidR="00610316" w:rsidRPr="00A14F92">
        <w:t>p</w:t>
      </w:r>
      <w:r w:rsidR="001D6BAE">
        <w:t xml:space="preserve">urpose of </w:t>
      </w:r>
      <w:r w:rsidR="00E07B15">
        <w:t>guaranteeing the origin of</w:t>
      </w:r>
      <w:r w:rsidR="00F36196">
        <w:t xml:space="preserve"> </w:t>
      </w:r>
      <w:r w:rsidR="006559D3">
        <w:t>hydrogen</w:t>
      </w:r>
      <w:r w:rsidR="00F13A7C">
        <w:t>.</w:t>
      </w:r>
      <w:r w:rsidR="00AD0168">
        <w:t xml:space="preserve"> The three options are not discrete, there are many elements that are common to two or more options</w:t>
      </w:r>
      <w:r w:rsidR="00DD3195">
        <w:t>,</w:t>
      </w:r>
      <w:r w:rsidR="00AD0168">
        <w:t xml:space="preserve"> and the path forward could involve incorporating desired features across the three optio</w:t>
      </w:r>
      <w:r w:rsidR="002F6A58">
        <w:t xml:space="preserve">ns. </w:t>
      </w:r>
    </w:p>
    <w:p w14:paraId="76DE23DB" w14:textId="1222BD67" w:rsidR="006E085A" w:rsidRPr="00327052" w:rsidRDefault="008E4C12" w:rsidP="0081712E">
      <w:pPr>
        <w:pStyle w:val="ListBullet"/>
        <w:numPr>
          <w:ilvl w:val="0"/>
          <w:numId w:val="40"/>
        </w:numPr>
      </w:pPr>
      <w:r w:rsidRPr="00377689">
        <w:rPr>
          <w:rStyle w:val="Strong"/>
          <w:b w:val="0"/>
        </w:rPr>
        <w:t xml:space="preserve">Option 1: </w:t>
      </w:r>
      <w:r w:rsidR="00610316" w:rsidRPr="005F45DC">
        <w:t xml:space="preserve">Collaborative development of a </w:t>
      </w:r>
      <w:r w:rsidR="00DE1808" w:rsidRPr="005F45DC">
        <w:t>GO</w:t>
      </w:r>
      <w:r w:rsidR="00610316" w:rsidRPr="005F45DC">
        <w:t xml:space="preserve"> scheme with targeted trade partner</w:t>
      </w:r>
      <w:r w:rsidR="00327052" w:rsidRPr="00377689">
        <w:t xml:space="preserve"> </w:t>
      </w:r>
    </w:p>
    <w:p w14:paraId="2B02D2FE" w14:textId="6EF844FB" w:rsidR="006E085A" w:rsidRPr="00377689" w:rsidRDefault="00FB6E10" w:rsidP="0081712E">
      <w:pPr>
        <w:pStyle w:val="ListBullet"/>
        <w:numPr>
          <w:ilvl w:val="0"/>
          <w:numId w:val="40"/>
        </w:numPr>
        <w:rPr>
          <w:rStyle w:val="Strong"/>
          <w:b w:val="0"/>
        </w:rPr>
      </w:pPr>
      <w:r w:rsidRPr="00377689">
        <w:rPr>
          <w:rStyle w:val="Strong"/>
          <w:b w:val="0"/>
        </w:rPr>
        <w:t>Option 2: Development of a</w:t>
      </w:r>
      <w:r w:rsidR="005523FA" w:rsidRPr="00377689">
        <w:rPr>
          <w:rStyle w:val="Strong"/>
          <w:b w:val="0"/>
        </w:rPr>
        <w:t xml:space="preserve"> scheme partially aligned with CertifHy</w:t>
      </w:r>
    </w:p>
    <w:p w14:paraId="520CF566" w14:textId="795DEBEE" w:rsidR="002E04A5" w:rsidRPr="008F181D" w:rsidRDefault="00117B83" w:rsidP="0081712E">
      <w:pPr>
        <w:pStyle w:val="ListBullet"/>
        <w:numPr>
          <w:ilvl w:val="0"/>
          <w:numId w:val="40"/>
        </w:numPr>
      </w:pPr>
      <w:r w:rsidRPr="0081712E">
        <w:t>Option 3: Setting up a</w:t>
      </w:r>
      <w:r w:rsidR="008778B5" w:rsidRPr="00377689">
        <w:t>n initial</w:t>
      </w:r>
      <w:r w:rsidRPr="00377689">
        <w:t xml:space="preserve"> </w:t>
      </w:r>
      <w:r w:rsidR="00BB0AC3" w:rsidRPr="00377689">
        <w:t xml:space="preserve">IPHE aligned </w:t>
      </w:r>
      <w:r w:rsidRPr="00377689">
        <w:t>domestic s</w:t>
      </w:r>
      <w:r w:rsidR="00E50977" w:rsidRPr="00FD56F8">
        <w:t>cheme</w:t>
      </w:r>
      <w:r w:rsidR="00BB0AC3" w:rsidRPr="00FD56F8">
        <w:t>,</w:t>
      </w:r>
      <w:r w:rsidR="00E50977" w:rsidRPr="004B47B4">
        <w:t xml:space="preserve"> that transitions</w:t>
      </w:r>
      <w:r w:rsidRPr="004B47B4">
        <w:t xml:space="preserve"> to an international</w:t>
      </w:r>
      <w:r w:rsidR="00B8405B" w:rsidRPr="004B47B4">
        <w:t xml:space="preserve"> </w:t>
      </w:r>
      <w:r w:rsidRPr="005C6D81">
        <w:t xml:space="preserve">scheme over time. </w:t>
      </w:r>
    </w:p>
    <w:p w14:paraId="0D1BE2B8" w14:textId="052D3C0A" w:rsidR="006700E8" w:rsidRDefault="006E085A">
      <w:pPr>
        <w:jc w:val="center"/>
      </w:pPr>
      <w:r w:rsidRPr="00C978A3">
        <w:rPr>
          <w:noProof/>
          <w:lang w:eastAsia="en-AU"/>
        </w:rPr>
        <w:drawing>
          <wp:inline distT="0" distB="0" distL="0" distR="0" wp14:anchorId="47B8B995" wp14:editId="14B47720">
            <wp:extent cx="752622" cy="850790"/>
            <wp:effectExtent l="0" t="0" r="0" b="6985"/>
            <wp:docPr id="17" name="Picture 3" descr="Chemical formula for hydrogen" title="Image of hydrogen symbol 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2"/>
                    <a:stretch>
                      <a:fillRect/>
                    </a:stretch>
                  </pic:blipFill>
                  <pic:spPr>
                    <a:xfrm>
                      <a:off x="0" y="0"/>
                      <a:ext cx="769410" cy="869768"/>
                    </a:xfrm>
                    <a:prstGeom prst="rect">
                      <a:avLst/>
                    </a:prstGeom>
                  </pic:spPr>
                </pic:pic>
              </a:graphicData>
            </a:graphic>
          </wp:inline>
        </w:drawing>
      </w:r>
      <w:r w:rsidRPr="00C978A3">
        <w:rPr>
          <w:noProof/>
          <w:lang w:eastAsia="en-AU"/>
        </w:rPr>
        <w:drawing>
          <wp:inline distT="0" distB="0" distL="0" distR="0" wp14:anchorId="751D068B" wp14:editId="7590F210">
            <wp:extent cx="829994" cy="780785"/>
            <wp:effectExtent l="0" t="0" r="8255" b="635"/>
            <wp:docPr id="20" name="Picture 1" descr="Green tick" title="Tick to symbolise certif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a:stretch>
                      <a:fillRect/>
                    </a:stretch>
                  </pic:blipFill>
                  <pic:spPr>
                    <a:xfrm>
                      <a:off x="0" y="0"/>
                      <a:ext cx="843820" cy="793791"/>
                    </a:xfrm>
                    <a:prstGeom prst="rect">
                      <a:avLst/>
                    </a:prstGeom>
                  </pic:spPr>
                </pic:pic>
              </a:graphicData>
            </a:graphic>
          </wp:inline>
        </w:drawing>
      </w:r>
    </w:p>
    <w:p w14:paraId="42DDBA71" w14:textId="1AD8B46A" w:rsidR="00684BBF" w:rsidRDefault="00684BBF" w:rsidP="00871ECD">
      <w:r>
        <w:t xml:space="preserve">At the time the three options </w:t>
      </w:r>
      <w:r w:rsidR="005628B2">
        <w:t xml:space="preserve">above </w:t>
      </w:r>
      <w:r w:rsidR="007A52DA">
        <w:t xml:space="preserve">were presented to the </w:t>
      </w:r>
      <w:r w:rsidR="00AA03C1">
        <w:t>D</w:t>
      </w:r>
      <w:r w:rsidR="00D7173C">
        <w:t>e</w:t>
      </w:r>
      <w:r w:rsidR="00AA03C1">
        <w:t>partment</w:t>
      </w:r>
      <w:r>
        <w:t xml:space="preserve">, </w:t>
      </w:r>
      <w:r w:rsidR="00F24AF9">
        <w:t xml:space="preserve">discussions and agreements </w:t>
      </w:r>
      <w:r>
        <w:t xml:space="preserve">the IPHE had gathered momentum. This presented an opportunity for </w:t>
      </w:r>
      <w:r w:rsidR="00F52C22">
        <w:t>Australia to take a lead role in</w:t>
      </w:r>
      <w:r>
        <w:t xml:space="preserve"> IPHE</w:t>
      </w:r>
      <w:r w:rsidR="00F52C22">
        <w:t xml:space="preserve"> by </w:t>
      </w:r>
      <w:r w:rsidR="00611848">
        <w:t>drivi</w:t>
      </w:r>
      <w:r w:rsidR="00F52C22">
        <w:t>ng some of</w:t>
      </w:r>
      <w:r w:rsidR="00611848">
        <w:t xml:space="preserve"> the emissions accounting methodologies being developed by the</w:t>
      </w:r>
      <w:r w:rsidR="00F52C22">
        <w:t xml:space="preserve"> group.</w:t>
      </w:r>
      <w:r w:rsidR="00F24AF9">
        <w:t xml:space="preserve"> </w:t>
      </w:r>
      <w:r w:rsidR="00611848">
        <w:t>Given IPHE’s broad representation and progress t</w:t>
      </w:r>
      <w:r w:rsidR="007A52DA">
        <w:t xml:space="preserve">o date, </w:t>
      </w:r>
      <w:r w:rsidR="00611848">
        <w:t>it was</w:t>
      </w:r>
      <w:r w:rsidR="007A52DA">
        <w:t xml:space="preserve"> considered</w:t>
      </w:r>
      <w:r w:rsidR="00611848">
        <w:t xml:space="preserve"> in the Australian Industry’s best interest to progress along option 3. </w:t>
      </w:r>
    </w:p>
    <w:p w14:paraId="4F3B4899" w14:textId="7151CA35" w:rsidR="00871ECD" w:rsidRDefault="00871ECD" w:rsidP="00871ECD">
      <w:r>
        <w:t>Should the IPHE process s</w:t>
      </w:r>
      <w:r w:rsidR="001D6BAE">
        <w:t>tall, Australia could</w:t>
      </w:r>
      <w:r>
        <w:t xml:space="preserve"> progress with a domestic scheme informed by the negotiations and discussions to date. Australia would continue to engage with key countries to ensure the development of a domestic scheme is in line with international trends and accepted by international markets. </w:t>
      </w:r>
    </w:p>
    <w:p w14:paraId="008EA631" w14:textId="3BB56C7F" w:rsidR="0074199A" w:rsidRDefault="00953E4D" w:rsidP="00473128">
      <w:pPr>
        <w:pStyle w:val="Heading1"/>
      </w:pPr>
      <w:bookmarkStart w:id="174" w:name="_Toc62043724"/>
      <w:bookmarkStart w:id="175" w:name="_Toc64302368"/>
      <w:bookmarkStart w:id="176" w:name="_Toc65168371"/>
      <w:bookmarkStart w:id="177" w:name="_Toc67329108"/>
      <w:bookmarkStart w:id="178" w:name="_Toc67329356"/>
      <w:bookmarkStart w:id="179" w:name="_Toc67562612"/>
      <w:bookmarkStart w:id="180" w:name="_Toc68000195"/>
      <w:bookmarkStart w:id="181" w:name="_Toc68083126"/>
      <w:bookmarkStart w:id="182" w:name="_Toc68083521"/>
      <w:bookmarkStart w:id="183" w:name="_Toc68105060"/>
      <w:bookmarkStart w:id="184" w:name="_Toc74839339"/>
      <w:bookmarkEnd w:id="174"/>
      <w:bookmarkEnd w:id="175"/>
      <w:bookmarkEnd w:id="176"/>
      <w:r>
        <w:lastRenderedPageBreak/>
        <w:t xml:space="preserve">2. </w:t>
      </w:r>
      <w:r w:rsidR="00D94DB9">
        <w:t>Scheme design, coverage and administration</w:t>
      </w:r>
      <w:bookmarkEnd w:id="177"/>
      <w:bookmarkEnd w:id="178"/>
      <w:bookmarkEnd w:id="179"/>
      <w:bookmarkEnd w:id="180"/>
      <w:bookmarkEnd w:id="181"/>
      <w:bookmarkEnd w:id="182"/>
      <w:bookmarkEnd w:id="183"/>
      <w:bookmarkEnd w:id="184"/>
    </w:p>
    <w:p w14:paraId="68D98200" w14:textId="61F2D6A5" w:rsidR="00D94DB9" w:rsidRDefault="00250BF2" w:rsidP="003B47A9">
      <w:pPr>
        <w:pStyle w:val="Heading2"/>
      </w:pPr>
      <w:bookmarkStart w:id="185" w:name="_Toc67329109"/>
      <w:bookmarkStart w:id="186" w:name="_Toc67329357"/>
      <w:bookmarkStart w:id="187" w:name="_Toc67562613"/>
      <w:bookmarkStart w:id="188" w:name="_Toc68000196"/>
      <w:bookmarkStart w:id="189" w:name="_Toc68083127"/>
      <w:bookmarkStart w:id="190" w:name="_Toc68083522"/>
      <w:bookmarkStart w:id="191" w:name="_Toc68105061"/>
      <w:bookmarkStart w:id="192" w:name="_Toc62043727"/>
      <w:bookmarkStart w:id="193" w:name="_Toc64302369"/>
      <w:bookmarkStart w:id="194" w:name="_Toc65168372"/>
      <w:bookmarkStart w:id="195" w:name="_Toc74839340"/>
      <w:r>
        <w:t xml:space="preserve">2.1 </w:t>
      </w:r>
      <w:r w:rsidR="00D94DB9">
        <w:t>Coverage</w:t>
      </w:r>
      <w:bookmarkEnd w:id="185"/>
      <w:bookmarkEnd w:id="186"/>
      <w:bookmarkEnd w:id="187"/>
      <w:bookmarkEnd w:id="188"/>
      <w:bookmarkEnd w:id="189"/>
      <w:bookmarkEnd w:id="190"/>
      <w:bookmarkEnd w:id="191"/>
      <w:bookmarkEnd w:id="195"/>
    </w:p>
    <w:p w14:paraId="300BC0B2" w14:textId="4DEC32F2" w:rsidR="0011221B" w:rsidRDefault="0011221B" w:rsidP="0011221B">
      <w:pPr>
        <w:pStyle w:val="Heading3"/>
      </w:pPr>
      <w:r>
        <w:t>2.1.1 Coverage of products</w:t>
      </w:r>
    </w:p>
    <w:p w14:paraId="62B15C8C" w14:textId="49AD259F" w:rsidR="0024368C" w:rsidRDefault="0024368C" w:rsidP="00D94DB9">
      <w:r>
        <w:t>Clean hydrogen can be an input into downstream products such as ammonia and steel, reducing emissions associated with their production. Similar to hydrogen, there may be a</w:t>
      </w:r>
      <w:r w:rsidR="00E07B15">
        <w:t xml:space="preserve"> need for guaranteeing the origin of</w:t>
      </w:r>
      <w:r>
        <w:t xml:space="preserve"> the emissions associated with these products</w:t>
      </w:r>
      <w:r w:rsidR="00664FB4">
        <w:t xml:space="preserve"> over time</w:t>
      </w:r>
      <w:r>
        <w:t xml:space="preserve">. </w:t>
      </w:r>
    </w:p>
    <w:p w14:paraId="45EFE213" w14:textId="758227A1" w:rsidR="00D94DB9" w:rsidRDefault="00CE0F1A" w:rsidP="00D94DB9">
      <w:r>
        <w:t>At the online workshop, stakeholders were asked for views on whether the scheme should cov</w:t>
      </w:r>
      <w:r w:rsidR="0024368C">
        <w:t xml:space="preserve">er hydrogen production, or be extended to </w:t>
      </w:r>
      <w:r>
        <w:t xml:space="preserve">include hydrogen derivatives (such as ammonia), related products (such as biomethane) and downstream products such as green steel. </w:t>
      </w:r>
      <w:r w:rsidR="00AF2B04">
        <w:t xml:space="preserve">Stakeholders identified that the scheme will be </w:t>
      </w:r>
      <w:r w:rsidR="00E07B15">
        <w:t>an important input to guaranteeing the origin of</w:t>
      </w:r>
      <w:r w:rsidR="00AF2B04">
        <w:t xml:space="preserve"> other low emissions products, for example clean steel and blends of ‘green gas’ (including biomethane or renewables based hydrogen) in gas networks and should be designed with this in mind.</w:t>
      </w:r>
    </w:p>
    <w:p w14:paraId="22846F3D" w14:textId="5E570C86" w:rsidR="00E10FA8" w:rsidRDefault="00281EA5" w:rsidP="00BD3781">
      <w:pPr>
        <w:jc w:val="center"/>
      </w:pPr>
      <w:r>
        <w:rPr>
          <w:noProof/>
          <w:lang w:eastAsia="en-AU"/>
        </w:rPr>
        <w:drawing>
          <wp:inline distT="0" distB="0" distL="0" distR="0" wp14:anchorId="7E7C9832" wp14:editId="137ABF54">
            <wp:extent cx="3020695" cy="2087834"/>
            <wp:effectExtent l="0" t="0" r="8255" b="8255"/>
            <wp:docPr id="16" name="Picture 16" descr="steel pi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ettyimages-914594086-612x612 steel pipes stack energy gas FOR USE.jpg"/>
                    <pic:cNvPicPr/>
                  </pic:nvPicPr>
                  <pic:blipFill>
                    <a:blip r:embed="rId24">
                      <a:extLst>
                        <a:ext uri="{28A0092B-C50C-407E-A947-70E740481C1C}">
                          <a14:useLocalDpi xmlns:a14="http://schemas.microsoft.com/office/drawing/2010/main" val="0"/>
                        </a:ext>
                      </a:extLst>
                    </a:blip>
                    <a:stretch>
                      <a:fillRect/>
                    </a:stretch>
                  </pic:blipFill>
                  <pic:spPr>
                    <a:xfrm>
                      <a:off x="0" y="0"/>
                      <a:ext cx="3031703" cy="2095442"/>
                    </a:xfrm>
                    <a:prstGeom prst="rect">
                      <a:avLst/>
                    </a:prstGeom>
                  </pic:spPr>
                </pic:pic>
              </a:graphicData>
            </a:graphic>
          </wp:inline>
        </w:drawing>
      </w:r>
    </w:p>
    <w:p w14:paraId="2BC353BA" w14:textId="4141F8CB" w:rsidR="00E10FA8" w:rsidRPr="003408C4" w:rsidRDefault="00E10FA8" w:rsidP="003408C4">
      <w:pPr>
        <w:pStyle w:val="Caption"/>
        <w:jc w:val="center"/>
      </w:pPr>
      <w:r w:rsidRPr="003408C4">
        <w:t>Hydrogen cou</w:t>
      </w:r>
      <w:r w:rsidR="003408C4">
        <w:t xml:space="preserve">ld be used to manufacture products such as </w:t>
      </w:r>
      <w:r w:rsidRPr="003408C4">
        <w:t xml:space="preserve">low emissions or ‘green’ steel </w:t>
      </w:r>
    </w:p>
    <w:p w14:paraId="201D9811" w14:textId="489E9540" w:rsidR="002D3CB8" w:rsidRDefault="00CE0F1A" w:rsidP="00D94DB9">
      <w:pPr>
        <w:rPr>
          <w:iCs/>
        </w:rPr>
      </w:pPr>
      <w:r>
        <w:t xml:space="preserve">Stakeholders were generally of the view that the scheme should </w:t>
      </w:r>
      <w:r w:rsidR="007574D4">
        <w:t xml:space="preserve">create a consistent framework to support a range of low emissions technologies, but should </w:t>
      </w:r>
      <w:r>
        <w:t>initially focus on hydrogen production in order to allow tim</w:t>
      </w:r>
      <w:r w:rsidR="0052070D">
        <w:t xml:space="preserve">ely establishment of the scheme. This could be </w:t>
      </w:r>
      <w:r>
        <w:t xml:space="preserve">expanded over time to cover additional products. </w:t>
      </w:r>
      <w:r>
        <w:rPr>
          <w:iCs/>
        </w:rPr>
        <w:t xml:space="preserve">In particular, stakeholders noted the importance for hydrogen energy carriers such as ammonia to be an early addition. </w:t>
      </w:r>
      <w:r>
        <w:t xml:space="preserve">This is not included initially, however </w:t>
      </w:r>
      <w:r>
        <w:rPr>
          <w:iCs/>
        </w:rPr>
        <w:t xml:space="preserve">work on energy carriers is underway and will be released for consultation later this year. </w:t>
      </w:r>
    </w:p>
    <w:p w14:paraId="320BD288" w14:textId="1642AA53" w:rsidR="0011221B" w:rsidRDefault="0011221B" w:rsidP="0011221B">
      <w:pPr>
        <w:pStyle w:val="Heading3"/>
      </w:pPr>
      <w:r>
        <w:t>2.1.2 Coverage of production pathways</w:t>
      </w:r>
    </w:p>
    <w:p w14:paraId="2ACE1EA1" w14:textId="57742CF7" w:rsidR="006D033B" w:rsidRDefault="0011221B" w:rsidP="00D94DB9">
      <w:r>
        <w:rPr>
          <w:iCs/>
        </w:rPr>
        <w:t>Coverage can also refer to the hydrogen production technologi</w:t>
      </w:r>
      <w:r w:rsidR="0024368C">
        <w:rPr>
          <w:iCs/>
        </w:rPr>
        <w:t>es or pathways that</w:t>
      </w:r>
      <w:r w:rsidR="00422A98">
        <w:rPr>
          <w:iCs/>
        </w:rPr>
        <w:t xml:space="preserve"> are eligible </w:t>
      </w:r>
      <w:r w:rsidR="0024368C">
        <w:rPr>
          <w:iCs/>
        </w:rPr>
        <w:t>under the scheme</w:t>
      </w:r>
      <w:r>
        <w:rPr>
          <w:iCs/>
        </w:rPr>
        <w:t xml:space="preserve">. As </w:t>
      </w:r>
      <w:r w:rsidR="0052070D">
        <w:rPr>
          <w:iCs/>
        </w:rPr>
        <w:t xml:space="preserve">mentioned above, the Government considers </w:t>
      </w:r>
      <w:r>
        <w:rPr>
          <w:iCs/>
        </w:rPr>
        <w:t xml:space="preserve">all technologies for producing clean hydrogen should be covered, however a methodology needs to be established before they can be included. </w:t>
      </w:r>
      <w:r>
        <w:t xml:space="preserve">This paper presents methodologies for consultation </w:t>
      </w:r>
      <w:r>
        <w:rPr>
          <w:iCs/>
        </w:rPr>
        <w:t>for the three main production pathways relevant to Australia,</w:t>
      </w:r>
      <w:r>
        <w:t xml:space="preserve"> electrol</w:t>
      </w:r>
      <w:r w:rsidR="003177A4">
        <w:t>ysis, coal gasification with CC</w:t>
      </w:r>
      <w:r>
        <w:t xml:space="preserve">S and SMR </w:t>
      </w:r>
      <w:r w:rsidR="003177A4">
        <w:t>of natural gas with CC</w:t>
      </w:r>
      <w:r>
        <w:t xml:space="preserve">S. </w:t>
      </w:r>
      <w:r w:rsidR="006D033B">
        <w:t>Coal</w:t>
      </w:r>
      <w:r w:rsidR="003177A4">
        <w:t xml:space="preserve"> gasification or SMR without CC</w:t>
      </w:r>
      <w:r w:rsidR="006D033B">
        <w:t>S w</w:t>
      </w:r>
      <w:r w:rsidR="00D9382C">
        <w:t>ould</w:t>
      </w:r>
      <w:r w:rsidR="006D033B">
        <w:t xml:space="preserve"> not be covered in the hydrogen GO s</w:t>
      </w:r>
      <w:r w:rsidR="007A52DA">
        <w:t>cheme</w:t>
      </w:r>
      <w:r w:rsidR="006D033B">
        <w:t xml:space="preserve">. </w:t>
      </w:r>
    </w:p>
    <w:p w14:paraId="23224C47" w14:textId="589F4759" w:rsidR="0011221B" w:rsidRDefault="0011221B" w:rsidP="00D94DB9">
      <w:r>
        <w:t>The</w:t>
      </w:r>
      <w:r w:rsidR="0024368C">
        <w:t>se</w:t>
      </w:r>
      <w:r>
        <w:t xml:space="preserve"> methodologies are consistent with those under development by IPHE. Methodologies for biomass and by-product hydrogen are </w:t>
      </w:r>
      <w:r w:rsidR="0024368C">
        <w:t xml:space="preserve">under development by IPHE but are </w:t>
      </w:r>
      <w:r>
        <w:t xml:space="preserve">less applicable to </w:t>
      </w:r>
      <w:r>
        <w:lastRenderedPageBreak/>
        <w:t xml:space="preserve">Australia and will be presented at a later date. </w:t>
      </w:r>
      <w:r w:rsidR="00985907">
        <w:t>However, as</w:t>
      </w:r>
      <w:r>
        <w:t xml:space="preserve"> noted earlier, IPHE has not final</w:t>
      </w:r>
      <w:r w:rsidR="0024368C">
        <w:t>ised any methodologies, so the methodologies presented here do not represent final decisions by IPHE</w:t>
      </w:r>
      <w:r>
        <w:t>.</w:t>
      </w:r>
    </w:p>
    <w:p w14:paraId="25D61D0F" w14:textId="25B3C0AB" w:rsidR="000B42EC" w:rsidRDefault="000B42EC" w:rsidP="00D94DB9"/>
    <w:p w14:paraId="743B658D" w14:textId="40E709D5" w:rsidR="000B42EC" w:rsidRDefault="00C40346" w:rsidP="00D94DB9">
      <w:r>
        <w:rPr>
          <w:noProof/>
          <w:lang w:eastAsia="en-AU"/>
        </w:rPr>
        <w:drawing>
          <wp:inline distT="0" distB="0" distL="0" distR="0" wp14:anchorId="7A7115D4" wp14:editId="533305BC">
            <wp:extent cx="5810810" cy="3268500"/>
            <wp:effectExtent l="0" t="0" r="0" b="8255"/>
            <wp:docPr id="12" name="Picture 12" descr="Image of an ammonia fertiliser plant in Western Australia which will add a 10MW renewable hydrogen production facility " title="Yara Pilbara renewable hydrogen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Yara Fertilisers ARENA.jpg"/>
                    <pic:cNvPicPr/>
                  </pic:nvPicPr>
                  <pic:blipFill>
                    <a:blip r:embed="rId25">
                      <a:extLst>
                        <a:ext uri="{28A0092B-C50C-407E-A947-70E740481C1C}">
                          <a14:useLocalDpi xmlns:a14="http://schemas.microsoft.com/office/drawing/2010/main" val="0"/>
                        </a:ext>
                      </a:extLst>
                    </a:blip>
                    <a:stretch>
                      <a:fillRect/>
                    </a:stretch>
                  </pic:blipFill>
                  <pic:spPr>
                    <a:xfrm>
                      <a:off x="0" y="0"/>
                      <a:ext cx="5814854" cy="3270775"/>
                    </a:xfrm>
                    <a:prstGeom prst="rect">
                      <a:avLst/>
                    </a:prstGeom>
                  </pic:spPr>
                </pic:pic>
              </a:graphicData>
            </a:graphic>
          </wp:inline>
        </w:drawing>
      </w:r>
    </w:p>
    <w:p w14:paraId="61A3F261" w14:textId="2297C750" w:rsidR="000B42EC" w:rsidRDefault="007260B5" w:rsidP="00A16AD3">
      <w:pPr>
        <w:pStyle w:val="Caption"/>
        <w:jc w:val="center"/>
      </w:pPr>
      <w:r>
        <w:t xml:space="preserve">The Australian Renewable Energy Agency (ARENA) is </w:t>
      </w:r>
      <w:r w:rsidR="00A16AD3">
        <w:t xml:space="preserve">investing in the construction of a 10MW electrolyser to produce renewable hydrogen at the </w:t>
      </w:r>
      <w:r w:rsidR="002009C8">
        <w:t xml:space="preserve">Yara Pilbara Fertilisers </w:t>
      </w:r>
      <w:r w:rsidR="00A16AD3">
        <w:t xml:space="preserve">ammonia </w:t>
      </w:r>
      <w:r w:rsidR="003C3670">
        <w:t>plant</w:t>
      </w:r>
      <w:r w:rsidR="00360460">
        <w:t xml:space="preserve"> </w:t>
      </w:r>
      <w:r w:rsidR="00A35272">
        <w:br/>
      </w:r>
      <w:r w:rsidR="0039293C" w:rsidRPr="0039293C">
        <w:t xml:space="preserve">in </w:t>
      </w:r>
      <w:r w:rsidR="00A16AD3">
        <w:t xml:space="preserve">Karratha, </w:t>
      </w:r>
      <w:r w:rsidR="0039293C" w:rsidRPr="0039293C">
        <w:t>Western Australia</w:t>
      </w:r>
      <w:r w:rsidR="00A16AD3">
        <w:t xml:space="preserve"> </w:t>
      </w:r>
      <w:r w:rsidR="0039293C">
        <w:t xml:space="preserve">Image: </w:t>
      </w:r>
      <w:r w:rsidR="00C40346" w:rsidRPr="00344D7E">
        <w:t xml:space="preserve">YARA Pilbara </w:t>
      </w:r>
      <w:r w:rsidR="00EB0DA2">
        <w:br/>
      </w:r>
    </w:p>
    <w:p w14:paraId="07262372" w14:textId="5E5D0B85" w:rsidR="005178F7" w:rsidRPr="005178F7" w:rsidRDefault="0011221B" w:rsidP="00B727A8">
      <w:pPr>
        <w:pStyle w:val="Heading3"/>
      </w:pPr>
      <w:r>
        <w:t xml:space="preserve">2.1.3 </w:t>
      </w:r>
      <w:r w:rsidR="0024368C">
        <w:t>T</w:t>
      </w:r>
      <w:r w:rsidR="002E3C2C" w:rsidRPr="00921F6F">
        <w:t>he</w:t>
      </w:r>
      <w:r w:rsidR="0074199A" w:rsidRPr="00921F6F">
        <w:t xml:space="preserve"> </w:t>
      </w:r>
      <w:r w:rsidR="0033617F">
        <w:t xml:space="preserve">system </w:t>
      </w:r>
      <w:r w:rsidR="0074199A" w:rsidRPr="00921F6F">
        <w:t>boundary</w:t>
      </w:r>
      <w:bookmarkEnd w:id="192"/>
      <w:bookmarkEnd w:id="193"/>
      <w:bookmarkEnd w:id="194"/>
    </w:p>
    <w:p w14:paraId="6F9E066E" w14:textId="2ECB9BD9" w:rsidR="0033617F" w:rsidRDefault="0033617F" w:rsidP="0033617F">
      <w:r>
        <w:t>The system boundary refers to the part of the hydrog</w:t>
      </w:r>
      <w:r w:rsidR="00DD4008">
        <w:t xml:space="preserve">en value chain for which emissions are </w:t>
      </w:r>
      <w:r w:rsidR="004711E0">
        <w:t xml:space="preserve">to be </w:t>
      </w:r>
      <w:r w:rsidR="00DD4008">
        <w:t>measured</w:t>
      </w:r>
      <w:r w:rsidR="00422A98">
        <w:t xml:space="preserve"> and to which guarantee of origin</w:t>
      </w:r>
      <w:r w:rsidR="0024368C">
        <w:t xml:space="preserve"> will apply</w:t>
      </w:r>
      <w:r>
        <w:t xml:space="preserve">. </w:t>
      </w:r>
      <w:r w:rsidR="005178F7">
        <w:t>It is imp</w:t>
      </w:r>
      <w:r w:rsidR="00DD4008">
        <w:t>ortant that this is well defined</w:t>
      </w:r>
      <w:r w:rsidR="00D221C4">
        <w:t xml:space="preserve"> and consistently applied </w:t>
      </w:r>
      <w:r w:rsidR="005178F7">
        <w:t xml:space="preserve">so that emissions from one hydrogen producer can be accurately compared to another. </w:t>
      </w:r>
    </w:p>
    <w:p w14:paraId="2D39BFBD" w14:textId="23C1ABD1" w:rsidR="008154B9" w:rsidRDefault="005178F7" w:rsidP="0033617F">
      <w:r>
        <w:t xml:space="preserve">Figure </w:t>
      </w:r>
      <w:r w:rsidR="00311843">
        <w:t>2</w:t>
      </w:r>
      <w:r w:rsidR="003D7554">
        <w:t>.1 below illustrates the</w:t>
      </w:r>
      <w:r w:rsidR="00E756D9">
        <w:t xml:space="preserve"> components of</w:t>
      </w:r>
      <w:r w:rsidR="003D7554">
        <w:t xml:space="preserve"> the hydrogen value chain and the different boundaries </w:t>
      </w:r>
      <w:r w:rsidR="00990374">
        <w:t xml:space="preserve">that </w:t>
      </w:r>
      <w:r w:rsidR="003D7554">
        <w:t xml:space="preserve">could apply. </w:t>
      </w:r>
      <w:r w:rsidR="00192056">
        <w:t>The broadest boundary definition woul</w:t>
      </w:r>
      <w:r w:rsidR="001D6BAE">
        <w:t>d cover the ‘cradle-to-grave’ or</w:t>
      </w:r>
      <w:r w:rsidR="00192056">
        <w:t xml:space="preserve"> lifecycle emissions associated with a unit of hydrogen. The narrowest definition would be </w:t>
      </w:r>
      <w:r w:rsidR="00F1139B">
        <w:t>the</w:t>
      </w:r>
      <w:r w:rsidR="00192056">
        <w:t xml:space="preserve"> </w:t>
      </w:r>
      <w:r w:rsidR="0024368C">
        <w:t>‘</w:t>
      </w:r>
      <w:r w:rsidR="00192056">
        <w:t>gate-to-gate</w:t>
      </w:r>
      <w:r w:rsidR="0024368C">
        <w:t>’</w:t>
      </w:r>
      <w:r w:rsidR="00F1139B">
        <w:t xml:space="preserve"> </w:t>
      </w:r>
      <w:r w:rsidR="0024368C">
        <w:t>boundary, which is similar to the boundary</w:t>
      </w:r>
      <w:r w:rsidR="00F1139B">
        <w:t xml:space="preserve"> applied in NGERS</w:t>
      </w:r>
      <w:r w:rsidR="0024368C">
        <w:t xml:space="preserve">. This </w:t>
      </w:r>
      <w:r w:rsidR="00192056">
        <w:t>would just cover the emissions occurring at the hydrogen production facility</w:t>
      </w:r>
      <w:r w:rsidR="00D824FD">
        <w:t xml:space="preserve">. </w:t>
      </w:r>
      <w:r w:rsidR="00192056">
        <w:t>Choosing a boundary</w:t>
      </w:r>
      <w:r w:rsidR="00D824FD">
        <w:t xml:space="preserve"> involves</w:t>
      </w:r>
      <w:r w:rsidR="00192056">
        <w:t xml:space="preserve"> a trade-off between completeness and complexity. A broader system boundary provides more complete information on the emissions associated with a product, but it becomes more complex to compile and acc</w:t>
      </w:r>
      <w:r w:rsidR="007B2560">
        <w:t xml:space="preserve">uracy may be lost as a result. </w:t>
      </w:r>
    </w:p>
    <w:p w14:paraId="2BB61984" w14:textId="0C2A31F2" w:rsidR="00D221C4" w:rsidRDefault="00311843" w:rsidP="007B2560">
      <w:pPr>
        <w:keepNext/>
      </w:pPr>
      <w:r>
        <w:lastRenderedPageBreak/>
        <w:t>Figure 2.1</w:t>
      </w:r>
      <w:r w:rsidR="00F02BFC">
        <w:t xml:space="preserve"> – System boundaries </w:t>
      </w:r>
    </w:p>
    <w:p w14:paraId="6ACA761F" w14:textId="086CB745" w:rsidR="00D221C4" w:rsidRDefault="00F02BFC" w:rsidP="0033617F">
      <w:r>
        <w:rPr>
          <w:noProof/>
          <w:lang w:eastAsia="en-AU"/>
        </w:rPr>
        <w:drawing>
          <wp:inline distT="0" distB="0" distL="0" distR="0" wp14:anchorId="4DBF9760" wp14:editId="1B8C13BB">
            <wp:extent cx="5666509" cy="2727007"/>
            <wp:effectExtent l="0" t="0" r="0" b="0"/>
            <wp:docPr id="5" name="Picture 5" descr="Image showing the main boundaries across which emissions assessment can be d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1-COM21149 hyrogen consultation_D1-02 (1).png"/>
                    <pic:cNvPicPr/>
                  </pic:nvPicPr>
                  <pic:blipFill rotWithShape="1">
                    <a:blip r:embed="rId26">
                      <a:extLst>
                        <a:ext uri="{28A0092B-C50C-407E-A947-70E740481C1C}">
                          <a14:useLocalDpi xmlns:a14="http://schemas.microsoft.com/office/drawing/2010/main" val="0"/>
                        </a:ext>
                      </a:extLst>
                    </a:blip>
                    <a:srcRect l="11496" t="26334" r="8526" b="46447"/>
                    <a:stretch/>
                  </pic:blipFill>
                  <pic:spPr bwMode="auto">
                    <a:xfrm>
                      <a:off x="0" y="0"/>
                      <a:ext cx="5678608" cy="2732830"/>
                    </a:xfrm>
                    <a:prstGeom prst="rect">
                      <a:avLst/>
                    </a:prstGeom>
                    <a:ln>
                      <a:noFill/>
                    </a:ln>
                    <a:extLst>
                      <a:ext uri="{53640926-AAD7-44D8-BBD7-CCE9431645EC}">
                        <a14:shadowObscured xmlns:a14="http://schemas.microsoft.com/office/drawing/2010/main"/>
                      </a:ext>
                    </a:extLst>
                  </pic:spPr>
                </pic:pic>
              </a:graphicData>
            </a:graphic>
          </wp:inline>
        </w:drawing>
      </w:r>
    </w:p>
    <w:p w14:paraId="547FF4BA" w14:textId="34D20C32" w:rsidR="00F1139B" w:rsidRDefault="000E555D" w:rsidP="0033617F">
      <w:r>
        <w:t>A</w:t>
      </w:r>
      <w:r w:rsidR="00065D76">
        <w:t xml:space="preserve"> </w:t>
      </w:r>
      <w:r w:rsidR="00D21F55">
        <w:t>‘</w:t>
      </w:r>
      <w:r w:rsidR="00065D76">
        <w:t>well-to-gate</w:t>
      </w:r>
      <w:r w:rsidR="00D21F55">
        <w:t>’</w:t>
      </w:r>
      <w:r w:rsidR="00065D76">
        <w:t xml:space="preserve"> boundary is applied to CertifHy's scheme. This</w:t>
      </w:r>
      <w:r w:rsidR="003D7554">
        <w:t xml:space="preserve"> </w:t>
      </w:r>
      <w:r w:rsidR="003D7554" w:rsidRPr="00C37843">
        <w:t>includes all upstream emissions associated with supply of feedstocks (including</w:t>
      </w:r>
      <w:r w:rsidR="003D7554">
        <w:t xml:space="preserve"> extraction</w:t>
      </w:r>
      <w:r w:rsidR="0024368C">
        <w:t>, processing and transportation</w:t>
      </w:r>
      <w:r w:rsidR="003D7554">
        <w:t xml:space="preserve"> of fossil fuels) as well emissions incurred during hydrogen production</w:t>
      </w:r>
      <w:r w:rsidR="00E756D9">
        <w:t>.</w:t>
      </w:r>
      <w:r w:rsidR="00EC166E">
        <w:t xml:space="preserve"> It excludes </w:t>
      </w:r>
      <w:r w:rsidR="00E756D9">
        <w:t>emissions associated with</w:t>
      </w:r>
      <w:r w:rsidR="00EC166E">
        <w:t xml:space="preserve"> capital goods, and downstream emissions (hydrogen transport, supply, handling, consumption, and end-of-life).</w:t>
      </w:r>
      <w:r w:rsidR="00BE693E">
        <w:t xml:space="preserve"> </w:t>
      </w:r>
    </w:p>
    <w:p w14:paraId="434CDB63" w14:textId="44428501" w:rsidR="00606AD9" w:rsidRDefault="00846190" w:rsidP="005035A7">
      <w:r>
        <w:t xml:space="preserve">The stakeholder workshop sought views from </w:t>
      </w:r>
      <w:r w:rsidR="0024368C">
        <w:t xml:space="preserve">the </w:t>
      </w:r>
      <w:r>
        <w:t>domestic industry on the emissions accounting boundary</w:t>
      </w:r>
      <w:r w:rsidR="00422A98">
        <w:t xml:space="preserve"> for an initial Guarantee of Origin </w:t>
      </w:r>
      <w:r w:rsidR="00D221C4">
        <w:t>scheme, noting it is expected this scheme would be built on over time</w:t>
      </w:r>
      <w:r>
        <w:t xml:space="preserve">. </w:t>
      </w:r>
      <w:r w:rsidR="005035A7">
        <w:t>Bou</w:t>
      </w:r>
      <w:r>
        <w:t xml:space="preserve">ndaries considered </w:t>
      </w:r>
      <w:r w:rsidR="005035A7">
        <w:t>include</w:t>
      </w:r>
      <w:r>
        <w:t>d</w:t>
      </w:r>
      <w:r w:rsidR="005035A7">
        <w:t xml:space="preserve"> well-to-gate, gate-to-gate and well-to-gate with the inclusion of energy carriers. </w:t>
      </w:r>
    </w:p>
    <w:p w14:paraId="47A3960C" w14:textId="76893450" w:rsidR="005035A7" w:rsidRDefault="005035A7" w:rsidP="005035A7">
      <w:r>
        <w:t>Gate-to-gate is most closely aligned with the facility definition under NGERS. It could be supported by existing NGERS methods and would not require the development of emissions factors or methods to cover upstream emissions. However, well-to-gate is the most common appr</w:t>
      </w:r>
      <w:r w:rsidR="00646A1A">
        <w:t>oach</w:t>
      </w:r>
      <w:r w:rsidR="00ED02D7">
        <w:t xml:space="preserve"> in international frameworks. </w:t>
      </w:r>
    </w:p>
    <w:p w14:paraId="52D74B58" w14:textId="104B69E8" w:rsidR="00ED02D7" w:rsidRDefault="00ED02D7" w:rsidP="005035A7">
      <w:r>
        <w:t xml:space="preserve">A majority of </w:t>
      </w:r>
      <w:r w:rsidR="00606AD9">
        <w:t xml:space="preserve">Australian </w:t>
      </w:r>
      <w:r>
        <w:t>stakeholders preferred a well-to-gate approach</w:t>
      </w:r>
      <w:r w:rsidR="00606AD9">
        <w:t xml:space="preserve"> as a starting point</w:t>
      </w:r>
      <w:r w:rsidR="00846190">
        <w:t>, recognising that this is the boundary most likely to be adopted by international schemes</w:t>
      </w:r>
      <w:r w:rsidR="008D0C7F">
        <w:t xml:space="preserve">. </w:t>
      </w:r>
      <w:r w:rsidR="00567FFC">
        <w:br/>
      </w:r>
      <w:r w:rsidR="008D0C7F">
        <w:t>IPHE members share</w:t>
      </w:r>
      <w:r>
        <w:t xml:space="preserve"> this vi</w:t>
      </w:r>
      <w:r w:rsidR="004711E0">
        <w:t>ew and are</w:t>
      </w:r>
      <w:r w:rsidR="003E601A">
        <w:t xml:space="preserve"> likely to suggest</w:t>
      </w:r>
      <w:r w:rsidR="004711E0">
        <w:t xml:space="preserve"> the use of</w:t>
      </w:r>
      <w:r>
        <w:t xml:space="preserve"> a well-to-</w:t>
      </w:r>
      <w:r w:rsidR="00E829AC">
        <w:t>gate boundary for its methodology</w:t>
      </w:r>
      <w:r>
        <w:t>.</w:t>
      </w:r>
      <w:r w:rsidR="003745B2">
        <w:t xml:space="preserve"> </w:t>
      </w:r>
      <w:r w:rsidR="009B36CB">
        <w:t>T</w:t>
      </w:r>
      <w:r w:rsidR="00F92E71">
        <w:t>he downstream</w:t>
      </w:r>
      <w:r w:rsidR="009B36CB">
        <w:t xml:space="preserve"> boundary</w:t>
      </w:r>
      <w:r w:rsidR="00D221C4">
        <w:t xml:space="preserve"> </w:t>
      </w:r>
      <w:r w:rsidR="008D0C7F">
        <w:t xml:space="preserve">limit </w:t>
      </w:r>
      <w:r w:rsidR="00D221C4">
        <w:t>for hydrogen</w:t>
      </w:r>
      <w:r w:rsidR="009B36CB">
        <w:t xml:space="preserve"> is proposed</w:t>
      </w:r>
      <w:r w:rsidR="00F92E71">
        <w:t xml:space="preserve"> as the </w:t>
      </w:r>
      <w:r w:rsidR="00F92E71" w:rsidRPr="0007186C">
        <w:t xml:space="preserve">point of production </w:t>
      </w:r>
      <w:r w:rsidR="00F92E71">
        <w:t>of g</w:t>
      </w:r>
      <w:r w:rsidR="00F92E71" w:rsidRPr="0007186C">
        <w:t xml:space="preserve">aseous </w:t>
      </w:r>
      <w:r w:rsidR="00F92E71">
        <w:t>h</w:t>
      </w:r>
      <w:r w:rsidR="00F92E71" w:rsidRPr="0007186C">
        <w:t>ydrogen</w:t>
      </w:r>
      <w:r w:rsidR="00F92E71">
        <w:t xml:space="preserve"> at a pressure of </w:t>
      </w:r>
      <w:r w:rsidR="00F92E71" w:rsidRPr="0007186C">
        <w:t xml:space="preserve">3MPa </w:t>
      </w:r>
      <w:r w:rsidR="00F92E71">
        <w:t>and a p</w:t>
      </w:r>
      <w:r w:rsidR="00F92E71" w:rsidRPr="0007186C">
        <w:t>urity of 99%</w:t>
      </w:r>
      <w:r w:rsidR="00F92E71">
        <w:t xml:space="preserve"> (on a volume basis).</w:t>
      </w:r>
      <w:r w:rsidR="00F92E71" w:rsidRPr="00F92E71">
        <w:t xml:space="preserve"> </w:t>
      </w:r>
      <w:r w:rsidR="00F92E71">
        <w:t>The exclusions in the CertifHy approach for emissions associated with capital goods, and downstream emis</w:t>
      </w:r>
      <w:r w:rsidR="003E601A">
        <w:t>sions apply</w:t>
      </w:r>
      <w:r w:rsidR="00F92E71">
        <w:t>.</w:t>
      </w:r>
      <w:r w:rsidR="00BB6DA9">
        <w:t xml:space="preserve"> </w:t>
      </w:r>
      <w:r w:rsidR="00D221C4">
        <w:t xml:space="preserve"> </w:t>
      </w:r>
    </w:p>
    <w:p w14:paraId="55A480FD" w14:textId="19499B6D" w:rsidR="005178F7" w:rsidRPr="00921F6F" w:rsidRDefault="004711E0" w:rsidP="0033617F">
      <w:r>
        <w:t>However t</w:t>
      </w:r>
      <w:r w:rsidR="00BE693E">
        <w:t>here is also a case for including the conversion, transport and storage steps within the system boundary as this would provide the consumer with transparency over the greenhouse gas emissions associated with delivered</w:t>
      </w:r>
      <w:r w:rsidR="00846190">
        <w:t xml:space="preserve"> hydrogen</w:t>
      </w:r>
      <w:r w:rsidR="0047287A">
        <w:t xml:space="preserve"> (cradle to receiving port in F</w:t>
      </w:r>
      <w:r w:rsidR="00DA36BF">
        <w:t>igure 2.1)</w:t>
      </w:r>
      <w:r w:rsidR="00BB6DA9">
        <w:t>.</w:t>
      </w:r>
    </w:p>
    <w:p w14:paraId="6A8E6DDF" w14:textId="0411710F" w:rsidR="00FE1E90" w:rsidRPr="004711E0" w:rsidRDefault="00202838" w:rsidP="001D27F7">
      <w:pPr>
        <w:rPr>
          <w:iCs/>
        </w:rPr>
      </w:pPr>
      <w:r>
        <w:t>A</w:t>
      </w:r>
      <w:r w:rsidR="00BE693E">
        <w:t xml:space="preserve"> well-to-gate boundary</w:t>
      </w:r>
      <w:r>
        <w:t xml:space="preserve"> is proposed</w:t>
      </w:r>
      <w:r w:rsidR="00BE693E">
        <w:t xml:space="preserve"> as a starting point.</w:t>
      </w:r>
      <w:r>
        <w:t xml:space="preserve"> </w:t>
      </w:r>
      <w:r w:rsidR="005B1839">
        <w:t xml:space="preserve">A well-to-gate boundary was strongly supported </w:t>
      </w:r>
      <w:r w:rsidR="009D6B64">
        <w:t xml:space="preserve">by </w:t>
      </w:r>
      <w:r>
        <w:t>sta</w:t>
      </w:r>
      <w:r w:rsidR="00D824FD">
        <w:t xml:space="preserve">keholders </w:t>
      </w:r>
      <w:r w:rsidR="009D6B64">
        <w:t>and balances the need for a domestic</w:t>
      </w:r>
      <w:r w:rsidR="00DD4008">
        <w:t xml:space="preserve"> scheme</w:t>
      </w:r>
      <w:r w:rsidR="00606AD9">
        <w:t xml:space="preserve"> to be quickly established which</w:t>
      </w:r>
      <w:r w:rsidR="009D6B64">
        <w:t xml:space="preserve"> align</w:t>
      </w:r>
      <w:r w:rsidR="00606AD9">
        <w:t>s</w:t>
      </w:r>
      <w:r w:rsidR="00DD4008">
        <w:t xml:space="preserve"> with international </w:t>
      </w:r>
      <w:r w:rsidR="009D6B64">
        <w:t>frameworks</w:t>
      </w:r>
      <w:r w:rsidR="00D824FD">
        <w:t xml:space="preserve">. However the </w:t>
      </w:r>
      <w:r w:rsidR="00AA03C1">
        <w:t>Department</w:t>
      </w:r>
      <w:r w:rsidR="00D824FD">
        <w:t xml:space="preserve"> notes the</w:t>
      </w:r>
      <w:r w:rsidR="00613356">
        <w:t xml:space="preserve"> scheme may</w:t>
      </w:r>
      <w:r w:rsidR="00173A09">
        <w:t xml:space="preserve"> eventually need to include other parts of the value chain</w:t>
      </w:r>
      <w:r w:rsidR="00CE0F1A">
        <w:t>.</w:t>
      </w:r>
    </w:p>
    <w:p w14:paraId="25C8BB80" w14:textId="019E017B" w:rsidR="00B727A8" w:rsidRDefault="001E4A06" w:rsidP="00B727A8">
      <w:pPr>
        <w:pStyle w:val="Heading3"/>
      </w:pPr>
      <w:r>
        <w:lastRenderedPageBreak/>
        <w:t>2.1.4</w:t>
      </w:r>
      <w:r w:rsidR="00B727A8">
        <w:t xml:space="preserve"> Extending coverage over time</w:t>
      </w:r>
    </w:p>
    <w:p w14:paraId="20CDEA3B" w14:textId="77777777" w:rsidR="00B727A8" w:rsidRDefault="00B727A8" w:rsidP="00B727A8">
      <w:r>
        <w:t xml:space="preserve">The hydrogen market today is at an early stage of development and consumer preferences around hydrogen are still developing. Through consultations, stakeholders recognised that a hydrogen GO scheme would need to evolve and adapt as markets and international schemes and standards develop. </w:t>
      </w:r>
    </w:p>
    <w:p w14:paraId="169F8CEA" w14:textId="6D64BF54" w:rsidR="00B727A8" w:rsidRDefault="00B727A8" w:rsidP="00B727A8">
      <w:r>
        <w:t>The methodologies outlined in this paper are the first components of a broader sch</w:t>
      </w:r>
      <w:r w:rsidR="00E07B15">
        <w:t>eme that could track and verify</w:t>
      </w:r>
      <w:r>
        <w:t xml:space="preserve"> the use of hydrogen as an input to a range of renewable or low emission products. In time, the scheme could potentially be extended beyond clean hydrogen to include products where clean hydrogen is an input, such as clean steel or the blending of hydrogen with other products such as the injection of clean hydrogen into gas networks. </w:t>
      </w:r>
    </w:p>
    <w:p w14:paraId="01ED9852" w14:textId="2C2B0027" w:rsidR="00B727A8" w:rsidRDefault="00B727A8" w:rsidP="00B727A8">
      <w:r>
        <w:t xml:space="preserve">As mentioned above, an early step is to include the conversion to energy carriers (in the form of ammonia, liquid hydrogen and </w:t>
      </w:r>
      <w:r w:rsidR="00CC1290">
        <w:t>liquid organic hydrogen carriers, such as</w:t>
      </w:r>
      <w:r>
        <w:t xml:space="preserve"> </w:t>
      </w:r>
      <w:r w:rsidRPr="00EA57EB">
        <w:t>methylcyclohexane</w:t>
      </w:r>
      <w:r>
        <w:t>). This work is underway and will be released for consultation in the futu</w:t>
      </w:r>
      <w:r w:rsidR="007A52DA">
        <w:t xml:space="preserve">re. Beyond this, the </w:t>
      </w:r>
      <w:r w:rsidR="00AA03C1">
        <w:t>Department</w:t>
      </w:r>
      <w:r w:rsidR="007A52DA">
        <w:t xml:space="preserve"> </w:t>
      </w:r>
      <w:r>
        <w:t xml:space="preserve">will consider expanding the scheme to cover additional hydrogen production pathways and downstream products. The timing of these changes will be determined by the needs of the industry and the evolution of international practices. </w:t>
      </w:r>
    </w:p>
    <w:p w14:paraId="03105380" w14:textId="77777777" w:rsidR="00734204" w:rsidRPr="00734204" w:rsidRDefault="00734204" w:rsidP="00734204">
      <w:pPr>
        <w:pStyle w:val="Calloutbox"/>
        <w:rPr>
          <w:b/>
          <w:i/>
        </w:rPr>
      </w:pPr>
      <w:r w:rsidRPr="00734204">
        <w:rPr>
          <w:b/>
          <w:i/>
        </w:rPr>
        <w:t xml:space="preserve">Questions: </w:t>
      </w:r>
    </w:p>
    <w:p w14:paraId="5645EC46" w14:textId="1B797B30" w:rsidR="00734204" w:rsidRDefault="00734204" w:rsidP="00424AC3">
      <w:pPr>
        <w:pStyle w:val="Calloutbox"/>
        <w:numPr>
          <w:ilvl w:val="0"/>
          <w:numId w:val="33"/>
        </w:numPr>
      </w:pPr>
      <w:r>
        <w:t>An initial focus on hydrogen production is proposed to facilitate timely est</w:t>
      </w:r>
      <w:r w:rsidR="00B5445D">
        <w:t>ablishment of a hydrogen GO</w:t>
      </w:r>
      <w:r>
        <w:t xml:space="preserve"> scheme. Do you agree with this as a starting point?</w:t>
      </w:r>
    </w:p>
    <w:p w14:paraId="114B4742" w14:textId="53862C72" w:rsidR="00734204" w:rsidRDefault="00734204" w:rsidP="00424AC3">
      <w:pPr>
        <w:pStyle w:val="Calloutbox"/>
        <w:numPr>
          <w:ilvl w:val="0"/>
          <w:numId w:val="33"/>
        </w:numPr>
      </w:pPr>
      <w:r>
        <w:t xml:space="preserve">A well-to-gate boundary is proposed as the initial boundary across which the emissions are to be calculated for hydrogen GO scheme. Do you agree this is an appropriate and acceptable starting point for the boundary? </w:t>
      </w:r>
    </w:p>
    <w:p w14:paraId="0FF9756A" w14:textId="77777777" w:rsidR="00734204" w:rsidRDefault="00734204" w:rsidP="00424AC3">
      <w:pPr>
        <w:pStyle w:val="Calloutbox"/>
        <w:numPr>
          <w:ilvl w:val="0"/>
          <w:numId w:val="33"/>
        </w:numPr>
      </w:pPr>
      <w:r>
        <w:t xml:space="preserve">Is hydrogen production at a pressure of </w:t>
      </w:r>
      <w:r w:rsidRPr="0007186C">
        <w:t xml:space="preserve">3MPa </w:t>
      </w:r>
      <w:r>
        <w:t xml:space="preserve">and 99% purity appropriate conditions for measuring the emissions associated with hydrogen?  If hydrogen is produced at a different pressure and purity, can emissions be estimated for the conditions specified? </w:t>
      </w:r>
    </w:p>
    <w:p w14:paraId="3B1387FD" w14:textId="2748FFBD" w:rsidR="00734204" w:rsidRDefault="00B5445D" w:rsidP="00424AC3">
      <w:pPr>
        <w:pStyle w:val="Calloutbox"/>
        <w:numPr>
          <w:ilvl w:val="0"/>
          <w:numId w:val="33"/>
        </w:numPr>
      </w:pPr>
      <w:r>
        <w:t xml:space="preserve">The </w:t>
      </w:r>
      <w:r w:rsidR="00AA03C1">
        <w:t>Department</w:t>
      </w:r>
      <w:r w:rsidR="00734204">
        <w:t xml:space="preserve"> recognises the need to extend the coverage of the scheme over time to include hydrogen derivatives and downstream products, additional production pathways and additional steps in the value chain. What additional components should be covered and when? (</w:t>
      </w:r>
      <w:r w:rsidR="00985907">
        <w:t>Noting</w:t>
      </w:r>
      <w:r w:rsidR="00734204">
        <w:t xml:space="preserve"> the commitment to include hydrogen energy carriers as an early next step).</w:t>
      </w:r>
    </w:p>
    <w:p w14:paraId="40BF2D17" w14:textId="65E4D3C1" w:rsidR="0074199A" w:rsidRDefault="006526F6" w:rsidP="003B47A9">
      <w:pPr>
        <w:pStyle w:val="Heading2"/>
      </w:pPr>
      <w:bookmarkStart w:id="196" w:name="_Toc62043728"/>
      <w:bookmarkStart w:id="197" w:name="_Toc64302370"/>
      <w:bookmarkStart w:id="198" w:name="_Toc65168373"/>
      <w:bookmarkStart w:id="199" w:name="_Toc67329110"/>
      <w:bookmarkStart w:id="200" w:name="_Toc67329358"/>
      <w:bookmarkStart w:id="201" w:name="_Toc67562614"/>
      <w:bookmarkStart w:id="202" w:name="_Toc68000197"/>
      <w:bookmarkStart w:id="203" w:name="_Toc68083128"/>
      <w:bookmarkStart w:id="204" w:name="_Toc68083523"/>
      <w:bookmarkStart w:id="205" w:name="_Toc68105062"/>
      <w:bookmarkStart w:id="206" w:name="_Toc74839341"/>
      <w:r>
        <w:t>2.2</w:t>
      </w:r>
      <w:r w:rsidR="005178F7">
        <w:t xml:space="preserve"> </w:t>
      </w:r>
      <w:r w:rsidR="00921F6F">
        <w:t>Carbon accounting framework</w:t>
      </w:r>
      <w:bookmarkEnd w:id="196"/>
      <w:bookmarkEnd w:id="197"/>
      <w:bookmarkEnd w:id="198"/>
      <w:r w:rsidR="00B30E26">
        <w:t>s</w:t>
      </w:r>
      <w:bookmarkEnd w:id="199"/>
      <w:bookmarkEnd w:id="200"/>
      <w:bookmarkEnd w:id="201"/>
      <w:bookmarkEnd w:id="202"/>
      <w:bookmarkEnd w:id="203"/>
      <w:bookmarkEnd w:id="204"/>
      <w:bookmarkEnd w:id="205"/>
      <w:bookmarkEnd w:id="206"/>
    </w:p>
    <w:p w14:paraId="41822B19" w14:textId="2B72F8B4" w:rsidR="00E16B35" w:rsidRDefault="008F2DEF" w:rsidP="00C654C6">
      <w:r>
        <w:t xml:space="preserve">Stakeholder consultation showed a preference for a hydrogen GO scheme to leverage </w:t>
      </w:r>
      <w:r w:rsidR="00E87304">
        <w:t>existing Australian carbon accounting frameworks, such as NGERS and Climate Active, to the extent practicable to minimise additional reporting burden</w:t>
      </w:r>
      <w:r>
        <w:t xml:space="preserve">. </w:t>
      </w:r>
      <w:r w:rsidR="00C654C6">
        <w:t>There are a number of carbon accounting frameworks that can be drawn on for emissions reporting in an initial Australian hydrogen GO scheme.</w:t>
      </w:r>
    </w:p>
    <w:p w14:paraId="6FA94981" w14:textId="4B6D128D" w:rsidR="00C654C6" w:rsidRDefault="00C654C6" w:rsidP="00F048C7">
      <w:pPr>
        <w:pStyle w:val="ListParagraph"/>
        <w:numPr>
          <w:ilvl w:val="0"/>
          <w:numId w:val="17"/>
        </w:numPr>
      </w:pPr>
      <w:r w:rsidRPr="00D67906">
        <w:rPr>
          <w:b/>
        </w:rPr>
        <w:t xml:space="preserve">International </w:t>
      </w:r>
      <w:r w:rsidR="00822FF3">
        <w:rPr>
          <w:b/>
        </w:rPr>
        <w:t>O</w:t>
      </w:r>
      <w:r w:rsidRPr="00D67906">
        <w:rPr>
          <w:b/>
        </w:rPr>
        <w:t>rgani</w:t>
      </w:r>
      <w:r w:rsidR="00822FF3">
        <w:rPr>
          <w:b/>
        </w:rPr>
        <w:t>zation for S</w:t>
      </w:r>
      <w:r w:rsidRPr="00D67906">
        <w:rPr>
          <w:b/>
        </w:rPr>
        <w:t>tandardization</w:t>
      </w:r>
      <w:r>
        <w:rPr>
          <w:b/>
        </w:rPr>
        <w:t xml:space="preserve"> (ISO) standards</w:t>
      </w:r>
      <w:r>
        <w:t xml:space="preserve"> - International standards relating to life cycle assessments (ISO 14040 and ISO 14044) and </w:t>
      </w:r>
      <w:r w:rsidR="00822FF3">
        <w:t>c</w:t>
      </w:r>
      <w:r>
        <w:t>arbon footprint of products (ISO 14067) provide</w:t>
      </w:r>
      <w:r w:rsidRPr="00311133">
        <w:t xml:space="preserve"> principles, framework, requirements and guidelines to support the estimation of emissions associated with a given product</w:t>
      </w:r>
      <w:r>
        <w:t>. T</w:t>
      </w:r>
      <w:r w:rsidRPr="00311133">
        <w:t>hese standards provide guidance ar</w:t>
      </w:r>
      <w:r>
        <w:t>ound</w:t>
      </w:r>
      <w:r w:rsidRPr="00311133">
        <w:t xml:space="preserve"> establishing system boundaries and allocating emissions</w:t>
      </w:r>
      <w:r>
        <w:t xml:space="preserve"> to products and co-products of a system</w:t>
      </w:r>
      <w:r w:rsidRPr="00311133">
        <w:t>.</w:t>
      </w:r>
    </w:p>
    <w:p w14:paraId="4C75C9E1" w14:textId="77777777" w:rsidR="00C654C6" w:rsidRDefault="00C654C6" w:rsidP="00F048C7">
      <w:pPr>
        <w:pStyle w:val="ListParagraph"/>
        <w:numPr>
          <w:ilvl w:val="0"/>
          <w:numId w:val="17"/>
        </w:numPr>
      </w:pPr>
      <w:r>
        <w:rPr>
          <w:b/>
        </w:rPr>
        <w:t xml:space="preserve">Greenhouse Gas Protocol (GHG Protocol) </w:t>
      </w:r>
      <w:r w:rsidRPr="00D67906">
        <w:t>-</w:t>
      </w:r>
      <w:r>
        <w:t xml:space="preserve"> provides a global standardised framework to measure and manage greenhouse gas emissions from private and public sector operations, products and mitigation activities.</w:t>
      </w:r>
    </w:p>
    <w:p w14:paraId="5DCEABDB" w14:textId="77427C14" w:rsidR="00C654C6" w:rsidRDefault="003D6E49" w:rsidP="00F048C7">
      <w:pPr>
        <w:pStyle w:val="ListParagraph"/>
        <w:numPr>
          <w:ilvl w:val="0"/>
          <w:numId w:val="17"/>
        </w:numPr>
      </w:pPr>
      <w:r>
        <w:rPr>
          <w:noProof/>
          <w:lang w:eastAsia="en-AU"/>
        </w:rPr>
        <w:lastRenderedPageBreak/>
        <w:drawing>
          <wp:anchor distT="0" distB="0" distL="114300" distR="114300" simplePos="0" relativeHeight="251658242" behindDoc="0" locked="0" layoutInCell="1" allowOverlap="1" wp14:anchorId="3A735457" wp14:editId="38118806">
            <wp:simplePos x="0" y="0"/>
            <wp:positionH relativeFrom="margin">
              <wp:align>right</wp:align>
            </wp:positionH>
            <wp:positionV relativeFrom="paragraph">
              <wp:posOffset>544017</wp:posOffset>
            </wp:positionV>
            <wp:extent cx="1863725" cy="2061210"/>
            <wp:effectExtent l="0" t="0" r="3175" b="0"/>
            <wp:wrapSquare wrapText="bothSides"/>
            <wp:docPr id="21" name="Picture 21" descr="Image of Climate Active carbon neutral certificatio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limate Active certification.png"/>
                    <pic:cNvPicPr/>
                  </pic:nvPicPr>
                  <pic:blipFill>
                    <a:blip r:embed="rId27">
                      <a:extLst>
                        <a:ext uri="{28A0092B-C50C-407E-A947-70E740481C1C}">
                          <a14:useLocalDpi xmlns:a14="http://schemas.microsoft.com/office/drawing/2010/main" val="0"/>
                        </a:ext>
                      </a:extLst>
                    </a:blip>
                    <a:stretch>
                      <a:fillRect/>
                    </a:stretch>
                  </pic:blipFill>
                  <pic:spPr>
                    <a:xfrm>
                      <a:off x="0" y="0"/>
                      <a:ext cx="1863725" cy="2061210"/>
                    </a:xfrm>
                    <a:prstGeom prst="rect">
                      <a:avLst/>
                    </a:prstGeom>
                  </pic:spPr>
                </pic:pic>
              </a:graphicData>
            </a:graphic>
            <wp14:sizeRelH relativeFrom="margin">
              <wp14:pctWidth>0</wp14:pctWidth>
            </wp14:sizeRelH>
            <wp14:sizeRelV relativeFrom="margin">
              <wp14:pctHeight>0</wp14:pctHeight>
            </wp14:sizeRelV>
          </wp:anchor>
        </w:drawing>
      </w:r>
      <w:r w:rsidR="00C654C6" w:rsidRPr="00D67906">
        <w:rPr>
          <w:b/>
        </w:rPr>
        <w:t xml:space="preserve">Intergovernmental Panel on Climate Change (IPCC) </w:t>
      </w:r>
      <w:r w:rsidR="00C654C6" w:rsidRPr="00D67906">
        <w:t>-</w:t>
      </w:r>
      <w:r w:rsidR="00C654C6">
        <w:t xml:space="preserve"> </w:t>
      </w:r>
      <w:r w:rsidR="00C654C6" w:rsidRPr="00D67906">
        <w:rPr>
          <w:i/>
        </w:rPr>
        <w:t>guidelines for National Greenhouse Gas Inventories</w:t>
      </w:r>
      <w:r w:rsidR="00C654C6">
        <w:t xml:space="preserve"> provide guidance around the calculation of emissions including selection of emissions factors. </w:t>
      </w:r>
      <w:r w:rsidR="00C654C6" w:rsidRPr="00D67906">
        <w:rPr>
          <w:rFonts w:asciiTheme="majorHAnsi" w:hAnsiTheme="majorHAnsi" w:cstheme="majorHAnsi"/>
        </w:rPr>
        <w:t>IPCC also manages a broad database of default emission factors which may</w:t>
      </w:r>
      <w:r w:rsidR="00C654C6">
        <w:rPr>
          <w:rFonts w:asciiTheme="majorHAnsi" w:hAnsiTheme="majorHAnsi" w:cstheme="majorHAnsi"/>
        </w:rPr>
        <w:t xml:space="preserve"> be leveraged</w:t>
      </w:r>
      <w:r w:rsidR="00C654C6" w:rsidRPr="00D67906">
        <w:rPr>
          <w:rFonts w:asciiTheme="majorHAnsi" w:hAnsiTheme="majorHAnsi" w:cstheme="majorHAnsi"/>
        </w:rPr>
        <w:t>.</w:t>
      </w:r>
    </w:p>
    <w:p w14:paraId="5CA3D8B5" w14:textId="11DD70F1" w:rsidR="00C654C6" w:rsidRDefault="00C654C6" w:rsidP="00F048C7">
      <w:pPr>
        <w:pStyle w:val="ListParagraph"/>
        <w:numPr>
          <w:ilvl w:val="0"/>
          <w:numId w:val="17"/>
        </w:numPr>
      </w:pPr>
      <w:r>
        <w:rPr>
          <w:b/>
        </w:rPr>
        <w:t>National G</w:t>
      </w:r>
      <w:r w:rsidR="00746C1A">
        <w:rPr>
          <w:b/>
        </w:rPr>
        <w:t>reenhouse and Energy Reporting Scheme (NGERS</w:t>
      </w:r>
      <w:r>
        <w:rPr>
          <w:b/>
        </w:rPr>
        <w:t xml:space="preserve">) - </w:t>
      </w:r>
      <w:r>
        <w:t>Australia’s national framework for reporting of emissions data for Australian facilities. NG</w:t>
      </w:r>
      <w:r w:rsidR="00746C1A">
        <w:t>ERS</w:t>
      </w:r>
      <w:r>
        <w:t xml:space="preserve"> is based on the IPCC Guidelines and forms the basis of Australia’s national greenhouse gas inventory.  </w:t>
      </w:r>
    </w:p>
    <w:p w14:paraId="14BD8407" w14:textId="053FFB7D" w:rsidR="00C654C6" w:rsidRDefault="00C654C6" w:rsidP="00F048C7">
      <w:pPr>
        <w:pStyle w:val="ListParagraph"/>
        <w:numPr>
          <w:ilvl w:val="0"/>
          <w:numId w:val="17"/>
        </w:numPr>
      </w:pPr>
      <w:r w:rsidRPr="00481ABF">
        <w:rPr>
          <w:b/>
        </w:rPr>
        <w:t>Climate Active</w:t>
      </w:r>
      <w:r>
        <w:t xml:space="preserve"> - </w:t>
      </w:r>
      <w:r w:rsidRPr="008F2DEF">
        <w:rPr>
          <w:rFonts w:cstheme="minorHAnsi"/>
        </w:rPr>
        <w:t>Australia’s Climate Active scheme is</w:t>
      </w:r>
      <w:r w:rsidRPr="008F2DEF">
        <w:rPr>
          <w:rFonts w:cstheme="minorHAnsi"/>
          <w:color w:val="333333"/>
          <w:shd w:val="clear" w:color="auto" w:fill="FFFFFF"/>
        </w:rPr>
        <w:t xml:space="preserve"> </w:t>
      </w:r>
      <w:r w:rsidRPr="00837279">
        <w:rPr>
          <w:rFonts w:cstheme="minorHAnsi"/>
        </w:rPr>
        <w:t>a voluntary standard to manage greenhouse gas emissions and achieve carbon neutrality. It</w:t>
      </w:r>
      <w:r>
        <w:rPr>
          <w:rFonts w:cstheme="minorHAnsi"/>
          <w:color w:val="333333"/>
          <w:shd w:val="clear" w:color="auto" w:fill="FFFFFF"/>
        </w:rPr>
        <w:t xml:space="preserve"> </w:t>
      </w:r>
      <w:r w:rsidRPr="008F2DEF">
        <w:rPr>
          <w:rFonts w:cstheme="minorHAnsi"/>
        </w:rPr>
        <w:t>draws its framework from selected ISO standards and the GHG Protocol.</w:t>
      </w:r>
    </w:p>
    <w:p w14:paraId="4EEF3320" w14:textId="7D70E341" w:rsidR="00D815FE" w:rsidRDefault="007D5DCB" w:rsidP="007D5DCB">
      <w:r>
        <w:t>I</w:t>
      </w:r>
      <w:r w:rsidR="00E87304">
        <w:t xml:space="preserve">t should be noted </w:t>
      </w:r>
      <w:r w:rsidR="008607EC">
        <w:t>NGERS</w:t>
      </w:r>
      <w:r w:rsidR="00297D6D">
        <w:t xml:space="preserve"> </w:t>
      </w:r>
      <w:r w:rsidR="00F93DC5">
        <w:t xml:space="preserve">is not directly applicable to </w:t>
      </w:r>
      <w:r w:rsidR="00736547">
        <w:t>a hydrogen GO scheme</w:t>
      </w:r>
      <w:r w:rsidR="00D815FE">
        <w:t>. NGERS was designed as a fra</w:t>
      </w:r>
      <w:r w:rsidR="008607EC">
        <w:t xml:space="preserve">mework </w:t>
      </w:r>
      <w:r w:rsidR="00D815FE">
        <w:t>for</w:t>
      </w:r>
      <w:r w:rsidR="00736547">
        <w:t xml:space="preserve"> reporting of emissions from a </w:t>
      </w:r>
      <w:r w:rsidR="00297D6D">
        <w:t>particular</w:t>
      </w:r>
      <w:r w:rsidR="00736547">
        <w:t xml:space="preserve"> facility</w:t>
      </w:r>
      <w:r w:rsidR="00D815FE">
        <w:t>, and to facilitate compilation of Australia’s na</w:t>
      </w:r>
      <w:r w:rsidR="00837279">
        <w:t>tio</w:t>
      </w:r>
      <w:r w:rsidR="00201E19">
        <w:t xml:space="preserve">nal greenhouse gas inventory. </w:t>
      </w:r>
      <w:r w:rsidR="00D815FE">
        <w:t>NGERS legislation is not framed in a manner that easily allows for emissions accounting for products.</w:t>
      </w:r>
      <w:r w:rsidR="00736547">
        <w:t xml:space="preserve"> </w:t>
      </w:r>
    </w:p>
    <w:p w14:paraId="2694296C" w14:textId="4E65B822" w:rsidR="00C654C6" w:rsidRPr="00C654C6" w:rsidRDefault="00C654C6" w:rsidP="008F506B">
      <w:pPr>
        <w:rPr>
          <w:rFonts w:cstheme="minorHAnsi"/>
        </w:rPr>
      </w:pPr>
      <w:r w:rsidRPr="00C654C6">
        <w:rPr>
          <w:iCs/>
        </w:rPr>
        <w:t xml:space="preserve">The ISO and GHG Protocol are used as the frameworks for </w:t>
      </w:r>
      <w:r w:rsidR="00422A98">
        <w:rPr>
          <w:iCs/>
        </w:rPr>
        <w:t xml:space="preserve">existing hydrogen Guarantee of Origin </w:t>
      </w:r>
      <w:r w:rsidRPr="00C654C6">
        <w:rPr>
          <w:iCs/>
        </w:rPr>
        <w:t>schemes such as CertifHy</w:t>
      </w:r>
      <w:r w:rsidR="00256054">
        <w:rPr>
          <w:iCs/>
        </w:rPr>
        <w:t xml:space="preserve"> and </w:t>
      </w:r>
      <w:r w:rsidR="00256054" w:rsidRPr="008C7EA1">
        <w:rPr>
          <w:iCs/>
        </w:rPr>
        <w:t>are likely to be used as the framework for in</w:t>
      </w:r>
      <w:r w:rsidR="00256054">
        <w:rPr>
          <w:iCs/>
        </w:rPr>
        <w:t>ternational hydrogen GO schemes</w:t>
      </w:r>
      <w:r w:rsidRPr="00C654C6">
        <w:rPr>
          <w:iCs/>
        </w:rPr>
        <w:t xml:space="preserve">. </w:t>
      </w:r>
      <w:r w:rsidR="008C7EA1">
        <w:rPr>
          <w:iCs/>
        </w:rPr>
        <w:t>Through consultation, s</w:t>
      </w:r>
      <w:r w:rsidR="008C7EA1" w:rsidRPr="008C7EA1">
        <w:rPr>
          <w:iCs/>
        </w:rPr>
        <w:t>takeholders recognised that some elements of NGERS do not align with relevant ISO standards or the GHG Protocol’s suite of standards and guidance</w:t>
      </w:r>
      <w:r w:rsidR="00256054">
        <w:rPr>
          <w:iCs/>
        </w:rPr>
        <w:t>.</w:t>
      </w:r>
      <w:r w:rsidR="008C7EA1" w:rsidRPr="008C7EA1">
        <w:rPr>
          <w:iCs/>
        </w:rPr>
        <w:t xml:space="preserve"> </w:t>
      </w:r>
    </w:p>
    <w:p w14:paraId="10789CE0" w14:textId="03B98476" w:rsidR="007D5DCB" w:rsidRDefault="00C654C6" w:rsidP="00C654C6">
      <w:pPr>
        <w:rPr>
          <w:rFonts w:cstheme="minorHAnsi"/>
        </w:rPr>
      </w:pPr>
      <w:r>
        <w:rPr>
          <w:iCs/>
        </w:rPr>
        <w:t xml:space="preserve">To be </w:t>
      </w:r>
      <w:r w:rsidR="00B17D38">
        <w:rPr>
          <w:iCs/>
        </w:rPr>
        <w:t>aligned with international developments, while</w:t>
      </w:r>
      <w:r>
        <w:rPr>
          <w:iCs/>
        </w:rPr>
        <w:t xml:space="preserve"> drawing on Australian frameworks where practicable</w:t>
      </w:r>
      <w:r w:rsidR="007D5DCB">
        <w:rPr>
          <w:rFonts w:cstheme="minorHAnsi"/>
        </w:rPr>
        <w:t xml:space="preserve">, it is proposed that an initial Australian </w:t>
      </w:r>
      <w:r w:rsidR="007D5DCB">
        <w:t xml:space="preserve">hydrogen GO </w:t>
      </w:r>
      <w:r w:rsidR="007D5DCB">
        <w:rPr>
          <w:rFonts w:cstheme="minorHAnsi"/>
        </w:rPr>
        <w:t>scheme is developed which uses:</w:t>
      </w:r>
    </w:p>
    <w:p w14:paraId="08597C6A" w14:textId="77777777" w:rsidR="007D5DCB" w:rsidRDefault="007D5DCB" w:rsidP="00424AC3">
      <w:pPr>
        <w:pStyle w:val="ListParagraph"/>
        <w:numPr>
          <w:ilvl w:val="0"/>
          <w:numId w:val="25"/>
        </w:numPr>
      </w:pPr>
      <w:r>
        <w:t>ISO standards and the GHG Protocol as an overarching framework</w:t>
      </w:r>
    </w:p>
    <w:p w14:paraId="12AC9FB3" w14:textId="77777777" w:rsidR="007D5DCB" w:rsidRDefault="007D5DCB" w:rsidP="00424AC3">
      <w:pPr>
        <w:pStyle w:val="ListParagraph"/>
        <w:numPr>
          <w:ilvl w:val="0"/>
          <w:numId w:val="25"/>
        </w:numPr>
      </w:pPr>
      <w:r>
        <w:t xml:space="preserve">IPCC and NGERS guidelines to support specific emissions calculations and to provide emissions factors; and </w:t>
      </w:r>
    </w:p>
    <w:p w14:paraId="144B5485" w14:textId="0A01F54A" w:rsidR="007D5DCB" w:rsidRDefault="007D5DCB" w:rsidP="00424AC3">
      <w:pPr>
        <w:pStyle w:val="ListParagraph"/>
        <w:numPr>
          <w:ilvl w:val="0"/>
          <w:numId w:val="25"/>
        </w:numPr>
      </w:pPr>
      <w:r>
        <w:t xml:space="preserve">Climate Active </w:t>
      </w:r>
      <w:r w:rsidR="00E868F2">
        <w:t xml:space="preserve">and GHG Protocol </w:t>
      </w:r>
      <w:r>
        <w:t>guidance on scope 2 (electricity) emissions</w:t>
      </w:r>
      <w:r w:rsidR="00837279">
        <w:t>.</w:t>
      </w:r>
      <w:r>
        <w:t xml:space="preserve"> </w:t>
      </w:r>
    </w:p>
    <w:p w14:paraId="70AF0470" w14:textId="17C8566D" w:rsidR="00983873" w:rsidRDefault="00983873" w:rsidP="00983873">
      <w:r>
        <w:t>Use of the ISO and the GHG Protocol for overarching guidance on a hydrogen GO scheme is need</w:t>
      </w:r>
      <w:r w:rsidR="005D7C87">
        <w:t>ed to provide guidance around estimating</w:t>
      </w:r>
      <w:r w:rsidR="00B5445D">
        <w:t xml:space="preserve"> emissions for a </w:t>
      </w:r>
      <w:r>
        <w:t>product and to provide consistency with other schemes under development. Advantages to this approach are that is provides comprehensive coverage for a ‘well-to-gate’ boundary (noting NGERS has a ‘gate</w:t>
      </w:r>
      <w:r>
        <w:noBreakHyphen/>
        <w:t>to</w:t>
      </w:r>
      <w:r>
        <w:noBreakHyphen/>
        <w:t>gate’ boundary) and includes guidance for allocation of emissions to products and co</w:t>
      </w:r>
      <w:r>
        <w:noBreakHyphen/>
        <w:t>products that arise from the produ</w:t>
      </w:r>
      <w:r w:rsidR="00311843">
        <w:t>ction process (see s</w:t>
      </w:r>
      <w:r w:rsidR="004566EE">
        <w:t>ection 3.6</w:t>
      </w:r>
      <w:r>
        <w:t>)</w:t>
      </w:r>
      <w:r w:rsidR="004566EE">
        <w:t>.</w:t>
      </w:r>
    </w:p>
    <w:p w14:paraId="01332972" w14:textId="06531927" w:rsidR="00736547" w:rsidRDefault="007D5DCB" w:rsidP="001D27F7">
      <w:r>
        <w:t>T</w:t>
      </w:r>
      <w:r w:rsidR="00736547">
        <w:t xml:space="preserve">he NGERS determination will be leveraged </w:t>
      </w:r>
      <w:r w:rsidR="009D3DBA">
        <w:t>to provide guidance for emissions</w:t>
      </w:r>
      <w:r w:rsidR="00736547">
        <w:t xml:space="preserve"> calculation methodologies </w:t>
      </w:r>
      <w:r w:rsidR="009D3DBA">
        <w:t xml:space="preserve">and emissions factors </w:t>
      </w:r>
      <w:r w:rsidR="00736547">
        <w:t xml:space="preserve">that fall within the well-to-gate production boundary where processes are covered by NGERs legislation. </w:t>
      </w:r>
    </w:p>
    <w:p w14:paraId="58D78C83" w14:textId="44CD8E26" w:rsidR="0011221B" w:rsidRDefault="003F5C1B" w:rsidP="0011221B">
      <w:r>
        <w:t xml:space="preserve">For electricity emissions, </w:t>
      </w:r>
      <w:r w:rsidRPr="008B7343">
        <w:t>Climate Active’s recently released paper covering emis</w:t>
      </w:r>
      <w:r w:rsidR="00E744FC">
        <w:t xml:space="preserve">sions accounting for electricity </w:t>
      </w:r>
      <w:r>
        <w:t>outlines</w:t>
      </w:r>
      <w:r w:rsidRPr="008B7343">
        <w:t xml:space="preserve"> electricity accounting rules adapted from principles outlined in the </w:t>
      </w:r>
      <w:r w:rsidRPr="00925F9A">
        <w:t>GHG Protocol Scope 2 Guidance</w:t>
      </w:r>
      <w:r w:rsidR="005D7C87">
        <w:t>.</w:t>
      </w:r>
      <w:r w:rsidR="004566EE">
        <w:t xml:space="preserve"> </w:t>
      </w:r>
      <w:r>
        <w:t xml:space="preserve">This </w:t>
      </w:r>
      <w:r w:rsidR="007D5DCB">
        <w:t>is proposed to be</w:t>
      </w:r>
      <w:r w:rsidR="00734E35">
        <w:t xml:space="preserve"> drawn on</w:t>
      </w:r>
      <w:r w:rsidR="007D5DCB">
        <w:t xml:space="preserve"> to</w:t>
      </w:r>
      <w:r w:rsidR="00734E35">
        <w:t xml:space="preserve"> provide an Australian approach to </w:t>
      </w:r>
      <w:r w:rsidR="007574D4">
        <w:t>market-based</w:t>
      </w:r>
      <w:r w:rsidR="00734E35">
        <w:t xml:space="preserve"> electricity emission</w:t>
      </w:r>
      <w:r w:rsidR="00561A17">
        <w:t>s calculation</w:t>
      </w:r>
      <w:r w:rsidR="00734E35">
        <w:t xml:space="preserve"> </w:t>
      </w:r>
      <w:r w:rsidR="007574D4">
        <w:t xml:space="preserve">for the hydrogen GO scheme </w:t>
      </w:r>
      <w:r w:rsidR="007D5DCB">
        <w:t>that is consistent with the</w:t>
      </w:r>
      <w:r w:rsidR="00734E35">
        <w:t xml:space="preserve"> GHG Protocol</w:t>
      </w:r>
      <w:r>
        <w:t xml:space="preserve">. </w:t>
      </w:r>
      <w:r w:rsidR="007731AF">
        <w:t xml:space="preserve"> </w:t>
      </w:r>
      <w:r w:rsidR="005D7C87">
        <w:t xml:space="preserve">(For more detail see section 3.4 and </w:t>
      </w:r>
      <w:r w:rsidR="005D7C87">
        <w:fldChar w:fldCharType="begin"/>
      </w:r>
      <w:r w:rsidR="005D7C87">
        <w:instrText xml:space="preserve"> REF _Ref67504319 \h </w:instrText>
      </w:r>
      <w:r w:rsidR="005D7C87">
        <w:fldChar w:fldCharType="separate"/>
      </w:r>
      <w:r w:rsidR="00A4774A">
        <w:t>Attachment D: Grid electricity emissions</w:t>
      </w:r>
      <w:r w:rsidR="005D7C87">
        <w:fldChar w:fldCharType="end"/>
      </w:r>
      <w:r w:rsidR="005D7C87">
        <w:t>).</w:t>
      </w:r>
    </w:p>
    <w:p w14:paraId="566D1E3C" w14:textId="6C4CCD7F" w:rsidR="000E3846" w:rsidRPr="002B0418" w:rsidRDefault="000E3846" w:rsidP="002B0418">
      <w:pPr>
        <w:pStyle w:val="Calloutbox"/>
        <w:rPr>
          <w:b/>
        </w:rPr>
      </w:pPr>
      <w:r w:rsidRPr="002B0418">
        <w:rPr>
          <w:b/>
        </w:rPr>
        <w:lastRenderedPageBreak/>
        <w:t xml:space="preserve">Questions: </w:t>
      </w:r>
    </w:p>
    <w:p w14:paraId="7547C3C2" w14:textId="2902C32B" w:rsidR="001C144E" w:rsidRDefault="000E3846" w:rsidP="00424AC3">
      <w:pPr>
        <w:pStyle w:val="Calloutbox"/>
        <w:numPr>
          <w:ilvl w:val="0"/>
          <w:numId w:val="33"/>
        </w:numPr>
      </w:pPr>
      <w:r>
        <w:t xml:space="preserve">Do you </w:t>
      </w:r>
      <w:r w:rsidR="001C144E">
        <w:t xml:space="preserve">agree that </w:t>
      </w:r>
      <w:r>
        <w:t>ISO standards and the GHG protocol provide the appropriate basis for the overarching framework for a hydrogen GO scheme?</w:t>
      </w:r>
    </w:p>
    <w:p w14:paraId="63ED2EDD" w14:textId="6678AADC" w:rsidR="000E3846" w:rsidRPr="000775E6" w:rsidRDefault="000E3846" w:rsidP="00424AC3">
      <w:pPr>
        <w:pStyle w:val="Calloutbox"/>
        <w:numPr>
          <w:ilvl w:val="0"/>
          <w:numId w:val="33"/>
        </w:numPr>
      </w:pPr>
      <w:r>
        <w:t>Should IPCC Guidelines, the NGERS determination and the Climate Active Electricity Accounting rules be leveraged to provide guidance on the detailed emissions calculations?</w:t>
      </w:r>
    </w:p>
    <w:p w14:paraId="60366FEE" w14:textId="75E6F03E" w:rsidR="0011221B" w:rsidRDefault="0011221B" w:rsidP="003B47A9">
      <w:pPr>
        <w:pStyle w:val="Heading2"/>
      </w:pPr>
      <w:bookmarkStart w:id="207" w:name="_Toc62043730"/>
      <w:bookmarkStart w:id="208" w:name="_Toc64302371"/>
      <w:bookmarkStart w:id="209" w:name="_Toc65168374"/>
      <w:bookmarkStart w:id="210" w:name="_Toc68000198"/>
      <w:bookmarkStart w:id="211" w:name="_Toc68083129"/>
      <w:bookmarkStart w:id="212" w:name="_Toc68083524"/>
      <w:bookmarkStart w:id="213" w:name="_Toc68105063"/>
      <w:bookmarkStart w:id="214" w:name="_Toc67329112"/>
      <w:bookmarkStart w:id="215" w:name="_Toc67329360"/>
      <w:bookmarkStart w:id="216" w:name="_Toc74839342"/>
      <w:r>
        <w:t>2.</w:t>
      </w:r>
      <w:r w:rsidR="000805C8">
        <w:t>3</w:t>
      </w:r>
      <w:r>
        <w:t xml:space="preserve"> Treatment of offsets</w:t>
      </w:r>
      <w:bookmarkEnd w:id="207"/>
      <w:bookmarkEnd w:id="208"/>
      <w:bookmarkEnd w:id="209"/>
      <w:bookmarkEnd w:id="210"/>
      <w:bookmarkEnd w:id="211"/>
      <w:bookmarkEnd w:id="212"/>
      <w:bookmarkEnd w:id="213"/>
      <w:bookmarkEnd w:id="216"/>
    </w:p>
    <w:bookmarkEnd w:id="214"/>
    <w:bookmarkEnd w:id="215"/>
    <w:p w14:paraId="15CED5BB" w14:textId="77777777" w:rsidR="0081712E" w:rsidRDefault="0081712E" w:rsidP="0081712E">
      <w:r w:rsidRPr="002C0E77">
        <w:rPr>
          <w:bCs/>
        </w:rPr>
        <w:t>Offset</w:t>
      </w:r>
      <w:r w:rsidRPr="002C0E77">
        <w:t xml:space="preserve">s are generated by projects that reduce, remove or capture emissions from the atmosphere such as reforestation, renewable energy or </w:t>
      </w:r>
      <w:r>
        <w:t>carbon capture and storage</w:t>
      </w:r>
      <w:r w:rsidRPr="002C0E77">
        <w:t>.</w:t>
      </w:r>
    </w:p>
    <w:p w14:paraId="3AEA2340" w14:textId="77777777" w:rsidR="0081712E" w:rsidRDefault="0081712E" w:rsidP="0081712E">
      <w:r>
        <w:t xml:space="preserve">There is a degree of uncertainty around international and domestic customer preferences regarding use of carbon offsets and notably the most established hydrogen GO scheme, CertifHy, does not currently include the use of offsets for CCS. There is also uncertainty around the definition and treatment of offsets under the Paris Agreement (Articles 6 rules) and the future of offset markets more broadly. Internationally, there is scepticism by some about the permanence of non-geological carbon storage. </w:t>
      </w:r>
    </w:p>
    <w:p w14:paraId="4357308E" w14:textId="77777777" w:rsidR="0081712E" w:rsidRDefault="0081712E" w:rsidP="0081712E">
      <w:r>
        <w:t>There is broad international consensus requiring some level of the direct carbon emitted through SMR or coal-gasification to be captured and permanently geologically stored as part of the production process before it can be considered ‘low-carbon’ hydrogen. For example CertifHy defines low-carbon hydrogen as hydrogen with emissions below 36.4gCO</w:t>
      </w:r>
      <w:r w:rsidRPr="00DA770E">
        <w:rPr>
          <w:vertAlign w:val="subscript"/>
        </w:rPr>
        <w:t>2</w:t>
      </w:r>
      <w:r>
        <w:t>/MJ, and this is likely to decrease over time. At this stage, the use of offsets has not been discussed by the IPHE in the development of an international standard. In this regard, international views on the use of offsets are at an early stage of thinking and positions on offsets may evolve over time.</w:t>
      </w:r>
    </w:p>
    <w:p w14:paraId="02EE9D6B" w14:textId="77777777" w:rsidR="0081712E" w:rsidRDefault="0081712E" w:rsidP="0081712E">
      <w:r>
        <w:t xml:space="preserve">Noting the definition of clean hydrogen in the National Hydrogen Strategy as hydrogen which includes substantial carbon capture and storage, the treatment of offsets in an Australian hydrogen GO scheme could initially follow one of two options. </w:t>
      </w:r>
    </w:p>
    <w:p w14:paraId="1719BF95" w14:textId="265138EF" w:rsidR="0081712E" w:rsidRPr="00502409" w:rsidRDefault="0081712E" w:rsidP="0081712E">
      <w:r w:rsidRPr="00502409">
        <w:rPr>
          <w:b/>
        </w:rPr>
        <w:t xml:space="preserve">Option one: </w:t>
      </w:r>
      <w:r w:rsidRPr="00502409">
        <w:t>For complete alignment with IPHE discussions to date, offsets would not be included in a hydrogen GO scheme meaning only gross emissions would recorded as an attribute on the GO certificate. A deduction in emissions would still be applied where CSS occurs onsite or where a third party permanently stores the emissions that arise from the hydrogen production facility in geological formations</w:t>
      </w:r>
      <w:r w:rsidR="00DB6EE2" w:rsidRPr="00502409">
        <w:t>. Either could occur</w:t>
      </w:r>
      <w:r w:rsidRPr="00502409">
        <w:t xml:space="preserve"> under a registere</w:t>
      </w:r>
      <w:r w:rsidR="00DB6EE2" w:rsidRPr="00502409">
        <w:t>d ERF CCS project and surrender of</w:t>
      </w:r>
      <w:r w:rsidRPr="00502409">
        <w:t xml:space="preserve"> equivalent ACCUs, noting </w:t>
      </w:r>
      <w:r w:rsidR="00DB6EE2" w:rsidRPr="00502409">
        <w:t xml:space="preserve">that </w:t>
      </w:r>
      <w:r w:rsidRPr="00502409">
        <w:t>the</w:t>
      </w:r>
      <w:r w:rsidR="00DB6EE2" w:rsidRPr="00502409">
        <w:t xml:space="preserve"> CER is</w:t>
      </w:r>
      <w:r w:rsidRPr="00502409">
        <w:t xml:space="preserve"> current</w:t>
      </w:r>
      <w:r w:rsidR="00DB6EE2" w:rsidRPr="00502409">
        <w:t>ly</w:t>
      </w:r>
      <w:r w:rsidRPr="00502409">
        <w:t xml:space="preserve"> develop</w:t>
      </w:r>
      <w:r w:rsidR="00DB6EE2" w:rsidRPr="00502409">
        <w:t>ing an ERF method for</w:t>
      </w:r>
      <w:r w:rsidRPr="00502409">
        <w:t xml:space="preserve"> carbon capture and storage. This position could evolve over time as international discussions progress (see section 3.7). </w:t>
      </w:r>
    </w:p>
    <w:p w14:paraId="05D3E6C3" w14:textId="77777777" w:rsidR="0081712E" w:rsidRPr="00502409" w:rsidRDefault="0081712E" w:rsidP="0081712E">
      <w:r w:rsidRPr="00502409">
        <w:rPr>
          <w:b/>
        </w:rPr>
        <w:t xml:space="preserve">Option two: </w:t>
      </w:r>
      <w:r w:rsidRPr="00502409">
        <w:t xml:space="preserve">ACCUs from all registered ERF projects could be used to reduce the emissions from hydrogen production, effectively creating carbon neutral hydrogen. Previous consultation revealed a clear preference that if this option is pursued, emissions both gross and net of offsets should be recorded on the GO certificate to provide full transparency to the consumer. Noting scepticism about the permanence of non-geological carbon storage, this would need to include tracking of the source of the offset, to allow buyers to differentiate in their purchases on this point. </w:t>
      </w:r>
    </w:p>
    <w:p w14:paraId="51D762F7" w14:textId="27B4021C" w:rsidR="0081712E" w:rsidRDefault="0081712E" w:rsidP="0081712E">
      <w:r w:rsidRPr="00502409">
        <w:t xml:space="preserve">Option 2 would create an additional source of demand for ACCUs and may put upward pressure on the ACCU price. There is a risk under this option that Australia’s scheme may end up inconsistent with international developments. It is unclear whether international buyers will accept this approach and this action would move ahead of IPHE discussions about an </w:t>
      </w:r>
      <w:r w:rsidRPr="00502409">
        <w:lastRenderedPageBreak/>
        <w:t>international standard for clean hydrogen. In addition, there is a risk this may create a precedent for other countries to depart from the IPHE standard, meaning that Australian hydrogen could potentially compete against hydrogen produced overseas where offsets have been applied.</w:t>
      </w:r>
      <w:r>
        <w:t xml:space="preserve"> </w:t>
      </w:r>
    </w:p>
    <w:p w14:paraId="7F6A7619" w14:textId="77777777" w:rsidR="001C144E" w:rsidRPr="001C144E" w:rsidRDefault="001C144E" w:rsidP="0081712E">
      <w:pPr>
        <w:rPr>
          <w:b/>
        </w:rPr>
      </w:pPr>
      <w:r w:rsidRPr="001C144E">
        <w:rPr>
          <w:b/>
        </w:rPr>
        <w:t>Question:</w:t>
      </w:r>
    </w:p>
    <w:p w14:paraId="60B1F467" w14:textId="62066026" w:rsidR="001C144E" w:rsidRPr="001C144E" w:rsidRDefault="005D7C87" w:rsidP="00424AC3">
      <w:pPr>
        <w:pStyle w:val="Calloutbox"/>
        <w:numPr>
          <w:ilvl w:val="0"/>
          <w:numId w:val="33"/>
        </w:numPr>
      </w:pPr>
      <w:r>
        <w:t>What is your</w:t>
      </w:r>
      <w:r w:rsidR="001C144E" w:rsidRPr="001C144E">
        <w:t xml:space="preserve"> preferred </w:t>
      </w:r>
      <w:r w:rsidR="00D04652">
        <w:t>approach to</w:t>
      </w:r>
      <w:r w:rsidR="001C144E" w:rsidRPr="001C144E">
        <w:t xml:space="preserve"> offset inclusion within a domestic hydrogen GO scheme?</w:t>
      </w:r>
    </w:p>
    <w:p w14:paraId="1042A1E8" w14:textId="73CDD7D7" w:rsidR="0011221B" w:rsidRDefault="0011221B" w:rsidP="003B47A9">
      <w:pPr>
        <w:pStyle w:val="Heading2"/>
      </w:pPr>
      <w:bookmarkStart w:id="217" w:name="_Toc62043731"/>
      <w:bookmarkStart w:id="218" w:name="_Toc64302375"/>
      <w:bookmarkStart w:id="219" w:name="_Toc65168379"/>
      <w:bookmarkStart w:id="220" w:name="_Toc67329113"/>
      <w:bookmarkStart w:id="221" w:name="_Toc67329361"/>
      <w:bookmarkStart w:id="222" w:name="_Toc67562617"/>
      <w:bookmarkStart w:id="223" w:name="_Toc68000199"/>
      <w:bookmarkStart w:id="224" w:name="_Toc68083130"/>
      <w:bookmarkStart w:id="225" w:name="_Toc68083525"/>
      <w:bookmarkStart w:id="226" w:name="_Toc68105064"/>
      <w:bookmarkStart w:id="227" w:name="_Toc74839343"/>
      <w:r>
        <w:t>2.</w:t>
      </w:r>
      <w:r w:rsidR="000805C8">
        <w:t>4</w:t>
      </w:r>
      <w:r>
        <w:t xml:space="preserve"> Scheme </w:t>
      </w:r>
      <w:r w:rsidR="00EC646A">
        <w:t>g</w:t>
      </w:r>
      <w:r>
        <w:t>overnance</w:t>
      </w:r>
      <w:bookmarkEnd w:id="217"/>
      <w:bookmarkEnd w:id="218"/>
      <w:bookmarkEnd w:id="219"/>
      <w:r w:rsidR="00EC646A">
        <w:t xml:space="preserve"> and administration</w:t>
      </w:r>
      <w:bookmarkEnd w:id="220"/>
      <w:bookmarkEnd w:id="221"/>
      <w:bookmarkEnd w:id="222"/>
      <w:bookmarkEnd w:id="223"/>
      <w:bookmarkEnd w:id="224"/>
      <w:bookmarkEnd w:id="225"/>
      <w:bookmarkEnd w:id="226"/>
      <w:bookmarkEnd w:id="227"/>
    </w:p>
    <w:p w14:paraId="6749F475" w14:textId="75C4DEFA" w:rsidR="0011221B" w:rsidRDefault="0011221B" w:rsidP="0011221B">
      <w:r>
        <w:t>Once developed, a GO scheme can be administered in various ways, classified broadly into either an industry-led or government-led governance framework. For example, CertifHy operates under an industry-led</w:t>
      </w:r>
      <w:r w:rsidR="00675527">
        <w:t>,</w:t>
      </w:r>
      <w:r>
        <w:t xml:space="preserve"> decentralised governance framework. </w:t>
      </w:r>
    </w:p>
    <w:p w14:paraId="363D4BA2" w14:textId="65306B4E" w:rsidR="0011221B" w:rsidRDefault="0011221B" w:rsidP="0011221B">
      <w:r>
        <w:t>During consultations, industry stakeholders indicated a clear preference for the government to lead the administration of an Australian GO scheme.</w:t>
      </w:r>
      <w:r w:rsidRPr="00113E9D">
        <w:t xml:space="preserve"> </w:t>
      </w:r>
      <w:r>
        <w:t>In this regard stakeholders were of the view that government administration would boost</w:t>
      </w:r>
      <w:r w:rsidR="00B5445D">
        <w:t xml:space="preserve"> the credibility of the scheme.</w:t>
      </w:r>
      <w:r>
        <w:t xml:space="preserve"> Industry was identified as having a critical ro</w:t>
      </w:r>
      <w:r w:rsidR="00B5445D">
        <w:t xml:space="preserve">le in the development of the </w:t>
      </w:r>
      <w:r>
        <w:t xml:space="preserve">scheme, but industry ownership and operation was not preferred. The Clean Energy Regulator was nominated as the most suitable body to administer the GO scheme given its strong reputation and experience in carbon accounting supporting the energy and emission reduction sector. </w:t>
      </w:r>
    </w:p>
    <w:p w14:paraId="21B00F25" w14:textId="5B090AD3" w:rsidR="009E062B" w:rsidRDefault="0011221B" w:rsidP="00F518B7">
      <w:pPr>
        <w:spacing w:line="240" w:lineRule="auto"/>
      </w:pPr>
      <w:r>
        <w:t>Given the needs of industry for an</w:t>
      </w:r>
      <w:r w:rsidR="00EC646A">
        <w:t>y scheme to be aligned with international</w:t>
      </w:r>
      <w:r>
        <w:t xml:space="preserve"> activities, to cover both renewable and non-renewables production pathways and the preference during consultations for a government led scheme, the Australian Government proposes to continue to develop a government administered Australian hydrogen GO scheme. It is proposed that the Clean Energy Regulator would be the body responsible</w:t>
      </w:r>
      <w:bookmarkStart w:id="228" w:name="_Toc62043733"/>
      <w:bookmarkStart w:id="229" w:name="_Toc64302373"/>
      <w:bookmarkStart w:id="230" w:name="_Toc65168376"/>
      <w:r w:rsidR="00F518B7">
        <w:t xml:space="preserve"> for administering the scheme. </w:t>
      </w:r>
    </w:p>
    <w:p w14:paraId="0E628317" w14:textId="1C241E74" w:rsidR="00F518B7" w:rsidRPr="00F518B7" w:rsidRDefault="00F518B7" w:rsidP="00F518B7">
      <w:pPr>
        <w:pStyle w:val="Calloutbox"/>
        <w:rPr>
          <w:b/>
        </w:rPr>
      </w:pPr>
      <w:r w:rsidRPr="00F518B7">
        <w:rPr>
          <w:b/>
        </w:rPr>
        <w:t>Questions:</w:t>
      </w:r>
    </w:p>
    <w:p w14:paraId="744BC020" w14:textId="1E99DCFE" w:rsidR="00F518B7" w:rsidRDefault="00F518B7" w:rsidP="00424AC3">
      <w:pPr>
        <w:pStyle w:val="Calloutbox"/>
        <w:numPr>
          <w:ilvl w:val="0"/>
          <w:numId w:val="33"/>
        </w:numPr>
      </w:pPr>
      <w:r w:rsidRPr="00030F3D">
        <w:t xml:space="preserve">Do you agree </w:t>
      </w:r>
      <w:r>
        <w:t>that the Australian government should lead the administration of an Australian GO scheme</w:t>
      </w:r>
      <w:r w:rsidRPr="00030F3D">
        <w:t>?</w:t>
      </w:r>
      <w:r>
        <w:t xml:space="preserve"> If not, why not? </w:t>
      </w:r>
    </w:p>
    <w:p w14:paraId="1916835D" w14:textId="77777777" w:rsidR="00F518B7" w:rsidRDefault="00F518B7" w:rsidP="00424AC3">
      <w:pPr>
        <w:pStyle w:val="Calloutbox"/>
        <w:numPr>
          <w:ilvl w:val="0"/>
          <w:numId w:val="33"/>
        </w:numPr>
      </w:pPr>
      <w:r>
        <w:t xml:space="preserve">Do you agree that the scheme should be </w:t>
      </w:r>
      <w:r w:rsidRPr="00030F3D">
        <w:t>administered by the Clean Energy Regulator?</w:t>
      </w:r>
    </w:p>
    <w:p w14:paraId="1B61D912" w14:textId="4775B6CB" w:rsidR="00F518B7" w:rsidRDefault="00F518B7" w:rsidP="00424AC3">
      <w:pPr>
        <w:pStyle w:val="Calloutbox"/>
        <w:numPr>
          <w:ilvl w:val="0"/>
          <w:numId w:val="33"/>
        </w:numPr>
      </w:pPr>
      <w:r>
        <w:t>What should be the role of industry in co-designing a government led scheme?</w:t>
      </w:r>
    </w:p>
    <w:p w14:paraId="7C7DD0FC" w14:textId="0993BFA7" w:rsidR="00543F0C" w:rsidRDefault="000805C8" w:rsidP="003B47A9">
      <w:pPr>
        <w:pStyle w:val="Heading2"/>
      </w:pPr>
      <w:bookmarkStart w:id="231" w:name="_Toc67329114"/>
      <w:bookmarkStart w:id="232" w:name="_Toc67329362"/>
      <w:bookmarkStart w:id="233" w:name="_Toc67562618"/>
      <w:bookmarkStart w:id="234" w:name="_Toc68000200"/>
      <w:bookmarkStart w:id="235" w:name="_Toc68083131"/>
      <w:bookmarkStart w:id="236" w:name="_Toc68083526"/>
      <w:bookmarkStart w:id="237" w:name="_Toc68105065"/>
      <w:bookmarkStart w:id="238" w:name="_Toc74839344"/>
      <w:r>
        <w:t>2.5</w:t>
      </w:r>
      <w:r w:rsidR="00543F0C">
        <w:t xml:space="preserve"> Regulatory framework</w:t>
      </w:r>
      <w:bookmarkEnd w:id="231"/>
      <w:bookmarkEnd w:id="232"/>
      <w:bookmarkEnd w:id="233"/>
      <w:bookmarkEnd w:id="234"/>
      <w:bookmarkEnd w:id="235"/>
      <w:bookmarkEnd w:id="236"/>
      <w:bookmarkEnd w:id="237"/>
      <w:bookmarkEnd w:id="238"/>
    </w:p>
    <w:p w14:paraId="01C7473E" w14:textId="2FD49E1F" w:rsidR="0011221B" w:rsidRDefault="00543F0C" w:rsidP="0011221B">
      <w:r>
        <w:t xml:space="preserve">The scheme proposed here represents the first components of a broader scheme that could track </w:t>
      </w:r>
      <w:r w:rsidR="0027114D">
        <w:t>the</w:t>
      </w:r>
      <w:r>
        <w:t xml:space="preserve"> use of</w:t>
      </w:r>
      <w:r w:rsidR="0027114D">
        <w:t xml:space="preserve"> </w:t>
      </w:r>
      <w:r w:rsidR="000216ED">
        <w:t xml:space="preserve">renewable energy and </w:t>
      </w:r>
      <w:r w:rsidR="0027114D">
        <w:t>clean</w:t>
      </w:r>
      <w:r>
        <w:t xml:space="preserve"> hydrogen as an input to a range of renewable or low emission products.</w:t>
      </w:r>
      <w:bookmarkStart w:id="239" w:name="_Toc62043734"/>
      <w:bookmarkEnd w:id="228"/>
      <w:bookmarkEnd w:id="229"/>
      <w:bookmarkEnd w:id="230"/>
      <w:r w:rsidR="0011221B">
        <w:t xml:space="preserve"> </w:t>
      </w:r>
    </w:p>
    <w:p w14:paraId="0AD6D7AA" w14:textId="7DF6BCB4" w:rsidR="00363E01" w:rsidRDefault="0011221B" w:rsidP="0011221B">
      <w:r>
        <w:t>Hydrogen could be distributed from its place of production to its place of use through pipelines, trucks or ships. Similar to electricity sourced from the grid, hydrogen from different production facilities could be mixed between its place of production and end-use, making it hard to attribute attributes to</w:t>
      </w:r>
      <w:r w:rsidR="000805C8">
        <w:t xml:space="preserve"> a particular unit of hydrogen.</w:t>
      </w:r>
    </w:p>
    <w:p w14:paraId="307AFAE3" w14:textId="012BB910" w:rsidR="0011221B" w:rsidRDefault="00363E01" w:rsidP="00C55162">
      <w:r>
        <w:t xml:space="preserve">Recognising these future potential uses of hydrogen, it appears </w:t>
      </w:r>
      <w:r w:rsidR="000805C8">
        <w:t>preferable</w:t>
      </w:r>
      <w:r w:rsidR="00B5445D">
        <w:t xml:space="preserve"> to implement the hydrogen GO scheme</w:t>
      </w:r>
      <w:r>
        <w:t xml:space="preserve"> as certificate scheme</w:t>
      </w:r>
      <w:r w:rsidR="0011221B">
        <w:t>. A certificate approach is consi</w:t>
      </w:r>
      <w:r w:rsidR="002B0418">
        <w:t>dered the easiest way to verify</w:t>
      </w:r>
      <w:r w:rsidR="0011221B">
        <w:t xml:space="preserve"> and track the attributes of a unit of hyd</w:t>
      </w:r>
      <w:r w:rsidR="005603CF">
        <w:t>rogen as it</w:t>
      </w:r>
      <w:r w:rsidR="002B0418">
        <w:t xml:space="preserve"> requires only</w:t>
      </w:r>
      <w:r w:rsidR="0011221B">
        <w:t xml:space="preserve"> the hydrogen producer’s data</w:t>
      </w:r>
      <w:r w:rsidR="002B0418">
        <w:t xml:space="preserve"> to be reviewed</w:t>
      </w:r>
      <w:r w:rsidR="0011221B">
        <w:t xml:space="preserve">. </w:t>
      </w:r>
      <w:r w:rsidR="0011221B" w:rsidRPr="00E401A7">
        <w:t xml:space="preserve"> </w:t>
      </w:r>
      <w:r w:rsidR="0011221B">
        <w:t xml:space="preserve">Certificate schemes are generally efficient by lending to more open market trading which allows for more transparency and efficiency. It can also leverage existing processes and systems used in the </w:t>
      </w:r>
      <w:r w:rsidR="00675527">
        <w:t>Large-scale Renewable Energy Target (</w:t>
      </w:r>
      <w:r w:rsidR="0011221B">
        <w:t>LRET</w:t>
      </w:r>
      <w:r w:rsidR="00675527">
        <w:t>)</w:t>
      </w:r>
      <w:r w:rsidR="0011221B">
        <w:t xml:space="preserve"> for creating and trading certificates that are well kn</w:t>
      </w:r>
      <w:r w:rsidR="00675527">
        <w:t>own, efficient, and tested. A certificate approach is</w:t>
      </w:r>
      <w:r w:rsidR="0011221B">
        <w:t xml:space="preserve"> likely to be </w:t>
      </w:r>
      <w:r w:rsidR="0011221B">
        <w:lastRenderedPageBreak/>
        <w:t>consistent with emerging international hydrogen GO schemes such as the European CertifHy scheme.</w:t>
      </w:r>
    </w:p>
    <w:p w14:paraId="05675CD4" w14:textId="77777777" w:rsidR="00C55162" w:rsidRDefault="000805C8" w:rsidP="0011221B">
      <w:pPr>
        <w:rPr>
          <w:noProof/>
          <w:lang w:eastAsia="en-AU"/>
        </w:rPr>
      </w:pPr>
      <w:r w:rsidRPr="0019123E">
        <w:t xml:space="preserve">In order to verify and track emissions associated with hydrogen production, the scheme needs to be able to verify whether renewable electricity was consumed. At present, production of renewable electricity can be demonstrated if the electricity received </w:t>
      </w:r>
      <w:r w:rsidR="00DB76B3">
        <w:t>Large-scale Generation Certificates (</w:t>
      </w:r>
      <w:r w:rsidRPr="0019123E">
        <w:t>LGCs</w:t>
      </w:r>
      <w:r w:rsidR="00DB76B3">
        <w:t>)</w:t>
      </w:r>
      <w:r w:rsidR="00322F91">
        <w:t xml:space="preserve"> under the LRET</w:t>
      </w:r>
      <w:r w:rsidRPr="0019123E">
        <w:t xml:space="preserve">. However, this cannot be used to verify below baseline renewable electricity and will not be available for any renewable electricity produced after 2030. Therefore, alongside the Hydrogen Guarantee of Origin, a new renewable GO certificate is proposed that could be used to track and verify below-baseline renewable electricity and </w:t>
      </w:r>
      <w:r w:rsidR="000A429C" w:rsidRPr="0019123E">
        <w:t>renewable generation</w:t>
      </w:r>
      <w:r w:rsidRPr="0019123E">
        <w:t xml:space="preserve"> post-2030 when LGCs cannot be created under the </w:t>
      </w:r>
      <w:r w:rsidR="00322F91">
        <w:t>L</w:t>
      </w:r>
      <w:r w:rsidRPr="0019123E">
        <w:t>RET. This</w:t>
      </w:r>
      <w:r w:rsidR="000216ED" w:rsidRPr="0019123E">
        <w:t xml:space="preserve"> scheme is </w:t>
      </w:r>
      <w:r w:rsidRPr="0019123E">
        <w:t>outlined in detail in</w:t>
      </w:r>
      <w:r>
        <w:t xml:space="preserve"> </w:t>
      </w:r>
      <w:r w:rsidRPr="0019123E">
        <w:t>chapter 3.5.</w:t>
      </w:r>
      <w:r w:rsidR="00C55162" w:rsidRPr="00C55162">
        <w:rPr>
          <w:noProof/>
          <w:lang w:eastAsia="en-AU"/>
        </w:rPr>
        <w:t xml:space="preserve"> </w:t>
      </w:r>
    </w:p>
    <w:p w14:paraId="509DCCB7" w14:textId="6960E577" w:rsidR="000805C8" w:rsidRDefault="00C55162" w:rsidP="00C55162">
      <w:pPr>
        <w:jc w:val="center"/>
      </w:pPr>
      <w:r>
        <w:rPr>
          <w:noProof/>
          <w:lang w:eastAsia="en-AU"/>
        </w:rPr>
        <w:drawing>
          <wp:inline distT="0" distB="0" distL="0" distR="0" wp14:anchorId="0865764D" wp14:editId="6CEBC37C">
            <wp:extent cx="3308299" cy="2205533"/>
            <wp:effectExtent l="0" t="0" r="6985" b="4445"/>
            <wp:docPr id="42" name="Picture 42" descr="sun shining on solar pan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ind turbines.jfif"/>
                    <pic:cNvPicPr/>
                  </pic:nvPicPr>
                  <pic:blipFill>
                    <a:blip r:embed="rId28">
                      <a:extLst>
                        <a:ext uri="{28A0092B-C50C-407E-A947-70E740481C1C}">
                          <a14:useLocalDpi xmlns:a14="http://schemas.microsoft.com/office/drawing/2010/main" val="0"/>
                        </a:ext>
                      </a:extLst>
                    </a:blip>
                    <a:stretch>
                      <a:fillRect/>
                    </a:stretch>
                  </pic:blipFill>
                  <pic:spPr>
                    <a:xfrm>
                      <a:off x="0" y="0"/>
                      <a:ext cx="3308299" cy="2205533"/>
                    </a:xfrm>
                    <a:prstGeom prst="rect">
                      <a:avLst/>
                    </a:prstGeom>
                  </pic:spPr>
                </pic:pic>
              </a:graphicData>
            </a:graphic>
          </wp:inline>
        </w:drawing>
      </w:r>
    </w:p>
    <w:p w14:paraId="6111591E" w14:textId="2B69D928" w:rsidR="0011221B" w:rsidDel="00E401A7" w:rsidRDefault="0011221B" w:rsidP="0011221B">
      <w:r>
        <w:t xml:space="preserve">The alternative </w:t>
      </w:r>
      <w:r w:rsidR="000805C8">
        <w:t xml:space="preserve">to a certificate scheme </w:t>
      </w:r>
      <w:r>
        <w:t>would be to maintain a register which tracks hydrogen contracts between consumers and hydrogen producers. This would require data f</w:t>
      </w:r>
      <w:r w:rsidR="005603CF">
        <w:t>rom the producer and consumer</w:t>
      </w:r>
      <w:r>
        <w:t xml:space="preserve"> in orde</w:t>
      </w:r>
      <w:r w:rsidR="002B0418">
        <w:t>r to establish the Guarantee of Origin</w:t>
      </w:r>
      <w:r>
        <w:t xml:space="preserve">. This approach would quickly become administratively complex </w:t>
      </w:r>
      <w:r w:rsidR="000805C8">
        <w:t xml:space="preserve">and burdensome as the hydrogen industry grows and as </w:t>
      </w:r>
      <w:r>
        <w:t>hydrogen is used as an input to other cle</w:t>
      </w:r>
      <w:r w:rsidR="000805C8">
        <w:t xml:space="preserve">an products and processes as </w:t>
      </w:r>
      <w:r>
        <w:t>anticipated</w:t>
      </w:r>
      <w:r w:rsidR="000805C8">
        <w:t>. H</w:t>
      </w:r>
      <w:r w:rsidR="009F1940">
        <w:t>owever</w:t>
      </w:r>
      <w:r w:rsidR="000805C8">
        <w:t>, if necessary,</w:t>
      </w:r>
      <w:r w:rsidR="009F1940">
        <w:t xml:space="preserve"> a register could be used as an interim measure while the industry is at an early stage</w:t>
      </w:r>
      <w:r>
        <w:t xml:space="preserve">.  </w:t>
      </w:r>
    </w:p>
    <w:p w14:paraId="4F47E81F" w14:textId="77777777" w:rsidR="0011221B" w:rsidRDefault="0011221B" w:rsidP="0011221B">
      <w:r>
        <w:t>A certificate is proposed to relate to a tonne of hydrogen and include the following information:</w:t>
      </w:r>
    </w:p>
    <w:p w14:paraId="14A0D4E4" w14:textId="77777777" w:rsidR="0011221B" w:rsidRDefault="0011221B" w:rsidP="00F048C7">
      <w:pPr>
        <w:pStyle w:val="ListParagraph"/>
        <w:numPr>
          <w:ilvl w:val="0"/>
          <w:numId w:val="7"/>
        </w:numPr>
      </w:pPr>
      <w:r>
        <w:t>Emissions</w:t>
      </w:r>
    </w:p>
    <w:p w14:paraId="7913EA51" w14:textId="77777777" w:rsidR="0011221B" w:rsidRDefault="0011221B" w:rsidP="00F048C7">
      <w:pPr>
        <w:pStyle w:val="ListParagraph"/>
        <w:numPr>
          <w:ilvl w:val="0"/>
          <w:numId w:val="7"/>
        </w:numPr>
      </w:pPr>
      <w:r>
        <w:t>Production facility and location</w:t>
      </w:r>
    </w:p>
    <w:p w14:paraId="0C112E2C" w14:textId="77777777" w:rsidR="0011221B" w:rsidRDefault="0011221B" w:rsidP="00F048C7">
      <w:pPr>
        <w:pStyle w:val="ListParagraph"/>
        <w:numPr>
          <w:ilvl w:val="0"/>
          <w:numId w:val="7"/>
        </w:numPr>
      </w:pPr>
      <w:r>
        <w:t>Production technology</w:t>
      </w:r>
    </w:p>
    <w:p w14:paraId="0A25147F" w14:textId="77777777" w:rsidR="0011221B" w:rsidRDefault="0011221B" w:rsidP="00F048C7">
      <w:pPr>
        <w:pStyle w:val="ListParagraph"/>
        <w:numPr>
          <w:ilvl w:val="0"/>
          <w:numId w:val="7"/>
        </w:numPr>
      </w:pPr>
      <w:r>
        <w:t xml:space="preserve">Primary fuel source </w:t>
      </w:r>
    </w:p>
    <w:p w14:paraId="620C42A4" w14:textId="7CA3F377" w:rsidR="004C6F19" w:rsidRDefault="004C6F19" w:rsidP="004C6F19">
      <w:r>
        <w:t>Administration of a hydrogen GO scheme will align closely to existing certificate based schemes such as t</w:t>
      </w:r>
      <w:r w:rsidR="00322F91">
        <w:t>he LRET</w:t>
      </w:r>
      <w:r>
        <w:t xml:space="preserve">. The </w:t>
      </w:r>
      <w:r w:rsidR="00322F91">
        <w:t>L</w:t>
      </w:r>
      <w:r>
        <w:t>RET is administered through an online registry where renewable energy generators enter information relev</w:t>
      </w:r>
      <w:r w:rsidR="00952EC1">
        <w:t>ant to calculate eligible LGCs and can subsequently create, trade and surrender LGCs. It is proposed a certificate based hydrogen GO scheme should also be administered through a similar registry. This registry would include</w:t>
      </w:r>
      <w:r w:rsidR="00DB76B3">
        <w:t>:</w:t>
      </w:r>
      <w:r w:rsidR="00952EC1">
        <w:t xml:space="preserve"> </w:t>
      </w:r>
      <w:r w:rsidR="00952EC1" w:rsidRPr="002D7089">
        <w:rPr>
          <w:rFonts w:eastAsia="Times New Roman"/>
        </w:rPr>
        <w:t xml:space="preserve">the application and registration of </w:t>
      </w:r>
      <w:r w:rsidR="00952EC1">
        <w:rPr>
          <w:rFonts w:eastAsia="Times New Roman"/>
        </w:rPr>
        <w:t>h</w:t>
      </w:r>
      <w:r w:rsidR="00952EC1" w:rsidRPr="002D7089">
        <w:rPr>
          <w:rFonts w:eastAsia="Times New Roman"/>
        </w:rPr>
        <w:t>ydrogen projects</w:t>
      </w:r>
      <w:r w:rsidR="00952EC1">
        <w:rPr>
          <w:rFonts w:eastAsia="Times New Roman"/>
        </w:rPr>
        <w:t xml:space="preserve">; </w:t>
      </w:r>
      <w:r w:rsidR="00952EC1" w:rsidRPr="002D7089">
        <w:rPr>
          <w:rFonts w:eastAsia="Times New Roman"/>
        </w:rPr>
        <w:t>reporting</w:t>
      </w:r>
      <w:r w:rsidR="00952EC1">
        <w:rPr>
          <w:rFonts w:eastAsia="Times New Roman"/>
        </w:rPr>
        <w:t>;</w:t>
      </w:r>
      <w:r w:rsidR="00952EC1" w:rsidRPr="002D7089" w:rsidDel="008A67CD">
        <w:rPr>
          <w:rFonts w:eastAsia="Times New Roman"/>
        </w:rPr>
        <w:t xml:space="preserve"> </w:t>
      </w:r>
      <w:r w:rsidR="00952EC1">
        <w:rPr>
          <w:rFonts w:eastAsia="Times New Roman"/>
        </w:rPr>
        <w:t>the creation</w:t>
      </w:r>
      <w:r w:rsidR="00952EC1" w:rsidRPr="002D7089">
        <w:rPr>
          <w:rFonts w:eastAsia="Times New Roman"/>
        </w:rPr>
        <w:t>, transfer and cancellation</w:t>
      </w:r>
      <w:r w:rsidR="00952EC1">
        <w:rPr>
          <w:rFonts w:eastAsia="Times New Roman"/>
        </w:rPr>
        <w:t xml:space="preserve"> of units;</w:t>
      </w:r>
      <w:r w:rsidR="00952EC1" w:rsidRPr="002D7089">
        <w:rPr>
          <w:rFonts w:eastAsia="Times New Roman"/>
        </w:rPr>
        <w:t xml:space="preserve"> risked based assessment</w:t>
      </w:r>
      <w:r w:rsidR="00952EC1">
        <w:rPr>
          <w:rFonts w:eastAsia="Times New Roman"/>
        </w:rPr>
        <w:t>s</w:t>
      </w:r>
      <w:r w:rsidR="00DB76B3">
        <w:rPr>
          <w:rFonts w:eastAsia="Times New Roman"/>
        </w:rPr>
        <w:t>;</w:t>
      </w:r>
      <w:r w:rsidR="00952EC1" w:rsidRPr="002D7089">
        <w:rPr>
          <w:rFonts w:eastAsia="Times New Roman"/>
        </w:rPr>
        <w:t xml:space="preserve"> and compliance tasks</w:t>
      </w:r>
      <w:r w:rsidR="00952EC1">
        <w:rPr>
          <w:rFonts w:eastAsia="Times New Roman"/>
        </w:rPr>
        <w:t xml:space="preserve">. </w:t>
      </w:r>
      <w:r w:rsidR="005A5FC0">
        <w:rPr>
          <w:rFonts w:eastAsia="Times New Roman"/>
        </w:rPr>
        <w:t>Where re</w:t>
      </w:r>
      <w:r w:rsidR="00422A98">
        <w:rPr>
          <w:rFonts w:eastAsia="Times New Roman"/>
        </w:rPr>
        <w:t>levant, a hydrogen</w:t>
      </w:r>
      <w:r w:rsidR="005A5FC0">
        <w:rPr>
          <w:rFonts w:eastAsia="Times New Roman"/>
        </w:rPr>
        <w:t xml:space="preserve"> registry would be linked to or be part of current registries used by the CER to minimise duplication of information provided across schemes.  </w:t>
      </w:r>
    </w:p>
    <w:p w14:paraId="4B8FFCB1" w14:textId="2E646494" w:rsidR="0011221B" w:rsidRDefault="0011221B" w:rsidP="0011221B">
      <w:r>
        <w:lastRenderedPageBreak/>
        <w:t>A regulatory framework is needed to cover a certif</w:t>
      </w:r>
      <w:r w:rsidR="001A16EE">
        <w:t>icate-based</w:t>
      </w:r>
      <w:r>
        <w:t xml:space="preserve"> hydrogen GO scheme and potentially </w:t>
      </w:r>
      <w:r w:rsidR="001A16EE">
        <w:t xml:space="preserve">a renewable GO scheme and </w:t>
      </w:r>
      <w:r>
        <w:t>downstream products. This could be established through new or existing legislation.</w:t>
      </w:r>
      <w:r w:rsidR="00EA3F2B">
        <w:t xml:space="preserve"> </w:t>
      </w:r>
    </w:p>
    <w:p w14:paraId="6DDDE0C0" w14:textId="11012280" w:rsidR="0011221B" w:rsidRDefault="001A16EE" w:rsidP="0011221B">
      <w:r>
        <w:t>New legislation c</w:t>
      </w:r>
      <w:r w:rsidR="0011221B">
        <w:t>ould set up an enduring certificate scheme for renewables, hydrogen and other low emissions products that can be adapted as hydrogen and other low emissions products and commodities markets evolve without being constrained by the requirements of other reporting schemes. Relevant functions and powers would be conferred on the Clean Energy Regulator by the new legislation and consequential amendments to existing legislation. The legislation would establish:</w:t>
      </w:r>
    </w:p>
    <w:p w14:paraId="74040668" w14:textId="77777777" w:rsidR="0011221B" w:rsidRDefault="0011221B" w:rsidP="00F048C7">
      <w:pPr>
        <w:pStyle w:val="ListParagraph"/>
        <w:numPr>
          <w:ilvl w:val="0"/>
          <w:numId w:val="13"/>
        </w:numPr>
      </w:pPr>
      <w:r>
        <w:t>A registration and reporting framework</w:t>
      </w:r>
    </w:p>
    <w:p w14:paraId="5976A9E8" w14:textId="77777777" w:rsidR="0011221B" w:rsidRDefault="0011221B" w:rsidP="00F048C7">
      <w:pPr>
        <w:pStyle w:val="ListParagraph"/>
        <w:numPr>
          <w:ilvl w:val="0"/>
          <w:numId w:val="13"/>
        </w:numPr>
      </w:pPr>
      <w:r>
        <w:t>Renewable energy and hydrogen certificate creation, issuance, transfer and cancellation</w:t>
      </w:r>
    </w:p>
    <w:p w14:paraId="3861194D" w14:textId="77777777" w:rsidR="0011221B" w:rsidRDefault="0011221B" w:rsidP="00F048C7">
      <w:pPr>
        <w:pStyle w:val="ListParagraph"/>
        <w:numPr>
          <w:ilvl w:val="0"/>
          <w:numId w:val="13"/>
        </w:numPr>
      </w:pPr>
      <w:r>
        <w:t>Verification, audit, compliance and enforcement provisions</w:t>
      </w:r>
    </w:p>
    <w:p w14:paraId="29D952DA" w14:textId="0A06DD79" w:rsidR="002B7808" w:rsidRDefault="0011221B" w:rsidP="00F048C7">
      <w:pPr>
        <w:pStyle w:val="ListParagraph"/>
        <w:numPr>
          <w:ilvl w:val="0"/>
          <w:numId w:val="13"/>
        </w:numPr>
      </w:pPr>
      <w:r>
        <w:t>Arrangements for the use of offsets (if included with the scheme</w:t>
      </w:r>
      <w:r w:rsidR="00B308E2">
        <w:t>)</w:t>
      </w:r>
      <w:r>
        <w:t>.</w:t>
      </w:r>
    </w:p>
    <w:p w14:paraId="33C912B5" w14:textId="507CBC8E" w:rsidR="002B7808" w:rsidRDefault="0011221B" w:rsidP="0011221B">
      <w:r>
        <w:t xml:space="preserve">Alternatively new regulations could be established under the NGER Act to implement reporting requirements for the purposes of </w:t>
      </w:r>
      <w:r w:rsidR="001A16EE">
        <w:t xml:space="preserve">a </w:t>
      </w:r>
      <w:r>
        <w:t>hydrogen GO</w:t>
      </w:r>
      <w:r w:rsidR="001A16EE">
        <w:t xml:space="preserve"> scheme</w:t>
      </w:r>
      <w:r>
        <w:t xml:space="preserve">. </w:t>
      </w:r>
      <w:r w:rsidR="002B7808">
        <w:rPr>
          <w:lang w:val="en-GB"/>
        </w:rPr>
        <w:t>The NGER Act requires registered corporations to make annual reports to the Clean Energy Regulator relating to emissions, energy production and consumption for financial years, due 31 October after a year ends. However this reporting will not include all of the information needed to calculate the emiss</w:t>
      </w:r>
      <w:r w:rsidR="007F5B11">
        <w:rPr>
          <w:lang w:val="en-GB"/>
        </w:rPr>
        <w:t xml:space="preserve">ions-intensity </w:t>
      </w:r>
      <w:r w:rsidR="002B7808">
        <w:rPr>
          <w:lang w:val="en-GB"/>
        </w:rPr>
        <w:t>hydrogen. For example, upstream emissions from fossil fuel extraction, processing and transportation would not currently be reported by a hydrogen producer. This could be addressed by amendments under the NGER Act to allow facilities to ‘opt into’ an additional hydrogen reporting framework.</w:t>
      </w:r>
    </w:p>
    <w:p w14:paraId="114C3F3B" w14:textId="520C8A27" w:rsidR="0011221B" w:rsidRDefault="002B7808" w:rsidP="0011221B">
      <w:r>
        <w:rPr>
          <w:lang w:val="en-GB"/>
        </w:rPr>
        <w:t xml:space="preserve">The NGER framework would not provide for the creation of ‘certificates’ relating to the hydrogen. </w:t>
      </w:r>
      <w:r w:rsidR="0011221B">
        <w:t xml:space="preserve">Certificate creation could be accommodated through </w:t>
      </w:r>
      <w:r w:rsidR="00FD5109">
        <w:t xml:space="preserve">amendments to </w:t>
      </w:r>
      <w:r w:rsidR="0011221B">
        <w:t xml:space="preserve">the </w:t>
      </w:r>
      <w:r w:rsidR="0011221B" w:rsidRPr="00E65F4C">
        <w:rPr>
          <w:i/>
        </w:rPr>
        <w:t xml:space="preserve">Australian National Registry of Emissions Units </w:t>
      </w:r>
      <w:r w:rsidR="0011221B" w:rsidRPr="00E65F4C">
        <w:rPr>
          <w:rStyle w:val="acopre"/>
          <w:rFonts w:ascii="Arial" w:hAnsi="Arial" w:cs="Arial"/>
          <w:i/>
          <w:color w:val="4D5156"/>
          <w:sz w:val="21"/>
          <w:szCs w:val="21"/>
        </w:rPr>
        <w:t>(</w:t>
      </w:r>
      <w:r w:rsidR="0011221B" w:rsidRPr="00E65F4C">
        <w:rPr>
          <w:i/>
        </w:rPr>
        <w:t>ANREU) Act</w:t>
      </w:r>
      <w:r w:rsidR="0011221B">
        <w:t>. This would leverage the compliance and enforcement provisions in NGER</w:t>
      </w:r>
      <w:r w:rsidR="009F1940">
        <w:t>S</w:t>
      </w:r>
      <w:r w:rsidR="0011221B">
        <w:t xml:space="preserve"> and avoid the need for new legislation. </w:t>
      </w:r>
    </w:p>
    <w:p w14:paraId="172C7D41" w14:textId="39BD4EE8" w:rsidR="00CC12A6" w:rsidRDefault="002B7808" w:rsidP="0011221B">
      <w:r w:rsidRPr="00B7797D">
        <w:rPr>
          <w:lang w:val="en-GB"/>
        </w:rPr>
        <w:t xml:space="preserve">This option would provide </w:t>
      </w:r>
      <w:r w:rsidR="005B2A80">
        <w:rPr>
          <w:lang w:val="en-GB"/>
        </w:rPr>
        <w:t>t</w:t>
      </w:r>
      <w:r w:rsidRPr="002B7808">
        <w:rPr>
          <w:lang w:val="en-GB"/>
        </w:rPr>
        <w:t>he Cl</w:t>
      </w:r>
      <w:r>
        <w:rPr>
          <w:lang w:val="en-GB"/>
        </w:rPr>
        <w:t xml:space="preserve">ean Energy Regulator with </w:t>
      </w:r>
      <w:r w:rsidRPr="002B7808">
        <w:rPr>
          <w:lang w:val="en-GB"/>
        </w:rPr>
        <w:t>a clear function of collecting, anal</w:t>
      </w:r>
      <w:r w:rsidR="00CC12A6">
        <w:rPr>
          <w:lang w:val="en-GB"/>
        </w:rPr>
        <w:t>ysing and using the information</w:t>
      </w:r>
      <w:r w:rsidR="000E71BE">
        <w:rPr>
          <w:lang w:val="en-GB"/>
        </w:rPr>
        <w:t xml:space="preserve"> </w:t>
      </w:r>
      <w:r w:rsidR="00CC12A6">
        <w:rPr>
          <w:lang w:val="en-GB"/>
        </w:rPr>
        <w:t xml:space="preserve">and the </w:t>
      </w:r>
      <w:r w:rsidRPr="00B7797D">
        <w:rPr>
          <w:lang w:val="en-GB"/>
        </w:rPr>
        <w:t xml:space="preserve">compliance and enforcement framework on the NGER Act would be available to verify the truth </w:t>
      </w:r>
      <w:r w:rsidR="00CC12A6" w:rsidRPr="00B7797D">
        <w:rPr>
          <w:lang w:val="en-GB"/>
        </w:rPr>
        <w:t>and accuracy of the information</w:t>
      </w:r>
      <w:r w:rsidRPr="00B7797D">
        <w:rPr>
          <w:lang w:val="en-GB"/>
        </w:rPr>
        <w:t>.</w:t>
      </w:r>
      <w:r w:rsidR="00CC12A6" w:rsidRPr="00B7797D">
        <w:rPr>
          <w:lang w:val="en-GB"/>
        </w:rPr>
        <w:t xml:space="preserve"> However this approach may be potentially less flexible in terms of accommodating future changes</w:t>
      </w:r>
      <w:r w:rsidR="00394A58">
        <w:rPr>
          <w:lang w:val="en-GB"/>
        </w:rPr>
        <w:t xml:space="preserve"> to set up a broader Guarantee of Origin scheme that covers renewable energy, hydrogen and other low-emissions products</w:t>
      </w:r>
      <w:r w:rsidR="00CC12A6" w:rsidRPr="00B7797D">
        <w:rPr>
          <w:lang w:val="en-GB"/>
        </w:rPr>
        <w:t>.</w:t>
      </w:r>
    </w:p>
    <w:p w14:paraId="056C7799" w14:textId="3E514492" w:rsidR="00EA3F2B" w:rsidRDefault="00EA3F2B" w:rsidP="0011221B">
      <w:r>
        <w:t xml:space="preserve">If new legislation is established for the scheme, the verification, audit, compliance and enforcement provisions would be modelled on the NGER Act. </w:t>
      </w:r>
    </w:p>
    <w:p w14:paraId="53F22E42" w14:textId="0FA3A37E" w:rsidR="00F518B7" w:rsidRPr="00F518B7" w:rsidRDefault="00F518B7" w:rsidP="00F518B7">
      <w:pPr>
        <w:pStyle w:val="Calloutbox"/>
        <w:rPr>
          <w:b/>
        </w:rPr>
      </w:pPr>
      <w:r w:rsidRPr="00F518B7">
        <w:rPr>
          <w:b/>
        </w:rPr>
        <w:t>Questions:</w:t>
      </w:r>
    </w:p>
    <w:p w14:paraId="0CE56B5A" w14:textId="29560556" w:rsidR="00F518B7" w:rsidRDefault="00F518B7" w:rsidP="00424AC3">
      <w:pPr>
        <w:pStyle w:val="Calloutbox"/>
        <w:numPr>
          <w:ilvl w:val="0"/>
          <w:numId w:val="33"/>
        </w:numPr>
      </w:pPr>
      <w:r>
        <w:t>Do you support the creation of Australia’s hydrogen GO scheme as a certificate scheme?</w:t>
      </w:r>
    </w:p>
    <w:p w14:paraId="4B04296C" w14:textId="2C596A22" w:rsidR="00F518B7" w:rsidRDefault="00F518B7" w:rsidP="00424AC3">
      <w:pPr>
        <w:pStyle w:val="Calloutbox"/>
        <w:numPr>
          <w:ilvl w:val="0"/>
          <w:numId w:val="33"/>
        </w:numPr>
      </w:pPr>
      <w:r>
        <w:t>What would you consider to be the best regulatory framework t</w:t>
      </w:r>
      <w:r w:rsidR="00422A98">
        <w:t>o support</w:t>
      </w:r>
      <w:r w:rsidR="00502409">
        <w:t xml:space="preserve"> a</w:t>
      </w:r>
      <w:r w:rsidR="00422A98">
        <w:t xml:space="preserve"> hydrogen Guarantee of Origin</w:t>
      </w:r>
      <w:r w:rsidR="00502409">
        <w:t xml:space="preserve"> scheme</w:t>
      </w:r>
      <w:r>
        <w:t>?</w:t>
      </w:r>
    </w:p>
    <w:p w14:paraId="62522EDA" w14:textId="736B4A93" w:rsidR="00BC14BB" w:rsidRPr="00A82049" w:rsidRDefault="000805C8" w:rsidP="003B47A9">
      <w:pPr>
        <w:pStyle w:val="Heading2"/>
      </w:pPr>
      <w:bookmarkStart w:id="240" w:name="_Toc67329115"/>
      <w:bookmarkStart w:id="241" w:name="_Toc67329363"/>
      <w:bookmarkStart w:id="242" w:name="_Toc67562619"/>
      <w:bookmarkStart w:id="243" w:name="_Toc68000201"/>
      <w:bookmarkStart w:id="244" w:name="_Toc68083132"/>
      <w:bookmarkStart w:id="245" w:name="_Toc68083527"/>
      <w:bookmarkStart w:id="246" w:name="_Toc68105066"/>
      <w:bookmarkStart w:id="247" w:name="_Toc74839345"/>
      <w:bookmarkEnd w:id="239"/>
      <w:r>
        <w:t>2.6</w:t>
      </w:r>
      <w:r w:rsidR="00BC14BB">
        <w:t xml:space="preserve"> </w:t>
      </w:r>
      <w:bookmarkEnd w:id="240"/>
      <w:bookmarkEnd w:id="241"/>
      <w:bookmarkEnd w:id="242"/>
      <w:bookmarkEnd w:id="243"/>
      <w:bookmarkEnd w:id="244"/>
      <w:bookmarkEnd w:id="245"/>
      <w:r w:rsidR="007F31C9">
        <w:t>Reporting</w:t>
      </w:r>
      <w:bookmarkEnd w:id="246"/>
      <w:bookmarkEnd w:id="247"/>
    </w:p>
    <w:p w14:paraId="6F108013" w14:textId="6BEA6C26" w:rsidR="00BC14BB" w:rsidRDefault="00B450D4" w:rsidP="00BC14BB">
      <w:r>
        <w:t>We propose that data be reported over a 12 month period, which</w:t>
      </w:r>
      <w:r w:rsidR="00BC14BB">
        <w:t xml:space="preserve"> is a typical timeline for data collection for Life Cycle assessments. </w:t>
      </w:r>
      <w:r w:rsidR="00463755">
        <w:t>Hy</w:t>
      </w:r>
      <w:r w:rsidR="007D4331">
        <w:t>drogen produced over a 12 month period would be given the same emission</w:t>
      </w:r>
      <w:r w:rsidR="00834E27">
        <w:t>s factor per tonne of hydrogen</w:t>
      </w:r>
      <w:r w:rsidR="00BC14BB">
        <w:t>.</w:t>
      </w:r>
      <w:r w:rsidR="00463755">
        <w:t xml:space="preserve"> The IPHE is also considering a 12 month period.</w:t>
      </w:r>
      <w:r w:rsidR="00BC14BB">
        <w:t xml:space="preserve"> However, industry views are sought o</w:t>
      </w:r>
      <w:r w:rsidR="00DA3C76">
        <w:t>n the appropriate reporting period</w:t>
      </w:r>
      <w:r w:rsidR="00BC14BB">
        <w:t xml:space="preserve"> and frequency </w:t>
      </w:r>
      <w:r w:rsidR="00BC14BB">
        <w:lastRenderedPageBreak/>
        <w:t xml:space="preserve">requirements for </w:t>
      </w:r>
      <w:r w:rsidR="00DA3C76">
        <w:t xml:space="preserve">certificate creation for </w:t>
      </w:r>
      <w:r w:rsidR="00BC14BB">
        <w:t>the purposes of hydrogen guara</w:t>
      </w:r>
      <w:r w:rsidR="00DA3C76">
        <w:t>ntees of origin. Data reporting</w:t>
      </w:r>
      <w:r w:rsidR="00BC14BB">
        <w:t xml:space="preserve"> and certificate creation may be on different timeframes to provide flexibility for industry</w:t>
      </w:r>
      <w:r w:rsidR="002C7145">
        <w:t xml:space="preserve"> and ensure the scheme provides adequate cash flow</w:t>
      </w:r>
      <w:r w:rsidR="00BC14BB">
        <w:t xml:space="preserve">. </w:t>
      </w:r>
    </w:p>
    <w:p w14:paraId="29A31368" w14:textId="2D3B4999" w:rsidR="00BC14BB" w:rsidRDefault="00BC14BB" w:rsidP="00BC14BB">
      <w:r>
        <w:t xml:space="preserve">The information to be reported is outlined for each pathway in attachments A, B and C. </w:t>
      </w:r>
      <w:r w:rsidR="00FC35E3">
        <w:t>Broadly reporting would include information on:</w:t>
      </w:r>
    </w:p>
    <w:p w14:paraId="31FEC23D" w14:textId="7618DF1D" w:rsidR="00451F19" w:rsidRDefault="00451F19" w:rsidP="00C20DB5">
      <w:pPr>
        <w:pStyle w:val="ListParagraph"/>
        <w:numPr>
          <w:ilvl w:val="0"/>
          <w:numId w:val="19"/>
        </w:numPr>
      </w:pPr>
      <w:r>
        <w:t xml:space="preserve">Facility details (identity, location </w:t>
      </w:r>
      <w:r w:rsidR="008B427C">
        <w:t>etc.</w:t>
      </w:r>
      <w:r>
        <w:t>)</w:t>
      </w:r>
    </w:p>
    <w:p w14:paraId="458C0FCC" w14:textId="2908AA85" w:rsidR="00451F19" w:rsidRDefault="00451F19" w:rsidP="00C20DB5">
      <w:pPr>
        <w:pStyle w:val="ListParagraph"/>
        <w:numPr>
          <w:ilvl w:val="0"/>
          <w:numId w:val="19"/>
        </w:numPr>
      </w:pPr>
      <w:r>
        <w:t>Production pathway</w:t>
      </w:r>
    </w:p>
    <w:p w14:paraId="5CCCBA8F" w14:textId="55B1548E" w:rsidR="00451F19" w:rsidRDefault="00451F19" w:rsidP="00C20DB5">
      <w:pPr>
        <w:pStyle w:val="ListParagraph"/>
        <w:numPr>
          <w:ilvl w:val="0"/>
          <w:numId w:val="19"/>
        </w:numPr>
      </w:pPr>
      <w:r>
        <w:t>Quantity of hydrogen produced</w:t>
      </w:r>
      <w:r w:rsidR="002B36FF">
        <w:t xml:space="preserve"> (tonnes)</w:t>
      </w:r>
    </w:p>
    <w:p w14:paraId="62CC90F4" w14:textId="5CE1C844" w:rsidR="00451F19" w:rsidRDefault="00451F19" w:rsidP="00C20DB5">
      <w:pPr>
        <w:pStyle w:val="ListParagraph"/>
        <w:numPr>
          <w:ilvl w:val="0"/>
          <w:numId w:val="19"/>
        </w:numPr>
      </w:pPr>
      <w:r>
        <w:t>Total emissions</w:t>
      </w:r>
    </w:p>
    <w:p w14:paraId="20C10C7C" w14:textId="430FBF57" w:rsidR="00451F19" w:rsidRDefault="00451F19" w:rsidP="00C20DB5">
      <w:pPr>
        <w:pStyle w:val="ListParagraph"/>
        <w:numPr>
          <w:ilvl w:val="0"/>
          <w:numId w:val="19"/>
        </w:numPr>
      </w:pPr>
      <w:r>
        <w:t>Process information</w:t>
      </w:r>
    </w:p>
    <w:p w14:paraId="4C827001" w14:textId="2C379593" w:rsidR="00451F19" w:rsidRDefault="00451F19" w:rsidP="00C20DB5">
      <w:pPr>
        <w:pStyle w:val="ListParagraph"/>
        <w:numPr>
          <w:ilvl w:val="0"/>
          <w:numId w:val="19"/>
        </w:numPr>
      </w:pPr>
      <w:r>
        <w:t>Electricity (scope 2) emissions</w:t>
      </w:r>
    </w:p>
    <w:p w14:paraId="6B7205B0" w14:textId="10E91C87" w:rsidR="00451F19" w:rsidRDefault="00451F19" w:rsidP="00C20DB5">
      <w:pPr>
        <w:pStyle w:val="ListParagraph"/>
        <w:numPr>
          <w:ilvl w:val="0"/>
          <w:numId w:val="19"/>
        </w:numPr>
      </w:pPr>
      <w:r>
        <w:t>Fuel feedstocks</w:t>
      </w:r>
    </w:p>
    <w:p w14:paraId="10511040" w14:textId="29DE782C" w:rsidR="00451F19" w:rsidRDefault="00793D10" w:rsidP="00C20DB5">
      <w:pPr>
        <w:pStyle w:val="ListParagraph"/>
        <w:numPr>
          <w:ilvl w:val="0"/>
          <w:numId w:val="19"/>
        </w:numPr>
      </w:pPr>
      <w:r>
        <w:t xml:space="preserve">Emissions calculations and </w:t>
      </w:r>
      <w:r w:rsidR="00451F19">
        <w:t>factors for fuel feedstocks</w:t>
      </w:r>
    </w:p>
    <w:p w14:paraId="59F82023" w14:textId="236203AA" w:rsidR="00451F19" w:rsidRDefault="00451F19" w:rsidP="00C20DB5">
      <w:pPr>
        <w:pStyle w:val="ListParagraph"/>
        <w:numPr>
          <w:ilvl w:val="0"/>
          <w:numId w:val="19"/>
        </w:numPr>
      </w:pPr>
      <w:r>
        <w:t>CCS information</w:t>
      </w:r>
    </w:p>
    <w:p w14:paraId="6C845EF2" w14:textId="48DC2E6D" w:rsidR="00FC35E3" w:rsidRDefault="00451F19" w:rsidP="00C20DB5">
      <w:pPr>
        <w:pStyle w:val="ListParagraph"/>
        <w:numPr>
          <w:ilvl w:val="0"/>
          <w:numId w:val="19"/>
        </w:numPr>
      </w:pPr>
      <w:r>
        <w:t>Details of waste or co-products.</w:t>
      </w:r>
    </w:p>
    <w:p w14:paraId="66437991" w14:textId="7C8E4B8F" w:rsidR="005465F4" w:rsidRDefault="005465F4" w:rsidP="00C20DB5">
      <w:pPr>
        <w:pStyle w:val="ListParagraph"/>
        <w:numPr>
          <w:ilvl w:val="0"/>
          <w:numId w:val="19"/>
        </w:numPr>
      </w:pPr>
      <w:r>
        <w:t>Time period</w:t>
      </w:r>
    </w:p>
    <w:p w14:paraId="643C07F6" w14:textId="77777777" w:rsidR="00F518B7" w:rsidRPr="00F518B7" w:rsidRDefault="00F518B7" w:rsidP="00F518B7">
      <w:pPr>
        <w:pStyle w:val="Calloutbox"/>
        <w:rPr>
          <w:b/>
        </w:rPr>
      </w:pPr>
      <w:r w:rsidRPr="00F518B7">
        <w:rPr>
          <w:b/>
        </w:rPr>
        <w:t>Questions:</w:t>
      </w:r>
    </w:p>
    <w:p w14:paraId="6E0A4820" w14:textId="5E667952" w:rsidR="00F518B7" w:rsidRDefault="00F518B7" w:rsidP="00424AC3">
      <w:pPr>
        <w:pStyle w:val="Calloutbox"/>
        <w:numPr>
          <w:ilvl w:val="0"/>
          <w:numId w:val="33"/>
        </w:numPr>
      </w:pPr>
      <w:r w:rsidRPr="00030F3D">
        <w:t xml:space="preserve">How frequently do you consider hydrogen </w:t>
      </w:r>
      <w:r>
        <w:t>GO certificate creation</w:t>
      </w:r>
      <w:r w:rsidRPr="00030F3D">
        <w:t xml:space="preserve"> will be required?</w:t>
      </w:r>
      <w:r>
        <w:t xml:space="preserve"> </w:t>
      </w:r>
    </w:p>
    <w:p w14:paraId="610861CC" w14:textId="1D7842D3" w:rsidR="00F518B7" w:rsidRPr="0011221B" w:rsidRDefault="00F518B7" w:rsidP="00424AC3">
      <w:pPr>
        <w:pStyle w:val="Calloutbox"/>
        <w:numPr>
          <w:ilvl w:val="0"/>
          <w:numId w:val="33"/>
        </w:numPr>
      </w:pPr>
      <w:r>
        <w:t>How frequently should data be reported</w:t>
      </w:r>
      <w:r w:rsidR="0049783B">
        <w:t>; i</w:t>
      </w:r>
      <w:r>
        <w:t>s the proposed 12 month period adequate? If not, what timeframe would you suggest?</w:t>
      </w:r>
    </w:p>
    <w:p w14:paraId="2B780857" w14:textId="25A6E925" w:rsidR="0011221B" w:rsidRDefault="0011221B" w:rsidP="00BF6665">
      <w:pPr>
        <w:pStyle w:val="Heading1"/>
        <w:numPr>
          <w:ilvl w:val="0"/>
          <w:numId w:val="39"/>
        </w:numPr>
      </w:pPr>
      <w:bookmarkStart w:id="248" w:name="_Toc67329116"/>
      <w:bookmarkStart w:id="249" w:name="_Toc67329364"/>
      <w:bookmarkStart w:id="250" w:name="_Toc67562620"/>
      <w:bookmarkStart w:id="251" w:name="_Toc68000202"/>
      <w:bookmarkStart w:id="252" w:name="_Toc68083133"/>
      <w:bookmarkStart w:id="253" w:name="_Toc68083528"/>
      <w:bookmarkStart w:id="254" w:name="_Toc68105067"/>
      <w:bookmarkStart w:id="255" w:name="_Toc74839346"/>
      <w:r>
        <w:t>Carbon accounting methodology</w:t>
      </w:r>
      <w:bookmarkEnd w:id="248"/>
      <w:bookmarkEnd w:id="249"/>
      <w:bookmarkEnd w:id="250"/>
      <w:bookmarkEnd w:id="251"/>
      <w:bookmarkEnd w:id="252"/>
      <w:bookmarkEnd w:id="253"/>
      <w:bookmarkEnd w:id="254"/>
      <w:bookmarkEnd w:id="255"/>
    </w:p>
    <w:p w14:paraId="46FE5A73" w14:textId="5EC8D895" w:rsidR="00E958E7" w:rsidRDefault="00E958E7" w:rsidP="00250BF2">
      <w:r>
        <w:t xml:space="preserve">Robust, trusted and comparable carbon accounting is core to the effective trade of clean hydrogen. Methods developed and used in any scheme need to be transparent, applicable to a broad range of technologies and </w:t>
      </w:r>
      <w:r w:rsidR="0064130E">
        <w:t xml:space="preserve">broadly </w:t>
      </w:r>
      <w:r>
        <w:t xml:space="preserve">consistent with international approaches, to enable equitable comparison of carbon emissions between countries.  </w:t>
      </w:r>
      <w:r w:rsidR="00944279">
        <w:t>This chapter details the methodologies proposed for measuring the emissions associated with the three main production pathways proposed to be used in Australia</w:t>
      </w:r>
      <w:r w:rsidR="00322F91">
        <w:t>, electrol</w:t>
      </w:r>
      <w:r w:rsidR="003177A4">
        <w:t>ysis, coal gasification with CC</w:t>
      </w:r>
      <w:r w:rsidR="00322F91">
        <w:t>S</w:t>
      </w:r>
      <w:r w:rsidR="003177A4">
        <w:t xml:space="preserve"> and SMR of natural gas with CC</w:t>
      </w:r>
      <w:r w:rsidR="00322F91">
        <w:t>S.</w:t>
      </w:r>
    </w:p>
    <w:p w14:paraId="6BB9D8A8" w14:textId="587DB972" w:rsidR="00250BF2" w:rsidRDefault="00944279" w:rsidP="00250BF2">
      <w:r>
        <w:t>As noted</w:t>
      </w:r>
      <w:r w:rsidR="00322F91">
        <w:t xml:space="preserve"> earlier, these are the methodologies</w:t>
      </w:r>
      <w:r>
        <w:t xml:space="preserve"> proposed to be available for use in an initial hydrogen GO scheme. Additional methodologies for different production processes and for various hydrogen derivatives are proposed to be developed over time. </w:t>
      </w:r>
      <w:r w:rsidR="00250BF2">
        <w:t xml:space="preserve">Under </w:t>
      </w:r>
      <w:r>
        <w:t>the</w:t>
      </w:r>
      <w:r w:rsidR="00250BF2">
        <w:t xml:space="preserve"> proposed approach for an Australian scheme, the conceptual formula for deriving the amount of emissions associated with hydrogen can be summarised as below:</w:t>
      </w:r>
    </w:p>
    <w:p w14:paraId="02E85B5F" w14:textId="4647A021" w:rsidR="00250BF2" w:rsidRDefault="0032246D" w:rsidP="00250BF2">
      <w:r>
        <w:rPr>
          <w:noProof/>
          <w:lang w:eastAsia="en-AU"/>
        </w:rPr>
        <w:drawing>
          <wp:inline distT="0" distB="0" distL="0" distR="0" wp14:anchorId="44D6EAB4" wp14:editId="6FC897EF">
            <wp:extent cx="5544185" cy="1592580"/>
            <wp:effectExtent l="0" t="0" r="0" b="0"/>
            <wp:docPr id="6" name="Picture 6" descr="A high level calculation of hydrogen emissions equalling the emissions within well-to-gate boundary minus carbon capture (removals) minus co-product emis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1-COM21149 hyrogen consultation_D2-03.png"/>
                    <pic:cNvPicPr/>
                  </pic:nvPicPr>
                  <pic:blipFill>
                    <a:blip r:embed="rId29">
                      <a:extLst>
                        <a:ext uri="{28A0092B-C50C-407E-A947-70E740481C1C}">
                          <a14:useLocalDpi xmlns:a14="http://schemas.microsoft.com/office/drawing/2010/main" val="0"/>
                        </a:ext>
                      </a:extLst>
                    </a:blip>
                    <a:stretch>
                      <a:fillRect/>
                    </a:stretch>
                  </pic:blipFill>
                  <pic:spPr>
                    <a:xfrm>
                      <a:off x="0" y="0"/>
                      <a:ext cx="5544185" cy="1592580"/>
                    </a:xfrm>
                    <a:prstGeom prst="rect">
                      <a:avLst/>
                    </a:prstGeom>
                  </pic:spPr>
                </pic:pic>
              </a:graphicData>
            </a:graphic>
          </wp:inline>
        </w:drawing>
      </w:r>
    </w:p>
    <w:p w14:paraId="2705EC68" w14:textId="77777777" w:rsidR="00250BF2" w:rsidRDefault="00250BF2" w:rsidP="00734204">
      <w:r>
        <w:lastRenderedPageBreak/>
        <w:t xml:space="preserve">Where: </w:t>
      </w:r>
    </w:p>
    <w:p w14:paraId="294B21A9" w14:textId="47482166" w:rsidR="00250BF2" w:rsidRDefault="00250BF2" w:rsidP="0079029D">
      <w:pPr>
        <w:pStyle w:val="ListParagraph"/>
        <w:numPr>
          <w:ilvl w:val="0"/>
          <w:numId w:val="3"/>
        </w:numPr>
      </w:pPr>
      <w:r>
        <w:t>Emissions include all scope 1 and 2 emissions</w:t>
      </w:r>
      <w:r>
        <w:rPr>
          <w:rStyle w:val="FootnoteReference"/>
        </w:rPr>
        <w:footnoteReference w:id="3"/>
      </w:r>
      <w:r>
        <w:t xml:space="preserve"> arising in the well-to-gate boundary (further details </w:t>
      </w:r>
      <w:r w:rsidR="00DA3C76">
        <w:t>of calculations in</w:t>
      </w:r>
      <w:r w:rsidR="0014720F">
        <w:t xml:space="preserve"> section </w:t>
      </w:r>
      <w:r w:rsidR="0014720F">
        <w:fldChar w:fldCharType="begin"/>
      </w:r>
      <w:r w:rsidR="0014720F">
        <w:instrText xml:space="preserve"> REF _Ref67505039 \h </w:instrText>
      </w:r>
      <w:r w:rsidR="0014720F">
        <w:fldChar w:fldCharType="separate"/>
      </w:r>
      <w:r w:rsidR="00A4774A">
        <w:t>3.2 Methodologies for estimating scope 1 emissions</w:t>
      </w:r>
      <w:r w:rsidR="0014720F">
        <w:fldChar w:fldCharType="end"/>
      </w:r>
      <w:r w:rsidR="0014720F">
        <w:t xml:space="preserve"> to section </w:t>
      </w:r>
      <w:r w:rsidR="0014720F">
        <w:fldChar w:fldCharType="begin"/>
      </w:r>
      <w:r w:rsidR="0014720F">
        <w:instrText xml:space="preserve"> REF _Ref67505062 \h </w:instrText>
      </w:r>
      <w:r w:rsidR="0014720F">
        <w:fldChar w:fldCharType="separate"/>
      </w:r>
      <w:r w:rsidR="00A4774A">
        <w:t>3.4 Scope 2 emissions</w:t>
      </w:r>
      <w:r w:rsidR="0014720F">
        <w:fldChar w:fldCharType="end"/>
      </w:r>
      <w:r>
        <w:t>)</w:t>
      </w:r>
    </w:p>
    <w:p w14:paraId="51360781" w14:textId="7F0DD5CB" w:rsidR="00DA3C76" w:rsidRDefault="00250BF2" w:rsidP="0079029D">
      <w:pPr>
        <w:pStyle w:val="ListParagraph"/>
        <w:numPr>
          <w:ilvl w:val="0"/>
          <w:numId w:val="3"/>
        </w:numPr>
      </w:pPr>
      <w:r>
        <w:t xml:space="preserve">Emissions permanently captured and stored will be subtracted from gross emissions. Carbon capture utilisation and storage is defined in line with the </w:t>
      </w:r>
      <w:r w:rsidRPr="000A3FA7">
        <w:t>NGERS</w:t>
      </w:r>
      <w:r>
        <w:t xml:space="preserve"> Determination (</w:t>
      </w:r>
      <w:r w:rsidR="007F5B11">
        <w:t>further details in section 3.7</w:t>
      </w:r>
      <w:r>
        <w:t xml:space="preserve">). Both the gross emissions and the stored emissions will be measured and tracked to provide process transparency. </w:t>
      </w:r>
    </w:p>
    <w:p w14:paraId="04B1B465" w14:textId="63FA1773" w:rsidR="008F6587" w:rsidRDefault="00250BF2" w:rsidP="0079029D">
      <w:pPr>
        <w:pStyle w:val="ListParagraph"/>
        <w:numPr>
          <w:ilvl w:val="0"/>
          <w:numId w:val="3"/>
        </w:numPr>
      </w:pPr>
      <w:r>
        <w:t>Emissions attributed to co-products (other saleable products produced through the hydrogen production process) will also be subtracted from the gross emissions (fu</w:t>
      </w:r>
      <w:r w:rsidR="0014720F">
        <w:t>rther discussed in s</w:t>
      </w:r>
      <w:r w:rsidR="007F5B11">
        <w:t>ection 3.6</w:t>
      </w:r>
      <w:r>
        <w:t>).</w:t>
      </w:r>
    </w:p>
    <w:p w14:paraId="081988AA" w14:textId="006E7FE8" w:rsidR="002A6F8A" w:rsidRDefault="002A6F8A" w:rsidP="002A6F8A">
      <w:pPr>
        <w:pStyle w:val="ListParagraph"/>
        <w:numPr>
          <w:ilvl w:val="0"/>
          <w:numId w:val="3"/>
        </w:numPr>
      </w:pPr>
      <w:r w:rsidRPr="00123E58">
        <w:t>Emissions associated with capital goods, overhead operations and corporate activities are excluded in accordance with the GHG Protocol Standard.</w:t>
      </w:r>
    </w:p>
    <w:p w14:paraId="595366AC" w14:textId="2D64173F" w:rsidR="00E539A6" w:rsidRPr="003B47A9" w:rsidRDefault="008112E8" w:rsidP="003B47A9">
      <w:pPr>
        <w:pStyle w:val="Heading2"/>
      </w:pPr>
      <w:bookmarkStart w:id="256" w:name="_Toc67329117"/>
      <w:bookmarkStart w:id="257" w:name="_Toc67329365"/>
      <w:bookmarkStart w:id="258" w:name="_Toc67562621"/>
      <w:bookmarkStart w:id="259" w:name="_Toc68000203"/>
      <w:bookmarkStart w:id="260" w:name="_Toc68083134"/>
      <w:bookmarkStart w:id="261" w:name="_Toc68083529"/>
      <w:bookmarkStart w:id="262" w:name="_Toc68105068"/>
      <w:bookmarkStart w:id="263" w:name="_Toc74839347"/>
      <w:r w:rsidRPr="003B47A9">
        <w:t>3.1</w:t>
      </w:r>
      <w:r w:rsidR="00BC14BB" w:rsidRPr="003B47A9">
        <w:tab/>
        <w:t xml:space="preserve"> E</w:t>
      </w:r>
      <w:r w:rsidR="00E539A6" w:rsidRPr="003B47A9">
        <w:t>missions sources</w:t>
      </w:r>
      <w:bookmarkEnd w:id="256"/>
      <w:bookmarkEnd w:id="257"/>
      <w:bookmarkEnd w:id="258"/>
      <w:bookmarkEnd w:id="259"/>
      <w:bookmarkEnd w:id="260"/>
      <w:bookmarkEnd w:id="261"/>
      <w:bookmarkEnd w:id="262"/>
      <w:bookmarkEnd w:id="263"/>
      <w:r w:rsidR="00E539A6" w:rsidRPr="003B47A9">
        <w:t xml:space="preserve"> </w:t>
      </w:r>
    </w:p>
    <w:p w14:paraId="1A9150DC" w14:textId="7817064A" w:rsidR="00373717" w:rsidRPr="00A45462" w:rsidRDefault="00A45462" w:rsidP="00A45462">
      <w:r>
        <w:t xml:space="preserve">Box 1 provides an overview of the three production pathways for hydrogen and the main emissions sources. Further detail is in Attachments A, B, and C. </w:t>
      </w:r>
    </w:p>
    <w:p w14:paraId="7CD9C237" w14:textId="77777777" w:rsidR="00373717" w:rsidRDefault="00373717" w:rsidP="00373717">
      <w:pPr>
        <w:pStyle w:val="Calloutbox"/>
        <w:contextualSpacing w:val="0"/>
        <w:rPr>
          <w:b/>
        </w:rPr>
      </w:pPr>
      <w:r>
        <w:rPr>
          <w:b/>
          <w:sz w:val="28"/>
          <w:szCs w:val="28"/>
        </w:rPr>
        <w:t>Box 1: Hydrogen production pathways and emissions sources</w:t>
      </w:r>
    </w:p>
    <w:p w14:paraId="7B09AB4B" w14:textId="77777777" w:rsidR="00F518B7" w:rsidRDefault="00F518B7" w:rsidP="00373717">
      <w:pPr>
        <w:pStyle w:val="Calloutbox"/>
        <w:contextualSpacing w:val="0"/>
        <w:rPr>
          <w:b/>
        </w:rPr>
      </w:pPr>
      <w:r>
        <w:rPr>
          <w:b/>
        </w:rPr>
        <w:t>Electrolysis</w:t>
      </w:r>
    </w:p>
    <w:p w14:paraId="60B9297C" w14:textId="77777777" w:rsidR="00373717" w:rsidRPr="00F518B7" w:rsidRDefault="00373717" w:rsidP="00373717">
      <w:pPr>
        <w:pStyle w:val="Calloutbox"/>
        <w:contextualSpacing w:val="0"/>
        <w:rPr>
          <w:b/>
        </w:rPr>
      </w:pPr>
      <w:r w:rsidRPr="00204030">
        <w:t xml:space="preserve">Electrolysis </w:t>
      </w:r>
      <w:r>
        <w:t>uses electricity to decompose water into its hydrogen and oxygen components (H</w:t>
      </w:r>
      <w:r>
        <w:rPr>
          <w:vertAlign w:val="subscript"/>
        </w:rPr>
        <w:t>2</w:t>
      </w:r>
      <w:r>
        <w:t xml:space="preserve"> and O</w:t>
      </w:r>
      <w:r>
        <w:rPr>
          <w:vertAlign w:val="subscript"/>
        </w:rPr>
        <w:t>2</w:t>
      </w:r>
      <w:r>
        <w:t xml:space="preserve">) within an electrolyser unit. </w:t>
      </w:r>
    </w:p>
    <w:p w14:paraId="03AB6A50" w14:textId="078F7827" w:rsidR="009B525D" w:rsidRDefault="007B47C3" w:rsidP="007B47C3">
      <w:pPr>
        <w:pStyle w:val="Calloutbox"/>
        <w:contextualSpacing w:val="0"/>
      </w:pPr>
      <w:r>
        <w:t xml:space="preserve">GHG emissions associated with electrolysis are subject to the nature of electricity supply for electrolysis as electricity can be sourced from the grid, generated on-site via the combustion of liquid, gaseous </w:t>
      </w:r>
      <w:r w:rsidR="00373717">
        <w:t>or</w:t>
      </w:r>
      <w:r>
        <w:t xml:space="preserve"> solid fuels (in this case, this would be the key emissions source) or supplied from an on-site renewables system. </w:t>
      </w:r>
    </w:p>
    <w:p w14:paraId="5271FC32" w14:textId="0C12DE49" w:rsidR="009B525D" w:rsidRPr="007B47C3" w:rsidRDefault="003177A4" w:rsidP="007B47C3">
      <w:pPr>
        <w:pStyle w:val="Calloutbox"/>
        <w:contextualSpacing w:val="0"/>
        <w:rPr>
          <w:b/>
        </w:rPr>
      </w:pPr>
      <w:r>
        <w:rPr>
          <w:b/>
        </w:rPr>
        <w:t>Coal gasification with CC</w:t>
      </w:r>
      <w:r w:rsidR="009B525D" w:rsidRPr="007B47C3">
        <w:rPr>
          <w:b/>
        </w:rPr>
        <w:t>S</w:t>
      </w:r>
    </w:p>
    <w:p w14:paraId="79E4EE1D" w14:textId="1D69963B" w:rsidR="009B525D" w:rsidRDefault="007B47C3" w:rsidP="007B47C3">
      <w:pPr>
        <w:pStyle w:val="Calloutbox"/>
        <w:contextualSpacing w:val="0"/>
      </w:pPr>
      <w:r w:rsidRPr="00A45462">
        <w:t>C</w:t>
      </w:r>
      <w:r w:rsidR="009B525D">
        <w:t>oal is reacted with oxygen and steam under high pressures and temperatures to form synthesis gas (syngas) made up of hy</w:t>
      </w:r>
      <w:r w:rsidR="007915C6">
        <w:t xml:space="preserve">drogen and carbon monoxide. The syngas is conditioned to produce hydrogen which is purified and compressed for distribution to end users.  </w:t>
      </w:r>
    </w:p>
    <w:p w14:paraId="089C7514" w14:textId="5F1A0131" w:rsidR="00345319" w:rsidRDefault="007B47C3" w:rsidP="00345319">
      <w:pPr>
        <w:pStyle w:val="Calloutbox"/>
        <w:contextualSpacing w:val="0"/>
      </w:pPr>
      <w:r>
        <w:t>T</w:t>
      </w:r>
      <w:r w:rsidRPr="00FA3733">
        <w:t>he main source of GHG emissions is the</w:t>
      </w:r>
      <w:r>
        <w:t xml:space="preserve"> conversion of </w:t>
      </w:r>
      <w:r w:rsidR="00A45462">
        <w:t xml:space="preserve">the </w:t>
      </w:r>
      <w:r>
        <w:t xml:space="preserve">carbon in coal to </w:t>
      </w:r>
      <w:r w:rsidR="004209E4">
        <w:t>syngas and then H</w:t>
      </w:r>
      <w:r w:rsidR="004209E4" w:rsidRPr="004209E4">
        <w:rPr>
          <w:vertAlign w:val="subscript"/>
        </w:rPr>
        <w:t>2</w:t>
      </w:r>
      <w:r w:rsidR="004209E4">
        <w:rPr>
          <w:vertAlign w:val="subscript"/>
        </w:rPr>
        <w:t xml:space="preserve"> </w:t>
      </w:r>
      <w:r w:rsidR="004209E4">
        <w:t>and</w:t>
      </w:r>
      <w:r>
        <w:t xml:space="preserve"> CO</w:t>
      </w:r>
      <w:r w:rsidRPr="001F42A9">
        <w:rPr>
          <w:vertAlign w:val="subscript"/>
        </w:rPr>
        <w:t>2</w:t>
      </w:r>
      <w:r w:rsidRPr="00FA3733">
        <w:t xml:space="preserve">. Other significant emissions sources include </w:t>
      </w:r>
      <w:r w:rsidR="00A45462">
        <w:t xml:space="preserve">emissions relating to the </w:t>
      </w:r>
      <w:r>
        <w:t xml:space="preserve">grid </w:t>
      </w:r>
      <w:r w:rsidRPr="00FA3733">
        <w:t>electricity use</w:t>
      </w:r>
      <w:r>
        <w:t>d</w:t>
      </w:r>
      <w:r w:rsidRPr="00FA3733">
        <w:t xml:space="preserve"> </w:t>
      </w:r>
      <w:r>
        <w:t>for</w:t>
      </w:r>
      <w:r w:rsidRPr="00FA3733">
        <w:t xml:space="preserve"> air separation (including air compression and oxygen compression), CO</w:t>
      </w:r>
      <w:r w:rsidRPr="00FA3733">
        <w:rPr>
          <w:vertAlign w:val="subscript"/>
        </w:rPr>
        <w:t xml:space="preserve">2 </w:t>
      </w:r>
      <w:r w:rsidRPr="00FA3733">
        <w:t>removal, CO</w:t>
      </w:r>
      <w:r w:rsidRPr="00FA3733">
        <w:rPr>
          <w:vertAlign w:val="subscript"/>
        </w:rPr>
        <w:t xml:space="preserve">2 </w:t>
      </w:r>
      <w:r w:rsidR="003177A4">
        <w:t>compression for CC</w:t>
      </w:r>
      <w:r w:rsidRPr="00FA3733">
        <w:t xml:space="preserve">S, coal processing (size reduction and cleaning) activities and fugitive </w:t>
      </w:r>
      <w:r>
        <w:t xml:space="preserve">methane </w:t>
      </w:r>
      <w:r w:rsidRPr="00FA3733">
        <w:t xml:space="preserve">emissions associated with coal mining. </w:t>
      </w:r>
    </w:p>
    <w:p w14:paraId="27D836E2" w14:textId="7971EB62" w:rsidR="00345319" w:rsidRPr="007B47C3" w:rsidRDefault="003177A4" w:rsidP="00345319">
      <w:pPr>
        <w:pStyle w:val="Calloutbox"/>
        <w:contextualSpacing w:val="0"/>
        <w:rPr>
          <w:b/>
        </w:rPr>
      </w:pPr>
      <w:r>
        <w:rPr>
          <w:b/>
        </w:rPr>
        <w:t>Steam methane reforming with CC</w:t>
      </w:r>
      <w:r w:rsidR="00345319" w:rsidRPr="007B47C3">
        <w:rPr>
          <w:b/>
        </w:rPr>
        <w:t>S</w:t>
      </w:r>
    </w:p>
    <w:p w14:paraId="2CBE37AC" w14:textId="39E49763" w:rsidR="00345319" w:rsidRDefault="00322F91" w:rsidP="00345319">
      <w:pPr>
        <w:pStyle w:val="Calloutbox"/>
        <w:contextualSpacing w:val="0"/>
      </w:pPr>
      <w:r w:rsidRPr="00A45462">
        <w:t>D</w:t>
      </w:r>
      <w:r>
        <w:t>esulfuriz</w:t>
      </w:r>
      <w:r w:rsidRPr="005229B9">
        <w:t>ed</w:t>
      </w:r>
      <w:r w:rsidR="00345319" w:rsidRPr="005229B9">
        <w:t xml:space="preserve"> </w:t>
      </w:r>
      <w:r w:rsidR="00345319">
        <w:t>natural gas</w:t>
      </w:r>
      <w:r w:rsidR="00345319" w:rsidRPr="005229B9">
        <w:t xml:space="preserve"> is pre-heated, mixed with steam and </w:t>
      </w:r>
      <w:r w:rsidR="00345319">
        <w:t>passed through a catalyst in a</w:t>
      </w:r>
      <w:r w:rsidR="00345319" w:rsidRPr="005229B9">
        <w:t xml:space="preserve"> steam reformer to produce </w:t>
      </w:r>
      <w:r w:rsidR="00345319">
        <w:t>a synthesis gas (syngas), which is further processed in another catalytic reaction to increase the hydrogen fraction. Finally, the syngas is passed through a purification step to produce hydrogen.</w:t>
      </w:r>
    </w:p>
    <w:p w14:paraId="186A8479" w14:textId="77777777" w:rsidR="00345319" w:rsidRDefault="00345319" w:rsidP="00345319">
      <w:pPr>
        <w:pStyle w:val="Calloutbox"/>
        <w:contextualSpacing w:val="0"/>
      </w:pPr>
      <w:r>
        <w:lastRenderedPageBreak/>
        <w:t xml:space="preserve">The main </w:t>
      </w:r>
      <w:r w:rsidRPr="008757D6">
        <w:t xml:space="preserve">emissions </w:t>
      </w:r>
      <w:r>
        <w:t xml:space="preserve">sources </w:t>
      </w:r>
      <w:r w:rsidRPr="008757D6">
        <w:t>are steam generation and reforming of the natural gas feedstock (including</w:t>
      </w:r>
      <w:r>
        <w:t xml:space="preserve"> fuel combustion in the burners)</w:t>
      </w:r>
      <w:r w:rsidRPr="00EF61D8">
        <w:t>. Other significant emissions sources include the</w:t>
      </w:r>
      <w:r>
        <w:t xml:space="preserve"> fugitive emissions and combustion emissions associated with upstream gas extraction and processing, as well as the</w:t>
      </w:r>
      <w:r w:rsidRPr="00EF61D8">
        <w:t xml:space="preserve"> electricity use associated with CO</w:t>
      </w:r>
      <w:r w:rsidRPr="00EF61D8">
        <w:rPr>
          <w:vertAlign w:val="subscript"/>
        </w:rPr>
        <w:t xml:space="preserve">2 </w:t>
      </w:r>
      <w:r w:rsidRPr="00EF61D8">
        <w:t>removal.</w:t>
      </w:r>
      <w:r w:rsidRPr="00FA3733">
        <w:t xml:space="preserve"> </w:t>
      </w:r>
    </w:p>
    <w:p w14:paraId="60C4CFCD" w14:textId="5FFF849C" w:rsidR="00B76057" w:rsidRDefault="00B76057" w:rsidP="007B47C3">
      <w:pPr>
        <w:pStyle w:val="Calloutbox"/>
        <w:contextualSpacing w:val="0"/>
      </w:pPr>
    </w:p>
    <w:p w14:paraId="656CD4B5" w14:textId="01F78606" w:rsidR="00233C76" w:rsidRDefault="00277D18" w:rsidP="003B47A9">
      <w:pPr>
        <w:pStyle w:val="Heading2"/>
      </w:pPr>
      <w:bookmarkStart w:id="264" w:name="_Toc67329118"/>
      <w:bookmarkStart w:id="265" w:name="_Toc67329366"/>
      <w:bookmarkStart w:id="266" w:name="_Ref67505010"/>
      <w:bookmarkStart w:id="267" w:name="_Ref67505039"/>
      <w:bookmarkStart w:id="268" w:name="_Toc67562622"/>
      <w:bookmarkStart w:id="269" w:name="_Toc68000204"/>
      <w:bookmarkStart w:id="270" w:name="_Toc68083135"/>
      <w:bookmarkStart w:id="271" w:name="_Toc68083530"/>
      <w:bookmarkStart w:id="272" w:name="_Toc68105069"/>
      <w:bookmarkStart w:id="273" w:name="_Toc74839348"/>
      <w:r>
        <w:t>3.</w:t>
      </w:r>
      <w:r w:rsidR="008112E8">
        <w:t>2</w:t>
      </w:r>
      <w:r w:rsidR="00F03668">
        <w:t xml:space="preserve"> </w:t>
      </w:r>
      <w:r w:rsidR="00C92D48">
        <w:t>Methodologies for estimating scope 1 emissions</w:t>
      </w:r>
      <w:bookmarkEnd w:id="264"/>
      <w:bookmarkEnd w:id="265"/>
      <w:bookmarkEnd w:id="266"/>
      <w:bookmarkEnd w:id="267"/>
      <w:bookmarkEnd w:id="268"/>
      <w:bookmarkEnd w:id="269"/>
      <w:bookmarkEnd w:id="270"/>
      <w:bookmarkEnd w:id="271"/>
      <w:bookmarkEnd w:id="272"/>
      <w:bookmarkEnd w:id="273"/>
      <w:r w:rsidR="00DB49E1">
        <w:t xml:space="preserve"> </w:t>
      </w:r>
      <w:r w:rsidR="00BF179E">
        <w:t xml:space="preserve"> </w:t>
      </w:r>
    </w:p>
    <w:p w14:paraId="688F3E78" w14:textId="13FAAE00" w:rsidR="00A45462" w:rsidRDefault="00A45462" w:rsidP="00604F6F">
      <w:r>
        <w:t>The emissions inventory includes all scope 1 and scope 2 emissions arising in the well-to-gate system boundary.</w:t>
      </w:r>
    </w:p>
    <w:p w14:paraId="739215F8" w14:textId="7509E5BA" w:rsidR="00DB49E1" w:rsidRDefault="00DB49E1" w:rsidP="00604F6F">
      <w:r>
        <w:t xml:space="preserve">Scope 1 emissions are emissions released as a direct result of the hydrogen production. </w:t>
      </w:r>
      <w:r w:rsidR="00065805">
        <w:t>These</w:t>
      </w:r>
      <w:r w:rsidR="00217C09">
        <w:t xml:space="preserve"> emissions can include:</w:t>
      </w:r>
    </w:p>
    <w:p w14:paraId="212D3349" w14:textId="55174948" w:rsidR="00217C09" w:rsidRDefault="00217C09" w:rsidP="00F048C7">
      <w:pPr>
        <w:pStyle w:val="ListParagraph"/>
        <w:numPr>
          <w:ilvl w:val="0"/>
          <w:numId w:val="14"/>
        </w:numPr>
      </w:pPr>
      <w:r>
        <w:t xml:space="preserve">Combustion emissions – arise from the combustion of relevant solid, liquid and/or gaseous fuels including (but not limited to) coal, diesel and natural gas. </w:t>
      </w:r>
    </w:p>
    <w:p w14:paraId="5E154093" w14:textId="41950D82" w:rsidR="00217C09" w:rsidRDefault="00217C09" w:rsidP="00F048C7">
      <w:pPr>
        <w:pStyle w:val="ListParagraph"/>
        <w:numPr>
          <w:ilvl w:val="0"/>
          <w:numId w:val="14"/>
        </w:numPr>
      </w:pPr>
      <w:r>
        <w:t xml:space="preserve">Fugitive emissions – </w:t>
      </w:r>
      <w:r w:rsidR="00652967">
        <w:t>refers to the leakage or unintend</w:t>
      </w:r>
      <w:r w:rsidR="00322F91">
        <w:t>ed release of greenhouse gasses. O</w:t>
      </w:r>
      <w:r w:rsidR="00652967">
        <w:t xml:space="preserve">ften this </w:t>
      </w:r>
      <w:r>
        <w:t>occur</w:t>
      </w:r>
      <w:r w:rsidR="00652967">
        <w:t>s</w:t>
      </w:r>
      <w:r w:rsidR="00A45462">
        <w:t xml:space="preserve"> during the extraction</w:t>
      </w:r>
      <w:r>
        <w:t xml:space="preserve"> of fossil fuels</w:t>
      </w:r>
      <w:r w:rsidR="00652967">
        <w:t xml:space="preserve"> (for example methane gas is released during coal mining)</w:t>
      </w:r>
      <w:r>
        <w:t xml:space="preserve">. </w:t>
      </w:r>
    </w:p>
    <w:p w14:paraId="705B250F" w14:textId="081C79EE" w:rsidR="00217C09" w:rsidRDefault="00217C09" w:rsidP="00F048C7">
      <w:pPr>
        <w:pStyle w:val="ListParagraph"/>
        <w:numPr>
          <w:ilvl w:val="0"/>
          <w:numId w:val="14"/>
        </w:numPr>
      </w:pPr>
      <w:r>
        <w:t>Industrial process emissions – refer</w:t>
      </w:r>
      <w:r w:rsidR="00345319">
        <w:t>s</w:t>
      </w:r>
      <w:r>
        <w:t xml:space="preserve"> to emissions of specific greenhouse gases used across industrial activities such as </w:t>
      </w:r>
      <w:r w:rsidR="00652967" w:rsidRPr="00AC68E0">
        <w:t xml:space="preserve">hydrofluorocarbons (HFCs) </w:t>
      </w:r>
      <w:r w:rsidR="00652967">
        <w:t>used in industri</w:t>
      </w:r>
      <w:r w:rsidR="00793D10">
        <w:t>al refrigeration and</w:t>
      </w:r>
      <w:r>
        <w:t xml:space="preserve"> cooling systems and </w:t>
      </w:r>
      <w:r w:rsidR="00652967" w:rsidRPr="00AC68E0">
        <w:t>sul</w:t>
      </w:r>
      <w:r w:rsidR="00652967">
        <w:t>ph</w:t>
      </w:r>
      <w:r w:rsidR="00652967" w:rsidRPr="00AC68E0">
        <w:t>ur hexafluoride (SF</w:t>
      </w:r>
      <w:r w:rsidR="00652967" w:rsidRPr="00AC68E0">
        <w:rPr>
          <w:vertAlign w:val="subscript"/>
        </w:rPr>
        <w:t>6</w:t>
      </w:r>
      <w:r w:rsidR="00652967" w:rsidRPr="00AC68E0">
        <w:t xml:space="preserve">) </w:t>
      </w:r>
      <w:r w:rsidR="00652967">
        <w:t xml:space="preserve">used in </w:t>
      </w:r>
      <w:r>
        <w:t xml:space="preserve">electrical switchgear. </w:t>
      </w:r>
    </w:p>
    <w:p w14:paraId="64E8D07F" w14:textId="2809B20D" w:rsidR="00604F6F" w:rsidRDefault="00345319" w:rsidP="00B76057">
      <w:pPr>
        <w:rPr>
          <w:rFonts w:eastAsiaTheme="minorEastAsia"/>
        </w:rPr>
      </w:pPr>
      <w:r>
        <w:t xml:space="preserve">As noted earlier, it is proposed that an initial Australian scheme will use IPCC and NGERS guidelines to support specific emissions calculations and to provide emissions factors. </w:t>
      </w:r>
      <w:r w:rsidR="00DB49E1">
        <w:t>The IPCC sets out a framework of the requirements to measure scope 1 emissions.</w:t>
      </w:r>
      <w:r>
        <w:t xml:space="preserve"> </w:t>
      </w:r>
      <w:r w:rsidR="00B76057">
        <w:t xml:space="preserve">Australia’s </w:t>
      </w:r>
      <w:r w:rsidR="00B76057" w:rsidRPr="00297D6D">
        <w:t>NGER</w:t>
      </w:r>
      <w:r w:rsidR="00297D6D">
        <w:t>S</w:t>
      </w:r>
      <w:r w:rsidR="00B76057">
        <w:t xml:space="preserve"> determination aligns with IPCC requirements</w:t>
      </w:r>
      <w:r>
        <w:t xml:space="preserve"> such </w:t>
      </w:r>
      <w:r w:rsidR="00E31326">
        <w:t>that in most</w:t>
      </w:r>
      <w:r w:rsidR="00604F6F">
        <w:t xml:space="preserve"> cases </w:t>
      </w:r>
      <w:r w:rsidR="00652967">
        <w:t xml:space="preserve">scope 1 </w:t>
      </w:r>
      <w:r w:rsidR="00604F6F">
        <w:t xml:space="preserve">emissions will be calculated in accordance with the guidance </w:t>
      </w:r>
      <w:r w:rsidR="00E31326">
        <w:t>in the NGER determination. The NGER determination</w:t>
      </w:r>
      <w:r w:rsidR="00604F6F">
        <w:t xml:space="preserve"> outlines </w:t>
      </w:r>
      <w:r w:rsidR="00604F6F" w:rsidRPr="004B54C9">
        <w:rPr>
          <w:rFonts w:eastAsiaTheme="minorEastAsia"/>
        </w:rPr>
        <w:t>four different categories of methods summarised</w:t>
      </w:r>
      <w:r w:rsidR="00604F6F">
        <w:rPr>
          <w:rFonts w:eastAsiaTheme="minorEastAsia"/>
        </w:rPr>
        <w:t xml:space="preserve"> as follows: </w:t>
      </w:r>
    </w:p>
    <w:p w14:paraId="529383F5" w14:textId="77777777" w:rsidR="00604F6F" w:rsidRPr="00604F6F" w:rsidRDefault="00604F6F" w:rsidP="0079029D">
      <w:pPr>
        <w:pStyle w:val="ListBullet"/>
        <w:numPr>
          <w:ilvl w:val="0"/>
          <w:numId w:val="6"/>
        </w:numPr>
        <w:rPr>
          <w:rFonts w:asciiTheme="minorHAnsi" w:eastAsiaTheme="minorEastAsia" w:hAnsiTheme="minorHAnsi"/>
          <w:color w:val="auto"/>
          <w:sz w:val="22"/>
        </w:rPr>
      </w:pPr>
      <w:r w:rsidRPr="00604F6F">
        <w:rPr>
          <w:rFonts w:asciiTheme="minorHAnsi" w:eastAsiaTheme="minorEastAsia" w:hAnsiTheme="minorHAnsi"/>
          <w:color w:val="auto"/>
          <w:sz w:val="22"/>
        </w:rPr>
        <w:t>Method 1 – use of default emission factors</w:t>
      </w:r>
    </w:p>
    <w:p w14:paraId="003A3675" w14:textId="615A87AC" w:rsidR="00604F6F" w:rsidRPr="00604F6F" w:rsidRDefault="00604F6F" w:rsidP="0079029D">
      <w:pPr>
        <w:pStyle w:val="ListBullet"/>
        <w:numPr>
          <w:ilvl w:val="0"/>
          <w:numId w:val="6"/>
        </w:numPr>
        <w:rPr>
          <w:rFonts w:asciiTheme="minorHAnsi" w:eastAsiaTheme="minorEastAsia" w:hAnsiTheme="minorHAnsi"/>
          <w:color w:val="auto"/>
          <w:sz w:val="22"/>
        </w:rPr>
      </w:pPr>
      <w:r w:rsidRPr="00604F6F">
        <w:rPr>
          <w:rFonts w:asciiTheme="minorHAnsi" w:eastAsiaTheme="minorEastAsia" w:hAnsiTheme="minorHAnsi"/>
          <w:color w:val="auto"/>
          <w:sz w:val="22"/>
        </w:rPr>
        <w:t>Method 2 – site-</w:t>
      </w:r>
      <w:r w:rsidR="00EC6A89">
        <w:rPr>
          <w:rFonts w:asciiTheme="minorHAnsi" w:eastAsiaTheme="minorEastAsia" w:hAnsiTheme="minorHAnsi"/>
          <w:color w:val="auto"/>
          <w:sz w:val="22"/>
        </w:rPr>
        <w:t>specific sampling and use of Australian or international standards or their equivalent for analysis of fuels and raw materials</w:t>
      </w:r>
    </w:p>
    <w:p w14:paraId="5447E1EC" w14:textId="3D67A980" w:rsidR="00604F6F" w:rsidRPr="00604F6F" w:rsidRDefault="00604F6F" w:rsidP="0079029D">
      <w:pPr>
        <w:pStyle w:val="ListBullet"/>
        <w:numPr>
          <w:ilvl w:val="0"/>
          <w:numId w:val="6"/>
        </w:numPr>
        <w:rPr>
          <w:rFonts w:asciiTheme="minorHAnsi" w:eastAsiaTheme="minorEastAsia" w:hAnsiTheme="minorHAnsi"/>
          <w:color w:val="auto"/>
          <w:sz w:val="22"/>
        </w:rPr>
      </w:pPr>
      <w:r w:rsidRPr="00604F6F">
        <w:rPr>
          <w:rFonts w:asciiTheme="minorHAnsi" w:eastAsiaTheme="minorEastAsia" w:hAnsiTheme="minorHAnsi"/>
          <w:color w:val="auto"/>
          <w:sz w:val="22"/>
        </w:rPr>
        <w:t>Method 3</w:t>
      </w:r>
      <w:r w:rsidR="00EC6A89">
        <w:rPr>
          <w:rFonts w:asciiTheme="minorHAnsi" w:eastAsiaTheme="minorEastAsia" w:hAnsiTheme="minorHAnsi"/>
          <w:color w:val="auto"/>
          <w:sz w:val="22"/>
        </w:rPr>
        <w:t xml:space="preserve"> – similar to Method 2 </w:t>
      </w:r>
      <w:r w:rsidR="007642D4">
        <w:rPr>
          <w:rFonts w:asciiTheme="minorHAnsi" w:eastAsiaTheme="minorEastAsia" w:hAnsiTheme="minorHAnsi"/>
          <w:color w:val="auto"/>
          <w:sz w:val="22"/>
        </w:rPr>
        <w:t>but Australian or equivalent documentary standards must be used for sampling and analysis of fuels and raw materials</w:t>
      </w:r>
    </w:p>
    <w:p w14:paraId="64B2F625" w14:textId="7B1464FB" w:rsidR="00604F6F" w:rsidRPr="00604F6F" w:rsidRDefault="00793D10" w:rsidP="0079029D">
      <w:pPr>
        <w:pStyle w:val="ListBullet"/>
        <w:numPr>
          <w:ilvl w:val="0"/>
          <w:numId w:val="6"/>
        </w:numPr>
        <w:rPr>
          <w:rFonts w:asciiTheme="minorHAnsi" w:eastAsiaTheme="minorEastAsia" w:hAnsiTheme="minorHAnsi"/>
          <w:color w:val="auto"/>
          <w:sz w:val="22"/>
        </w:rPr>
      </w:pPr>
      <w:r>
        <w:rPr>
          <w:rFonts w:asciiTheme="minorHAnsi" w:eastAsiaTheme="minorEastAsia" w:hAnsiTheme="minorHAnsi"/>
          <w:color w:val="auto"/>
          <w:sz w:val="22"/>
        </w:rPr>
        <w:t xml:space="preserve">Method 4 – direct or </w:t>
      </w:r>
      <w:r w:rsidR="00604F6F" w:rsidRPr="00604F6F">
        <w:rPr>
          <w:rFonts w:asciiTheme="minorHAnsi" w:eastAsiaTheme="minorEastAsia" w:hAnsiTheme="minorHAnsi"/>
          <w:color w:val="auto"/>
          <w:sz w:val="22"/>
        </w:rPr>
        <w:t xml:space="preserve">continuous emissions measurement. </w:t>
      </w:r>
    </w:p>
    <w:p w14:paraId="27E7F4D4" w14:textId="11810642" w:rsidR="00B76057" w:rsidRDefault="00FC6E0A" w:rsidP="00B76057">
      <w:r>
        <w:t xml:space="preserve">Typically default emissions factors will be fairly conservative in emissions estimation, to account for varying emissions performance across industry. </w:t>
      </w:r>
      <w:r w:rsidR="00B76057">
        <w:t>Hydr</w:t>
      </w:r>
      <w:r w:rsidR="00A45462">
        <w:t>ogen producers generating</w:t>
      </w:r>
      <w:r w:rsidR="00B76057">
        <w:t xml:space="preserve"> electricity </w:t>
      </w:r>
      <w:r>
        <w:t xml:space="preserve">onsite to support </w:t>
      </w:r>
      <w:r w:rsidR="00B76057">
        <w:t xml:space="preserve">hydrogen production may use either combustion emissions determination guidance (for fossil fuel based generation) or may claim </w:t>
      </w:r>
      <w:r>
        <w:t xml:space="preserve">their </w:t>
      </w:r>
      <w:r w:rsidR="00B76057">
        <w:t xml:space="preserve">scope 1 electricity emissions </w:t>
      </w:r>
      <w:r>
        <w:t xml:space="preserve">to be </w:t>
      </w:r>
      <w:r w:rsidR="00B76057">
        <w:t xml:space="preserve">zero if </w:t>
      </w:r>
      <w:r>
        <w:t xml:space="preserve">the electricity is generated from </w:t>
      </w:r>
      <w:r w:rsidR="00B76057">
        <w:t xml:space="preserve">renewable </w:t>
      </w:r>
      <w:r>
        <w:t>energy</w:t>
      </w:r>
      <w:r w:rsidR="0014720F">
        <w:t xml:space="preserve"> (see section</w:t>
      </w:r>
      <w:r w:rsidR="007F5B11">
        <w:t xml:space="preserve"> 3.4</w:t>
      </w:r>
      <w:r w:rsidR="00065805">
        <w:t>)</w:t>
      </w:r>
      <w:r w:rsidR="00B76057">
        <w:t xml:space="preserve">. </w:t>
      </w:r>
    </w:p>
    <w:p w14:paraId="2B114E5A" w14:textId="77777777" w:rsidR="00954180" w:rsidRPr="00954180" w:rsidRDefault="00954180" w:rsidP="00954180">
      <w:pPr>
        <w:pStyle w:val="Calloutbox"/>
        <w:rPr>
          <w:b/>
        </w:rPr>
      </w:pPr>
      <w:r w:rsidRPr="00954180">
        <w:rPr>
          <w:b/>
        </w:rPr>
        <w:t>Question:</w:t>
      </w:r>
    </w:p>
    <w:p w14:paraId="1CAEF96E" w14:textId="3A1D1992" w:rsidR="00954180" w:rsidRPr="00604F6F" w:rsidRDefault="00954180" w:rsidP="004C1A48">
      <w:pPr>
        <w:pStyle w:val="Calloutbox"/>
        <w:numPr>
          <w:ilvl w:val="0"/>
          <w:numId w:val="33"/>
        </w:numPr>
      </w:pPr>
      <w:r>
        <w:t>Do you agree with the approach set out for scope 1 emissions?</w:t>
      </w:r>
    </w:p>
    <w:p w14:paraId="575DA48E" w14:textId="45C7CC41" w:rsidR="00CB0062" w:rsidRDefault="00277D18" w:rsidP="003B47A9">
      <w:pPr>
        <w:pStyle w:val="Heading2"/>
      </w:pPr>
      <w:bookmarkStart w:id="274" w:name="_Toc67329119"/>
      <w:bookmarkStart w:id="275" w:name="_Toc67329367"/>
      <w:bookmarkStart w:id="276" w:name="_Toc67562623"/>
      <w:bookmarkStart w:id="277" w:name="_Toc68000205"/>
      <w:bookmarkStart w:id="278" w:name="_Toc68083136"/>
      <w:bookmarkStart w:id="279" w:name="_Toc68083531"/>
      <w:bookmarkStart w:id="280" w:name="_Toc68105070"/>
      <w:bookmarkStart w:id="281" w:name="_Toc74839349"/>
      <w:r>
        <w:lastRenderedPageBreak/>
        <w:t>3.</w:t>
      </w:r>
      <w:r w:rsidR="008112E8">
        <w:t>3</w:t>
      </w:r>
      <w:r w:rsidR="00BA481B">
        <w:t xml:space="preserve"> </w:t>
      </w:r>
      <w:r w:rsidR="00CB0062">
        <w:t>Measuring upstream emissions</w:t>
      </w:r>
      <w:bookmarkEnd w:id="274"/>
      <w:bookmarkEnd w:id="275"/>
      <w:bookmarkEnd w:id="276"/>
      <w:bookmarkEnd w:id="277"/>
      <w:bookmarkEnd w:id="278"/>
      <w:bookmarkEnd w:id="279"/>
      <w:bookmarkEnd w:id="280"/>
      <w:bookmarkEnd w:id="281"/>
    </w:p>
    <w:p w14:paraId="35F531D8" w14:textId="378FECAB" w:rsidR="00CB0062" w:rsidRDefault="00154236" w:rsidP="00CB0062">
      <w:r>
        <w:t>Activities associated with the extraction, processing and delivery of the coal or natural gas feedstock in the coal gasification or SMR pathways</w:t>
      </w:r>
      <w:r w:rsidR="00DA3C76">
        <w:t xml:space="preserve"> are included in the system boundary. </w:t>
      </w:r>
      <w:r>
        <w:t xml:space="preserve"> </w:t>
      </w:r>
      <w:r w:rsidR="007C53DD">
        <w:t xml:space="preserve">Where </w:t>
      </w:r>
      <w:r w:rsidR="00CB0062">
        <w:t>the</w:t>
      </w:r>
      <w:r w:rsidR="007C53DD">
        <w:t>se activities</w:t>
      </w:r>
      <w:r w:rsidR="00CB0062">
        <w:t xml:space="preserve"> are integrated with hydrogen production, the emissions can be estimated in line with the relevant NGERS method</w:t>
      </w:r>
      <w:r w:rsidR="007C53DD">
        <w:t xml:space="preserve"> as described in the section above</w:t>
      </w:r>
      <w:r w:rsidR="00CB0062">
        <w:t>. If these processes are undertaken by an external party</w:t>
      </w:r>
      <w:r w:rsidR="00DA3C76">
        <w:t xml:space="preserve"> they can be considered upstream activities. In this case</w:t>
      </w:r>
      <w:r w:rsidR="00FF3F1E">
        <w:t>, ideally</w:t>
      </w:r>
      <w:r w:rsidR="00CB0062">
        <w:t xml:space="preserve"> suppli</w:t>
      </w:r>
      <w:r w:rsidR="00FF3F1E">
        <w:t>er specific emissions data would</w:t>
      </w:r>
      <w:r w:rsidR="00CB0062">
        <w:t xml:space="preserve"> be used, </w:t>
      </w:r>
      <w:r w:rsidR="00760384">
        <w:t xml:space="preserve">or, participants may </w:t>
      </w:r>
      <w:r w:rsidR="00BA481B">
        <w:t xml:space="preserve">refer to </w:t>
      </w:r>
      <w:r w:rsidR="00F72DED">
        <w:t xml:space="preserve">default </w:t>
      </w:r>
      <w:r w:rsidR="00BA481B">
        <w:t xml:space="preserve">emission factors such as the scope 3 emission factors provided in Appendix 4 of the National Greenhouse Accounts. Decisions made here should be reflective of the materiality of the relevant feedstock and the availability of data. </w:t>
      </w:r>
    </w:p>
    <w:p w14:paraId="12549A84" w14:textId="496EC6FB" w:rsidR="00BA481B" w:rsidRDefault="00BA481B" w:rsidP="00CB0062">
      <w:r>
        <w:t>Other sma</w:t>
      </w:r>
      <w:r w:rsidR="00BF6665">
        <w:t>ller input streams could generate</w:t>
      </w:r>
      <w:r w:rsidR="007C53DD">
        <w:t xml:space="preserve"> upstream emissions. These include</w:t>
      </w:r>
      <w:r>
        <w:t xml:space="preserve"> </w:t>
      </w:r>
      <w:r w:rsidRPr="00B73741">
        <w:t>items such as salts used for electrolysis and chemicals used for water treatment.</w:t>
      </w:r>
      <w:r>
        <w:t xml:space="preserve"> For these</w:t>
      </w:r>
      <w:r w:rsidR="00F72DED">
        <w:t>,</w:t>
      </w:r>
      <w:r>
        <w:t xml:space="preserve"> </w:t>
      </w:r>
      <w:r w:rsidRPr="00B73741">
        <w:t xml:space="preserve">it </w:t>
      </w:r>
      <w:r>
        <w:t xml:space="preserve">may also be </w:t>
      </w:r>
      <w:r w:rsidRPr="00B73741">
        <w:t xml:space="preserve">appropriate to use default upstream </w:t>
      </w:r>
      <w:r>
        <w:t>emission factor</w:t>
      </w:r>
      <w:r w:rsidRPr="00B73741">
        <w:t>s</w:t>
      </w:r>
      <w:r>
        <w:t xml:space="preserve"> (where avai</w:t>
      </w:r>
      <w:r w:rsidR="007F5B11">
        <w:t>lable), as provided in Appendix </w:t>
      </w:r>
      <w:r>
        <w:t>4 of the National Greenhouse Accounts.</w:t>
      </w:r>
    </w:p>
    <w:p w14:paraId="4262E31B" w14:textId="77777777" w:rsidR="00760384" w:rsidRDefault="00760384" w:rsidP="00760384">
      <w:pPr>
        <w:pStyle w:val="Calloutbox"/>
        <w:rPr>
          <w:b/>
        </w:rPr>
      </w:pPr>
      <w:r>
        <w:rPr>
          <w:b/>
        </w:rPr>
        <w:t>Question:</w:t>
      </w:r>
    </w:p>
    <w:p w14:paraId="553D2B4B" w14:textId="29A85D83" w:rsidR="00954180" w:rsidRPr="00760384" w:rsidRDefault="00760384" w:rsidP="00760384">
      <w:pPr>
        <w:pStyle w:val="Calloutbox"/>
        <w:rPr>
          <w:b/>
        </w:rPr>
      </w:pPr>
      <w:r>
        <w:t>1</w:t>
      </w:r>
      <w:r w:rsidR="006810F5">
        <w:t>6</w:t>
      </w:r>
      <w:r>
        <w:t xml:space="preserve">. </w:t>
      </w:r>
      <w:r w:rsidR="00954180">
        <w:t>Do you agree with the approach set out for upstream emissions?</w:t>
      </w:r>
    </w:p>
    <w:p w14:paraId="5122F73F" w14:textId="4EF3DBE1" w:rsidR="00233C76" w:rsidRDefault="00277D18" w:rsidP="003B47A9">
      <w:pPr>
        <w:pStyle w:val="Heading2"/>
      </w:pPr>
      <w:bookmarkStart w:id="282" w:name="_Toc67329120"/>
      <w:bookmarkStart w:id="283" w:name="_Toc67329368"/>
      <w:bookmarkStart w:id="284" w:name="_Ref67505062"/>
      <w:bookmarkStart w:id="285" w:name="_Toc67562624"/>
      <w:bookmarkStart w:id="286" w:name="_Toc68000206"/>
      <w:bookmarkStart w:id="287" w:name="_Toc68083137"/>
      <w:bookmarkStart w:id="288" w:name="_Toc68083532"/>
      <w:bookmarkStart w:id="289" w:name="_Toc68105071"/>
      <w:bookmarkStart w:id="290" w:name="_Toc74839350"/>
      <w:r>
        <w:t>3.</w:t>
      </w:r>
      <w:r w:rsidR="008112E8">
        <w:t>4</w:t>
      </w:r>
      <w:r w:rsidR="00B76057">
        <w:t xml:space="preserve"> Scope 2 emissions</w:t>
      </w:r>
      <w:bookmarkEnd w:id="282"/>
      <w:bookmarkEnd w:id="283"/>
      <w:bookmarkEnd w:id="284"/>
      <w:bookmarkEnd w:id="285"/>
      <w:bookmarkEnd w:id="286"/>
      <w:bookmarkEnd w:id="287"/>
      <w:bookmarkEnd w:id="288"/>
      <w:bookmarkEnd w:id="289"/>
      <w:bookmarkEnd w:id="290"/>
      <w:r w:rsidR="00B76057">
        <w:t xml:space="preserve"> </w:t>
      </w:r>
    </w:p>
    <w:p w14:paraId="71D2E9EA" w14:textId="5F106B4D" w:rsidR="005A1E2B" w:rsidRDefault="008510C7" w:rsidP="005A1E2B">
      <w:r>
        <w:t>The Greenhouse Gas Protocol (GHG Protocol) identifies a best-practice dual-reporting framework for scope 2 emissions comprising both location-based and market-based reporting. Australia’s Climate Active program has aligned with this reporting practice for participants seeking carbon n</w:t>
      </w:r>
      <w:r w:rsidR="00845ADE">
        <w:t>eutral certification under this</w:t>
      </w:r>
      <w:r>
        <w:t xml:space="preserve"> program. </w:t>
      </w:r>
      <w:r w:rsidR="00F40EA9">
        <w:t xml:space="preserve">For the location-based method, </w:t>
      </w:r>
      <w:r w:rsidR="00F72DED">
        <w:t xml:space="preserve">emissions from </w:t>
      </w:r>
      <w:r w:rsidR="00F40EA9">
        <w:t>e</w:t>
      </w:r>
      <w:r w:rsidR="003B6E23">
        <w:t xml:space="preserve">lectricity purchased from the main electricity grid in a state or territory are calculated by multiplying the quantity of electricity consumed by the </w:t>
      </w:r>
      <w:r w:rsidR="004A3EEF">
        <w:t>average grid</w:t>
      </w:r>
      <w:r w:rsidR="003B6E23" w:rsidRPr="003B6E23">
        <w:t xml:space="preserve"> emission factor, in kilograms of CO</w:t>
      </w:r>
      <w:r w:rsidR="003B6E23" w:rsidRPr="00232D9F">
        <w:rPr>
          <w:vertAlign w:val="subscript"/>
        </w:rPr>
        <w:t>2</w:t>
      </w:r>
      <w:r w:rsidR="003B6E23" w:rsidRPr="003B6E23">
        <w:noBreakHyphen/>
        <w:t>e emissions per kilowatt hour, for the State or Territory in which the consumption occurs</w:t>
      </w:r>
      <w:r w:rsidR="003B6E23">
        <w:t xml:space="preserve">. </w:t>
      </w:r>
      <w:r w:rsidR="00086041">
        <w:t>This is the methodology applied in NGER</w:t>
      </w:r>
      <w:r w:rsidR="00325DF0">
        <w:t>S</w:t>
      </w:r>
      <w:r w:rsidR="00086041">
        <w:t xml:space="preserve"> for electricity consumption, where facilities use the National Greenhouse Account factor. </w:t>
      </w:r>
    </w:p>
    <w:p w14:paraId="5F899992" w14:textId="65FA5E6D" w:rsidR="0015400F" w:rsidRDefault="0015400F" w:rsidP="0015400F">
      <w:r>
        <w:t xml:space="preserve">For the market-based method, companies who purchase renewable electricity through contractual arrangements (such as </w:t>
      </w:r>
      <w:r w:rsidR="00FC33CD">
        <w:t>through</w:t>
      </w:r>
      <w:r w:rsidR="00FC33CD" w:rsidRPr="00FC33CD">
        <w:t xml:space="preserve"> </w:t>
      </w:r>
      <w:r w:rsidR="00FC33CD">
        <w:t xml:space="preserve">the </w:t>
      </w:r>
      <w:r w:rsidR="00FC33CD" w:rsidRPr="00B461E8">
        <w:t xml:space="preserve">purchase </w:t>
      </w:r>
      <w:r w:rsidR="00FC33CD">
        <w:t>of renewable energy certificates</w:t>
      </w:r>
      <w:r>
        <w:t xml:space="preserve">) are allowed to apply this renewable energy to reduce the emissions of the electricity used in production calculations. This approach </w:t>
      </w:r>
      <w:r w:rsidR="00BF6665">
        <w:t>means</w:t>
      </w:r>
      <w:r>
        <w:t xml:space="preserve"> </w:t>
      </w:r>
      <w:r w:rsidR="009D5222">
        <w:t xml:space="preserve">hydrogen </w:t>
      </w:r>
      <w:r w:rsidR="00745318">
        <w:t>production</w:t>
      </w:r>
      <w:r w:rsidR="00BF6665">
        <w:t xml:space="preserve"> does</w:t>
      </w:r>
      <w:r>
        <w:t xml:space="preserve"> not have to be </w:t>
      </w:r>
      <w:r w:rsidR="00745318">
        <w:t xml:space="preserve">physically </w:t>
      </w:r>
      <w:r>
        <w:t xml:space="preserve">co-located with </w:t>
      </w:r>
      <w:r w:rsidR="00745318">
        <w:t xml:space="preserve">or </w:t>
      </w:r>
      <w:r w:rsidR="009D5222">
        <w:t xml:space="preserve">directly </w:t>
      </w:r>
      <w:r w:rsidR="00745318">
        <w:t xml:space="preserve">connected to </w:t>
      </w:r>
      <w:r w:rsidR="00B222E2">
        <w:t xml:space="preserve">the </w:t>
      </w:r>
      <w:r>
        <w:t>renewable energy generat</w:t>
      </w:r>
      <w:r w:rsidR="00745318">
        <w:t>ion</w:t>
      </w:r>
      <w:r w:rsidRPr="00B461E8">
        <w:t>.</w:t>
      </w:r>
    </w:p>
    <w:p w14:paraId="0FA3C1DC" w14:textId="14FB0D3B" w:rsidR="004D70F9" w:rsidRPr="00845ADE" w:rsidRDefault="008510C7" w:rsidP="006F6E6D">
      <w:pPr>
        <w:rPr>
          <w:rStyle w:val="Strong"/>
          <w:b w:val="0"/>
          <w:bCs w:val="0"/>
        </w:rPr>
      </w:pPr>
      <w:r>
        <w:t>Implementation of the</w:t>
      </w:r>
      <w:r w:rsidR="00B461E8">
        <w:t xml:space="preserve"> market-based </w:t>
      </w:r>
      <w:r w:rsidR="00B63257">
        <w:t>method</w:t>
      </w:r>
      <w:r w:rsidR="00B461E8">
        <w:t xml:space="preserve"> may differ between countries as each country has their own mechanisms to account for renewable electricity claims</w:t>
      </w:r>
      <w:r>
        <w:t xml:space="preserve">, however a key principle </w:t>
      </w:r>
      <w:r w:rsidR="00B63257">
        <w:t>is a requirement that renewable energy claims cannot be double counted.</w:t>
      </w:r>
      <w:r w:rsidR="00C53E7D">
        <w:t xml:space="preserve"> In Australia,</w:t>
      </w:r>
      <w:r w:rsidR="00495902">
        <w:t xml:space="preserve"> the risk of </w:t>
      </w:r>
      <w:r w:rsidR="00C53E7D">
        <w:t>double counti</w:t>
      </w:r>
      <w:r w:rsidR="00845ADE">
        <w:t>ng can be</w:t>
      </w:r>
      <w:r w:rsidR="00C53E7D">
        <w:t xml:space="preserve"> </w:t>
      </w:r>
      <w:r w:rsidR="00495902">
        <w:t xml:space="preserve">mitigated </w:t>
      </w:r>
      <w:r w:rsidR="00C53E7D">
        <w:t>through renewable electricity certificates (e.g. LGCs)</w:t>
      </w:r>
      <w:r w:rsidR="00845ADE">
        <w:t xml:space="preserve"> and a residual mix factor. One certificate</w:t>
      </w:r>
      <w:r w:rsidR="00C53E7D">
        <w:t xml:space="preserve"> represents a unique claim on the zero emissions attribute of renewable electricity generation (note this is not legislated but how the market has interpreted the use o</w:t>
      </w:r>
      <w:r w:rsidR="00495902">
        <w:t>f LGCs in the voluntary market)</w:t>
      </w:r>
      <w:r w:rsidR="00C53E7D">
        <w:t xml:space="preserve">. </w:t>
      </w:r>
      <w:r w:rsidR="00495902">
        <w:t>A</w:t>
      </w:r>
      <w:r w:rsidR="00BB545E">
        <w:t xml:space="preserve"> ‘residual mix’ factor can </w:t>
      </w:r>
      <w:r w:rsidR="00495902">
        <w:t>be</w:t>
      </w:r>
      <w:r w:rsidR="006F6E6D">
        <w:t xml:space="preserve"> applied to </w:t>
      </w:r>
      <w:r w:rsidR="006F6E6D" w:rsidRPr="006F6E6D">
        <w:rPr>
          <w:rStyle w:val="Strong"/>
          <w:b w:val="0"/>
        </w:rPr>
        <w:t>electricity consumed that</w:t>
      </w:r>
      <w:r w:rsidR="00BB545E">
        <w:rPr>
          <w:rStyle w:val="Strong"/>
          <w:b w:val="0"/>
        </w:rPr>
        <w:t xml:space="preserve"> does not have a</w:t>
      </w:r>
      <w:r w:rsidR="00495902">
        <w:rPr>
          <w:rStyle w:val="Strong"/>
          <w:b w:val="0"/>
        </w:rPr>
        <w:t xml:space="preserve"> renewable energy certificate</w:t>
      </w:r>
      <w:r w:rsidR="003E2DC4">
        <w:rPr>
          <w:rStyle w:val="Strong"/>
          <w:b w:val="0"/>
        </w:rPr>
        <w:t xml:space="preserve">. </w:t>
      </w:r>
      <w:r w:rsidR="006F6E6D" w:rsidRPr="006F6E6D">
        <w:rPr>
          <w:rStyle w:val="Strong"/>
          <w:b w:val="0"/>
        </w:rPr>
        <w:t xml:space="preserve">The residual mix factor </w:t>
      </w:r>
      <w:r w:rsidR="003E2DC4">
        <w:rPr>
          <w:rStyle w:val="Strong"/>
          <w:b w:val="0"/>
        </w:rPr>
        <w:t xml:space="preserve">would </w:t>
      </w:r>
      <w:r w:rsidR="006F6E6D" w:rsidRPr="006F6E6D">
        <w:rPr>
          <w:rStyle w:val="Strong"/>
          <w:b w:val="0"/>
        </w:rPr>
        <w:t>represent all unclaimed energy emissions</w:t>
      </w:r>
      <w:r w:rsidR="008954A8">
        <w:rPr>
          <w:rStyle w:val="Strong"/>
          <w:b w:val="0"/>
        </w:rPr>
        <w:t xml:space="preserve">. It </w:t>
      </w:r>
      <w:r w:rsidR="00BB545E">
        <w:rPr>
          <w:rStyle w:val="Strong"/>
          <w:b w:val="0"/>
        </w:rPr>
        <w:t>is calculated</w:t>
      </w:r>
      <w:r w:rsidR="006F6E6D" w:rsidRPr="006F6E6D">
        <w:rPr>
          <w:rStyle w:val="Strong"/>
          <w:b w:val="0"/>
        </w:rPr>
        <w:t xml:space="preserve"> by removing contractual claims data from </w:t>
      </w:r>
      <w:r w:rsidR="00100284">
        <w:rPr>
          <w:rStyle w:val="Strong"/>
          <w:b w:val="0"/>
        </w:rPr>
        <w:t>electricity</w:t>
      </w:r>
      <w:r w:rsidR="006F6E6D" w:rsidRPr="006F6E6D">
        <w:rPr>
          <w:rStyle w:val="Strong"/>
          <w:b w:val="0"/>
        </w:rPr>
        <w:t xml:space="preserve"> production data. </w:t>
      </w:r>
      <w:r w:rsidR="00100284">
        <w:rPr>
          <w:rStyle w:val="Strong"/>
          <w:b w:val="0"/>
        </w:rPr>
        <w:t xml:space="preserve">This ensures the zero emissions attributes of </w:t>
      </w:r>
      <w:r w:rsidR="00C30E0B">
        <w:rPr>
          <w:rStyle w:val="Strong"/>
          <w:b w:val="0"/>
        </w:rPr>
        <w:t>renewable generation</w:t>
      </w:r>
      <w:r w:rsidR="00100284">
        <w:rPr>
          <w:rStyle w:val="Strong"/>
          <w:b w:val="0"/>
        </w:rPr>
        <w:t xml:space="preserve"> can be claimed without being double counted.</w:t>
      </w:r>
      <w:r w:rsidR="007414EB">
        <w:rPr>
          <w:rStyle w:val="Strong"/>
          <w:b w:val="0"/>
        </w:rPr>
        <w:t xml:space="preserve"> </w:t>
      </w:r>
    </w:p>
    <w:p w14:paraId="52EE9EAE" w14:textId="2D24AAF3" w:rsidR="006F6E6D" w:rsidRDefault="006F6E6D" w:rsidP="006F6E6D">
      <w:r>
        <w:rPr>
          <w:rStyle w:val="Strong"/>
          <w:b w:val="0"/>
        </w:rPr>
        <w:lastRenderedPageBreak/>
        <w:t xml:space="preserve">It is proposed </w:t>
      </w:r>
      <w:r w:rsidR="008954A8">
        <w:rPr>
          <w:rStyle w:val="Strong"/>
          <w:b w:val="0"/>
        </w:rPr>
        <w:t xml:space="preserve">that </w:t>
      </w:r>
      <w:r w:rsidR="00BB545E">
        <w:rPr>
          <w:rStyle w:val="Strong"/>
          <w:b w:val="0"/>
        </w:rPr>
        <w:t xml:space="preserve">in </w:t>
      </w:r>
      <w:r w:rsidR="008954A8">
        <w:rPr>
          <w:rStyle w:val="Strong"/>
          <w:b w:val="0"/>
        </w:rPr>
        <w:t xml:space="preserve">an initial Australian </w:t>
      </w:r>
      <w:r w:rsidR="00B019FE">
        <w:rPr>
          <w:rStyle w:val="Strong"/>
          <w:b w:val="0"/>
        </w:rPr>
        <w:t>hydrogen GO</w:t>
      </w:r>
      <w:r w:rsidR="008954A8">
        <w:rPr>
          <w:rStyle w:val="Strong"/>
          <w:b w:val="0"/>
        </w:rPr>
        <w:t xml:space="preserve"> scheme</w:t>
      </w:r>
      <w:r w:rsidR="00D9382C">
        <w:rPr>
          <w:rStyle w:val="Strong"/>
          <w:b w:val="0"/>
        </w:rPr>
        <w:t xml:space="preserve">, the market-based method will be used to calculate the emissions from hydrogen production. </w:t>
      </w:r>
      <w:r w:rsidR="008954A8">
        <w:rPr>
          <w:rStyle w:val="Strong"/>
          <w:b w:val="0"/>
        </w:rPr>
        <w:t xml:space="preserve"> </w:t>
      </w:r>
      <w:r w:rsidR="00971B60">
        <w:t xml:space="preserve">If no eligible </w:t>
      </w:r>
      <w:r w:rsidR="004209E4">
        <w:t>“</w:t>
      </w:r>
      <w:r w:rsidR="00971B60">
        <w:t>contractual arrangements</w:t>
      </w:r>
      <w:r w:rsidR="004209E4">
        <w:t>”</w:t>
      </w:r>
      <w:r w:rsidR="00971B60">
        <w:t xml:space="preserve"> are in place, electricity emissions will be calculated using the residual mix factor. </w:t>
      </w:r>
      <w:r w:rsidR="00D9382C">
        <w:t>Entities will be required to provide data for the location based method to support comparisons with NGER</w:t>
      </w:r>
      <w:r w:rsidR="007F5B11">
        <w:t>S</w:t>
      </w:r>
      <w:r w:rsidR="00D9382C">
        <w:t xml:space="preserve"> data. </w:t>
      </w:r>
    </w:p>
    <w:p w14:paraId="21359BC5" w14:textId="78A37AF1" w:rsidR="00474DC3" w:rsidRDefault="00474DC3" w:rsidP="00474DC3">
      <w:pPr>
        <w:spacing w:after="120"/>
      </w:pPr>
      <w:r>
        <w:t>The market-based method</w:t>
      </w:r>
      <w:r w:rsidR="003E2DC4">
        <w:t xml:space="preserve"> has recently been adopted by Australia’s Climate Active Program, and </w:t>
      </w:r>
      <w:r>
        <w:t>the guidance for the Climate Active program</w:t>
      </w:r>
      <w:r w:rsidR="003E2DC4">
        <w:t xml:space="preserve"> has pro</w:t>
      </w:r>
      <w:r>
        <w:t>vided the basis for the proposed approach</w:t>
      </w:r>
      <w:r w:rsidR="003E2DC4">
        <w:t xml:space="preserve"> presented here. </w:t>
      </w:r>
      <w:r>
        <w:t>This is</w:t>
      </w:r>
      <w:r w:rsidR="003E2DC4">
        <w:t xml:space="preserve"> summarised </w:t>
      </w:r>
      <w:r>
        <w:t>in Box 2 below and explained in d</w:t>
      </w:r>
      <w:r w:rsidR="003E2DC4">
        <w:t xml:space="preserve">etail in Attachment D. </w:t>
      </w:r>
      <w:r w:rsidR="00BB545E">
        <w:t xml:space="preserve">The application of these rules to the hydrogen GO scheme </w:t>
      </w:r>
      <w:r w:rsidR="001C410B">
        <w:t xml:space="preserve">may evolve over time as international preferences over the application of the market based approach become </w:t>
      </w:r>
      <w:r w:rsidR="000A2A56">
        <w:t>clearer</w:t>
      </w:r>
      <w:r w:rsidR="001C410B">
        <w:t xml:space="preserve">.  </w:t>
      </w:r>
    </w:p>
    <w:p w14:paraId="620E9E35" w14:textId="51EA3B35" w:rsidR="00204030" w:rsidRDefault="003E2DC4" w:rsidP="00474DC3">
      <w:pPr>
        <w:spacing w:after="120"/>
      </w:pPr>
      <w:r>
        <w:t xml:space="preserve">The approach takes a broad interpretation of “contractual arrangements” to allow for inclusion of mandatory LGC </w:t>
      </w:r>
      <w:r w:rsidR="00F27C24">
        <w:t xml:space="preserve">surrenders </w:t>
      </w:r>
      <w:r>
        <w:t xml:space="preserve">under the LRET. </w:t>
      </w:r>
      <w:r w:rsidR="00474DC3">
        <w:t xml:space="preserve">The LRET requires a proportion of Australia’s electricity mix to be from renewable energy. </w:t>
      </w:r>
      <w:r>
        <w:t xml:space="preserve">A business may not have a ‘contract’ to procure and </w:t>
      </w:r>
      <w:r w:rsidR="00F27C24">
        <w:t xml:space="preserve">surrender </w:t>
      </w:r>
      <w:r>
        <w:t xml:space="preserve">LGCs as this is typically done by the electricity retailer, but each business would be able to claim </w:t>
      </w:r>
      <w:r w:rsidR="00BB3AF2">
        <w:t>its</w:t>
      </w:r>
      <w:r>
        <w:t xml:space="preserve"> share of grid based electricity consumption attributed to the </w:t>
      </w:r>
      <w:r w:rsidR="00BB545E">
        <w:t>LRET</w:t>
      </w:r>
      <w:r>
        <w:t xml:space="preserve"> as being emissions free. </w:t>
      </w:r>
      <w:r w:rsidR="004A676C" w:rsidRPr="00474DC3">
        <w:rPr>
          <w:rFonts w:cstheme="minorHAnsi"/>
        </w:rPr>
        <w:t>This deduction would not be available to businesses, or parts of businesses, that are exempt from the LRET (</w:t>
      </w:r>
      <w:r w:rsidR="004A676C">
        <w:rPr>
          <w:rFonts w:cstheme="minorHAnsi"/>
        </w:rPr>
        <w:t>for example,</w:t>
      </w:r>
      <w:r w:rsidR="004A676C" w:rsidRPr="00474DC3">
        <w:rPr>
          <w:rFonts w:cstheme="minorHAnsi"/>
        </w:rPr>
        <w:t xml:space="preserve"> Emissions Intensive Trade Exposed Industries)</w:t>
      </w:r>
      <w:r w:rsidR="00341A14" w:rsidRPr="00341A14">
        <w:t xml:space="preserve"> </w:t>
      </w:r>
      <w:r w:rsidR="00341A14">
        <w:t xml:space="preserve">because their electricity consumption is excluded from the calculation of the </w:t>
      </w:r>
      <w:r w:rsidR="00BB545E">
        <w:t>Renewable Power Percentage (</w:t>
      </w:r>
      <w:r w:rsidR="00341A14">
        <w:t>RPP</w:t>
      </w:r>
      <w:r w:rsidR="00BB545E">
        <w:t>)</w:t>
      </w:r>
      <w:r w:rsidR="00341A14">
        <w:t>.</w:t>
      </w:r>
    </w:p>
    <w:p w14:paraId="76C82A0D" w14:textId="77777777" w:rsidR="00845ADE" w:rsidRDefault="00327D5F" w:rsidP="00845ADE">
      <w:pPr>
        <w:pStyle w:val="Calloutbox"/>
        <w:contextualSpacing w:val="0"/>
        <w:rPr>
          <w:b/>
          <w:sz w:val="28"/>
          <w:szCs w:val="28"/>
        </w:rPr>
      </w:pPr>
      <w:r w:rsidRPr="00327D5F">
        <w:rPr>
          <w:b/>
          <w:sz w:val="28"/>
          <w:szCs w:val="28"/>
        </w:rPr>
        <w:t>Box 2: Summary of the market-based and location-based approaches to accounting for scope 2 emissions.</w:t>
      </w:r>
    </w:p>
    <w:p w14:paraId="1CBB5401" w14:textId="7802251D" w:rsidR="00327D5F" w:rsidRPr="00327D5F" w:rsidRDefault="00327D5F" w:rsidP="00845ADE">
      <w:pPr>
        <w:pStyle w:val="Calloutbox"/>
        <w:keepNext/>
        <w:contextualSpacing w:val="0"/>
        <w:rPr>
          <w:b/>
          <w:sz w:val="28"/>
          <w:szCs w:val="28"/>
        </w:rPr>
      </w:pPr>
      <w:r>
        <w:rPr>
          <w:b/>
          <w:i/>
        </w:rPr>
        <w:t>Market-based approach</w:t>
      </w:r>
    </w:p>
    <w:p w14:paraId="25DDEFFD" w14:textId="332AB660" w:rsidR="0089583B" w:rsidRPr="004D70F9" w:rsidRDefault="00596928" w:rsidP="00F048C7">
      <w:pPr>
        <w:pStyle w:val="Calloutbox"/>
        <w:numPr>
          <w:ilvl w:val="0"/>
          <w:numId w:val="16"/>
        </w:numPr>
        <w:contextualSpacing w:val="0"/>
      </w:pPr>
      <w:r>
        <w:t>Large-scale generation certificates (LGCs)</w:t>
      </w:r>
      <w:r w:rsidR="004D70F9" w:rsidRPr="004D70F9">
        <w:t xml:space="preserve"> can be used as a unique claim on</w:t>
      </w:r>
      <w:r w:rsidR="00BB545E">
        <w:t xml:space="preserve"> the zero emissions attributed to</w:t>
      </w:r>
      <w:r w:rsidR="004D70F9" w:rsidRPr="004D70F9">
        <w:t xml:space="preserve"> renewable generation. One </w:t>
      </w:r>
      <w:r w:rsidR="008332F7">
        <w:t xml:space="preserve">surrendered </w:t>
      </w:r>
      <w:r w:rsidR="004D70F9" w:rsidRPr="004D70F9">
        <w:t>LGC equates to one</w:t>
      </w:r>
      <w:r w:rsidR="0064712D">
        <w:t xml:space="preserve"> megawatt hour</w:t>
      </w:r>
      <w:r w:rsidR="004D70F9" w:rsidRPr="004D70F9">
        <w:t xml:space="preserve"> </w:t>
      </w:r>
      <w:r w:rsidR="0064712D">
        <w:t>(</w:t>
      </w:r>
      <w:r w:rsidR="004D70F9" w:rsidRPr="004D70F9">
        <w:t>MWh</w:t>
      </w:r>
      <w:r w:rsidR="0064712D">
        <w:t>)</w:t>
      </w:r>
      <w:r w:rsidR="004D70F9" w:rsidRPr="004D70F9">
        <w:t xml:space="preserve"> of zero emissions electricity c</w:t>
      </w:r>
      <w:r w:rsidR="00474DC3">
        <w:t>onsumption</w:t>
      </w:r>
      <w:r w:rsidR="004D70F9" w:rsidRPr="004D70F9">
        <w:t xml:space="preserve">. </w:t>
      </w:r>
    </w:p>
    <w:p w14:paraId="77A511DA" w14:textId="27C5A232" w:rsidR="004D70F9" w:rsidRDefault="004D70F9" w:rsidP="00F048C7">
      <w:pPr>
        <w:pStyle w:val="Calloutbox"/>
        <w:numPr>
          <w:ilvl w:val="0"/>
          <w:numId w:val="16"/>
        </w:numPr>
        <w:contextualSpacing w:val="0"/>
      </w:pPr>
      <w:r w:rsidRPr="004D70F9">
        <w:t xml:space="preserve">The percentage of electricity consumption </w:t>
      </w:r>
      <w:r w:rsidR="00204030">
        <w:t xml:space="preserve">by an energy user </w:t>
      </w:r>
      <w:r w:rsidR="00BB545E">
        <w:t>attributable to the LRET (denoted by</w:t>
      </w:r>
      <w:r w:rsidR="007604F2">
        <w:t xml:space="preserve"> </w:t>
      </w:r>
      <w:r w:rsidRPr="004D70F9">
        <w:t>the Renewable Power Percentage</w:t>
      </w:r>
      <w:r w:rsidR="007604F2">
        <w:t xml:space="preserve">, which varies </w:t>
      </w:r>
      <w:r w:rsidRPr="004D70F9">
        <w:t>for a given reporting year</w:t>
      </w:r>
      <w:r w:rsidR="00BB545E">
        <w:t>)</w:t>
      </w:r>
      <w:r w:rsidRPr="004D70F9">
        <w:t>, is assigned an emission fact</w:t>
      </w:r>
      <w:r w:rsidR="00474DC3">
        <w:t>or of zero</w:t>
      </w:r>
      <w:r w:rsidRPr="004D70F9">
        <w:t>. For example, a business using a total of 1,000 MWh of electricity in 20</w:t>
      </w:r>
      <w:r w:rsidR="00752D6A">
        <w:t>21</w:t>
      </w:r>
      <w:r w:rsidR="00204030">
        <w:t xml:space="preserve"> may</w:t>
      </w:r>
      <w:r w:rsidRPr="004D70F9">
        <w:t xml:space="preserve"> list 18</w:t>
      </w:r>
      <w:r w:rsidR="00752D6A">
        <w:t>5</w:t>
      </w:r>
      <w:r w:rsidRPr="004D70F9">
        <w:t xml:space="preserve"> MWh as zero emissions (1,000*18.</w:t>
      </w:r>
      <w:r w:rsidR="00752D6A">
        <w:t>5</w:t>
      </w:r>
      <w:r w:rsidRPr="004D70F9">
        <w:t>% (RPP for 20</w:t>
      </w:r>
      <w:r w:rsidR="00752D6A">
        <w:t>21</w:t>
      </w:r>
      <w:r w:rsidRPr="004D70F9">
        <w:t xml:space="preserve">)). </w:t>
      </w:r>
    </w:p>
    <w:p w14:paraId="04B44F10" w14:textId="655A4AD6" w:rsidR="004A676C" w:rsidRDefault="004A676C" w:rsidP="004A676C">
      <w:pPr>
        <w:pStyle w:val="Calloutbox"/>
        <w:numPr>
          <w:ilvl w:val="0"/>
          <w:numId w:val="16"/>
        </w:numPr>
        <w:contextualSpacing w:val="0"/>
      </w:pPr>
      <w:r w:rsidRPr="00474DC3">
        <w:t>This deduction for the LRET would not be available to businesses, or parts of businesses, that are exempt from the LRET (</w:t>
      </w:r>
      <w:r>
        <w:t>e.g.</w:t>
      </w:r>
      <w:r w:rsidRPr="00474DC3">
        <w:t xml:space="preserve"> Emissions Intensive Trade Exposed Industries)</w:t>
      </w:r>
      <w:r>
        <w:t>, because their electricity consumption is excluded from the calculation of the RPP</w:t>
      </w:r>
      <w:r w:rsidRPr="00474DC3">
        <w:t>.</w:t>
      </w:r>
    </w:p>
    <w:p w14:paraId="12AAE104" w14:textId="3C2A6AE9" w:rsidR="004D70F9" w:rsidRPr="004D70F9" w:rsidRDefault="004D70F9" w:rsidP="00F048C7">
      <w:pPr>
        <w:pStyle w:val="Calloutbox"/>
        <w:numPr>
          <w:ilvl w:val="0"/>
          <w:numId w:val="16"/>
        </w:numPr>
        <w:contextualSpacing w:val="0"/>
      </w:pPr>
      <w:r w:rsidRPr="004D70F9">
        <w:t>Accredited GreenPower usage is assigned an emission factor of zero in a carbon account</w:t>
      </w:r>
      <w:r w:rsidR="004209E4">
        <w:t>.</w:t>
      </w:r>
    </w:p>
    <w:p w14:paraId="40872401" w14:textId="53F5E243" w:rsidR="004D70F9" w:rsidRPr="004D70F9" w:rsidRDefault="004D70F9" w:rsidP="00F048C7">
      <w:pPr>
        <w:pStyle w:val="Calloutbox"/>
        <w:numPr>
          <w:ilvl w:val="0"/>
          <w:numId w:val="16"/>
        </w:numPr>
        <w:contextualSpacing w:val="0"/>
      </w:pPr>
      <w:r w:rsidRPr="004D70F9">
        <w:t xml:space="preserve">Zero emission electricity claims (above any mandatory LRET obligations) must </w:t>
      </w:r>
      <w:r w:rsidR="00596928">
        <w:t xml:space="preserve">be made through </w:t>
      </w:r>
      <w:r w:rsidR="00F27C24">
        <w:t xml:space="preserve">surrendered </w:t>
      </w:r>
      <w:r w:rsidR="00596928">
        <w:t xml:space="preserve">LGCs. </w:t>
      </w:r>
    </w:p>
    <w:p w14:paraId="1B7D1421" w14:textId="0FF36EED" w:rsidR="004D70F9" w:rsidRDefault="004D70F9" w:rsidP="00F048C7">
      <w:pPr>
        <w:pStyle w:val="Calloutbox"/>
        <w:numPr>
          <w:ilvl w:val="0"/>
          <w:numId w:val="16"/>
        </w:numPr>
        <w:contextualSpacing w:val="0"/>
      </w:pPr>
      <w:r w:rsidRPr="004D70F9">
        <w:t xml:space="preserve">Behind the meter usage of electricity from large scale </w:t>
      </w:r>
      <w:r w:rsidR="007604F2">
        <w:t xml:space="preserve">renewable energy generation </w:t>
      </w:r>
      <w:r w:rsidR="00845ADE">
        <w:t xml:space="preserve">systems may be </w:t>
      </w:r>
      <w:r w:rsidRPr="004D70F9">
        <w:t>assigned an emissions fact</w:t>
      </w:r>
      <w:r w:rsidR="00845ADE">
        <w:t>or of zero</w:t>
      </w:r>
      <w:r w:rsidRPr="004D70F9">
        <w:t xml:space="preserve">, only if any LGCs associated with that generation are </w:t>
      </w:r>
      <w:r w:rsidR="00752D6A">
        <w:t>surrendered</w:t>
      </w:r>
      <w:r w:rsidRPr="004D70F9">
        <w:t xml:space="preserve"> or none will be created. </w:t>
      </w:r>
    </w:p>
    <w:p w14:paraId="61DECEB7" w14:textId="47CC6F36" w:rsidR="0089583B" w:rsidRPr="004D70F9" w:rsidRDefault="0089583B" w:rsidP="00F048C7">
      <w:pPr>
        <w:pStyle w:val="Calloutbox"/>
        <w:numPr>
          <w:ilvl w:val="0"/>
          <w:numId w:val="16"/>
        </w:numPr>
        <w:contextualSpacing w:val="0"/>
      </w:pPr>
      <w:r>
        <w:t>Unlike LGCs, Small-scale Technology Certificates (STCs) issued under the Small-scale Renewable Energy Scheme</w:t>
      </w:r>
      <w:r w:rsidR="009A0C18">
        <w:t xml:space="preserve"> are not a direct measure of</w:t>
      </w:r>
      <w:r w:rsidRPr="0089583B">
        <w:rPr>
          <w:rFonts w:cs="Arial"/>
        </w:rPr>
        <w:t xml:space="preserve"> renewable </w:t>
      </w:r>
      <w:r w:rsidR="009A0C18">
        <w:t>energ</w:t>
      </w:r>
      <w:r w:rsidR="0013175F">
        <w:t xml:space="preserve">y generated at a point in time as STCs are deemed up-front. Furthermore, STCs are issued for solar water heaters which do not directly generate renewable energy but rather displace electricity </w:t>
      </w:r>
      <w:r w:rsidR="0013175F">
        <w:lastRenderedPageBreak/>
        <w:t xml:space="preserve">consumption from the grid. For these reasons, STCs </w:t>
      </w:r>
      <w:r w:rsidR="000773B2">
        <w:t>cannot be used to make a zero emissions claim under the</w:t>
      </w:r>
      <w:r w:rsidR="0013175F">
        <w:t xml:space="preserve"> market-based approach. </w:t>
      </w:r>
    </w:p>
    <w:p w14:paraId="287A00B2" w14:textId="1F840A98" w:rsidR="004D70F9" w:rsidRPr="004D70F9" w:rsidRDefault="004D70F9" w:rsidP="00F048C7">
      <w:pPr>
        <w:pStyle w:val="Calloutbox"/>
        <w:numPr>
          <w:ilvl w:val="0"/>
          <w:numId w:val="16"/>
        </w:numPr>
        <w:contextualSpacing w:val="0"/>
      </w:pPr>
      <w:r w:rsidRPr="004D70F9">
        <w:t xml:space="preserve">Behind the meter usage of electricity from small-scale </w:t>
      </w:r>
      <w:r w:rsidR="007604F2">
        <w:t xml:space="preserve">renewable energy generation </w:t>
      </w:r>
      <w:r w:rsidRPr="004D70F9">
        <w:t xml:space="preserve">systems may be reported and assigned an emissions factor of zero in the carbon account, regardless of whether any STCs associated with this generation have been created, transferred or sold. </w:t>
      </w:r>
    </w:p>
    <w:p w14:paraId="560C3FE7" w14:textId="15C73E7A" w:rsidR="004D70F9" w:rsidRDefault="004D70F9" w:rsidP="00F048C7">
      <w:pPr>
        <w:pStyle w:val="Calloutbox"/>
        <w:numPr>
          <w:ilvl w:val="0"/>
          <w:numId w:val="16"/>
        </w:numPr>
        <w:contextualSpacing w:val="0"/>
        <w:rPr>
          <w:rFonts w:cs="Arial"/>
        </w:rPr>
      </w:pPr>
      <w:r w:rsidRPr="004D70F9">
        <w:t xml:space="preserve">Jurisdictional renewable energy targets </w:t>
      </w:r>
      <w:r w:rsidR="00DB76B3">
        <w:t>–</w:t>
      </w:r>
      <w:r w:rsidRPr="004D70F9">
        <w:t xml:space="preserve"> a business operating in a jurisdiction where the government </w:t>
      </w:r>
      <w:r w:rsidR="00F27C24">
        <w:t>surrender</w:t>
      </w:r>
      <w:r w:rsidR="00F27C24" w:rsidRPr="004D70F9">
        <w:t xml:space="preserve">s </w:t>
      </w:r>
      <w:r w:rsidRPr="004D70F9">
        <w:t xml:space="preserve">LGCs can claim the corresponding percentage of emissions impact on their electricity consumption as zero, provided that the LGCs are </w:t>
      </w:r>
      <w:r w:rsidR="004679F7">
        <w:t>cancelled</w:t>
      </w:r>
      <w:r w:rsidR="004679F7" w:rsidRPr="004D70F9">
        <w:t xml:space="preserve"> </w:t>
      </w:r>
      <w:r w:rsidRPr="004D70F9">
        <w:t xml:space="preserve">on behalf of the jurisdictions’ </w:t>
      </w:r>
      <w:r w:rsidR="004679F7">
        <w:t>resident</w:t>
      </w:r>
      <w:r w:rsidR="004679F7" w:rsidRPr="004D70F9">
        <w:t xml:space="preserve">s </w:t>
      </w:r>
      <w:r w:rsidRPr="004D70F9">
        <w:t>and the claim is auditable for the given reporting year.</w:t>
      </w:r>
      <w:r w:rsidRPr="004D70F9">
        <w:rPr>
          <w:rFonts w:cs="Arial"/>
        </w:rPr>
        <w:t xml:space="preserve"> </w:t>
      </w:r>
    </w:p>
    <w:p w14:paraId="00A1EA84" w14:textId="68E1B32C" w:rsidR="00327D5F" w:rsidRPr="00327D5F" w:rsidRDefault="00327D5F" w:rsidP="00F048C7">
      <w:pPr>
        <w:pStyle w:val="Calloutbox"/>
        <w:numPr>
          <w:ilvl w:val="0"/>
          <w:numId w:val="16"/>
        </w:numPr>
        <w:contextualSpacing w:val="0"/>
        <w:rPr>
          <w:rFonts w:cs="Arial"/>
        </w:rPr>
      </w:pPr>
      <w:r>
        <w:rPr>
          <w:rFonts w:cs="Arial"/>
        </w:rPr>
        <w:t xml:space="preserve">The emissions for any electricity not covered by one of the above instruments are calculated by multiplying the quantity of electricity by the residual mix factor </w:t>
      </w:r>
      <w:r w:rsidRPr="003B6E23">
        <w:t>in kilograms of CO</w:t>
      </w:r>
      <w:r w:rsidRPr="00232D9F">
        <w:rPr>
          <w:vertAlign w:val="subscript"/>
        </w:rPr>
        <w:t>2</w:t>
      </w:r>
      <w:r w:rsidRPr="003B6E23">
        <w:noBreakHyphen/>
        <w:t xml:space="preserve">e emissions per kilowatt </w:t>
      </w:r>
      <w:r w:rsidR="000A2A56">
        <w:t>hour</w:t>
      </w:r>
      <w:r>
        <w:t>.</w:t>
      </w:r>
    </w:p>
    <w:p w14:paraId="40FE1C4C" w14:textId="293D3972" w:rsidR="00327D5F" w:rsidRDefault="00327D5F" w:rsidP="00327D5F">
      <w:pPr>
        <w:pStyle w:val="Calloutbox"/>
        <w:keepNext/>
        <w:contextualSpacing w:val="0"/>
        <w:rPr>
          <w:rFonts w:cs="Arial"/>
        </w:rPr>
      </w:pPr>
      <w:r>
        <w:rPr>
          <w:rFonts w:cs="Arial"/>
          <w:b/>
          <w:i/>
        </w:rPr>
        <w:t>Location-based approach</w:t>
      </w:r>
    </w:p>
    <w:p w14:paraId="109ABA7A" w14:textId="1AE38CAF" w:rsidR="00327D5F" w:rsidRPr="00065805" w:rsidRDefault="00327D5F" w:rsidP="00F048C7">
      <w:pPr>
        <w:pStyle w:val="Calloutbox"/>
        <w:numPr>
          <w:ilvl w:val="0"/>
          <w:numId w:val="16"/>
        </w:numPr>
        <w:contextualSpacing w:val="0"/>
        <w:rPr>
          <w:rFonts w:cs="Arial"/>
        </w:rPr>
      </w:pPr>
      <w:r>
        <w:t>The quantity of electricity consumed is multiplied by the average grid</w:t>
      </w:r>
      <w:r w:rsidRPr="003B6E23">
        <w:t xml:space="preserve"> emission factor, in kilograms of CO</w:t>
      </w:r>
      <w:r w:rsidRPr="00232D9F">
        <w:rPr>
          <w:vertAlign w:val="subscript"/>
        </w:rPr>
        <w:t>2</w:t>
      </w:r>
      <w:r w:rsidRPr="003B6E23">
        <w:noBreakHyphen/>
        <w:t>e emissions per kilowatt hour, for the State or Territory in which the consumption occurs</w:t>
      </w:r>
      <w:r>
        <w:t>.</w:t>
      </w:r>
    </w:p>
    <w:p w14:paraId="401050DB" w14:textId="16A54F39" w:rsidR="00954180" w:rsidRPr="00954180" w:rsidRDefault="00065805" w:rsidP="00954180">
      <w:pPr>
        <w:pStyle w:val="Calloutbox"/>
        <w:contextualSpacing w:val="0"/>
        <w:rPr>
          <w:rFonts w:cs="Arial"/>
        </w:rPr>
      </w:pPr>
      <w:r>
        <w:rPr>
          <w:rFonts w:cs="Arial"/>
        </w:rPr>
        <w:t xml:space="preserve">Please refer to </w:t>
      </w:r>
      <w:r w:rsidR="0014720F">
        <w:rPr>
          <w:rFonts w:cs="Arial"/>
        </w:rPr>
        <w:fldChar w:fldCharType="begin"/>
      </w:r>
      <w:r w:rsidR="0014720F">
        <w:rPr>
          <w:rFonts w:cs="Arial"/>
        </w:rPr>
        <w:instrText xml:space="preserve"> REF _Ref67505360 \h </w:instrText>
      </w:r>
      <w:r w:rsidR="0014720F">
        <w:rPr>
          <w:rFonts w:cs="Arial"/>
        </w:rPr>
      </w:r>
      <w:r w:rsidR="0014720F">
        <w:rPr>
          <w:rFonts w:cs="Arial"/>
        </w:rPr>
        <w:fldChar w:fldCharType="separate"/>
      </w:r>
      <w:r w:rsidR="00A4774A">
        <w:t>Attachment D: Grid electricity emissions</w:t>
      </w:r>
      <w:r w:rsidR="0014720F">
        <w:rPr>
          <w:rFonts w:cs="Arial"/>
        </w:rPr>
        <w:fldChar w:fldCharType="end"/>
      </w:r>
      <w:r w:rsidR="00954180">
        <w:rPr>
          <w:rFonts w:cs="Arial"/>
        </w:rPr>
        <w:t xml:space="preserve"> for details. </w:t>
      </w:r>
    </w:p>
    <w:p w14:paraId="0539ADC9" w14:textId="77777777" w:rsidR="0081712E" w:rsidRDefault="0081712E" w:rsidP="00954180">
      <w:pPr>
        <w:pStyle w:val="Calloutbox"/>
        <w:rPr>
          <w:b/>
        </w:rPr>
      </w:pPr>
    </w:p>
    <w:p w14:paraId="6BC4852E" w14:textId="23731206" w:rsidR="00954180" w:rsidRPr="00954180" w:rsidRDefault="00954180" w:rsidP="00954180">
      <w:pPr>
        <w:pStyle w:val="Calloutbox"/>
        <w:rPr>
          <w:b/>
        </w:rPr>
      </w:pPr>
      <w:r w:rsidRPr="00954180">
        <w:rPr>
          <w:b/>
        </w:rPr>
        <w:t>Questions:</w:t>
      </w:r>
    </w:p>
    <w:p w14:paraId="6D362D72" w14:textId="6C30EEB0" w:rsidR="00954180" w:rsidRPr="005961B9" w:rsidRDefault="006810F5" w:rsidP="0081712E">
      <w:pPr>
        <w:pStyle w:val="Calloutbox"/>
      </w:pPr>
      <w:r>
        <w:t xml:space="preserve">17. </w:t>
      </w:r>
      <w:r w:rsidR="00954180">
        <w:t xml:space="preserve">Do you agree that the calculation of electricity (scope 2) emissions should be based on </w:t>
      </w:r>
      <w:r w:rsidR="004679F7">
        <w:t xml:space="preserve">the </w:t>
      </w:r>
      <w:r w:rsidR="00954180">
        <w:t xml:space="preserve">market-based method? </w:t>
      </w:r>
    </w:p>
    <w:p w14:paraId="5BB88794" w14:textId="736C376A" w:rsidR="00ED4F5F" w:rsidRDefault="006810F5" w:rsidP="0081712E">
      <w:pPr>
        <w:pStyle w:val="Calloutbox"/>
      </w:pPr>
      <w:r>
        <w:t xml:space="preserve">18. </w:t>
      </w:r>
      <w:r w:rsidR="00954180">
        <w:t>Would you suggest any changes to the Climate Active approach (set out in detail in</w:t>
      </w:r>
      <w:r w:rsidR="00D96B79">
        <w:t xml:space="preserve"> Attachment D</w:t>
      </w:r>
      <w:r w:rsidR="00954180">
        <w:t>) for the purposes of a hydrogen GO scheme?</w:t>
      </w:r>
    </w:p>
    <w:p w14:paraId="7FA5358E" w14:textId="6A89C4B1" w:rsidR="000805C8" w:rsidRDefault="000805C8" w:rsidP="000805C8">
      <w:pPr>
        <w:pStyle w:val="Heading2"/>
      </w:pPr>
      <w:bookmarkStart w:id="291" w:name="_Toc68000207"/>
      <w:bookmarkStart w:id="292" w:name="_Toc68083138"/>
      <w:bookmarkStart w:id="293" w:name="_Toc68083533"/>
      <w:bookmarkStart w:id="294" w:name="_Toc68105072"/>
      <w:bookmarkStart w:id="295" w:name="_Toc67329121"/>
      <w:bookmarkStart w:id="296" w:name="_Toc67329369"/>
      <w:bookmarkStart w:id="297" w:name="_Toc67562625"/>
      <w:bookmarkStart w:id="298" w:name="_Toc74839351"/>
      <w:r>
        <w:t>3.5 Verifying and tracking renewable electricity inputs</w:t>
      </w:r>
      <w:bookmarkEnd w:id="291"/>
      <w:bookmarkEnd w:id="292"/>
      <w:bookmarkEnd w:id="293"/>
      <w:bookmarkEnd w:id="294"/>
      <w:bookmarkEnd w:id="298"/>
    </w:p>
    <w:p w14:paraId="00049023" w14:textId="6D5B0448" w:rsidR="000805C8" w:rsidRPr="003E2824" w:rsidRDefault="000805C8" w:rsidP="000805C8">
      <w:r w:rsidRPr="003E2824">
        <w:t xml:space="preserve">To verify and track emissions associated with </w:t>
      </w:r>
      <w:r>
        <w:t>hydrogen production</w:t>
      </w:r>
      <w:r w:rsidRPr="003E2824">
        <w:t xml:space="preserve">, the scheme needs to be able to verify whether renewable electricity was consumed. At present, </w:t>
      </w:r>
      <w:r>
        <w:t>production</w:t>
      </w:r>
      <w:r w:rsidRPr="003E2824">
        <w:t xml:space="preserve"> of renewable electricity can be demonstrated if the electricity r</w:t>
      </w:r>
      <w:r w:rsidR="000B7E84">
        <w:t>eceived LGCs under the LRET</w:t>
      </w:r>
      <w:r w:rsidRPr="00210C56">
        <w:t>.</w:t>
      </w:r>
      <w:r w:rsidRPr="003E2824">
        <w:t xml:space="preserve"> However, </w:t>
      </w:r>
      <w:r w:rsidRPr="00210C56">
        <w:t>this</w:t>
      </w:r>
      <w:r>
        <w:t xml:space="preserve"> cannot be used</w:t>
      </w:r>
      <w:r w:rsidRPr="003E2824">
        <w:t xml:space="preserve"> </w:t>
      </w:r>
      <w:r w:rsidRPr="00210C56">
        <w:t>to</w:t>
      </w:r>
      <w:r w:rsidRPr="003E2824">
        <w:t xml:space="preserve"> </w:t>
      </w:r>
      <w:r>
        <w:t xml:space="preserve">verify </w:t>
      </w:r>
      <w:r w:rsidRPr="003E2824">
        <w:t xml:space="preserve">below baseline renewable electricity and </w:t>
      </w:r>
      <w:r>
        <w:t xml:space="preserve">will not be available for </w:t>
      </w:r>
      <w:r w:rsidRPr="003E2824">
        <w:t xml:space="preserve">renewable electricity produced after 2030. </w:t>
      </w:r>
    </w:p>
    <w:p w14:paraId="4A1A3DFF" w14:textId="58F7DA1F" w:rsidR="000805C8" w:rsidRPr="003E2824" w:rsidRDefault="000805C8" w:rsidP="000805C8">
      <w:pPr>
        <w:keepNext/>
        <w:rPr>
          <w:b/>
        </w:rPr>
      </w:pPr>
      <w:r>
        <w:rPr>
          <w:b/>
        </w:rPr>
        <w:t>Verification</w:t>
      </w:r>
      <w:r w:rsidRPr="003E2824">
        <w:rPr>
          <w:b/>
        </w:rPr>
        <w:t xml:space="preserve"> of above-baseline renewable electricity under the Renewable Energy Target</w:t>
      </w:r>
    </w:p>
    <w:p w14:paraId="6BC92AB7" w14:textId="77777777" w:rsidR="000805C8" w:rsidRPr="003E2824" w:rsidRDefault="000805C8" w:rsidP="000805C8">
      <w:r w:rsidRPr="003E2824">
        <w:t xml:space="preserve">The Renewable Energy Target (RET) is a legislated, market-based mechanism that provides a financial incentive for the deployment of new renewable energy projects. The RET operates through the creation of renewable energy certificates, which can be traded with ‘liable entities’ (primarily electricity retailers), who surrender the certificates to meet their annual renewable energy obligations. Liable entities have separate obligations for both the LRET and the Small-scale Renewable Energy Scheme (SRES). The RET is legislated through the </w:t>
      </w:r>
      <w:r w:rsidRPr="003E2824">
        <w:rPr>
          <w:i/>
        </w:rPr>
        <w:t xml:space="preserve">Renewable Energy (Electricity) Act 2000 </w:t>
      </w:r>
      <w:r w:rsidRPr="003E2824">
        <w:t xml:space="preserve">(REE Act) and the </w:t>
      </w:r>
      <w:r w:rsidRPr="003E2824">
        <w:rPr>
          <w:i/>
        </w:rPr>
        <w:t>Renewable Energy (Electricity) Regulations 2001</w:t>
      </w:r>
      <w:r w:rsidRPr="003E2824">
        <w:t xml:space="preserve"> (REE Regulations).</w:t>
      </w:r>
    </w:p>
    <w:p w14:paraId="1F789655" w14:textId="1350A5FD" w:rsidR="000805C8" w:rsidRPr="003E2824" w:rsidRDefault="000805C8" w:rsidP="000805C8">
      <w:r w:rsidRPr="003E2824">
        <w:t>Under the LRET, accredited renewable power stations such as wind a</w:t>
      </w:r>
      <w:r w:rsidR="000B7E84">
        <w:t>nd solar farms may create an LGC</w:t>
      </w:r>
      <w:r w:rsidRPr="003E2824">
        <w:t xml:space="preserve"> for every MWh of eligible renewable electricity they generate. To be accredited and </w:t>
      </w:r>
      <w:r w:rsidRPr="003E2824">
        <w:lastRenderedPageBreak/>
        <w:t>create LGCs, a power station must generate electricity from an eligible renewable energy source as set out in Section 17 of the REE Act which includes but is not limited to wind, solar, hydro, eligible biomass sources, landfill gas and sewage gas.</w:t>
      </w:r>
      <w:r w:rsidR="003E4B06" w:rsidRPr="003E4B06" w:rsidDel="00850107">
        <w:t xml:space="preserve"> </w:t>
      </w:r>
      <w:r w:rsidR="003E4B06" w:rsidRPr="003E2824" w:rsidDel="00850107">
        <w:t>A renewable power station may trade LGCs through contracts (i.e. power purchase agreements) or on the spot market.</w:t>
      </w:r>
      <w:r w:rsidR="003E4B06" w:rsidRPr="003E2824">
        <w:t xml:space="preserve"> </w:t>
      </w:r>
    </w:p>
    <w:p w14:paraId="3B4D8F31" w14:textId="3B65A046" w:rsidR="005473D0" w:rsidRDefault="005473D0" w:rsidP="00C10A31">
      <w:pPr>
        <w:jc w:val="center"/>
      </w:pPr>
      <w:r>
        <w:rPr>
          <w:noProof/>
          <w:lang w:eastAsia="en-AU"/>
        </w:rPr>
        <w:drawing>
          <wp:inline distT="0" distB="0" distL="0" distR="0" wp14:anchorId="44C265E3" wp14:editId="3E0340A4">
            <wp:extent cx="3969024" cy="2646016"/>
            <wp:effectExtent l="0" t="0" r="0" b="2540"/>
            <wp:docPr id="45" name="Picture 45" descr="wind turb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ind turbines red.jfif"/>
                    <pic:cNvPicPr/>
                  </pic:nvPicPr>
                  <pic:blipFill>
                    <a:blip r:embed="rId30">
                      <a:extLst>
                        <a:ext uri="{28A0092B-C50C-407E-A947-70E740481C1C}">
                          <a14:useLocalDpi xmlns:a14="http://schemas.microsoft.com/office/drawing/2010/main" val="0"/>
                        </a:ext>
                      </a:extLst>
                    </a:blip>
                    <a:stretch>
                      <a:fillRect/>
                    </a:stretch>
                  </pic:blipFill>
                  <pic:spPr>
                    <a:xfrm>
                      <a:off x="0" y="0"/>
                      <a:ext cx="3969024" cy="2646016"/>
                    </a:xfrm>
                    <a:prstGeom prst="rect">
                      <a:avLst/>
                    </a:prstGeom>
                  </pic:spPr>
                </pic:pic>
              </a:graphicData>
            </a:graphic>
          </wp:inline>
        </w:drawing>
      </w:r>
    </w:p>
    <w:p w14:paraId="702C0B6D" w14:textId="7D118076" w:rsidR="000805C8" w:rsidRPr="003E2824" w:rsidRDefault="000805C8" w:rsidP="000805C8">
      <w:r w:rsidRPr="003E2824">
        <w:t xml:space="preserve">Accredited power stations can only create LGCs for electricity generated above their renewable power baseline. For power stations that existed before 1997, a baseline was set by the Clean Energy Regulator based on past generation in accordance with the REE Regulations. Power stations commissioned after 1 January 1997 have a baseline of zero. </w:t>
      </w:r>
      <w:r w:rsidR="00956C4F">
        <w:t>There was an estimated 32.3 </w:t>
      </w:r>
      <w:r w:rsidR="007D0EBD">
        <w:t>million MWh of eligible renewable energy generation in Australia</w:t>
      </w:r>
      <w:r w:rsidR="00397AD3">
        <w:t xml:space="preserve"> in 2020 and 9.5</w:t>
      </w:r>
      <w:r w:rsidR="00956C4F">
        <w:t> </w:t>
      </w:r>
      <w:r w:rsidR="00397AD3">
        <w:t>million</w:t>
      </w:r>
      <w:r w:rsidR="00956C4F">
        <w:t> </w:t>
      </w:r>
      <w:r w:rsidR="00397AD3">
        <w:t>MWh</w:t>
      </w:r>
      <w:r w:rsidR="007D0EBD">
        <w:t xml:space="preserve"> of below baseline generation.</w:t>
      </w:r>
      <w:r w:rsidR="007D0EBD">
        <w:rPr>
          <w:rStyle w:val="FootnoteReference"/>
        </w:rPr>
        <w:footnoteReference w:id="4"/>
      </w:r>
      <w:r w:rsidR="007D0EBD">
        <w:t xml:space="preserve"> </w:t>
      </w:r>
    </w:p>
    <w:p w14:paraId="16E95F0E" w14:textId="0C01666B" w:rsidR="000805C8" w:rsidRDefault="000805C8" w:rsidP="000805C8">
      <w:r w:rsidRPr="003E2824">
        <w:t xml:space="preserve">Liable entities are required to surrender LGCs each year against the legislated LRET target which peaks at 33,000,000 MWh (or 33 million LGCs) in 2020 and remains at that level until 2030. </w:t>
      </w:r>
      <w:r w:rsidRPr="00210C56">
        <w:t>However</w:t>
      </w:r>
      <w:r w:rsidRPr="003E2824">
        <w:t xml:space="preserve">, governments, companies or individuals are </w:t>
      </w:r>
      <w:r w:rsidR="00D857B6">
        <w:t xml:space="preserve">also </w:t>
      </w:r>
      <w:r w:rsidRPr="003E2824">
        <w:t>able to purchase and voluntarily surrender LGCs. Voluntarily surrendered LGCs are not able to be transferred or used to acquit liability under the RET.</w:t>
      </w:r>
    </w:p>
    <w:p w14:paraId="4E2F0BEA" w14:textId="77777777" w:rsidR="00497A69" w:rsidRDefault="000805C8" w:rsidP="000805C8">
      <w:r>
        <w:t>This paper proposes that LGCs</w:t>
      </w:r>
      <w:r w:rsidR="00D857B6">
        <w:t>,</w:t>
      </w:r>
      <w:r>
        <w:t xml:space="preserve"> </w:t>
      </w:r>
      <w:r w:rsidR="00D857B6" w:rsidRPr="00210C56">
        <w:t>which are voluntarily surrendered</w:t>
      </w:r>
      <w:r w:rsidR="00D857B6">
        <w:t>,</w:t>
      </w:r>
      <w:r>
        <w:t xml:space="preserve"> could be used to track and verify renewable electricity claims of hydrogen producers. </w:t>
      </w:r>
    </w:p>
    <w:p w14:paraId="6041BCAD" w14:textId="62C71DA2" w:rsidR="00CF0E1A" w:rsidRDefault="00497A69" w:rsidP="000805C8">
      <w:r w:rsidRPr="00210C56">
        <w:t>T</w:t>
      </w:r>
      <w:r w:rsidR="000805C8" w:rsidRPr="00210C56">
        <w:t xml:space="preserve">his proposed use of LGCs </w:t>
      </w:r>
      <w:r w:rsidRPr="00210C56">
        <w:t>require</w:t>
      </w:r>
      <w:r w:rsidR="00194B06" w:rsidRPr="00210C56">
        <w:t>s</w:t>
      </w:r>
      <w:r w:rsidRPr="00210C56">
        <w:t xml:space="preserve"> an agreed understanding of </w:t>
      </w:r>
      <w:r w:rsidR="000805C8" w:rsidRPr="00210C56">
        <w:t>what these certificates represent</w:t>
      </w:r>
      <w:r w:rsidR="005F0A0B">
        <w:t xml:space="preserve"> being </w:t>
      </w:r>
      <w:r w:rsidR="000805C8">
        <w:t xml:space="preserve">1 MWh of eligible renewable </w:t>
      </w:r>
      <w:r w:rsidR="00CF0E1A">
        <w:t xml:space="preserve">electricity </w:t>
      </w:r>
      <w:r w:rsidR="000805C8">
        <w:t>generation.</w:t>
      </w:r>
      <w:r w:rsidR="005F0A0B">
        <w:t xml:space="preserve"> The standard size of 1 MWh is also in line with international approaches, including in Europe, and a unit to only be accounted once.  </w:t>
      </w:r>
    </w:p>
    <w:p w14:paraId="11F049CC" w14:textId="589B170F" w:rsidR="000805C8" w:rsidRPr="003E2824" w:rsidRDefault="000805C8" w:rsidP="000805C8">
      <w:r>
        <w:t>Consider the example of a grid-connected hydrogen producer in Queensland</w:t>
      </w:r>
      <w:r w:rsidR="00497A69">
        <w:t>,</w:t>
      </w:r>
      <w:r>
        <w:t xml:space="preserve"> which voluntarily surrenders an LGC created by a wind farm in Victoria. By importing electricity from the grid, the actual electrons that </w:t>
      </w:r>
      <w:r w:rsidRPr="00210C56">
        <w:t>th</w:t>
      </w:r>
      <w:r w:rsidR="00CF0E1A">
        <w:t>e</w:t>
      </w:r>
      <w:r>
        <w:t xml:space="preserve"> hydrogen producer consumes would be provided by the specific generators which are exporting electricity to the grid at that time. The hydrogen producer would therefore be consuming electrons produced by a mix of coal, gas, </w:t>
      </w:r>
      <w:r w:rsidR="00497A69">
        <w:t xml:space="preserve">renewables </w:t>
      </w:r>
      <w:r>
        <w:t>and other generation technologies, irrespective of whether they surrender LGCs.</w:t>
      </w:r>
    </w:p>
    <w:p w14:paraId="1DA166B8" w14:textId="77777777" w:rsidR="00CF0E1A" w:rsidRDefault="00194B06" w:rsidP="000805C8">
      <w:r w:rsidRPr="00210C56">
        <w:lastRenderedPageBreak/>
        <w:t>However, c</w:t>
      </w:r>
      <w:r w:rsidR="000805C8" w:rsidRPr="00210C56">
        <w:t>laims</w:t>
      </w:r>
      <w:r w:rsidR="000805C8">
        <w:t xml:space="preserve"> about the consumption of renewable electricity through the surrender of LGCs can be supported by the use of the market based method of emissions accounting, which is set out in section </w:t>
      </w:r>
      <w:r w:rsidR="007D1631" w:rsidRPr="00210C56">
        <w:t>3.4</w:t>
      </w:r>
      <w:r w:rsidR="000805C8" w:rsidRPr="00210C56">
        <w:t xml:space="preserve"> above</w:t>
      </w:r>
      <w:r w:rsidR="000805C8">
        <w:t xml:space="preserve">. </w:t>
      </w:r>
    </w:p>
    <w:p w14:paraId="4A4BC2F1" w14:textId="0D70188C" w:rsidR="000805C8" w:rsidRDefault="0027371A" w:rsidP="000805C8">
      <w:r>
        <w:t>T</w:t>
      </w:r>
      <w:r w:rsidR="000805C8" w:rsidRPr="00210C56">
        <w:t>he</w:t>
      </w:r>
      <w:r w:rsidR="000805C8">
        <w:t xml:space="preserve"> market based method applies a ‘residual mix’ factor to each jurisdiction</w:t>
      </w:r>
      <w:r>
        <w:t>,</w:t>
      </w:r>
      <w:r w:rsidR="000805C8">
        <w:t xml:space="preserve"> which is formulated by removing contractual or investment claims data from electricity production data. To avoid double counting, the residual mix factor removes the emissions reduction benefit of renewable generation (issued with LGCs</w:t>
      </w:r>
      <w:r w:rsidR="00194B06">
        <w:t xml:space="preserve"> </w:t>
      </w:r>
      <w:r w:rsidR="004679F7">
        <w:t xml:space="preserve">that have subsequently been </w:t>
      </w:r>
      <w:r w:rsidR="00194B06" w:rsidRPr="00210C56">
        <w:t>surrendered</w:t>
      </w:r>
      <w:r w:rsidR="000805C8">
        <w:t xml:space="preserve">) from the jurisdiction’s grid factor. </w:t>
      </w:r>
      <w:r w:rsidR="006B56D1" w:rsidRPr="007F31C9">
        <w:t>Alternatively, a national residual mix factor could be used.</w:t>
      </w:r>
    </w:p>
    <w:p w14:paraId="723B09CC" w14:textId="18E7A7F2" w:rsidR="00AD1D0F" w:rsidRDefault="000805C8" w:rsidP="000805C8">
      <w:r>
        <w:t xml:space="preserve">In the above example, under the market based method, the zero emissions benefit associated with the LGCs which the Queensland hydrogen producer surrenders </w:t>
      </w:r>
      <w:r w:rsidR="00CF0E1A">
        <w:t>would be</w:t>
      </w:r>
      <w:r>
        <w:t xml:space="preserve"> fully removed from the emissions factor of the Victorian grid. This results in a higher ‘residual mix’ grid emissions factor for the Victorian grid. </w:t>
      </w:r>
    </w:p>
    <w:p w14:paraId="6DBA93D7" w14:textId="289B5591" w:rsidR="00AD1D0F" w:rsidRDefault="000805C8" w:rsidP="000805C8">
      <w:r>
        <w:t xml:space="preserve">The higher ‘residual mix’ emissions factor is justified on the basis that the specific ‘renewable’ benefit of generation associated with each LGC </w:t>
      </w:r>
      <w:r w:rsidR="0027371A">
        <w:t>is attributed</w:t>
      </w:r>
      <w:r>
        <w:t xml:space="preserve"> to the </w:t>
      </w:r>
      <w:r w:rsidRPr="00210C56">
        <w:t>entit</w:t>
      </w:r>
      <w:r w:rsidR="0027371A">
        <w:t>y</w:t>
      </w:r>
      <w:r w:rsidRPr="00210C56">
        <w:t xml:space="preserve"> </w:t>
      </w:r>
      <w:r w:rsidR="0027371A">
        <w:t>that</w:t>
      </w:r>
      <w:r w:rsidRPr="00210C56">
        <w:t xml:space="preserve"> surrender</w:t>
      </w:r>
      <w:r w:rsidR="0027371A">
        <w:t>s</w:t>
      </w:r>
      <w:r w:rsidRPr="00210C56">
        <w:t xml:space="preserve"> </w:t>
      </w:r>
      <w:r w:rsidR="0027371A">
        <w:t>it</w:t>
      </w:r>
      <w:r>
        <w:t xml:space="preserve">, for example the Queensland hydrogen producer, and should not be double counted. </w:t>
      </w:r>
    </w:p>
    <w:p w14:paraId="57827B5B" w14:textId="29C690D9" w:rsidR="000805C8" w:rsidRDefault="000805C8" w:rsidP="000805C8">
      <w:r>
        <w:t>The residual mix factor for Victoria would apply to all entities reporting under the market based method in that jurisdiction. As the renewable attribute is only counted once under the market based method, the claim of the hydrogen producer regarding the use of renewable electricity can be represented as a claim that they have exclusively used the renewable benefit associated with that LGC.</w:t>
      </w:r>
    </w:p>
    <w:p w14:paraId="43C329CD" w14:textId="5F4B2817" w:rsidR="000805C8" w:rsidRDefault="000805C8" w:rsidP="000805C8">
      <w:r>
        <w:t>Not all companies will use the market based method for emissions accounting</w:t>
      </w:r>
      <w:r w:rsidR="00584DAD">
        <w:t xml:space="preserve"> </w:t>
      </w:r>
      <w:r w:rsidR="00584DAD" w:rsidRPr="00F669AD">
        <w:t xml:space="preserve">outside the hydrogen </w:t>
      </w:r>
      <w:r w:rsidR="00CB23D1" w:rsidRPr="00210C56">
        <w:t>GO</w:t>
      </w:r>
      <w:r w:rsidR="00584DAD" w:rsidRPr="00210C56">
        <w:t xml:space="preserve"> scheme</w:t>
      </w:r>
      <w:r w:rsidRPr="00210C56">
        <w:t>.</w:t>
      </w:r>
      <w:r>
        <w:t xml:space="preserve"> </w:t>
      </w:r>
      <w:r w:rsidR="005001FF">
        <w:t xml:space="preserve">For example, facilities use the location based method in NGER scope 2 reporting. </w:t>
      </w:r>
      <w:r>
        <w:t xml:space="preserve">Companies which use the alternative location based method would apply an emissions factor to electricity </w:t>
      </w:r>
      <w:r w:rsidR="00210C56" w:rsidRPr="00210C56">
        <w:t>that</w:t>
      </w:r>
      <w:r>
        <w:t xml:space="preserve"> does not remove renewable contractual or investment claims from production data</w:t>
      </w:r>
      <w:r w:rsidR="00210C56" w:rsidRPr="00210C56">
        <w:t>. This</w:t>
      </w:r>
      <w:r>
        <w:t xml:space="preserve"> would </w:t>
      </w:r>
      <w:r w:rsidR="00210C56" w:rsidRPr="00210C56">
        <w:t>result in</w:t>
      </w:r>
      <w:r>
        <w:t xml:space="preserve"> a lower emissions factor because it would incorporate all the renewable generation in the grid (even if the LGCs are being surrendered by entities operating in another grid or jurisdiction). There may therefore be some double counting between, but not within, the two reporting methods.</w:t>
      </w:r>
      <w:r w:rsidR="00584DAD" w:rsidRPr="00584DAD">
        <w:t xml:space="preserve"> </w:t>
      </w:r>
      <w:r w:rsidR="00584DAD" w:rsidRPr="00210C56">
        <w:t xml:space="preserve">However, under the hydrogen </w:t>
      </w:r>
      <w:r w:rsidR="00CB23D1" w:rsidRPr="00210C56">
        <w:t>GO</w:t>
      </w:r>
      <w:r w:rsidR="00584DAD" w:rsidRPr="00210C56">
        <w:t xml:space="preserve"> scheme, surrender of LGCs can only be used under the market based method to make renewable energy claims.</w:t>
      </w:r>
      <w:r w:rsidR="00584DAD">
        <w:t xml:space="preserve"> </w:t>
      </w:r>
    </w:p>
    <w:p w14:paraId="183DFA57" w14:textId="052DCD2C" w:rsidR="000805C8" w:rsidRPr="00210C56" w:rsidRDefault="000805C8" w:rsidP="000805C8">
      <w:r w:rsidRPr="00210C56">
        <w:t>In summary, by obtaining and voluntarily surrendering LGCs, under the market based method, the LRET provides an existing mechanism by which entities can verify and track their consumption of renewable electricity. The market based method allows LGCs to be used to make a zero emissions claim from renewable energy input into hydrogen production. This provides hydrogen producers with flexibility to purchase zero emissions electricity from the grid</w:t>
      </w:r>
      <w:r w:rsidR="00D715EE">
        <w:t>.</w:t>
      </w:r>
    </w:p>
    <w:p w14:paraId="3E6D2F8E" w14:textId="37F46FA2" w:rsidR="000805C8" w:rsidRPr="003E2824" w:rsidRDefault="000805C8">
      <w:pPr>
        <w:keepNext/>
      </w:pPr>
      <w:r w:rsidRPr="00210C56">
        <w:rPr>
          <w:b/>
        </w:rPr>
        <w:t>Verification</w:t>
      </w:r>
      <w:r>
        <w:rPr>
          <w:b/>
        </w:rPr>
        <w:t xml:space="preserve"> of below-baseline and post-2030 renewable electricity</w:t>
      </w:r>
    </w:p>
    <w:p w14:paraId="36C7D76D" w14:textId="3C71E4EB" w:rsidR="000805C8" w:rsidRPr="003E2824" w:rsidRDefault="000805C8" w:rsidP="000805C8">
      <w:r w:rsidRPr="00210C56">
        <w:t>There</w:t>
      </w:r>
      <w:r w:rsidRPr="003E2824">
        <w:t xml:space="preserve"> are two limitations on the long-term use of LGCs for the market</w:t>
      </w:r>
      <w:r>
        <w:t xml:space="preserve"> </w:t>
      </w:r>
      <w:r w:rsidRPr="003E2824">
        <w:t xml:space="preserve">based approach. </w:t>
      </w:r>
    </w:p>
    <w:p w14:paraId="2BA04DBC" w14:textId="78980476" w:rsidR="000805C8" w:rsidRPr="003E2824" w:rsidRDefault="000805C8" w:rsidP="00F048C7">
      <w:pPr>
        <w:pStyle w:val="ListParagraph"/>
        <w:numPr>
          <w:ilvl w:val="0"/>
          <w:numId w:val="15"/>
        </w:numPr>
      </w:pPr>
      <w:r w:rsidRPr="003E2824">
        <w:t xml:space="preserve">Only above baseline renewable generation is eligible for LGCs under the </w:t>
      </w:r>
      <w:r w:rsidR="0070166B">
        <w:t>RET</w:t>
      </w:r>
      <w:r w:rsidRPr="003E2824">
        <w:t>. This is inconsistent with international approaches (e.g. in Europe and the United States of America) where all renewable generation is credited and could put our hydrogen producers at a competitive disadvantage.</w:t>
      </w:r>
    </w:p>
    <w:p w14:paraId="3FD2F6AB" w14:textId="54D50A99" w:rsidR="000805C8" w:rsidRPr="003E2824" w:rsidRDefault="000805C8" w:rsidP="00F048C7">
      <w:pPr>
        <w:pStyle w:val="ListParagraph"/>
        <w:numPr>
          <w:ilvl w:val="0"/>
          <w:numId w:val="15"/>
        </w:numPr>
      </w:pPr>
      <w:r>
        <w:t>After 2030</w:t>
      </w:r>
      <w:r w:rsidR="0070166B">
        <w:t>,</w:t>
      </w:r>
      <w:r>
        <w:t xml:space="preserve"> LGCs cannot be created under the </w:t>
      </w:r>
      <w:r w:rsidRPr="00210C56">
        <w:t>RET</w:t>
      </w:r>
      <w:r>
        <w:t xml:space="preserve"> </w:t>
      </w:r>
      <w:r w:rsidR="000C21C2">
        <w:t>legislation</w:t>
      </w:r>
      <w:r w:rsidRPr="00210C56">
        <w:t>.</w:t>
      </w:r>
    </w:p>
    <w:p w14:paraId="1B4DE201" w14:textId="0D8E6D97" w:rsidR="000805C8" w:rsidRDefault="000805C8" w:rsidP="000805C8">
      <w:r w:rsidRPr="00210C56">
        <w:lastRenderedPageBreak/>
        <w:t xml:space="preserve">This section </w:t>
      </w:r>
      <w:r w:rsidR="000C21C2">
        <w:t>describes an approach by which</w:t>
      </w:r>
      <w:r w:rsidRPr="00210C56">
        <w:t xml:space="preserve"> a new renewable GO certificate could be </w:t>
      </w:r>
      <w:r w:rsidR="000C21C2">
        <w:t xml:space="preserve">established. Such a certificate could be </w:t>
      </w:r>
      <w:r w:rsidRPr="00210C56">
        <w:t>used to track and verify below-baseline renewable electricity</w:t>
      </w:r>
      <w:r w:rsidR="000C21C2">
        <w:t>. It</w:t>
      </w:r>
      <w:r w:rsidRPr="00210C56">
        <w:t xml:space="preserve"> could also be used </w:t>
      </w:r>
      <w:r w:rsidR="000C21C2">
        <w:t xml:space="preserve">after </w:t>
      </w:r>
      <w:r w:rsidRPr="00210C56">
        <w:t>2030</w:t>
      </w:r>
      <w:r w:rsidR="000C21C2">
        <w:t>,</w:t>
      </w:r>
      <w:r w:rsidRPr="00210C56">
        <w:t xml:space="preserve"> when LGCs cannot be created under the RET. </w:t>
      </w:r>
    </w:p>
    <w:p w14:paraId="3EB653FB" w14:textId="3E8E1068" w:rsidR="000805C8" w:rsidRPr="003E2824" w:rsidRDefault="000805C8" w:rsidP="000805C8">
      <w:r w:rsidRPr="003E2824">
        <w:t>Like LGCs, renewable GO</w:t>
      </w:r>
      <w:r>
        <w:t xml:space="preserve"> </w:t>
      </w:r>
      <w:r w:rsidRPr="00210C56">
        <w:t>certificates</w:t>
      </w:r>
      <w:r w:rsidRPr="003E2824">
        <w:t xml:space="preserve"> could represent 1 MWh of eligible renewable generation, </w:t>
      </w:r>
      <w:r w:rsidR="00BB545E">
        <w:t xml:space="preserve">and </w:t>
      </w:r>
      <w:r w:rsidRPr="003E2824">
        <w:t xml:space="preserve">could be traded between renewable electricity generators and other entities in private commercial arrangements, or sold openly in a spot market. A renewable GO </w:t>
      </w:r>
      <w:r>
        <w:t>certificate</w:t>
      </w:r>
      <w:r w:rsidRPr="003E2824">
        <w:t xml:space="preserve"> could be voluntarily surrendered </w:t>
      </w:r>
      <w:r w:rsidRPr="00210C56">
        <w:t xml:space="preserve">using the </w:t>
      </w:r>
      <w:r w:rsidR="00A93281" w:rsidRPr="00210C56">
        <w:t xml:space="preserve">Renewable </w:t>
      </w:r>
      <w:r w:rsidRPr="00210C56">
        <w:t>E</w:t>
      </w:r>
      <w:r w:rsidR="00A93281" w:rsidRPr="00210C56">
        <w:t>lectricity Certificate (</w:t>
      </w:r>
      <w:r w:rsidRPr="00210C56">
        <w:t>REC</w:t>
      </w:r>
      <w:r w:rsidR="00A93281" w:rsidRPr="00210C56">
        <w:t>)</w:t>
      </w:r>
      <w:r w:rsidRPr="003E2824">
        <w:t xml:space="preserve"> Registry which is administered by the Clean Energy Regulator. Other eligibility conditions could be similar to LGCs as set out in the REE Act and Regulations</w:t>
      </w:r>
      <w:r w:rsidR="00A93281">
        <w:t xml:space="preserve">, </w:t>
      </w:r>
      <w:r w:rsidR="00A93281" w:rsidRPr="00210C56">
        <w:t>except the requirement to be above baseline</w:t>
      </w:r>
      <w:r w:rsidRPr="00210C56">
        <w:t>.</w:t>
      </w:r>
      <w:r w:rsidRPr="003E2824">
        <w:t xml:space="preserve"> </w:t>
      </w:r>
    </w:p>
    <w:p w14:paraId="73C09148" w14:textId="1DB0C0B0" w:rsidR="000805C8" w:rsidRPr="003E2824" w:rsidRDefault="000805C8" w:rsidP="000805C8">
      <w:r w:rsidRPr="003E2824">
        <w:t xml:space="preserve">The long-term objective of this option would be to have a single renewable GO </w:t>
      </w:r>
      <w:r w:rsidRPr="00210C56">
        <w:t>certificate</w:t>
      </w:r>
      <w:r w:rsidRPr="003E2824">
        <w:t xml:space="preserve"> mechanism to </w:t>
      </w:r>
      <w:r>
        <w:t xml:space="preserve">verify </w:t>
      </w:r>
      <w:r w:rsidRPr="003E2824">
        <w:t xml:space="preserve">all eligible renewable generation. However, a transitional arrangement would be that until 2030, LGCs would continue to be used to </w:t>
      </w:r>
      <w:r>
        <w:t>verify</w:t>
      </w:r>
      <w:r w:rsidRPr="003E2824">
        <w:t xml:space="preserve"> above-baseline renewable generation, while </w:t>
      </w:r>
      <w:r w:rsidRPr="00210C56">
        <w:t xml:space="preserve">renewable </w:t>
      </w:r>
      <w:r>
        <w:t>GO certificates</w:t>
      </w:r>
      <w:r w:rsidRPr="003E2824">
        <w:t xml:space="preserve"> could only be </w:t>
      </w:r>
      <w:r>
        <w:t>created</w:t>
      </w:r>
      <w:r w:rsidRPr="003E2824">
        <w:t xml:space="preserve"> for below-baseline generation </w:t>
      </w:r>
      <w:r w:rsidRPr="00210C56">
        <w:t xml:space="preserve">or </w:t>
      </w:r>
      <w:r w:rsidR="00153603" w:rsidRPr="00210C56">
        <w:t>generation ineligible under the LRET</w:t>
      </w:r>
      <w:r w:rsidRPr="00210C56">
        <w:t>.</w:t>
      </w:r>
      <w:r w:rsidRPr="003E2824">
        <w:t xml:space="preserve"> </w:t>
      </w:r>
    </w:p>
    <w:p w14:paraId="3D9273D6" w14:textId="328633D3" w:rsidR="000805C8" w:rsidRPr="003E2824" w:rsidRDefault="000805C8" w:rsidP="000805C8">
      <w:r w:rsidRPr="00210C56">
        <w:t>After</w:t>
      </w:r>
      <w:r w:rsidRPr="003E2824" w:rsidDel="006160F9">
        <w:t xml:space="preserve"> </w:t>
      </w:r>
      <w:r w:rsidRPr="003E2824">
        <w:t>2030</w:t>
      </w:r>
      <w:r>
        <w:t xml:space="preserve"> when no LGCs can be created and no liability under the LRET applies</w:t>
      </w:r>
      <w:r w:rsidRPr="003E2824">
        <w:t>, the transitional arrangement would end and renewable GO</w:t>
      </w:r>
      <w:r>
        <w:t xml:space="preserve"> certificates </w:t>
      </w:r>
      <w:r w:rsidRPr="00210C56">
        <w:t xml:space="preserve">would </w:t>
      </w:r>
      <w:r w:rsidRPr="003E2824">
        <w:t xml:space="preserve">be exclusively used for </w:t>
      </w:r>
      <w:r>
        <w:t>veri</w:t>
      </w:r>
      <w:r w:rsidRPr="003E2824">
        <w:t xml:space="preserve">fying </w:t>
      </w:r>
      <w:r w:rsidR="00153603">
        <w:t>all renewable energy</w:t>
      </w:r>
      <w:r w:rsidRPr="003E2824">
        <w:t xml:space="preserve"> generation. </w:t>
      </w:r>
    </w:p>
    <w:p w14:paraId="3672BC2C" w14:textId="77777777" w:rsidR="000805C8" w:rsidRPr="003E2824" w:rsidRDefault="000805C8" w:rsidP="000805C8">
      <w:r w:rsidRPr="003E2824">
        <w:t>This option would provide an enduring mechanism for tracking all renewable generation and ensuring no double counting</w:t>
      </w:r>
      <w:r>
        <w:t xml:space="preserve"> under the market based method</w:t>
      </w:r>
      <w:r w:rsidRPr="003E2824">
        <w:t xml:space="preserve">. </w:t>
      </w:r>
      <w:r>
        <w:t>Under the market based method, surrender of renewable GO certificates, like LGCs, would be assigned a zero emissions factor.</w:t>
      </w:r>
    </w:p>
    <w:p w14:paraId="1A7CBDF1" w14:textId="26826E19" w:rsidR="00E75C8C" w:rsidRDefault="00784A11" w:rsidP="000805C8">
      <w:r>
        <w:t xml:space="preserve">Surrender of renewable energy certificates </w:t>
      </w:r>
      <w:r w:rsidR="00B3674A">
        <w:t>is emerging</w:t>
      </w:r>
      <w:r>
        <w:t xml:space="preserve"> internationally </w:t>
      </w:r>
      <w:r w:rsidR="00872272">
        <w:t xml:space="preserve">as </w:t>
      </w:r>
      <w:r>
        <w:t xml:space="preserve">the primary approach to </w:t>
      </w:r>
      <w:r w:rsidR="00872272">
        <w:t>verifying and tracking renewable electricity inputs into hydrogen production</w:t>
      </w:r>
      <w:r>
        <w:t>, for example under the industry-led CertifHy scheme</w:t>
      </w:r>
      <w:r w:rsidR="00D715EE">
        <w:t xml:space="preserve">. </w:t>
      </w:r>
      <w:r w:rsidR="00872272">
        <w:t>Additionally, u</w:t>
      </w:r>
      <w:r w:rsidR="00D715EE">
        <w:t>nder the CertifHy scheme</w:t>
      </w:r>
      <w:r w:rsidR="00872272">
        <w:t>,</w:t>
      </w:r>
      <w:r w:rsidR="00D715EE">
        <w:t xml:space="preserve"> no distinction is made between above and below baseline renewable electricity.</w:t>
      </w:r>
      <w:r>
        <w:t xml:space="preserve">  </w:t>
      </w:r>
      <w:r w:rsidR="00B3674A">
        <w:t xml:space="preserve">Other countries such as the European Union and the USA have Guarantee of Origin schemes that cover all renewable generation. </w:t>
      </w:r>
      <w:r w:rsidR="00D715EE">
        <w:t>Therefore, w</w:t>
      </w:r>
      <w:r w:rsidR="00D715EE" w:rsidRPr="00210C56">
        <w:t xml:space="preserve">ithout </w:t>
      </w:r>
      <w:r w:rsidR="00D715EE">
        <w:t>a mechanism to recognise below baseline renewable electricity, domestic hydrogen producers</w:t>
      </w:r>
      <w:r w:rsidR="00D715EE" w:rsidRPr="00210C56">
        <w:t xml:space="preserve"> would </w:t>
      </w:r>
      <w:r w:rsidR="00D715EE">
        <w:t>be</w:t>
      </w:r>
      <w:r w:rsidR="00D715EE" w:rsidRPr="00210C56">
        <w:t xml:space="preserve"> at</w:t>
      </w:r>
      <w:r w:rsidR="00D715EE">
        <w:t xml:space="preserve"> a</w:t>
      </w:r>
      <w:r w:rsidR="00D715EE" w:rsidRPr="00210C56">
        <w:t xml:space="preserve"> competitive disadvantage compared to </w:t>
      </w:r>
      <w:r w:rsidR="00D715EE">
        <w:t>those operating under international schemes</w:t>
      </w:r>
      <w:r w:rsidR="00D715EE" w:rsidRPr="00210C56">
        <w:t>.</w:t>
      </w:r>
      <w:r w:rsidR="00D715EE">
        <w:t xml:space="preserve"> </w:t>
      </w:r>
    </w:p>
    <w:p w14:paraId="34E12B6E" w14:textId="48AD37BD" w:rsidR="00784A11" w:rsidRDefault="00D715EE" w:rsidP="000805C8">
      <w:r>
        <w:t xml:space="preserve">Outside of industry, </w:t>
      </w:r>
      <w:r w:rsidR="00B12AEE">
        <w:t xml:space="preserve">the Tasmanian Government has advocated </w:t>
      </w:r>
      <w:r w:rsidR="006B56D1" w:rsidRPr="0026783A">
        <w:t>for</w:t>
      </w:r>
      <w:r w:rsidR="006B56D1">
        <w:t xml:space="preserve"> </w:t>
      </w:r>
      <w:r w:rsidR="00B12AEE">
        <w:t xml:space="preserve">a mechanism to track below baseline renewable electricity </w:t>
      </w:r>
      <w:r w:rsidR="00736FEC">
        <w:t>to provide</w:t>
      </w:r>
      <w:r w:rsidR="00B12AEE" w:rsidRPr="00B12AEE">
        <w:t xml:space="preserve"> a basis for the lowest cost renewable </w:t>
      </w:r>
      <w:r w:rsidR="003D4D12">
        <w:t>electricity</w:t>
      </w:r>
      <w:r w:rsidR="00B12AEE" w:rsidRPr="00B12AEE">
        <w:t xml:space="preserve"> </w:t>
      </w:r>
      <w:r w:rsidR="003D4D12">
        <w:t>as an input to</w:t>
      </w:r>
      <w:r w:rsidR="00B12AEE" w:rsidRPr="00B12AEE">
        <w:t xml:space="preserve"> hydrogen production.</w:t>
      </w:r>
      <w:r w:rsidR="003D4D12">
        <w:t xml:space="preserve"> There has also been non-governmental organisation interest in creating below baseline renewable electricity certificates in Australia ahead of a</w:t>
      </w:r>
      <w:r w:rsidR="00091F42">
        <w:t>n Australian</w:t>
      </w:r>
      <w:r w:rsidR="003D4D12">
        <w:t xml:space="preserve"> Government scheme.</w:t>
      </w:r>
    </w:p>
    <w:p w14:paraId="27E38B45" w14:textId="55A32A90" w:rsidR="000C21C2" w:rsidRDefault="000805C8" w:rsidP="000805C8">
      <w:r w:rsidRPr="00210C56">
        <w:t>Verification</w:t>
      </w:r>
      <w:r>
        <w:t xml:space="preserve"> of below-baseline generation might alternatively be supported through </w:t>
      </w:r>
      <w:r w:rsidRPr="00210C56">
        <w:t>a</w:t>
      </w:r>
      <w:r w:rsidRPr="003E2824">
        <w:t xml:space="preserve"> second option to </w:t>
      </w:r>
      <w:r>
        <w:t xml:space="preserve">establish and </w:t>
      </w:r>
      <w:r w:rsidRPr="003E2824">
        <w:t xml:space="preserve">maintain a register which tracked renewable electricity </w:t>
      </w:r>
      <w:r>
        <w:t xml:space="preserve">agreements </w:t>
      </w:r>
      <w:r w:rsidRPr="003E2824">
        <w:t xml:space="preserve">between </w:t>
      </w:r>
      <w:r>
        <w:t>hydrogen producers</w:t>
      </w:r>
      <w:r w:rsidRPr="003E2824">
        <w:t xml:space="preserve"> and renewable generators. </w:t>
      </w:r>
    </w:p>
    <w:p w14:paraId="6A1828F8" w14:textId="79315E4F" w:rsidR="000805C8" w:rsidRPr="003E2824" w:rsidRDefault="000805C8" w:rsidP="000805C8">
      <w:r w:rsidRPr="003E2824">
        <w:t xml:space="preserve">Given existing responsibilities, the Clean Energy Regulator would be suitable for </w:t>
      </w:r>
      <w:r w:rsidRPr="00210C56">
        <w:t>administering</w:t>
      </w:r>
      <w:r>
        <w:t xml:space="preserve"> the register</w:t>
      </w:r>
      <w:r w:rsidRPr="003E2824">
        <w:t xml:space="preserve">. The Regulator could then </w:t>
      </w:r>
      <w:r>
        <w:t>verify</w:t>
      </w:r>
      <w:r w:rsidRPr="003E2824">
        <w:t xml:space="preserve"> that the entity had </w:t>
      </w:r>
      <w:r w:rsidRPr="00210C56">
        <w:t>funded</w:t>
      </w:r>
      <w:r w:rsidRPr="003E2824">
        <w:t xml:space="preserve"> a specific quantity of renewable electricity to produce their product. </w:t>
      </w:r>
      <w:r>
        <w:t xml:space="preserve">However, a register would not be the preferred approach as it would </w:t>
      </w:r>
      <w:r w:rsidRPr="00210C56">
        <w:t>likely</w:t>
      </w:r>
      <w:r w:rsidDel="009F27DC">
        <w:t xml:space="preserve"> </w:t>
      </w:r>
      <w:r>
        <w:t xml:space="preserve">be relatively inefficient and may make tracking of renewable electricity </w:t>
      </w:r>
      <w:r w:rsidRPr="00210C56">
        <w:t>increasingly</w:t>
      </w:r>
      <w:r>
        <w:t xml:space="preserve"> complex as the hydrogen industry grows and products are moved through supply chains and blended.</w:t>
      </w:r>
    </w:p>
    <w:p w14:paraId="643514F4" w14:textId="04BFBACA" w:rsidR="00954180" w:rsidRPr="00954180" w:rsidRDefault="00954180" w:rsidP="0081712E">
      <w:pPr>
        <w:pStyle w:val="Calloutbox"/>
        <w:keepNext/>
        <w:rPr>
          <w:b/>
        </w:rPr>
      </w:pPr>
      <w:r w:rsidRPr="00954180">
        <w:rPr>
          <w:b/>
        </w:rPr>
        <w:lastRenderedPageBreak/>
        <w:t>Questions:</w:t>
      </w:r>
    </w:p>
    <w:p w14:paraId="6371B8F8" w14:textId="7CD1DADC" w:rsidR="00954180" w:rsidRPr="00954180" w:rsidRDefault="000C21C2" w:rsidP="00424AC3">
      <w:pPr>
        <w:pStyle w:val="Calloutbox"/>
        <w:numPr>
          <w:ilvl w:val="0"/>
          <w:numId w:val="34"/>
        </w:numPr>
      </w:pPr>
      <w:r>
        <w:t>What are your views on</w:t>
      </w:r>
      <w:r w:rsidR="00954180">
        <w:t xml:space="preserve"> using voluntary surrender of LGCs to </w:t>
      </w:r>
      <w:r w:rsidR="00954180" w:rsidRPr="00210C56">
        <w:t>verify</w:t>
      </w:r>
      <w:r w:rsidR="00954180">
        <w:t xml:space="preserve"> the consumption of renewable electricity under the market based method</w:t>
      </w:r>
      <w:r>
        <w:t>, compared to the alternative of a location-based method</w:t>
      </w:r>
      <w:r w:rsidR="00954180">
        <w:t>?</w:t>
      </w:r>
    </w:p>
    <w:p w14:paraId="1CD1E441" w14:textId="695A37F8" w:rsidR="00954180" w:rsidRPr="003E2824" w:rsidRDefault="00954180" w:rsidP="00424AC3">
      <w:pPr>
        <w:pStyle w:val="Calloutbox"/>
        <w:numPr>
          <w:ilvl w:val="0"/>
          <w:numId w:val="34"/>
        </w:numPr>
      </w:pPr>
      <w:r w:rsidRPr="003E2824">
        <w:t xml:space="preserve">Do you agree that </w:t>
      </w:r>
      <w:r w:rsidR="000C21C2">
        <w:t xml:space="preserve">a means of identifying consumption of </w:t>
      </w:r>
      <w:r w:rsidRPr="003E2824">
        <w:t>below</w:t>
      </w:r>
      <w:r w:rsidR="000C21C2">
        <w:t>-</w:t>
      </w:r>
      <w:r w:rsidRPr="003E2824">
        <w:t>LRET</w:t>
      </w:r>
      <w:r w:rsidR="000C21C2">
        <w:t>-</w:t>
      </w:r>
      <w:r w:rsidRPr="003E2824">
        <w:t>baseline renewable electricity generation would be beneficial for the hydrogen certification scheme?</w:t>
      </w:r>
    </w:p>
    <w:p w14:paraId="070335CA" w14:textId="22193C32" w:rsidR="008341B7" w:rsidRDefault="000C21C2" w:rsidP="00424AC3">
      <w:pPr>
        <w:pStyle w:val="Calloutbox"/>
        <w:numPr>
          <w:ilvl w:val="0"/>
          <w:numId w:val="34"/>
        </w:numPr>
      </w:pPr>
      <w:r>
        <w:t>What are your views on establishing a new</w:t>
      </w:r>
      <w:r w:rsidR="008341B7">
        <w:t xml:space="preserve"> renewable </w:t>
      </w:r>
      <w:r>
        <w:t>guarantee-of-origin</w:t>
      </w:r>
      <w:r w:rsidR="008341B7">
        <w:t xml:space="preserve"> </w:t>
      </w:r>
      <w:r w:rsidR="008341B7" w:rsidRPr="00210C56">
        <w:t>certificate for</w:t>
      </w:r>
      <w:r w:rsidR="008341B7" w:rsidRPr="003E2824">
        <w:t xml:space="preserve"> </w:t>
      </w:r>
      <w:r w:rsidR="008341B7">
        <w:t>verif</w:t>
      </w:r>
      <w:r w:rsidR="008341B7" w:rsidRPr="003E2824">
        <w:t xml:space="preserve">ying below-baseline </w:t>
      </w:r>
      <w:r w:rsidR="008341B7">
        <w:t xml:space="preserve">and post-2030 </w:t>
      </w:r>
      <w:r w:rsidR="008341B7" w:rsidRPr="003E2824">
        <w:t>renewable electricity?</w:t>
      </w:r>
    </w:p>
    <w:p w14:paraId="3B2E4324" w14:textId="68EF4FD6" w:rsidR="00954180" w:rsidRPr="003E2824" w:rsidRDefault="00954180" w:rsidP="00424AC3">
      <w:pPr>
        <w:pStyle w:val="Calloutbox"/>
        <w:numPr>
          <w:ilvl w:val="0"/>
          <w:numId w:val="34"/>
        </w:numPr>
      </w:pPr>
      <w:r w:rsidRPr="003E2824">
        <w:t xml:space="preserve">What would be </w:t>
      </w:r>
      <w:r w:rsidR="000C21C2">
        <w:t>the</w:t>
      </w:r>
      <w:r w:rsidRPr="003E2824">
        <w:t xml:space="preserve"> </w:t>
      </w:r>
      <w:r w:rsidR="000C21C2">
        <w:t>effect</w:t>
      </w:r>
      <w:r w:rsidR="000C21C2" w:rsidRPr="00210C56">
        <w:t xml:space="preserve"> </w:t>
      </w:r>
      <w:r w:rsidRPr="003E2824">
        <w:t>of having a general certification scheme for renewable electricity?</w:t>
      </w:r>
    </w:p>
    <w:p w14:paraId="5D4A5DF0" w14:textId="23081575" w:rsidR="000805C8" w:rsidRPr="003E2824" w:rsidRDefault="000805C8" w:rsidP="006F7D33">
      <w:pPr>
        <w:pStyle w:val="Heading3"/>
      </w:pPr>
      <w:r>
        <w:t>3.5</w:t>
      </w:r>
      <w:r w:rsidRPr="003E2824">
        <w:t>.</w:t>
      </w:r>
      <w:r>
        <w:t>1</w:t>
      </w:r>
      <w:r w:rsidRPr="003E2824">
        <w:t xml:space="preserve"> Recognition of other </w:t>
      </w:r>
      <w:r w:rsidR="000F1BF1" w:rsidRPr="003E2824">
        <w:t xml:space="preserve">renewable energy </w:t>
      </w:r>
      <w:r w:rsidRPr="003E2824">
        <w:t xml:space="preserve">sources </w:t>
      </w:r>
    </w:p>
    <w:p w14:paraId="00DD526C" w14:textId="1A93F459" w:rsidR="000C21C2" w:rsidRDefault="000C21C2" w:rsidP="000805C8">
      <w:r>
        <w:t>Under the approach described above, s</w:t>
      </w:r>
      <w:r w:rsidR="000805C8" w:rsidRPr="003E2824">
        <w:t>urrender of LGCs for above baseline electricity and renewable GO</w:t>
      </w:r>
      <w:r w:rsidR="000805C8">
        <w:t xml:space="preserve"> </w:t>
      </w:r>
      <w:r w:rsidR="000805C8" w:rsidRPr="00210C56">
        <w:t>certificates</w:t>
      </w:r>
      <w:r w:rsidR="000805C8" w:rsidRPr="003E2824">
        <w:t xml:space="preserve"> for below-baseline electricity would be the primary way in which renewable electricity would be </w:t>
      </w:r>
      <w:r w:rsidR="00E71963">
        <w:t>verified</w:t>
      </w:r>
      <w:r w:rsidR="00E71963" w:rsidRPr="003E2824">
        <w:t xml:space="preserve"> </w:t>
      </w:r>
      <w:r w:rsidR="000805C8" w:rsidRPr="003E2824">
        <w:t xml:space="preserve">for hydrogen production. </w:t>
      </w:r>
    </w:p>
    <w:p w14:paraId="0902B4DB" w14:textId="233E8D28" w:rsidR="000805C8" w:rsidRPr="003E2824" w:rsidRDefault="000805C8" w:rsidP="000805C8">
      <w:r w:rsidRPr="003E2824">
        <w:t xml:space="preserve">However, a company might purchase renewable electricity from other sources which are not recognised under </w:t>
      </w:r>
      <w:r w:rsidRPr="00210C56">
        <w:t>th</w:t>
      </w:r>
      <w:r w:rsidR="000C21C2">
        <w:t>e</w:t>
      </w:r>
      <w:r w:rsidRPr="003E2824">
        <w:t xml:space="preserve"> framework</w:t>
      </w:r>
      <w:r w:rsidR="000C21C2">
        <w:t xml:space="preserve"> described above</w:t>
      </w:r>
      <w:r w:rsidRPr="00210C56">
        <w:t>.</w:t>
      </w:r>
      <w:r w:rsidRPr="003E2824">
        <w:t xml:space="preserve"> </w:t>
      </w:r>
      <w:r>
        <w:t xml:space="preserve">As </w:t>
      </w:r>
      <w:r w:rsidRPr="00210C56">
        <w:t>section 3.4 sets out</w:t>
      </w:r>
      <w:r w:rsidRPr="003E2824">
        <w:t>, these other sources of electricity are also proposed to be treated as renewable electricity and be assigned a zero emissions factor. This includes cases where:</w:t>
      </w:r>
    </w:p>
    <w:p w14:paraId="47E0E1EA" w14:textId="4D6AB838" w:rsidR="000805C8" w:rsidRPr="003E2824" w:rsidRDefault="000805C8" w:rsidP="00C20DB5">
      <w:pPr>
        <w:pStyle w:val="ListParagraph"/>
        <w:numPr>
          <w:ilvl w:val="0"/>
          <w:numId w:val="22"/>
        </w:numPr>
      </w:pPr>
      <w:r w:rsidRPr="003E2824">
        <w:t>A company purchases electricity through GreenPower</w:t>
      </w:r>
      <w:r w:rsidR="00D27609">
        <w:t>.</w:t>
      </w:r>
    </w:p>
    <w:p w14:paraId="1947BC3B" w14:textId="6DD221F2" w:rsidR="000805C8" w:rsidRPr="003E2824" w:rsidRDefault="000805C8" w:rsidP="00C20DB5">
      <w:pPr>
        <w:pStyle w:val="ListParagraph"/>
        <w:numPr>
          <w:ilvl w:val="0"/>
          <w:numId w:val="22"/>
        </w:numPr>
      </w:pPr>
      <w:r w:rsidRPr="003E2824">
        <w:t xml:space="preserve">A business is located in </w:t>
      </w:r>
      <w:r w:rsidRPr="00210C56">
        <w:t>a state</w:t>
      </w:r>
      <w:r w:rsidRPr="003E2824" w:rsidDel="00ED7605">
        <w:t xml:space="preserve"> </w:t>
      </w:r>
      <w:r>
        <w:t>or</w:t>
      </w:r>
      <w:r w:rsidRPr="003E2824">
        <w:t xml:space="preserve"> territory which surrenders LGCs</w:t>
      </w:r>
      <w:r w:rsidR="000C21C2">
        <w:t>,</w:t>
      </w:r>
      <w:r w:rsidRPr="003E2824">
        <w:t xml:space="preserve"> on behalf of energy consumers</w:t>
      </w:r>
      <w:r w:rsidR="000C21C2">
        <w:t>,</w:t>
      </w:r>
      <w:r w:rsidRPr="003E2824">
        <w:t xml:space="preserve"> equivalent to a certain percentage of renewable energy</w:t>
      </w:r>
      <w:r w:rsidR="000C21C2">
        <w:t xml:space="preserve"> consumed in that jurisdiction</w:t>
      </w:r>
      <w:r w:rsidR="00D27609">
        <w:t>.</w:t>
      </w:r>
      <w:r w:rsidRPr="003E2824">
        <w:t xml:space="preserve"> </w:t>
      </w:r>
    </w:p>
    <w:p w14:paraId="316D2F49" w14:textId="77777777" w:rsidR="000C21C2" w:rsidRPr="00D715EE" w:rsidRDefault="000805C8" w:rsidP="00C20DB5">
      <w:pPr>
        <w:pStyle w:val="ListParagraph"/>
        <w:numPr>
          <w:ilvl w:val="0"/>
          <w:numId w:val="22"/>
        </w:numPr>
        <w:rPr>
          <w:u w:val="single"/>
        </w:rPr>
      </w:pPr>
      <w:r w:rsidRPr="003E2824">
        <w:t xml:space="preserve">A company makes renewable energy purchases attributable to the </w:t>
      </w:r>
      <w:r w:rsidR="00111781" w:rsidRPr="003E2824">
        <w:t xml:space="preserve">Renewable Power Percentage </w:t>
      </w:r>
      <w:r w:rsidR="00111781">
        <w:t>(</w:t>
      </w:r>
      <w:r w:rsidRPr="003E2824">
        <w:t>RPP</w:t>
      </w:r>
      <w:r w:rsidR="00111781">
        <w:t xml:space="preserve">). </w:t>
      </w:r>
    </w:p>
    <w:p w14:paraId="4C3DA0A5" w14:textId="77777777" w:rsidR="000C21C2" w:rsidRPr="00D715EE" w:rsidRDefault="00111781" w:rsidP="00C20DB5">
      <w:pPr>
        <w:pStyle w:val="ListParagraph"/>
        <w:numPr>
          <w:ilvl w:val="1"/>
          <w:numId w:val="22"/>
        </w:numPr>
        <w:rPr>
          <w:u w:val="single"/>
        </w:rPr>
      </w:pPr>
      <w:r w:rsidRPr="00210C56">
        <w:t>However</w:t>
      </w:r>
      <w:r w:rsidR="000805C8" w:rsidRPr="00210C56">
        <w:t>,</w:t>
      </w:r>
      <w:r w:rsidR="000805C8" w:rsidRPr="003E2824">
        <w:t xml:space="preserve"> </w:t>
      </w:r>
      <w:r>
        <w:t>this</w:t>
      </w:r>
      <w:r w:rsidR="000805C8" w:rsidRPr="003E2824">
        <w:t xml:space="preserve"> does not include companies with exemptions from liability</w:t>
      </w:r>
      <w:r w:rsidR="000805C8">
        <w:t xml:space="preserve"> such as under emissions-intensive trade-exposed activities or in remote facilities not subject to the LRET. </w:t>
      </w:r>
    </w:p>
    <w:p w14:paraId="700CDE53" w14:textId="7348C948" w:rsidR="000805C8" w:rsidRPr="003E2824" w:rsidRDefault="000805C8" w:rsidP="00C20DB5">
      <w:pPr>
        <w:pStyle w:val="ListParagraph"/>
        <w:numPr>
          <w:ilvl w:val="1"/>
          <w:numId w:val="22"/>
        </w:numPr>
        <w:rPr>
          <w:u w:val="single"/>
        </w:rPr>
      </w:pPr>
      <w:r>
        <w:t>This is justified on the basis that, under the LRET, the RPP sets the level of liability for liable entities who must purchase and surrender proportionate LGCs. The cost of purchasing and surrendering LGCs is passed on to electricity consumers who can therefore be understood to implicitly purchase a share of renewable electricity corresponding to the RPP.</w:t>
      </w:r>
    </w:p>
    <w:p w14:paraId="4FE6A051" w14:textId="489A1446" w:rsidR="000D4F70" w:rsidRPr="000D4F70" w:rsidRDefault="000805C8" w:rsidP="00C20DB5">
      <w:pPr>
        <w:pStyle w:val="ListParagraph"/>
        <w:numPr>
          <w:ilvl w:val="0"/>
          <w:numId w:val="22"/>
        </w:numPr>
      </w:pPr>
      <w:r>
        <w:t>A company uses electricity from behind</w:t>
      </w:r>
      <w:r w:rsidR="000C21C2">
        <w:t>-</w:t>
      </w:r>
      <w:r>
        <w:t>the</w:t>
      </w:r>
      <w:r w:rsidR="000C21C2">
        <w:t>-</w:t>
      </w:r>
      <w:r>
        <w:t xml:space="preserve">meter solar photovoltaic (PV) generation. If above 100 kW, the company would need </w:t>
      </w:r>
      <w:r w:rsidRPr="00210C56">
        <w:t xml:space="preserve">to </w:t>
      </w:r>
      <w:r w:rsidR="00AA1FAC" w:rsidRPr="00210C56">
        <w:t xml:space="preserve">generate and </w:t>
      </w:r>
      <w:r w:rsidRPr="00210C56">
        <w:t>surrender LGCs</w:t>
      </w:r>
      <w:r w:rsidR="00AA1FAC" w:rsidRPr="00210C56">
        <w:t xml:space="preserve"> if calculating under the market based method</w:t>
      </w:r>
      <w:r w:rsidRPr="00210C56">
        <w:t xml:space="preserve">. </w:t>
      </w:r>
      <w:r w:rsidR="000D4F70">
        <w:t>If below or at 100 kW, behind-the-</w:t>
      </w:r>
      <w:r w:rsidR="000D4F70" w:rsidRPr="000D4F70">
        <w:t xml:space="preserve">meter usage may be reported and assigned an emissions factor of zero, regardless of whether any STCs associated with this generation have been </w:t>
      </w:r>
      <w:r w:rsidR="000D4F70">
        <w:t>surrendered</w:t>
      </w:r>
      <w:r w:rsidR="000D4F70" w:rsidRPr="000D4F70">
        <w:t>.</w:t>
      </w:r>
    </w:p>
    <w:p w14:paraId="56A6982C" w14:textId="34BADA3F" w:rsidR="00954180" w:rsidRPr="00954180" w:rsidRDefault="00954180" w:rsidP="0081712E">
      <w:pPr>
        <w:pStyle w:val="Calloutbox"/>
        <w:keepNext/>
        <w:rPr>
          <w:b/>
        </w:rPr>
      </w:pPr>
      <w:r>
        <w:rPr>
          <w:b/>
        </w:rPr>
        <w:t>Question</w:t>
      </w:r>
      <w:r w:rsidRPr="00954180">
        <w:rPr>
          <w:b/>
        </w:rPr>
        <w:t>:</w:t>
      </w:r>
    </w:p>
    <w:p w14:paraId="5E2FE529" w14:textId="37E6B399" w:rsidR="00954180" w:rsidRDefault="00954180" w:rsidP="00B361D9">
      <w:pPr>
        <w:pStyle w:val="Calloutbox"/>
        <w:numPr>
          <w:ilvl w:val="0"/>
          <w:numId w:val="34"/>
        </w:numPr>
      </w:pPr>
      <w:r w:rsidRPr="003E2824">
        <w:t>Do you agree that certification should recognise other sources of renewable electricity</w:t>
      </w:r>
      <w:r w:rsidRPr="00210C56">
        <w:t xml:space="preserve">, including </w:t>
      </w:r>
      <w:r w:rsidR="00102F40" w:rsidRPr="00210C56">
        <w:t>those outlined above</w:t>
      </w:r>
      <w:r w:rsidRPr="00210C56">
        <w:t>?</w:t>
      </w:r>
    </w:p>
    <w:p w14:paraId="20C64E1C" w14:textId="77777777" w:rsidR="00961123" w:rsidRDefault="00961123">
      <w:pPr>
        <w:rPr>
          <w:rFonts w:asciiTheme="majorHAnsi" w:eastAsiaTheme="majorEastAsia" w:hAnsiTheme="majorHAnsi" w:cstheme="majorBidi"/>
          <w:color w:val="005677" w:themeColor="text2"/>
          <w:sz w:val="40"/>
          <w:szCs w:val="48"/>
        </w:rPr>
      </w:pPr>
      <w:bookmarkStart w:id="299" w:name="_Toc68000208"/>
      <w:bookmarkStart w:id="300" w:name="_Toc68083139"/>
      <w:bookmarkStart w:id="301" w:name="_Toc68083534"/>
      <w:bookmarkStart w:id="302" w:name="_Toc68105073"/>
      <w:r>
        <w:br w:type="page"/>
      </w:r>
    </w:p>
    <w:p w14:paraId="31CE4339" w14:textId="61840525" w:rsidR="00C32FBF" w:rsidRDefault="00277D18" w:rsidP="003B47A9">
      <w:pPr>
        <w:pStyle w:val="Heading2"/>
      </w:pPr>
      <w:bookmarkStart w:id="303" w:name="_Toc74839352"/>
      <w:r>
        <w:lastRenderedPageBreak/>
        <w:t>3.</w:t>
      </w:r>
      <w:r w:rsidR="000805C8">
        <w:t>6</w:t>
      </w:r>
      <w:r w:rsidR="00C32FBF">
        <w:t xml:space="preserve"> Allocating emissions to co-products</w:t>
      </w:r>
      <w:bookmarkEnd w:id="295"/>
      <w:bookmarkEnd w:id="296"/>
      <w:bookmarkEnd w:id="297"/>
      <w:bookmarkEnd w:id="299"/>
      <w:bookmarkEnd w:id="300"/>
      <w:bookmarkEnd w:id="301"/>
      <w:bookmarkEnd w:id="302"/>
      <w:bookmarkEnd w:id="303"/>
    </w:p>
    <w:p w14:paraId="1C894883" w14:textId="5927DB5E" w:rsidR="0092002B" w:rsidRDefault="00C32FBF" w:rsidP="00C32FBF">
      <w:r>
        <w:t>Product</w:t>
      </w:r>
      <w:r w:rsidR="00BB545E">
        <w:t>ion pathways for hydrogen can</w:t>
      </w:r>
      <w:r>
        <w:t xml:space="preserve"> result in various waste products, by-products and co</w:t>
      </w:r>
      <w:r w:rsidR="00B17010">
        <w:noBreakHyphen/>
      </w:r>
      <w:r>
        <w:t xml:space="preserve">products. </w:t>
      </w:r>
      <w:r w:rsidR="0088438C">
        <w:t>Co-products a</w:t>
      </w:r>
      <w:r w:rsidR="000B7E84">
        <w:t>re products that have value from being</w:t>
      </w:r>
      <w:r w:rsidR="0088438C">
        <w:t xml:space="preserve"> on-</w:t>
      </w:r>
      <w:r w:rsidR="00B93FB0">
        <w:t>sold or re-used in the facility</w:t>
      </w:r>
      <w:r w:rsidR="0088438C">
        <w:t xml:space="preserve">. </w:t>
      </w:r>
      <w:r w:rsidR="00963AD1">
        <w:t>For example through electrolysis, water is split into hydrogen and oxygen. The hydrogen is the main product and o</w:t>
      </w:r>
      <w:r w:rsidR="000B7E84">
        <w:t>xygen could be considered</w:t>
      </w:r>
      <w:r w:rsidR="00B17010">
        <w:t xml:space="preserve"> </w:t>
      </w:r>
      <w:r w:rsidR="00811FC2">
        <w:t>a co-product</w:t>
      </w:r>
      <w:r w:rsidR="0088438C">
        <w:t xml:space="preserve"> if it is sold</w:t>
      </w:r>
      <w:r w:rsidR="00963AD1">
        <w:t xml:space="preserve">. </w:t>
      </w:r>
    </w:p>
    <w:p w14:paraId="50F5B1CE" w14:textId="69179B75" w:rsidR="00C32FBF" w:rsidRDefault="00133053" w:rsidP="00C32FBF">
      <w:r w:rsidRPr="008C3B62">
        <w:t>ISO 14044 and the GHG Protocol</w:t>
      </w:r>
      <w:r>
        <w:t xml:space="preserve"> Standard </w:t>
      </w:r>
      <w:r w:rsidRPr="008C3B62">
        <w:t xml:space="preserve">distinguish between the </w:t>
      </w:r>
      <w:r w:rsidR="00E66A80">
        <w:t xml:space="preserve">main </w:t>
      </w:r>
      <w:r w:rsidRPr="008C3B62">
        <w:t xml:space="preserve">product which is being studied as part of the GHG </w:t>
      </w:r>
      <w:r w:rsidR="00B22CDC">
        <w:t>analysis</w:t>
      </w:r>
      <w:r w:rsidR="005539D7">
        <w:t xml:space="preserve"> and other co-product(s)</w:t>
      </w:r>
      <w:r w:rsidRPr="008C3B62">
        <w:t>.</w:t>
      </w:r>
      <w:r w:rsidR="00CD7EE6">
        <w:t xml:space="preserve"> </w:t>
      </w:r>
      <w:r w:rsidR="00C32FBF">
        <w:t>Consequently, the total emissions resulting from the hydrogen production should be separated between the hydrogen and the number of co-products wher</w:t>
      </w:r>
      <w:r w:rsidR="00206AAC">
        <w:t xml:space="preserve">e these products are </w:t>
      </w:r>
      <w:r w:rsidR="00963AD1">
        <w:t>on-sold</w:t>
      </w:r>
      <w:r w:rsidR="00206AAC">
        <w:t>.</w:t>
      </w:r>
    </w:p>
    <w:p w14:paraId="6469A5DD" w14:textId="030FD574" w:rsidR="004209E4" w:rsidRDefault="000B7E84" w:rsidP="004209E4">
      <w:pPr>
        <w:rPr>
          <w:rFonts w:ascii="Calibri" w:eastAsia="Calibri" w:hAnsi="Calibri" w:cs="Calibri"/>
        </w:rPr>
      </w:pPr>
      <w:r>
        <w:rPr>
          <w:rFonts w:ascii="Calibri" w:eastAsia="Calibri" w:hAnsi="Calibri" w:cs="Calibri"/>
        </w:rPr>
        <w:t xml:space="preserve">In many cases the </w:t>
      </w:r>
      <w:r w:rsidR="004209E4" w:rsidRPr="717B18E7">
        <w:rPr>
          <w:rFonts w:ascii="Calibri" w:eastAsia="Calibri" w:hAnsi="Calibri" w:cs="Calibri"/>
        </w:rPr>
        <w:t>emissions associated with main product and co-products cannot be independently measured, and therefore it is necessary allocate a share of emissions to each of the products. This is not always clear cut, and the choice of allocation method can have a significant impact on the results of the GHG analysis. To achieve consistency across the pathways, the same allocation method should be applied to similar inputs and outputs.</w:t>
      </w:r>
    </w:p>
    <w:p w14:paraId="54F4AE8E" w14:textId="1A4EA63A" w:rsidR="00B22CDC" w:rsidRDefault="005539D7" w:rsidP="00C32FBF">
      <w:r>
        <w:t>ISO 14044 identifies</w:t>
      </w:r>
      <w:r w:rsidR="00B22CDC">
        <w:t xml:space="preserve"> two main methods for </w:t>
      </w:r>
      <w:r w:rsidR="004209E4">
        <w:t>allocation (</w:t>
      </w:r>
      <w:r w:rsidR="00B22CDC">
        <w:t>dividi</w:t>
      </w:r>
      <w:r>
        <w:t>ng emissions between products</w:t>
      </w:r>
      <w:r w:rsidR="004209E4">
        <w:t>)</w:t>
      </w:r>
      <w:r w:rsidR="00FE1E87">
        <w:t>:</w:t>
      </w:r>
      <w:r>
        <w:t xml:space="preserve"> </w:t>
      </w:r>
      <w:r w:rsidR="00FE1E87">
        <w:t xml:space="preserve">the </w:t>
      </w:r>
      <w:r>
        <w:t>s</w:t>
      </w:r>
      <w:r w:rsidR="00A11BFF">
        <w:t>ystem expansion</w:t>
      </w:r>
      <w:r w:rsidR="00FE1E87">
        <w:t xml:space="preserve"> method and the </w:t>
      </w:r>
      <w:r w:rsidR="00A11BFF">
        <w:t xml:space="preserve">allocation </w:t>
      </w:r>
      <w:r w:rsidR="00FE1E87">
        <w:t xml:space="preserve">method. The standard </w:t>
      </w:r>
      <w:r w:rsidR="00A11BFF" w:rsidRPr="00A11BFF">
        <w:t>suggests using system expansion whenever possible and where it is not</w:t>
      </w:r>
      <w:r w:rsidR="00FE1E87">
        <w:t xml:space="preserve">, the </w:t>
      </w:r>
      <w:r w:rsidR="00A11BFF" w:rsidRPr="00A11BFF">
        <w:t>allocation</w:t>
      </w:r>
      <w:r w:rsidR="00FE1E87">
        <w:t xml:space="preserve"> method</w:t>
      </w:r>
      <w:r w:rsidR="00A11BFF" w:rsidRPr="00A11BFF">
        <w:t xml:space="preserve"> can be used instead.</w:t>
      </w:r>
    </w:p>
    <w:p w14:paraId="4F10AC98" w14:textId="0743B335" w:rsidR="00133053" w:rsidRDefault="005539D7" w:rsidP="00C32FBF">
      <w:r>
        <w:t xml:space="preserve">In </w:t>
      </w:r>
      <w:r w:rsidR="00FE1E87">
        <w:t xml:space="preserve">the </w:t>
      </w:r>
      <w:r>
        <w:t xml:space="preserve">system expansion </w:t>
      </w:r>
      <w:r w:rsidR="00FE1E87">
        <w:t xml:space="preserve">method, </w:t>
      </w:r>
      <w:r>
        <w:t xml:space="preserve">co-products are considered alternatives to other products on the market. </w:t>
      </w:r>
      <w:r w:rsidR="00E66A80">
        <w:t xml:space="preserve">The </w:t>
      </w:r>
      <w:r>
        <w:t xml:space="preserve">co-product can be </w:t>
      </w:r>
      <w:r w:rsidR="00E66A80">
        <w:t>considered to displace</w:t>
      </w:r>
      <w:r>
        <w:t xml:space="preserve"> the alternative product, and therefore the emissions of the alternative produc</w:t>
      </w:r>
      <w:r w:rsidR="006427F6">
        <w:t xml:space="preserve">t could </w:t>
      </w:r>
      <w:r>
        <w:t>be attributed to the co-product. For example, where electricity is a co-product it can be assumed that the sale of that electricity would displace an equivalent amount of electricity that would have been sourced from the relevant electricity grid. Therefore, emissions could be attributed</w:t>
      </w:r>
      <w:r w:rsidR="00DE76FA">
        <w:t xml:space="preserve"> to t</w:t>
      </w:r>
      <w:r w:rsidR="00DE76FA" w:rsidRPr="00122881">
        <w:t>he el</w:t>
      </w:r>
      <w:r>
        <w:t>ectricity co-product by</w:t>
      </w:r>
      <w:r w:rsidR="00DE76FA" w:rsidRPr="00122881">
        <w:t xml:space="preserve"> using the relevant </w:t>
      </w:r>
      <w:r w:rsidR="00DE76FA">
        <w:t>electricity grid emissions</w:t>
      </w:r>
      <w:r w:rsidR="00DE76FA" w:rsidRPr="00122881">
        <w:t xml:space="preserve"> factor</w:t>
      </w:r>
      <w:r w:rsidR="00DE76FA">
        <w:t xml:space="preserve"> in that region. </w:t>
      </w:r>
    </w:p>
    <w:p w14:paraId="2AEB78E6" w14:textId="110F52AD" w:rsidR="004C2980" w:rsidRDefault="0092787F" w:rsidP="00C32FBF">
      <w:r>
        <w:t>A</w:t>
      </w:r>
      <w:r w:rsidR="004C2980" w:rsidRPr="00122881">
        <w:t xml:space="preserve"> system expan</w:t>
      </w:r>
      <w:r w:rsidR="006427F6">
        <w:t>sion approach</w:t>
      </w:r>
      <w:r w:rsidR="004C2980" w:rsidRPr="00122881">
        <w:t xml:space="preserve"> is not </w:t>
      </w:r>
      <w:r w:rsidR="00B5685D">
        <w:t>always</w:t>
      </w:r>
      <w:r w:rsidR="004C2980" w:rsidRPr="00122881">
        <w:t xml:space="preserve"> applicable to co-products from hydrogen production pathways. </w:t>
      </w:r>
      <w:r w:rsidR="00B5685D">
        <w:t>In</w:t>
      </w:r>
      <w:r w:rsidR="004C2980" w:rsidRPr="00122881">
        <w:t xml:space="preserve"> some cases a substitute system</w:t>
      </w:r>
      <w:r w:rsidR="006427F6">
        <w:t xml:space="preserve"> or product</w:t>
      </w:r>
      <w:r w:rsidR="004C2980" w:rsidRPr="00122881">
        <w:t xml:space="preserve"> may not be available</w:t>
      </w:r>
      <w:r w:rsidR="004C2980">
        <w:t xml:space="preserve"> and there may be a lack of certainty around co-product uses</w:t>
      </w:r>
      <w:r w:rsidR="004C2980" w:rsidRPr="00122881">
        <w:t>.</w:t>
      </w:r>
      <w:r w:rsidR="004C2980">
        <w:t xml:space="preserve"> </w:t>
      </w:r>
    </w:p>
    <w:p w14:paraId="7BED6402" w14:textId="28E99E68" w:rsidR="00C32FBF" w:rsidRDefault="00DE76FA" w:rsidP="00C32FBF">
      <w:r>
        <w:t>Where both direc</w:t>
      </w:r>
      <w:r w:rsidR="00E57F85">
        <w:t xml:space="preserve">t measurement and </w:t>
      </w:r>
      <w:r w:rsidR="006D31CB">
        <w:t xml:space="preserve">use of the </w:t>
      </w:r>
      <w:r w:rsidR="00E57F85">
        <w:t xml:space="preserve">system expansion </w:t>
      </w:r>
      <w:r w:rsidR="006D31CB">
        <w:t xml:space="preserve">method </w:t>
      </w:r>
      <w:r w:rsidR="00E57F85">
        <w:t xml:space="preserve">are not </w:t>
      </w:r>
      <w:r w:rsidR="00B5685D">
        <w:t>options, the</w:t>
      </w:r>
      <w:r w:rsidR="001E32EF" w:rsidRPr="00122881">
        <w:t xml:space="preserve"> GHG Protocol and ISO 14044 both suggest that, where possible, emissions should be allocated on the basis of </w:t>
      </w:r>
      <w:r w:rsidR="00A11BFF">
        <w:t xml:space="preserve">an </w:t>
      </w:r>
      <w:r w:rsidR="001E32EF" w:rsidRPr="00122881">
        <w:t>underlying physical relationship between the produ</w:t>
      </w:r>
      <w:r w:rsidR="00811FC2">
        <w:t>ct, co-product(s) and</w:t>
      </w:r>
      <w:r w:rsidR="001E32EF" w:rsidRPr="00122881">
        <w:t xml:space="preserve"> emissions</w:t>
      </w:r>
      <w:r w:rsidR="001E32EF">
        <w:t>.</w:t>
      </w:r>
      <w:r w:rsidR="00133053">
        <w:t xml:space="preserve"> </w:t>
      </w:r>
      <w:r w:rsidR="00C32FBF">
        <w:t xml:space="preserve">There are three physical relationships that could apply to apportioning emissions from hydrogen production to co-products; </w:t>
      </w:r>
      <w:r w:rsidR="00CC32AB">
        <w:t xml:space="preserve">division by </w:t>
      </w:r>
      <w:r w:rsidR="007F5E10">
        <w:t xml:space="preserve">relative </w:t>
      </w:r>
      <w:r w:rsidR="00C32FBF">
        <w:t xml:space="preserve">energy, mass </w:t>
      </w:r>
      <w:r w:rsidR="00CC32AB">
        <w:t xml:space="preserve">or </w:t>
      </w:r>
      <w:r w:rsidR="00C32FBF">
        <w:t>molar</w:t>
      </w:r>
      <w:r w:rsidR="00CC32AB">
        <w:t xml:space="preserve"> content</w:t>
      </w:r>
      <w:r w:rsidR="00C32FBF">
        <w:t>. Economic allocations are also possible based</w:t>
      </w:r>
      <w:r w:rsidR="006427F6">
        <w:t xml:space="preserve"> on the market value of each of the </w:t>
      </w:r>
      <w:r w:rsidR="00C32FBF">
        <w:t>product</w:t>
      </w:r>
      <w:r w:rsidR="006427F6">
        <w:t>s</w:t>
      </w:r>
      <w:r w:rsidR="00C32FBF">
        <w:t xml:space="preserve"> as they exit the process. </w:t>
      </w:r>
      <w:r w:rsidR="006427F6">
        <w:t>However economic allocation can introduce variability in hydrogen emissions intensity due to fluctuations in exchange rates and market dynamics for the varying products and co</w:t>
      </w:r>
      <w:r w:rsidR="001B0FB1">
        <w:noBreakHyphen/>
      </w:r>
      <w:r w:rsidR="006427F6">
        <w:t>products</w:t>
      </w:r>
      <w:r w:rsidR="006427F6" w:rsidRPr="008C3B62">
        <w:t>.</w:t>
      </w:r>
    </w:p>
    <w:p w14:paraId="5F47E4D0" w14:textId="0305730D" w:rsidR="00BB77CB" w:rsidRDefault="00C32FBF" w:rsidP="00C32FBF">
      <w:r w:rsidRPr="00BB7146">
        <w:t xml:space="preserve">The guidance </w:t>
      </w:r>
      <w:r>
        <w:t>included within the GHG Protocol Standard</w:t>
      </w:r>
      <w:r w:rsidR="006427F6">
        <w:t xml:space="preserve"> and ISO 14044</w:t>
      </w:r>
      <w:r>
        <w:t xml:space="preserve"> </w:t>
      </w:r>
      <w:r w:rsidRPr="00BB7146">
        <w:t xml:space="preserve">suggests that physical allocation should be prioritised, and if emissions and removals cannot be allocated on this basis, </w:t>
      </w:r>
      <w:r>
        <w:t>then economic allocation can be used</w:t>
      </w:r>
      <w:r w:rsidRPr="00BB7146">
        <w:t>.</w:t>
      </w:r>
      <w:r w:rsidRPr="008C3B62">
        <w:t xml:space="preserve"> </w:t>
      </w:r>
    </w:p>
    <w:p w14:paraId="4BEFF642" w14:textId="77777777" w:rsidR="00A11BFF" w:rsidRDefault="00BB77CB" w:rsidP="00BB77CB">
      <w:r>
        <w:t>Allocation on a mass basis is problematic for hydrogen production as hydrogen</w:t>
      </w:r>
      <w:r w:rsidR="00DD4590">
        <w:t xml:space="preserve"> </w:t>
      </w:r>
      <w:r w:rsidR="00DE76FA">
        <w:t>has a high energy to mass ratio</w:t>
      </w:r>
      <w:r>
        <w:t xml:space="preserve"> </w:t>
      </w:r>
      <w:r w:rsidR="00DD4590">
        <w:t>compared to the other co-products</w:t>
      </w:r>
      <w:r w:rsidR="006427F6">
        <w:t xml:space="preserve">. </w:t>
      </w:r>
    </w:p>
    <w:p w14:paraId="27B6390C" w14:textId="4BB302C6" w:rsidR="00D827BC" w:rsidRDefault="00AD666A" w:rsidP="00BB77CB">
      <w:r>
        <w:t>Energy based allocation could</w:t>
      </w:r>
      <w:r w:rsidR="00D827BC">
        <w:t xml:space="preserve"> be applied in a number of ways, including</w:t>
      </w:r>
      <w:r w:rsidR="00DE76FA">
        <w:t>:</w:t>
      </w:r>
    </w:p>
    <w:p w14:paraId="6DD36BF6" w14:textId="4814C76A" w:rsidR="00D827BC" w:rsidRDefault="00D827BC" w:rsidP="00F048C7">
      <w:pPr>
        <w:pStyle w:val="ListParagraph"/>
        <w:numPr>
          <w:ilvl w:val="0"/>
          <w:numId w:val="10"/>
        </w:numPr>
      </w:pPr>
      <w:r>
        <w:t xml:space="preserve">to </w:t>
      </w:r>
      <w:r w:rsidRPr="00122881">
        <w:t>the amount of fuel or energy used to produce each co-product</w:t>
      </w:r>
      <w:r>
        <w:t xml:space="preserve"> (efficiency method)</w:t>
      </w:r>
    </w:p>
    <w:p w14:paraId="7BA315BC" w14:textId="6032FD74" w:rsidR="00D827BC" w:rsidRDefault="00D827BC" w:rsidP="00F048C7">
      <w:pPr>
        <w:pStyle w:val="ListParagraph"/>
        <w:numPr>
          <w:ilvl w:val="0"/>
          <w:numId w:val="10"/>
        </w:numPr>
      </w:pPr>
      <w:r w:rsidRPr="00122881">
        <w:lastRenderedPageBreak/>
        <w:t>to the useful energy contained in each co-product</w:t>
      </w:r>
      <w:r>
        <w:t xml:space="preserve"> (energy content method)</w:t>
      </w:r>
    </w:p>
    <w:p w14:paraId="1BEB8D93" w14:textId="36CF14DC" w:rsidR="00D827BC" w:rsidRDefault="00D827BC" w:rsidP="00F048C7">
      <w:pPr>
        <w:pStyle w:val="ListParagraph"/>
        <w:numPr>
          <w:ilvl w:val="0"/>
          <w:numId w:val="10"/>
        </w:numPr>
      </w:pPr>
      <w:r w:rsidRPr="00122881">
        <w:t xml:space="preserve">the ability of heat </w:t>
      </w:r>
      <w:r>
        <w:t xml:space="preserve">in each product </w:t>
      </w:r>
      <w:r w:rsidRPr="00122881">
        <w:t>to perform work</w:t>
      </w:r>
      <w:r>
        <w:t xml:space="preserve"> (work potential method)</w:t>
      </w:r>
    </w:p>
    <w:p w14:paraId="4F280F83" w14:textId="19164CDD" w:rsidR="00D827BC" w:rsidRDefault="0092787F" w:rsidP="00BB77CB">
      <w:r>
        <w:t xml:space="preserve">Of these, the energy content method is likely to be the simplest to apply, however it will result in zero emissions allocated to some </w:t>
      </w:r>
      <w:r w:rsidR="006427F6">
        <w:t xml:space="preserve">co-products, such as oxygen </w:t>
      </w:r>
      <w:r>
        <w:t xml:space="preserve">that </w:t>
      </w:r>
      <w:r w:rsidR="006427F6">
        <w:t>do not contain useful energy.</w:t>
      </w:r>
      <w:r w:rsidR="006427F6" w:rsidRPr="006427F6">
        <w:t xml:space="preserve"> </w:t>
      </w:r>
    </w:p>
    <w:p w14:paraId="5401CB6F" w14:textId="75150AA5" w:rsidR="009F23DC" w:rsidRDefault="009F23DC" w:rsidP="00BB77CB">
      <w:r>
        <w:t>Allocation of emissions using any of the above mentioned processes can be viewed as s</w:t>
      </w:r>
      <w:r w:rsidR="00A11BFF">
        <w:t>ubjective and t</w:t>
      </w:r>
      <w:r w:rsidR="006427F6">
        <w:t xml:space="preserve">he different methods for allocation </w:t>
      </w:r>
      <w:r>
        <w:t xml:space="preserve">will lead to differing results for the total emissions intensity of the hydrogen produced </w:t>
      </w:r>
      <w:r w:rsidR="00BB545E">
        <w:t>and the associated co-products.</w:t>
      </w:r>
      <w:r>
        <w:t xml:space="preserve"> Therefore a consistent approach needs to be taken </w:t>
      </w:r>
      <w:r w:rsidR="00970439">
        <w:t>by hydrogen producers seeking certification</w:t>
      </w:r>
      <w:r>
        <w:t xml:space="preserve">, and this approach needs to balance practicality and robustness.  </w:t>
      </w:r>
    </w:p>
    <w:p w14:paraId="49721AC9" w14:textId="56A34BFF" w:rsidR="00037F9A" w:rsidRDefault="00037F9A" w:rsidP="00BB77CB">
      <w:r>
        <w:t>The CertifHy scheme appears to use energy-based allocation across all hydrogen production pathways, with the exception of the by-product pathway where an e</w:t>
      </w:r>
      <w:r w:rsidR="00A11BFF">
        <w:t>conomic allocation is used (</w:t>
      </w:r>
      <w:r>
        <w:t xml:space="preserve">system expansion does not appear to be used). However CertifHy does not allocate emissions to non-energy co-products such as oxygen (a </w:t>
      </w:r>
      <w:r w:rsidR="00970439">
        <w:t xml:space="preserve">possible </w:t>
      </w:r>
      <w:r>
        <w:t>co-product for the electrolysis pathway), nor ash, slag or nitrogen (</w:t>
      </w:r>
      <w:r w:rsidR="00970439">
        <w:t xml:space="preserve">possible </w:t>
      </w:r>
      <w:r>
        <w:t xml:space="preserve">co-products of the coal gasification pathway). </w:t>
      </w:r>
    </w:p>
    <w:p w14:paraId="49B2DBA3" w14:textId="2EE7FB4A" w:rsidR="00BB77CB" w:rsidRDefault="006427F6" w:rsidP="00C32FBF">
      <w:r>
        <w:t>To increase the</w:t>
      </w:r>
      <w:r w:rsidR="00BB77CB">
        <w:t xml:space="preserve"> accuracy of emissions estimates </w:t>
      </w:r>
      <w:r>
        <w:t xml:space="preserve">attributed to hydrogen </w:t>
      </w:r>
      <w:r w:rsidR="00BB77CB">
        <w:t xml:space="preserve">and align with ISO </w:t>
      </w:r>
      <w:r w:rsidR="00A11BFF">
        <w:t>standards and GHG protocol</w:t>
      </w:r>
      <w:r w:rsidR="00BB77CB">
        <w:t xml:space="preserve">, the co-products excluded from the CertifHy approach have been included in Australia’s proposed </w:t>
      </w:r>
      <w:r w:rsidR="00E57F85">
        <w:t>approach</w:t>
      </w:r>
      <w:r w:rsidR="00BB77CB">
        <w:t>.</w:t>
      </w:r>
      <w:r w:rsidR="002B0418">
        <w:t xml:space="preserve"> IPHE is also seeking to cover these co-products</w:t>
      </w:r>
      <w:r w:rsidR="00BB77CB">
        <w:t xml:space="preserve">. </w:t>
      </w:r>
    </w:p>
    <w:p w14:paraId="5EED38C2" w14:textId="3AC0DA3D" w:rsidR="005071F3" w:rsidRDefault="00C32FBF" w:rsidP="005071F3">
      <w:r>
        <w:t>The app</w:t>
      </w:r>
      <w:r w:rsidR="006427F6">
        <w:t>roach presented here utilises</w:t>
      </w:r>
      <w:r w:rsidR="004E7C86">
        <w:t xml:space="preserve"> both the</w:t>
      </w:r>
      <w:r w:rsidR="006427F6">
        <w:t xml:space="preserve"> </w:t>
      </w:r>
      <w:r>
        <w:t>system expansion</w:t>
      </w:r>
      <w:r w:rsidR="004E7C86">
        <w:t xml:space="preserve"> and energy allocation approaches</w:t>
      </w:r>
      <w:r>
        <w:t xml:space="preserve">. </w:t>
      </w:r>
      <w:r w:rsidR="006427F6">
        <w:t xml:space="preserve">In some cases, the production pathways have been partitioned into smaller systems (referred to as modules) to simplify analysis. </w:t>
      </w:r>
      <w:r>
        <w:t>Modules are distinct based on the relevant production pathway, allowing individual production processes to be analysed individually ensuring the most appropriate emissions allocation process can be applied</w:t>
      </w:r>
      <w:r w:rsidR="00461C36">
        <w:t>.</w:t>
      </w:r>
    </w:p>
    <w:p w14:paraId="16424575" w14:textId="5A528D41" w:rsidR="00524476" w:rsidRDefault="00524476" w:rsidP="005071F3">
      <w:r>
        <w:t>It should be noted that allocation approaches are still under di</w:t>
      </w:r>
      <w:r w:rsidR="007A52DA">
        <w:t xml:space="preserve">scussion at IPHE. The </w:t>
      </w:r>
      <w:r w:rsidR="004140A8">
        <w:t>Department</w:t>
      </w:r>
      <w:r>
        <w:t xml:space="preserve"> would like to gather feedback on the approach</w:t>
      </w:r>
      <w:r w:rsidR="004E7C86">
        <w:t>es discussed here</w:t>
      </w:r>
      <w:r>
        <w:t xml:space="preserve">, however this is a matter that may need to be investigated further and it may be appropriate to trial a couple of </w:t>
      </w:r>
      <w:r w:rsidR="00385EAD">
        <w:t xml:space="preserve">approaches </w:t>
      </w:r>
      <w:r>
        <w:t>during</w:t>
      </w:r>
      <w:r w:rsidDel="00385EAD">
        <w:t xml:space="preserve"> </w:t>
      </w:r>
      <w:r w:rsidR="00385EAD">
        <w:t xml:space="preserve">the </w:t>
      </w:r>
      <w:r>
        <w:t xml:space="preserve">pilot phase (see section </w:t>
      </w:r>
      <w:r w:rsidR="0014720F">
        <w:fldChar w:fldCharType="begin"/>
      </w:r>
      <w:r w:rsidR="0014720F">
        <w:instrText xml:space="preserve"> REF _Ref67505414 \h </w:instrText>
      </w:r>
      <w:r w:rsidR="0014720F">
        <w:fldChar w:fldCharType="separate"/>
      </w:r>
      <w:r w:rsidR="00A4774A">
        <w:t>4.1 Trial phase</w:t>
      </w:r>
      <w:r w:rsidR="0014720F">
        <w:fldChar w:fldCharType="end"/>
      </w:r>
      <w:r>
        <w:t xml:space="preserve">). </w:t>
      </w:r>
    </w:p>
    <w:p w14:paraId="1CC1B6DA" w14:textId="2C01D7B9" w:rsidR="008E7465" w:rsidRDefault="008E7465" w:rsidP="008E7465">
      <w:pPr>
        <w:pStyle w:val="Heading3"/>
      </w:pPr>
      <w:r>
        <w:lastRenderedPageBreak/>
        <w:t>3.6.1 Electrolysis</w:t>
      </w:r>
    </w:p>
    <w:p w14:paraId="4E909C24" w14:textId="77777777" w:rsidR="008E7465" w:rsidRDefault="008E7465" w:rsidP="0081712E">
      <w:pPr>
        <w:keepNext/>
      </w:pPr>
      <w:r>
        <w:t xml:space="preserve">For electrolysis, the system can be analysed as a single module </w:t>
      </w:r>
      <w:r w:rsidRPr="00A71CD8">
        <w:t>as the system has a single co-product, oxygen.</w:t>
      </w:r>
    </w:p>
    <w:p w14:paraId="1CC2EDD8" w14:textId="77777777" w:rsidR="008E7465" w:rsidRDefault="008E7465" w:rsidP="008E7465">
      <w:r>
        <w:rPr>
          <w:noProof/>
          <w:szCs w:val="20"/>
          <w:lang w:eastAsia="en-AU"/>
        </w:rPr>
        <w:drawing>
          <wp:inline distT="0" distB="0" distL="0" distR="0" wp14:anchorId="7B5DA01E" wp14:editId="51D4A219">
            <wp:extent cx="5544185" cy="3516368"/>
            <wp:effectExtent l="0" t="0" r="0" b="8255"/>
            <wp:docPr id="57" name="Picture 57" descr="The figure details the production system which sees water treated prior to delivery to an electrolyser. Hydrogen leaves the electrolyser before undergoing purification and compression. Hydrogen then exits the system as the key product. The system has inputs of water, electricity, steam, and other fuels. Oxygen exits the electrolyser as a co-produ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44185" cy="3516368"/>
                    </a:xfrm>
                    <a:prstGeom prst="rect">
                      <a:avLst/>
                    </a:prstGeom>
                    <a:noFill/>
                  </pic:spPr>
                </pic:pic>
              </a:graphicData>
            </a:graphic>
          </wp:inline>
        </w:drawing>
      </w:r>
    </w:p>
    <w:p w14:paraId="37D00726" w14:textId="02174EE5" w:rsidR="008E7465" w:rsidRDefault="008E7465" w:rsidP="008E7465">
      <w:r w:rsidRPr="00004D95">
        <w:t xml:space="preserve">In </w:t>
      </w:r>
      <w:r>
        <w:t>this situation, system expansion c</w:t>
      </w:r>
      <w:r w:rsidRPr="00004D95">
        <w:t xml:space="preserve">ould be applied to </w:t>
      </w:r>
      <w:r>
        <w:t xml:space="preserve">divide the </w:t>
      </w:r>
      <w:r w:rsidRPr="00004D95">
        <w:t xml:space="preserve">emissions </w:t>
      </w:r>
      <w:r>
        <w:t>between hydrogen and oxygen</w:t>
      </w:r>
      <w:r w:rsidRPr="00004D95">
        <w:t>. Given that oxygen is most commonly produced via cryogenic distillation of air into oxygen, nitrogen and argon components</w:t>
      </w:r>
      <w:r>
        <w:t xml:space="preserve"> (i.e. the air separation system in the coal gasification pathway)</w:t>
      </w:r>
      <w:r w:rsidRPr="00004D95">
        <w:t xml:space="preserve">, this has been deemed the most appropriate substitute system. Emissions associated with the oxygen product stream can be estimated referring to the air separation model established within the ecoinvent life cycle database (as </w:t>
      </w:r>
      <w:r w:rsidRPr="00D229CA">
        <w:t>discussed in the context of Module 1 of the coal gasification pathway)</w:t>
      </w:r>
      <w:r>
        <w:t xml:space="preserve">. This </w:t>
      </w:r>
      <w:r w:rsidRPr="00D229CA">
        <w:t xml:space="preserve">can be used to estimate the emissions associated with production of </w:t>
      </w:r>
      <w:r>
        <w:t>the relevant amount of oxygen and t</w:t>
      </w:r>
      <w:r w:rsidRPr="00D229CA">
        <w:t>hese emissions may then be readily scoped out of the inventory.</w:t>
      </w:r>
      <w:r w:rsidRPr="00004D95">
        <w:t xml:space="preserve">  </w:t>
      </w:r>
    </w:p>
    <w:p w14:paraId="21D2F0F6" w14:textId="59387152" w:rsidR="00461C36" w:rsidRDefault="000805C8" w:rsidP="00277D18">
      <w:pPr>
        <w:pStyle w:val="Heading3"/>
      </w:pPr>
      <w:r>
        <w:t>3.6</w:t>
      </w:r>
      <w:r w:rsidR="008E7465">
        <w:t>.2</w:t>
      </w:r>
      <w:r w:rsidR="00461C36">
        <w:t xml:space="preserve"> </w:t>
      </w:r>
      <w:r w:rsidR="000F1BF1">
        <w:t>C</w:t>
      </w:r>
      <w:r w:rsidR="00461C36">
        <w:t xml:space="preserve">oal </w:t>
      </w:r>
      <w:r w:rsidR="000F1BF1">
        <w:t>g</w:t>
      </w:r>
      <w:r w:rsidR="003177A4">
        <w:t>asification with CC</w:t>
      </w:r>
      <w:r w:rsidR="00461C36">
        <w:t>S</w:t>
      </w:r>
      <w:r w:rsidR="0086367B">
        <w:t xml:space="preserve"> </w:t>
      </w:r>
    </w:p>
    <w:p w14:paraId="550D7FC1" w14:textId="2202DFC8" w:rsidR="00461C36" w:rsidRDefault="00461C36" w:rsidP="00461C36">
      <w:r>
        <w:t>For coal gasification, analysis is performed across thr</w:t>
      </w:r>
      <w:r w:rsidR="0091314E">
        <w:t xml:space="preserve">ee distinct modules, as described below. Modules 1 and 2 will result in intermediate </w:t>
      </w:r>
      <w:r w:rsidR="0086367B">
        <w:t>products that are inputs</w:t>
      </w:r>
      <w:r w:rsidR="0091314E">
        <w:t xml:space="preserve"> into module 3. </w:t>
      </w:r>
    </w:p>
    <w:p w14:paraId="01EB01FC" w14:textId="77777777" w:rsidR="00461C36" w:rsidRDefault="00461C36" w:rsidP="00461C36">
      <w:r>
        <w:rPr>
          <w:noProof/>
          <w:lang w:eastAsia="en-AU"/>
        </w:rPr>
        <w:drawing>
          <wp:inline distT="0" distB="0" distL="0" distR="0" wp14:anchorId="247D3612" wp14:editId="0B316FE1">
            <wp:extent cx="4565650" cy="2095910"/>
            <wp:effectExtent l="0" t="0" r="6350" b="0"/>
            <wp:docPr id="18" name="Picture 18" descr="Diagram showing the three modules that coal gasification is broken into. The first covers upstream emissions, the second covers analysis across the air separation system specifically. Both these modules are fed into module 3, the coal gasification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6897" cy="2101073"/>
                    </a:xfrm>
                    <a:prstGeom prst="rect">
                      <a:avLst/>
                    </a:prstGeom>
                    <a:noFill/>
                  </pic:spPr>
                </pic:pic>
              </a:graphicData>
            </a:graphic>
          </wp:inline>
        </w:drawing>
      </w:r>
    </w:p>
    <w:p w14:paraId="2FB7BF1E" w14:textId="03E5CE7B" w:rsidR="00461C36" w:rsidRPr="005E1BEF" w:rsidRDefault="00461C36" w:rsidP="00461C36">
      <w:r w:rsidRPr="00047BA5">
        <w:rPr>
          <w:b/>
          <w:bCs/>
        </w:rPr>
        <w:lastRenderedPageBreak/>
        <w:t>Module 1 (Upstream system)</w:t>
      </w:r>
      <w:r w:rsidR="0086367B">
        <w:t xml:space="preserve"> </w:t>
      </w:r>
      <w:r>
        <w:t>covers upstream activities associated with the extraction, processing and delivery of the coal feedstock. As this system has a single product, no emi</w:t>
      </w:r>
      <w:r w:rsidR="00AD666A">
        <w:t>ssions allocation is</w:t>
      </w:r>
      <w:r>
        <w:t xml:space="preserve"> required and all emissions are attributed to a single output, coal for gasification. That is, all emissions associated with this system are allocated to the intermediate product: coal. These emissions are </w:t>
      </w:r>
      <w:r w:rsidRPr="005E1BEF">
        <w:t>carried with the coal (as embodied emissions) into the gasification system (module 3).</w:t>
      </w:r>
      <w:r>
        <w:t xml:space="preserve"> </w:t>
      </w:r>
      <w:r w:rsidR="008720FE">
        <w:t>An a</w:t>
      </w:r>
      <w:r w:rsidR="00A037C0">
        <w:t xml:space="preserve">ppropriate scope 3 emissions factor covering coal supply may be used for assessment of module 1 to bypass the need for manual calculations. </w:t>
      </w:r>
    </w:p>
    <w:p w14:paraId="372BBFF0" w14:textId="77777777" w:rsidR="00461C36" w:rsidRDefault="00461C36" w:rsidP="00461C36">
      <w:pPr>
        <w:pStyle w:val="ListBullet"/>
        <w:keepNext/>
        <w:ind w:left="0" w:firstLine="0"/>
        <w:rPr>
          <w:i/>
        </w:rPr>
      </w:pPr>
      <w:r>
        <w:t xml:space="preserve"> </w:t>
      </w:r>
      <w:r>
        <w:rPr>
          <w:i/>
        </w:rPr>
        <w:t>Module 1: Upstream System</w:t>
      </w:r>
    </w:p>
    <w:p w14:paraId="3964E9EA" w14:textId="667783DD" w:rsidR="00461C36" w:rsidRPr="00493545" w:rsidRDefault="00461C36" w:rsidP="00461C36">
      <w:pPr>
        <w:pStyle w:val="ListBullet"/>
        <w:ind w:left="0" w:firstLine="0"/>
        <w:rPr>
          <w:i/>
        </w:rPr>
      </w:pPr>
      <w:r>
        <w:rPr>
          <w:noProof/>
          <w:lang w:eastAsia="en-AU"/>
        </w:rPr>
        <w:drawing>
          <wp:inline distT="0" distB="0" distL="0" distR="0" wp14:anchorId="1F15AFA8" wp14:editId="7A8631BE">
            <wp:extent cx="5544185" cy="3468648"/>
            <wp:effectExtent l="0" t="0" r="0" b="0"/>
            <wp:docPr id="58" name="Picture 58" descr="This figure illustrates the upstream coal gasification with CCUS production pathway.&#10;The figure represents an upstream system containing coal extraction, coal processing and coal transport. Electricity, other liquid, solid and/or gaseous fuels, and utility water enter the upstream system as system inputs. Waste gases and other impurities, and overburden exit the system as waste products. Coal for gasification exits the system as a produ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44185" cy="3468648"/>
                    </a:xfrm>
                    <a:prstGeom prst="rect">
                      <a:avLst/>
                    </a:prstGeom>
                    <a:noFill/>
                  </pic:spPr>
                </pic:pic>
              </a:graphicData>
            </a:graphic>
          </wp:inline>
        </w:drawing>
      </w:r>
    </w:p>
    <w:p w14:paraId="4A851F66" w14:textId="22A33F10" w:rsidR="00B073E5" w:rsidRDefault="00461C36" w:rsidP="00461C36">
      <w:r w:rsidRPr="00047BA5">
        <w:rPr>
          <w:b/>
          <w:bCs/>
        </w:rPr>
        <w:t>Module 2 (Air separation system)</w:t>
      </w:r>
      <w:r w:rsidR="00B073E5">
        <w:t xml:space="preserve"> – covers the production</w:t>
      </w:r>
      <w:r>
        <w:t xml:space="preserve"> of oxygen for the coal gasification process. </w:t>
      </w:r>
      <w:r w:rsidRPr="005E1BEF">
        <w:t>For module 2, there are two potential co-products (liquid nitrogen and liquid crude a</w:t>
      </w:r>
      <w:r w:rsidR="00B073E5">
        <w:t>rgon)</w:t>
      </w:r>
      <w:r w:rsidRPr="005E1BEF">
        <w:t xml:space="preserve"> in addition to the intermediate product: liquid oxygen.</w:t>
      </w:r>
      <w:r w:rsidRPr="005E1BEF">
        <w:rPr>
          <w:rStyle w:val="FootnoteReference"/>
        </w:rPr>
        <w:footnoteReference w:id="5"/>
      </w:r>
      <w:r w:rsidR="00B073E5">
        <w:t xml:space="preserve"> The liquid nitrogen stream will be significant given its abundance relative to oxygen in air and the oxygen demands of an industrial gasifier. The argon stream will be much smaller, reflecting the low argon concentration in air (approximately 0.93%). One or more of these co-products may be captured and sold noting that they have a variety of common uses. Where</w:t>
      </w:r>
      <w:r w:rsidR="00AD666A">
        <w:t xml:space="preserve"> these co-products are sold</w:t>
      </w:r>
      <w:r w:rsidR="00B073E5">
        <w:t xml:space="preserve"> they may be attributed some share of emissions.</w:t>
      </w:r>
    </w:p>
    <w:p w14:paraId="7BFF32A0" w14:textId="49B8D6B1" w:rsidR="00461C36" w:rsidRPr="00B073E5" w:rsidRDefault="00BB545E" w:rsidP="00461C36">
      <w:r>
        <w:t xml:space="preserve">System expansion is not appropriate </w:t>
      </w:r>
      <w:r w:rsidR="00B073E5">
        <w:t>to allocate emissions between the main product and the co-products as in this situation</w:t>
      </w:r>
      <w:r w:rsidR="00AD666A">
        <w:t xml:space="preserve"> a suitable alternative system is not available</w:t>
      </w:r>
      <w:r w:rsidR="00461C36">
        <w:t>.</w:t>
      </w:r>
      <w:r w:rsidR="00461C36">
        <w:rPr>
          <w:rStyle w:val="FootnoteReference"/>
        </w:rPr>
        <w:footnoteReference w:id="6"/>
      </w:r>
      <w:r>
        <w:t xml:space="preserve"> The preferred</w:t>
      </w:r>
      <w:r w:rsidR="00461C36">
        <w:t xml:space="preserve"> approach is to allocate on the basis of physical relationships. The ecoinvent database’s </w:t>
      </w:r>
      <w:r w:rsidR="00461C36" w:rsidRPr="00102747">
        <w:rPr>
          <w:i/>
          <w:iCs/>
        </w:rPr>
        <w:t>Life Cycle</w:t>
      </w:r>
      <w:r w:rsidR="00461C36">
        <w:rPr>
          <w:i/>
          <w:iCs/>
        </w:rPr>
        <w:t xml:space="preserve"> Inventories</w:t>
      </w:r>
      <w:r w:rsidR="00461C36" w:rsidRPr="00102747">
        <w:rPr>
          <w:i/>
          <w:iCs/>
        </w:rPr>
        <w:t xml:space="preserve"> of Chemicals</w:t>
      </w:r>
      <w:r w:rsidR="00461C36">
        <w:t xml:space="preserve"> outlines an approach for allocation of emissions across the three liquid products on the basis of the heat of vaporisation and heat capacity of the three liquid products </w:t>
      </w:r>
      <w:r w:rsidR="00461C36" w:rsidRPr="00FE23CA">
        <w:rPr>
          <w:lang w:val="en-US"/>
        </w:rPr>
        <w:t>assuming that the thermodynamic efficiency of the cooling and liquefaction process is the same for all three gases. This results in an allocation factors of 22.2% for oxygen, 76.9% for nitrogen and 0.9% for crude argon</w:t>
      </w:r>
      <w:r w:rsidR="00461C36">
        <w:rPr>
          <w:lang w:val="en-US"/>
        </w:rPr>
        <w:t>.</w:t>
      </w:r>
    </w:p>
    <w:p w14:paraId="08462A07" w14:textId="77777777" w:rsidR="00461C36" w:rsidRDefault="00461C36" w:rsidP="00461C36">
      <w:pPr>
        <w:rPr>
          <w:lang w:val="en-US"/>
        </w:rPr>
      </w:pPr>
      <w:r>
        <w:rPr>
          <w:lang w:val="en-US"/>
        </w:rPr>
        <w:lastRenderedPageBreak/>
        <w:t xml:space="preserve">Emissions associated with the intermediate oxygen product can be estimated as follows: </w:t>
      </w:r>
    </w:p>
    <w:p w14:paraId="06C6F270" w14:textId="77777777" w:rsidR="00461C36" w:rsidRDefault="00A4774A" w:rsidP="00461C36">
      <w:pPr>
        <w:rPr>
          <w:lang w:val="en-US"/>
        </w:rPr>
      </w:pPr>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liquid oxygen</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air separation</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liquid nitrogen</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liquid crude argon</m:t>
            </m:r>
          </m:sub>
        </m:sSub>
      </m:oMath>
      <w:r w:rsidR="00461C36">
        <w:rPr>
          <w:lang w:val="en-US"/>
        </w:rPr>
        <w:t xml:space="preserve"> </w:t>
      </w:r>
    </w:p>
    <w:p w14:paraId="1617CA8B" w14:textId="07436A59" w:rsidR="00461C36" w:rsidRDefault="00461C36" w:rsidP="00461C36">
      <w:pPr>
        <w:rPr>
          <w:lang w:val="en-US"/>
        </w:rPr>
      </w:pPr>
      <w:r>
        <w:rPr>
          <w:lang w:val="en-US"/>
        </w:rPr>
        <w:t>Where E</w:t>
      </w:r>
      <w:r>
        <w:rPr>
          <w:vertAlign w:val="subscript"/>
          <w:lang w:val="en-US"/>
        </w:rPr>
        <w:t xml:space="preserve">liquid oxygen </w:t>
      </w:r>
      <w:r>
        <w:rPr>
          <w:lang w:val="en-US"/>
        </w:rPr>
        <w:t>is the emissions associated with liquid oxygen, E</w:t>
      </w:r>
      <w:r>
        <w:rPr>
          <w:vertAlign w:val="subscript"/>
          <w:lang w:val="en-US"/>
        </w:rPr>
        <w:t xml:space="preserve">air separation </w:t>
      </w:r>
      <w:r>
        <w:rPr>
          <w:lang w:val="en-US"/>
        </w:rPr>
        <w:t>is the total emissions associated with the air separation module (as calculated in line with t</w:t>
      </w:r>
      <w:r w:rsidR="00C06C6D">
        <w:rPr>
          <w:lang w:val="en-US"/>
        </w:rPr>
        <w:t xml:space="preserve">he guidance provided for </w:t>
      </w:r>
      <w:r>
        <w:rPr>
          <w:lang w:val="en-US"/>
        </w:rPr>
        <w:t>emissions inventories), and E</w:t>
      </w:r>
      <w:r>
        <w:rPr>
          <w:vertAlign w:val="subscript"/>
          <w:lang w:val="en-US"/>
        </w:rPr>
        <w:t xml:space="preserve">liquid nitrogen </w:t>
      </w:r>
      <w:r>
        <w:rPr>
          <w:lang w:val="en-US"/>
        </w:rPr>
        <w:t>and E</w:t>
      </w:r>
      <w:r>
        <w:rPr>
          <w:vertAlign w:val="subscript"/>
          <w:lang w:val="en-US"/>
        </w:rPr>
        <w:t>liquid crude argon</w:t>
      </w:r>
      <w:r>
        <w:rPr>
          <w:lang w:val="en-US"/>
        </w:rPr>
        <w:t xml:space="preserve"> are the emissions associated with the co-products as calculated using the allocation factors referred to above.  </w:t>
      </w:r>
    </w:p>
    <w:p w14:paraId="130DFB08" w14:textId="2BD0B5A7" w:rsidR="00461C36" w:rsidRPr="00C06C6D" w:rsidRDefault="00461C36" w:rsidP="00C06C6D">
      <w:pPr>
        <w:pStyle w:val="ListBullet"/>
        <w:keepNext/>
        <w:ind w:left="0" w:firstLine="0"/>
        <w:contextualSpacing w:val="0"/>
        <w:rPr>
          <w:i/>
        </w:rPr>
      </w:pPr>
      <w:r>
        <w:rPr>
          <w:i/>
        </w:rPr>
        <w:t>Module 2: Air separation System</w:t>
      </w:r>
    </w:p>
    <w:p w14:paraId="1A642319" w14:textId="77777777" w:rsidR="00461C36" w:rsidRDefault="00461C36" w:rsidP="00461C36">
      <w:pPr>
        <w:pStyle w:val="ListBullet"/>
        <w:ind w:left="0" w:firstLine="0"/>
      </w:pPr>
      <w:r>
        <w:rPr>
          <w:noProof/>
          <w:lang w:eastAsia="en-AU"/>
        </w:rPr>
        <w:drawing>
          <wp:inline distT="0" distB="0" distL="0" distR="0" wp14:anchorId="14953A4B" wp14:editId="4C1EB5F4">
            <wp:extent cx="5731510" cy="3521842"/>
            <wp:effectExtent l="0" t="0" r="2540" b="2540"/>
            <wp:docPr id="67" name="Picture 67" descr="The figure illustrates the system boundary associated with module 2 (air separation) for the coal gasification pathway. The figure shows the air separation system which produces oxygen for gasification operations as a primary product. The system includes inputs in the form of air and electricity. The system produces nitrogen and argon co-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521842"/>
                    </a:xfrm>
                    <a:prstGeom prst="rect">
                      <a:avLst/>
                    </a:prstGeom>
                    <a:noFill/>
                  </pic:spPr>
                </pic:pic>
              </a:graphicData>
            </a:graphic>
          </wp:inline>
        </w:drawing>
      </w:r>
    </w:p>
    <w:p w14:paraId="0EA32A9C" w14:textId="77777777" w:rsidR="00461C36" w:rsidRDefault="00461C36" w:rsidP="00461C36">
      <w:pPr>
        <w:pStyle w:val="ListBullet"/>
        <w:ind w:left="0" w:firstLine="0"/>
      </w:pPr>
    </w:p>
    <w:p w14:paraId="24A662D0" w14:textId="11111370" w:rsidR="00461C36" w:rsidRPr="00C06C6D" w:rsidRDefault="00461C36" w:rsidP="00461C36">
      <w:pPr>
        <w:pStyle w:val="ListBullet"/>
        <w:ind w:left="0" w:firstLine="0"/>
        <w:rPr>
          <w:rFonts w:asciiTheme="minorHAnsi" w:hAnsiTheme="minorHAnsi"/>
          <w:color w:val="auto"/>
          <w:sz w:val="22"/>
        </w:rPr>
      </w:pPr>
      <w:r w:rsidRPr="00047BA5">
        <w:rPr>
          <w:b/>
          <w:bCs/>
        </w:rPr>
        <w:t>Module 3 (Gasification system)</w:t>
      </w:r>
      <w:r w:rsidR="0086367B">
        <w:t xml:space="preserve"> </w:t>
      </w:r>
      <w:r w:rsidRPr="00C06C6D">
        <w:rPr>
          <w:rFonts w:asciiTheme="minorHAnsi" w:hAnsiTheme="minorHAnsi"/>
          <w:color w:val="auto"/>
          <w:sz w:val="22"/>
        </w:rPr>
        <w:t>covers all remaining processes including further coal processing, gasification, syngas conditioning and waste heat recovery.</w:t>
      </w:r>
    </w:p>
    <w:p w14:paraId="1E298B9F" w14:textId="2B0784CD" w:rsidR="00461C36" w:rsidRDefault="00461C36" w:rsidP="00461C36">
      <w:r>
        <w:t xml:space="preserve">For module 3, inputs include the intermediate products from modules 1 and 2, which carry an emission factor (reflecting </w:t>
      </w:r>
      <w:r w:rsidR="00970439">
        <w:t xml:space="preserve">the </w:t>
      </w:r>
      <w:r>
        <w:t xml:space="preserve">embodied emissions). </w:t>
      </w:r>
    </w:p>
    <w:p w14:paraId="3ADE263C" w14:textId="0BFC8C4C" w:rsidR="00461C36" w:rsidRDefault="00461C36" w:rsidP="00461C36">
      <w:r>
        <w:t xml:space="preserve">The gasification system includes a range of potential co-products, including electricity and steam, generated via waste heat recovery, ash and/or slag recovered from the gasifier and sulphur recovered via syngas purification. The scale of production for these potential co-products remains uncertain and is likely subject to facility-specific commercial circumstances (i.e. energy costs, grid considerations, plant design and operation). </w:t>
      </w:r>
    </w:p>
    <w:p w14:paraId="776D8C9B" w14:textId="77777777" w:rsidR="00461C36" w:rsidRDefault="00461C36" w:rsidP="00461C36">
      <w:r>
        <w:t xml:space="preserve">Where applicable, emissions may be scoped out for the co-products using system expansion. In order to do so, appropriate substitute systems must be identified and appropriate allocation factors established. </w:t>
      </w:r>
    </w:p>
    <w:p w14:paraId="40B81B15" w14:textId="741FC431" w:rsidR="00461C36" w:rsidRDefault="00A22C49" w:rsidP="00461C36">
      <w:r>
        <w:t xml:space="preserve">For the electricity co-product, either system expansion or energy allocation could be used. </w:t>
      </w:r>
      <w:r w:rsidR="004E7C86">
        <w:t xml:space="preserve"> </w:t>
      </w:r>
      <w:r>
        <w:t>E</w:t>
      </w:r>
      <w:r w:rsidR="00461C36" w:rsidRPr="00A46F92">
        <w:t xml:space="preserve">lectricity exported from the </w:t>
      </w:r>
      <w:r w:rsidR="00461C36">
        <w:t xml:space="preserve">system </w:t>
      </w:r>
      <w:r w:rsidR="00461C36" w:rsidRPr="00A46F92">
        <w:t>could substitute grid electricity (kWh for kWh)</w:t>
      </w:r>
      <w:r w:rsidR="00461C36">
        <w:t xml:space="preserve">, and emissions </w:t>
      </w:r>
      <w:r w:rsidR="004E6F73">
        <w:t xml:space="preserve">could be </w:t>
      </w:r>
      <w:r w:rsidR="00461C36">
        <w:t>estimated in line with</w:t>
      </w:r>
      <w:r w:rsidR="00970439">
        <w:t xml:space="preserve"> relevant grid emission factor for that region</w:t>
      </w:r>
      <w:r w:rsidR="00461C36" w:rsidRPr="00A46F92">
        <w:t xml:space="preserve">. </w:t>
      </w:r>
      <w:r w:rsidR="004E7C86">
        <w:t xml:space="preserve">Alternatively an allocation could be based on energy content for this co-product. </w:t>
      </w:r>
    </w:p>
    <w:p w14:paraId="71F3C95F" w14:textId="05FAEBFA" w:rsidR="00461C36" w:rsidRDefault="00461C36" w:rsidP="00461C36">
      <w:r>
        <w:lastRenderedPageBreak/>
        <w:t>Steam may also be an important co-product for the gasification system, but this is likely to be highly dependent on the availability of appropriate infrastructure and nearby consumers given the nature of steam supply. Currently the dominant technology for generation of high-grade steam (heat), is via combustion of natural gas within a boiler. As such, steam exported from the system could be estimated in line with the emissions associated with equivalent steam produced in a natural gas boiler of a</w:t>
      </w:r>
      <w:r w:rsidR="00311843">
        <w:t xml:space="preserve"> pre-defined default efficiency.</w:t>
      </w:r>
    </w:p>
    <w:p w14:paraId="668420AD" w14:textId="5F351A6C" w:rsidR="00461C36" w:rsidRDefault="00461C36" w:rsidP="00334970">
      <w:r>
        <w:t>The ash and slag products are significantly less material. D</w:t>
      </w:r>
      <w:r w:rsidR="00AD666A">
        <w:t>efault allocation factors could</w:t>
      </w:r>
      <w:r>
        <w:t xml:space="preserve"> be defined here relating to appropriate substitute systems. For ash and slag, these co-products vary in uses from low-value applications such as replacing natural aggregates to high-value applications such as replacing clinker in cement production. A conservative emission factor should be established as the default, but it may be important to include measures which allow and </w:t>
      </w:r>
      <w:r w:rsidRPr="00C41A35">
        <w:t xml:space="preserve">incentivise users of the scheme to seek </w:t>
      </w:r>
      <w:r w:rsidRPr="00F0747D">
        <w:t xml:space="preserve">out higher quality data specific to their value chain. </w:t>
      </w:r>
    </w:p>
    <w:p w14:paraId="75E675E5" w14:textId="77777777" w:rsidR="00461C36" w:rsidRPr="00CE5C22" w:rsidRDefault="00461C36" w:rsidP="004E6F73">
      <w:pPr>
        <w:pStyle w:val="ListBullet"/>
        <w:keepNext/>
        <w:rPr>
          <w:i/>
        </w:rPr>
      </w:pPr>
      <w:r>
        <w:rPr>
          <w:i/>
        </w:rPr>
        <w:t>Module 3: Gasification System</w:t>
      </w:r>
    </w:p>
    <w:p w14:paraId="2545C55C" w14:textId="77777777" w:rsidR="00461C36" w:rsidRDefault="00461C36" w:rsidP="00461C36">
      <w:pPr>
        <w:pStyle w:val="ListBullet"/>
      </w:pPr>
      <w:r>
        <w:rPr>
          <w:noProof/>
          <w:lang w:eastAsia="en-AU"/>
        </w:rPr>
        <w:drawing>
          <wp:inline distT="0" distB="0" distL="0" distR="0" wp14:anchorId="1F99154A" wp14:editId="3524EA6B">
            <wp:extent cx="5731510" cy="3331112"/>
            <wp:effectExtent l="0" t="0" r="2540" b="3175"/>
            <wp:docPr id="10" name="Picture 10" descr="This figure illustrates the system boundary associated with module 3 (gasification) for the coal gasification pathway.&#10;The process further coal processing, feeding into coal gasification linked to a heat recovery unit. These feed into syngas conditioning with outputs going to carbon capture or hydrogen compression. Inputs to the production system include oxygen (from module 2), coal for gasification (to coal processing, from module 1), utility water, electricity, other fuels, and steam. System co-products include ash/slag (from coal gasification) and steam (from waste heat). Waste products include waste gases. Hydrogen is the primary produc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331112"/>
                    </a:xfrm>
                    <a:prstGeom prst="rect">
                      <a:avLst/>
                    </a:prstGeom>
                    <a:noFill/>
                  </pic:spPr>
                </pic:pic>
              </a:graphicData>
            </a:graphic>
          </wp:inline>
        </w:drawing>
      </w:r>
    </w:p>
    <w:p w14:paraId="00B114F2" w14:textId="77777777" w:rsidR="00461C36" w:rsidRDefault="00461C36" w:rsidP="00461C36">
      <w:pPr>
        <w:pStyle w:val="ListBullet"/>
      </w:pPr>
    </w:p>
    <w:p w14:paraId="655D765F" w14:textId="6EDD1FC8" w:rsidR="007A1E7E" w:rsidRDefault="000805C8" w:rsidP="00277D18">
      <w:pPr>
        <w:pStyle w:val="Heading3"/>
      </w:pPr>
      <w:r>
        <w:t>3.6</w:t>
      </w:r>
      <w:r w:rsidR="00277D18">
        <w:t>.3</w:t>
      </w:r>
      <w:r w:rsidR="00461C36">
        <w:t xml:space="preserve"> </w:t>
      </w:r>
      <w:r w:rsidR="000F1BF1">
        <w:t>S</w:t>
      </w:r>
      <w:r w:rsidR="00461C36">
        <w:t>team methane reforming</w:t>
      </w:r>
      <w:r w:rsidR="00834AC0">
        <w:t xml:space="preserve"> using natural gas</w:t>
      </w:r>
      <w:r w:rsidR="003177A4">
        <w:t xml:space="preserve"> with CC</w:t>
      </w:r>
      <w:r w:rsidR="00461C36">
        <w:t>S</w:t>
      </w:r>
      <w:r w:rsidR="007A1E7E">
        <w:t xml:space="preserve"> </w:t>
      </w:r>
    </w:p>
    <w:p w14:paraId="494AF731" w14:textId="7D9A94AB" w:rsidR="007A1E7E" w:rsidRDefault="007A1E7E" w:rsidP="007A1E7E">
      <w:r>
        <w:t xml:space="preserve">For </w:t>
      </w:r>
      <w:r w:rsidR="00834AC0">
        <w:t>this pathway</w:t>
      </w:r>
      <w:r>
        <w:t>, analysis is performed across two distinct modules, as follows.</w:t>
      </w:r>
    </w:p>
    <w:p w14:paraId="5BF9F21C" w14:textId="77777777" w:rsidR="007A1E7E" w:rsidRDefault="007A1E7E" w:rsidP="007A1E7E">
      <w:r>
        <w:rPr>
          <w:noProof/>
          <w:lang w:eastAsia="en-AU"/>
        </w:rPr>
        <w:drawing>
          <wp:inline distT="0" distB="0" distL="0" distR="0" wp14:anchorId="6807BED2" wp14:editId="237FC0FA">
            <wp:extent cx="4048125" cy="713105"/>
            <wp:effectExtent l="0" t="0" r="9525" b="0"/>
            <wp:docPr id="13" name="Picture 13" descr="The diagram shows the two modules of the steam methane reforming pathway; the first is the upstream system and the second is the steam methane reforming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48125" cy="713105"/>
                    </a:xfrm>
                    <a:prstGeom prst="rect">
                      <a:avLst/>
                    </a:prstGeom>
                    <a:noFill/>
                  </pic:spPr>
                </pic:pic>
              </a:graphicData>
            </a:graphic>
          </wp:inline>
        </w:drawing>
      </w:r>
    </w:p>
    <w:p w14:paraId="45349FA8" w14:textId="5EF0C3F9" w:rsidR="007A1E7E" w:rsidRPr="006A0B67" w:rsidRDefault="007A1E7E" w:rsidP="006A0B67">
      <w:pPr>
        <w:pStyle w:val="BodyText"/>
        <w:rPr>
          <w:rFonts w:asciiTheme="minorHAnsi" w:hAnsiTheme="minorHAnsi"/>
          <w:color w:val="auto"/>
          <w:sz w:val="22"/>
        </w:rPr>
      </w:pPr>
      <w:r w:rsidRPr="003D77F7">
        <w:rPr>
          <w:b/>
          <w:bCs/>
        </w:rPr>
        <w:t>Module 1 (upstream system)</w:t>
      </w:r>
      <w:r w:rsidR="006A0B67">
        <w:rPr>
          <w:b/>
          <w:bCs/>
        </w:rPr>
        <w:t xml:space="preserve"> </w:t>
      </w:r>
      <w:r w:rsidR="006A0B67" w:rsidRPr="006A0B67">
        <w:rPr>
          <w:rFonts w:asciiTheme="minorHAnsi" w:hAnsiTheme="minorHAnsi"/>
          <w:color w:val="auto"/>
          <w:sz w:val="22"/>
        </w:rPr>
        <w:t>covers upstream activities associated with the extraction, processing and delivery of the natural gas feedstock.</w:t>
      </w:r>
      <w:r w:rsidR="006A0B67">
        <w:rPr>
          <w:rFonts w:asciiTheme="minorHAnsi" w:hAnsiTheme="minorHAnsi"/>
          <w:color w:val="auto"/>
          <w:sz w:val="22"/>
        </w:rPr>
        <w:t xml:space="preserve"> P</w:t>
      </w:r>
      <w:r w:rsidRPr="006A0B67">
        <w:rPr>
          <w:rFonts w:asciiTheme="minorHAnsi" w:hAnsiTheme="minorHAnsi"/>
          <w:color w:val="auto"/>
          <w:sz w:val="22"/>
        </w:rPr>
        <w:t>otential co-products from the gas extraction and processing steps include natural gas liquids such as ethane, propane, butane and pentane, as well as oil and condensates. These products often co-exist with the gas ext</w:t>
      </w:r>
      <w:r w:rsidR="006A0B67">
        <w:rPr>
          <w:rFonts w:asciiTheme="minorHAnsi" w:hAnsiTheme="minorHAnsi"/>
          <w:color w:val="auto"/>
          <w:sz w:val="22"/>
        </w:rPr>
        <w:t>racted from the reservoir and</w:t>
      </w:r>
      <w:r w:rsidRPr="006A0B67">
        <w:rPr>
          <w:rFonts w:asciiTheme="minorHAnsi" w:hAnsiTheme="minorHAnsi"/>
          <w:color w:val="auto"/>
          <w:sz w:val="22"/>
        </w:rPr>
        <w:t xml:space="preserve"> are typically separated out from the gas stream as they attract a higher value when sold as separate products. </w:t>
      </w:r>
    </w:p>
    <w:p w14:paraId="0EDDD99C" w14:textId="77D39FEA" w:rsidR="007A1E7E" w:rsidRDefault="007A1E7E" w:rsidP="007A1E7E">
      <w:r>
        <w:lastRenderedPageBreak/>
        <w:t>It is difficult to eliminate the need for allocation for these co-products as there are many common processes in the extraction and processing. Furthermore, system expansion is not feasible for this application as an appropriate alternative method for producing these products does not exist. Therefore, allocation will need to be performed for these co-</w:t>
      </w:r>
      <w:r w:rsidR="00970439">
        <w:t>products based</w:t>
      </w:r>
      <w:r>
        <w:t xml:space="preserve"> on the proportion of energy content of the individual products.</w:t>
      </w:r>
    </w:p>
    <w:p w14:paraId="2E258D01" w14:textId="6FDDA785" w:rsidR="007A1E7E" w:rsidRDefault="007A1E7E" w:rsidP="007A1E7E">
      <w:r w:rsidRPr="00004D95">
        <w:t>The net remaining emissions are carried with the gas product stream (as embodied emissions) into the steam methane reforming system (module 2).</w:t>
      </w:r>
      <w:r>
        <w:t xml:space="preserve"> </w:t>
      </w:r>
    </w:p>
    <w:p w14:paraId="7E0A6550" w14:textId="0CF3F31A" w:rsidR="001451E7" w:rsidRDefault="001451E7" w:rsidP="001451E7">
      <w:pPr>
        <w:keepNext/>
      </w:pPr>
      <w:r>
        <w:rPr>
          <w:i/>
        </w:rPr>
        <w:t>Module 1: Upstream system</w:t>
      </w:r>
    </w:p>
    <w:p w14:paraId="719F2F9C" w14:textId="77777777" w:rsidR="007A1E7E" w:rsidRPr="00004D95" w:rsidRDefault="007A1E7E" w:rsidP="007A1E7E">
      <w:r>
        <w:rPr>
          <w:noProof/>
          <w:lang w:eastAsia="en-AU"/>
        </w:rPr>
        <w:drawing>
          <wp:inline distT="0" distB="0" distL="0" distR="0" wp14:anchorId="3A212894" wp14:editId="147F3AB2">
            <wp:extent cx="5544185" cy="3387625"/>
            <wp:effectExtent l="0" t="0" r="0" b="3810"/>
            <wp:docPr id="22" name="Picture 22" descr="The figure details an upstream system consisting of gas extraction, gas processing including carbon capture and transport of the gas product which feeds into the steam methane reforming system. The system has inputs of electricity, utility water, and other fuels. Gas extraction produces water as a waste product. Gas processing produces natural gas liquids, oil and condensates as co-products. Waste gases and other impurities are also generated across the upstream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44185" cy="3387625"/>
                    </a:xfrm>
                    <a:prstGeom prst="rect">
                      <a:avLst/>
                    </a:prstGeom>
                    <a:noFill/>
                  </pic:spPr>
                </pic:pic>
              </a:graphicData>
            </a:graphic>
          </wp:inline>
        </w:drawing>
      </w:r>
    </w:p>
    <w:p w14:paraId="02F2621F" w14:textId="77777777" w:rsidR="007A1E7E" w:rsidRPr="00004D95" w:rsidRDefault="007A1E7E" w:rsidP="007A1E7E">
      <w:pPr>
        <w:pStyle w:val="BodyText"/>
        <w:rPr>
          <w:b/>
          <w:bCs/>
        </w:rPr>
      </w:pPr>
      <w:r w:rsidRPr="00934858">
        <w:rPr>
          <w:b/>
          <w:bCs/>
        </w:rPr>
        <w:t>Module 2 (steam methane reforming system)</w:t>
      </w:r>
    </w:p>
    <w:p w14:paraId="27AAE8D9" w14:textId="7AA298A0" w:rsidR="007A1E7E" w:rsidRPr="00004D95" w:rsidRDefault="007A1E7E" w:rsidP="007A1E7E">
      <w:r w:rsidRPr="00934858">
        <w:t>For the steam methane reforming system (module 2) the only co</w:t>
      </w:r>
      <w:r w:rsidR="00F270AB">
        <w:t>-products are electricity and</w:t>
      </w:r>
      <w:r w:rsidRPr="00934858">
        <w:t xml:space="preserve"> steam (pending the nature of the individual production facility). Emissions can readily be scoped out for these products using system expa</w:t>
      </w:r>
      <w:r w:rsidR="00DF6624">
        <w:t>nsion</w:t>
      </w:r>
      <w:r w:rsidR="004E7C86">
        <w:t>, alternatively allocation could be based on energy content</w:t>
      </w:r>
      <w:r w:rsidRPr="00934858">
        <w:t xml:space="preserve">. </w:t>
      </w:r>
    </w:p>
    <w:p w14:paraId="1FF729B5" w14:textId="19490187" w:rsidR="007A1E7E" w:rsidRDefault="007A1E7E" w:rsidP="007A1E7E">
      <w:r>
        <w:t xml:space="preserve">Steam may also be an important co-product, but this is likely to be highly dependent on the availability of appropriate infrastructure and nearby consumers given the nature of steam supply. As for the coal gasification pathway, combustion of natural gas within a boiler has been identified as the dominant technology (currently) for generation of high-grade steam (heat). As such, steam exported from the system could be estimated in line with the emissions associated with equivalent steam produced in a natural gas boiler of </w:t>
      </w:r>
      <w:r w:rsidR="0034622B">
        <w:t xml:space="preserve">a pre-defined default efficiency. </w:t>
      </w:r>
    </w:p>
    <w:p w14:paraId="08E77BD1" w14:textId="4A5F75B7" w:rsidR="001451E7" w:rsidRDefault="001451E7" w:rsidP="001451E7">
      <w:pPr>
        <w:keepNext/>
      </w:pPr>
      <w:r>
        <w:rPr>
          <w:i/>
        </w:rPr>
        <w:lastRenderedPageBreak/>
        <w:t>Module 2: Steam methane reforming system</w:t>
      </w:r>
    </w:p>
    <w:p w14:paraId="26CC63E6" w14:textId="7069CD9A" w:rsidR="001451E7" w:rsidRPr="00300939" w:rsidRDefault="001451E7" w:rsidP="007A1E7E">
      <w:r>
        <w:rPr>
          <w:noProof/>
          <w:lang w:eastAsia="en-AU"/>
        </w:rPr>
        <w:drawing>
          <wp:inline distT="0" distB="0" distL="0" distR="0" wp14:anchorId="260184AF" wp14:editId="4D505CEA">
            <wp:extent cx="5544185" cy="3253828"/>
            <wp:effectExtent l="0" t="0" r="0" b="3810"/>
            <wp:docPr id="15" name="Picture 15" descr="This figure depicts the steam methane reforming system where the methane is reformed into hydrogen. The natural gas from module 1 is an input along with electricity, water and fuel. Steam in the form of heat or electricity is a co-produ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44185" cy="3253828"/>
                    </a:xfrm>
                    <a:prstGeom prst="rect">
                      <a:avLst/>
                    </a:prstGeom>
                    <a:noFill/>
                  </pic:spPr>
                </pic:pic>
              </a:graphicData>
            </a:graphic>
          </wp:inline>
        </w:drawing>
      </w:r>
    </w:p>
    <w:p w14:paraId="52A05D7A" w14:textId="77777777" w:rsidR="007A1E7E" w:rsidRPr="00461C36" w:rsidRDefault="007A1E7E" w:rsidP="00461C36"/>
    <w:p w14:paraId="43308BFC" w14:textId="77777777" w:rsidR="00954180" w:rsidRPr="00954180" w:rsidRDefault="00954180" w:rsidP="00954180">
      <w:pPr>
        <w:pStyle w:val="Calloutbox"/>
        <w:rPr>
          <w:b/>
        </w:rPr>
      </w:pPr>
      <w:bookmarkStart w:id="304" w:name="_Toc67329122"/>
      <w:bookmarkStart w:id="305" w:name="_Toc67329370"/>
      <w:r w:rsidRPr="00954180">
        <w:rPr>
          <w:b/>
        </w:rPr>
        <w:t>Questions:</w:t>
      </w:r>
    </w:p>
    <w:p w14:paraId="38771651" w14:textId="6022B565" w:rsidR="00954180" w:rsidRDefault="00E7034D" w:rsidP="0081712E">
      <w:pPr>
        <w:pStyle w:val="Calloutbox"/>
      </w:pPr>
      <w:r>
        <w:t xml:space="preserve">24. </w:t>
      </w:r>
      <w:r w:rsidR="00954180">
        <w:t>Do you agree that emissions should be at</w:t>
      </w:r>
      <w:r w:rsidR="00BE70D1">
        <w:t xml:space="preserve">tributed to </w:t>
      </w:r>
      <w:r w:rsidR="00954180">
        <w:t>co-products</w:t>
      </w:r>
      <w:r w:rsidR="00BE70D1">
        <w:t xml:space="preserve"> where they are on-sold</w:t>
      </w:r>
      <w:r w:rsidR="00954180">
        <w:t>?</w:t>
      </w:r>
    </w:p>
    <w:p w14:paraId="4B9FFE1D" w14:textId="27A4CE77" w:rsidR="00954180" w:rsidRDefault="00E7034D" w:rsidP="0081712E">
      <w:pPr>
        <w:pStyle w:val="Calloutbox"/>
      </w:pPr>
      <w:r>
        <w:t xml:space="preserve">25. </w:t>
      </w:r>
      <w:r w:rsidR="00954180">
        <w:t>Are the by-products identified for each pathway l</w:t>
      </w:r>
      <w:r w:rsidR="00BE70D1">
        <w:t xml:space="preserve">ikely to be </w:t>
      </w:r>
      <w:r w:rsidR="00954180">
        <w:t>co-products (or are they more likely to be waste products?)</w:t>
      </w:r>
    </w:p>
    <w:p w14:paraId="350DFD68" w14:textId="7E45B5F1" w:rsidR="00954180" w:rsidRDefault="00E7034D" w:rsidP="0081712E">
      <w:pPr>
        <w:pStyle w:val="Calloutbox"/>
      </w:pPr>
      <w:r>
        <w:t xml:space="preserve">26. </w:t>
      </w:r>
      <w:r w:rsidR="00954180">
        <w:t xml:space="preserve">Do you think that the allocation methods suggested in each pathway are appropriate and practical? </w:t>
      </w:r>
      <w:r w:rsidR="002E0D6F">
        <w:t>H</w:t>
      </w:r>
      <w:r w:rsidR="00954180">
        <w:t>ow would you suggest emissions be allocated between the main product and co-products?</w:t>
      </w:r>
    </w:p>
    <w:p w14:paraId="10346354" w14:textId="0C05A7EF" w:rsidR="00277D18" w:rsidRPr="00277D18" w:rsidRDefault="00277D18" w:rsidP="003B47A9">
      <w:pPr>
        <w:pStyle w:val="Heading2"/>
      </w:pPr>
      <w:bookmarkStart w:id="306" w:name="_Ref67505121"/>
      <w:bookmarkStart w:id="307" w:name="_Toc67562626"/>
      <w:bookmarkStart w:id="308" w:name="_Toc68000209"/>
      <w:bookmarkStart w:id="309" w:name="_Toc68083140"/>
      <w:bookmarkStart w:id="310" w:name="_Toc68083535"/>
      <w:bookmarkStart w:id="311" w:name="_Toc68105074"/>
      <w:bookmarkStart w:id="312" w:name="_Toc74839353"/>
      <w:r w:rsidRPr="00277D18">
        <w:t>3.</w:t>
      </w:r>
      <w:r w:rsidR="000805C8">
        <w:t>7</w:t>
      </w:r>
      <w:r w:rsidRPr="00277D18">
        <w:t xml:space="preserve"> Carbon Capture, Utilisation and Storage</w:t>
      </w:r>
      <w:bookmarkEnd w:id="304"/>
      <w:bookmarkEnd w:id="305"/>
      <w:bookmarkEnd w:id="306"/>
      <w:bookmarkEnd w:id="307"/>
      <w:bookmarkEnd w:id="308"/>
      <w:bookmarkEnd w:id="309"/>
      <w:bookmarkEnd w:id="310"/>
      <w:bookmarkEnd w:id="311"/>
      <w:bookmarkEnd w:id="312"/>
    </w:p>
    <w:p w14:paraId="44D34DBB" w14:textId="27BE5554" w:rsidR="00277D18" w:rsidRDefault="00277D18" w:rsidP="00277D18">
      <w:r>
        <w:t>Carbon captu</w:t>
      </w:r>
      <w:r w:rsidR="003177A4">
        <w:t>re, utilisation and storage (CC</w:t>
      </w:r>
      <w:r w:rsidR="000722CB">
        <w:t>U</w:t>
      </w:r>
      <w:r>
        <w:t>S) refers to the capture of CO</w:t>
      </w:r>
      <w:r>
        <w:rPr>
          <w:vertAlign w:val="subscript"/>
        </w:rPr>
        <w:t>2</w:t>
      </w:r>
      <w:r>
        <w:t xml:space="preserve"> </w:t>
      </w:r>
      <w:r w:rsidR="00664FB4">
        <w:t xml:space="preserve">for </w:t>
      </w:r>
      <w:r>
        <w:t xml:space="preserve">use </w:t>
      </w:r>
      <w:r w:rsidR="00BE70D1">
        <w:t>in a product and storage in that</w:t>
      </w:r>
      <w:r>
        <w:t xml:space="preserve"> product</w:t>
      </w:r>
      <w:r w:rsidR="00664FB4">
        <w:t>,</w:t>
      </w:r>
      <w:r>
        <w:t xml:space="preserve"> or the capture of CO</w:t>
      </w:r>
      <w:r>
        <w:rPr>
          <w:vertAlign w:val="subscript"/>
        </w:rPr>
        <w:t xml:space="preserve">2 </w:t>
      </w:r>
      <w:r>
        <w:t xml:space="preserve">for permanent </w:t>
      </w:r>
      <w:r w:rsidR="00A70944">
        <w:t xml:space="preserve">geological </w:t>
      </w:r>
      <w:r>
        <w:t>storage</w:t>
      </w:r>
      <w:r w:rsidR="00664FB4">
        <w:t xml:space="preserve"> (carbon capture and storage or CCS)</w:t>
      </w:r>
      <w:r>
        <w:t xml:space="preserve">. </w:t>
      </w:r>
      <w:r w:rsidR="00A70944">
        <w:t>While IPCC provides guidance on the capture of CO</w:t>
      </w:r>
      <w:r w:rsidR="00A70944">
        <w:rPr>
          <w:vertAlign w:val="subscript"/>
        </w:rPr>
        <w:t xml:space="preserve">2 </w:t>
      </w:r>
      <w:r w:rsidR="00A70944">
        <w:t>for permanent geological storage (CCS), at this stage</w:t>
      </w:r>
      <w:r>
        <w:t xml:space="preserve"> there is no international consensus on emissions</w:t>
      </w:r>
      <w:r w:rsidR="00A70944">
        <w:t xml:space="preserve"> accounting associated with the capture of CO</w:t>
      </w:r>
      <w:r w:rsidR="00A70944">
        <w:rPr>
          <w:vertAlign w:val="subscript"/>
        </w:rPr>
        <w:t>2</w:t>
      </w:r>
      <w:r w:rsidR="00A70944">
        <w:t xml:space="preserve"> for use and storage in a product,</w:t>
      </w:r>
      <w:r>
        <w:t xml:space="preserve"> although the GHG Protocol is currently working on establishing international guidance to cover carbon removals and storage. It is important to note th</w:t>
      </w:r>
      <w:r w:rsidR="006854ED">
        <w:t>at there is some contention</w:t>
      </w:r>
      <w:r>
        <w:t xml:space="preserve"> in establishing princi</w:t>
      </w:r>
      <w:r w:rsidR="00A70944">
        <w:t>ples for emissions accounting for carbon stored in products</w:t>
      </w:r>
      <w:r>
        <w:t xml:space="preserve">. Of primary importance is the integrity of </w:t>
      </w:r>
      <w:r w:rsidR="00793D10">
        <w:t>the capture, removal and</w:t>
      </w:r>
      <w:r>
        <w:t xml:space="preserve"> storage of CO</w:t>
      </w:r>
      <w:r>
        <w:rPr>
          <w:vertAlign w:val="subscript"/>
        </w:rPr>
        <w:t xml:space="preserve">2 </w:t>
      </w:r>
      <w:r>
        <w:t>from the atmosphere. There are concerns about t</w:t>
      </w:r>
      <w:r w:rsidR="00A70944">
        <w:t>he risk of reversibility of carbon storage</w:t>
      </w:r>
      <w:r>
        <w:t xml:space="preserve"> and this is particularly important in </w:t>
      </w:r>
      <w:r w:rsidR="003177A4">
        <w:t>ensuring the validity of any CC</w:t>
      </w:r>
      <w:r>
        <w:t xml:space="preserve">S claims. </w:t>
      </w:r>
    </w:p>
    <w:p w14:paraId="7959CBF5" w14:textId="7550E555" w:rsidR="00277D18" w:rsidRDefault="00277D18" w:rsidP="00277D18">
      <w:r>
        <w:t>An additional consideration is whether embodied emissions can be allocated to a CO</w:t>
      </w:r>
      <w:r>
        <w:rPr>
          <w:vertAlign w:val="subscript"/>
        </w:rPr>
        <w:t xml:space="preserve">2 </w:t>
      </w:r>
      <w:r>
        <w:t>stream that is sold as a product.  T</w:t>
      </w:r>
      <w:r w:rsidRPr="00D05DC7">
        <w:t>here is potential under the GHG Protocol Standard and ISO 14044, for</w:t>
      </w:r>
      <w:r>
        <w:t xml:space="preserve"> embodied emissions to be allocated to this stream, in addition to the removal of emissions that constitute this stream from the product system emissions inventory. However this would represent a significant risk to the integrity of a hydrogen GO scheme as it presents potential for gaming of the system, particularly where other industries do not have a clear emissions accounting approach for CCUS. Given this risk and the broader treatment of CO</w:t>
      </w:r>
      <w:r>
        <w:rPr>
          <w:vertAlign w:val="subscript"/>
        </w:rPr>
        <w:t xml:space="preserve">2 </w:t>
      </w:r>
      <w:r w:rsidR="00FC35E3">
        <w:t>as a waste stream, it is proposed</w:t>
      </w:r>
      <w:r>
        <w:t xml:space="preserve"> to not allow </w:t>
      </w:r>
      <w:r w:rsidRPr="005D13FE">
        <w:t>allocation of embodied emissions to CO</w:t>
      </w:r>
      <w:r w:rsidRPr="005D13FE">
        <w:rPr>
          <w:vertAlign w:val="subscript"/>
        </w:rPr>
        <w:t>2</w:t>
      </w:r>
      <w:r w:rsidRPr="005D13FE">
        <w:t xml:space="preserve">. </w:t>
      </w:r>
    </w:p>
    <w:p w14:paraId="04F26BB8" w14:textId="77777777" w:rsidR="00277D18" w:rsidRDefault="00277D18" w:rsidP="00277D18">
      <w:r w:rsidRPr="00166B05">
        <w:t>At present, Australia’s NGER scheme has stringent requirements which must be met for CO</w:t>
      </w:r>
      <w:r w:rsidRPr="00AE52FD">
        <w:rPr>
          <w:vertAlign w:val="subscript"/>
        </w:rPr>
        <w:t>2</w:t>
      </w:r>
      <w:r w:rsidRPr="00166B05">
        <w:t xml:space="preserve"> designated as “captured for permanent storage” as outlined in Division 1.2.3 of the </w:t>
      </w:r>
      <w:r>
        <w:t xml:space="preserve">NGER </w:t>
      </w:r>
      <w:r w:rsidRPr="00166B05">
        <w:t xml:space="preserve">Determination. The </w:t>
      </w:r>
      <w:r>
        <w:t xml:space="preserve">NGER </w:t>
      </w:r>
      <w:r w:rsidRPr="00166B05">
        <w:t>Determination refers to injection for geological storage as the only measure of permanent CO</w:t>
      </w:r>
      <w:r w:rsidRPr="00CD5B79">
        <w:rPr>
          <w:vertAlign w:val="subscript"/>
        </w:rPr>
        <w:t>2</w:t>
      </w:r>
      <w:r w:rsidRPr="00166B05">
        <w:t xml:space="preserve"> storage</w:t>
      </w:r>
      <w:r>
        <w:t>. There is currently no provision to account for other forms of storage (e.g. mineral carbonation) and utilisation which constitutes storage (e.g. transformation of CO</w:t>
      </w:r>
      <w:r w:rsidRPr="007F4F3E">
        <w:rPr>
          <w:vertAlign w:val="subscript"/>
        </w:rPr>
        <w:t>2</w:t>
      </w:r>
      <w:r>
        <w:t xml:space="preserve"> into building materials).</w:t>
      </w:r>
    </w:p>
    <w:p w14:paraId="631B331B" w14:textId="3FCD8130" w:rsidR="00277D18" w:rsidRDefault="00FC35E3" w:rsidP="00277D18">
      <w:r>
        <w:t xml:space="preserve">It is proposed </w:t>
      </w:r>
      <w:r w:rsidR="00277D18">
        <w:t>that CCUS provisions should be limited to emissions permanently stored in geological formations until robust international accounting provisions are developed for other forms of CCUS. As such, at this stag</w:t>
      </w:r>
      <w:r w:rsidR="00A70944">
        <w:t>e it is recommended that the CC</w:t>
      </w:r>
      <w:r w:rsidR="00793D10">
        <w:t xml:space="preserve">S and </w:t>
      </w:r>
      <w:r w:rsidR="00277D18">
        <w:t xml:space="preserve">CCUS considerations for Australia’s hydrogen GO scheme be limited to the provisions included under the NGER Determination. </w:t>
      </w:r>
    </w:p>
    <w:p w14:paraId="501523D5" w14:textId="77777777" w:rsidR="00231A2B" w:rsidRPr="00231A2B" w:rsidRDefault="00231A2B" w:rsidP="00231A2B">
      <w:r w:rsidRPr="00231A2B">
        <w:t xml:space="preserve">The Australian Government is currently developing a method for CCS under the Emissions Reduction Fund (ERF). This would allow businesses undertaking eligible CCS projects to earn Australian carbon credit units (ACCUs) for capturing greenhouse gases from resource and industrial processes and injecting them into geological formations for permanent storage. The hydrogen GO scheme will consider interactions with the ERF CCS method when developing its detailed guidance on CCS to ensure no double counting occurs. </w:t>
      </w:r>
    </w:p>
    <w:p w14:paraId="7BF57ED0" w14:textId="7020ABBF" w:rsidR="00277D18" w:rsidRDefault="00231A2B" w:rsidP="00231A2B">
      <w:r w:rsidRPr="00231A2B">
        <w:t xml:space="preserve">CCUS is an evolving area, and while there is currently a lack of international and domestic guidance around accounting for carbon stored in products, it is expected that as the uptake of CCUS technologies increase so will the availability of data, allowing for the development of methods and default factors for estimation of CCUS related removals and associated emissions. The approach proposed here will be revised as NGER determinations are updated and other ERF methods are developed to include other forms of carbon storage. </w:t>
      </w:r>
      <w:r w:rsidR="00954180" w:rsidRPr="00231A2B">
        <w:t xml:space="preserve"> </w:t>
      </w:r>
    </w:p>
    <w:p w14:paraId="5DDF2F12" w14:textId="77777777" w:rsidR="00954180" w:rsidRPr="00954180" w:rsidRDefault="00954180" w:rsidP="00954180">
      <w:pPr>
        <w:pStyle w:val="Calloutbox"/>
        <w:rPr>
          <w:b/>
        </w:rPr>
      </w:pPr>
      <w:r w:rsidRPr="00954180">
        <w:rPr>
          <w:b/>
        </w:rPr>
        <w:t>Questions:</w:t>
      </w:r>
    </w:p>
    <w:p w14:paraId="561DAE10" w14:textId="2FD81A9E" w:rsidR="00954180" w:rsidRDefault="00E7034D" w:rsidP="0081712E">
      <w:pPr>
        <w:pStyle w:val="Calloutbox"/>
      </w:pPr>
      <w:r>
        <w:t xml:space="preserve">27. </w:t>
      </w:r>
      <w:r w:rsidR="00954180">
        <w:t xml:space="preserve">Do you agree with an approach limiting provisions for CCS and </w:t>
      </w:r>
      <w:r w:rsidR="00422A98">
        <w:t>CCUS in an initial Guarantee of Origin</w:t>
      </w:r>
      <w:r w:rsidR="00954180">
        <w:t xml:space="preserve"> scheme to those included</w:t>
      </w:r>
      <w:r w:rsidR="00BE70D1">
        <w:t xml:space="preserve"> under the NGER determination, </w:t>
      </w:r>
      <w:r w:rsidR="00954180">
        <w:t xml:space="preserve">noting that these will be expanded or adjusted as new CCUS technologies and industrial processes are implemented? </w:t>
      </w:r>
    </w:p>
    <w:p w14:paraId="3E912AB2" w14:textId="02D962F5" w:rsidR="00954180" w:rsidRPr="00277D18" w:rsidRDefault="00E7034D" w:rsidP="0081712E">
      <w:pPr>
        <w:pStyle w:val="Calloutbox"/>
      </w:pPr>
      <w:r>
        <w:t xml:space="preserve">28. </w:t>
      </w:r>
      <w:r w:rsidR="00954180">
        <w:t>What are the likely or possible applications of CCUS technologies in the hydrogen industry?</w:t>
      </w:r>
    </w:p>
    <w:p w14:paraId="5E160FEB" w14:textId="6057CA0A" w:rsidR="00250BF2" w:rsidRDefault="00250BF2" w:rsidP="003B47A9">
      <w:pPr>
        <w:pStyle w:val="Heading2"/>
      </w:pPr>
      <w:bookmarkStart w:id="313" w:name="_Toc67329123"/>
      <w:bookmarkStart w:id="314" w:name="_Toc67329371"/>
      <w:bookmarkStart w:id="315" w:name="_Ref67505088"/>
      <w:bookmarkStart w:id="316" w:name="_Toc67562627"/>
      <w:bookmarkStart w:id="317" w:name="_Toc68000210"/>
      <w:bookmarkStart w:id="318" w:name="_Toc68083141"/>
      <w:bookmarkStart w:id="319" w:name="_Toc68083536"/>
      <w:bookmarkStart w:id="320" w:name="_Toc68105075"/>
      <w:bookmarkStart w:id="321" w:name="_Toc74839354"/>
      <w:r>
        <w:t>3</w:t>
      </w:r>
      <w:r w:rsidR="000805C8">
        <w:t>.8</w:t>
      </w:r>
      <w:r>
        <w:t xml:space="preserve"> Materiality threshold</w:t>
      </w:r>
      <w:bookmarkEnd w:id="313"/>
      <w:bookmarkEnd w:id="314"/>
      <w:bookmarkEnd w:id="315"/>
      <w:bookmarkEnd w:id="316"/>
      <w:bookmarkEnd w:id="317"/>
      <w:bookmarkEnd w:id="318"/>
      <w:bookmarkEnd w:id="319"/>
      <w:bookmarkEnd w:id="320"/>
      <w:bookmarkEnd w:id="321"/>
    </w:p>
    <w:p w14:paraId="0F6D90BA" w14:textId="77777777" w:rsidR="00250BF2" w:rsidRPr="000A21D4" w:rsidRDefault="00250BF2" w:rsidP="00250BF2">
      <w:r>
        <w:t>E</w:t>
      </w:r>
      <w:r w:rsidRPr="000A21D4">
        <w:t>stablishment of materiality thresholds may be helpful in managing and reducing</w:t>
      </w:r>
      <w:r>
        <w:t xml:space="preserve"> compliance burden for scheme participants</w:t>
      </w:r>
      <w:r w:rsidRPr="000A21D4">
        <w:t>, particularly for small hydrogen producers and those with complicated production pathways. Both the GHG Protocol Stan</w:t>
      </w:r>
      <w:r>
        <w:t xml:space="preserve">dard and ISO 14044 include </w:t>
      </w:r>
      <w:r w:rsidRPr="000A21D4">
        <w:t xml:space="preserve">provisions to allow for exclusion or estimation of some portion of the </w:t>
      </w:r>
      <w:r>
        <w:t xml:space="preserve">emissions </w:t>
      </w:r>
      <w:r w:rsidRPr="000A21D4">
        <w:t>inventory</w:t>
      </w:r>
      <w:r>
        <w:t xml:space="preserve"> for small, non</w:t>
      </w:r>
      <w:r>
        <w:softHyphen/>
      </w:r>
      <w:r>
        <w:noBreakHyphen/>
        <w:t>material emissions sources (for example the leakage of refrigerants or emissions from lubricants)</w:t>
      </w:r>
      <w:r w:rsidRPr="000A21D4">
        <w:t xml:space="preserve">. </w:t>
      </w:r>
    </w:p>
    <w:p w14:paraId="7955E7B0" w14:textId="6AD3F911" w:rsidR="00250BF2" w:rsidRDefault="00FC35E3" w:rsidP="00250BF2">
      <w:r>
        <w:t>A</w:t>
      </w:r>
      <w:r w:rsidR="009E3DB6">
        <w:t xml:space="preserve"> </w:t>
      </w:r>
      <w:r w:rsidR="00250BF2" w:rsidRPr="000A21D4">
        <w:t>materiality threshold</w:t>
      </w:r>
      <w:r w:rsidR="00B450D4">
        <w:t xml:space="preserve"> of </w:t>
      </w:r>
      <w:r w:rsidR="000722CB">
        <w:t xml:space="preserve">between 2.5 and </w:t>
      </w:r>
      <w:r w:rsidR="009E3DB6">
        <w:t>5% in total</w:t>
      </w:r>
      <w:r w:rsidR="00B450D4" w:rsidRPr="00B450D4">
        <w:t xml:space="preserve"> </w:t>
      </w:r>
      <w:r w:rsidR="00B450D4" w:rsidRPr="000A21D4">
        <w:t>prior to carbon capture</w:t>
      </w:r>
      <w:r w:rsidR="00B450D4">
        <w:t xml:space="preserve"> is proposed to apply across emissions calculations. This is consistent with GHG protocol.</w:t>
      </w:r>
      <w:r w:rsidR="00250BF2" w:rsidRPr="000A21D4">
        <w:t xml:space="preserve"> Industry consultation and pilot studies can further determine the appropriateness of this threshold to ensure there an equitable balance b</w:t>
      </w:r>
      <w:r w:rsidR="00250BF2">
        <w:t>etween accuracy and practicality or emissions reporting</w:t>
      </w:r>
      <w:r w:rsidR="00250BF2" w:rsidRPr="000A21D4">
        <w:t xml:space="preserve">. </w:t>
      </w:r>
    </w:p>
    <w:p w14:paraId="38BD7FA5" w14:textId="77777777" w:rsidR="00954180" w:rsidRPr="00954180" w:rsidRDefault="00954180" w:rsidP="0081712E">
      <w:pPr>
        <w:pStyle w:val="Calloutbox"/>
        <w:keepNext/>
        <w:rPr>
          <w:b/>
        </w:rPr>
      </w:pPr>
      <w:r w:rsidRPr="00954180">
        <w:rPr>
          <w:b/>
        </w:rPr>
        <w:t>Questions:</w:t>
      </w:r>
    </w:p>
    <w:p w14:paraId="58D6A326" w14:textId="28C2E8B2" w:rsidR="00954180" w:rsidRPr="0081712E" w:rsidRDefault="00E7034D" w:rsidP="0081712E">
      <w:pPr>
        <w:pStyle w:val="Calloutbox"/>
      </w:pPr>
      <w:r w:rsidRPr="0081712E">
        <w:t xml:space="preserve">29. </w:t>
      </w:r>
      <w:r w:rsidR="00954180" w:rsidRPr="0081712E">
        <w:t xml:space="preserve">Do you agree with setting a materiality threshold </w:t>
      </w:r>
      <w:r w:rsidR="002B0418" w:rsidRPr="0081712E">
        <w:t>allowing entities to exclude</w:t>
      </w:r>
      <w:r w:rsidR="000722CB" w:rsidRPr="0081712E">
        <w:t xml:space="preserve"> a small amount (e.g. 2.5 to</w:t>
      </w:r>
      <w:r w:rsidR="002B0418" w:rsidRPr="0081712E">
        <w:t xml:space="preserve"> 5</w:t>
      </w:r>
      <w:r w:rsidR="00954180" w:rsidRPr="0081712E">
        <w:t>%</w:t>
      </w:r>
      <w:r w:rsidR="000722CB" w:rsidRPr="0081712E">
        <w:t>)</w:t>
      </w:r>
      <w:r w:rsidR="00954180" w:rsidRPr="0081712E">
        <w:t xml:space="preserve"> of total emissions from analysis? </w:t>
      </w:r>
    </w:p>
    <w:p w14:paraId="7AB5A84F" w14:textId="51576313" w:rsidR="00954180" w:rsidRPr="0081712E" w:rsidRDefault="00E7034D" w:rsidP="0081712E">
      <w:pPr>
        <w:pStyle w:val="Calloutbox"/>
      </w:pPr>
      <w:r w:rsidRPr="0081712E">
        <w:t xml:space="preserve">30. </w:t>
      </w:r>
      <w:r w:rsidR="000722CB" w:rsidRPr="0081712E">
        <w:t>W</w:t>
      </w:r>
      <w:r w:rsidR="00954180" w:rsidRPr="0081712E">
        <w:t xml:space="preserve">hat would </w:t>
      </w:r>
      <w:r w:rsidR="000722CB" w:rsidRPr="0081712E">
        <w:t xml:space="preserve">you consider to </w:t>
      </w:r>
      <w:r w:rsidR="00954180" w:rsidRPr="0081712E">
        <w:t>be an appropriate threshold?</w:t>
      </w:r>
    </w:p>
    <w:p w14:paraId="0AE4AEAA" w14:textId="5712018E" w:rsidR="00B727A8" w:rsidRDefault="00B727A8" w:rsidP="00B727A8">
      <w:pPr>
        <w:pStyle w:val="Heading1"/>
      </w:pPr>
      <w:bookmarkStart w:id="322" w:name="_Toc67329124"/>
      <w:bookmarkStart w:id="323" w:name="_Toc67329372"/>
      <w:bookmarkStart w:id="324" w:name="_Toc67562628"/>
      <w:bookmarkStart w:id="325" w:name="_Toc68000211"/>
      <w:bookmarkStart w:id="326" w:name="_Toc68083142"/>
      <w:bookmarkStart w:id="327" w:name="_Toc68083537"/>
      <w:bookmarkStart w:id="328" w:name="_Toc68105076"/>
      <w:bookmarkStart w:id="329" w:name="_Toc74839355"/>
      <w:r>
        <w:t>4. Next steps</w:t>
      </w:r>
      <w:bookmarkEnd w:id="322"/>
      <w:bookmarkEnd w:id="323"/>
      <w:bookmarkEnd w:id="324"/>
      <w:bookmarkEnd w:id="325"/>
      <w:bookmarkEnd w:id="326"/>
      <w:bookmarkEnd w:id="327"/>
      <w:bookmarkEnd w:id="328"/>
      <w:bookmarkEnd w:id="329"/>
    </w:p>
    <w:p w14:paraId="108A7F9B" w14:textId="18ABAD85" w:rsidR="00B727A8" w:rsidRDefault="00B727A8" w:rsidP="003B47A9">
      <w:pPr>
        <w:pStyle w:val="Heading2"/>
      </w:pPr>
      <w:bookmarkStart w:id="330" w:name="_Toc67329125"/>
      <w:bookmarkStart w:id="331" w:name="_Toc67329373"/>
      <w:bookmarkStart w:id="332" w:name="_Ref67505414"/>
      <w:bookmarkStart w:id="333" w:name="_Toc67562629"/>
      <w:bookmarkStart w:id="334" w:name="_Toc68000212"/>
      <w:bookmarkStart w:id="335" w:name="_Toc68083143"/>
      <w:bookmarkStart w:id="336" w:name="_Toc68083538"/>
      <w:bookmarkStart w:id="337" w:name="_Toc68105077"/>
      <w:bookmarkStart w:id="338" w:name="_Toc74839356"/>
      <w:r>
        <w:t xml:space="preserve">4.1 </w:t>
      </w:r>
      <w:r w:rsidR="00B661EA">
        <w:t>Trial</w:t>
      </w:r>
      <w:r>
        <w:t xml:space="preserve"> </w:t>
      </w:r>
      <w:r w:rsidR="00F533B0">
        <w:t>p</w:t>
      </w:r>
      <w:r>
        <w:t>hase</w:t>
      </w:r>
      <w:bookmarkEnd w:id="330"/>
      <w:bookmarkEnd w:id="331"/>
      <w:bookmarkEnd w:id="332"/>
      <w:bookmarkEnd w:id="333"/>
      <w:bookmarkEnd w:id="334"/>
      <w:bookmarkEnd w:id="335"/>
      <w:bookmarkEnd w:id="336"/>
      <w:bookmarkEnd w:id="337"/>
      <w:bookmarkEnd w:id="338"/>
    </w:p>
    <w:p w14:paraId="70010ACB" w14:textId="114C2D9F" w:rsidR="00E6266C" w:rsidRDefault="00F362E5" w:rsidP="00B727A8">
      <w:r>
        <w:t>The Australian Government has announced the 2021-22 Budget will provide for a trial of a hydrogen Guarantee of Origin scheme</w:t>
      </w:r>
      <w:r w:rsidR="00B727A8">
        <w:t>. The results from this con</w:t>
      </w:r>
      <w:r>
        <w:t>sultation will be used to inform</w:t>
      </w:r>
      <w:r w:rsidR="00B727A8">
        <w:t xml:space="preserve"> the </w:t>
      </w:r>
      <w:r w:rsidR="00B661EA">
        <w:t>trial</w:t>
      </w:r>
      <w:r w:rsidR="00B727A8">
        <w:t xml:space="preserve"> phase</w:t>
      </w:r>
      <w:r>
        <w:t xml:space="preserve"> and the Department and the Clean Energy Regulator will work together to design the trials</w:t>
      </w:r>
      <w:r w:rsidR="00B727A8">
        <w:t xml:space="preserve">. </w:t>
      </w:r>
      <w:r w:rsidR="00B5685D">
        <w:t xml:space="preserve">The </w:t>
      </w:r>
      <w:r w:rsidR="00B661EA">
        <w:t>trial</w:t>
      </w:r>
      <w:r w:rsidR="00B5685D">
        <w:t xml:space="preserve"> phase would not create certificates until legislation has been developed. </w:t>
      </w:r>
    </w:p>
    <w:p w14:paraId="2C4E119C" w14:textId="327ED9A5" w:rsidR="00B727A8" w:rsidRDefault="00B727A8" w:rsidP="00B727A8">
      <w:r>
        <w:t>Trials are exp</w:t>
      </w:r>
      <w:r w:rsidR="0039723A">
        <w:t>ected to be launched in the second half of</w:t>
      </w:r>
      <w:r>
        <w:t xml:space="preserve"> 2021. The timing of trials would be dependent upon having the necessary systems, legislative and regulatory instruments or contractual arrangements in place to complete trial activities. </w:t>
      </w:r>
    </w:p>
    <w:p w14:paraId="4A065F45" w14:textId="39D00C1B" w:rsidR="00B727A8" w:rsidRDefault="00B727A8" w:rsidP="00B727A8">
      <w:r>
        <w:t>The</w:t>
      </w:r>
      <w:r w:rsidR="00B661EA">
        <w:t xml:space="preserve"> trial</w:t>
      </w:r>
      <w:r>
        <w:t xml:space="preserve"> phase will test the accuracy, administrative burden and verification mechanisms associated with relevant emissions accounting methodologies out</w:t>
      </w:r>
      <w:r w:rsidR="006854ED">
        <w:t>lined in this paper. In some instances, trials may</w:t>
      </w:r>
      <w:r>
        <w:t xml:space="preserve"> cover multiple emissions accounting processes to determine which approach balances accuracy with regulatory burden.</w:t>
      </w:r>
      <w:r w:rsidR="00D41952">
        <w:t xml:space="preserve"> </w:t>
      </w:r>
      <w:r w:rsidR="00B661EA">
        <w:t>Trials</w:t>
      </w:r>
      <w:r w:rsidR="00D41952">
        <w:t xml:space="preserve"> could also explore how an Australian scheme could interact with international schemes</w:t>
      </w:r>
      <w:r w:rsidR="002B44AC">
        <w:t xml:space="preserve"> that are operating or under development</w:t>
      </w:r>
      <w:r w:rsidR="00D41952">
        <w:t xml:space="preserve">. </w:t>
      </w:r>
    </w:p>
    <w:p w14:paraId="7181AC7C" w14:textId="2D35237B" w:rsidR="00B727A8" w:rsidRDefault="00B727A8" w:rsidP="00B727A8">
      <w:r>
        <w:t>The spe</w:t>
      </w:r>
      <w:r w:rsidR="00ED6914">
        <w:t>cific attributes and features that may</w:t>
      </w:r>
      <w:r>
        <w:t xml:space="preserve"> be tested include: </w:t>
      </w:r>
    </w:p>
    <w:p w14:paraId="16C309C2" w14:textId="512B10B5" w:rsidR="00B727A8" w:rsidRDefault="00B727A8" w:rsidP="00C20DB5">
      <w:pPr>
        <w:pStyle w:val="ListParagraph"/>
        <w:numPr>
          <w:ilvl w:val="0"/>
          <w:numId w:val="21"/>
        </w:numPr>
      </w:pPr>
      <w:r>
        <w:t>Ensuring all material emissions sources in each pathway have been identified and accounted</w:t>
      </w:r>
      <w:r w:rsidR="006854ED">
        <w:t xml:space="preserve"> for</w:t>
      </w:r>
      <w:r>
        <w:t>.</w:t>
      </w:r>
    </w:p>
    <w:p w14:paraId="43FADAEE" w14:textId="2F236D19" w:rsidR="00B727A8" w:rsidRDefault="00B727A8" w:rsidP="00C20DB5">
      <w:pPr>
        <w:pStyle w:val="ListParagraph"/>
        <w:numPr>
          <w:ilvl w:val="0"/>
          <w:numId w:val="21"/>
        </w:numPr>
      </w:pPr>
      <w:r>
        <w:t>Determining the robustness of the</w:t>
      </w:r>
      <w:r w:rsidR="00B7797D">
        <w:t xml:space="preserve"> carbon accounting methods</w:t>
      </w:r>
      <w:r w:rsidR="00440359">
        <w:t xml:space="preserve">, including </w:t>
      </w:r>
      <w:r w:rsidR="001B0D26">
        <w:t xml:space="preserve">that </w:t>
      </w:r>
      <w:r>
        <w:t xml:space="preserve">relevant emissions factors easy to find and </w:t>
      </w:r>
      <w:r w:rsidR="001B0D26">
        <w:t>able to be applied consistently.</w:t>
      </w:r>
      <w:r>
        <w:t xml:space="preserve"> </w:t>
      </w:r>
    </w:p>
    <w:p w14:paraId="09ADA778" w14:textId="6ED18D5D" w:rsidR="00B727A8" w:rsidRDefault="00B727A8" w:rsidP="00C20DB5">
      <w:pPr>
        <w:pStyle w:val="ListParagraph"/>
        <w:numPr>
          <w:ilvl w:val="0"/>
          <w:numId w:val="21"/>
        </w:numPr>
      </w:pPr>
      <w:r>
        <w:t xml:space="preserve">Assessing </w:t>
      </w:r>
      <w:r w:rsidR="00B661EA">
        <w:t>reporting</w:t>
      </w:r>
      <w:r>
        <w:t xml:space="preserve"> burden for participants and the resource intensity of validating claims. </w:t>
      </w:r>
    </w:p>
    <w:p w14:paraId="65FE5340" w14:textId="77777777" w:rsidR="00B727A8" w:rsidRDefault="00B727A8" w:rsidP="00C20DB5">
      <w:pPr>
        <w:pStyle w:val="ListParagraph"/>
        <w:numPr>
          <w:ilvl w:val="0"/>
          <w:numId w:val="21"/>
        </w:numPr>
      </w:pPr>
      <w:r>
        <w:t>Testing approaches to allocating emissions to co-products relevant to each pathway</w:t>
      </w:r>
    </w:p>
    <w:p w14:paraId="68CCA1FA" w14:textId="23759F7B" w:rsidR="00B727A8" w:rsidRDefault="00B727A8" w:rsidP="00C20DB5">
      <w:pPr>
        <w:pStyle w:val="ListParagraph"/>
        <w:numPr>
          <w:ilvl w:val="0"/>
          <w:numId w:val="21"/>
        </w:numPr>
      </w:pPr>
      <w:r>
        <w:t>Determining the appropriate ti</w:t>
      </w:r>
      <w:r w:rsidR="00B7797D">
        <w:t>meframes for reporting</w:t>
      </w:r>
      <w:r>
        <w:t xml:space="preserve">. </w:t>
      </w:r>
    </w:p>
    <w:p w14:paraId="1E41FBA6" w14:textId="2F7F83FF" w:rsidR="00B5685D" w:rsidRDefault="00B5685D" w:rsidP="00C20DB5">
      <w:pPr>
        <w:pStyle w:val="ListParagraph"/>
        <w:numPr>
          <w:ilvl w:val="0"/>
          <w:numId w:val="21"/>
        </w:numPr>
      </w:pPr>
      <w:r>
        <w:t xml:space="preserve">Registration processes and systems needed to create certificates. </w:t>
      </w:r>
    </w:p>
    <w:p w14:paraId="6760E7B7" w14:textId="78291341" w:rsidR="00B661B6" w:rsidRDefault="00B661B6" w:rsidP="00B661B6">
      <w:r>
        <w:t xml:space="preserve">Data </w:t>
      </w:r>
      <w:r w:rsidR="00B7797D">
        <w:t xml:space="preserve">from the </w:t>
      </w:r>
      <w:r w:rsidR="00B661EA">
        <w:t>trials</w:t>
      </w:r>
      <w:r w:rsidR="00B7797D">
        <w:t xml:space="preserve"> will </w:t>
      </w:r>
      <w:r>
        <w:t xml:space="preserve">be used to inform the </w:t>
      </w:r>
      <w:r w:rsidR="00B7797D">
        <w:t xml:space="preserve">final accounting methodologies and </w:t>
      </w:r>
      <w:r>
        <w:t xml:space="preserve">detailed design of registries underpinning the hydrogen GO scheme </w:t>
      </w:r>
      <w:r w:rsidR="00AF2B04">
        <w:t xml:space="preserve">and inform on the appropriateness of leveraging provisions in the NGER Act on verification, audit, compliance and enforcement. </w:t>
      </w:r>
      <w:r w:rsidR="002B36FF">
        <w:t xml:space="preserve">It should be noted that trials will not cover certificate creation and surrender as legislation is needed for these components. The trials will focus on the carbon accounting elements of the scheme. </w:t>
      </w:r>
    </w:p>
    <w:p w14:paraId="0D6EEAF6" w14:textId="442F45B5" w:rsidR="00B727A8" w:rsidRDefault="00B727A8" w:rsidP="00B727A8">
      <w:r>
        <w:t>P</w:t>
      </w:r>
      <w:r w:rsidR="00F362E5">
        <w:t>articipation in the trials will</w:t>
      </w:r>
      <w:r>
        <w:t xml:space="preserve"> be voluntary. </w:t>
      </w:r>
      <w:r w:rsidR="00F362E5">
        <w:t>Criteria will</w:t>
      </w:r>
      <w:r w:rsidR="00B661EA">
        <w:t xml:space="preserve"> be se</w:t>
      </w:r>
      <w:r w:rsidR="006854ED">
        <w:t>t to</w:t>
      </w:r>
      <w:r w:rsidR="00B661EA">
        <w:t xml:space="preserve"> determine el</w:t>
      </w:r>
      <w:r w:rsidR="006854ED">
        <w:t>igibility to participate in tria</w:t>
      </w:r>
      <w:r w:rsidR="00B661EA">
        <w:t>ls, and it is expected participants</w:t>
      </w:r>
      <w:r>
        <w:t xml:space="preserve"> would be limited to hydrogen production facilities currently in operation or sufficiently progressed to ensure the necessary reporting obligations can be met. </w:t>
      </w:r>
    </w:p>
    <w:p w14:paraId="333854BD" w14:textId="4239E74B" w:rsidR="00AF2B04" w:rsidRDefault="00AF2B04" w:rsidP="00B727A8">
      <w:r>
        <w:t xml:space="preserve">Final design on a hydrogen GO scheme will seek industry consultation. </w:t>
      </w:r>
    </w:p>
    <w:p w14:paraId="3EA3B1A9" w14:textId="77777777" w:rsidR="00D737AA" w:rsidRPr="00D737AA" w:rsidRDefault="00D737AA" w:rsidP="00D737AA">
      <w:pPr>
        <w:pStyle w:val="Calloutbox"/>
        <w:rPr>
          <w:b/>
        </w:rPr>
      </w:pPr>
      <w:r w:rsidRPr="00D737AA">
        <w:rPr>
          <w:b/>
        </w:rPr>
        <w:t>Questions:</w:t>
      </w:r>
    </w:p>
    <w:p w14:paraId="28E38387" w14:textId="2A7CE4F3" w:rsidR="00D737AA" w:rsidRPr="00544747" w:rsidRDefault="00E7034D" w:rsidP="0081712E">
      <w:pPr>
        <w:pStyle w:val="Calloutbox"/>
      </w:pPr>
      <w:r>
        <w:t xml:space="preserve">31. </w:t>
      </w:r>
      <w:r w:rsidR="00D737AA">
        <w:t>Is a</w:t>
      </w:r>
      <w:r w:rsidR="00D737AA" w:rsidDel="00087AE1">
        <w:t xml:space="preserve"> </w:t>
      </w:r>
      <w:r w:rsidR="00D737AA">
        <w:t>trial phase an appropriate next step for testing and refining the proposed methodologies?</w:t>
      </w:r>
    </w:p>
    <w:p w14:paraId="3B39916F" w14:textId="62778570" w:rsidR="00D737AA" w:rsidRPr="00A85DF3" w:rsidRDefault="00E7034D" w:rsidP="0081712E">
      <w:pPr>
        <w:pStyle w:val="Calloutbox"/>
      </w:pPr>
      <w:r>
        <w:t xml:space="preserve">32. </w:t>
      </w:r>
      <w:r w:rsidR="00D737AA">
        <w:t xml:space="preserve">Is the list of attributes and features to be tested correct? Is there anything else that could be tested through a trial phase? </w:t>
      </w:r>
    </w:p>
    <w:p w14:paraId="2A8D1C6D" w14:textId="783D94EC" w:rsidR="00D737AA" w:rsidRPr="00B5685D" w:rsidRDefault="00E7034D" w:rsidP="0081712E">
      <w:pPr>
        <w:pStyle w:val="Calloutbox"/>
      </w:pPr>
      <w:r>
        <w:t xml:space="preserve">33. </w:t>
      </w:r>
      <w:r w:rsidR="00D737AA">
        <w:t>Would you like to be involved in a trial</w:t>
      </w:r>
      <w:r w:rsidR="00B661EA">
        <w:t xml:space="preserve"> (noting an affirmative response will not guarantee participation)</w:t>
      </w:r>
      <w:r w:rsidR="00D737AA">
        <w:t>?</w:t>
      </w:r>
    </w:p>
    <w:p w14:paraId="3358F90E" w14:textId="587C2734" w:rsidR="00D737AA" w:rsidRDefault="00E7034D" w:rsidP="0081712E">
      <w:pPr>
        <w:pStyle w:val="Calloutbox"/>
      </w:pPr>
      <w:r>
        <w:t xml:space="preserve">34. </w:t>
      </w:r>
      <w:r w:rsidR="00D737AA">
        <w:t>What reporting frequency should be adopted for trials to deliver learnings and results quickly?</w:t>
      </w:r>
    </w:p>
    <w:p w14:paraId="1362E7B4" w14:textId="7D325C1B" w:rsidR="000775E6" w:rsidRDefault="00527498" w:rsidP="005F166A">
      <w:pPr>
        <w:pStyle w:val="Heading1"/>
      </w:pPr>
      <w:r>
        <w:br w:type="page"/>
      </w:r>
      <w:bookmarkStart w:id="339" w:name="_Toc62043737"/>
      <w:bookmarkStart w:id="340" w:name="_Toc64302377"/>
      <w:bookmarkStart w:id="341" w:name="_Toc65168381"/>
      <w:bookmarkStart w:id="342" w:name="_Toc67329126"/>
      <w:bookmarkStart w:id="343" w:name="_Toc67329374"/>
      <w:bookmarkStart w:id="344" w:name="_Toc67562630"/>
      <w:bookmarkStart w:id="345" w:name="_Toc68000213"/>
      <w:bookmarkStart w:id="346" w:name="_Toc68083144"/>
      <w:bookmarkStart w:id="347" w:name="_Toc68083539"/>
      <w:bookmarkStart w:id="348" w:name="_Toc68105078"/>
      <w:bookmarkStart w:id="349" w:name="_Toc74839357"/>
      <w:r w:rsidR="000775E6">
        <w:t>Attachment A:</w:t>
      </w:r>
      <w:bookmarkStart w:id="350" w:name="_Toc62043738"/>
      <w:bookmarkEnd w:id="339"/>
      <w:r w:rsidR="00717106">
        <w:t xml:space="preserve"> </w:t>
      </w:r>
      <w:r w:rsidR="00E00B8F">
        <w:t>Description of</w:t>
      </w:r>
      <w:r w:rsidR="000775E6">
        <w:t xml:space="preserve"> hydrogen produced from electrolysis</w:t>
      </w:r>
      <w:bookmarkEnd w:id="340"/>
      <w:bookmarkEnd w:id="341"/>
      <w:bookmarkEnd w:id="342"/>
      <w:bookmarkEnd w:id="343"/>
      <w:bookmarkEnd w:id="350"/>
      <w:bookmarkEnd w:id="344"/>
      <w:bookmarkEnd w:id="345"/>
      <w:bookmarkEnd w:id="346"/>
      <w:bookmarkEnd w:id="347"/>
      <w:bookmarkEnd w:id="348"/>
      <w:bookmarkEnd w:id="349"/>
    </w:p>
    <w:p w14:paraId="6072522E" w14:textId="180929D6" w:rsidR="003711EF" w:rsidRDefault="003711EF" w:rsidP="003B47A9">
      <w:pPr>
        <w:pStyle w:val="Heading2"/>
      </w:pPr>
      <w:bookmarkStart w:id="351" w:name="_Toc64302378"/>
      <w:bookmarkStart w:id="352" w:name="_Toc65168382"/>
      <w:bookmarkStart w:id="353" w:name="_Toc67329127"/>
      <w:bookmarkStart w:id="354" w:name="_Toc67329375"/>
      <w:bookmarkStart w:id="355" w:name="_Toc67562631"/>
      <w:bookmarkStart w:id="356" w:name="_Toc68000214"/>
      <w:bookmarkStart w:id="357" w:name="_Toc68083145"/>
      <w:bookmarkStart w:id="358" w:name="_Toc68083540"/>
      <w:bookmarkStart w:id="359" w:name="_Toc68105079"/>
      <w:bookmarkStart w:id="360" w:name="_Toc74839358"/>
      <w:r>
        <w:t>Process description</w:t>
      </w:r>
      <w:bookmarkEnd w:id="351"/>
      <w:bookmarkEnd w:id="352"/>
      <w:bookmarkEnd w:id="353"/>
      <w:bookmarkEnd w:id="354"/>
      <w:bookmarkEnd w:id="355"/>
      <w:bookmarkEnd w:id="356"/>
      <w:bookmarkEnd w:id="357"/>
      <w:bookmarkEnd w:id="358"/>
      <w:bookmarkEnd w:id="359"/>
      <w:bookmarkEnd w:id="360"/>
    </w:p>
    <w:p w14:paraId="3296AEA4" w14:textId="51D50CAA" w:rsidR="003711EF" w:rsidRDefault="003711EF" w:rsidP="003711EF">
      <w:r>
        <w:t xml:space="preserve">This section outlines the different stages of production and unit operations required to produce hydrogen via electrolysis in line with the established system boundary conditions (i.e. well-to-gate, covering </w:t>
      </w:r>
      <w:r w:rsidRPr="0072236E">
        <w:t>IPCC scope 2 and 2 emissions at each production stage). This electrolysis may be powered by electr</w:t>
      </w:r>
      <w:r w:rsidR="00793D10">
        <w:t xml:space="preserve">icity sourced from the grid </w:t>
      </w:r>
      <w:r w:rsidRPr="0072236E">
        <w:t xml:space="preserve">or on-site generation. The process system is presented in </w:t>
      </w:r>
      <w:r w:rsidRPr="0072236E">
        <w:fldChar w:fldCharType="begin"/>
      </w:r>
      <w:r w:rsidRPr="0072236E">
        <w:instrText xml:space="preserve"> REF _Ref62477567 \h </w:instrText>
      </w:r>
      <w:r>
        <w:instrText xml:space="preserve"> \* MERGEFORMAT </w:instrText>
      </w:r>
      <w:r w:rsidRPr="0072236E">
        <w:fldChar w:fldCharType="separate"/>
      </w:r>
      <w:r w:rsidR="00A4774A">
        <w:rPr>
          <w:b/>
          <w:bCs/>
          <w:lang w:val="en-US"/>
        </w:rPr>
        <w:t>Error! Reference source not found.</w:t>
      </w:r>
      <w:r w:rsidRPr="0072236E">
        <w:fldChar w:fldCharType="end"/>
      </w:r>
      <w:r w:rsidRPr="0072236E">
        <w:t>.</w:t>
      </w:r>
    </w:p>
    <w:p w14:paraId="59B69062" w14:textId="77777777" w:rsidR="003711EF" w:rsidRDefault="003711EF" w:rsidP="003711EF">
      <w:pPr>
        <w:spacing w:before="240"/>
      </w:pPr>
      <w:r>
        <w:t>In summary, electricity is used to decompose water into its hydrogen and oxygen components (H</w:t>
      </w:r>
      <w:r>
        <w:rPr>
          <w:vertAlign w:val="subscript"/>
        </w:rPr>
        <w:t>2</w:t>
      </w:r>
      <w:r>
        <w:t xml:space="preserve"> and O</w:t>
      </w:r>
      <w:r>
        <w:rPr>
          <w:vertAlign w:val="subscript"/>
        </w:rPr>
        <w:t>2</w:t>
      </w:r>
      <w:r>
        <w:t xml:space="preserve">) within an electrolyser unit. </w:t>
      </w:r>
    </w:p>
    <w:p w14:paraId="4BCDF264" w14:textId="77777777" w:rsidR="003711EF" w:rsidRPr="00832528" w:rsidRDefault="003711EF" w:rsidP="00300939">
      <w:pPr>
        <w:pStyle w:val="Heading3"/>
      </w:pPr>
      <w:r>
        <w:t xml:space="preserve">Water </w:t>
      </w:r>
      <w:r w:rsidRPr="00300939">
        <w:t>treatment</w:t>
      </w:r>
    </w:p>
    <w:p w14:paraId="36D8CAA8" w14:textId="7DEC0A77" w:rsidR="003711EF" w:rsidRDefault="003711EF" w:rsidP="003711EF">
      <w:r>
        <w:t>Each kilogram of hydrogen from an electrolyser requires at least 9 kilograms of water.</w:t>
      </w:r>
      <w:r w:rsidR="00300939">
        <w:t xml:space="preserve"> This</w:t>
      </w:r>
      <w:r>
        <w:t xml:space="preserve"> can be supplied from a water utility or sourced from the local environment. The latter could come from groundwater, surface (river) water, rainwater or seawater. Supply of groundwater, surface (river) water or rainwater involves pumping. Seawater will require desalination to be suitable for electrolysis and this consumes significant quantities of electricity.</w:t>
      </w:r>
    </w:p>
    <w:p w14:paraId="5F704676" w14:textId="307DAEA8" w:rsidR="003711EF" w:rsidRDefault="007E46C4" w:rsidP="003711EF">
      <w:r>
        <w:rPr>
          <w:noProof/>
          <w:lang w:eastAsia="en-AU"/>
        </w:rPr>
        <mc:AlternateContent>
          <mc:Choice Requires="wps">
            <w:drawing>
              <wp:anchor distT="0" distB="0" distL="114300" distR="114300" simplePos="0" relativeHeight="251658241" behindDoc="1" locked="0" layoutInCell="1" allowOverlap="1" wp14:anchorId="60A23201" wp14:editId="7D8BBD40">
                <wp:simplePos x="0" y="0"/>
                <wp:positionH relativeFrom="column">
                  <wp:posOffset>4197350</wp:posOffset>
                </wp:positionH>
                <wp:positionV relativeFrom="paragraph">
                  <wp:posOffset>3904615</wp:posOffset>
                </wp:positionV>
                <wp:extent cx="1715135" cy="635"/>
                <wp:effectExtent l="0" t="0" r="0" b="0"/>
                <wp:wrapTight wrapText="bothSides">
                  <wp:wrapPolygon edited="0">
                    <wp:start x="0" y="0"/>
                    <wp:lineTo x="0" y="21600"/>
                    <wp:lineTo x="21600" y="21600"/>
                    <wp:lineTo x="21600" y="0"/>
                  </wp:wrapPolygon>
                </wp:wrapTight>
                <wp:docPr id="2" name="Text Box 2"/>
                <wp:cNvGraphicFramePr/>
                <a:graphic xmlns:a="http://schemas.openxmlformats.org/drawingml/2006/main">
                  <a:graphicData uri="http://schemas.microsoft.com/office/word/2010/wordprocessingShape">
                    <wps:wsp>
                      <wps:cNvSpPr txBox="1"/>
                      <wps:spPr>
                        <a:xfrm>
                          <a:off x="0" y="0"/>
                          <a:ext cx="1715135" cy="635"/>
                        </a:xfrm>
                        <a:prstGeom prst="rect">
                          <a:avLst/>
                        </a:prstGeom>
                        <a:solidFill>
                          <a:prstClr val="white"/>
                        </a:solidFill>
                        <a:ln>
                          <a:noFill/>
                        </a:ln>
                        <a:effectLst/>
                      </wps:spPr>
                      <wps:txbx>
                        <w:txbxContent>
                          <w:p w14:paraId="7C1EED36" w14:textId="2BFE2990" w:rsidR="00191CF6" w:rsidRPr="00794567" w:rsidRDefault="00191CF6" w:rsidP="007E46C4">
                            <w:pPr>
                              <w:pStyle w:val="Caption"/>
                            </w:pPr>
                            <w:r>
                              <w:t xml:space="preserve">Figure </w:t>
                            </w:r>
                            <w:r>
                              <w:rPr>
                                <w:noProof/>
                              </w:rPr>
                              <w:fldChar w:fldCharType="begin"/>
                            </w:r>
                            <w:r>
                              <w:rPr>
                                <w:noProof/>
                              </w:rPr>
                              <w:instrText xml:space="preserve"> SEQ Figure \* ARABIC </w:instrText>
                            </w:r>
                            <w:r>
                              <w:rPr>
                                <w:noProof/>
                              </w:rPr>
                              <w:fldChar w:fldCharType="separate"/>
                            </w:r>
                            <w:r w:rsidR="00A4774A">
                              <w:rPr>
                                <w:noProof/>
                              </w:rPr>
                              <w:t>1</w:t>
                            </w:r>
                            <w:r>
                              <w:rPr>
                                <w:noProof/>
                              </w:rPr>
                              <w:fldChar w:fldCharType="end"/>
                            </w:r>
                            <w:r>
                              <w:t xml:space="preserve">: </w:t>
                            </w:r>
                            <w:r w:rsidRPr="0093264E">
                              <w:t>An electrolysis unit (Source: Shell Hydrogen Study)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0A23201" id="_x0000_t202" coordsize="21600,21600" o:spt="202" path="m,l,21600r21600,l21600,xe">
                <v:stroke joinstyle="miter"/>
                <v:path gradientshapeok="t" o:connecttype="rect"/>
              </v:shapetype>
              <v:shape id="Text Box 2" o:spid="_x0000_s1026" type="#_x0000_t202" style="position:absolute;margin-left:330.5pt;margin-top:307.45pt;width:135.05pt;height:.05pt;z-index:-2516582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" stroked="f">
                <v:textbox style="mso-fit-shape-to-text:t" inset="0,0,0,0">
                  <w:txbxContent>
                    <w:p w14:paraId="7C1EED36" w14:textId="2BFE2990" w:rsidR="00191CF6" w:rsidRPr="00794567" w:rsidRDefault="00191CF6" w:rsidP="007E46C4">
                      <w:pPr>
                        <w:pStyle w:val="Caption"/>
                      </w:pPr>
                      <w:r>
                        <w:t xml:space="preserve">Figure </w:t>
                      </w:r>
                      <w:r>
                        <w:rPr>
                          <w:noProof/>
                        </w:rPr>
                        <w:fldChar w:fldCharType="begin"/>
                      </w:r>
                      <w:r>
                        <w:rPr>
                          <w:noProof/>
                        </w:rPr>
                        <w:instrText xml:space="preserve"> SEQ Figure \* ARABIC </w:instrText>
                      </w:r>
                      <w:r>
                        <w:rPr>
                          <w:noProof/>
                        </w:rPr>
                        <w:fldChar w:fldCharType="separate"/>
                      </w:r>
                      <w:r w:rsidR="00A4774A">
                        <w:rPr>
                          <w:noProof/>
                        </w:rPr>
                        <w:t>1</w:t>
                      </w:r>
                      <w:r>
                        <w:rPr>
                          <w:noProof/>
                        </w:rPr>
                        <w:fldChar w:fldCharType="end"/>
                      </w:r>
                      <w:r>
                        <w:t xml:space="preserve">: </w:t>
                      </w:r>
                      <w:r w:rsidRPr="0093264E">
                        <w:t>An electrolysis unit (Source: Shell Hydrogen Study)</w:t>
                      </w:r>
                    </w:p>
                  </w:txbxContent>
                </v:textbox>
                <w10:wrap type="tight"/>
              </v:shape>
            </w:pict>
          </mc:Fallback>
        </mc:AlternateContent>
      </w:r>
      <w:r>
        <w:rPr>
          <w:noProof/>
          <w:lang w:eastAsia="en-AU"/>
        </w:rPr>
        <w:drawing>
          <wp:anchor distT="0" distB="0" distL="114300" distR="114300" simplePos="0" relativeHeight="251658240" behindDoc="1" locked="0" layoutInCell="1" allowOverlap="1" wp14:anchorId="77A9D88E" wp14:editId="77D7E13C">
            <wp:simplePos x="0" y="0"/>
            <wp:positionH relativeFrom="column">
              <wp:posOffset>4197466</wp:posOffset>
            </wp:positionH>
            <wp:positionV relativeFrom="paragraph">
              <wp:posOffset>1269654</wp:posOffset>
            </wp:positionV>
            <wp:extent cx="1715135" cy="2578100"/>
            <wp:effectExtent l="0" t="0" r="0" b="0"/>
            <wp:wrapTight wrapText="bothSides">
              <wp:wrapPolygon edited="0">
                <wp:start x="0" y="0"/>
                <wp:lineTo x="0" y="21387"/>
                <wp:lineTo x="21352" y="21387"/>
                <wp:lineTo x="21352" y="0"/>
                <wp:lineTo x="0" y="0"/>
              </wp:wrapPolygon>
            </wp:wrapTight>
            <wp:docPr id="1" name="Picture 1" descr="Image showing an electrical current across an anode to cathode separating out the water into hydrogen and oxy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15135" cy="2578100"/>
                    </a:xfrm>
                    <a:prstGeom prst="rect">
                      <a:avLst/>
                    </a:prstGeom>
                  </pic:spPr>
                </pic:pic>
              </a:graphicData>
            </a:graphic>
            <wp14:sizeRelH relativeFrom="page">
              <wp14:pctWidth>0</wp14:pctWidth>
            </wp14:sizeRelH>
            <wp14:sizeRelV relativeFrom="page">
              <wp14:pctHeight>0</wp14:pctHeight>
            </wp14:sizeRelV>
          </wp:anchor>
        </w:drawing>
      </w:r>
      <w:r w:rsidR="003711EF">
        <w:t xml:space="preserve">Before entering the electrolysis unit, water is treated to achieve required purity levels which minimise mineral deposition in the electrolysis cells and reduce the occurrence of any adverse electrochemical reactions. Large scale electrolysers are currently in their infancy and vary significantly when it comes to water treatment and consumption </w:t>
      </w:r>
      <w:sdt>
        <w:sdtPr>
          <w:id w:val="1099757033"/>
          <w:citation/>
        </w:sdtPr>
        <w:sdtEndPr/>
        <w:sdtContent>
          <w:r w:rsidR="003711EF">
            <w:fldChar w:fldCharType="begin"/>
          </w:r>
          <w:r w:rsidR="003711EF">
            <w:instrText xml:space="preserve"> CITATION Joh04 \l 3081 </w:instrText>
          </w:r>
          <w:r w:rsidR="003711EF">
            <w:fldChar w:fldCharType="separate"/>
          </w:r>
          <w:r w:rsidR="00CC22B1">
            <w:rPr>
              <w:noProof/>
            </w:rPr>
            <w:t>(Johanna, 2004)</w:t>
          </w:r>
          <w:r w:rsidR="003711EF">
            <w:fldChar w:fldCharType="end"/>
          </w:r>
        </w:sdtContent>
      </w:sdt>
      <w:r w:rsidR="003711EF">
        <w:t>. Some electrolysers include purification functionality within the generation unit, while others require ins</w:t>
      </w:r>
      <w:r w:rsidR="00F270AB">
        <w:t xml:space="preserve">tallation of external deioniser or </w:t>
      </w:r>
      <w:r w:rsidR="003711EF">
        <w:t xml:space="preserve">reverse osmosis unit prior to the water feeding into the cell stacks. </w:t>
      </w:r>
    </w:p>
    <w:p w14:paraId="714C07CA" w14:textId="3B113DFF" w:rsidR="003711EF" w:rsidRDefault="003711EF" w:rsidP="003711EF">
      <w:pPr>
        <w:pStyle w:val="Heading3"/>
      </w:pPr>
      <w:r>
        <w:t>Hydrogen production</w:t>
      </w:r>
    </w:p>
    <w:p w14:paraId="0CD3B1F1" w14:textId="4CE6FC50" w:rsidR="003711EF" w:rsidRPr="00723FBF" w:rsidRDefault="003711EF" w:rsidP="00300939">
      <w:r>
        <w:t>Water electrolysis split</w:t>
      </w:r>
      <w:r w:rsidR="00300939">
        <w:t>s</w:t>
      </w:r>
      <w:r>
        <w:t xml:space="preserve"> water into hydrogen and oxygen using electricity as the driver for this chemical reaction. This electricity may be grid supplied or sourced from on-site renewable (solar PV or wind) or fossil-fuel fired generators.</w:t>
      </w:r>
    </w:p>
    <w:p w14:paraId="3FC67549" w14:textId="512EB464" w:rsidR="003711EF" w:rsidRDefault="003711EF" w:rsidP="003711EF">
      <w:pPr>
        <w:rPr>
          <w:szCs w:val="20"/>
        </w:rPr>
      </w:pPr>
      <w:r>
        <w:t xml:space="preserve">A water electrolysis unit consists of an anode and a cathode separated by an electrolyte (a conductive solution). When connected to a direct current power supply, electricity flows through the electrolyte and causes the water to split into hydrogen and oxygen. </w:t>
      </w:r>
      <w:r>
        <w:fldChar w:fldCharType="begin"/>
      </w:r>
      <w:r>
        <w:instrText xml:space="preserve"> REF _Ref61898300 \h </w:instrText>
      </w:r>
      <w:r>
        <w:fldChar w:fldCharType="separate"/>
      </w:r>
      <w:r w:rsidR="00A4774A">
        <w:rPr>
          <w:b/>
          <w:bCs/>
          <w:lang w:val="en-US"/>
        </w:rPr>
        <w:t>Error! Reference source not found.</w:t>
      </w:r>
      <w:r>
        <w:fldChar w:fldCharType="end"/>
      </w:r>
      <w:r>
        <w:t xml:space="preserve"> shows the basic configuration of an electrolyser as well as the reactions that occur at the anode and cathode. </w:t>
      </w:r>
      <w:r>
        <w:rPr>
          <w:szCs w:val="20"/>
        </w:rPr>
        <w:t xml:space="preserve">Each electrolyser system consists of a stack of electrolysis units, a gas purifier and dryer and an apparatus for heat removal. </w:t>
      </w:r>
    </w:p>
    <w:p w14:paraId="45002CAE" w14:textId="1CB4854F" w:rsidR="003711EF" w:rsidRDefault="003711EF" w:rsidP="003711EF">
      <w:pPr>
        <w:rPr>
          <w:szCs w:val="20"/>
        </w:rPr>
      </w:pPr>
      <w:r>
        <w:rPr>
          <w:szCs w:val="20"/>
        </w:rPr>
        <w:t>There are currently three main electrolyser technologies, distinguished by the electrolyte (and associated production temperatures): alkaline electrolyser, polymer electrolyte membrane (PEM) electrolyser and solid oxide (SOEC) electrolyser</w:t>
      </w:r>
      <w:sdt>
        <w:sdtPr>
          <w:rPr>
            <w:szCs w:val="20"/>
          </w:rPr>
          <w:id w:val="-1223747596"/>
          <w:citation/>
        </w:sdtPr>
        <w:sdtEndPr/>
        <w:sdtContent>
          <w:r>
            <w:rPr>
              <w:szCs w:val="20"/>
            </w:rPr>
            <w:fldChar w:fldCharType="begin"/>
          </w:r>
          <w:r>
            <w:rPr>
              <w:szCs w:val="20"/>
            </w:rPr>
            <w:instrText xml:space="preserve"> CITATION CSI18 \l 3081 </w:instrText>
          </w:r>
          <w:r>
            <w:rPr>
              <w:szCs w:val="20"/>
            </w:rPr>
            <w:fldChar w:fldCharType="separate"/>
          </w:r>
          <w:r w:rsidR="00CC22B1">
            <w:rPr>
              <w:noProof/>
              <w:szCs w:val="20"/>
            </w:rPr>
            <w:t xml:space="preserve"> (CSIRO, 2018)</w:t>
          </w:r>
          <w:r>
            <w:rPr>
              <w:szCs w:val="20"/>
            </w:rPr>
            <w:fldChar w:fldCharType="end"/>
          </w:r>
        </w:sdtContent>
      </w:sdt>
      <w:r>
        <w:rPr>
          <w:szCs w:val="20"/>
        </w:rPr>
        <w:t>.</w:t>
      </w:r>
    </w:p>
    <w:p w14:paraId="738C53A9" w14:textId="5831AC7E" w:rsidR="003711EF" w:rsidRDefault="003711EF" w:rsidP="003711EF">
      <w:pPr>
        <w:rPr>
          <w:szCs w:val="20"/>
        </w:rPr>
      </w:pPr>
      <w:r>
        <w:rPr>
          <w:szCs w:val="20"/>
        </w:rPr>
        <w:t xml:space="preserve">Hydrogen and oxygen gas products must be purified, dried </w:t>
      </w:r>
      <w:r w:rsidR="00793D10">
        <w:rPr>
          <w:szCs w:val="20"/>
        </w:rPr>
        <w:t xml:space="preserve">and cooled prior to storage </w:t>
      </w:r>
      <w:r>
        <w:rPr>
          <w:szCs w:val="20"/>
        </w:rPr>
        <w:t xml:space="preserve">or delivery to market, subject to required product specifications. </w:t>
      </w:r>
    </w:p>
    <w:p w14:paraId="68ECE4B5" w14:textId="77777777" w:rsidR="003711EF" w:rsidRPr="00723FBF" w:rsidRDefault="003711EF" w:rsidP="003711EF">
      <w:pPr>
        <w:rPr>
          <w:szCs w:val="20"/>
        </w:rPr>
      </w:pPr>
      <w:r>
        <w:rPr>
          <w:szCs w:val="20"/>
        </w:rPr>
        <w:t>The oxygen gas must be safely vented to the atmosphere. Alternatively, pending availability of appropriate markets, this oxygen may be sold as a co-product.</w:t>
      </w:r>
    </w:p>
    <w:p w14:paraId="0EEAEC3C" w14:textId="77777777" w:rsidR="003711EF" w:rsidRDefault="003711EF" w:rsidP="003B47A9">
      <w:pPr>
        <w:pStyle w:val="Heading2"/>
      </w:pPr>
      <w:bookmarkStart w:id="361" w:name="_Toc64302379"/>
      <w:bookmarkStart w:id="362" w:name="_Toc65168383"/>
      <w:bookmarkStart w:id="363" w:name="_Toc67329128"/>
      <w:bookmarkStart w:id="364" w:name="_Toc67329376"/>
      <w:bookmarkStart w:id="365" w:name="_Toc67562632"/>
      <w:bookmarkStart w:id="366" w:name="_Toc68000215"/>
      <w:bookmarkStart w:id="367" w:name="_Toc68083146"/>
      <w:bookmarkStart w:id="368" w:name="_Toc68083541"/>
      <w:bookmarkStart w:id="369" w:name="_Toc68105080"/>
      <w:bookmarkStart w:id="370" w:name="_Toc74839359"/>
      <w:r>
        <w:t>Sources of emissions</w:t>
      </w:r>
      <w:bookmarkEnd w:id="361"/>
      <w:bookmarkEnd w:id="362"/>
      <w:bookmarkEnd w:id="363"/>
      <w:bookmarkEnd w:id="364"/>
      <w:bookmarkEnd w:id="365"/>
      <w:bookmarkEnd w:id="366"/>
      <w:bookmarkEnd w:id="367"/>
      <w:bookmarkEnd w:id="368"/>
      <w:bookmarkEnd w:id="369"/>
      <w:bookmarkEnd w:id="370"/>
    </w:p>
    <w:p w14:paraId="6345CB59" w14:textId="2CD09E90" w:rsidR="003711EF" w:rsidRDefault="003711EF" w:rsidP="003711EF">
      <w:r>
        <w:t>GHG emissions associated with electrolysis are subject to the nature of electricity supply for electrolysis as electricity can be sourced from the gird (noting that this may be impacted by contracting of renewable electricity supply and associated instruments), generated on-site via the co</w:t>
      </w:r>
      <w:r w:rsidR="00F270AB">
        <w:t xml:space="preserve">mbustion of liquid, gaseous </w:t>
      </w:r>
      <w:r>
        <w:t xml:space="preserve">or solid fuels or supplied from an on-site renewables system. </w:t>
      </w:r>
    </w:p>
    <w:p w14:paraId="0796F4F2" w14:textId="77777777" w:rsidR="003711EF" w:rsidRPr="00E56457" w:rsidRDefault="003711EF" w:rsidP="003711EF">
      <w:r>
        <w:t xml:space="preserve">Aside from electricity used in electrolysis, there are a number of additional GHG emissions sources across the electrolysis production pathway as follows: </w:t>
      </w:r>
    </w:p>
    <w:p w14:paraId="453F92B3" w14:textId="77777777" w:rsidR="003711EF" w:rsidRDefault="003711EF" w:rsidP="0079029D">
      <w:pPr>
        <w:pStyle w:val="ListParagraph"/>
        <w:numPr>
          <w:ilvl w:val="0"/>
          <w:numId w:val="3"/>
        </w:numPr>
      </w:pPr>
      <w:r>
        <w:t>Leakage of SF</w:t>
      </w:r>
      <w:r w:rsidRPr="003711EF">
        <w:rPr>
          <w:vertAlign w:val="subscript"/>
        </w:rPr>
        <w:t xml:space="preserve">6 </w:t>
      </w:r>
      <w:r>
        <w:t>used in switchgear to support site electricity supply</w:t>
      </w:r>
    </w:p>
    <w:p w14:paraId="32EBAC01" w14:textId="77777777" w:rsidR="003711EF" w:rsidRDefault="003711EF" w:rsidP="0079029D">
      <w:pPr>
        <w:pStyle w:val="ListParagraph"/>
        <w:numPr>
          <w:ilvl w:val="0"/>
          <w:numId w:val="3"/>
        </w:numPr>
      </w:pPr>
      <w:r>
        <w:t>Electricity consumption for the supply, processing and distribution of utility water</w:t>
      </w:r>
    </w:p>
    <w:p w14:paraId="16326713" w14:textId="45AB2B42" w:rsidR="003711EF" w:rsidRDefault="003711EF" w:rsidP="0079029D">
      <w:pPr>
        <w:pStyle w:val="ListParagraph"/>
        <w:numPr>
          <w:ilvl w:val="0"/>
          <w:numId w:val="3"/>
        </w:numPr>
      </w:pPr>
      <w:r>
        <w:t>Co</w:t>
      </w:r>
      <w:r w:rsidR="00F270AB">
        <w:t xml:space="preserve">mbustion of liquid, gaseous </w:t>
      </w:r>
      <w:r>
        <w:t>or solid fuels for the purposes of steam generation</w:t>
      </w:r>
    </w:p>
    <w:p w14:paraId="26A90D09" w14:textId="77777777" w:rsidR="003711EF" w:rsidRDefault="003711EF" w:rsidP="0079029D">
      <w:pPr>
        <w:pStyle w:val="ListParagraph"/>
        <w:numPr>
          <w:ilvl w:val="0"/>
          <w:numId w:val="3"/>
        </w:numPr>
      </w:pPr>
      <w:r>
        <w:t>General electricity consumption for a facility including pumping, cooling systems and ventilation</w:t>
      </w:r>
    </w:p>
    <w:p w14:paraId="62FDEF6F" w14:textId="2C6BCB79" w:rsidR="003711EF" w:rsidRDefault="003711EF" w:rsidP="0079029D">
      <w:pPr>
        <w:pStyle w:val="ListParagraph"/>
        <w:numPr>
          <w:ilvl w:val="0"/>
          <w:numId w:val="3"/>
        </w:numPr>
      </w:pPr>
      <w:r>
        <w:t xml:space="preserve">Leakage of refrigerants used in cooling systems. </w:t>
      </w:r>
    </w:p>
    <w:p w14:paraId="5C016D87" w14:textId="609163AC" w:rsidR="003711EF" w:rsidRDefault="0078555C" w:rsidP="00EF0300">
      <w:r>
        <w:t xml:space="preserve">Each </w:t>
      </w:r>
      <w:r w:rsidR="003711EF">
        <w:t>process unit or stage in the electrolysis process contains uniq</w:t>
      </w:r>
      <w:r w:rsidR="00B72E38">
        <w:t>ue emissions sources outlined below</w:t>
      </w:r>
      <w:r w:rsidR="003711EF">
        <w:t xml:space="preserve">. </w:t>
      </w:r>
    </w:p>
    <w:p w14:paraId="3DD3BDC4" w14:textId="5EF95ED8" w:rsidR="003711EF" w:rsidRDefault="00EF0300" w:rsidP="003711EF">
      <w:pPr>
        <w:pStyle w:val="Caption"/>
        <w:keepNext/>
      </w:pPr>
      <w:r>
        <w:t>S</w:t>
      </w:r>
      <w:r w:rsidR="003711EF">
        <w:t xml:space="preserve">ummary </w:t>
      </w:r>
      <w:r w:rsidR="00B72E38">
        <w:t xml:space="preserve">of emissions sources </w:t>
      </w:r>
      <w:r w:rsidR="003711EF">
        <w:t>for electrolysis</w:t>
      </w:r>
    </w:p>
    <w:tbl>
      <w:tblPr>
        <w:tblStyle w:val="EPLTablePlain"/>
        <w:tblpPr w:leftFromText="180" w:rightFromText="180" w:vertAnchor="text" w:tblpY="1"/>
        <w:tblOverlap w:val="never"/>
        <w:tblW w:w="9269" w:type="dxa"/>
        <w:tblLook w:val="04A0" w:firstRow="1" w:lastRow="0" w:firstColumn="1" w:lastColumn="0" w:noHBand="0" w:noVBand="1"/>
        <w:tblDescription w:val="Summary of the electrolysis process and sources of emissions. "/>
      </w:tblPr>
      <w:tblGrid>
        <w:gridCol w:w="3281"/>
        <w:gridCol w:w="3154"/>
        <w:gridCol w:w="2834"/>
      </w:tblGrid>
      <w:tr w:rsidR="003711EF" w14:paraId="1F906C4E" w14:textId="77777777" w:rsidTr="008E11F5">
        <w:trPr>
          <w:cnfStyle w:val="100000000000" w:firstRow="1" w:lastRow="0" w:firstColumn="0" w:lastColumn="0" w:oddVBand="0" w:evenVBand="0" w:oddHBand="0" w:evenHBand="0" w:firstRowFirstColumn="0" w:firstRowLastColumn="0" w:lastRowFirstColumn="0" w:lastRowLastColumn="0"/>
          <w:trHeight w:hRule="exact" w:val="454"/>
          <w:tblHeader/>
        </w:trPr>
        <w:tc>
          <w:tcPr>
            <w:tcW w:w="3197" w:type="dxa"/>
            <w:hideMark/>
          </w:tcPr>
          <w:p w14:paraId="7F23ED5A" w14:textId="4B6CD01D" w:rsidR="003711EF" w:rsidRDefault="00F270AB" w:rsidP="005F166A">
            <w:pPr>
              <w:pStyle w:val="ListParagraph"/>
              <w:ind w:left="0" w:firstLine="0"/>
              <w:rPr>
                <w:rFonts w:cs="Arial"/>
                <w:color w:val="auto"/>
              </w:rPr>
            </w:pPr>
            <w:r>
              <w:rPr>
                <w:rFonts w:cs="Arial"/>
              </w:rPr>
              <w:t xml:space="preserve">Process unit or </w:t>
            </w:r>
            <w:r w:rsidR="003711EF">
              <w:rPr>
                <w:rFonts w:cs="Arial"/>
              </w:rPr>
              <w:t>stage</w:t>
            </w:r>
          </w:p>
        </w:tc>
        <w:tc>
          <w:tcPr>
            <w:tcW w:w="3098" w:type="dxa"/>
            <w:hideMark/>
          </w:tcPr>
          <w:p w14:paraId="20559E24" w14:textId="77777777" w:rsidR="003711EF" w:rsidRDefault="003711EF" w:rsidP="005F166A">
            <w:pPr>
              <w:pStyle w:val="ListParagraph"/>
              <w:ind w:left="0" w:firstLine="0"/>
              <w:rPr>
                <w:rFonts w:cs="Arial"/>
              </w:rPr>
            </w:pPr>
            <w:r>
              <w:rPr>
                <w:rFonts w:cs="Arial"/>
              </w:rPr>
              <w:t>Key emissions sources</w:t>
            </w:r>
          </w:p>
        </w:tc>
        <w:tc>
          <w:tcPr>
            <w:tcW w:w="2750" w:type="dxa"/>
          </w:tcPr>
          <w:p w14:paraId="0FA09C14" w14:textId="77777777" w:rsidR="003711EF" w:rsidRDefault="003711EF" w:rsidP="005F166A">
            <w:pPr>
              <w:pStyle w:val="ListParagraph"/>
              <w:ind w:left="0" w:firstLine="0"/>
              <w:rPr>
                <w:rFonts w:cs="Arial"/>
              </w:rPr>
            </w:pPr>
            <w:r>
              <w:rPr>
                <w:rFonts w:cs="Arial"/>
              </w:rPr>
              <w:t>Other emissions sources</w:t>
            </w:r>
          </w:p>
        </w:tc>
      </w:tr>
      <w:tr w:rsidR="003711EF" w14:paraId="31C8769B" w14:textId="77777777" w:rsidTr="006E1573">
        <w:trPr>
          <w:trHeight w:val="573"/>
        </w:trPr>
        <w:tc>
          <w:tcPr>
            <w:tcW w:w="0" w:type="dxa"/>
          </w:tcPr>
          <w:p w14:paraId="0297B94B" w14:textId="77777777" w:rsidR="003711EF" w:rsidRPr="00B72E38" w:rsidRDefault="003711EF" w:rsidP="00B72E38">
            <w:pPr>
              <w:rPr>
                <w:rFonts w:asciiTheme="majorHAnsi" w:hAnsiTheme="majorHAnsi" w:cstheme="majorHAnsi"/>
                <w:sz w:val="22"/>
                <w:szCs w:val="22"/>
              </w:rPr>
            </w:pPr>
            <w:r w:rsidRPr="00B72E38">
              <w:rPr>
                <w:rFonts w:asciiTheme="majorHAnsi" w:hAnsiTheme="majorHAnsi" w:cstheme="majorHAnsi"/>
                <w:sz w:val="22"/>
                <w:szCs w:val="22"/>
              </w:rPr>
              <w:t>Water supply and treatment</w:t>
            </w:r>
          </w:p>
        </w:tc>
        <w:tc>
          <w:tcPr>
            <w:tcW w:w="0" w:type="dxa"/>
          </w:tcPr>
          <w:p w14:paraId="11AC1444" w14:textId="77777777" w:rsidR="003711EF" w:rsidRPr="00B72E38" w:rsidRDefault="003711EF" w:rsidP="00B72E38">
            <w:pPr>
              <w:rPr>
                <w:rFonts w:asciiTheme="majorHAnsi" w:hAnsiTheme="majorHAnsi" w:cstheme="majorHAnsi"/>
                <w:sz w:val="22"/>
                <w:szCs w:val="22"/>
              </w:rPr>
            </w:pPr>
            <w:r w:rsidRPr="00B72E38">
              <w:rPr>
                <w:rFonts w:asciiTheme="majorHAnsi" w:hAnsiTheme="majorHAnsi" w:cstheme="majorHAnsi"/>
                <w:sz w:val="22"/>
                <w:szCs w:val="22"/>
              </w:rPr>
              <w:t>Electricity for purification and filtration</w:t>
            </w:r>
          </w:p>
        </w:tc>
        <w:tc>
          <w:tcPr>
            <w:tcW w:w="0" w:type="dxa"/>
          </w:tcPr>
          <w:p w14:paraId="11923A04" w14:textId="77777777" w:rsidR="003711EF" w:rsidRPr="00B72E38" w:rsidRDefault="003711EF" w:rsidP="005F166A">
            <w:pPr>
              <w:pStyle w:val="ListBullet"/>
              <w:ind w:left="0" w:firstLine="0"/>
              <w:rPr>
                <w:rFonts w:asciiTheme="majorHAnsi" w:hAnsiTheme="majorHAnsi" w:cstheme="majorHAnsi"/>
                <w:sz w:val="22"/>
                <w:szCs w:val="22"/>
              </w:rPr>
            </w:pPr>
          </w:p>
        </w:tc>
      </w:tr>
      <w:tr w:rsidR="003711EF" w14:paraId="0AF20435" w14:textId="77777777" w:rsidTr="006E1573">
        <w:trPr>
          <w:trHeight w:val="1191"/>
        </w:trPr>
        <w:tc>
          <w:tcPr>
            <w:tcW w:w="3197" w:type="dxa"/>
          </w:tcPr>
          <w:p w14:paraId="727AF943" w14:textId="77777777" w:rsidR="003711EF" w:rsidRPr="00B72E38" w:rsidRDefault="003711EF" w:rsidP="00B72E38">
            <w:pPr>
              <w:rPr>
                <w:rFonts w:asciiTheme="majorHAnsi" w:hAnsiTheme="majorHAnsi" w:cstheme="majorHAnsi"/>
                <w:sz w:val="22"/>
                <w:szCs w:val="22"/>
              </w:rPr>
            </w:pPr>
            <w:r w:rsidRPr="00B72E38">
              <w:rPr>
                <w:rFonts w:asciiTheme="majorHAnsi" w:hAnsiTheme="majorHAnsi" w:cstheme="majorHAnsi"/>
                <w:sz w:val="22"/>
                <w:szCs w:val="22"/>
              </w:rPr>
              <w:t>Hydrogen production</w:t>
            </w:r>
          </w:p>
        </w:tc>
        <w:tc>
          <w:tcPr>
            <w:tcW w:w="3098" w:type="dxa"/>
          </w:tcPr>
          <w:p w14:paraId="72B98130" w14:textId="77777777" w:rsidR="003711EF" w:rsidRPr="00B72E38" w:rsidRDefault="003711EF" w:rsidP="00B72E38">
            <w:pPr>
              <w:rPr>
                <w:rFonts w:asciiTheme="majorHAnsi" w:hAnsiTheme="majorHAnsi" w:cstheme="majorHAnsi"/>
                <w:sz w:val="22"/>
                <w:szCs w:val="22"/>
              </w:rPr>
            </w:pPr>
            <w:r w:rsidRPr="00B72E38">
              <w:rPr>
                <w:rFonts w:asciiTheme="majorHAnsi" w:hAnsiTheme="majorHAnsi" w:cstheme="majorHAnsi"/>
                <w:sz w:val="22"/>
                <w:szCs w:val="22"/>
              </w:rPr>
              <w:t>Electricity for electrolyser units</w:t>
            </w:r>
          </w:p>
          <w:p w14:paraId="519E0666" w14:textId="77777777" w:rsidR="003711EF" w:rsidRPr="00B72E38" w:rsidRDefault="003711EF" w:rsidP="00B72E38">
            <w:pPr>
              <w:rPr>
                <w:rFonts w:asciiTheme="majorHAnsi" w:hAnsiTheme="majorHAnsi" w:cstheme="majorHAnsi"/>
                <w:sz w:val="22"/>
                <w:szCs w:val="22"/>
              </w:rPr>
            </w:pPr>
          </w:p>
        </w:tc>
        <w:tc>
          <w:tcPr>
            <w:tcW w:w="2750" w:type="dxa"/>
          </w:tcPr>
          <w:p w14:paraId="3668498D" w14:textId="77777777" w:rsidR="003711EF" w:rsidRPr="00B72E38" w:rsidRDefault="003711EF" w:rsidP="00B72E38">
            <w:pPr>
              <w:rPr>
                <w:rFonts w:asciiTheme="majorHAnsi" w:hAnsiTheme="majorHAnsi" w:cstheme="majorHAnsi"/>
                <w:sz w:val="22"/>
                <w:szCs w:val="22"/>
              </w:rPr>
            </w:pPr>
            <w:r w:rsidRPr="00B72E38">
              <w:rPr>
                <w:rFonts w:asciiTheme="majorHAnsi" w:hAnsiTheme="majorHAnsi" w:cstheme="majorHAnsi"/>
                <w:sz w:val="22"/>
                <w:szCs w:val="22"/>
              </w:rPr>
              <w:t>Steam (where purchased)</w:t>
            </w:r>
            <w:bookmarkStart w:id="371" w:name="_Ref62338041"/>
            <w:r w:rsidRPr="00B72E38">
              <w:rPr>
                <w:rStyle w:val="FootnoteReference"/>
                <w:rFonts w:asciiTheme="majorHAnsi" w:hAnsiTheme="majorHAnsi" w:cstheme="majorHAnsi"/>
                <w:sz w:val="22"/>
                <w:szCs w:val="22"/>
              </w:rPr>
              <w:footnoteReference w:id="7"/>
            </w:r>
            <w:bookmarkEnd w:id="371"/>
          </w:p>
          <w:p w14:paraId="59DA7F89" w14:textId="63E88606" w:rsidR="003711EF" w:rsidRPr="00B72E38" w:rsidRDefault="003711EF" w:rsidP="00B72E38">
            <w:pPr>
              <w:rPr>
                <w:rFonts w:asciiTheme="majorHAnsi" w:hAnsiTheme="majorHAnsi" w:cstheme="majorHAnsi"/>
                <w:sz w:val="22"/>
                <w:szCs w:val="22"/>
              </w:rPr>
            </w:pPr>
            <w:r w:rsidRPr="00B72E38">
              <w:rPr>
                <w:rFonts w:asciiTheme="majorHAnsi" w:hAnsiTheme="majorHAnsi" w:cstheme="majorHAnsi"/>
                <w:sz w:val="22"/>
                <w:szCs w:val="22"/>
              </w:rPr>
              <w:t>Liquid, solid an</w:t>
            </w:r>
            <w:r w:rsidR="00F270AB" w:rsidRPr="00B72E38">
              <w:rPr>
                <w:rFonts w:asciiTheme="majorHAnsi" w:hAnsiTheme="majorHAnsi" w:cstheme="majorHAnsi"/>
                <w:sz w:val="22"/>
                <w:szCs w:val="22"/>
              </w:rPr>
              <w:t>d</w:t>
            </w:r>
            <w:r w:rsidRPr="00B72E38">
              <w:rPr>
                <w:rFonts w:asciiTheme="majorHAnsi" w:hAnsiTheme="majorHAnsi" w:cstheme="majorHAnsi"/>
                <w:sz w:val="22"/>
                <w:szCs w:val="22"/>
              </w:rPr>
              <w:t xml:space="preserve"> gaseous fuel combustion for steam generation</w:t>
            </w:r>
            <w:r w:rsidRPr="00B72E38">
              <w:rPr>
                <w:rFonts w:asciiTheme="majorHAnsi" w:hAnsiTheme="majorHAnsi" w:cstheme="majorHAnsi"/>
              </w:rPr>
              <w:fldChar w:fldCharType="begin"/>
            </w:r>
            <w:r w:rsidRPr="00B72E38">
              <w:rPr>
                <w:rFonts w:asciiTheme="majorHAnsi" w:hAnsiTheme="majorHAnsi" w:cstheme="majorHAnsi"/>
                <w:sz w:val="22"/>
                <w:szCs w:val="22"/>
              </w:rPr>
              <w:instrText xml:space="preserve"> NOTEREF _Ref62338041 \f \h </w:instrText>
            </w:r>
            <w:r w:rsidR="00B72E38" w:rsidRPr="00B72E38">
              <w:rPr>
                <w:rFonts w:asciiTheme="majorHAnsi" w:hAnsiTheme="majorHAnsi" w:cstheme="majorHAnsi"/>
                <w:sz w:val="22"/>
                <w:szCs w:val="22"/>
              </w:rPr>
              <w:instrText xml:space="preserve"> \* MERGEFORMAT </w:instrText>
            </w:r>
            <w:r w:rsidRPr="00B72E38">
              <w:rPr>
                <w:rFonts w:asciiTheme="majorHAnsi" w:hAnsiTheme="majorHAnsi" w:cstheme="majorHAnsi"/>
              </w:rPr>
            </w:r>
            <w:r w:rsidRPr="00B72E38">
              <w:rPr>
                <w:rFonts w:asciiTheme="majorHAnsi" w:hAnsiTheme="majorHAnsi" w:cstheme="majorHAnsi"/>
              </w:rPr>
              <w:fldChar w:fldCharType="separate"/>
            </w:r>
            <w:r w:rsidR="00A4774A" w:rsidRPr="00A4774A">
              <w:rPr>
                <w:rStyle w:val="FootnoteReference"/>
                <w:rFonts w:asciiTheme="majorHAnsi" w:hAnsiTheme="majorHAnsi" w:cstheme="majorHAnsi"/>
                <w:sz w:val="22"/>
                <w:szCs w:val="22"/>
              </w:rPr>
              <w:t>6</w:t>
            </w:r>
            <w:r w:rsidRPr="00B72E38">
              <w:rPr>
                <w:rFonts w:asciiTheme="majorHAnsi" w:hAnsiTheme="majorHAnsi" w:cstheme="majorHAnsi"/>
              </w:rPr>
              <w:fldChar w:fldCharType="end"/>
            </w:r>
          </w:p>
          <w:p w14:paraId="2E5B9864" w14:textId="38590664" w:rsidR="003711EF" w:rsidRPr="00B72E38" w:rsidRDefault="00F270AB" w:rsidP="00B72E38">
            <w:pPr>
              <w:rPr>
                <w:rFonts w:asciiTheme="majorHAnsi" w:hAnsiTheme="majorHAnsi" w:cstheme="majorHAnsi"/>
                <w:sz w:val="22"/>
                <w:szCs w:val="22"/>
              </w:rPr>
            </w:pPr>
            <w:r w:rsidRPr="00B72E38">
              <w:rPr>
                <w:rFonts w:asciiTheme="majorHAnsi" w:hAnsiTheme="majorHAnsi" w:cstheme="majorHAnsi"/>
                <w:sz w:val="22"/>
                <w:szCs w:val="22"/>
              </w:rPr>
              <w:t xml:space="preserve">Liquid, solid and </w:t>
            </w:r>
            <w:r w:rsidR="003711EF" w:rsidRPr="00B72E38">
              <w:rPr>
                <w:rFonts w:asciiTheme="majorHAnsi" w:hAnsiTheme="majorHAnsi" w:cstheme="majorHAnsi"/>
                <w:sz w:val="22"/>
                <w:szCs w:val="22"/>
              </w:rPr>
              <w:t>gaseous fuel combustion for electricity generation</w:t>
            </w:r>
            <w:r w:rsidR="003711EF" w:rsidRPr="00B72E38">
              <w:rPr>
                <w:rStyle w:val="FootnoteReference"/>
                <w:rFonts w:asciiTheme="majorHAnsi" w:hAnsiTheme="majorHAnsi" w:cstheme="majorHAnsi"/>
                <w:sz w:val="22"/>
                <w:szCs w:val="22"/>
              </w:rPr>
              <w:footnoteReference w:id="8"/>
            </w:r>
          </w:p>
        </w:tc>
      </w:tr>
      <w:tr w:rsidR="003711EF" w14:paraId="32ABB079" w14:textId="77777777" w:rsidTr="006E1573">
        <w:trPr>
          <w:trHeight w:val="573"/>
        </w:trPr>
        <w:tc>
          <w:tcPr>
            <w:tcW w:w="3197" w:type="dxa"/>
          </w:tcPr>
          <w:p w14:paraId="01980A7F" w14:textId="77777777" w:rsidR="003711EF" w:rsidRPr="00B72E38" w:rsidRDefault="003711EF" w:rsidP="00B72E38">
            <w:pPr>
              <w:rPr>
                <w:rFonts w:asciiTheme="majorHAnsi" w:hAnsiTheme="majorHAnsi" w:cstheme="majorHAnsi"/>
                <w:sz w:val="22"/>
                <w:szCs w:val="22"/>
              </w:rPr>
            </w:pPr>
            <w:r w:rsidRPr="00B72E38">
              <w:rPr>
                <w:rFonts w:asciiTheme="majorHAnsi" w:hAnsiTheme="majorHAnsi" w:cstheme="majorHAnsi"/>
                <w:sz w:val="22"/>
                <w:szCs w:val="22"/>
              </w:rPr>
              <w:t>Hydrogen purification, drying and cooling</w:t>
            </w:r>
          </w:p>
        </w:tc>
        <w:tc>
          <w:tcPr>
            <w:tcW w:w="3098" w:type="dxa"/>
          </w:tcPr>
          <w:p w14:paraId="40D7682D" w14:textId="77777777" w:rsidR="003711EF" w:rsidRPr="00B72E38" w:rsidRDefault="003711EF" w:rsidP="00B72E38">
            <w:pPr>
              <w:rPr>
                <w:rFonts w:asciiTheme="majorHAnsi" w:hAnsiTheme="majorHAnsi" w:cstheme="majorHAnsi"/>
                <w:sz w:val="22"/>
                <w:szCs w:val="22"/>
              </w:rPr>
            </w:pPr>
            <w:r w:rsidRPr="00B72E38">
              <w:rPr>
                <w:rFonts w:asciiTheme="majorHAnsi" w:hAnsiTheme="majorHAnsi" w:cstheme="majorHAnsi"/>
                <w:sz w:val="22"/>
                <w:szCs w:val="22"/>
              </w:rPr>
              <w:t xml:space="preserve">Electricity for relevant units </w:t>
            </w:r>
          </w:p>
        </w:tc>
        <w:tc>
          <w:tcPr>
            <w:tcW w:w="2750" w:type="dxa"/>
          </w:tcPr>
          <w:p w14:paraId="22C46F7A" w14:textId="77777777" w:rsidR="003711EF" w:rsidRPr="00B72E38" w:rsidRDefault="003711EF" w:rsidP="00B72E38">
            <w:pPr>
              <w:rPr>
                <w:rFonts w:asciiTheme="majorHAnsi" w:hAnsiTheme="majorHAnsi" w:cstheme="majorHAnsi"/>
                <w:sz w:val="22"/>
                <w:szCs w:val="22"/>
              </w:rPr>
            </w:pPr>
            <w:r w:rsidRPr="00B72E38">
              <w:rPr>
                <w:rFonts w:asciiTheme="majorHAnsi" w:hAnsiTheme="majorHAnsi" w:cstheme="majorHAnsi"/>
                <w:sz w:val="22"/>
                <w:szCs w:val="22"/>
              </w:rPr>
              <w:t>Steam (where purchased)</w:t>
            </w:r>
          </w:p>
          <w:p w14:paraId="64F55430" w14:textId="1B2B43C9" w:rsidR="003711EF" w:rsidRPr="00B72E38" w:rsidRDefault="00F270AB" w:rsidP="00B72E38">
            <w:pPr>
              <w:rPr>
                <w:rFonts w:asciiTheme="majorHAnsi" w:hAnsiTheme="majorHAnsi" w:cstheme="majorHAnsi"/>
                <w:sz w:val="22"/>
                <w:szCs w:val="22"/>
              </w:rPr>
            </w:pPr>
            <w:r w:rsidRPr="00B72E38">
              <w:rPr>
                <w:rFonts w:asciiTheme="majorHAnsi" w:hAnsiTheme="majorHAnsi" w:cstheme="majorHAnsi"/>
                <w:sz w:val="22"/>
                <w:szCs w:val="22"/>
              </w:rPr>
              <w:t>Solid, liquid and</w:t>
            </w:r>
            <w:r w:rsidR="003711EF" w:rsidRPr="00B72E38">
              <w:rPr>
                <w:rFonts w:asciiTheme="majorHAnsi" w:hAnsiTheme="majorHAnsi" w:cstheme="majorHAnsi"/>
                <w:sz w:val="22"/>
                <w:szCs w:val="22"/>
              </w:rPr>
              <w:t xml:space="preserve"> gaseous fuel combustion for relevant units and/or steam generation</w:t>
            </w:r>
          </w:p>
        </w:tc>
      </w:tr>
    </w:tbl>
    <w:p w14:paraId="65D4248C" w14:textId="77777777" w:rsidR="00F270AB" w:rsidRDefault="00F270AB" w:rsidP="0064712D">
      <w:bookmarkStart w:id="372" w:name="_Toc64302382"/>
      <w:bookmarkStart w:id="373" w:name="_Toc65168386"/>
      <w:bookmarkStart w:id="374" w:name="_Toc67329129"/>
      <w:bookmarkStart w:id="375" w:name="_Toc67329377"/>
      <w:bookmarkStart w:id="376" w:name="_Toc67562633"/>
    </w:p>
    <w:p w14:paraId="4D7168CA" w14:textId="042C8F15" w:rsidR="00540EE2" w:rsidRDefault="00300939" w:rsidP="003B47A9">
      <w:pPr>
        <w:pStyle w:val="Heading2"/>
      </w:pPr>
      <w:bookmarkStart w:id="377" w:name="_Toc68000216"/>
      <w:bookmarkStart w:id="378" w:name="_Toc68083147"/>
      <w:bookmarkStart w:id="379" w:name="_Toc68083542"/>
      <w:bookmarkStart w:id="380" w:name="_Toc68105081"/>
      <w:bookmarkStart w:id="381" w:name="_Toc74839360"/>
      <w:r>
        <w:t>Information to be reported</w:t>
      </w:r>
      <w:bookmarkEnd w:id="372"/>
      <w:bookmarkEnd w:id="373"/>
      <w:bookmarkEnd w:id="374"/>
      <w:bookmarkEnd w:id="375"/>
      <w:bookmarkEnd w:id="376"/>
      <w:bookmarkEnd w:id="377"/>
      <w:bookmarkEnd w:id="378"/>
      <w:bookmarkEnd w:id="379"/>
      <w:bookmarkEnd w:id="380"/>
      <w:bookmarkEnd w:id="381"/>
    </w:p>
    <w:tbl>
      <w:tblPr>
        <w:tblStyle w:val="EPLTablePlain"/>
        <w:tblpPr w:leftFromText="180" w:rightFromText="180" w:vertAnchor="text" w:tblpY="1"/>
        <w:tblOverlap w:val="never"/>
        <w:tblW w:w="5000" w:type="pct"/>
        <w:tblLook w:val="04A0" w:firstRow="1" w:lastRow="0" w:firstColumn="1" w:lastColumn="0" w:noHBand="0" w:noVBand="1"/>
        <w:tblDescription w:val="Table identifying the information that will be required to be reported to calculate emissions produced through the electrolysis pathway"/>
      </w:tblPr>
      <w:tblGrid>
        <w:gridCol w:w="2225"/>
        <w:gridCol w:w="6506"/>
      </w:tblGrid>
      <w:tr w:rsidR="0001795E" w:rsidRPr="00052AFA" w14:paraId="49532519" w14:textId="77777777" w:rsidTr="00B4718B">
        <w:trPr>
          <w:cnfStyle w:val="100000000000" w:firstRow="1" w:lastRow="0" w:firstColumn="0" w:lastColumn="0" w:oddVBand="0" w:evenVBand="0" w:oddHBand="0" w:evenHBand="0" w:firstRowFirstColumn="0" w:firstRowLastColumn="0" w:lastRowFirstColumn="0" w:lastRowLastColumn="0"/>
          <w:trHeight w:hRule="exact" w:val="454"/>
          <w:tblHeader/>
        </w:trPr>
        <w:tc>
          <w:tcPr>
            <w:tcW w:w="1226" w:type="pct"/>
          </w:tcPr>
          <w:p w14:paraId="7A3BDCFA" w14:textId="77777777" w:rsidR="0001795E" w:rsidRPr="00052AFA" w:rsidRDefault="0001795E" w:rsidP="001B3FBB">
            <w:pPr>
              <w:pStyle w:val="ListParagraph"/>
              <w:ind w:left="0" w:firstLine="0"/>
              <w:rPr>
                <w:rFonts w:cs="Arial"/>
                <w:color w:val="auto"/>
              </w:rPr>
            </w:pPr>
            <w:r w:rsidRPr="00052AFA">
              <w:rPr>
                <w:rFonts w:cs="Arial"/>
                <w:color w:val="auto"/>
              </w:rPr>
              <w:t>Category</w:t>
            </w:r>
          </w:p>
        </w:tc>
        <w:tc>
          <w:tcPr>
            <w:tcW w:w="3678" w:type="pct"/>
          </w:tcPr>
          <w:p w14:paraId="659968B7" w14:textId="77777777" w:rsidR="0001795E" w:rsidRPr="00052AFA" w:rsidRDefault="0001795E" w:rsidP="001B3FBB">
            <w:pPr>
              <w:pStyle w:val="ListParagraph"/>
              <w:ind w:left="0" w:firstLine="0"/>
              <w:rPr>
                <w:rFonts w:cs="Arial"/>
                <w:color w:val="auto"/>
              </w:rPr>
            </w:pPr>
            <w:r w:rsidRPr="00052AFA">
              <w:rPr>
                <w:rFonts w:cs="Arial"/>
                <w:color w:val="auto"/>
              </w:rPr>
              <w:t>Matters to be identified</w:t>
            </w:r>
          </w:p>
        </w:tc>
      </w:tr>
      <w:tr w:rsidR="0001795E" w14:paraId="41D03D35" w14:textId="77777777" w:rsidTr="006E1573">
        <w:trPr>
          <w:trHeight w:val="1079"/>
        </w:trPr>
        <w:tc>
          <w:tcPr>
            <w:tcW w:w="1226" w:type="pct"/>
          </w:tcPr>
          <w:p w14:paraId="15C30A26" w14:textId="77777777" w:rsidR="0001795E" w:rsidRPr="00B72E38" w:rsidRDefault="0001795E" w:rsidP="0079029D">
            <w:pPr>
              <w:pStyle w:val="ListParagraph"/>
              <w:numPr>
                <w:ilvl w:val="0"/>
                <w:numId w:val="5"/>
              </w:numPr>
              <w:spacing w:after="280"/>
              <w:ind w:left="0"/>
              <w:rPr>
                <w:rFonts w:asciiTheme="minorHAnsi" w:hAnsiTheme="minorHAnsi" w:cstheme="minorHAnsi"/>
                <w:sz w:val="22"/>
                <w:szCs w:val="22"/>
              </w:rPr>
            </w:pPr>
            <w:r w:rsidRPr="00B72E38">
              <w:rPr>
                <w:rFonts w:asciiTheme="minorHAnsi" w:hAnsiTheme="minorHAnsi" w:cstheme="minorHAnsi"/>
                <w:sz w:val="22"/>
                <w:szCs w:val="22"/>
              </w:rPr>
              <w:t>Facility details</w:t>
            </w:r>
          </w:p>
        </w:tc>
        <w:tc>
          <w:tcPr>
            <w:tcW w:w="3678" w:type="pct"/>
          </w:tcPr>
          <w:p w14:paraId="76691404" w14:textId="77777777" w:rsidR="0001795E" w:rsidRPr="00B72E38" w:rsidRDefault="0001795E" w:rsidP="001B3FBB">
            <w:pPr>
              <w:pStyle w:val="ListBullet"/>
              <w:rPr>
                <w:rFonts w:asciiTheme="minorHAnsi" w:hAnsiTheme="minorHAnsi" w:cstheme="minorHAnsi"/>
                <w:sz w:val="22"/>
                <w:szCs w:val="22"/>
              </w:rPr>
            </w:pPr>
            <w:r w:rsidRPr="00B72E38">
              <w:rPr>
                <w:rFonts w:asciiTheme="minorHAnsi" w:hAnsiTheme="minorHAnsi" w:cstheme="minorHAnsi"/>
                <w:sz w:val="22"/>
                <w:szCs w:val="22"/>
              </w:rPr>
              <w:t>Facility identity</w:t>
            </w:r>
          </w:p>
          <w:p w14:paraId="3831D0D8" w14:textId="77777777" w:rsidR="0001795E" w:rsidRPr="00B72E38" w:rsidRDefault="0001795E" w:rsidP="001B3FBB">
            <w:pPr>
              <w:pStyle w:val="ListBullet"/>
              <w:rPr>
                <w:rFonts w:asciiTheme="minorHAnsi" w:hAnsiTheme="minorHAnsi" w:cstheme="minorHAnsi"/>
                <w:sz w:val="22"/>
                <w:szCs w:val="22"/>
              </w:rPr>
            </w:pPr>
            <w:r w:rsidRPr="00B72E38">
              <w:rPr>
                <w:rFonts w:asciiTheme="minorHAnsi" w:hAnsiTheme="minorHAnsi" w:cstheme="minorHAnsi"/>
                <w:sz w:val="22"/>
                <w:szCs w:val="22"/>
              </w:rPr>
              <w:t>Facility location</w:t>
            </w:r>
          </w:p>
          <w:p w14:paraId="6A25BDD1" w14:textId="77777777" w:rsidR="0001795E" w:rsidRPr="00B72E38" w:rsidRDefault="0001795E" w:rsidP="001B3FBB">
            <w:pPr>
              <w:pStyle w:val="ListBullet"/>
              <w:rPr>
                <w:rFonts w:asciiTheme="minorHAnsi" w:hAnsiTheme="minorHAnsi" w:cstheme="minorHAnsi"/>
                <w:sz w:val="22"/>
                <w:szCs w:val="22"/>
              </w:rPr>
            </w:pPr>
            <w:r w:rsidRPr="00B72E38">
              <w:rPr>
                <w:rFonts w:asciiTheme="minorHAnsi" w:hAnsiTheme="minorHAnsi" w:cstheme="minorHAnsi"/>
                <w:sz w:val="22"/>
                <w:szCs w:val="22"/>
              </w:rPr>
              <w:t>Facility capacity</w:t>
            </w:r>
          </w:p>
          <w:p w14:paraId="44EFE27A" w14:textId="77777777" w:rsidR="0001795E" w:rsidRPr="00B72E38" w:rsidRDefault="0001795E" w:rsidP="001B3FBB">
            <w:pPr>
              <w:pStyle w:val="ListBullet"/>
              <w:rPr>
                <w:rFonts w:asciiTheme="minorHAnsi" w:hAnsiTheme="minorHAnsi" w:cstheme="minorHAnsi"/>
                <w:sz w:val="22"/>
                <w:szCs w:val="22"/>
              </w:rPr>
            </w:pPr>
            <w:r w:rsidRPr="00B72E38">
              <w:rPr>
                <w:rFonts w:asciiTheme="minorHAnsi" w:hAnsiTheme="minorHAnsi" w:cstheme="minorHAnsi"/>
                <w:color w:val="auto"/>
                <w:sz w:val="22"/>
                <w:szCs w:val="22"/>
              </w:rPr>
              <w:t>Commencement of facility operation</w:t>
            </w:r>
          </w:p>
        </w:tc>
      </w:tr>
      <w:tr w:rsidR="0001795E" w14:paraId="7E35D350" w14:textId="77777777" w:rsidTr="00F51981">
        <w:trPr>
          <w:trHeight w:val="510"/>
        </w:trPr>
        <w:tc>
          <w:tcPr>
            <w:tcW w:w="1226" w:type="pct"/>
          </w:tcPr>
          <w:p w14:paraId="6CC900C1" w14:textId="77777777" w:rsidR="0001795E" w:rsidRPr="00B72E38" w:rsidRDefault="0001795E" w:rsidP="0079029D">
            <w:pPr>
              <w:pStyle w:val="ListParagraph"/>
              <w:numPr>
                <w:ilvl w:val="0"/>
                <w:numId w:val="5"/>
              </w:numPr>
              <w:spacing w:after="280"/>
              <w:ind w:left="0"/>
              <w:rPr>
                <w:rFonts w:asciiTheme="minorHAnsi" w:hAnsiTheme="minorHAnsi" w:cstheme="minorHAnsi"/>
                <w:sz w:val="22"/>
                <w:szCs w:val="22"/>
              </w:rPr>
            </w:pPr>
            <w:r w:rsidRPr="00B72E38">
              <w:rPr>
                <w:rFonts w:asciiTheme="minorHAnsi" w:hAnsiTheme="minorHAnsi" w:cstheme="minorHAnsi"/>
                <w:sz w:val="22"/>
                <w:szCs w:val="22"/>
              </w:rPr>
              <w:t xml:space="preserve">Production </w:t>
            </w:r>
          </w:p>
        </w:tc>
        <w:tc>
          <w:tcPr>
            <w:tcW w:w="3678" w:type="pct"/>
          </w:tcPr>
          <w:p w14:paraId="762ED888" w14:textId="77777777" w:rsidR="0001795E" w:rsidRPr="00B72E38" w:rsidRDefault="0001795E" w:rsidP="001B3FBB">
            <w:pPr>
              <w:pStyle w:val="ListBullet"/>
              <w:rPr>
                <w:rFonts w:asciiTheme="minorHAnsi" w:hAnsiTheme="minorHAnsi" w:cstheme="minorHAnsi"/>
                <w:sz w:val="22"/>
                <w:szCs w:val="22"/>
              </w:rPr>
            </w:pPr>
            <w:r w:rsidRPr="00B72E38">
              <w:rPr>
                <w:rFonts w:asciiTheme="minorHAnsi" w:hAnsiTheme="minorHAnsi" w:cstheme="minorHAnsi"/>
                <w:sz w:val="22"/>
                <w:szCs w:val="22"/>
              </w:rPr>
              <w:t>Production pathway</w:t>
            </w:r>
          </w:p>
        </w:tc>
      </w:tr>
      <w:tr w:rsidR="0001795E" w14:paraId="7BB297BF" w14:textId="77777777" w:rsidTr="006E1573">
        <w:trPr>
          <w:trHeight w:val="764"/>
        </w:trPr>
        <w:tc>
          <w:tcPr>
            <w:tcW w:w="1226" w:type="pct"/>
          </w:tcPr>
          <w:p w14:paraId="71F89248" w14:textId="77777777" w:rsidR="0001795E" w:rsidRPr="00B72E38" w:rsidRDefault="0001795E" w:rsidP="0079029D">
            <w:pPr>
              <w:pStyle w:val="ListParagraph"/>
              <w:numPr>
                <w:ilvl w:val="0"/>
                <w:numId w:val="5"/>
              </w:numPr>
              <w:spacing w:after="280"/>
              <w:ind w:left="0"/>
              <w:rPr>
                <w:rFonts w:asciiTheme="minorHAnsi" w:hAnsiTheme="minorHAnsi" w:cstheme="minorHAnsi"/>
                <w:sz w:val="22"/>
                <w:szCs w:val="22"/>
              </w:rPr>
            </w:pPr>
            <w:r w:rsidRPr="00B72E38">
              <w:rPr>
                <w:rFonts w:asciiTheme="minorHAnsi" w:hAnsiTheme="minorHAnsi" w:cstheme="minorHAnsi"/>
                <w:sz w:val="22"/>
                <w:szCs w:val="22"/>
              </w:rPr>
              <w:t>GHG emissions overview</w:t>
            </w:r>
          </w:p>
        </w:tc>
        <w:tc>
          <w:tcPr>
            <w:tcW w:w="3678" w:type="pct"/>
          </w:tcPr>
          <w:p w14:paraId="6810B57C" w14:textId="77777777" w:rsidR="0001795E" w:rsidRPr="00B72E38" w:rsidRDefault="0001795E" w:rsidP="001B3FBB">
            <w:pPr>
              <w:pStyle w:val="ListBullet"/>
              <w:rPr>
                <w:rFonts w:asciiTheme="minorHAnsi" w:hAnsiTheme="minorHAnsi" w:cstheme="minorHAnsi"/>
                <w:sz w:val="22"/>
                <w:szCs w:val="22"/>
              </w:rPr>
            </w:pPr>
            <w:r w:rsidRPr="00B72E38">
              <w:rPr>
                <w:rFonts w:asciiTheme="minorHAnsi" w:hAnsiTheme="minorHAnsi" w:cstheme="minorHAnsi"/>
                <w:sz w:val="22"/>
                <w:szCs w:val="22"/>
              </w:rPr>
              <w:t>Emissions intensity of hydrogen batch</w:t>
            </w:r>
          </w:p>
          <w:p w14:paraId="3B27AA07" w14:textId="17134AB8" w:rsidR="0001795E" w:rsidRPr="00B72E38" w:rsidRDefault="0001795E" w:rsidP="001B3FBB">
            <w:pPr>
              <w:pStyle w:val="ListBullet"/>
              <w:rPr>
                <w:rFonts w:asciiTheme="minorHAnsi" w:hAnsiTheme="minorHAnsi" w:cstheme="minorHAnsi"/>
                <w:sz w:val="22"/>
                <w:szCs w:val="22"/>
              </w:rPr>
            </w:pPr>
          </w:p>
        </w:tc>
      </w:tr>
      <w:tr w:rsidR="0001795E" w14:paraId="2CB470CA" w14:textId="77777777" w:rsidTr="006E1573">
        <w:trPr>
          <w:trHeight w:val="749"/>
        </w:trPr>
        <w:tc>
          <w:tcPr>
            <w:tcW w:w="1226" w:type="pct"/>
          </w:tcPr>
          <w:p w14:paraId="0D7465FD" w14:textId="77777777" w:rsidR="0001795E" w:rsidRPr="00B72E38" w:rsidRDefault="0001795E" w:rsidP="0079029D">
            <w:pPr>
              <w:pStyle w:val="ListParagraph"/>
              <w:numPr>
                <w:ilvl w:val="0"/>
                <w:numId w:val="5"/>
              </w:numPr>
              <w:spacing w:after="280"/>
              <w:ind w:left="0"/>
              <w:rPr>
                <w:rFonts w:asciiTheme="minorHAnsi" w:hAnsiTheme="minorHAnsi" w:cstheme="minorHAnsi"/>
                <w:sz w:val="22"/>
                <w:szCs w:val="22"/>
              </w:rPr>
            </w:pPr>
            <w:r w:rsidRPr="00B72E38">
              <w:rPr>
                <w:rFonts w:asciiTheme="minorHAnsi" w:hAnsiTheme="minorHAnsi" w:cstheme="minorHAnsi"/>
                <w:sz w:val="22"/>
                <w:szCs w:val="22"/>
              </w:rPr>
              <w:t>Batch details</w:t>
            </w:r>
          </w:p>
        </w:tc>
        <w:tc>
          <w:tcPr>
            <w:tcW w:w="3678" w:type="pct"/>
          </w:tcPr>
          <w:p w14:paraId="45794818" w14:textId="77777777" w:rsidR="0001795E" w:rsidRPr="00B72E38" w:rsidRDefault="0001795E" w:rsidP="001B3FBB">
            <w:pPr>
              <w:pStyle w:val="ListBullet"/>
              <w:rPr>
                <w:rFonts w:asciiTheme="minorHAnsi" w:hAnsiTheme="minorHAnsi" w:cstheme="minorHAnsi"/>
                <w:sz w:val="22"/>
                <w:szCs w:val="22"/>
              </w:rPr>
            </w:pPr>
            <w:r w:rsidRPr="00B72E38">
              <w:rPr>
                <w:rFonts w:asciiTheme="minorHAnsi" w:hAnsiTheme="minorHAnsi" w:cstheme="minorHAnsi"/>
                <w:sz w:val="22"/>
                <w:szCs w:val="22"/>
              </w:rPr>
              <w:t>Beginning and end of batch dates</w:t>
            </w:r>
          </w:p>
          <w:p w14:paraId="58CF8880" w14:textId="77777777" w:rsidR="0001795E" w:rsidRPr="00B72E38" w:rsidRDefault="0001795E" w:rsidP="001B3FBB">
            <w:pPr>
              <w:pStyle w:val="ListBullet"/>
              <w:rPr>
                <w:rFonts w:asciiTheme="minorHAnsi" w:hAnsiTheme="minorHAnsi" w:cstheme="minorHAnsi"/>
                <w:sz w:val="22"/>
                <w:szCs w:val="22"/>
              </w:rPr>
            </w:pPr>
            <w:r w:rsidRPr="00B72E38">
              <w:rPr>
                <w:rFonts w:asciiTheme="minorHAnsi" w:hAnsiTheme="minorHAnsi" w:cstheme="minorHAnsi"/>
                <w:color w:val="auto"/>
                <w:sz w:val="22"/>
                <w:szCs w:val="22"/>
              </w:rPr>
              <w:t>Batch quantity</w:t>
            </w:r>
          </w:p>
        </w:tc>
      </w:tr>
      <w:tr w:rsidR="0001795E" w14:paraId="3DD818A4" w14:textId="77777777" w:rsidTr="006E1573">
        <w:trPr>
          <w:trHeight w:val="1079"/>
        </w:trPr>
        <w:tc>
          <w:tcPr>
            <w:tcW w:w="1226" w:type="pct"/>
          </w:tcPr>
          <w:p w14:paraId="2157CA81" w14:textId="77777777" w:rsidR="0001795E" w:rsidRPr="00B72E38" w:rsidRDefault="0001795E" w:rsidP="001B3FBB">
            <w:pPr>
              <w:pStyle w:val="ListBullet"/>
              <w:rPr>
                <w:rFonts w:asciiTheme="minorHAnsi" w:hAnsiTheme="minorHAnsi" w:cstheme="minorHAnsi"/>
                <w:sz w:val="22"/>
                <w:szCs w:val="22"/>
              </w:rPr>
            </w:pPr>
            <w:r w:rsidRPr="00B72E38">
              <w:rPr>
                <w:rFonts w:asciiTheme="minorHAnsi" w:hAnsiTheme="minorHAnsi" w:cstheme="minorHAnsi"/>
                <w:sz w:val="22"/>
                <w:szCs w:val="22"/>
              </w:rPr>
              <w:t>Electricity</w:t>
            </w:r>
          </w:p>
          <w:p w14:paraId="40007787" w14:textId="77777777" w:rsidR="0001795E" w:rsidRPr="00B72E38" w:rsidRDefault="0001795E" w:rsidP="0079029D">
            <w:pPr>
              <w:pStyle w:val="ListParagraph"/>
              <w:numPr>
                <w:ilvl w:val="0"/>
                <w:numId w:val="5"/>
              </w:numPr>
              <w:spacing w:after="280"/>
              <w:ind w:left="0"/>
              <w:rPr>
                <w:rFonts w:asciiTheme="minorHAnsi" w:hAnsiTheme="minorHAnsi" w:cstheme="minorHAnsi"/>
                <w:sz w:val="22"/>
                <w:szCs w:val="22"/>
              </w:rPr>
            </w:pPr>
          </w:p>
        </w:tc>
        <w:tc>
          <w:tcPr>
            <w:tcW w:w="3678" w:type="pct"/>
          </w:tcPr>
          <w:p w14:paraId="6CF64683" w14:textId="064278A5" w:rsidR="0001795E" w:rsidRPr="00B72E38" w:rsidRDefault="0001795E" w:rsidP="001B3FBB">
            <w:pPr>
              <w:pStyle w:val="ListBullet"/>
              <w:rPr>
                <w:rFonts w:asciiTheme="minorHAnsi" w:hAnsiTheme="minorHAnsi" w:cstheme="minorHAnsi"/>
                <w:sz w:val="22"/>
                <w:szCs w:val="22"/>
              </w:rPr>
            </w:pPr>
            <w:r w:rsidRPr="00B72E38">
              <w:rPr>
                <w:rFonts w:asciiTheme="minorHAnsi" w:hAnsiTheme="minorHAnsi" w:cstheme="minorHAnsi"/>
                <w:sz w:val="22"/>
                <w:szCs w:val="22"/>
              </w:rPr>
              <w:t>Location based emissions accounting</w:t>
            </w:r>
            <w:r w:rsidR="00E14A01" w:rsidRPr="00B72E38">
              <w:rPr>
                <w:rFonts w:asciiTheme="minorHAnsi" w:hAnsiTheme="minorHAnsi" w:cstheme="minorHAnsi"/>
                <w:sz w:val="22"/>
                <w:szCs w:val="22"/>
              </w:rPr>
              <w:t>:</w:t>
            </w:r>
          </w:p>
          <w:p w14:paraId="3EFC12F1" w14:textId="77777777" w:rsidR="0001795E" w:rsidRPr="00B72E38" w:rsidRDefault="0001795E" w:rsidP="00F048C7">
            <w:pPr>
              <w:pStyle w:val="ListBullet"/>
              <w:numPr>
                <w:ilvl w:val="0"/>
                <w:numId w:val="11"/>
              </w:numPr>
              <w:rPr>
                <w:rFonts w:asciiTheme="minorHAnsi" w:hAnsiTheme="minorHAnsi" w:cstheme="minorHAnsi"/>
                <w:sz w:val="22"/>
                <w:szCs w:val="22"/>
              </w:rPr>
            </w:pPr>
            <w:r w:rsidRPr="00B72E38">
              <w:rPr>
                <w:rFonts w:asciiTheme="minorHAnsi" w:hAnsiTheme="minorHAnsi" w:cstheme="minorHAnsi"/>
                <w:sz w:val="22"/>
                <w:szCs w:val="22"/>
              </w:rPr>
              <w:t>Quantity of purchased grid electricity [kWh]</w:t>
            </w:r>
          </w:p>
          <w:p w14:paraId="676F6B0F" w14:textId="77777777" w:rsidR="0001795E" w:rsidRPr="00B72E38" w:rsidRDefault="0001795E" w:rsidP="00F048C7">
            <w:pPr>
              <w:pStyle w:val="ListBullet"/>
              <w:numPr>
                <w:ilvl w:val="0"/>
                <w:numId w:val="11"/>
              </w:numPr>
              <w:rPr>
                <w:rFonts w:asciiTheme="minorHAnsi" w:hAnsiTheme="minorHAnsi" w:cstheme="minorHAnsi"/>
                <w:sz w:val="22"/>
                <w:szCs w:val="22"/>
              </w:rPr>
            </w:pPr>
            <w:r w:rsidRPr="00B72E38">
              <w:rPr>
                <w:rFonts w:asciiTheme="minorHAnsi" w:hAnsiTheme="minorHAnsi" w:cstheme="minorHAnsi"/>
                <w:sz w:val="22"/>
                <w:szCs w:val="22"/>
              </w:rPr>
              <w:t>Location based emission factor used [kgCO</w:t>
            </w:r>
            <w:r w:rsidRPr="00B72E38">
              <w:rPr>
                <w:rFonts w:asciiTheme="minorHAnsi" w:hAnsiTheme="minorHAnsi" w:cstheme="minorHAnsi"/>
                <w:sz w:val="22"/>
                <w:szCs w:val="22"/>
                <w:vertAlign w:val="subscript"/>
              </w:rPr>
              <w:t>2</w:t>
            </w:r>
            <w:r w:rsidRPr="00B72E38">
              <w:rPr>
                <w:rFonts w:asciiTheme="minorHAnsi" w:hAnsiTheme="minorHAnsi" w:cstheme="minorHAnsi"/>
                <w:sz w:val="22"/>
                <w:szCs w:val="22"/>
              </w:rPr>
              <w:t>-e/kWh]</w:t>
            </w:r>
          </w:p>
          <w:p w14:paraId="386B118A" w14:textId="77777777" w:rsidR="0001795E" w:rsidRPr="00B72E38" w:rsidRDefault="0001795E" w:rsidP="001B3FBB">
            <w:pPr>
              <w:pStyle w:val="ListBullet"/>
              <w:ind w:left="0" w:firstLine="0"/>
              <w:rPr>
                <w:rFonts w:asciiTheme="minorHAnsi" w:hAnsiTheme="minorHAnsi" w:cstheme="minorHAnsi"/>
                <w:sz w:val="22"/>
                <w:szCs w:val="22"/>
              </w:rPr>
            </w:pPr>
          </w:p>
          <w:p w14:paraId="7E8CB4F8" w14:textId="77777777" w:rsidR="0001795E" w:rsidRPr="00B72E38" w:rsidRDefault="0001795E" w:rsidP="001B3FBB">
            <w:pPr>
              <w:pStyle w:val="ListBullet"/>
              <w:ind w:left="0" w:firstLine="0"/>
              <w:rPr>
                <w:rFonts w:asciiTheme="minorHAnsi" w:hAnsiTheme="minorHAnsi" w:cstheme="minorHAnsi"/>
                <w:sz w:val="22"/>
                <w:szCs w:val="22"/>
              </w:rPr>
            </w:pPr>
            <w:r w:rsidRPr="00B72E38">
              <w:rPr>
                <w:rFonts w:asciiTheme="minorHAnsi" w:hAnsiTheme="minorHAnsi" w:cstheme="minorHAnsi"/>
                <w:sz w:val="22"/>
                <w:szCs w:val="22"/>
              </w:rPr>
              <w:t>Market based emissions accounting</w:t>
            </w:r>
          </w:p>
          <w:p w14:paraId="77078620" w14:textId="77777777" w:rsidR="0001795E" w:rsidRPr="00B72E38" w:rsidRDefault="0001795E" w:rsidP="00F048C7">
            <w:pPr>
              <w:pStyle w:val="ListBullet"/>
              <w:numPr>
                <w:ilvl w:val="0"/>
                <w:numId w:val="12"/>
              </w:numPr>
              <w:rPr>
                <w:rFonts w:asciiTheme="minorHAnsi" w:hAnsiTheme="minorHAnsi" w:cstheme="minorHAnsi"/>
                <w:sz w:val="22"/>
                <w:szCs w:val="22"/>
              </w:rPr>
            </w:pPr>
            <w:r w:rsidRPr="00B72E38">
              <w:rPr>
                <w:rFonts w:asciiTheme="minorHAnsi" w:hAnsiTheme="minorHAnsi" w:cstheme="minorHAnsi"/>
                <w:sz w:val="22"/>
                <w:szCs w:val="22"/>
              </w:rPr>
              <w:t>Quantity of purchased grid electricity [kWh]</w:t>
            </w:r>
          </w:p>
          <w:p w14:paraId="4CDED994" w14:textId="0839A7B4" w:rsidR="00E14A01" w:rsidRPr="00B72E38" w:rsidRDefault="00E14A01" w:rsidP="00F048C7">
            <w:pPr>
              <w:pStyle w:val="ListBullet"/>
              <w:numPr>
                <w:ilvl w:val="0"/>
                <w:numId w:val="12"/>
              </w:numPr>
              <w:rPr>
                <w:rFonts w:asciiTheme="minorHAnsi" w:hAnsiTheme="minorHAnsi" w:cstheme="minorHAnsi"/>
                <w:sz w:val="22"/>
                <w:szCs w:val="22"/>
              </w:rPr>
            </w:pPr>
            <w:r w:rsidRPr="00B72E38">
              <w:rPr>
                <w:rFonts w:asciiTheme="minorHAnsi" w:hAnsiTheme="minorHAnsi" w:cstheme="minorHAnsi"/>
                <w:sz w:val="22"/>
                <w:szCs w:val="22"/>
              </w:rPr>
              <w:t>Number of LGC</w:t>
            </w:r>
            <w:r w:rsidR="00F270AB" w:rsidRPr="00B72E38">
              <w:rPr>
                <w:rFonts w:asciiTheme="minorHAnsi" w:hAnsiTheme="minorHAnsi" w:cstheme="minorHAnsi"/>
                <w:sz w:val="22"/>
                <w:szCs w:val="22"/>
              </w:rPr>
              <w:t xml:space="preserve">s surrendered (through PPAs </w:t>
            </w:r>
            <w:r w:rsidRPr="00B72E38">
              <w:rPr>
                <w:rFonts w:asciiTheme="minorHAnsi" w:hAnsiTheme="minorHAnsi" w:cstheme="minorHAnsi"/>
                <w:sz w:val="22"/>
                <w:szCs w:val="22"/>
              </w:rPr>
              <w:t>or GreenPower purchases</w:t>
            </w:r>
          </w:p>
          <w:p w14:paraId="0EB64E93" w14:textId="77777777" w:rsidR="00E14A01" w:rsidRPr="00B72E38" w:rsidRDefault="00E14A01" w:rsidP="00F048C7">
            <w:pPr>
              <w:pStyle w:val="ListBullet"/>
              <w:numPr>
                <w:ilvl w:val="0"/>
                <w:numId w:val="12"/>
              </w:numPr>
              <w:rPr>
                <w:rFonts w:asciiTheme="minorHAnsi" w:hAnsiTheme="minorHAnsi" w:cstheme="minorHAnsi"/>
                <w:sz w:val="22"/>
                <w:szCs w:val="22"/>
              </w:rPr>
            </w:pPr>
            <w:r w:rsidRPr="00B72E38">
              <w:rPr>
                <w:rFonts w:asciiTheme="minorHAnsi" w:hAnsiTheme="minorHAnsi" w:cstheme="minorHAnsi"/>
                <w:sz w:val="22"/>
                <w:szCs w:val="22"/>
              </w:rPr>
              <w:t>Electricity consumption attributed to the LRET</w:t>
            </w:r>
          </w:p>
          <w:p w14:paraId="09F2B1BF" w14:textId="7EB64B89" w:rsidR="00E14A01" w:rsidRPr="00B72E38" w:rsidRDefault="00E14A01" w:rsidP="00F048C7">
            <w:pPr>
              <w:pStyle w:val="ListBullet"/>
              <w:numPr>
                <w:ilvl w:val="0"/>
                <w:numId w:val="12"/>
              </w:numPr>
              <w:rPr>
                <w:rFonts w:asciiTheme="minorHAnsi" w:hAnsiTheme="minorHAnsi" w:cstheme="minorHAnsi"/>
                <w:sz w:val="22"/>
                <w:szCs w:val="22"/>
              </w:rPr>
            </w:pPr>
            <w:r w:rsidRPr="00B72E38">
              <w:rPr>
                <w:rFonts w:asciiTheme="minorHAnsi" w:hAnsiTheme="minorHAnsi" w:cstheme="minorHAnsi"/>
                <w:sz w:val="22"/>
                <w:szCs w:val="22"/>
              </w:rPr>
              <w:t>Elect consumption attributable to jurisdictional renewable energy targets</w:t>
            </w:r>
          </w:p>
          <w:p w14:paraId="327CC3C0" w14:textId="669C9C7A" w:rsidR="00E14A01" w:rsidRPr="00B72E38" w:rsidRDefault="00E14A01" w:rsidP="00F048C7">
            <w:pPr>
              <w:pStyle w:val="ListBullet"/>
              <w:numPr>
                <w:ilvl w:val="0"/>
                <w:numId w:val="12"/>
              </w:numPr>
              <w:rPr>
                <w:rFonts w:asciiTheme="minorHAnsi" w:hAnsiTheme="minorHAnsi" w:cstheme="minorHAnsi"/>
                <w:sz w:val="22"/>
                <w:szCs w:val="22"/>
              </w:rPr>
            </w:pPr>
            <w:r w:rsidRPr="00B72E38">
              <w:rPr>
                <w:rFonts w:asciiTheme="minorHAnsi" w:hAnsiTheme="minorHAnsi" w:cstheme="minorHAnsi"/>
                <w:sz w:val="22"/>
                <w:szCs w:val="22"/>
              </w:rPr>
              <w:t>Residual electricity</w:t>
            </w:r>
          </w:p>
          <w:p w14:paraId="76B17986" w14:textId="77777777" w:rsidR="0001795E" w:rsidRPr="00B72E38" w:rsidRDefault="0001795E" w:rsidP="00F048C7">
            <w:pPr>
              <w:pStyle w:val="ListBullet"/>
              <w:numPr>
                <w:ilvl w:val="0"/>
                <w:numId w:val="12"/>
              </w:numPr>
              <w:rPr>
                <w:rFonts w:asciiTheme="minorHAnsi" w:hAnsiTheme="minorHAnsi" w:cstheme="minorHAnsi"/>
                <w:sz w:val="22"/>
                <w:szCs w:val="22"/>
              </w:rPr>
            </w:pPr>
            <w:r w:rsidRPr="00B72E38">
              <w:rPr>
                <w:rFonts w:asciiTheme="minorHAnsi" w:hAnsiTheme="minorHAnsi" w:cstheme="minorHAnsi"/>
                <w:sz w:val="22"/>
                <w:szCs w:val="22"/>
              </w:rPr>
              <w:t>Residual mix emission factor [kgCO2-e/kWh]</w:t>
            </w:r>
          </w:p>
          <w:p w14:paraId="4ACC6D65" w14:textId="77777777" w:rsidR="0001795E" w:rsidRPr="00B72E38" w:rsidRDefault="0001795E" w:rsidP="001B3FBB">
            <w:pPr>
              <w:pStyle w:val="ListBullet"/>
              <w:ind w:firstLine="0"/>
              <w:rPr>
                <w:rFonts w:asciiTheme="minorHAnsi" w:hAnsiTheme="minorHAnsi" w:cstheme="minorHAnsi"/>
                <w:sz w:val="22"/>
                <w:szCs w:val="22"/>
              </w:rPr>
            </w:pPr>
          </w:p>
          <w:p w14:paraId="1F8D8A38" w14:textId="77777777" w:rsidR="0001795E" w:rsidRPr="00B72E38" w:rsidRDefault="0001795E" w:rsidP="001B3FBB">
            <w:pPr>
              <w:pStyle w:val="ListBullet"/>
              <w:rPr>
                <w:rFonts w:asciiTheme="minorHAnsi" w:hAnsiTheme="minorHAnsi" w:cstheme="minorHAnsi"/>
                <w:sz w:val="22"/>
                <w:szCs w:val="22"/>
              </w:rPr>
            </w:pPr>
            <w:r w:rsidRPr="00B72E38">
              <w:rPr>
                <w:rFonts w:asciiTheme="minorHAnsi" w:hAnsiTheme="minorHAnsi" w:cstheme="minorHAnsi"/>
                <w:sz w:val="22"/>
                <w:szCs w:val="22"/>
              </w:rPr>
              <w:t>On-site electricity generation</w:t>
            </w:r>
          </w:p>
          <w:p w14:paraId="13FC479C" w14:textId="77777777" w:rsidR="0001795E" w:rsidRPr="00B72E38" w:rsidRDefault="0001795E" w:rsidP="00B72E38">
            <w:pPr>
              <w:pStyle w:val="ListBullet"/>
              <w:numPr>
                <w:ilvl w:val="0"/>
                <w:numId w:val="12"/>
              </w:numPr>
              <w:rPr>
                <w:rFonts w:asciiTheme="minorHAnsi" w:hAnsiTheme="minorHAnsi" w:cstheme="minorHAnsi"/>
                <w:sz w:val="22"/>
                <w:szCs w:val="22"/>
              </w:rPr>
            </w:pPr>
            <w:r w:rsidRPr="00B72E38">
              <w:rPr>
                <w:rFonts w:asciiTheme="minorHAnsi" w:hAnsiTheme="minorHAnsi" w:cstheme="minorHAnsi"/>
                <w:sz w:val="22"/>
                <w:szCs w:val="22"/>
              </w:rPr>
              <w:t>Quantity of on-site generation [kWh]</w:t>
            </w:r>
          </w:p>
          <w:p w14:paraId="5053E72A" w14:textId="77777777" w:rsidR="0001795E" w:rsidRPr="00B72E38" w:rsidRDefault="0001795E" w:rsidP="00B72E38">
            <w:pPr>
              <w:pStyle w:val="ListBullet"/>
              <w:numPr>
                <w:ilvl w:val="0"/>
                <w:numId w:val="12"/>
              </w:numPr>
              <w:rPr>
                <w:rFonts w:asciiTheme="minorHAnsi" w:hAnsiTheme="minorHAnsi" w:cstheme="minorHAnsi"/>
                <w:sz w:val="22"/>
                <w:szCs w:val="22"/>
              </w:rPr>
            </w:pPr>
            <w:r w:rsidRPr="00B72E38">
              <w:rPr>
                <w:rFonts w:asciiTheme="minorHAnsi" w:hAnsiTheme="minorHAnsi" w:cstheme="minorHAnsi"/>
                <w:sz w:val="22"/>
                <w:szCs w:val="22"/>
              </w:rPr>
              <w:t>Emission factor for on-site generation (as applicable) [kgCO2-e/kWh]</w:t>
            </w:r>
          </w:p>
        </w:tc>
      </w:tr>
      <w:tr w:rsidR="0001795E" w14:paraId="141C37B2" w14:textId="77777777" w:rsidTr="006E1573">
        <w:trPr>
          <w:trHeight w:val="1079"/>
        </w:trPr>
        <w:tc>
          <w:tcPr>
            <w:tcW w:w="1226" w:type="pct"/>
          </w:tcPr>
          <w:p w14:paraId="26361203" w14:textId="3E99A269" w:rsidR="0001795E" w:rsidRPr="00B72E38" w:rsidRDefault="0001795E" w:rsidP="0079029D">
            <w:pPr>
              <w:pStyle w:val="ListParagraph"/>
              <w:numPr>
                <w:ilvl w:val="0"/>
                <w:numId w:val="5"/>
              </w:numPr>
              <w:spacing w:after="280"/>
              <w:ind w:left="0"/>
              <w:rPr>
                <w:rFonts w:asciiTheme="minorHAnsi" w:hAnsiTheme="minorHAnsi" w:cstheme="minorHAnsi"/>
                <w:sz w:val="22"/>
                <w:szCs w:val="22"/>
              </w:rPr>
            </w:pPr>
            <w:r w:rsidRPr="00B72E38">
              <w:rPr>
                <w:rFonts w:asciiTheme="minorHAnsi" w:hAnsiTheme="minorHAnsi" w:cstheme="minorHAnsi"/>
                <w:sz w:val="22"/>
                <w:szCs w:val="22"/>
              </w:rPr>
              <w:t>Other utilities</w:t>
            </w:r>
          </w:p>
        </w:tc>
        <w:tc>
          <w:tcPr>
            <w:tcW w:w="3678" w:type="pct"/>
          </w:tcPr>
          <w:p w14:paraId="035DCD0B" w14:textId="79AEDCD4" w:rsidR="0001795E" w:rsidRPr="00B72E38" w:rsidRDefault="00F270AB" w:rsidP="001B3FBB">
            <w:pPr>
              <w:pStyle w:val="ListBullet"/>
              <w:rPr>
                <w:rFonts w:asciiTheme="minorHAnsi" w:hAnsiTheme="minorHAnsi" w:cstheme="minorHAnsi"/>
                <w:sz w:val="22"/>
                <w:szCs w:val="22"/>
              </w:rPr>
            </w:pPr>
            <w:r w:rsidRPr="00B72E38">
              <w:rPr>
                <w:rFonts w:asciiTheme="minorHAnsi" w:hAnsiTheme="minorHAnsi" w:cstheme="minorHAnsi"/>
                <w:sz w:val="22"/>
                <w:szCs w:val="22"/>
              </w:rPr>
              <w:t>Source</w:t>
            </w:r>
            <w:r w:rsidR="0001795E" w:rsidRPr="00B72E38">
              <w:rPr>
                <w:rFonts w:asciiTheme="minorHAnsi" w:hAnsiTheme="minorHAnsi" w:cstheme="minorHAnsi"/>
                <w:sz w:val="22"/>
                <w:szCs w:val="22"/>
              </w:rPr>
              <w:t>s of water</w:t>
            </w:r>
          </w:p>
          <w:p w14:paraId="408FCB34" w14:textId="3DB212DB" w:rsidR="0001795E" w:rsidRPr="00B72E38" w:rsidRDefault="00F270AB" w:rsidP="001B3FBB">
            <w:pPr>
              <w:pStyle w:val="ListBullet"/>
              <w:rPr>
                <w:rFonts w:asciiTheme="minorHAnsi" w:hAnsiTheme="minorHAnsi" w:cstheme="minorHAnsi"/>
                <w:sz w:val="22"/>
                <w:szCs w:val="22"/>
              </w:rPr>
            </w:pPr>
            <w:r w:rsidRPr="00B72E38">
              <w:rPr>
                <w:rFonts w:asciiTheme="minorHAnsi" w:hAnsiTheme="minorHAnsi" w:cstheme="minorHAnsi"/>
                <w:sz w:val="22"/>
                <w:szCs w:val="22"/>
              </w:rPr>
              <w:t>Source</w:t>
            </w:r>
            <w:r w:rsidR="0001795E" w:rsidRPr="00B72E38">
              <w:rPr>
                <w:rFonts w:asciiTheme="minorHAnsi" w:hAnsiTheme="minorHAnsi" w:cstheme="minorHAnsi"/>
                <w:sz w:val="22"/>
                <w:szCs w:val="22"/>
              </w:rPr>
              <w:t>s of steam</w:t>
            </w:r>
          </w:p>
          <w:p w14:paraId="67736A2C" w14:textId="77777777" w:rsidR="0001795E" w:rsidRPr="00B72E38" w:rsidRDefault="0001795E" w:rsidP="001B3FBB">
            <w:pPr>
              <w:pStyle w:val="ListBullet"/>
              <w:rPr>
                <w:rFonts w:asciiTheme="minorHAnsi" w:hAnsiTheme="minorHAnsi" w:cstheme="minorHAnsi"/>
                <w:sz w:val="22"/>
                <w:szCs w:val="22"/>
              </w:rPr>
            </w:pPr>
            <w:r w:rsidRPr="00B72E38">
              <w:rPr>
                <w:rFonts w:asciiTheme="minorHAnsi" w:hAnsiTheme="minorHAnsi" w:cstheme="minorHAnsi"/>
                <w:sz w:val="22"/>
                <w:szCs w:val="22"/>
              </w:rPr>
              <w:t>Quantity of purchased water [kg]</w:t>
            </w:r>
          </w:p>
          <w:p w14:paraId="51BD037C" w14:textId="77777777" w:rsidR="0001795E" w:rsidRPr="00B72E38" w:rsidRDefault="0001795E" w:rsidP="001B3FBB">
            <w:pPr>
              <w:pStyle w:val="ListBullet"/>
              <w:rPr>
                <w:rFonts w:asciiTheme="minorHAnsi" w:hAnsiTheme="minorHAnsi" w:cstheme="minorHAnsi"/>
                <w:sz w:val="22"/>
                <w:szCs w:val="22"/>
              </w:rPr>
            </w:pPr>
            <w:r w:rsidRPr="00B72E38">
              <w:rPr>
                <w:rFonts w:asciiTheme="minorHAnsi" w:hAnsiTheme="minorHAnsi" w:cstheme="minorHAnsi"/>
                <w:sz w:val="22"/>
                <w:szCs w:val="22"/>
              </w:rPr>
              <w:t>Quantity of purchased steam [kg]</w:t>
            </w:r>
          </w:p>
          <w:p w14:paraId="5B3B7C4B" w14:textId="77777777" w:rsidR="0001795E" w:rsidRPr="00B72E38" w:rsidRDefault="0001795E" w:rsidP="001B3FBB">
            <w:pPr>
              <w:pStyle w:val="ListBullet"/>
              <w:rPr>
                <w:rFonts w:asciiTheme="minorHAnsi" w:hAnsiTheme="minorHAnsi" w:cstheme="minorHAnsi"/>
                <w:sz w:val="22"/>
                <w:szCs w:val="22"/>
              </w:rPr>
            </w:pPr>
            <w:r w:rsidRPr="00B72E38">
              <w:rPr>
                <w:rFonts w:asciiTheme="minorHAnsi" w:hAnsiTheme="minorHAnsi" w:cstheme="minorHAnsi"/>
                <w:color w:val="auto"/>
                <w:sz w:val="22"/>
                <w:szCs w:val="22"/>
              </w:rPr>
              <w:t>Quantity of steam exported [kg]</w:t>
            </w:r>
          </w:p>
        </w:tc>
      </w:tr>
      <w:tr w:rsidR="0001795E" w14:paraId="59FD5783" w14:textId="77777777" w:rsidTr="006E1573">
        <w:trPr>
          <w:trHeight w:val="1079"/>
        </w:trPr>
        <w:tc>
          <w:tcPr>
            <w:tcW w:w="1226" w:type="pct"/>
          </w:tcPr>
          <w:p w14:paraId="1991511A" w14:textId="77777777" w:rsidR="0001795E" w:rsidRPr="00B72E38" w:rsidRDefault="0001795E" w:rsidP="0079029D">
            <w:pPr>
              <w:pStyle w:val="ListParagraph"/>
              <w:numPr>
                <w:ilvl w:val="0"/>
                <w:numId w:val="5"/>
              </w:numPr>
              <w:spacing w:after="280"/>
              <w:ind w:left="0"/>
              <w:rPr>
                <w:rFonts w:asciiTheme="minorHAnsi" w:hAnsiTheme="minorHAnsi" w:cstheme="minorHAnsi"/>
                <w:sz w:val="22"/>
                <w:szCs w:val="22"/>
              </w:rPr>
            </w:pPr>
            <w:r w:rsidRPr="00B72E38">
              <w:rPr>
                <w:rFonts w:asciiTheme="minorHAnsi" w:hAnsiTheme="minorHAnsi" w:cstheme="minorHAnsi"/>
                <w:sz w:val="22"/>
                <w:szCs w:val="22"/>
              </w:rPr>
              <w:t>Fuel feedstock</w:t>
            </w:r>
          </w:p>
        </w:tc>
        <w:tc>
          <w:tcPr>
            <w:tcW w:w="3678" w:type="pct"/>
          </w:tcPr>
          <w:p w14:paraId="76E11714" w14:textId="77777777" w:rsidR="0001795E" w:rsidRPr="00B72E38" w:rsidRDefault="0001795E" w:rsidP="001B3FBB">
            <w:pPr>
              <w:pStyle w:val="ListBullet"/>
              <w:rPr>
                <w:rFonts w:asciiTheme="minorHAnsi" w:hAnsiTheme="minorHAnsi" w:cstheme="minorHAnsi"/>
                <w:sz w:val="22"/>
                <w:szCs w:val="22"/>
              </w:rPr>
            </w:pPr>
            <w:r w:rsidRPr="00B72E38">
              <w:rPr>
                <w:rFonts w:asciiTheme="minorHAnsi" w:hAnsiTheme="minorHAnsi" w:cstheme="minorHAnsi"/>
                <w:sz w:val="22"/>
                <w:szCs w:val="22"/>
              </w:rPr>
              <w:t>Types of fuels combusted</w:t>
            </w:r>
          </w:p>
          <w:p w14:paraId="343F42CB" w14:textId="77777777" w:rsidR="0001795E" w:rsidRPr="00B72E38" w:rsidRDefault="0001795E" w:rsidP="001B3FBB">
            <w:pPr>
              <w:pStyle w:val="ListBullet"/>
              <w:rPr>
                <w:rFonts w:asciiTheme="minorHAnsi" w:hAnsiTheme="minorHAnsi" w:cstheme="minorHAnsi"/>
                <w:sz w:val="22"/>
                <w:szCs w:val="22"/>
              </w:rPr>
            </w:pPr>
            <w:r w:rsidRPr="00B72E38">
              <w:rPr>
                <w:rFonts w:asciiTheme="minorHAnsi" w:hAnsiTheme="minorHAnsi" w:cstheme="minorHAnsi"/>
                <w:sz w:val="22"/>
                <w:szCs w:val="22"/>
              </w:rPr>
              <w:t>Quantities of fuel combusted [L, kg]</w:t>
            </w:r>
          </w:p>
          <w:p w14:paraId="79F22834" w14:textId="5BA710F5" w:rsidR="0001795E" w:rsidRPr="00B72E38" w:rsidRDefault="0001795E" w:rsidP="0001795E">
            <w:pPr>
              <w:pStyle w:val="ListBullet"/>
              <w:rPr>
                <w:rFonts w:asciiTheme="minorHAnsi" w:hAnsiTheme="minorHAnsi" w:cstheme="minorHAnsi"/>
                <w:sz w:val="22"/>
                <w:szCs w:val="22"/>
              </w:rPr>
            </w:pPr>
            <w:r w:rsidRPr="00B72E38">
              <w:rPr>
                <w:rFonts w:asciiTheme="minorHAnsi" w:hAnsiTheme="minorHAnsi" w:cstheme="minorHAnsi"/>
                <w:color w:val="auto"/>
                <w:sz w:val="22"/>
                <w:szCs w:val="22"/>
              </w:rPr>
              <w:t xml:space="preserve">Relevant emissions calculations and factors used </w:t>
            </w:r>
          </w:p>
        </w:tc>
      </w:tr>
      <w:tr w:rsidR="0001795E" w:rsidRPr="0096167B" w14:paraId="050A9C72" w14:textId="77777777" w:rsidTr="006E1573">
        <w:trPr>
          <w:trHeight w:val="1079"/>
        </w:trPr>
        <w:tc>
          <w:tcPr>
            <w:tcW w:w="1226" w:type="pct"/>
          </w:tcPr>
          <w:p w14:paraId="671329E8" w14:textId="77777777" w:rsidR="0001795E" w:rsidRPr="00B72E38" w:rsidRDefault="0001795E" w:rsidP="0079029D">
            <w:pPr>
              <w:pStyle w:val="ListParagraph"/>
              <w:numPr>
                <w:ilvl w:val="0"/>
                <w:numId w:val="5"/>
              </w:numPr>
              <w:spacing w:after="280"/>
              <w:ind w:left="0"/>
              <w:rPr>
                <w:rFonts w:asciiTheme="minorHAnsi" w:hAnsiTheme="minorHAnsi" w:cstheme="minorHAnsi"/>
                <w:sz w:val="22"/>
                <w:szCs w:val="22"/>
              </w:rPr>
            </w:pPr>
            <w:r w:rsidRPr="00B72E38">
              <w:rPr>
                <w:rFonts w:asciiTheme="minorHAnsi" w:hAnsiTheme="minorHAnsi" w:cstheme="minorHAnsi"/>
                <w:sz w:val="22"/>
                <w:szCs w:val="22"/>
              </w:rPr>
              <w:t>Process</w:t>
            </w:r>
          </w:p>
        </w:tc>
        <w:tc>
          <w:tcPr>
            <w:tcW w:w="3678" w:type="pct"/>
          </w:tcPr>
          <w:p w14:paraId="653BAA02" w14:textId="77777777" w:rsidR="0001795E" w:rsidRPr="00B72E38" w:rsidRDefault="0001795E" w:rsidP="001B3FBB">
            <w:pPr>
              <w:pStyle w:val="ListBullet"/>
              <w:rPr>
                <w:rFonts w:asciiTheme="minorHAnsi" w:hAnsiTheme="minorHAnsi" w:cstheme="minorHAnsi"/>
                <w:sz w:val="22"/>
                <w:szCs w:val="22"/>
              </w:rPr>
            </w:pPr>
            <w:r w:rsidRPr="00B72E38">
              <w:rPr>
                <w:rFonts w:asciiTheme="minorHAnsi" w:hAnsiTheme="minorHAnsi" w:cstheme="minorHAnsi"/>
                <w:sz w:val="22"/>
                <w:szCs w:val="22"/>
              </w:rPr>
              <w:t>Water treatment technology</w:t>
            </w:r>
          </w:p>
          <w:p w14:paraId="3CF5EAD0" w14:textId="77777777" w:rsidR="0001795E" w:rsidRPr="00B72E38" w:rsidRDefault="0001795E" w:rsidP="001B3FBB">
            <w:pPr>
              <w:pStyle w:val="ListBullet"/>
              <w:rPr>
                <w:rFonts w:asciiTheme="minorHAnsi" w:hAnsiTheme="minorHAnsi" w:cstheme="minorHAnsi"/>
                <w:sz w:val="22"/>
                <w:szCs w:val="22"/>
              </w:rPr>
            </w:pPr>
            <w:r w:rsidRPr="00B72E38">
              <w:rPr>
                <w:rFonts w:asciiTheme="minorHAnsi" w:hAnsiTheme="minorHAnsi" w:cstheme="minorHAnsi"/>
                <w:sz w:val="22"/>
                <w:szCs w:val="22"/>
              </w:rPr>
              <w:t>Electrolyser technology</w:t>
            </w:r>
          </w:p>
          <w:p w14:paraId="413E1078" w14:textId="77777777" w:rsidR="0001795E" w:rsidRPr="00B72E38" w:rsidRDefault="0001795E" w:rsidP="001B3FBB">
            <w:pPr>
              <w:pStyle w:val="ListBullet"/>
              <w:rPr>
                <w:rFonts w:asciiTheme="minorHAnsi" w:hAnsiTheme="minorHAnsi" w:cstheme="minorHAnsi"/>
                <w:sz w:val="22"/>
                <w:szCs w:val="22"/>
              </w:rPr>
            </w:pPr>
            <w:r w:rsidRPr="00B72E38">
              <w:rPr>
                <w:rFonts w:asciiTheme="minorHAnsi" w:hAnsiTheme="minorHAnsi" w:cstheme="minorHAnsi"/>
                <w:sz w:val="22"/>
                <w:szCs w:val="22"/>
              </w:rPr>
              <w:t>Hydrogen purification technology</w:t>
            </w:r>
          </w:p>
        </w:tc>
      </w:tr>
      <w:tr w:rsidR="0001795E" w14:paraId="114005C7" w14:textId="77777777" w:rsidTr="006E1573">
        <w:trPr>
          <w:trHeight w:val="573"/>
        </w:trPr>
        <w:tc>
          <w:tcPr>
            <w:tcW w:w="1226" w:type="pct"/>
          </w:tcPr>
          <w:p w14:paraId="0DA9BC4B" w14:textId="4DD04041" w:rsidR="0001795E" w:rsidRPr="00B72E38" w:rsidRDefault="00F270AB" w:rsidP="001B3FBB">
            <w:pPr>
              <w:pStyle w:val="ListBullet"/>
              <w:ind w:left="0" w:firstLine="0"/>
              <w:rPr>
                <w:rFonts w:asciiTheme="minorHAnsi" w:hAnsiTheme="minorHAnsi" w:cstheme="minorHAnsi"/>
                <w:sz w:val="22"/>
                <w:szCs w:val="22"/>
              </w:rPr>
            </w:pPr>
            <w:r w:rsidRPr="00B72E38">
              <w:rPr>
                <w:rFonts w:asciiTheme="minorHAnsi" w:hAnsiTheme="minorHAnsi" w:cstheme="minorHAnsi"/>
                <w:sz w:val="22"/>
                <w:szCs w:val="22"/>
              </w:rPr>
              <w:t xml:space="preserve">Waste and </w:t>
            </w:r>
            <w:r w:rsidR="0001795E" w:rsidRPr="00B72E38">
              <w:rPr>
                <w:rFonts w:asciiTheme="minorHAnsi" w:hAnsiTheme="minorHAnsi" w:cstheme="minorHAnsi"/>
                <w:sz w:val="22"/>
                <w:szCs w:val="22"/>
              </w:rPr>
              <w:t>co-products</w:t>
            </w:r>
          </w:p>
        </w:tc>
        <w:tc>
          <w:tcPr>
            <w:tcW w:w="3678" w:type="pct"/>
          </w:tcPr>
          <w:p w14:paraId="43A949FC" w14:textId="77777777" w:rsidR="0001795E" w:rsidRPr="00B72E38" w:rsidRDefault="0001795E" w:rsidP="001B3FBB">
            <w:pPr>
              <w:pStyle w:val="ListBullet"/>
              <w:rPr>
                <w:rFonts w:asciiTheme="minorHAnsi" w:hAnsiTheme="minorHAnsi" w:cstheme="minorHAnsi"/>
                <w:sz w:val="22"/>
                <w:szCs w:val="22"/>
              </w:rPr>
            </w:pPr>
            <w:r w:rsidRPr="00B72E38">
              <w:rPr>
                <w:rFonts w:asciiTheme="minorHAnsi" w:hAnsiTheme="minorHAnsi" w:cstheme="minorHAnsi"/>
                <w:sz w:val="22"/>
                <w:szCs w:val="22"/>
              </w:rPr>
              <w:t>Quantity of oxygen produced [kg]</w:t>
            </w:r>
          </w:p>
          <w:p w14:paraId="50881FFD" w14:textId="77777777" w:rsidR="0001795E" w:rsidRPr="00B72E38" w:rsidRDefault="0001795E" w:rsidP="001B3FBB">
            <w:pPr>
              <w:pStyle w:val="ListBullet"/>
              <w:rPr>
                <w:rFonts w:asciiTheme="minorHAnsi" w:hAnsiTheme="minorHAnsi" w:cstheme="minorHAnsi"/>
                <w:sz w:val="22"/>
                <w:szCs w:val="22"/>
              </w:rPr>
            </w:pPr>
            <w:r w:rsidRPr="00B72E38">
              <w:rPr>
                <w:rFonts w:asciiTheme="minorHAnsi" w:hAnsiTheme="minorHAnsi" w:cstheme="minorHAnsi"/>
                <w:sz w:val="22"/>
                <w:szCs w:val="22"/>
              </w:rPr>
              <w:t>Quantity of oxygen sold [kg]</w:t>
            </w:r>
          </w:p>
        </w:tc>
      </w:tr>
    </w:tbl>
    <w:p w14:paraId="1C47F5B3" w14:textId="503C6CFB" w:rsidR="008D5802" w:rsidRDefault="008D5802" w:rsidP="008D5802"/>
    <w:p w14:paraId="0B667CC3" w14:textId="77777777" w:rsidR="008D5802" w:rsidRDefault="008D5802">
      <w:pPr>
        <w:rPr>
          <w:rFonts w:asciiTheme="majorHAnsi" w:eastAsiaTheme="majorEastAsia" w:hAnsiTheme="majorHAnsi" w:cstheme="majorBidi"/>
          <w:color w:val="005677" w:themeColor="text2"/>
          <w:sz w:val="48"/>
          <w:szCs w:val="32"/>
        </w:rPr>
      </w:pPr>
      <w:bookmarkStart w:id="382" w:name="_Toc62043739"/>
      <w:r>
        <w:br w:type="page"/>
      </w:r>
    </w:p>
    <w:p w14:paraId="5195EFCA" w14:textId="44A9A748" w:rsidR="008D5802" w:rsidRDefault="00E00B8F" w:rsidP="008D5802">
      <w:pPr>
        <w:pStyle w:val="Heading1"/>
      </w:pPr>
      <w:bookmarkStart w:id="383" w:name="_Toc64302383"/>
      <w:bookmarkStart w:id="384" w:name="_Toc65168387"/>
      <w:bookmarkStart w:id="385" w:name="_Toc67329130"/>
      <w:bookmarkStart w:id="386" w:name="_Toc67329378"/>
      <w:bookmarkStart w:id="387" w:name="_Toc67562634"/>
      <w:bookmarkStart w:id="388" w:name="_Toc68000217"/>
      <w:bookmarkStart w:id="389" w:name="_Toc68083148"/>
      <w:bookmarkStart w:id="390" w:name="_Toc68083543"/>
      <w:bookmarkStart w:id="391" w:name="_Toc68105082"/>
      <w:bookmarkStart w:id="392" w:name="_Toc74839361"/>
      <w:r>
        <w:t xml:space="preserve">Attachment B: </w:t>
      </w:r>
      <w:r w:rsidR="008D5802">
        <w:t>Coal Gasification with CCS</w:t>
      </w:r>
      <w:bookmarkEnd w:id="383"/>
      <w:bookmarkEnd w:id="384"/>
      <w:bookmarkEnd w:id="385"/>
      <w:bookmarkEnd w:id="386"/>
      <w:bookmarkEnd w:id="387"/>
      <w:bookmarkEnd w:id="388"/>
      <w:bookmarkEnd w:id="389"/>
      <w:bookmarkEnd w:id="390"/>
      <w:bookmarkEnd w:id="391"/>
      <w:bookmarkEnd w:id="392"/>
    </w:p>
    <w:p w14:paraId="001D081B" w14:textId="77777777" w:rsidR="008D5802" w:rsidRDefault="008D5802" w:rsidP="00A54C2D">
      <w:pPr>
        <w:pStyle w:val="Heading2"/>
      </w:pPr>
      <w:bookmarkStart w:id="393" w:name="_Toc64302384"/>
      <w:bookmarkStart w:id="394" w:name="_Toc65168388"/>
      <w:bookmarkStart w:id="395" w:name="_Toc67329131"/>
      <w:bookmarkStart w:id="396" w:name="_Toc67329379"/>
      <w:bookmarkStart w:id="397" w:name="_Toc67562635"/>
      <w:bookmarkStart w:id="398" w:name="_Toc68000218"/>
      <w:bookmarkStart w:id="399" w:name="_Toc68083149"/>
      <w:bookmarkStart w:id="400" w:name="_Toc68083544"/>
      <w:bookmarkStart w:id="401" w:name="_Toc68105083"/>
      <w:bookmarkStart w:id="402" w:name="_Toc74839362"/>
      <w:r>
        <w:t>Process description</w:t>
      </w:r>
      <w:bookmarkEnd w:id="393"/>
      <w:bookmarkEnd w:id="394"/>
      <w:bookmarkEnd w:id="395"/>
      <w:bookmarkEnd w:id="396"/>
      <w:bookmarkEnd w:id="397"/>
      <w:bookmarkEnd w:id="398"/>
      <w:bookmarkEnd w:id="399"/>
      <w:bookmarkEnd w:id="400"/>
      <w:bookmarkEnd w:id="401"/>
      <w:bookmarkEnd w:id="402"/>
    </w:p>
    <w:p w14:paraId="74CCA09D" w14:textId="77777777" w:rsidR="008D5802" w:rsidRDefault="008D5802" w:rsidP="008D5802">
      <w:bookmarkStart w:id="403" w:name="_Hlk62422159"/>
      <w:r>
        <w:t>The process to produce hydrogen from coal via gasification includes:</w:t>
      </w:r>
    </w:p>
    <w:p w14:paraId="693A98B3" w14:textId="140A02C8" w:rsidR="008D5802" w:rsidRDefault="008D5802" w:rsidP="0079029D">
      <w:pPr>
        <w:pStyle w:val="ListParagraph"/>
        <w:numPr>
          <w:ilvl w:val="0"/>
          <w:numId w:val="3"/>
        </w:numPr>
      </w:pPr>
      <w:r>
        <w:t>c</w:t>
      </w:r>
      <w:r w:rsidRPr="00F72770">
        <w:t>oal mining</w:t>
      </w:r>
      <w:r w:rsidR="00EB7757">
        <w:t>,</w:t>
      </w:r>
      <w:r>
        <w:t xml:space="preserve"> including primary processing (s</w:t>
      </w:r>
      <w:r w:rsidR="00793D10">
        <w:t>ize reduction, separation and cleaning) at the mine and</w:t>
      </w:r>
      <w:r>
        <w:t xml:space="preserve"> coal handling and primary processing (CHPP) facility</w:t>
      </w:r>
    </w:p>
    <w:p w14:paraId="08010863" w14:textId="77777777" w:rsidR="008D5802" w:rsidRDefault="008D5802" w:rsidP="0079029D">
      <w:pPr>
        <w:pStyle w:val="ListParagraph"/>
        <w:numPr>
          <w:ilvl w:val="0"/>
          <w:numId w:val="3"/>
        </w:numPr>
      </w:pPr>
      <w:r>
        <w:t>transportation from the mine to the gasification unit</w:t>
      </w:r>
    </w:p>
    <w:p w14:paraId="2AAB6D05" w14:textId="77777777" w:rsidR="008D5802" w:rsidRDefault="008D5802" w:rsidP="0079029D">
      <w:pPr>
        <w:pStyle w:val="ListParagraph"/>
        <w:numPr>
          <w:ilvl w:val="0"/>
          <w:numId w:val="3"/>
        </w:numPr>
      </w:pPr>
      <w:r>
        <w:t>reacting of coal with oxygen and steam under pressure and at elevated temperatures to product “syngas” and</w:t>
      </w:r>
    </w:p>
    <w:p w14:paraId="0D82355B" w14:textId="77777777" w:rsidR="008D5802" w:rsidRDefault="008D5802" w:rsidP="0079029D">
      <w:pPr>
        <w:pStyle w:val="ListParagraph"/>
        <w:numPr>
          <w:ilvl w:val="0"/>
          <w:numId w:val="3"/>
        </w:numPr>
      </w:pPr>
      <w:r>
        <w:t>conditioning the syngas to produce hydrogen which is further purified and compressed for distribution to end users</w:t>
      </w:r>
      <w:bookmarkEnd w:id="403"/>
      <w:r>
        <w:t xml:space="preserve">. </w:t>
      </w:r>
    </w:p>
    <w:p w14:paraId="49C7DEB2" w14:textId="77777777" w:rsidR="008D5802" w:rsidRDefault="008D5802" w:rsidP="00143AB0">
      <w:pPr>
        <w:pStyle w:val="Heading3"/>
        <w:rPr>
          <w:shd w:val="clear" w:color="auto" w:fill="FFFFFF"/>
        </w:rPr>
      </w:pPr>
      <w:r>
        <w:rPr>
          <w:shd w:val="clear" w:color="auto" w:fill="FFFFFF"/>
        </w:rPr>
        <w:t>Air separation</w:t>
      </w:r>
    </w:p>
    <w:p w14:paraId="13B72BD5" w14:textId="77777777" w:rsidR="008D5802" w:rsidRDefault="008D5802" w:rsidP="008D5802">
      <w:r>
        <w:t xml:space="preserve">The oxygen used in the gasifier is generated in an air separation unit. Oxygen is used in preference to air, to prevent nitrogen diluting and contaminating the hydrogen. Air separation technologies include cryogenic distillation, pressure-swing adsorption, and membrane separation. All consume large quantities of electricity. </w:t>
      </w:r>
    </w:p>
    <w:p w14:paraId="751943B2" w14:textId="77777777" w:rsidR="008D5802" w:rsidRPr="00525025" w:rsidRDefault="008D5802" w:rsidP="008D5802">
      <w:r>
        <w:t xml:space="preserve">In addition to liquid oxygen and liquid nitrogen, crude liquid argon may also be produced in smaller quantities (argon constitutes about 0.93% of air) </w:t>
      </w:r>
      <w:sdt>
        <w:sdtPr>
          <w:id w:val="-771241461"/>
          <w:citation/>
        </w:sdtPr>
        <w:sdtEndPr/>
        <w:sdtContent>
          <w:r>
            <w:fldChar w:fldCharType="begin"/>
          </w:r>
          <w:r>
            <w:instrText xml:space="preserve"> CITATION htt07 \l 3081 </w:instrText>
          </w:r>
          <w:r>
            <w:fldChar w:fldCharType="separate"/>
          </w:r>
          <w:r w:rsidR="00CC22B1">
            <w:rPr>
              <w:noProof/>
            </w:rPr>
            <w:t>(Althaus, 2007)</w:t>
          </w:r>
          <w:r>
            <w:fldChar w:fldCharType="end"/>
          </w:r>
        </w:sdtContent>
      </w:sdt>
      <w:r>
        <w:t xml:space="preserve">. Pending the scale and valorisation of these outputs, they may be considered as co-products and allocated emissions.  </w:t>
      </w:r>
    </w:p>
    <w:p w14:paraId="65470224" w14:textId="77777777" w:rsidR="008D5802" w:rsidRDefault="008D5802" w:rsidP="00143AB0">
      <w:pPr>
        <w:pStyle w:val="Heading3"/>
      </w:pPr>
      <w:r>
        <w:t>Gasification</w:t>
      </w:r>
    </w:p>
    <w:p w14:paraId="702A104B" w14:textId="77777777" w:rsidR="008D5802" w:rsidRDefault="008D5802" w:rsidP="008D5802">
      <w:pPr>
        <w:rPr>
          <w:shd w:val="clear" w:color="auto" w:fill="FFFFFF"/>
        </w:rPr>
      </w:pPr>
      <w:r>
        <w:t>A gasifier is a high temperature reactor where coal undergoes partial oxidation and reaction with steam. There are three main types of gasifiers that can be used to create syngas</w:t>
      </w:r>
      <w:r>
        <w:rPr>
          <w:shd w:val="clear" w:color="auto" w:fill="FFFFFF"/>
        </w:rPr>
        <w:t xml:space="preserve">, each varying in the method it uses to generate heat, to contact the reactants and the physical state of the residue it produces. These are fixed bed (e.g. Sasol-Lurgi gasifiers), fluidized bed (e.g. Winkler gasifiers) and entrained flow (e.g. Koppers-Totzek gasifiers) </w:t>
      </w:r>
      <w:sdt>
        <w:sdtPr>
          <w:rPr>
            <w:shd w:val="clear" w:color="auto" w:fill="FFFFFF"/>
          </w:rPr>
          <w:id w:val="1720316311"/>
          <w:citation/>
        </w:sdtPr>
        <w:sdtEndPr/>
        <w:sdtContent>
          <w:r>
            <w:rPr>
              <w:shd w:val="clear" w:color="auto" w:fill="FFFFFF"/>
            </w:rPr>
            <w:fldChar w:fldCharType="begin"/>
          </w:r>
          <w:r>
            <w:rPr>
              <w:shd w:val="clear" w:color="auto" w:fill="FFFFFF"/>
            </w:rPr>
            <w:instrText xml:space="preserve"> CITATION Kop00 \l 3081 </w:instrText>
          </w:r>
          <w:r>
            <w:rPr>
              <w:shd w:val="clear" w:color="auto" w:fill="FFFFFF"/>
            </w:rPr>
            <w:fldChar w:fldCharType="separate"/>
          </w:r>
          <w:r w:rsidR="00CC22B1">
            <w:rPr>
              <w:noProof/>
              <w:shd w:val="clear" w:color="auto" w:fill="FFFFFF"/>
            </w:rPr>
            <w:t>(Kopp, 2000)</w:t>
          </w:r>
          <w:r>
            <w:rPr>
              <w:shd w:val="clear" w:color="auto" w:fill="FFFFFF"/>
            </w:rPr>
            <w:fldChar w:fldCharType="end"/>
          </w:r>
        </w:sdtContent>
      </w:sdt>
      <w:sdt>
        <w:sdtPr>
          <w:rPr>
            <w:shd w:val="clear" w:color="auto" w:fill="FFFFFF"/>
          </w:rPr>
          <w:id w:val="1125203286"/>
          <w:citation/>
        </w:sdtPr>
        <w:sdtEndPr/>
        <w:sdtContent>
          <w:r>
            <w:rPr>
              <w:shd w:val="clear" w:color="auto" w:fill="FFFFFF"/>
            </w:rPr>
            <w:fldChar w:fldCharType="begin"/>
          </w:r>
          <w:r>
            <w:rPr>
              <w:shd w:val="clear" w:color="auto" w:fill="FFFFFF"/>
            </w:rPr>
            <w:instrText xml:space="preserve"> CITATION Hig08 \l 3081 </w:instrText>
          </w:r>
          <w:r>
            <w:rPr>
              <w:shd w:val="clear" w:color="auto" w:fill="FFFFFF"/>
            </w:rPr>
            <w:fldChar w:fldCharType="separate"/>
          </w:r>
          <w:r w:rsidR="00CC22B1">
            <w:rPr>
              <w:noProof/>
              <w:shd w:val="clear" w:color="auto" w:fill="FFFFFF"/>
            </w:rPr>
            <w:t xml:space="preserve"> (Higman, 2008)</w:t>
          </w:r>
          <w:r>
            <w:rPr>
              <w:shd w:val="clear" w:color="auto" w:fill="FFFFFF"/>
            </w:rPr>
            <w:fldChar w:fldCharType="end"/>
          </w:r>
        </w:sdtContent>
      </w:sdt>
      <w:r>
        <w:rPr>
          <w:shd w:val="clear" w:color="auto" w:fill="FFFFFF"/>
        </w:rPr>
        <w:t xml:space="preserve">. </w:t>
      </w:r>
    </w:p>
    <w:p w14:paraId="18BFF8B2" w14:textId="77777777" w:rsidR="008D5802" w:rsidRDefault="008D5802" w:rsidP="008D5802">
      <w:pPr>
        <w:rPr>
          <w:shd w:val="clear" w:color="auto" w:fill="FFFFFF"/>
        </w:rPr>
      </w:pPr>
      <w:r>
        <w:rPr>
          <w:shd w:val="clear" w:color="auto" w:fill="FFFFFF"/>
        </w:rPr>
        <w:t>These different gasifiers have their advantages and disadvantages but at a macro level perform the same function. They have common inputs (coal, oxygen and water) but can produce syngas with varied properties (also subject to the properties of the coal) which will impact the configuration of downstream processing activities.</w:t>
      </w:r>
    </w:p>
    <w:p w14:paraId="17B48A6D" w14:textId="6030CE32" w:rsidR="008D5802" w:rsidRDefault="00F270AB" w:rsidP="008D5802">
      <w:pPr>
        <w:rPr>
          <w:rFonts w:cs="Arial"/>
          <w:szCs w:val="20"/>
          <w:shd w:val="clear" w:color="auto" w:fill="FFFFFF"/>
        </w:rPr>
      </w:pPr>
      <w:r>
        <w:rPr>
          <w:rFonts w:cs="Arial"/>
          <w:szCs w:val="20"/>
          <w:shd w:val="clear" w:color="auto" w:fill="FFFFFF"/>
        </w:rPr>
        <w:t xml:space="preserve">This unit also produces ash and </w:t>
      </w:r>
      <w:r w:rsidR="008D5802">
        <w:rPr>
          <w:rFonts w:cs="Arial"/>
          <w:szCs w:val="20"/>
          <w:shd w:val="clear" w:color="auto" w:fill="FFFFFF"/>
        </w:rPr>
        <w:t>or slag as waste products.</w:t>
      </w:r>
    </w:p>
    <w:p w14:paraId="042F2F33" w14:textId="77777777" w:rsidR="008D5802" w:rsidRDefault="008D5802" w:rsidP="00143AB0">
      <w:pPr>
        <w:pStyle w:val="Heading3"/>
        <w:rPr>
          <w:shd w:val="clear" w:color="auto" w:fill="FFFFFF"/>
        </w:rPr>
      </w:pPr>
      <w:r w:rsidRPr="00814A2E">
        <w:rPr>
          <w:shd w:val="clear" w:color="auto" w:fill="FFFFFF"/>
        </w:rPr>
        <w:t>Heat recovery and power generation</w:t>
      </w:r>
    </w:p>
    <w:p w14:paraId="21326277" w14:textId="77777777" w:rsidR="008D5802" w:rsidRDefault="008D5802" w:rsidP="008D5802">
      <w:r w:rsidRPr="00626888">
        <w:t>Waste heat recovery units are typical for coal gasification processes</w:t>
      </w:r>
      <w:r>
        <w:t>, reflecting the high temperature operation of coal gasification processes and the requirement for cooling of syngas products for subsequent processing</w:t>
      </w:r>
      <w:r w:rsidRPr="00626888">
        <w:t xml:space="preserve">. </w:t>
      </w:r>
    </w:p>
    <w:p w14:paraId="24F825C8" w14:textId="77777777" w:rsidR="008D5802" w:rsidRDefault="008D5802" w:rsidP="008D5802">
      <w:r w:rsidRPr="00626888">
        <w:t xml:space="preserve">Regulation of the gasifier temperature is managed through a heat exchanger which can be used to raise steam and generate electricity. Steam may be supplied elsewhere in the plant (i.e. steam use in regeneration of acid gas removal (AGR) absorption systems) or exported out of the product system boundary. Electricity may be generated from this steam and used elsewhere in the plant </w:t>
      </w:r>
      <w:r>
        <w:t xml:space="preserve">such as to drive the air separation process, </w:t>
      </w:r>
      <w:r w:rsidRPr="00626888">
        <w:t xml:space="preserve">or exported </w:t>
      </w:r>
      <w:r>
        <w:t>beyond</w:t>
      </w:r>
      <w:r w:rsidRPr="00626888">
        <w:t xml:space="preserve"> the product system boundary. </w:t>
      </w:r>
    </w:p>
    <w:p w14:paraId="5ECE261F" w14:textId="3A812D1E" w:rsidR="008D5802" w:rsidRDefault="00F270AB" w:rsidP="008D5802">
      <w:r>
        <w:t xml:space="preserve">Any exported steam </w:t>
      </w:r>
      <w:r w:rsidR="008D5802" w:rsidRPr="00626888">
        <w:t>or electricity is considered a co-product and should be allocated a share of emissions.</w:t>
      </w:r>
    </w:p>
    <w:p w14:paraId="25996382" w14:textId="77777777" w:rsidR="008D5802" w:rsidRDefault="008D5802" w:rsidP="008D5802">
      <w:pPr>
        <w:pStyle w:val="Heading3"/>
        <w:ind w:left="851" w:hanging="851"/>
      </w:pPr>
      <w:r>
        <w:t>Syngas conditioning</w:t>
      </w:r>
    </w:p>
    <w:p w14:paraId="088B2974" w14:textId="77777777" w:rsidR="008D5802" w:rsidRPr="00DC7B0D" w:rsidRDefault="008D5802" w:rsidP="008D5802">
      <w:pPr>
        <w:rPr>
          <w:rFonts w:cs="Arial"/>
          <w:szCs w:val="20"/>
          <w:shd w:val="clear" w:color="auto" w:fill="FFFFFF"/>
        </w:rPr>
      </w:pPr>
      <w:r>
        <w:t xml:space="preserve">The output of the gasifier is a stream of raw syngas, which may contain a number of contaminants, including particulate matter and heavy metals. In addition, this stream contains significant CO gas. This section provides an overview of the </w:t>
      </w:r>
      <w:r w:rsidRPr="00DC7B0D">
        <w:rPr>
          <w:rFonts w:cs="Arial"/>
          <w:szCs w:val="20"/>
          <w:shd w:val="clear" w:color="auto" w:fill="FFFFFF"/>
        </w:rPr>
        <w:t xml:space="preserve">processing of this stream. </w:t>
      </w:r>
    </w:p>
    <w:p w14:paraId="5DC1F598" w14:textId="77777777" w:rsidR="008D5802" w:rsidRPr="00DC7B0D" w:rsidRDefault="008D5802" w:rsidP="00A54C2D">
      <w:pPr>
        <w:pStyle w:val="Heading4"/>
        <w:rPr>
          <w:shd w:val="clear" w:color="auto" w:fill="FFFFFF"/>
        </w:rPr>
      </w:pPr>
      <w:r w:rsidRPr="00DC7B0D">
        <w:rPr>
          <w:shd w:val="clear" w:color="auto" w:fill="FFFFFF"/>
        </w:rPr>
        <w:t>Hydrogen enrichment</w:t>
      </w:r>
    </w:p>
    <w:p w14:paraId="74F7B9BB" w14:textId="77777777" w:rsidR="008D5802" w:rsidRDefault="008D5802" w:rsidP="008D5802">
      <w:r>
        <w:t xml:space="preserve">To maximise the quantity of hydrogen produced, syngas from the gasifier is sent through to another reactor where the carbon monoxide is reacted with water to yield additional hydrogen. This is known as the water-gas shift (WGS) reaction, as follows: </w:t>
      </w:r>
    </w:p>
    <w:p w14:paraId="5E9D4241" w14:textId="77777777" w:rsidR="008D5802" w:rsidRPr="00DC7B0D" w:rsidRDefault="008D5802" w:rsidP="008D5802">
      <w:pPr>
        <w:pStyle w:val="BodyText"/>
        <w:rPr>
          <w:rFonts w:eastAsiaTheme="minorEastAsia"/>
        </w:rPr>
      </w:pPr>
      <m:oMathPara>
        <m:oMath>
          <m:r>
            <w:rPr>
              <w:rFonts w:ascii="Cambria Math" w:hAnsi="Cambria Math"/>
            </w:rPr>
            <m:t>CO+</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 →</m:t>
          </m:r>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eastAsiaTheme="minorEastAsia" w:hAnsi="Cambria Math"/>
            </w:rPr>
            <m:t>+heat</m:t>
          </m:r>
        </m:oMath>
      </m:oMathPara>
    </w:p>
    <w:p w14:paraId="52039340" w14:textId="77777777" w:rsidR="008D5802" w:rsidRDefault="008D5802" w:rsidP="008D5802">
      <w:pPr>
        <w:rPr>
          <w:rFonts w:eastAsiaTheme="minorEastAsia"/>
        </w:rPr>
      </w:pPr>
      <w:r>
        <w:rPr>
          <w:shd w:val="clear" w:color="auto" w:fill="FFFFFF"/>
        </w:rPr>
        <w:t>This is a reversible reaction, with an equilibrium established between CO and CO</w:t>
      </w:r>
      <w:r>
        <w:rPr>
          <w:shd w:val="clear" w:color="auto" w:fill="FFFFFF"/>
          <w:vertAlign w:val="subscript"/>
        </w:rPr>
        <w:t>2</w:t>
      </w:r>
      <w:r>
        <w:rPr>
          <w:shd w:val="clear" w:color="auto" w:fill="FFFFFF"/>
        </w:rPr>
        <w:t>, subject to the reaction conditions. Low temperatures favour the formation of CO</w:t>
      </w:r>
      <w:r>
        <w:rPr>
          <w:shd w:val="clear" w:color="auto" w:fill="FFFFFF"/>
          <w:vertAlign w:val="subscript"/>
        </w:rPr>
        <w:t>2</w:t>
      </w:r>
      <w:r>
        <w:rPr>
          <w:shd w:val="clear" w:color="auto" w:fill="FFFFFF"/>
        </w:rPr>
        <w:t>. As the conversion of CO to CO</w:t>
      </w:r>
      <w:r>
        <w:rPr>
          <w:shd w:val="clear" w:color="auto" w:fill="FFFFFF"/>
          <w:vertAlign w:val="subscript"/>
        </w:rPr>
        <w:t>2</w:t>
      </w:r>
      <w:r>
        <w:rPr>
          <w:shd w:val="clear" w:color="auto" w:fill="FFFFFF"/>
        </w:rPr>
        <w:t xml:space="preserve"> generates heat, there are often several water gas shift reactors in series with coolers between them (including high temperature and low temperature stages).</w:t>
      </w:r>
      <w:r w:rsidRPr="00DC7B0D">
        <w:rPr>
          <w:rFonts w:eastAsiaTheme="minorEastAsia"/>
        </w:rPr>
        <w:t xml:space="preserve"> </w:t>
      </w:r>
    </w:p>
    <w:p w14:paraId="6E34DDB5" w14:textId="77777777" w:rsidR="008D5802" w:rsidRDefault="008D5802" w:rsidP="008D5802">
      <w:pPr>
        <w:rPr>
          <w:rFonts w:cs="Arial"/>
          <w:szCs w:val="20"/>
          <w:shd w:val="clear" w:color="auto" w:fill="FFFFFF"/>
        </w:rPr>
      </w:pPr>
      <w:r>
        <w:rPr>
          <w:rFonts w:eastAsiaTheme="minorEastAsia"/>
        </w:rPr>
        <w:t xml:space="preserve">Typically, </w:t>
      </w:r>
      <w:r>
        <w:rPr>
          <w:shd w:val="clear" w:color="auto" w:fill="FFFFFF"/>
        </w:rPr>
        <w:t xml:space="preserve">iron-chromium and copper-zinc catalysts are used to facilitate the reaction at high and </w:t>
      </w:r>
      <w:r w:rsidRPr="003E456C">
        <w:rPr>
          <w:rFonts w:cs="Arial"/>
          <w:szCs w:val="20"/>
          <w:shd w:val="clear" w:color="auto" w:fill="FFFFFF"/>
        </w:rPr>
        <w:t xml:space="preserve">low temperatures, respectively </w:t>
      </w:r>
      <w:sdt>
        <w:sdtPr>
          <w:rPr>
            <w:rFonts w:cs="Arial"/>
            <w:szCs w:val="20"/>
            <w:shd w:val="clear" w:color="auto" w:fill="FFFFFF"/>
          </w:rPr>
          <w:id w:val="-1195848580"/>
          <w:citation/>
        </w:sdtPr>
        <w:sdtEndPr/>
        <w:sdtContent>
          <w:r w:rsidRPr="003E456C">
            <w:rPr>
              <w:rFonts w:cs="Arial"/>
              <w:szCs w:val="20"/>
              <w:shd w:val="clear" w:color="auto" w:fill="FFFFFF"/>
            </w:rPr>
            <w:fldChar w:fldCharType="begin"/>
          </w:r>
          <w:r w:rsidRPr="003E456C">
            <w:rPr>
              <w:rFonts w:cs="Arial"/>
              <w:szCs w:val="20"/>
              <w:shd w:val="clear" w:color="auto" w:fill="FFFFFF"/>
            </w:rPr>
            <w:instrText xml:space="preserve">CITATION Pal18 \l 3081 </w:instrText>
          </w:r>
          <w:r w:rsidRPr="003E456C">
            <w:rPr>
              <w:rFonts w:cs="Arial"/>
              <w:szCs w:val="20"/>
              <w:shd w:val="clear" w:color="auto" w:fill="FFFFFF"/>
            </w:rPr>
            <w:fldChar w:fldCharType="separate"/>
          </w:r>
          <w:r w:rsidR="00CC22B1">
            <w:rPr>
              <w:rFonts w:cs="Arial"/>
              <w:noProof/>
              <w:szCs w:val="20"/>
              <w:shd w:val="clear" w:color="auto" w:fill="FFFFFF"/>
            </w:rPr>
            <w:t>(Pal, Chand, Upadhyay, &amp; Mishra, 2018)</w:t>
          </w:r>
          <w:r w:rsidRPr="003E456C">
            <w:rPr>
              <w:rFonts w:cs="Arial"/>
              <w:szCs w:val="20"/>
              <w:shd w:val="clear" w:color="auto" w:fill="FFFFFF"/>
            </w:rPr>
            <w:fldChar w:fldCharType="end"/>
          </w:r>
        </w:sdtContent>
      </w:sdt>
      <w:r w:rsidRPr="003E456C">
        <w:rPr>
          <w:rFonts w:cs="Arial"/>
          <w:szCs w:val="20"/>
          <w:shd w:val="clear" w:color="auto" w:fill="FFFFFF"/>
        </w:rPr>
        <w:t>.</w:t>
      </w:r>
    </w:p>
    <w:p w14:paraId="7D2A5253" w14:textId="77777777" w:rsidR="008D5802" w:rsidRPr="003E456C" w:rsidRDefault="008D5802" w:rsidP="008D5802">
      <w:pPr>
        <w:rPr>
          <w:rFonts w:cs="Arial"/>
          <w:szCs w:val="20"/>
          <w:shd w:val="clear" w:color="auto" w:fill="FFFFFF"/>
        </w:rPr>
      </w:pPr>
      <w:r>
        <w:rPr>
          <w:rFonts w:cs="Arial"/>
          <w:szCs w:val="20"/>
          <w:shd w:val="clear" w:color="auto" w:fill="FFFFFF"/>
        </w:rPr>
        <w:t>High temperature WGS may include conversion of sulphur compounds to hydrogen sulphide (H</w:t>
      </w:r>
      <w:r>
        <w:rPr>
          <w:rFonts w:cs="Arial"/>
          <w:szCs w:val="20"/>
          <w:shd w:val="clear" w:color="auto" w:fill="FFFFFF"/>
          <w:vertAlign w:val="subscript"/>
        </w:rPr>
        <w:t>2</w:t>
      </w:r>
      <w:r>
        <w:rPr>
          <w:rFonts w:cs="Arial"/>
          <w:szCs w:val="20"/>
          <w:shd w:val="clear" w:color="auto" w:fill="FFFFFF"/>
        </w:rPr>
        <w:t xml:space="preserve">S), for removal in the acid gas removal (AGR) stage. </w:t>
      </w:r>
    </w:p>
    <w:p w14:paraId="5BA537CE" w14:textId="77777777" w:rsidR="008D5802" w:rsidRPr="003E456C" w:rsidRDefault="008D5802" w:rsidP="00A54C2D">
      <w:pPr>
        <w:pStyle w:val="Heading4"/>
        <w:rPr>
          <w:shd w:val="clear" w:color="auto" w:fill="FFFFFF"/>
        </w:rPr>
      </w:pPr>
      <w:r w:rsidRPr="003E456C">
        <w:rPr>
          <w:shd w:val="clear" w:color="auto" w:fill="FFFFFF"/>
        </w:rPr>
        <w:t xml:space="preserve">Syngas </w:t>
      </w:r>
      <w:r>
        <w:rPr>
          <w:shd w:val="clear" w:color="auto" w:fill="FFFFFF"/>
        </w:rPr>
        <w:t>purification</w:t>
      </w:r>
    </w:p>
    <w:p w14:paraId="6C5ACB33" w14:textId="77777777" w:rsidR="008D5802" w:rsidRDefault="008D5802" w:rsidP="008D5802">
      <w:r>
        <w:t>The syngas now includes large quantities of CO</w:t>
      </w:r>
      <w:r>
        <w:rPr>
          <w:vertAlign w:val="subscript"/>
        </w:rPr>
        <w:t xml:space="preserve">2 </w:t>
      </w:r>
      <w:r>
        <w:t>in addition to other impurities including sulphur compounds (such as H</w:t>
      </w:r>
      <w:r>
        <w:rPr>
          <w:vertAlign w:val="subscript"/>
        </w:rPr>
        <w:t>2</w:t>
      </w:r>
      <w:r>
        <w:t xml:space="preserve">S) and heavy metals (such as mercury). These components must be removed from the syngas. </w:t>
      </w:r>
    </w:p>
    <w:p w14:paraId="72325CE9" w14:textId="77777777" w:rsidR="008D5802" w:rsidRPr="00DE1679" w:rsidRDefault="008D5802" w:rsidP="008D5802">
      <w:pPr>
        <w:rPr>
          <w:rFonts w:cs="Arial"/>
          <w:szCs w:val="20"/>
          <w:shd w:val="clear" w:color="auto" w:fill="FFFFFF"/>
        </w:rPr>
      </w:pPr>
      <w:r>
        <w:t xml:space="preserve">Particulate matter can be removed using a water scrubber. </w:t>
      </w:r>
      <w:r>
        <w:rPr>
          <w:rFonts w:cs="Arial"/>
          <w:szCs w:val="20"/>
          <w:shd w:val="clear" w:color="auto" w:fill="FFFFFF"/>
        </w:rPr>
        <w:t xml:space="preserve">Mercury and other heavy metals can be removed by via adsorption, particularly using activated carbon beds. Drying (water removal) is also required </w:t>
      </w:r>
      <w:sdt>
        <w:sdtPr>
          <w:rPr>
            <w:rFonts w:cs="Arial"/>
            <w:szCs w:val="20"/>
            <w:shd w:val="clear" w:color="auto" w:fill="FFFFFF"/>
          </w:rPr>
          <w:id w:val="2117948118"/>
          <w:citation/>
        </w:sdtPr>
        <w:sdtEndPr/>
        <w:sdtContent>
          <w:r>
            <w:rPr>
              <w:rFonts w:cs="Arial"/>
              <w:szCs w:val="20"/>
              <w:shd w:val="clear" w:color="auto" w:fill="FFFFFF"/>
            </w:rPr>
            <w:fldChar w:fldCharType="begin"/>
          </w:r>
          <w:r>
            <w:rPr>
              <w:rFonts w:cs="Arial"/>
              <w:szCs w:val="20"/>
              <w:shd w:val="clear" w:color="auto" w:fill="FFFFFF"/>
            </w:rPr>
            <w:instrText xml:space="preserve"> CITATION Hig08 \l 3081 </w:instrText>
          </w:r>
          <w:r>
            <w:rPr>
              <w:rFonts w:cs="Arial"/>
              <w:szCs w:val="20"/>
              <w:shd w:val="clear" w:color="auto" w:fill="FFFFFF"/>
            </w:rPr>
            <w:fldChar w:fldCharType="separate"/>
          </w:r>
          <w:r w:rsidR="00CC22B1">
            <w:rPr>
              <w:rFonts w:cs="Arial"/>
              <w:noProof/>
              <w:szCs w:val="20"/>
              <w:shd w:val="clear" w:color="auto" w:fill="FFFFFF"/>
            </w:rPr>
            <w:t>(Higman, 2008)</w:t>
          </w:r>
          <w:r>
            <w:rPr>
              <w:rFonts w:cs="Arial"/>
              <w:szCs w:val="20"/>
              <w:shd w:val="clear" w:color="auto" w:fill="FFFFFF"/>
            </w:rPr>
            <w:fldChar w:fldCharType="end"/>
          </w:r>
        </w:sdtContent>
      </w:sdt>
      <w:r>
        <w:rPr>
          <w:rFonts w:cs="Arial"/>
          <w:szCs w:val="20"/>
          <w:shd w:val="clear" w:color="auto" w:fill="FFFFFF"/>
        </w:rPr>
        <w:t>. Sulphur compounds may be removed using lime. CO</w:t>
      </w:r>
      <w:r>
        <w:rPr>
          <w:rFonts w:cs="Arial"/>
          <w:szCs w:val="20"/>
          <w:shd w:val="clear" w:color="auto" w:fill="FFFFFF"/>
          <w:vertAlign w:val="subscript"/>
        </w:rPr>
        <w:t>2</w:t>
      </w:r>
      <w:r>
        <w:rPr>
          <w:rFonts w:cs="Arial"/>
          <w:szCs w:val="20"/>
          <w:shd w:val="clear" w:color="auto" w:fill="FFFFFF"/>
        </w:rPr>
        <w:t xml:space="preserve"> and sulphur compounds can also be removed together. The capture of CO</w:t>
      </w:r>
      <w:r>
        <w:rPr>
          <w:rFonts w:cs="Arial"/>
          <w:szCs w:val="20"/>
          <w:shd w:val="clear" w:color="auto" w:fill="FFFFFF"/>
          <w:vertAlign w:val="subscript"/>
        </w:rPr>
        <w:t xml:space="preserve">2 </w:t>
      </w:r>
      <w:r>
        <w:rPr>
          <w:rFonts w:cs="Arial"/>
          <w:szCs w:val="20"/>
          <w:shd w:val="clear" w:color="auto" w:fill="FFFFFF"/>
        </w:rPr>
        <w:t>and removal of these sulphur compounds simultaneously is discussed below.</w:t>
      </w:r>
    </w:p>
    <w:p w14:paraId="11233A61" w14:textId="40FE1B73" w:rsidR="008D5802" w:rsidRDefault="008D5802" w:rsidP="008D5802">
      <w:pPr>
        <w:rPr>
          <w:rFonts w:cs="Arial"/>
          <w:szCs w:val="20"/>
          <w:shd w:val="clear" w:color="auto" w:fill="FFFFFF"/>
        </w:rPr>
      </w:pPr>
      <w:r w:rsidRPr="001D3B7B">
        <w:rPr>
          <w:rFonts w:cs="Arial"/>
          <w:szCs w:val="20"/>
          <w:shd w:val="clear" w:color="auto" w:fill="FFFFFF"/>
        </w:rPr>
        <w:t xml:space="preserve">Whilst configurations for syngas conditioning vary, the key inputs and outputs (electricity, heat) are </w:t>
      </w:r>
      <w:r>
        <w:rPr>
          <w:rFonts w:cs="Arial"/>
          <w:szCs w:val="20"/>
          <w:shd w:val="clear" w:color="auto" w:fill="FFFFFF"/>
        </w:rPr>
        <w:t xml:space="preserve">largely </w:t>
      </w:r>
      <w:r w:rsidRPr="001D3B7B">
        <w:rPr>
          <w:rFonts w:cs="Arial"/>
          <w:szCs w:val="20"/>
          <w:shd w:val="clear" w:color="auto" w:fill="FFFFFF"/>
        </w:rPr>
        <w:t>common.</w:t>
      </w:r>
      <w:r w:rsidR="001A67E8">
        <w:rPr>
          <w:rFonts w:cs="Arial"/>
          <w:szCs w:val="20"/>
          <w:shd w:val="clear" w:color="auto" w:fill="FFFFFF"/>
        </w:rPr>
        <w:tab/>
      </w:r>
    </w:p>
    <w:p w14:paraId="0F8345BA" w14:textId="1772B162" w:rsidR="008D5802" w:rsidRDefault="008D5802" w:rsidP="008D5802">
      <w:pPr>
        <w:pStyle w:val="Heading3"/>
        <w:ind w:left="851" w:hanging="851"/>
      </w:pPr>
      <w:r>
        <w:t>Carbon capture and storage (CCS)</w:t>
      </w:r>
    </w:p>
    <w:p w14:paraId="3A16A3AC" w14:textId="4A5FD41A" w:rsidR="008D5802" w:rsidRDefault="008D5802" w:rsidP="008D5802">
      <w:pPr>
        <w:rPr>
          <w:rFonts w:cs="Arial"/>
          <w:szCs w:val="20"/>
          <w:shd w:val="clear" w:color="auto" w:fill="FFFFFF"/>
        </w:rPr>
      </w:pPr>
      <w:r w:rsidRPr="00FB10C2">
        <w:rPr>
          <w:rFonts w:cs="Arial"/>
          <w:szCs w:val="20"/>
          <w:shd w:val="clear" w:color="auto" w:fill="FFFFFF"/>
        </w:rPr>
        <w:t>The CCS stage consists of three main “unit operations” including separation and capture, compression and transport and storage or utilisation.</w:t>
      </w:r>
    </w:p>
    <w:p w14:paraId="1191D2AE" w14:textId="77777777" w:rsidR="008D5802" w:rsidRDefault="008D5802" w:rsidP="00A54C2D">
      <w:pPr>
        <w:pStyle w:val="Heading4"/>
        <w:rPr>
          <w:color w:val="000000" w:themeColor="text1"/>
          <w:shd w:val="clear" w:color="auto" w:fill="FFFFFF"/>
        </w:rPr>
      </w:pPr>
      <w:r>
        <w:rPr>
          <w:shd w:val="clear" w:color="auto" w:fill="FFFFFF"/>
        </w:rPr>
        <w:t>CO</w:t>
      </w:r>
      <w:r>
        <w:rPr>
          <w:shd w:val="clear" w:color="auto" w:fill="FFFFFF"/>
          <w:vertAlign w:val="subscript"/>
        </w:rPr>
        <w:t xml:space="preserve">2 </w:t>
      </w:r>
      <w:r>
        <w:rPr>
          <w:shd w:val="clear" w:color="auto" w:fill="FFFFFF"/>
        </w:rPr>
        <w:t>capture and separation</w:t>
      </w:r>
    </w:p>
    <w:p w14:paraId="224C24D8" w14:textId="77777777" w:rsidR="008D5802" w:rsidRDefault="008D5802" w:rsidP="008D5802">
      <w:pPr>
        <w:rPr>
          <w:rFonts w:cs="Arial"/>
          <w:szCs w:val="20"/>
          <w:shd w:val="clear" w:color="auto" w:fill="FFFFFF"/>
        </w:rPr>
      </w:pPr>
      <w:r w:rsidRPr="001D3B7B">
        <w:rPr>
          <w:rFonts w:cs="Arial"/>
          <w:szCs w:val="20"/>
          <w:shd w:val="clear" w:color="auto" w:fill="FFFFFF"/>
        </w:rPr>
        <w:t>Acid gas removal</w:t>
      </w:r>
      <w:r>
        <w:rPr>
          <w:rFonts w:cs="Arial"/>
          <w:szCs w:val="20"/>
          <w:shd w:val="clear" w:color="auto" w:fill="FFFFFF"/>
        </w:rPr>
        <w:t xml:space="preserve"> refers to</w:t>
      </w:r>
      <w:r w:rsidRPr="001D3B7B">
        <w:rPr>
          <w:rFonts w:cs="Arial"/>
          <w:szCs w:val="20"/>
          <w:shd w:val="clear" w:color="auto" w:fill="FFFFFF"/>
        </w:rPr>
        <w:t xml:space="preserve"> the separation of H</w:t>
      </w:r>
      <w:r w:rsidRPr="001D3B7B">
        <w:rPr>
          <w:rFonts w:cs="Arial"/>
          <w:szCs w:val="20"/>
          <w:shd w:val="clear" w:color="auto" w:fill="FFFFFF"/>
          <w:vertAlign w:val="subscript"/>
        </w:rPr>
        <w:t>2</w:t>
      </w:r>
      <w:r w:rsidRPr="001D3B7B">
        <w:rPr>
          <w:rFonts w:cs="Arial"/>
          <w:szCs w:val="20"/>
          <w:shd w:val="clear" w:color="auto" w:fill="FFFFFF"/>
        </w:rPr>
        <w:t>S and CO</w:t>
      </w:r>
      <w:r w:rsidRPr="001D3B7B">
        <w:rPr>
          <w:rFonts w:cs="Arial"/>
          <w:szCs w:val="20"/>
          <w:shd w:val="clear" w:color="auto" w:fill="FFFFFF"/>
          <w:vertAlign w:val="subscript"/>
        </w:rPr>
        <w:t>2</w:t>
      </w:r>
      <w:r w:rsidRPr="001D3B7B">
        <w:rPr>
          <w:rFonts w:cs="Arial"/>
          <w:szCs w:val="20"/>
          <w:shd w:val="clear" w:color="auto" w:fill="FFFFFF"/>
        </w:rPr>
        <w:t xml:space="preserve"> (for carbon capture) via physical solvents (such as the Selexol</w:t>
      </w:r>
      <w:r w:rsidRPr="001D3B7B">
        <w:rPr>
          <w:rFonts w:cs="Arial"/>
          <w:szCs w:val="20"/>
          <w:shd w:val="clear" w:color="auto" w:fill="FFFFFF"/>
          <w:vertAlign w:val="superscript"/>
        </w:rPr>
        <w:t>TM</w:t>
      </w:r>
      <w:r w:rsidRPr="001D3B7B">
        <w:rPr>
          <w:rFonts w:cs="Arial"/>
          <w:szCs w:val="20"/>
          <w:shd w:val="clear" w:color="auto" w:fill="FFFFFF"/>
          <w:vertAlign w:val="subscript"/>
        </w:rPr>
        <w:t xml:space="preserve"> </w:t>
      </w:r>
      <w:r w:rsidRPr="001D3B7B">
        <w:rPr>
          <w:rFonts w:cs="Arial"/>
          <w:szCs w:val="20"/>
          <w:shd w:val="clear" w:color="auto" w:fill="FFFFFF"/>
        </w:rPr>
        <w:t>system), chemical solvents (such as mono-ethanol amine, MEA), other means (such as pressure swing adsorption, PSA) or some combination which reflects syngas properties and product output requirements</w:t>
      </w:r>
      <w:r>
        <w:rPr>
          <w:rFonts w:cs="Arial"/>
          <w:szCs w:val="20"/>
          <w:shd w:val="clear" w:color="auto" w:fill="FFFFFF"/>
        </w:rPr>
        <w:t xml:space="preserve">. </w:t>
      </w:r>
    </w:p>
    <w:p w14:paraId="5E2E3ED2" w14:textId="77777777" w:rsidR="008D5802" w:rsidRDefault="008D5802" w:rsidP="008D5802">
      <w:pPr>
        <w:rPr>
          <w:rFonts w:cs="Arial"/>
          <w:szCs w:val="20"/>
          <w:shd w:val="clear" w:color="auto" w:fill="FFFFFF"/>
        </w:rPr>
      </w:pPr>
      <w:r>
        <w:rPr>
          <w:rFonts w:cs="Arial"/>
          <w:szCs w:val="20"/>
          <w:shd w:val="clear" w:color="auto" w:fill="FFFFFF"/>
        </w:rPr>
        <w:t>Removal of H</w:t>
      </w:r>
      <w:r>
        <w:rPr>
          <w:rFonts w:cs="Arial"/>
          <w:szCs w:val="20"/>
          <w:shd w:val="clear" w:color="auto" w:fill="FFFFFF"/>
          <w:vertAlign w:val="subscript"/>
        </w:rPr>
        <w:t>2</w:t>
      </w:r>
      <w:r>
        <w:rPr>
          <w:rFonts w:cs="Arial"/>
          <w:szCs w:val="20"/>
          <w:shd w:val="clear" w:color="auto" w:fill="FFFFFF"/>
        </w:rPr>
        <w:t>S and CO</w:t>
      </w:r>
      <w:r>
        <w:rPr>
          <w:rFonts w:cs="Arial"/>
          <w:szCs w:val="20"/>
          <w:shd w:val="clear" w:color="auto" w:fill="FFFFFF"/>
          <w:vertAlign w:val="subscript"/>
        </w:rPr>
        <w:t>2</w:t>
      </w:r>
      <w:r>
        <w:rPr>
          <w:rFonts w:cs="Arial"/>
          <w:szCs w:val="20"/>
          <w:shd w:val="clear" w:color="auto" w:fill="FFFFFF"/>
        </w:rPr>
        <w:t xml:space="preserve"> at a large scale is typically performed by passing the syngas through a counter-current absorption column with a regenerative solvent (physical or chemical). For pre-combustion carbon capture processes physical absorption is favoured given typically high CO</w:t>
      </w:r>
      <w:r>
        <w:rPr>
          <w:rFonts w:cs="Arial"/>
          <w:szCs w:val="20"/>
          <w:shd w:val="clear" w:color="auto" w:fill="FFFFFF"/>
          <w:vertAlign w:val="subscript"/>
        </w:rPr>
        <w:t xml:space="preserve">2 </w:t>
      </w:r>
      <w:r>
        <w:rPr>
          <w:rFonts w:cs="Arial"/>
          <w:szCs w:val="20"/>
          <w:shd w:val="clear" w:color="auto" w:fill="FFFFFF"/>
        </w:rPr>
        <w:t xml:space="preserve">partial pressures </w:t>
      </w:r>
      <w:sdt>
        <w:sdtPr>
          <w:rPr>
            <w:rFonts w:cs="Arial"/>
            <w:szCs w:val="20"/>
            <w:shd w:val="clear" w:color="auto" w:fill="FFFFFF"/>
          </w:rPr>
          <w:id w:val="1540779972"/>
          <w:citation/>
        </w:sdtPr>
        <w:sdtEndPr/>
        <w:sdtContent>
          <w:r>
            <w:rPr>
              <w:rFonts w:cs="Arial"/>
              <w:szCs w:val="20"/>
              <w:shd w:val="clear" w:color="auto" w:fill="FFFFFF"/>
            </w:rPr>
            <w:fldChar w:fldCharType="begin"/>
          </w:r>
          <w:r>
            <w:rPr>
              <w:rFonts w:cs="Arial"/>
              <w:szCs w:val="20"/>
              <w:shd w:val="clear" w:color="auto" w:fill="FFFFFF"/>
            </w:rPr>
            <w:instrText xml:space="preserve">CITATION Fer18 \l 3081 </w:instrText>
          </w:r>
          <w:r>
            <w:rPr>
              <w:rFonts w:cs="Arial"/>
              <w:szCs w:val="20"/>
              <w:shd w:val="clear" w:color="auto" w:fill="FFFFFF"/>
            </w:rPr>
            <w:fldChar w:fldCharType="separate"/>
          </w:r>
          <w:r w:rsidR="00CC22B1">
            <w:rPr>
              <w:rFonts w:cs="Arial"/>
              <w:noProof/>
              <w:szCs w:val="20"/>
              <w:shd w:val="clear" w:color="auto" w:fill="FFFFFF"/>
            </w:rPr>
            <w:t>(Vega, et al., 2018)</w:t>
          </w:r>
          <w:r>
            <w:rPr>
              <w:rFonts w:cs="Arial"/>
              <w:szCs w:val="20"/>
              <w:shd w:val="clear" w:color="auto" w:fill="FFFFFF"/>
            </w:rPr>
            <w:fldChar w:fldCharType="end"/>
          </w:r>
        </w:sdtContent>
      </w:sdt>
      <w:r>
        <w:rPr>
          <w:rFonts w:cs="Arial"/>
          <w:szCs w:val="20"/>
          <w:shd w:val="clear" w:color="auto" w:fill="FFFFFF"/>
        </w:rPr>
        <w:t xml:space="preserve">. To pump the solvent through the absorber and recover the solvent, heat exchangers, reboilers, coolers and pumps are required. </w:t>
      </w:r>
    </w:p>
    <w:p w14:paraId="2F2CDBA7" w14:textId="77777777" w:rsidR="008D5802" w:rsidRDefault="008D5802" w:rsidP="008D5802">
      <w:pPr>
        <w:rPr>
          <w:rFonts w:cs="Arial"/>
          <w:szCs w:val="20"/>
          <w:shd w:val="clear" w:color="auto" w:fill="FFFFFF"/>
        </w:rPr>
      </w:pPr>
      <w:r>
        <w:rPr>
          <w:rFonts w:cs="Arial"/>
          <w:szCs w:val="20"/>
          <w:shd w:val="clear" w:color="auto" w:fill="FFFFFF"/>
        </w:rPr>
        <w:t>Sulphur containing gas (particularly H</w:t>
      </w:r>
      <w:r>
        <w:rPr>
          <w:rFonts w:cs="Arial"/>
          <w:szCs w:val="20"/>
          <w:shd w:val="clear" w:color="auto" w:fill="FFFFFF"/>
          <w:vertAlign w:val="subscript"/>
        </w:rPr>
        <w:t>2</w:t>
      </w:r>
      <w:r>
        <w:rPr>
          <w:rFonts w:cs="Arial"/>
          <w:szCs w:val="20"/>
          <w:shd w:val="clear" w:color="auto" w:fill="FFFFFF"/>
        </w:rPr>
        <w:t xml:space="preserve">S) from the regeneration unit is produced which may be processed into sulphur in a Claus plant </w:t>
      </w:r>
      <w:sdt>
        <w:sdtPr>
          <w:rPr>
            <w:rFonts w:cs="Arial"/>
            <w:szCs w:val="20"/>
            <w:shd w:val="clear" w:color="auto" w:fill="FFFFFF"/>
          </w:rPr>
          <w:id w:val="294733023"/>
          <w:citation/>
        </w:sdtPr>
        <w:sdtEndPr/>
        <w:sdtContent>
          <w:r>
            <w:rPr>
              <w:rFonts w:cs="Arial"/>
              <w:szCs w:val="20"/>
              <w:shd w:val="clear" w:color="auto" w:fill="FFFFFF"/>
            </w:rPr>
            <w:fldChar w:fldCharType="begin"/>
          </w:r>
          <w:r>
            <w:rPr>
              <w:rFonts w:cs="Arial"/>
              <w:szCs w:val="20"/>
              <w:shd w:val="clear" w:color="auto" w:fill="FFFFFF"/>
            </w:rPr>
            <w:instrText xml:space="preserve"> CITATION Chi13 \l 3081 </w:instrText>
          </w:r>
          <w:r>
            <w:rPr>
              <w:rFonts w:cs="Arial"/>
              <w:szCs w:val="20"/>
              <w:shd w:val="clear" w:color="auto" w:fill="FFFFFF"/>
            </w:rPr>
            <w:fldChar w:fldCharType="separate"/>
          </w:r>
          <w:r w:rsidR="00CC22B1">
            <w:rPr>
              <w:rFonts w:cs="Arial"/>
              <w:noProof/>
              <w:szCs w:val="20"/>
              <w:shd w:val="clear" w:color="auto" w:fill="FFFFFF"/>
            </w:rPr>
            <w:t>(Chiche, Diverchy, Lucquin, Porcheron, &amp; Defoort, 2013)</w:t>
          </w:r>
          <w:r>
            <w:rPr>
              <w:rFonts w:cs="Arial"/>
              <w:szCs w:val="20"/>
              <w:shd w:val="clear" w:color="auto" w:fill="FFFFFF"/>
            </w:rPr>
            <w:fldChar w:fldCharType="end"/>
          </w:r>
        </w:sdtContent>
      </w:sdt>
      <w:r>
        <w:rPr>
          <w:rFonts w:cs="Arial"/>
          <w:szCs w:val="20"/>
          <w:shd w:val="clear" w:color="auto" w:fill="FFFFFF"/>
        </w:rPr>
        <w:t>. This sulphur may be sold as a co-product. However, given the scale of this sulphur source and the requirement for additional processing, the H</w:t>
      </w:r>
      <w:r>
        <w:rPr>
          <w:rFonts w:cs="Arial"/>
          <w:szCs w:val="20"/>
          <w:shd w:val="clear" w:color="auto" w:fill="FFFFFF"/>
          <w:vertAlign w:val="subscript"/>
        </w:rPr>
        <w:t>2</w:t>
      </w:r>
      <w:r>
        <w:rPr>
          <w:rFonts w:cs="Arial"/>
          <w:szCs w:val="20"/>
          <w:shd w:val="clear" w:color="auto" w:fill="FFFFFF"/>
        </w:rPr>
        <w:t xml:space="preserve">S stream is considered a waste stream.  </w:t>
      </w:r>
    </w:p>
    <w:p w14:paraId="66F35594" w14:textId="77777777" w:rsidR="008D5802" w:rsidRDefault="008D5802" w:rsidP="008D5802">
      <w:pPr>
        <w:rPr>
          <w:rFonts w:cs="Arial"/>
          <w:szCs w:val="20"/>
          <w:shd w:val="clear" w:color="auto" w:fill="FFFFFF"/>
        </w:rPr>
      </w:pPr>
      <w:r>
        <w:rPr>
          <w:rFonts w:cs="Arial"/>
          <w:szCs w:val="20"/>
          <w:shd w:val="clear" w:color="auto" w:fill="FFFFFF"/>
        </w:rPr>
        <w:t>Although solvent absorption is the most common method of syngas purification, if the gas contains significant concentrations of other gases besides H</w:t>
      </w:r>
      <w:r>
        <w:rPr>
          <w:rFonts w:cs="Arial"/>
          <w:szCs w:val="20"/>
          <w:shd w:val="clear" w:color="auto" w:fill="FFFFFF"/>
          <w:vertAlign w:val="subscript"/>
        </w:rPr>
        <w:t>2</w:t>
      </w:r>
      <w:r>
        <w:rPr>
          <w:rFonts w:cs="Arial"/>
          <w:szCs w:val="20"/>
          <w:shd w:val="clear" w:color="auto" w:fill="FFFFFF"/>
        </w:rPr>
        <w:t xml:space="preserve"> and CO</w:t>
      </w:r>
      <w:r>
        <w:rPr>
          <w:rFonts w:cs="Arial"/>
          <w:szCs w:val="20"/>
          <w:shd w:val="clear" w:color="auto" w:fill="FFFFFF"/>
          <w:vertAlign w:val="subscript"/>
        </w:rPr>
        <w:t>2</w:t>
      </w:r>
      <w:r>
        <w:rPr>
          <w:rFonts w:cs="Arial"/>
          <w:szCs w:val="20"/>
          <w:shd w:val="clear" w:color="auto" w:fill="FFFFFF"/>
        </w:rPr>
        <w:t xml:space="preserve">, other methods may be preferred </w:t>
      </w:r>
      <w:sdt>
        <w:sdtPr>
          <w:rPr>
            <w:rFonts w:cs="Arial"/>
            <w:szCs w:val="20"/>
            <w:shd w:val="clear" w:color="auto" w:fill="FFFFFF"/>
          </w:rPr>
          <w:id w:val="1768028555"/>
          <w:citation/>
        </w:sdtPr>
        <w:sdtEndPr/>
        <w:sdtContent>
          <w:r>
            <w:rPr>
              <w:rFonts w:cs="Arial"/>
              <w:szCs w:val="20"/>
              <w:shd w:val="clear" w:color="auto" w:fill="FFFFFF"/>
            </w:rPr>
            <w:fldChar w:fldCharType="begin"/>
          </w:r>
          <w:r>
            <w:rPr>
              <w:rFonts w:cs="Arial"/>
              <w:szCs w:val="20"/>
              <w:shd w:val="clear" w:color="auto" w:fill="FFFFFF"/>
            </w:rPr>
            <w:instrText xml:space="preserve"> CITATION Hof07 \l 3081 </w:instrText>
          </w:r>
          <w:r>
            <w:rPr>
              <w:rFonts w:cs="Arial"/>
              <w:szCs w:val="20"/>
              <w:shd w:val="clear" w:color="auto" w:fill="FFFFFF"/>
            </w:rPr>
            <w:fldChar w:fldCharType="separate"/>
          </w:r>
          <w:r w:rsidR="00CC22B1">
            <w:rPr>
              <w:rFonts w:cs="Arial"/>
              <w:noProof/>
              <w:szCs w:val="20"/>
              <w:shd w:val="clear" w:color="auto" w:fill="FFFFFF"/>
            </w:rPr>
            <w:t>(Hofbauer, Rauch, &amp; Ripfel-Nitsche, 2007)</w:t>
          </w:r>
          <w:r>
            <w:rPr>
              <w:rFonts w:cs="Arial"/>
              <w:szCs w:val="20"/>
              <w:shd w:val="clear" w:color="auto" w:fill="FFFFFF"/>
            </w:rPr>
            <w:fldChar w:fldCharType="end"/>
          </w:r>
        </w:sdtContent>
      </w:sdt>
      <w:r>
        <w:rPr>
          <w:rFonts w:cs="Arial"/>
          <w:szCs w:val="20"/>
          <w:shd w:val="clear" w:color="auto" w:fill="FFFFFF"/>
        </w:rPr>
        <w:t xml:space="preserve">. The two main alternative processes are pressure-swing adsorption (PSA) and cryogenic distillation. However, membrane separation has also gained a lot of attention in the last decade </w:t>
      </w:r>
      <w:sdt>
        <w:sdtPr>
          <w:rPr>
            <w:rFonts w:cs="Arial"/>
            <w:szCs w:val="20"/>
            <w:shd w:val="clear" w:color="auto" w:fill="FFFFFF"/>
          </w:rPr>
          <w:id w:val="-1473359683"/>
          <w:citation/>
        </w:sdtPr>
        <w:sdtEndPr/>
        <w:sdtContent>
          <w:r>
            <w:rPr>
              <w:rFonts w:cs="Arial"/>
              <w:szCs w:val="20"/>
              <w:shd w:val="clear" w:color="auto" w:fill="FFFFFF"/>
            </w:rPr>
            <w:fldChar w:fldCharType="begin"/>
          </w:r>
          <w:r>
            <w:rPr>
              <w:rFonts w:cs="Arial"/>
              <w:szCs w:val="20"/>
              <w:shd w:val="clear" w:color="auto" w:fill="FFFFFF"/>
            </w:rPr>
            <w:instrText xml:space="preserve"> CITATION Rez20 \l 3081 </w:instrText>
          </w:r>
          <w:r>
            <w:rPr>
              <w:rFonts w:cs="Arial"/>
              <w:szCs w:val="20"/>
              <w:shd w:val="clear" w:color="auto" w:fill="FFFFFF"/>
            </w:rPr>
            <w:fldChar w:fldCharType="separate"/>
          </w:r>
          <w:r w:rsidR="00CC22B1">
            <w:rPr>
              <w:rFonts w:cs="Arial"/>
              <w:noProof/>
              <w:szCs w:val="20"/>
              <w:shd w:val="clear" w:color="auto" w:fill="FFFFFF"/>
            </w:rPr>
            <w:t>(Rezaee &amp; Naeij, 2020)</w:t>
          </w:r>
          <w:r>
            <w:rPr>
              <w:rFonts w:cs="Arial"/>
              <w:szCs w:val="20"/>
              <w:shd w:val="clear" w:color="auto" w:fill="FFFFFF"/>
            </w:rPr>
            <w:fldChar w:fldCharType="end"/>
          </w:r>
        </w:sdtContent>
      </w:sdt>
      <w:r>
        <w:rPr>
          <w:rFonts w:cs="Arial"/>
          <w:szCs w:val="20"/>
          <w:shd w:val="clear" w:color="auto" w:fill="FFFFFF"/>
        </w:rPr>
        <w:t>, and several types of membranes are now available which can be used to produce hydrogen streams of very high purity</w:t>
      </w:r>
      <w:sdt>
        <w:sdtPr>
          <w:rPr>
            <w:rFonts w:cs="Arial"/>
            <w:szCs w:val="20"/>
            <w:shd w:val="clear" w:color="auto" w:fill="FFFFFF"/>
          </w:rPr>
          <w:id w:val="-1381862632"/>
          <w:citation/>
        </w:sdtPr>
        <w:sdtEndPr/>
        <w:sdtContent>
          <w:r>
            <w:rPr>
              <w:rFonts w:cs="Arial"/>
              <w:szCs w:val="20"/>
              <w:shd w:val="clear" w:color="auto" w:fill="FFFFFF"/>
            </w:rPr>
            <w:fldChar w:fldCharType="begin"/>
          </w:r>
          <w:r>
            <w:rPr>
              <w:rFonts w:cs="Arial"/>
              <w:szCs w:val="20"/>
              <w:shd w:val="clear" w:color="auto" w:fill="FFFFFF"/>
            </w:rPr>
            <w:instrText xml:space="preserve"> CITATION Sch10 \l 3081 </w:instrText>
          </w:r>
          <w:r>
            <w:rPr>
              <w:rFonts w:cs="Arial"/>
              <w:szCs w:val="20"/>
              <w:shd w:val="clear" w:color="auto" w:fill="FFFFFF"/>
            </w:rPr>
            <w:fldChar w:fldCharType="separate"/>
          </w:r>
          <w:r w:rsidR="00CC22B1">
            <w:rPr>
              <w:rFonts w:cs="Arial"/>
              <w:noProof/>
              <w:szCs w:val="20"/>
              <w:shd w:val="clear" w:color="auto" w:fill="FFFFFF"/>
            </w:rPr>
            <w:t xml:space="preserve"> (Scholes, Smith, Kentish, &amp; Stevens, 2010)</w:t>
          </w:r>
          <w:r>
            <w:rPr>
              <w:rFonts w:cs="Arial"/>
              <w:szCs w:val="20"/>
              <w:shd w:val="clear" w:color="auto" w:fill="FFFFFF"/>
            </w:rPr>
            <w:fldChar w:fldCharType="end"/>
          </w:r>
        </w:sdtContent>
      </w:sdt>
      <w:r>
        <w:rPr>
          <w:rFonts w:cs="Arial"/>
          <w:szCs w:val="20"/>
          <w:shd w:val="clear" w:color="auto" w:fill="FFFFFF"/>
        </w:rPr>
        <w:t xml:space="preserve">. </w:t>
      </w:r>
    </w:p>
    <w:p w14:paraId="20270CA6" w14:textId="77777777" w:rsidR="008D5802" w:rsidRDefault="008D5802" w:rsidP="008D5802">
      <w:pPr>
        <w:rPr>
          <w:shd w:val="clear" w:color="auto" w:fill="FFFFFF"/>
        </w:rPr>
      </w:pPr>
      <w:r>
        <w:rPr>
          <w:shd w:val="clear" w:color="auto" w:fill="FFFFFF"/>
        </w:rPr>
        <w:t>In summary, the various CO</w:t>
      </w:r>
      <w:r>
        <w:rPr>
          <w:shd w:val="clear" w:color="auto" w:fill="FFFFFF"/>
          <w:vertAlign w:val="subscript"/>
        </w:rPr>
        <w:t>2</w:t>
      </w:r>
      <w:r>
        <w:rPr>
          <w:shd w:val="clear" w:color="auto" w:fill="FFFFFF"/>
        </w:rPr>
        <w:t xml:space="preserve"> capture processes are complex involving multiple unit operations and processing steps. However, for the purpose of this work and at a macro level, they can each be treated as units that separate hydrogen from carbon dioxide through the application of electricity and heat (typically low-grade). The heat may be supplied from the waste heat recovery system.</w:t>
      </w:r>
    </w:p>
    <w:p w14:paraId="151CF5C7" w14:textId="77777777" w:rsidR="008D5802" w:rsidRDefault="008D5802" w:rsidP="00A54C2D">
      <w:pPr>
        <w:pStyle w:val="Heading4"/>
        <w:rPr>
          <w:color w:val="000000" w:themeColor="text1"/>
        </w:rPr>
      </w:pPr>
      <w:r>
        <w:t>Compression and transportation of CO</w:t>
      </w:r>
      <w:r w:rsidRPr="00FB10C2">
        <w:rPr>
          <w:vertAlign w:val="subscript"/>
        </w:rPr>
        <w:t>2</w:t>
      </w:r>
    </w:p>
    <w:p w14:paraId="130D92FC" w14:textId="77777777" w:rsidR="008D5802" w:rsidRDefault="008D5802" w:rsidP="008D5802">
      <w:pPr>
        <w:rPr>
          <w:shd w:val="clear" w:color="auto" w:fill="FFFFFF"/>
        </w:rPr>
      </w:pPr>
      <w:r>
        <w:rPr>
          <w:shd w:val="clear" w:color="auto" w:fill="FFFFFF"/>
        </w:rPr>
        <w:t>Prior to transportation, the purified CO</w:t>
      </w:r>
      <w:r>
        <w:rPr>
          <w:shd w:val="clear" w:color="auto" w:fill="FFFFFF"/>
          <w:vertAlign w:val="subscript"/>
        </w:rPr>
        <w:t xml:space="preserve">2 </w:t>
      </w:r>
      <w:r>
        <w:rPr>
          <w:shd w:val="clear" w:color="auto" w:fill="FFFFFF"/>
        </w:rPr>
        <w:t>gas must be pressurised. Selection and design of compressors should be reflective of both the condition and scale of the carbon capture and transport required</w:t>
      </w:r>
      <w:r w:rsidRPr="00043758">
        <w:rPr>
          <w:shd w:val="clear" w:color="auto" w:fill="FFFFFF"/>
        </w:rPr>
        <w:t xml:space="preserve"> </w:t>
      </w:r>
      <w:sdt>
        <w:sdtPr>
          <w:rPr>
            <w:shd w:val="clear" w:color="auto" w:fill="FFFFFF"/>
          </w:rPr>
          <w:id w:val="86510581"/>
          <w:citation/>
        </w:sdtPr>
        <w:sdtEndPr/>
        <w:sdtContent>
          <w:r>
            <w:rPr>
              <w:shd w:val="clear" w:color="auto" w:fill="FFFFFF"/>
            </w:rPr>
            <w:fldChar w:fldCharType="begin"/>
          </w:r>
          <w:r>
            <w:rPr>
              <w:shd w:val="clear" w:color="auto" w:fill="FFFFFF"/>
            </w:rPr>
            <w:instrText xml:space="preserve"> CITATION Mar16 \l 3081 </w:instrText>
          </w:r>
          <w:r>
            <w:rPr>
              <w:shd w:val="clear" w:color="auto" w:fill="FFFFFF"/>
            </w:rPr>
            <w:fldChar w:fldCharType="separate"/>
          </w:r>
          <w:r w:rsidR="00CC22B1">
            <w:rPr>
              <w:noProof/>
              <w:shd w:val="clear" w:color="auto" w:fill="FFFFFF"/>
            </w:rPr>
            <w:t>(Martynov, Daud, Mahgerefteh, Brown, &amp; Porter, 2016)</w:t>
          </w:r>
          <w:r>
            <w:rPr>
              <w:shd w:val="clear" w:color="auto" w:fill="FFFFFF"/>
            </w:rPr>
            <w:fldChar w:fldCharType="end"/>
          </w:r>
        </w:sdtContent>
      </w:sdt>
      <w:r>
        <w:rPr>
          <w:shd w:val="clear" w:color="auto" w:fill="FFFFFF"/>
        </w:rPr>
        <w:t xml:space="preserve">. Key inputs will be electricity to power compression, with petroleum oils and greases required for operation. </w:t>
      </w:r>
    </w:p>
    <w:p w14:paraId="0ACC9029" w14:textId="77777777" w:rsidR="008D5802" w:rsidRDefault="008D5802" w:rsidP="008D5802">
      <w:pPr>
        <w:rPr>
          <w:shd w:val="clear" w:color="auto" w:fill="FFFFFF"/>
        </w:rPr>
      </w:pPr>
      <w:r>
        <w:rPr>
          <w:shd w:val="clear" w:color="auto" w:fill="FFFFFF"/>
        </w:rPr>
        <w:t xml:space="preserve">This transport can occur in a number of ways including pipeline, road tankers, rail tankers and ships </w:t>
      </w:r>
      <w:sdt>
        <w:sdtPr>
          <w:rPr>
            <w:shd w:val="clear" w:color="auto" w:fill="FFFFFF"/>
          </w:rPr>
          <w:id w:val="-24185276"/>
          <w:citation/>
        </w:sdtPr>
        <w:sdtEndPr/>
        <w:sdtContent>
          <w:r>
            <w:rPr>
              <w:shd w:val="clear" w:color="auto" w:fill="FFFFFF"/>
            </w:rPr>
            <w:fldChar w:fldCharType="begin"/>
          </w:r>
          <w:r>
            <w:rPr>
              <w:shd w:val="clear" w:color="auto" w:fill="FFFFFF"/>
            </w:rPr>
            <w:instrText xml:space="preserve"> CITATION Nat07 \l 3081 </w:instrText>
          </w:r>
          <w:r>
            <w:rPr>
              <w:shd w:val="clear" w:color="auto" w:fill="FFFFFF"/>
            </w:rPr>
            <w:fldChar w:fldCharType="separate"/>
          </w:r>
          <w:r w:rsidR="00CC22B1">
            <w:rPr>
              <w:noProof/>
              <w:shd w:val="clear" w:color="auto" w:fill="FFFFFF"/>
            </w:rPr>
            <w:t>(National Research Council, 2007)</w:t>
          </w:r>
          <w:r>
            <w:rPr>
              <w:shd w:val="clear" w:color="auto" w:fill="FFFFFF"/>
            </w:rPr>
            <w:fldChar w:fldCharType="end"/>
          </w:r>
        </w:sdtContent>
      </w:sdt>
      <w:r>
        <w:rPr>
          <w:shd w:val="clear" w:color="auto" w:fill="FFFFFF"/>
        </w:rPr>
        <w:t>. For large volumes of CO</w:t>
      </w:r>
      <w:r>
        <w:rPr>
          <w:shd w:val="clear" w:color="auto" w:fill="FFFFFF"/>
          <w:vertAlign w:val="subscript"/>
        </w:rPr>
        <w:t>2</w:t>
      </w:r>
      <w:r>
        <w:rPr>
          <w:shd w:val="clear" w:color="auto" w:fill="FFFFFF"/>
        </w:rPr>
        <w:t>, pipelines are generally the most economical form of transportation. Where pipelines are used, leakage rates must be considered across the length of the pipeline, subject to operating pressure.</w:t>
      </w:r>
    </w:p>
    <w:p w14:paraId="64C33ABA" w14:textId="77777777" w:rsidR="008D5802" w:rsidRDefault="008D5802" w:rsidP="00A54C2D">
      <w:pPr>
        <w:pStyle w:val="Heading4"/>
        <w:rPr>
          <w:color w:val="000000" w:themeColor="text1"/>
        </w:rPr>
      </w:pPr>
      <w:r>
        <w:t>Storage of CO</w:t>
      </w:r>
      <w:r>
        <w:rPr>
          <w:vertAlign w:val="subscript"/>
        </w:rPr>
        <w:t>2</w:t>
      </w:r>
    </w:p>
    <w:p w14:paraId="0B21B9AE" w14:textId="5EED2A69" w:rsidR="008D5802" w:rsidRDefault="008D5802" w:rsidP="008D5802">
      <w:pPr>
        <w:rPr>
          <w:shd w:val="clear" w:color="auto" w:fill="FFFFFF"/>
        </w:rPr>
      </w:pPr>
      <w:r>
        <w:rPr>
          <w:shd w:val="clear" w:color="auto" w:fill="FFFFFF"/>
        </w:rPr>
        <w:t>Geological storage typically involves the injection of supercritical CO</w:t>
      </w:r>
      <w:r>
        <w:rPr>
          <w:shd w:val="clear" w:color="auto" w:fill="FFFFFF"/>
          <w:vertAlign w:val="subscript"/>
        </w:rPr>
        <w:t>2</w:t>
      </w:r>
      <w:r>
        <w:rPr>
          <w:shd w:val="clear" w:color="auto" w:fill="FFFFFF"/>
        </w:rPr>
        <w:t xml:space="preserve"> into deep underground geological formations such as oil and gas fields, unmineable coal seams and saline formations </w:t>
      </w:r>
      <w:sdt>
        <w:sdtPr>
          <w:rPr>
            <w:shd w:val="clear" w:color="auto" w:fill="FFFFFF"/>
          </w:rPr>
          <w:id w:val="1276216047"/>
          <w:citation/>
        </w:sdtPr>
        <w:sdtEndPr/>
        <w:sdtContent>
          <w:r>
            <w:rPr>
              <w:shd w:val="clear" w:color="auto" w:fill="FFFFFF"/>
            </w:rPr>
            <w:fldChar w:fldCharType="begin"/>
          </w:r>
          <w:r>
            <w:rPr>
              <w:shd w:val="clear" w:color="auto" w:fill="FFFFFF"/>
            </w:rPr>
            <w:instrText xml:space="preserve"> CITATION Env20 \l 3081 </w:instrText>
          </w:r>
          <w:r>
            <w:rPr>
              <w:shd w:val="clear" w:color="auto" w:fill="FFFFFF"/>
            </w:rPr>
            <w:fldChar w:fldCharType="separate"/>
          </w:r>
          <w:r w:rsidR="00CC22B1">
            <w:rPr>
              <w:noProof/>
              <w:shd w:val="clear" w:color="auto" w:fill="FFFFFF"/>
            </w:rPr>
            <w:t>(Environmental and Energy Study Institute, 2020)</w:t>
          </w:r>
          <w:r>
            <w:rPr>
              <w:shd w:val="clear" w:color="auto" w:fill="FFFFFF"/>
            </w:rPr>
            <w:fldChar w:fldCharType="end"/>
          </w:r>
        </w:sdtContent>
      </w:sdt>
      <w:r>
        <w:rPr>
          <w:shd w:val="clear" w:color="auto" w:fill="FFFFFF"/>
        </w:rPr>
        <w:t xml:space="preserve">. </w:t>
      </w:r>
      <w:r w:rsidR="005A08A3">
        <w:rPr>
          <w:shd w:val="clear" w:color="auto" w:fill="FFFFFF"/>
        </w:rPr>
        <w:t xml:space="preserve">It </w:t>
      </w:r>
      <w:r>
        <w:rPr>
          <w:shd w:val="clear" w:color="auto" w:fill="FFFFFF"/>
        </w:rPr>
        <w:t xml:space="preserve">may also be dissolved in aquifer water, with saline aquifers of particular interest (given frequency and potential storage volume) </w:t>
      </w:r>
      <w:sdt>
        <w:sdtPr>
          <w:rPr>
            <w:shd w:val="clear" w:color="auto" w:fill="FFFFFF"/>
          </w:rPr>
          <w:id w:val="1926921372"/>
          <w:citation/>
        </w:sdtPr>
        <w:sdtEndPr/>
        <w:sdtContent>
          <w:r>
            <w:rPr>
              <w:shd w:val="clear" w:color="auto" w:fill="FFFFFF"/>
            </w:rPr>
            <w:fldChar w:fldCharType="begin"/>
          </w:r>
          <w:r>
            <w:rPr>
              <w:shd w:val="clear" w:color="auto" w:fill="FFFFFF"/>
            </w:rPr>
            <w:instrText xml:space="preserve"> CITATION Env20 \l 3081 </w:instrText>
          </w:r>
          <w:r>
            <w:rPr>
              <w:shd w:val="clear" w:color="auto" w:fill="FFFFFF"/>
            </w:rPr>
            <w:fldChar w:fldCharType="separate"/>
          </w:r>
          <w:r w:rsidR="00CC22B1">
            <w:rPr>
              <w:noProof/>
              <w:shd w:val="clear" w:color="auto" w:fill="FFFFFF"/>
            </w:rPr>
            <w:t>(Environmental and Energy Study Institute, 2020)</w:t>
          </w:r>
          <w:r>
            <w:rPr>
              <w:shd w:val="clear" w:color="auto" w:fill="FFFFFF"/>
            </w:rPr>
            <w:fldChar w:fldCharType="end"/>
          </w:r>
        </w:sdtContent>
      </w:sdt>
      <w:r>
        <w:rPr>
          <w:shd w:val="clear" w:color="auto" w:fill="FFFFFF"/>
        </w:rPr>
        <w:t>. Mineral sequestration refers to the reaction of CO</w:t>
      </w:r>
      <w:r>
        <w:rPr>
          <w:shd w:val="clear" w:color="auto" w:fill="FFFFFF"/>
          <w:vertAlign w:val="subscript"/>
        </w:rPr>
        <w:t xml:space="preserve">2 </w:t>
      </w:r>
      <w:r>
        <w:t>to form</w:t>
      </w:r>
      <w:r>
        <w:rPr>
          <w:shd w:val="clear" w:color="auto" w:fill="FFFFFF"/>
        </w:rPr>
        <w:t xml:space="preserve"> stable minerals, particularly carbonates. The Hydrogen Energy Supply Chain </w:t>
      </w:r>
      <w:r w:rsidR="005A08A3">
        <w:rPr>
          <w:shd w:val="clear" w:color="auto" w:fill="FFFFFF"/>
        </w:rPr>
        <w:t xml:space="preserve">(HESC) pilot </w:t>
      </w:r>
      <w:r>
        <w:rPr>
          <w:shd w:val="clear" w:color="auto" w:fill="FFFFFF"/>
        </w:rPr>
        <w:t xml:space="preserve">project in the Latrobe Valley is planning to establish a </w:t>
      </w:r>
      <w:r w:rsidR="000F460C">
        <w:rPr>
          <w:shd w:val="clear" w:color="auto" w:fill="FFFFFF"/>
        </w:rPr>
        <w:t>CCUS</w:t>
      </w:r>
      <w:r>
        <w:rPr>
          <w:shd w:val="clear" w:color="auto" w:fill="FFFFFF"/>
        </w:rPr>
        <w:t xml:space="preserve"> network from the hydrogen production facility to offshore storage locations within the Gippsland Basin </w:t>
      </w:r>
      <w:sdt>
        <w:sdtPr>
          <w:rPr>
            <w:shd w:val="clear" w:color="auto" w:fill="FFFFFF"/>
          </w:rPr>
          <w:id w:val="-1564396651"/>
          <w:citation/>
        </w:sdtPr>
        <w:sdtEndPr/>
        <w:sdtContent>
          <w:r>
            <w:rPr>
              <w:shd w:val="clear" w:color="auto" w:fill="FFFFFF"/>
            </w:rPr>
            <w:fldChar w:fldCharType="begin"/>
          </w:r>
          <w:r>
            <w:rPr>
              <w:shd w:val="clear" w:color="auto" w:fill="FFFFFF"/>
            </w:rPr>
            <w:instrText xml:space="preserve"> CITATION HES20 \l 3081 </w:instrText>
          </w:r>
          <w:r>
            <w:rPr>
              <w:shd w:val="clear" w:color="auto" w:fill="FFFFFF"/>
            </w:rPr>
            <w:fldChar w:fldCharType="separate"/>
          </w:r>
          <w:r w:rsidR="00CC22B1">
            <w:rPr>
              <w:noProof/>
              <w:shd w:val="clear" w:color="auto" w:fill="FFFFFF"/>
            </w:rPr>
            <w:t>(HESC, 2020)</w:t>
          </w:r>
          <w:r>
            <w:rPr>
              <w:shd w:val="clear" w:color="auto" w:fill="FFFFFF"/>
            </w:rPr>
            <w:fldChar w:fldCharType="end"/>
          </w:r>
        </w:sdtContent>
      </w:sdt>
      <w:r>
        <w:rPr>
          <w:shd w:val="clear" w:color="auto" w:fill="FFFFFF"/>
        </w:rPr>
        <w:t xml:space="preserve">. </w:t>
      </w:r>
    </w:p>
    <w:p w14:paraId="64349AA9" w14:textId="77777777" w:rsidR="008D5802" w:rsidRDefault="008D5802" w:rsidP="008D5802">
      <w:pPr>
        <w:pStyle w:val="Heading3"/>
        <w:ind w:left="851" w:hanging="851"/>
      </w:pPr>
      <w:r w:rsidRPr="005D13FE">
        <w:t>Hydrogen compression and storage</w:t>
      </w:r>
    </w:p>
    <w:p w14:paraId="511E2108" w14:textId="77777777" w:rsidR="008D5802" w:rsidRDefault="008D5802" w:rsidP="008D5802">
      <w:r>
        <w:t xml:space="preserve">Common to hydrogen produced via coal gasification, electrolysis, and any other means is the requirement for compression of the dry, high purity hydrogen product. This is particularly important given the low density of hydrogen gas. Subject to the nature of downstream hydrogen storage, transport and use, there will be different requirements for hydrogen compression. Common to both hydrogen produced by coal gasification and electrolysis, there are four main approaches to hydrogen storage: compressed gaseous hydrogen, liquid hydrogen and materials-based storage technologies (either physical or chemical). </w:t>
      </w:r>
    </w:p>
    <w:p w14:paraId="0BE60F5E" w14:textId="72417BC8" w:rsidR="008D5802" w:rsidRDefault="008D5802" w:rsidP="008D5802">
      <w:r>
        <w:t xml:space="preserve">With regards to hydrogen compression and storage, it is important to be clear about the boundary for </w:t>
      </w:r>
      <w:r w:rsidR="00DE1808">
        <w:t>GO</w:t>
      </w:r>
      <w:r>
        <w:t xml:space="preserve">. Where storage is required for the delivery of the functional unit (i.e. hydrogen under the specific boundary conditions) this must be included within the system boundary. However, where the hydrogen is processed (for storage or otherwise) in such a way as to provide additional functionality (i.e. the liquefaction of hydrogen for delivery to customer) this should be treated using a module (or annex, yet to be developed) covering hydrogen energy carriers. Different forms of storage are briefly described below but their inclusion within the defined system boundary is subject to the considerations noted above.  </w:t>
      </w:r>
    </w:p>
    <w:p w14:paraId="13E84C5D" w14:textId="77777777" w:rsidR="008D5802" w:rsidRDefault="008D5802" w:rsidP="00A54C2D">
      <w:pPr>
        <w:pStyle w:val="Heading4"/>
      </w:pPr>
      <w:r>
        <w:t>Compression</w:t>
      </w:r>
    </w:p>
    <w:p w14:paraId="51C63CA3" w14:textId="77777777" w:rsidR="008D5802" w:rsidRDefault="008D5802" w:rsidP="008D5802">
      <w:r>
        <w:t xml:space="preserve">Compression refers to the storage of hydrogen in its gaseous form at higher pressures. This includes pressurisation of hydrogen within steel cylinders but also includes large-scale and longer-term storage in locations such as salt caverns and depleted gas fields, and the storage of hydrogen in existing natural gas pipelines (line packing) </w:t>
      </w:r>
      <w:sdt>
        <w:sdtPr>
          <w:id w:val="-183596309"/>
          <w:citation/>
        </w:sdtPr>
        <w:sdtEndPr/>
        <w:sdtContent>
          <w:r>
            <w:fldChar w:fldCharType="begin"/>
          </w:r>
          <w:r>
            <w:instrText xml:space="preserve">CITATION Mak16 \l 3081 </w:instrText>
          </w:r>
          <w:r>
            <w:fldChar w:fldCharType="separate"/>
          </w:r>
          <w:r w:rsidR="00CC22B1">
            <w:rPr>
              <w:noProof/>
            </w:rPr>
            <w:t>(Makridis, 2016)</w:t>
          </w:r>
          <w:r>
            <w:fldChar w:fldCharType="end"/>
          </w:r>
        </w:sdtContent>
      </w:sdt>
      <w:r>
        <w:t xml:space="preserve">. </w:t>
      </w:r>
    </w:p>
    <w:p w14:paraId="3D11238A" w14:textId="77777777" w:rsidR="008D5802" w:rsidRDefault="008D5802" w:rsidP="00A54C2D">
      <w:pPr>
        <w:pStyle w:val="Heading4"/>
      </w:pPr>
      <w:r>
        <w:t>Liquefaction</w:t>
      </w:r>
    </w:p>
    <w:p w14:paraId="558D354E" w14:textId="2BB5F326" w:rsidR="008D5802" w:rsidRDefault="008D5802" w:rsidP="008D5802">
      <w:r>
        <w:t>Liquefaction refers to the pressurisation and cooling of hydrogen to a liquid state. For hydrogen this is achieved by reducing its temperature to -253</w:t>
      </w:r>
      <w:r>
        <w:rPr>
          <w:rFonts w:cs="Arial"/>
        </w:rPr>
        <w:t>°</w:t>
      </w:r>
      <w:r>
        <w:t xml:space="preserve">C </w:t>
      </w:r>
      <w:sdt>
        <w:sdtPr>
          <w:id w:val="1642228402"/>
          <w:citation/>
        </w:sdtPr>
        <w:sdtEndPr/>
        <w:sdtContent>
          <w:r>
            <w:fldChar w:fldCharType="begin"/>
          </w:r>
          <w:r>
            <w:instrText xml:space="preserve"> CITATION Gha19 \l 3081 </w:instrText>
          </w:r>
          <w:r>
            <w:fldChar w:fldCharType="separate"/>
          </w:r>
          <w:r w:rsidR="00CC22B1">
            <w:rPr>
              <w:noProof/>
            </w:rPr>
            <w:t>(Ghafri, 2019)</w:t>
          </w:r>
          <w:r>
            <w:fldChar w:fldCharType="end"/>
          </w:r>
        </w:sdtContent>
      </w:sdt>
      <w:r>
        <w:t>. Liquefaction of hydrogen is more energy intensive than compression but achieves a higher volumetric storage capacity making it more suitable where there is high hydrogen demand, lim</w:t>
      </w:r>
      <w:r w:rsidR="005D7877">
        <w:t>itations on storage space and</w:t>
      </w:r>
      <w:r>
        <w:t xml:space="preserve"> mobility requirements. There are various challenges here including hydrogen boil off, tank design and the long-term impact of liquid hydrogen on storage materials. </w:t>
      </w:r>
    </w:p>
    <w:p w14:paraId="2542D8D0" w14:textId="77777777" w:rsidR="008D5802" w:rsidRDefault="008D5802" w:rsidP="00A54C2D">
      <w:pPr>
        <w:pStyle w:val="Heading4"/>
      </w:pPr>
      <w:r>
        <w:t>Other storage</w:t>
      </w:r>
    </w:p>
    <w:p w14:paraId="1084777C" w14:textId="77777777" w:rsidR="008D5802" w:rsidRDefault="008D5802" w:rsidP="008D5802">
      <w:r>
        <w:t>There are also various materials-based storage technologies under investigation. This includes liquid organic hydrogen carriers such as toluene and methanol; metal hydrides; chemical hydrides such as ammonia; and adsorbents</w:t>
      </w:r>
      <w:sdt>
        <w:sdtPr>
          <w:id w:val="1328935281"/>
          <w:citation/>
        </w:sdtPr>
        <w:sdtEndPr/>
        <w:sdtContent>
          <w:r>
            <w:fldChar w:fldCharType="begin"/>
          </w:r>
          <w:r>
            <w:instrText xml:space="preserve">CITATION asd \l 3081 </w:instrText>
          </w:r>
          <w:r>
            <w:fldChar w:fldCharType="separate"/>
          </w:r>
          <w:r w:rsidR="00CC22B1">
            <w:rPr>
              <w:noProof/>
            </w:rPr>
            <w:t xml:space="preserve"> (US Office of Energy Efficiency and Renewable Energy, n.d.)</w:t>
          </w:r>
          <w:r>
            <w:fldChar w:fldCharType="end"/>
          </w:r>
        </w:sdtContent>
      </w:sdt>
      <w:r>
        <w:t xml:space="preserve">. Largely these technologies are still in research and development phases and their potential to play a role in the hydrogen economy remains uncertain. </w:t>
      </w:r>
    </w:p>
    <w:p w14:paraId="56146698" w14:textId="77777777" w:rsidR="008D5802" w:rsidRDefault="008D5802" w:rsidP="003B47A9">
      <w:pPr>
        <w:pStyle w:val="Heading2"/>
      </w:pPr>
      <w:bookmarkStart w:id="404" w:name="_Toc64302385"/>
      <w:bookmarkStart w:id="405" w:name="_Toc65168389"/>
      <w:bookmarkStart w:id="406" w:name="_Toc67329132"/>
      <w:bookmarkStart w:id="407" w:name="_Toc67329380"/>
      <w:bookmarkStart w:id="408" w:name="_Toc67562636"/>
      <w:bookmarkStart w:id="409" w:name="_Toc68000219"/>
      <w:bookmarkStart w:id="410" w:name="_Toc68083150"/>
      <w:bookmarkStart w:id="411" w:name="_Toc68083545"/>
      <w:bookmarkStart w:id="412" w:name="_Toc68105084"/>
      <w:bookmarkStart w:id="413" w:name="_Toc74839363"/>
      <w:r>
        <w:t>Sources of emissions</w:t>
      </w:r>
      <w:bookmarkEnd w:id="404"/>
      <w:bookmarkEnd w:id="405"/>
      <w:bookmarkEnd w:id="406"/>
      <w:bookmarkEnd w:id="407"/>
      <w:bookmarkEnd w:id="408"/>
      <w:bookmarkEnd w:id="409"/>
      <w:bookmarkEnd w:id="410"/>
      <w:bookmarkEnd w:id="411"/>
      <w:bookmarkEnd w:id="412"/>
      <w:bookmarkEnd w:id="413"/>
    </w:p>
    <w:p w14:paraId="67B0AAA3" w14:textId="206EBD6C" w:rsidR="008D5802" w:rsidRDefault="0078555C" w:rsidP="008D5802">
      <w:r>
        <w:t>For coal gasification with CC</w:t>
      </w:r>
      <w:r w:rsidR="008D5802" w:rsidRPr="00FA3733">
        <w:t>S, the main source of GHG emissions is the</w:t>
      </w:r>
      <w:r w:rsidR="008D5802">
        <w:t xml:space="preserve"> conversion of carbon in coal to CO</w:t>
      </w:r>
      <w:r w:rsidR="008D5802" w:rsidRPr="001F42A9">
        <w:rPr>
          <w:vertAlign w:val="subscript"/>
        </w:rPr>
        <w:t>2</w:t>
      </w:r>
      <w:r w:rsidR="008D5802" w:rsidRPr="00FA3733">
        <w:t xml:space="preserve">. Other significant emissions sources include </w:t>
      </w:r>
      <w:r w:rsidR="008D5802">
        <w:t>the scope 2 emissions of</w:t>
      </w:r>
      <w:r w:rsidR="008D5802" w:rsidRPr="00FA3733">
        <w:t xml:space="preserve"> </w:t>
      </w:r>
      <w:r w:rsidR="008D5802">
        <w:t xml:space="preserve">grid </w:t>
      </w:r>
      <w:r w:rsidR="008D5802" w:rsidRPr="00FA3733">
        <w:t>electricity use</w:t>
      </w:r>
      <w:r w:rsidR="008D5802">
        <w:t>d</w:t>
      </w:r>
      <w:r w:rsidR="008D5802" w:rsidRPr="00FA3733">
        <w:t xml:space="preserve"> </w:t>
      </w:r>
      <w:r w:rsidR="008D5802">
        <w:t>for</w:t>
      </w:r>
      <w:r w:rsidR="008D5802" w:rsidRPr="00FA3733">
        <w:t xml:space="preserve"> air separation (including air compression and oxygen compression), CO</w:t>
      </w:r>
      <w:r w:rsidR="008D5802" w:rsidRPr="00FA3733">
        <w:rPr>
          <w:vertAlign w:val="subscript"/>
        </w:rPr>
        <w:t xml:space="preserve">2 </w:t>
      </w:r>
      <w:r w:rsidR="008D5802" w:rsidRPr="00FA3733">
        <w:t>removal, CO</w:t>
      </w:r>
      <w:r w:rsidR="008D5802" w:rsidRPr="00FA3733">
        <w:rPr>
          <w:vertAlign w:val="subscript"/>
        </w:rPr>
        <w:t xml:space="preserve">2 </w:t>
      </w:r>
      <w:r w:rsidR="008D5802" w:rsidRPr="00FA3733">
        <w:t xml:space="preserve">compression for CCUS, coal processing (size reduction and cleaning) activities and fugitive </w:t>
      </w:r>
      <w:r w:rsidR="008D5802">
        <w:t xml:space="preserve">methane </w:t>
      </w:r>
      <w:r w:rsidR="008D5802" w:rsidRPr="00FA3733">
        <w:t xml:space="preserve">emissions associated with coal mining. </w:t>
      </w:r>
    </w:p>
    <w:p w14:paraId="7F8F0BBF" w14:textId="77777777" w:rsidR="008D5802" w:rsidRDefault="008D5802" w:rsidP="008D5802">
      <w:r>
        <w:t xml:space="preserve">There are several common GHG emissions sources across the supply chain including: </w:t>
      </w:r>
    </w:p>
    <w:p w14:paraId="2DC2AB1A" w14:textId="77777777" w:rsidR="008D5802" w:rsidRPr="0078555C" w:rsidRDefault="008D5802" w:rsidP="0079029D">
      <w:pPr>
        <w:pStyle w:val="ListBullet"/>
        <w:numPr>
          <w:ilvl w:val="0"/>
          <w:numId w:val="4"/>
        </w:numPr>
        <w:rPr>
          <w:rFonts w:asciiTheme="minorHAnsi" w:hAnsiTheme="minorHAnsi" w:cstheme="minorHAnsi"/>
          <w:sz w:val="22"/>
        </w:rPr>
      </w:pPr>
      <w:r w:rsidRPr="0078555C">
        <w:rPr>
          <w:rFonts w:asciiTheme="minorHAnsi" w:hAnsiTheme="minorHAnsi" w:cstheme="minorHAnsi"/>
          <w:sz w:val="22"/>
        </w:rPr>
        <w:t>Leakage of SF</w:t>
      </w:r>
      <w:r w:rsidRPr="0078555C">
        <w:rPr>
          <w:rFonts w:asciiTheme="minorHAnsi" w:hAnsiTheme="minorHAnsi" w:cstheme="minorHAnsi"/>
          <w:sz w:val="22"/>
          <w:vertAlign w:val="subscript"/>
        </w:rPr>
        <w:t xml:space="preserve">6 </w:t>
      </w:r>
      <w:r w:rsidRPr="0078555C">
        <w:rPr>
          <w:rFonts w:asciiTheme="minorHAnsi" w:hAnsiTheme="minorHAnsi" w:cstheme="minorHAnsi"/>
          <w:sz w:val="22"/>
        </w:rPr>
        <w:t>used in switchgear to support site electricity supply.</w:t>
      </w:r>
    </w:p>
    <w:p w14:paraId="202AE315" w14:textId="77777777" w:rsidR="008D5802" w:rsidRPr="0078555C" w:rsidRDefault="008D5802" w:rsidP="0079029D">
      <w:pPr>
        <w:pStyle w:val="ListBullet"/>
        <w:numPr>
          <w:ilvl w:val="0"/>
          <w:numId w:val="4"/>
        </w:numPr>
        <w:rPr>
          <w:rFonts w:asciiTheme="minorHAnsi" w:hAnsiTheme="minorHAnsi" w:cstheme="minorHAnsi"/>
          <w:sz w:val="22"/>
        </w:rPr>
      </w:pPr>
      <w:r w:rsidRPr="0078555C">
        <w:rPr>
          <w:rFonts w:asciiTheme="minorHAnsi" w:hAnsiTheme="minorHAnsi" w:cstheme="minorHAnsi"/>
          <w:sz w:val="22"/>
        </w:rPr>
        <w:t>Electricity consumption for the supply, processing and distribution of utility water.</w:t>
      </w:r>
    </w:p>
    <w:p w14:paraId="28565FEB" w14:textId="329DD138" w:rsidR="008D5802" w:rsidRPr="0078555C" w:rsidRDefault="008D5802" w:rsidP="0079029D">
      <w:pPr>
        <w:pStyle w:val="ListBullet"/>
        <w:numPr>
          <w:ilvl w:val="0"/>
          <w:numId w:val="4"/>
        </w:numPr>
        <w:rPr>
          <w:rFonts w:asciiTheme="minorHAnsi" w:hAnsiTheme="minorHAnsi" w:cstheme="minorHAnsi"/>
          <w:sz w:val="22"/>
        </w:rPr>
      </w:pPr>
      <w:r w:rsidRPr="0078555C">
        <w:rPr>
          <w:rFonts w:asciiTheme="minorHAnsi" w:hAnsiTheme="minorHAnsi" w:cstheme="minorHAnsi"/>
          <w:sz w:val="22"/>
        </w:rPr>
        <w:t>Comb</w:t>
      </w:r>
      <w:r w:rsidR="00F270AB" w:rsidRPr="0078555C">
        <w:rPr>
          <w:rFonts w:asciiTheme="minorHAnsi" w:hAnsiTheme="minorHAnsi" w:cstheme="minorHAnsi"/>
          <w:sz w:val="22"/>
        </w:rPr>
        <w:t>ustion of liquid, gaseous and</w:t>
      </w:r>
      <w:r w:rsidRPr="0078555C">
        <w:rPr>
          <w:rFonts w:asciiTheme="minorHAnsi" w:hAnsiTheme="minorHAnsi" w:cstheme="minorHAnsi"/>
          <w:sz w:val="22"/>
        </w:rPr>
        <w:t xml:space="preserve"> solid fuels for the purposes of electricity generation (where applicable, this may be a significant emissions source if this is the main electricity supply).</w:t>
      </w:r>
    </w:p>
    <w:p w14:paraId="14AA7232" w14:textId="62F170A3" w:rsidR="008D5802" w:rsidRPr="0078555C" w:rsidRDefault="008D5802" w:rsidP="0079029D">
      <w:pPr>
        <w:pStyle w:val="ListBullet"/>
        <w:numPr>
          <w:ilvl w:val="0"/>
          <w:numId w:val="4"/>
        </w:numPr>
        <w:rPr>
          <w:rFonts w:asciiTheme="minorHAnsi" w:hAnsiTheme="minorHAnsi" w:cstheme="minorHAnsi"/>
          <w:sz w:val="22"/>
        </w:rPr>
      </w:pPr>
      <w:r w:rsidRPr="0078555C">
        <w:rPr>
          <w:rFonts w:asciiTheme="minorHAnsi" w:hAnsiTheme="minorHAnsi" w:cstheme="minorHAnsi"/>
          <w:sz w:val="22"/>
        </w:rPr>
        <w:t>Comb</w:t>
      </w:r>
      <w:r w:rsidR="00F270AB" w:rsidRPr="0078555C">
        <w:rPr>
          <w:rFonts w:asciiTheme="minorHAnsi" w:hAnsiTheme="minorHAnsi" w:cstheme="minorHAnsi"/>
          <w:sz w:val="22"/>
        </w:rPr>
        <w:t>ustion of liquid, gaseous and</w:t>
      </w:r>
      <w:r w:rsidRPr="0078555C">
        <w:rPr>
          <w:rFonts w:asciiTheme="minorHAnsi" w:hAnsiTheme="minorHAnsi" w:cstheme="minorHAnsi"/>
          <w:sz w:val="22"/>
        </w:rPr>
        <w:t xml:space="preserve"> solid fuels for the purposes of steam generation.</w:t>
      </w:r>
    </w:p>
    <w:p w14:paraId="69EBA800" w14:textId="77777777" w:rsidR="008D5802" w:rsidRPr="0078555C" w:rsidRDefault="008D5802" w:rsidP="0079029D">
      <w:pPr>
        <w:pStyle w:val="ListBullet"/>
        <w:numPr>
          <w:ilvl w:val="0"/>
          <w:numId w:val="4"/>
        </w:numPr>
        <w:rPr>
          <w:rFonts w:asciiTheme="minorHAnsi" w:hAnsiTheme="minorHAnsi" w:cstheme="minorHAnsi"/>
          <w:sz w:val="22"/>
        </w:rPr>
      </w:pPr>
      <w:r w:rsidRPr="0078555C">
        <w:rPr>
          <w:rFonts w:asciiTheme="minorHAnsi" w:hAnsiTheme="minorHAnsi" w:cstheme="minorHAnsi"/>
          <w:sz w:val="22"/>
        </w:rPr>
        <w:t>General electricity consumption for a facility including pumping, cooling systems and ventilation.</w:t>
      </w:r>
    </w:p>
    <w:p w14:paraId="1098FEEA" w14:textId="77777777" w:rsidR="008D5802" w:rsidRPr="0078555C" w:rsidRDefault="008D5802" w:rsidP="0079029D">
      <w:pPr>
        <w:pStyle w:val="ListBullet"/>
        <w:numPr>
          <w:ilvl w:val="0"/>
          <w:numId w:val="4"/>
        </w:numPr>
        <w:rPr>
          <w:rFonts w:asciiTheme="minorHAnsi" w:hAnsiTheme="minorHAnsi" w:cstheme="minorHAnsi"/>
          <w:sz w:val="22"/>
        </w:rPr>
      </w:pPr>
      <w:r w:rsidRPr="0078555C">
        <w:rPr>
          <w:rFonts w:asciiTheme="minorHAnsi" w:hAnsiTheme="minorHAnsi" w:cstheme="minorHAnsi"/>
          <w:sz w:val="22"/>
        </w:rPr>
        <w:t xml:space="preserve">Leakage of refrigerants used in cooling systems. </w:t>
      </w:r>
    </w:p>
    <w:p w14:paraId="51782B79" w14:textId="20037249" w:rsidR="008D5802" w:rsidRDefault="00EB7757" w:rsidP="00EB7757">
      <w:pPr>
        <w:pStyle w:val="Caption"/>
        <w:keepNext/>
      </w:pPr>
      <w:r>
        <w:t>Summary of emissions sources</w:t>
      </w:r>
      <w:r w:rsidR="008D5802">
        <w:t xml:space="preserve"> for coal gasification with </w:t>
      </w:r>
      <w:r w:rsidR="000F460C">
        <w:t>CCUS</w:t>
      </w:r>
    </w:p>
    <w:tbl>
      <w:tblPr>
        <w:tblStyle w:val="EPLTablePlain"/>
        <w:tblpPr w:leftFromText="180" w:rightFromText="180" w:vertAnchor="text" w:tblpY="1"/>
        <w:tblOverlap w:val="never"/>
        <w:tblW w:w="9269" w:type="dxa"/>
        <w:tblLook w:val="04A0" w:firstRow="1" w:lastRow="0" w:firstColumn="1" w:lastColumn="0" w:noHBand="0" w:noVBand="1"/>
        <w:tblDescription w:val="Table identifying the processes and key emissions sources from the coal gasification pathway. "/>
      </w:tblPr>
      <w:tblGrid>
        <w:gridCol w:w="3281"/>
        <w:gridCol w:w="3154"/>
        <w:gridCol w:w="2834"/>
      </w:tblGrid>
      <w:tr w:rsidR="008D5802" w14:paraId="026E2336" w14:textId="77777777" w:rsidTr="008E11F5">
        <w:trPr>
          <w:cnfStyle w:val="100000000000" w:firstRow="1" w:lastRow="0" w:firstColumn="0" w:lastColumn="0" w:oddVBand="0" w:evenVBand="0" w:oddHBand="0" w:evenHBand="0" w:firstRowFirstColumn="0" w:firstRowLastColumn="0" w:lastRowFirstColumn="0" w:lastRowLastColumn="0"/>
          <w:trHeight w:hRule="exact" w:val="454"/>
          <w:tblHeader/>
        </w:trPr>
        <w:tc>
          <w:tcPr>
            <w:tcW w:w="0" w:type="dxa"/>
            <w:hideMark/>
          </w:tcPr>
          <w:p w14:paraId="0A289B66" w14:textId="4DEA516D" w:rsidR="008D5802" w:rsidRDefault="00F270AB" w:rsidP="005F166A">
            <w:pPr>
              <w:pStyle w:val="ListParagraph"/>
              <w:ind w:left="0" w:firstLine="0"/>
              <w:rPr>
                <w:rFonts w:cs="Arial"/>
                <w:color w:val="auto"/>
              </w:rPr>
            </w:pPr>
            <w:r>
              <w:rPr>
                <w:rFonts w:cs="Arial"/>
              </w:rPr>
              <w:t xml:space="preserve">Process unit or </w:t>
            </w:r>
            <w:r w:rsidR="008D5802">
              <w:rPr>
                <w:rFonts w:cs="Arial"/>
              </w:rPr>
              <w:t>stage</w:t>
            </w:r>
          </w:p>
        </w:tc>
        <w:tc>
          <w:tcPr>
            <w:tcW w:w="0" w:type="dxa"/>
            <w:hideMark/>
          </w:tcPr>
          <w:p w14:paraId="52DE54BF" w14:textId="77777777" w:rsidR="008D5802" w:rsidRDefault="008D5802" w:rsidP="005F166A">
            <w:pPr>
              <w:pStyle w:val="ListParagraph"/>
              <w:ind w:left="0" w:firstLine="0"/>
              <w:rPr>
                <w:rFonts w:cs="Arial"/>
              </w:rPr>
            </w:pPr>
            <w:r>
              <w:rPr>
                <w:rFonts w:cs="Arial"/>
              </w:rPr>
              <w:t>Key emissions sources</w:t>
            </w:r>
          </w:p>
        </w:tc>
        <w:tc>
          <w:tcPr>
            <w:tcW w:w="0" w:type="dxa"/>
          </w:tcPr>
          <w:p w14:paraId="3666022C" w14:textId="77777777" w:rsidR="008D5802" w:rsidRDefault="008D5802" w:rsidP="005F166A">
            <w:pPr>
              <w:pStyle w:val="ListParagraph"/>
              <w:ind w:left="0" w:firstLine="0"/>
              <w:rPr>
                <w:rFonts w:cs="Arial"/>
              </w:rPr>
            </w:pPr>
            <w:r>
              <w:rPr>
                <w:rFonts w:cs="Arial"/>
              </w:rPr>
              <w:t>Other emissions sources</w:t>
            </w:r>
          </w:p>
        </w:tc>
      </w:tr>
      <w:tr w:rsidR="008D5802" w14:paraId="1A74699D" w14:textId="77777777" w:rsidTr="006E1573">
        <w:trPr>
          <w:trHeight w:val="573"/>
        </w:trPr>
        <w:tc>
          <w:tcPr>
            <w:tcW w:w="0" w:type="dxa"/>
            <w:hideMark/>
          </w:tcPr>
          <w:p w14:paraId="56497E32" w14:textId="77777777" w:rsidR="008D5802" w:rsidRPr="00EB7757" w:rsidRDefault="008D5802" w:rsidP="0079029D">
            <w:pPr>
              <w:pStyle w:val="ListParagraph"/>
              <w:numPr>
                <w:ilvl w:val="0"/>
                <w:numId w:val="5"/>
              </w:numPr>
              <w:spacing w:after="280"/>
              <w:ind w:left="0"/>
              <w:rPr>
                <w:rFonts w:asciiTheme="minorHAnsi" w:hAnsiTheme="minorHAnsi" w:cstheme="minorHAnsi"/>
                <w:sz w:val="22"/>
                <w:szCs w:val="22"/>
              </w:rPr>
            </w:pPr>
            <w:r w:rsidRPr="00EB7757">
              <w:rPr>
                <w:rFonts w:asciiTheme="minorHAnsi" w:hAnsiTheme="minorHAnsi" w:cstheme="minorHAnsi"/>
                <w:sz w:val="22"/>
                <w:szCs w:val="22"/>
              </w:rPr>
              <w:t>Coal mining and processing</w:t>
            </w:r>
          </w:p>
        </w:tc>
        <w:tc>
          <w:tcPr>
            <w:tcW w:w="0" w:type="dxa"/>
          </w:tcPr>
          <w:p w14:paraId="5C7B2B1E" w14:textId="6FE790FC" w:rsidR="008D5802" w:rsidRPr="00EB7757" w:rsidRDefault="00F270AB" w:rsidP="0079029D">
            <w:pPr>
              <w:pStyle w:val="ListBullet"/>
              <w:numPr>
                <w:ilvl w:val="0"/>
                <w:numId w:val="4"/>
              </w:numPr>
              <w:rPr>
                <w:rFonts w:asciiTheme="minorHAnsi" w:hAnsiTheme="minorHAnsi" w:cstheme="minorHAnsi"/>
                <w:sz w:val="22"/>
                <w:szCs w:val="22"/>
              </w:rPr>
            </w:pPr>
            <w:r w:rsidRPr="00EB7757">
              <w:rPr>
                <w:rFonts w:asciiTheme="minorHAnsi" w:hAnsiTheme="minorHAnsi" w:cstheme="minorHAnsi"/>
                <w:sz w:val="22"/>
                <w:szCs w:val="22"/>
              </w:rPr>
              <w:t>Electricity and</w:t>
            </w:r>
            <w:r w:rsidR="008D5802" w:rsidRPr="00EB7757">
              <w:rPr>
                <w:rFonts w:asciiTheme="minorHAnsi" w:hAnsiTheme="minorHAnsi" w:cstheme="minorHAnsi"/>
                <w:sz w:val="22"/>
                <w:szCs w:val="22"/>
              </w:rPr>
              <w:t xml:space="preserve"> liquid fuel combustion for materials extraction and movement </w:t>
            </w:r>
          </w:p>
          <w:p w14:paraId="7C31FE67" w14:textId="70FE844B" w:rsidR="008D5802" w:rsidRPr="00EB7757" w:rsidRDefault="00F270AB" w:rsidP="0079029D">
            <w:pPr>
              <w:pStyle w:val="ListBullet"/>
              <w:numPr>
                <w:ilvl w:val="0"/>
                <w:numId w:val="4"/>
              </w:numPr>
              <w:rPr>
                <w:rFonts w:asciiTheme="minorHAnsi" w:hAnsiTheme="minorHAnsi" w:cstheme="minorHAnsi"/>
                <w:sz w:val="22"/>
                <w:szCs w:val="22"/>
              </w:rPr>
            </w:pPr>
            <w:r w:rsidRPr="00EB7757">
              <w:rPr>
                <w:rFonts w:asciiTheme="minorHAnsi" w:hAnsiTheme="minorHAnsi" w:cstheme="minorHAnsi"/>
                <w:sz w:val="22"/>
                <w:szCs w:val="22"/>
              </w:rPr>
              <w:t>Fugitive methane and</w:t>
            </w:r>
            <w:r w:rsidR="008D5802" w:rsidRPr="00EB7757">
              <w:rPr>
                <w:rFonts w:asciiTheme="minorHAnsi" w:hAnsiTheme="minorHAnsi" w:cstheme="minorHAnsi"/>
                <w:sz w:val="22"/>
                <w:szCs w:val="22"/>
              </w:rPr>
              <w:t xml:space="preserve"> carbon dioxide from coal extraction</w:t>
            </w:r>
          </w:p>
        </w:tc>
        <w:tc>
          <w:tcPr>
            <w:tcW w:w="0" w:type="dxa"/>
          </w:tcPr>
          <w:p w14:paraId="24F9B3D3" w14:textId="77777777" w:rsidR="008D5802" w:rsidRPr="00EB7757" w:rsidRDefault="008D5802" w:rsidP="0079029D">
            <w:pPr>
              <w:pStyle w:val="ListBullet"/>
              <w:numPr>
                <w:ilvl w:val="0"/>
                <w:numId w:val="4"/>
              </w:numPr>
              <w:rPr>
                <w:rFonts w:asciiTheme="minorHAnsi" w:hAnsiTheme="minorHAnsi" w:cstheme="minorHAnsi"/>
                <w:sz w:val="22"/>
                <w:szCs w:val="22"/>
              </w:rPr>
            </w:pPr>
            <w:r w:rsidRPr="00EB7757">
              <w:rPr>
                <w:rFonts w:asciiTheme="minorHAnsi" w:hAnsiTheme="minorHAnsi" w:cstheme="minorHAnsi"/>
                <w:sz w:val="22"/>
                <w:szCs w:val="22"/>
              </w:rPr>
              <w:t>Explosives for coal extraction</w:t>
            </w:r>
          </w:p>
        </w:tc>
      </w:tr>
      <w:tr w:rsidR="008D5802" w14:paraId="681C9DDC" w14:textId="77777777" w:rsidTr="006E1573">
        <w:trPr>
          <w:trHeight w:val="573"/>
        </w:trPr>
        <w:tc>
          <w:tcPr>
            <w:tcW w:w="0" w:type="dxa"/>
          </w:tcPr>
          <w:p w14:paraId="7F047C34" w14:textId="77777777" w:rsidR="008D5802" w:rsidRPr="00EB7757" w:rsidRDefault="008D5802" w:rsidP="005F166A">
            <w:pPr>
              <w:pStyle w:val="ListBullet"/>
              <w:rPr>
                <w:rFonts w:asciiTheme="minorHAnsi" w:hAnsiTheme="minorHAnsi" w:cstheme="minorHAnsi"/>
                <w:sz w:val="22"/>
                <w:szCs w:val="22"/>
              </w:rPr>
            </w:pPr>
            <w:r w:rsidRPr="00EB7757">
              <w:rPr>
                <w:rFonts w:asciiTheme="minorHAnsi" w:hAnsiTheme="minorHAnsi" w:cstheme="minorHAnsi"/>
                <w:sz w:val="22"/>
                <w:szCs w:val="22"/>
              </w:rPr>
              <w:t>Primary coal processing</w:t>
            </w:r>
          </w:p>
        </w:tc>
        <w:tc>
          <w:tcPr>
            <w:tcW w:w="0" w:type="dxa"/>
          </w:tcPr>
          <w:p w14:paraId="6A1DE4BA" w14:textId="77777777" w:rsidR="008D5802" w:rsidRPr="00EB7757" w:rsidRDefault="008D5802" w:rsidP="0079029D">
            <w:pPr>
              <w:pStyle w:val="ListBullet"/>
              <w:numPr>
                <w:ilvl w:val="0"/>
                <w:numId w:val="4"/>
              </w:numPr>
              <w:rPr>
                <w:rFonts w:asciiTheme="minorHAnsi" w:hAnsiTheme="minorHAnsi" w:cstheme="minorHAnsi"/>
                <w:sz w:val="22"/>
                <w:szCs w:val="22"/>
              </w:rPr>
            </w:pPr>
            <w:r w:rsidRPr="00EB7757">
              <w:rPr>
                <w:rFonts w:asciiTheme="minorHAnsi" w:hAnsiTheme="minorHAnsi" w:cstheme="minorHAnsi"/>
                <w:sz w:val="22"/>
                <w:szCs w:val="22"/>
              </w:rPr>
              <w:t>Electricity for loading and unloading of coal</w:t>
            </w:r>
          </w:p>
          <w:p w14:paraId="17DCADEE" w14:textId="77777777" w:rsidR="008D5802" w:rsidRPr="00EB7757" w:rsidRDefault="008D5802" w:rsidP="0079029D">
            <w:pPr>
              <w:pStyle w:val="ListBullet"/>
              <w:numPr>
                <w:ilvl w:val="0"/>
                <w:numId w:val="4"/>
              </w:numPr>
              <w:rPr>
                <w:rFonts w:asciiTheme="minorHAnsi" w:hAnsiTheme="minorHAnsi" w:cstheme="minorHAnsi"/>
                <w:sz w:val="22"/>
                <w:szCs w:val="22"/>
              </w:rPr>
            </w:pPr>
            <w:r w:rsidRPr="00EB7757">
              <w:rPr>
                <w:rFonts w:asciiTheme="minorHAnsi" w:hAnsiTheme="minorHAnsi" w:cstheme="minorHAnsi"/>
                <w:sz w:val="22"/>
                <w:szCs w:val="22"/>
              </w:rPr>
              <w:t>Electricity for coal size reduction, washing and separation</w:t>
            </w:r>
          </w:p>
        </w:tc>
        <w:tc>
          <w:tcPr>
            <w:tcW w:w="0" w:type="dxa"/>
          </w:tcPr>
          <w:p w14:paraId="08094EB1" w14:textId="77777777" w:rsidR="008D5802" w:rsidRPr="00EB7757" w:rsidRDefault="008D5802" w:rsidP="0079029D">
            <w:pPr>
              <w:pStyle w:val="ListBullet"/>
              <w:numPr>
                <w:ilvl w:val="0"/>
                <w:numId w:val="4"/>
              </w:numPr>
              <w:rPr>
                <w:rFonts w:asciiTheme="minorHAnsi" w:hAnsiTheme="minorHAnsi" w:cstheme="minorHAnsi"/>
                <w:sz w:val="22"/>
                <w:szCs w:val="22"/>
              </w:rPr>
            </w:pPr>
            <w:r w:rsidRPr="00EB7757">
              <w:rPr>
                <w:rFonts w:asciiTheme="minorHAnsi" w:hAnsiTheme="minorHAnsi" w:cstheme="minorHAnsi"/>
                <w:sz w:val="22"/>
                <w:szCs w:val="22"/>
              </w:rPr>
              <w:t>Chemical usage for coal processing</w:t>
            </w:r>
          </w:p>
        </w:tc>
      </w:tr>
      <w:tr w:rsidR="008D5802" w14:paraId="7FFCEA88" w14:textId="77777777" w:rsidTr="006E1573">
        <w:trPr>
          <w:trHeight w:val="573"/>
        </w:trPr>
        <w:tc>
          <w:tcPr>
            <w:tcW w:w="0" w:type="dxa"/>
          </w:tcPr>
          <w:p w14:paraId="2CE0FEA7" w14:textId="77777777" w:rsidR="008D5802" w:rsidRPr="00EB7757" w:rsidRDefault="008D5802" w:rsidP="005F166A">
            <w:pPr>
              <w:pStyle w:val="ListBullet"/>
              <w:rPr>
                <w:rFonts w:asciiTheme="minorHAnsi" w:hAnsiTheme="minorHAnsi" w:cstheme="minorHAnsi"/>
                <w:sz w:val="22"/>
                <w:szCs w:val="22"/>
              </w:rPr>
            </w:pPr>
            <w:r w:rsidRPr="00EB7757">
              <w:rPr>
                <w:rFonts w:asciiTheme="minorHAnsi" w:hAnsiTheme="minorHAnsi" w:cstheme="minorHAnsi"/>
                <w:sz w:val="22"/>
                <w:szCs w:val="22"/>
              </w:rPr>
              <w:t>Coal transport</w:t>
            </w:r>
          </w:p>
        </w:tc>
        <w:tc>
          <w:tcPr>
            <w:tcW w:w="0" w:type="dxa"/>
          </w:tcPr>
          <w:p w14:paraId="4E961E90" w14:textId="577EE512" w:rsidR="008D5802" w:rsidRPr="00EB7757" w:rsidRDefault="00F270AB" w:rsidP="0079029D">
            <w:pPr>
              <w:pStyle w:val="ListBullet"/>
              <w:numPr>
                <w:ilvl w:val="0"/>
                <w:numId w:val="4"/>
              </w:numPr>
              <w:rPr>
                <w:rFonts w:asciiTheme="minorHAnsi" w:hAnsiTheme="minorHAnsi" w:cstheme="minorHAnsi"/>
                <w:sz w:val="22"/>
                <w:szCs w:val="22"/>
              </w:rPr>
            </w:pPr>
            <w:r w:rsidRPr="00EB7757">
              <w:rPr>
                <w:rFonts w:asciiTheme="minorHAnsi" w:hAnsiTheme="minorHAnsi" w:cstheme="minorHAnsi"/>
                <w:sz w:val="22"/>
                <w:szCs w:val="22"/>
              </w:rPr>
              <w:t>Electricity and</w:t>
            </w:r>
            <w:r w:rsidR="008D5802" w:rsidRPr="00EB7757">
              <w:rPr>
                <w:rFonts w:asciiTheme="minorHAnsi" w:hAnsiTheme="minorHAnsi" w:cstheme="minorHAnsi"/>
                <w:sz w:val="22"/>
                <w:szCs w:val="22"/>
              </w:rPr>
              <w:t xml:space="preserve"> liquid fuel combustion for materials movement </w:t>
            </w:r>
          </w:p>
        </w:tc>
        <w:tc>
          <w:tcPr>
            <w:tcW w:w="0" w:type="dxa"/>
          </w:tcPr>
          <w:p w14:paraId="701F689B" w14:textId="77777777" w:rsidR="008D5802" w:rsidRPr="00EB7757" w:rsidRDefault="008D5802" w:rsidP="005F166A">
            <w:pPr>
              <w:pStyle w:val="ListBullet"/>
              <w:ind w:left="0" w:firstLine="0"/>
              <w:rPr>
                <w:rFonts w:asciiTheme="minorHAnsi" w:hAnsiTheme="minorHAnsi" w:cstheme="minorHAnsi"/>
                <w:sz w:val="22"/>
                <w:szCs w:val="22"/>
              </w:rPr>
            </w:pPr>
          </w:p>
        </w:tc>
      </w:tr>
      <w:tr w:rsidR="008D5802" w14:paraId="6C4B94A9" w14:textId="77777777" w:rsidTr="006E1573">
        <w:trPr>
          <w:trHeight w:val="561"/>
        </w:trPr>
        <w:tc>
          <w:tcPr>
            <w:tcW w:w="0" w:type="dxa"/>
            <w:hideMark/>
          </w:tcPr>
          <w:p w14:paraId="24BE56B9" w14:textId="77777777" w:rsidR="008D5802" w:rsidRPr="00EB7757" w:rsidRDefault="008D5802" w:rsidP="005F166A">
            <w:pPr>
              <w:pStyle w:val="ListBullet"/>
              <w:rPr>
                <w:rFonts w:asciiTheme="minorHAnsi" w:hAnsiTheme="minorHAnsi" w:cstheme="minorHAnsi"/>
                <w:sz w:val="22"/>
                <w:szCs w:val="22"/>
              </w:rPr>
            </w:pPr>
            <w:r w:rsidRPr="00EB7757">
              <w:rPr>
                <w:rFonts w:asciiTheme="minorHAnsi" w:hAnsiTheme="minorHAnsi" w:cstheme="minorHAnsi"/>
                <w:sz w:val="22"/>
                <w:szCs w:val="22"/>
              </w:rPr>
              <w:t>Further coal processing</w:t>
            </w:r>
          </w:p>
        </w:tc>
        <w:tc>
          <w:tcPr>
            <w:tcW w:w="0" w:type="dxa"/>
          </w:tcPr>
          <w:p w14:paraId="3511BFAA" w14:textId="77777777" w:rsidR="008D5802" w:rsidRPr="00EB7757" w:rsidRDefault="008D5802" w:rsidP="0079029D">
            <w:pPr>
              <w:pStyle w:val="ListBullet"/>
              <w:numPr>
                <w:ilvl w:val="0"/>
                <w:numId w:val="4"/>
              </w:numPr>
              <w:rPr>
                <w:rFonts w:asciiTheme="minorHAnsi" w:hAnsiTheme="minorHAnsi" w:cstheme="minorHAnsi"/>
                <w:sz w:val="22"/>
                <w:szCs w:val="22"/>
              </w:rPr>
            </w:pPr>
            <w:r w:rsidRPr="00EB7757">
              <w:rPr>
                <w:rFonts w:asciiTheme="minorHAnsi" w:hAnsiTheme="minorHAnsi" w:cstheme="minorHAnsi"/>
                <w:sz w:val="22"/>
                <w:szCs w:val="22"/>
              </w:rPr>
              <w:t xml:space="preserve">Electricity for additional size reduction </w:t>
            </w:r>
          </w:p>
        </w:tc>
        <w:tc>
          <w:tcPr>
            <w:tcW w:w="0" w:type="dxa"/>
          </w:tcPr>
          <w:p w14:paraId="04F2A90A" w14:textId="516C1451" w:rsidR="008D5802" w:rsidRPr="00EB7757" w:rsidRDefault="00F270AB" w:rsidP="0079029D">
            <w:pPr>
              <w:pStyle w:val="ListBullet"/>
              <w:numPr>
                <w:ilvl w:val="0"/>
                <w:numId w:val="4"/>
              </w:numPr>
              <w:rPr>
                <w:rFonts w:asciiTheme="minorHAnsi" w:hAnsiTheme="minorHAnsi" w:cstheme="minorHAnsi"/>
                <w:sz w:val="22"/>
                <w:szCs w:val="22"/>
              </w:rPr>
            </w:pPr>
            <w:r w:rsidRPr="00EB7757">
              <w:rPr>
                <w:rFonts w:asciiTheme="minorHAnsi" w:hAnsiTheme="minorHAnsi" w:cstheme="minorHAnsi"/>
                <w:sz w:val="22"/>
                <w:szCs w:val="22"/>
              </w:rPr>
              <w:t>Electricity and</w:t>
            </w:r>
            <w:r w:rsidR="008D5802" w:rsidRPr="00EB7757">
              <w:rPr>
                <w:rFonts w:asciiTheme="minorHAnsi" w:hAnsiTheme="minorHAnsi" w:cstheme="minorHAnsi"/>
                <w:sz w:val="22"/>
                <w:szCs w:val="22"/>
              </w:rPr>
              <w:t xml:space="preserve"> liquid fuel combustion for materials movement</w:t>
            </w:r>
          </w:p>
        </w:tc>
      </w:tr>
      <w:tr w:rsidR="008D5802" w14:paraId="74D80E95" w14:textId="77777777" w:rsidTr="006E1573">
        <w:trPr>
          <w:trHeight w:val="561"/>
        </w:trPr>
        <w:tc>
          <w:tcPr>
            <w:tcW w:w="0" w:type="dxa"/>
          </w:tcPr>
          <w:p w14:paraId="2A9301CB" w14:textId="77777777" w:rsidR="008D5802" w:rsidRPr="00EB7757" w:rsidRDefault="008D5802" w:rsidP="005F166A">
            <w:pPr>
              <w:pStyle w:val="ListBullet"/>
              <w:rPr>
                <w:rFonts w:asciiTheme="minorHAnsi" w:hAnsiTheme="minorHAnsi" w:cstheme="minorHAnsi"/>
                <w:sz w:val="22"/>
                <w:szCs w:val="22"/>
              </w:rPr>
            </w:pPr>
            <w:r w:rsidRPr="00EB7757">
              <w:rPr>
                <w:rFonts w:asciiTheme="minorHAnsi" w:hAnsiTheme="minorHAnsi" w:cstheme="minorHAnsi"/>
                <w:sz w:val="22"/>
                <w:szCs w:val="22"/>
              </w:rPr>
              <w:t>Air separation</w:t>
            </w:r>
          </w:p>
        </w:tc>
        <w:tc>
          <w:tcPr>
            <w:tcW w:w="0" w:type="dxa"/>
          </w:tcPr>
          <w:p w14:paraId="64B89FE3" w14:textId="77777777" w:rsidR="008D5802" w:rsidRPr="00EB7757" w:rsidRDefault="008D5802" w:rsidP="0079029D">
            <w:pPr>
              <w:pStyle w:val="ListBullet"/>
              <w:numPr>
                <w:ilvl w:val="0"/>
                <w:numId w:val="4"/>
              </w:numPr>
              <w:rPr>
                <w:rFonts w:asciiTheme="minorHAnsi" w:hAnsiTheme="minorHAnsi" w:cstheme="minorHAnsi"/>
                <w:sz w:val="22"/>
                <w:szCs w:val="22"/>
              </w:rPr>
            </w:pPr>
            <w:r w:rsidRPr="00EB7757">
              <w:rPr>
                <w:rFonts w:asciiTheme="minorHAnsi" w:hAnsiTheme="minorHAnsi" w:cstheme="minorHAnsi"/>
                <w:sz w:val="22"/>
                <w:szCs w:val="22"/>
              </w:rPr>
              <w:t>Electricity for air compression</w:t>
            </w:r>
          </w:p>
        </w:tc>
        <w:tc>
          <w:tcPr>
            <w:tcW w:w="0" w:type="dxa"/>
          </w:tcPr>
          <w:p w14:paraId="19DAAAD3" w14:textId="77777777" w:rsidR="008D5802" w:rsidRPr="00EB7757" w:rsidRDefault="008D5802" w:rsidP="005F166A">
            <w:pPr>
              <w:pStyle w:val="ListBullet"/>
              <w:ind w:left="0" w:firstLine="0"/>
              <w:rPr>
                <w:rFonts w:asciiTheme="minorHAnsi" w:hAnsiTheme="minorHAnsi" w:cstheme="minorHAnsi"/>
                <w:sz w:val="22"/>
                <w:szCs w:val="22"/>
              </w:rPr>
            </w:pPr>
          </w:p>
        </w:tc>
      </w:tr>
      <w:tr w:rsidR="008D5802" w14:paraId="526D440A" w14:textId="77777777" w:rsidTr="006E1573">
        <w:trPr>
          <w:trHeight w:val="561"/>
        </w:trPr>
        <w:tc>
          <w:tcPr>
            <w:tcW w:w="3197" w:type="dxa"/>
          </w:tcPr>
          <w:p w14:paraId="1FB4513C" w14:textId="77777777" w:rsidR="008D5802" w:rsidRPr="00EB7757" w:rsidRDefault="008D5802" w:rsidP="005F166A">
            <w:pPr>
              <w:pStyle w:val="ListBullet"/>
              <w:ind w:left="0" w:firstLine="0"/>
              <w:rPr>
                <w:rFonts w:asciiTheme="minorHAnsi" w:hAnsiTheme="minorHAnsi" w:cstheme="minorHAnsi"/>
                <w:sz w:val="22"/>
                <w:szCs w:val="22"/>
              </w:rPr>
            </w:pPr>
            <w:r w:rsidRPr="00EB7757">
              <w:rPr>
                <w:rFonts w:asciiTheme="minorHAnsi" w:hAnsiTheme="minorHAnsi" w:cstheme="minorHAnsi"/>
                <w:sz w:val="22"/>
                <w:szCs w:val="22"/>
              </w:rPr>
              <w:t>Gasification</w:t>
            </w:r>
          </w:p>
        </w:tc>
        <w:tc>
          <w:tcPr>
            <w:tcW w:w="3098" w:type="dxa"/>
          </w:tcPr>
          <w:p w14:paraId="639D1BE0" w14:textId="77777777" w:rsidR="008D5802" w:rsidRPr="00EB7757" w:rsidRDefault="008D5802" w:rsidP="0079029D">
            <w:pPr>
              <w:pStyle w:val="ListBullet"/>
              <w:numPr>
                <w:ilvl w:val="0"/>
                <w:numId w:val="4"/>
              </w:numPr>
              <w:rPr>
                <w:rFonts w:asciiTheme="minorHAnsi" w:hAnsiTheme="minorHAnsi" w:cstheme="minorHAnsi"/>
                <w:sz w:val="22"/>
                <w:szCs w:val="22"/>
              </w:rPr>
            </w:pPr>
            <w:r w:rsidRPr="00EB7757">
              <w:rPr>
                <w:rFonts w:asciiTheme="minorHAnsi" w:hAnsiTheme="minorHAnsi" w:cstheme="minorHAnsi"/>
                <w:sz w:val="22"/>
                <w:szCs w:val="22"/>
              </w:rPr>
              <w:t xml:space="preserve">Combustion of coal within the gasifier </w:t>
            </w:r>
          </w:p>
          <w:p w14:paraId="1D43393E" w14:textId="77777777" w:rsidR="008D5802" w:rsidRPr="00EB7757" w:rsidRDefault="008D5802" w:rsidP="0079029D">
            <w:pPr>
              <w:pStyle w:val="ListBullet"/>
              <w:numPr>
                <w:ilvl w:val="0"/>
                <w:numId w:val="4"/>
              </w:numPr>
              <w:rPr>
                <w:rFonts w:asciiTheme="minorHAnsi" w:hAnsiTheme="minorHAnsi" w:cstheme="minorHAnsi"/>
                <w:sz w:val="22"/>
                <w:szCs w:val="22"/>
              </w:rPr>
            </w:pPr>
            <w:r w:rsidRPr="00EB7757">
              <w:rPr>
                <w:rFonts w:asciiTheme="minorHAnsi" w:hAnsiTheme="minorHAnsi" w:cstheme="minorHAnsi"/>
                <w:sz w:val="22"/>
                <w:szCs w:val="22"/>
              </w:rPr>
              <w:t>Gasification of coal within the gasifier</w:t>
            </w:r>
          </w:p>
          <w:p w14:paraId="36F7C356" w14:textId="77777777" w:rsidR="008D5802" w:rsidRPr="00EB7757" w:rsidRDefault="008D5802" w:rsidP="0079029D">
            <w:pPr>
              <w:pStyle w:val="ListBullet"/>
              <w:numPr>
                <w:ilvl w:val="0"/>
                <w:numId w:val="4"/>
              </w:numPr>
              <w:rPr>
                <w:rFonts w:asciiTheme="minorHAnsi" w:hAnsiTheme="minorHAnsi" w:cstheme="minorHAnsi"/>
                <w:sz w:val="22"/>
                <w:szCs w:val="22"/>
              </w:rPr>
            </w:pPr>
            <w:r w:rsidRPr="00EB7757">
              <w:rPr>
                <w:rFonts w:asciiTheme="minorHAnsi" w:hAnsiTheme="minorHAnsi" w:cstheme="minorHAnsi"/>
                <w:sz w:val="22"/>
                <w:szCs w:val="22"/>
              </w:rPr>
              <w:t>Steam for gasification (if purchased from third party rather than self-generated)</w:t>
            </w:r>
          </w:p>
        </w:tc>
        <w:tc>
          <w:tcPr>
            <w:tcW w:w="2750" w:type="dxa"/>
          </w:tcPr>
          <w:p w14:paraId="5A0D7C7A" w14:textId="77777777" w:rsidR="008D5802" w:rsidRPr="00EB7757" w:rsidRDefault="008D5802" w:rsidP="005F166A">
            <w:pPr>
              <w:pStyle w:val="ListBullet"/>
              <w:ind w:left="0" w:firstLine="0"/>
              <w:rPr>
                <w:rFonts w:asciiTheme="minorHAnsi" w:hAnsiTheme="minorHAnsi" w:cstheme="minorHAnsi"/>
                <w:sz w:val="22"/>
                <w:szCs w:val="22"/>
              </w:rPr>
            </w:pPr>
          </w:p>
        </w:tc>
      </w:tr>
      <w:tr w:rsidR="008D5802" w14:paraId="1A1F24EB" w14:textId="77777777" w:rsidTr="006E1573">
        <w:trPr>
          <w:trHeight w:val="561"/>
        </w:trPr>
        <w:tc>
          <w:tcPr>
            <w:tcW w:w="3197" w:type="dxa"/>
          </w:tcPr>
          <w:p w14:paraId="44D806CE" w14:textId="77777777" w:rsidR="008D5802" w:rsidRPr="00EB7757" w:rsidRDefault="008D5802" w:rsidP="005F166A">
            <w:pPr>
              <w:pStyle w:val="ListBullet"/>
              <w:ind w:left="0" w:firstLine="0"/>
              <w:rPr>
                <w:rFonts w:asciiTheme="minorHAnsi" w:hAnsiTheme="minorHAnsi" w:cstheme="minorHAnsi"/>
                <w:sz w:val="22"/>
                <w:szCs w:val="22"/>
              </w:rPr>
            </w:pPr>
            <w:r w:rsidRPr="00EB7757">
              <w:rPr>
                <w:rFonts w:asciiTheme="minorHAnsi" w:hAnsiTheme="minorHAnsi" w:cstheme="minorHAnsi"/>
                <w:sz w:val="22"/>
                <w:szCs w:val="22"/>
              </w:rPr>
              <w:t>Heat recovery and electricity generation</w:t>
            </w:r>
          </w:p>
        </w:tc>
        <w:tc>
          <w:tcPr>
            <w:tcW w:w="3098" w:type="dxa"/>
          </w:tcPr>
          <w:p w14:paraId="2E89D824" w14:textId="77777777" w:rsidR="008D5802" w:rsidRPr="00EB7757" w:rsidRDefault="008D5802" w:rsidP="0079029D">
            <w:pPr>
              <w:pStyle w:val="ListBullet"/>
              <w:numPr>
                <w:ilvl w:val="0"/>
                <w:numId w:val="4"/>
              </w:numPr>
              <w:rPr>
                <w:rFonts w:asciiTheme="minorHAnsi" w:hAnsiTheme="minorHAnsi" w:cstheme="minorHAnsi"/>
                <w:sz w:val="22"/>
                <w:szCs w:val="22"/>
              </w:rPr>
            </w:pPr>
            <w:r w:rsidRPr="00EB7757">
              <w:rPr>
                <w:rFonts w:asciiTheme="minorHAnsi" w:hAnsiTheme="minorHAnsi" w:cstheme="minorHAnsi"/>
                <w:sz w:val="22"/>
                <w:szCs w:val="22"/>
              </w:rPr>
              <w:t>No significant emissions other than those covered under common emissions sources</w:t>
            </w:r>
          </w:p>
        </w:tc>
        <w:tc>
          <w:tcPr>
            <w:tcW w:w="2750" w:type="dxa"/>
          </w:tcPr>
          <w:p w14:paraId="7935A59B" w14:textId="77777777" w:rsidR="008D5802" w:rsidRPr="00EB7757" w:rsidRDefault="008D5802" w:rsidP="005F166A">
            <w:pPr>
              <w:pStyle w:val="ListBullet"/>
              <w:ind w:left="0" w:firstLine="0"/>
              <w:rPr>
                <w:rFonts w:asciiTheme="minorHAnsi" w:hAnsiTheme="minorHAnsi" w:cstheme="minorHAnsi"/>
                <w:sz w:val="22"/>
                <w:szCs w:val="22"/>
              </w:rPr>
            </w:pPr>
          </w:p>
        </w:tc>
      </w:tr>
      <w:tr w:rsidR="008D5802" w14:paraId="342AD174" w14:textId="77777777" w:rsidTr="006E1573">
        <w:trPr>
          <w:trHeight w:val="561"/>
        </w:trPr>
        <w:tc>
          <w:tcPr>
            <w:tcW w:w="3197" w:type="dxa"/>
          </w:tcPr>
          <w:p w14:paraId="37D81DB8" w14:textId="77777777" w:rsidR="008D5802" w:rsidRPr="00EB7757" w:rsidRDefault="008D5802" w:rsidP="005F166A">
            <w:pPr>
              <w:pStyle w:val="ListBullet"/>
              <w:ind w:left="0" w:firstLine="0"/>
              <w:rPr>
                <w:rFonts w:asciiTheme="minorHAnsi" w:hAnsiTheme="minorHAnsi" w:cstheme="minorHAnsi"/>
                <w:sz w:val="22"/>
                <w:szCs w:val="22"/>
              </w:rPr>
            </w:pPr>
            <w:r w:rsidRPr="00EB7757">
              <w:rPr>
                <w:rFonts w:asciiTheme="minorHAnsi" w:hAnsiTheme="minorHAnsi" w:cstheme="minorHAnsi"/>
                <w:sz w:val="22"/>
                <w:szCs w:val="22"/>
              </w:rPr>
              <w:t>Hydrogen enrichment</w:t>
            </w:r>
          </w:p>
        </w:tc>
        <w:tc>
          <w:tcPr>
            <w:tcW w:w="3098" w:type="dxa"/>
          </w:tcPr>
          <w:p w14:paraId="78F8E738" w14:textId="77777777" w:rsidR="008D5802" w:rsidRPr="00EB7757" w:rsidRDefault="008D5802" w:rsidP="0079029D">
            <w:pPr>
              <w:pStyle w:val="ListBullet"/>
              <w:numPr>
                <w:ilvl w:val="0"/>
                <w:numId w:val="4"/>
              </w:numPr>
              <w:rPr>
                <w:rFonts w:asciiTheme="minorHAnsi" w:hAnsiTheme="minorHAnsi" w:cstheme="minorHAnsi"/>
                <w:sz w:val="22"/>
                <w:szCs w:val="22"/>
              </w:rPr>
            </w:pPr>
            <w:r w:rsidRPr="00EB7757">
              <w:rPr>
                <w:rFonts w:asciiTheme="minorHAnsi" w:hAnsiTheme="minorHAnsi" w:cstheme="minorHAnsi"/>
                <w:sz w:val="22"/>
                <w:szCs w:val="22"/>
              </w:rPr>
              <w:t>Water gas shift reactions occurring as part of hydrogen enrichment</w:t>
            </w:r>
          </w:p>
        </w:tc>
        <w:tc>
          <w:tcPr>
            <w:tcW w:w="2750" w:type="dxa"/>
          </w:tcPr>
          <w:p w14:paraId="7FCB4534" w14:textId="77777777" w:rsidR="008D5802" w:rsidRPr="00EB7757" w:rsidRDefault="008D5802" w:rsidP="005F166A">
            <w:pPr>
              <w:pStyle w:val="ListBullet"/>
              <w:ind w:left="0" w:firstLine="0"/>
              <w:rPr>
                <w:rFonts w:asciiTheme="minorHAnsi" w:hAnsiTheme="minorHAnsi" w:cstheme="minorHAnsi"/>
                <w:sz w:val="22"/>
                <w:szCs w:val="22"/>
              </w:rPr>
            </w:pPr>
          </w:p>
        </w:tc>
      </w:tr>
      <w:tr w:rsidR="008D5802" w14:paraId="1AF4802D" w14:textId="77777777" w:rsidTr="006E1573">
        <w:trPr>
          <w:trHeight w:val="561"/>
        </w:trPr>
        <w:tc>
          <w:tcPr>
            <w:tcW w:w="3197" w:type="dxa"/>
          </w:tcPr>
          <w:p w14:paraId="69B228D4" w14:textId="77777777" w:rsidR="008D5802" w:rsidRPr="00EB7757" w:rsidRDefault="008D5802" w:rsidP="005F166A">
            <w:pPr>
              <w:pStyle w:val="ListBullet"/>
              <w:ind w:left="0" w:firstLine="0"/>
              <w:rPr>
                <w:rFonts w:asciiTheme="minorHAnsi" w:hAnsiTheme="minorHAnsi" w:cstheme="minorHAnsi"/>
                <w:sz w:val="22"/>
                <w:szCs w:val="22"/>
              </w:rPr>
            </w:pPr>
            <w:r w:rsidRPr="00EB7757">
              <w:rPr>
                <w:rFonts w:asciiTheme="minorHAnsi" w:hAnsiTheme="minorHAnsi" w:cstheme="minorHAnsi"/>
                <w:sz w:val="22"/>
                <w:szCs w:val="22"/>
              </w:rPr>
              <w:t>Syngas purification</w:t>
            </w:r>
          </w:p>
        </w:tc>
        <w:tc>
          <w:tcPr>
            <w:tcW w:w="3098" w:type="dxa"/>
          </w:tcPr>
          <w:p w14:paraId="72D5371C" w14:textId="3E169D3B" w:rsidR="008D5802" w:rsidRPr="00EB7757" w:rsidRDefault="00F270AB" w:rsidP="0079029D">
            <w:pPr>
              <w:pStyle w:val="ListBullet"/>
              <w:numPr>
                <w:ilvl w:val="0"/>
                <w:numId w:val="4"/>
              </w:numPr>
              <w:rPr>
                <w:rFonts w:asciiTheme="minorHAnsi" w:hAnsiTheme="minorHAnsi" w:cstheme="minorHAnsi"/>
                <w:sz w:val="22"/>
                <w:szCs w:val="22"/>
              </w:rPr>
            </w:pPr>
            <w:r w:rsidRPr="00EB7757">
              <w:rPr>
                <w:rFonts w:asciiTheme="minorHAnsi" w:hAnsiTheme="minorHAnsi" w:cstheme="minorHAnsi"/>
                <w:sz w:val="22"/>
                <w:szCs w:val="22"/>
              </w:rPr>
              <w:t>Electricity and</w:t>
            </w:r>
            <w:r w:rsidR="008D5802" w:rsidRPr="00EB7757">
              <w:rPr>
                <w:rFonts w:asciiTheme="minorHAnsi" w:hAnsiTheme="minorHAnsi" w:cstheme="minorHAnsi"/>
                <w:sz w:val="22"/>
                <w:szCs w:val="22"/>
              </w:rPr>
              <w:t xml:space="preserve"> heat for operation of the relevant purification units</w:t>
            </w:r>
          </w:p>
        </w:tc>
        <w:tc>
          <w:tcPr>
            <w:tcW w:w="2750" w:type="dxa"/>
          </w:tcPr>
          <w:p w14:paraId="78B0352A" w14:textId="77777777" w:rsidR="008D5802" w:rsidRPr="00EB7757" w:rsidRDefault="008D5802" w:rsidP="0079029D">
            <w:pPr>
              <w:pStyle w:val="ListBullet"/>
              <w:numPr>
                <w:ilvl w:val="0"/>
                <w:numId w:val="4"/>
              </w:numPr>
              <w:rPr>
                <w:rFonts w:asciiTheme="minorHAnsi" w:hAnsiTheme="minorHAnsi" w:cstheme="minorHAnsi"/>
                <w:sz w:val="22"/>
                <w:szCs w:val="22"/>
              </w:rPr>
            </w:pPr>
            <w:r w:rsidRPr="00EB7757">
              <w:rPr>
                <w:rFonts w:asciiTheme="minorHAnsi" w:hAnsiTheme="minorHAnsi" w:cstheme="minorHAnsi"/>
                <w:sz w:val="22"/>
                <w:szCs w:val="22"/>
              </w:rPr>
              <w:t>Exhaust carbon dioxide due to sulphur removal of exhaust gases using lime (where applicable)</w:t>
            </w:r>
          </w:p>
        </w:tc>
      </w:tr>
      <w:tr w:rsidR="008D5802" w14:paraId="2480CCB9" w14:textId="77777777" w:rsidTr="006E1573">
        <w:trPr>
          <w:trHeight w:val="561"/>
        </w:trPr>
        <w:tc>
          <w:tcPr>
            <w:tcW w:w="3197" w:type="dxa"/>
          </w:tcPr>
          <w:p w14:paraId="30E5F1D3" w14:textId="77777777" w:rsidR="008D5802" w:rsidRPr="00EB7757" w:rsidRDefault="008D5802" w:rsidP="005F166A">
            <w:pPr>
              <w:pStyle w:val="ListBullet"/>
              <w:rPr>
                <w:rFonts w:asciiTheme="minorHAnsi" w:hAnsiTheme="minorHAnsi" w:cstheme="minorHAnsi"/>
                <w:sz w:val="22"/>
                <w:szCs w:val="22"/>
              </w:rPr>
            </w:pPr>
            <w:r w:rsidRPr="00EB7757">
              <w:rPr>
                <w:rFonts w:asciiTheme="minorHAnsi" w:hAnsiTheme="minorHAnsi" w:cstheme="minorHAnsi"/>
                <w:sz w:val="22"/>
                <w:szCs w:val="22"/>
              </w:rPr>
              <w:t>CO</w:t>
            </w:r>
            <w:r w:rsidRPr="00EB7757">
              <w:rPr>
                <w:rFonts w:asciiTheme="minorHAnsi" w:hAnsiTheme="minorHAnsi" w:cstheme="minorHAnsi"/>
                <w:sz w:val="22"/>
                <w:szCs w:val="22"/>
                <w:vertAlign w:val="subscript"/>
              </w:rPr>
              <w:t>2</w:t>
            </w:r>
            <w:r w:rsidRPr="00EB7757">
              <w:rPr>
                <w:rFonts w:asciiTheme="minorHAnsi" w:hAnsiTheme="minorHAnsi" w:cstheme="minorHAnsi"/>
                <w:sz w:val="22"/>
                <w:szCs w:val="22"/>
              </w:rPr>
              <w:t xml:space="preserve"> capture and separation</w:t>
            </w:r>
          </w:p>
        </w:tc>
        <w:tc>
          <w:tcPr>
            <w:tcW w:w="3098" w:type="dxa"/>
          </w:tcPr>
          <w:p w14:paraId="007AFD54" w14:textId="6DE3F19D" w:rsidR="008D5802" w:rsidRPr="00EB7757" w:rsidRDefault="00F270AB" w:rsidP="0079029D">
            <w:pPr>
              <w:pStyle w:val="ListBullet"/>
              <w:numPr>
                <w:ilvl w:val="0"/>
                <w:numId w:val="4"/>
              </w:numPr>
              <w:rPr>
                <w:rFonts w:asciiTheme="minorHAnsi" w:hAnsiTheme="minorHAnsi" w:cstheme="minorHAnsi"/>
                <w:sz w:val="22"/>
                <w:szCs w:val="22"/>
              </w:rPr>
            </w:pPr>
            <w:r w:rsidRPr="00EB7757">
              <w:rPr>
                <w:rFonts w:asciiTheme="minorHAnsi" w:hAnsiTheme="minorHAnsi" w:cstheme="minorHAnsi"/>
                <w:sz w:val="22"/>
                <w:szCs w:val="22"/>
              </w:rPr>
              <w:t>Electricity and</w:t>
            </w:r>
            <w:r w:rsidR="008D5802" w:rsidRPr="00EB7757">
              <w:rPr>
                <w:rFonts w:asciiTheme="minorHAnsi" w:hAnsiTheme="minorHAnsi" w:cstheme="minorHAnsi"/>
                <w:sz w:val="22"/>
                <w:szCs w:val="22"/>
              </w:rPr>
              <w:t xml:space="preserve"> heat for relevant separation units</w:t>
            </w:r>
            <w:r w:rsidR="008D5802" w:rsidRPr="00EB7757">
              <w:rPr>
                <w:rFonts w:asciiTheme="minorHAnsi" w:hAnsiTheme="minorHAnsi" w:cstheme="minorHAnsi"/>
                <w:sz w:val="22"/>
                <w:szCs w:val="22"/>
              </w:rPr>
              <w:br/>
            </w:r>
          </w:p>
        </w:tc>
        <w:tc>
          <w:tcPr>
            <w:tcW w:w="2750" w:type="dxa"/>
          </w:tcPr>
          <w:p w14:paraId="0955328C" w14:textId="77777777" w:rsidR="008D5802" w:rsidRPr="00EB7757" w:rsidRDefault="008D5802" w:rsidP="005F166A">
            <w:pPr>
              <w:pStyle w:val="ListBullet"/>
              <w:ind w:left="0" w:firstLine="0"/>
              <w:rPr>
                <w:rFonts w:asciiTheme="minorHAnsi" w:hAnsiTheme="minorHAnsi" w:cstheme="minorHAnsi"/>
                <w:sz w:val="22"/>
                <w:szCs w:val="22"/>
              </w:rPr>
            </w:pPr>
          </w:p>
        </w:tc>
      </w:tr>
      <w:tr w:rsidR="008D5802" w14:paraId="6D54B6FA" w14:textId="77777777" w:rsidTr="006E1573">
        <w:trPr>
          <w:trHeight w:val="561"/>
        </w:trPr>
        <w:tc>
          <w:tcPr>
            <w:tcW w:w="3197" w:type="dxa"/>
          </w:tcPr>
          <w:p w14:paraId="7C3AAC75" w14:textId="77777777" w:rsidR="008D5802" w:rsidRPr="00EB7757" w:rsidRDefault="008D5802" w:rsidP="005F166A">
            <w:pPr>
              <w:pStyle w:val="ListBullet"/>
              <w:ind w:left="0" w:firstLine="0"/>
              <w:rPr>
                <w:rFonts w:asciiTheme="minorHAnsi" w:hAnsiTheme="minorHAnsi" w:cstheme="minorHAnsi"/>
                <w:sz w:val="22"/>
                <w:szCs w:val="22"/>
              </w:rPr>
            </w:pPr>
            <w:r w:rsidRPr="00EB7757">
              <w:rPr>
                <w:rFonts w:asciiTheme="minorHAnsi" w:hAnsiTheme="minorHAnsi" w:cstheme="minorHAnsi"/>
                <w:sz w:val="22"/>
                <w:szCs w:val="22"/>
              </w:rPr>
              <w:t>Compression and transportation of CO</w:t>
            </w:r>
            <w:r w:rsidRPr="00EB7757">
              <w:rPr>
                <w:rFonts w:asciiTheme="minorHAnsi" w:hAnsiTheme="minorHAnsi" w:cstheme="minorHAnsi"/>
                <w:sz w:val="22"/>
                <w:szCs w:val="22"/>
                <w:vertAlign w:val="subscript"/>
              </w:rPr>
              <w:t>2</w:t>
            </w:r>
          </w:p>
        </w:tc>
        <w:tc>
          <w:tcPr>
            <w:tcW w:w="3098" w:type="dxa"/>
          </w:tcPr>
          <w:p w14:paraId="71F7057E" w14:textId="77777777" w:rsidR="008D5802" w:rsidRPr="00EB7757" w:rsidRDefault="008D5802" w:rsidP="0079029D">
            <w:pPr>
              <w:pStyle w:val="ListBullet"/>
              <w:numPr>
                <w:ilvl w:val="0"/>
                <w:numId w:val="4"/>
              </w:numPr>
              <w:rPr>
                <w:rFonts w:asciiTheme="minorHAnsi" w:hAnsiTheme="minorHAnsi" w:cstheme="minorHAnsi"/>
                <w:sz w:val="22"/>
                <w:szCs w:val="22"/>
              </w:rPr>
            </w:pPr>
            <w:r w:rsidRPr="00EB7757">
              <w:rPr>
                <w:rFonts w:asciiTheme="minorHAnsi" w:hAnsiTheme="minorHAnsi" w:cstheme="minorHAnsi"/>
                <w:sz w:val="22"/>
                <w:szCs w:val="22"/>
              </w:rPr>
              <w:t>Electricity for compression of CO</w:t>
            </w:r>
            <w:r w:rsidRPr="00EB7757">
              <w:rPr>
                <w:rFonts w:asciiTheme="minorHAnsi" w:hAnsiTheme="minorHAnsi" w:cstheme="minorHAnsi"/>
                <w:sz w:val="22"/>
                <w:szCs w:val="22"/>
                <w:vertAlign w:val="subscript"/>
              </w:rPr>
              <w:t>2</w:t>
            </w:r>
          </w:p>
          <w:p w14:paraId="2C9A941B" w14:textId="7C4F02B2" w:rsidR="008D5802" w:rsidRPr="00EB7757" w:rsidRDefault="00F270AB" w:rsidP="0079029D">
            <w:pPr>
              <w:pStyle w:val="ListBullet"/>
              <w:numPr>
                <w:ilvl w:val="0"/>
                <w:numId w:val="4"/>
              </w:numPr>
              <w:rPr>
                <w:rFonts w:asciiTheme="minorHAnsi" w:hAnsiTheme="minorHAnsi" w:cstheme="minorHAnsi"/>
                <w:sz w:val="22"/>
                <w:szCs w:val="22"/>
              </w:rPr>
            </w:pPr>
            <w:r w:rsidRPr="00EB7757">
              <w:rPr>
                <w:rFonts w:asciiTheme="minorHAnsi" w:hAnsiTheme="minorHAnsi" w:cstheme="minorHAnsi"/>
                <w:sz w:val="22"/>
                <w:szCs w:val="22"/>
              </w:rPr>
              <w:t>Electricity and</w:t>
            </w:r>
            <w:r w:rsidR="008D5802" w:rsidRPr="00EB7757">
              <w:rPr>
                <w:rFonts w:asciiTheme="minorHAnsi" w:hAnsiTheme="minorHAnsi" w:cstheme="minorHAnsi"/>
                <w:sz w:val="22"/>
                <w:szCs w:val="22"/>
              </w:rPr>
              <w:t xml:space="preserve"> gaseous fuel combustion for pipeline transport</w:t>
            </w:r>
          </w:p>
          <w:p w14:paraId="4130A7D9" w14:textId="0B51F78E" w:rsidR="008D5802" w:rsidRPr="00EB7757" w:rsidRDefault="00F270AB" w:rsidP="0079029D">
            <w:pPr>
              <w:pStyle w:val="ListBullet"/>
              <w:numPr>
                <w:ilvl w:val="0"/>
                <w:numId w:val="4"/>
              </w:numPr>
              <w:rPr>
                <w:rFonts w:asciiTheme="minorHAnsi" w:hAnsiTheme="minorHAnsi" w:cstheme="minorHAnsi"/>
                <w:sz w:val="22"/>
                <w:szCs w:val="22"/>
              </w:rPr>
            </w:pPr>
            <w:r w:rsidRPr="00EB7757">
              <w:rPr>
                <w:rFonts w:asciiTheme="minorHAnsi" w:hAnsiTheme="minorHAnsi" w:cstheme="minorHAnsi"/>
                <w:sz w:val="22"/>
                <w:szCs w:val="22"/>
              </w:rPr>
              <w:t xml:space="preserve">Liquid and </w:t>
            </w:r>
            <w:r w:rsidR="008D5802" w:rsidRPr="00EB7757">
              <w:rPr>
                <w:rFonts w:asciiTheme="minorHAnsi" w:hAnsiTheme="minorHAnsi" w:cstheme="minorHAnsi"/>
                <w:sz w:val="22"/>
                <w:szCs w:val="22"/>
              </w:rPr>
              <w:t>gaseous fuel combustion for motive transport</w:t>
            </w:r>
          </w:p>
          <w:p w14:paraId="02A41A16" w14:textId="77777777" w:rsidR="008D5802" w:rsidRPr="00EB7757" w:rsidRDefault="008D5802" w:rsidP="0079029D">
            <w:pPr>
              <w:pStyle w:val="ListBullet"/>
              <w:numPr>
                <w:ilvl w:val="0"/>
                <w:numId w:val="4"/>
              </w:numPr>
              <w:rPr>
                <w:rFonts w:asciiTheme="minorHAnsi" w:hAnsiTheme="minorHAnsi" w:cstheme="minorHAnsi"/>
                <w:sz w:val="22"/>
                <w:szCs w:val="22"/>
              </w:rPr>
            </w:pPr>
            <w:r w:rsidRPr="00EB7757">
              <w:rPr>
                <w:rFonts w:asciiTheme="minorHAnsi" w:hAnsiTheme="minorHAnsi" w:cstheme="minorHAnsi"/>
                <w:sz w:val="22"/>
                <w:szCs w:val="22"/>
              </w:rPr>
              <w:t>Fugitive carbon dioxide from CO</w:t>
            </w:r>
            <w:r w:rsidRPr="00EB7757">
              <w:rPr>
                <w:rFonts w:asciiTheme="minorHAnsi" w:hAnsiTheme="minorHAnsi" w:cstheme="minorHAnsi"/>
                <w:sz w:val="22"/>
                <w:szCs w:val="22"/>
              </w:rPr>
              <w:softHyphen/>
            </w:r>
            <w:r w:rsidRPr="00EB7757">
              <w:rPr>
                <w:rFonts w:asciiTheme="minorHAnsi" w:hAnsiTheme="minorHAnsi" w:cstheme="minorHAnsi"/>
                <w:sz w:val="22"/>
                <w:szCs w:val="22"/>
                <w:vertAlign w:val="subscript"/>
              </w:rPr>
              <w:t>2</w:t>
            </w:r>
            <w:r w:rsidRPr="00EB7757">
              <w:rPr>
                <w:rFonts w:asciiTheme="minorHAnsi" w:hAnsiTheme="minorHAnsi" w:cstheme="minorHAnsi"/>
                <w:sz w:val="22"/>
                <w:szCs w:val="22"/>
              </w:rPr>
              <w:t xml:space="preserve"> transportation </w:t>
            </w:r>
          </w:p>
        </w:tc>
        <w:tc>
          <w:tcPr>
            <w:tcW w:w="2750" w:type="dxa"/>
          </w:tcPr>
          <w:p w14:paraId="6C8960D5" w14:textId="77777777" w:rsidR="008D5802" w:rsidRPr="00EB7757" w:rsidRDefault="008D5802" w:rsidP="005F166A">
            <w:pPr>
              <w:pStyle w:val="ListBullet"/>
              <w:ind w:left="0" w:firstLine="0"/>
              <w:rPr>
                <w:rFonts w:asciiTheme="minorHAnsi" w:hAnsiTheme="minorHAnsi" w:cstheme="minorHAnsi"/>
                <w:sz w:val="22"/>
                <w:szCs w:val="22"/>
              </w:rPr>
            </w:pPr>
          </w:p>
        </w:tc>
      </w:tr>
      <w:tr w:rsidR="008D5802" w14:paraId="7CE70435" w14:textId="77777777" w:rsidTr="006E1573">
        <w:trPr>
          <w:trHeight w:val="561"/>
        </w:trPr>
        <w:tc>
          <w:tcPr>
            <w:tcW w:w="3197" w:type="dxa"/>
          </w:tcPr>
          <w:p w14:paraId="65FC7F71" w14:textId="77777777" w:rsidR="008D5802" w:rsidRPr="00EB7757" w:rsidRDefault="008D5802" w:rsidP="005F166A">
            <w:pPr>
              <w:pStyle w:val="ListBullet"/>
              <w:ind w:left="0" w:firstLine="0"/>
              <w:rPr>
                <w:rFonts w:asciiTheme="minorHAnsi" w:hAnsiTheme="minorHAnsi" w:cstheme="minorHAnsi"/>
                <w:sz w:val="22"/>
                <w:szCs w:val="22"/>
              </w:rPr>
            </w:pPr>
            <w:r w:rsidRPr="00EB7757">
              <w:rPr>
                <w:rFonts w:asciiTheme="minorHAnsi" w:hAnsiTheme="minorHAnsi" w:cstheme="minorHAnsi"/>
                <w:sz w:val="22"/>
                <w:szCs w:val="22"/>
              </w:rPr>
              <w:t>Storage of CO</w:t>
            </w:r>
            <w:r w:rsidRPr="00EB7757">
              <w:rPr>
                <w:rFonts w:asciiTheme="minorHAnsi" w:hAnsiTheme="minorHAnsi" w:cstheme="minorHAnsi"/>
                <w:sz w:val="22"/>
                <w:szCs w:val="22"/>
                <w:vertAlign w:val="subscript"/>
              </w:rPr>
              <w:t>2</w:t>
            </w:r>
          </w:p>
        </w:tc>
        <w:tc>
          <w:tcPr>
            <w:tcW w:w="3098" w:type="dxa"/>
          </w:tcPr>
          <w:p w14:paraId="22B1FE2D" w14:textId="77777777" w:rsidR="008D5802" w:rsidRPr="00EB7757" w:rsidRDefault="008D5802" w:rsidP="0079029D">
            <w:pPr>
              <w:pStyle w:val="ListBullet"/>
              <w:numPr>
                <w:ilvl w:val="0"/>
                <w:numId w:val="4"/>
              </w:numPr>
              <w:rPr>
                <w:rFonts w:asciiTheme="minorHAnsi" w:hAnsiTheme="minorHAnsi" w:cstheme="minorHAnsi"/>
                <w:sz w:val="22"/>
                <w:szCs w:val="22"/>
              </w:rPr>
            </w:pPr>
            <w:r w:rsidRPr="00EB7757">
              <w:rPr>
                <w:rFonts w:asciiTheme="minorHAnsi" w:hAnsiTheme="minorHAnsi" w:cstheme="minorHAnsi"/>
                <w:sz w:val="22"/>
                <w:szCs w:val="22"/>
              </w:rPr>
              <w:t>Electricity for injection or transformation</w:t>
            </w:r>
          </w:p>
        </w:tc>
        <w:tc>
          <w:tcPr>
            <w:tcW w:w="2750" w:type="dxa"/>
          </w:tcPr>
          <w:p w14:paraId="2170BBF2" w14:textId="77777777" w:rsidR="008D5802" w:rsidRPr="00EB7757" w:rsidRDefault="008D5802" w:rsidP="0079029D">
            <w:pPr>
              <w:pStyle w:val="ListBullet"/>
              <w:numPr>
                <w:ilvl w:val="0"/>
                <w:numId w:val="4"/>
              </w:numPr>
              <w:rPr>
                <w:rFonts w:asciiTheme="minorHAnsi" w:hAnsiTheme="minorHAnsi" w:cstheme="minorHAnsi"/>
                <w:sz w:val="22"/>
                <w:szCs w:val="22"/>
              </w:rPr>
            </w:pPr>
            <w:r w:rsidRPr="00EB7757">
              <w:rPr>
                <w:rFonts w:asciiTheme="minorHAnsi" w:hAnsiTheme="minorHAnsi" w:cstheme="minorHAnsi"/>
                <w:sz w:val="22"/>
                <w:szCs w:val="22"/>
              </w:rPr>
              <w:t>Fugitive carbon dioxide from permanent storage location</w:t>
            </w:r>
          </w:p>
        </w:tc>
      </w:tr>
      <w:tr w:rsidR="008D5802" w14:paraId="35C7857C" w14:textId="77777777" w:rsidTr="006E1573">
        <w:trPr>
          <w:trHeight w:val="561"/>
        </w:trPr>
        <w:tc>
          <w:tcPr>
            <w:tcW w:w="3197" w:type="dxa"/>
          </w:tcPr>
          <w:p w14:paraId="45996887" w14:textId="77777777" w:rsidR="008D5802" w:rsidRPr="00EB7757" w:rsidRDefault="008D5802" w:rsidP="005F166A">
            <w:pPr>
              <w:pStyle w:val="ListBullet"/>
              <w:ind w:left="0" w:firstLine="0"/>
              <w:rPr>
                <w:rFonts w:asciiTheme="minorHAnsi" w:hAnsiTheme="minorHAnsi" w:cstheme="minorHAnsi"/>
                <w:sz w:val="22"/>
                <w:szCs w:val="22"/>
              </w:rPr>
            </w:pPr>
            <w:r w:rsidRPr="00EB7757">
              <w:rPr>
                <w:rFonts w:asciiTheme="minorHAnsi" w:hAnsiTheme="minorHAnsi" w:cstheme="minorHAnsi"/>
                <w:sz w:val="22"/>
                <w:szCs w:val="22"/>
              </w:rPr>
              <w:t>Utilisation of CO</w:t>
            </w:r>
            <w:r w:rsidRPr="00EB7757">
              <w:rPr>
                <w:rFonts w:asciiTheme="minorHAnsi" w:hAnsiTheme="minorHAnsi" w:cstheme="minorHAnsi"/>
                <w:sz w:val="22"/>
                <w:szCs w:val="22"/>
                <w:vertAlign w:val="subscript"/>
              </w:rPr>
              <w:t>2</w:t>
            </w:r>
            <w:r w:rsidRPr="00EB7757">
              <w:rPr>
                <w:rStyle w:val="FootnoteReference"/>
                <w:rFonts w:asciiTheme="minorHAnsi" w:hAnsiTheme="minorHAnsi" w:cstheme="minorHAnsi"/>
                <w:sz w:val="22"/>
                <w:szCs w:val="22"/>
              </w:rPr>
              <w:footnoteReference w:id="9"/>
            </w:r>
          </w:p>
        </w:tc>
        <w:tc>
          <w:tcPr>
            <w:tcW w:w="3098" w:type="dxa"/>
          </w:tcPr>
          <w:p w14:paraId="294BE5E0" w14:textId="77777777" w:rsidR="008D5802" w:rsidRPr="00EB7757" w:rsidRDefault="008D5802" w:rsidP="0079029D">
            <w:pPr>
              <w:pStyle w:val="ListBullet"/>
              <w:numPr>
                <w:ilvl w:val="0"/>
                <w:numId w:val="4"/>
              </w:numPr>
              <w:rPr>
                <w:rFonts w:asciiTheme="minorHAnsi" w:hAnsiTheme="minorHAnsi" w:cstheme="minorHAnsi"/>
                <w:sz w:val="22"/>
                <w:szCs w:val="22"/>
              </w:rPr>
            </w:pPr>
            <w:r w:rsidRPr="00EB7757">
              <w:rPr>
                <w:rFonts w:asciiTheme="minorHAnsi" w:hAnsiTheme="minorHAnsi" w:cstheme="minorHAnsi"/>
                <w:sz w:val="22"/>
                <w:szCs w:val="22"/>
              </w:rPr>
              <w:t>Electricity for utilisation of CO</w:t>
            </w:r>
            <w:r w:rsidRPr="00EB7757">
              <w:rPr>
                <w:rFonts w:asciiTheme="minorHAnsi" w:hAnsiTheme="minorHAnsi" w:cstheme="minorHAnsi"/>
                <w:sz w:val="22"/>
                <w:szCs w:val="22"/>
                <w:vertAlign w:val="subscript"/>
              </w:rPr>
              <w:t>2</w:t>
            </w:r>
          </w:p>
          <w:p w14:paraId="5FBE8C41" w14:textId="0E093109" w:rsidR="008D5802" w:rsidRPr="00EB7757" w:rsidRDefault="008D5802" w:rsidP="0079029D">
            <w:pPr>
              <w:pStyle w:val="ListBullet"/>
              <w:numPr>
                <w:ilvl w:val="0"/>
                <w:numId w:val="4"/>
              </w:numPr>
              <w:rPr>
                <w:rFonts w:asciiTheme="minorHAnsi" w:hAnsiTheme="minorHAnsi" w:cstheme="minorHAnsi"/>
                <w:sz w:val="22"/>
                <w:szCs w:val="22"/>
              </w:rPr>
            </w:pPr>
            <w:r w:rsidRPr="00EB7757">
              <w:rPr>
                <w:rFonts w:asciiTheme="minorHAnsi" w:hAnsiTheme="minorHAnsi" w:cstheme="minorHAnsi"/>
                <w:sz w:val="22"/>
                <w:szCs w:val="22"/>
              </w:rPr>
              <w:t>Co</w:t>
            </w:r>
            <w:r w:rsidR="00F270AB" w:rsidRPr="00EB7757">
              <w:rPr>
                <w:rFonts w:asciiTheme="minorHAnsi" w:hAnsiTheme="minorHAnsi" w:cstheme="minorHAnsi"/>
                <w:sz w:val="22"/>
                <w:szCs w:val="22"/>
              </w:rPr>
              <w:t>mbustion of solid, liquid and</w:t>
            </w:r>
            <w:r w:rsidRPr="00EB7757">
              <w:rPr>
                <w:rFonts w:asciiTheme="minorHAnsi" w:hAnsiTheme="minorHAnsi" w:cstheme="minorHAnsi"/>
                <w:sz w:val="22"/>
                <w:szCs w:val="22"/>
              </w:rPr>
              <w:t xml:space="preserve"> gaseous fuels for utilisation of CO</w:t>
            </w:r>
            <w:r w:rsidRPr="00EB7757">
              <w:rPr>
                <w:rFonts w:asciiTheme="minorHAnsi" w:hAnsiTheme="minorHAnsi" w:cstheme="minorHAnsi"/>
                <w:sz w:val="22"/>
                <w:szCs w:val="22"/>
                <w:vertAlign w:val="subscript"/>
              </w:rPr>
              <w:t>2</w:t>
            </w:r>
          </w:p>
          <w:p w14:paraId="2C177733" w14:textId="77777777" w:rsidR="008D5802" w:rsidRPr="00EB7757" w:rsidRDefault="008D5802" w:rsidP="0079029D">
            <w:pPr>
              <w:pStyle w:val="ListBullet"/>
              <w:numPr>
                <w:ilvl w:val="0"/>
                <w:numId w:val="4"/>
              </w:numPr>
              <w:rPr>
                <w:rFonts w:asciiTheme="minorHAnsi" w:hAnsiTheme="minorHAnsi" w:cstheme="minorHAnsi"/>
                <w:sz w:val="22"/>
                <w:szCs w:val="22"/>
              </w:rPr>
            </w:pPr>
            <w:r w:rsidRPr="00EB7757">
              <w:rPr>
                <w:rFonts w:asciiTheme="minorHAnsi" w:hAnsiTheme="minorHAnsi" w:cstheme="minorHAnsi"/>
                <w:sz w:val="22"/>
                <w:szCs w:val="22"/>
              </w:rPr>
              <w:t>Other emissions may vary widely pending nature of utilisation</w:t>
            </w:r>
          </w:p>
        </w:tc>
        <w:tc>
          <w:tcPr>
            <w:tcW w:w="2750" w:type="dxa"/>
          </w:tcPr>
          <w:p w14:paraId="1B44B459" w14:textId="77777777" w:rsidR="008D5802" w:rsidRPr="00EB7757" w:rsidRDefault="008D5802" w:rsidP="005F166A">
            <w:pPr>
              <w:pStyle w:val="ListBullet"/>
              <w:ind w:left="0" w:firstLine="0"/>
              <w:rPr>
                <w:rFonts w:asciiTheme="minorHAnsi" w:hAnsiTheme="minorHAnsi" w:cstheme="minorHAnsi"/>
                <w:sz w:val="22"/>
                <w:szCs w:val="22"/>
              </w:rPr>
            </w:pPr>
          </w:p>
        </w:tc>
      </w:tr>
      <w:tr w:rsidR="008D5802" w14:paraId="7D3D164B" w14:textId="77777777" w:rsidTr="006E1573">
        <w:trPr>
          <w:trHeight w:val="561"/>
        </w:trPr>
        <w:tc>
          <w:tcPr>
            <w:tcW w:w="3197" w:type="dxa"/>
          </w:tcPr>
          <w:p w14:paraId="4258C701" w14:textId="77777777" w:rsidR="008D5802" w:rsidRPr="00EB7757" w:rsidRDefault="008D5802" w:rsidP="005F166A">
            <w:pPr>
              <w:pStyle w:val="ListBullet"/>
              <w:ind w:left="0" w:firstLine="0"/>
              <w:rPr>
                <w:rFonts w:asciiTheme="minorHAnsi" w:hAnsiTheme="minorHAnsi" w:cstheme="minorHAnsi"/>
                <w:sz w:val="22"/>
                <w:szCs w:val="22"/>
              </w:rPr>
            </w:pPr>
            <w:r w:rsidRPr="00EB7757">
              <w:rPr>
                <w:rFonts w:asciiTheme="minorHAnsi" w:hAnsiTheme="minorHAnsi" w:cstheme="minorHAnsi"/>
                <w:sz w:val="22"/>
                <w:szCs w:val="22"/>
              </w:rPr>
              <w:t>Hydrogen compression and storage</w:t>
            </w:r>
          </w:p>
        </w:tc>
        <w:tc>
          <w:tcPr>
            <w:tcW w:w="3098" w:type="dxa"/>
          </w:tcPr>
          <w:p w14:paraId="62D74CD9" w14:textId="77777777" w:rsidR="008D5802" w:rsidRPr="00EB7757" w:rsidRDefault="008D5802" w:rsidP="0079029D">
            <w:pPr>
              <w:pStyle w:val="ListBullet"/>
              <w:numPr>
                <w:ilvl w:val="0"/>
                <w:numId w:val="4"/>
              </w:numPr>
              <w:rPr>
                <w:rFonts w:asciiTheme="minorHAnsi" w:hAnsiTheme="minorHAnsi" w:cstheme="minorHAnsi"/>
                <w:sz w:val="22"/>
                <w:szCs w:val="22"/>
              </w:rPr>
            </w:pPr>
            <w:r w:rsidRPr="00EB7757">
              <w:rPr>
                <w:rFonts w:asciiTheme="minorHAnsi" w:hAnsiTheme="minorHAnsi" w:cstheme="minorHAnsi"/>
                <w:sz w:val="22"/>
                <w:szCs w:val="22"/>
              </w:rPr>
              <w:t>Electricity for compression and storage maintenance</w:t>
            </w:r>
          </w:p>
        </w:tc>
        <w:tc>
          <w:tcPr>
            <w:tcW w:w="2750" w:type="dxa"/>
          </w:tcPr>
          <w:p w14:paraId="78AC18B7" w14:textId="77777777" w:rsidR="008D5802" w:rsidRPr="00EB7757" w:rsidRDefault="008D5802" w:rsidP="0079029D">
            <w:pPr>
              <w:pStyle w:val="ListBullet"/>
              <w:numPr>
                <w:ilvl w:val="0"/>
                <w:numId w:val="4"/>
              </w:numPr>
              <w:rPr>
                <w:rFonts w:asciiTheme="minorHAnsi" w:hAnsiTheme="minorHAnsi" w:cstheme="minorHAnsi"/>
                <w:sz w:val="22"/>
                <w:szCs w:val="22"/>
              </w:rPr>
            </w:pPr>
            <w:r w:rsidRPr="00EB7757">
              <w:rPr>
                <w:rFonts w:asciiTheme="minorHAnsi" w:hAnsiTheme="minorHAnsi" w:cstheme="minorHAnsi"/>
                <w:sz w:val="22"/>
                <w:szCs w:val="22"/>
              </w:rPr>
              <w:t>Fugitive hydrogen emissions</w:t>
            </w:r>
            <w:r w:rsidRPr="00EB7757">
              <w:rPr>
                <w:rStyle w:val="FootnoteReference"/>
                <w:rFonts w:asciiTheme="minorHAnsi" w:hAnsiTheme="minorHAnsi" w:cstheme="minorHAnsi"/>
                <w:sz w:val="22"/>
                <w:szCs w:val="22"/>
              </w:rPr>
              <w:footnoteReference w:id="10"/>
            </w:r>
          </w:p>
        </w:tc>
      </w:tr>
    </w:tbl>
    <w:p w14:paraId="1A580E58" w14:textId="77777777" w:rsidR="007F31C9" w:rsidRDefault="007F31C9" w:rsidP="007F31C9">
      <w:pPr>
        <w:rPr>
          <w:rFonts w:asciiTheme="majorHAnsi" w:eastAsiaTheme="majorEastAsia" w:hAnsiTheme="majorHAnsi" w:cstheme="majorBidi"/>
          <w:color w:val="005677" w:themeColor="text2"/>
          <w:sz w:val="40"/>
          <w:szCs w:val="48"/>
        </w:rPr>
      </w:pPr>
      <w:bookmarkStart w:id="414" w:name="_Toc64302386"/>
      <w:bookmarkStart w:id="415" w:name="_Toc65168390"/>
      <w:bookmarkStart w:id="416" w:name="_Toc64302388"/>
      <w:bookmarkStart w:id="417" w:name="_Toc65168392"/>
      <w:bookmarkStart w:id="418" w:name="_Toc67329133"/>
      <w:bookmarkStart w:id="419" w:name="_Toc67329381"/>
      <w:bookmarkStart w:id="420" w:name="_Toc67562637"/>
      <w:bookmarkStart w:id="421" w:name="_Toc68000220"/>
      <w:bookmarkStart w:id="422" w:name="_Toc68083151"/>
      <w:bookmarkStart w:id="423" w:name="_Toc68083546"/>
      <w:bookmarkEnd w:id="414"/>
      <w:bookmarkEnd w:id="415"/>
      <w:r>
        <w:br w:type="page"/>
      </w:r>
    </w:p>
    <w:p w14:paraId="43492ED0" w14:textId="266DCCE6" w:rsidR="004D54C6" w:rsidRDefault="00EB7757" w:rsidP="003B47A9">
      <w:pPr>
        <w:pStyle w:val="Heading2"/>
      </w:pPr>
      <w:bookmarkStart w:id="424" w:name="_Toc68105085"/>
      <w:bookmarkStart w:id="425" w:name="_Toc74839364"/>
      <w:bookmarkEnd w:id="424"/>
      <w:bookmarkEnd w:id="416"/>
      <w:bookmarkEnd w:id="417"/>
      <w:bookmarkEnd w:id="418"/>
      <w:bookmarkEnd w:id="419"/>
      <w:bookmarkEnd w:id="420"/>
      <w:bookmarkEnd w:id="421"/>
      <w:bookmarkEnd w:id="422"/>
      <w:bookmarkEnd w:id="423"/>
      <w:r>
        <w:t>Information to be reported</w:t>
      </w:r>
      <w:bookmarkEnd w:id="425"/>
    </w:p>
    <w:tbl>
      <w:tblPr>
        <w:tblStyle w:val="EPLTablePlain"/>
        <w:tblW w:w="5000" w:type="pct"/>
        <w:tblLook w:val="04A0" w:firstRow="1" w:lastRow="0" w:firstColumn="1" w:lastColumn="0" w:noHBand="0" w:noVBand="1"/>
        <w:tblDescription w:val="Table summarising the data to be reported to calculate emissions from the coal gasification pathway."/>
      </w:tblPr>
      <w:tblGrid>
        <w:gridCol w:w="3912"/>
        <w:gridCol w:w="4819"/>
      </w:tblGrid>
      <w:tr w:rsidR="0001795E" w:rsidRPr="00052AFA" w14:paraId="336FF55C" w14:textId="77777777" w:rsidTr="006E1573">
        <w:trPr>
          <w:cnfStyle w:val="100000000000" w:firstRow="1" w:lastRow="0" w:firstColumn="0" w:lastColumn="0" w:oddVBand="0" w:evenVBand="0" w:oddHBand="0" w:evenHBand="0" w:firstRowFirstColumn="0" w:firstRowLastColumn="0" w:lastRowFirstColumn="0" w:lastRowLastColumn="0"/>
          <w:trHeight w:hRule="exact" w:val="454"/>
          <w:tblHeader/>
        </w:trPr>
        <w:tc>
          <w:tcPr>
            <w:tcW w:w="0" w:type="pct"/>
          </w:tcPr>
          <w:p w14:paraId="705EF70A" w14:textId="77777777" w:rsidR="0001795E" w:rsidRPr="00052AFA" w:rsidRDefault="0001795E" w:rsidP="001B3FBB">
            <w:pPr>
              <w:pStyle w:val="ListParagraph"/>
              <w:ind w:left="0" w:firstLine="0"/>
              <w:rPr>
                <w:rFonts w:cs="Arial"/>
                <w:color w:val="auto"/>
              </w:rPr>
            </w:pPr>
            <w:r w:rsidRPr="00052AFA">
              <w:rPr>
                <w:rFonts w:cs="Arial"/>
                <w:color w:val="auto"/>
              </w:rPr>
              <w:t>Category</w:t>
            </w:r>
          </w:p>
        </w:tc>
        <w:tc>
          <w:tcPr>
            <w:tcW w:w="0" w:type="pct"/>
          </w:tcPr>
          <w:p w14:paraId="06382855" w14:textId="77777777" w:rsidR="0001795E" w:rsidRPr="00052AFA" w:rsidRDefault="0001795E" w:rsidP="001B3FBB">
            <w:pPr>
              <w:pStyle w:val="ListParagraph"/>
              <w:ind w:left="0" w:firstLine="0"/>
              <w:rPr>
                <w:rFonts w:cs="Arial"/>
                <w:color w:val="auto"/>
              </w:rPr>
            </w:pPr>
            <w:r w:rsidRPr="00052AFA">
              <w:rPr>
                <w:rFonts w:cs="Arial"/>
                <w:color w:val="auto"/>
              </w:rPr>
              <w:t>Matters to be identified</w:t>
            </w:r>
          </w:p>
        </w:tc>
      </w:tr>
      <w:tr w:rsidR="0001795E" w14:paraId="7B9532F3" w14:textId="77777777" w:rsidTr="00EB7757">
        <w:trPr>
          <w:trHeight w:val="1213"/>
        </w:trPr>
        <w:tc>
          <w:tcPr>
            <w:tcW w:w="0" w:type="pct"/>
          </w:tcPr>
          <w:p w14:paraId="692491E7" w14:textId="77777777" w:rsidR="0001795E" w:rsidRPr="00EB7757" w:rsidRDefault="0001795E" w:rsidP="0079029D">
            <w:pPr>
              <w:pStyle w:val="ListParagraph"/>
              <w:numPr>
                <w:ilvl w:val="0"/>
                <w:numId w:val="5"/>
              </w:numPr>
              <w:spacing w:after="280"/>
              <w:ind w:left="0"/>
              <w:rPr>
                <w:rFonts w:asciiTheme="minorHAnsi" w:hAnsiTheme="minorHAnsi" w:cstheme="minorHAnsi"/>
                <w:sz w:val="22"/>
                <w:szCs w:val="22"/>
              </w:rPr>
            </w:pPr>
            <w:r w:rsidRPr="00EB7757">
              <w:rPr>
                <w:rFonts w:asciiTheme="minorHAnsi" w:hAnsiTheme="minorHAnsi" w:cstheme="minorHAnsi"/>
                <w:sz w:val="22"/>
                <w:szCs w:val="22"/>
              </w:rPr>
              <w:t>Facility details</w:t>
            </w:r>
          </w:p>
        </w:tc>
        <w:tc>
          <w:tcPr>
            <w:tcW w:w="0" w:type="pct"/>
          </w:tcPr>
          <w:p w14:paraId="3AFE2FB2" w14:textId="77777777" w:rsidR="0001795E" w:rsidRPr="00EB7757" w:rsidRDefault="0001795E" w:rsidP="001B3FBB">
            <w:pPr>
              <w:pStyle w:val="ListBullet"/>
              <w:rPr>
                <w:rFonts w:asciiTheme="minorHAnsi" w:hAnsiTheme="minorHAnsi" w:cstheme="minorHAnsi"/>
                <w:sz w:val="22"/>
                <w:szCs w:val="22"/>
              </w:rPr>
            </w:pPr>
            <w:r w:rsidRPr="00EB7757">
              <w:rPr>
                <w:rFonts w:asciiTheme="minorHAnsi" w:hAnsiTheme="minorHAnsi" w:cstheme="minorHAnsi"/>
                <w:sz w:val="22"/>
                <w:szCs w:val="22"/>
              </w:rPr>
              <w:t>Facility identity</w:t>
            </w:r>
          </w:p>
          <w:p w14:paraId="4478A544" w14:textId="77777777" w:rsidR="0001795E" w:rsidRPr="00EB7757" w:rsidRDefault="0001795E" w:rsidP="001B3FBB">
            <w:pPr>
              <w:pStyle w:val="ListBullet"/>
              <w:rPr>
                <w:rFonts w:asciiTheme="minorHAnsi" w:hAnsiTheme="minorHAnsi" w:cstheme="minorHAnsi"/>
                <w:sz w:val="22"/>
                <w:szCs w:val="22"/>
              </w:rPr>
            </w:pPr>
            <w:r w:rsidRPr="00EB7757">
              <w:rPr>
                <w:rFonts w:asciiTheme="minorHAnsi" w:hAnsiTheme="minorHAnsi" w:cstheme="minorHAnsi"/>
                <w:sz w:val="22"/>
                <w:szCs w:val="22"/>
              </w:rPr>
              <w:t>Facility location</w:t>
            </w:r>
          </w:p>
          <w:p w14:paraId="6369073B" w14:textId="77777777" w:rsidR="0001795E" w:rsidRPr="00EB7757" w:rsidRDefault="0001795E" w:rsidP="001B3FBB">
            <w:pPr>
              <w:pStyle w:val="ListBullet"/>
              <w:rPr>
                <w:rFonts w:asciiTheme="minorHAnsi" w:hAnsiTheme="minorHAnsi" w:cstheme="minorHAnsi"/>
                <w:sz w:val="22"/>
                <w:szCs w:val="22"/>
              </w:rPr>
            </w:pPr>
            <w:r w:rsidRPr="00EB7757">
              <w:rPr>
                <w:rFonts w:asciiTheme="minorHAnsi" w:hAnsiTheme="minorHAnsi" w:cstheme="minorHAnsi"/>
                <w:sz w:val="22"/>
                <w:szCs w:val="22"/>
              </w:rPr>
              <w:t>Facility capacity</w:t>
            </w:r>
          </w:p>
          <w:p w14:paraId="4F4740FE" w14:textId="77777777" w:rsidR="0001795E" w:rsidRPr="00EB7757" w:rsidRDefault="0001795E" w:rsidP="001B3FBB">
            <w:pPr>
              <w:pStyle w:val="ListBullet"/>
              <w:rPr>
                <w:rFonts w:asciiTheme="minorHAnsi" w:hAnsiTheme="minorHAnsi" w:cstheme="minorHAnsi"/>
                <w:sz w:val="22"/>
                <w:szCs w:val="22"/>
              </w:rPr>
            </w:pPr>
            <w:r w:rsidRPr="00EB7757">
              <w:rPr>
                <w:rFonts w:asciiTheme="minorHAnsi" w:hAnsiTheme="minorHAnsi" w:cstheme="minorHAnsi"/>
                <w:color w:val="auto"/>
                <w:sz w:val="22"/>
                <w:szCs w:val="22"/>
              </w:rPr>
              <w:t>Commencement of facility operation</w:t>
            </w:r>
          </w:p>
        </w:tc>
      </w:tr>
      <w:tr w:rsidR="0001795E" w14:paraId="6011AE17" w14:textId="77777777" w:rsidTr="00EB7757">
        <w:trPr>
          <w:trHeight w:val="497"/>
        </w:trPr>
        <w:tc>
          <w:tcPr>
            <w:tcW w:w="0" w:type="pct"/>
          </w:tcPr>
          <w:p w14:paraId="25D09CF3" w14:textId="77777777" w:rsidR="0001795E" w:rsidRPr="00EB7757" w:rsidRDefault="0001795E" w:rsidP="0079029D">
            <w:pPr>
              <w:pStyle w:val="ListParagraph"/>
              <w:numPr>
                <w:ilvl w:val="0"/>
                <w:numId w:val="5"/>
              </w:numPr>
              <w:spacing w:after="280"/>
              <w:ind w:left="0"/>
              <w:rPr>
                <w:rFonts w:asciiTheme="minorHAnsi" w:hAnsiTheme="minorHAnsi" w:cstheme="minorHAnsi"/>
                <w:sz w:val="22"/>
                <w:szCs w:val="22"/>
              </w:rPr>
            </w:pPr>
            <w:r w:rsidRPr="00EB7757">
              <w:rPr>
                <w:rFonts w:asciiTheme="minorHAnsi" w:hAnsiTheme="minorHAnsi" w:cstheme="minorHAnsi"/>
                <w:sz w:val="22"/>
                <w:szCs w:val="22"/>
              </w:rPr>
              <w:t xml:space="preserve">Production </w:t>
            </w:r>
          </w:p>
        </w:tc>
        <w:tc>
          <w:tcPr>
            <w:tcW w:w="0" w:type="pct"/>
          </w:tcPr>
          <w:p w14:paraId="4F21D5BE" w14:textId="77777777" w:rsidR="0001795E" w:rsidRPr="00EB7757" w:rsidRDefault="0001795E" w:rsidP="002F46C2">
            <w:pPr>
              <w:spacing w:after="280"/>
              <w:rPr>
                <w:rFonts w:asciiTheme="minorHAnsi" w:hAnsiTheme="minorHAnsi" w:cstheme="minorHAnsi"/>
                <w:sz w:val="22"/>
                <w:szCs w:val="22"/>
              </w:rPr>
            </w:pPr>
            <w:r w:rsidRPr="00EB7757">
              <w:rPr>
                <w:rFonts w:asciiTheme="minorHAnsi" w:hAnsiTheme="minorHAnsi" w:cstheme="minorHAnsi"/>
                <w:sz w:val="22"/>
                <w:szCs w:val="22"/>
              </w:rPr>
              <w:t>Production pathway</w:t>
            </w:r>
          </w:p>
        </w:tc>
      </w:tr>
      <w:tr w:rsidR="0001795E" w14:paraId="6449A4CE" w14:textId="77777777" w:rsidTr="006E1573">
        <w:trPr>
          <w:trHeight w:val="794"/>
        </w:trPr>
        <w:tc>
          <w:tcPr>
            <w:tcW w:w="0" w:type="pct"/>
          </w:tcPr>
          <w:p w14:paraId="2150A0EB" w14:textId="77777777" w:rsidR="0001795E" w:rsidRPr="00EB7757" w:rsidRDefault="0001795E" w:rsidP="0079029D">
            <w:pPr>
              <w:pStyle w:val="ListParagraph"/>
              <w:numPr>
                <w:ilvl w:val="0"/>
                <w:numId w:val="5"/>
              </w:numPr>
              <w:spacing w:after="280"/>
              <w:ind w:left="0"/>
              <w:rPr>
                <w:rFonts w:asciiTheme="minorHAnsi" w:hAnsiTheme="minorHAnsi" w:cstheme="minorHAnsi"/>
                <w:sz w:val="22"/>
                <w:szCs w:val="22"/>
              </w:rPr>
            </w:pPr>
            <w:r w:rsidRPr="00EB7757">
              <w:rPr>
                <w:rFonts w:asciiTheme="minorHAnsi" w:hAnsiTheme="minorHAnsi" w:cstheme="minorHAnsi"/>
                <w:sz w:val="22"/>
                <w:szCs w:val="22"/>
              </w:rPr>
              <w:t>GHG emissions overview</w:t>
            </w:r>
          </w:p>
        </w:tc>
        <w:tc>
          <w:tcPr>
            <w:tcW w:w="0" w:type="pct"/>
          </w:tcPr>
          <w:p w14:paraId="2D3A14D0" w14:textId="77777777" w:rsidR="0001795E" w:rsidRPr="00EB7757" w:rsidRDefault="0001795E" w:rsidP="001B3FBB">
            <w:pPr>
              <w:pStyle w:val="ListBullet"/>
              <w:rPr>
                <w:rFonts w:asciiTheme="minorHAnsi" w:hAnsiTheme="minorHAnsi" w:cstheme="minorHAnsi"/>
                <w:sz w:val="22"/>
                <w:szCs w:val="22"/>
              </w:rPr>
            </w:pPr>
            <w:r w:rsidRPr="00EB7757">
              <w:rPr>
                <w:rFonts w:asciiTheme="minorHAnsi" w:hAnsiTheme="minorHAnsi" w:cstheme="minorHAnsi"/>
                <w:sz w:val="22"/>
                <w:szCs w:val="22"/>
              </w:rPr>
              <w:t>Emissions intensity of hydrogen batch</w:t>
            </w:r>
          </w:p>
          <w:p w14:paraId="51E549B6" w14:textId="15682C73" w:rsidR="0001795E" w:rsidRPr="00EB7757" w:rsidRDefault="0001795E" w:rsidP="001B3FBB">
            <w:pPr>
              <w:pStyle w:val="ListBullet"/>
              <w:rPr>
                <w:rFonts w:asciiTheme="minorHAnsi" w:hAnsiTheme="minorHAnsi" w:cstheme="minorHAnsi"/>
                <w:sz w:val="22"/>
                <w:szCs w:val="22"/>
              </w:rPr>
            </w:pPr>
          </w:p>
        </w:tc>
      </w:tr>
      <w:tr w:rsidR="0001795E" w14:paraId="25B3BEED" w14:textId="77777777" w:rsidTr="006E1573">
        <w:trPr>
          <w:trHeight w:val="506"/>
        </w:trPr>
        <w:tc>
          <w:tcPr>
            <w:tcW w:w="0" w:type="pct"/>
          </w:tcPr>
          <w:p w14:paraId="78445CEE" w14:textId="77777777" w:rsidR="0001795E" w:rsidRPr="00EB7757" w:rsidRDefault="0001795E" w:rsidP="0079029D">
            <w:pPr>
              <w:pStyle w:val="ListParagraph"/>
              <w:numPr>
                <w:ilvl w:val="0"/>
                <w:numId w:val="5"/>
              </w:numPr>
              <w:spacing w:after="280"/>
              <w:ind w:left="0"/>
              <w:rPr>
                <w:rFonts w:asciiTheme="minorHAnsi" w:hAnsiTheme="minorHAnsi" w:cstheme="minorHAnsi"/>
                <w:sz w:val="22"/>
                <w:szCs w:val="22"/>
              </w:rPr>
            </w:pPr>
            <w:r w:rsidRPr="00EB7757">
              <w:rPr>
                <w:rFonts w:asciiTheme="minorHAnsi" w:hAnsiTheme="minorHAnsi" w:cstheme="minorHAnsi"/>
                <w:sz w:val="22"/>
                <w:szCs w:val="22"/>
              </w:rPr>
              <w:t>Batch details</w:t>
            </w:r>
          </w:p>
        </w:tc>
        <w:tc>
          <w:tcPr>
            <w:tcW w:w="0" w:type="pct"/>
          </w:tcPr>
          <w:p w14:paraId="71AE1E74" w14:textId="77777777" w:rsidR="0001795E" w:rsidRPr="00EB7757" w:rsidRDefault="0001795E" w:rsidP="001B3FBB">
            <w:pPr>
              <w:pStyle w:val="ListBullet"/>
              <w:rPr>
                <w:rFonts w:asciiTheme="minorHAnsi" w:hAnsiTheme="minorHAnsi" w:cstheme="minorHAnsi"/>
                <w:sz w:val="22"/>
                <w:szCs w:val="22"/>
              </w:rPr>
            </w:pPr>
            <w:r w:rsidRPr="00EB7757">
              <w:rPr>
                <w:rFonts w:asciiTheme="minorHAnsi" w:hAnsiTheme="minorHAnsi" w:cstheme="minorHAnsi"/>
                <w:sz w:val="22"/>
                <w:szCs w:val="22"/>
              </w:rPr>
              <w:t>Beginning and end of batch dates</w:t>
            </w:r>
          </w:p>
          <w:p w14:paraId="3FD33C0E" w14:textId="77777777" w:rsidR="0001795E" w:rsidRPr="00EB7757" w:rsidRDefault="0001795E" w:rsidP="001B3FBB">
            <w:pPr>
              <w:pStyle w:val="ListBullet"/>
              <w:rPr>
                <w:rFonts w:asciiTheme="minorHAnsi" w:hAnsiTheme="minorHAnsi" w:cstheme="minorHAnsi"/>
                <w:sz w:val="22"/>
                <w:szCs w:val="22"/>
              </w:rPr>
            </w:pPr>
            <w:r w:rsidRPr="00EB7757">
              <w:rPr>
                <w:rFonts w:asciiTheme="minorHAnsi" w:hAnsiTheme="minorHAnsi" w:cstheme="minorHAnsi"/>
                <w:color w:val="auto"/>
                <w:sz w:val="22"/>
                <w:szCs w:val="22"/>
              </w:rPr>
              <w:t>Batch quantity</w:t>
            </w:r>
          </w:p>
        </w:tc>
      </w:tr>
      <w:tr w:rsidR="0001795E" w14:paraId="60D6C0CD" w14:textId="77777777" w:rsidTr="006E1573">
        <w:trPr>
          <w:trHeight w:val="1187"/>
        </w:trPr>
        <w:tc>
          <w:tcPr>
            <w:tcW w:w="0" w:type="pct"/>
          </w:tcPr>
          <w:p w14:paraId="7BB05BC4" w14:textId="77777777" w:rsidR="0001795E" w:rsidRPr="00EB7757" w:rsidRDefault="0001795E" w:rsidP="001B3FBB">
            <w:pPr>
              <w:pStyle w:val="ListBullet"/>
              <w:rPr>
                <w:rFonts w:asciiTheme="minorHAnsi" w:hAnsiTheme="minorHAnsi" w:cstheme="minorHAnsi"/>
                <w:sz w:val="22"/>
                <w:szCs w:val="22"/>
              </w:rPr>
            </w:pPr>
            <w:r w:rsidRPr="00EB7757">
              <w:rPr>
                <w:rFonts w:asciiTheme="minorHAnsi" w:hAnsiTheme="minorHAnsi" w:cstheme="minorHAnsi"/>
                <w:sz w:val="22"/>
                <w:szCs w:val="22"/>
              </w:rPr>
              <w:t>Electricity</w:t>
            </w:r>
          </w:p>
          <w:p w14:paraId="37BD6DF5" w14:textId="77777777" w:rsidR="0001795E" w:rsidRPr="00EB7757" w:rsidRDefault="0001795E" w:rsidP="0079029D">
            <w:pPr>
              <w:pStyle w:val="ListParagraph"/>
              <w:numPr>
                <w:ilvl w:val="0"/>
                <w:numId w:val="5"/>
              </w:numPr>
              <w:spacing w:after="280"/>
              <w:ind w:left="0"/>
              <w:rPr>
                <w:rFonts w:asciiTheme="minorHAnsi" w:hAnsiTheme="minorHAnsi" w:cstheme="minorHAnsi"/>
                <w:sz w:val="22"/>
                <w:szCs w:val="22"/>
              </w:rPr>
            </w:pPr>
          </w:p>
        </w:tc>
        <w:tc>
          <w:tcPr>
            <w:tcW w:w="0" w:type="pct"/>
          </w:tcPr>
          <w:p w14:paraId="55E50597" w14:textId="77777777" w:rsidR="00E14A01" w:rsidRPr="00EB7757" w:rsidRDefault="00E14A01" w:rsidP="00E14A01">
            <w:pPr>
              <w:pStyle w:val="ListBullet"/>
              <w:rPr>
                <w:rFonts w:asciiTheme="minorHAnsi" w:hAnsiTheme="minorHAnsi" w:cstheme="minorHAnsi"/>
                <w:sz w:val="22"/>
                <w:szCs w:val="22"/>
              </w:rPr>
            </w:pPr>
            <w:r w:rsidRPr="00EB7757">
              <w:rPr>
                <w:rFonts w:asciiTheme="minorHAnsi" w:hAnsiTheme="minorHAnsi" w:cstheme="minorHAnsi"/>
                <w:sz w:val="22"/>
                <w:szCs w:val="22"/>
              </w:rPr>
              <w:t>Location based emissions accounting:</w:t>
            </w:r>
          </w:p>
          <w:p w14:paraId="4E14433A" w14:textId="77777777" w:rsidR="00E14A01" w:rsidRPr="00EB7757" w:rsidRDefault="00E14A01" w:rsidP="00F048C7">
            <w:pPr>
              <w:pStyle w:val="ListBullet"/>
              <w:numPr>
                <w:ilvl w:val="0"/>
                <w:numId w:val="11"/>
              </w:numPr>
              <w:rPr>
                <w:rFonts w:asciiTheme="minorHAnsi" w:hAnsiTheme="minorHAnsi" w:cstheme="minorHAnsi"/>
                <w:sz w:val="22"/>
                <w:szCs w:val="22"/>
              </w:rPr>
            </w:pPr>
            <w:r w:rsidRPr="00EB7757">
              <w:rPr>
                <w:rFonts w:asciiTheme="minorHAnsi" w:hAnsiTheme="minorHAnsi" w:cstheme="minorHAnsi"/>
                <w:sz w:val="22"/>
                <w:szCs w:val="22"/>
              </w:rPr>
              <w:t>Quantity of purchased grid electricity [kWh]</w:t>
            </w:r>
          </w:p>
          <w:p w14:paraId="7A63EBF2" w14:textId="77777777" w:rsidR="00E14A01" w:rsidRPr="00EB7757" w:rsidRDefault="00E14A01" w:rsidP="00F048C7">
            <w:pPr>
              <w:pStyle w:val="ListBullet"/>
              <w:numPr>
                <w:ilvl w:val="0"/>
                <w:numId w:val="11"/>
              </w:numPr>
              <w:rPr>
                <w:rFonts w:asciiTheme="minorHAnsi" w:hAnsiTheme="minorHAnsi" w:cstheme="minorHAnsi"/>
                <w:sz w:val="22"/>
                <w:szCs w:val="22"/>
              </w:rPr>
            </w:pPr>
            <w:r w:rsidRPr="00EB7757">
              <w:rPr>
                <w:rFonts w:asciiTheme="minorHAnsi" w:hAnsiTheme="minorHAnsi" w:cstheme="minorHAnsi"/>
                <w:sz w:val="22"/>
                <w:szCs w:val="22"/>
              </w:rPr>
              <w:t>Location based emission factor used [kgCO</w:t>
            </w:r>
            <w:r w:rsidRPr="00EB7757">
              <w:rPr>
                <w:rFonts w:asciiTheme="minorHAnsi" w:hAnsiTheme="minorHAnsi" w:cstheme="minorHAnsi"/>
                <w:sz w:val="22"/>
                <w:szCs w:val="22"/>
                <w:vertAlign w:val="subscript"/>
              </w:rPr>
              <w:t>2</w:t>
            </w:r>
            <w:r w:rsidRPr="00EB7757">
              <w:rPr>
                <w:rFonts w:asciiTheme="minorHAnsi" w:hAnsiTheme="minorHAnsi" w:cstheme="minorHAnsi"/>
                <w:sz w:val="22"/>
                <w:szCs w:val="22"/>
              </w:rPr>
              <w:t>-e/kWh]</w:t>
            </w:r>
          </w:p>
          <w:p w14:paraId="665FA7FC" w14:textId="77777777" w:rsidR="00E14A01" w:rsidRPr="00EB7757" w:rsidRDefault="00E14A01" w:rsidP="00E14A01">
            <w:pPr>
              <w:pStyle w:val="ListBullet"/>
              <w:ind w:left="0" w:firstLine="0"/>
              <w:rPr>
                <w:rFonts w:asciiTheme="minorHAnsi" w:hAnsiTheme="minorHAnsi" w:cstheme="minorHAnsi"/>
                <w:sz w:val="22"/>
                <w:szCs w:val="22"/>
              </w:rPr>
            </w:pPr>
          </w:p>
          <w:p w14:paraId="7EBC5F29" w14:textId="77777777" w:rsidR="00E14A01" w:rsidRPr="00EB7757" w:rsidRDefault="00E14A01" w:rsidP="00E14A01">
            <w:pPr>
              <w:pStyle w:val="ListBullet"/>
              <w:ind w:left="0" w:firstLine="0"/>
              <w:rPr>
                <w:rFonts w:asciiTheme="minorHAnsi" w:hAnsiTheme="minorHAnsi" w:cstheme="minorHAnsi"/>
                <w:sz w:val="22"/>
                <w:szCs w:val="22"/>
              </w:rPr>
            </w:pPr>
            <w:r w:rsidRPr="00EB7757">
              <w:rPr>
                <w:rFonts w:asciiTheme="minorHAnsi" w:hAnsiTheme="minorHAnsi" w:cstheme="minorHAnsi"/>
                <w:sz w:val="22"/>
                <w:szCs w:val="22"/>
              </w:rPr>
              <w:t>Market based emissions accounting</w:t>
            </w:r>
          </w:p>
          <w:p w14:paraId="1B9BA853" w14:textId="77777777" w:rsidR="00E14A01" w:rsidRPr="00EB7757" w:rsidRDefault="00E14A01" w:rsidP="00F048C7">
            <w:pPr>
              <w:pStyle w:val="ListBullet"/>
              <w:numPr>
                <w:ilvl w:val="0"/>
                <w:numId w:val="12"/>
              </w:numPr>
              <w:rPr>
                <w:rFonts w:asciiTheme="minorHAnsi" w:hAnsiTheme="minorHAnsi" w:cstheme="minorHAnsi"/>
                <w:sz w:val="22"/>
                <w:szCs w:val="22"/>
              </w:rPr>
            </w:pPr>
            <w:r w:rsidRPr="00EB7757">
              <w:rPr>
                <w:rFonts w:asciiTheme="minorHAnsi" w:hAnsiTheme="minorHAnsi" w:cstheme="minorHAnsi"/>
                <w:sz w:val="22"/>
                <w:szCs w:val="22"/>
              </w:rPr>
              <w:t>Quantity of purchased grid electricity [kWh]</w:t>
            </w:r>
          </w:p>
          <w:p w14:paraId="3D953884" w14:textId="275DDCC7" w:rsidR="00E14A01" w:rsidRPr="00EB7757" w:rsidRDefault="00E14A01" w:rsidP="00F048C7">
            <w:pPr>
              <w:pStyle w:val="ListBullet"/>
              <w:numPr>
                <w:ilvl w:val="0"/>
                <w:numId w:val="12"/>
              </w:numPr>
              <w:rPr>
                <w:rFonts w:asciiTheme="minorHAnsi" w:hAnsiTheme="minorHAnsi" w:cstheme="minorHAnsi"/>
                <w:sz w:val="22"/>
                <w:szCs w:val="22"/>
              </w:rPr>
            </w:pPr>
            <w:r w:rsidRPr="00EB7757">
              <w:rPr>
                <w:rFonts w:asciiTheme="minorHAnsi" w:hAnsiTheme="minorHAnsi" w:cstheme="minorHAnsi"/>
                <w:sz w:val="22"/>
                <w:szCs w:val="22"/>
              </w:rPr>
              <w:t>Number of LGC</w:t>
            </w:r>
            <w:r w:rsidR="00F270AB" w:rsidRPr="00EB7757">
              <w:rPr>
                <w:rFonts w:asciiTheme="minorHAnsi" w:hAnsiTheme="minorHAnsi" w:cstheme="minorHAnsi"/>
                <w:sz w:val="22"/>
                <w:szCs w:val="22"/>
              </w:rPr>
              <w:t xml:space="preserve">s surrendered (through PPAs </w:t>
            </w:r>
            <w:r w:rsidRPr="00EB7757">
              <w:rPr>
                <w:rFonts w:asciiTheme="minorHAnsi" w:hAnsiTheme="minorHAnsi" w:cstheme="minorHAnsi"/>
                <w:sz w:val="22"/>
                <w:szCs w:val="22"/>
              </w:rPr>
              <w:t>or GreenPower purchases</w:t>
            </w:r>
          </w:p>
          <w:p w14:paraId="20A5FAEB" w14:textId="77777777" w:rsidR="00E14A01" w:rsidRPr="00EB7757" w:rsidRDefault="00E14A01" w:rsidP="00F048C7">
            <w:pPr>
              <w:pStyle w:val="ListBullet"/>
              <w:numPr>
                <w:ilvl w:val="0"/>
                <w:numId w:val="12"/>
              </w:numPr>
              <w:rPr>
                <w:rFonts w:asciiTheme="minorHAnsi" w:hAnsiTheme="minorHAnsi" w:cstheme="minorHAnsi"/>
                <w:sz w:val="22"/>
                <w:szCs w:val="22"/>
              </w:rPr>
            </w:pPr>
            <w:r w:rsidRPr="00EB7757">
              <w:rPr>
                <w:rFonts w:asciiTheme="minorHAnsi" w:hAnsiTheme="minorHAnsi" w:cstheme="minorHAnsi"/>
                <w:sz w:val="22"/>
                <w:szCs w:val="22"/>
              </w:rPr>
              <w:t>Electricity consumption attributed to the LRET</w:t>
            </w:r>
          </w:p>
          <w:p w14:paraId="1A97D07B" w14:textId="77777777" w:rsidR="00E14A01" w:rsidRPr="00EB7757" w:rsidRDefault="00E14A01" w:rsidP="00F048C7">
            <w:pPr>
              <w:pStyle w:val="ListBullet"/>
              <w:numPr>
                <w:ilvl w:val="0"/>
                <w:numId w:val="12"/>
              </w:numPr>
              <w:rPr>
                <w:rFonts w:asciiTheme="minorHAnsi" w:hAnsiTheme="minorHAnsi" w:cstheme="minorHAnsi"/>
                <w:sz w:val="22"/>
                <w:szCs w:val="22"/>
              </w:rPr>
            </w:pPr>
            <w:r w:rsidRPr="00EB7757">
              <w:rPr>
                <w:rFonts w:asciiTheme="minorHAnsi" w:hAnsiTheme="minorHAnsi" w:cstheme="minorHAnsi"/>
                <w:sz w:val="22"/>
                <w:szCs w:val="22"/>
              </w:rPr>
              <w:t>Elect consumption attributable to jurisdictional renewable energy targets</w:t>
            </w:r>
          </w:p>
          <w:p w14:paraId="4D25C09F" w14:textId="77777777" w:rsidR="00E14A01" w:rsidRPr="00EB7757" w:rsidRDefault="00E14A01" w:rsidP="00F048C7">
            <w:pPr>
              <w:pStyle w:val="ListBullet"/>
              <w:numPr>
                <w:ilvl w:val="0"/>
                <w:numId w:val="12"/>
              </w:numPr>
              <w:rPr>
                <w:rFonts w:asciiTheme="minorHAnsi" w:hAnsiTheme="minorHAnsi" w:cstheme="minorHAnsi"/>
                <w:sz w:val="22"/>
                <w:szCs w:val="22"/>
              </w:rPr>
            </w:pPr>
            <w:r w:rsidRPr="00EB7757">
              <w:rPr>
                <w:rFonts w:asciiTheme="minorHAnsi" w:hAnsiTheme="minorHAnsi" w:cstheme="minorHAnsi"/>
                <w:sz w:val="22"/>
                <w:szCs w:val="22"/>
              </w:rPr>
              <w:t>Residual electricity</w:t>
            </w:r>
          </w:p>
          <w:p w14:paraId="3C5B679B" w14:textId="77777777" w:rsidR="00E14A01" w:rsidRPr="00EB7757" w:rsidRDefault="00E14A01" w:rsidP="00F048C7">
            <w:pPr>
              <w:pStyle w:val="ListBullet"/>
              <w:numPr>
                <w:ilvl w:val="0"/>
                <w:numId w:val="12"/>
              </w:numPr>
              <w:rPr>
                <w:rFonts w:asciiTheme="minorHAnsi" w:hAnsiTheme="minorHAnsi" w:cstheme="minorHAnsi"/>
                <w:sz w:val="22"/>
                <w:szCs w:val="22"/>
              </w:rPr>
            </w:pPr>
            <w:r w:rsidRPr="00EB7757">
              <w:rPr>
                <w:rFonts w:asciiTheme="minorHAnsi" w:hAnsiTheme="minorHAnsi" w:cstheme="minorHAnsi"/>
                <w:sz w:val="22"/>
                <w:szCs w:val="22"/>
              </w:rPr>
              <w:t>Residual mix emission factor [kgCO2-e/kWh]</w:t>
            </w:r>
          </w:p>
          <w:p w14:paraId="19A288F7" w14:textId="77777777" w:rsidR="00E14A01" w:rsidRPr="00EB7757" w:rsidRDefault="00E14A01" w:rsidP="00E14A01">
            <w:pPr>
              <w:pStyle w:val="ListBullet"/>
              <w:ind w:firstLine="0"/>
              <w:rPr>
                <w:rFonts w:asciiTheme="minorHAnsi" w:hAnsiTheme="minorHAnsi" w:cstheme="minorHAnsi"/>
                <w:sz w:val="22"/>
                <w:szCs w:val="22"/>
              </w:rPr>
            </w:pPr>
          </w:p>
          <w:p w14:paraId="0B6D358A" w14:textId="77777777" w:rsidR="00E14A01" w:rsidRPr="00EB7757" w:rsidRDefault="00E14A01" w:rsidP="00EB7757">
            <w:pPr>
              <w:pStyle w:val="ListBullet"/>
              <w:rPr>
                <w:rFonts w:asciiTheme="minorHAnsi" w:hAnsiTheme="minorHAnsi" w:cstheme="minorHAnsi"/>
                <w:sz w:val="22"/>
                <w:szCs w:val="22"/>
              </w:rPr>
            </w:pPr>
            <w:r w:rsidRPr="00EB7757">
              <w:rPr>
                <w:rFonts w:asciiTheme="minorHAnsi" w:hAnsiTheme="minorHAnsi" w:cstheme="minorHAnsi"/>
                <w:sz w:val="22"/>
                <w:szCs w:val="22"/>
              </w:rPr>
              <w:t>On-site electricity generation</w:t>
            </w:r>
          </w:p>
          <w:p w14:paraId="77AB9F62" w14:textId="77777777" w:rsidR="00E14A01" w:rsidRPr="00EB7757" w:rsidRDefault="00E14A01" w:rsidP="00F048C7">
            <w:pPr>
              <w:pStyle w:val="ListBullet"/>
              <w:numPr>
                <w:ilvl w:val="0"/>
                <w:numId w:val="12"/>
              </w:numPr>
              <w:rPr>
                <w:rFonts w:asciiTheme="minorHAnsi" w:hAnsiTheme="minorHAnsi" w:cstheme="minorHAnsi"/>
                <w:sz w:val="22"/>
                <w:szCs w:val="22"/>
              </w:rPr>
            </w:pPr>
            <w:r w:rsidRPr="00EB7757">
              <w:rPr>
                <w:rFonts w:asciiTheme="minorHAnsi" w:hAnsiTheme="minorHAnsi" w:cstheme="minorHAnsi"/>
                <w:sz w:val="22"/>
                <w:szCs w:val="22"/>
              </w:rPr>
              <w:t>Quantity of on-site generation [kWh]</w:t>
            </w:r>
          </w:p>
          <w:p w14:paraId="0ACC75FA" w14:textId="2BE3023A" w:rsidR="0001795E" w:rsidRPr="00EB7757" w:rsidRDefault="00E14A01" w:rsidP="00EB7757">
            <w:pPr>
              <w:pStyle w:val="ListBullet"/>
              <w:numPr>
                <w:ilvl w:val="0"/>
                <w:numId w:val="12"/>
              </w:numPr>
              <w:rPr>
                <w:rFonts w:asciiTheme="minorHAnsi" w:hAnsiTheme="minorHAnsi" w:cstheme="minorHAnsi"/>
                <w:sz w:val="22"/>
                <w:szCs w:val="22"/>
              </w:rPr>
            </w:pPr>
            <w:r w:rsidRPr="00EB7757">
              <w:rPr>
                <w:rFonts w:asciiTheme="minorHAnsi" w:hAnsiTheme="minorHAnsi" w:cstheme="minorHAnsi"/>
                <w:sz w:val="22"/>
                <w:szCs w:val="22"/>
              </w:rPr>
              <w:t>Emission factor for on-site generation (as applicable) [kgCO2-e/kWh]</w:t>
            </w:r>
          </w:p>
        </w:tc>
      </w:tr>
      <w:tr w:rsidR="0001795E" w14:paraId="75D920D7" w14:textId="77777777" w:rsidTr="006E1573">
        <w:trPr>
          <w:trHeight w:val="1799"/>
        </w:trPr>
        <w:tc>
          <w:tcPr>
            <w:tcW w:w="0" w:type="pct"/>
          </w:tcPr>
          <w:p w14:paraId="29AF5AAB" w14:textId="77777777" w:rsidR="0001795E" w:rsidRPr="00EB7757" w:rsidRDefault="0001795E" w:rsidP="0079029D">
            <w:pPr>
              <w:pStyle w:val="ListParagraph"/>
              <w:numPr>
                <w:ilvl w:val="0"/>
                <w:numId w:val="5"/>
              </w:numPr>
              <w:spacing w:after="280"/>
              <w:ind w:left="0"/>
              <w:rPr>
                <w:rFonts w:asciiTheme="minorHAnsi" w:hAnsiTheme="minorHAnsi" w:cstheme="minorHAnsi"/>
                <w:sz w:val="22"/>
                <w:szCs w:val="22"/>
              </w:rPr>
            </w:pPr>
            <w:r w:rsidRPr="00EB7757">
              <w:rPr>
                <w:rFonts w:asciiTheme="minorHAnsi" w:hAnsiTheme="minorHAnsi" w:cstheme="minorHAnsi"/>
                <w:sz w:val="22"/>
                <w:szCs w:val="22"/>
              </w:rPr>
              <w:t>Other utilities</w:t>
            </w:r>
          </w:p>
        </w:tc>
        <w:tc>
          <w:tcPr>
            <w:tcW w:w="0" w:type="pct"/>
          </w:tcPr>
          <w:p w14:paraId="47361A5A" w14:textId="253B58EB" w:rsidR="0001795E" w:rsidRPr="00EB7757" w:rsidRDefault="00F270AB" w:rsidP="00F048C7">
            <w:pPr>
              <w:numPr>
                <w:ilvl w:val="0"/>
                <w:numId w:val="8"/>
              </w:numPr>
              <w:spacing w:after="280"/>
              <w:ind w:left="444" w:hanging="444"/>
              <w:rPr>
                <w:rFonts w:asciiTheme="minorHAnsi" w:hAnsiTheme="minorHAnsi" w:cstheme="minorHAnsi"/>
                <w:sz w:val="22"/>
                <w:szCs w:val="22"/>
              </w:rPr>
            </w:pPr>
            <w:r w:rsidRPr="00EB7757">
              <w:rPr>
                <w:rFonts w:asciiTheme="minorHAnsi" w:hAnsiTheme="minorHAnsi" w:cstheme="minorHAnsi"/>
                <w:sz w:val="22"/>
                <w:szCs w:val="22"/>
              </w:rPr>
              <w:t>Source</w:t>
            </w:r>
            <w:r w:rsidR="0001795E" w:rsidRPr="00EB7757">
              <w:rPr>
                <w:rFonts w:asciiTheme="minorHAnsi" w:hAnsiTheme="minorHAnsi" w:cstheme="minorHAnsi"/>
                <w:sz w:val="22"/>
                <w:szCs w:val="22"/>
              </w:rPr>
              <w:t>s of water</w:t>
            </w:r>
          </w:p>
          <w:p w14:paraId="019DCC6F" w14:textId="539B61E9" w:rsidR="0001795E" w:rsidRPr="00EB7757" w:rsidRDefault="00F270AB" w:rsidP="00F048C7">
            <w:pPr>
              <w:numPr>
                <w:ilvl w:val="0"/>
                <w:numId w:val="8"/>
              </w:numPr>
              <w:spacing w:after="280"/>
              <w:ind w:left="444" w:hanging="444"/>
              <w:rPr>
                <w:rFonts w:asciiTheme="minorHAnsi" w:hAnsiTheme="minorHAnsi" w:cstheme="minorHAnsi"/>
                <w:sz w:val="22"/>
                <w:szCs w:val="22"/>
              </w:rPr>
            </w:pPr>
            <w:r w:rsidRPr="00EB7757">
              <w:rPr>
                <w:rFonts w:asciiTheme="minorHAnsi" w:hAnsiTheme="minorHAnsi" w:cstheme="minorHAnsi"/>
                <w:sz w:val="22"/>
                <w:szCs w:val="22"/>
              </w:rPr>
              <w:t>Source</w:t>
            </w:r>
            <w:r w:rsidR="0001795E" w:rsidRPr="00EB7757">
              <w:rPr>
                <w:rFonts w:asciiTheme="minorHAnsi" w:hAnsiTheme="minorHAnsi" w:cstheme="minorHAnsi"/>
                <w:sz w:val="22"/>
                <w:szCs w:val="22"/>
              </w:rPr>
              <w:t>s of steam</w:t>
            </w:r>
          </w:p>
          <w:p w14:paraId="1DB87AB8" w14:textId="77777777" w:rsidR="0001795E" w:rsidRPr="00EB7757" w:rsidRDefault="0001795E" w:rsidP="00F048C7">
            <w:pPr>
              <w:numPr>
                <w:ilvl w:val="0"/>
                <w:numId w:val="8"/>
              </w:numPr>
              <w:spacing w:after="280"/>
              <w:ind w:left="444" w:hanging="444"/>
              <w:rPr>
                <w:rFonts w:asciiTheme="minorHAnsi" w:hAnsiTheme="minorHAnsi" w:cstheme="minorHAnsi"/>
                <w:sz w:val="22"/>
                <w:szCs w:val="22"/>
              </w:rPr>
            </w:pPr>
            <w:r w:rsidRPr="00EB7757">
              <w:rPr>
                <w:rFonts w:asciiTheme="minorHAnsi" w:hAnsiTheme="minorHAnsi" w:cstheme="minorHAnsi"/>
                <w:sz w:val="22"/>
                <w:szCs w:val="22"/>
              </w:rPr>
              <w:t>Quantity of purchased water [kg]</w:t>
            </w:r>
          </w:p>
          <w:p w14:paraId="4948A7C1" w14:textId="77777777" w:rsidR="0001795E" w:rsidRPr="00EB7757" w:rsidRDefault="0001795E" w:rsidP="00F048C7">
            <w:pPr>
              <w:numPr>
                <w:ilvl w:val="0"/>
                <w:numId w:val="8"/>
              </w:numPr>
              <w:spacing w:after="280"/>
              <w:ind w:left="444" w:hanging="444"/>
              <w:rPr>
                <w:rFonts w:asciiTheme="minorHAnsi" w:hAnsiTheme="minorHAnsi" w:cstheme="minorHAnsi"/>
                <w:sz w:val="22"/>
                <w:szCs w:val="22"/>
              </w:rPr>
            </w:pPr>
            <w:r w:rsidRPr="00EB7757">
              <w:rPr>
                <w:rFonts w:asciiTheme="minorHAnsi" w:hAnsiTheme="minorHAnsi" w:cstheme="minorHAnsi"/>
                <w:sz w:val="22"/>
                <w:szCs w:val="22"/>
              </w:rPr>
              <w:t>Quantity of purchased steam [kg]</w:t>
            </w:r>
          </w:p>
          <w:p w14:paraId="03588453" w14:textId="77777777" w:rsidR="0001795E" w:rsidRPr="00EB7757" w:rsidRDefault="0001795E" w:rsidP="00F048C7">
            <w:pPr>
              <w:numPr>
                <w:ilvl w:val="0"/>
                <w:numId w:val="8"/>
              </w:numPr>
              <w:spacing w:after="280"/>
              <w:ind w:left="444" w:hanging="444"/>
              <w:rPr>
                <w:rFonts w:asciiTheme="minorHAnsi" w:hAnsiTheme="minorHAnsi" w:cstheme="minorHAnsi"/>
                <w:sz w:val="22"/>
                <w:szCs w:val="22"/>
              </w:rPr>
            </w:pPr>
            <w:r w:rsidRPr="00EB7757">
              <w:rPr>
                <w:rFonts w:asciiTheme="minorHAnsi" w:hAnsiTheme="minorHAnsi" w:cstheme="minorHAnsi"/>
                <w:sz w:val="22"/>
                <w:szCs w:val="22"/>
              </w:rPr>
              <w:t>Quantity of steam exported [kg]</w:t>
            </w:r>
          </w:p>
        </w:tc>
      </w:tr>
      <w:tr w:rsidR="0001795E" w14:paraId="218D86C1" w14:textId="77777777" w:rsidTr="006E1573">
        <w:trPr>
          <w:trHeight w:val="1108"/>
        </w:trPr>
        <w:tc>
          <w:tcPr>
            <w:tcW w:w="0" w:type="pct"/>
          </w:tcPr>
          <w:p w14:paraId="25CDDD41" w14:textId="77777777" w:rsidR="0001795E" w:rsidRPr="00EB7757" w:rsidRDefault="0001795E" w:rsidP="0079029D">
            <w:pPr>
              <w:pStyle w:val="ListParagraph"/>
              <w:numPr>
                <w:ilvl w:val="0"/>
                <w:numId w:val="5"/>
              </w:numPr>
              <w:spacing w:after="280"/>
              <w:ind w:left="0"/>
              <w:rPr>
                <w:rFonts w:asciiTheme="minorHAnsi" w:hAnsiTheme="minorHAnsi" w:cstheme="minorHAnsi"/>
                <w:sz w:val="22"/>
                <w:szCs w:val="22"/>
              </w:rPr>
            </w:pPr>
            <w:r w:rsidRPr="00EB7757">
              <w:rPr>
                <w:rFonts w:asciiTheme="minorHAnsi" w:hAnsiTheme="minorHAnsi" w:cstheme="minorHAnsi"/>
                <w:sz w:val="22"/>
                <w:szCs w:val="22"/>
              </w:rPr>
              <w:t>Fuel feedstock</w:t>
            </w:r>
          </w:p>
        </w:tc>
        <w:tc>
          <w:tcPr>
            <w:tcW w:w="0" w:type="pct"/>
          </w:tcPr>
          <w:p w14:paraId="65ADD7E9" w14:textId="77777777" w:rsidR="0001795E" w:rsidRPr="00EB7757" w:rsidRDefault="0001795E" w:rsidP="00F048C7">
            <w:pPr>
              <w:numPr>
                <w:ilvl w:val="0"/>
                <w:numId w:val="8"/>
              </w:numPr>
              <w:spacing w:after="280"/>
              <w:ind w:left="444" w:hanging="444"/>
              <w:rPr>
                <w:rFonts w:asciiTheme="minorHAnsi" w:hAnsiTheme="minorHAnsi" w:cstheme="minorHAnsi"/>
                <w:sz w:val="22"/>
                <w:szCs w:val="22"/>
              </w:rPr>
            </w:pPr>
            <w:r w:rsidRPr="00EB7757">
              <w:rPr>
                <w:rFonts w:asciiTheme="minorHAnsi" w:hAnsiTheme="minorHAnsi" w:cstheme="minorHAnsi"/>
                <w:sz w:val="22"/>
                <w:szCs w:val="22"/>
              </w:rPr>
              <w:t>Types of fuels combusted</w:t>
            </w:r>
          </w:p>
          <w:p w14:paraId="5940E28E" w14:textId="77777777" w:rsidR="0001795E" w:rsidRPr="00EB7757" w:rsidRDefault="0001795E" w:rsidP="00F048C7">
            <w:pPr>
              <w:numPr>
                <w:ilvl w:val="0"/>
                <w:numId w:val="8"/>
              </w:numPr>
              <w:spacing w:after="280"/>
              <w:ind w:left="444" w:hanging="444"/>
              <w:rPr>
                <w:rFonts w:asciiTheme="minorHAnsi" w:hAnsiTheme="minorHAnsi" w:cstheme="minorHAnsi"/>
                <w:sz w:val="22"/>
                <w:szCs w:val="22"/>
              </w:rPr>
            </w:pPr>
            <w:r w:rsidRPr="00EB7757">
              <w:rPr>
                <w:rFonts w:asciiTheme="minorHAnsi" w:hAnsiTheme="minorHAnsi" w:cstheme="minorHAnsi"/>
                <w:sz w:val="22"/>
                <w:szCs w:val="22"/>
              </w:rPr>
              <w:t>Quantities of fuel combusted [L, kg]</w:t>
            </w:r>
          </w:p>
          <w:p w14:paraId="2940446B" w14:textId="51096994" w:rsidR="0001795E" w:rsidRPr="00EB7757" w:rsidRDefault="0001795E" w:rsidP="00F048C7">
            <w:pPr>
              <w:numPr>
                <w:ilvl w:val="0"/>
                <w:numId w:val="8"/>
              </w:numPr>
              <w:spacing w:after="280"/>
              <w:ind w:left="444" w:hanging="444"/>
              <w:rPr>
                <w:rFonts w:asciiTheme="minorHAnsi" w:hAnsiTheme="minorHAnsi" w:cstheme="minorHAnsi"/>
                <w:sz w:val="22"/>
                <w:szCs w:val="22"/>
              </w:rPr>
            </w:pPr>
            <w:r w:rsidRPr="00EB7757">
              <w:rPr>
                <w:rFonts w:asciiTheme="minorHAnsi" w:hAnsiTheme="minorHAnsi" w:cstheme="minorHAnsi"/>
                <w:sz w:val="22"/>
                <w:szCs w:val="22"/>
              </w:rPr>
              <w:t xml:space="preserve">Relevant emissions calculation or factors used </w:t>
            </w:r>
          </w:p>
        </w:tc>
      </w:tr>
      <w:tr w:rsidR="0001795E" w14:paraId="1C941D31" w14:textId="77777777" w:rsidTr="006E1573">
        <w:trPr>
          <w:trHeight w:val="2067"/>
        </w:trPr>
        <w:tc>
          <w:tcPr>
            <w:tcW w:w="0" w:type="pct"/>
          </w:tcPr>
          <w:p w14:paraId="4D775156" w14:textId="77777777" w:rsidR="0001795E" w:rsidRPr="00EB7757" w:rsidRDefault="0001795E" w:rsidP="0079029D">
            <w:pPr>
              <w:pStyle w:val="ListParagraph"/>
              <w:numPr>
                <w:ilvl w:val="0"/>
                <w:numId w:val="5"/>
              </w:numPr>
              <w:spacing w:after="280"/>
              <w:ind w:left="0"/>
              <w:rPr>
                <w:rFonts w:asciiTheme="minorHAnsi" w:hAnsiTheme="minorHAnsi" w:cstheme="minorHAnsi"/>
                <w:sz w:val="22"/>
                <w:szCs w:val="22"/>
              </w:rPr>
            </w:pPr>
            <w:r w:rsidRPr="00EB7757">
              <w:rPr>
                <w:rFonts w:asciiTheme="minorHAnsi" w:hAnsiTheme="minorHAnsi" w:cstheme="minorHAnsi"/>
                <w:sz w:val="22"/>
                <w:szCs w:val="22"/>
              </w:rPr>
              <w:t>Process</w:t>
            </w:r>
          </w:p>
        </w:tc>
        <w:tc>
          <w:tcPr>
            <w:tcW w:w="0" w:type="pct"/>
          </w:tcPr>
          <w:p w14:paraId="7578250F" w14:textId="77777777" w:rsidR="0001795E" w:rsidRPr="00EB7757" w:rsidRDefault="0001795E" w:rsidP="00F048C7">
            <w:pPr>
              <w:numPr>
                <w:ilvl w:val="0"/>
                <w:numId w:val="8"/>
              </w:numPr>
              <w:spacing w:after="280"/>
              <w:ind w:left="444" w:hanging="444"/>
              <w:rPr>
                <w:rFonts w:asciiTheme="minorHAnsi" w:hAnsiTheme="minorHAnsi" w:cstheme="minorHAnsi"/>
                <w:sz w:val="22"/>
                <w:szCs w:val="22"/>
              </w:rPr>
            </w:pPr>
            <w:r w:rsidRPr="00EB7757">
              <w:rPr>
                <w:rFonts w:asciiTheme="minorHAnsi" w:hAnsiTheme="minorHAnsi" w:cstheme="minorHAnsi"/>
                <w:sz w:val="22"/>
                <w:szCs w:val="22"/>
              </w:rPr>
              <w:t>Coal gasification reactor type</w:t>
            </w:r>
          </w:p>
          <w:p w14:paraId="1D32A1F8" w14:textId="77777777" w:rsidR="0001795E" w:rsidRPr="00EB7757" w:rsidRDefault="0001795E" w:rsidP="00F048C7">
            <w:pPr>
              <w:numPr>
                <w:ilvl w:val="0"/>
                <w:numId w:val="8"/>
              </w:numPr>
              <w:spacing w:after="280"/>
              <w:ind w:left="444" w:hanging="444"/>
              <w:rPr>
                <w:rFonts w:asciiTheme="minorHAnsi" w:hAnsiTheme="minorHAnsi" w:cstheme="minorHAnsi"/>
                <w:sz w:val="22"/>
                <w:szCs w:val="22"/>
              </w:rPr>
            </w:pPr>
            <w:r w:rsidRPr="00EB7757">
              <w:rPr>
                <w:rFonts w:asciiTheme="minorHAnsi" w:hAnsiTheme="minorHAnsi" w:cstheme="minorHAnsi"/>
                <w:sz w:val="22"/>
                <w:szCs w:val="22"/>
              </w:rPr>
              <w:t>Syngas purification technology</w:t>
            </w:r>
          </w:p>
          <w:p w14:paraId="3A7C61C3" w14:textId="77777777" w:rsidR="0001795E" w:rsidRPr="00EB7757" w:rsidRDefault="0001795E" w:rsidP="00F048C7">
            <w:pPr>
              <w:numPr>
                <w:ilvl w:val="0"/>
                <w:numId w:val="8"/>
              </w:numPr>
              <w:spacing w:after="280"/>
              <w:ind w:left="444" w:hanging="444"/>
              <w:rPr>
                <w:rFonts w:asciiTheme="minorHAnsi" w:hAnsiTheme="minorHAnsi" w:cstheme="minorHAnsi"/>
                <w:sz w:val="22"/>
                <w:szCs w:val="22"/>
              </w:rPr>
            </w:pPr>
            <w:r w:rsidRPr="00EB7757">
              <w:rPr>
                <w:rFonts w:asciiTheme="minorHAnsi" w:hAnsiTheme="minorHAnsi" w:cstheme="minorHAnsi"/>
                <w:sz w:val="22"/>
                <w:szCs w:val="22"/>
              </w:rPr>
              <w:t>Air separation technology</w:t>
            </w:r>
          </w:p>
          <w:p w14:paraId="50BF584C" w14:textId="77777777" w:rsidR="0001795E" w:rsidRPr="00EB7757" w:rsidRDefault="0001795E" w:rsidP="00F048C7">
            <w:pPr>
              <w:numPr>
                <w:ilvl w:val="0"/>
                <w:numId w:val="8"/>
              </w:numPr>
              <w:spacing w:after="280"/>
              <w:ind w:left="444" w:hanging="444"/>
              <w:rPr>
                <w:rFonts w:asciiTheme="minorHAnsi" w:hAnsiTheme="minorHAnsi" w:cstheme="minorHAnsi"/>
                <w:sz w:val="22"/>
                <w:szCs w:val="22"/>
              </w:rPr>
            </w:pPr>
            <w:r w:rsidRPr="00EB7757">
              <w:rPr>
                <w:rFonts w:asciiTheme="minorHAnsi" w:hAnsiTheme="minorHAnsi" w:cstheme="minorHAnsi"/>
                <w:sz w:val="22"/>
                <w:szCs w:val="22"/>
              </w:rPr>
              <w:t>Sulphur waste gas processing technology (if applicable)</w:t>
            </w:r>
          </w:p>
          <w:p w14:paraId="57AB2902" w14:textId="77777777" w:rsidR="0001795E" w:rsidRPr="00EB7757" w:rsidRDefault="0001795E" w:rsidP="00F048C7">
            <w:pPr>
              <w:numPr>
                <w:ilvl w:val="0"/>
                <w:numId w:val="8"/>
              </w:numPr>
              <w:spacing w:after="280"/>
              <w:ind w:left="444" w:hanging="444"/>
              <w:rPr>
                <w:rFonts w:asciiTheme="minorHAnsi" w:hAnsiTheme="minorHAnsi" w:cstheme="minorHAnsi"/>
                <w:sz w:val="22"/>
                <w:szCs w:val="22"/>
              </w:rPr>
            </w:pPr>
            <w:r w:rsidRPr="00EB7757">
              <w:rPr>
                <w:rFonts w:asciiTheme="minorHAnsi" w:hAnsiTheme="minorHAnsi" w:cstheme="minorHAnsi"/>
                <w:sz w:val="22"/>
                <w:szCs w:val="22"/>
              </w:rPr>
              <w:t>Quantity and type of vented GHG gases [kg]</w:t>
            </w:r>
          </w:p>
          <w:p w14:paraId="5C5123EA" w14:textId="77777777" w:rsidR="0001795E" w:rsidRPr="00EB7757" w:rsidRDefault="0001795E" w:rsidP="00F048C7">
            <w:pPr>
              <w:numPr>
                <w:ilvl w:val="0"/>
                <w:numId w:val="8"/>
              </w:numPr>
              <w:spacing w:after="280"/>
              <w:ind w:left="444" w:hanging="444"/>
              <w:rPr>
                <w:rFonts w:asciiTheme="minorHAnsi" w:hAnsiTheme="minorHAnsi" w:cstheme="minorHAnsi"/>
                <w:sz w:val="22"/>
                <w:szCs w:val="22"/>
              </w:rPr>
            </w:pPr>
            <w:r w:rsidRPr="00EB7757">
              <w:rPr>
                <w:rFonts w:asciiTheme="minorHAnsi" w:hAnsiTheme="minorHAnsi" w:cstheme="minorHAnsi"/>
                <w:sz w:val="22"/>
                <w:szCs w:val="22"/>
              </w:rPr>
              <w:t>Quantity and type of flared GHG gases [kg]</w:t>
            </w:r>
          </w:p>
          <w:p w14:paraId="2FDBC151" w14:textId="77777777" w:rsidR="0001795E" w:rsidRPr="00EB7757" w:rsidRDefault="0001795E" w:rsidP="00F048C7">
            <w:pPr>
              <w:numPr>
                <w:ilvl w:val="0"/>
                <w:numId w:val="8"/>
              </w:numPr>
              <w:spacing w:after="280"/>
              <w:ind w:left="444" w:hanging="444"/>
              <w:rPr>
                <w:rFonts w:asciiTheme="minorHAnsi" w:hAnsiTheme="minorHAnsi" w:cstheme="minorHAnsi"/>
                <w:sz w:val="22"/>
                <w:szCs w:val="22"/>
              </w:rPr>
            </w:pPr>
            <w:r w:rsidRPr="00EB7757">
              <w:rPr>
                <w:rFonts w:asciiTheme="minorHAnsi" w:hAnsiTheme="minorHAnsi" w:cstheme="minorHAnsi"/>
                <w:sz w:val="22"/>
                <w:szCs w:val="22"/>
              </w:rPr>
              <w:t>Technology for monitoring fugitives from CO</w:t>
            </w:r>
            <w:r w:rsidRPr="00EB7757">
              <w:rPr>
                <w:rFonts w:asciiTheme="minorHAnsi" w:hAnsiTheme="minorHAnsi" w:cstheme="minorHAnsi"/>
                <w:sz w:val="22"/>
                <w:szCs w:val="22"/>
                <w:vertAlign w:val="subscript"/>
              </w:rPr>
              <w:t>2</w:t>
            </w:r>
            <w:r w:rsidRPr="00EB7757">
              <w:rPr>
                <w:rFonts w:asciiTheme="minorHAnsi" w:hAnsiTheme="minorHAnsi" w:cstheme="minorHAnsi"/>
                <w:sz w:val="22"/>
                <w:szCs w:val="22"/>
              </w:rPr>
              <w:t xml:space="preserve"> storage </w:t>
            </w:r>
          </w:p>
        </w:tc>
      </w:tr>
      <w:tr w:rsidR="0001795E" w14:paraId="38217CC4" w14:textId="77777777" w:rsidTr="006E1573">
        <w:trPr>
          <w:trHeight w:val="1046"/>
        </w:trPr>
        <w:tc>
          <w:tcPr>
            <w:tcW w:w="0" w:type="pct"/>
          </w:tcPr>
          <w:p w14:paraId="79308F54" w14:textId="77777777" w:rsidR="0001795E" w:rsidRPr="00EB7757" w:rsidRDefault="0001795E" w:rsidP="001B3FBB">
            <w:pPr>
              <w:pStyle w:val="ListBullet"/>
              <w:ind w:left="0" w:firstLine="0"/>
              <w:rPr>
                <w:rFonts w:asciiTheme="minorHAnsi" w:hAnsiTheme="minorHAnsi" w:cstheme="minorHAnsi"/>
                <w:sz w:val="22"/>
                <w:szCs w:val="22"/>
              </w:rPr>
            </w:pPr>
            <w:r w:rsidRPr="00EB7757">
              <w:rPr>
                <w:rFonts w:asciiTheme="minorHAnsi" w:hAnsiTheme="minorHAnsi" w:cstheme="minorHAnsi"/>
                <w:sz w:val="22"/>
                <w:szCs w:val="22"/>
              </w:rPr>
              <w:t>Coal feedstock</w:t>
            </w:r>
          </w:p>
        </w:tc>
        <w:tc>
          <w:tcPr>
            <w:tcW w:w="0" w:type="pct"/>
          </w:tcPr>
          <w:p w14:paraId="56F78200" w14:textId="77777777" w:rsidR="0001795E" w:rsidRPr="00EB7757" w:rsidRDefault="0001795E" w:rsidP="00F048C7">
            <w:pPr>
              <w:numPr>
                <w:ilvl w:val="0"/>
                <w:numId w:val="8"/>
              </w:numPr>
              <w:spacing w:after="280"/>
              <w:ind w:left="444" w:hanging="444"/>
              <w:rPr>
                <w:rFonts w:asciiTheme="minorHAnsi" w:hAnsiTheme="minorHAnsi" w:cstheme="minorHAnsi"/>
                <w:sz w:val="22"/>
                <w:szCs w:val="22"/>
              </w:rPr>
            </w:pPr>
            <w:r w:rsidRPr="00EB7757">
              <w:rPr>
                <w:rFonts w:asciiTheme="minorHAnsi" w:hAnsiTheme="minorHAnsi" w:cstheme="minorHAnsi"/>
                <w:sz w:val="22"/>
                <w:szCs w:val="22"/>
              </w:rPr>
              <w:t>Type of coal</w:t>
            </w:r>
          </w:p>
          <w:p w14:paraId="704316D5" w14:textId="77777777" w:rsidR="0001795E" w:rsidRPr="00EB7757" w:rsidRDefault="0001795E" w:rsidP="00F048C7">
            <w:pPr>
              <w:numPr>
                <w:ilvl w:val="0"/>
                <w:numId w:val="8"/>
              </w:numPr>
              <w:spacing w:after="280"/>
              <w:ind w:left="444" w:hanging="444"/>
              <w:rPr>
                <w:rFonts w:asciiTheme="minorHAnsi" w:hAnsiTheme="minorHAnsi" w:cstheme="minorHAnsi"/>
                <w:sz w:val="22"/>
                <w:szCs w:val="22"/>
              </w:rPr>
            </w:pPr>
            <w:r w:rsidRPr="00EB7757">
              <w:rPr>
                <w:rFonts w:asciiTheme="minorHAnsi" w:hAnsiTheme="minorHAnsi" w:cstheme="minorHAnsi"/>
                <w:sz w:val="22"/>
                <w:szCs w:val="22"/>
              </w:rPr>
              <w:t>Coal composition</w:t>
            </w:r>
          </w:p>
          <w:p w14:paraId="58CFEB9A" w14:textId="77777777" w:rsidR="0001795E" w:rsidRPr="00EB7757" w:rsidRDefault="0001795E" w:rsidP="00F048C7">
            <w:pPr>
              <w:numPr>
                <w:ilvl w:val="0"/>
                <w:numId w:val="8"/>
              </w:numPr>
              <w:spacing w:after="280"/>
              <w:ind w:left="444" w:hanging="444"/>
              <w:rPr>
                <w:rFonts w:asciiTheme="minorHAnsi" w:hAnsiTheme="minorHAnsi" w:cstheme="minorHAnsi"/>
                <w:sz w:val="22"/>
                <w:szCs w:val="22"/>
              </w:rPr>
            </w:pPr>
            <w:r w:rsidRPr="00EB7757">
              <w:rPr>
                <w:rFonts w:asciiTheme="minorHAnsi" w:hAnsiTheme="minorHAnsi" w:cstheme="minorHAnsi"/>
                <w:sz w:val="22"/>
                <w:szCs w:val="22"/>
              </w:rPr>
              <w:t>Quantity of coal used for gasification reactions [kg]</w:t>
            </w:r>
          </w:p>
          <w:p w14:paraId="3B8E6776" w14:textId="77777777" w:rsidR="0001795E" w:rsidRPr="00EB7757" w:rsidRDefault="0001795E" w:rsidP="00F048C7">
            <w:pPr>
              <w:numPr>
                <w:ilvl w:val="0"/>
                <w:numId w:val="8"/>
              </w:numPr>
              <w:spacing w:after="280"/>
              <w:ind w:left="444" w:hanging="444"/>
              <w:rPr>
                <w:rFonts w:asciiTheme="minorHAnsi" w:hAnsiTheme="minorHAnsi" w:cstheme="minorHAnsi"/>
                <w:sz w:val="22"/>
                <w:szCs w:val="22"/>
              </w:rPr>
            </w:pPr>
            <w:r w:rsidRPr="00EB7757">
              <w:rPr>
                <w:rFonts w:asciiTheme="minorHAnsi" w:hAnsiTheme="minorHAnsi" w:cstheme="minorHAnsi"/>
                <w:sz w:val="22"/>
                <w:szCs w:val="22"/>
              </w:rPr>
              <w:t>Quantity of coal used for heating [kg]</w:t>
            </w:r>
          </w:p>
          <w:p w14:paraId="6123DEA6" w14:textId="77777777" w:rsidR="0001795E" w:rsidRPr="00EB7757" w:rsidRDefault="0001795E" w:rsidP="00F048C7">
            <w:pPr>
              <w:numPr>
                <w:ilvl w:val="0"/>
                <w:numId w:val="8"/>
              </w:numPr>
              <w:spacing w:after="280"/>
              <w:ind w:left="444" w:hanging="444"/>
              <w:rPr>
                <w:rFonts w:asciiTheme="minorHAnsi" w:hAnsiTheme="minorHAnsi" w:cstheme="minorHAnsi"/>
                <w:sz w:val="22"/>
                <w:szCs w:val="22"/>
              </w:rPr>
            </w:pPr>
            <w:r w:rsidRPr="00EB7757">
              <w:rPr>
                <w:rFonts w:asciiTheme="minorHAnsi" w:hAnsiTheme="minorHAnsi" w:cstheme="minorHAnsi"/>
                <w:sz w:val="22"/>
                <w:szCs w:val="22"/>
              </w:rPr>
              <w:t>Embodied emission factor for coal [kgCO</w:t>
            </w:r>
            <w:r w:rsidRPr="00EB7757">
              <w:rPr>
                <w:rFonts w:asciiTheme="minorHAnsi" w:hAnsiTheme="minorHAnsi" w:cstheme="minorHAnsi"/>
                <w:sz w:val="22"/>
                <w:szCs w:val="22"/>
                <w:vertAlign w:val="subscript"/>
              </w:rPr>
              <w:t>2</w:t>
            </w:r>
            <w:r w:rsidRPr="00EB7757">
              <w:rPr>
                <w:rFonts w:asciiTheme="minorHAnsi" w:hAnsiTheme="minorHAnsi" w:cstheme="minorHAnsi"/>
                <w:sz w:val="22"/>
                <w:szCs w:val="22"/>
              </w:rPr>
              <w:t>-e/kg] (derived from primary and secondary data, provided by supplier or sourced from relevant source i.e. NGA Factors)</w:t>
            </w:r>
            <w:r w:rsidRPr="00EB7757">
              <w:rPr>
                <w:rStyle w:val="FooterChar"/>
                <w:rFonts w:asciiTheme="minorHAnsi" w:hAnsiTheme="minorHAnsi" w:cstheme="minorHAnsi"/>
                <w:i/>
                <w:sz w:val="22"/>
                <w:szCs w:val="22"/>
                <w:vertAlign w:val="superscript"/>
              </w:rPr>
              <w:footnoteReference w:id="11"/>
            </w:r>
          </w:p>
        </w:tc>
      </w:tr>
      <w:tr w:rsidR="0001795E" w14:paraId="633D565B" w14:textId="77777777" w:rsidTr="006E1573">
        <w:trPr>
          <w:trHeight w:val="573"/>
        </w:trPr>
        <w:tc>
          <w:tcPr>
            <w:tcW w:w="0" w:type="pct"/>
          </w:tcPr>
          <w:p w14:paraId="77BC4BB5" w14:textId="77777777" w:rsidR="0001795E" w:rsidRPr="00EB7757" w:rsidRDefault="0001795E" w:rsidP="001B3FBB">
            <w:pPr>
              <w:pStyle w:val="ListBullet"/>
              <w:ind w:left="0" w:firstLine="0"/>
              <w:rPr>
                <w:rFonts w:asciiTheme="minorHAnsi" w:hAnsiTheme="minorHAnsi" w:cstheme="minorHAnsi"/>
                <w:sz w:val="22"/>
                <w:szCs w:val="22"/>
              </w:rPr>
            </w:pPr>
            <w:r w:rsidRPr="00EB7757">
              <w:rPr>
                <w:rFonts w:asciiTheme="minorHAnsi" w:hAnsiTheme="minorHAnsi" w:cstheme="minorHAnsi"/>
                <w:sz w:val="22"/>
                <w:szCs w:val="22"/>
              </w:rPr>
              <w:t>Carbon dioxide treatment</w:t>
            </w:r>
          </w:p>
        </w:tc>
        <w:tc>
          <w:tcPr>
            <w:tcW w:w="0" w:type="pct"/>
          </w:tcPr>
          <w:p w14:paraId="0DB15D29" w14:textId="77777777" w:rsidR="0001795E" w:rsidRPr="00EB7757" w:rsidRDefault="0001795E" w:rsidP="00F048C7">
            <w:pPr>
              <w:numPr>
                <w:ilvl w:val="0"/>
                <w:numId w:val="8"/>
              </w:numPr>
              <w:spacing w:after="280"/>
              <w:ind w:left="444" w:hanging="444"/>
              <w:rPr>
                <w:rFonts w:asciiTheme="minorHAnsi" w:hAnsiTheme="minorHAnsi" w:cstheme="minorHAnsi"/>
                <w:sz w:val="22"/>
                <w:szCs w:val="22"/>
              </w:rPr>
            </w:pPr>
            <w:r w:rsidRPr="00EB7757">
              <w:rPr>
                <w:rFonts w:asciiTheme="minorHAnsi" w:hAnsiTheme="minorHAnsi" w:cstheme="minorHAnsi"/>
                <w:sz w:val="22"/>
                <w:szCs w:val="22"/>
              </w:rPr>
              <w:t>Type of CO</w:t>
            </w:r>
            <w:r w:rsidRPr="00EB7757">
              <w:rPr>
                <w:rFonts w:asciiTheme="minorHAnsi" w:hAnsiTheme="minorHAnsi" w:cstheme="minorHAnsi"/>
                <w:sz w:val="22"/>
                <w:szCs w:val="22"/>
                <w:vertAlign w:val="subscript"/>
              </w:rPr>
              <w:t>2</w:t>
            </w:r>
            <w:r w:rsidRPr="00EB7757">
              <w:rPr>
                <w:rFonts w:asciiTheme="minorHAnsi" w:hAnsiTheme="minorHAnsi" w:cstheme="minorHAnsi"/>
                <w:sz w:val="22"/>
                <w:szCs w:val="22"/>
              </w:rPr>
              <w:t xml:space="preserve"> storage</w:t>
            </w:r>
          </w:p>
          <w:p w14:paraId="684FB1DA" w14:textId="77777777" w:rsidR="0001795E" w:rsidRPr="00EB7757" w:rsidRDefault="0001795E" w:rsidP="00F048C7">
            <w:pPr>
              <w:numPr>
                <w:ilvl w:val="0"/>
                <w:numId w:val="8"/>
              </w:numPr>
              <w:spacing w:after="280"/>
              <w:ind w:left="444" w:hanging="444"/>
              <w:rPr>
                <w:rFonts w:asciiTheme="minorHAnsi" w:hAnsiTheme="minorHAnsi" w:cstheme="minorHAnsi"/>
                <w:sz w:val="22"/>
                <w:szCs w:val="22"/>
              </w:rPr>
            </w:pPr>
            <w:r w:rsidRPr="00EB7757">
              <w:rPr>
                <w:rFonts w:asciiTheme="minorHAnsi" w:hAnsiTheme="minorHAnsi" w:cstheme="minorHAnsi"/>
                <w:sz w:val="22"/>
                <w:szCs w:val="22"/>
              </w:rPr>
              <w:t>Location of CO</w:t>
            </w:r>
            <w:r w:rsidRPr="00EB7757">
              <w:rPr>
                <w:rFonts w:asciiTheme="minorHAnsi" w:hAnsiTheme="minorHAnsi" w:cstheme="minorHAnsi"/>
                <w:sz w:val="22"/>
                <w:szCs w:val="22"/>
                <w:vertAlign w:val="subscript"/>
              </w:rPr>
              <w:t>2</w:t>
            </w:r>
            <w:r w:rsidRPr="00EB7757">
              <w:rPr>
                <w:rFonts w:asciiTheme="minorHAnsi" w:hAnsiTheme="minorHAnsi" w:cstheme="minorHAnsi"/>
                <w:sz w:val="22"/>
                <w:szCs w:val="22"/>
              </w:rPr>
              <w:t xml:space="preserve"> storage</w:t>
            </w:r>
          </w:p>
          <w:p w14:paraId="5466EEBB" w14:textId="77777777" w:rsidR="0001795E" w:rsidRPr="00EB7757" w:rsidRDefault="0001795E" w:rsidP="00F048C7">
            <w:pPr>
              <w:numPr>
                <w:ilvl w:val="0"/>
                <w:numId w:val="8"/>
              </w:numPr>
              <w:spacing w:after="280"/>
              <w:ind w:left="444" w:hanging="444"/>
              <w:rPr>
                <w:rFonts w:asciiTheme="minorHAnsi" w:hAnsiTheme="minorHAnsi" w:cstheme="minorHAnsi"/>
                <w:sz w:val="22"/>
                <w:szCs w:val="22"/>
              </w:rPr>
            </w:pPr>
            <w:r w:rsidRPr="00EB7757">
              <w:rPr>
                <w:rFonts w:asciiTheme="minorHAnsi" w:hAnsiTheme="minorHAnsi" w:cstheme="minorHAnsi"/>
                <w:sz w:val="22"/>
                <w:szCs w:val="22"/>
              </w:rPr>
              <w:t>Transport type of CO</w:t>
            </w:r>
            <w:r w:rsidRPr="00EB7757">
              <w:rPr>
                <w:rFonts w:asciiTheme="minorHAnsi" w:hAnsiTheme="minorHAnsi" w:cstheme="minorHAnsi"/>
                <w:sz w:val="22"/>
                <w:szCs w:val="22"/>
                <w:vertAlign w:val="subscript"/>
              </w:rPr>
              <w:t>2</w:t>
            </w:r>
            <w:r w:rsidRPr="00EB7757">
              <w:rPr>
                <w:rFonts w:asciiTheme="minorHAnsi" w:hAnsiTheme="minorHAnsi" w:cstheme="minorHAnsi"/>
                <w:sz w:val="22"/>
                <w:szCs w:val="22"/>
              </w:rPr>
              <w:t xml:space="preserve"> to storage location (if applicable)</w:t>
            </w:r>
          </w:p>
          <w:p w14:paraId="0BE1636A" w14:textId="77777777" w:rsidR="0001795E" w:rsidRPr="00EB7757" w:rsidRDefault="0001795E" w:rsidP="00F048C7">
            <w:pPr>
              <w:numPr>
                <w:ilvl w:val="0"/>
                <w:numId w:val="8"/>
              </w:numPr>
              <w:spacing w:after="280"/>
              <w:ind w:left="444" w:hanging="444"/>
              <w:rPr>
                <w:rFonts w:asciiTheme="minorHAnsi" w:hAnsiTheme="minorHAnsi" w:cstheme="minorHAnsi"/>
                <w:sz w:val="22"/>
                <w:szCs w:val="22"/>
              </w:rPr>
            </w:pPr>
            <w:r w:rsidRPr="00EB7757">
              <w:rPr>
                <w:rFonts w:asciiTheme="minorHAnsi" w:hAnsiTheme="minorHAnsi" w:cstheme="minorHAnsi"/>
                <w:sz w:val="22"/>
                <w:szCs w:val="22"/>
              </w:rPr>
              <w:t>Quantity of CO</w:t>
            </w:r>
            <w:r w:rsidRPr="00EB7757">
              <w:rPr>
                <w:rFonts w:asciiTheme="minorHAnsi" w:hAnsiTheme="minorHAnsi" w:cstheme="minorHAnsi"/>
                <w:sz w:val="22"/>
                <w:szCs w:val="22"/>
                <w:vertAlign w:val="subscript"/>
              </w:rPr>
              <w:t>2</w:t>
            </w:r>
            <w:r w:rsidRPr="00EB7757">
              <w:rPr>
                <w:rFonts w:asciiTheme="minorHAnsi" w:hAnsiTheme="minorHAnsi" w:cstheme="minorHAnsi"/>
                <w:sz w:val="22"/>
                <w:szCs w:val="22"/>
              </w:rPr>
              <w:t xml:space="preserve"> captured [kg]</w:t>
            </w:r>
          </w:p>
          <w:p w14:paraId="60AF8710" w14:textId="77777777" w:rsidR="0001795E" w:rsidRPr="00EB7757" w:rsidRDefault="0001795E" w:rsidP="00F048C7">
            <w:pPr>
              <w:numPr>
                <w:ilvl w:val="0"/>
                <w:numId w:val="8"/>
              </w:numPr>
              <w:spacing w:after="280"/>
              <w:ind w:left="444" w:hanging="444"/>
              <w:rPr>
                <w:rFonts w:asciiTheme="minorHAnsi" w:hAnsiTheme="minorHAnsi" w:cstheme="minorHAnsi"/>
                <w:sz w:val="22"/>
                <w:szCs w:val="22"/>
              </w:rPr>
            </w:pPr>
            <w:r w:rsidRPr="00EB7757">
              <w:rPr>
                <w:rFonts w:asciiTheme="minorHAnsi" w:hAnsiTheme="minorHAnsi" w:cstheme="minorHAnsi"/>
                <w:sz w:val="22"/>
                <w:szCs w:val="22"/>
              </w:rPr>
              <w:t>Quantity of CO</w:t>
            </w:r>
            <w:r w:rsidRPr="00EB7757">
              <w:rPr>
                <w:rFonts w:asciiTheme="minorHAnsi" w:hAnsiTheme="minorHAnsi" w:cstheme="minorHAnsi"/>
                <w:sz w:val="22"/>
                <w:szCs w:val="22"/>
                <w:vertAlign w:val="subscript"/>
              </w:rPr>
              <w:t>2</w:t>
            </w:r>
            <w:r w:rsidRPr="00EB7757">
              <w:rPr>
                <w:rFonts w:asciiTheme="minorHAnsi" w:hAnsiTheme="minorHAnsi" w:cstheme="minorHAnsi"/>
                <w:sz w:val="22"/>
                <w:szCs w:val="22"/>
              </w:rPr>
              <w:t xml:space="preserve"> stored [kg]</w:t>
            </w:r>
          </w:p>
          <w:p w14:paraId="48DD5B6F" w14:textId="77777777" w:rsidR="0001795E" w:rsidRPr="00EB7757" w:rsidRDefault="0001795E" w:rsidP="00F048C7">
            <w:pPr>
              <w:numPr>
                <w:ilvl w:val="0"/>
                <w:numId w:val="8"/>
              </w:numPr>
              <w:spacing w:after="280"/>
              <w:ind w:left="444" w:hanging="444"/>
              <w:rPr>
                <w:rFonts w:asciiTheme="minorHAnsi" w:hAnsiTheme="minorHAnsi" w:cstheme="minorHAnsi"/>
                <w:sz w:val="22"/>
                <w:szCs w:val="22"/>
              </w:rPr>
            </w:pPr>
            <w:r w:rsidRPr="00EB7757">
              <w:rPr>
                <w:rFonts w:asciiTheme="minorHAnsi" w:hAnsiTheme="minorHAnsi" w:cstheme="minorHAnsi"/>
                <w:sz w:val="22"/>
                <w:szCs w:val="22"/>
              </w:rPr>
              <w:t>Quantity of CO</w:t>
            </w:r>
            <w:r w:rsidRPr="00EB7757">
              <w:rPr>
                <w:rFonts w:asciiTheme="minorHAnsi" w:hAnsiTheme="minorHAnsi" w:cstheme="minorHAnsi"/>
                <w:sz w:val="22"/>
                <w:szCs w:val="22"/>
                <w:vertAlign w:val="subscript"/>
              </w:rPr>
              <w:t>2</w:t>
            </w:r>
            <w:r w:rsidRPr="00EB7757">
              <w:rPr>
                <w:rFonts w:asciiTheme="minorHAnsi" w:hAnsiTheme="minorHAnsi" w:cstheme="minorHAnsi"/>
                <w:sz w:val="22"/>
                <w:szCs w:val="22"/>
              </w:rPr>
              <w:t xml:space="preserve"> sold [kg]</w:t>
            </w:r>
          </w:p>
          <w:p w14:paraId="6F099D5E" w14:textId="77777777" w:rsidR="0001795E" w:rsidRPr="00EB7757" w:rsidRDefault="0001795E" w:rsidP="00F048C7">
            <w:pPr>
              <w:numPr>
                <w:ilvl w:val="0"/>
                <w:numId w:val="8"/>
              </w:numPr>
              <w:spacing w:after="280"/>
              <w:ind w:left="444" w:hanging="444"/>
              <w:rPr>
                <w:rFonts w:asciiTheme="minorHAnsi" w:hAnsiTheme="minorHAnsi" w:cstheme="minorHAnsi"/>
                <w:sz w:val="22"/>
                <w:szCs w:val="22"/>
              </w:rPr>
            </w:pPr>
            <w:r w:rsidRPr="00EB7757">
              <w:rPr>
                <w:rFonts w:asciiTheme="minorHAnsi" w:hAnsiTheme="minorHAnsi" w:cstheme="minorHAnsi"/>
                <w:sz w:val="22"/>
                <w:szCs w:val="22"/>
              </w:rPr>
              <w:t>Quantity of fugitive emissions created during injection of CO</w:t>
            </w:r>
            <w:r w:rsidRPr="00EB7757">
              <w:rPr>
                <w:rFonts w:asciiTheme="minorHAnsi" w:hAnsiTheme="minorHAnsi" w:cstheme="minorHAnsi"/>
                <w:sz w:val="22"/>
                <w:szCs w:val="22"/>
                <w:vertAlign w:val="subscript"/>
              </w:rPr>
              <w:t>2</w:t>
            </w:r>
            <w:r w:rsidRPr="00EB7757">
              <w:rPr>
                <w:rFonts w:asciiTheme="minorHAnsi" w:hAnsiTheme="minorHAnsi" w:cstheme="minorHAnsi"/>
                <w:sz w:val="22"/>
                <w:szCs w:val="22"/>
              </w:rPr>
              <w:t xml:space="preserve"> into the storage location [kg]</w:t>
            </w:r>
          </w:p>
          <w:p w14:paraId="5EE71C80" w14:textId="77777777" w:rsidR="0001795E" w:rsidRPr="00EB7757" w:rsidRDefault="0001795E" w:rsidP="00F048C7">
            <w:pPr>
              <w:numPr>
                <w:ilvl w:val="0"/>
                <w:numId w:val="8"/>
              </w:numPr>
              <w:spacing w:after="280"/>
              <w:ind w:left="444" w:hanging="444"/>
              <w:rPr>
                <w:rFonts w:asciiTheme="minorHAnsi" w:hAnsiTheme="minorHAnsi" w:cstheme="minorHAnsi"/>
                <w:sz w:val="22"/>
                <w:szCs w:val="22"/>
              </w:rPr>
            </w:pPr>
            <w:r w:rsidRPr="00EB7757">
              <w:rPr>
                <w:rFonts w:asciiTheme="minorHAnsi" w:hAnsiTheme="minorHAnsi" w:cstheme="minorHAnsi"/>
                <w:sz w:val="22"/>
                <w:szCs w:val="22"/>
              </w:rPr>
              <w:t>Quantity of fugitive CO</w:t>
            </w:r>
            <w:r w:rsidRPr="00EB7757">
              <w:rPr>
                <w:rFonts w:asciiTheme="minorHAnsi" w:hAnsiTheme="minorHAnsi" w:cstheme="minorHAnsi"/>
                <w:sz w:val="22"/>
                <w:szCs w:val="22"/>
                <w:vertAlign w:val="subscript"/>
              </w:rPr>
              <w:t>2</w:t>
            </w:r>
            <w:r w:rsidRPr="00EB7757">
              <w:rPr>
                <w:rFonts w:asciiTheme="minorHAnsi" w:hAnsiTheme="minorHAnsi" w:cstheme="minorHAnsi"/>
                <w:sz w:val="22"/>
                <w:szCs w:val="22"/>
              </w:rPr>
              <w:t xml:space="preserve"> emissions from storage [kg] (in line with defined timeline)</w:t>
            </w:r>
          </w:p>
        </w:tc>
      </w:tr>
      <w:tr w:rsidR="0001795E" w14:paraId="4E5E1F0A" w14:textId="77777777" w:rsidTr="006E1573">
        <w:trPr>
          <w:trHeight w:val="573"/>
        </w:trPr>
        <w:tc>
          <w:tcPr>
            <w:tcW w:w="0" w:type="pct"/>
          </w:tcPr>
          <w:p w14:paraId="4326C490" w14:textId="77777777" w:rsidR="0001795E" w:rsidRPr="00EB7757" w:rsidRDefault="0001795E" w:rsidP="001B3FBB">
            <w:pPr>
              <w:pStyle w:val="ListBullet"/>
              <w:ind w:left="0" w:firstLine="0"/>
              <w:rPr>
                <w:rFonts w:asciiTheme="minorHAnsi" w:hAnsiTheme="minorHAnsi" w:cstheme="minorHAnsi"/>
                <w:sz w:val="22"/>
                <w:szCs w:val="22"/>
              </w:rPr>
            </w:pPr>
            <w:r w:rsidRPr="00EB7757">
              <w:rPr>
                <w:rFonts w:asciiTheme="minorHAnsi" w:hAnsiTheme="minorHAnsi" w:cstheme="minorHAnsi"/>
                <w:sz w:val="22"/>
                <w:szCs w:val="22"/>
              </w:rPr>
              <w:t>Waste and/or co-products</w:t>
            </w:r>
          </w:p>
        </w:tc>
        <w:tc>
          <w:tcPr>
            <w:tcW w:w="0" w:type="pct"/>
          </w:tcPr>
          <w:p w14:paraId="414FAA8B" w14:textId="77777777" w:rsidR="0001795E" w:rsidRPr="00EB7757" w:rsidRDefault="0001795E" w:rsidP="00F048C7">
            <w:pPr>
              <w:numPr>
                <w:ilvl w:val="0"/>
                <w:numId w:val="8"/>
              </w:numPr>
              <w:spacing w:after="280"/>
              <w:ind w:left="444" w:hanging="444"/>
              <w:rPr>
                <w:rFonts w:asciiTheme="minorHAnsi" w:hAnsiTheme="minorHAnsi" w:cstheme="minorHAnsi"/>
                <w:sz w:val="22"/>
                <w:szCs w:val="22"/>
              </w:rPr>
            </w:pPr>
            <w:r w:rsidRPr="00EB7757">
              <w:rPr>
                <w:rFonts w:asciiTheme="minorHAnsi" w:hAnsiTheme="minorHAnsi" w:cstheme="minorHAnsi"/>
                <w:sz w:val="22"/>
                <w:szCs w:val="22"/>
              </w:rPr>
              <w:t>Quantity of ash produced [kg]</w:t>
            </w:r>
          </w:p>
          <w:p w14:paraId="284E755B" w14:textId="77777777" w:rsidR="0001795E" w:rsidRPr="00EB7757" w:rsidRDefault="0001795E" w:rsidP="00F048C7">
            <w:pPr>
              <w:numPr>
                <w:ilvl w:val="0"/>
                <w:numId w:val="8"/>
              </w:numPr>
              <w:spacing w:after="280"/>
              <w:ind w:left="444" w:hanging="444"/>
              <w:rPr>
                <w:rFonts w:asciiTheme="minorHAnsi" w:hAnsiTheme="minorHAnsi" w:cstheme="minorHAnsi"/>
                <w:sz w:val="22"/>
                <w:szCs w:val="22"/>
              </w:rPr>
            </w:pPr>
            <w:r w:rsidRPr="00EB7757">
              <w:rPr>
                <w:rFonts w:asciiTheme="minorHAnsi" w:hAnsiTheme="minorHAnsi" w:cstheme="minorHAnsi"/>
                <w:sz w:val="22"/>
                <w:szCs w:val="22"/>
              </w:rPr>
              <w:t>Quantity of slag produced [kg]</w:t>
            </w:r>
          </w:p>
          <w:p w14:paraId="64F8FC3F" w14:textId="77777777" w:rsidR="0001795E" w:rsidRPr="00EB7757" w:rsidRDefault="0001795E" w:rsidP="00F048C7">
            <w:pPr>
              <w:numPr>
                <w:ilvl w:val="0"/>
                <w:numId w:val="8"/>
              </w:numPr>
              <w:spacing w:after="280"/>
              <w:ind w:left="444" w:hanging="444"/>
              <w:rPr>
                <w:rFonts w:asciiTheme="minorHAnsi" w:hAnsiTheme="minorHAnsi" w:cstheme="minorHAnsi"/>
                <w:sz w:val="22"/>
                <w:szCs w:val="22"/>
              </w:rPr>
            </w:pPr>
            <w:r w:rsidRPr="00EB7757">
              <w:rPr>
                <w:rFonts w:asciiTheme="minorHAnsi" w:hAnsiTheme="minorHAnsi" w:cstheme="minorHAnsi"/>
                <w:sz w:val="22"/>
                <w:szCs w:val="22"/>
              </w:rPr>
              <w:t>Quantity of nitrogen produced [kg]</w:t>
            </w:r>
          </w:p>
          <w:p w14:paraId="3EF1F512" w14:textId="77777777" w:rsidR="0001795E" w:rsidRPr="00EB7757" w:rsidRDefault="0001795E" w:rsidP="00F048C7">
            <w:pPr>
              <w:numPr>
                <w:ilvl w:val="0"/>
                <w:numId w:val="8"/>
              </w:numPr>
              <w:spacing w:after="280"/>
              <w:ind w:left="444" w:hanging="444"/>
              <w:rPr>
                <w:rFonts w:asciiTheme="minorHAnsi" w:hAnsiTheme="minorHAnsi" w:cstheme="minorHAnsi"/>
                <w:sz w:val="22"/>
                <w:szCs w:val="22"/>
              </w:rPr>
            </w:pPr>
            <w:r w:rsidRPr="00EB7757">
              <w:rPr>
                <w:rFonts w:asciiTheme="minorHAnsi" w:hAnsiTheme="minorHAnsi" w:cstheme="minorHAnsi"/>
                <w:sz w:val="22"/>
                <w:szCs w:val="22"/>
              </w:rPr>
              <w:t>Quantity of crude argon produced [kg]</w:t>
            </w:r>
          </w:p>
          <w:p w14:paraId="63539ADD" w14:textId="77777777" w:rsidR="0001795E" w:rsidRPr="00EB7757" w:rsidRDefault="0001795E" w:rsidP="00F048C7">
            <w:pPr>
              <w:numPr>
                <w:ilvl w:val="0"/>
                <w:numId w:val="8"/>
              </w:numPr>
              <w:spacing w:after="280"/>
              <w:ind w:left="444" w:hanging="444"/>
              <w:rPr>
                <w:rFonts w:asciiTheme="minorHAnsi" w:hAnsiTheme="minorHAnsi" w:cstheme="minorHAnsi"/>
                <w:sz w:val="22"/>
                <w:szCs w:val="22"/>
              </w:rPr>
            </w:pPr>
            <w:r w:rsidRPr="00EB7757">
              <w:rPr>
                <w:rFonts w:asciiTheme="minorHAnsi" w:hAnsiTheme="minorHAnsi" w:cstheme="minorHAnsi"/>
                <w:sz w:val="22"/>
                <w:szCs w:val="22"/>
              </w:rPr>
              <w:t>Quantity of ash sold [kg]</w:t>
            </w:r>
          </w:p>
          <w:p w14:paraId="1968FCA2" w14:textId="77777777" w:rsidR="0001795E" w:rsidRPr="00EB7757" w:rsidRDefault="0001795E" w:rsidP="00F048C7">
            <w:pPr>
              <w:numPr>
                <w:ilvl w:val="0"/>
                <w:numId w:val="8"/>
              </w:numPr>
              <w:spacing w:after="280"/>
              <w:ind w:left="444" w:hanging="444"/>
              <w:rPr>
                <w:rFonts w:asciiTheme="minorHAnsi" w:hAnsiTheme="minorHAnsi" w:cstheme="minorHAnsi"/>
                <w:sz w:val="22"/>
                <w:szCs w:val="22"/>
              </w:rPr>
            </w:pPr>
            <w:r w:rsidRPr="00EB7757">
              <w:rPr>
                <w:rFonts w:asciiTheme="minorHAnsi" w:hAnsiTheme="minorHAnsi" w:cstheme="minorHAnsi"/>
                <w:sz w:val="22"/>
                <w:szCs w:val="22"/>
              </w:rPr>
              <w:t>Quantity of slag sold [kg]</w:t>
            </w:r>
          </w:p>
          <w:p w14:paraId="6BB09F5A" w14:textId="77777777" w:rsidR="0001795E" w:rsidRPr="00EB7757" w:rsidRDefault="0001795E" w:rsidP="00F048C7">
            <w:pPr>
              <w:numPr>
                <w:ilvl w:val="0"/>
                <w:numId w:val="8"/>
              </w:numPr>
              <w:spacing w:after="280"/>
              <w:ind w:left="444" w:hanging="444"/>
              <w:rPr>
                <w:rFonts w:asciiTheme="minorHAnsi" w:hAnsiTheme="minorHAnsi" w:cstheme="minorHAnsi"/>
                <w:sz w:val="22"/>
                <w:szCs w:val="22"/>
              </w:rPr>
            </w:pPr>
            <w:r w:rsidRPr="00EB7757">
              <w:rPr>
                <w:rFonts w:asciiTheme="minorHAnsi" w:hAnsiTheme="minorHAnsi" w:cstheme="minorHAnsi"/>
                <w:sz w:val="22"/>
                <w:szCs w:val="22"/>
              </w:rPr>
              <w:t>Quantity of nitrogen sold [kg]</w:t>
            </w:r>
          </w:p>
          <w:p w14:paraId="71DE2AFD" w14:textId="77777777" w:rsidR="0001795E" w:rsidRPr="00EB7757" w:rsidRDefault="0001795E" w:rsidP="00F048C7">
            <w:pPr>
              <w:numPr>
                <w:ilvl w:val="0"/>
                <w:numId w:val="8"/>
              </w:numPr>
              <w:spacing w:after="280"/>
              <w:ind w:left="444" w:hanging="444"/>
              <w:rPr>
                <w:rFonts w:asciiTheme="minorHAnsi" w:hAnsiTheme="minorHAnsi" w:cstheme="minorHAnsi"/>
                <w:sz w:val="22"/>
                <w:szCs w:val="22"/>
              </w:rPr>
            </w:pPr>
            <w:r w:rsidRPr="00EB7757">
              <w:rPr>
                <w:rFonts w:asciiTheme="minorHAnsi" w:hAnsiTheme="minorHAnsi" w:cstheme="minorHAnsi"/>
                <w:sz w:val="22"/>
                <w:szCs w:val="22"/>
              </w:rPr>
              <w:t xml:space="preserve">Quantity of crude argon sold [kg] </w:t>
            </w:r>
          </w:p>
          <w:p w14:paraId="7324304E" w14:textId="77777777" w:rsidR="0001795E" w:rsidRPr="00EB7757" w:rsidRDefault="0001795E" w:rsidP="00F048C7">
            <w:pPr>
              <w:numPr>
                <w:ilvl w:val="0"/>
                <w:numId w:val="8"/>
              </w:numPr>
              <w:spacing w:after="280"/>
              <w:ind w:left="444" w:hanging="444"/>
              <w:rPr>
                <w:rFonts w:asciiTheme="minorHAnsi" w:hAnsiTheme="minorHAnsi" w:cstheme="minorHAnsi"/>
                <w:sz w:val="22"/>
                <w:szCs w:val="22"/>
              </w:rPr>
            </w:pPr>
            <w:r w:rsidRPr="00EB7757">
              <w:rPr>
                <w:rFonts w:asciiTheme="minorHAnsi" w:hAnsiTheme="minorHAnsi" w:cstheme="minorHAnsi"/>
                <w:sz w:val="22"/>
                <w:szCs w:val="22"/>
              </w:rPr>
              <w:t>Quantity of other products [kg]</w:t>
            </w:r>
          </w:p>
        </w:tc>
      </w:tr>
    </w:tbl>
    <w:p w14:paraId="5D814537" w14:textId="77777777" w:rsidR="004D54C6" w:rsidRDefault="004D54C6" w:rsidP="008D5802">
      <w:pPr>
        <w:sectPr w:rsidR="004D54C6" w:rsidSect="0081712E">
          <w:footerReference w:type="default" r:id="rId40"/>
          <w:headerReference w:type="first" r:id="rId41"/>
          <w:footerReference w:type="first" r:id="rId42"/>
          <w:pgSz w:w="11906" w:h="16838" w:code="9"/>
          <w:pgMar w:top="1644" w:right="1474" w:bottom="851" w:left="1701" w:header="794" w:footer="284" w:gutter="0"/>
          <w:pgNumType w:start="1"/>
          <w:cols w:space="708"/>
          <w:formProt w:val="0"/>
          <w:titlePg/>
          <w:docGrid w:linePitch="360"/>
        </w:sectPr>
      </w:pPr>
    </w:p>
    <w:p w14:paraId="1C029800" w14:textId="3C16B351" w:rsidR="008D5802" w:rsidRPr="00AE0AC7" w:rsidRDefault="00E00B8F" w:rsidP="004D54C6">
      <w:pPr>
        <w:pStyle w:val="Heading1"/>
      </w:pPr>
      <w:bookmarkStart w:id="426" w:name="_Toc64302389"/>
      <w:bookmarkStart w:id="427" w:name="_Toc65168393"/>
      <w:bookmarkStart w:id="428" w:name="_Toc67329134"/>
      <w:bookmarkStart w:id="429" w:name="_Toc67329382"/>
      <w:bookmarkStart w:id="430" w:name="_Toc67562638"/>
      <w:bookmarkStart w:id="431" w:name="_Toc68000221"/>
      <w:bookmarkStart w:id="432" w:name="_Toc68083152"/>
      <w:bookmarkStart w:id="433" w:name="_Toc68083547"/>
      <w:bookmarkStart w:id="434" w:name="_Toc68105086"/>
      <w:bookmarkStart w:id="435" w:name="_Toc74839365"/>
      <w:r>
        <w:t xml:space="preserve">Attachment C: </w:t>
      </w:r>
      <w:r w:rsidR="00F533B0">
        <w:t>Natural gas s</w:t>
      </w:r>
      <w:r w:rsidR="008D5802">
        <w:t xml:space="preserve">team </w:t>
      </w:r>
      <w:r w:rsidR="00F533B0">
        <w:t>m</w:t>
      </w:r>
      <w:r w:rsidR="008D5802">
        <w:t xml:space="preserve">ethane </w:t>
      </w:r>
      <w:r w:rsidR="00F533B0">
        <w:t>r</w:t>
      </w:r>
      <w:r w:rsidR="008D5802">
        <w:t>eforming with CCS</w:t>
      </w:r>
      <w:bookmarkEnd w:id="382"/>
      <w:bookmarkEnd w:id="426"/>
      <w:bookmarkEnd w:id="427"/>
      <w:bookmarkEnd w:id="428"/>
      <w:bookmarkEnd w:id="429"/>
      <w:bookmarkEnd w:id="430"/>
      <w:bookmarkEnd w:id="431"/>
      <w:bookmarkEnd w:id="432"/>
      <w:bookmarkEnd w:id="433"/>
      <w:bookmarkEnd w:id="434"/>
      <w:bookmarkEnd w:id="435"/>
    </w:p>
    <w:p w14:paraId="2A8DE615" w14:textId="77777777" w:rsidR="008D5802" w:rsidRDefault="008D5802" w:rsidP="003B47A9">
      <w:pPr>
        <w:pStyle w:val="Heading2"/>
      </w:pPr>
      <w:bookmarkStart w:id="436" w:name="_Toc64302390"/>
      <w:bookmarkStart w:id="437" w:name="_Toc65168394"/>
      <w:bookmarkStart w:id="438" w:name="_Toc67329135"/>
      <w:bookmarkStart w:id="439" w:name="_Toc67329383"/>
      <w:bookmarkStart w:id="440" w:name="_Toc67562639"/>
      <w:bookmarkStart w:id="441" w:name="_Toc68000222"/>
      <w:bookmarkStart w:id="442" w:name="_Toc68083153"/>
      <w:bookmarkStart w:id="443" w:name="_Toc68083548"/>
      <w:bookmarkStart w:id="444" w:name="_Toc68105087"/>
      <w:bookmarkStart w:id="445" w:name="_Toc74839366"/>
      <w:r>
        <w:t>Process description</w:t>
      </w:r>
      <w:bookmarkEnd w:id="436"/>
      <w:bookmarkEnd w:id="437"/>
      <w:bookmarkEnd w:id="438"/>
      <w:bookmarkEnd w:id="439"/>
      <w:bookmarkEnd w:id="440"/>
      <w:bookmarkEnd w:id="441"/>
      <w:bookmarkEnd w:id="442"/>
      <w:bookmarkEnd w:id="443"/>
      <w:bookmarkEnd w:id="444"/>
      <w:bookmarkEnd w:id="445"/>
    </w:p>
    <w:p w14:paraId="20C0824E" w14:textId="42B30D58" w:rsidR="008D5802" w:rsidRDefault="008D5802" w:rsidP="008D5802">
      <w:r>
        <w:t xml:space="preserve">The Steam Methane Reforming (SMR) </w:t>
      </w:r>
      <w:r w:rsidR="00F907D9">
        <w:t xml:space="preserve">of natural gas </w:t>
      </w:r>
      <w:r>
        <w:t>process involves the extraction of natural gas from underground reservoirs, which is then transported to a processing plant to separate out hydrocarbon and to remove impurities. The gas is then pressurised by a compressor and transported by transmission pipeline. It then undergoes further sulphur removal, before being reacted catalytically with methane and steam to produce a synthesis gas (syngas), which is further processed in another catalytic reaction to increase the hydrogen fraction. Finally, the syngas is passed through a purification step to produce hydrogen for compression and subsequent distribution to end users.</w:t>
      </w:r>
      <w:r w:rsidRPr="002F0AC7">
        <w:t xml:space="preserve"> </w:t>
      </w:r>
      <w:r w:rsidRPr="00A71CD8">
        <w:t xml:space="preserve">The process </w:t>
      </w:r>
      <w:r>
        <w:t>steps are described in more detail in the following sections.</w:t>
      </w:r>
    </w:p>
    <w:p w14:paraId="1EC8F608" w14:textId="77777777" w:rsidR="008D5802" w:rsidRDefault="008D5802" w:rsidP="008D5802">
      <w:pPr>
        <w:pStyle w:val="Heading3"/>
      </w:pPr>
      <w:r>
        <w:t>Gas conditioning – sulphur removal</w:t>
      </w:r>
    </w:p>
    <w:p w14:paraId="1E935FBC" w14:textId="42149F8E" w:rsidR="008D5802" w:rsidRDefault="008D5802" w:rsidP="008D5802">
      <w:r>
        <w:t xml:space="preserve">Natural gas contains a variety of sulphur compounds that are dependent on the source location. As the reforming catalysts are poisoned by even trace quantities of sulphur, the natural gas must pass through a desulfurization stage to remove sulphur compounds </w:t>
      </w:r>
      <w:sdt>
        <w:sdtPr>
          <w:id w:val="-225922607"/>
          <w:citation/>
        </w:sdtPr>
        <w:sdtEndPr/>
        <w:sdtContent>
          <w:r w:rsidRPr="00DB6A1C">
            <w:fldChar w:fldCharType="begin"/>
          </w:r>
          <w:r>
            <w:instrText xml:space="preserve">CITATION Nex06 \l 3081 </w:instrText>
          </w:r>
          <w:r w:rsidRPr="00DB6A1C">
            <w:fldChar w:fldCharType="separate"/>
          </w:r>
          <w:r w:rsidR="00CC22B1">
            <w:rPr>
              <w:noProof/>
            </w:rPr>
            <w:t>(Nexant Incorporated, 2006)</w:t>
          </w:r>
          <w:r w:rsidRPr="00DB6A1C">
            <w:fldChar w:fldCharType="end"/>
          </w:r>
        </w:sdtContent>
      </w:sdt>
      <w:r>
        <w:t xml:space="preserve">. Even though the desulfurization technology depends on the form of the sulphur compounds present in the natural </w:t>
      </w:r>
      <w:r w:rsidR="007F31C9">
        <w:t>gas, at present, hydrodesulfuris</w:t>
      </w:r>
      <w:r>
        <w:t xml:space="preserve">ation (HDS) followed by solvent absorption or physical adsorption is the conventional technology applied for removal of sulphur-containing compounds from natural gas. </w:t>
      </w:r>
    </w:p>
    <w:p w14:paraId="16CC6613" w14:textId="19C09DF8" w:rsidR="008D5802" w:rsidRDefault="007F31C9" w:rsidP="008D5802">
      <w:r>
        <w:t>During hydrodesulfuris</w:t>
      </w:r>
      <w:r w:rsidR="008D5802" w:rsidRPr="006634CF">
        <w:t>ation, natural gas</w:t>
      </w:r>
      <w:r w:rsidR="008D5802">
        <w:t xml:space="preserve"> and hydrogen gas are passed through a </w:t>
      </w:r>
      <w:r w:rsidR="008D5802" w:rsidRPr="006634CF">
        <w:t>catalytic reactor</w:t>
      </w:r>
      <w:r w:rsidR="008D5802">
        <w:t xml:space="preserve">, where </w:t>
      </w:r>
      <w:r w:rsidR="008D5802" w:rsidRPr="006634CF">
        <w:t xml:space="preserve">organic sulphur species </w:t>
      </w:r>
      <w:r w:rsidR="008D5802">
        <w:t xml:space="preserve">are hydrogenated </w:t>
      </w:r>
      <w:r w:rsidR="008D5802" w:rsidRPr="006634CF">
        <w:t xml:space="preserve">to </w:t>
      </w:r>
      <w:r w:rsidR="008D5802">
        <w:t xml:space="preserve">form </w:t>
      </w:r>
      <w:r w:rsidR="008D5802" w:rsidRPr="006634CF">
        <w:t>hydrogen sulphide (H</w:t>
      </w:r>
      <w:r w:rsidR="008D5802" w:rsidRPr="006634CF">
        <w:rPr>
          <w:vertAlign w:val="subscript"/>
        </w:rPr>
        <w:t>2</w:t>
      </w:r>
      <w:r w:rsidR="008D5802" w:rsidRPr="006634CF">
        <w:t xml:space="preserve">S) gas. The </w:t>
      </w:r>
      <w:r w:rsidR="008D5802">
        <w:t xml:space="preserve">gas from the </w:t>
      </w:r>
      <w:r w:rsidR="008D5802" w:rsidRPr="006634CF">
        <w:t xml:space="preserve">reactor is </w:t>
      </w:r>
      <w:r w:rsidR="008D5802">
        <w:t xml:space="preserve">subsequently </w:t>
      </w:r>
      <w:r w:rsidR="008D5802" w:rsidRPr="006634CF">
        <w:t xml:space="preserve">sent through </w:t>
      </w:r>
      <w:r w:rsidR="008D5802">
        <w:t>a solvent absorption (e.g. amine)</w:t>
      </w:r>
      <w:r w:rsidR="008D5802" w:rsidRPr="006634CF">
        <w:t xml:space="preserve"> or physical adsorption</w:t>
      </w:r>
      <w:r w:rsidR="008D5802">
        <w:t xml:space="preserve"> (e.g. metal oxide)</w:t>
      </w:r>
      <w:r w:rsidR="008D5802" w:rsidRPr="006634CF">
        <w:t xml:space="preserve"> system to remove the H</w:t>
      </w:r>
      <w:r w:rsidR="008D5802" w:rsidRPr="006634CF">
        <w:rPr>
          <w:vertAlign w:val="subscript"/>
        </w:rPr>
        <w:t>2</w:t>
      </w:r>
      <w:r w:rsidR="008D5802" w:rsidRPr="006634CF">
        <w:t xml:space="preserve">S from the </w:t>
      </w:r>
      <w:r w:rsidR="008D5802">
        <w:t xml:space="preserve">natural </w:t>
      </w:r>
      <w:r w:rsidR="008D5802" w:rsidRPr="006634CF">
        <w:t xml:space="preserve">gas </w:t>
      </w:r>
      <w:sdt>
        <w:sdtPr>
          <w:id w:val="1879960374"/>
          <w:citation/>
        </w:sdtPr>
        <w:sdtEndPr/>
        <w:sdtContent>
          <w:r w:rsidR="008D5802" w:rsidRPr="006634CF">
            <w:fldChar w:fldCharType="begin"/>
          </w:r>
          <w:r w:rsidR="008D5802" w:rsidRPr="006634CF">
            <w:instrText xml:space="preserve">CITATION Bos15 \l 3081 </w:instrText>
          </w:r>
          <w:r w:rsidR="008D5802" w:rsidRPr="006634CF">
            <w:fldChar w:fldCharType="separate"/>
          </w:r>
          <w:r w:rsidR="00CC22B1">
            <w:rPr>
              <w:noProof/>
            </w:rPr>
            <w:t>(Bose, 2015)</w:t>
          </w:r>
          <w:r w:rsidR="008D5802" w:rsidRPr="006634CF">
            <w:fldChar w:fldCharType="end"/>
          </w:r>
        </w:sdtContent>
      </w:sdt>
      <w:r w:rsidR="008D5802" w:rsidRPr="006634CF">
        <w:t xml:space="preserve"> </w:t>
      </w:r>
      <w:sdt>
        <w:sdtPr>
          <w:id w:val="901102068"/>
          <w:citation/>
        </w:sdtPr>
        <w:sdtEndPr/>
        <w:sdtContent>
          <w:r w:rsidR="008D5802" w:rsidRPr="006634CF">
            <w:fldChar w:fldCharType="begin"/>
          </w:r>
          <w:r w:rsidR="008D5802" w:rsidRPr="006634CF">
            <w:instrText xml:space="preserve"> CITATION Dut21 \l 3081 </w:instrText>
          </w:r>
          <w:r w:rsidR="008D5802" w:rsidRPr="006634CF">
            <w:fldChar w:fldCharType="separate"/>
          </w:r>
          <w:r w:rsidR="00CC22B1">
            <w:rPr>
              <w:noProof/>
            </w:rPr>
            <w:t>(Dutton, 2021)</w:t>
          </w:r>
          <w:r w:rsidR="008D5802" w:rsidRPr="006634CF">
            <w:fldChar w:fldCharType="end"/>
          </w:r>
        </w:sdtContent>
      </w:sdt>
      <w:r w:rsidR="008D5802">
        <w:t xml:space="preserve"> </w:t>
      </w:r>
      <w:sdt>
        <w:sdtPr>
          <w:id w:val="1021984391"/>
          <w:citation/>
        </w:sdtPr>
        <w:sdtEndPr/>
        <w:sdtContent>
          <w:r w:rsidR="008D5802">
            <w:fldChar w:fldCharType="begin"/>
          </w:r>
          <w:r w:rsidR="008D5802">
            <w:instrText xml:space="preserve"> CITATION Sha17 \l 3081 </w:instrText>
          </w:r>
          <w:r w:rsidR="008D5802">
            <w:fldChar w:fldCharType="separate"/>
          </w:r>
          <w:r w:rsidR="00CC22B1">
            <w:rPr>
              <w:noProof/>
            </w:rPr>
            <w:t>(Shah, Tsapatsis, &amp; Siepmann, 2017)</w:t>
          </w:r>
          <w:r w:rsidR="008D5802">
            <w:fldChar w:fldCharType="end"/>
          </w:r>
        </w:sdtContent>
      </w:sdt>
      <w:r w:rsidR="008D5802">
        <w:t xml:space="preserve">. </w:t>
      </w:r>
    </w:p>
    <w:p w14:paraId="3A7491E9" w14:textId="77777777" w:rsidR="008D5802" w:rsidRDefault="008D5802" w:rsidP="008D5802">
      <w:r w:rsidRPr="006634CF">
        <w:t>To increase the rate</w:t>
      </w:r>
      <w:r>
        <w:t xml:space="preserve"> of desulfurization</w:t>
      </w:r>
      <w:r w:rsidRPr="006634CF">
        <w:t>,</w:t>
      </w:r>
      <w:r>
        <w:t xml:space="preserve"> feed gas to the desulfurization unit </w:t>
      </w:r>
      <w:r w:rsidRPr="006634CF">
        <w:t xml:space="preserve">must be heated and pressurised. Depending on the scale of the system, </w:t>
      </w:r>
      <w:r>
        <w:t xml:space="preserve">this </w:t>
      </w:r>
      <w:r w:rsidRPr="006634CF">
        <w:t xml:space="preserve">feed pre-conditioning may occur </w:t>
      </w:r>
      <w:r>
        <w:t xml:space="preserve">in a separate unit </w:t>
      </w:r>
      <w:r w:rsidRPr="006634CF">
        <w:t xml:space="preserve">before the reactor, </w:t>
      </w:r>
      <w:r>
        <w:t>else</w:t>
      </w:r>
      <w:r w:rsidRPr="006634CF">
        <w:t xml:space="preserve"> </w:t>
      </w:r>
      <w:r>
        <w:t>the heat exchange can be</w:t>
      </w:r>
      <w:r w:rsidRPr="006634CF">
        <w:t xml:space="preserve"> integrated with the </w:t>
      </w:r>
      <w:r>
        <w:t xml:space="preserve">steam methane reforming </w:t>
      </w:r>
      <w:r w:rsidRPr="006634CF">
        <w:t xml:space="preserve">reactor </w:t>
      </w:r>
      <w:sdt>
        <w:sdtPr>
          <w:id w:val="57449595"/>
          <w:citation/>
        </w:sdtPr>
        <w:sdtEndPr/>
        <w:sdtContent>
          <w:r w:rsidRPr="006634CF">
            <w:fldChar w:fldCharType="begin"/>
          </w:r>
          <w:r w:rsidRPr="006634CF">
            <w:instrText xml:space="preserve">CITATION Nex06 \l 3081 </w:instrText>
          </w:r>
          <w:r w:rsidRPr="006634CF">
            <w:fldChar w:fldCharType="separate"/>
          </w:r>
          <w:r w:rsidR="00CC22B1">
            <w:rPr>
              <w:noProof/>
            </w:rPr>
            <w:t>(Nexant Incorporated, 2006)</w:t>
          </w:r>
          <w:r w:rsidRPr="006634CF">
            <w:fldChar w:fldCharType="end"/>
          </w:r>
        </w:sdtContent>
      </w:sdt>
      <w:r w:rsidRPr="006634CF">
        <w:t xml:space="preserve">. </w:t>
      </w:r>
    </w:p>
    <w:p w14:paraId="250E7B87" w14:textId="77777777" w:rsidR="008D5802" w:rsidRDefault="008D5802" w:rsidP="008D5802">
      <w:r>
        <w:t xml:space="preserve">The sulphur containing gases generated may be processed via a Claus plant to yield a pure sulphur product. This product may be sold. </w:t>
      </w:r>
      <w:r>
        <w:rPr>
          <w:rFonts w:cs="Arial"/>
          <w:szCs w:val="20"/>
          <w:shd w:val="clear" w:color="auto" w:fill="FFFFFF"/>
        </w:rPr>
        <w:t>However, as noted for coal gasification, given the scale of this sulphur source and the requirement for additional processing, the H</w:t>
      </w:r>
      <w:r>
        <w:rPr>
          <w:rFonts w:cs="Arial"/>
          <w:szCs w:val="20"/>
          <w:shd w:val="clear" w:color="auto" w:fill="FFFFFF"/>
          <w:vertAlign w:val="subscript"/>
        </w:rPr>
        <w:t>2</w:t>
      </w:r>
      <w:r>
        <w:rPr>
          <w:rFonts w:cs="Arial"/>
          <w:szCs w:val="20"/>
          <w:shd w:val="clear" w:color="auto" w:fill="FFFFFF"/>
        </w:rPr>
        <w:t xml:space="preserve">S stream is considered a waste stream.  </w:t>
      </w:r>
    </w:p>
    <w:p w14:paraId="37A5A264" w14:textId="77777777" w:rsidR="008D5802" w:rsidRDefault="008D5802" w:rsidP="008D5802">
      <w:pPr>
        <w:pStyle w:val="Heading3"/>
      </w:pPr>
      <w:r>
        <w:t>Steam methane reforming</w:t>
      </w:r>
    </w:p>
    <w:p w14:paraId="6B444E31" w14:textId="77777777" w:rsidR="008D5802" w:rsidRPr="006F0BAD" w:rsidRDefault="008D5802" w:rsidP="008D5802">
      <w:r w:rsidRPr="006F0BAD">
        <w:t>During steam methane reforming, natural gas is mixed with steam and undergoes the following reaction:</w:t>
      </w:r>
    </w:p>
    <w:p w14:paraId="36789461" w14:textId="77777777" w:rsidR="008D5802" w:rsidRPr="006F0BAD" w:rsidRDefault="008D5802" w:rsidP="008D5802">
      <w:pPr>
        <w:rPr>
          <w:shd w:val="clear" w:color="auto" w:fill="FFFFFF"/>
        </w:rPr>
      </w:pPr>
      <m:oMathPara>
        <m:oMath>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O+heat →CO+ </m:t>
          </m:r>
          <m:sSub>
            <m:sSubPr>
              <m:ctrlPr>
                <w:rPr>
                  <w:rFonts w:ascii="Cambria Math" w:hAnsi="Cambria Math"/>
                  <w:i/>
                </w:rPr>
              </m:ctrlPr>
            </m:sSubPr>
            <m:e>
              <m:r>
                <w:rPr>
                  <w:rFonts w:ascii="Cambria Math" w:hAnsi="Cambria Math"/>
                </w:rPr>
                <m:t>3H</m:t>
              </m:r>
            </m:e>
            <m:sub>
              <m:r>
                <w:rPr>
                  <w:rFonts w:ascii="Cambria Math" w:hAnsi="Cambria Math"/>
                </w:rPr>
                <m:t>2</m:t>
              </m:r>
            </m:sub>
          </m:sSub>
        </m:oMath>
      </m:oMathPara>
    </w:p>
    <w:p w14:paraId="4AE11A57" w14:textId="77777777" w:rsidR="008D5802" w:rsidRDefault="008D5802" w:rsidP="008D5802">
      <w:r w:rsidRPr="006F0BAD">
        <w:t xml:space="preserve">This is a reversible reaction, with the formation of hydrogen being favoured by high temperature and moderate pressure. The reaction </w:t>
      </w:r>
      <w:r>
        <w:t xml:space="preserve">consumes large amounts of heat and is carried out in hundreds of parallel tubes filled with catalyst (reformer catalyst), located inside a furnace (also called a reformer). The hot gas exiting the tubes (i.e. syngas) is sent to the heat recovery unit. </w:t>
      </w:r>
      <w:r w:rsidRPr="006F0BAD">
        <w:t xml:space="preserve">To provide the heat of reaction, fired </w:t>
      </w:r>
      <w:r>
        <w:t xml:space="preserve">burners are located in the furnace, but outside the tubes. Several configurations of the burners are possible, with each forming a different type of reformer </w:t>
      </w:r>
      <w:sdt>
        <w:sdtPr>
          <w:id w:val="1675451076"/>
          <w:citation/>
        </w:sdtPr>
        <w:sdtEndPr/>
        <w:sdtContent>
          <w:r w:rsidRPr="006F0BAD">
            <w:fldChar w:fldCharType="begin"/>
          </w:r>
          <w:r w:rsidRPr="006F0BAD">
            <w:instrText xml:space="preserve"> CITATION Nex06 \l 3081 </w:instrText>
          </w:r>
          <w:r w:rsidRPr="006F0BAD">
            <w:fldChar w:fldCharType="separate"/>
          </w:r>
          <w:r w:rsidR="00CC22B1">
            <w:rPr>
              <w:noProof/>
            </w:rPr>
            <w:t>(Nexant Incorporated, 2006)</w:t>
          </w:r>
          <w:r w:rsidRPr="006F0BAD">
            <w:fldChar w:fldCharType="end"/>
          </w:r>
        </w:sdtContent>
      </w:sdt>
      <w:r w:rsidRPr="006F0BAD">
        <w:t xml:space="preserve"> </w:t>
      </w:r>
      <w:sdt>
        <w:sdtPr>
          <w:id w:val="-1931958413"/>
          <w:citation/>
        </w:sdtPr>
        <w:sdtEndPr/>
        <w:sdtContent>
          <w:r w:rsidRPr="006F0BAD">
            <w:fldChar w:fldCharType="begin"/>
          </w:r>
          <w:r w:rsidRPr="006F0BAD">
            <w:instrText xml:space="preserve"> CITATION Zou01 \l 3081 </w:instrText>
          </w:r>
          <w:r w:rsidRPr="006F0BAD">
            <w:fldChar w:fldCharType="separate"/>
          </w:r>
          <w:r w:rsidR="00CC22B1">
            <w:rPr>
              <w:noProof/>
            </w:rPr>
            <w:t>(Zou &amp; Rodrigues, 2001)</w:t>
          </w:r>
          <w:r w:rsidRPr="006F0BAD">
            <w:fldChar w:fldCharType="end"/>
          </w:r>
        </w:sdtContent>
      </w:sdt>
      <w:r w:rsidRPr="006F0BAD">
        <w:t>.</w:t>
      </w:r>
      <w:r>
        <w:t xml:space="preserve"> Natural gas or other fuels are used in the furnace. The purification of syngas can result in a flammable gas stream containing CO, CO</w:t>
      </w:r>
      <w:r>
        <w:rPr>
          <w:vertAlign w:val="subscript"/>
        </w:rPr>
        <w:t>2</w:t>
      </w:r>
      <w:r>
        <w:t>, H</w:t>
      </w:r>
      <w:r>
        <w:rPr>
          <w:vertAlign w:val="subscript"/>
        </w:rPr>
        <w:t>2</w:t>
      </w:r>
      <w:r>
        <w:t>, and CH</w:t>
      </w:r>
      <w:r>
        <w:rPr>
          <w:vertAlign w:val="subscript"/>
        </w:rPr>
        <w:t>4</w:t>
      </w:r>
      <w:r>
        <w:t xml:space="preserve"> and this gas is also fed to the burners. The hot combustion products are also sent to the heat recovery unit and subsequently vented.</w:t>
      </w:r>
    </w:p>
    <w:p w14:paraId="38BC51EC" w14:textId="77777777" w:rsidR="008D5802" w:rsidRPr="00747099" w:rsidRDefault="008D5802" w:rsidP="008D5802">
      <w:r>
        <w:t xml:space="preserve">Carbon deposition on the reformer catalyst can cause degradation of catalyst. To eliminate this problem, a pre-reformer is used to convert all higher hydrocarbons present in the gas to methane </w:t>
      </w:r>
      <w:sdt>
        <w:sdtPr>
          <w:id w:val="997381600"/>
          <w:citation/>
        </w:sdtPr>
        <w:sdtEndPr/>
        <w:sdtContent>
          <w:r w:rsidRPr="00747099">
            <w:fldChar w:fldCharType="begin"/>
          </w:r>
          <w:r w:rsidRPr="00747099">
            <w:instrText xml:space="preserve"> CITATION Ben05 \l 3081 </w:instrText>
          </w:r>
          <w:r w:rsidRPr="00747099">
            <w:fldChar w:fldCharType="separate"/>
          </w:r>
          <w:r w:rsidR="00CC22B1">
            <w:rPr>
              <w:noProof/>
            </w:rPr>
            <w:t>(Benito &amp; Sanz, 2005)</w:t>
          </w:r>
          <w:r w:rsidRPr="00747099">
            <w:fldChar w:fldCharType="end"/>
          </w:r>
        </w:sdtContent>
      </w:sdt>
      <w:r>
        <w:t xml:space="preserve">. </w:t>
      </w:r>
    </w:p>
    <w:p w14:paraId="2B9FAE2A" w14:textId="77777777" w:rsidR="008D5802" w:rsidRDefault="008D5802" w:rsidP="00A54C2D">
      <w:pPr>
        <w:pStyle w:val="Heading4"/>
        <w:rPr>
          <w:shd w:val="clear" w:color="auto" w:fill="FFFFFF"/>
        </w:rPr>
      </w:pPr>
      <w:r>
        <w:rPr>
          <w:shd w:val="clear" w:color="auto" w:fill="FFFFFF"/>
        </w:rPr>
        <w:t>Heat recovery and power generation</w:t>
      </w:r>
    </w:p>
    <w:p w14:paraId="27E95C86" w14:textId="77777777" w:rsidR="008D5802" w:rsidRDefault="008D5802" w:rsidP="00C22D61">
      <w:r>
        <w:t xml:space="preserve">Waste heat recovery units are typical for steam methane reforming, reflecting the high temperature operation of reforming processes and the requirement for cooling of syngas products for subsequent processing. </w:t>
      </w:r>
    </w:p>
    <w:p w14:paraId="3E8F3D4C" w14:textId="77777777" w:rsidR="008D5802" w:rsidRDefault="008D5802" w:rsidP="00C22D61">
      <w:r w:rsidRPr="00AC5606">
        <w:t xml:space="preserve">Regulation of the reformer temperature is managed through a heat exchanger </w:t>
      </w:r>
      <w:r>
        <w:t>extracting waste heat from</w:t>
      </w:r>
      <w:r w:rsidRPr="00AC5606">
        <w:t xml:space="preserve"> th</w:t>
      </w:r>
      <w:r>
        <w:t>e</w:t>
      </w:r>
      <w:r w:rsidRPr="00AC5606">
        <w:t xml:space="preserve"> hot flue gas</w:t>
      </w:r>
      <w:r>
        <w:t xml:space="preserve"> and hot syngas,</w:t>
      </w:r>
      <w:r w:rsidRPr="00AC5606">
        <w:t xml:space="preserve"> which can be used to raise steam and generate electricity. Steam</w:t>
      </w:r>
      <w:r w:rsidRPr="00E9207C">
        <w:t xml:space="preserve"> may be </w:t>
      </w:r>
      <w:r>
        <w:t>used</w:t>
      </w:r>
      <w:r w:rsidRPr="00E9207C">
        <w:t xml:space="preserve"> elsewhere in the plant or exported out of the product system boundary. Electricity may be generated from this steam and used elsewhere in the plant or exported out of the product system boundary.</w:t>
      </w:r>
      <w:r>
        <w:t xml:space="preserve"> </w:t>
      </w:r>
    </w:p>
    <w:p w14:paraId="182F646E" w14:textId="41A9E88D" w:rsidR="008D5802" w:rsidRDefault="00F270AB" w:rsidP="008D5802">
      <w:pPr>
        <w:spacing w:before="240"/>
      </w:pPr>
      <w:r>
        <w:t xml:space="preserve">Any exported steam </w:t>
      </w:r>
      <w:r w:rsidR="008D5802">
        <w:t>or electricity is considered a co-product and should be allocated a share of emissions.</w:t>
      </w:r>
    </w:p>
    <w:p w14:paraId="6D2C7EF0" w14:textId="77777777" w:rsidR="008D5802" w:rsidRDefault="008D5802" w:rsidP="008D5802">
      <w:pPr>
        <w:pStyle w:val="Heading3"/>
      </w:pPr>
      <w:r>
        <w:t>Syngas conditioning</w:t>
      </w:r>
    </w:p>
    <w:p w14:paraId="5F0EB91E" w14:textId="77777777" w:rsidR="008D5802" w:rsidRPr="00CE767A" w:rsidRDefault="008D5802" w:rsidP="008D5802">
      <w:pPr>
        <w:pStyle w:val="Heading4"/>
      </w:pPr>
      <w:r>
        <w:t>Hydrogen enrichment</w:t>
      </w:r>
    </w:p>
    <w:p w14:paraId="52E09E85" w14:textId="77777777" w:rsidR="008D5802" w:rsidRDefault="008D5802" w:rsidP="00C22D61">
      <w:pPr>
        <w:spacing w:before="240"/>
      </w:pPr>
      <w:r>
        <w:t xml:space="preserve">To maximise the quantity of hydrogen produced, cooled syngas from the reformer is sent through to another reactor where the carbon monoxide is reacted with water to yield additional hydrogen. This is known as the water-gas shift (WGS) reaction, as follows: </w:t>
      </w:r>
    </w:p>
    <w:p w14:paraId="0E2E405E" w14:textId="77777777" w:rsidR="008D5802" w:rsidRDefault="008D5802" w:rsidP="008D5802">
      <w:pPr>
        <w:pStyle w:val="BodyText"/>
        <w:rPr>
          <w:rFonts w:eastAsiaTheme="minorEastAsia"/>
        </w:rPr>
      </w:pPr>
      <m:oMathPara>
        <m:oMath>
          <m:r>
            <w:rPr>
              <w:rFonts w:ascii="Cambria Math" w:hAnsi="Cambria Math"/>
            </w:rPr>
            <m:t>CO+</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 →</m:t>
          </m:r>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eastAsiaTheme="minorEastAsia" w:hAnsi="Cambria Math"/>
            </w:rPr>
            <m:t>+heat</m:t>
          </m:r>
        </m:oMath>
      </m:oMathPara>
    </w:p>
    <w:p w14:paraId="1F6806C7" w14:textId="77777777" w:rsidR="008D5802" w:rsidRPr="00C22D61" w:rsidRDefault="008D5802" w:rsidP="00C22D61">
      <w:pPr>
        <w:spacing w:before="240"/>
      </w:pPr>
      <w:r w:rsidRPr="00C22D61">
        <w:t>This is a reversible reaction, with an equilibrium established</w:t>
      </w:r>
      <w:r>
        <w:rPr>
          <w:color w:val="2F2F2F"/>
          <w:shd w:val="clear" w:color="auto" w:fill="FFFFFF"/>
        </w:rPr>
        <w:t xml:space="preserve"> between CO and CO</w:t>
      </w:r>
      <w:r>
        <w:rPr>
          <w:color w:val="2F2F2F"/>
          <w:shd w:val="clear" w:color="auto" w:fill="FFFFFF"/>
          <w:vertAlign w:val="subscript"/>
        </w:rPr>
        <w:t>2</w:t>
      </w:r>
      <w:r>
        <w:rPr>
          <w:color w:val="2F2F2F"/>
          <w:shd w:val="clear" w:color="auto" w:fill="FFFFFF"/>
        </w:rPr>
        <w:t>, subject to the reaction conditions. Low temperatures favour the formation of CO</w:t>
      </w:r>
      <w:r>
        <w:rPr>
          <w:color w:val="2F2F2F"/>
          <w:shd w:val="clear" w:color="auto" w:fill="FFFFFF"/>
          <w:vertAlign w:val="subscript"/>
        </w:rPr>
        <w:t>2</w:t>
      </w:r>
      <w:r>
        <w:rPr>
          <w:color w:val="2F2F2F"/>
          <w:shd w:val="clear" w:color="auto" w:fill="FFFFFF"/>
        </w:rPr>
        <w:t>. As the conversion of CO to CO</w:t>
      </w:r>
      <w:r>
        <w:rPr>
          <w:color w:val="2F2F2F"/>
          <w:shd w:val="clear" w:color="auto" w:fill="FFFFFF"/>
          <w:vertAlign w:val="subscript"/>
        </w:rPr>
        <w:t>2</w:t>
      </w:r>
      <w:r>
        <w:rPr>
          <w:color w:val="2F2F2F"/>
          <w:shd w:val="clear" w:color="auto" w:fill="FFFFFF"/>
        </w:rPr>
        <w:t xml:space="preserve"> generates heat, there are often several water gas shift reactors in series with coolers between them (including high temperature and low temperature stages).</w:t>
      </w:r>
      <w:r w:rsidRPr="00C22D61">
        <w:t xml:space="preserve"> </w:t>
      </w:r>
    </w:p>
    <w:p w14:paraId="74D8D5B5" w14:textId="77777777" w:rsidR="008D5802" w:rsidRPr="00C22D61" w:rsidRDefault="008D5802" w:rsidP="00C22D61">
      <w:pPr>
        <w:spacing w:before="240"/>
      </w:pPr>
      <w:r w:rsidRPr="00C22D61">
        <w:t xml:space="preserve">Typically, iron-chromium and copper-zinc catalysts are used to facilitate the reaction at high and low temperatures, respectively </w:t>
      </w:r>
      <w:sdt>
        <w:sdtPr>
          <w:id w:val="98537674"/>
          <w:citation/>
        </w:sdtPr>
        <w:sdtEndPr/>
        <w:sdtContent>
          <w:r w:rsidRPr="00C22D61">
            <w:fldChar w:fldCharType="begin"/>
          </w:r>
          <w:r w:rsidRPr="00C22D61">
            <w:instrText xml:space="preserve"> CITATION Pal18 \l 3081 </w:instrText>
          </w:r>
          <w:r w:rsidRPr="00C22D61">
            <w:fldChar w:fldCharType="separate"/>
          </w:r>
          <w:r w:rsidR="00CC22B1" w:rsidRPr="00C22D61">
            <w:t>(Pal, Chand, Upadhyay, &amp; Mishra, 2018)</w:t>
          </w:r>
          <w:r w:rsidRPr="00C22D61">
            <w:fldChar w:fldCharType="end"/>
          </w:r>
        </w:sdtContent>
      </w:sdt>
      <w:r w:rsidRPr="00C22D61">
        <w:t>.</w:t>
      </w:r>
    </w:p>
    <w:p w14:paraId="3D8B83A7" w14:textId="77777777" w:rsidR="008D5802" w:rsidRPr="003E456C" w:rsidRDefault="008D5802" w:rsidP="00A54C2D">
      <w:pPr>
        <w:pStyle w:val="Heading4"/>
        <w:rPr>
          <w:shd w:val="clear" w:color="auto" w:fill="FFFFFF"/>
        </w:rPr>
      </w:pPr>
      <w:r w:rsidRPr="003E456C">
        <w:rPr>
          <w:shd w:val="clear" w:color="auto" w:fill="FFFFFF"/>
        </w:rPr>
        <w:t xml:space="preserve">Syngas </w:t>
      </w:r>
      <w:r>
        <w:rPr>
          <w:shd w:val="clear" w:color="auto" w:fill="FFFFFF"/>
        </w:rPr>
        <w:t>purification</w:t>
      </w:r>
    </w:p>
    <w:p w14:paraId="2C468419" w14:textId="77777777" w:rsidR="008D5802" w:rsidRDefault="008D5802" w:rsidP="00C22D61">
      <w:pPr>
        <w:spacing w:before="240"/>
      </w:pPr>
      <w:r>
        <w:t>The syngas now includes large quantities of CO</w:t>
      </w:r>
      <w:r w:rsidRPr="00C22D61">
        <w:t xml:space="preserve">2 </w:t>
      </w:r>
      <w:r>
        <w:t xml:space="preserve">in addition to other impurities including particulate matter and heavy metals (such as mercury). These components must be removed from the syngas. </w:t>
      </w:r>
    </w:p>
    <w:p w14:paraId="2846722C" w14:textId="77777777" w:rsidR="008D5802" w:rsidRPr="00C22D61" w:rsidRDefault="008D5802" w:rsidP="00C22D61">
      <w:pPr>
        <w:spacing w:before="240"/>
      </w:pPr>
      <w:r>
        <w:t xml:space="preserve">Particulate matter can be removed using a water scrubber. </w:t>
      </w:r>
      <w:r w:rsidRPr="00C22D61">
        <w:t xml:space="preserve">Mercury and other heavy metals can be removed by via adsorption, particularly using activated carbon beds. Drying (water removal) is also required </w:t>
      </w:r>
      <w:sdt>
        <w:sdtPr>
          <w:id w:val="-1185741132"/>
          <w:citation/>
        </w:sdtPr>
        <w:sdtEndPr/>
        <w:sdtContent>
          <w:r w:rsidRPr="00C22D61">
            <w:fldChar w:fldCharType="begin"/>
          </w:r>
          <w:r w:rsidRPr="00C22D61">
            <w:instrText xml:space="preserve"> CITATION Hig08 \l 3081 </w:instrText>
          </w:r>
          <w:r w:rsidRPr="00C22D61">
            <w:fldChar w:fldCharType="separate"/>
          </w:r>
          <w:r w:rsidR="00CC22B1" w:rsidRPr="00C22D61">
            <w:t>(Higman, 2008)</w:t>
          </w:r>
          <w:r w:rsidRPr="00C22D61">
            <w:fldChar w:fldCharType="end"/>
          </w:r>
        </w:sdtContent>
      </w:sdt>
      <w:r w:rsidRPr="00C22D61">
        <w:t>. The removal of CO2 is discussed below.</w:t>
      </w:r>
    </w:p>
    <w:p w14:paraId="3196D994" w14:textId="77777777" w:rsidR="008D5802" w:rsidRPr="00C22D61" w:rsidRDefault="008D5802" w:rsidP="00C22D61">
      <w:pPr>
        <w:spacing w:before="240"/>
      </w:pPr>
      <w:r w:rsidRPr="00C22D61">
        <w:t>Whilst configurations for syngas conditioning vary, the key inputs and outputs (electricity, heat) are largely common.</w:t>
      </w:r>
    </w:p>
    <w:p w14:paraId="0325C335" w14:textId="4DEA03D1" w:rsidR="008D5802" w:rsidRDefault="008D5802" w:rsidP="008D5802">
      <w:pPr>
        <w:pStyle w:val="Heading3"/>
        <w:rPr>
          <w:shd w:val="clear" w:color="auto" w:fill="FFFFFF"/>
        </w:rPr>
      </w:pPr>
      <w:r>
        <w:rPr>
          <w:shd w:val="clear" w:color="auto" w:fill="FFFFFF"/>
        </w:rPr>
        <w:t>Carbon capture use and storage (CCS)</w:t>
      </w:r>
    </w:p>
    <w:p w14:paraId="59D3F8A4" w14:textId="77777777" w:rsidR="008D5802" w:rsidRPr="0096167B" w:rsidRDefault="008D5802" w:rsidP="00A54C2D">
      <w:pPr>
        <w:pStyle w:val="Heading4"/>
      </w:pPr>
      <w:r>
        <w:t>CO</w:t>
      </w:r>
      <w:r>
        <w:rPr>
          <w:vertAlign w:val="subscript"/>
        </w:rPr>
        <w:t xml:space="preserve">2 </w:t>
      </w:r>
      <w:r>
        <w:t xml:space="preserve">capture and separation </w:t>
      </w:r>
    </w:p>
    <w:p w14:paraId="33F684E5" w14:textId="39157572" w:rsidR="008D5802" w:rsidRPr="00DC3E3F" w:rsidRDefault="008D5802" w:rsidP="008D5802">
      <w:r>
        <w:t>The syngas still includes large quantities of CO</w:t>
      </w:r>
      <w:r>
        <w:rPr>
          <w:vertAlign w:val="subscript"/>
        </w:rPr>
        <w:t>2</w:t>
      </w:r>
      <w:r>
        <w:t xml:space="preserve"> and small amounts of CO that must be removed, which can occur </w:t>
      </w:r>
      <w:r>
        <w:rPr>
          <w:rFonts w:cs="Arial"/>
          <w:szCs w:val="20"/>
          <w:shd w:val="clear" w:color="auto" w:fill="FFFFFF"/>
        </w:rPr>
        <w:t xml:space="preserve">via a variety of approaches (as outlined in </w:t>
      </w:r>
      <w:r w:rsidR="000722CB">
        <w:t>Appendix B</w:t>
      </w:r>
      <w:r>
        <w:t xml:space="preserve">) </w:t>
      </w:r>
      <w:r>
        <w:rPr>
          <w:rFonts w:cs="Arial"/>
          <w:szCs w:val="20"/>
          <w:shd w:val="clear" w:color="auto" w:fill="FFFFFF"/>
        </w:rPr>
        <w:t xml:space="preserve">depending on syngas properties and product output requirements. For post-combustion carbon capture (typically carried out for SMR) PSA or other technologies may be preferred over solvent absorption </w:t>
      </w:r>
      <w:sdt>
        <w:sdtPr>
          <w:rPr>
            <w:rFonts w:cs="Arial"/>
            <w:szCs w:val="20"/>
            <w:shd w:val="clear" w:color="auto" w:fill="FFFFFF"/>
          </w:rPr>
          <w:id w:val="-1798598884"/>
          <w:citation/>
        </w:sdtPr>
        <w:sdtEndPr/>
        <w:sdtContent>
          <w:r>
            <w:rPr>
              <w:rFonts w:cs="Arial"/>
              <w:szCs w:val="20"/>
              <w:shd w:val="clear" w:color="auto" w:fill="FFFFFF"/>
            </w:rPr>
            <w:fldChar w:fldCharType="begin"/>
          </w:r>
          <w:r>
            <w:instrText xml:space="preserve"> CITATION Hof07 \l 3081 </w:instrText>
          </w:r>
          <w:r>
            <w:rPr>
              <w:rFonts w:cs="Arial"/>
              <w:szCs w:val="20"/>
              <w:shd w:val="clear" w:color="auto" w:fill="FFFFFF"/>
            </w:rPr>
            <w:fldChar w:fldCharType="separate"/>
          </w:r>
          <w:r w:rsidR="00CC22B1">
            <w:rPr>
              <w:noProof/>
            </w:rPr>
            <w:t>(Hofbauer, Rauch, &amp; Ripfel-Nitsche, 2007)</w:t>
          </w:r>
          <w:r>
            <w:rPr>
              <w:rFonts w:cs="Arial"/>
              <w:szCs w:val="20"/>
              <w:shd w:val="clear" w:color="auto" w:fill="FFFFFF"/>
            </w:rPr>
            <w:fldChar w:fldCharType="end"/>
          </w:r>
        </w:sdtContent>
      </w:sdt>
      <w:r>
        <w:rPr>
          <w:rFonts w:cs="Arial"/>
          <w:szCs w:val="20"/>
          <w:shd w:val="clear" w:color="auto" w:fill="FFFFFF"/>
        </w:rPr>
        <w:t xml:space="preserve"> </w:t>
      </w:r>
      <w:sdt>
        <w:sdtPr>
          <w:rPr>
            <w:rFonts w:cs="Arial"/>
            <w:szCs w:val="20"/>
            <w:shd w:val="clear" w:color="auto" w:fill="FFFFFF"/>
          </w:rPr>
          <w:id w:val="-1041357009"/>
          <w:citation/>
        </w:sdtPr>
        <w:sdtEndPr/>
        <w:sdtContent>
          <w:r>
            <w:rPr>
              <w:rFonts w:cs="Arial"/>
              <w:szCs w:val="20"/>
              <w:shd w:val="clear" w:color="auto" w:fill="FFFFFF"/>
            </w:rPr>
            <w:fldChar w:fldCharType="begin"/>
          </w:r>
          <w:r>
            <w:rPr>
              <w:rFonts w:cs="Arial"/>
              <w:szCs w:val="20"/>
              <w:shd w:val="clear" w:color="auto" w:fill="FFFFFF"/>
            </w:rPr>
            <w:instrText xml:space="preserve"> CITATION Fer18 \l 3081 </w:instrText>
          </w:r>
          <w:r>
            <w:rPr>
              <w:rFonts w:cs="Arial"/>
              <w:szCs w:val="20"/>
              <w:shd w:val="clear" w:color="auto" w:fill="FFFFFF"/>
            </w:rPr>
            <w:fldChar w:fldCharType="separate"/>
          </w:r>
          <w:r w:rsidR="00CC22B1">
            <w:rPr>
              <w:rFonts w:cs="Arial"/>
              <w:noProof/>
              <w:szCs w:val="20"/>
              <w:shd w:val="clear" w:color="auto" w:fill="FFFFFF"/>
            </w:rPr>
            <w:t>(Vega, et al., 2018)</w:t>
          </w:r>
          <w:r>
            <w:rPr>
              <w:rFonts w:cs="Arial"/>
              <w:szCs w:val="20"/>
              <w:shd w:val="clear" w:color="auto" w:fill="FFFFFF"/>
            </w:rPr>
            <w:fldChar w:fldCharType="end"/>
          </w:r>
        </w:sdtContent>
      </w:sdt>
      <w:r>
        <w:rPr>
          <w:rFonts w:cs="Arial"/>
          <w:szCs w:val="20"/>
          <w:shd w:val="clear" w:color="auto" w:fill="FFFFFF"/>
        </w:rPr>
        <w:t xml:space="preserve">. </w:t>
      </w:r>
    </w:p>
    <w:p w14:paraId="13550C74" w14:textId="77777777" w:rsidR="008D5802" w:rsidRPr="0096167B" w:rsidRDefault="008D5802" w:rsidP="00A54C2D">
      <w:pPr>
        <w:pStyle w:val="Heading4"/>
      </w:pPr>
      <w:r>
        <w:t>CO</w:t>
      </w:r>
      <w:r>
        <w:rPr>
          <w:vertAlign w:val="subscript"/>
        </w:rPr>
        <w:t>2</w:t>
      </w:r>
      <w:r>
        <w:t xml:space="preserve"> compression and transport</w:t>
      </w:r>
    </w:p>
    <w:p w14:paraId="40CB67A7" w14:textId="5AB5BEC4" w:rsidR="008D5802" w:rsidRPr="00FF286E" w:rsidRDefault="008D5802" w:rsidP="008D5802">
      <w:r>
        <w:t xml:space="preserve">Refer to the carbon capture use and storage (CCUS) content in </w:t>
      </w:r>
      <w:r w:rsidR="000722CB">
        <w:t>Appendix B</w:t>
      </w:r>
      <w:r>
        <w:t>.</w:t>
      </w:r>
    </w:p>
    <w:p w14:paraId="56543D45" w14:textId="77777777" w:rsidR="008D5802" w:rsidRDefault="008D5802" w:rsidP="00A54C2D">
      <w:pPr>
        <w:pStyle w:val="Heading4"/>
      </w:pPr>
      <w:r>
        <w:t>CO</w:t>
      </w:r>
      <w:r>
        <w:rPr>
          <w:vertAlign w:val="subscript"/>
        </w:rPr>
        <w:t>2</w:t>
      </w:r>
      <w:r>
        <w:t xml:space="preserve"> storage</w:t>
      </w:r>
    </w:p>
    <w:p w14:paraId="7B6A4997" w14:textId="1CD3DDD2" w:rsidR="008D5802" w:rsidRDefault="008D5802" w:rsidP="008D5802">
      <w:pPr>
        <w:sectPr w:rsidR="008D5802" w:rsidSect="005F166A">
          <w:pgSz w:w="11906" w:h="16838" w:code="9"/>
          <w:pgMar w:top="1644" w:right="1474" w:bottom="1134" w:left="1701" w:header="794" w:footer="284" w:gutter="0"/>
          <w:cols w:space="708"/>
          <w:formProt w:val="0"/>
          <w:docGrid w:linePitch="360"/>
        </w:sectPr>
      </w:pPr>
      <w:r>
        <w:t xml:space="preserve">Refer to the carbon capture use and storage (CCUS) content in </w:t>
      </w:r>
      <w:r w:rsidR="000722CB">
        <w:t>Appendix B</w:t>
      </w:r>
    </w:p>
    <w:p w14:paraId="13D7BAE0" w14:textId="77777777" w:rsidR="008D5802" w:rsidRDefault="008D5802" w:rsidP="003B47A9">
      <w:pPr>
        <w:pStyle w:val="Heading2"/>
      </w:pPr>
      <w:bookmarkStart w:id="446" w:name="_Toc64302391"/>
      <w:bookmarkStart w:id="447" w:name="_Toc65168395"/>
      <w:bookmarkStart w:id="448" w:name="_Toc67329136"/>
      <w:bookmarkStart w:id="449" w:name="_Toc67329384"/>
      <w:bookmarkStart w:id="450" w:name="_Toc67562640"/>
      <w:bookmarkStart w:id="451" w:name="_Toc68000223"/>
      <w:bookmarkStart w:id="452" w:name="_Toc68083154"/>
      <w:bookmarkStart w:id="453" w:name="_Toc68083549"/>
      <w:bookmarkStart w:id="454" w:name="_Toc68105088"/>
      <w:bookmarkStart w:id="455" w:name="_Toc74839367"/>
      <w:r>
        <w:t>Sources of emissions</w:t>
      </w:r>
      <w:bookmarkEnd w:id="446"/>
      <w:bookmarkEnd w:id="447"/>
      <w:bookmarkEnd w:id="448"/>
      <w:bookmarkEnd w:id="449"/>
      <w:bookmarkEnd w:id="450"/>
      <w:bookmarkEnd w:id="451"/>
      <w:bookmarkEnd w:id="452"/>
      <w:bookmarkEnd w:id="453"/>
      <w:bookmarkEnd w:id="454"/>
      <w:bookmarkEnd w:id="455"/>
    </w:p>
    <w:p w14:paraId="5628DCEB" w14:textId="77777777" w:rsidR="008D5802" w:rsidRDefault="008D5802" w:rsidP="008D5802">
      <w:r w:rsidRPr="008757D6">
        <w:t>For steam methane reforming, the main sources of GHG emissions are steam generation and reforming of the natural gas feedstock (including</w:t>
      </w:r>
      <w:r>
        <w:t xml:space="preserve"> fuel combustion in the burners)</w:t>
      </w:r>
      <w:r w:rsidRPr="00EF61D8">
        <w:t>. Other significant emissions sources include the</w:t>
      </w:r>
      <w:r>
        <w:t xml:space="preserve"> fugitive emissions and combustion emissions associated with upstream gas extraction and processing, as well as the</w:t>
      </w:r>
      <w:r w:rsidRPr="00EF61D8">
        <w:t xml:space="preserve"> electricity use associated with CO</w:t>
      </w:r>
      <w:r w:rsidRPr="00EF61D8">
        <w:rPr>
          <w:vertAlign w:val="subscript"/>
        </w:rPr>
        <w:t xml:space="preserve">2 </w:t>
      </w:r>
      <w:r w:rsidRPr="00EF61D8">
        <w:t>removal.</w:t>
      </w:r>
      <w:r w:rsidRPr="00FA3733">
        <w:t xml:space="preserve"> </w:t>
      </w:r>
    </w:p>
    <w:p w14:paraId="78B01063" w14:textId="77777777" w:rsidR="008D5802" w:rsidRDefault="008D5802" w:rsidP="00C22D61">
      <w:r>
        <w:t xml:space="preserve">There are a number of common GHG emissions sources across the supply chain including: </w:t>
      </w:r>
    </w:p>
    <w:p w14:paraId="1571B12F" w14:textId="77777777" w:rsidR="008D5802" w:rsidRDefault="008D5802" w:rsidP="00F048C7">
      <w:pPr>
        <w:pStyle w:val="ListParagraph"/>
        <w:numPr>
          <w:ilvl w:val="0"/>
          <w:numId w:val="9"/>
        </w:numPr>
      </w:pPr>
      <w:r>
        <w:t>Leakage of SF</w:t>
      </w:r>
      <w:r w:rsidRPr="00C22D61">
        <w:t xml:space="preserve">6 </w:t>
      </w:r>
      <w:r>
        <w:t>used in switchgear to support site electricity supply</w:t>
      </w:r>
    </w:p>
    <w:p w14:paraId="45A71E6F" w14:textId="77777777" w:rsidR="008D5802" w:rsidRDefault="008D5802" w:rsidP="00F048C7">
      <w:pPr>
        <w:pStyle w:val="ListParagraph"/>
        <w:numPr>
          <w:ilvl w:val="0"/>
          <w:numId w:val="9"/>
        </w:numPr>
      </w:pPr>
      <w:r>
        <w:t>Electricity consumption for the supply, processing and distribution of utility water</w:t>
      </w:r>
    </w:p>
    <w:p w14:paraId="3747514E" w14:textId="0146D3F4" w:rsidR="008D5802" w:rsidRDefault="008D5802" w:rsidP="00F048C7">
      <w:pPr>
        <w:pStyle w:val="ListParagraph"/>
        <w:numPr>
          <w:ilvl w:val="0"/>
          <w:numId w:val="9"/>
        </w:numPr>
      </w:pPr>
      <w:r>
        <w:t>Comb</w:t>
      </w:r>
      <w:r w:rsidR="00F270AB">
        <w:t>ustion of liquid, gaseous and</w:t>
      </w:r>
      <w:r>
        <w:t xml:space="preserve"> solid fuels for the purposes of electricity generation (where applicable, this may be a significant emissions source if this is the main electricity supply)</w:t>
      </w:r>
    </w:p>
    <w:p w14:paraId="4606F407" w14:textId="07082C85" w:rsidR="008D5802" w:rsidRDefault="008D5802" w:rsidP="00F048C7">
      <w:pPr>
        <w:pStyle w:val="ListParagraph"/>
        <w:numPr>
          <w:ilvl w:val="0"/>
          <w:numId w:val="9"/>
        </w:numPr>
      </w:pPr>
      <w:r>
        <w:t>Combu</w:t>
      </w:r>
      <w:r w:rsidR="00F270AB">
        <w:t xml:space="preserve">stion of liquid, gaseous and </w:t>
      </w:r>
      <w:r>
        <w:t>solid fuels for the purposes of steam generation</w:t>
      </w:r>
    </w:p>
    <w:p w14:paraId="13CC9074" w14:textId="77777777" w:rsidR="008D5802" w:rsidRDefault="008D5802" w:rsidP="00F048C7">
      <w:pPr>
        <w:pStyle w:val="ListParagraph"/>
        <w:numPr>
          <w:ilvl w:val="0"/>
          <w:numId w:val="9"/>
        </w:numPr>
      </w:pPr>
      <w:r>
        <w:t>General electricity consumption for a facility including pumping, cooling systems and ventilation</w:t>
      </w:r>
    </w:p>
    <w:p w14:paraId="70FD0EF6" w14:textId="78612AA9" w:rsidR="008D5802" w:rsidRDefault="008D5802" w:rsidP="00F048C7">
      <w:pPr>
        <w:pStyle w:val="ListParagraph"/>
        <w:numPr>
          <w:ilvl w:val="0"/>
          <w:numId w:val="9"/>
        </w:numPr>
      </w:pPr>
      <w:r>
        <w:t xml:space="preserve">Leakage of refrigerants used in cooling systems. </w:t>
      </w:r>
    </w:p>
    <w:p w14:paraId="40521506" w14:textId="1F22D850" w:rsidR="008D5802" w:rsidRDefault="008D5802" w:rsidP="008D5802">
      <w:pPr>
        <w:pStyle w:val="Caption"/>
        <w:keepNext/>
      </w:pPr>
      <w:r>
        <w:t>GHG emissions summary for steam methane reforming</w:t>
      </w:r>
    </w:p>
    <w:tbl>
      <w:tblPr>
        <w:tblStyle w:val="EPLTablePlain"/>
        <w:tblpPr w:leftFromText="180" w:rightFromText="180" w:vertAnchor="text" w:tblpY="1"/>
        <w:tblOverlap w:val="never"/>
        <w:tblW w:w="9269" w:type="dxa"/>
        <w:tblLook w:val="04A0" w:firstRow="1" w:lastRow="0" w:firstColumn="1" w:lastColumn="0" w:noHBand="0" w:noVBand="1"/>
        <w:tblDescription w:val="Table summarising the steam methan reforming processes and sources of emissions."/>
      </w:tblPr>
      <w:tblGrid>
        <w:gridCol w:w="3281"/>
        <w:gridCol w:w="3154"/>
        <w:gridCol w:w="2834"/>
      </w:tblGrid>
      <w:tr w:rsidR="008D5802" w14:paraId="79D00BF0" w14:textId="77777777" w:rsidTr="00B4718B">
        <w:trPr>
          <w:cnfStyle w:val="100000000000" w:firstRow="1" w:lastRow="0" w:firstColumn="0" w:lastColumn="0" w:oddVBand="0" w:evenVBand="0" w:oddHBand="0" w:evenHBand="0" w:firstRowFirstColumn="0" w:firstRowLastColumn="0" w:lastRowFirstColumn="0" w:lastRowLastColumn="0"/>
          <w:trHeight w:hRule="exact" w:val="454"/>
          <w:tblHeader/>
        </w:trPr>
        <w:tc>
          <w:tcPr>
            <w:tcW w:w="3197" w:type="dxa"/>
            <w:hideMark/>
          </w:tcPr>
          <w:p w14:paraId="27FD6238" w14:textId="77777777" w:rsidR="008D5802" w:rsidRDefault="008D5802" w:rsidP="005F166A">
            <w:pPr>
              <w:pStyle w:val="ListParagraph"/>
              <w:ind w:left="0" w:firstLine="0"/>
              <w:rPr>
                <w:rFonts w:cs="Arial"/>
                <w:color w:val="auto"/>
              </w:rPr>
            </w:pPr>
            <w:r>
              <w:rPr>
                <w:rFonts w:cs="Arial"/>
              </w:rPr>
              <w:t>Process unit/stage</w:t>
            </w:r>
          </w:p>
        </w:tc>
        <w:tc>
          <w:tcPr>
            <w:tcW w:w="3098" w:type="dxa"/>
            <w:hideMark/>
          </w:tcPr>
          <w:p w14:paraId="3EADCC6B" w14:textId="77777777" w:rsidR="008D5802" w:rsidRDefault="008D5802" w:rsidP="005F166A">
            <w:pPr>
              <w:pStyle w:val="ListParagraph"/>
              <w:ind w:left="0" w:firstLine="0"/>
              <w:rPr>
                <w:rFonts w:cs="Arial"/>
              </w:rPr>
            </w:pPr>
            <w:r>
              <w:rPr>
                <w:rFonts w:cs="Arial"/>
              </w:rPr>
              <w:t>Key emissions sources</w:t>
            </w:r>
          </w:p>
        </w:tc>
        <w:tc>
          <w:tcPr>
            <w:tcW w:w="2750" w:type="dxa"/>
          </w:tcPr>
          <w:p w14:paraId="2C88090D" w14:textId="77777777" w:rsidR="008D5802" w:rsidRDefault="008D5802" w:rsidP="005F166A">
            <w:pPr>
              <w:pStyle w:val="ListParagraph"/>
              <w:ind w:left="0" w:firstLine="0"/>
              <w:rPr>
                <w:rFonts w:cs="Arial"/>
              </w:rPr>
            </w:pPr>
            <w:r>
              <w:rPr>
                <w:rFonts w:cs="Arial"/>
              </w:rPr>
              <w:t>Other emissions sources</w:t>
            </w:r>
          </w:p>
        </w:tc>
      </w:tr>
      <w:tr w:rsidR="008D5802" w14:paraId="3D18AD8A" w14:textId="77777777" w:rsidTr="006E1573">
        <w:trPr>
          <w:trHeight w:hRule="exact" w:val="2529"/>
        </w:trPr>
        <w:tc>
          <w:tcPr>
            <w:tcW w:w="0" w:type="dxa"/>
          </w:tcPr>
          <w:p w14:paraId="3D66FCAF" w14:textId="77777777" w:rsidR="008D5802" w:rsidRPr="00EB7757" w:rsidRDefault="008D5802" w:rsidP="005F166A">
            <w:pPr>
              <w:pStyle w:val="ListParagraph"/>
              <w:ind w:left="0" w:firstLine="0"/>
              <w:rPr>
                <w:rFonts w:asciiTheme="minorHAnsi" w:hAnsiTheme="minorHAnsi" w:cstheme="minorHAnsi"/>
                <w:sz w:val="22"/>
                <w:szCs w:val="22"/>
              </w:rPr>
            </w:pPr>
            <w:r w:rsidRPr="00EB7757">
              <w:rPr>
                <w:rFonts w:asciiTheme="minorHAnsi" w:hAnsiTheme="minorHAnsi" w:cstheme="minorHAnsi"/>
                <w:sz w:val="22"/>
                <w:szCs w:val="22"/>
              </w:rPr>
              <w:t>Gas extraction</w:t>
            </w:r>
          </w:p>
        </w:tc>
        <w:tc>
          <w:tcPr>
            <w:tcW w:w="0" w:type="dxa"/>
          </w:tcPr>
          <w:p w14:paraId="32F8A136" w14:textId="77777777" w:rsidR="008D5802" w:rsidRPr="00EB7757" w:rsidRDefault="008D5802" w:rsidP="00E82175">
            <w:pPr>
              <w:pStyle w:val="ListBullet"/>
              <w:ind w:left="0" w:firstLine="0"/>
              <w:rPr>
                <w:rFonts w:asciiTheme="minorHAnsi" w:hAnsiTheme="minorHAnsi" w:cstheme="minorHAnsi"/>
                <w:sz w:val="22"/>
                <w:szCs w:val="22"/>
              </w:rPr>
            </w:pPr>
            <w:r w:rsidRPr="00EB7757">
              <w:rPr>
                <w:rFonts w:asciiTheme="minorHAnsi" w:hAnsiTheme="minorHAnsi" w:cstheme="minorHAnsi"/>
                <w:sz w:val="22"/>
                <w:szCs w:val="22"/>
              </w:rPr>
              <w:t>Fugitive methane and/or carbon dioxide from gas extraction flaring and venting activities</w:t>
            </w:r>
          </w:p>
          <w:p w14:paraId="0BA65AB3" w14:textId="77777777" w:rsidR="007F0B40" w:rsidRPr="00EB7757" w:rsidRDefault="007F0B40" w:rsidP="00E82175">
            <w:pPr>
              <w:pStyle w:val="ListBullet"/>
              <w:ind w:left="0" w:firstLine="0"/>
              <w:rPr>
                <w:rFonts w:asciiTheme="minorHAnsi" w:hAnsiTheme="minorHAnsi" w:cstheme="minorHAnsi"/>
                <w:sz w:val="22"/>
                <w:szCs w:val="22"/>
              </w:rPr>
            </w:pPr>
          </w:p>
          <w:p w14:paraId="074D7414" w14:textId="35ACE89D" w:rsidR="008D5802" w:rsidRPr="00EB7757" w:rsidRDefault="00F270AB" w:rsidP="00E82175">
            <w:pPr>
              <w:pStyle w:val="ListBullet"/>
              <w:ind w:left="0" w:firstLine="0"/>
              <w:rPr>
                <w:rFonts w:asciiTheme="minorHAnsi" w:hAnsiTheme="minorHAnsi" w:cstheme="minorHAnsi"/>
                <w:sz w:val="22"/>
                <w:szCs w:val="22"/>
              </w:rPr>
            </w:pPr>
            <w:r w:rsidRPr="00EB7757">
              <w:rPr>
                <w:rFonts w:asciiTheme="minorHAnsi" w:hAnsiTheme="minorHAnsi" w:cstheme="minorHAnsi"/>
                <w:sz w:val="22"/>
                <w:szCs w:val="22"/>
              </w:rPr>
              <w:t xml:space="preserve">Electricity and </w:t>
            </w:r>
            <w:r w:rsidR="008D5802" w:rsidRPr="00EB7757">
              <w:rPr>
                <w:rFonts w:asciiTheme="minorHAnsi" w:hAnsiTheme="minorHAnsi" w:cstheme="minorHAnsi"/>
                <w:sz w:val="22"/>
                <w:szCs w:val="22"/>
              </w:rPr>
              <w:t>liquid and/or gaseous fuel consumption for well site equipment</w:t>
            </w:r>
          </w:p>
        </w:tc>
        <w:tc>
          <w:tcPr>
            <w:tcW w:w="0" w:type="dxa"/>
          </w:tcPr>
          <w:p w14:paraId="416AE67A" w14:textId="77777777" w:rsidR="008D5802" w:rsidRPr="00EB7757" w:rsidRDefault="008D5802" w:rsidP="005F166A">
            <w:pPr>
              <w:pStyle w:val="ListBullet"/>
              <w:ind w:left="0" w:firstLine="0"/>
              <w:rPr>
                <w:rFonts w:asciiTheme="minorHAnsi" w:hAnsiTheme="minorHAnsi" w:cstheme="minorHAnsi"/>
                <w:sz w:val="22"/>
                <w:szCs w:val="22"/>
              </w:rPr>
            </w:pPr>
          </w:p>
        </w:tc>
      </w:tr>
      <w:tr w:rsidR="008D5802" w14:paraId="1672A711" w14:textId="77777777" w:rsidTr="006E1573">
        <w:trPr>
          <w:trHeight w:hRule="exact" w:val="3445"/>
        </w:trPr>
        <w:tc>
          <w:tcPr>
            <w:tcW w:w="3197" w:type="dxa"/>
          </w:tcPr>
          <w:p w14:paraId="76C64B17" w14:textId="77777777" w:rsidR="008D5802" w:rsidRPr="00EB7757" w:rsidRDefault="008D5802" w:rsidP="005F166A">
            <w:pPr>
              <w:pStyle w:val="ListParagraph"/>
              <w:ind w:left="0" w:firstLine="0"/>
              <w:rPr>
                <w:rFonts w:asciiTheme="minorHAnsi" w:hAnsiTheme="minorHAnsi" w:cstheme="minorHAnsi"/>
                <w:sz w:val="22"/>
                <w:szCs w:val="22"/>
              </w:rPr>
            </w:pPr>
            <w:r w:rsidRPr="00EB7757">
              <w:rPr>
                <w:rFonts w:asciiTheme="minorHAnsi" w:hAnsiTheme="minorHAnsi" w:cstheme="minorHAnsi"/>
                <w:sz w:val="22"/>
                <w:szCs w:val="22"/>
              </w:rPr>
              <w:t>Gas processing</w:t>
            </w:r>
          </w:p>
        </w:tc>
        <w:tc>
          <w:tcPr>
            <w:tcW w:w="3098" w:type="dxa"/>
          </w:tcPr>
          <w:p w14:paraId="303BA7E5" w14:textId="77777777" w:rsidR="008D5802" w:rsidRPr="00EB7757" w:rsidRDefault="008D5802" w:rsidP="00E82175">
            <w:pPr>
              <w:pStyle w:val="ListBullet"/>
              <w:ind w:left="0" w:firstLine="0"/>
              <w:rPr>
                <w:rFonts w:asciiTheme="minorHAnsi" w:hAnsiTheme="minorHAnsi" w:cstheme="minorHAnsi"/>
                <w:sz w:val="22"/>
                <w:szCs w:val="22"/>
              </w:rPr>
            </w:pPr>
            <w:r w:rsidRPr="00EB7757">
              <w:rPr>
                <w:rFonts w:asciiTheme="minorHAnsi" w:hAnsiTheme="minorHAnsi" w:cstheme="minorHAnsi"/>
                <w:sz w:val="22"/>
                <w:szCs w:val="22"/>
              </w:rPr>
              <w:t>Exhausted carbon dioxide after removal from process stream (if CCUS is not applied)</w:t>
            </w:r>
          </w:p>
          <w:p w14:paraId="6FD287BF" w14:textId="77777777" w:rsidR="007F0B40" w:rsidRPr="00EB7757" w:rsidRDefault="007F0B40" w:rsidP="00E82175">
            <w:pPr>
              <w:pStyle w:val="ListBullet"/>
              <w:ind w:left="0" w:firstLine="0"/>
              <w:rPr>
                <w:rFonts w:asciiTheme="minorHAnsi" w:hAnsiTheme="minorHAnsi" w:cstheme="minorHAnsi"/>
                <w:sz w:val="22"/>
                <w:szCs w:val="22"/>
              </w:rPr>
            </w:pPr>
          </w:p>
          <w:p w14:paraId="7BA4BD73" w14:textId="77777777" w:rsidR="008D5802" w:rsidRPr="00EB7757" w:rsidRDefault="008D5802" w:rsidP="00E82175">
            <w:pPr>
              <w:pStyle w:val="ListBullet"/>
              <w:ind w:left="0" w:firstLine="0"/>
              <w:rPr>
                <w:rFonts w:asciiTheme="minorHAnsi" w:hAnsiTheme="minorHAnsi" w:cstheme="minorHAnsi"/>
                <w:sz w:val="22"/>
                <w:szCs w:val="22"/>
              </w:rPr>
            </w:pPr>
            <w:r w:rsidRPr="00EB7757">
              <w:rPr>
                <w:rFonts w:asciiTheme="minorHAnsi" w:hAnsiTheme="minorHAnsi" w:cstheme="minorHAnsi"/>
                <w:sz w:val="22"/>
                <w:szCs w:val="22"/>
              </w:rPr>
              <w:t>Combustion of gaseous fuels for process heat and onsite power generation</w:t>
            </w:r>
          </w:p>
          <w:p w14:paraId="7F4060EE" w14:textId="77777777" w:rsidR="007F0B40" w:rsidRPr="00EB7757" w:rsidRDefault="007F0B40" w:rsidP="00E82175">
            <w:pPr>
              <w:pStyle w:val="ListBullet"/>
              <w:ind w:left="0" w:firstLine="0"/>
              <w:rPr>
                <w:rFonts w:asciiTheme="minorHAnsi" w:hAnsiTheme="minorHAnsi" w:cstheme="minorHAnsi"/>
                <w:sz w:val="22"/>
                <w:szCs w:val="22"/>
              </w:rPr>
            </w:pPr>
          </w:p>
          <w:p w14:paraId="7A04ECFE" w14:textId="77777777" w:rsidR="008D5802" w:rsidRPr="00EB7757" w:rsidRDefault="008D5802" w:rsidP="00E82175">
            <w:pPr>
              <w:pStyle w:val="ListBullet"/>
              <w:ind w:left="0" w:firstLine="0"/>
              <w:rPr>
                <w:rFonts w:asciiTheme="minorHAnsi" w:hAnsiTheme="minorHAnsi" w:cstheme="minorHAnsi"/>
                <w:sz w:val="22"/>
                <w:szCs w:val="22"/>
              </w:rPr>
            </w:pPr>
            <w:r w:rsidRPr="00EB7757">
              <w:rPr>
                <w:rFonts w:asciiTheme="minorHAnsi" w:hAnsiTheme="minorHAnsi" w:cstheme="minorHAnsi"/>
                <w:sz w:val="22"/>
                <w:szCs w:val="22"/>
              </w:rPr>
              <w:t>Fugitive methane and/or carbon dioxide from gas processing flaring and venting activities</w:t>
            </w:r>
          </w:p>
        </w:tc>
        <w:tc>
          <w:tcPr>
            <w:tcW w:w="2750" w:type="dxa"/>
          </w:tcPr>
          <w:p w14:paraId="2A04D52B" w14:textId="77777777" w:rsidR="008D5802" w:rsidRPr="00EB7757" w:rsidRDefault="008D5802" w:rsidP="005F166A">
            <w:pPr>
              <w:pStyle w:val="ListBullet"/>
              <w:ind w:left="0" w:firstLine="0"/>
              <w:rPr>
                <w:rFonts w:asciiTheme="minorHAnsi" w:hAnsiTheme="minorHAnsi" w:cstheme="minorHAnsi"/>
                <w:sz w:val="22"/>
                <w:szCs w:val="22"/>
              </w:rPr>
            </w:pPr>
          </w:p>
        </w:tc>
      </w:tr>
      <w:tr w:rsidR="008D5802" w14:paraId="0C9DB4A7" w14:textId="77777777" w:rsidTr="006E1573">
        <w:trPr>
          <w:trHeight w:hRule="exact" w:val="2185"/>
        </w:trPr>
        <w:tc>
          <w:tcPr>
            <w:tcW w:w="3197" w:type="dxa"/>
          </w:tcPr>
          <w:p w14:paraId="478005DA" w14:textId="77777777" w:rsidR="008D5802" w:rsidRPr="00EB7757" w:rsidRDefault="008D5802" w:rsidP="005F166A">
            <w:pPr>
              <w:pStyle w:val="ListParagraph"/>
              <w:ind w:left="0" w:firstLine="0"/>
              <w:rPr>
                <w:rFonts w:asciiTheme="minorHAnsi" w:hAnsiTheme="minorHAnsi" w:cstheme="minorHAnsi"/>
                <w:sz w:val="22"/>
                <w:szCs w:val="22"/>
              </w:rPr>
            </w:pPr>
            <w:r w:rsidRPr="00EB7757">
              <w:rPr>
                <w:rFonts w:asciiTheme="minorHAnsi" w:hAnsiTheme="minorHAnsi" w:cstheme="minorHAnsi"/>
                <w:sz w:val="22"/>
                <w:szCs w:val="22"/>
              </w:rPr>
              <w:t>Gas transport and storage</w:t>
            </w:r>
          </w:p>
        </w:tc>
        <w:tc>
          <w:tcPr>
            <w:tcW w:w="3098" w:type="dxa"/>
          </w:tcPr>
          <w:p w14:paraId="156D4B66" w14:textId="0D3A7C18" w:rsidR="008D5802" w:rsidRPr="00EB7757" w:rsidRDefault="008D5802" w:rsidP="00E82175">
            <w:pPr>
              <w:pStyle w:val="ListBullet"/>
              <w:ind w:left="0" w:firstLine="0"/>
              <w:rPr>
                <w:rFonts w:asciiTheme="minorHAnsi" w:hAnsiTheme="minorHAnsi" w:cstheme="minorHAnsi"/>
                <w:sz w:val="22"/>
                <w:szCs w:val="22"/>
              </w:rPr>
            </w:pPr>
            <w:r w:rsidRPr="00EB7757">
              <w:rPr>
                <w:rFonts w:asciiTheme="minorHAnsi" w:hAnsiTheme="minorHAnsi" w:cstheme="minorHAnsi"/>
                <w:sz w:val="22"/>
                <w:szCs w:val="22"/>
              </w:rPr>
              <w:t>Co</w:t>
            </w:r>
            <w:r w:rsidR="00F270AB" w:rsidRPr="00EB7757">
              <w:rPr>
                <w:rFonts w:asciiTheme="minorHAnsi" w:hAnsiTheme="minorHAnsi" w:cstheme="minorHAnsi"/>
                <w:sz w:val="22"/>
                <w:szCs w:val="22"/>
              </w:rPr>
              <w:t>mbustion of gaseous fuels and</w:t>
            </w:r>
            <w:r w:rsidRPr="00EB7757">
              <w:rPr>
                <w:rFonts w:asciiTheme="minorHAnsi" w:hAnsiTheme="minorHAnsi" w:cstheme="minorHAnsi"/>
                <w:sz w:val="22"/>
                <w:szCs w:val="22"/>
              </w:rPr>
              <w:t xml:space="preserve"> electricity for gas compression</w:t>
            </w:r>
          </w:p>
          <w:p w14:paraId="56B52A1E" w14:textId="77777777" w:rsidR="007F0B40" w:rsidRPr="00EB7757" w:rsidRDefault="007F0B40" w:rsidP="00E82175">
            <w:pPr>
              <w:pStyle w:val="ListBullet"/>
              <w:ind w:left="0" w:firstLine="0"/>
              <w:rPr>
                <w:rFonts w:asciiTheme="minorHAnsi" w:hAnsiTheme="minorHAnsi" w:cstheme="minorHAnsi"/>
                <w:sz w:val="22"/>
                <w:szCs w:val="22"/>
              </w:rPr>
            </w:pPr>
          </w:p>
          <w:p w14:paraId="1CF23B4F" w14:textId="6AE0D10A" w:rsidR="008D5802" w:rsidRPr="00EB7757" w:rsidRDefault="00F270AB" w:rsidP="00E82175">
            <w:pPr>
              <w:pStyle w:val="ListBullet"/>
              <w:ind w:left="0" w:firstLine="0"/>
              <w:rPr>
                <w:rFonts w:asciiTheme="minorHAnsi" w:hAnsiTheme="minorHAnsi" w:cstheme="minorHAnsi"/>
                <w:sz w:val="22"/>
                <w:szCs w:val="22"/>
              </w:rPr>
            </w:pPr>
            <w:r w:rsidRPr="00EB7757">
              <w:rPr>
                <w:rFonts w:asciiTheme="minorHAnsi" w:hAnsiTheme="minorHAnsi" w:cstheme="minorHAnsi"/>
                <w:sz w:val="22"/>
                <w:szCs w:val="22"/>
              </w:rPr>
              <w:t>Fugitive methane and</w:t>
            </w:r>
            <w:r w:rsidR="008D5802" w:rsidRPr="00EB7757">
              <w:rPr>
                <w:rFonts w:asciiTheme="minorHAnsi" w:hAnsiTheme="minorHAnsi" w:cstheme="minorHAnsi"/>
                <w:sz w:val="22"/>
                <w:szCs w:val="22"/>
              </w:rPr>
              <w:t xml:space="preserve"> carbon dioxide from gas transport and storage activities</w:t>
            </w:r>
          </w:p>
          <w:p w14:paraId="13DA0278" w14:textId="77777777" w:rsidR="008D5802" w:rsidRPr="00EB7757" w:rsidRDefault="008D5802" w:rsidP="00E82175">
            <w:pPr>
              <w:pStyle w:val="ListBullet"/>
              <w:ind w:left="0" w:firstLine="0"/>
              <w:rPr>
                <w:rFonts w:asciiTheme="minorHAnsi" w:hAnsiTheme="minorHAnsi" w:cstheme="minorHAnsi"/>
                <w:sz w:val="22"/>
                <w:szCs w:val="22"/>
              </w:rPr>
            </w:pPr>
          </w:p>
        </w:tc>
        <w:tc>
          <w:tcPr>
            <w:tcW w:w="2750" w:type="dxa"/>
          </w:tcPr>
          <w:p w14:paraId="2D9D74FC" w14:textId="77777777" w:rsidR="008D5802" w:rsidRPr="00EB7757" w:rsidRDefault="008D5802" w:rsidP="005F166A">
            <w:pPr>
              <w:pStyle w:val="ListBullet"/>
              <w:ind w:left="0" w:firstLine="0"/>
              <w:rPr>
                <w:rFonts w:asciiTheme="minorHAnsi" w:hAnsiTheme="minorHAnsi" w:cstheme="minorHAnsi"/>
                <w:sz w:val="22"/>
                <w:szCs w:val="22"/>
              </w:rPr>
            </w:pPr>
          </w:p>
        </w:tc>
      </w:tr>
      <w:tr w:rsidR="008D5802" w14:paraId="24FF00CB" w14:textId="77777777" w:rsidTr="006E1573">
        <w:trPr>
          <w:trHeight w:hRule="exact" w:val="1479"/>
        </w:trPr>
        <w:tc>
          <w:tcPr>
            <w:tcW w:w="3197" w:type="dxa"/>
          </w:tcPr>
          <w:p w14:paraId="19281AA0" w14:textId="77777777" w:rsidR="008D5802" w:rsidRPr="00EB7757" w:rsidRDefault="008D5802" w:rsidP="005F166A">
            <w:pPr>
              <w:pStyle w:val="ListParagraph"/>
              <w:ind w:left="0" w:firstLine="0"/>
              <w:rPr>
                <w:rFonts w:asciiTheme="minorHAnsi" w:hAnsiTheme="minorHAnsi" w:cstheme="minorHAnsi"/>
                <w:sz w:val="22"/>
                <w:szCs w:val="22"/>
              </w:rPr>
            </w:pPr>
            <w:r w:rsidRPr="00EB7757">
              <w:rPr>
                <w:rFonts w:asciiTheme="minorHAnsi" w:hAnsiTheme="minorHAnsi" w:cstheme="minorHAnsi"/>
                <w:sz w:val="22"/>
                <w:szCs w:val="22"/>
              </w:rPr>
              <w:t>Gas heating and pressurization</w:t>
            </w:r>
          </w:p>
        </w:tc>
        <w:tc>
          <w:tcPr>
            <w:tcW w:w="3098" w:type="dxa"/>
          </w:tcPr>
          <w:p w14:paraId="32922931" w14:textId="77777777" w:rsidR="008D5802" w:rsidRPr="00EB7757" w:rsidRDefault="008D5802" w:rsidP="00E82175">
            <w:pPr>
              <w:pStyle w:val="ListBullet"/>
              <w:ind w:left="0" w:firstLine="0"/>
              <w:rPr>
                <w:rFonts w:asciiTheme="minorHAnsi" w:hAnsiTheme="minorHAnsi" w:cstheme="minorHAnsi"/>
                <w:sz w:val="22"/>
                <w:szCs w:val="22"/>
              </w:rPr>
            </w:pPr>
            <w:r w:rsidRPr="00EB7757">
              <w:rPr>
                <w:rFonts w:asciiTheme="minorHAnsi" w:hAnsiTheme="minorHAnsi" w:cstheme="minorHAnsi"/>
                <w:sz w:val="22"/>
                <w:szCs w:val="22"/>
              </w:rPr>
              <w:t>No significant emissions other than those covered under common emissions sources</w:t>
            </w:r>
          </w:p>
        </w:tc>
        <w:tc>
          <w:tcPr>
            <w:tcW w:w="2750" w:type="dxa"/>
          </w:tcPr>
          <w:p w14:paraId="2C431811" w14:textId="77777777" w:rsidR="008D5802" w:rsidRPr="00EB7757" w:rsidRDefault="008D5802" w:rsidP="005F166A">
            <w:pPr>
              <w:pStyle w:val="ListBullet"/>
              <w:ind w:left="0" w:firstLine="0"/>
              <w:rPr>
                <w:rFonts w:asciiTheme="minorHAnsi" w:hAnsiTheme="minorHAnsi" w:cstheme="minorHAnsi"/>
                <w:sz w:val="22"/>
                <w:szCs w:val="22"/>
              </w:rPr>
            </w:pPr>
          </w:p>
        </w:tc>
      </w:tr>
      <w:tr w:rsidR="008D5802" w14:paraId="0327520F" w14:textId="77777777" w:rsidTr="006E1573">
        <w:trPr>
          <w:trHeight w:hRule="exact" w:val="1044"/>
        </w:trPr>
        <w:tc>
          <w:tcPr>
            <w:tcW w:w="3197" w:type="dxa"/>
          </w:tcPr>
          <w:p w14:paraId="65CE438F" w14:textId="77777777" w:rsidR="008D5802" w:rsidRPr="00EB7757" w:rsidRDefault="008D5802" w:rsidP="005F166A">
            <w:pPr>
              <w:pStyle w:val="ListBullet"/>
              <w:rPr>
                <w:rFonts w:asciiTheme="minorHAnsi" w:hAnsiTheme="minorHAnsi" w:cstheme="minorHAnsi"/>
                <w:sz w:val="22"/>
                <w:szCs w:val="22"/>
              </w:rPr>
            </w:pPr>
            <w:r w:rsidRPr="00EB7757">
              <w:rPr>
                <w:rFonts w:asciiTheme="minorHAnsi" w:hAnsiTheme="minorHAnsi" w:cstheme="minorHAnsi"/>
                <w:sz w:val="22"/>
                <w:szCs w:val="22"/>
              </w:rPr>
              <w:t>Sulphur removal</w:t>
            </w:r>
          </w:p>
        </w:tc>
        <w:tc>
          <w:tcPr>
            <w:tcW w:w="3098" w:type="dxa"/>
          </w:tcPr>
          <w:p w14:paraId="3502C0A8" w14:textId="28BD1A90" w:rsidR="008D5802" w:rsidRPr="00EB7757" w:rsidRDefault="00F270AB" w:rsidP="00E82175">
            <w:pPr>
              <w:pStyle w:val="ListBullet"/>
              <w:ind w:left="0" w:firstLine="0"/>
              <w:rPr>
                <w:rFonts w:asciiTheme="minorHAnsi" w:hAnsiTheme="minorHAnsi" w:cstheme="minorHAnsi"/>
                <w:sz w:val="22"/>
                <w:szCs w:val="22"/>
              </w:rPr>
            </w:pPr>
            <w:r w:rsidRPr="00EB7757">
              <w:rPr>
                <w:rFonts w:asciiTheme="minorHAnsi" w:hAnsiTheme="minorHAnsi" w:cstheme="minorHAnsi"/>
                <w:sz w:val="22"/>
                <w:szCs w:val="22"/>
              </w:rPr>
              <w:t>Electricity and</w:t>
            </w:r>
            <w:r w:rsidR="008D5802" w:rsidRPr="00EB7757">
              <w:rPr>
                <w:rFonts w:asciiTheme="minorHAnsi" w:hAnsiTheme="minorHAnsi" w:cstheme="minorHAnsi"/>
                <w:sz w:val="22"/>
                <w:szCs w:val="22"/>
              </w:rPr>
              <w:t xml:space="preserve"> gaseous fuel combustion for relevant separation units</w:t>
            </w:r>
          </w:p>
        </w:tc>
        <w:tc>
          <w:tcPr>
            <w:tcW w:w="2750" w:type="dxa"/>
          </w:tcPr>
          <w:p w14:paraId="45A5C299" w14:textId="77777777" w:rsidR="008D5802" w:rsidRPr="00EB7757" w:rsidRDefault="008D5802" w:rsidP="005F166A">
            <w:pPr>
              <w:pStyle w:val="ListBullet"/>
              <w:ind w:left="0" w:firstLine="0"/>
              <w:rPr>
                <w:rFonts w:asciiTheme="minorHAnsi" w:hAnsiTheme="minorHAnsi" w:cstheme="minorHAnsi"/>
                <w:sz w:val="22"/>
                <w:szCs w:val="22"/>
              </w:rPr>
            </w:pPr>
          </w:p>
        </w:tc>
      </w:tr>
      <w:tr w:rsidR="008D5802" w14:paraId="0745D7A8" w14:textId="77777777" w:rsidTr="006E1573">
        <w:trPr>
          <w:trHeight w:val="573"/>
        </w:trPr>
        <w:tc>
          <w:tcPr>
            <w:tcW w:w="3197" w:type="dxa"/>
          </w:tcPr>
          <w:p w14:paraId="1683C133" w14:textId="77777777" w:rsidR="008D5802" w:rsidRPr="00EB7757" w:rsidRDefault="008D5802" w:rsidP="005F166A">
            <w:pPr>
              <w:pStyle w:val="ListBullet"/>
              <w:ind w:left="0" w:firstLine="0"/>
              <w:rPr>
                <w:rFonts w:asciiTheme="minorHAnsi" w:hAnsiTheme="minorHAnsi" w:cstheme="minorHAnsi"/>
                <w:sz w:val="22"/>
                <w:szCs w:val="22"/>
              </w:rPr>
            </w:pPr>
            <w:r w:rsidRPr="00EB7757">
              <w:rPr>
                <w:rFonts w:asciiTheme="minorHAnsi" w:hAnsiTheme="minorHAnsi" w:cstheme="minorHAnsi"/>
                <w:sz w:val="22"/>
                <w:szCs w:val="22"/>
              </w:rPr>
              <w:t>Steam methane reforming (including pre-reforming)</w:t>
            </w:r>
          </w:p>
        </w:tc>
        <w:tc>
          <w:tcPr>
            <w:tcW w:w="3098" w:type="dxa"/>
          </w:tcPr>
          <w:p w14:paraId="7D5B7895" w14:textId="1D6C0511" w:rsidR="007F0B40" w:rsidRPr="00EB7757" w:rsidRDefault="008D5802" w:rsidP="00E82175">
            <w:pPr>
              <w:pStyle w:val="ListBullet"/>
              <w:ind w:left="0" w:firstLine="0"/>
              <w:rPr>
                <w:rFonts w:asciiTheme="minorHAnsi" w:hAnsiTheme="minorHAnsi" w:cstheme="minorHAnsi"/>
                <w:sz w:val="22"/>
                <w:szCs w:val="22"/>
              </w:rPr>
            </w:pPr>
            <w:r w:rsidRPr="00EB7757">
              <w:rPr>
                <w:rFonts w:asciiTheme="minorHAnsi" w:hAnsiTheme="minorHAnsi" w:cstheme="minorHAnsi"/>
                <w:sz w:val="22"/>
                <w:szCs w:val="22"/>
              </w:rPr>
              <w:t>Combustion of gaseous fuels for providing the gasification reactor with heat</w:t>
            </w:r>
          </w:p>
          <w:p w14:paraId="3281176A" w14:textId="77777777" w:rsidR="000C2B16" w:rsidRPr="00EB7757" w:rsidRDefault="000C2B16" w:rsidP="00E82175">
            <w:pPr>
              <w:pStyle w:val="ListBullet"/>
              <w:ind w:left="0" w:firstLine="0"/>
              <w:rPr>
                <w:rFonts w:asciiTheme="minorHAnsi" w:hAnsiTheme="minorHAnsi" w:cstheme="minorHAnsi"/>
                <w:sz w:val="22"/>
                <w:szCs w:val="22"/>
              </w:rPr>
            </w:pPr>
          </w:p>
          <w:p w14:paraId="693F86B9" w14:textId="77777777" w:rsidR="008D5802" w:rsidRPr="00EB7757" w:rsidRDefault="008D5802" w:rsidP="00E82175">
            <w:pPr>
              <w:pStyle w:val="ListBullet"/>
              <w:ind w:left="0" w:firstLine="0"/>
              <w:rPr>
                <w:rFonts w:asciiTheme="minorHAnsi" w:hAnsiTheme="minorHAnsi" w:cstheme="minorHAnsi"/>
                <w:sz w:val="22"/>
                <w:szCs w:val="22"/>
              </w:rPr>
            </w:pPr>
            <w:r w:rsidRPr="00EB7757">
              <w:rPr>
                <w:rFonts w:asciiTheme="minorHAnsi" w:hAnsiTheme="minorHAnsi" w:cstheme="minorHAnsi"/>
                <w:sz w:val="22"/>
                <w:szCs w:val="22"/>
              </w:rPr>
              <w:t>Significant quantities of steam are required for reforming</w:t>
            </w:r>
          </w:p>
        </w:tc>
        <w:tc>
          <w:tcPr>
            <w:tcW w:w="2750" w:type="dxa"/>
          </w:tcPr>
          <w:p w14:paraId="45206815" w14:textId="77777777" w:rsidR="008D5802" w:rsidRPr="00EB7757" w:rsidRDefault="008D5802" w:rsidP="00E82175">
            <w:pPr>
              <w:pStyle w:val="ListBullet"/>
              <w:ind w:left="0" w:firstLine="0"/>
              <w:rPr>
                <w:rFonts w:asciiTheme="minorHAnsi" w:hAnsiTheme="minorHAnsi" w:cstheme="minorHAnsi"/>
                <w:sz w:val="22"/>
                <w:szCs w:val="22"/>
              </w:rPr>
            </w:pPr>
            <w:r w:rsidRPr="00EB7757">
              <w:rPr>
                <w:rFonts w:asciiTheme="minorHAnsi" w:hAnsiTheme="minorHAnsi" w:cstheme="minorHAnsi"/>
                <w:sz w:val="22"/>
                <w:szCs w:val="22"/>
              </w:rPr>
              <w:t>Exhaust carbon dioxide and carbon monoxide from exhaust flue gas</w:t>
            </w:r>
          </w:p>
        </w:tc>
      </w:tr>
      <w:tr w:rsidR="008D5802" w14:paraId="2643275F" w14:textId="77777777" w:rsidTr="006E1573">
        <w:trPr>
          <w:trHeight w:val="573"/>
        </w:trPr>
        <w:tc>
          <w:tcPr>
            <w:tcW w:w="3197" w:type="dxa"/>
          </w:tcPr>
          <w:p w14:paraId="1D6EFC55" w14:textId="77777777" w:rsidR="008D5802" w:rsidRPr="00EB7757" w:rsidRDefault="008D5802" w:rsidP="005F166A">
            <w:pPr>
              <w:pStyle w:val="ListBullet"/>
              <w:ind w:left="0" w:firstLine="0"/>
              <w:rPr>
                <w:rFonts w:asciiTheme="minorHAnsi" w:hAnsiTheme="minorHAnsi" w:cstheme="minorHAnsi"/>
                <w:sz w:val="22"/>
                <w:szCs w:val="22"/>
              </w:rPr>
            </w:pPr>
            <w:r w:rsidRPr="00EB7757">
              <w:rPr>
                <w:rFonts w:asciiTheme="minorHAnsi" w:hAnsiTheme="minorHAnsi" w:cstheme="minorHAnsi"/>
                <w:sz w:val="22"/>
                <w:szCs w:val="22"/>
              </w:rPr>
              <w:t>Heat recovery and electricity generation</w:t>
            </w:r>
          </w:p>
        </w:tc>
        <w:tc>
          <w:tcPr>
            <w:tcW w:w="3098" w:type="dxa"/>
          </w:tcPr>
          <w:p w14:paraId="45D31A7A" w14:textId="77777777" w:rsidR="008D5802" w:rsidRPr="00EB7757" w:rsidRDefault="008D5802" w:rsidP="00E82175">
            <w:pPr>
              <w:pStyle w:val="ListBullet"/>
              <w:ind w:left="0" w:firstLine="0"/>
              <w:rPr>
                <w:rFonts w:asciiTheme="minorHAnsi" w:hAnsiTheme="minorHAnsi" w:cstheme="minorHAnsi"/>
                <w:sz w:val="22"/>
                <w:szCs w:val="22"/>
              </w:rPr>
            </w:pPr>
            <w:r w:rsidRPr="00EB7757">
              <w:rPr>
                <w:rFonts w:asciiTheme="minorHAnsi" w:hAnsiTheme="minorHAnsi" w:cstheme="minorHAnsi"/>
                <w:sz w:val="22"/>
                <w:szCs w:val="22"/>
              </w:rPr>
              <w:t>No significant emissions other than those covered under common emissions sources</w:t>
            </w:r>
          </w:p>
        </w:tc>
        <w:tc>
          <w:tcPr>
            <w:tcW w:w="2750" w:type="dxa"/>
          </w:tcPr>
          <w:p w14:paraId="4EAB8CBE" w14:textId="77777777" w:rsidR="008D5802" w:rsidRPr="00EB7757" w:rsidRDefault="008D5802" w:rsidP="007F0B40">
            <w:pPr>
              <w:pStyle w:val="ListBullet"/>
              <w:ind w:left="0" w:firstLine="0"/>
              <w:rPr>
                <w:rFonts w:asciiTheme="minorHAnsi" w:hAnsiTheme="minorHAnsi" w:cstheme="minorHAnsi"/>
                <w:sz w:val="22"/>
                <w:szCs w:val="22"/>
              </w:rPr>
            </w:pPr>
          </w:p>
        </w:tc>
      </w:tr>
      <w:tr w:rsidR="008D5802" w14:paraId="50573B18" w14:textId="77777777" w:rsidTr="006E1573">
        <w:trPr>
          <w:trHeight w:val="573"/>
        </w:trPr>
        <w:tc>
          <w:tcPr>
            <w:tcW w:w="3197" w:type="dxa"/>
          </w:tcPr>
          <w:p w14:paraId="794A32E3" w14:textId="77777777" w:rsidR="008D5802" w:rsidRPr="00EB7757" w:rsidRDefault="008D5802" w:rsidP="005F166A">
            <w:pPr>
              <w:pStyle w:val="ListBullet"/>
              <w:rPr>
                <w:rFonts w:asciiTheme="minorHAnsi" w:hAnsiTheme="minorHAnsi" w:cstheme="minorHAnsi"/>
                <w:sz w:val="22"/>
                <w:szCs w:val="22"/>
              </w:rPr>
            </w:pPr>
            <w:r w:rsidRPr="00EB7757">
              <w:rPr>
                <w:rFonts w:asciiTheme="minorHAnsi" w:hAnsiTheme="minorHAnsi" w:cstheme="minorHAnsi"/>
                <w:sz w:val="22"/>
                <w:szCs w:val="22"/>
              </w:rPr>
              <w:t>Hydrogen enrichment</w:t>
            </w:r>
          </w:p>
        </w:tc>
        <w:tc>
          <w:tcPr>
            <w:tcW w:w="3098" w:type="dxa"/>
          </w:tcPr>
          <w:p w14:paraId="2E8F2454" w14:textId="77777777" w:rsidR="008D5802" w:rsidRPr="00EB7757" w:rsidRDefault="008D5802" w:rsidP="00E82175">
            <w:pPr>
              <w:pStyle w:val="ListBullet"/>
              <w:ind w:left="0" w:firstLine="0"/>
              <w:rPr>
                <w:rFonts w:asciiTheme="minorHAnsi" w:hAnsiTheme="minorHAnsi" w:cstheme="minorHAnsi"/>
                <w:sz w:val="22"/>
                <w:szCs w:val="22"/>
              </w:rPr>
            </w:pPr>
            <w:r w:rsidRPr="00EB7757">
              <w:rPr>
                <w:rFonts w:asciiTheme="minorHAnsi" w:hAnsiTheme="minorHAnsi" w:cstheme="minorHAnsi"/>
                <w:sz w:val="22"/>
                <w:szCs w:val="22"/>
              </w:rPr>
              <w:t>No significant emissions other than those covered under common emissions sources</w:t>
            </w:r>
          </w:p>
        </w:tc>
        <w:tc>
          <w:tcPr>
            <w:tcW w:w="2750" w:type="dxa"/>
          </w:tcPr>
          <w:p w14:paraId="447179B7" w14:textId="77777777" w:rsidR="008D5802" w:rsidRPr="00EB7757" w:rsidRDefault="008D5802" w:rsidP="007F0B40">
            <w:pPr>
              <w:pStyle w:val="ListBullet"/>
              <w:ind w:left="0" w:firstLine="0"/>
              <w:rPr>
                <w:rFonts w:asciiTheme="minorHAnsi" w:hAnsiTheme="minorHAnsi" w:cstheme="minorHAnsi"/>
                <w:sz w:val="22"/>
                <w:szCs w:val="22"/>
              </w:rPr>
            </w:pPr>
          </w:p>
        </w:tc>
      </w:tr>
      <w:tr w:rsidR="008D5802" w14:paraId="7FC73488" w14:textId="77777777" w:rsidTr="006E1573">
        <w:trPr>
          <w:trHeight w:val="573"/>
        </w:trPr>
        <w:tc>
          <w:tcPr>
            <w:tcW w:w="3197" w:type="dxa"/>
          </w:tcPr>
          <w:p w14:paraId="3D82EAD9" w14:textId="77777777" w:rsidR="008D5802" w:rsidRPr="00EB7757" w:rsidRDefault="008D5802" w:rsidP="005F166A">
            <w:pPr>
              <w:pStyle w:val="ListBullet"/>
              <w:ind w:left="0" w:firstLine="0"/>
              <w:rPr>
                <w:rFonts w:asciiTheme="minorHAnsi" w:hAnsiTheme="minorHAnsi" w:cstheme="minorHAnsi"/>
                <w:sz w:val="22"/>
                <w:szCs w:val="22"/>
              </w:rPr>
            </w:pPr>
            <w:r w:rsidRPr="00EB7757">
              <w:rPr>
                <w:rFonts w:asciiTheme="minorHAnsi" w:hAnsiTheme="minorHAnsi" w:cstheme="minorHAnsi"/>
                <w:sz w:val="22"/>
                <w:szCs w:val="22"/>
              </w:rPr>
              <w:t>Syngas purification</w:t>
            </w:r>
          </w:p>
        </w:tc>
        <w:tc>
          <w:tcPr>
            <w:tcW w:w="3098" w:type="dxa"/>
          </w:tcPr>
          <w:p w14:paraId="62786C95" w14:textId="77777777" w:rsidR="008D5802" w:rsidRPr="00EB7757" w:rsidRDefault="008D5802" w:rsidP="00E82175">
            <w:pPr>
              <w:pStyle w:val="ListBullet"/>
              <w:ind w:left="0" w:firstLine="0"/>
              <w:rPr>
                <w:rFonts w:asciiTheme="minorHAnsi" w:hAnsiTheme="minorHAnsi" w:cstheme="minorHAnsi"/>
                <w:sz w:val="22"/>
                <w:szCs w:val="22"/>
              </w:rPr>
            </w:pPr>
            <w:r w:rsidRPr="00EB7757">
              <w:rPr>
                <w:rFonts w:asciiTheme="minorHAnsi" w:hAnsiTheme="minorHAnsi" w:cstheme="minorHAnsi"/>
                <w:sz w:val="22"/>
                <w:szCs w:val="22"/>
              </w:rPr>
              <w:t>Electricity for relevant purification units</w:t>
            </w:r>
          </w:p>
        </w:tc>
        <w:tc>
          <w:tcPr>
            <w:tcW w:w="2750" w:type="dxa"/>
          </w:tcPr>
          <w:p w14:paraId="40EA8398" w14:textId="77777777" w:rsidR="008D5802" w:rsidRPr="00EB7757" w:rsidRDefault="008D5802" w:rsidP="00E82175">
            <w:pPr>
              <w:pStyle w:val="ListBullet"/>
              <w:ind w:left="0" w:firstLine="0"/>
              <w:rPr>
                <w:rFonts w:asciiTheme="minorHAnsi" w:hAnsiTheme="minorHAnsi" w:cstheme="minorHAnsi"/>
                <w:sz w:val="22"/>
                <w:szCs w:val="22"/>
              </w:rPr>
            </w:pPr>
            <w:r w:rsidRPr="00EB7757">
              <w:rPr>
                <w:rFonts w:asciiTheme="minorHAnsi" w:hAnsiTheme="minorHAnsi" w:cstheme="minorHAnsi"/>
                <w:sz w:val="22"/>
                <w:szCs w:val="22"/>
              </w:rPr>
              <w:t>Exhaust carbon dioxide due to sulphur removal of exhaust gases via lime (where applicable)</w:t>
            </w:r>
          </w:p>
        </w:tc>
      </w:tr>
      <w:tr w:rsidR="008D5802" w14:paraId="41A5FB7E" w14:textId="77777777" w:rsidTr="006E1573">
        <w:trPr>
          <w:trHeight w:val="573"/>
        </w:trPr>
        <w:tc>
          <w:tcPr>
            <w:tcW w:w="3197" w:type="dxa"/>
          </w:tcPr>
          <w:p w14:paraId="18374F34" w14:textId="77777777" w:rsidR="008D5802" w:rsidRPr="00EB7757" w:rsidRDefault="008D5802" w:rsidP="005F166A">
            <w:pPr>
              <w:pStyle w:val="ListBullet"/>
              <w:ind w:left="0" w:firstLine="0"/>
              <w:rPr>
                <w:rFonts w:asciiTheme="minorHAnsi" w:hAnsiTheme="minorHAnsi" w:cstheme="minorHAnsi"/>
                <w:sz w:val="22"/>
                <w:szCs w:val="22"/>
              </w:rPr>
            </w:pPr>
            <w:r w:rsidRPr="00EB7757">
              <w:rPr>
                <w:rFonts w:asciiTheme="minorHAnsi" w:hAnsiTheme="minorHAnsi" w:cstheme="minorHAnsi"/>
                <w:sz w:val="22"/>
                <w:szCs w:val="22"/>
              </w:rPr>
              <w:t>CO</w:t>
            </w:r>
            <w:r w:rsidRPr="00EB7757">
              <w:rPr>
                <w:rFonts w:asciiTheme="minorHAnsi" w:hAnsiTheme="minorHAnsi" w:cstheme="minorHAnsi"/>
                <w:sz w:val="22"/>
                <w:szCs w:val="22"/>
                <w:vertAlign w:val="subscript"/>
              </w:rPr>
              <w:t>2</w:t>
            </w:r>
            <w:r w:rsidRPr="00EB7757">
              <w:rPr>
                <w:rFonts w:asciiTheme="minorHAnsi" w:hAnsiTheme="minorHAnsi" w:cstheme="minorHAnsi"/>
                <w:sz w:val="22"/>
                <w:szCs w:val="22"/>
              </w:rPr>
              <w:t xml:space="preserve"> capture and separation</w:t>
            </w:r>
          </w:p>
        </w:tc>
        <w:tc>
          <w:tcPr>
            <w:tcW w:w="3098" w:type="dxa"/>
          </w:tcPr>
          <w:p w14:paraId="1CE632DE" w14:textId="42F27BC2" w:rsidR="008D5802" w:rsidRPr="00EB7757" w:rsidRDefault="00F270AB" w:rsidP="00E82175">
            <w:pPr>
              <w:pStyle w:val="ListBullet"/>
              <w:ind w:left="0" w:firstLine="0"/>
              <w:rPr>
                <w:rFonts w:asciiTheme="minorHAnsi" w:hAnsiTheme="minorHAnsi" w:cstheme="minorHAnsi"/>
                <w:sz w:val="22"/>
                <w:szCs w:val="22"/>
              </w:rPr>
            </w:pPr>
            <w:r w:rsidRPr="00EB7757">
              <w:rPr>
                <w:rFonts w:asciiTheme="minorHAnsi" w:hAnsiTheme="minorHAnsi" w:cstheme="minorHAnsi"/>
                <w:sz w:val="22"/>
                <w:szCs w:val="22"/>
              </w:rPr>
              <w:t>Electricity and</w:t>
            </w:r>
            <w:r w:rsidR="008D5802" w:rsidRPr="00EB7757">
              <w:rPr>
                <w:rFonts w:asciiTheme="minorHAnsi" w:hAnsiTheme="minorHAnsi" w:cstheme="minorHAnsi"/>
                <w:sz w:val="22"/>
                <w:szCs w:val="22"/>
              </w:rPr>
              <w:t xml:space="preserve"> heat for relevant separation units</w:t>
            </w:r>
            <w:r w:rsidR="008D5802" w:rsidRPr="00EB7757">
              <w:rPr>
                <w:rFonts w:asciiTheme="minorHAnsi" w:hAnsiTheme="minorHAnsi" w:cstheme="minorHAnsi"/>
                <w:sz w:val="22"/>
                <w:szCs w:val="22"/>
              </w:rPr>
              <w:br/>
            </w:r>
          </w:p>
        </w:tc>
        <w:tc>
          <w:tcPr>
            <w:tcW w:w="2750" w:type="dxa"/>
          </w:tcPr>
          <w:p w14:paraId="463A323C" w14:textId="77777777" w:rsidR="008D5802" w:rsidRPr="00EB7757" w:rsidRDefault="008D5802" w:rsidP="005F166A">
            <w:pPr>
              <w:pStyle w:val="ListBullet"/>
              <w:ind w:left="0" w:firstLine="0"/>
              <w:rPr>
                <w:rFonts w:asciiTheme="minorHAnsi" w:hAnsiTheme="minorHAnsi" w:cstheme="minorHAnsi"/>
                <w:sz w:val="22"/>
                <w:szCs w:val="22"/>
              </w:rPr>
            </w:pPr>
          </w:p>
        </w:tc>
      </w:tr>
      <w:tr w:rsidR="008D5802" w14:paraId="588A3915" w14:textId="77777777" w:rsidTr="006E1573">
        <w:trPr>
          <w:trHeight w:val="573"/>
        </w:trPr>
        <w:tc>
          <w:tcPr>
            <w:tcW w:w="3197" w:type="dxa"/>
          </w:tcPr>
          <w:p w14:paraId="17ADE67F" w14:textId="77777777" w:rsidR="008D5802" w:rsidRPr="00EB7757" w:rsidRDefault="008D5802" w:rsidP="005F166A">
            <w:pPr>
              <w:pStyle w:val="ListBullet"/>
              <w:ind w:left="0" w:firstLine="0"/>
              <w:rPr>
                <w:rFonts w:asciiTheme="minorHAnsi" w:hAnsiTheme="minorHAnsi" w:cstheme="minorHAnsi"/>
                <w:sz w:val="22"/>
                <w:szCs w:val="22"/>
              </w:rPr>
            </w:pPr>
            <w:r w:rsidRPr="00EB7757">
              <w:rPr>
                <w:rFonts w:asciiTheme="minorHAnsi" w:hAnsiTheme="minorHAnsi" w:cstheme="minorHAnsi"/>
                <w:sz w:val="22"/>
                <w:szCs w:val="22"/>
              </w:rPr>
              <w:t>Compression and transportation of CO</w:t>
            </w:r>
            <w:r w:rsidRPr="00EB7757">
              <w:rPr>
                <w:rFonts w:asciiTheme="minorHAnsi" w:hAnsiTheme="minorHAnsi" w:cstheme="minorHAnsi"/>
                <w:sz w:val="22"/>
                <w:szCs w:val="22"/>
                <w:vertAlign w:val="subscript"/>
              </w:rPr>
              <w:t>2</w:t>
            </w:r>
          </w:p>
        </w:tc>
        <w:tc>
          <w:tcPr>
            <w:tcW w:w="3098" w:type="dxa"/>
          </w:tcPr>
          <w:p w14:paraId="057041D3" w14:textId="77777777" w:rsidR="008D5802" w:rsidRPr="00EB7757" w:rsidRDefault="008D5802" w:rsidP="00E82175">
            <w:pPr>
              <w:pStyle w:val="ListBullet"/>
              <w:ind w:left="0" w:firstLine="0"/>
              <w:rPr>
                <w:rFonts w:asciiTheme="minorHAnsi" w:hAnsiTheme="minorHAnsi" w:cstheme="minorHAnsi"/>
                <w:sz w:val="22"/>
                <w:szCs w:val="22"/>
                <w:vertAlign w:val="subscript"/>
              </w:rPr>
            </w:pPr>
            <w:r w:rsidRPr="00EB7757">
              <w:rPr>
                <w:rFonts w:asciiTheme="minorHAnsi" w:hAnsiTheme="minorHAnsi" w:cstheme="minorHAnsi"/>
                <w:sz w:val="22"/>
                <w:szCs w:val="22"/>
              </w:rPr>
              <w:t>Electricity for compression of CO</w:t>
            </w:r>
            <w:r w:rsidRPr="00EB7757">
              <w:rPr>
                <w:rFonts w:asciiTheme="minorHAnsi" w:hAnsiTheme="minorHAnsi" w:cstheme="minorHAnsi"/>
                <w:sz w:val="22"/>
                <w:szCs w:val="22"/>
                <w:vertAlign w:val="subscript"/>
              </w:rPr>
              <w:t>2</w:t>
            </w:r>
          </w:p>
          <w:p w14:paraId="4E39E1C2" w14:textId="77777777" w:rsidR="007F0B40" w:rsidRPr="00EB7757" w:rsidRDefault="007F0B40" w:rsidP="00E82175">
            <w:pPr>
              <w:pStyle w:val="ListBullet"/>
              <w:ind w:left="0" w:firstLine="0"/>
              <w:rPr>
                <w:rFonts w:asciiTheme="minorHAnsi" w:hAnsiTheme="minorHAnsi" w:cstheme="minorHAnsi"/>
                <w:sz w:val="22"/>
                <w:szCs w:val="22"/>
              </w:rPr>
            </w:pPr>
          </w:p>
          <w:p w14:paraId="3E99EB28" w14:textId="77777777" w:rsidR="008D5802" w:rsidRPr="00EB7757" w:rsidRDefault="008D5802" w:rsidP="00E82175">
            <w:pPr>
              <w:pStyle w:val="ListBullet"/>
              <w:ind w:left="0" w:firstLine="0"/>
              <w:rPr>
                <w:rFonts w:asciiTheme="minorHAnsi" w:hAnsiTheme="minorHAnsi" w:cstheme="minorHAnsi"/>
                <w:sz w:val="22"/>
                <w:szCs w:val="22"/>
              </w:rPr>
            </w:pPr>
            <w:r w:rsidRPr="00EB7757">
              <w:rPr>
                <w:rFonts w:asciiTheme="minorHAnsi" w:hAnsiTheme="minorHAnsi" w:cstheme="minorHAnsi"/>
                <w:sz w:val="22"/>
                <w:szCs w:val="22"/>
              </w:rPr>
              <w:t>Electricity and/or gaseous fuel combustion for pipeline transport</w:t>
            </w:r>
          </w:p>
          <w:p w14:paraId="497D3B7E" w14:textId="77777777" w:rsidR="007F0B40" w:rsidRPr="00EB7757" w:rsidRDefault="007F0B40" w:rsidP="00E82175">
            <w:pPr>
              <w:pStyle w:val="ListBullet"/>
              <w:ind w:left="0" w:firstLine="0"/>
              <w:rPr>
                <w:rFonts w:asciiTheme="minorHAnsi" w:hAnsiTheme="minorHAnsi" w:cstheme="minorHAnsi"/>
                <w:sz w:val="22"/>
                <w:szCs w:val="22"/>
              </w:rPr>
            </w:pPr>
          </w:p>
          <w:p w14:paraId="31DF3D84" w14:textId="2B5BEC58" w:rsidR="008D5802" w:rsidRPr="00EB7757" w:rsidRDefault="00F270AB" w:rsidP="00E82175">
            <w:pPr>
              <w:pStyle w:val="ListBullet"/>
              <w:ind w:left="0" w:firstLine="0"/>
              <w:rPr>
                <w:rFonts w:asciiTheme="minorHAnsi" w:hAnsiTheme="minorHAnsi" w:cstheme="minorHAnsi"/>
                <w:sz w:val="22"/>
                <w:szCs w:val="22"/>
              </w:rPr>
            </w:pPr>
            <w:r w:rsidRPr="00EB7757">
              <w:rPr>
                <w:rFonts w:asciiTheme="minorHAnsi" w:hAnsiTheme="minorHAnsi" w:cstheme="minorHAnsi"/>
                <w:sz w:val="22"/>
                <w:szCs w:val="22"/>
              </w:rPr>
              <w:t>Liquid and</w:t>
            </w:r>
            <w:r w:rsidR="008D5802" w:rsidRPr="00EB7757">
              <w:rPr>
                <w:rFonts w:asciiTheme="minorHAnsi" w:hAnsiTheme="minorHAnsi" w:cstheme="minorHAnsi"/>
                <w:sz w:val="22"/>
                <w:szCs w:val="22"/>
              </w:rPr>
              <w:t xml:space="preserve"> gaseous fuel combustion for motive transport</w:t>
            </w:r>
          </w:p>
          <w:p w14:paraId="5C47BE94" w14:textId="77777777" w:rsidR="008D5802" w:rsidRPr="00EB7757" w:rsidRDefault="008D5802" w:rsidP="00E82175">
            <w:pPr>
              <w:pStyle w:val="ListBullet"/>
              <w:ind w:left="0" w:firstLine="0"/>
              <w:rPr>
                <w:rFonts w:asciiTheme="minorHAnsi" w:hAnsiTheme="minorHAnsi" w:cstheme="minorHAnsi"/>
                <w:sz w:val="22"/>
                <w:szCs w:val="22"/>
              </w:rPr>
            </w:pPr>
            <w:r w:rsidRPr="00EB7757">
              <w:rPr>
                <w:rFonts w:asciiTheme="minorHAnsi" w:hAnsiTheme="minorHAnsi" w:cstheme="minorHAnsi"/>
                <w:sz w:val="22"/>
                <w:szCs w:val="22"/>
              </w:rPr>
              <w:t>Fugitive carbon dioxide from CO</w:t>
            </w:r>
            <w:r w:rsidRPr="00EB7757">
              <w:rPr>
                <w:rFonts w:asciiTheme="minorHAnsi" w:hAnsiTheme="minorHAnsi" w:cstheme="minorHAnsi"/>
                <w:sz w:val="22"/>
                <w:szCs w:val="22"/>
              </w:rPr>
              <w:softHyphen/>
            </w:r>
            <w:r w:rsidRPr="00EB7757">
              <w:rPr>
                <w:rFonts w:asciiTheme="minorHAnsi" w:hAnsiTheme="minorHAnsi" w:cstheme="minorHAnsi"/>
                <w:sz w:val="22"/>
                <w:szCs w:val="22"/>
                <w:vertAlign w:val="subscript"/>
              </w:rPr>
              <w:t>2</w:t>
            </w:r>
            <w:r w:rsidRPr="00EB7757">
              <w:rPr>
                <w:rFonts w:asciiTheme="minorHAnsi" w:hAnsiTheme="minorHAnsi" w:cstheme="minorHAnsi"/>
                <w:sz w:val="22"/>
                <w:szCs w:val="22"/>
              </w:rPr>
              <w:t xml:space="preserve"> transportation </w:t>
            </w:r>
          </w:p>
        </w:tc>
        <w:tc>
          <w:tcPr>
            <w:tcW w:w="2750" w:type="dxa"/>
          </w:tcPr>
          <w:p w14:paraId="4767147F" w14:textId="77777777" w:rsidR="008D5802" w:rsidRPr="00EB7757" w:rsidRDefault="008D5802" w:rsidP="005F166A">
            <w:pPr>
              <w:pStyle w:val="ListBullet"/>
              <w:ind w:left="0" w:firstLine="0"/>
              <w:rPr>
                <w:rFonts w:asciiTheme="minorHAnsi" w:hAnsiTheme="minorHAnsi" w:cstheme="minorHAnsi"/>
                <w:sz w:val="22"/>
                <w:szCs w:val="22"/>
              </w:rPr>
            </w:pPr>
          </w:p>
        </w:tc>
      </w:tr>
      <w:tr w:rsidR="008D5802" w14:paraId="44DB6CE5" w14:textId="77777777" w:rsidTr="006E1573">
        <w:trPr>
          <w:trHeight w:val="573"/>
        </w:trPr>
        <w:tc>
          <w:tcPr>
            <w:tcW w:w="3197" w:type="dxa"/>
          </w:tcPr>
          <w:p w14:paraId="49BCB884" w14:textId="77777777" w:rsidR="008D5802" w:rsidRPr="00EB7757" w:rsidRDefault="008D5802" w:rsidP="005F166A">
            <w:pPr>
              <w:pStyle w:val="ListBullet"/>
              <w:ind w:left="0" w:firstLine="0"/>
              <w:rPr>
                <w:rFonts w:asciiTheme="minorHAnsi" w:hAnsiTheme="minorHAnsi" w:cstheme="minorHAnsi"/>
                <w:sz w:val="22"/>
                <w:szCs w:val="22"/>
              </w:rPr>
            </w:pPr>
            <w:r w:rsidRPr="00EB7757">
              <w:rPr>
                <w:rFonts w:asciiTheme="minorHAnsi" w:hAnsiTheme="minorHAnsi" w:cstheme="minorHAnsi"/>
                <w:sz w:val="22"/>
                <w:szCs w:val="22"/>
              </w:rPr>
              <w:t>Storage of CO</w:t>
            </w:r>
            <w:r w:rsidRPr="00EB7757">
              <w:rPr>
                <w:rFonts w:asciiTheme="minorHAnsi" w:hAnsiTheme="minorHAnsi" w:cstheme="minorHAnsi"/>
                <w:sz w:val="22"/>
                <w:szCs w:val="22"/>
                <w:vertAlign w:val="subscript"/>
              </w:rPr>
              <w:t>2</w:t>
            </w:r>
          </w:p>
        </w:tc>
        <w:tc>
          <w:tcPr>
            <w:tcW w:w="3098" w:type="dxa"/>
          </w:tcPr>
          <w:p w14:paraId="67FF6A48" w14:textId="77777777" w:rsidR="008D5802" w:rsidRPr="00EB7757" w:rsidRDefault="008D5802" w:rsidP="00E82175">
            <w:pPr>
              <w:pStyle w:val="ListBullet"/>
              <w:ind w:left="0" w:firstLine="0"/>
              <w:rPr>
                <w:rFonts w:asciiTheme="minorHAnsi" w:hAnsiTheme="minorHAnsi" w:cstheme="minorHAnsi"/>
                <w:sz w:val="22"/>
                <w:szCs w:val="22"/>
              </w:rPr>
            </w:pPr>
            <w:r w:rsidRPr="00EB7757">
              <w:rPr>
                <w:rFonts w:asciiTheme="minorHAnsi" w:hAnsiTheme="minorHAnsi" w:cstheme="minorHAnsi"/>
                <w:sz w:val="22"/>
                <w:szCs w:val="22"/>
              </w:rPr>
              <w:t>Electricity for injection or transformation</w:t>
            </w:r>
          </w:p>
        </w:tc>
        <w:tc>
          <w:tcPr>
            <w:tcW w:w="2750" w:type="dxa"/>
          </w:tcPr>
          <w:p w14:paraId="4C9D2D30" w14:textId="77777777" w:rsidR="008D5802" w:rsidRPr="00EB7757" w:rsidRDefault="008D5802" w:rsidP="00E82175">
            <w:pPr>
              <w:pStyle w:val="ListBullet"/>
              <w:ind w:left="58" w:firstLine="0"/>
              <w:rPr>
                <w:rFonts w:asciiTheme="minorHAnsi" w:hAnsiTheme="minorHAnsi" w:cstheme="minorHAnsi"/>
                <w:sz w:val="22"/>
                <w:szCs w:val="22"/>
              </w:rPr>
            </w:pPr>
            <w:r w:rsidRPr="00EB7757">
              <w:rPr>
                <w:rFonts w:asciiTheme="minorHAnsi" w:hAnsiTheme="minorHAnsi" w:cstheme="minorHAnsi"/>
                <w:sz w:val="22"/>
                <w:szCs w:val="22"/>
              </w:rPr>
              <w:t>Fugitive carbon dioxide from permanent storage location</w:t>
            </w:r>
          </w:p>
        </w:tc>
      </w:tr>
      <w:tr w:rsidR="008D5802" w14:paraId="1DEED505" w14:textId="77777777" w:rsidTr="006E1573">
        <w:trPr>
          <w:trHeight w:val="573"/>
        </w:trPr>
        <w:tc>
          <w:tcPr>
            <w:tcW w:w="3197" w:type="dxa"/>
          </w:tcPr>
          <w:p w14:paraId="30ED5A98" w14:textId="77777777" w:rsidR="008D5802" w:rsidRPr="00EB7757" w:rsidRDefault="008D5802" w:rsidP="005F166A">
            <w:pPr>
              <w:pStyle w:val="ListBullet"/>
              <w:ind w:left="0" w:firstLine="0"/>
              <w:rPr>
                <w:rFonts w:asciiTheme="minorHAnsi" w:hAnsiTheme="minorHAnsi" w:cstheme="minorHAnsi"/>
                <w:sz w:val="22"/>
                <w:szCs w:val="22"/>
              </w:rPr>
            </w:pPr>
            <w:r w:rsidRPr="00EB7757">
              <w:rPr>
                <w:rFonts w:asciiTheme="minorHAnsi" w:hAnsiTheme="minorHAnsi" w:cstheme="minorHAnsi"/>
                <w:sz w:val="22"/>
                <w:szCs w:val="22"/>
              </w:rPr>
              <w:t>Utilisation of CO</w:t>
            </w:r>
            <w:r w:rsidRPr="00EB7757">
              <w:rPr>
                <w:rFonts w:asciiTheme="minorHAnsi" w:hAnsiTheme="minorHAnsi" w:cstheme="minorHAnsi"/>
                <w:sz w:val="22"/>
                <w:szCs w:val="22"/>
                <w:vertAlign w:val="subscript"/>
              </w:rPr>
              <w:t>2</w:t>
            </w:r>
          </w:p>
        </w:tc>
        <w:tc>
          <w:tcPr>
            <w:tcW w:w="3098" w:type="dxa"/>
          </w:tcPr>
          <w:p w14:paraId="1CB9450C" w14:textId="77777777" w:rsidR="008D5802" w:rsidRPr="00EB7757" w:rsidRDefault="008D5802" w:rsidP="00E82175">
            <w:pPr>
              <w:pStyle w:val="ListBullet"/>
              <w:ind w:left="0" w:firstLine="0"/>
              <w:rPr>
                <w:rFonts w:asciiTheme="minorHAnsi" w:hAnsiTheme="minorHAnsi" w:cstheme="minorHAnsi"/>
                <w:sz w:val="22"/>
                <w:szCs w:val="22"/>
                <w:vertAlign w:val="subscript"/>
              </w:rPr>
            </w:pPr>
            <w:r w:rsidRPr="00EB7757">
              <w:rPr>
                <w:rFonts w:asciiTheme="minorHAnsi" w:hAnsiTheme="minorHAnsi" w:cstheme="minorHAnsi"/>
                <w:sz w:val="22"/>
                <w:szCs w:val="22"/>
              </w:rPr>
              <w:t>Electricity for utilisation of CO</w:t>
            </w:r>
            <w:r w:rsidRPr="00EB7757">
              <w:rPr>
                <w:rFonts w:asciiTheme="minorHAnsi" w:hAnsiTheme="minorHAnsi" w:cstheme="minorHAnsi"/>
                <w:sz w:val="22"/>
                <w:szCs w:val="22"/>
                <w:vertAlign w:val="subscript"/>
              </w:rPr>
              <w:t>2</w:t>
            </w:r>
          </w:p>
          <w:p w14:paraId="1AA2C085" w14:textId="77777777" w:rsidR="007F0B40" w:rsidRPr="00EB7757" w:rsidRDefault="007F0B40" w:rsidP="00E82175">
            <w:pPr>
              <w:pStyle w:val="ListBullet"/>
              <w:ind w:left="0" w:firstLine="0"/>
              <w:rPr>
                <w:rFonts w:asciiTheme="minorHAnsi" w:hAnsiTheme="minorHAnsi" w:cstheme="minorHAnsi"/>
                <w:sz w:val="22"/>
                <w:szCs w:val="22"/>
              </w:rPr>
            </w:pPr>
          </w:p>
          <w:p w14:paraId="0A9AB04F" w14:textId="77777777" w:rsidR="008D5802" w:rsidRPr="00EB7757" w:rsidRDefault="008D5802" w:rsidP="00E82175">
            <w:pPr>
              <w:pStyle w:val="ListBullet"/>
              <w:ind w:left="0" w:firstLine="0"/>
              <w:rPr>
                <w:rFonts w:asciiTheme="minorHAnsi" w:hAnsiTheme="minorHAnsi" w:cstheme="minorHAnsi"/>
                <w:sz w:val="22"/>
                <w:szCs w:val="22"/>
                <w:vertAlign w:val="subscript"/>
              </w:rPr>
            </w:pPr>
            <w:r w:rsidRPr="00EB7757">
              <w:rPr>
                <w:rFonts w:asciiTheme="minorHAnsi" w:hAnsiTheme="minorHAnsi" w:cstheme="minorHAnsi"/>
                <w:sz w:val="22"/>
                <w:szCs w:val="22"/>
              </w:rPr>
              <w:t>Combustion of solid, liquid and/or gaseous fuels for utilisation of CO</w:t>
            </w:r>
            <w:r w:rsidRPr="00EB7757">
              <w:rPr>
                <w:rFonts w:asciiTheme="minorHAnsi" w:hAnsiTheme="minorHAnsi" w:cstheme="minorHAnsi"/>
                <w:sz w:val="22"/>
                <w:szCs w:val="22"/>
                <w:vertAlign w:val="subscript"/>
              </w:rPr>
              <w:t>2</w:t>
            </w:r>
          </w:p>
          <w:p w14:paraId="5C09D8EA" w14:textId="77777777" w:rsidR="007F0B40" w:rsidRPr="00EB7757" w:rsidRDefault="007F0B40" w:rsidP="00E82175">
            <w:pPr>
              <w:pStyle w:val="ListBullet"/>
              <w:ind w:left="0" w:firstLine="0"/>
              <w:rPr>
                <w:rFonts w:asciiTheme="minorHAnsi" w:hAnsiTheme="minorHAnsi" w:cstheme="minorHAnsi"/>
                <w:sz w:val="22"/>
                <w:szCs w:val="22"/>
              </w:rPr>
            </w:pPr>
          </w:p>
          <w:p w14:paraId="6B6A7D18" w14:textId="77777777" w:rsidR="008D5802" w:rsidRPr="00EB7757" w:rsidRDefault="008D5802" w:rsidP="00E82175">
            <w:pPr>
              <w:pStyle w:val="ListBullet"/>
              <w:ind w:left="0" w:firstLine="0"/>
              <w:rPr>
                <w:rFonts w:asciiTheme="minorHAnsi" w:hAnsiTheme="minorHAnsi" w:cstheme="minorHAnsi"/>
                <w:sz w:val="22"/>
                <w:szCs w:val="22"/>
              </w:rPr>
            </w:pPr>
            <w:r w:rsidRPr="00EB7757">
              <w:rPr>
                <w:rFonts w:asciiTheme="minorHAnsi" w:hAnsiTheme="minorHAnsi" w:cstheme="minorHAnsi"/>
                <w:sz w:val="22"/>
                <w:szCs w:val="22"/>
              </w:rPr>
              <w:t>Other emissions may vary widely pending nature of utilisation</w:t>
            </w:r>
          </w:p>
        </w:tc>
        <w:tc>
          <w:tcPr>
            <w:tcW w:w="2750" w:type="dxa"/>
          </w:tcPr>
          <w:p w14:paraId="6F4DFCF9" w14:textId="77777777" w:rsidR="008D5802" w:rsidRPr="00EB7757" w:rsidRDefault="008D5802" w:rsidP="00E82175">
            <w:pPr>
              <w:pStyle w:val="ListBullet"/>
              <w:ind w:left="58" w:firstLine="0"/>
              <w:rPr>
                <w:rFonts w:asciiTheme="minorHAnsi" w:hAnsiTheme="minorHAnsi" w:cstheme="minorHAnsi"/>
                <w:sz w:val="22"/>
                <w:szCs w:val="22"/>
              </w:rPr>
            </w:pPr>
          </w:p>
        </w:tc>
      </w:tr>
      <w:tr w:rsidR="008D5802" w14:paraId="4BF4F43C" w14:textId="77777777" w:rsidTr="006E1573">
        <w:trPr>
          <w:trHeight w:val="573"/>
        </w:trPr>
        <w:tc>
          <w:tcPr>
            <w:tcW w:w="3197" w:type="dxa"/>
          </w:tcPr>
          <w:p w14:paraId="6E6EDE54" w14:textId="77777777" w:rsidR="008D5802" w:rsidRPr="00EB7757" w:rsidRDefault="008D5802" w:rsidP="005F166A">
            <w:pPr>
              <w:pStyle w:val="ListBullet"/>
              <w:ind w:left="0" w:firstLine="0"/>
              <w:rPr>
                <w:rFonts w:asciiTheme="minorHAnsi" w:hAnsiTheme="minorHAnsi" w:cstheme="minorHAnsi"/>
                <w:sz w:val="22"/>
                <w:szCs w:val="22"/>
              </w:rPr>
            </w:pPr>
            <w:r w:rsidRPr="00EB7757">
              <w:rPr>
                <w:rFonts w:asciiTheme="minorHAnsi" w:hAnsiTheme="minorHAnsi" w:cstheme="minorHAnsi"/>
                <w:sz w:val="22"/>
                <w:szCs w:val="22"/>
              </w:rPr>
              <w:t>Hydrogen compression and storage</w:t>
            </w:r>
          </w:p>
        </w:tc>
        <w:tc>
          <w:tcPr>
            <w:tcW w:w="3098" w:type="dxa"/>
          </w:tcPr>
          <w:p w14:paraId="2E544197" w14:textId="77777777" w:rsidR="008D5802" w:rsidRPr="00EB7757" w:rsidRDefault="008D5802" w:rsidP="007F0B40">
            <w:pPr>
              <w:rPr>
                <w:rFonts w:asciiTheme="minorHAnsi" w:hAnsiTheme="minorHAnsi" w:cstheme="minorHAnsi"/>
                <w:sz w:val="22"/>
                <w:szCs w:val="22"/>
              </w:rPr>
            </w:pPr>
            <w:r w:rsidRPr="00EB7757">
              <w:rPr>
                <w:rFonts w:asciiTheme="minorHAnsi" w:hAnsiTheme="minorHAnsi" w:cstheme="minorHAnsi"/>
                <w:color w:val="000000" w:themeColor="text1" w:themeShade="80"/>
                <w:sz w:val="22"/>
                <w:szCs w:val="22"/>
              </w:rPr>
              <w:t>Electricity for compression and storage maintenance</w:t>
            </w:r>
          </w:p>
        </w:tc>
        <w:tc>
          <w:tcPr>
            <w:tcW w:w="2750" w:type="dxa"/>
          </w:tcPr>
          <w:p w14:paraId="7165081B" w14:textId="77777777" w:rsidR="008D5802" w:rsidRPr="00EB7757" w:rsidRDefault="008D5802" w:rsidP="00E82175">
            <w:pPr>
              <w:pStyle w:val="ListBullet"/>
              <w:ind w:left="58" w:firstLine="0"/>
              <w:rPr>
                <w:rFonts w:asciiTheme="minorHAnsi" w:hAnsiTheme="minorHAnsi" w:cstheme="minorHAnsi"/>
                <w:sz w:val="22"/>
                <w:szCs w:val="22"/>
              </w:rPr>
            </w:pPr>
            <w:r w:rsidRPr="00EB7757">
              <w:rPr>
                <w:rFonts w:asciiTheme="minorHAnsi" w:hAnsiTheme="minorHAnsi" w:cstheme="minorHAnsi"/>
                <w:sz w:val="22"/>
                <w:szCs w:val="22"/>
              </w:rPr>
              <w:t>Fugitive hydrogen emissions</w:t>
            </w:r>
            <w:r w:rsidRPr="00EB7757">
              <w:rPr>
                <w:rStyle w:val="FootnoteReference"/>
                <w:rFonts w:asciiTheme="minorHAnsi" w:hAnsiTheme="minorHAnsi" w:cstheme="minorHAnsi"/>
                <w:sz w:val="22"/>
                <w:szCs w:val="22"/>
              </w:rPr>
              <w:footnoteReference w:id="12"/>
            </w:r>
          </w:p>
        </w:tc>
      </w:tr>
    </w:tbl>
    <w:p w14:paraId="0F4A8887" w14:textId="77777777" w:rsidR="008D5802" w:rsidRPr="00300939" w:rsidRDefault="008D5802" w:rsidP="008D5802"/>
    <w:p w14:paraId="478EC657" w14:textId="77777777" w:rsidR="00C22D61" w:rsidRDefault="00C22D61">
      <w:pPr>
        <w:rPr>
          <w:rFonts w:asciiTheme="majorHAnsi" w:eastAsiaTheme="majorEastAsia" w:hAnsiTheme="majorHAnsi" w:cstheme="majorBidi"/>
          <w:color w:val="005677" w:themeColor="text2"/>
          <w:sz w:val="40"/>
          <w:szCs w:val="48"/>
        </w:rPr>
      </w:pPr>
      <w:bookmarkStart w:id="456" w:name="_Toc67562641"/>
      <w:bookmarkStart w:id="457" w:name="_Toc64302394"/>
      <w:r>
        <w:br w:type="page"/>
      </w:r>
      <w:bookmarkEnd w:id="456"/>
    </w:p>
    <w:p w14:paraId="536E27EC" w14:textId="5E8C4DBA" w:rsidR="00A856F8" w:rsidRDefault="004D54C6" w:rsidP="003B47A9">
      <w:pPr>
        <w:pStyle w:val="Heading2"/>
      </w:pPr>
      <w:bookmarkStart w:id="458" w:name="_Toc65168398"/>
      <w:bookmarkStart w:id="459" w:name="_Toc67329138"/>
      <w:bookmarkStart w:id="460" w:name="_Toc67329386"/>
      <w:bookmarkStart w:id="461" w:name="_Toc67562642"/>
      <w:bookmarkStart w:id="462" w:name="_Toc68000224"/>
      <w:bookmarkStart w:id="463" w:name="_Toc68083155"/>
      <w:bookmarkStart w:id="464" w:name="_Toc68083550"/>
      <w:bookmarkStart w:id="465" w:name="_Toc68105089"/>
      <w:bookmarkStart w:id="466" w:name="_Toc74839368"/>
      <w:r>
        <w:t>Information to be reported</w:t>
      </w:r>
      <w:bookmarkEnd w:id="457"/>
      <w:bookmarkEnd w:id="458"/>
      <w:bookmarkEnd w:id="459"/>
      <w:bookmarkEnd w:id="460"/>
      <w:bookmarkEnd w:id="461"/>
      <w:bookmarkEnd w:id="462"/>
      <w:bookmarkEnd w:id="463"/>
      <w:bookmarkEnd w:id="464"/>
      <w:bookmarkEnd w:id="465"/>
      <w:bookmarkEnd w:id="466"/>
    </w:p>
    <w:tbl>
      <w:tblPr>
        <w:tblStyle w:val="EPLTablePlain"/>
        <w:tblpPr w:leftFromText="180" w:rightFromText="180" w:vertAnchor="text" w:tblpY="1"/>
        <w:tblOverlap w:val="never"/>
        <w:tblW w:w="5000" w:type="pct"/>
        <w:tblLook w:val="04A0" w:firstRow="1" w:lastRow="0" w:firstColumn="1" w:lastColumn="0" w:noHBand="0" w:noVBand="1"/>
        <w:tblDescription w:val="Table summarising the data to be reported for emissions analysis in the steam methane reforming production pathway. "/>
      </w:tblPr>
      <w:tblGrid>
        <w:gridCol w:w="2225"/>
        <w:gridCol w:w="6506"/>
      </w:tblGrid>
      <w:tr w:rsidR="00C22D61" w:rsidRPr="00052AFA" w14:paraId="52082912" w14:textId="77777777" w:rsidTr="00B4718B">
        <w:trPr>
          <w:cnfStyle w:val="100000000000" w:firstRow="1" w:lastRow="0" w:firstColumn="0" w:lastColumn="0" w:oddVBand="0" w:evenVBand="0" w:oddHBand="0" w:evenHBand="0" w:firstRowFirstColumn="0" w:firstRowLastColumn="0" w:lastRowFirstColumn="0" w:lastRowLastColumn="0"/>
          <w:trHeight w:hRule="exact" w:val="454"/>
          <w:tblHeader/>
        </w:trPr>
        <w:tc>
          <w:tcPr>
            <w:tcW w:w="1226" w:type="pct"/>
          </w:tcPr>
          <w:p w14:paraId="4F75D9E7" w14:textId="77777777" w:rsidR="00C22D61" w:rsidRPr="00052AFA" w:rsidRDefault="00C22D61" w:rsidP="001B3FBB">
            <w:pPr>
              <w:pStyle w:val="ListParagraph"/>
              <w:ind w:left="0" w:firstLine="0"/>
              <w:rPr>
                <w:rFonts w:cs="Arial"/>
                <w:color w:val="auto"/>
              </w:rPr>
            </w:pPr>
            <w:r w:rsidRPr="00052AFA">
              <w:rPr>
                <w:rFonts w:cs="Arial"/>
                <w:color w:val="auto"/>
              </w:rPr>
              <w:t>Category</w:t>
            </w:r>
          </w:p>
        </w:tc>
        <w:tc>
          <w:tcPr>
            <w:tcW w:w="3678" w:type="pct"/>
          </w:tcPr>
          <w:p w14:paraId="77354795" w14:textId="77777777" w:rsidR="00C22D61" w:rsidRPr="00052AFA" w:rsidRDefault="00C22D61" w:rsidP="001B3FBB">
            <w:pPr>
              <w:pStyle w:val="ListParagraph"/>
              <w:ind w:left="0" w:firstLine="0"/>
              <w:rPr>
                <w:rFonts w:cs="Arial"/>
                <w:color w:val="auto"/>
              </w:rPr>
            </w:pPr>
            <w:r w:rsidRPr="00052AFA">
              <w:rPr>
                <w:rFonts w:cs="Arial"/>
                <w:color w:val="auto"/>
              </w:rPr>
              <w:t>Matters to be identified</w:t>
            </w:r>
          </w:p>
        </w:tc>
      </w:tr>
      <w:tr w:rsidR="00C22D61" w14:paraId="142BFE89" w14:textId="77777777" w:rsidTr="001B3FBB">
        <w:trPr>
          <w:trHeight w:val="1329"/>
        </w:trPr>
        <w:tc>
          <w:tcPr>
            <w:tcW w:w="0" w:type="pct"/>
          </w:tcPr>
          <w:p w14:paraId="1E1C80D1" w14:textId="77777777" w:rsidR="00C22D61" w:rsidRPr="00EB7757" w:rsidRDefault="00C22D61" w:rsidP="0079029D">
            <w:pPr>
              <w:pStyle w:val="ListParagraph"/>
              <w:numPr>
                <w:ilvl w:val="0"/>
                <w:numId w:val="5"/>
              </w:numPr>
              <w:spacing w:after="280"/>
              <w:ind w:left="0"/>
              <w:rPr>
                <w:rFonts w:asciiTheme="minorHAnsi" w:hAnsiTheme="minorHAnsi" w:cstheme="minorHAnsi"/>
                <w:sz w:val="22"/>
                <w:szCs w:val="22"/>
              </w:rPr>
            </w:pPr>
            <w:r w:rsidRPr="00EB7757">
              <w:rPr>
                <w:rFonts w:asciiTheme="minorHAnsi" w:hAnsiTheme="minorHAnsi" w:cstheme="minorHAnsi"/>
                <w:sz w:val="22"/>
                <w:szCs w:val="22"/>
              </w:rPr>
              <w:t>Facility details</w:t>
            </w:r>
          </w:p>
        </w:tc>
        <w:tc>
          <w:tcPr>
            <w:tcW w:w="0" w:type="pct"/>
          </w:tcPr>
          <w:p w14:paraId="46868D45" w14:textId="77777777" w:rsidR="00C22D61" w:rsidRPr="00EB7757" w:rsidRDefault="00C22D61" w:rsidP="001B3FBB">
            <w:pPr>
              <w:pStyle w:val="ListBullet"/>
              <w:rPr>
                <w:rFonts w:asciiTheme="minorHAnsi" w:hAnsiTheme="minorHAnsi" w:cstheme="minorHAnsi"/>
                <w:sz w:val="22"/>
                <w:szCs w:val="22"/>
              </w:rPr>
            </w:pPr>
            <w:r w:rsidRPr="00EB7757">
              <w:rPr>
                <w:rFonts w:asciiTheme="minorHAnsi" w:hAnsiTheme="minorHAnsi" w:cstheme="minorHAnsi"/>
                <w:sz w:val="22"/>
                <w:szCs w:val="22"/>
              </w:rPr>
              <w:t>Facility identity</w:t>
            </w:r>
          </w:p>
          <w:p w14:paraId="32E66483" w14:textId="77777777" w:rsidR="00C22D61" w:rsidRPr="00EB7757" w:rsidRDefault="00C22D61" w:rsidP="001B3FBB">
            <w:pPr>
              <w:pStyle w:val="ListBullet"/>
              <w:rPr>
                <w:rFonts w:asciiTheme="minorHAnsi" w:hAnsiTheme="minorHAnsi" w:cstheme="minorHAnsi"/>
                <w:sz w:val="22"/>
                <w:szCs w:val="22"/>
              </w:rPr>
            </w:pPr>
            <w:r w:rsidRPr="00EB7757">
              <w:rPr>
                <w:rFonts w:asciiTheme="minorHAnsi" w:hAnsiTheme="minorHAnsi" w:cstheme="minorHAnsi"/>
                <w:sz w:val="22"/>
                <w:szCs w:val="22"/>
              </w:rPr>
              <w:t>Facility location</w:t>
            </w:r>
          </w:p>
          <w:p w14:paraId="4BAAC444" w14:textId="77777777" w:rsidR="00C22D61" w:rsidRPr="00EB7757" w:rsidRDefault="00C22D61" w:rsidP="001B3FBB">
            <w:pPr>
              <w:pStyle w:val="ListBullet"/>
              <w:rPr>
                <w:rFonts w:asciiTheme="minorHAnsi" w:hAnsiTheme="minorHAnsi" w:cstheme="minorHAnsi"/>
                <w:sz w:val="22"/>
                <w:szCs w:val="22"/>
              </w:rPr>
            </w:pPr>
            <w:r w:rsidRPr="00EB7757">
              <w:rPr>
                <w:rFonts w:asciiTheme="minorHAnsi" w:hAnsiTheme="minorHAnsi" w:cstheme="minorHAnsi"/>
                <w:sz w:val="22"/>
                <w:szCs w:val="22"/>
              </w:rPr>
              <w:t>Facility capacity</w:t>
            </w:r>
          </w:p>
          <w:p w14:paraId="713833E6" w14:textId="77777777" w:rsidR="00C22D61" w:rsidRPr="00EB7757" w:rsidRDefault="00C22D61" w:rsidP="001B3FBB">
            <w:pPr>
              <w:pStyle w:val="ListBullet"/>
              <w:rPr>
                <w:rFonts w:asciiTheme="minorHAnsi" w:hAnsiTheme="minorHAnsi" w:cstheme="minorHAnsi"/>
                <w:sz w:val="22"/>
                <w:szCs w:val="22"/>
              </w:rPr>
            </w:pPr>
            <w:r w:rsidRPr="00EB7757">
              <w:rPr>
                <w:rFonts w:asciiTheme="minorHAnsi" w:hAnsiTheme="minorHAnsi" w:cstheme="minorHAnsi"/>
                <w:color w:val="auto"/>
                <w:sz w:val="22"/>
                <w:szCs w:val="22"/>
              </w:rPr>
              <w:t>Commencement of facility operation</w:t>
            </w:r>
          </w:p>
        </w:tc>
      </w:tr>
      <w:tr w:rsidR="00C22D61" w14:paraId="2211D4EF" w14:textId="77777777" w:rsidTr="001B3FBB">
        <w:trPr>
          <w:trHeight w:val="651"/>
        </w:trPr>
        <w:tc>
          <w:tcPr>
            <w:tcW w:w="0" w:type="pct"/>
          </w:tcPr>
          <w:p w14:paraId="76D08A89" w14:textId="77777777" w:rsidR="00C22D61" w:rsidRPr="00EB7757" w:rsidRDefault="00C22D61" w:rsidP="0079029D">
            <w:pPr>
              <w:pStyle w:val="ListParagraph"/>
              <w:numPr>
                <w:ilvl w:val="0"/>
                <w:numId w:val="5"/>
              </w:numPr>
              <w:spacing w:after="280"/>
              <w:ind w:left="0"/>
              <w:rPr>
                <w:rFonts w:asciiTheme="minorHAnsi" w:hAnsiTheme="minorHAnsi" w:cstheme="minorHAnsi"/>
                <w:sz w:val="22"/>
                <w:szCs w:val="22"/>
              </w:rPr>
            </w:pPr>
            <w:r w:rsidRPr="00EB7757">
              <w:rPr>
                <w:rFonts w:asciiTheme="minorHAnsi" w:hAnsiTheme="minorHAnsi" w:cstheme="minorHAnsi"/>
                <w:sz w:val="22"/>
                <w:szCs w:val="22"/>
              </w:rPr>
              <w:t xml:space="preserve">Production </w:t>
            </w:r>
          </w:p>
        </w:tc>
        <w:tc>
          <w:tcPr>
            <w:tcW w:w="0" w:type="pct"/>
          </w:tcPr>
          <w:p w14:paraId="395F8F86" w14:textId="77777777" w:rsidR="00C22D61" w:rsidRPr="00EB7757" w:rsidRDefault="00C22D61" w:rsidP="001B3FBB">
            <w:pPr>
              <w:pStyle w:val="ListBullet"/>
              <w:rPr>
                <w:rFonts w:asciiTheme="minorHAnsi" w:hAnsiTheme="minorHAnsi" w:cstheme="minorHAnsi"/>
                <w:sz w:val="22"/>
                <w:szCs w:val="22"/>
              </w:rPr>
            </w:pPr>
            <w:r w:rsidRPr="00EB7757">
              <w:rPr>
                <w:rFonts w:asciiTheme="minorHAnsi" w:hAnsiTheme="minorHAnsi" w:cstheme="minorHAnsi"/>
                <w:sz w:val="22"/>
                <w:szCs w:val="22"/>
              </w:rPr>
              <w:t>Production pathway</w:t>
            </w:r>
          </w:p>
        </w:tc>
      </w:tr>
      <w:tr w:rsidR="00C22D61" w14:paraId="13D180EE" w14:textId="77777777" w:rsidTr="00C22D61">
        <w:trPr>
          <w:trHeight w:val="948"/>
        </w:trPr>
        <w:tc>
          <w:tcPr>
            <w:tcW w:w="1226" w:type="pct"/>
          </w:tcPr>
          <w:p w14:paraId="212292B8" w14:textId="77777777" w:rsidR="00C22D61" w:rsidRPr="00EB7757" w:rsidRDefault="00C22D61" w:rsidP="0079029D">
            <w:pPr>
              <w:pStyle w:val="ListParagraph"/>
              <w:numPr>
                <w:ilvl w:val="0"/>
                <w:numId w:val="5"/>
              </w:numPr>
              <w:spacing w:after="280"/>
              <w:ind w:left="0"/>
              <w:rPr>
                <w:rFonts w:asciiTheme="minorHAnsi" w:hAnsiTheme="minorHAnsi" w:cstheme="minorHAnsi"/>
                <w:sz w:val="22"/>
                <w:szCs w:val="22"/>
              </w:rPr>
            </w:pPr>
            <w:r w:rsidRPr="00EB7757">
              <w:rPr>
                <w:rFonts w:asciiTheme="minorHAnsi" w:hAnsiTheme="minorHAnsi" w:cstheme="minorHAnsi"/>
                <w:sz w:val="22"/>
                <w:szCs w:val="22"/>
              </w:rPr>
              <w:t>GHG emissions overview</w:t>
            </w:r>
          </w:p>
        </w:tc>
        <w:tc>
          <w:tcPr>
            <w:tcW w:w="3678" w:type="pct"/>
          </w:tcPr>
          <w:p w14:paraId="466351AB" w14:textId="77777777" w:rsidR="00C22D61" w:rsidRPr="00EB7757" w:rsidRDefault="00C22D61" w:rsidP="001B3FBB">
            <w:pPr>
              <w:pStyle w:val="ListBullet"/>
              <w:rPr>
                <w:rFonts w:asciiTheme="minorHAnsi" w:hAnsiTheme="minorHAnsi" w:cstheme="minorHAnsi"/>
                <w:sz w:val="22"/>
                <w:szCs w:val="22"/>
              </w:rPr>
            </w:pPr>
            <w:r w:rsidRPr="00EB7757">
              <w:rPr>
                <w:rFonts w:asciiTheme="minorHAnsi" w:hAnsiTheme="minorHAnsi" w:cstheme="minorHAnsi"/>
                <w:sz w:val="22"/>
                <w:szCs w:val="22"/>
              </w:rPr>
              <w:t>Emissions intensity of hydrogen batch</w:t>
            </w:r>
          </w:p>
          <w:p w14:paraId="343C994A" w14:textId="16177569" w:rsidR="00C22D61" w:rsidRPr="00EB7757" w:rsidRDefault="00C22D61" w:rsidP="001B3FBB">
            <w:pPr>
              <w:pStyle w:val="ListBullet"/>
              <w:rPr>
                <w:rFonts w:asciiTheme="minorHAnsi" w:hAnsiTheme="minorHAnsi" w:cstheme="minorHAnsi"/>
                <w:sz w:val="22"/>
                <w:szCs w:val="22"/>
              </w:rPr>
            </w:pPr>
          </w:p>
        </w:tc>
      </w:tr>
      <w:tr w:rsidR="00C22D61" w14:paraId="5E9A121E" w14:textId="77777777" w:rsidTr="001B3FBB">
        <w:trPr>
          <w:trHeight w:val="928"/>
        </w:trPr>
        <w:tc>
          <w:tcPr>
            <w:tcW w:w="0" w:type="pct"/>
          </w:tcPr>
          <w:p w14:paraId="674BE427" w14:textId="77777777" w:rsidR="00C22D61" w:rsidRPr="00EB7757" w:rsidRDefault="00C22D61" w:rsidP="0079029D">
            <w:pPr>
              <w:pStyle w:val="ListParagraph"/>
              <w:numPr>
                <w:ilvl w:val="0"/>
                <w:numId w:val="5"/>
              </w:numPr>
              <w:spacing w:after="280"/>
              <w:ind w:left="0"/>
              <w:rPr>
                <w:rFonts w:asciiTheme="minorHAnsi" w:hAnsiTheme="minorHAnsi" w:cstheme="minorHAnsi"/>
                <w:sz w:val="22"/>
                <w:szCs w:val="22"/>
              </w:rPr>
            </w:pPr>
            <w:r w:rsidRPr="00EB7757">
              <w:rPr>
                <w:rFonts w:asciiTheme="minorHAnsi" w:hAnsiTheme="minorHAnsi" w:cstheme="minorHAnsi"/>
                <w:sz w:val="22"/>
                <w:szCs w:val="22"/>
              </w:rPr>
              <w:t>Batch details</w:t>
            </w:r>
          </w:p>
        </w:tc>
        <w:tc>
          <w:tcPr>
            <w:tcW w:w="0" w:type="pct"/>
          </w:tcPr>
          <w:p w14:paraId="657CA720" w14:textId="77777777" w:rsidR="00C22D61" w:rsidRPr="00EB7757" w:rsidRDefault="00C22D61" w:rsidP="001B3FBB">
            <w:pPr>
              <w:pStyle w:val="ListBullet"/>
              <w:rPr>
                <w:rFonts w:asciiTheme="minorHAnsi" w:hAnsiTheme="minorHAnsi" w:cstheme="minorHAnsi"/>
                <w:sz w:val="22"/>
                <w:szCs w:val="22"/>
              </w:rPr>
            </w:pPr>
            <w:r w:rsidRPr="00EB7757">
              <w:rPr>
                <w:rFonts w:asciiTheme="minorHAnsi" w:hAnsiTheme="minorHAnsi" w:cstheme="minorHAnsi"/>
                <w:sz w:val="22"/>
                <w:szCs w:val="22"/>
              </w:rPr>
              <w:t>Beginning and end of batch dates</w:t>
            </w:r>
          </w:p>
          <w:p w14:paraId="7A24533C" w14:textId="77777777" w:rsidR="00C22D61" w:rsidRPr="00EB7757" w:rsidRDefault="00C22D61" w:rsidP="001B3FBB">
            <w:pPr>
              <w:pStyle w:val="ListBullet"/>
              <w:rPr>
                <w:rFonts w:asciiTheme="minorHAnsi" w:hAnsiTheme="minorHAnsi" w:cstheme="minorHAnsi"/>
                <w:sz w:val="22"/>
                <w:szCs w:val="22"/>
              </w:rPr>
            </w:pPr>
            <w:r w:rsidRPr="00EB7757">
              <w:rPr>
                <w:rFonts w:asciiTheme="minorHAnsi" w:hAnsiTheme="minorHAnsi" w:cstheme="minorHAnsi"/>
                <w:color w:val="auto"/>
                <w:sz w:val="22"/>
                <w:szCs w:val="22"/>
              </w:rPr>
              <w:t>Batch quantity</w:t>
            </w:r>
          </w:p>
        </w:tc>
      </w:tr>
      <w:tr w:rsidR="00C22D61" w14:paraId="2D5BDC25" w14:textId="77777777" w:rsidTr="001B3FBB">
        <w:trPr>
          <w:trHeight w:val="2067"/>
        </w:trPr>
        <w:tc>
          <w:tcPr>
            <w:tcW w:w="1226" w:type="pct"/>
          </w:tcPr>
          <w:p w14:paraId="57B5E356" w14:textId="77777777" w:rsidR="00C22D61" w:rsidRPr="00EB7757" w:rsidRDefault="00C22D61" w:rsidP="001B3FBB">
            <w:pPr>
              <w:pStyle w:val="ListBullet"/>
              <w:rPr>
                <w:rFonts w:asciiTheme="minorHAnsi" w:hAnsiTheme="minorHAnsi" w:cstheme="minorHAnsi"/>
                <w:sz w:val="22"/>
                <w:szCs w:val="22"/>
              </w:rPr>
            </w:pPr>
            <w:r w:rsidRPr="00EB7757">
              <w:rPr>
                <w:rFonts w:asciiTheme="minorHAnsi" w:hAnsiTheme="minorHAnsi" w:cstheme="minorHAnsi"/>
                <w:sz w:val="22"/>
                <w:szCs w:val="22"/>
              </w:rPr>
              <w:t>Electricity</w:t>
            </w:r>
          </w:p>
          <w:p w14:paraId="77DF3D4B" w14:textId="77777777" w:rsidR="00C22D61" w:rsidRPr="00EB7757" w:rsidRDefault="00C22D61" w:rsidP="0079029D">
            <w:pPr>
              <w:pStyle w:val="ListParagraph"/>
              <w:numPr>
                <w:ilvl w:val="0"/>
                <w:numId w:val="5"/>
              </w:numPr>
              <w:spacing w:after="280"/>
              <w:ind w:left="0"/>
              <w:rPr>
                <w:rFonts w:asciiTheme="minorHAnsi" w:hAnsiTheme="minorHAnsi" w:cstheme="minorHAnsi"/>
                <w:sz w:val="22"/>
                <w:szCs w:val="22"/>
              </w:rPr>
            </w:pPr>
          </w:p>
        </w:tc>
        <w:tc>
          <w:tcPr>
            <w:tcW w:w="3678" w:type="pct"/>
          </w:tcPr>
          <w:p w14:paraId="28C41D44" w14:textId="77777777" w:rsidR="00E14A01" w:rsidRPr="00EB7757" w:rsidRDefault="00E14A01" w:rsidP="00E14A01">
            <w:pPr>
              <w:pStyle w:val="ListBullet"/>
              <w:rPr>
                <w:rFonts w:asciiTheme="minorHAnsi" w:hAnsiTheme="minorHAnsi" w:cstheme="minorHAnsi"/>
                <w:sz w:val="22"/>
                <w:szCs w:val="22"/>
              </w:rPr>
            </w:pPr>
            <w:r w:rsidRPr="00EB7757">
              <w:rPr>
                <w:rFonts w:asciiTheme="minorHAnsi" w:hAnsiTheme="minorHAnsi" w:cstheme="minorHAnsi"/>
                <w:sz w:val="22"/>
                <w:szCs w:val="22"/>
              </w:rPr>
              <w:t>Location based emissions accounting:</w:t>
            </w:r>
          </w:p>
          <w:p w14:paraId="06A37041" w14:textId="77777777" w:rsidR="00E14A01" w:rsidRPr="00EB7757" w:rsidRDefault="00E14A01" w:rsidP="00F048C7">
            <w:pPr>
              <w:pStyle w:val="ListBullet"/>
              <w:numPr>
                <w:ilvl w:val="0"/>
                <w:numId w:val="11"/>
              </w:numPr>
              <w:rPr>
                <w:rFonts w:asciiTheme="minorHAnsi" w:hAnsiTheme="minorHAnsi" w:cstheme="minorHAnsi"/>
                <w:sz w:val="22"/>
                <w:szCs w:val="22"/>
              </w:rPr>
            </w:pPr>
            <w:r w:rsidRPr="00EB7757">
              <w:rPr>
                <w:rFonts w:asciiTheme="minorHAnsi" w:hAnsiTheme="minorHAnsi" w:cstheme="minorHAnsi"/>
                <w:sz w:val="22"/>
                <w:szCs w:val="22"/>
              </w:rPr>
              <w:t>Quantity of purchased grid electricity [kWh]</w:t>
            </w:r>
          </w:p>
          <w:p w14:paraId="47162A15" w14:textId="77777777" w:rsidR="00E14A01" w:rsidRPr="00EB7757" w:rsidRDefault="00E14A01" w:rsidP="00F048C7">
            <w:pPr>
              <w:pStyle w:val="ListBullet"/>
              <w:numPr>
                <w:ilvl w:val="0"/>
                <w:numId w:val="11"/>
              </w:numPr>
              <w:rPr>
                <w:rFonts w:asciiTheme="minorHAnsi" w:hAnsiTheme="minorHAnsi" w:cstheme="minorHAnsi"/>
                <w:sz w:val="22"/>
                <w:szCs w:val="22"/>
              </w:rPr>
            </w:pPr>
            <w:r w:rsidRPr="00EB7757">
              <w:rPr>
                <w:rFonts w:asciiTheme="minorHAnsi" w:hAnsiTheme="minorHAnsi" w:cstheme="minorHAnsi"/>
                <w:sz w:val="22"/>
                <w:szCs w:val="22"/>
              </w:rPr>
              <w:t>Location based emission factor used [kgCO</w:t>
            </w:r>
            <w:r w:rsidRPr="00EB7757">
              <w:rPr>
                <w:rFonts w:asciiTheme="minorHAnsi" w:hAnsiTheme="minorHAnsi" w:cstheme="minorHAnsi"/>
                <w:sz w:val="22"/>
                <w:szCs w:val="22"/>
                <w:vertAlign w:val="subscript"/>
              </w:rPr>
              <w:t>2</w:t>
            </w:r>
            <w:r w:rsidRPr="00EB7757">
              <w:rPr>
                <w:rFonts w:asciiTheme="minorHAnsi" w:hAnsiTheme="minorHAnsi" w:cstheme="minorHAnsi"/>
                <w:sz w:val="22"/>
                <w:szCs w:val="22"/>
              </w:rPr>
              <w:t>-e/kWh]</w:t>
            </w:r>
          </w:p>
          <w:p w14:paraId="38593182" w14:textId="77777777" w:rsidR="00E14A01" w:rsidRPr="00EB7757" w:rsidRDefault="00E14A01" w:rsidP="00E14A01">
            <w:pPr>
              <w:pStyle w:val="ListBullet"/>
              <w:ind w:left="0" w:firstLine="0"/>
              <w:rPr>
                <w:rFonts w:asciiTheme="minorHAnsi" w:hAnsiTheme="minorHAnsi" w:cstheme="minorHAnsi"/>
                <w:sz w:val="22"/>
                <w:szCs w:val="22"/>
              </w:rPr>
            </w:pPr>
          </w:p>
          <w:p w14:paraId="50CD25D0" w14:textId="77777777" w:rsidR="00E14A01" w:rsidRPr="00EB7757" w:rsidRDefault="00E14A01" w:rsidP="00E14A01">
            <w:pPr>
              <w:pStyle w:val="ListBullet"/>
              <w:ind w:left="0" w:firstLine="0"/>
              <w:rPr>
                <w:rFonts w:asciiTheme="minorHAnsi" w:hAnsiTheme="minorHAnsi" w:cstheme="minorHAnsi"/>
                <w:sz w:val="22"/>
                <w:szCs w:val="22"/>
              </w:rPr>
            </w:pPr>
            <w:r w:rsidRPr="00EB7757">
              <w:rPr>
                <w:rFonts w:asciiTheme="minorHAnsi" w:hAnsiTheme="minorHAnsi" w:cstheme="minorHAnsi"/>
                <w:sz w:val="22"/>
                <w:szCs w:val="22"/>
              </w:rPr>
              <w:t>Market based emissions accounting</w:t>
            </w:r>
          </w:p>
          <w:p w14:paraId="69307161" w14:textId="77777777" w:rsidR="00E14A01" w:rsidRPr="00EB7757" w:rsidRDefault="00E14A01" w:rsidP="00F048C7">
            <w:pPr>
              <w:pStyle w:val="ListBullet"/>
              <w:numPr>
                <w:ilvl w:val="0"/>
                <w:numId w:val="12"/>
              </w:numPr>
              <w:rPr>
                <w:rFonts w:asciiTheme="minorHAnsi" w:hAnsiTheme="minorHAnsi" w:cstheme="minorHAnsi"/>
                <w:sz w:val="22"/>
                <w:szCs w:val="22"/>
              </w:rPr>
            </w:pPr>
            <w:r w:rsidRPr="00EB7757">
              <w:rPr>
                <w:rFonts w:asciiTheme="minorHAnsi" w:hAnsiTheme="minorHAnsi" w:cstheme="minorHAnsi"/>
                <w:sz w:val="22"/>
                <w:szCs w:val="22"/>
              </w:rPr>
              <w:t>Quantity of purchased grid electricity [kWh]</w:t>
            </w:r>
          </w:p>
          <w:p w14:paraId="027A87C2" w14:textId="77777777" w:rsidR="00E14A01" w:rsidRPr="00EB7757" w:rsidRDefault="00E14A01" w:rsidP="00F048C7">
            <w:pPr>
              <w:pStyle w:val="ListBullet"/>
              <w:numPr>
                <w:ilvl w:val="0"/>
                <w:numId w:val="12"/>
              </w:numPr>
              <w:rPr>
                <w:rFonts w:asciiTheme="minorHAnsi" w:hAnsiTheme="minorHAnsi" w:cstheme="minorHAnsi"/>
                <w:sz w:val="22"/>
                <w:szCs w:val="22"/>
              </w:rPr>
            </w:pPr>
            <w:r w:rsidRPr="00EB7757">
              <w:rPr>
                <w:rFonts w:asciiTheme="minorHAnsi" w:hAnsiTheme="minorHAnsi" w:cstheme="minorHAnsi"/>
                <w:sz w:val="22"/>
                <w:szCs w:val="22"/>
              </w:rPr>
              <w:t>Number of LGCs surrendered (through PPAs and/or GreenPower purchases</w:t>
            </w:r>
          </w:p>
          <w:p w14:paraId="31B6D812" w14:textId="77777777" w:rsidR="00E14A01" w:rsidRPr="00EB7757" w:rsidRDefault="00E14A01" w:rsidP="00F048C7">
            <w:pPr>
              <w:pStyle w:val="ListBullet"/>
              <w:numPr>
                <w:ilvl w:val="0"/>
                <w:numId w:val="12"/>
              </w:numPr>
              <w:rPr>
                <w:rFonts w:asciiTheme="minorHAnsi" w:hAnsiTheme="minorHAnsi" w:cstheme="minorHAnsi"/>
                <w:sz w:val="22"/>
                <w:szCs w:val="22"/>
              </w:rPr>
            </w:pPr>
            <w:r w:rsidRPr="00EB7757">
              <w:rPr>
                <w:rFonts w:asciiTheme="minorHAnsi" w:hAnsiTheme="minorHAnsi" w:cstheme="minorHAnsi"/>
                <w:sz w:val="22"/>
                <w:szCs w:val="22"/>
              </w:rPr>
              <w:t>Electricity consumption attributed to the LRET</w:t>
            </w:r>
          </w:p>
          <w:p w14:paraId="4E8C0607" w14:textId="77777777" w:rsidR="00E14A01" w:rsidRPr="00EB7757" w:rsidRDefault="00E14A01" w:rsidP="00F048C7">
            <w:pPr>
              <w:pStyle w:val="ListBullet"/>
              <w:numPr>
                <w:ilvl w:val="0"/>
                <w:numId w:val="12"/>
              </w:numPr>
              <w:rPr>
                <w:rFonts w:asciiTheme="minorHAnsi" w:hAnsiTheme="minorHAnsi" w:cstheme="minorHAnsi"/>
                <w:sz w:val="22"/>
                <w:szCs w:val="22"/>
              </w:rPr>
            </w:pPr>
            <w:r w:rsidRPr="00EB7757">
              <w:rPr>
                <w:rFonts w:asciiTheme="minorHAnsi" w:hAnsiTheme="minorHAnsi" w:cstheme="minorHAnsi"/>
                <w:sz w:val="22"/>
                <w:szCs w:val="22"/>
              </w:rPr>
              <w:t>Elect consumption attributable to jurisdictional renewable energy targets</w:t>
            </w:r>
          </w:p>
          <w:p w14:paraId="6CD02311" w14:textId="77777777" w:rsidR="00E14A01" w:rsidRPr="00EB7757" w:rsidRDefault="00E14A01" w:rsidP="00F048C7">
            <w:pPr>
              <w:pStyle w:val="ListBullet"/>
              <w:numPr>
                <w:ilvl w:val="0"/>
                <w:numId w:val="12"/>
              </w:numPr>
              <w:rPr>
                <w:rFonts w:asciiTheme="minorHAnsi" w:hAnsiTheme="minorHAnsi" w:cstheme="minorHAnsi"/>
                <w:sz w:val="22"/>
                <w:szCs w:val="22"/>
              </w:rPr>
            </w:pPr>
            <w:r w:rsidRPr="00EB7757">
              <w:rPr>
                <w:rFonts w:asciiTheme="minorHAnsi" w:hAnsiTheme="minorHAnsi" w:cstheme="minorHAnsi"/>
                <w:sz w:val="22"/>
                <w:szCs w:val="22"/>
              </w:rPr>
              <w:t>Residual electricity</w:t>
            </w:r>
          </w:p>
          <w:p w14:paraId="07DE2BEE" w14:textId="77777777" w:rsidR="00E14A01" w:rsidRPr="00EB7757" w:rsidRDefault="00E14A01" w:rsidP="00F048C7">
            <w:pPr>
              <w:pStyle w:val="ListBullet"/>
              <w:numPr>
                <w:ilvl w:val="0"/>
                <w:numId w:val="12"/>
              </w:numPr>
              <w:rPr>
                <w:rFonts w:asciiTheme="minorHAnsi" w:hAnsiTheme="minorHAnsi" w:cstheme="minorHAnsi"/>
                <w:sz w:val="22"/>
                <w:szCs w:val="22"/>
              </w:rPr>
            </w:pPr>
            <w:r w:rsidRPr="00EB7757">
              <w:rPr>
                <w:rFonts w:asciiTheme="minorHAnsi" w:hAnsiTheme="minorHAnsi" w:cstheme="minorHAnsi"/>
                <w:sz w:val="22"/>
                <w:szCs w:val="22"/>
              </w:rPr>
              <w:t>Residual mix emission factor [kgCO2-e/kWh]</w:t>
            </w:r>
          </w:p>
          <w:p w14:paraId="7147FA89" w14:textId="77777777" w:rsidR="00E14A01" w:rsidRPr="00EB7757" w:rsidRDefault="00E14A01" w:rsidP="00E14A01">
            <w:pPr>
              <w:pStyle w:val="ListBullet"/>
              <w:ind w:firstLine="0"/>
              <w:rPr>
                <w:rFonts w:asciiTheme="minorHAnsi" w:hAnsiTheme="minorHAnsi" w:cstheme="minorHAnsi"/>
                <w:sz w:val="22"/>
                <w:szCs w:val="22"/>
              </w:rPr>
            </w:pPr>
          </w:p>
          <w:p w14:paraId="716358FF" w14:textId="77777777" w:rsidR="00E14A01" w:rsidRPr="00EB7757" w:rsidRDefault="00E14A01" w:rsidP="00E14A01">
            <w:pPr>
              <w:pStyle w:val="ListBullet"/>
              <w:rPr>
                <w:rFonts w:asciiTheme="minorHAnsi" w:hAnsiTheme="minorHAnsi" w:cstheme="minorHAnsi"/>
                <w:sz w:val="22"/>
                <w:szCs w:val="22"/>
              </w:rPr>
            </w:pPr>
            <w:r w:rsidRPr="00EB7757">
              <w:rPr>
                <w:rFonts w:asciiTheme="minorHAnsi" w:hAnsiTheme="minorHAnsi" w:cstheme="minorHAnsi"/>
                <w:sz w:val="22"/>
                <w:szCs w:val="22"/>
              </w:rPr>
              <w:t>On-site electricity generation</w:t>
            </w:r>
          </w:p>
          <w:p w14:paraId="0B5A18F7" w14:textId="77777777" w:rsidR="00E14A01" w:rsidRPr="00EB7757" w:rsidRDefault="00E14A01" w:rsidP="00EB7757">
            <w:pPr>
              <w:pStyle w:val="ListBullet"/>
              <w:numPr>
                <w:ilvl w:val="0"/>
                <w:numId w:val="12"/>
              </w:numPr>
              <w:rPr>
                <w:rFonts w:asciiTheme="minorHAnsi" w:hAnsiTheme="minorHAnsi" w:cstheme="minorHAnsi"/>
                <w:sz w:val="22"/>
                <w:szCs w:val="22"/>
              </w:rPr>
            </w:pPr>
            <w:r w:rsidRPr="00EB7757">
              <w:rPr>
                <w:rFonts w:asciiTheme="minorHAnsi" w:hAnsiTheme="minorHAnsi" w:cstheme="minorHAnsi"/>
                <w:sz w:val="22"/>
                <w:szCs w:val="22"/>
              </w:rPr>
              <w:t>Quantity of on-site generation [kWh]</w:t>
            </w:r>
          </w:p>
          <w:p w14:paraId="2A2A21B5" w14:textId="163F849B" w:rsidR="00C22D61" w:rsidRPr="00EB7757" w:rsidRDefault="00E14A01" w:rsidP="00EB7757">
            <w:pPr>
              <w:pStyle w:val="ListBullet"/>
              <w:numPr>
                <w:ilvl w:val="0"/>
                <w:numId w:val="12"/>
              </w:numPr>
              <w:rPr>
                <w:rFonts w:asciiTheme="minorHAnsi" w:hAnsiTheme="minorHAnsi" w:cstheme="minorHAnsi"/>
                <w:sz w:val="22"/>
                <w:szCs w:val="22"/>
              </w:rPr>
            </w:pPr>
            <w:r w:rsidRPr="00EB7757">
              <w:rPr>
                <w:rFonts w:asciiTheme="minorHAnsi" w:hAnsiTheme="minorHAnsi" w:cstheme="minorHAnsi"/>
                <w:sz w:val="22"/>
                <w:szCs w:val="22"/>
              </w:rPr>
              <w:t>Emission factor for on-site generation (as applicable) [kgCO2-e/kWh]</w:t>
            </w:r>
          </w:p>
        </w:tc>
      </w:tr>
      <w:tr w:rsidR="00C22D61" w14:paraId="16F6DE06" w14:textId="77777777" w:rsidTr="001B3FBB">
        <w:trPr>
          <w:trHeight w:val="1718"/>
        </w:trPr>
        <w:tc>
          <w:tcPr>
            <w:tcW w:w="0" w:type="pct"/>
          </w:tcPr>
          <w:p w14:paraId="3819448B" w14:textId="77777777" w:rsidR="00C22D61" w:rsidRPr="00EB7757" w:rsidRDefault="00C22D61" w:rsidP="0079029D">
            <w:pPr>
              <w:pStyle w:val="ListParagraph"/>
              <w:numPr>
                <w:ilvl w:val="0"/>
                <w:numId w:val="5"/>
              </w:numPr>
              <w:spacing w:after="280"/>
              <w:ind w:left="0"/>
              <w:rPr>
                <w:rFonts w:asciiTheme="minorHAnsi" w:hAnsiTheme="minorHAnsi" w:cstheme="minorHAnsi"/>
                <w:sz w:val="22"/>
                <w:szCs w:val="22"/>
              </w:rPr>
            </w:pPr>
            <w:r w:rsidRPr="00EB7757">
              <w:rPr>
                <w:rFonts w:asciiTheme="minorHAnsi" w:hAnsiTheme="minorHAnsi" w:cstheme="minorHAnsi"/>
                <w:sz w:val="22"/>
                <w:szCs w:val="22"/>
              </w:rPr>
              <w:t>Other utilities</w:t>
            </w:r>
          </w:p>
        </w:tc>
        <w:tc>
          <w:tcPr>
            <w:tcW w:w="0" w:type="pct"/>
          </w:tcPr>
          <w:p w14:paraId="3C675ED0" w14:textId="77777777" w:rsidR="00C22D61" w:rsidRPr="00EB7757" w:rsidRDefault="00C22D61" w:rsidP="001B3FBB">
            <w:pPr>
              <w:pStyle w:val="ListBullet"/>
              <w:rPr>
                <w:rFonts w:asciiTheme="minorHAnsi" w:hAnsiTheme="minorHAnsi" w:cstheme="minorHAnsi"/>
                <w:sz w:val="22"/>
                <w:szCs w:val="22"/>
              </w:rPr>
            </w:pPr>
            <w:r w:rsidRPr="00EB7757">
              <w:rPr>
                <w:rFonts w:asciiTheme="minorHAnsi" w:hAnsiTheme="minorHAnsi" w:cstheme="minorHAnsi"/>
                <w:sz w:val="22"/>
                <w:szCs w:val="22"/>
              </w:rPr>
              <w:t>Source/s of water</w:t>
            </w:r>
          </w:p>
          <w:p w14:paraId="64AD34FE" w14:textId="77777777" w:rsidR="00C22D61" w:rsidRPr="00EB7757" w:rsidRDefault="00C22D61" w:rsidP="001B3FBB">
            <w:pPr>
              <w:pStyle w:val="ListBullet"/>
              <w:rPr>
                <w:rFonts w:asciiTheme="minorHAnsi" w:hAnsiTheme="minorHAnsi" w:cstheme="minorHAnsi"/>
                <w:sz w:val="22"/>
                <w:szCs w:val="22"/>
              </w:rPr>
            </w:pPr>
            <w:r w:rsidRPr="00EB7757">
              <w:rPr>
                <w:rFonts w:asciiTheme="minorHAnsi" w:hAnsiTheme="minorHAnsi" w:cstheme="minorHAnsi"/>
                <w:sz w:val="22"/>
                <w:szCs w:val="22"/>
              </w:rPr>
              <w:t>Source/s of steam</w:t>
            </w:r>
          </w:p>
          <w:p w14:paraId="63D6CF89" w14:textId="77777777" w:rsidR="00C22D61" w:rsidRPr="00EB7757" w:rsidRDefault="00C22D61" w:rsidP="001B3FBB">
            <w:pPr>
              <w:pStyle w:val="ListBullet"/>
              <w:rPr>
                <w:rFonts w:asciiTheme="minorHAnsi" w:hAnsiTheme="minorHAnsi" w:cstheme="minorHAnsi"/>
                <w:sz w:val="22"/>
                <w:szCs w:val="22"/>
              </w:rPr>
            </w:pPr>
            <w:r w:rsidRPr="00EB7757">
              <w:rPr>
                <w:rFonts w:asciiTheme="minorHAnsi" w:hAnsiTheme="minorHAnsi" w:cstheme="minorHAnsi"/>
                <w:sz w:val="22"/>
                <w:szCs w:val="22"/>
              </w:rPr>
              <w:t>Quantity of purchased water [kg]</w:t>
            </w:r>
          </w:p>
          <w:p w14:paraId="42E49DC0" w14:textId="77777777" w:rsidR="00C22D61" w:rsidRPr="00EB7757" w:rsidRDefault="00C22D61" w:rsidP="001B3FBB">
            <w:pPr>
              <w:pStyle w:val="ListBullet"/>
              <w:rPr>
                <w:rFonts w:asciiTheme="minorHAnsi" w:hAnsiTheme="minorHAnsi" w:cstheme="minorHAnsi"/>
                <w:sz w:val="22"/>
                <w:szCs w:val="22"/>
              </w:rPr>
            </w:pPr>
            <w:r w:rsidRPr="00EB7757">
              <w:rPr>
                <w:rFonts w:asciiTheme="minorHAnsi" w:hAnsiTheme="minorHAnsi" w:cstheme="minorHAnsi"/>
                <w:sz w:val="22"/>
                <w:szCs w:val="22"/>
              </w:rPr>
              <w:t>Quantity of purchased steam [kg]</w:t>
            </w:r>
          </w:p>
          <w:p w14:paraId="5784A691" w14:textId="77777777" w:rsidR="00C22D61" w:rsidRPr="00EB7757" w:rsidRDefault="00C22D61" w:rsidP="001B3FBB">
            <w:pPr>
              <w:pStyle w:val="ListBullet"/>
              <w:rPr>
                <w:rFonts w:asciiTheme="minorHAnsi" w:hAnsiTheme="minorHAnsi" w:cstheme="minorHAnsi"/>
                <w:sz w:val="22"/>
                <w:szCs w:val="22"/>
              </w:rPr>
            </w:pPr>
            <w:r w:rsidRPr="00EB7757">
              <w:rPr>
                <w:rFonts w:asciiTheme="minorHAnsi" w:hAnsiTheme="minorHAnsi" w:cstheme="minorHAnsi"/>
                <w:color w:val="auto"/>
                <w:sz w:val="22"/>
                <w:szCs w:val="22"/>
              </w:rPr>
              <w:t>Quantity of steam exported [kg]</w:t>
            </w:r>
          </w:p>
        </w:tc>
      </w:tr>
      <w:tr w:rsidR="00C22D61" w14:paraId="7004EAD2" w14:textId="77777777" w:rsidTr="001B3FBB">
        <w:trPr>
          <w:trHeight w:val="1187"/>
        </w:trPr>
        <w:tc>
          <w:tcPr>
            <w:tcW w:w="0" w:type="pct"/>
          </w:tcPr>
          <w:p w14:paraId="17B03B63" w14:textId="77777777" w:rsidR="00C22D61" w:rsidRPr="00EB7757" w:rsidRDefault="00C22D61" w:rsidP="0079029D">
            <w:pPr>
              <w:pStyle w:val="ListParagraph"/>
              <w:numPr>
                <w:ilvl w:val="0"/>
                <w:numId w:val="5"/>
              </w:numPr>
              <w:spacing w:after="280"/>
              <w:ind w:left="0"/>
              <w:rPr>
                <w:rFonts w:asciiTheme="minorHAnsi" w:hAnsiTheme="minorHAnsi" w:cstheme="minorHAnsi"/>
                <w:sz w:val="22"/>
                <w:szCs w:val="22"/>
              </w:rPr>
            </w:pPr>
            <w:r w:rsidRPr="00EB7757">
              <w:rPr>
                <w:rFonts w:asciiTheme="minorHAnsi" w:hAnsiTheme="minorHAnsi" w:cstheme="minorHAnsi"/>
                <w:sz w:val="22"/>
                <w:szCs w:val="22"/>
              </w:rPr>
              <w:t>Fuel feedstock</w:t>
            </w:r>
          </w:p>
        </w:tc>
        <w:tc>
          <w:tcPr>
            <w:tcW w:w="0" w:type="pct"/>
          </w:tcPr>
          <w:p w14:paraId="5EE30913" w14:textId="77777777" w:rsidR="00C22D61" w:rsidRPr="00EB7757" w:rsidRDefault="00C22D61" w:rsidP="001B3FBB">
            <w:pPr>
              <w:pStyle w:val="ListBullet"/>
              <w:rPr>
                <w:rFonts w:asciiTheme="minorHAnsi" w:hAnsiTheme="minorHAnsi" w:cstheme="minorHAnsi"/>
                <w:sz w:val="22"/>
                <w:szCs w:val="22"/>
              </w:rPr>
            </w:pPr>
            <w:r w:rsidRPr="00EB7757">
              <w:rPr>
                <w:rFonts w:asciiTheme="minorHAnsi" w:hAnsiTheme="minorHAnsi" w:cstheme="minorHAnsi"/>
                <w:sz w:val="22"/>
                <w:szCs w:val="22"/>
              </w:rPr>
              <w:t>Types of fuels combusted</w:t>
            </w:r>
          </w:p>
          <w:p w14:paraId="46DFFC03" w14:textId="77777777" w:rsidR="00C22D61" w:rsidRPr="00EB7757" w:rsidRDefault="00C22D61" w:rsidP="001B3FBB">
            <w:pPr>
              <w:pStyle w:val="ListBullet"/>
              <w:rPr>
                <w:rFonts w:asciiTheme="minorHAnsi" w:hAnsiTheme="minorHAnsi" w:cstheme="minorHAnsi"/>
                <w:sz w:val="22"/>
                <w:szCs w:val="22"/>
              </w:rPr>
            </w:pPr>
            <w:r w:rsidRPr="00EB7757">
              <w:rPr>
                <w:rFonts w:asciiTheme="minorHAnsi" w:hAnsiTheme="minorHAnsi" w:cstheme="minorHAnsi"/>
                <w:sz w:val="22"/>
                <w:szCs w:val="22"/>
              </w:rPr>
              <w:t>Quantities of fuel combusted [L, kg]</w:t>
            </w:r>
          </w:p>
          <w:p w14:paraId="19D3DE54" w14:textId="7FE241C2" w:rsidR="00C22D61" w:rsidRPr="00EB7757" w:rsidRDefault="00C22D61" w:rsidP="00C22D61">
            <w:pPr>
              <w:pStyle w:val="ListBullet"/>
              <w:rPr>
                <w:rFonts w:asciiTheme="minorHAnsi" w:hAnsiTheme="minorHAnsi" w:cstheme="minorHAnsi"/>
                <w:sz w:val="22"/>
                <w:szCs w:val="22"/>
              </w:rPr>
            </w:pPr>
            <w:r w:rsidRPr="00EB7757">
              <w:rPr>
                <w:rFonts w:asciiTheme="minorHAnsi" w:hAnsiTheme="minorHAnsi" w:cstheme="minorHAnsi"/>
                <w:color w:val="auto"/>
                <w:sz w:val="22"/>
                <w:szCs w:val="22"/>
              </w:rPr>
              <w:t xml:space="preserve">Relevant emissions calculations or factors used </w:t>
            </w:r>
          </w:p>
        </w:tc>
      </w:tr>
      <w:tr w:rsidR="00C22D61" w14:paraId="26FCD346" w14:textId="77777777" w:rsidTr="001B3FBB">
        <w:trPr>
          <w:trHeight w:val="2067"/>
        </w:trPr>
        <w:tc>
          <w:tcPr>
            <w:tcW w:w="1226" w:type="pct"/>
          </w:tcPr>
          <w:p w14:paraId="07B15DDF" w14:textId="77777777" w:rsidR="00C22D61" w:rsidRPr="00EB7757" w:rsidRDefault="00C22D61" w:rsidP="0079029D">
            <w:pPr>
              <w:pStyle w:val="ListParagraph"/>
              <w:numPr>
                <w:ilvl w:val="0"/>
                <w:numId w:val="5"/>
              </w:numPr>
              <w:spacing w:after="280"/>
              <w:ind w:left="0"/>
              <w:rPr>
                <w:rFonts w:asciiTheme="minorHAnsi" w:hAnsiTheme="minorHAnsi" w:cstheme="minorHAnsi"/>
                <w:sz w:val="22"/>
                <w:szCs w:val="22"/>
              </w:rPr>
            </w:pPr>
            <w:r w:rsidRPr="00EB7757">
              <w:rPr>
                <w:rFonts w:asciiTheme="minorHAnsi" w:hAnsiTheme="minorHAnsi" w:cstheme="minorHAnsi"/>
                <w:sz w:val="22"/>
                <w:szCs w:val="22"/>
              </w:rPr>
              <w:t>Process</w:t>
            </w:r>
          </w:p>
        </w:tc>
        <w:tc>
          <w:tcPr>
            <w:tcW w:w="3678" w:type="pct"/>
          </w:tcPr>
          <w:p w14:paraId="3A6AF6EC" w14:textId="77777777" w:rsidR="00C22D61" w:rsidRPr="00EB7757" w:rsidRDefault="00C22D61" w:rsidP="001B3FBB">
            <w:pPr>
              <w:pStyle w:val="ListBullet"/>
              <w:rPr>
                <w:rFonts w:asciiTheme="minorHAnsi" w:hAnsiTheme="minorHAnsi" w:cstheme="minorHAnsi"/>
                <w:sz w:val="22"/>
                <w:szCs w:val="22"/>
              </w:rPr>
            </w:pPr>
            <w:r w:rsidRPr="00EB7757">
              <w:rPr>
                <w:rFonts w:asciiTheme="minorHAnsi" w:hAnsiTheme="minorHAnsi" w:cstheme="minorHAnsi"/>
                <w:sz w:val="22"/>
                <w:szCs w:val="22"/>
              </w:rPr>
              <w:t>Sulphur removal technology</w:t>
            </w:r>
          </w:p>
          <w:p w14:paraId="348F9D71" w14:textId="77777777" w:rsidR="00C22D61" w:rsidRPr="00EB7757" w:rsidRDefault="00C22D61" w:rsidP="001B3FBB">
            <w:pPr>
              <w:pStyle w:val="ListBullet"/>
              <w:rPr>
                <w:rFonts w:asciiTheme="minorHAnsi" w:hAnsiTheme="minorHAnsi" w:cstheme="minorHAnsi"/>
                <w:sz w:val="22"/>
                <w:szCs w:val="22"/>
              </w:rPr>
            </w:pPr>
            <w:r w:rsidRPr="00EB7757">
              <w:rPr>
                <w:rFonts w:asciiTheme="minorHAnsi" w:hAnsiTheme="minorHAnsi" w:cstheme="minorHAnsi"/>
                <w:sz w:val="22"/>
                <w:szCs w:val="22"/>
              </w:rPr>
              <w:t>Syngas purification technology</w:t>
            </w:r>
          </w:p>
          <w:p w14:paraId="0497CC80" w14:textId="77777777" w:rsidR="00C22D61" w:rsidRPr="00EB7757" w:rsidRDefault="00C22D61" w:rsidP="001B3FBB">
            <w:pPr>
              <w:pStyle w:val="ListBullet"/>
              <w:rPr>
                <w:rFonts w:asciiTheme="minorHAnsi" w:hAnsiTheme="minorHAnsi" w:cstheme="minorHAnsi"/>
                <w:sz w:val="22"/>
                <w:szCs w:val="22"/>
              </w:rPr>
            </w:pPr>
            <w:r w:rsidRPr="00EB7757">
              <w:rPr>
                <w:rFonts w:asciiTheme="minorHAnsi" w:hAnsiTheme="minorHAnsi" w:cstheme="minorHAnsi"/>
                <w:sz w:val="22"/>
                <w:szCs w:val="22"/>
              </w:rPr>
              <w:t>Sulphur waste gas processing technology (if applicable)</w:t>
            </w:r>
          </w:p>
          <w:p w14:paraId="4E8CF2D0" w14:textId="77777777" w:rsidR="00C22D61" w:rsidRPr="00EB7757" w:rsidRDefault="00C22D61" w:rsidP="001B3FBB">
            <w:pPr>
              <w:pStyle w:val="ListBullet"/>
              <w:rPr>
                <w:rFonts w:asciiTheme="minorHAnsi" w:hAnsiTheme="minorHAnsi" w:cstheme="minorHAnsi"/>
                <w:sz w:val="22"/>
                <w:szCs w:val="22"/>
              </w:rPr>
            </w:pPr>
            <w:r w:rsidRPr="00EB7757">
              <w:rPr>
                <w:rFonts w:asciiTheme="minorHAnsi" w:hAnsiTheme="minorHAnsi" w:cstheme="minorHAnsi"/>
                <w:sz w:val="22"/>
                <w:szCs w:val="22"/>
              </w:rPr>
              <w:t>Quantity and type of vented GHG gases (includes flue gas) [kg]</w:t>
            </w:r>
          </w:p>
          <w:p w14:paraId="104BE4C4" w14:textId="77777777" w:rsidR="00C22D61" w:rsidRPr="00EB7757" w:rsidRDefault="00C22D61" w:rsidP="001B3FBB">
            <w:pPr>
              <w:pStyle w:val="ListBullet"/>
              <w:rPr>
                <w:rFonts w:asciiTheme="minorHAnsi" w:hAnsiTheme="minorHAnsi" w:cstheme="minorHAnsi"/>
                <w:sz w:val="22"/>
                <w:szCs w:val="22"/>
              </w:rPr>
            </w:pPr>
            <w:r w:rsidRPr="00EB7757">
              <w:rPr>
                <w:rFonts w:asciiTheme="minorHAnsi" w:hAnsiTheme="minorHAnsi" w:cstheme="minorHAnsi"/>
                <w:sz w:val="22"/>
                <w:szCs w:val="22"/>
              </w:rPr>
              <w:t>Quantity and type of flared GHG gases (includes flue gas) [kg]</w:t>
            </w:r>
          </w:p>
          <w:p w14:paraId="4A93E674" w14:textId="77777777" w:rsidR="00C22D61" w:rsidRPr="00EB7757" w:rsidRDefault="00C22D61" w:rsidP="001B3FBB">
            <w:pPr>
              <w:pStyle w:val="ListBullet"/>
              <w:rPr>
                <w:rFonts w:asciiTheme="minorHAnsi" w:hAnsiTheme="minorHAnsi" w:cstheme="minorHAnsi"/>
                <w:sz w:val="22"/>
                <w:szCs w:val="22"/>
              </w:rPr>
            </w:pPr>
            <w:r w:rsidRPr="00EB7757">
              <w:rPr>
                <w:rFonts w:asciiTheme="minorHAnsi" w:hAnsiTheme="minorHAnsi" w:cstheme="minorHAnsi"/>
                <w:sz w:val="22"/>
                <w:szCs w:val="22"/>
              </w:rPr>
              <w:t>Technology for monitoring fugitives from CO</w:t>
            </w:r>
            <w:r w:rsidRPr="00EB7757">
              <w:rPr>
                <w:rFonts w:asciiTheme="minorHAnsi" w:hAnsiTheme="minorHAnsi" w:cstheme="minorHAnsi"/>
                <w:sz w:val="22"/>
                <w:szCs w:val="22"/>
                <w:vertAlign w:val="subscript"/>
              </w:rPr>
              <w:t>2</w:t>
            </w:r>
            <w:r w:rsidRPr="00EB7757">
              <w:rPr>
                <w:rFonts w:asciiTheme="minorHAnsi" w:hAnsiTheme="minorHAnsi" w:cstheme="minorHAnsi"/>
                <w:sz w:val="22"/>
                <w:szCs w:val="22"/>
              </w:rPr>
              <w:t xml:space="preserve"> storage </w:t>
            </w:r>
          </w:p>
        </w:tc>
      </w:tr>
      <w:tr w:rsidR="00C22D61" w14:paraId="2ED9AEDA" w14:textId="77777777" w:rsidTr="001B3FBB">
        <w:trPr>
          <w:trHeight w:val="1049"/>
        </w:trPr>
        <w:tc>
          <w:tcPr>
            <w:tcW w:w="1226" w:type="pct"/>
          </w:tcPr>
          <w:p w14:paraId="4C41E3D2" w14:textId="77777777" w:rsidR="00C22D61" w:rsidRPr="00EB7757" w:rsidRDefault="00C22D61" w:rsidP="001B3FBB">
            <w:pPr>
              <w:pStyle w:val="ListBullet"/>
              <w:ind w:left="0" w:firstLine="0"/>
              <w:rPr>
                <w:rFonts w:asciiTheme="minorHAnsi" w:hAnsiTheme="minorHAnsi" w:cstheme="minorHAnsi"/>
                <w:sz w:val="22"/>
                <w:szCs w:val="22"/>
              </w:rPr>
            </w:pPr>
            <w:r w:rsidRPr="00EB7757">
              <w:rPr>
                <w:rFonts w:asciiTheme="minorHAnsi" w:hAnsiTheme="minorHAnsi" w:cstheme="minorHAnsi"/>
                <w:sz w:val="22"/>
                <w:szCs w:val="22"/>
              </w:rPr>
              <w:t>Natural gas feedstock</w:t>
            </w:r>
          </w:p>
        </w:tc>
        <w:tc>
          <w:tcPr>
            <w:tcW w:w="3678" w:type="pct"/>
          </w:tcPr>
          <w:p w14:paraId="16CDBC65" w14:textId="77777777" w:rsidR="00C22D61" w:rsidRPr="00EB7757" w:rsidRDefault="00C22D61" w:rsidP="001B3FBB">
            <w:pPr>
              <w:pStyle w:val="ListBullet"/>
              <w:rPr>
                <w:rFonts w:asciiTheme="minorHAnsi" w:hAnsiTheme="minorHAnsi" w:cstheme="minorHAnsi"/>
                <w:sz w:val="22"/>
                <w:szCs w:val="22"/>
              </w:rPr>
            </w:pPr>
            <w:r w:rsidRPr="00EB7757">
              <w:rPr>
                <w:rFonts w:asciiTheme="minorHAnsi" w:hAnsiTheme="minorHAnsi" w:cstheme="minorHAnsi"/>
                <w:sz w:val="22"/>
                <w:szCs w:val="22"/>
              </w:rPr>
              <w:t>Quantity of natural gas used for reforming reactions [kg]</w:t>
            </w:r>
          </w:p>
          <w:p w14:paraId="6DC11EA5" w14:textId="77777777" w:rsidR="00C22D61" w:rsidRPr="00EB7757" w:rsidRDefault="00C22D61" w:rsidP="001B3FBB">
            <w:pPr>
              <w:pStyle w:val="ListBullet"/>
              <w:rPr>
                <w:rFonts w:asciiTheme="minorHAnsi" w:hAnsiTheme="minorHAnsi" w:cstheme="minorHAnsi"/>
                <w:sz w:val="22"/>
                <w:szCs w:val="22"/>
              </w:rPr>
            </w:pPr>
            <w:r w:rsidRPr="00EB7757">
              <w:rPr>
                <w:rFonts w:asciiTheme="minorHAnsi" w:hAnsiTheme="minorHAnsi" w:cstheme="minorHAnsi"/>
                <w:sz w:val="22"/>
                <w:szCs w:val="22"/>
              </w:rPr>
              <w:t>Quantity of natural gas used for heating [kg]</w:t>
            </w:r>
          </w:p>
          <w:p w14:paraId="24C18360" w14:textId="77777777" w:rsidR="00C22D61" w:rsidRPr="00EB7757" w:rsidRDefault="00C22D61" w:rsidP="001B3FBB">
            <w:pPr>
              <w:pStyle w:val="ListBullet"/>
              <w:rPr>
                <w:rFonts w:asciiTheme="minorHAnsi" w:hAnsiTheme="minorHAnsi" w:cstheme="minorHAnsi"/>
                <w:sz w:val="22"/>
                <w:szCs w:val="22"/>
              </w:rPr>
            </w:pPr>
            <w:r w:rsidRPr="00EB7757">
              <w:rPr>
                <w:rFonts w:asciiTheme="minorHAnsi" w:hAnsiTheme="minorHAnsi" w:cstheme="minorHAnsi"/>
                <w:sz w:val="22"/>
                <w:szCs w:val="22"/>
              </w:rPr>
              <w:t>Embodied emission factor for natural gas [kgCO</w:t>
            </w:r>
            <w:r w:rsidRPr="00EB7757">
              <w:rPr>
                <w:rFonts w:asciiTheme="minorHAnsi" w:hAnsiTheme="minorHAnsi" w:cstheme="minorHAnsi"/>
                <w:sz w:val="22"/>
                <w:szCs w:val="22"/>
                <w:vertAlign w:val="subscript"/>
              </w:rPr>
              <w:t>2</w:t>
            </w:r>
            <w:r w:rsidRPr="00EB7757">
              <w:rPr>
                <w:rFonts w:asciiTheme="minorHAnsi" w:hAnsiTheme="minorHAnsi" w:cstheme="minorHAnsi"/>
                <w:sz w:val="22"/>
                <w:szCs w:val="22"/>
              </w:rPr>
              <w:t>-e/kg]  (derived from primary and secondary data, provided by supplier or sourced from relevant source i.e. NGA Factors)</w:t>
            </w:r>
            <w:r w:rsidRPr="00EB7757">
              <w:rPr>
                <w:rStyle w:val="FootnoteReference"/>
                <w:rFonts w:asciiTheme="minorHAnsi" w:hAnsiTheme="minorHAnsi" w:cstheme="minorHAnsi"/>
                <w:sz w:val="22"/>
                <w:szCs w:val="22"/>
              </w:rPr>
              <w:footnoteReference w:id="13"/>
            </w:r>
          </w:p>
        </w:tc>
      </w:tr>
      <w:tr w:rsidR="00C22D61" w14:paraId="51FA73CC" w14:textId="77777777" w:rsidTr="001B3FBB">
        <w:trPr>
          <w:trHeight w:val="573"/>
        </w:trPr>
        <w:tc>
          <w:tcPr>
            <w:tcW w:w="1226" w:type="pct"/>
          </w:tcPr>
          <w:p w14:paraId="7015A4C7" w14:textId="77777777" w:rsidR="00C22D61" w:rsidRPr="00EB7757" w:rsidRDefault="00C22D61" w:rsidP="001B3FBB">
            <w:pPr>
              <w:pStyle w:val="ListBullet"/>
              <w:ind w:left="0" w:firstLine="0"/>
              <w:rPr>
                <w:rFonts w:asciiTheme="minorHAnsi" w:hAnsiTheme="minorHAnsi" w:cstheme="minorHAnsi"/>
                <w:sz w:val="22"/>
                <w:szCs w:val="22"/>
              </w:rPr>
            </w:pPr>
            <w:r w:rsidRPr="00EB7757">
              <w:rPr>
                <w:rFonts w:asciiTheme="minorHAnsi" w:hAnsiTheme="minorHAnsi" w:cstheme="minorHAnsi"/>
                <w:sz w:val="22"/>
                <w:szCs w:val="22"/>
              </w:rPr>
              <w:t>Carbon dioxide treatment</w:t>
            </w:r>
          </w:p>
        </w:tc>
        <w:tc>
          <w:tcPr>
            <w:tcW w:w="3678" w:type="pct"/>
          </w:tcPr>
          <w:p w14:paraId="095F605B" w14:textId="77777777" w:rsidR="00C22D61" w:rsidRPr="00EB7757" w:rsidRDefault="00C22D61" w:rsidP="001B3FBB">
            <w:pPr>
              <w:pStyle w:val="ListBullet"/>
              <w:rPr>
                <w:rFonts w:asciiTheme="minorHAnsi" w:hAnsiTheme="minorHAnsi" w:cstheme="minorHAnsi"/>
                <w:sz w:val="22"/>
                <w:szCs w:val="22"/>
              </w:rPr>
            </w:pPr>
            <w:r w:rsidRPr="00EB7757">
              <w:rPr>
                <w:rFonts w:asciiTheme="minorHAnsi" w:hAnsiTheme="minorHAnsi" w:cstheme="minorHAnsi"/>
                <w:sz w:val="22"/>
                <w:szCs w:val="22"/>
              </w:rPr>
              <w:t>Type of CO</w:t>
            </w:r>
            <w:r w:rsidRPr="00EB7757">
              <w:rPr>
                <w:rFonts w:asciiTheme="minorHAnsi" w:hAnsiTheme="minorHAnsi" w:cstheme="minorHAnsi"/>
                <w:sz w:val="22"/>
                <w:szCs w:val="22"/>
                <w:vertAlign w:val="subscript"/>
              </w:rPr>
              <w:t>2</w:t>
            </w:r>
            <w:r w:rsidRPr="00EB7757">
              <w:rPr>
                <w:rFonts w:asciiTheme="minorHAnsi" w:hAnsiTheme="minorHAnsi" w:cstheme="minorHAnsi"/>
                <w:sz w:val="22"/>
                <w:szCs w:val="22"/>
              </w:rPr>
              <w:t xml:space="preserve"> storage</w:t>
            </w:r>
          </w:p>
          <w:p w14:paraId="2B00327D" w14:textId="77777777" w:rsidR="00C22D61" w:rsidRPr="00EB7757" w:rsidRDefault="00C22D61" w:rsidP="001B3FBB">
            <w:pPr>
              <w:pStyle w:val="ListBullet"/>
              <w:rPr>
                <w:rFonts w:asciiTheme="minorHAnsi" w:hAnsiTheme="minorHAnsi" w:cstheme="minorHAnsi"/>
                <w:sz w:val="22"/>
                <w:szCs w:val="22"/>
              </w:rPr>
            </w:pPr>
            <w:r w:rsidRPr="00EB7757">
              <w:rPr>
                <w:rFonts w:asciiTheme="minorHAnsi" w:hAnsiTheme="minorHAnsi" w:cstheme="minorHAnsi"/>
                <w:sz w:val="22"/>
                <w:szCs w:val="22"/>
              </w:rPr>
              <w:t>Location of CO</w:t>
            </w:r>
            <w:r w:rsidRPr="00EB7757">
              <w:rPr>
                <w:rFonts w:asciiTheme="minorHAnsi" w:hAnsiTheme="minorHAnsi" w:cstheme="minorHAnsi"/>
                <w:sz w:val="22"/>
                <w:szCs w:val="22"/>
                <w:vertAlign w:val="subscript"/>
              </w:rPr>
              <w:t>2</w:t>
            </w:r>
            <w:r w:rsidRPr="00EB7757">
              <w:rPr>
                <w:rFonts w:asciiTheme="minorHAnsi" w:hAnsiTheme="minorHAnsi" w:cstheme="minorHAnsi"/>
                <w:sz w:val="22"/>
                <w:szCs w:val="22"/>
              </w:rPr>
              <w:t xml:space="preserve"> storage</w:t>
            </w:r>
          </w:p>
          <w:p w14:paraId="419DBE6D" w14:textId="77777777" w:rsidR="00C22D61" w:rsidRPr="00EB7757" w:rsidRDefault="00C22D61" w:rsidP="001B3FBB">
            <w:pPr>
              <w:pStyle w:val="ListBullet"/>
              <w:rPr>
                <w:rFonts w:asciiTheme="minorHAnsi" w:hAnsiTheme="minorHAnsi" w:cstheme="minorHAnsi"/>
                <w:sz w:val="22"/>
                <w:szCs w:val="22"/>
              </w:rPr>
            </w:pPr>
            <w:r w:rsidRPr="00EB7757">
              <w:rPr>
                <w:rFonts w:asciiTheme="minorHAnsi" w:hAnsiTheme="minorHAnsi" w:cstheme="minorHAnsi"/>
                <w:sz w:val="22"/>
                <w:szCs w:val="22"/>
              </w:rPr>
              <w:t>Transport type of CO</w:t>
            </w:r>
            <w:r w:rsidRPr="00EB7757">
              <w:rPr>
                <w:rFonts w:asciiTheme="minorHAnsi" w:hAnsiTheme="minorHAnsi" w:cstheme="minorHAnsi"/>
                <w:sz w:val="22"/>
                <w:szCs w:val="22"/>
                <w:vertAlign w:val="subscript"/>
              </w:rPr>
              <w:t>2</w:t>
            </w:r>
            <w:r w:rsidRPr="00EB7757">
              <w:rPr>
                <w:rFonts w:asciiTheme="minorHAnsi" w:hAnsiTheme="minorHAnsi" w:cstheme="minorHAnsi"/>
                <w:sz w:val="22"/>
                <w:szCs w:val="22"/>
              </w:rPr>
              <w:t xml:space="preserve"> to storage location (if applicable)</w:t>
            </w:r>
          </w:p>
          <w:p w14:paraId="5B9F2D58" w14:textId="77777777" w:rsidR="00C22D61" w:rsidRPr="00EB7757" w:rsidRDefault="00C22D61" w:rsidP="001B3FBB">
            <w:pPr>
              <w:pStyle w:val="ListBullet"/>
              <w:rPr>
                <w:rFonts w:asciiTheme="minorHAnsi" w:hAnsiTheme="minorHAnsi" w:cstheme="minorHAnsi"/>
                <w:sz w:val="22"/>
                <w:szCs w:val="22"/>
              </w:rPr>
            </w:pPr>
            <w:r w:rsidRPr="00EB7757">
              <w:rPr>
                <w:rFonts w:asciiTheme="minorHAnsi" w:hAnsiTheme="minorHAnsi" w:cstheme="minorHAnsi"/>
                <w:sz w:val="22"/>
                <w:szCs w:val="22"/>
              </w:rPr>
              <w:t>Quantity of CO</w:t>
            </w:r>
            <w:r w:rsidRPr="00EB7757">
              <w:rPr>
                <w:rFonts w:asciiTheme="minorHAnsi" w:hAnsiTheme="minorHAnsi" w:cstheme="minorHAnsi"/>
                <w:sz w:val="22"/>
                <w:szCs w:val="22"/>
                <w:vertAlign w:val="subscript"/>
              </w:rPr>
              <w:t>2</w:t>
            </w:r>
            <w:r w:rsidRPr="00EB7757">
              <w:rPr>
                <w:rFonts w:asciiTheme="minorHAnsi" w:hAnsiTheme="minorHAnsi" w:cstheme="minorHAnsi"/>
                <w:sz w:val="22"/>
                <w:szCs w:val="22"/>
              </w:rPr>
              <w:t xml:space="preserve"> captured [kg]</w:t>
            </w:r>
          </w:p>
          <w:p w14:paraId="049B6955" w14:textId="77777777" w:rsidR="00C22D61" w:rsidRPr="00EB7757" w:rsidRDefault="00C22D61" w:rsidP="001B3FBB">
            <w:pPr>
              <w:pStyle w:val="ListBullet"/>
              <w:rPr>
                <w:rFonts w:asciiTheme="minorHAnsi" w:hAnsiTheme="minorHAnsi" w:cstheme="minorHAnsi"/>
                <w:sz w:val="22"/>
                <w:szCs w:val="22"/>
              </w:rPr>
            </w:pPr>
            <w:r w:rsidRPr="00EB7757">
              <w:rPr>
                <w:rFonts w:asciiTheme="minorHAnsi" w:hAnsiTheme="minorHAnsi" w:cstheme="minorHAnsi"/>
                <w:sz w:val="22"/>
                <w:szCs w:val="22"/>
              </w:rPr>
              <w:t>Quantity of CO</w:t>
            </w:r>
            <w:r w:rsidRPr="00EB7757">
              <w:rPr>
                <w:rFonts w:asciiTheme="minorHAnsi" w:hAnsiTheme="minorHAnsi" w:cstheme="minorHAnsi"/>
                <w:sz w:val="22"/>
                <w:szCs w:val="22"/>
                <w:vertAlign w:val="subscript"/>
              </w:rPr>
              <w:t>2</w:t>
            </w:r>
            <w:r w:rsidRPr="00EB7757">
              <w:rPr>
                <w:rFonts w:asciiTheme="minorHAnsi" w:hAnsiTheme="minorHAnsi" w:cstheme="minorHAnsi"/>
                <w:sz w:val="22"/>
                <w:szCs w:val="22"/>
              </w:rPr>
              <w:t xml:space="preserve"> stored [kg]</w:t>
            </w:r>
          </w:p>
          <w:p w14:paraId="5924859E" w14:textId="77777777" w:rsidR="00C22D61" w:rsidRPr="00EB7757" w:rsidRDefault="00C22D61" w:rsidP="001B3FBB">
            <w:pPr>
              <w:pStyle w:val="ListBullet"/>
              <w:rPr>
                <w:rFonts w:asciiTheme="minorHAnsi" w:hAnsiTheme="minorHAnsi" w:cstheme="minorHAnsi"/>
                <w:sz w:val="22"/>
                <w:szCs w:val="22"/>
              </w:rPr>
            </w:pPr>
            <w:r w:rsidRPr="00EB7757">
              <w:rPr>
                <w:rFonts w:asciiTheme="minorHAnsi" w:hAnsiTheme="minorHAnsi" w:cstheme="minorHAnsi"/>
                <w:sz w:val="22"/>
                <w:szCs w:val="22"/>
              </w:rPr>
              <w:t>Quantity of CO</w:t>
            </w:r>
            <w:r w:rsidRPr="00EB7757">
              <w:rPr>
                <w:rFonts w:asciiTheme="minorHAnsi" w:hAnsiTheme="minorHAnsi" w:cstheme="minorHAnsi"/>
                <w:sz w:val="22"/>
                <w:szCs w:val="22"/>
                <w:vertAlign w:val="subscript"/>
              </w:rPr>
              <w:t>2</w:t>
            </w:r>
            <w:r w:rsidRPr="00EB7757">
              <w:rPr>
                <w:rFonts w:asciiTheme="minorHAnsi" w:hAnsiTheme="minorHAnsi" w:cstheme="minorHAnsi"/>
                <w:sz w:val="22"/>
                <w:szCs w:val="22"/>
              </w:rPr>
              <w:t xml:space="preserve"> sold [kg]</w:t>
            </w:r>
          </w:p>
          <w:p w14:paraId="6926F0E3" w14:textId="77777777" w:rsidR="00C22D61" w:rsidRPr="00EB7757" w:rsidRDefault="00C22D61" w:rsidP="001B3FBB">
            <w:pPr>
              <w:pStyle w:val="ListBullet"/>
              <w:rPr>
                <w:rFonts w:asciiTheme="minorHAnsi" w:hAnsiTheme="minorHAnsi" w:cstheme="minorHAnsi"/>
                <w:sz w:val="22"/>
                <w:szCs w:val="22"/>
              </w:rPr>
            </w:pPr>
            <w:r w:rsidRPr="00EB7757">
              <w:rPr>
                <w:rFonts w:asciiTheme="minorHAnsi" w:hAnsiTheme="minorHAnsi" w:cstheme="minorHAnsi"/>
                <w:sz w:val="22"/>
                <w:szCs w:val="22"/>
              </w:rPr>
              <w:t>Quantity of fugitive emissions created during injection of CO</w:t>
            </w:r>
            <w:r w:rsidRPr="00EB7757">
              <w:rPr>
                <w:rFonts w:asciiTheme="minorHAnsi" w:hAnsiTheme="minorHAnsi" w:cstheme="minorHAnsi"/>
                <w:sz w:val="22"/>
                <w:szCs w:val="22"/>
                <w:vertAlign w:val="subscript"/>
              </w:rPr>
              <w:t>2</w:t>
            </w:r>
            <w:r w:rsidRPr="00EB7757">
              <w:rPr>
                <w:rFonts w:asciiTheme="minorHAnsi" w:hAnsiTheme="minorHAnsi" w:cstheme="minorHAnsi"/>
                <w:sz w:val="22"/>
                <w:szCs w:val="22"/>
              </w:rPr>
              <w:t xml:space="preserve"> into the storage location [kg]</w:t>
            </w:r>
          </w:p>
          <w:p w14:paraId="15F42349" w14:textId="77777777" w:rsidR="00C22D61" w:rsidRPr="00EB7757" w:rsidRDefault="00C22D61" w:rsidP="001B3FBB">
            <w:pPr>
              <w:pStyle w:val="ListBullet"/>
              <w:rPr>
                <w:rFonts w:asciiTheme="minorHAnsi" w:hAnsiTheme="minorHAnsi" w:cstheme="minorHAnsi"/>
                <w:sz w:val="22"/>
                <w:szCs w:val="22"/>
              </w:rPr>
            </w:pPr>
            <w:r w:rsidRPr="00EB7757">
              <w:rPr>
                <w:rFonts w:asciiTheme="minorHAnsi" w:hAnsiTheme="minorHAnsi" w:cstheme="minorHAnsi"/>
                <w:sz w:val="22"/>
                <w:szCs w:val="22"/>
              </w:rPr>
              <w:t>Quantity of fugitive CO</w:t>
            </w:r>
            <w:r w:rsidRPr="00EB7757">
              <w:rPr>
                <w:rFonts w:asciiTheme="minorHAnsi" w:hAnsiTheme="minorHAnsi" w:cstheme="minorHAnsi"/>
                <w:sz w:val="22"/>
                <w:szCs w:val="22"/>
                <w:vertAlign w:val="subscript"/>
              </w:rPr>
              <w:t>2</w:t>
            </w:r>
            <w:r w:rsidRPr="00EB7757">
              <w:rPr>
                <w:rFonts w:asciiTheme="minorHAnsi" w:hAnsiTheme="minorHAnsi" w:cstheme="minorHAnsi"/>
                <w:sz w:val="22"/>
                <w:szCs w:val="22"/>
              </w:rPr>
              <w:t xml:space="preserve"> emissions from storage [kg] (over defined timeline)</w:t>
            </w:r>
          </w:p>
        </w:tc>
      </w:tr>
      <w:tr w:rsidR="00C22D61" w14:paraId="21ABA919" w14:textId="77777777" w:rsidTr="001B3FBB">
        <w:trPr>
          <w:trHeight w:val="573"/>
        </w:trPr>
        <w:tc>
          <w:tcPr>
            <w:tcW w:w="1226" w:type="pct"/>
          </w:tcPr>
          <w:p w14:paraId="10392F81" w14:textId="77777777" w:rsidR="00C22D61" w:rsidRPr="00EB7757" w:rsidRDefault="00C22D61" w:rsidP="001B3FBB">
            <w:pPr>
              <w:pStyle w:val="ListBullet"/>
              <w:ind w:left="0" w:firstLine="0"/>
              <w:rPr>
                <w:rFonts w:asciiTheme="minorHAnsi" w:hAnsiTheme="minorHAnsi" w:cstheme="minorHAnsi"/>
                <w:sz w:val="22"/>
                <w:szCs w:val="22"/>
              </w:rPr>
            </w:pPr>
            <w:r w:rsidRPr="00EB7757">
              <w:rPr>
                <w:rFonts w:asciiTheme="minorHAnsi" w:hAnsiTheme="minorHAnsi" w:cstheme="minorHAnsi"/>
                <w:sz w:val="22"/>
                <w:szCs w:val="22"/>
              </w:rPr>
              <w:t>Waste and/or co-products</w:t>
            </w:r>
          </w:p>
        </w:tc>
        <w:tc>
          <w:tcPr>
            <w:tcW w:w="3678" w:type="pct"/>
          </w:tcPr>
          <w:p w14:paraId="2ADBA872" w14:textId="123E5CED" w:rsidR="001B5356" w:rsidRDefault="001B5356" w:rsidP="001B3FBB">
            <w:pPr>
              <w:pStyle w:val="ListBullet"/>
              <w:rPr>
                <w:rFonts w:asciiTheme="minorHAnsi" w:hAnsiTheme="minorHAnsi" w:cstheme="minorHAnsi"/>
                <w:sz w:val="22"/>
                <w:szCs w:val="22"/>
              </w:rPr>
            </w:pPr>
            <w:r>
              <w:rPr>
                <w:rFonts w:asciiTheme="minorHAnsi" w:hAnsiTheme="minorHAnsi" w:cstheme="minorHAnsi"/>
                <w:sz w:val="22"/>
                <w:szCs w:val="22"/>
              </w:rPr>
              <w:t>Type of co-products on-sold</w:t>
            </w:r>
          </w:p>
          <w:p w14:paraId="3F00EDB2" w14:textId="32A969F3" w:rsidR="00C22D61" w:rsidRPr="00EB7757" w:rsidRDefault="00C22D61" w:rsidP="001B3FBB">
            <w:pPr>
              <w:pStyle w:val="ListBullet"/>
              <w:rPr>
                <w:rFonts w:asciiTheme="minorHAnsi" w:hAnsiTheme="minorHAnsi" w:cstheme="minorHAnsi"/>
                <w:sz w:val="22"/>
                <w:szCs w:val="22"/>
              </w:rPr>
            </w:pPr>
            <w:r w:rsidRPr="00EB7757">
              <w:rPr>
                <w:rFonts w:asciiTheme="minorHAnsi" w:hAnsiTheme="minorHAnsi" w:cstheme="minorHAnsi"/>
                <w:sz w:val="22"/>
                <w:szCs w:val="22"/>
              </w:rPr>
              <w:t>Quantity o</w:t>
            </w:r>
            <w:r w:rsidR="001B5356">
              <w:rPr>
                <w:rFonts w:asciiTheme="minorHAnsi" w:hAnsiTheme="minorHAnsi" w:cstheme="minorHAnsi"/>
                <w:sz w:val="22"/>
                <w:szCs w:val="22"/>
              </w:rPr>
              <w:t>f co-products</w:t>
            </w:r>
            <w:r w:rsidRPr="00EB7757">
              <w:rPr>
                <w:rFonts w:asciiTheme="minorHAnsi" w:hAnsiTheme="minorHAnsi" w:cstheme="minorHAnsi"/>
                <w:sz w:val="22"/>
                <w:szCs w:val="22"/>
              </w:rPr>
              <w:t xml:space="preserve"> sold [kg]</w:t>
            </w:r>
          </w:p>
        </w:tc>
      </w:tr>
    </w:tbl>
    <w:p w14:paraId="5182D8FB" w14:textId="77777777" w:rsidR="00C22D61" w:rsidRDefault="00C22D61" w:rsidP="00C22D61"/>
    <w:p w14:paraId="54CF27CA" w14:textId="77777777" w:rsidR="00A856F8" w:rsidRDefault="00A856F8" w:rsidP="00A856F8">
      <w:pPr>
        <w:rPr>
          <w:rFonts w:asciiTheme="majorHAnsi" w:eastAsiaTheme="majorEastAsia" w:hAnsiTheme="majorHAnsi" w:cstheme="majorBidi"/>
          <w:color w:val="005677" w:themeColor="text2"/>
          <w:sz w:val="40"/>
          <w:szCs w:val="48"/>
        </w:rPr>
      </w:pPr>
      <w:r>
        <w:br w:type="page"/>
      </w:r>
    </w:p>
    <w:p w14:paraId="25A7D8D3" w14:textId="76768F90" w:rsidR="00A856F8" w:rsidRDefault="00A856F8" w:rsidP="00A856F8">
      <w:pPr>
        <w:pStyle w:val="Heading1"/>
      </w:pPr>
      <w:bookmarkStart w:id="467" w:name="_Toc64302395"/>
      <w:bookmarkStart w:id="468" w:name="_Toc65168399"/>
      <w:bookmarkStart w:id="469" w:name="_Toc67329139"/>
      <w:bookmarkStart w:id="470" w:name="_Toc67329387"/>
      <w:bookmarkStart w:id="471" w:name="_Ref67504319"/>
      <w:bookmarkStart w:id="472" w:name="_Ref67505272"/>
      <w:bookmarkStart w:id="473" w:name="_Ref67505360"/>
      <w:bookmarkStart w:id="474" w:name="_Ref67505384"/>
      <w:bookmarkStart w:id="475" w:name="_Toc67562643"/>
      <w:bookmarkStart w:id="476" w:name="_Toc68000225"/>
      <w:bookmarkStart w:id="477" w:name="_Toc68083156"/>
      <w:bookmarkStart w:id="478" w:name="_Toc68083551"/>
      <w:bookmarkStart w:id="479" w:name="_Toc68105090"/>
      <w:bookmarkStart w:id="480" w:name="_Toc74839369"/>
      <w:r>
        <w:t xml:space="preserve">Attachment D: </w:t>
      </w:r>
      <w:r w:rsidR="00F533B0">
        <w:t>G</w:t>
      </w:r>
      <w:r w:rsidR="002B6168">
        <w:t xml:space="preserve">rid </w:t>
      </w:r>
      <w:r>
        <w:t>elec</w:t>
      </w:r>
      <w:r w:rsidR="00ED1086">
        <w:t>tricity emissions</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14:paraId="38349D5E" w14:textId="072939BF" w:rsidR="006D6BDF" w:rsidRPr="006D6BDF" w:rsidRDefault="006D6BDF" w:rsidP="006D6BDF">
      <w:r w:rsidRPr="006D6BDF">
        <w:t>The following electricity emission accounting rules are propo</w:t>
      </w:r>
      <w:r w:rsidR="00422A98">
        <w:t>sed for a hydrogen Guarantee of Origin</w:t>
      </w:r>
      <w:r w:rsidRPr="006D6BDF">
        <w:t xml:space="preserve"> scheme. These are based on rules developed for use in the Climate Active electricity calculator which have been adapted from best-practice principles in the </w:t>
      </w:r>
      <w:hyperlink r:id="rId43" w:history="1">
        <w:r w:rsidRPr="006D6BDF">
          <w:t>Greenhouse Gas Protocol Scope 2 Guidance</w:t>
        </w:r>
      </w:hyperlink>
      <w:r w:rsidRPr="006D6BDF">
        <w:t xml:space="preserve"> (GHG Protocol) and informed by stakeholder consultation. The rules may evolve over time. </w:t>
      </w:r>
    </w:p>
    <w:p w14:paraId="5585FC35" w14:textId="77777777" w:rsidR="006D6BDF" w:rsidRPr="00081BFB" w:rsidRDefault="006D6BDF" w:rsidP="003B47A9">
      <w:pPr>
        <w:pStyle w:val="Heading2"/>
      </w:pPr>
      <w:bookmarkStart w:id="481" w:name="_Toc59114616"/>
      <w:bookmarkStart w:id="482" w:name="_Toc67562644"/>
      <w:bookmarkStart w:id="483" w:name="_Toc68000226"/>
      <w:bookmarkStart w:id="484" w:name="_Toc68083157"/>
      <w:bookmarkStart w:id="485" w:name="_Toc68083552"/>
      <w:bookmarkStart w:id="486" w:name="_Toc68105091"/>
      <w:bookmarkStart w:id="487" w:name="_Toc74839370"/>
      <w:r w:rsidRPr="00081BFB">
        <w:t>Reporting</w:t>
      </w:r>
      <w:bookmarkEnd w:id="481"/>
      <w:bookmarkEnd w:id="482"/>
      <w:bookmarkEnd w:id="483"/>
      <w:bookmarkEnd w:id="484"/>
      <w:bookmarkEnd w:id="485"/>
      <w:bookmarkEnd w:id="486"/>
      <w:bookmarkEnd w:id="487"/>
    </w:p>
    <w:p w14:paraId="10296E06" w14:textId="5631857D" w:rsidR="006D6BDF" w:rsidRPr="00081BFB" w:rsidRDefault="006D6BDF" w:rsidP="006D6BDF">
      <w:r w:rsidRPr="00081BFB">
        <w:t>A dual reporting approach (location- and market-based method of reporting) for electricity emissions is</w:t>
      </w:r>
      <w:r>
        <w:t xml:space="preserve"> proposed for </w:t>
      </w:r>
      <w:r w:rsidR="00422A98">
        <w:t>hydrogen Guarantee or Origin</w:t>
      </w:r>
      <w:r w:rsidRPr="00081BFB">
        <w:t xml:space="preserve">. </w:t>
      </w:r>
    </w:p>
    <w:p w14:paraId="206E9DD2" w14:textId="77777777" w:rsidR="006D6BDF" w:rsidRPr="00081BFB" w:rsidRDefault="006D6BDF" w:rsidP="006D6BDF">
      <w:r w:rsidRPr="00081BFB">
        <w:t xml:space="preserve">The </w:t>
      </w:r>
      <w:r w:rsidRPr="00081BFB">
        <w:rPr>
          <w:rFonts w:eastAsiaTheme="majorEastAsia"/>
          <w:b/>
        </w:rPr>
        <w:t>market-based method</w:t>
      </w:r>
      <w:r w:rsidRPr="00081BFB">
        <w:rPr>
          <w:rFonts w:eastAsiaTheme="majorEastAsia"/>
        </w:rPr>
        <w:t xml:space="preserve"> </w:t>
      </w:r>
      <w:r w:rsidRPr="00081BFB">
        <w:t>provides a picture of a business’s electricity emissions in the context of its renewable energy investments. It</w:t>
      </w:r>
      <w:r w:rsidRPr="00081BFB">
        <w:rPr>
          <w:rFonts w:eastAsiaTheme="majorEastAsia"/>
        </w:rPr>
        <w:t xml:space="preserve"> r</w:t>
      </w:r>
      <w:r w:rsidRPr="00081BFB">
        <w:t>eflects the emissions intensity of different electricity products, markets and investments.</w:t>
      </w:r>
      <w:r w:rsidRPr="00081BFB">
        <w:rPr>
          <w:b/>
          <w:i/>
        </w:rPr>
        <w:t xml:space="preserve"> </w:t>
      </w:r>
      <w:r w:rsidRPr="00081BFB">
        <w:t>It uses a ‘residual mix factor’ (RMF) to allow for unique claims on the zero emissions attribute of renewables without double-counting.</w:t>
      </w:r>
    </w:p>
    <w:p w14:paraId="238E38E2" w14:textId="77777777" w:rsidR="006D6BDF" w:rsidRDefault="006D6BDF" w:rsidP="006D6BDF">
      <w:r w:rsidRPr="00081BFB">
        <w:t xml:space="preserve">The </w:t>
      </w:r>
      <w:r w:rsidRPr="00081BFB">
        <w:rPr>
          <w:b/>
        </w:rPr>
        <w:t>location-based method</w:t>
      </w:r>
      <w:r w:rsidRPr="00081BFB">
        <w:t xml:space="preserve"> provides a picture of a business’s electricity emissions in the context of its location, and the emissions intensity of the electricity grid it relies on. It reflects the average emissions intensity of the electricity grid in the location (state) in which energy consumption occurs. The location-based method does not allow for any claims of renewable electricity from grid-imported electricity usage.</w:t>
      </w:r>
    </w:p>
    <w:p w14:paraId="5D1D4B99" w14:textId="3D2CB8D0" w:rsidR="006D6BDF" w:rsidRPr="006D6BDF" w:rsidRDefault="006D6BDF" w:rsidP="006D6BDF">
      <w:r w:rsidRPr="006D6BDF">
        <w:t>All organisation</w:t>
      </w:r>
      <w:r w:rsidR="00422A98">
        <w:t>s seeking hydrogen Guarantee of Origin</w:t>
      </w:r>
      <w:r w:rsidRPr="006D6BDF">
        <w:t xml:space="preserve"> must report electricity emissions using both location- and market-based methods (i.e. dual reporting approach). </w:t>
      </w:r>
    </w:p>
    <w:p w14:paraId="47EA1482" w14:textId="6A039A79" w:rsidR="006D6BDF" w:rsidRPr="006D6BDF" w:rsidRDefault="006D6BDF" w:rsidP="006D6BDF">
      <w:r w:rsidRPr="006D6BDF">
        <w:t xml:space="preserve">The market-based method </w:t>
      </w:r>
      <w:r w:rsidR="00E92A36">
        <w:t>would</w:t>
      </w:r>
      <w:r w:rsidR="00E92A36" w:rsidRPr="006D6BDF">
        <w:t xml:space="preserve"> </w:t>
      </w:r>
      <w:r w:rsidRPr="006D6BDF">
        <w:t>be used to determine the carbon emissions arising from hydrogen production.</w:t>
      </w:r>
    </w:p>
    <w:p w14:paraId="710164E7" w14:textId="77777777" w:rsidR="006D6BDF" w:rsidRPr="00081BFB" w:rsidRDefault="006D6BDF" w:rsidP="003B47A9">
      <w:pPr>
        <w:pStyle w:val="Heading2"/>
      </w:pPr>
      <w:bookmarkStart w:id="488" w:name="_Toc59114617"/>
      <w:bookmarkStart w:id="489" w:name="_Toc67562645"/>
      <w:bookmarkStart w:id="490" w:name="_Toc68000227"/>
      <w:bookmarkStart w:id="491" w:name="_Toc68083158"/>
      <w:bookmarkStart w:id="492" w:name="_Toc68083553"/>
      <w:bookmarkStart w:id="493" w:name="_Toc68105092"/>
      <w:bookmarkStart w:id="494" w:name="_Toc74839371"/>
      <w:r w:rsidRPr="00081BFB">
        <w:t>Renewable Energy Certificates</w:t>
      </w:r>
      <w:bookmarkEnd w:id="488"/>
      <w:bookmarkEnd w:id="489"/>
      <w:bookmarkEnd w:id="490"/>
      <w:bookmarkEnd w:id="491"/>
      <w:bookmarkEnd w:id="492"/>
      <w:bookmarkEnd w:id="493"/>
      <w:bookmarkEnd w:id="494"/>
      <w:r w:rsidRPr="00081BFB">
        <w:t xml:space="preserve"> </w:t>
      </w:r>
    </w:p>
    <w:p w14:paraId="5D88D7BE" w14:textId="38B86A92" w:rsidR="006D6BDF" w:rsidRDefault="006D6BDF" w:rsidP="006D6BDF">
      <w:r w:rsidRPr="00081BFB">
        <w:t xml:space="preserve">Renewable Energy Certificates </w:t>
      </w:r>
      <w:r w:rsidR="00DC1BB5">
        <w:t xml:space="preserve">currently </w:t>
      </w:r>
      <w:r w:rsidRPr="00081BFB">
        <w:t>consist of Large-scale Generation Certificates (LGCs), from large-scale energy generation systems (greater than 100 kilowatt capacity), and Small Technology Certificates (STCs) from small-scale systems (less than 100 kilowatt capacity). LGCs can be used to reduce reported electricity emissions under the market-based method, STCs cannot be used.</w:t>
      </w:r>
    </w:p>
    <w:p w14:paraId="335D97D2" w14:textId="4D7879FA" w:rsidR="00DC1BB5" w:rsidRPr="00081BFB" w:rsidRDefault="00DC1BB5" w:rsidP="006D6BDF">
      <w:r>
        <w:t>Once established, Renewable Guarantee of Origin certificates would be treated in a similar way to LGCs.</w:t>
      </w:r>
    </w:p>
    <w:p w14:paraId="1D37FE4B" w14:textId="77777777" w:rsidR="007C2A9B" w:rsidRPr="001E6162" w:rsidRDefault="007C2A9B" w:rsidP="00C63562">
      <w:pPr>
        <w:pStyle w:val="Calloutbox"/>
        <w:rPr>
          <w:rStyle w:val="Strong"/>
          <w:sz w:val="28"/>
        </w:rPr>
      </w:pPr>
      <w:r w:rsidRPr="001E6162">
        <w:rPr>
          <w:rStyle w:val="Strong"/>
          <w:sz w:val="28"/>
        </w:rPr>
        <w:t xml:space="preserve">Proposed Guidelines: </w:t>
      </w:r>
    </w:p>
    <w:p w14:paraId="08234869" w14:textId="77777777" w:rsidR="007C2A9B" w:rsidRPr="006D6BDF" w:rsidRDefault="007C2A9B" w:rsidP="00C63562">
      <w:pPr>
        <w:pStyle w:val="Calloutbox"/>
        <w:rPr>
          <w:rFonts w:asciiTheme="majorHAnsi" w:hAnsiTheme="majorHAnsi" w:cstheme="majorHAnsi"/>
          <w:u w:val="single"/>
        </w:rPr>
      </w:pPr>
      <w:r w:rsidRPr="006D6BDF">
        <w:rPr>
          <w:rFonts w:asciiTheme="majorHAnsi" w:hAnsiTheme="majorHAnsi" w:cstheme="majorHAnsi"/>
          <w:u w:val="single"/>
        </w:rPr>
        <w:t>Market-Based Method</w:t>
      </w:r>
    </w:p>
    <w:p w14:paraId="4C9D8A5C" w14:textId="58E88BBB" w:rsidR="007C2A9B" w:rsidRPr="006D6BDF" w:rsidRDefault="007C2A9B" w:rsidP="00424AC3">
      <w:pPr>
        <w:pStyle w:val="Calloutbox"/>
        <w:numPr>
          <w:ilvl w:val="0"/>
          <w:numId w:val="30"/>
        </w:numPr>
        <w:rPr>
          <w:rFonts w:asciiTheme="majorHAnsi" w:hAnsiTheme="majorHAnsi" w:cstheme="majorHAnsi"/>
        </w:rPr>
      </w:pPr>
      <w:r w:rsidRPr="006D6BDF">
        <w:rPr>
          <w:rFonts w:asciiTheme="majorHAnsi" w:hAnsiTheme="majorHAnsi" w:cstheme="majorHAnsi"/>
        </w:rPr>
        <w:t>LGCs can be used as a unique claim on the zero emissions attribute of renewable ge</w:t>
      </w:r>
      <w:r w:rsidR="00E10897">
        <w:rPr>
          <w:rFonts w:asciiTheme="majorHAnsi" w:hAnsiTheme="majorHAnsi" w:cstheme="majorHAnsi"/>
        </w:rPr>
        <w:t>neration</w:t>
      </w:r>
      <w:r w:rsidRPr="006D6BDF">
        <w:rPr>
          <w:rFonts w:asciiTheme="majorHAnsi" w:hAnsiTheme="majorHAnsi" w:cstheme="majorHAnsi"/>
        </w:rPr>
        <w:t>.</w:t>
      </w:r>
      <w:r w:rsidR="000167D3">
        <w:rPr>
          <w:rFonts w:asciiTheme="majorHAnsi" w:hAnsiTheme="majorHAnsi" w:cstheme="majorHAnsi"/>
        </w:rPr>
        <w:t xml:space="preserve"> </w:t>
      </w:r>
    </w:p>
    <w:p w14:paraId="52D1B753" w14:textId="0E3F4659" w:rsidR="007C2A9B" w:rsidRPr="006D6BDF" w:rsidRDefault="007C2A9B" w:rsidP="00424AC3">
      <w:pPr>
        <w:pStyle w:val="Calloutbox"/>
        <w:numPr>
          <w:ilvl w:val="0"/>
          <w:numId w:val="30"/>
        </w:numPr>
        <w:rPr>
          <w:rFonts w:asciiTheme="majorHAnsi" w:hAnsiTheme="majorHAnsi" w:cstheme="majorHAnsi"/>
        </w:rPr>
      </w:pPr>
      <w:r w:rsidRPr="006D6BDF">
        <w:rPr>
          <w:rFonts w:asciiTheme="majorHAnsi" w:hAnsiTheme="majorHAnsi" w:cstheme="majorHAnsi"/>
        </w:rPr>
        <w:t xml:space="preserve">LGCs are accounted for in MWh. One </w:t>
      </w:r>
      <w:r>
        <w:rPr>
          <w:rFonts w:asciiTheme="majorHAnsi" w:hAnsiTheme="majorHAnsi" w:cstheme="majorHAnsi"/>
        </w:rPr>
        <w:t xml:space="preserve">surrendered </w:t>
      </w:r>
      <w:r w:rsidRPr="006D6BDF">
        <w:rPr>
          <w:rFonts w:asciiTheme="majorHAnsi" w:hAnsiTheme="majorHAnsi" w:cstheme="majorHAnsi"/>
        </w:rPr>
        <w:t>LGC equates to one MWh of zero emissions electricity c</w:t>
      </w:r>
      <w:r w:rsidR="00E10897">
        <w:rPr>
          <w:rFonts w:asciiTheme="majorHAnsi" w:hAnsiTheme="majorHAnsi" w:cstheme="majorHAnsi"/>
        </w:rPr>
        <w:t>onsumption</w:t>
      </w:r>
      <w:r w:rsidRPr="006D6BDF">
        <w:rPr>
          <w:rFonts w:asciiTheme="majorHAnsi" w:hAnsiTheme="majorHAnsi" w:cstheme="majorHAnsi"/>
        </w:rPr>
        <w:t xml:space="preserve">. </w:t>
      </w:r>
      <w:r w:rsidR="000167D3">
        <w:rPr>
          <w:rFonts w:asciiTheme="majorHAnsi" w:hAnsiTheme="majorHAnsi" w:cstheme="majorHAnsi"/>
        </w:rPr>
        <w:t>The associated LGC must be voluntarily surrendered and be additional to mandatory LRET requirements.</w:t>
      </w:r>
    </w:p>
    <w:p w14:paraId="5272C511" w14:textId="77777777" w:rsidR="007C2A9B" w:rsidRPr="005F308E" w:rsidRDefault="007C2A9B" w:rsidP="00424AC3">
      <w:pPr>
        <w:pStyle w:val="Calloutbox"/>
        <w:numPr>
          <w:ilvl w:val="0"/>
          <w:numId w:val="30"/>
        </w:numPr>
        <w:rPr>
          <w:rFonts w:asciiTheme="majorHAnsi" w:hAnsiTheme="majorHAnsi" w:cstheme="majorHAnsi"/>
        </w:rPr>
      </w:pPr>
      <w:r>
        <w:rPr>
          <w:rFonts w:asciiTheme="majorHAnsi" w:hAnsiTheme="majorHAnsi" w:cstheme="majorHAnsi"/>
        </w:rPr>
        <w:t xml:space="preserve">In order for LGC creation to be reasonably close to the reporting period while giving enough flexibility for certificate procurement and delivery times, </w:t>
      </w:r>
      <w:r w:rsidRPr="005F308E">
        <w:rPr>
          <w:rFonts w:asciiTheme="majorHAnsi" w:hAnsiTheme="majorHAnsi" w:cstheme="majorHAnsi"/>
        </w:rPr>
        <w:t xml:space="preserve">LGCs must have an issuance date of less than 36 months from </w:t>
      </w:r>
      <w:r>
        <w:rPr>
          <w:rFonts w:asciiTheme="majorHAnsi" w:hAnsiTheme="majorHAnsi" w:cstheme="majorHAnsi"/>
        </w:rPr>
        <w:t>the end of the reporting year. For example, a calendar year 2022</w:t>
      </w:r>
      <w:r w:rsidRPr="005F308E">
        <w:rPr>
          <w:rFonts w:asciiTheme="majorHAnsi" w:hAnsiTheme="majorHAnsi" w:cstheme="majorHAnsi"/>
        </w:rPr>
        <w:t xml:space="preserve"> report (ending 31 De</w:t>
      </w:r>
      <w:r>
        <w:rPr>
          <w:rFonts w:asciiTheme="majorHAnsi" w:hAnsiTheme="majorHAnsi" w:cstheme="majorHAnsi"/>
        </w:rPr>
        <w:t>cember 2022</w:t>
      </w:r>
      <w:r w:rsidRPr="005F308E">
        <w:rPr>
          <w:rFonts w:asciiTheme="majorHAnsi" w:hAnsiTheme="majorHAnsi" w:cstheme="majorHAnsi"/>
        </w:rPr>
        <w:t>) could use LGCs with an issuance date o</w:t>
      </w:r>
      <w:r>
        <w:rPr>
          <w:rFonts w:asciiTheme="majorHAnsi" w:hAnsiTheme="majorHAnsi" w:cstheme="majorHAnsi"/>
        </w:rPr>
        <w:t>f no earlier than 1 January 2020</w:t>
      </w:r>
      <w:r w:rsidRPr="005F308E">
        <w:rPr>
          <w:rFonts w:asciiTheme="majorHAnsi" w:hAnsiTheme="majorHAnsi" w:cstheme="majorHAnsi"/>
        </w:rPr>
        <w:t>.</w:t>
      </w:r>
    </w:p>
    <w:p w14:paraId="17FEF5D2" w14:textId="77777777" w:rsidR="007C2A9B" w:rsidRPr="005F308E" w:rsidRDefault="007C2A9B" w:rsidP="00424AC3">
      <w:pPr>
        <w:pStyle w:val="Calloutbox"/>
        <w:numPr>
          <w:ilvl w:val="0"/>
          <w:numId w:val="30"/>
        </w:numPr>
        <w:rPr>
          <w:rFonts w:asciiTheme="majorHAnsi" w:hAnsiTheme="majorHAnsi" w:cstheme="majorHAnsi"/>
        </w:rPr>
      </w:pPr>
      <w:r w:rsidRPr="005F308E">
        <w:rPr>
          <w:rFonts w:asciiTheme="majorHAnsi" w:hAnsiTheme="majorHAnsi" w:cstheme="majorHAnsi"/>
        </w:rPr>
        <w:t>STCs cannot be used to make renewable energy emission reduction claims for grid imported electricity consumption (see section 6 for behind the meter usage).</w:t>
      </w:r>
    </w:p>
    <w:p w14:paraId="2B292832" w14:textId="2AFF95CA" w:rsidR="007C2A9B" w:rsidRDefault="007C2A9B" w:rsidP="00C63562">
      <w:pPr>
        <w:pStyle w:val="Calloutbox"/>
        <w:rPr>
          <w:rFonts w:asciiTheme="majorHAnsi" w:hAnsiTheme="majorHAnsi" w:cstheme="majorHAnsi"/>
          <w:u w:val="single"/>
        </w:rPr>
      </w:pPr>
      <w:r w:rsidRPr="005F308E">
        <w:rPr>
          <w:rFonts w:asciiTheme="majorHAnsi" w:hAnsiTheme="majorHAnsi" w:cstheme="majorHAnsi"/>
          <w:u w:val="single"/>
        </w:rPr>
        <w:t>Location-Based Method</w:t>
      </w:r>
    </w:p>
    <w:p w14:paraId="25389392" w14:textId="77777777" w:rsidR="00C63562" w:rsidRPr="00C63562" w:rsidRDefault="00C63562" w:rsidP="00424AC3">
      <w:pPr>
        <w:pStyle w:val="Calloutbox"/>
        <w:numPr>
          <w:ilvl w:val="0"/>
          <w:numId w:val="30"/>
        </w:numPr>
      </w:pPr>
      <w:r w:rsidRPr="005F308E">
        <w:rPr>
          <w:rFonts w:asciiTheme="majorHAnsi" w:hAnsiTheme="majorHAnsi" w:cstheme="majorHAnsi"/>
        </w:rPr>
        <w:t>Neither LGCs nor STCs can be used to make renewable energy emission reduction claims for grid-imported electricity consumption.</w:t>
      </w:r>
    </w:p>
    <w:p w14:paraId="70BA0285" w14:textId="77777777" w:rsidR="006D6BDF" w:rsidRDefault="006D6BDF" w:rsidP="007C2A9B">
      <w:pPr>
        <w:pStyle w:val="Calloutbox"/>
        <w:rPr>
          <w:rFonts w:asciiTheme="majorHAnsi" w:hAnsiTheme="majorHAnsi" w:cstheme="majorHAnsi"/>
          <w:u w:val="single"/>
        </w:rPr>
      </w:pPr>
    </w:p>
    <w:p w14:paraId="63206925" w14:textId="2E2B98F6" w:rsidR="006D6BDF" w:rsidRPr="00081BFB" w:rsidRDefault="006D6BDF" w:rsidP="003B47A9">
      <w:pPr>
        <w:pStyle w:val="Heading2"/>
      </w:pPr>
      <w:bookmarkStart w:id="495" w:name="_Toc59114618"/>
      <w:bookmarkStart w:id="496" w:name="_Toc67562646"/>
      <w:bookmarkStart w:id="497" w:name="_Toc68000228"/>
      <w:bookmarkStart w:id="498" w:name="_Toc68083159"/>
      <w:bookmarkStart w:id="499" w:name="_Toc68083554"/>
      <w:bookmarkStart w:id="500" w:name="_Toc68105093"/>
      <w:bookmarkStart w:id="501" w:name="_Toc74839372"/>
      <w:r w:rsidRPr="00081BFB">
        <w:t>Renewable Energy Target</w:t>
      </w:r>
      <w:bookmarkEnd w:id="495"/>
      <w:bookmarkEnd w:id="496"/>
      <w:bookmarkEnd w:id="497"/>
      <w:bookmarkEnd w:id="498"/>
      <w:bookmarkEnd w:id="499"/>
      <w:r w:rsidR="00F533B0">
        <w:t xml:space="preserve"> (RET)</w:t>
      </w:r>
      <w:bookmarkEnd w:id="500"/>
      <w:bookmarkEnd w:id="501"/>
      <w:r w:rsidR="00F533B0">
        <w:t xml:space="preserve"> </w:t>
      </w:r>
    </w:p>
    <w:p w14:paraId="6E75C3D5" w14:textId="6940A9F3" w:rsidR="006D6BDF" w:rsidRPr="00A54C2D" w:rsidRDefault="006D6BDF" w:rsidP="006D6BDF">
      <w:r w:rsidRPr="00081BFB">
        <w:t xml:space="preserve">The Renewable Energy Target (RET) is a legislated scheme designed to reduce emissions from the electricity sector and incentivise additional generation of electricity from sustainable and renewable sources. The RET consists of two different schemes: the large-scale renewable energy target (LRET) and the small-scale renewable energy scheme (SRES). Business investments in the LRET are accounted for under the market-based method. </w:t>
      </w:r>
    </w:p>
    <w:p w14:paraId="1E2A4A0C" w14:textId="77777777" w:rsidR="00C63562" w:rsidRPr="009606A4" w:rsidRDefault="00C63562" w:rsidP="00C63562">
      <w:pPr>
        <w:pStyle w:val="Calloutbox"/>
        <w:rPr>
          <w:rStyle w:val="Strong"/>
          <w:sz w:val="28"/>
        </w:rPr>
      </w:pPr>
      <w:r w:rsidRPr="009606A4">
        <w:rPr>
          <w:rStyle w:val="Strong"/>
          <w:sz w:val="28"/>
        </w:rPr>
        <w:t xml:space="preserve">Proposed Guidelines: </w:t>
      </w:r>
    </w:p>
    <w:p w14:paraId="5767752A" w14:textId="77777777" w:rsidR="00C63562" w:rsidRPr="005F308E" w:rsidRDefault="00C63562" w:rsidP="00C63562">
      <w:pPr>
        <w:pStyle w:val="Calloutbox"/>
        <w:rPr>
          <w:rFonts w:cstheme="minorHAnsi"/>
          <w:u w:val="single"/>
        </w:rPr>
      </w:pPr>
      <w:r w:rsidRPr="005F308E">
        <w:rPr>
          <w:rFonts w:cstheme="minorHAnsi"/>
          <w:u w:val="single"/>
        </w:rPr>
        <w:t>Market-Based Method</w:t>
      </w:r>
    </w:p>
    <w:p w14:paraId="3706BF0C" w14:textId="799FACAE" w:rsidR="00C63562" w:rsidRPr="005F308E" w:rsidRDefault="00C63562" w:rsidP="00E10897">
      <w:pPr>
        <w:pStyle w:val="Calloutbox"/>
        <w:numPr>
          <w:ilvl w:val="0"/>
          <w:numId w:val="30"/>
        </w:numPr>
        <w:rPr>
          <w:rFonts w:cstheme="minorHAnsi"/>
        </w:rPr>
      </w:pPr>
      <w:r w:rsidRPr="005F308E">
        <w:rPr>
          <w:rFonts w:cstheme="minorHAnsi"/>
        </w:rPr>
        <w:t xml:space="preserve">The percentage of electricity consumption attributable to the LRET, as reflected by the </w:t>
      </w:r>
      <w:hyperlink r:id="rId44" w:history="1">
        <w:r w:rsidRPr="005F308E">
          <w:rPr>
            <w:rStyle w:val="Hyperlink"/>
            <w:rFonts w:cstheme="minorHAnsi"/>
            <w:color w:val="auto"/>
          </w:rPr>
          <w:t>Renewable Power Percentage</w:t>
        </w:r>
      </w:hyperlink>
      <w:r w:rsidRPr="005F308E">
        <w:rPr>
          <w:rFonts w:cstheme="minorHAnsi"/>
        </w:rPr>
        <w:t>, for a given reporting year, is assigned an emission fact</w:t>
      </w:r>
      <w:r w:rsidR="00FC3CF9">
        <w:rPr>
          <w:rFonts w:cstheme="minorHAnsi"/>
        </w:rPr>
        <w:t>or of zero</w:t>
      </w:r>
      <w:r w:rsidRPr="005F308E">
        <w:rPr>
          <w:rFonts w:cstheme="minorHAnsi"/>
        </w:rPr>
        <w:t>. For example, a business using a total of 1,000 MWh of electricity in 20</w:t>
      </w:r>
      <w:r>
        <w:rPr>
          <w:rFonts w:cstheme="minorHAnsi"/>
        </w:rPr>
        <w:t>21</w:t>
      </w:r>
      <w:r w:rsidRPr="005F308E">
        <w:rPr>
          <w:rFonts w:cstheme="minorHAnsi"/>
        </w:rPr>
        <w:t xml:space="preserve"> may list 18</w:t>
      </w:r>
      <w:r>
        <w:rPr>
          <w:rFonts w:cstheme="minorHAnsi"/>
        </w:rPr>
        <w:t>5</w:t>
      </w:r>
      <w:r w:rsidRPr="005F308E">
        <w:rPr>
          <w:rFonts w:cstheme="minorHAnsi"/>
        </w:rPr>
        <w:t xml:space="preserve"> MWh as zero emissions (1,000*18.</w:t>
      </w:r>
      <w:r>
        <w:rPr>
          <w:rFonts w:cstheme="minorHAnsi"/>
        </w:rPr>
        <w:t>5</w:t>
      </w:r>
      <w:r w:rsidRPr="005F308E">
        <w:rPr>
          <w:rFonts w:cstheme="minorHAnsi"/>
        </w:rPr>
        <w:t>% (RPP for 20</w:t>
      </w:r>
      <w:r>
        <w:rPr>
          <w:rFonts w:cstheme="minorHAnsi"/>
        </w:rPr>
        <w:t>21</w:t>
      </w:r>
      <w:r w:rsidRPr="005F308E">
        <w:rPr>
          <w:rFonts w:cstheme="minorHAnsi"/>
        </w:rPr>
        <w:t>)).</w:t>
      </w:r>
    </w:p>
    <w:p w14:paraId="18DC13B1" w14:textId="77777777" w:rsidR="00C63562" w:rsidRPr="005F308E" w:rsidRDefault="00C63562" w:rsidP="00E10897">
      <w:pPr>
        <w:pStyle w:val="Calloutbox"/>
        <w:numPr>
          <w:ilvl w:val="0"/>
          <w:numId w:val="30"/>
        </w:numPr>
        <w:rPr>
          <w:rFonts w:cstheme="minorHAnsi"/>
        </w:rPr>
      </w:pPr>
      <w:r>
        <w:rPr>
          <w:rFonts w:cstheme="minorHAnsi"/>
        </w:rPr>
        <w:t>This deduction would not</w:t>
      </w:r>
      <w:r w:rsidRPr="005F308E">
        <w:rPr>
          <w:rFonts w:cstheme="minorHAnsi"/>
        </w:rPr>
        <w:t xml:space="preserve"> </w:t>
      </w:r>
      <w:r>
        <w:rPr>
          <w:rFonts w:cstheme="minorHAnsi"/>
        </w:rPr>
        <w:t>be</w:t>
      </w:r>
      <w:r w:rsidRPr="005F308E">
        <w:rPr>
          <w:rFonts w:cstheme="minorHAnsi"/>
        </w:rPr>
        <w:t xml:space="preserve"> available to businesses, or parts of businesses, that are exempt from the LRET (</w:t>
      </w:r>
      <w:r>
        <w:rPr>
          <w:rFonts w:cstheme="minorHAnsi"/>
        </w:rPr>
        <w:t>e.g.</w:t>
      </w:r>
      <w:r w:rsidRPr="005F308E">
        <w:rPr>
          <w:rFonts w:cstheme="minorHAnsi"/>
        </w:rPr>
        <w:t xml:space="preserve"> Emissions Intensive Trade Exposed Industries</w:t>
      </w:r>
      <w:r>
        <w:rPr>
          <w:rFonts w:cstheme="minorHAnsi"/>
        </w:rPr>
        <w:t xml:space="preserve"> or remote facilities not subject to the LRET</w:t>
      </w:r>
      <w:r w:rsidRPr="005F308E">
        <w:rPr>
          <w:rFonts w:cstheme="minorHAnsi"/>
        </w:rPr>
        <w:t>).</w:t>
      </w:r>
    </w:p>
    <w:p w14:paraId="4DEC2918" w14:textId="77777777" w:rsidR="00C63562" w:rsidRPr="005F308E" w:rsidRDefault="00C63562" w:rsidP="00C63562">
      <w:pPr>
        <w:pStyle w:val="Calloutbox"/>
        <w:rPr>
          <w:rFonts w:cstheme="minorHAnsi"/>
          <w:u w:val="single"/>
        </w:rPr>
      </w:pPr>
      <w:r w:rsidRPr="005F308E">
        <w:rPr>
          <w:rFonts w:cstheme="minorHAnsi"/>
          <w:u w:val="single"/>
        </w:rPr>
        <w:t>Location-Based Method</w:t>
      </w:r>
    </w:p>
    <w:p w14:paraId="6D176DFC" w14:textId="77F1559B" w:rsidR="00C63562" w:rsidRDefault="00C63562" w:rsidP="00E10897">
      <w:pPr>
        <w:pStyle w:val="Calloutbox"/>
        <w:numPr>
          <w:ilvl w:val="0"/>
          <w:numId w:val="30"/>
        </w:numPr>
        <w:rPr>
          <w:rFonts w:ascii="Arial" w:hAnsi="Arial" w:cs="Arial"/>
        </w:rPr>
      </w:pPr>
      <w:r w:rsidRPr="005F308E">
        <w:rPr>
          <w:rFonts w:cstheme="minorHAnsi"/>
        </w:rPr>
        <w:t>There is no separate accounting treatment for the LRET as</w:t>
      </w:r>
      <w:r>
        <w:rPr>
          <w:rFonts w:cstheme="minorHAnsi"/>
        </w:rPr>
        <w:t xml:space="preserve"> the renewable generation included in the LRET </w:t>
      </w:r>
      <w:r w:rsidRPr="005F308E">
        <w:rPr>
          <w:rFonts w:cstheme="minorHAnsi"/>
        </w:rPr>
        <w:t xml:space="preserve">is already included in the state </w:t>
      </w:r>
      <w:r>
        <w:rPr>
          <w:rFonts w:cstheme="minorHAnsi"/>
        </w:rPr>
        <w:t xml:space="preserve">emissions </w:t>
      </w:r>
      <w:r w:rsidRPr="005F308E">
        <w:rPr>
          <w:rFonts w:cstheme="minorHAnsi"/>
        </w:rPr>
        <w:t>factors use</w:t>
      </w:r>
      <w:r>
        <w:rPr>
          <w:rFonts w:cstheme="minorHAnsi"/>
        </w:rPr>
        <w:t>d to convert electricity into t</w:t>
      </w:r>
      <w:r w:rsidRPr="005F308E">
        <w:rPr>
          <w:rFonts w:cstheme="minorHAnsi"/>
        </w:rPr>
        <w:t>CO</w:t>
      </w:r>
      <w:r w:rsidRPr="005F308E">
        <w:rPr>
          <w:rFonts w:cstheme="minorHAnsi"/>
          <w:vertAlign w:val="subscript"/>
        </w:rPr>
        <w:t>2</w:t>
      </w:r>
      <w:r w:rsidRPr="005F308E">
        <w:rPr>
          <w:rFonts w:cstheme="minorHAnsi"/>
        </w:rPr>
        <w:t>-e.</w:t>
      </w:r>
    </w:p>
    <w:p w14:paraId="36E6A8CF" w14:textId="77777777" w:rsidR="006D6BDF" w:rsidRPr="00081BFB" w:rsidRDefault="006D6BDF" w:rsidP="003B47A9">
      <w:pPr>
        <w:pStyle w:val="Heading2"/>
      </w:pPr>
      <w:bookmarkStart w:id="502" w:name="_Toc59114619"/>
      <w:bookmarkStart w:id="503" w:name="_Toc67562647"/>
      <w:bookmarkStart w:id="504" w:name="_Toc68000229"/>
      <w:bookmarkStart w:id="505" w:name="_Toc68083160"/>
      <w:bookmarkStart w:id="506" w:name="_Toc68083555"/>
      <w:bookmarkStart w:id="507" w:name="_Toc68105094"/>
      <w:bookmarkStart w:id="508" w:name="_Toc74839373"/>
      <w:r w:rsidRPr="00081BFB">
        <w:t>GreenPower</w:t>
      </w:r>
      <w:bookmarkEnd w:id="502"/>
      <w:bookmarkEnd w:id="503"/>
      <w:bookmarkEnd w:id="504"/>
      <w:bookmarkEnd w:id="505"/>
      <w:bookmarkEnd w:id="506"/>
      <w:bookmarkEnd w:id="507"/>
      <w:bookmarkEnd w:id="508"/>
    </w:p>
    <w:p w14:paraId="783DE2E2" w14:textId="56ABE5AB" w:rsidR="006D6BDF" w:rsidRPr="00801944" w:rsidRDefault="006D6BDF" w:rsidP="006D6BDF">
      <w:r w:rsidRPr="00081BFB">
        <w:t xml:space="preserve">GreenPower is a voluntary government accreditation program that enables electricity providers to purchase renewable energy on behalf of a business or household. It works by retiring LGCs equivalent to an agreed percentage or amount of electricity usage of the business. GreenPower is additional to any mandated LGC </w:t>
      </w:r>
      <w:r w:rsidR="00F27C24">
        <w:t>surrender</w:t>
      </w:r>
      <w:r w:rsidR="00F27C24" w:rsidRPr="00081BFB">
        <w:t xml:space="preserve">s </w:t>
      </w:r>
      <w:r w:rsidRPr="00081BFB">
        <w:t>under the LRET. GreenPower purchases are accounted for under the market-based method.</w:t>
      </w:r>
    </w:p>
    <w:p w14:paraId="62D10929" w14:textId="77777777" w:rsidR="00801944" w:rsidRPr="00801944" w:rsidRDefault="00801944" w:rsidP="00801944">
      <w:pPr>
        <w:pStyle w:val="Calloutbox"/>
        <w:rPr>
          <w:rFonts w:ascii="Arial" w:hAnsi="Arial" w:cs="Arial"/>
          <w:b/>
        </w:rPr>
      </w:pPr>
      <w:r w:rsidRPr="00801944">
        <w:rPr>
          <w:rFonts w:ascii="Arial" w:hAnsi="Arial" w:cs="Arial"/>
          <w:b/>
        </w:rPr>
        <w:t xml:space="preserve">Proposed Guidelines: </w:t>
      </w:r>
    </w:p>
    <w:p w14:paraId="085958CB" w14:textId="77777777" w:rsidR="00801944" w:rsidRPr="005F308E" w:rsidRDefault="00801944" w:rsidP="00801944">
      <w:pPr>
        <w:pStyle w:val="Calloutbox"/>
        <w:rPr>
          <w:rFonts w:cstheme="minorHAnsi"/>
          <w:u w:val="single"/>
        </w:rPr>
      </w:pPr>
      <w:r w:rsidRPr="005F308E">
        <w:rPr>
          <w:rFonts w:cstheme="minorHAnsi"/>
          <w:u w:val="single"/>
        </w:rPr>
        <w:t>Market-Based Method</w:t>
      </w:r>
    </w:p>
    <w:p w14:paraId="66B010A0" w14:textId="32AFB64D" w:rsidR="00801944" w:rsidRPr="005F308E" w:rsidRDefault="00801944" w:rsidP="00E10897">
      <w:pPr>
        <w:pStyle w:val="Calloutbox"/>
        <w:numPr>
          <w:ilvl w:val="0"/>
          <w:numId w:val="30"/>
        </w:numPr>
        <w:rPr>
          <w:rFonts w:cstheme="minorHAnsi"/>
        </w:rPr>
      </w:pPr>
      <w:r w:rsidRPr="005F308E">
        <w:rPr>
          <w:rFonts w:cstheme="minorHAnsi"/>
        </w:rPr>
        <w:t>Accredited GreenPower usage is assigned an emission factor of zero, regardless of the state in which GreenPower is used.</w:t>
      </w:r>
    </w:p>
    <w:p w14:paraId="0B7AC2C3" w14:textId="77777777" w:rsidR="00801944" w:rsidRPr="005F308E" w:rsidRDefault="00801944" w:rsidP="00801944">
      <w:pPr>
        <w:pStyle w:val="Calloutbox"/>
        <w:rPr>
          <w:rFonts w:cstheme="minorHAnsi"/>
          <w:u w:val="single"/>
        </w:rPr>
      </w:pPr>
      <w:r w:rsidRPr="005F308E">
        <w:rPr>
          <w:rFonts w:cstheme="minorHAnsi"/>
          <w:u w:val="single"/>
        </w:rPr>
        <w:t>Location-Based Method</w:t>
      </w:r>
    </w:p>
    <w:p w14:paraId="531E5648" w14:textId="7F8E773F" w:rsidR="00801944" w:rsidRPr="00081BFB" w:rsidRDefault="00801944" w:rsidP="00E10897">
      <w:pPr>
        <w:pStyle w:val="Calloutbox"/>
        <w:numPr>
          <w:ilvl w:val="0"/>
          <w:numId w:val="30"/>
        </w:numPr>
        <w:rPr>
          <w:rFonts w:ascii="Arial" w:hAnsi="Arial" w:cs="Arial"/>
        </w:rPr>
      </w:pPr>
      <w:r w:rsidRPr="005F308E">
        <w:rPr>
          <w:rFonts w:cstheme="minorHAnsi"/>
        </w:rPr>
        <w:t>GreenPower cannot be used to make zero emission electricity claims under the location-based method.</w:t>
      </w:r>
    </w:p>
    <w:p w14:paraId="7935E006" w14:textId="77777777" w:rsidR="006D6BDF" w:rsidRPr="00081BFB" w:rsidRDefault="006D6BDF" w:rsidP="003B47A9">
      <w:pPr>
        <w:pStyle w:val="Heading2"/>
      </w:pPr>
      <w:bookmarkStart w:id="509" w:name="_Toc59114620"/>
      <w:bookmarkStart w:id="510" w:name="_Toc67562648"/>
      <w:bookmarkStart w:id="511" w:name="_Toc68000230"/>
      <w:bookmarkStart w:id="512" w:name="_Toc68083161"/>
      <w:bookmarkStart w:id="513" w:name="_Toc68083556"/>
      <w:bookmarkStart w:id="514" w:name="_Toc68105095"/>
      <w:bookmarkStart w:id="515" w:name="_Toc74839374"/>
      <w:r w:rsidRPr="00081BFB">
        <w:t>Power Purchase Agreements</w:t>
      </w:r>
      <w:bookmarkEnd w:id="509"/>
      <w:bookmarkEnd w:id="510"/>
      <w:bookmarkEnd w:id="511"/>
      <w:bookmarkEnd w:id="512"/>
      <w:bookmarkEnd w:id="513"/>
      <w:bookmarkEnd w:id="514"/>
      <w:bookmarkEnd w:id="515"/>
    </w:p>
    <w:p w14:paraId="22E043FD" w14:textId="6C0D21B5" w:rsidR="006D6BDF" w:rsidRPr="00081BFB" w:rsidRDefault="006D6BDF" w:rsidP="005F308E">
      <w:r w:rsidRPr="00081BFB">
        <w:t>Power Purchase Agreements (PPAs) are an increasingly common way for users of electricity to hedge against power price fluctuations and/or procure renewable electricity directly from a generator. PPAs may include the LGCs associated with the generation, bundled with or without electricity supply. Electricity sourced through PPAs is treated as grid-impo</w:t>
      </w:r>
      <w:r w:rsidR="00E10897">
        <w:t>rted electricity</w:t>
      </w:r>
      <w:r w:rsidRPr="00081BFB">
        <w:t xml:space="preserve">, unless LGCs have been </w:t>
      </w:r>
      <w:r w:rsidR="00F27C24">
        <w:t>surrendered</w:t>
      </w:r>
      <w:r w:rsidRPr="00081BFB">
        <w:t>.</w:t>
      </w:r>
    </w:p>
    <w:p w14:paraId="3E59E9AC" w14:textId="77777777" w:rsidR="00E7061E" w:rsidRPr="00E7061E" w:rsidRDefault="00E7061E" w:rsidP="00E7061E">
      <w:pPr>
        <w:pStyle w:val="Calloutbox"/>
        <w:rPr>
          <w:rFonts w:ascii="Arial" w:hAnsi="Arial" w:cs="Arial"/>
          <w:b/>
        </w:rPr>
      </w:pPr>
      <w:r w:rsidRPr="00E7061E">
        <w:rPr>
          <w:rFonts w:ascii="Arial" w:hAnsi="Arial" w:cs="Arial"/>
          <w:b/>
        </w:rPr>
        <w:t xml:space="preserve">Proposed Guidelines: </w:t>
      </w:r>
    </w:p>
    <w:p w14:paraId="1A664DCB" w14:textId="77777777" w:rsidR="00E7061E" w:rsidRPr="00E7061E" w:rsidRDefault="00E7061E" w:rsidP="00E7061E">
      <w:pPr>
        <w:pStyle w:val="Calloutbox"/>
        <w:rPr>
          <w:rFonts w:cstheme="minorHAnsi"/>
          <w:u w:val="single"/>
        </w:rPr>
      </w:pPr>
      <w:r w:rsidRPr="00E7061E">
        <w:rPr>
          <w:rFonts w:cstheme="minorHAnsi"/>
          <w:u w:val="single"/>
        </w:rPr>
        <w:t xml:space="preserve"> Market-Based Method</w:t>
      </w:r>
    </w:p>
    <w:p w14:paraId="61C32435" w14:textId="23C62B5F" w:rsidR="00E7061E" w:rsidRPr="00E7061E" w:rsidRDefault="00E7061E" w:rsidP="00E10897">
      <w:pPr>
        <w:pStyle w:val="Calloutbox"/>
        <w:numPr>
          <w:ilvl w:val="0"/>
          <w:numId w:val="30"/>
        </w:numPr>
        <w:rPr>
          <w:rFonts w:cstheme="minorHAnsi"/>
        </w:rPr>
      </w:pPr>
      <w:r w:rsidRPr="00E7061E">
        <w:rPr>
          <w:rFonts w:cstheme="minorHAnsi"/>
        </w:rPr>
        <w:t>Zero emission electricity claims (above any mandatory LRET obligations) under a PPA must be made through surrendered LGCs in accordance with points</w:t>
      </w:r>
      <w:r w:rsidR="007E3E67">
        <w:rPr>
          <w:rFonts w:cstheme="minorHAnsi"/>
        </w:rPr>
        <w:t xml:space="preserve"> </w:t>
      </w:r>
      <w:r w:rsidRPr="00E7061E">
        <w:rPr>
          <w:rFonts w:cstheme="minorHAnsi"/>
        </w:rPr>
        <w:t>1-5.</w:t>
      </w:r>
    </w:p>
    <w:p w14:paraId="1650FFB1" w14:textId="77777777" w:rsidR="00E7061E" w:rsidRPr="00E7061E" w:rsidRDefault="00E7061E" w:rsidP="00E10897">
      <w:pPr>
        <w:pStyle w:val="Calloutbox"/>
        <w:numPr>
          <w:ilvl w:val="0"/>
          <w:numId w:val="30"/>
        </w:numPr>
        <w:rPr>
          <w:rFonts w:cstheme="minorHAnsi"/>
        </w:rPr>
      </w:pPr>
      <w:r w:rsidRPr="00E7061E">
        <w:rPr>
          <w:rFonts w:cstheme="minorHAnsi"/>
        </w:rPr>
        <w:t xml:space="preserve">Supplier-specific emission factors cannot be used. </w:t>
      </w:r>
    </w:p>
    <w:p w14:paraId="3C6DD522" w14:textId="77777777" w:rsidR="00E7061E" w:rsidRPr="00E7061E" w:rsidRDefault="00E7061E" w:rsidP="00E7061E">
      <w:pPr>
        <w:pStyle w:val="Calloutbox"/>
        <w:rPr>
          <w:rFonts w:cstheme="minorHAnsi"/>
          <w:u w:val="single"/>
        </w:rPr>
      </w:pPr>
      <w:r w:rsidRPr="00E7061E">
        <w:rPr>
          <w:rFonts w:cstheme="minorHAnsi"/>
          <w:u w:val="single"/>
        </w:rPr>
        <w:t>Location-Based Method</w:t>
      </w:r>
      <w:r w:rsidRPr="00E7061E">
        <w:rPr>
          <w:rFonts w:cstheme="minorHAnsi"/>
          <w:u w:val="single"/>
        </w:rPr>
        <w:tab/>
      </w:r>
    </w:p>
    <w:p w14:paraId="666A7C17" w14:textId="5C965D28" w:rsidR="006D6BDF" w:rsidRPr="00E7061E" w:rsidRDefault="00E7061E" w:rsidP="00E10897">
      <w:pPr>
        <w:pStyle w:val="Calloutbox"/>
        <w:numPr>
          <w:ilvl w:val="0"/>
          <w:numId w:val="30"/>
        </w:numPr>
      </w:pPr>
      <w:r w:rsidRPr="00E7061E">
        <w:rPr>
          <w:rFonts w:cstheme="minorHAnsi"/>
        </w:rPr>
        <w:t>Surrendered LGCs, including under PPAs, cannot be used to make zero emission claims under the location-based method.</w:t>
      </w:r>
    </w:p>
    <w:p w14:paraId="1E277B57" w14:textId="77777777" w:rsidR="006D6BDF" w:rsidRPr="00081BFB" w:rsidRDefault="006D6BDF" w:rsidP="003B47A9">
      <w:pPr>
        <w:pStyle w:val="Heading2"/>
      </w:pPr>
      <w:bookmarkStart w:id="516" w:name="_Toc59114621"/>
      <w:bookmarkStart w:id="517" w:name="_Toc67562649"/>
      <w:bookmarkStart w:id="518" w:name="_Toc68000231"/>
      <w:bookmarkStart w:id="519" w:name="_Toc68083162"/>
      <w:bookmarkStart w:id="520" w:name="_Toc68083557"/>
      <w:bookmarkStart w:id="521" w:name="_Toc68105096"/>
      <w:bookmarkStart w:id="522" w:name="_Toc74839375"/>
      <w:r w:rsidRPr="00081BFB">
        <w:t>Local Renewable Energy Generation</w:t>
      </w:r>
      <w:bookmarkEnd w:id="516"/>
      <w:bookmarkEnd w:id="517"/>
      <w:bookmarkEnd w:id="518"/>
      <w:bookmarkEnd w:id="519"/>
      <w:bookmarkEnd w:id="520"/>
      <w:bookmarkEnd w:id="521"/>
      <w:bookmarkEnd w:id="522"/>
    </w:p>
    <w:p w14:paraId="5D23B4DA" w14:textId="561CF42E" w:rsidR="006D6BDF" w:rsidRPr="001C410B" w:rsidRDefault="006D6BDF" w:rsidP="006D6BDF">
      <w:r w:rsidRPr="00081BFB">
        <w:t>Businesses with their own solar or other renewable energy generation system can directly consume electricity from that system ‘behind the meter’, or export it into energy distribution networks. Behind the meter usage of renewable generation systems may be ac</w:t>
      </w:r>
      <w:r w:rsidR="00E10897">
        <w:t>counted for under both location</w:t>
      </w:r>
      <w:r w:rsidRPr="00081BFB">
        <w:t xml:space="preserve"> and market-based methods. Exported electricity can be accounted for unde</w:t>
      </w:r>
      <w:r w:rsidR="001C410B">
        <w:t>r the market-based method only.</w:t>
      </w:r>
    </w:p>
    <w:p w14:paraId="309B630C" w14:textId="77777777" w:rsidR="00F80E17" w:rsidRPr="00E7061E" w:rsidRDefault="00F80E17" w:rsidP="00F80E17">
      <w:pPr>
        <w:pStyle w:val="Calloutbox"/>
        <w:rPr>
          <w:rFonts w:ascii="Arial" w:hAnsi="Arial" w:cs="Arial"/>
          <w:b/>
        </w:rPr>
      </w:pPr>
      <w:r w:rsidRPr="00E7061E">
        <w:rPr>
          <w:rFonts w:ascii="Arial" w:hAnsi="Arial" w:cs="Arial"/>
          <w:b/>
        </w:rPr>
        <w:t xml:space="preserve">Proposed Guidelines: </w:t>
      </w:r>
    </w:p>
    <w:p w14:paraId="54339448" w14:textId="77777777" w:rsidR="00F80E17" w:rsidRPr="005F308E" w:rsidRDefault="00F80E17" w:rsidP="00F80E17">
      <w:pPr>
        <w:pStyle w:val="Calloutbox"/>
        <w:rPr>
          <w:rFonts w:asciiTheme="majorHAnsi" w:hAnsiTheme="majorHAnsi" w:cstheme="majorHAnsi"/>
          <w:u w:val="single"/>
        </w:rPr>
      </w:pPr>
      <w:r w:rsidRPr="005F308E">
        <w:rPr>
          <w:rFonts w:asciiTheme="majorHAnsi" w:hAnsiTheme="majorHAnsi" w:cstheme="majorHAnsi"/>
          <w:u w:val="single"/>
        </w:rPr>
        <w:t>Market-Based Method</w:t>
      </w:r>
    </w:p>
    <w:p w14:paraId="59CC6E96" w14:textId="70DB277D" w:rsidR="00F80E17" w:rsidRPr="005F308E" w:rsidRDefault="00F80E17" w:rsidP="00E10897">
      <w:pPr>
        <w:pStyle w:val="Calloutbox"/>
        <w:numPr>
          <w:ilvl w:val="0"/>
          <w:numId w:val="30"/>
        </w:numPr>
        <w:rPr>
          <w:rFonts w:asciiTheme="majorHAnsi" w:hAnsiTheme="majorHAnsi" w:cstheme="majorHAnsi"/>
        </w:rPr>
      </w:pPr>
      <w:r w:rsidRPr="005F308E">
        <w:rPr>
          <w:rFonts w:asciiTheme="majorHAnsi" w:hAnsiTheme="majorHAnsi" w:cstheme="majorHAnsi"/>
        </w:rPr>
        <w:t>Behind the meter usage of electricity from large scale systems may be reported and assigned an emissions fact</w:t>
      </w:r>
      <w:r>
        <w:rPr>
          <w:rFonts w:asciiTheme="majorHAnsi" w:hAnsiTheme="majorHAnsi" w:cstheme="majorHAnsi"/>
        </w:rPr>
        <w:t>or of zero</w:t>
      </w:r>
      <w:r w:rsidRPr="005F308E">
        <w:rPr>
          <w:rFonts w:asciiTheme="majorHAnsi" w:hAnsiTheme="majorHAnsi" w:cstheme="majorHAnsi"/>
        </w:rPr>
        <w:t xml:space="preserve">, only if any LGCs associated with that generation are </w:t>
      </w:r>
      <w:r>
        <w:rPr>
          <w:rFonts w:asciiTheme="majorHAnsi" w:hAnsiTheme="majorHAnsi" w:cstheme="majorHAnsi"/>
        </w:rPr>
        <w:t>surrendered</w:t>
      </w:r>
      <w:r w:rsidRPr="005F308E">
        <w:rPr>
          <w:rFonts w:asciiTheme="majorHAnsi" w:hAnsiTheme="majorHAnsi" w:cstheme="majorHAnsi"/>
        </w:rPr>
        <w:t xml:space="preserve"> or none will be created.</w:t>
      </w:r>
    </w:p>
    <w:p w14:paraId="12BB67EE" w14:textId="77777777" w:rsidR="00F80E17" w:rsidRPr="005F308E" w:rsidRDefault="00F80E17" w:rsidP="00E10897">
      <w:pPr>
        <w:pStyle w:val="Calloutbox"/>
        <w:numPr>
          <w:ilvl w:val="0"/>
          <w:numId w:val="30"/>
        </w:numPr>
        <w:rPr>
          <w:rFonts w:asciiTheme="majorHAnsi" w:hAnsiTheme="majorHAnsi" w:cstheme="majorHAnsi"/>
        </w:rPr>
      </w:pPr>
      <w:r w:rsidRPr="005F308E">
        <w:rPr>
          <w:rFonts w:asciiTheme="majorHAnsi" w:hAnsiTheme="majorHAnsi" w:cstheme="majorHAnsi"/>
        </w:rPr>
        <w:t>If LGCs are created and sold, behind the meter usage from large scale systems must be treated the same as electricity consumption from the grid (that is, treated as residual electricity).</w:t>
      </w:r>
    </w:p>
    <w:p w14:paraId="3A8EDD78" w14:textId="77777777" w:rsidR="00F80E17" w:rsidRPr="005F308E" w:rsidRDefault="00F80E17" w:rsidP="00E10897">
      <w:pPr>
        <w:pStyle w:val="Calloutbox"/>
        <w:numPr>
          <w:ilvl w:val="0"/>
          <w:numId w:val="30"/>
        </w:numPr>
        <w:rPr>
          <w:rFonts w:asciiTheme="majorHAnsi" w:hAnsiTheme="majorHAnsi" w:cstheme="majorHAnsi"/>
        </w:rPr>
      </w:pPr>
      <w:r w:rsidRPr="005F308E">
        <w:rPr>
          <w:rFonts w:asciiTheme="majorHAnsi" w:hAnsiTheme="majorHAnsi" w:cstheme="majorHAnsi"/>
        </w:rPr>
        <w:t>Behind the meter usage of electricity from small-scale systems may be reported and assigned an emissions factor of zero, regardless of whether any STCs associated with this generation have been created, transferred or sold.</w:t>
      </w:r>
    </w:p>
    <w:p w14:paraId="15D30D6D" w14:textId="48E5AA7E" w:rsidR="00F80E17" w:rsidRPr="005F308E" w:rsidRDefault="00F80E17" w:rsidP="00E10897">
      <w:pPr>
        <w:pStyle w:val="Calloutbox"/>
        <w:numPr>
          <w:ilvl w:val="0"/>
          <w:numId w:val="30"/>
        </w:numPr>
        <w:rPr>
          <w:rFonts w:asciiTheme="majorHAnsi" w:hAnsiTheme="majorHAnsi" w:cstheme="majorHAnsi"/>
        </w:rPr>
      </w:pPr>
      <w:r w:rsidRPr="005F308E">
        <w:rPr>
          <w:rFonts w:asciiTheme="majorHAnsi" w:hAnsiTheme="majorHAnsi" w:cstheme="majorHAnsi"/>
        </w:rPr>
        <w:t xml:space="preserve">Exported electricity from renewable systems is converted into an emissions reduction equivalent and netted from gross emissions. This is achieved by multiplying exported electricity by the national scope 2 electricity factor only (to account for transmission losses), for the year of the generation. Any LGCs must be </w:t>
      </w:r>
      <w:r>
        <w:rPr>
          <w:rFonts w:asciiTheme="majorHAnsi" w:hAnsiTheme="majorHAnsi" w:cstheme="majorHAnsi"/>
        </w:rPr>
        <w:t>surrendered</w:t>
      </w:r>
      <w:r w:rsidRPr="005F308E">
        <w:rPr>
          <w:rFonts w:asciiTheme="majorHAnsi" w:hAnsiTheme="majorHAnsi" w:cstheme="majorHAnsi"/>
        </w:rPr>
        <w:t xml:space="preserve"> or none will be created. Any STCs associated with this generation do not need to be </w:t>
      </w:r>
      <w:r>
        <w:rPr>
          <w:rFonts w:asciiTheme="majorHAnsi" w:hAnsiTheme="majorHAnsi" w:cstheme="majorHAnsi"/>
        </w:rPr>
        <w:t>surrendered</w:t>
      </w:r>
      <w:r w:rsidRPr="005F308E">
        <w:rPr>
          <w:rFonts w:asciiTheme="majorHAnsi" w:hAnsiTheme="majorHAnsi" w:cstheme="majorHAnsi"/>
        </w:rPr>
        <w:t>.</w:t>
      </w:r>
    </w:p>
    <w:p w14:paraId="5CB6D75A" w14:textId="77777777" w:rsidR="00F80E17" w:rsidRPr="005F308E" w:rsidRDefault="00F80E17" w:rsidP="00F80E17">
      <w:pPr>
        <w:pStyle w:val="Calloutbox"/>
        <w:rPr>
          <w:rFonts w:asciiTheme="majorHAnsi" w:hAnsiTheme="majorHAnsi" w:cstheme="majorHAnsi"/>
          <w:u w:val="single"/>
        </w:rPr>
      </w:pPr>
      <w:r w:rsidRPr="005F308E">
        <w:rPr>
          <w:rFonts w:asciiTheme="majorHAnsi" w:hAnsiTheme="majorHAnsi" w:cstheme="majorHAnsi"/>
          <w:u w:val="single"/>
        </w:rPr>
        <w:t>Location-Based Method</w:t>
      </w:r>
    </w:p>
    <w:p w14:paraId="6D707FD8" w14:textId="77777777" w:rsidR="00F80E17" w:rsidRPr="005F308E" w:rsidRDefault="00F80E17" w:rsidP="00E10897">
      <w:pPr>
        <w:pStyle w:val="Calloutbox"/>
        <w:numPr>
          <w:ilvl w:val="0"/>
          <w:numId w:val="30"/>
        </w:numPr>
        <w:rPr>
          <w:rFonts w:asciiTheme="majorHAnsi" w:hAnsiTheme="majorHAnsi" w:cstheme="majorHAnsi"/>
        </w:rPr>
      </w:pPr>
      <w:r w:rsidRPr="005F308E">
        <w:rPr>
          <w:rFonts w:asciiTheme="majorHAnsi" w:hAnsiTheme="majorHAnsi" w:cstheme="majorHAnsi"/>
        </w:rPr>
        <w:t xml:space="preserve">Behind the meter usage of electricity from large scale systems may be reported and assigned an emissions factor of zero, provided any LGCs associated with that generation are </w:t>
      </w:r>
      <w:r>
        <w:rPr>
          <w:rFonts w:asciiTheme="majorHAnsi" w:hAnsiTheme="majorHAnsi" w:cstheme="majorHAnsi"/>
        </w:rPr>
        <w:t>surrendered</w:t>
      </w:r>
      <w:r w:rsidRPr="005F308E">
        <w:rPr>
          <w:rFonts w:asciiTheme="majorHAnsi" w:hAnsiTheme="majorHAnsi" w:cstheme="majorHAnsi"/>
        </w:rPr>
        <w:t xml:space="preserve"> or none will be created.</w:t>
      </w:r>
    </w:p>
    <w:p w14:paraId="0FE56DBE" w14:textId="77777777" w:rsidR="00F80E17" w:rsidRPr="005F308E" w:rsidRDefault="00F80E17" w:rsidP="00E10897">
      <w:pPr>
        <w:pStyle w:val="Calloutbox"/>
        <w:numPr>
          <w:ilvl w:val="0"/>
          <w:numId w:val="30"/>
        </w:numPr>
        <w:rPr>
          <w:rFonts w:asciiTheme="majorHAnsi" w:hAnsiTheme="majorHAnsi" w:cstheme="majorHAnsi"/>
        </w:rPr>
      </w:pPr>
      <w:r w:rsidRPr="005F308E">
        <w:rPr>
          <w:rFonts w:asciiTheme="majorHAnsi" w:hAnsiTheme="majorHAnsi" w:cstheme="majorHAnsi"/>
        </w:rPr>
        <w:t xml:space="preserve">If LGCs are created and sold, behind the meter usage from large scale systems must be treated the same as electricity consumption from the grid. </w:t>
      </w:r>
    </w:p>
    <w:p w14:paraId="6FAFD7A1" w14:textId="77777777" w:rsidR="00F80E17" w:rsidRPr="005F308E" w:rsidRDefault="00F80E17" w:rsidP="00E10897">
      <w:pPr>
        <w:pStyle w:val="Calloutbox"/>
        <w:numPr>
          <w:ilvl w:val="0"/>
          <w:numId w:val="30"/>
        </w:numPr>
        <w:rPr>
          <w:rFonts w:asciiTheme="majorHAnsi" w:hAnsiTheme="majorHAnsi" w:cstheme="majorHAnsi"/>
        </w:rPr>
      </w:pPr>
      <w:r w:rsidRPr="005F308E">
        <w:rPr>
          <w:rFonts w:asciiTheme="majorHAnsi" w:hAnsiTheme="majorHAnsi" w:cstheme="majorHAnsi"/>
        </w:rPr>
        <w:t>Behind the meter usage of electricity from small-scale systems may be reported and assigned an emissions factor of zero, regardless of whether any STCs associated with this generation have been created, transferred or sold.</w:t>
      </w:r>
    </w:p>
    <w:p w14:paraId="48145619" w14:textId="6B868736" w:rsidR="006D6BDF" w:rsidRPr="00081BFB" w:rsidRDefault="00F80E17" w:rsidP="00F80E17">
      <w:pPr>
        <w:pStyle w:val="Calloutbox"/>
        <w:numPr>
          <w:ilvl w:val="0"/>
          <w:numId w:val="30"/>
        </w:numPr>
      </w:pPr>
      <w:r w:rsidRPr="005F308E">
        <w:rPr>
          <w:rFonts w:asciiTheme="majorHAnsi" w:hAnsiTheme="majorHAnsi" w:cstheme="majorHAnsi"/>
        </w:rPr>
        <w:t>Exported electricity cannot be used as a reduction in electricity emissions under the location-based method.</w:t>
      </w:r>
    </w:p>
    <w:p w14:paraId="4F37CEC1" w14:textId="77777777" w:rsidR="006D6BDF" w:rsidRPr="00081BFB" w:rsidRDefault="006D6BDF" w:rsidP="003B47A9">
      <w:pPr>
        <w:pStyle w:val="Heading2"/>
      </w:pPr>
      <w:bookmarkStart w:id="523" w:name="_Toc59114622"/>
      <w:bookmarkStart w:id="524" w:name="_Toc67562650"/>
      <w:bookmarkStart w:id="525" w:name="_Toc68000232"/>
      <w:bookmarkStart w:id="526" w:name="_Toc68083163"/>
      <w:bookmarkStart w:id="527" w:name="_Toc68083558"/>
      <w:bookmarkStart w:id="528" w:name="_Toc68105097"/>
      <w:bookmarkStart w:id="529" w:name="_Toc74839376"/>
      <w:r w:rsidRPr="00081BFB">
        <w:t>Jurisdictional Renewable Energy Targets</w:t>
      </w:r>
      <w:bookmarkEnd w:id="523"/>
      <w:bookmarkEnd w:id="524"/>
      <w:bookmarkEnd w:id="525"/>
      <w:bookmarkEnd w:id="526"/>
      <w:bookmarkEnd w:id="527"/>
      <w:bookmarkEnd w:id="528"/>
      <w:bookmarkEnd w:id="529"/>
    </w:p>
    <w:p w14:paraId="2B039B81" w14:textId="6E6FA5F0" w:rsidR="006D6BDF" w:rsidRPr="00081BFB" w:rsidRDefault="006D6BDF" w:rsidP="0039777A">
      <w:r w:rsidRPr="00081BFB">
        <w:t xml:space="preserve">States and territories may have renewable energy targets over and above the LRET requirement. Where the jurisdictional government </w:t>
      </w:r>
      <w:r w:rsidR="00205311">
        <w:t>surrendered</w:t>
      </w:r>
      <w:r w:rsidR="00205311" w:rsidRPr="00081BFB">
        <w:t xml:space="preserve"> </w:t>
      </w:r>
      <w:r w:rsidRPr="00081BFB">
        <w:t xml:space="preserve">LGCs as part of a renewable energy target, a business operating in that jurisdiction can claim the corresponding percentage of their business’s total electricity consumption as zero emissions under the market-based method. This is provided that LGCs are </w:t>
      </w:r>
      <w:r w:rsidR="00205311">
        <w:t>surrendere</w:t>
      </w:r>
      <w:r w:rsidR="00205311" w:rsidRPr="00081BFB">
        <w:t xml:space="preserve">d </w:t>
      </w:r>
      <w:r w:rsidRPr="00081BFB">
        <w:t>on behalf of the jurisdiction’s citizens and the claiming business has either explicitly or implicitly paid for that investment.</w:t>
      </w:r>
    </w:p>
    <w:p w14:paraId="7B6CE64D" w14:textId="77777777" w:rsidR="00F80E17" w:rsidRPr="00F80E17" w:rsidRDefault="00F80E17" w:rsidP="00F80E17">
      <w:pPr>
        <w:pStyle w:val="Calloutbox"/>
        <w:rPr>
          <w:rFonts w:ascii="Arial" w:hAnsi="Arial" w:cs="Arial"/>
          <w:b/>
        </w:rPr>
      </w:pPr>
      <w:r w:rsidRPr="00F80E17">
        <w:rPr>
          <w:rFonts w:ascii="Arial" w:hAnsi="Arial" w:cs="Arial"/>
          <w:b/>
        </w:rPr>
        <w:t xml:space="preserve">Proposed Guidelines: </w:t>
      </w:r>
    </w:p>
    <w:p w14:paraId="1BCC187A" w14:textId="77777777" w:rsidR="00F80E17" w:rsidRPr="0039777A" w:rsidRDefault="00F80E17" w:rsidP="00F80E17">
      <w:pPr>
        <w:pStyle w:val="Calloutbox"/>
        <w:rPr>
          <w:rFonts w:asciiTheme="majorHAnsi" w:hAnsiTheme="majorHAnsi" w:cstheme="majorHAnsi"/>
          <w:u w:val="single"/>
        </w:rPr>
      </w:pPr>
      <w:r w:rsidRPr="0039777A">
        <w:rPr>
          <w:rFonts w:asciiTheme="majorHAnsi" w:hAnsiTheme="majorHAnsi" w:cstheme="majorHAnsi"/>
          <w:u w:val="single"/>
        </w:rPr>
        <w:t>Market-Based Method</w:t>
      </w:r>
    </w:p>
    <w:p w14:paraId="7FD3C793" w14:textId="7D2009C2" w:rsidR="00F80E17" w:rsidRPr="0039777A" w:rsidRDefault="00F80E17" w:rsidP="00BC0AD3">
      <w:pPr>
        <w:pStyle w:val="Calloutbox"/>
        <w:numPr>
          <w:ilvl w:val="0"/>
          <w:numId w:val="30"/>
        </w:numPr>
        <w:rPr>
          <w:rFonts w:asciiTheme="majorHAnsi" w:hAnsiTheme="majorHAnsi" w:cstheme="majorHAnsi"/>
        </w:rPr>
      </w:pPr>
      <w:r w:rsidRPr="0039777A">
        <w:rPr>
          <w:rFonts w:asciiTheme="majorHAnsi" w:hAnsiTheme="majorHAnsi" w:cstheme="majorHAnsi"/>
        </w:rPr>
        <w:t xml:space="preserve">A business operating in a jurisdiction where the government </w:t>
      </w:r>
      <w:r>
        <w:rPr>
          <w:rFonts w:asciiTheme="majorHAnsi" w:hAnsiTheme="majorHAnsi" w:cstheme="majorHAnsi"/>
        </w:rPr>
        <w:t>surrendered</w:t>
      </w:r>
      <w:r w:rsidRPr="0039777A">
        <w:rPr>
          <w:rFonts w:asciiTheme="majorHAnsi" w:hAnsiTheme="majorHAnsi" w:cstheme="majorHAnsi"/>
        </w:rPr>
        <w:t xml:space="preserve"> LGCs</w:t>
      </w:r>
      <w:r w:rsidR="00BC0AD3">
        <w:rPr>
          <w:rFonts w:asciiTheme="majorHAnsi" w:hAnsiTheme="majorHAnsi" w:cstheme="majorHAnsi"/>
        </w:rPr>
        <w:t xml:space="preserve"> </w:t>
      </w:r>
      <w:r w:rsidR="00BC0AD3" w:rsidRPr="00081BFB">
        <w:t>as part of a renewable energy target,</w:t>
      </w:r>
      <w:r w:rsidRPr="0039777A">
        <w:rPr>
          <w:rFonts w:asciiTheme="majorHAnsi" w:hAnsiTheme="majorHAnsi" w:cstheme="majorHAnsi"/>
        </w:rPr>
        <w:t xml:space="preserve"> can claim the corresponding percentage of emissions impact on their electricity consumption as zero, provided that the LGCs are </w:t>
      </w:r>
      <w:r>
        <w:rPr>
          <w:rFonts w:asciiTheme="majorHAnsi" w:hAnsiTheme="majorHAnsi" w:cstheme="majorHAnsi"/>
        </w:rPr>
        <w:t>surrendered</w:t>
      </w:r>
      <w:r w:rsidRPr="0039777A">
        <w:rPr>
          <w:rFonts w:asciiTheme="majorHAnsi" w:hAnsiTheme="majorHAnsi" w:cstheme="majorHAnsi"/>
        </w:rPr>
        <w:t xml:space="preserve"> on behalf of the jurisdictions’ </w:t>
      </w:r>
      <w:r>
        <w:rPr>
          <w:rFonts w:asciiTheme="majorHAnsi" w:hAnsiTheme="majorHAnsi" w:cstheme="majorHAnsi"/>
        </w:rPr>
        <w:t>residents</w:t>
      </w:r>
      <w:r w:rsidRPr="0039777A">
        <w:rPr>
          <w:rFonts w:asciiTheme="majorHAnsi" w:hAnsiTheme="majorHAnsi" w:cstheme="majorHAnsi"/>
        </w:rPr>
        <w:t xml:space="preserve"> and the claim is auditable for the given reporting year.  </w:t>
      </w:r>
    </w:p>
    <w:p w14:paraId="7A9C48A3" w14:textId="77777777" w:rsidR="00F80E17" w:rsidRPr="0039777A" w:rsidRDefault="00F80E17" w:rsidP="00F80E17">
      <w:pPr>
        <w:pStyle w:val="Calloutbox"/>
        <w:rPr>
          <w:rFonts w:asciiTheme="majorHAnsi" w:hAnsiTheme="majorHAnsi" w:cstheme="majorHAnsi"/>
          <w:u w:val="single"/>
        </w:rPr>
      </w:pPr>
      <w:r w:rsidRPr="0039777A">
        <w:rPr>
          <w:rFonts w:asciiTheme="majorHAnsi" w:hAnsiTheme="majorHAnsi" w:cstheme="majorHAnsi"/>
          <w:u w:val="single"/>
        </w:rPr>
        <w:t>Location-Based Method</w:t>
      </w:r>
    </w:p>
    <w:p w14:paraId="49FE36E2" w14:textId="7262A5C2" w:rsidR="006D6BDF" w:rsidRPr="00BC0AD3" w:rsidRDefault="00F80E17" w:rsidP="006D6BDF">
      <w:pPr>
        <w:pStyle w:val="Calloutbox"/>
        <w:numPr>
          <w:ilvl w:val="0"/>
          <w:numId w:val="30"/>
        </w:numPr>
      </w:pPr>
      <w:r w:rsidRPr="0039777A">
        <w:rPr>
          <w:rFonts w:asciiTheme="majorHAnsi" w:hAnsiTheme="majorHAnsi" w:cstheme="majorHAnsi"/>
        </w:rPr>
        <w:t>There is no separate accounting treatment, as the emissions benefit is already included in the state factors used to convert electricity consumption into its emissions equivalent.</w:t>
      </w:r>
      <w:r>
        <w:rPr>
          <w:rFonts w:asciiTheme="majorHAnsi" w:hAnsiTheme="majorHAnsi" w:cstheme="majorHAnsi"/>
        </w:rPr>
        <w:t xml:space="preserve"> </w:t>
      </w:r>
    </w:p>
    <w:p w14:paraId="388C5617" w14:textId="77777777" w:rsidR="006D6BDF" w:rsidRPr="00081BFB" w:rsidRDefault="006D6BDF" w:rsidP="003B47A9">
      <w:pPr>
        <w:pStyle w:val="Heading2"/>
      </w:pPr>
      <w:bookmarkStart w:id="530" w:name="_Toc59114623"/>
      <w:bookmarkStart w:id="531" w:name="_Toc67562651"/>
      <w:bookmarkStart w:id="532" w:name="_Toc68000233"/>
      <w:bookmarkStart w:id="533" w:name="_Toc68083164"/>
      <w:bookmarkStart w:id="534" w:name="_Toc68083559"/>
      <w:bookmarkStart w:id="535" w:name="_Toc68105098"/>
      <w:bookmarkStart w:id="536" w:name="_Toc74839377"/>
      <w:r w:rsidRPr="00081BFB">
        <w:t>Climate Active Certified Carbon Neutral Electricity</w:t>
      </w:r>
      <w:bookmarkEnd w:id="530"/>
      <w:bookmarkEnd w:id="531"/>
      <w:bookmarkEnd w:id="532"/>
      <w:bookmarkEnd w:id="533"/>
      <w:bookmarkEnd w:id="534"/>
      <w:bookmarkEnd w:id="535"/>
      <w:bookmarkEnd w:id="536"/>
    </w:p>
    <w:p w14:paraId="7ACF8FF6" w14:textId="1D849ADC" w:rsidR="006D6BDF" w:rsidRPr="00081BFB" w:rsidRDefault="006D6BDF" w:rsidP="001C410B">
      <w:r w:rsidRPr="00081BFB">
        <w:t>A business can purchase Climate Active certified carbon neutral electricity. The emissions associated with generating and consumin</w:t>
      </w:r>
      <w:r w:rsidR="00960974">
        <w:t xml:space="preserve">g this electricity have been </w:t>
      </w:r>
      <w:r w:rsidRPr="00081BFB">
        <w:t xml:space="preserve">compensated for through the purchase of carbon offset units. </w:t>
      </w:r>
    </w:p>
    <w:p w14:paraId="1F3626B3" w14:textId="77777777" w:rsidR="00E37DDD" w:rsidRPr="00E37DDD" w:rsidRDefault="00E37DDD" w:rsidP="00E37DDD">
      <w:pPr>
        <w:pStyle w:val="Calloutbox"/>
        <w:rPr>
          <w:rFonts w:ascii="Arial" w:hAnsi="Arial" w:cs="Arial"/>
          <w:b/>
        </w:rPr>
      </w:pPr>
      <w:r w:rsidRPr="00E37DDD">
        <w:rPr>
          <w:rFonts w:ascii="Arial" w:hAnsi="Arial" w:cs="Arial"/>
          <w:b/>
        </w:rPr>
        <w:t xml:space="preserve">Proposed Guidelines: </w:t>
      </w:r>
    </w:p>
    <w:p w14:paraId="2F92BC9C" w14:textId="1F06C1F2" w:rsidR="006D6BDF" w:rsidRPr="00081BFB" w:rsidRDefault="00E37DDD" w:rsidP="00BC0AD3">
      <w:pPr>
        <w:pStyle w:val="Calloutbox"/>
        <w:numPr>
          <w:ilvl w:val="0"/>
          <w:numId w:val="30"/>
        </w:numPr>
      </w:pPr>
      <w:r>
        <w:t>Carbon neutral electricity uses offsets rather than renewables, therefore carbon neutral electricity cannot be used to represent zero emissions for the market-based or location-based approach.</w:t>
      </w:r>
    </w:p>
    <w:p w14:paraId="2B5A6C70" w14:textId="77777777" w:rsidR="006D6BDF" w:rsidRPr="00081BFB" w:rsidRDefault="006D6BDF" w:rsidP="003B47A9">
      <w:pPr>
        <w:pStyle w:val="Heading2"/>
      </w:pPr>
      <w:bookmarkStart w:id="537" w:name="_Toc59114624"/>
      <w:bookmarkStart w:id="538" w:name="_Toc67562652"/>
      <w:bookmarkStart w:id="539" w:name="_Toc68000234"/>
      <w:bookmarkStart w:id="540" w:name="_Toc68083165"/>
      <w:bookmarkStart w:id="541" w:name="_Toc68083560"/>
      <w:bookmarkStart w:id="542" w:name="_Toc68105099"/>
      <w:bookmarkStart w:id="543" w:name="_Toc74839378"/>
      <w:r w:rsidRPr="00081BFB">
        <w:t>Grid Imported (Residual) Electricity</w:t>
      </w:r>
      <w:bookmarkEnd w:id="537"/>
      <w:bookmarkEnd w:id="538"/>
      <w:bookmarkEnd w:id="539"/>
      <w:bookmarkEnd w:id="540"/>
      <w:bookmarkEnd w:id="541"/>
      <w:bookmarkEnd w:id="542"/>
      <w:bookmarkEnd w:id="543"/>
    </w:p>
    <w:p w14:paraId="29D4B72B" w14:textId="0603A9FA" w:rsidR="00A856F8" w:rsidRPr="000C2B16" w:rsidRDefault="006D6BDF" w:rsidP="000C2B16">
      <w:pPr>
        <w:rPr>
          <w:rFonts w:cstheme="minorHAnsi"/>
        </w:rPr>
        <w:sectPr w:rsidR="00A856F8" w:rsidRPr="000C2B16" w:rsidSect="005F166A">
          <w:pgSz w:w="11906" w:h="16838" w:code="9"/>
          <w:pgMar w:top="1644" w:right="1474" w:bottom="1134" w:left="1701" w:header="794" w:footer="284" w:gutter="0"/>
          <w:cols w:space="708"/>
          <w:formProt w:val="0"/>
          <w:docGrid w:linePitch="360"/>
        </w:sectPr>
      </w:pPr>
      <w:r w:rsidRPr="00EA3F2B">
        <w:rPr>
          <w:rFonts w:cstheme="minorHAnsi"/>
        </w:rPr>
        <w:t xml:space="preserve">Under the location-based method, the emissions impact from a business’s use of grid electricity is calculated using the relevant emissions factors published in the </w:t>
      </w:r>
      <w:hyperlink r:id="rId45" w:history="1">
        <w:r w:rsidRPr="00EA3F2B">
          <w:rPr>
            <w:rStyle w:val="Hyperlink"/>
            <w:rFonts w:cstheme="minorHAnsi"/>
          </w:rPr>
          <w:t>National Greenhouse Accounts</w:t>
        </w:r>
      </w:hyperlink>
      <w:r w:rsidRPr="00EA3F2B">
        <w:rPr>
          <w:rFonts w:cstheme="minorHAnsi"/>
        </w:rPr>
        <w:t>. Under the market-based method, the published National Greenhouse Accounts (NGA</w:t>
      </w:r>
      <w:r w:rsidR="00960974">
        <w:rPr>
          <w:rFonts w:cstheme="minorHAnsi"/>
        </w:rPr>
        <w:t>) national electricity factor would be</w:t>
      </w:r>
      <w:r w:rsidRPr="00EA3F2B">
        <w:rPr>
          <w:rFonts w:cstheme="minorHAnsi"/>
        </w:rPr>
        <w:t xml:space="preserve"> adjusted to remove the emissions benefit of all claimable </w:t>
      </w:r>
      <w:r w:rsidR="00CF3AE5" w:rsidRPr="00EA3F2B">
        <w:rPr>
          <w:rFonts w:cstheme="minorHAnsi"/>
        </w:rPr>
        <w:t xml:space="preserve">renewable generation </w:t>
      </w:r>
      <w:r w:rsidRPr="00EA3F2B">
        <w:rPr>
          <w:rFonts w:cstheme="minorHAnsi"/>
        </w:rPr>
        <w:t>(through LGCs</w:t>
      </w:r>
      <w:r w:rsidR="00CF3AE5" w:rsidRPr="00EA3F2B">
        <w:rPr>
          <w:rFonts w:cstheme="minorHAnsi"/>
        </w:rPr>
        <w:t xml:space="preserve"> and Renewable GOs when established</w:t>
      </w:r>
      <w:r w:rsidRPr="00EA3F2B">
        <w:rPr>
          <w:rFonts w:cstheme="minorHAnsi"/>
        </w:rPr>
        <w:t>) to produc</w:t>
      </w:r>
      <w:r w:rsidR="00EA3F2B">
        <w:rPr>
          <w:rFonts w:cstheme="minorHAnsi"/>
        </w:rPr>
        <w:t xml:space="preserve">e a residual mix factor (RMF). </w:t>
      </w:r>
      <w:r w:rsidR="000A2A56">
        <w:rPr>
          <w:rFonts w:cstheme="minorHAnsi"/>
        </w:rPr>
        <w:t xml:space="preserve">This residual mix factor will be </w:t>
      </w:r>
      <w:r w:rsidR="000A2A56">
        <w:t xml:space="preserve">applied to </w:t>
      </w:r>
      <w:r w:rsidR="000A2A56" w:rsidRPr="006F6E6D">
        <w:rPr>
          <w:rStyle w:val="Strong"/>
          <w:b w:val="0"/>
        </w:rPr>
        <w:t>electricity consumed that</w:t>
      </w:r>
      <w:r w:rsidR="000A2A56">
        <w:rPr>
          <w:rStyle w:val="Strong"/>
          <w:b w:val="0"/>
        </w:rPr>
        <w:t xml:space="preserve"> does not have a corresponding renewable energy certificate.</w:t>
      </w:r>
    </w:p>
    <w:p w14:paraId="6C15A04F" w14:textId="6055CD89" w:rsidR="004D54C6" w:rsidRDefault="00A856F8" w:rsidP="00822A8F">
      <w:pPr>
        <w:pStyle w:val="Heading1"/>
      </w:pPr>
      <w:bookmarkStart w:id="544" w:name="_Toc65168400"/>
      <w:bookmarkStart w:id="545" w:name="_Toc67329140"/>
      <w:bookmarkStart w:id="546" w:name="_Toc67329388"/>
      <w:bookmarkStart w:id="547" w:name="_Toc67562654"/>
      <w:bookmarkStart w:id="548" w:name="_Toc68000235"/>
      <w:bookmarkStart w:id="549" w:name="_Toc68083166"/>
      <w:bookmarkStart w:id="550" w:name="_Toc68083561"/>
      <w:bookmarkStart w:id="551" w:name="_Toc68105100"/>
      <w:bookmarkStart w:id="552" w:name="_Toc74839379"/>
      <w:r>
        <w:t>Attachment E: Summary of NGERS methods and other guidance</w:t>
      </w:r>
      <w:bookmarkEnd w:id="544"/>
      <w:bookmarkEnd w:id="545"/>
      <w:bookmarkEnd w:id="546"/>
      <w:bookmarkEnd w:id="547"/>
      <w:bookmarkEnd w:id="548"/>
      <w:bookmarkEnd w:id="549"/>
      <w:bookmarkEnd w:id="550"/>
      <w:bookmarkEnd w:id="551"/>
      <w:bookmarkEnd w:id="552"/>
    </w:p>
    <w:tbl>
      <w:tblPr>
        <w:tblStyle w:val="EPLTableStandard"/>
        <w:tblW w:w="0" w:type="auto"/>
        <w:tblInd w:w="-142" w:type="dxa"/>
        <w:tblLook w:val="04A0" w:firstRow="1" w:lastRow="0" w:firstColumn="1" w:lastColumn="0" w:noHBand="0" w:noVBand="1"/>
        <w:tblDescription w:val="This table summarises the NGER methods that are applicable to accounting methodologies relating to hydrogen production processes. The emissions/energy categories with corresponding NGER methodologies include; solid fuel combustion, electricity consumption, liquid fuel combustion, gaseous fuel combustion, coal mining fugitives, carbon capture and storage, steam/heat cogeneration and refrigerants. "/>
      </w:tblPr>
      <w:tblGrid>
        <w:gridCol w:w="1842"/>
        <w:gridCol w:w="5951"/>
        <w:gridCol w:w="2834"/>
        <w:gridCol w:w="3569"/>
      </w:tblGrid>
      <w:tr w:rsidR="00A856F8" w:rsidRPr="00466BE3" w14:paraId="7C9A8549" w14:textId="77777777" w:rsidTr="00A856F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43" w:type="dxa"/>
            <w:hideMark/>
          </w:tcPr>
          <w:p w14:paraId="64388296" w14:textId="77777777" w:rsidR="00A856F8" w:rsidRPr="00466BE3" w:rsidRDefault="00A856F8" w:rsidP="00133053">
            <w:r w:rsidRPr="00466BE3">
              <w:t>Emissions</w:t>
            </w:r>
            <w:r>
              <w:t xml:space="preserve"> </w:t>
            </w:r>
            <w:r w:rsidRPr="00466BE3">
              <w:t>/</w:t>
            </w:r>
            <w:r>
              <w:t xml:space="preserve"> </w:t>
            </w:r>
            <w:r w:rsidRPr="00466BE3">
              <w:t>energy category</w:t>
            </w:r>
          </w:p>
        </w:tc>
        <w:tc>
          <w:tcPr>
            <w:tcW w:w="5954" w:type="dxa"/>
            <w:hideMark/>
          </w:tcPr>
          <w:p w14:paraId="66F6AF99" w14:textId="77777777" w:rsidR="00A856F8" w:rsidRPr="00466BE3" w:rsidRDefault="00A856F8" w:rsidP="00133053">
            <w:pPr>
              <w:cnfStyle w:val="100000000000" w:firstRow="1" w:lastRow="0" w:firstColumn="0" w:lastColumn="0" w:oddVBand="0" w:evenVBand="0" w:oddHBand="0" w:evenHBand="0" w:firstRowFirstColumn="0" w:firstRowLastColumn="0" w:lastRowFirstColumn="0" w:lastRowLastColumn="0"/>
            </w:pPr>
            <w:r w:rsidRPr="00466BE3">
              <w:t>Method(s)</w:t>
            </w:r>
          </w:p>
        </w:tc>
        <w:tc>
          <w:tcPr>
            <w:tcW w:w="2835" w:type="dxa"/>
            <w:hideMark/>
          </w:tcPr>
          <w:p w14:paraId="20BB6B22" w14:textId="77777777" w:rsidR="00A856F8" w:rsidRPr="00466BE3" w:rsidRDefault="00A856F8" w:rsidP="00133053">
            <w:pPr>
              <w:cnfStyle w:val="100000000000" w:firstRow="1" w:lastRow="0" w:firstColumn="0" w:lastColumn="0" w:oddVBand="0" w:evenVBand="0" w:oddHBand="0" w:evenHBand="0" w:firstRowFirstColumn="0" w:firstRowLastColumn="0" w:lastRowFirstColumn="0" w:lastRowLastColumn="0"/>
            </w:pPr>
            <w:r w:rsidRPr="00466BE3">
              <w:t>Energy content factors and emission factors</w:t>
            </w:r>
          </w:p>
        </w:tc>
        <w:tc>
          <w:tcPr>
            <w:tcW w:w="3570" w:type="dxa"/>
            <w:hideMark/>
          </w:tcPr>
          <w:p w14:paraId="5109B611" w14:textId="77777777" w:rsidR="00A856F8" w:rsidRPr="00466BE3" w:rsidRDefault="00A856F8" w:rsidP="00133053">
            <w:pPr>
              <w:cnfStyle w:val="100000000000" w:firstRow="1" w:lastRow="0" w:firstColumn="0" w:lastColumn="0" w:oddVBand="0" w:evenVBand="0" w:oddHBand="0" w:evenHBand="0" w:firstRowFirstColumn="0" w:firstRowLastColumn="0" w:lastRowFirstColumn="0" w:lastRowLastColumn="0"/>
            </w:pPr>
            <w:r w:rsidRPr="00466BE3">
              <w:t>Additional guidance</w:t>
            </w:r>
          </w:p>
        </w:tc>
      </w:tr>
      <w:tr w:rsidR="00A856F8" w:rsidRPr="00466BE3" w14:paraId="76A099C4" w14:textId="77777777" w:rsidTr="00A856F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43" w:type="dxa"/>
            <w:hideMark/>
          </w:tcPr>
          <w:p w14:paraId="4EF83CED" w14:textId="77777777" w:rsidR="00A856F8" w:rsidRPr="00466BE3" w:rsidRDefault="00A856F8" w:rsidP="00133053">
            <w:r w:rsidRPr="00466BE3">
              <w:t>Solid fuel combustion</w:t>
            </w:r>
          </w:p>
        </w:tc>
        <w:tc>
          <w:tcPr>
            <w:tcW w:w="5954" w:type="dxa"/>
            <w:hideMark/>
          </w:tcPr>
          <w:p w14:paraId="2446303C" w14:textId="77777777" w:rsidR="00A856F8" w:rsidRPr="00466BE3" w:rsidRDefault="00A856F8" w:rsidP="00133053">
            <w:pPr>
              <w:cnfStyle w:val="000000100000" w:firstRow="0" w:lastRow="0" w:firstColumn="0" w:lastColumn="0" w:oddVBand="0" w:evenVBand="0" w:oddHBand="1" w:evenHBand="0" w:firstRowFirstColumn="0" w:firstRowLastColumn="0" w:lastRowFirstColumn="0" w:lastRowLastColumn="0"/>
            </w:pPr>
            <w:r w:rsidRPr="00466BE3">
              <w:t>Section 2.4 – Method 1 – solid fuels</w:t>
            </w:r>
          </w:p>
          <w:p w14:paraId="33B522FF" w14:textId="77777777" w:rsidR="00A856F8" w:rsidRPr="00466BE3" w:rsidRDefault="00A856F8" w:rsidP="00133053">
            <w:pPr>
              <w:cnfStyle w:val="000000100000" w:firstRow="0" w:lastRow="0" w:firstColumn="0" w:lastColumn="0" w:oddVBand="0" w:evenVBand="0" w:oddHBand="1" w:evenHBand="0" w:firstRowFirstColumn="0" w:firstRowLastColumn="0" w:lastRowFirstColumn="0" w:lastRowLastColumn="0"/>
            </w:pPr>
            <w:r w:rsidRPr="00466BE3">
              <w:t>Section 2.5 – Method 2 – estimating carbon dioxide using oxidation factor</w:t>
            </w:r>
          </w:p>
          <w:p w14:paraId="470C6920" w14:textId="77777777" w:rsidR="00A856F8" w:rsidRPr="00466BE3" w:rsidRDefault="00A856F8" w:rsidP="00133053">
            <w:pPr>
              <w:cnfStyle w:val="000000100000" w:firstRow="0" w:lastRow="0" w:firstColumn="0" w:lastColumn="0" w:oddVBand="0" w:evenVBand="0" w:oddHBand="1" w:evenHBand="0" w:firstRowFirstColumn="0" w:firstRowLastColumn="0" w:lastRowFirstColumn="0" w:lastRowLastColumn="0"/>
            </w:pPr>
            <w:r w:rsidRPr="00466BE3">
              <w:t>Section 2.6 – Method 2 – estimating carbon dioxide using an estimated oxidation factor</w:t>
            </w:r>
          </w:p>
          <w:p w14:paraId="4229DE52" w14:textId="77777777" w:rsidR="00A856F8" w:rsidRPr="00466BE3" w:rsidRDefault="00A856F8" w:rsidP="00133053">
            <w:pPr>
              <w:cnfStyle w:val="000000100000" w:firstRow="0" w:lastRow="0" w:firstColumn="0" w:lastColumn="0" w:oddVBand="0" w:evenVBand="0" w:oddHBand="1" w:evenHBand="0" w:firstRowFirstColumn="0" w:firstRowLastColumn="0" w:lastRowFirstColumn="0" w:lastRowLastColumn="0"/>
            </w:pPr>
            <w:r w:rsidRPr="00466BE3">
              <w:t>Section 2.12 – Method 3 – solid fuels using oxidation factor or an estimated oxidation factor</w:t>
            </w:r>
          </w:p>
          <w:p w14:paraId="5B42C6A1" w14:textId="77777777" w:rsidR="00A856F8" w:rsidRPr="00466BE3" w:rsidRDefault="00A856F8" w:rsidP="00133053">
            <w:pPr>
              <w:cnfStyle w:val="000000100000" w:firstRow="0" w:lastRow="0" w:firstColumn="0" w:lastColumn="0" w:oddVBand="0" w:evenVBand="0" w:oddHBand="1" w:evenHBand="0" w:firstRowFirstColumn="0" w:firstRowLastColumn="0" w:lastRowFirstColumn="0" w:lastRowLastColumn="0"/>
            </w:pPr>
            <w:r w:rsidRPr="00466BE3">
              <w:t>Part 1.3 – Method 4 – Direct measurement of emissions</w:t>
            </w:r>
          </w:p>
        </w:tc>
        <w:tc>
          <w:tcPr>
            <w:tcW w:w="2835" w:type="dxa"/>
          </w:tcPr>
          <w:p w14:paraId="2BCAFC56" w14:textId="77777777" w:rsidR="00A856F8" w:rsidRPr="00466BE3" w:rsidRDefault="00A856F8" w:rsidP="00133053">
            <w:pPr>
              <w:cnfStyle w:val="000000100000" w:firstRow="0" w:lastRow="0" w:firstColumn="0" w:lastColumn="0" w:oddVBand="0" w:evenVBand="0" w:oddHBand="1" w:evenHBand="0" w:firstRowFirstColumn="0" w:firstRowLastColumn="0" w:lastRowFirstColumn="0" w:lastRowLastColumn="0"/>
            </w:pPr>
            <w:r w:rsidRPr="00466BE3">
              <w:t>Part 1 of Schedule 1 – Fuel combustion – solid fuels and certain coal-based products</w:t>
            </w:r>
          </w:p>
          <w:p w14:paraId="253F2DA9" w14:textId="77777777" w:rsidR="00A856F8" w:rsidRDefault="00A856F8" w:rsidP="00133053">
            <w:pPr>
              <w:cnfStyle w:val="000000100000" w:firstRow="0" w:lastRow="0" w:firstColumn="0" w:lastColumn="0" w:oddVBand="0" w:evenVBand="0" w:oddHBand="1" w:evenHBand="0" w:firstRowFirstColumn="0" w:firstRowLastColumn="0" w:lastRowFirstColumn="0" w:lastRowLastColumn="0"/>
            </w:pPr>
            <w:r w:rsidRPr="00466BE3">
              <w:t>Table 4</w:t>
            </w:r>
            <w:r>
              <w:t>0</w:t>
            </w:r>
            <w:r w:rsidRPr="00466BE3">
              <w:t xml:space="preserve"> from the National Greenhouse Accounts (Scope 2 and 3 </w:t>
            </w:r>
            <w:r>
              <w:t>emission factor</w:t>
            </w:r>
            <w:r w:rsidRPr="00466BE3">
              <w:t>s –</w:t>
            </w:r>
            <w:r>
              <w:t xml:space="preserve"> solid fuels including certain coal based products</w:t>
            </w:r>
            <w:r w:rsidRPr="00466BE3">
              <w:t>)</w:t>
            </w:r>
          </w:p>
          <w:p w14:paraId="03C76BA3" w14:textId="77777777" w:rsidR="00A856F8" w:rsidRPr="00466BE3" w:rsidRDefault="00A856F8" w:rsidP="00133053">
            <w:pPr>
              <w:cnfStyle w:val="000000100000" w:firstRow="0" w:lastRow="0" w:firstColumn="0" w:lastColumn="0" w:oddVBand="0" w:evenVBand="0" w:oddHBand="1" w:evenHBand="0" w:firstRowFirstColumn="0" w:firstRowLastColumn="0" w:lastRowFirstColumn="0" w:lastRowLastColumn="0"/>
            </w:pPr>
          </w:p>
          <w:p w14:paraId="14790B62" w14:textId="77777777" w:rsidR="00A856F8" w:rsidRPr="00466BE3" w:rsidRDefault="00A856F8" w:rsidP="00133053">
            <w:pPr>
              <w:cnfStyle w:val="000000100000" w:firstRow="0" w:lastRow="0" w:firstColumn="0" w:lastColumn="0" w:oddVBand="0" w:evenVBand="0" w:oddHBand="1" w:evenHBand="0" w:firstRowFirstColumn="0" w:firstRowLastColumn="0" w:lastRowFirstColumn="0" w:lastRowLastColumn="0"/>
            </w:pPr>
          </w:p>
        </w:tc>
        <w:tc>
          <w:tcPr>
            <w:tcW w:w="3570" w:type="dxa"/>
            <w:hideMark/>
          </w:tcPr>
          <w:p w14:paraId="02B666CD" w14:textId="77777777" w:rsidR="00A856F8" w:rsidRPr="00466BE3" w:rsidRDefault="00A856F8" w:rsidP="00133053">
            <w:pPr>
              <w:cnfStyle w:val="000000100000" w:firstRow="0" w:lastRow="0" w:firstColumn="0" w:lastColumn="0" w:oddVBand="0" w:evenVBand="0" w:oddHBand="1" w:evenHBand="0" w:firstRowFirstColumn="0" w:firstRowLastColumn="0" w:lastRowFirstColumn="0" w:lastRowLastColumn="0"/>
            </w:pPr>
            <w:r w:rsidRPr="00466BE3">
              <w:t>Subdivision 2.2.3.3 – Sampling and analysis for method 2 under sections 2.5 and 2.6</w:t>
            </w:r>
          </w:p>
          <w:p w14:paraId="2A9282CB" w14:textId="77777777" w:rsidR="00A856F8" w:rsidRPr="00466BE3" w:rsidRDefault="00A856F8" w:rsidP="00133053">
            <w:pPr>
              <w:cnfStyle w:val="000000100000" w:firstRow="0" w:lastRow="0" w:firstColumn="0" w:lastColumn="0" w:oddVBand="0" w:evenVBand="0" w:oddHBand="1" w:evenHBand="0" w:firstRowFirstColumn="0" w:firstRowLastColumn="0" w:lastRowFirstColumn="0" w:lastRowLastColumn="0"/>
            </w:pPr>
            <w:r w:rsidRPr="00466BE3">
              <w:t>Division 2.2.5 – Measurement of consumption of solid fuels</w:t>
            </w:r>
          </w:p>
          <w:p w14:paraId="51B061B1" w14:textId="77777777" w:rsidR="00A856F8" w:rsidRPr="00466BE3" w:rsidRDefault="00A856F8" w:rsidP="00133053">
            <w:pPr>
              <w:cnfStyle w:val="000000100000" w:firstRow="0" w:lastRow="0" w:firstColumn="0" w:lastColumn="0" w:oddVBand="0" w:evenVBand="0" w:oddHBand="1" w:evenHBand="0" w:firstRowFirstColumn="0" w:firstRowLastColumn="0" w:lastRowFirstColumn="0" w:lastRowLastColumn="0"/>
            </w:pPr>
            <w:r w:rsidRPr="00466BE3">
              <w:t>Part 2.5 – Blended fuels</w:t>
            </w:r>
          </w:p>
        </w:tc>
      </w:tr>
      <w:tr w:rsidR="00A856F8" w:rsidRPr="00466BE3" w14:paraId="2131ADA5" w14:textId="77777777" w:rsidTr="00A856F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43" w:type="dxa"/>
            <w:hideMark/>
          </w:tcPr>
          <w:p w14:paraId="0A37E593" w14:textId="77777777" w:rsidR="00A856F8" w:rsidRPr="00466BE3" w:rsidRDefault="00A856F8" w:rsidP="00133053">
            <w:r w:rsidRPr="00466BE3">
              <w:t xml:space="preserve">Electricity consumption </w:t>
            </w:r>
          </w:p>
        </w:tc>
        <w:tc>
          <w:tcPr>
            <w:tcW w:w="5954" w:type="dxa"/>
            <w:hideMark/>
          </w:tcPr>
          <w:p w14:paraId="1D6EE523" w14:textId="77777777" w:rsidR="00A856F8" w:rsidRDefault="00A856F8" w:rsidP="00133053">
            <w:pPr>
              <w:cnfStyle w:val="000000010000" w:firstRow="0" w:lastRow="0" w:firstColumn="0" w:lastColumn="0" w:oddVBand="0" w:evenVBand="0" w:oddHBand="0" w:evenHBand="1" w:firstRowFirstColumn="0" w:firstRowLastColumn="0" w:lastRowFirstColumn="0" w:lastRowLastColumn="0"/>
            </w:pPr>
            <w:r>
              <w:t xml:space="preserve">Climate Active Electricity Accounting Rules – location- and/or market-based methods of reporting </w:t>
            </w:r>
          </w:p>
          <w:p w14:paraId="4259340D" w14:textId="77777777" w:rsidR="00A856F8" w:rsidRPr="00466BE3" w:rsidRDefault="00A856F8" w:rsidP="00133053">
            <w:pPr>
              <w:cnfStyle w:val="000000010000" w:firstRow="0" w:lastRow="0" w:firstColumn="0" w:lastColumn="0" w:oddVBand="0" w:evenVBand="0" w:oddHBand="0" w:evenHBand="1" w:firstRowFirstColumn="0" w:firstRowLastColumn="0" w:lastRowFirstColumn="0" w:lastRowLastColumn="0"/>
            </w:pPr>
            <w:r>
              <w:t xml:space="preserve">May be supported by </w:t>
            </w:r>
            <w:r w:rsidRPr="00466BE3">
              <w:t>Section 7.2 – Method 1 – purchase and loss of electricity from main electricity grid in a State or Territory</w:t>
            </w:r>
          </w:p>
          <w:p w14:paraId="732EA35F" w14:textId="77777777" w:rsidR="00A856F8" w:rsidRPr="00466BE3" w:rsidRDefault="00A856F8" w:rsidP="00133053">
            <w:pPr>
              <w:cnfStyle w:val="000000010000" w:firstRow="0" w:lastRow="0" w:firstColumn="0" w:lastColumn="0" w:oddVBand="0" w:evenVBand="0" w:oddHBand="0" w:evenHBand="1" w:firstRowFirstColumn="0" w:firstRowLastColumn="0" w:lastRowFirstColumn="0" w:lastRowLastColumn="0"/>
            </w:pPr>
            <w:r>
              <w:t xml:space="preserve">May be supported by </w:t>
            </w:r>
            <w:r w:rsidRPr="00466BE3">
              <w:t>Section 7.3 – Method 1 – purchase and loss of electricity from other sources</w:t>
            </w:r>
          </w:p>
        </w:tc>
        <w:tc>
          <w:tcPr>
            <w:tcW w:w="2835" w:type="dxa"/>
            <w:hideMark/>
          </w:tcPr>
          <w:p w14:paraId="5F3E6CBE" w14:textId="77777777" w:rsidR="00A856F8" w:rsidRDefault="00A856F8" w:rsidP="00133053">
            <w:pPr>
              <w:cnfStyle w:val="000000010000" w:firstRow="0" w:lastRow="0" w:firstColumn="0" w:lastColumn="0" w:oddVBand="0" w:evenVBand="0" w:oddHBand="0" w:evenHBand="1" w:firstRowFirstColumn="0" w:firstRowLastColumn="0" w:lastRowFirstColumn="0" w:lastRowLastColumn="0"/>
            </w:pPr>
            <w:r w:rsidRPr="00466BE3">
              <w:t xml:space="preserve">Table 44 from the National Greenhouse Accounts (Scope 2 and 3 </w:t>
            </w:r>
            <w:r>
              <w:t>emission factor</w:t>
            </w:r>
            <w:r w:rsidRPr="00466BE3">
              <w:t>s – consumption of purchased electricity by end users)</w:t>
            </w:r>
          </w:p>
          <w:p w14:paraId="78DEB154" w14:textId="77777777" w:rsidR="00A856F8" w:rsidRPr="00466BE3" w:rsidRDefault="00A856F8" w:rsidP="00133053">
            <w:pPr>
              <w:cnfStyle w:val="000000010000" w:firstRow="0" w:lastRow="0" w:firstColumn="0" w:lastColumn="0" w:oddVBand="0" w:evenVBand="0" w:oddHBand="0" w:evenHBand="1" w:firstRowFirstColumn="0" w:firstRowLastColumn="0" w:lastRowFirstColumn="0" w:lastRowLastColumn="0"/>
            </w:pPr>
            <w:r>
              <w:t xml:space="preserve">May be supported by </w:t>
            </w:r>
            <w:r w:rsidRPr="00466BE3">
              <w:t>Part 6 of Schedule 1 – Indirect (scope 2) emission factors from consumption of electricity purchased or lost from grid</w:t>
            </w:r>
          </w:p>
          <w:p w14:paraId="1245CA78" w14:textId="77777777" w:rsidR="00A856F8" w:rsidRPr="00466BE3" w:rsidRDefault="00A856F8" w:rsidP="00133053">
            <w:pPr>
              <w:cnfStyle w:val="000000010000" w:firstRow="0" w:lastRow="0" w:firstColumn="0" w:lastColumn="0" w:oddVBand="0" w:evenVBand="0" w:oddHBand="0" w:evenHBand="1" w:firstRowFirstColumn="0" w:firstRowLastColumn="0" w:lastRowFirstColumn="0" w:lastRowLastColumn="0"/>
            </w:pPr>
          </w:p>
        </w:tc>
        <w:tc>
          <w:tcPr>
            <w:tcW w:w="3570" w:type="dxa"/>
          </w:tcPr>
          <w:p w14:paraId="1A752740" w14:textId="77777777" w:rsidR="00A856F8" w:rsidRPr="00466BE3" w:rsidRDefault="00A856F8" w:rsidP="00133053">
            <w:pPr>
              <w:cnfStyle w:val="000000010000" w:firstRow="0" w:lastRow="0" w:firstColumn="0" w:lastColumn="0" w:oddVBand="0" w:evenVBand="0" w:oddHBand="0" w:evenHBand="1" w:firstRowFirstColumn="0" w:firstRowLastColumn="0" w:lastRowFirstColumn="0" w:lastRowLastColumn="0"/>
            </w:pPr>
            <w:r w:rsidRPr="00466BE3">
              <w:t>Climate Active</w:t>
            </w:r>
            <w:r>
              <w:t xml:space="preserve">’s Electricity Accounting Rules </w:t>
            </w:r>
            <w:r w:rsidRPr="00466BE3">
              <w:t xml:space="preserve">to support market-based </w:t>
            </w:r>
            <w:r>
              <w:t>electricity emissions accounting</w:t>
            </w:r>
            <w:r>
              <w:rPr>
                <w:rStyle w:val="FootnoteReference"/>
              </w:rPr>
              <w:footnoteReference w:id="14"/>
            </w:r>
          </w:p>
          <w:p w14:paraId="1B6F8AEF" w14:textId="77777777" w:rsidR="00A856F8" w:rsidRPr="00466BE3" w:rsidRDefault="00A856F8" w:rsidP="00133053">
            <w:pPr>
              <w:cnfStyle w:val="000000010000" w:firstRow="0" w:lastRow="0" w:firstColumn="0" w:lastColumn="0" w:oddVBand="0" w:evenVBand="0" w:oddHBand="0" w:evenHBand="1" w:firstRowFirstColumn="0" w:firstRowLastColumn="0" w:lastRowFirstColumn="0" w:lastRowLastColumn="0"/>
            </w:pPr>
          </w:p>
        </w:tc>
      </w:tr>
      <w:tr w:rsidR="00A856F8" w:rsidRPr="00466BE3" w14:paraId="0200C4C6" w14:textId="77777777" w:rsidTr="00A856F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43" w:type="dxa"/>
            <w:hideMark/>
          </w:tcPr>
          <w:p w14:paraId="09DF5CF9" w14:textId="77777777" w:rsidR="00A856F8" w:rsidRPr="00466BE3" w:rsidRDefault="00A856F8" w:rsidP="00133053">
            <w:r w:rsidRPr="00466BE3">
              <w:t>Liquid fuel combustion (other than petroleum based oils or greases)</w:t>
            </w:r>
          </w:p>
        </w:tc>
        <w:tc>
          <w:tcPr>
            <w:tcW w:w="5954" w:type="dxa"/>
            <w:hideMark/>
          </w:tcPr>
          <w:p w14:paraId="58FE819D" w14:textId="77777777" w:rsidR="00A856F8" w:rsidRPr="00466BE3" w:rsidRDefault="00A856F8" w:rsidP="00133053">
            <w:pPr>
              <w:cnfStyle w:val="000000100000" w:firstRow="0" w:lastRow="0" w:firstColumn="0" w:lastColumn="0" w:oddVBand="0" w:evenVBand="0" w:oddHBand="1" w:evenHBand="0" w:firstRowFirstColumn="0" w:firstRowLastColumn="0" w:lastRowFirstColumn="0" w:lastRowLastColumn="0"/>
            </w:pPr>
            <w:r w:rsidRPr="00466BE3">
              <w:t>Section 2.41 – Method 1 – emissions of carbon dioxide, methane and nitrous oxide</w:t>
            </w:r>
          </w:p>
          <w:p w14:paraId="36BF56FA" w14:textId="77777777" w:rsidR="00A856F8" w:rsidRPr="00466BE3" w:rsidRDefault="00A856F8" w:rsidP="00133053">
            <w:pPr>
              <w:cnfStyle w:val="000000100000" w:firstRow="0" w:lastRow="0" w:firstColumn="0" w:lastColumn="0" w:oddVBand="0" w:evenVBand="0" w:oddHBand="1" w:evenHBand="0" w:firstRowFirstColumn="0" w:firstRowLastColumn="0" w:lastRowFirstColumn="0" w:lastRowLastColumn="0"/>
            </w:pPr>
            <w:r w:rsidRPr="00466BE3">
              <w:t>Section 2.42 – Method 2 – emissions of carbon dioxide from the combustion of liquid fuels</w:t>
            </w:r>
          </w:p>
          <w:p w14:paraId="657880B9" w14:textId="77777777" w:rsidR="00A856F8" w:rsidRPr="00466BE3" w:rsidRDefault="00A856F8" w:rsidP="00133053">
            <w:pPr>
              <w:cnfStyle w:val="000000100000" w:firstRow="0" w:lastRow="0" w:firstColumn="0" w:lastColumn="0" w:oddVBand="0" w:evenVBand="0" w:oddHBand="1" w:evenHBand="0" w:firstRowFirstColumn="0" w:firstRowLastColumn="0" w:lastRowFirstColumn="0" w:lastRowLastColumn="0"/>
            </w:pPr>
            <w:r w:rsidRPr="00466BE3">
              <w:t>Section 2.47 – Method 3 – emissions of carbon dioxide from the combustion of liquid fuels</w:t>
            </w:r>
          </w:p>
          <w:p w14:paraId="5AEF131F" w14:textId="77777777" w:rsidR="00A856F8" w:rsidRPr="00466BE3" w:rsidRDefault="00A856F8" w:rsidP="00133053">
            <w:pPr>
              <w:cnfStyle w:val="000000100000" w:firstRow="0" w:lastRow="0" w:firstColumn="0" w:lastColumn="0" w:oddVBand="0" w:evenVBand="0" w:oddHBand="1" w:evenHBand="0" w:firstRowFirstColumn="0" w:firstRowLastColumn="0" w:lastRowFirstColumn="0" w:lastRowLastColumn="0"/>
            </w:pPr>
            <w:r w:rsidRPr="00466BE3">
              <w:t>Section 2.48 – Method 2 – Emissions of methane and nitrous oxide from the combustion of liquid fuels</w:t>
            </w:r>
          </w:p>
          <w:p w14:paraId="20BD64E7" w14:textId="77777777" w:rsidR="00A856F8" w:rsidRPr="00466BE3" w:rsidRDefault="00A856F8" w:rsidP="00133053">
            <w:pPr>
              <w:cnfStyle w:val="000000100000" w:firstRow="0" w:lastRow="0" w:firstColumn="0" w:lastColumn="0" w:oddVBand="0" w:evenVBand="0" w:oddHBand="1" w:evenHBand="0" w:firstRowFirstColumn="0" w:firstRowLastColumn="0" w:lastRowFirstColumn="0" w:lastRowLastColumn="0"/>
            </w:pPr>
            <w:r w:rsidRPr="00466BE3">
              <w:t>Part 1.3 – Method 4 – Direct measurement of emissions</w:t>
            </w:r>
          </w:p>
        </w:tc>
        <w:tc>
          <w:tcPr>
            <w:tcW w:w="2835" w:type="dxa"/>
            <w:hideMark/>
          </w:tcPr>
          <w:p w14:paraId="1CD4C730" w14:textId="77777777" w:rsidR="00A856F8" w:rsidRPr="00466BE3" w:rsidRDefault="00A856F8" w:rsidP="00133053">
            <w:pPr>
              <w:cnfStyle w:val="000000100000" w:firstRow="0" w:lastRow="0" w:firstColumn="0" w:lastColumn="0" w:oddVBand="0" w:evenVBand="0" w:oddHBand="1" w:evenHBand="0" w:firstRowFirstColumn="0" w:firstRowLastColumn="0" w:lastRowFirstColumn="0" w:lastRowLastColumn="0"/>
            </w:pPr>
            <w:r w:rsidRPr="00466BE3">
              <w:t>Part 3 of Schedule 1 – Fuel combustion – liquid fuels and certain petroleum-based produces for stationary and energy purposes</w:t>
            </w:r>
          </w:p>
          <w:p w14:paraId="29EA4B0A" w14:textId="77777777" w:rsidR="00A856F8" w:rsidRPr="00466BE3" w:rsidRDefault="00A856F8" w:rsidP="00133053">
            <w:pPr>
              <w:cnfStyle w:val="000000100000" w:firstRow="0" w:lastRow="0" w:firstColumn="0" w:lastColumn="0" w:oddVBand="0" w:evenVBand="0" w:oddHBand="1" w:evenHBand="0" w:firstRowFirstColumn="0" w:firstRowLastColumn="0" w:lastRowFirstColumn="0" w:lastRowLastColumn="0"/>
            </w:pPr>
            <w:r w:rsidRPr="00466BE3">
              <w:t>Part 4 of Schedule 1 – Fuel combustion – fuels for transport energy purposes</w:t>
            </w:r>
          </w:p>
          <w:p w14:paraId="1C4D86DE" w14:textId="77777777" w:rsidR="00A856F8" w:rsidRPr="00466BE3" w:rsidRDefault="00A856F8" w:rsidP="00133053">
            <w:pPr>
              <w:cnfStyle w:val="000000100000" w:firstRow="0" w:lastRow="0" w:firstColumn="0" w:lastColumn="0" w:oddVBand="0" w:evenVBand="0" w:oddHBand="1" w:evenHBand="0" w:firstRowFirstColumn="0" w:firstRowLastColumn="0" w:lastRowFirstColumn="0" w:lastRowLastColumn="0"/>
            </w:pPr>
            <w:r>
              <w:t>Table 43 from the National Greenhouse Accounts (Scope 3 emission factors – liquid fuels including certain petroleum based products)</w:t>
            </w:r>
          </w:p>
        </w:tc>
        <w:tc>
          <w:tcPr>
            <w:tcW w:w="3570" w:type="dxa"/>
            <w:hideMark/>
          </w:tcPr>
          <w:p w14:paraId="653BAA05" w14:textId="77777777" w:rsidR="00A856F8" w:rsidRPr="00466BE3" w:rsidRDefault="00A856F8" w:rsidP="00133053">
            <w:pPr>
              <w:cnfStyle w:val="000000100000" w:firstRow="0" w:lastRow="0" w:firstColumn="0" w:lastColumn="0" w:oddVBand="0" w:evenVBand="0" w:oddHBand="1" w:evenHBand="0" w:firstRowFirstColumn="0" w:firstRowLastColumn="0" w:lastRowFirstColumn="0" w:lastRowLastColumn="0"/>
            </w:pPr>
            <w:r w:rsidRPr="00466BE3">
              <w:t>Section 2.43 – Calculation of emission factors from combustion of liquid fuel</w:t>
            </w:r>
          </w:p>
          <w:p w14:paraId="3CF66493" w14:textId="77777777" w:rsidR="00A856F8" w:rsidRPr="00466BE3" w:rsidRDefault="00A856F8" w:rsidP="00133053">
            <w:pPr>
              <w:cnfStyle w:val="000000100000" w:firstRow="0" w:lastRow="0" w:firstColumn="0" w:lastColumn="0" w:oddVBand="0" w:evenVBand="0" w:oddHBand="1" w:evenHBand="0" w:firstRowFirstColumn="0" w:firstRowLastColumn="0" w:lastRowFirstColumn="0" w:lastRowLastColumn="0"/>
            </w:pPr>
            <w:r w:rsidRPr="00466BE3">
              <w:t xml:space="preserve">Subdivision 2.4.3.2 – Sampling and analysis </w:t>
            </w:r>
          </w:p>
          <w:p w14:paraId="537D1E50" w14:textId="77777777" w:rsidR="00A856F8" w:rsidRPr="00466BE3" w:rsidRDefault="00A856F8" w:rsidP="00133053">
            <w:pPr>
              <w:cnfStyle w:val="000000100000" w:firstRow="0" w:lastRow="0" w:firstColumn="0" w:lastColumn="0" w:oddVBand="0" w:evenVBand="0" w:oddHBand="1" w:evenHBand="0" w:firstRowFirstColumn="0" w:firstRowLastColumn="0" w:lastRowFirstColumn="0" w:lastRowLastColumn="0"/>
            </w:pPr>
            <w:r w:rsidRPr="00466BE3">
              <w:t>Part 2.5 – Blended fuels</w:t>
            </w:r>
          </w:p>
        </w:tc>
      </w:tr>
      <w:tr w:rsidR="00A856F8" w:rsidRPr="00466BE3" w14:paraId="763899F3" w14:textId="77777777" w:rsidTr="00A856F8">
        <w:trPr>
          <w:cnfStyle w:val="000000010000" w:firstRow="0" w:lastRow="0" w:firstColumn="0" w:lastColumn="0" w:oddVBand="0" w:evenVBand="0" w:oddHBand="0" w:evenHBand="1" w:firstRowFirstColumn="0" w:firstRowLastColumn="0" w:lastRowFirstColumn="0" w:lastRowLastColumn="0"/>
          <w:cantSplit/>
          <w:trHeight w:val="3530"/>
        </w:trPr>
        <w:tc>
          <w:tcPr>
            <w:cnfStyle w:val="001000000000" w:firstRow="0" w:lastRow="0" w:firstColumn="1" w:lastColumn="0" w:oddVBand="0" w:evenVBand="0" w:oddHBand="0" w:evenHBand="0" w:firstRowFirstColumn="0" w:firstRowLastColumn="0" w:lastRowFirstColumn="0" w:lastRowLastColumn="0"/>
            <w:tcW w:w="1843" w:type="dxa"/>
            <w:hideMark/>
          </w:tcPr>
          <w:p w14:paraId="72898E02" w14:textId="77777777" w:rsidR="00A856F8" w:rsidRPr="00466BE3" w:rsidRDefault="00A856F8" w:rsidP="00133053">
            <w:r w:rsidRPr="00466BE3">
              <w:t>Liquid fuel combustion (from petroleum based oils or greases)</w:t>
            </w:r>
          </w:p>
        </w:tc>
        <w:tc>
          <w:tcPr>
            <w:tcW w:w="5954" w:type="dxa"/>
            <w:hideMark/>
          </w:tcPr>
          <w:p w14:paraId="2219D7C5" w14:textId="77777777" w:rsidR="00A856F8" w:rsidRPr="00466BE3" w:rsidRDefault="00A856F8" w:rsidP="00133053">
            <w:pPr>
              <w:cnfStyle w:val="000000010000" w:firstRow="0" w:lastRow="0" w:firstColumn="0" w:lastColumn="0" w:oddVBand="0" w:evenVBand="0" w:oddHBand="0" w:evenHBand="1" w:firstRowFirstColumn="0" w:firstRowLastColumn="0" w:lastRowFirstColumn="0" w:lastRowLastColumn="0"/>
            </w:pPr>
            <w:r w:rsidRPr="00466BE3">
              <w:t>Section 2.48A – Method 1 – estimating emissions of carbon dioxide using an estimated oxidation factor</w:t>
            </w:r>
          </w:p>
          <w:p w14:paraId="5477607B" w14:textId="77777777" w:rsidR="00A856F8" w:rsidRPr="00466BE3" w:rsidRDefault="00A856F8" w:rsidP="00133053">
            <w:pPr>
              <w:cnfStyle w:val="000000010000" w:firstRow="0" w:lastRow="0" w:firstColumn="0" w:lastColumn="0" w:oddVBand="0" w:evenVBand="0" w:oddHBand="0" w:evenHBand="1" w:firstRowFirstColumn="0" w:firstRowLastColumn="0" w:lastRowFirstColumn="0" w:lastRowLastColumn="0"/>
            </w:pPr>
            <w:r w:rsidRPr="00466BE3">
              <w:t>Section 2.48B – Method 2 – estimating emissions of carbon dioxide using an estimated oxidation factor</w:t>
            </w:r>
          </w:p>
          <w:p w14:paraId="02BD2634" w14:textId="77777777" w:rsidR="00A856F8" w:rsidRPr="00466BE3" w:rsidRDefault="00A856F8" w:rsidP="00133053">
            <w:pPr>
              <w:cnfStyle w:val="000000010000" w:firstRow="0" w:lastRow="0" w:firstColumn="0" w:lastColumn="0" w:oddVBand="0" w:evenVBand="0" w:oddHBand="0" w:evenHBand="1" w:firstRowFirstColumn="0" w:firstRowLastColumn="0" w:lastRowFirstColumn="0" w:lastRowLastColumn="0"/>
            </w:pPr>
            <w:r w:rsidRPr="00466BE3">
              <w:t>Section 2.48C – Method 2 – estimating emissions of carbon dioxide using an estimated oxidation factor</w:t>
            </w:r>
          </w:p>
          <w:p w14:paraId="2D6F525D" w14:textId="77777777" w:rsidR="00A856F8" w:rsidRPr="00466BE3" w:rsidRDefault="00A856F8" w:rsidP="00133053">
            <w:pPr>
              <w:cnfStyle w:val="000000010000" w:firstRow="0" w:lastRow="0" w:firstColumn="0" w:lastColumn="0" w:oddVBand="0" w:evenVBand="0" w:oddHBand="0" w:evenHBand="1" w:firstRowFirstColumn="0" w:firstRowLastColumn="0" w:lastRowFirstColumn="0" w:lastRowLastColumn="0"/>
            </w:pPr>
            <w:r w:rsidRPr="00466BE3">
              <w:t>Part 1.3 – Method 4 – Direct measurement of emissions</w:t>
            </w:r>
          </w:p>
        </w:tc>
        <w:tc>
          <w:tcPr>
            <w:tcW w:w="2835" w:type="dxa"/>
            <w:hideMark/>
          </w:tcPr>
          <w:p w14:paraId="22B7797B" w14:textId="77777777" w:rsidR="00A856F8" w:rsidRPr="00466BE3" w:rsidRDefault="00A856F8" w:rsidP="00133053">
            <w:pPr>
              <w:cnfStyle w:val="000000010000" w:firstRow="0" w:lastRow="0" w:firstColumn="0" w:lastColumn="0" w:oddVBand="0" w:evenVBand="0" w:oddHBand="0" w:evenHBand="1" w:firstRowFirstColumn="0" w:firstRowLastColumn="0" w:lastRowFirstColumn="0" w:lastRowLastColumn="0"/>
            </w:pPr>
            <w:r w:rsidRPr="00466BE3">
              <w:t>Part 3 of Schedule 1 – Fuel combustion – liquid fuels and certain petroleum-based produces for stationary and energy purposes</w:t>
            </w:r>
          </w:p>
          <w:p w14:paraId="73BC16EF" w14:textId="77777777" w:rsidR="00A856F8" w:rsidRPr="00466BE3" w:rsidRDefault="00A856F8" w:rsidP="00133053">
            <w:pPr>
              <w:cnfStyle w:val="000000010000" w:firstRow="0" w:lastRow="0" w:firstColumn="0" w:lastColumn="0" w:oddVBand="0" w:evenVBand="0" w:oddHBand="0" w:evenHBand="1" w:firstRowFirstColumn="0" w:firstRowLastColumn="0" w:lastRowFirstColumn="0" w:lastRowLastColumn="0"/>
            </w:pPr>
            <w:r>
              <w:t>Table 43 from the National Greenhouse Accounts (Scope 3 emission factors – liquid fuels including certain petroleum based products)</w:t>
            </w:r>
          </w:p>
        </w:tc>
        <w:tc>
          <w:tcPr>
            <w:tcW w:w="3570" w:type="dxa"/>
            <w:hideMark/>
          </w:tcPr>
          <w:p w14:paraId="11C8B1F5" w14:textId="77777777" w:rsidR="00A856F8" w:rsidRPr="00466BE3" w:rsidRDefault="00A856F8" w:rsidP="00133053">
            <w:pPr>
              <w:cnfStyle w:val="000000010000" w:firstRow="0" w:lastRow="0" w:firstColumn="0" w:lastColumn="0" w:oddVBand="0" w:evenVBand="0" w:oddHBand="0" w:evenHBand="1" w:firstRowFirstColumn="0" w:firstRowLastColumn="0" w:lastRowFirstColumn="0" w:lastRowLastColumn="0"/>
            </w:pPr>
            <w:r w:rsidRPr="00466BE3">
              <w:t>Subdivision 2.4.3.2 – Sampling and analysis</w:t>
            </w:r>
          </w:p>
          <w:p w14:paraId="5B5FC378" w14:textId="77777777" w:rsidR="00A856F8" w:rsidRPr="00466BE3" w:rsidRDefault="00A856F8" w:rsidP="00133053">
            <w:pPr>
              <w:cnfStyle w:val="000000010000" w:firstRow="0" w:lastRow="0" w:firstColumn="0" w:lastColumn="0" w:oddVBand="0" w:evenVBand="0" w:oddHBand="0" w:evenHBand="1" w:firstRowFirstColumn="0" w:firstRowLastColumn="0" w:lastRowFirstColumn="0" w:lastRowLastColumn="0"/>
            </w:pPr>
            <w:r w:rsidRPr="00466BE3">
              <w:t>Division 2.4.6 – Measurement of quantity of liquid fuels</w:t>
            </w:r>
          </w:p>
          <w:p w14:paraId="03DAA6AB" w14:textId="77777777" w:rsidR="00A856F8" w:rsidRPr="00466BE3" w:rsidRDefault="00A856F8" w:rsidP="00133053">
            <w:pPr>
              <w:cnfStyle w:val="000000010000" w:firstRow="0" w:lastRow="0" w:firstColumn="0" w:lastColumn="0" w:oddVBand="0" w:evenVBand="0" w:oddHBand="0" w:evenHBand="1" w:firstRowFirstColumn="0" w:firstRowLastColumn="0" w:lastRowFirstColumn="0" w:lastRowLastColumn="0"/>
            </w:pPr>
            <w:r w:rsidRPr="00466BE3">
              <w:t>Part 2.5 – Blended fuels</w:t>
            </w:r>
          </w:p>
        </w:tc>
      </w:tr>
      <w:tr w:rsidR="00A856F8" w:rsidRPr="00466BE3" w14:paraId="13D93937" w14:textId="77777777" w:rsidTr="00A856F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43" w:type="dxa"/>
            <w:hideMark/>
          </w:tcPr>
          <w:p w14:paraId="74770971" w14:textId="77777777" w:rsidR="00A856F8" w:rsidRPr="00466BE3" w:rsidRDefault="00A856F8" w:rsidP="00133053">
            <w:r w:rsidRPr="00466BE3">
              <w:t>Gaseous fuel combustion</w:t>
            </w:r>
          </w:p>
        </w:tc>
        <w:tc>
          <w:tcPr>
            <w:tcW w:w="5954" w:type="dxa"/>
            <w:hideMark/>
          </w:tcPr>
          <w:p w14:paraId="15B23228" w14:textId="77777777" w:rsidR="00A856F8" w:rsidRPr="00466BE3" w:rsidRDefault="00A856F8" w:rsidP="00133053">
            <w:pPr>
              <w:cnfStyle w:val="000000100000" w:firstRow="0" w:lastRow="0" w:firstColumn="0" w:lastColumn="0" w:oddVBand="0" w:evenVBand="0" w:oddHBand="1" w:evenHBand="0" w:firstRowFirstColumn="0" w:firstRowLastColumn="0" w:lastRowFirstColumn="0" w:lastRowLastColumn="0"/>
            </w:pPr>
            <w:r w:rsidRPr="00466BE3">
              <w:t>Section 2.20 – Method 1 – emissions of carbon dioxide, methane and nitrous oxide</w:t>
            </w:r>
          </w:p>
          <w:p w14:paraId="703AF6FB" w14:textId="77777777" w:rsidR="00A856F8" w:rsidRPr="00466BE3" w:rsidRDefault="00A856F8" w:rsidP="00133053">
            <w:pPr>
              <w:cnfStyle w:val="000000100000" w:firstRow="0" w:lastRow="0" w:firstColumn="0" w:lastColumn="0" w:oddVBand="0" w:evenVBand="0" w:oddHBand="1" w:evenHBand="0" w:firstRowFirstColumn="0" w:firstRowLastColumn="0" w:lastRowFirstColumn="0" w:lastRowLastColumn="0"/>
            </w:pPr>
            <w:r w:rsidRPr="00466BE3">
              <w:t>Section 2.21 – Method 2 – emissions of carbon dioxide from the combustion of gaseous fuels</w:t>
            </w:r>
          </w:p>
          <w:p w14:paraId="2121DBD8" w14:textId="77777777" w:rsidR="00A856F8" w:rsidRPr="00466BE3" w:rsidRDefault="00A856F8" w:rsidP="00133053">
            <w:pPr>
              <w:cnfStyle w:val="000000100000" w:firstRow="0" w:lastRow="0" w:firstColumn="0" w:lastColumn="0" w:oddVBand="0" w:evenVBand="0" w:oddHBand="1" w:evenHBand="0" w:firstRowFirstColumn="0" w:firstRowLastColumn="0" w:lastRowFirstColumn="0" w:lastRowLastColumn="0"/>
            </w:pPr>
            <w:r w:rsidRPr="00466BE3">
              <w:t>Section 2.26 – Method 3 – emissions of carbon dioxide from the combustion of gaseous fuels</w:t>
            </w:r>
          </w:p>
          <w:p w14:paraId="2AFBAD3C" w14:textId="77777777" w:rsidR="00A856F8" w:rsidRPr="00466BE3" w:rsidRDefault="00A856F8" w:rsidP="00133053">
            <w:pPr>
              <w:cnfStyle w:val="000000100000" w:firstRow="0" w:lastRow="0" w:firstColumn="0" w:lastColumn="0" w:oddVBand="0" w:evenVBand="0" w:oddHBand="1" w:evenHBand="0" w:firstRowFirstColumn="0" w:firstRowLastColumn="0" w:lastRowFirstColumn="0" w:lastRowLastColumn="0"/>
            </w:pPr>
            <w:r w:rsidRPr="00466BE3">
              <w:t>Section 2.27 – Method 2 – emissions of methane from the combustion of gaseous fuels</w:t>
            </w:r>
          </w:p>
          <w:p w14:paraId="1431A061" w14:textId="77777777" w:rsidR="00A856F8" w:rsidRPr="00466BE3" w:rsidRDefault="00A856F8" w:rsidP="00133053">
            <w:pPr>
              <w:cnfStyle w:val="000000100000" w:firstRow="0" w:lastRow="0" w:firstColumn="0" w:lastColumn="0" w:oddVBand="0" w:evenVBand="0" w:oddHBand="1" w:evenHBand="0" w:firstRowFirstColumn="0" w:firstRowLastColumn="0" w:lastRowFirstColumn="0" w:lastRowLastColumn="0"/>
            </w:pPr>
            <w:r w:rsidRPr="00466BE3">
              <w:t>Part 1.3 – Method 4 – Direct measurement of emissions</w:t>
            </w:r>
          </w:p>
        </w:tc>
        <w:tc>
          <w:tcPr>
            <w:tcW w:w="2835" w:type="dxa"/>
          </w:tcPr>
          <w:p w14:paraId="4EE26AF3" w14:textId="77777777" w:rsidR="00A856F8" w:rsidRPr="00466BE3" w:rsidRDefault="00A856F8" w:rsidP="00133053">
            <w:pPr>
              <w:cnfStyle w:val="000000100000" w:firstRow="0" w:lastRow="0" w:firstColumn="0" w:lastColumn="0" w:oddVBand="0" w:evenVBand="0" w:oddHBand="1" w:evenHBand="0" w:firstRowFirstColumn="0" w:firstRowLastColumn="0" w:lastRowFirstColumn="0" w:lastRowLastColumn="0"/>
            </w:pPr>
            <w:r w:rsidRPr="00466BE3">
              <w:t>Part 2 of Schedule 1 – Fuel combustion – gaseous fuels</w:t>
            </w:r>
          </w:p>
          <w:p w14:paraId="5F2DD194" w14:textId="77777777" w:rsidR="00A856F8" w:rsidRPr="00466BE3" w:rsidRDefault="00A856F8" w:rsidP="00133053">
            <w:pPr>
              <w:cnfStyle w:val="000000100000" w:firstRow="0" w:lastRow="0" w:firstColumn="0" w:lastColumn="0" w:oddVBand="0" w:evenVBand="0" w:oddHBand="1" w:evenHBand="0" w:firstRowFirstColumn="0" w:firstRowLastColumn="0" w:lastRowFirstColumn="0" w:lastRowLastColumn="0"/>
            </w:pPr>
            <w:r w:rsidRPr="00466BE3">
              <w:t>Part 4 of Schedule 1 – Fuel combustion – fuels for transport energy purposes</w:t>
            </w:r>
          </w:p>
          <w:p w14:paraId="7BCE0AC8" w14:textId="77777777" w:rsidR="00A856F8" w:rsidRPr="00466BE3" w:rsidRDefault="00A856F8" w:rsidP="00133053">
            <w:pPr>
              <w:cnfStyle w:val="000000100000" w:firstRow="0" w:lastRow="0" w:firstColumn="0" w:lastColumn="0" w:oddVBand="0" w:evenVBand="0" w:oddHBand="1" w:evenHBand="0" w:firstRowFirstColumn="0" w:firstRowLastColumn="0" w:lastRowFirstColumn="0" w:lastRowLastColumn="0"/>
            </w:pPr>
            <w:r>
              <w:t>Table 41 from the National Greenhouse Accounts (Scope 3 emission factors - natural gas for a product that is not ethane (inclusive of coal seam gas))</w:t>
            </w:r>
          </w:p>
          <w:p w14:paraId="2A8089B4" w14:textId="77777777" w:rsidR="00A856F8" w:rsidRPr="00466BE3" w:rsidRDefault="00A856F8" w:rsidP="00133053">
            <w:pPr>
              <w:cnfStyle w:val="000000100000" w:firstRow="0" w:lastRow="0" w:firstColumn="0" w:lastColumn="0" w:oddVBand="0" w:evenVBand="0" w:oddHBand="1" w:evenHBand="0" w:firstRowFirstColumn="0" w:firstRowLastColumn="0" w:lastRowFirstColumn="0" w:lastRowLastColumn="0"/>
            </w:pPr>
          </w:p>
        </w:tc>
        <w:tc>
          <w:tcPr>
            <w:tcW w:w="3570" w:type="dxa"/>
            <w:hideMark/>
          </w:tcPr>
          <w:p w14:paraId="202F795D" w14:textId="77777777" w:rsidR="00A856F8" w:rsidRPr="00466BE3" w:rsidRDefault="00A856F8" w:rsidP="00133053">
            <w:pPr>
              <w:cnfStyle w:val="000000100000" w:firstRow="0" w:lastRow="0" w:firstColumn="0" w:lastColumn="0" w:oddVBand="0" w:evenVBand="0" w:oddHBand="1" w:evenHBand="0" w:firstRowFirstColumn="0" w:firstRowLastColumn="0" w:lastRowFirstColumn="0" w:lastRowLastColumn="0"/>
            </w:pPr>
            <w:r w:rsidRPr="00466BE3">
              <w:t>Section 2.22 – Calculation of emission factors from combustion of liquid fuel</w:t>
            </w:r>
          </w:p>
          <w:p w14:paraId="584F9663" w14:textId="77777777" w:rsidR="00A856F8" w:rsidRPr="00466BE3" w:rsidRDefault="00A856F8" w:rsidP="00133053">
            <w:pPr>
              <w:cnfStyle w:val="000000100000" w:firstRow="0" w:lastRow="0" w:firstColumn="0" w:lastColumn="0" w:oddVBand="0" w:evenVBand="0" w:oddHBand="1" w:evenHBand="0" w:firstRowFirstColumn="0" w:firstRowLastColumn="0" w:lastRowFirstColumn="0" w:lastRowLastColumn="0"/>
            </w:pPr>
            <w:r w:rsidRPr="00466BE3">
              <w:t>Subdivision 2.3.3.2 – Sampling and analysis</w:t>
            </w:r>
          </w:p>
          <w:p w14:paraId="00493740" w14:textId="77777777" w:rsidR="00A856F8" w:rsidRPr="00466BE3" w:rsidRDefault="00A856F8" w:rsidP="00133053">
            <w:pPr>
              <w:cnfStyle w:val="000000100000" w:firstRow="0" w:lastRow="0" w:firstColumn="0" w:lastColumn="0" w:oddVBand="0" w:evenVBand="0" w:oddHBand="1" w:evenHBand="0" w:firstRowFirstColumn="0" w:firstRowLastColumn="0" w:lastRowFirstColumn="0" w:lastRowLastColumn="0"/>
            </w:pPr>
            <w:r w:rsidRPr="00466BE3">
              <w:t>Division 2.3.6 – Measurement of the quantity of gaseous fuels</w:t>
            </w:r>
          </w:p>
        </w:tc>
      </w:tr>
      <w:tr w:rsidR="00A856F8" w:rsidRPr="00466BE3" w14:paraId="0AE84234" w14:textId="77777777" w:rsidTr="00A856F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43" w:type="dxa"/>
            <w:hideMark/>
          </w:tcPr>
          <w:p w14:paraId="0F74B7D8" w14:textId="77777777" w:rsidR="00A856F8" w:rsidRPr="00466BE3" w:rsidRDefault="00A856F8" w:rsidP="00133053">
            <w:r w:rsidRPr="00466BE3">
              <w:t>Coal mining fugitives (underground)</w:t>
            </w:r>
          </w:p>
        </w:tc>
        <w:tc>
          <w:tcPr>
            <w:tcW w:w="5954" w:type="dxa"/>
            <w:hideMark/>
          </w:tcPr>
          <w:p w14:paraId="0BBD988B" w14:textId="77777777" w:rsidR="00A856F8" w:rsidRPr="00466BE3" w:rsidRDefault="00A856F8" w:rsidP="00133053">
            <w:pPr>
              <w:cnfStyle w:val="000000010000" w:firstRow="0" w:lastRow="0" w:firstColumn="0" w:lastColumn="0" w:oddVBand="0" w:evenVBand="0" w:oddHBand="0" w:evenHBand="1" w:firstRowFirstColumn="0" w:firstRowLastColumn="0" w:lastRowFirstColumn="0" w:lastRowLastColumn="0"/>
            </w:pPr>
            <w:r w:rsidRPr="00466BE3">
              <w:t>Section 3.5 – Method 1 – extraction of coal</w:t>
            </w:r>
          </w:p>
          <w:p w14:paraId="0391C594" w14:textId="77777777" w:rsidR="00A856F8" w:rsidRPr="00466BE3" w:rsidRDefault="00A856F8" w:rsidP="00133053">
            <w:pPr>
              <w:cnfStyle w:val="000000010000" w:firstRow="0" w:lastRow="0" w:firstColumn="0" w:lastColumn="0" w:oddVBand="0" w:evenVBand="0" w:oddHBand="0" w:evenHBand="1" w:firstRowFirstColumn="0" w:firstRowLastColumn="0" w:lastRowFirstColumn="0" w:lastRowLastColumn="0"/>
            </w:pPr>
            <w:r w:rsidRPr="00466BE3">
              <w:t>Section 3.6 – Method 4 – extraction of coal</w:t>
            </w:r>
          </w:p>
          <w:p w14:paraId="0A556377" w14:textId="77777777" w:rsidR="00A856F8" w:rsidRPr="00466BE3" w:rsidRDefault="00A856F8" w:rsidP="00133053">
            <w:pPr>
              <w:cnfStyle w:val="000000010000" w:firstRow="0" w:lastRow="0" w:firstColumn="0" w:lastColumn="0" w:oddVBand="0" w:evenVBand="0" w:oddHBand="0" w:evenHBand="1" w:firstRowFirstColumn="0" w:firstRowLastColumn="0" w:lastRowFirstColumn="0" w:lastRowLastColumn="0"/>
            </w:pPr>
            <w:r w:rsidRPr="00466BE3">
              <w:t xml:space="preserve">Section 3.14 – Method 1 – coal mine waste gas flared </w:t>
            </w:r>
          </w:p>
          <w:p w14:paraId="08D587B5" w14:textId="77777777" w:rsidR="00A856F8" w:rsidRPr="00466BE3" w:rsidRDefault="00A856F8" w:rsidP="00133053">
            <w:pPr>
              <w:cnfStyle w:val="000000010000" w:firstRow="0" w:lastRow="0" w:firstColumn="0" w:lastColumn="0" w:oddVBand="0" w:evenVBand="0" w:oddHBand="0" w:evenHBand="1" w:firstRowFirstColumn="0" w:firstRowLastColumn="0" w:lastRowFirstColumn="0" w:lastRowLastColumn="0"/>
            </w:pPr>
            <w:r w:rsidRPr="00466BE3">
              <w:t>Section 3.15 – Method 2 – emissions of carbon dioxide from coal mine waste gas flared</w:t>
            </w:r>
          </w:p>
          <w:p w14:paraId="02C3EEA0" w14:textId="77777777" w:rsidR="00A856F8" w:rsidRPr="00466BE3" w:rsidRDefault="00A856F8" w:rsidP="00133053">
            <w:pPr>
              <w:cnfStyle w:val="000000010000" w:firstRow="0" w:lastRow="0" w:firstColumn="0" w:lastColumn="0" w:oddVBand="0" w:evenVBand="0" w:oddHBand="0" w:evenHBand="1" w:firstRowFirstColumn="0" w:firstRowLastColumn="0" w:lastRowFirstColumn="0" w:lastRowLastColumn="0"/>
            </w:pPr>
            <w:r w:rsidRPr="00466BE3">
              <w:t>Section 3.15A – Method 2 – emissions of methane and nitrous oxide from coal mine waste gas flared</w:t>
            </w:r>
          </w:p>
          <w:p w14:paraId="31A61AD1" w14:textId="77777777" w:rsidR="00A856F8" w:rsidRPr="00466BE3" w:rsidRDefault="00A856F8" w:rsidP="00133053">
            <w:pPr>
              <w:cnfStyle w:val="000000010000" w:firstRow="0" w:lastRow="0" w:firstColumn="0" w:lastColumn="0" w:oddVBand="0" w:evenVBand="0" w:oddHBand="0" w:evenHBand="1" w:firstRowFirstColumn="0" w:firstRowLastColumn="0" w:lastRowFirstColumn="0" w:lastRowLastColumn="0"/>
            </w:pPr>
            <w:r w:rsidRPr="00466BE3">
              <w:t>Section 3.16 – Method 2 – coal mine waste gas flared</w:t>
            </w:r>
          </w:p>
        </w:tc>
        <w:tc>
          <w:tcPr>
            <w:tcW w:w="2835" w:type="dxa"/>
            <w:hideMark/>
          </w:tcPr>
          <w:p w14:paraId="4C5F93C8" w14:textId="77777777" w:rsidR="00A856F8" w:rsidRPr="00466BE3" w:rsidRDefault="00A856F8" w:rsidP="00133053">
            <w:pPr>
              <w:cnfStyle w:val="000000010000" w:firstRow="0" w:lastRow="0" w:firstColumn="0" w:lastColumn="0" w:oddVBand="0" w:evenVBand="0" w:oddHBand="0" w:evenHBand="1" w:firstRowFirstColumn="0" w:firstRowLastColumn="0" w:lastRowFirstColumn="0" w:lastRowLastColumn="0"/>
            </w:pPr>
            <w:r w:rsidRPr="00466BE3">
              <w:t>Part 2 of Schedule 1 – Fuel combustion – gaseous fuels</w:t>
            </w:r>
          </w:p>
        </w:tc>
        <w:tc>
          <w:tcPr>
            <w:tcW w:w="3570" w:type="dxa"/>
            <w:hideMark/>
          </w:tcPr>
          <w:p w14:paraId="09B54A18" w14:textId="77777777" w:rsidR="00A856F8" w:rsidRPr="00466BE3" w:rsidRDefault="00A856F8" w:rsidP="00133053">
            <w:pPr>
              <w:cnfStyle w:val="000000010000" w:firstRow="0" w:lastRow="0" w:firstColumn="0" w:lastColumn="0" w:oddVBand="0" w:evenVBand="0" w:oddHBand="0" w:evenHBand="1" w:firstRowFirstColumn="0" w:firstRowLastColumn="0" w:lastRowFirstColumn="0" w:lastRowLastColumn="0"/>
            </w:pPr>
            <w:r w:rsidRPr="00466BE3">
              <w:t>Subdivision 3.2.2.2 – Fugitive emissions from extraction of coal</w:t>
            </w:r>
          </w:p>
        </w:tc>
      </w:tr>
      <w:tr w:rsidR="00A856F8" w:rsidRPr="00466BE3" w14:paraId="79D4E931" w14:textId="77777777" w:rsidTr="00A856F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43" w:type="dxa"/>
            <w:hideMark/>
          </w:tcPr>
          <w:p w14:paraId="0B40834F" w14:textId="77777777" w:rsidR="00A856F8" w:rsidRPr="00466BE3" w:rsidRDefault="00A856F8" w:rsidP="00133053">
            <w:r w:rsidRPr="00466BE3">
              <w:t>Coal mining fugitives (open cut)</w:t>
            </w:r>
          </w:p>
        </w:tc>
        <w:tc>
          <w:tcPr>
            <w:tcW w:w="5954" w:type="dxa"/>
            <w:hideMark/>
          </w:tcPr>
          <w:p w14:paraId="44FA2CF0" w14:textId="77777777" w:rsidR="00A856F8" w:rsidRPr="00466BE3" w:rsidRDefault="00A856F8" w:rsidP="00133053">
            <w:pPr>
              <w:cnfStyle w:val="000000100000" w:firstRow="0" w:lastRow="0" w:firstColumn="0" w:lastColumn="0" w:oddVBand="0" w:evenVBand="0" w:oddHBand="1" w:evenHBand="0" w:firstRowFirstColumn="0" w:firstRowLastColumn="0" w:lastRowFirstColumn="0" w:lastRowLastColumn="0"/>
            </w:pPr>
            <w:r w:rsidRPr="00466BE3">
              <w:t>Section 3.20 – Method 1 – extraction of coal</w:t>
            </w:r>
          </w:p>
          <w:p w14:paraId="4C9AD8B7" w14:textId="77777777" w:rsidR="00A856F8" w:rsidRPr="00466BE3" w:rsidRDefault="00A856F8" w:rsidP="00133053">
            <w:pPr>
              <w:cnfStyle w:val="000000100000" w:firstRow="0" w:lastRow="0" w:firstColumn="0" w:lastColumn="0" w:oddVBand="0" w:evenVBand="0" w:oddHBand="1" w:evenHBand="0" w:firstRowFirstColumn="0" w:firstRowLastColumn="0" w:lastRowFirstColumn="0" w:lastRowLastColumn="0"/>
            </w:pPr>
            <w:r w:rsidRPr="00466BE3">
              <w:t>Section 3.21 – Method 2 – extraction of coal</w:t>
            </w:r>
          </w:p>
          <w:p w14:paraId="6B78C30A" w14:textId="77777777" w:rsidR="00A856F8" w:rsidRPr="00466BE3" w:rsidRDefault="00A856F8" w:rsidP="00133053">
            <w:pPr>
              <w:cnfStyle w:val="000000100000" w:firstRow="0" w:lastRow="0" w:firstColumn="0" w:lastColumn="0" w:oddVBand="0" w:evenVBand="0" w:oddHBand="1" w:evenHBand="0" w:firstRowFirstColumn="0" w:firstRowLastColumn="0" w:lastRowFirstColumn="0" w:lastRowLastColumn="0"/>
            </w:pPr>
            <w:r w:rsidRPr="00466BE3">
              <w:t>Section 3.26 – Method 3 – extraction of coal</w:t>
            </w:r>
          </w:p>
          <w:p w14:paraId="12DF3951" w14:textId="77777777" w:rsidR="00A856F8" w:rsidRPr="00466BE3" w:rsidRDefault="00A856F8" w:rsidP="00133053">
            <w:pPr>
              <w:cnfStyle w:val="000000100000" w:firstRow="0" w:lastRow="0" w:firstColumn="0" w:lastColumn="0" w:oddVBand="0" w:evenVBand="0" w:oddHBand="1" w:evenHBand="0" w:firstRowFirstColumn="0" w:firstRowLastColumn="0" w:lastRowFirstColumn="0" w:lastRowLastColumn="0"/>
            </w:pPr>
            <w:r w:rsidRPr="00466BE3">
              <w:t>Section 3.27 – Method 1 – coal mine waste gas flared</w:t>
            </w:r>
          </w:p>
          <w:p w14:paraId="18A69472" w14:textId="77777777" w:rsidR="00A856F8" w:rsidRPr="00466BE3" w:rsidRDefault="00A856F8" w:rsidP="00133053">
            <w:pPr>
              <w:cnfStyle w:val="000000100000" w:firstRow="0" w:lastRow="0" w:firstColumn="0" w:lastColumn="0" w:oddVBand="0" w:evenVBand="0" w:oddHBand="1" w:evenHBand="0" w:firstRowFirstColumn="0" w:firstRowLastColumn="0" w:lastRowFirstColumn="0" w:lastRowLastColumn="0"/>
            </w:pPr>
            <w:r w:rsidRPr="00466BE3">
              <w:t>Section 3.28 – Method 2 – coal mine waste gas flared</w:t>
            </w:r>
          </w:p>
          <w:p w14:paraId="49999FD9" w14:textId="77777777" w:rsidR="00A856F8" w:rsidRPr="00466BE3" w:rsidRDefault="00A856F8" w:rsidP="00133053">
            <w:pPr>
              <w:cnfStyle w:val="000000100000" w:firstRow="0" w:lastRow="0" w:firstColumn="0" w:lastColumn="0" w:oddVBand="0" w:evenVBand="0" w:oddHBand="1" w:evenHBand="0" w:firstRowFirstColumn="0" w:firstRowLastColumn="0" w:lastRowFirstColumn="0" w:lastRowLastColumn="0"/>
            </w:pPr>
            <w:r w:rsidRPr="00466BE3">
              <w:t>Section 3.29 – Method 3 – coal mine waste gas flared</w:t>
            </w:r>
          </w:p>
        </w:tc>
        <w:tc>
          <w:tcPr>
            <w:tcW w:w="2835" w:type="dxa"/>
          </w:tcPr>
          <w:p w14:paraId="259617C8" w14:textId="77777777" w:rsidR="00A856F8" w:rsidRPr="00466BE3" w:rsidRDefault="00A856F8" w:rsidP="00133053">
            <w:pPr>
              <w:cnfStyle w:val="000000100000" w:firstRow="0" w:lastRow="0" w:firstColumn="0" w:lastColumn="0" w:oddVBand="0" w:evenVBand="0" w:oddHBand="1" w:evenHBand="0" w:firstRowFirstColumn="0" w:firstRowLastColumn="0" w:lastRowFirstColumn="0" w:lastRowLastColumn="0"/>
            </w:pPr>
            <w:r w:rsidRPr="00466BE3">
              <w:t>Part 2 of Schedule 1 – Fuel combustion – gaseous fuels</w:t>
            </w:r>
          </w:p>
          <w:p w14:paraId="0A1B263B" w14:textId="77777777" w:rsidR="00A856F8" w:rsidRPr="00466BE3" w:rsidRDefault="00A856F8" w:rsidP="00133053">
            <w:pPr>
              <w:cnfStyle w:val="000000100000" w:firstRow="0" w:lastRow="0" w:firstColumn="0" w:lastColumn="0" w:oddVBand="0" w:evenVBand="0" w:oddHBand="1" w:evenHBand="0" w:firstRowFirstColumn="0" w:firstRowLastColumn="0" w:lastRowFirstColumn="0" w:lastRowLastColumn="0"/>
            </w:pPr>
          </w:p>
        </w:tc>
        <w:tc>
          <w:tcPr>
            <w:tcW w:w="3570" w:type="dxa"/>
            <w:hideMark/>
          </w:tcPr>
          <w:p w14:paraId="4E965F5A" w14:textId="77777777" w:rsidR="00A856F8" w:rsidRPr="00466BE3" w:rsidRDefault="00A856F8" w:rsidP="00133053">
            <w:pPr>
              <w:cnfStyle w:val="000000100000" w:firstRow="0" w:lastRow="0" w:firstColumn="0" w:lastColumn="0" w:oddVBand="0" w:evenVBand="0" w:oddHBand="1" w:evenHBand="0" w:firstRowFirstColumn="0" w:firstRowLastColumn="0" w:lastRowFirstColumn="0" w:lastRowLastColumn="0"/>
            </w:pPr>
            <w:r w:rsidRPr="00466BE3">
              <w:t>Subdivision 3.2.3.2 – Fugitive emissions from extraction of coal</w:t>
            </w:r>
          </w:p>
        </w:tc>
      </w:tr>
      <w:tr w:rsidR="00A856F8" w:rsidRPr="00466BE3" w14:paraId="5C1DCC08" w14:textId="77777777" w:rsidTr="00A856F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43" w:type="dxa"/>
            <w:hideMark/>
          </w:tcPr>
          <w:p w14:paraId="7802F369" w14:textId="77777777" w:rsidR="00A856F8" w:rsidRPr="00466BE3" w:rsidRDefault="00A856F8" w:rsidP="00133053">
            <w:r w:rsidRPr="00466BE3">
              <w:t>Carbon capture and storage fugitives</w:t>
            </w:r>
            <w:r>
              <w:rPr>
                <w:rStyle w:val="FootnoteReference"/>
              </w:rPr>
              <w:footnoteReference w:id="15"/>
            </w:r>
          </w:p>
        </w:tc>
        <w:tc>
          <w:tcPr>
            <w:tcW w:w="5954" w:type="dxa"/>
            <w:hideMark/>
          </w:tcPr>
          <w:p w14:paraId="2440F1AA" w14:textId="77777777" w:rsidR="00A856F8" w:rsidRPr="00466BE3" w:rsidRDefault="00A856F8" w:rsidP="00133053">
            <w:pPr>
              <w:cnfStyle w:val="000000010000" w:firstRow="0" w:lastRow="0" w:firstColumn="0" w:lastColumn="0" w:oddVBand="0" w:evenVBand="0" w:oddHBand="0" w:evenHBand="1" w:firstRowFirstColumn="0" w:firstRowLastColumn="0" w:lastRowFirstColumn="0" w:lastRowLastColumn="0"/>
            </w:pPr>
            <w:r w:rsidRPr="00466BE3">
              <w:t>Section 3.91 – Method 1 – emissions from transport of greenhouse gases involving transfer</w:t>
            </w:r>
          </w:p>
          <w:p w14:paraId="6A83DD99" w14:textId="77777777" w:rsidR="00A856F8" w:rsidRPr="00466BE3" w:rsidRDefault="00A856F8" w:rsidP="00133053">
            <w:pPr>
              <w:cnfStyle w:val="000000010000" w:firstRow="0" w:lastRow="0" w:firstColumn="0" w:lastColumn="0" w:oddVBand="0" w:evenVBand="0" w:oddHBand="0" w:evenHBand="1" w:firstRowFirstColumn="0" w:firstRowLastColumn="0" w:lastRowFirstColumn="0" w:lastRowLastColumn="0"/>
            </w:pPr>
            <w:r w:rsidRPr="00466BE3">
              <w:t>Section 3.92 – Method 1 – emissions from transport of greenhouse gases not involving transfer</w:t>
            </w:r>
          </w:p>
          <w:p w14:paraId="5FD9246D" w14:textId="77777777" w:rsidR="00A856F8" w:rsidRPr="00466BE3" w:rsidRDefault="00A856F8" w:rsidP="00133053">
            <w:pPr>
              <w:cnfStyle w:val="000000010000" w:firstRow="0" w:lastRow="0" w:firstColumn="0" w:lastColumn="0" w:oddVBand="0" w:evenVBand="0" w:oddHBand="0" w:evenHBand="1" w:firstRowFirstColumn="0" w:firstRowLastColumn="0" w:lastRowFirstColumn="0" w:lastRowLastColumn="0"/>
            </w:pPr>
            <w:r w:rsidRPr="00466BE3">
              <w:t>Section 3.95 – Method 2 – fugitive emissions from deliberate releases from process vents, system upsets and accidents</w:t>
            </w:r>
          </w:p>
          <w:p w14:paraId="28574E61" w14:textId="77777777" w:rsidR="00A856F8" w:rsidRPr="00466BE3" w:rsidRDefault="00A856F8" w:rsidP="00133053">
            <w:pPr>
              <w:cnfStyle w:val="000000010000" w:firstRow="0" w:lastRow="0" w:firstColumn="0" w:lastColumn="0" w:oddVBand="0" w:evenVBand="0" w:oddHBand="0" w:evenHBand="1" w:firstRowFirstColumn="0" w:firstRowLastColumn="0" w:lastRowFirstColumn="0" w:lastRowLastColumn="0"/>
            </w:pPr>
            <w:r w:rsidRPr="00466BE3">
              <w:t>Section 3.96 – Method 2 – fugitive emissions from injection of a greenhouse gas into a geological formation (other than deliberate releases from process vents, system upsets and accidents)</w:t>
            </w:r>
          </w:p>
          <w:p w14:paraId="38669E7B" w14:textId="77777777" w:rsidR="00A856F8" w:rsidRPr="00466BE3" w:rsidRDefault="00A856F8" w:rsidP="00133053">
            <w:pPr>
              <w:cnfStyle w:val="000000010000" w:firstRow="0" w:lastRow="0" w:firstColumn="0" w:lastColumn="0" w:oddVBand="0" w:evenVBand="0" w:oddHBand="0" w:evenHBand="1" w:firstRowFirstColumn="0" w:firstRowLastColumn="0" w:lastRowFirstColumn="0" w:lastRowLastColumn="0"/>
            </w:pPr>
            <w:r w:rsidRPr="00466BE3">
              <w:t>Section 3.97 – Method 3 – fugitive emissions from injection of greenhouse gases (other than deliberate releases from process vents, system upsets and accidents)</w:t>
            </w:r>
          </w:p>
          <w:p w14:paraId="53DA93D9" w14:textId="77777777" w:rsidR="00A856F8" w:rsidRPr="00466BE3" w:rsidRDefault="00A856F8" w:rsidP="00133053">
            <w:pPr>
              <w:cnfStyle w:val="000000010000" w:firstRow="0" w:lastRow="0" w:firstColumn="0" w:lastColumn="0" w:oddVBand="0" w:evenVBand="0" w:oddHBand="0" w:evenHBand="1" w:firstRowFirstColumn="0" w:firstRowLastColumn="0" w:lastRowFirstColumn="0" w:lastRowLastColumn="0"/>
            </w:pPr>
            <w:r w:rsidRPr="00466BE3">
              <w:t>Section 3.100 – Method 2 – fugitive emissions from geological formations used for the storage of greenhouse gases</w:t>
            </w:r>
          </w:p>
        </w:tc>
        <w:tc>
          <w:tcPr>
            <w:tcW w:w="2835" w:type="dxa"/>
            <w:hideMark/>
          </w:tcPr>
          <w:p w14:paraId="0366CA65" w14:textId="77777777" w:rsidR="00A856F8" w:rsidRPr="00466BE3" w:rsidRDefault="00A856F8" w:rsidP="00133053">
            <w:pPr>
              <w:cnfStyle w:val="000000010000" w:firstRow="0" w:lastRow="0" w:firstColumn="0" w:lastColumn="0" w:oddVBand="0" w:evenVBand="0" w:oddHBand="0" w:evenHBand="1" w:firstRowFirstColumn="0" w:firstRowLastColumn="0" w:lastRowFirstColumn="0" w:lastRowLastColumn="0"/>
            </w:pPr>
            <w:r w:rsidRPr="00466BE3">
              <w:t>Section 6.1 in the API Compendium</w:t>
            </w:r>
          </w:p>
        </w:tc>
        <w:tc>
          <w:tcPr>
            <w:tcW w:w="3570" w:type="dxa"/>
          </w:tcPr>
          <w:p w14:paraId="196F4103" w14:textId="77777777" w:rsidR="00A856F8" w:rsidRPr="00466BE3" w:rsidRDefault="00A856F8" w:rsidP="00133053">
            <w:pPr>
              <w:cnfStyle w:val="000000010000" w:firstRow="0" w:lastRow="0" w:firstColumn="0" w:lastColumn="0" w:oddVBand="0" w:evenVBand="0" w:oddHBand="0" w:evenHBand="1" w:firstRowFirstColumn="0" w:firstRowLastColumn="0" w:lastRowFirstColumn="0" w:lastRowLastColumn="0"/>
            </w:pPr>
            <w:r w:rsidRPr="00706C6B">
              <w:t>Division 1.2.3</w:t>
            </w:r>
            <w:r>
              <w:t xml:space="preserve"> – </w:t>
            </w:r>
            <w:r w:rsidRPr="00706C6B">
              <w:t>Requirements in relation to carbon capture and storage</w:t>
            </w:r>
            <w:r>
              <w:t xml:space="preserve"> (where applicable)</w:t>
            </w:r>
            <w:r>
              <w:rPr>
                <w:rStyle w:val="FootnoteReference"/>
              </w:rPr>
              <w:footnoteReference w:id="16"/>
            </w:r>
          </w:p>
        </w:tc>
      </w:tr>
      <w:tr w:rsidR="00A856F8" w:rsidRPr="00466BE3" w14:paraId="0FC6DA75" w14:textId="77777777" w:rsidTr="00A856F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43" w:type="dxa"/>
            <w:hideMark/>
          </w:tcPr>
          <w:p w14:paraId="7E2934BB" w14:textId="77777777" w:rsidR="00A856F8" w:rsidRPr="00466BE3" w:rsidRDefault="00A856F8" w:rsidP="00133053">
            <w:r w:rsidRPr="00466BE3">
              <w:t>Steam/heat cogeneration</w:t>
            </w:r>
          </w:p>
        </w:tc>
        <w:tc>
          <w:tcPr>
            <w:tcW w:w="5954" w:type="dxa"/>
            <w:hideMark/>
          </w:tcPr>
          <w:p w14:paraId="0DD8E45F" w14:textId="77777777" w:rsidR="00A856F8" w:rsidRPr="00466BE3" w:rsidRDefault="00A856F8" w:rsidP="00133053">
            <w:pPr>
              <w:cnfStyle w:val="000000100000" w:firstRow="0" w:lastRow="0" w:firstColumn="0" w:lastColumn="0" w:oddVBand="0" w:evenVBand="0" w:oddHBand="1" w:evenHBand="0" w:firstRowFirstColumn="0" w:firstRowLastColumn="0" w:lastRowFirstColumn="0" w:lastRowLastColumn="0"/>
            </w:pPr>
            <w:r w:rsidRPr="00466BE3">
              <w:t>Section 2.70 – Amount of energy consumed in a cogeneration process</w:t>
            </w:r>
          </w:p>
        </w:tc>
        <w:tc>
          <w:tcPr>
            <w:tcW w:w="2835" w:type="dxa"/>
          </w:tcPr>
          <w:p w14:paraId="54BDBC7E" w14:textId="77777777" w:rsidR="00A856F8" w:rsidRPr="00466BE3" w:rsidRDefault="00A856F8" w:rsidP="00133053">
            <w:pPr>
              <w:cnfStyle w:val="000000100000" w:firstRow="0" w:lastRow="0" w:firstColumn="0" w:lastColumn="0" w:oddVBand="0" w:evenVBand="0" w:oddHBand="1" w:evenHBand="0" w:firstRowFirstColumn="0" w:firstRowLastColumn="0" w:lastRowFirstColumn="0" w:lastRowLastColumn="0"/>
            </w:pPr>
          </w:p>
        </w:tc>
        <w:tc>
          <w:tcPr>
            <w:tcW w:w="3570" w:type="dxa"/>
            <w:hideMark/>
          </w:tcPr>
          <w:p w14:paraId="0DF51F85" w14:textId="77777777" w:rsidR="00A856F8" w:rsidRPr="00466BE3" w:rsidRDefault="00A856F8" w:rsidP="00133053">
            <w:pPr>
              <w:cnfStyle w:val="000000100000" w:firstRow="0" w:lastRow="0" w:firstColumn="0" w:lastColumn="0" w:oddVBand="0" w:evenVBand="0" w:oddHBand="1" w:evenHBand="0" w:firstRowFirstColumn="0" w:firstRowLastColumn="0" w:lastRowFirstColumn="0" w:lastRowLastColumn="0"/>
            </w:pPr>
            <w:r w:rsidRPr="00466BE3">
              <w:t>Emissions from a Combined Heat and Power (CHP) Plant Guide to calculation worksheets (September 2006) v1.0</w:t>
            </w:r>
          </w:p>
        </w:tc>
      </w:tr>
      <w:tr w:rsidR="00A856F8" w:rsidRPr="00466BE3" w14:paraId="77E85FAB" w14:textId="77777777" w:rsidTr="00A856F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43" w:type="dxa"/>
            <w:hideMark/>
          </w:tcPr>
          <w:p w14:paraId="5AB76343" w14:textId="77777777" w:rsidR="00A856F8" w:rsidRPr="00466BE3" w:rsidRDefault="00A856F8" w:rsidP="00133053">
            <w:r w:rsidRPr="00466BE3">
              <w:t>Refrigerants</w:t>
            </w:r>
          </w:p>
        </w:tc>
        <w:tc>
          <w:tcPr>
            <w:tcW w:w="5954" w:type="dxa"/>
            <w:hideMark/>
          </w:tcPr>
          <w:p w14:paraId="4867FA59" w14:textId="77777777" w:rsidR="00A856F8" w:rsidRPr="00466BE3" w:rsidRDefault="00A856F8" w:rsidP="00133053">
            <w:pPr>
              <w:cnfStyle w:val="000000010000" w:firstRow="0" w:lastRow="0" w:firstColumn="0" w:lastColumn="0" w:oddVBand="0" w:evenVBand="0" w:oddHBand="0" w:evenHBand="1" w:firstRowFirstColumn="0" w:firstRowLastColumn="0" w:lastRowFirstColumn="0" w:lastRowLastColumn="0"/>
            </w:pPr>
            <w:r w:rsidRPr="00466BE3">
              <w:t>Section 4.102 – Method 1</w:t>
            </w:r>
          </w:p>
          <w:p w14:paraId="57FC0F95" w14:textId="77777777" w:rsidR="00A856F8" w:rsidRPr="00466BE3" w:rsidRDefault="00A856F8" w:rsidP="00133053">
            <w:pPr>
              <w:cnfStyle w:val="000000010000" w:firstRow="0" w:lastRow="0" w:firstColumn="0" w:lastColumn="0" w:oddVBand="0" w:evenVBand="0" w:oddHBand="0" w:evenHBand="1" w:firstRowFirstColumn="0" w:firstRowLastColumn="0" w:lastRowFirstColumn="0" w:lastRowLastColumn="0"/>
            </w:pPr>
            <w:r w:rsidRPr="00466BE3">
              <w:t>Section 4.103 – Method 2</w:t>
            </w:r>
          </w:p>
          <w:p w14:paraId="7BEEAC81" w14:textId="77777777" w:rsidR="00A856F8" w:rsidRPr="00466BE3" w:rsidRDefault="00A856F8" w:rsidP="00133053">
            <w:pPr>
              <w:cnfStyle w:val="000000010000" w:firstRow="0" w:lastRow="0" w:firstColumn="0" w:lastColumn="0" w:oddVBand="0" w:evenVBand="0" w:oddHBand="0" w:evenHBand="1" w:firstRowFirstColumn="0" w:firstRowLastColumn="0" w:lastRowFirstColumn="0" w:lastRowLastColumn="0"/>
            </w:pPr>
            <w:r w:rsidRPr="00466BE3">
              <w:t>Section 4.104 – Method 3</w:t>
            </w:r>
          </w:p>
        </w:tc>
        <w:tc>
          <w:tcPr>
            <w:tcW w:w="2835" w:type="dxa"/>
          </w:tcPr>
          <w:p w14:paraId="0E5CC7DA" w14:textId="77777777" w:rsidR="00A856F8" w:rsidRPr="00466BE3" w:rsidRDefault="00A856F8" w:rsidP="00133053">
            <w:pPr>
              <w:cnfStyle w:val="000000010000" w:firstRow="0" w:lastRow="0" w:firstColumn="0" w:lastColumn="0" w:oddVBand="0" w:evenVBand="0" w:oddHBand="0" w:evenHBand="1" w:firstRowFirstColumn="0" w:firstRowLastColumn="0" w:lastRowFirstColumn="0" w:lastRowLastColumn="0"/>
            </w:pPr>
          </w:p>
        </w:tc>
        <w:tc>
          <w:tcPr>
            <w:tcW w:w="3570" w:type="dxa"/>
            <w:hideMark/>
          </w:tcPr>
          <w:p w14:paraId="186BBAC2" w14:textId="77777777" w:rsidR="00A856F8" w:rsidRPr="00466BE3" w:rsidRDefault="00A856F8" w:rsidP="00133053">
            <w:pPr>
              <w:cnfStyle w:val="000000010000" w:firstRow="0" w:lastRow="0" w:firstColumn="0" w:lastColumn="0" w:oddVBand="0" w:evenVBand="0" w:oddHBand="0" w:evenHBand="1" w:firstRowFirstColumn="0" w:firstRowLastColumn="0" w:lastRowFirstColumn="0" w:lastRowLastColumn="0"/>
            </w:pPr>
            <w:r w:rsidRPr="00466BE3">
              <w:t>Part 4.5 – Industrial processes – emission of hydrofluorocarbons and sulphur hexafluoride gases</w:t>
            </w:r>
          </w:p>
        </w:tc>
      </w:tr>
    </w:tbl>
    <w:p w14:paraId="35EAADF8" w14:textId="77777777" w:rsidR="00045176" w:rsidRDefault="00045176" w:rsidP="00A856F8">
      <w:pPr>
        <w:sectPr w:rsidR="00045176" w:rsidSect="00A856F8">
          <w:pgSz w:w="16838" w:h="11906" w:orient="landscape" w:code="9"/>
          <w:pgMar w:top="1701" w:right="1644" w:bottom="1474" w:left="1134" w:header="794" w:footer="284" w:gutter="0"/>
          <w:cols w:space="708"/>
          <w:formProt w:val="0"/>
          <w:docGrid w:linePitch="360"/>
        </w:sectPr>
      </w:pPr>
    </w:p>
    <w:p w14:paraId="69EDD606" w14:textId="5EB0FF7A" w:rsidR="00A856F8" w:rsidRDefault="006A4E2F" w:rsidP="00CE5C22">
      <w:pPr>
        <w:pStyle w:val="Heading1"/>
      </w:pPr>
      <w:bookmarkStart w:id="553" w:name="_Toc67329141"/>
      <w:bookmarkStart w:id="554" w:name="_Toc67329389"/>
      <w:bookmarkStart w:id="555" w:name="_Toc67562655"/>
      <w:bookmarkStart w:id="556" w:name="_Toc68000236"/>
      <w:bookmarkStart w:id="557" w:name="_Toc68083167"/>
      <w:bookmarkStart w:id="558" w:name="_Toc68083562"/>
      <w:bookmarkStart w:id="559" w:name="_Toc68105101"/>
      <w:bookmarkStart w:id="560" w:name="_Toc74839380"/>
      <w:r>
        <w:t xml:space="preserve">Attachment F: </w:t>
      </w:r>
      <w:r w:rsidR="00045176">
        <w:t>Glossary</w:t>
      </w:r>
      <w:bookmarkEnd w:id="553"/>
      <w:bookmarkEnd w:id="554"/>
      <w:bookmarkEnd w:id="555"/>
      <w:bookmarkEnd w:id="556"/>
      <w:bookmarkEnd w:id="557"/>
      <w:bookmarkEnd w:id="558"/>
      <w:bookmarkEnd w:id="559"/>
      <w:bookmarkEnd w:id="560"/>
    </w:p>
    <w:tbl>
      <w:tblPr>
        <w:tblStyle w:val="TableGrid"/>
        <w:tblW w:w="0" w:type="auto"/>
        <w:tblLook w:val="04A0" w:firstRow="1" w:lastRow="0" w:firstColumn="1" w:lastColumn="0" w:noHBand="0" w:noVBand="1"/>
        <w:tblDescription w:val="Table summarising the glossary of terms used throughout the report. "/>
      </w:tblPr>
      <w:tblGrid>
        <w:gridCol w:w="2263"/>
        <w:gridCol w:w="6458"/>
      </w:tblGrid>
      <w:tr w:rsidR="00B4718B" w14:paraId="2B31FBBE" w14:textId="77777777" w:rsidTr="00A906EB">
        <w:trPr>
          <w:tblHeader/>
        </w:trPr>
        <w:tc>
          <w:tcPr>
            <w:tcW w:w="2263" w:type="dxa"/>
          </w:tcPr>
          <w:p w14:paraId="3D3F88C3" w14:textId="3C31C804" w:rsidR="00B4718B" w:rsidRPr="00822A8F" w:rsidRDefault="00B4718B" w:rsidP="00045176">
            <w:pPr>
              <w:rPr>
                <w:b/>
              </w:rPr>
            </w:pPr>
            <w:r>
              <w:rPr>
                <w:b/>
              </w:rPr>
              <w:t xml:space="preserve">Term </w:t>
            </w:r>
          </w:p>
        </w:tc>
        <w:tc>
          <w:tcPr>
            <w:tcW w:w="6458" w:type="dxa"/>
          </w:tcPr>
          <w:p w14:paraId="496E6553" w14:textId="5CD3197E" w:rsidR="00B4718B" w:rsidRDefault="00B4718B" w:rsidP="00045176">
            <w:pPr>
              <w:rPr>
                <w:b/>
              </w:rPr>
            </w:pPr>
            <w:r>
              <w:rPr>
                <w:b/>
              </w:rPr>
              <w:t>Definition</w:t>
            </w:r>
          </w:p>
        </w:tc>
      </w:tr>
      <w:tr w:rsidR="00045176" w14:paraId="1ED17D80" w14:textId="77777777" w:rsidTr="00045176">
        <w:tc>
          <w:tcPr>
            <w:tcW w:w="2263" w:type="dxa"/>
          </w:tcPr>
          <w:p w14:paraId="5D303115" w14:textId="38022373" w:rsidR="00045176" w:rsidRPr="00822A8F" w:rsidRDefault="00045176" w:rsidP="00045176">
            <w:pPr>
              <w:rPr>
                <w:b/>
              </w:rPr>
            </w:pPr>
            <w:r w:rsidRPr="00822A8F">
              <w:rPr>
                <w:b/>
              </w:rPr>
              <w:t>ACCUs</w:t>
            </w:r>
          </w:p>
        </w:tc>
        <w:tc>
          <w:tcPr>
            <w:tcW w:w="6458" w:type="dxa"/>
          </w:tcPr>
          <w:p w14:paraId="1CD7D34A" w14:textId="0E33703F" w:rsidR="00045176" w:rsidRPr="00822A8F" w:rsidRDefault="00822A8F" w:rsidP="00045176">
            <w:r>
              <w:rPr>
                <w:b/>
              </w:rPr>
              <w:t>Australian Carbon Credit Units</w:t>
            </w:r>
            <w:r>
              <w:t xml:space="preserve"> </w:t>
            </w:r>
            <w:r w:rsidR="00A81ACA">
              <w:t>–</w:t>
            </w:r>
            <w:r>
              <w:t xml:space="preserve"> </w:t>
            </w:r>
            <w:r w:rsidR="00A81ACA" w:rsidRPr="00A81ACA">
              <w:t>a unit representing one tonne of carbon dioxide equivalent (tCO2-e) stored or avoided by eligible activities undertaken as part of the Australian Government’s Emissions Reduction Fund</w:t>
            </w:r>
            <w:r w:rsidR="00A81ACA">
              <w:t>.</w:t>
            </w:r>
          </w:p>
        </w:tc>
      </w:tr>
      <w:tr w:rsidR="00045176" w14:paraId="65F3133E" w14:textId="77777777" w:rsidTr="00045176">
        <w:tc>
          <w:tcPr>
            <w:tcW w:w="2263" w:type="dxa"/>
          </w:tcPr>
          <w:p w14:paraId="65C85324" w14:textId="6665C872" w:rsidR="00045176" w:rsidRPr="00822A8F" w:rsidRDefault="00045176" w:rsidP="00045176">
            <w:pPr>
              <w:rPr>
                <w:b/>
              </w:rPr>
            </w:pPr>
            <w:r w:rsidRPr="00822A8F">
              <w:rPr>
                <w:b/>
              </w:rPr>
              <w:t>ANR</w:t>
            </w:r>
            <w:r w:rsidR="00A81ACA">
              <w:rPr>
                <w:b/>
              </w:rPr>
              <w:t>E</w:t>
            </w:r>
            <w:r w:rsidRPr="00822A8F">
              <w:rPr>
                <w:b/>
              </w:rPr>
              <w:t>U Act</w:t>
            </w:r>
          </w:p>
        </w:tc>
        <w:tc>
          <w:tcPr>
            <w:tcW w:w="6458" w:type="dxa"/>
          </w:tcPr>
          <w:p w14:paraId="512A7C65" w14:textId="3C54392D" w:rsidR="00045176" w:rsidRDefault="00A81ACA" w:rsidP="00045176">
            <w:r w:rsidRPr="001C410B">
              <w:rPr>
                <w:b/>
                <w:i/>
              </w:rPr>
              <w:t>Australian National Registry of Emissions Units</w:t>
            </w:r>
            <w:r w:rsidRPr="00E65F4C">
              <w:rPr>
                <w:i/>
              </w:rPr>
              <w:t xml:space="preserve"> </w:t>
            </w:r>
            <w:r w:rsidRPr="00E65F4C">
              <w:rPr>
                <w:rStyle w:val="acopre"/>
                <w:rFonts w:ascii="Arial" w:hAnsi="Arial" w:cs="Arial"/>
                <w:i/>
                <w:color w:val="4D5156"/>
                <w:sz w:val="21"/>
                <w:szCs w:val="21"/>
              </w:rPr>
              <w:t>(</w:t>
            </w:r>
            <w:r w:rsidRPr="00E65F4C">
              <w:rPr>
                <w:i/>
              </w:rPr>
              <w:t>ANREU) Act</w:t>
            </w:r>
            <w:r>
              <w:t>.</w:t>
            </w:r>
          </w:p>
        </w:tc>
      </w:tr>
      <w:tr w:rsidR="00045176" w14:paraId="5D06D03A" w14:textId="77777777" w:rsidTr="00045176">
        <w:tc>
          <w:tcPr>
            <w:tcW w:w="2263" w:type="dxa"/>
          </w:tcPr>
          <w:p w14:paraId="447B7088" w14:textId="696F31AF" w:rsidR="00045176" w:rsidRPr="00822A8F" w:rsidRDefault="00045176" w:rsidP="00045176">
            <w:pPr>
              <w:rPr>
                <w:b/>
              </w:rPr>
            </w:pPr>
            <w:r w:rsidRPr="00822A8F">
              <w:rPr>
                <w:b/>
              </w:rPr>
              <w:t>Carbon Offsets</w:t>
            </w:r>
          </w:p>
        </w:tc>
        <w:tc>
          <w:tcPr>
            <w:tcW w:w="6458" w:type="dxa"/>
          </w:tcPr>
          <w:p w14:paraId="4E98F549" w14:textId="4E0035FA" w:rsidR="00045176" w:rsidRDefault="00A81ACA" w:rsidP="00A81ACA">
            <w:r>
              <w:rPr>
                <w:lang w:val="en"/>
              </w:rPr>
              <w:t xml:space="preserve">Units generated </w:t>
            </w:r>
            <w:r w:rsidR="00FC3CA8" w:rsidRPr="009E1930">
              <w:t>representing one tonne of carbon dioxide equivalent</w:t>
            </w:r>
            <w:r w:rsidR="00FC3CA8">
              <w:t xml:space="preserve"> net abatement generated</w:t>
            </w:r>
            <w:r w:rsidR="00FC3CA8">
              <w:rPr>
                <w:lang w:val="en"/>
              </w:rPr>
              <w:t xml:space="preserve"> </w:t>
            </w:r>
            <w:r>
              <w:rPr>
                <w:lang w:val="en"/>
              </w:rPr>
              <w:t>by projects that reduce, remove or capture emissions from the atmosphere such as reforestation, renewable energy or energy efficiency.</w:t>
            </w:r>
          </w:p>
        </w:tc>
      </w:tr>
      <w:tr w:rsidR="00045176" w14:paraId="724F7340" w14:textId="77777777" w:rsidTr="00045176">
        <w:tc>
          <w:tcPr>
            <w:tcW w:w="2263" w:type="dxa"/>
          </w:tcPr>
          <w:p w14:paraId="39362896" w14:textId="735ED571" w:rsidR="00045176" w:rsidRPr="00822A8F" w:rsidRDefault="00A906EB" w:rsidP="00045176">
            <w:pPr>
              <w:rPr>
                <w:b/>
              </w:rPr>
            </w:pPr>
            <w:r>
              <w:rPr>
                <w:b/>
              </w:rPr>
              <w:t>CC</w:t>
            </w:r>
            <w:r w:rsidR="000F460C">
              <w:rPr>
                <w:b/>
              </w:rPr>
              <w:t>S</w:t>
            </w:r>
          </w:p>
        </w:tc>
        <w:tc>
          <w:tcPr>
            <w:tcW w:w="6458" w:type="dxa"/>
          </w:tcPr>
          <w:p w14:paraId="6DBFCE04" w14:textId="0BF6A3F8" w:rsidR="00045176" w:rsidRPr="00822A8F" w:rsidRDefault="00822A8F" w:rsidP="00045176">
            <w:r>
              <w:rPr>
                <w:b/>
              </w:rPr>
              <w:t xml:space="preserve">Carbon Capture and Storage - </w:t>
            </w:r>
            <w:r>
              <w:t xml:space="preserve">the process of capturing and permanently storing carbon emissions </w:t>
            </w:r>
          </w:p>
        </w:tc>
      </w:tr>
      <w:tr w:rsidR="00045176" w14:paraId="1505FD74" w14:textId="77777777" w:rsidTr="00045176">
        <w:tc>
          <w:tcPr>
            <w:tcW w:w="2263" w:type="dxa"/>
          </w:tcPr>
          <w:p w14:paraId="6D054B91" w14:textId="168DA649" w:rsidR="00045176" w:rsidRPr="00822A8F" w:rsidRDefault="00045176" w:rsidP="00045176">
            <w:pPr>
              <w:rPr>
                <w:b/>
              </w:rPr>
            </w:pPr>
            <w:r w:rsidRPr="00822A8F">
              <w:rPr>
                <w:b/>
              </w:rPr>
              <w:t>CCUS</w:t>
            </w:r>
          </w:p>
        </w:tc>
        <w:tc>
          <w:tcPr>
            <w:tcW w:w="6458" w:type="dxa"/>
          </w:tcPr>
          <w:p w14:paraId="7F30FA79" w14:textId="7E57C7B8" w:rsidR="00045176" w:rsidRPr="00A81ACA" w:rsidRDefault="00A81ACA" w:rsidP="00045176">
            <w:r>
              <w:rPr>
                <w:b/>
              </w:rPr>
              <w:t xml:space="preserve">Carbon Capture, Utilisation and Storage - </w:t>
            </w:r>
            <w:r>
              <w:t>capture CO</w:t>
            </w:r>
            <w:r>
              <w:rPr>
                <w:vertAlign w:val="subscript"/>
              </w:rPr>
              <w:t>2</w:t>
            </w:r>
            <w:r>
              <w:t xml:space="preserve"> for use in some product and storage in this product</w:t>
            </w:r>
          </w:p>
        </w:tc>
      </w:tr>
      <w:tr w:rsidR="00045176" w14:paraId="17134B70" w14:textId="77777777" w:rsidTr="00045176">
        <w:tc>
          <w:tcPr>
            <w:tcW w:w="2263" w:type="dxa"/>
          </w:tcPr>
          <w:p w14:paraId="21D90A9B" w14:textId="78DB8582" w:rsidR="00045176" w:rsidRPr="00822A8F" w:rsidRDefault="00045176" w:rsidP="00045176">
            <w:pPr>
              <w:rPr>
                <w:b/>
              </w:rPr>
            </w:pPr>
            <w:r w:rsidRPr="00822A8F">
              <w:rPr>
                <w:b/>
              </w:rPr>
              <w:t>CER</w:t>
            </w:r>
          </w:p>
        </w:tc>
        <w:tc>
          <w:tcPr>
            <w:tcW w:w="6458" w:type="dxa"/>
          </w:tcPr>
          <w:p w14:paraId="1E78B061" w14:textId="44A37336" w:rsidR="00045176" w:rsidRPr="001C410B" w:rsidRDefault="00A81ACA" w:rsidP="00045176">
            <w:pPr>
              <w:rPr>
                <w:b/>
              </w:rPr>
            </w:pPr>
            <w:r w:rsidRPr="001C410B">
              <w:rPr>
                <w:b/>
              </w:rPr>
              <w:t>Clean Energy Regulator</w:t>
            </w:r>
          </w:p>
        </w:tc>
      </w:tr>
      <w:tr w:rsidR="00045176" w14:paraId="7B89864E" w14:textId="77777777" w:rsidTr="00045176">
        <w:tc>
          <w:tcPr>
            <w:tcW w:w="2263" w:type="dxa"/>
          </w:tcPr>
          <w:p w14:paraId="5A41C521" w14:textId="16709A48" w:rsidR="00045176" w:rsidRPr="00822A8F" w:rsidRDefault="00045176" w:rsidP="00045176">
            <w:pPr>
              <w:rPr>
                <w:b/>
              </w:rPr>
            </w:pPr>
            <w:r w:rsidRPr="00822A8F">
              <w:rPr>
                <w:b/>
              </w:rPr>
              <w:t>CertifHy</w:t>
            </w:r>
          </w:p>
        </w:tc>
        <w:tc>
          <w:tcPr>
            <w:tcW w:w="6458" w:type="dxa"/>
          </w:tcPr>
          <w:p w14:paraId="28345ABB" w14:textId="2B59E589" w:rsidR="00045176" w:rsidRDefault="00A81ACA" w:rsidP="00A81ACA">
            <w:r>
              <w:t xml:space="preserve">Europe's first comprehensive </w:t>
            </w:r>
            <w:r w:rsidR="00DE1808">
              <w:t>GO</w:t>
            </w:r>
            <w:r>
              <w:t xml:space="preserve"> scheme for green and low-carbon hydrogen founded in 2014 by a consortium of industry stakeholders</w:t>
            </w:r>
          </w:p>
        </w:tc>
      </w:tr>
      <w:tr w:rsidR="00045176" w14:paraId="2F58B551" w14:textId="77777777" w:rsidTr="00045176">
        <w:tc>
          <w:tcPr>
            <w:tcW w:w="2263" w:type="dxa"/>
          </w:tcPr>
          <w:p w14:paraId="65F25E63" w14:textId="648552B8" w:rsidR="00045176" w:rsidRPr="00822A8F" w:rsidRDefault="00045176" w:rsidP="00045176">
            <w:pPr>
              <w:rPr>
                <w:b/>
              </w:rPr>
            </w:pPr>
            <w:r w:rsidRPr="00822A8F">
              <w:rPr>
                <w:b/>
              </w:rPr>
              <w:t>Climate</w:t>
            </w:r>
            <w:r w:rsidR="00650045">
              <w:rPr>
                <w:b/>
              </w:rPr>
              <w:t xml:space="preserve"> </w:t>
            </w:r>
            <w:r w:rsidRPr="00822A8F">
              <w:rPr>
                <w:b/>
              </w:rPr>
              <w:t>Active</w:t>
            </w:r>
          </w:p>
        </w:tc>
        <w:tc>
          <w:tcPr>
            <w:tcW w:w="6458" w:type="dxa"/>
          </w:tcPr>
          <w:p w14:paraId="1E1BE624" w14:textId="53B43C96" w:rsidR="00045176" w:rsidRDefault="00457F30" w:rsidP="00457F30">
            <w:r>
              <w:t xml:space="preserve">An Australian Government program </w:t>
            </w:r>
            <w:r w:rsidRPr="00457F30">
              <w:t xml:space="preserve">that awards certification to businesses and organisations </w:t>
            </w:r>
            <w:r w:rsidR="00E41624">
              <w:t xml:space="preserve">are taking practical action to reduce or offset emissions, including businesses and organisations </w:t>
            </w:r>
            <w:r w:rsidRPr="00457F30">
              <w:t>that have credibly reached a state of achieving net zero emissions, otherwise known as carbon neutrality.</w:t>
            </w:r>
          </w:p>
        </w:tc>
      </w:tr>
      <w:tr w:rsidR="00045176" w14:paraId="7DCB2477" w14:textId="77777777" w:rsidTr="00045176">
        <w:tc>
          <w:tcPr>
            <w:tcW w:w="2263" w:type="dxa"/>
          </w:tcPr>
          <w:p w14:paraId="7930ADC7" w14:textId="7F4434B6" w:rsidR="00045176" w:rsidRPr="00822A8F" w:rsidRDefault="00045176" w:rsidP="00045176">
            <w:pPr>
              <w:rPr>
                <w:b/>
                <w:vertAlign w:val="subscript"/>
              </w:rPr>
            </w:pPr>
            <w:r w:rsidRPr="00822A8F">
              <w:rPr>
                <w:b/>
              </w:rPr>
              <w:t>CO</w:t>
            </w:r>
            <w:r w:rsidRPr="00822A8F">
              <w:rPr>
                <w:b/>
                <w:vertAlign w:val="subscript"/>
              </w:rPr>
              <w:t>2</w:t>
            </w:r>
          </w:p>
        </w:tc>
        <w:tc>
          <w:tcPr>
            <w:tcW w:w="6458" w:type="dxa"/>
          </w:tcPr>
          <w:p w14:paraId="5B87A4D3" w14:textId="0FC4245E" w:rsidR="00045176" w:rsidRDefault="00822A8F" w:rsidP="00045176">
            <w:r>
              <w:t>Carbon dioxide</w:t>
            </w:r>
          </w:p>
        </w:tc>
      </w:tr>
      <w:tr w:rsidR="00045176" w14:paraId="402AEAC3" w14:textId="77777777" w:rsidTr="00045176">
        <w:tc>
          <w:tcPr>
            <w:tcW w:w="2263" w:type="dxa"/>
          </w:tcPr>
          <w:p w14:paraId="7542E60F" w14:textId="7528206D" w:rsidR="00045176" w:rsidRPr="00822A8F" w:rsidRDefault="00822A8F" w:rsidP="00045176">
            <w:pPr>
              <w:rPr>
                <w:b/>
              </w:rPr>
            </w:pPr>
            <w:r w:rsidRPr="00822A8F">
              <w:rPr>
                <w:b/>
              </w:rPr>
              <w:t>Electrolysis</w:t>
            </w:r>
          </w:p>
        </w:tc>
        <w:tc>
          <w:tcPr>
            <w:tcW w:w="6458" w:type="dxa"/>
          </w:tcPr>
          <w:p w14:paraId="2280BEF8" w14:textId="21B429A4" w:rsidR="00045176" w:rsidRDefault="00822A8F" w:rsidP="00045176">
            <w:r>
              <w:t>The process of using electricity to split water into hydrogen and oxygen. This reaction takes place in a unit called an electrolyser</w:t>
            </w:r>
          </w:p>
        </w:tc>
      </w:tr>
      <w:tr w:rsidR="00822A8F" w14:paraId="67C3424B" w14:textId="77777777" w:rsidTr="00045176">
        <w:tc>
          <w:tcPr>
            <w:tcW w:w="2263" w:type="dxa"/>
          </w:tcPr>
          <w:p w14:paraId="77A87A08" w14:textId="48D32BFC" w:rsidR="00822A8F" w:rsidRPr="00822A8F" w:rsidRDefault="00822A8F" w:rsidP="00045176">
            <w:pPr>
              <w:rPr>
                <w:b/>
              </w:rPr>
            </w:pPr>
            <w:r w:rsidRPr="00822A8F">
              <w:rPr>
                <w:b/>
              </w:rPr>
              <w:t>Emissions factor</w:t>
            </w:r>
          </w:p>
        </w:tc>
        <w:tc>
          <w:tcPr>
            <w:tcW w:w="6458" w:type="dxa"/>
          </w:tcPr>
          <w:p w14:paraId="155E8FE7" w14:textId="25BD20E1" w:rsidR="00822A8F" w:rsidRDefault="00457F30" w:rsidP="00045176">
            <w:r>
              <w:t>T</w:t>
            </w:r>
            <w:r w:rsidRPr="00457F30">
              <w:t>he average emission rate of a given source, relative to units of activity or process/processes</w:t>
            </w:r>
          </w:p>
        </w:tc>
      </w:tr>
      <w:tr w:rsidR="00045176" w14:paraId="3EC1D0EB" w14:textId="77777777" w:rsidTr="00045176">
        <w:tc>
          <w:tcPr>
            <w:tcW w:w="2263" w:type="dxa"/>
          </w:tcPr>
          <w:p w14:paraId="497D1D4C" w14:textId="4D81CA57" w:rsidR="00045176" w:rsidRPr="00822A8F" w:rsidRDefault="00822A8F" w:rsidP="00045176">
            <w:pPr>
              <w:rPr>
                <w:b/>
              </w:rPr>
            </w:pPr>
            <w:r w:rsidRPr="00822A8F">
              <w:rPr>
                <w:b/>
              </w:rPr>
              <w:t>Gasification</w:t>
            </w:r>
          </w:p>
        </w:tc>
        <w:tc>
          <w:tcPr>
            <w:tcW w:w="6458" w:type="dxa"/>
          </w:tcPr>
          <w:p w14:paraId="5FD9BA02" w14:textId="17AE2A69" w:rsidR="00045176" w:rsidRDefault="00822A8F" w:rsidP="00045176">
            <w:r>
              <w:t>A process that converts fossil fuel based materials into gases</w:t>
            </w:r>
          </w:p>
        </w:tc>
      </w:tr>
      <w:tr w:rsidR="00045176" w14:paraId="038BF056" w14:textId="77777777" w:rsidTr="00045176">
        <w:tc>
          <w:tcPr>
            <w:tcW w:w="2263" w:type="dxa"/>
          </w:tcPr>
          <w:p w14:paraId="2C789A51" w14:textId="395F1C86" w:rsidR="00045176" w:rsidRPr="00822A8F" w:rsidRDefault="00822A8F" w:rsidP="00045176">
            <w:pPr>
              <w:rPr>
                <w:b/>
              </w:rPr>
            </w:pPr>
            <w:r w:rsidRPr="00822A8F">
              <w:rPr>
                <w:b/>
              </w:rPr>
              <w:t>GHG Protocol</w:t>
            </w:r>
          </w:p>
        </w:tc>
        <w:tc>
          <w:tcPr>
            <w:tcW w:w="6458" w:type="dxa"/>
          </w:tcPr>
          <w:p w14:paraId="29C4F230" w14:textId="46510922" w:rsidR="00045176" w:rsidRPr="00457F30" w:rsidRDefault="00457F30" w:rsidP="00045176">
            <w:r>
              <w:rPr>
                <w:b/>
              </w:rPr>
              <w:t xml:space="preserve">Greenhouse Gas Protocol </w:t>
            </w:r>
            <w:r w:rsidR="00DC7573">
              <w:rPr>
                <w:b/>
              </w:rPr>
              <w:t>–</w:t>
            </w:r>
            <w:r>
              <w:rPr>
                <w:b/>
              </w:rPr>
              <w:t xml:space="preserve"> </w:t>
            </w:r>
            <w:r w:rsidR="00DC7573" w:rsidRPr="00DC7573">
              <w:t>An initiative by the World Resources Institute (WRI) and the World Business Council for Sustainable Development (WBCSD), the GHG Protocol establishes comprehensive global standardized frameworks to measure and manage greenhouse gas (GHG) emissions from private and public sector operations, value chains and mitigation actions.</w:t>
            </w:r>
          </w:p>
        </w:tc>
      </w:tr>
      <w:tr w:rsidR="00045176" w14:paraId="6360D09A" w14:textId="77777777" w:rsidTr="00045176">
        <w:tc>
          <w:tcPr>
            <w:tcW w:w="2263" w:type="dxa"/>
          </w:tcPr>
          <w:p w14:paraId="2A8FBF00" w14:textId="21FB2322" w:rsidR="00045176" w:rsidRPr="00822A8F" w:rsidRDefault="00822A8F" w:rsidP="00045176">
            <w:pPr>
              <w:rPr>
                <w:b/>
              </w:rPr>
            </w:pPr>
            <w:r w:rsidRPr="00822A8F">
              <w:rPr>
                <w:b/>
              </w:rPr>
              <w:t>GreenPower</w:t>
            </w:r>
          </w:p>
        </w:tc>
        <w:tc>
          <w:tcPr>
            <w:tcW w:w="6458" w:type="dxa"/>
          </w:tcPr>
          <w:p w14:paraId="679F3FD6" w14:textId="2D932E00" w:rsidR="00045176" w:rsidRDefault="0074744D" w:rsidP="00045176">
            <w:r w:rsidRPr="0074744D">
              <w:t>GreenPower is a government accredited renewable energy product offered by most electricity retailers to households and businesses in Australia.</w:t>
            </w:r>
          </w:p>
        </w:tc>
      </w:tr>
      <w:tr w:rsidR="00045176" w14:paraId="025121FD" w14:textId="77777777" w:rsidTr="00045176">
        <w:tc>
          <w:tcPr>
            <w:tcW w:w="2263" w:type="dxa"/>
          </w:tcPr>
          <w:p w14:paraId="142F9850" w14:textId="618070A0" w:rsidR="00045176" w:rsidRPr="00822A8F" w:rsidRDefault="00822A8F" w:rsidP="00045176">
            <w:pPr>
              <w:rPr>
                <w:b/>
              </w:rPr>
            </w:pPr>
            <w:r w:rsidRPr="00822A8F">
              <w:rPr>
                <w:b/>
              </w:rPr>
              <w:t>IPCC</w:t>
            </w:r>
          </w:p>
        </w:tc>
        <w:tc>
          <w:tcPr>
            <w:tcW w:w="6458" w:type="dxa"/>
          </w:tcPr>
          <w:p w14:paraId="00F2EBEA" w14:textId="2D09D929" w:rsidR="00045176" w:rsidRDefault="0074744D" w:rsidP="00045176">
            <w:r w:rsidRPr="0074744D">
              <w:rPr>
                <w:b/>
              </w:rPr>
              <w:t>The Intergovernmental Panel on Climate Change</w:t>
            </w:r>
            <w:r w:rsidRPr="0074744D">
              <w:t xml:space="preserve"> is the United Nations body for assessing the science related to climate change.</w:t>
            </w:r>
          </w:p>
        </w:tc>
      </w:tr>
      <w:tr w:rsidR="00045176" w14:paraId="1472AE27" w14:textId="77777777" w:rsidTr="00045176">
        <w:tc>
          <w:tcPr>
            <w:tcW w:w="2263" w:type="dxa"/>
          </w:tcPr>
          <w:p w14:paraId="7D91A04E" w14:textId="292A941A" w:rsidR="00045176" w:rsidRPr="00822A8F" w:rsidRDefault="00822A8F" w:rsidP="00045176">
            <w:pPr>
              <w:rPr>
                <w:b/>
              </w:rPr>
            </w:pPr>
            <w:r w:rsidRPr="00822A8F">
              <w:rPr>
                <w:b/>
              </w:rPr>
              <w:t>IPHE</w:t>
            </w:r>
          </w:p>
        </w:tc>
        <w:tc>
          <w:tcPr>
            <w:tcW w:w="6458" w:type="dxa"/>
          </w:tcPr>
          <w:p w14:paraId="56BFBAEB" w14:textId="0F48CD44" w:rsidR="00045176" w:rsidRDefault="00822A8F" w:rsidP="00045176">
            <w:r w:rsidRPr="00822A8F">
              <w:rPr>
                <w:b/>
              </w:rPr>
              <w:t>International Partnership for Hydrogen and Fuel Cells in the Economy</w:t>
            </w:r>
            <w:r>
              <w:t xml:space="preserve"> - an international government-to-government partnership whose goal is to promote the advancement of technical hydrogen industry standards and protocols that are expected to underpin future trade and investment in hydrogen.</w:t>
            </w:r>
          </w:p>
        </w:tc>
      </w:tr>
      <w:tr w:rsidR="00045176" w14:paraId="3AF45942" w14:textId="77777777" w:rsidTr="00045176">
        <w:tc>
          <w:tcPr>
            <w:tcW w:w="2263" w:type="dxa"/>
          </w:tcPr>
          <w:p w14:paraId="0E8FCD69" w14:textId="0101037B" w:rsidR="00045176" w:rsidRPr="00822A8F" w:rsidRDefault="00822A8F" w:rsidP="00045176">
            <w:pPr>
              <w:rPr>
                <w:b/>
              </w:rPr>
            </w:pPr>
            <w:r w:rsidRPr="00822A8F">
              <w:rPr>
                <w:b/>
              </w:rPr>
              <w:t>ISO</w:t>
            </w:r>
          </w:p>
        </w:tc>
        <w:tc>
          <w:tcPr>
            <w:tcW w:w="6458" w:type="dxa"/>
          </w:tcPr>
          <w:p w14:paraId="3DC7F44F" w14:textId="2043914D" w:rsidR="00045176" w:rsidRDefault="00FC3CA8" w:rsidP="00045176">
            <w:r>
              <w:t>International Organization for Standardization</w:t>
            </w:r>
          </w:p>
        </w:tc>
      </w:tr>
      <w:tr w:rsidR="00822A8F" w14:paraId="3ACFC7A9" w14:textId="77777777" w:rsidTr="00045176">
        <w:tc>
          <w:tcPr>
            <w:tcW w:w="2263" w:type="dxa"/>
          </w:tcPr>
          <w:p w14:paraId="45AE7D1B" w14:textId="0DC606D6" w:rsidR="00822A8F" w:rsidRPr="00822A8F" w:rsidRDefault="00822A8F" w:rsidP="00045176">
            <w:pPr>
              <w:rPr>
                <w:b/>
              </w:rPr>
            </w:pPr>
            <w:r w:rsidRPr="00822A8F">
              <w:rPr>
                <w:b/>
              </w:rPr>
              <w:t>LGCs</w:t>
            </w:r>
          </w:p>
        </w:tc>
        <w:tc>
          <w:tcPr>
            <w:tcW w:w="6458" w:type="dxa"/>
          </w:tcPr>
          <w:p w14:paraId="52023C4A" w14:textId="7C3CFE17" w:rsidR="00822A8F" w:rsidRDefault="006A7DD0" w:rsidP="00045176">
            <w:r>
              <w:t>Large-scale Generation Certificates</w:t>
            </w:r>
          </w:p>
        </w:tc>
      </w:tr>
      <w:tr w:rsidR="00045176" w14:paraId="54846F12" w14:textId="77777777" w:rsidTr="00045176">
        <w:tc>
          <w:tcPr>
            <w:tcW w:w="2263" w:type="dxa"/>
          </w:tcPr>
          <w:p w14:paraId="4B111BA8" w14:textId="44497368" w:rsidR="00045176" w:rsidRPr="00822A8F" w:rsidRDefault="00822A8F" w:rsidP="00045176">
            <w:pPr>
              <w:rPr>
                <w:b/>
              </w:rPr>
            </w:pPr>
            <w:r w:rsidRPr="00822A8F">
              <w:rPr>
                <w:b/>
              </w:rPr>
              <w:t>NGA</w:t>
            </w:r>
            <w:r w:rsidR="00FC3CA8">
              <w:rPr>
                <w:b/>
              </w:rPr>
              <w:t xml:space="preserve"> factors</w:t>
            </w:r>
          </w:p>
        </w:tc>
        <w:tc>
          <w:tcPr>
            <w:tcW w:w="6458" w:type="dxa"/>
          </w:tcPr>
          <w:p w14:paraId="6A5EDE56" w14:textId="477E00F3" w:rsidR="00045176" w:rsidRDefault="00FC3CA8" w:rsidP="00045176">
            <w:r>
              <w:t xml:space="preserve">National Greenhouse Accounts </w:t>
            </w:r>
            <w:r w:rsidR="006A4E2F">
              <w:t>(NGA) f</w:t>
            </w:r>
            <w:r>
              <w:t xml:space="preserve">actors </w:t>
            </w:r>
            <w:r w:rsidRPr="00FC3CA8">
              <w:t>provide methods that help companies and individuals estimate greenhouse gas emissions. These are published by the Department of Industry, Science, Energy and Resources each yea</w:t>
            </w:r>
            <w:r>
              <w:t>r</w:t>
            </w:r>
          </w:p>
        </w:tc>
      </w:tr>
      <w:tr w:rsidR="00045176" w14:paraId="202CB388" w14:textId="77777777" w:rsidTr="00045176">
        <w:tc>
          <w:tcPr>
            <w:tcW w:w="2263" w:type="dxa"/>
          </w:tcPr>
          <w:p w14:paraId="77A5D99B" w14:textId="7F806A6D" w:rsidR="00045176" w:rsidRPr="00822A8F" w:rsidRDefault="00FC3CA8" w:rsidP="00045176">
            <w:pPr>
              <w:rPr>
                <w:b/>
              </w:rPr>
            </w:pPr>
            <w:r>
              <w:rPr>
                <w:b/>
              </w:rPr>
              <w:t>NGERs</w:t>
            </w:r>
          </w:p>
        </w:tc>
        <w:tc>
          <w:tcPr>
            <w:tcW w:w="6458" w:type="dxa"/>
          </w:tcPr>
          <w:p w14:paraId="309A07DF" w14:textId="7E16A17E" w:rsidR="00045176" w:rsidRDefault="00FC3CA8" w:rsidP="00FC3CA8">
            <w:r>
              <w:t>National Greenhouse and Energy Reporting scheme</w:t>
            </w:r>
            <w:r w:rsidR="006A4E2F">
              <w:t xml:space="preserve">. </w:t>
            </w:r>
            <w:r w:rsidRPr="00FC3CA8">
              <w:t xml:space="preserve">The National Greenhouse and Energy Reporting (NGER) </w:t>
            </w:r>
            <w:r w:rsidR="006A4E2F">
              <w:t>s</w:t>
            </w:r>
            <w:r w:rsidRPr="00FC3CA8">
              <w:t>cheme is a single national framework for reporting company information about greenhouse gas emissions, energy production and energy consumption</w:t>
            </w:r>
            <w:r>
              <w:t>. The NGER Scheme is administered by the Clean Energy Regulator.</w:t>
            </w:r>
          </w:p>
        </w:tc>
      </w:tr>
      <w:tr w:rsidR="00045176" w14:paraId="236F2E4A" w14:textId="77777777" w:rsidTr="00045176">
        <w:tc>
          <w:tcPr>
            <w:tcW w:w="2263" w:type="dxa"/>
          </w:tcPr>
          <w:p w14:paraId="6DF020C0" w14:textId="1EEF40F4" w:rsidR="00045176" w:rsidRPr="00822A8F" w:rsidRDefault="00822A8F" w:rsidP="00045176">
            <w:pPr>
              <w:rPr>
                <w:b/>
              </w:rPr>
            </w:pPr>
            <w:r w:rsidRPr="00822A8F">
              <w:rPr>
                <w:b/>
              </w:rPr>
              <w:t>PPA</w:t>
            </w:r>
          </w:p>
        </w:tc>
        <w:tc>
          <w:tcPr>
            <w:tcW w:w="6458" w:type="dxa"/>
          </w:tcPr>
          <w:p w14:paraId="3025565E" w14:textId="4890C8C6" w:rsidR="00045176" w:rsidRDefault="006A7DD0" w:rsidP="00045176">
            <w:r>
              <w:t>Power Purchase Agreement</w:t>
            </w:r>
          </w:p>
        </w:tc>
      </w:tr>
      <w:tr w:rsidR="00045176" w14:paraId="33FF0A6E" w14:textId="77777777" w:rsidTr="00045176">
        <w:tc>
          <w:tcPr>
            <w:tcW w:w="2263" w:type="dxa"/>
          </w:tcPr>
          <w:p w14:paraId="7B4F9410" w14:textId="5B9B9E1E" w:rsidR="00045176" w:rsidRPr="00822A8F" w:rsidRDefault="00822A8F" w:rsidP="00045176">
            <w:pPr>
              <w:rPr>
                <w:b/>
              </w:rPr>
            </w:pPr>
            <w:r w:rsidRPr="00822A8F">
              <w:rPr>
                <w:b/>
              </w:rPr>
              <w:t>RET</w:t>
            </w:r>
          </w:p>
        </w:tc>
        <w:tc>
          <w:tcPr>
            <w:tcW w:w="6458" w:type="dxa"/>
          </w:tcPr>
          <w:p w14:paraId="36F01915" w14:textId="7C71781E" w:rsidR="00045176" w:rsidRPr="00FC3CA8" w:rsidRDefault="00FC3CA8" w:rsidP="00045176">
            <w:r w:rsidRPr="00FC3CA8">
              <w:t>Renewable Energy Target scheme</w:t>
            </w:r>
          </w:p>
        </w:tc>
      </w:tr>
      <w:tr w:rsidR="00045176" w14:paraId="55D8F344" w14:textId="77777777" w:rsidTr="00045176">
        <w:tc>
          <w:tcPr>
            <w:tcW w:w="2263" w:type="dxa"/>
          </w:tcPr>
          <w:p w14:paraId="479F9139" w14:textId="581C36E9" w:rsidR="00045176" w:rsidRPr="00822A8F" w:rsidRDefault="00822A8F" w:rsidP="00045176">
            <w:pPr>
              <w:rPr>
                <w:b/>
              </w:rPr>
            </w:pPr>
            <w:r w:rsidRPr="00822A8F">
              <w:rPr>
                <w:b/>
              </w:rPr>
              <w:t>Scope 1 emissions</w:t>
            </w:r>
          </w:p>
        </w:tc>
        <w:tc>
          <w:tcPr>
            <w:tcW w:w="6458" w:type="dxa"/>
          </w:tcPr>
          <w:p w14:paraId="4F9302A2" w14:textId="1602EAD6" w:rsidR="00045176" w:rsidRDefault="00822A8F" w:rsidP="00045176">
            <w:r>
              <w:t xml:space="preserve">Emissions released into the atmosphere as a direct result of an activity or series of activities. </w:t>
            </w:r>
          </w:p>
        </w:tc>
      </w:tr>
      <w:tr w:rsidR="00045176" w14:paraId="33ED8BA4" w14:textId="77777777" w:rsidTr="00045176">
        <w:tc>
          <w:tcPr>
            <w:tcW w:w="2263" w:type="dxa"/>
          </w:tcPr>
          <w:p w14:paraId="7EF95F8D" w14:textId="60B82825" w:rsidR="00045176" w:rsidRPr="00822A8F" w:rsidRDefault="00822A8F" w:rsidP="00045176">
            <w:pPr>
              <w:rPr>
                <w:b/>
              </w:rPr>
            </w:pPr>
            <w:r w:rsidRPr="00822A8F">
              <w:rPr>
                <w:b/>
              </w:rPr>
              <w:t>Scope 2 emissions</w:t>
            </w:r>
          </w:p>
        </w:tc>
        <w:tc>
          <w:tcPr>
            <w:tcW w:w="6458" w:type="dxa"/>
          </w:tcPr>
          <w:p w14:paraId="3FD39AFC" w14:textId="6FEC4AC5" w:rsidR="00045176" w:rsidRDefault="00822A8F" w:rsidP="00045176">
            <w:r>
              <w:t xml:space="preserve">Indirect emissions from consumption of purchased electricity, heat or steam. Most scope 2 emissions represent electricity consumption from a grid, but can include other forms of energy transferred across facility boundaries. </w:t>
            </w:r>
          </w:p>
        </w:tc>
      </w:tr>
      <w:tr w:rsidR="00045176" w14:paraId="1F87B666" w14:textId="77777777" w:rsidTr="00045176">
        <w:tc>
          <w:tcPr>
            <w:tcW w:w="2263" w:type="dxa"/>
          </w:tcPr>
          <w:p w14:paraId="3B12E11B" w14:textId="13E90376" w:rsidR="00045176" w:rsidRPr="00822A8F" w:rsidRDefault="00822A8F" w:rsidP="00045176">
            <w:pPr>
              <w:rPr>
                <w:b/>
              </w:rPr>
            </w:pPr>
            <w:r w:rsidRPr="00822A8F">
              <w:rPr>
                <w:b/>
              </w:rPr>
              <w:t>Scope 3 emissions</w:t>
            </w:r>
          </w:p>
        </w:tc>
        <w:tc>
          <w:tcPr>
            <w:tcW w:w="6458" w:type="dxa"/>
          </w:tcPr>
          <w:p w14:paraId="5E528A12" w14:textId="674B2CFA" w:rsidR="00045176" w:rsidRDefault="00D02FED" w:rsidP="00045176">
            <w:r>
              <w:t>Indirect greenhouse</w:t>
            </w:r>
            <w:r w:rsidR="001D4799">
              <w:t xml:space="preserve"> emissions other than scope 2 emissions that are generated in the wider economy. They occur as a consequence of the activities of a facility, but from sources not owned or controlled by that facility's business. Some examples are extraction and production of purchased materials, transportation of purchased fuels, use of sold products and services, and flying on a commercial airline by a person from another business.</w:t>
            </w:r>
          </w:p>
        </w:tc>
      </w:tr>
      <w:tr w:rsidR="00045176" w14:paraId="1AE7F131" w14:textId="77777777" w:rsidTr="00045176">
        <w:tc>
          <w:tcPr>
            <w:tcW w:w="2263" w:type="dxa"/>
          </w:tcPr>
          <w:p w14:paraId="346D2313" w14:textId="6D368E8C" w:rsidR="00045176" w:rsidRPr="00822A8F" w:rsidRDefault="00822A8F" w:rsidP="00045176">
            <w:pPr>
              <w:rPr>
                <w:b/>
              </w:rPr>
            </w:pPr>
            <w:r w:rsidRPr="00822A8F">
              <w:rPr>
                <w:b/>
              </w:rPr>
              <w:t>STCs</w:t>
            </w:r>
          </w:p>
        </w:tc>
        <w:tc>
          <w:tcPr>
            <w:tcW w:w="6458" w:type="dxa"/>
          </w:tcPr>
          <w:p w14:paraId="59E75655" w14:textId="71B61C12" w:rsidR="00045176" w:rsidRDefault="006A7DD0" w:rsidP="00045176">
            <w:r>
              <w:t>Small-scale Technology Certificates</w:t>
            </w:r>
          </w:p>
        </w:tc>
      </w:tr>
      <w:tr w:rsidR="00045176" w14:paraId="53D3303F" w14:textId="77777777" w:rsidTr="00045176">
        <w:tc>
          <w:tcPr>
            <w:tcW w:w="2263" w:type="dxa"/>
          </w:tcPr>
          <w:p w14:paraId="4F1CB75F" w14:textId="5A6749C3" w:rsidR="00045176" w:rsidRPr="00822A8F" w:rsidRDefault="009370B3" w:rsidP="00045176">
            <w:pPr>
              <w:rPr>
                <w:b/>
              </w:rPr>
            </w:pPr>
            <w:r>
              <w:rPr>
                <w:b/>
              </w:rPr>
              <w:t>SMR</w:t>
            </w:r>
          </w:p>
        </w:tc>
        <w:tc>
          <w:tcPr>
            <w:tcW w:w="6458" w:type="dxa"/>
          </w:tcPr>
          <w:p w14:paraId="1BB397CC" w14:textId="091526FD" w:rsidR="00045176" w:rsidRDefault="009370B3" w:rsidP="00045176">
            <w:r>
              <w:rPr>
                <w:b/>
              </w:rPr>
              <w:t xml:space="preserve">Steam Methane Reforming </w:t>
            </w:r>
            <w:r>
              <w:t>is a</w:t>
            </w:r>
            <w:r w:rsidR="00822A8F">
              <w:t xml:space="preserve"> method to extract hydrogen using natural gas.</w:t>
            </w:r>
          </w:p>
        </w:tc>
      </w:tr>
    </w:tbl>
    <w:p w14:paraId="3C692086" w14:textId="77777777" w:rsidR="00045176" w:rsidRPr="00045176" w:rsidRDefault="00045176" w:rsidP="00045176"/>
    <w:p w14:paraId="0FA99811" w14:textId="77777777" w:rsidR="008D5802" w:rsidRPr="008D5802" w:rsidRDefault="008D5802" w:rsidP="008D5802"/>
    <w:p w14:paraId="0F96EB90" w14:textId="1433E46E" w:rsidR="00A856F8" w:rsidRDefault="00A856F8">
      <w:bookmarkStart w:id="561" w:name="_Toc62043740"/>
      <w:bookmarkEnd w:id="172"/>
      <w:bookmarkEnd w:id="561"/>
    </w:p>
    <w:sectPr w:rsidR="00A856F8" w:rsidSect="001747FF">
      <w:footerReference w:type="default" r:id="rId46"/>
      <w:pgSz w:w="11906" w:h="16838" w:code="9"/>
      <w:pgMar w:top="1644" w:right="1474" w:bottom="1134" w:left="1701" w:header="794" w:footer="284" w:gutter="0"/>
      <w:pgNumType w:start="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534773" w14:textId="77777777" w:rsidR="00191CF6" w:rsidRDefault="00191CF6" w:rsidP="00B251DB">
      <w:pPr>
        <w:spacing w:after="0" w:line="240" w:lineRule="auto"/>
      </w:pPr>
      <w:r>
        <w:separator/>
      </w:r>
    </w:p>
  </w:endnote>
  <w:endnote w:type="continuationSeparator" w:id="0">
    <w:p w14:paraId="637747AD" w14:textId="77777777" w:rsidR="00191CF6" w:rsidRDefault="00191CF6" w:rsidP="00B251DB">
      <w:pPr>
        <w:spacing w:after="0" w:line="240" w:lineRule="auto"/>
      </w:pPr>
      <w:r>
        <w:continuationSeparator/>
      </w:r>
    </w:p>
  </w:endnote>
  <w:endnote w:type="continuationNotice" w:id="1">
    <w:p w14:paraId="5ED4AF04" w14:textId="77777777" w:rsidR="00191CF6" w:rsidRDefault="00191C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Bold">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64161"/>
      <w:docPartObj>
        <w:docPartGallery w:val="Page Numbers (Bottom of Page)"/>
        <w:docPartUnique/>
      </w:docPartObj>
    </w:sdtPr>
    <w:sdtEndPr>
      <w:rPr>
        <w:noProof/>
      </w:rPr>
    </w:sdtEndPr>
    <w:sdtContent>
      <w:p w14:paraId="27B405D6" w14:textId="73375F1E" w:rsidR="00191CF6" w:rsidRDefault="00191CF6">
        <w:pPr>
          <w:pStyle w:val="Footer"/>
          <w:jc w:val="right"/>
        </w:pPr>
        <w:r>
          <w:fldChar w:fldCharType="begin"/>
        </w:r>
        <w:r>
          <w:instrText xml:space="preserve"> PAGE   \* MERGEFORMAT </w:instrText>
        </w:r>
        <w:r>
          <w:fldChar w:fldCharType="separate"/>
        </w:r>
        <w:r w:rsidR="00A4774A">
          <w:rPr>
            <w:noProof/>
          </w:rPr>
          <w:t>3</w:t>
        </w:r>
        <w:r>
          <w:rPr>
            <w:noProof/>
          </w:rPr>
          <w:fldChar w:fldCharType="end"/>
        </w:r>
      </w:p>
    </w:sdtContent>
  </w:sdt>
  <w:p w14:paraId="2BBC6A96" w14:textId="77777777" w:rsidR="00191CF6" w:rsidRDefault="00191C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7BCE11" w14:textId="2D374417" w:rsidR="00191CF6" w:rsidRDefault="00191CF6">
    <w:pPr>
      <w:pStyle w:val="Footer"/>
      <w:rPr>
        <w:noProof/>
        <w:lang w:eastAsia="en-AU"/>
      </w:rPr>
    </w:pPr>
    <w:r>
      <w:rPr>
        <w:noProof/>
        <w:lang w:eastAsia="en-AU"/>
      </w:rPr>
      <w:drawing>
        <wp:anchor distT="0" distB="0" distL="114300" distR="114300" simplePos="0" relativeHeight="251658240" behindDoc="1" locked="0" layoutInCell="1" allowOverlap="1" wp14:anchorId="2A544A2C" wp14:editId="0A12D7D1">
          <wp:simplePos x="0" y="0"/>
          <wp:positionH relativeFrom="page">
            <wp:posOffset>-906235</wp:posOffset>
          </wp:positionH>
          <wp:positionV relativeFrom="paragraph">
            <wp:posOffset>-3825331</wp:posOffset>
          </wp:positionV>
          <wp:extent cx="9720000" cy="3240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ttyImages-1013942164-Twitter-1500x500.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9720000" cy="32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6473">
      <w:rPr>
        <w:bCs/>
        <w:iCs/>
        <w:color w:val="005677" w:themeColor="text2"/>
        <w:sz w:val="26"/>
        <w:szCs w:val="26"/>
      </w:rPr>
      <w:t>Supporting economic growth and job creation for all Australians |</w:t>
    </w:r>
    <w:r w:rsidRPr="00806473">
      <w:rPr>
        <w:b/>
        <w:bCs/>
        <w:iCs/>
        <w:color w:val="005677" w:themeColor="text2"/>
        <w:sz w:val="26"/>
        <w:szCs w:val="26"/>
      </w:rPr>
      <w:t xml:space="preserve"> industry.gov.au</w:t>
    </w:r>
    <w:r>
      <w:rPr>
        <w:noProof/>
        <w:lang w:eastAsia="en-AU"/>
      </w:rPr>
      <w:t xml:space="preserve"> </w:t>
    </w:r>
  </w:p>
  <w:p w14:paraId="1C2BEFC6" w14:textId="038F5833" w:rsidR="00191CF6" w:rsidRDefault="00191CF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rPr>
      <w:id w:val="888307417"/>
      <w:docPartObj>
        <w:docPartGallery w:val="Page Numbers (Bottom of Page)"/>
        <w:docPartUnique/>
      </w:docPartObj>
    </w:sdtPr>
    <w:sdtEndPr/>
    <w:sdtContent>
      <w:p w14:paraId="555EFF9F" w14:textId="77777777" w:rsidR="00191CF6" w:rsidRDefault="00191CF6">
        <w:pPr>
          <w:pStyle w:val="Footer"/>
          <w:jc w:val="right"/>
          <w:rPr>
            <w:noProof/>
          </w:rPr>
        </w:pPr>
        <w:r>
          <w:rPr>
            <w:noProof/>
          </w:rPr>
          <w:fldChar w:fldCharType="begin"/>
        </w:r>
        <w:r>
          <w:rPr>
            <w:noProof/>
          </w:rPr>
          <w:instrText xml:space="preserve"> PAGE   \* MERGEFORMAT </w:instrText>
        </w:r>
        <w:r>
          <w:rPr>
            <w:noProof/>
          </w:rPr>
          <w:fldChar w:fldCharType="separate"/>
        </w:r>
        <w:r w:rsidR="00A4774A">
          <w:rPr>
            <w:noProof/>
          </w:rPr>
          <w:t>1</w:t>
        </w:r>
        <w:r>
          <w:rPr>
            <w:noProof/>
          </w:rPr>
          <w:fldChar w:fldCharType="end"/>
        </w:r>
      </w:p>
    </w:sdtContent>
  </w:sdt>
  <w:p w14:paraId="388161FC" w14:textId="77777777" w:rsidR="00191CF6" w:rsidRDefault="00191C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63D525" w14:textId="77777777" w:rsidR="00191CF6" w:rsidRDefault="00191CF6" w:rsidP="00B251DB">
      <w:pPr>
        <w:spacing w:after="0" w:line="240" w:lineRule="auto"/>
      </w:pPr>
      <w:r>
        <w:separator/>
      </w:r>
    </w:p>
  </w:footnote>
  <w:footnote w:type="continuationSeparator" w:id="0">
    <w:p w14:paraId="7E9D7954" w14:textId="77777777" w:rsidR="00191CF6" w:rsidRDefault="00191CF6" w:rsidP="00B251DB">
      <w:pPr>
        <w:spacing w:after="0" w:line="240" w:lineRule="auto"/>
      </w:pPr>
      <w:r>
        <w:continuationSeparator/>
      </w:r>
    </w:p>
  </w:footnote>
  <w:footnote w:type="continuationNotice" w:id="1">
    <w:p w14:paraId="30FED70C" w14:textId="77777777" w:rsidR="00191CF6" w:rsidRDefault="00191CF6">
      <w:pPr>
        <w:spacing w:after="0" w:line="240" w:lineRule="auto"/>
      </w:pPr>
    </w:p>
  </w:footnote>
  <w:footnote w:id="2">
    <w:p w14:paraId="7C99E55C" w14:textId="22CF6D01" w:rsidR="00191CF6" w:rsidRDefault="00191CF6">
      <w:pPr>
        <w:pStyle w:val="FootnoteText"/>
      </w:pPr>
      <w:r>
        <w:rPr>
          <w:rStyle w:val="FootnoteReference"/>
        </w:rPr>
        <w:footnoteRef/>
      </w:r>
      <w:r>
        <w:t xml:space="preserve"> Scope 1 emissions are emissions released into the atmosphere as a direct result of an activity or series of activities. Scope 2 emissions are indirect emissions from consumption of purchased electricity, heat or steam. Most scope 2 emissions represent electricity consumption from a grid.</w:t>
      </w:r>
    </w:p>
  </w:footnote>
  <w:footnote w:id="3">
    <w:p w14:paraId="64C6436B" w14:textId="77777777" w:rsidR="00191CF6" w:rsidRDefault="00191CF6" w:rsidP="00250BF2">
      <w:pPr>
        <w:pStyle w:val="FootnoteText"/>
      </w:pPr>
      <w:r>
        <w:rPr>
          <w:rStyle w:val="FootnoteReference"/>
        </w:rPr>
        <w:footnoteRef/>
      </w:r>
      <w:r>
        <w:t xml:space="preserve"> Consistent with definitions in the 2006 IPCC Guidelines</w:t>
      </w:r>
    </w:p>
  </w:footnote>
  <w:footnote w:id="4">
    <w:p w14:paraId="114893F9" w14:textId="13752842" w:rsidR="00191CF6" w:rsidRDefault="00191CF6">
      <w:pPr>
        <w:pStyle w:val="FootnoteText"/>
      </w:pPr>
      <w:r>
        <w:rPr>
          <w:rStyle w:val="FootnoteReference"/>
        </w:rPr>
        <w:footnoteRef/>
      </w:r>
      <w:r>
        <w:t xml:space="preserve"> This figure remains an estimate as it is based on a combination of actual verified eligible generation data available to the Clean Energy Regulator and estimated eligible generation based on NEMReview data and submitted electricity generation returns (EGR). EGRs are used to confirm eligible generation for accredited power stations.</w:t>
      </w:r>
    </w:p>
  </w:footnote>
  <w:footnote w:id="5">
    <w:p w14:paraId="14BE83EC" w14:textId="77777777" w:rsidR="00191CF6" w:rsidRDefault="00191CF6" w:rsidP="00461C36">
      <w:pPr>
        <w:pStyle w:val="FootnoteText"/>
      </w:pPr>
      <w:r>
        <w:rPr>
          <w:rStyle w:val="FootnoteReference"/>
        </w:rPr>
        <w:footnoteRef/>
      </w:r>
      <w:r>
        <w:t xml:space="preserve"> Some waste heat may also be produced as the electricity is consumed.</w:t>
      </w:r>
    </w:p>
  </w:footnote>
  <w:footnote w:id="6">
    <w:p w14:paraId="6BD7B505" w14:textId="37AF33D9" w:rsidR="00191CF6" w:rsidRDefault="00191CF6" w:rsidP="00461C36">
      <w:pPr>
        <w:pStyle w:val="FootnoteText"/>
      </w:pPr>
      <w:r>
        <w:rPr>
          <w:rStyle w:val="FootnoteReference"/>
        </w:rPr>
        <w:footnoteRef/>
      </w:r>
      <w:r>
        <w:t xml:space="preserve"> System expansion is not appropriate as cryogenic air separation is a typical, system for largescale oxygen supply and a suitable alternative system is not available. </w:t>
      </w:r>
    </w:p>
  </w:footnote>
  <w:footnote w:id="7">
    <w:p w14:paraId="6421B42F" w14:textId="77777777" w:rsidR="00191CF6" w:rsidRDefault="00191CF6" w:rsidP="003711EF">
      <w:pPr>
        <w:pStyle w:val="FootnoteText"/>
      </w:pPr>
      <w:r>
        <w:rPr>
          <w:rStyle w:val="FootnoteReference"/>
        </w:rPr>
        <w:footnoteRef/>
      </w:r>
      <w:r>
        <w:t xml:space="preserve"> Where high temperature SOEC are utilised.</w:t>
      </w:r>
    </w:p>
  </w:footnote>
  <w:footnote w:id="8">
    <w:p w14:paraId="7C0A49CF" w14:textId="77777777" w:rsidR="00191CF6" w:rsidRDefault="00191CF6" w:rsidP="003711EF">
      <w:pPr>
        <w:pStyle w:val="FootnoteText"/>
      </w:pPr>
      <w:r>
        <w:rPr>
          <w:rStyle w:val="FootnoteReference"/>
        </w:rPr>
        <w:footnoteRef/>
      </w:r>
      <w:r>
        <w:t xml:space="preserve"> Where onsite electricity generation is non-renewable </w:t>
      </w:r>
    </w:p>
  </w:footnote>
  <w:footnote w:id="9">
    <w:p w14:paraId="1F2D74E4" w14:textId="77777777" w:rsidR="00191CF6" w:rsidRPr="00233427" w:rsidRDefault="00191CF6" w:rsidP="008D5802">
      <w:pPr>
        <w:pStyle w:val="FootnoteText"/>
      </w:pPr>
      <w:r>
        <w:rPr>
          <w:rStyle w:val="FootnoteReference"/>
        </w:rPr>
        <w:footnoteRef/>
      </w:r>
      <w:r>
        <w:t xml:space="preserve"> Not considered under this scope of work given availability of data, factors and methods to support estimation of emissions associated with utilisation of CO</w:t>
      </w:r>
      <w:r>
        <w:rPr>
          <w:vertAlign w:val="subscript"/>
        </w:rPr>
        <w:t>2</w:t>
      </w:r>
      <w:r w:rsidRPr="005D13FE">
        <w:t>. Subject to further assessment as this area emerges.</w:t>
      </w:r>
      <w:r>
        <w:t xml:space="preserve"> </w:t>
      </w:r>
    </w:p>
  </w:footnote>
  <w:footnote w:id="10">
    <w:p w14:paraId="2DEA16B0" w14:textId="77777777" w:rsidR="00191CF6" w:rsidRDefault="00191CF6" w:rsidP="008D5802">
      <w:pPr>
        <w:pStyle w:val="FootnoteText"/>
      </w:pPr>
      <w:r>
        <w:rPr>
          <w:rStyle w:val="FootnoteReference"/>
        </w:rPr>
        <w:footnoteRef/>
      </w:r>
      <w:r>
        <w:t xml:space="preserve"> The impacts of hydrogen as an indirect GHG have not been considered as part of this work given current focus on (direct) GHG emissions accounting. </w:t>
      </w:r>
    </w:p>
  </w:footnote>
  <w:footnote w:id="11">
    <w:p w14:paraId="373A9549" w14:textId="77777777" w:rsidR="00191CF6" w:rsidRDefault="00191CF6" w:rsidP="0001795E">
      <w:pPr>
        <w:pStyle w:val="FootnoteText"/>
      </w:pPr>
      <w:r>
        <w:rPr>
          <w:rStyle w:val="FootnoteReference"/>
        </w:rPr>
        <w:footnoteRef/>
      </w:r>
      <w:r>
        <w:t xml:space="preserve"> Note that where upstream emissions are derived using upstream data, there may be a requirement for additional information. This could include items such as coal source. </w:t>
      </w:r>
    </w:p>
  </w:footnote>
  <w:footnote w:id="12">
    <w:p w14:paraId="4A200027" w14:textId="77777777" w:rsidR="00191CF6" w:rsidRDefault="00191CF6" w:rsidP="008D5802">
      <w:pPr>
        <w:pStyle w:val="FootnoteText"/>
      </w:pPr>
      <w:r>
        <w:rPr>
          <w:rStyle w:val="FootnoteReference"/>
        </w:rPr>
        <w:footnoteRef/>
      </w:r>
      <w:r>
        <w:t xml:space="preserve"> The impacts of hydrogen as an indirect GHG have not been considered as part of this work given current focus on (direct) GHG emissions accounting. </w:t>
      </w:r>
    </w:p>
  </w:footnote>
  <w:footnote w:id="13">
    <w:p w14:paraId="1B937F9E" w14:textId="77777777" w:rsidR="00191CF6" w:rsidRDefault="00191CF6" w:rsidP="00C22D61">
      <w:pPr>
        <w:pStyle w:val="FootnoteText"/>
      </w:pPr>
      <w:r>
        <w:rPr>
          <w:rStyle w:val="FootnoteReference"/>
        </w:rPr>
        <w:footnoteRef/>
      </w:r>
      <w:r>
        <w:t xml:space="preserve"> Note that where upstream emissions are derived using upstream data, there may be a requirement for additional information. This could include items such as coal source.</w:t>
      </w:r>
    </w:p>
  </w:footnote>
  <w:footnote w:id="14">
    <w:p w14:paraId="28AB0FFE" w14:textId="178B8B33" w:rsidR="00191CF6" w:rsidRDefault="00191CF6" w:rsidP="00A856F8">
      <w:pPr>
        <w:pStyle w:val="FootnoteText"/>
      </w:pPr>
      <w:r>
        <w:rPr>
          <w:rStyle w:val="FootnoteReference"/>
        </w:rPr>
        <w:footnoteRef/>
      </w:r>
      <w:r>
        <w:t xml:space="preserve"> Note that this method is not included within the NGER scheme and therefore does not constitute a country-specific method as per IPCC. It may be important to discuss handling of items such as this where no country-specific method currently exists to support reporting consistent with a proposed future hydrogen GO scheme and some alternative method must be referenced or developed for this purpose.  </w:t>
      </w:r>
    </w:p>
  </w:footnote>
  <w:footnote w:id="15">
    <w:p w14:paraId="45915A44" w14:textId="2D4B7790" w:rsidR="00191CF6" w:rsidRDefault="00191CF6" w:rsidP="00A856F8">
      <w:pPr>
        <w:pStyle w:val="FootnoteText"/>
      </w:pPr>
      <w:r>
        <w:rPr>
          <w:rStyle w:val="FootnoteReference"/>
        </w:rPr>
        <w:footnoteRef/>
      </w:r>
      <w:r>
        <w:t xml:space="preserve"> Given that the NGER scheme is designed for annual reporting, there is a requirement to define a timeline or lifetime over which these accounting principles should apply. Also note that there may be additional guidance required around the forecasting of emissions over this timeline which is not currently provided within NGER. This guidance will need to be specified in the hydrogen GO scheme material (may require the development of new material or reference to existing legislation covering carbon capture and storage).</w:t>
      </w:r>
    </w:p>
  </w:footnote>
  <w:footnote w:id="16">
    <w:p w14:paraId="7440B81E" w14:textId="77777777" w:rsidR="00191CF6" w:rsidRDefault="00191CF6" w:rsidP="00A856F8">
      <w:pPr>
        <w:pStyle w:val="FootnoteText"/>
      </w:pPr>
      <w:r>
        <w:rPr>
          <w:rStyle w:val="FootnoteReference"/>
        </w:rPr>
        <w:footnoteRef/>
      </w:r>
      <w:r>
        <w:t xml:space="preserve"> At this stage, the NGER Determination only considers geological storage as a means of long-term carbon capture and storage. Alternative material must be developed and/or sourced where alternative storage methods and/or utilisation is implemented.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31935" w14:textId="33B5D622" w:rsidR="00191CF6" w:rsidRDefault="00191CF6">
    <w:pPr>
      <w:pStyle w:val="Header"/>
    </w:pPr>
    <w:r w:rsidRPr="00180BF8">
      <w:rPr>
        <w:noProof/>
        <w:lang w:eastAsia="en-AU"/>
      </w:rPr>
      <w:drawing>
        <wp:inline distT="0" distB="0" distL="0" distR="0" wp14:anchorId="61E4997C" wp14:editId="19E120A9">
          <wp:extent cx="2682000" cy="694800"/>
          <wp:effectExtent l="0" t="0" r="4445" b="0"/>
          <wp:docPr id="3" name="Picture 3" descr="Australian Government | Department of Industry, Science, Energy and Resources logo" title="Australian Government | Department of Industry, Science, Energy and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IS-header-temp.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2682000" cy="6948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B1C7F"/>
    <w:multiLevelType w:val="hybridMultilevel"/>
    <w:tmpl w:val="BD5E59E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 w15:restartNumberingAfterBreak="0">
    <w:nsid w:val="01E01385"/>
    <w:multiLevelType w:val="hybridMultilevel"/>
    <w:tmpl w:val="1D3C0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1218A6"/>
    <w:multiLevelType w:val="multilevel"/>
    <w:tmpl w:val="8AF441AE"/>
    <w:lvl w:ilvl="0">
      <w:start w:val="1"/>
      <w:numFmt w:val="decimal"/>
      <w:lvlText w:val="%1."/>
      <w:lvlJc w:val="left"/>
      <w:pPr>
        <w:ind w:left="360" w:hanging="360"/>
      </w:pPr>
    </w:lvl>
    <w:lvl w:ilvl="1">
      <w:start w:val="1"/>
      <w:numFmt w:val="decimal"/>
      <w:lvlText w:val="%2."/>
      <w:lvlJc w:val="left"/>
      <w:pPr>
        <w:ind w:left="785"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4F9629A"/>
    <w:multiLevelType w:val="hybridMultilevel"/>
    <w:tmpl w:val="7F8473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5053E9F"/>
    <w:multiLevelType w:val="hybridMultilevel"/>
    <w:tmpl w:val="56906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797521"/>
    <w:multiLevelType w:val="hybridMultilevel"/>
    <w:tmpl w:val="8290473A"/>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F4A4B18"/>
    <w:multiLevelType w:val="hybridMultilevel"/>
    <w:tmpl w:val="EEAE20CC"/>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5A33892"/>
    <w:multiLevelType w:val="hybridMultilevel"/>
    <w:tmpl w:val="E8521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EE0955"/>
    <w:multiLevelType w:val="hybridMultilevel"/>
    <w:tmpl w:val="B56434EA"/>
    <w:lvl w:ilvl="0" w:tplc="255EEEC4">
      <w:start w:val="1"/>
      <w:numFmt w:val="decimal"/>
      <w:lvlText w:val="%1."/>
      <w:lvlJc w:val="left"/>
      <w:pPr>
        <w:ind w:left="567" w:hanging="567"/>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BF69CC"/>
    <w:multiLevelType w:val="hybridMultilevel"/>
    <w:tmpl w:val="ECA0483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D0C7948"/>
    <w:multiLevelType w:val="hybridMultilevel"/>
    <w:tmpl w:val="FCB8A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AA0BFB"/>
    <w:multiLevelType w:val="multilevel"/>
    <w:tmpl w:val="8AF441AE"/>
    <w:lvl w:ilvl="0">
      <w:start w:val="1"/>
      <w:numFmt w:val="decimal"/>
      <w:lvlText w:val="%1."/>
      <w:lvlJc w:val="left"/>
      <w:pPr>
        <w:ind w:left="360" w:hanging="360"/>
      </w:pPr>
    </w:lvl>
    <w:lvl w:ilvl="1">
      <w:start w:val="1"/>
      <w:numFmt w:val="decimal"/>
      <w:lvlText w:val="%2."/>
      <w:lvlJc w:val="left"/>
      <w:pPr>
        <w:ind w:left="785"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48F2F3A"/>
    <w:multiLevelType w:val="hybridMultilevel"/>
    <w:tmpl w:val="F9642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BC6711"/>
    <w:multiLevelType w:val="hybridMultilevel"/>
    <w:tmpl w:val="6756B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0705AD"/>
    <w:multiLevelType w:val="hybridMultilevel"/>
    <w:tmpl w:val="C8F055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8D7239"/>
    <w:multiLevelType w:val="hybridMultilevel"/>
    <w:tmpl w:val="C534F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FD9676E"/>
    <w:multiLevelType w:val="hybridMultilevel"/>
    <w:tmpl w:val="43A214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AE3CF3"/>
    <w:multiLevelType w:val="hybridMultilevel"/>
    <w:tmpl w:val="134810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8D2AE8"/>
    <w:multiLevelType w:val="multilevel"/>
    <w:tmpl w:val="8AF441AE"/>
    <w:lvl w:ilvl="0">
      <w:start w:val="1"/>
      <w:numFmt w:val="decimal"/>
      <w:lvlText w:val="%1."/>
      <w:lvlJc w:val="left"/>
      <w:pPr>
        <w:ind w:left="360" w:hanging="360"/>
      </w:pPr>
    </w:lvl>
    <w:lvl w:ilvl="1">
      <w:start w:val="1"/>
      <w:numFmt w:val="decimal"/>
      <w:lvlText w:val="%2."/>
      <w:lvlJc w:val="left"/>
      <w:pPr>
        <w:ind w:left="785"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95D5E5A"/>
    <w:multiLevelType w:val="hybridMultilevel"/>
    <w:tmpl w:val="C3C4C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ACB433B"/>
    <w:multiLevelType w:val="hybridMultilevel"/>
    <w:tmpl w:val="F54C1A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AE75E07"/>
    <w:multiLevelType w:val="hybridMultilevel"/>
    <w:tmpl w:val="F58EF7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B847680"/>
    <w:multiLevelType w:val="multilevel"/>
    <w:tmpl w:val="F8D22656"/>
    <w:lvl w:ilvl="0">
      <w:start w:val="1"/>
      <w:numFmt w:val="decimal"/>
      <w:lvlText w:val="%1."/>
      <w:lvlJc w:val="left"/>
      <w:pPr>
        <w:ind w:left="360" w:hanging="360"/>
      </w:pPr>
      <w:rPr>
        <w:rFonts w:asciiTheme="minorHAnsi" w:hAnsiTheme="minorHAnsi" w:cstheme="minorHAnsi" w:hint="default"/>
      </w:rPr>
    </w:lvl>
    <w:lvl w:ilvl="1">
      <w:start w:val="1"/>
      <w:numFmt w:val="decimal"/>
      <w:lvlText w:val="%2."/>
      <w:lvlJc w:val="left"/>
      <w:pPr>
        <w:ind w:left="785"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0635860"/>
    <w:multiLevelType w:val="hybridMultilevel"/>
    <w:tmpl w:val="6D248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BE2FDB"/>
    <w:multiLevelType w:val="hybridMultilevel"/>
    <w:tmpl w:val="5E64A8E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5" w15:restartNumberingAfterBreak="0">
    <w:nsid w:val="4ED4723B"/>
    <w:multiLevelType w:val="hybridMultilevel"/>
    <w:tmpl w:val="187EEE76"/>
    <w:lvl w:ilvl="0" w:tplc="0C09000F">
      <w:start w:val="26"/>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504C27EF"/>
    <w:multiLevelType w:val="hybridMultilevel"/>
    <w:tmpl w:val="4B86BB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5166835"/>
    <w:multiLevelType w:val="hybridMultilevel"/>
    <w:tmpl w:val="CF08E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411686"/>
    <w:multiLevelType w:val="multilevel"/>
    <w:tmpl w:val="8AF441AE"/>
    <w:lvl w:ilvl="0">
      <w:start w:val="1"/>
      <w:numFmt w:val="decimal"/>
      <w:lvlText w:val="%1."/>
      <w:lvlJc w:val="left"/>
      <w:pPr>
        <w:ind w:left="360" w:hanging="360"/>
      </w:pPr>
    </w:lvl>
    <w:lvl w:ilvl="1">
      <w:start w:val="1"/>
      <w:numFmt w:val="decimal"/>
      <w:lvlText w:val="%2."/>
      <w:lvlJc w:val="left"/>
      <w:pPr>
        <w:ind w:left="785"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EF93C9E"/>
    <w:multiLevelType w:val="multilevel"/>
    <w:tmpl w:val="8AF441AE"/>
    <w:lvl w:ilvl="0">
      <w:start w:val="1"/>
      <w:numFmt w:val="decimal"/>
      <w:lvlText w:val="%1."/>
      <w:lvlJc w:val="left"/>
      <w:pPr>
        <w:ind w:left="360" w:hanging="360"/>
      </w:pPr>
    </w:lvl>
    <w:lvl w:ilvl="1">
      <w:start w:val="1"/>
      <w:numFmt w:val="decimal"/>
      <w:lvlText w:val="%2."/>
      <w:lvlJc w:val="left"/>
      <w:pPr>
        <w:ind w:left="785"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2576FE3"/>
    <w:multiLevelType w:val="hybridMultilevel"/>
    <w:tmpl w:val="413E6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5456429"/>
    <w:multiLevelType w:val="multilevel"/>
    <w:tmpl w:val="CA2465B0"/>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2" w15:restartNumberingAfterBreak="0">
    <w:nsid w:val="68FE2574"/>
    <w:multiLevelType w:val="hybridMultilevel"/>
    <w:tmpl w:val="30548B5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6B614994"/>
    <w:multiLevelType w:val="multilevel"/>
    <w:tmpl w:val="92BE0CB6"/>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15:restartNumberingAfterBreak="0">
    <w:nsid w:val="6CCF11CC"/>
    <w:multiLevelType w:val="hybridMultilevel"/>
    <w:tmpl w:val="D4962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DAA7356"/>
    <w:multiLevelType w:val="multilevel"/>
    <w:tmpl w:val="21F058EE"/>
    <w:styleLink w:val="List-ListBullet"/>
    <w:lvl w:ilvl="0">
      <w:start w:val="1"/>
      <w:numFmt w:val="bullet"/>
      <w:lvlText w:val=""/>
      <w:lvlJc w:val="left"/>
      <w:pPr>
        <w:ind w:left="425" w:hanging="425"/>
      </w:pPr>
      <w:rPr>
        <w:rFonts w:ascii="Symbol" w:hAnsi="Symbol" w:hint="default"/>
      </w:rPr>
    </w:lvl>
    <w:lvl w:ilvl="1">
      <w:start w:val="1"/>
      <w:numFmt w:val="bullet"/>
      <w:lvlText w:val="o"/>
      <w:lvlJc w:val="left"/>
      <w:pPr>
        <w:ind w:left="850" w:hanging="425"/>
      </w:pPr>
      <w:rPr>
        <w:rFonts w:ascii="Courier New" w:hAnsi="Courier New" w:cs="Courier New" w:hint="default"/>
      </w:rPr>
    </w:lvl>
    <w:lvl w:ilvl="2">
      <w:start w:val="1"/>
      <w:numFmt w:val="bullet"/>
      <w:lvlText w:val=""/>
      <w:lvlJc w:val="left"/>
      <w:pPr>
        <w:ind w:left="1275" w:hanging="425"/>
      </w:pPr>
      <w:rPr>
        <w:rFonts w:ascii="Symbol" w:hAnsi="Symbol"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Symbol" w:hAnsi="Symbol" w:hint="default"/>
      </w:rPr>
    </w:lvl>
    <w:lvl w:ilvl="5">
      <w:start w:val="1"/>
      <w:numFmt w:val="bullet"/>
      <w:lvlText w:val=""/>
      <w:lvlJc w:val="left"/>
      <w:pPr>
        <w:ind w:left="2550" w:hanging="425"/>
      </w:pPr>
      <w:rPr>
        <w:rFonts w:ascii="Symbol" w:hAnsi="Symbol" w:hint="default"/>
      </w:rPr>
    </w:lvl>
    <w:lvl w:ilvl="6">
      <w:start w:val="1"/>
      <w:numFmt w:val="bullet"/>
      <w:lvlText w:val=""/>
      <w:lvlJc w:val="left"/>
      <w:pPr>
        <w:ind w:left="2975" w:hanging="425"/>
      </w:pPr>
      <w:rPr>
        <w:rFonts w:ascii="Symbol" w:hAnsi="Symbol" w:hint="default"/>
      </w:rPr>
    </w:lvl>
    <w:lvl w:ilvl="7">
      <w:start w:val="1"/>
      <w:numFmt w:val="bullet"/>
      <w:lvlText w:val=""/>
      <w:lvlJc w:val="left"/>
      <w:pPr>
        <w:ind w:left="3400" w:hanging="425"/>
      </w:pPr>
      <w:rPr>
        <w:rFonts w:ascii="Symbol" w:hAnsi="Symbol" w:hint="default"/>
      </w:rPr>
    </w:lvl>
    <w:lvl w:ilvl="8">
      <w:start w:val="1"/>
      <w:numFmt w:val="bullet"/>
      <w:lvlText w:val=""/>
      <w:lvlJc w:val="left"/>
      <w:pPr>
        <w:ind w:left="3825" w:hanging="425"/>
      </w:pPr>
      <w:rPr>
        <w:rFonts w:ascii="Symbol" w:hAnsi="Symbol" w:hint="default"/>
      </w:rPr>
    </w:lvl>
  </w:abstractNum>
  <w:abstractNum w:abstractNumId="36" w15:restartNumberingAfterBreak="0">
    <w:nsid w:val="72822683"/>
    <w:multiLevelType w:val="hybridMultilevel"/>
    <w:tmpl w:val="63B47790"/>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9FF7877"/>
    <w:multiLevelType w:val="hybridMultilevel"/>
    <w:tmpl w:val="578277F2"/>
    <w:lvl w:ilvl="0" w:tplc="0C09000F">
      <w:start w:val="19"/>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7C2273EE"/>
    <w:multiLevelType w:val="hybridMultilevel"/>
    <w:tmpl w:val="97D8E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CAA4B22"/>
    <w:multiLevelType w:val="multilevel"/>
    <w:tmpl w:val="8AF441AE"/>
    <w:lvl w:ilvl="0">
      <w:start w:val="1"/>
      <w:numFmt w:val="decimal"/>
      <w:lvlText w:val="%1."/>
      <w:lvlJc w:val="left"/>
      <w:pPr>
        <w:ind w:left="360" w:hanging="360"/>
      </w:pPr>
    </w:lvl>
    <w:lvl w:ilvl="1">
      <w:start w:val="1"/>
      <w:numFmt w:val="decimal"/>
      <w:lvlText w:val="%2."/>
      <w:lvlJc w:val="left"/>
      <w:pPr>
        <w:ind w:left="785"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FD5628B"/>
    <w:multiLevelType w:val="hybridMultilevel"/>
    <w:tmpl w:val="7A12A590"/>
    <w:lvl w:ilvl="0" w:tplc="FDA2EE36">
      <w:start w:val="1"/>
      <w:numFmt w:val="bullet"/>
      <w:lvlText w:val="•"/>
      <w:lvlJc w:val="left"/>
      <w:pPr>
        <w:tabs>
          <w:tab w:val="num" w:pos="720"/>
        </w:tabs>
        <w:ind w:left="720" w:hanging="360"/>
      </w:pPr>
      <w:rPr>
        <w:rFonts w:ascii="Arial" w:hAnsi="Arial" w:hint="default"/>
      </w:rPr>
    </w:lvl>
    <w:lvl w:ilvl="1" w:tplc="4AD66C20">
      <w:start w:val="1"/>
      <w:numFmt w:val="bullet"/>
      <w:lvlText w:val="•"/>
      <w:lvlJc w:val="left"/>
      <w:pPr>
        <w:tabs>
          <w:tab w:val="num" w:pos="1440"/>
        </w:tabs>
        <w:ind w:left="1440" w:hanging="360"/>
      </w:pPr>
      <w:rPr>
        <w:rFonts w:ascii="Arial" w:hAnsi="Arial" w:hint="default"/>
      </w:rPr>
    </w:lvl>
    <w:lvl w:ilvl="2" w:tplc="669E58F6" w:tentative="1">
      <w:start w:val="1"/>
      <w:numFmt w:val="bullet"/>
      <w:lvlText w:val="•"/>
      <w:lvlJc w:val="left"/>
      <w:pPr>
        <w:tabs>
          <w:tab w:val="num" w:pos="2160"/>
        </w:tabs>
        <w:ind w:left="2160" w:hanging="360"/>
      </w:pPr>
      <w:rPr>
        <w:rFonts w:ascii="Arial" w:hAnsi="Arial" w:hint="default"/>
      </w:rPr>
    </w:lvl>
    <w:lvl w:ilvl="3" w:tplc="5C1649A4" w:tentative="1">
      <w:start w:val="1"/>
      <w:numFmt w:val="bullet"/>
      <w:lvlText w:val="•"/>
      <w:lvlJc w:val="left"/>
      <w:pPr>
        <w:tabs>
          <w:tab w:val="num" w:pos="2880"/>
        </w:tabs>
        <w:ind w:left="2880" w:hanging="360"/>
      </w:pPr>
      <w:rPr>
        <w:rFonts w:ascii="Arial" w:hAnsi="Arial" w:hint="default"/>
      </w:rPr>
    </w:lvl>
    <w:lvl w:ilvl="4" w:tplc="6C0A50CC" w:tentative="1">
      <w:start w:val="1"/>
      <w:numFmt w:val="bullet"/>
      <w:lvlText w:val="•"/>
      <w:lvlJc w:val="left"/>
      <w:pPr>
        <w:tabs>
          <w:tab w:val="num" w:pos="3600"/>
        </w:tabs>
        <w:ind w:left="3600" w:hanging="360"/>
      </w:pPr>
      <w:rPr>
        <w:rFonts w:ascii="Arial" w:hAnsi="Arial" w:hint="default"/>
      </w:rPr>
    </w:lvl>
    <w:lvl w:ilvl="5" w:tplc="3CA03162" w:tentative="1">
      <w:start w:val="1"/>
      <w:numFmt w:val="bullet"/>
      <w:lvlText w:val="•"/>
      <w:lvlJc w:val="left"/>
      <w:pPr>
        <w:tabs>
          <w:tab w:val="num" w:pos="4320"/>
        </w:tabs>
        <w:ind w:left="4320" w:hanging="360"/>
      </w:pPr>
      <w:rPr>
        <w:rFonts w:ascii="Arial" w:hAnsi="Arial" w:hint="default"/>
      </w:rPr>
    </w:lvl>
    <w:lvl w:ilvl="6" w:tplc="051E8CA8" w:tentative="1">
      <w:start w:val="1"/>
      <w:numFmt w:val="bullet"/>
      <w:lvlText w:val="•"/>
      <w:lvlJc w:val="left"/>
      <w:pPr>
        <w:tabs>
          <w:tab w:val="num" w:pos="5040"/>
        </w:tabs>
        <w:ind w:left="5040" w:hanging="360"/>
      </w:pPr>
      <w:rPr>
        <w:rFonts w:ascii="Arial" w:hAnsi="Arial" w:hint="default"/>
      </w:rPr>
    </w:lvl>
    <w:lvl w:ilvl="7" w:tplc="6A5CC224" w:tentative="1">
      <w:start w:val="1"/>
      <w:numFmt w:val="bullet"/>
      <w:lvlText w:val="•"/>
      <w:lvlJc w:val="left"/>
      <w:pPr>
        <w:tabs>
          <w:tab w:val="num" w:pos="5760"/>
        </w:tabs>
        <w:ind w:left="5760" w:hanging="360"/>
      </w:pPr>
      <w:rPr>
        <w:rFonts w:ascii="Arial" w:hAnsi="Arial" w:hint="default"/>
      </w:rPr>
    </w:lvl>
    <w:lvl w:ilvl="8" w:tplc="96FA8020" w:tentative="1">
      <w:start w:val="1"/>
      <w:numFmt w:val="bullet"/>
      <w:lvlText w:val="•"/>
      <w:lvlJc w:val="left"/>
      <w:pPr>
        <w:tabs>
          <w:tab w:val="num" w:pos="6480"/>
        </w:tabs>
        <w:ind w:left="6480" w:hanging="360"/>
      </w:pPr>
      <w:rPr>
        <w:rFonts w:ascii="Arial" w:hAnsi="Arial" w:hint="default"/>
      </w:rPr>
    </w:lvl>
  </w:abstractNum>
  <w:num w:numId="1">
    <w:abstractNumId w:val="33"/>
  </w:num>
  <w:num w:numId="2">
    <w:abstractNumId w:val="40"/>
  </w:num>
  <w:num w:numId="3">
    <w:abstractNumId w:val="26"/>
  </w:num>
  <w:num w:numId="4">
    <w:abstractNumId w:val="35"/>
  </w:num>
  <w:num w:numId="5">
    <w:abstractNumId w:val="8"/>
  </w:num>
  <w:num w:numId="6">
    <w:abstractNumId w:val="13"/>
  </w:num>
  <w:num w:numId="7">
    <w:abstractNumId w:val="15"/>
  </w:num>
  <w:num w:numId="8">
    <w:abstractNumId w:val="10"/>
  </w:num>
  <w:num w:numId="9">
    <w:abstractNumId w:val="23"/>
  </w:num>
  <w:num w:numId="10">
    <w:abstractNumId w:val="4"/>
  </w:num>
  <w:num w:numId="11">
    <w:abstractNumId w:val="19"/>
  </w:num>
  <w:num w:numId="12">
    <w:abstractNumId w:val="7"/>
  </w:num>
  <w:num w:numId="13">
    <w:abstractNumId w:val="0"/>
  </w:num>
  <w:num w:numId="14">
    <w:abstractNumId w:val="38"/>
  </w:num>
  <w:num w:numId="15">
    <w:abstractNumId w:val="14"/>
  </w:num>
  <w:num w:numId="16">
    <w:abstractNumId w:val="3"/>
  </w:num>
  <w:num w:numId="17">
    <w:abstractNumId w:val="27"/>
  </w:num>
  <w:num w:numId="18">
    <w:abstractNumId w:val="9"/>
  </w:num>
  <w:num w:numId="19">
    <w:abstractNumId w:val="12"/>
  </w:num>
  <w:num w:numId="20">
    <w:abstractNumId w:val="1"/>
  </w:num>
  <w:num w:numId="21">
    <w:abstractNumId w:val="17"/>
  </w:num>
  <w:num w:numId="22">
    <w:abstractNumId w:val="16"/>
  </w:num>
  <w:num w:numId="23">
    <w:abstractNumId w:val="32"/>
  </w:num>
  <w:num w:numId="24">
    <w:abstractNumId w:val="31"/>
  </w:num>
  <w:num w:numId="25">
    <w:abstractNumId w:val="30"/>
  </w:num>
  <w:num w:numId="26">
    <w:abstractNumId w:val="18"/>
  </w:num>
  <w:num w:numId="27">
    <w:abstractNumId w:val="28"/>
  </w:num>
  <w:num w:numId="28">
    <w:abstractNumId w:val="11"/>
  </w:num>
  <w:num w:numId="29">
    <w:abstractNumId w:val="29"/>
  </w:num>
  <w:num w:numId="30">
    <w:abstractNumId w:val="39"/>
  </w:num>
  <w:num w:numId="31">
    <w:abstractNumId w:val="2"/>
  </w:num>
  <w:num w:numId="32">
    <w:abstractNumId w:val="22"/>
  </w:num>
  <w:num w:numId="33">
    <w:abstractNumId w:val="36"/>
  </w:num>
  <w:num w:numId="34">
    <w:abstractNumId w:val="37"/>
  </w:num>
  <w:num w:numId="35">
    <w:abstractNumId w:val="25"/>
  </w:num>
  <w:num w:numId="36">
    <w:abstractNumId w:val="5"/>
  </w:num>
  <w:num w:numId="37">
    <w:abstractNumId w:val="20"/>
  </w:num>
  <w:num w:numId="38">
    <w:abstractNumId w:val="21"/>
  </w:num>
  <w:num w:numId="39">
    <w:abstractNumId w:val="6"/>
  </w:num>
  <w:num w:numId="40">
    <w:abstractNumId w:val="34"/>
  </w:num>
  <w:num w:numId="41">
    <w:abstractNumId w:val="2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haracterSpacingControl w:val="doNotCompress"/>
  <w:hdrShapeDefaults>
    <o:shapedefaults v:ext="edit" spidmax="1658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909"/>
    <w:rsid w:val="00002DDD"/>
    <w:rsid w:val="000040D0"/>
    <w:rsid w:val="0000413C"/>
    <w:rsid w:val="00005B44"/>
    <w:rsid w:val="000068D0"/>
    <w:rsid w:val="000077E7"/>
    <w:rsid w:val="00011650"/>
    <w:rsid w:val="0001192F"/>
    <w:rsid w:val="00013301"/>
    <w:rsid w:val="000167D3"/>
    <w:rsid w:val="0001795E"/>
    <w:rsid w:val="0002091B"/>
    <w:rsid w:val="000209D3"/>
    <w:rsid w:val="000216ED"/>
    <w:rsid w:val="000220DE"/>
    <w:rsid w:val="000227FF"/>
    <w:rsid w:val="000256B4"/>
    <w:rsid w:val="00025C1B"/>
    <w:rsid w:val="00025D1B"/>
    <w:rsid w:val="00026B06"/>
    <w:rsid w:val="00030F3D"/>
    <w:rsid w:val="000326DD"/>
    <w:rsid w:val="00032995"/>
    <w:rsid w:val="00035421"/>
    <w:rsid w:val="00035934"/>
    <w:rsid w:val="00036A5E"/>
    <w:rsid w:val="00037894"/>
    <w:rsid w:val="00037B5B"/>
    <w:rsid w:val="00037F9A"/>
    <w:rsid w:val="0004123A"/>
    <w:rsid w:val="00043176"/>
    <w:rsid w:val="00043D2C"/>
    <w:rsid w:val="0004478E"/>
    <w:rsid w:val="00045176"/>
    <w:rsid w:val="000462C2"/>
    <w:rsid w:val="00046B86"/>
    <w:rsid w:val="000552B3"/>
    <w:rsid w:val="00056944"/>
    <w:rsid w:val="00057FCF"/>
    <w:rsid w:val="0006129B"/>
    <w:rsid w:val="00062844"/>
    <w:rsid w:val="000646DB"/>
    <w:rsid w:val="00065128"/>
    <w:rsid w:val="00065805"/>
    <w:rsid w:val="00065D76"/>
    <w:rsid w:val="0007067B"/>
    <w:rsid w:val="00071925"/>
    <w:rsid w:val="000722CB"/>
    <w:rsid w:val="000726BE"/>
    <w:rsid w:val="0007388D"/>
    <w:rsid w:val="00073EAA"/>
    <w:rsid w:val="00074F2A"/>
    <w:rsid w:val="000773B2"/>
    <w:rsid w:val="000775E6"/>
    <w:rsid w:val="000805C8"/>
    <w:rsid w:val="00080881"/>
    <w:rsid w:val="00081266"/>
    <w:rsid w:val="00081806"/>
    <w:rsid w:val="0008183A"/>
    <w:rsid w:val="00081D07"/>
    <w:rsid w:val="0008411E"/>
    <w:rsid w:val="00086041"/>
    <w:rsid w:val="00086E4D"/>
    <w:rsid w:val="00086F1C"/>
    <w:rsid w:val="00087AE1"/>
    <w:rsid w:val="00087B35"/>
    <w:rsid w:val="000906B2"/>
    <w:rsid w:val="00091E16"/>
    <w:rsid w:val="00091F42"/>
    <w:rsid w:val="000934AB"/>
    <w:rsid w:val="000943CD"/>
    <w:rsid w:val="0009445B"/>
    <w:rsid w:val="00095ECC"/>
    <w:rsid w:val="00097D64"/>
    <w:rsid w:val="000A1946"/>
    <w:rsid w:val="000A21D4"/>
    <w:rsid w:val="000A2A56"/>
    <w:rsid w:val="000A3291"/>
    <w:rsid w:val="000A3943"/>
    <w:rsid w:val="000A3FA7"/>
    <w:rsid w:val="000A429C"/>
    <w:rsid w:val="000A620D"/>
    <w:rsid w:val="000A6911"/>
    <w:rsid w:val="000A7461"/>
    <w:rsid w:val="000B163E"/>
    <w:rsid w:val="000B18C9"/>
    <w:rsid w:val="000B2F44"/>
    <w:rsid w:val="000B39F7"/>
    <w:rsid w:val="000B3C7C"/>
    <w:rsid w:val="000B3FA2"/>
    <w:rsid w:val="000B42EC"/>
    <w:rsid w:val="000B44A8"/>
    <w:rsid w:val="000B6BA6"/>
    <w:rsid w:val="000B7411"/>
    <w:rsid w:val="000B7C75"/>
    <w:rsid w:val="000B7E84"/>
    <w:rsid w:val="000C0CE7"/>
    <w:rsid w:val="000C1FF3"/>
    <w:rsid w:val="000C21C2"/>
    <w:rsid w:val="000C2B16"/>
    <w:rsid w:val="000C3494"/>
    <w:rsid w:val="000C45B2"/>
    <w:rsid w:val="000C46F4"/>
    <w:rsid w:val="000C4D07"/>
    <w:rsid w:val="000C5644"/>
    <w:rsid w:val="000D0732"/>
    <w:rsid w:val="000D0DA0"/>
    <w:rsid w:val="000D27E3"/>
    <w:rsid w:val="000D403C"/>
    <w:rsid w:val="000D4F70"/>
    <w:rsid w:val="000D60C9"/>
    <w:rsid w:val="000D65DD"/>
    <w:rsid w:val="000D799B"/>
    <w:rsid w:val="000E2F53"/>
    <w:rsid w:val="000E3846"/>
    <w:rsid w:val="000E3A3B"/>
    <w:rsid w:val="000E555D"/>
    <w:rsid w:val="000E599A"/>
    <w:rsid w:val="000E70DC"/>
    <w:rsid w:val="000E71BE"/>
    <w:rsid w:val="000E73BE"/>
    <w:rsid w:val="000E7D57"/>
    <w:rsid w:val="000F1BF1"/>
    <w:rsid w:val="000F2564"/>
    <w:rsid w:val="000F2615"/>
    <w:rsid w:val="000F460C"/>
    <w:rsid w:val="000F4A07"/>
    <w:rsid w:val="00100284"/>
    <w:rsid w:val="001019D1"/>
    <w:rsid w:val="00101B35"/>
    <w:rsid w:val="00102F40"/>
    <w:rsid w:val="00103DEB"/>
    <w:rsid w:val="00107025"/>
    <w:rsid w:val="001073D5"/>
    <w:rsid w:val="00110088"/>
    <w:rsid w:val="00111781"/>
    <w:rsid w:val="00111CE2"/>
    <w:rsid w:val="0011221B"/>
    <w:rsid w:val="00112FBC"/>
    <w:rsid w:val="00113E9D"/>
    <w:rsid w:val="00115234"/>
    <w:rsid w:val="00117ADD"/>
    <w:rsid w:val="00117B63"/>
    <w:rsid w:val="00117B83"/>
    <w:rsid w:val="00124144"/>
    <w:rsid w:val="00124F1D"/>
    <w:rsid w:val="001265F0"/>
    <w:rsid w:val="00126D5D"/>
    <w:rsid w:val="00127EDB"/>
    <w:rsid w:val="0013044B"/>
    <w:rsid w:val="00131522"/>
    <w:rsid w:val="0013175F"/>
    <w:rsid w:val="00133053"/>
    <w:rsid w:val="00137093"/>
    <w:rsid w:val="001403AB"/>
    <w:rsid w:val="001407DA"/>
    <w:rsid w:val="0014114B"/>
    <w:rsid w:val="00142009"/>
    <w:rsid w:val="00142B97"/>
    <w:rsid w:val="00143318"/>
    <w:rsid w:val="001435CF"/>
    <w:rsid w:val="00143AB0"/>
    <w:rsid w:val="00144787"/>
    <w:rsid w:val="001448A4"/>
    <w:rsid w:val="001451E7"/>
    <w:rsid w:val="0014720F"/>
    <w:rsid w:val="0015080C"/>
    <w:rsid w:val="001530CC"/>
    <w:rsid w:val="00153603"/>
    <w:rsid w:val="00153C15"/>
    <w:rsid w:val="0015400F"/>
    <w:rsid w:val="00154236"/>
    <w:rsid w:val="001545C8"/>
    <w:rsid w:val="0015607D"/>
    <w:rsid w:val="00161F06"/>
    <w:rsid w:val="00163DBA"/>
    <w:rsid w:val="0016454B"/>
    <w:rsid w:val="001646A9"/>
    <w:rsid w:val="001663A6"/>
    <w:rsid w:val="00166AC8"/>
    <w:rsid w:val="001675A5"/>
    <w:rsid w:val="00167B3B"/>
    <w:rsid w:val="00171DB6"/>
    <w:rsid w:val="00172A3E"/>
    <w:rsid w:val="00173108"/>
    <w:rsid w:val="00173A09"/>
    <w:rsid w:val="001747FF"/>
    <w:rsid w:val="0017590F"/>
    <w:rsid w:val="00175E69"/>
    <w:rsid w:val="00175EDB"/>
    <w:rsid w:val="00177278"/>
    <w:rsid w:val="00177280"/>
    <w:rsid w:val="00177768"/>
    <w:rsid w:val="00177F4E"/>
    <w:rsid w:val="00180A34"/>
    <w:rsid w:val="001813B4"/>
    <w:rsid w:val="001849E3"/>
    <w:rsid w:val="0018583B"/>
    <w:rsid w:val="001858B1"/>
    <w:rsid w:val="00186AFD"/>
    <w:rsid w:val="00187954"/>
    <w:rsid w:val="00187FD6"/>
    <w:rsid w:val="0019123E"/>
    <w:rsid w:val="00191CF6"/>
    <w:rsid w:val="00192056"/>
    <w:rsid w:val="001930BB"/>
    <w:rsid w:val="00193634"/>
    <w:rsid w:val="00194619"/>
    <w:rsid w:val="00194B06"/>
    <w:rsid w:val="00196FD5"/>
    <w:rsid w:val="001A109C"/>
    <w:rsid w:val="001A16EE"/>
    <w:rsid w:val="001A1B4D"/>
    <w:rsid w:val="001A2DA1"/>
    <w:rsid w:val="001A492F"/>
    <w:rsid w:val="001A5D8D"/>
    <w:rsid w:val="001A601A"/>
    <w:rsid w:val="001A61F0"/>
    <w:rsid w:val="001A67E8"/>
    <w:rsid w:val="001B0A80"/>
    <w:rsid w:val="001B0D26"/>
    <w:rsid w:val="001B0FB1"/>
    <w:rsid w:val="001B194D"/>
    <w:rsid w:val="001B3FBB"/>
    <w:rsid w:val="001B4029"/>
    <w:rsid w:val="001B46DE"/>
    <w:rsid w:val="001B5356"/>
    <w:rsid w:val="001B6274"/>
    <w:rsid w:val="001B7A53"/>
    <w:rsid w:val="001C0787"/>
    <w:rsid w:val="001C144E"/>
    <w:rsid w:val="001C260F"/>
    <w:rsid w:val="001C410B"/>
    <w:rsid w:val="001C42BF"/>
    <w:rsid w:val="001C6043"/>
    <w:rsid w:val="001C6724"/>
    <w:rsid w:val="001D1D23"/>
    <w:rsid w:val="001D216A"/>
    <w:rsid w:val="001D27F7"/>
    <w:rsid w:val="001D2906"/>
    <w:rsid w:val="001D2E82"/>
    <w:rsid w:val="001D2F15"/>
    <w:rsid w:val="001D3D16"/>
    <w:rsid w:val="001D4799"/>
    <w:rsid w:val="001D48C0"/>
    <w:rsid w:val="001D506E"/>
    <w:rsid w:val="001D51DA"/>
    <w:rsid w:val="001D6BAE"/>
    <w:rsid w:val="001D6E64"/>
    <w:rsid w:val="001E2CEB"/>
    <w:rsid w:val="001E32EF"/>
    <w:rsid w:val="001E4A06"/>
    <w:rsid w:val="001E5D0A"/>
    <w:rsid w:val="001E6162"/>
    <w:rsid w:val="001E6428"/>
    <w:rsid w:val="001E7271"/>
    <w:rsid w:val="001E73DF"/>
    <w:rsid w:val="001E77EC"/>
    <w:rsid w:val="001F1AB6"/>
    <w:rsid w:val="001F3726"/>
    <w:rsid w:val="001F5AB1"/>
    <w:rsid w:val="001F5B6B"/>
    <w:rsid w:val="001F71F3"/>
    <w:rsid w:val="001F7397"/>
    <w:rsid w:val="002009C8"/>
    <w:rsid w:val="00200AF8"/>
    <w:rsid w:val="0020137C"/>
    <w:rsid w:val="00201E19"/>
    <w:rsid w:val="00202838"/>
    <w:rsid w:val="002030DE"/>
    <w:rsid w:val="00204030"/>
    <w:rsid w:val="00204260"/>
    <w:rsid w:val="00204AA8"/>
    <w:rsid w:val="00205311"/>
    <w:rsid w:val="00205D67"/>
    <w:rsid w:val="00205DF3"/>
    <w:rsid w:val="0020603B"/>
    <w:rsid w:val="00206AAC"/>
    <w:rsid w:val="00210475"/>
    <w:rsid w:val="00210C56"/>
    <w:rsid w:val="0021193E"/>
    <w:rsid w:val="002130AF"/>
    <w:rsid w:val="00214254"/>
    <w:rsid w:val="002149F3"/>
    <w:rsid w:val="00215BCA"/>
    <w:rsid w:val="002167F8"/>
    <w:rsid w:val="00216B7B"/>
    <w:rsid w:val="002172C9"/>
    <w:rsid w:val="00217C09"/>
    <w:rsid w:val="00217C17"/>
    <w:rsid w:val="0022083E"/>
    <w:rsid w:val="00220B96"/>
    <w:rsid w:val="00220C85"/>
    <w:rsid w:val="002211CC"/>
    <w:rsid w:val="00221643"/>
    <w:rsid w:val="00222D0B"/>
    <w:rsid w:val="002240D2"/>
    <w:rsid w:val="0022429D"/>
    <w:rsid w:val="00224E69"/>
    <w:rsid w:val="00225A1E"/>
    <w:rsid w:val="002260D6"/>
    <w:rsid w:val="0022708D"/>
    <w:rsid w:val="002275F6"/>
    <w:rsid w:val="00231A2B"/>
    <w:rsid w:val="00232D9F"/>
    <w:rsid w:val="00233C76"/>
    <w:rsid w:val="00234C9B"/>
    <w:rsid w:val="00241D3D"/>
    <w:rsid w:val="0024368C"/>
    <w:rsid w:val="00244DD5"/>
    <w:rsid w:val="0024534E"/>
    <w:rsid w:val="00245E4C"/>
    <w:rsid w:val="00246739"/>
    <w:rsid w:val="00250BF2"/>
    <w:rsid w:val="0025236D"/>
    <w:rsid w:val="00254DA8"/>
    <w:rsid w:val="002552BB"/>
    <w:rsid w:val="00255FA7"/>
    <w:rsid w:val="00256054"/>
    <w:rsid w:val="00257213"/>
    <w:rsid w:val="00262611"/>
    <w:rsid w:val="00262678"/>
    <w:rsid w:val="00265BE7"/>
    <w:rsid w:val="0026783A"/>
    <w:rsid w:val="002702CF"/>
    <w:rsid w:val="0027114D"/>
    <w:rsid w:val="00271FC7"/>
    <w:rsid w:val="00272B04"/>
    <w:rsid w:val="0027371A"/>
    <w:rsid w:val="002739DF"/>
    <w:rsid w:val="00274040"/>
    <w:rsid w:val="00274E8A"/>
    <w:rsid w:val="00275074"/>
    <w:rsid w:val="00275871"/>
    <w:rsid w:val="00275CB4"/>
    <w:rsid w:val="002761B3"/>
    <w:rsid w:val="00276840"/>
    <w:rsid w:val="00276DB7"/>
    <w:rsid w:val="00276FC2"/>
    <w:rsid w:val="00277663"/>
    <w:rsid w:val="002778E5"/>
    <w:rsid w:val="00277D18"/>
    <w:rsid w:val="002816D9"/>
    <w:rsid w:val="00281EA5"/>
    <w:rsid w:val="0028367E"/>
    <w:rsid w:val="002853A0"/>
    <w:rsid w:val="002856F9"/>
    <w:rsid w:val="00285909"/>
    <w:rsid w:val="00285BD3"/>
    <w:rsid w:val="00286F9F"/>
    <w:rsid w:val="002876EE"/>
    <w:rsid w:val="0029073D"/>
    <w:rsid w:val="00290AF1"/>
    <w:rsid w:val="00290FA7"/>
    <w:rsid w:val="00291F42"/>
    <w:rsid w:val="00292578"/>
    <w:rsid w:val="002942F4"/>
    <w:rsid w:val="00296615"/>
    <w:rsid w:val="00296FFB"/>
    <w:rsid w:val="00297199"/>
    <w:rsid w:val="0029741F"/>
    <w:rsid w:val="00297D6D"/>
    <w:rsid w:val="002A015F"/>
    <w:rsid w:val="002A421E"/>
    <w:rsid w:val="002A6F8A"/>
    <w:rsid w:val="002B0418"/>
    <w:rsid w:val="002B0453"/>
    <w:rsid w:val="002B0601"/>
    <w:rsid w:val="002B36FF"/>
    <w:rsid w:val="002B3A3A"/>
    <w:rsid w:val="002B44AC"/>
    <w:rsid w:val="002B4B6E"/>
    <w:rsid w:val="002B4F2D"/>
    <w:rsid w:val="002B5C69"/>
    <w:rsid w:val="002B6168"/>
    <w:rsid w:val="002B6897"/>
    <w:rsid w:val="002B753D"/>
    <w:rsid w:val="002B7808"/>
    <w:rsid w:val="002C0E77"/>
    <w:rsid w:val="002C207D"/>
    <w:rsid w:val="002C555F"/>
    <w:rsid w:val="002C5568"/>
    <w:rsid w:val="002C7145"/>
    <w:rsid w:val="002D01EC"/>
    <w:rsid w:val="002D218F"/>
    <w:rsid w:val="002D230B"/>
    <w:rsid w:val="002D3CB8"/>
    <w:rsid w:val="002D4E43"/>
    <w:rsid w:val="002D5821"/>
    <w:rsid w:val="002D65B9"/>
    <w:rsid w:val="002D679B"/>
    <w:rsid w:val="002E04A5"/>
    <w:rsid w:val="002E0D6F"/>
    <w:rsid w:val="002E0FAA"/>
    <w:rsid w:val="002E1575"/>
    <w:rsid w:val="002E1BE8"/>
    <w:rsid w:val="002E1DF5"/>
    <w:rsid w:val="002E3C2C"/>
    <w:rsid w:val="002E3D72"/>
    <w:rsid w:val="002E51DB"/>
    <w:rsid w:val="002E5A42"/>
    <w:rsid w:val="002E5A6D"/>
    <w:rsid w:val="002E6440"/>
    <w:rsid w:val="002E7521"/>
    <w:rsid w:val="002F14E3"/>
    <w:rsid w:val="002F1BD1"/>
    <w:rsid w:val="002F1E3A"/>
    <w:rsid w:val="002F2AA5"/>
    <w:rsid w:val="002F4607"/>
    <w:rsid w:val="002F46C2"/>
    <w:rsid w:val="002F486F"/>
    <w:rsid w:val="002F4B30"/>
    <w:rsid w:val="002F5388"/>
    <w:rsid w:val="002F5FDD"/>
    <w:rsid w:val="002F6A58"/>
    <w:rsid w:val="003002B6"/>
    <w:rsid w:val="00300436"/>
    <w:rsid w:val="00300939"/>
    <w:rsid w:val="00300A7E"/>
    <w:rsid w:val="003024D2"/>
    <w:rsid w:val="00302576"/>
    <w:rsid w:val="0030264E"/>
    <w:rsid w:val="00303BBE"/>
    <w:rsid w:val="00304ACD"/>
    <w:rsid w:val="00304FA4"/>
    <w:rsid w:val="0030780E"/>
    <w:rsid w:val="00307DBD"/>
    <w:rsid w:val="00307E8B"/>
    <w:rsid w:val="003103F7"/>
    <w:rsid w:val="0031121E"/>
    <w:rsid w:val="00311843"/>
    <w:rsid w:val="003120D9"/>
    <w:rsid w:val="00312917"/>
    <w:rsid w:val="00315123"/>
    <w:rsid w:val="00315FBC"/>
    <w:rsid w:val="00316A38"/>
    <w:rsid w:val="00317331"/>
    <w:rsid w:val="00317503"/>
    <w:rsid w:val="003177A4"/>
    <w:rsid w:val="003177A8"/>
    <w:rsid w:val="003202EB"/>
    <w:rsid w:val="0032127D"/>
    <w:rsid w:val="00321F86"/>
    <w:rsid w:val="0032246D"/>
    <w:rsid w:val="00322F91"/>
    <w:rsid w:val="00324F42"/>
    <w:rsid w:val="00325882"/>
    <w:rsid w:val="00325DF0"/>
    <w:rsid w:val="00325E41"/>
    <w:rsid w:val="003261F7"/>
    <w:rsid w:val="00326CBE"/>
    <w:rsid w:val="00327052"/>
    <w:rsid w:val="00327385"/>
    <w:rsid w:val="00327D5F"/>
    <w:rsid w:val="00330B3F"/>
    <w:rsid w:val="00332419"/>
    <w:rsid w:val="00333C4D"/>
    <w:rsid w:val="00334970"/>
    <w:rsid w:val="0033518F"/>
    <w:rsid w:val="00335870"/>
    <w:rsid w:val="0033617F"/>
    <w:rsid w:val="003400D5"/>
    <w:rsid w:val="003408C4"/>
    <w:rsid w:val="00341A14"/>
    <w:rsid w:val="00341FCF"/>
    <w:rsid w:val="0034278F"/>
    <w:rsid w:val="003444D8"/>
    <w:rsid w:val="00345319"/>
    <w:rsid w:val="00345458"/>
    <w:rsid w:val="0034622B"/>
    <w:rsid w:val="00346505"/>
    <w:rsid w:val="00347027"/>
    <w:rsid w:val="00347242"/>
    <w:rsid w:val="00350042"/>
    <w:rsid w:val="0035092F"/>
    <w:rsid w:val="00350E04"/>
    <w:rsid w:val="00350E52"/>
    <w:rsid w:val="00354A31"/>
    <w:rsid w:val="0035559E"/>
    <w:rsid w:val="003555A2"/>
    <w:rsid w:val="00356806"/>
    <w:rsid w:val="00357230"/>
    <w:rsid w:val="00357A67"/>
    <w:rsid w:val="00360460"/>
    <w:rsid w:val="00360DA5"/>
    <w:rsid w:val="00363E01"/>
    <w:rsid w:val="003662F2"/>
    <w:rsid w:val="003711EF"/>
    <w:rsid w:val="00371B53"/>
    <w:rsid w:val="00372425"/>
    <w:rsid w:val="00372450"/>
    <w:rsid w:val="00372529"/>
    <w:rsid w:val="00373140"/>
    <w:rsid w:val="00373717"/>
    <w:rsid w:val="003745B2"/>
    <w:rsid w:val="00375ED8"/>
    <w:rsid w:val="003763BC"/>
    <w:rsid w:val="00376DC6"/>
    <w:rsid w:val="00377689"/>
    <w:rsid w:val="00377961"/>
    <w:rsid w:val="00377B11"/>
    <w:rsid w:val="00380039"/>
    <w:rsid w:val="00382A25"/>
    <w:rsid w:val="00382BFC"/>
    <w:rsid w:val="003835FD"/>
    <w:rsid w:val="003852F8"/>
    <w:rsid w:val="00385D17"/>
    <w:rsid w:val="00385EAD"/>
    <w:rsid w:val="00387CDE"/>
    <w:rsid w:val="0039293C"/>
    <w:rsid w:val="003940A6"/>
    <w:rsid w:val="00394A58"/>
    <w:rsid w:val="00394FB7"/>
    <w:rsid w:val="00395513"/>
    <w:rsid w:val="00396AB8"/>
    <w:rsid w:val="00397224"/>
    <w:rsid w:val="0039723A"/>
    <w:rsid w:val="0039777A"/>
    <w:rsid w:val="00397AD3"/>
    <w:rsid w:val="003A12C6"/>
    <w:rsid w:val="003A2786"/>
    <w:rsid w:val="003A3561"/>
    <w:rsid w:val="003A379E"/>
    <w:rsid w:val="003A3B7F"/>
    <w:rsid w:val="003A4509"/>
    <w:rsid w:val="003A7994"/>
    <w:rsid w:val="003B24F0"/>
    <w:rsid w:val="003B3FE3"/>
    <w:rsid w:val="003B4294"/>
    <w:rsid w:val="003B478D"/>
    <w:rsid w:val="003B47A9"/>
    <w:rsid w:val="003B5D91"/>
    <w:rsid w:val="003B6E23"/>
    <w:rsid w:val="003B791B"/>
    <w:rsid w:val="003B7CF7"/>
    <w:rsid w:val="003C2432"/>
    <w:rsid w:val="003C2683"/>
    <w:rsid w:val="003C2C7B"/>
    <w:rsid w:val="003C2CB7"/>
    <w:rsid w:val="003C2E53"/>
    <w:rsid w:val="003C3670"/>
    <w:rsid w:val="003C376A"/>
    <w:rsid w:val="003C37E5"/>
    <w:rsid w:val="003C527C"/>
    <w:rsid w:val="003D06C6"/>
    <w:rsid w:val="003D26D4"/>
    <w:rsid w:val="003D2FDD"/>
    <w:rsid w:val="003D3768"/>
    <w:rsid w:val="003D38ED"/>
    <w:rsid w:val="003D4279"/>
    <w:rsid w:val="003D4476"/>
    <w:rsid w:val="003D4D12"/>
    <w:rsid w:val="003D4D42"/>
    <w:rsid w:val="003D6E49"/>
    <w:rsid w:val="003D7554"/>
    <w:rsid w:val="003D7958"/>
    <w:rsid w:val="003E005C"/>
    <w:rsid w:val="003E0C32"/>
    <w:rsid w:val="003E0D17"/>
    <w:rsid w:val="003E2DC4"/>
    <w:rsid w:val="003E453C"/>
    <w:rsid w:val="003E4936"/>
    <w:rsid w:val="003E4B06"/>
    <w:rsid w:val="003E601A"/>
    <w:rsid w:val="003E70D4"/>
    <w:rsid w:val="003E726A"/>
    <w:rsid w:val="003F0201"/>
    <w:rsid w:val="003F2BB7"/>
    <w:rsid w:val="003F34B5"/>
    <w:rsid w:val="003F5C1B"/>
    <w:rsid w:val="003F6BCD"/>
    <w:rsid w:val="00400646"/>
    <w:rsid w:val="00400933"/>
    <w:rsid w:val="004015D4"/>
    <w:rsid w:val="00403CB6"/>
    <w:rsid w:val="00403EFF"/>
    <w:rsid w:val="00404614"/>
    <w:rsid w:val="004074EC"/>
    <w:rsid w:val="00413507"/>
    <w:rsid w:val="004138C1"/>
    <w:rsid w:val="004140A8"/>
    <w:rsid w:val="00414505"/>
    <w:rsid w:val="0041451A"/>
    <w:rsid w:val="0041506F"/>
    <w:rsid w:val="00415A45"/>
    <w:rsid w:val="00415CF3"/>
    <w:rsid w:val="00420443"/>
    <w:rsid w:val="004209E4"/>
    <w:rsid w:val="00422A98"/>
    <w:rsid w:val="00424AC3"/>
    <w:rsid w:val="00425CDA"/>
    <w:rsid w:val="00431367"/>
    <w:rsid w:val="00431EC7"/>
    <w:rsid w:val="004326FD"/>
    <w:rsid w:val="00432A8A"/>
    <w:rsid w:val="00432E69"/>
    <w:rsid w:val="004333D0"/>
    <w:rsid w:val="00434B98"/>
    <w:rsid w:val="00440359"/>
    <w:rsid w:val="004412D1"/>
    <w:rsid w:val="00441550"/>
    <w:rsid w:val="00442CE0"/>
    <w:rsid w:val="0044381B"/>
    <w:rsid w:val="004440B0"/>
    <w:rsid w:val="00444FF9"/>
    <w:rsid w:val="0044585B"/>
    <w:rsid w:val="00445F37"/>
    <w:rsid w:val="00450A08"/>
    <w:rsid w:val="00450F44"/>
    <w:rsid w:val="00451F19"/>
    <w:rsid w:val="0045328E"/>
    <w:rsid w:val="00453D46"/>
    <w:rsid w:val="00455344"/>
    <w:rsid w:val="004566EE"/>
    <w:rsid w:val="004567F6"/>
    <w:rsid w:val="00457F30"/>
    <w:rsid w:val="0046185B"/>
    <w:rsid w:val="00461C36"/>
    <w:rsid w:val="0046235A"/>
    <w:rsid w:val="004632E9"/>
    <w:rsid w:val="004636AE"/>
    <w:rsid w:val="00463755"/>
    <w:rsid w:val="0046678C"/>
    <w:rsid w:val="004679F7"/>
    <w:rsid w:val="00470812"/>
    <w:rsid w:val="004711E0"/>
    <w:rsid w:val="00471727"/>
    <w:rsid w:val="0047186B"/>
    <w:rsid w:val="00472011"/>
    <w:rsid w:val="0047287A"/>
    <w:rsid w:val="00473128"/>
    <w:rsid w:val="00473B64"/>
    <w:rsid w:val="004745ED"/>
    <w:rsid w:val="00474DC3"/>
    <w:rsid w:val="0047561E"/>
    <w:rsid w:val="00475955"/>
    <w:rsid w:val="00476F5D"/>
    <w:rsid w:val="0047761E"/>
    <w:rsid w:val="0048109D"/>
    <w:rsid w:val="0048248E"/>
    <w:rsid w:val="00483AE6"/>
    <w:rsid w:val="00485458"/>
    <w:rsid w:val="00485799"/>
    <w:rsid w:val="00490036"/>
    <w:rsid w:val="00493049"/>
    <w:rsid w:val="00493545"/>
    <w:rsid w:val="00493F2C"/>
    <w:rsid w:val="00495902"/>
    <w:rsid w:val="00496296"/>
    <w:rsid w:val="0049783B"/>
    <w:rsid w:val="00497A69"/>
    <w:rsid w:val="00497CBE"/>
    <w:rsid w:val="004A2C45"/>
    <w:rsid w:val="004A3EEF"/>
    <w:rsid w:val="004A493F"/>
    <w:rsid w:val="004A676C"/>
    <w:rsid w:val="004A6978"/>
    <w:rsid w:val="004B1D67"/>
    <w:rsid w:val="004B3BD6"/>
    <w:rsid w:val="004B4254"/>
    <w:rsid w:val="004B47B4"/>
    <w:rsid w:val="004C1A48"/>
    <w:rsid w:val="004C2980"/>
    <w:rsid w:val="004C3ADF"/>
    <w:rsid w:val="004C3C0A"/>
    <w:rsid w:val="004C50CE"/>
    <w:rsid w:val="004C64FA"/>
    <w:rsid w:val="004C6F19"/>
    <w:rsid w:val="004D012D"/>
    <w:rsid w:val="004D0A80"/>
    <w:rsid w:val="004D1A1D"/>
    <w:rsid w:val="004D2ECC"/>
    <w:rsid w:val="004D3B0F"/>
    <w:rsid w:val="004D4661"/>
    <w:rsid w:val="004D54C6"/>
    <w:rsid w:val="004D70F9"/>
    <w:rsid w:val="004E124A"/>
    <w:rsid w:val="004E223F"/>
    <w:rsid w:val="004E2665"/>
    <w:rsid w:val="004E2E0E"/>
    <w:rsid w:val="004E59B7"/>
    <w:rsid w:val="004E6508"/>
    <w:rsid w:val="004E6F73"/>
    <w:rsid w:val="004E75D2"/>
    <w:rsid w:val="004E7C86"/>
    <w:rsid w:val="004F06C7"/>
    <w:rsid w:val="004F280E"/>
    <w:rsid w:val="004F2AB7"/>
    <w:rsid w:val="005001FF"/>
    <w:rsid w:val="005012A7"/>
    <w:rsid w:val="00501AA5"/>
    <w:rsid w:val="00501ECF"/>
    <w:rsid w:val="0050222D"/>
    <w:rsid w:val="00502409"/>
    <w:rsid w:val="00502FDB"/>
    <w:rsid w:val="005035A7"/>
    <w:rsid w:val="00505E43"/>
    <w:rsid w:val="005069B0"/>
    <w:rsid w:val="005071F3"/>
    <w:rsid w:val="00507F1B"/>
    <w:rsid w:val="00510653"/>
    <w:rsid w:val="005110D6"/>
    <w:rsid w:val="00511EBC"/>
    <w:rsid w:val="00512BE6"/>
    <w:rsid w:val="005132AF"/>
    <w:rsid w:val="0051409D"/>
    <w:rsid w:val="005155EB"/>
    <w:rsid w:val="00515C48"/>
    <w:rsid w:val="00516175"/>
    <w:rsid w:val="00516B0E"/>
    <w:rsid w:val="00516C76"/>
    <w:rsid w:val="00517754"/>
    <w:rsid w:val="005178F7"/>
    <w:rsid w:val="005201C8"/>
    <w:rsid w:val="0052070D"/>
    <w:rsid w:val="0052211D"/>
    <w:rsid w:val="00522880"/>
    <w:rsid w:val="005229B9"/>
    <w:rsid w:val="00524476"/>
    <w:rsid w:val="00524CE7"/>
    <w:rsid w:val="0052592D"/>
    <w:rsid w:val="00526E23"/>
    <w:rsid w:val="00527498"/>
    <w:rsid w:val="005279CB"/>
    <w:rsid w:val="00527F25"/>
    <w:rsid w:val="00530B84"/>
    <w:rsid w:val="00531DBC"/>
    <w:rsid w:val="00532F78"/>
    <w:rsid w:val="005330D2"/>
    <w:rsid w:val="00534577"/>
    <w:rsid w:val="0053762F"/>
    <w:rsid w:val="00537766"/>
    <w:rsid w:val="00540EE2"/>
    <w:rsid w:val="005426F1"/>
    <w:rsid w:val="005429DB"/>
    <w:rsid w:val="00543B09"/>
    <w:rsid w:val="00543F0C"/>
    <w:rsid w:val="00544571"/>
    <w:rsid w:val="00544747"/>
    <w:rsid w:val="00544DB7"/>
    <w:rsid w:val="00545179"/>
    <w:rsid w:val="005465F4"/>
    <w:rsid w:val="005473D0"/>
    <w:rsid w:val="005479FF"/>
    <w:rsid w:val="00552081"/>
    <w:rsid w:val="005523FA"/>
    <w:rsid w:val="005530BB"/>
    <w:rsid w:val="005539D7"/>
    <w:rsid w:val="00555484"/>
    <w:rsid w:val="005603CF"/>
    <w:rsid w:val="00560CAB"/>
    <w:rsid w:val="00561A17"/>
    <w:rsid w:val="00561ED3"/>
    <w:rsid w:val="005628B2"/>
    <w:rsid w:val="0056298F"/>
    <w:rsid w:val="00564DCF"/>
    <w:rsid w:val="005650B0"/>
    <w:rsid w:val="00566499"/>
    <w:rsid w:val="00566853"/>
    <w:rsid w:val="00567FFC"/>
    <w:rsid w:val="00570971"/>
    <w:rsid w:val="00570DFA"/>
    <w:rsid w:val="0057192D"/>
    <w:rsid w:val="0057313D"/>
    <w:rsid w:val="0057538E"/>
    <w:rsid w:val="005757B8"/>
    <w:rsid w:val="00575894"/>
    <w:rsid w:val="005764E0"/>
    <w:rsid w:val="00576D97"/>
    <w:rsid w:val="00581154"/>
    <w:rsid w:val="00584B74"/>
    <w:rsid w:val="00584DAD"/>
    <w:rsid w:val="005870A1"/>
    <w:rsid w:val="0058795A"/>
    <w:rsid w:val="00590BE5"/>
    <w:rsid w:val="00592822"/>
    <w:rsid w:val="00592C6E"/>
    <w:rsid w:val="00594BC0"/>
    <w:rsid w:val="00595085"/>
    <w:rsid w:val="00595CDE"/>
    <w:rsid w:val="005961B9"/>
    <w:rsid w:val="00596928"/>
    <w:rsid w:val="00596D6D"/>
    <w:rsid w:val="005A08A3"/>
    <w:rsid w:val="005A1B5C"/>
    <w:rsid w:val="005A1E2B"/>
    <w:rsid w:val="005A23FB"/>
    <w:rsid w:val="005A5FC0"/>
    <w:rsid w:val="005A612A"/>
    <w:rsid w:val="005A7310"/>
    <w:rsid w:val="005B14D1"/>
    <w:rsid w:val="005B1527"/>
    <w:rsid w:val="005B1839"/>
    <w:rsid w:val="005B2A80"/>
    <w:rsid w:val="005B2F60"/>
    <w:rsid w:val="005B3E22"/>
    <w:rsid w:val="005B49AB"/>
    <w:rsid w:val="005B526A"/>
    <w:rsid w:val="005B5989"/>
    <w:rsid w:val="005B76BA"/>
    <w:rsid w:val="005C18B0"/>
    <w:rsid w:val="005C573C"/>
    <w:rsid w:val="005C6D81"/>
    <w:rsid w:val="005D0AFF"/>
    <w:rsid w:val="005D115D"/>
    <w:rsid w:val="005D1CA4"/>
    <w:rsid w:val="005D2DF7"/>
    <w:rsid w:val="005D3428"/>
    <w:rsid w:val="005D3B85"/>
    <w:rsid w:val="005D41D8"/>
    <w:rsid w:val="005D59B6"/>
    <w:rsid w:val="005D6D90"/>
    <w:rsid w:val="005D7877"/>
    <w:rsid w:val="005D7908"/>
    <w:rsid w:val="005D79F7"/>
    <w:rsid w:val="005D7C87"/>
    <w:rsid w:val="005E2617"/>
    <w:rsid w:val="005E38E2"/>
    <w:rsid w:val="005E4F64"/>
    <w:rsid w:val="005E78BA"/>
    <w:rsid w:val="005F00EA"/>
    <w:rsid w:val="005F0179"/>
    <w:rsid w:val="005F0A0B"/>
    <w:rsid w:val="005F166A"/>
    <w:rsid w:val="005F1768"/>
    <w:rsid w:val="005F2EB1"/>
    <w:rsid w:val="005F308E"/>
    <w:rsid w:val="005F3831"/>
    <w:rsid w:val="005F3AB0"/>
    <w:rsid w:val="005F3F74"/>
    <w:rsid w:val="005F45DC"/>
    <w:rsid w:val="005F5DCE"/>
    <w:rsid w:val="005F73F3"/>
    <w:rsid w:val="006009F2"/>
    <w:rsid w:val="00600FCD"/>
    <w:rsid w:val="00603DDF"/>
    <w:rsid w:val="00604A8E"/>
    <w:rsid w:val="00604F6F"/>
    <w:rsid w:val="00606066"/>
    <w:rsid w:val="006068C2"/>
    <w:rsid w:val="00606AD9"/>
    <w:rsid w:val="00607188"/>
    <w:rsid w:val="00610316"/>
    <w:rsid w:val="00611744"/>
    <w:rsid w:val="00611848"/>
    <w:rsid w:val="0061297E"/>
    <w:rsid w:val="00613356"/>
    <w:rsid w:val="006157E9"/>
    <w:rsid w:val="006160F9"/>
    <w:rsid w:val="00616715"/>
    <w:rsid w:val="00616B7E"/>
    <w:rsid w:val="00616C9E"/>
    <w:rsid w:val="00620C26"/>
    <w:rsid w:val="00620F6B"/>
    <w:rsid w:val="006217A8"/>
    <w:rsid w:val="00623B33"/>
    <w:rsid w:val="00624933"/>
    <w:rsid w:val="00625E33"/>
    <w:rsid w:val="006265CB"/>
    <w:rsid w:val="00630C72"/>
    <w:rsid w:val="00630DB4"/>
    <w:rsid w:val="00632818"/>
    <w:rsid w:val="00634A8F"/>
    <w:rsid w:val="00636ED4"/>
    <w:rsid w:val="00637195"/>
    <w:rsid w:val="006371BF"/>
    <w:rsid w:val="0063786B"/>
    <w:rsid w:val="00640B15"/>
    <w:rsid w:val="0064130E"/>
    <w:rsid w:val="006427F6"/>
    <w:rsid w:val="00646A1A"/>
    <w:rsid w:val="0064712D"/>
    <w:rsid w:val="006477DF"/>
    <w:rsid w:val="00647A96"/>
    <w:rsid w:val="00650045"/>
    <w:rsid w:val="006526F6"/>
    <w:rsid w:val="00652967"/>
    <w:rsid w:val="006559D3"/>
    <w:rsid w:val="00656985"/>
    <w:rsid w:val="00660368"/>
    <w:rsid w:val="006609B5"/>
    <w:rsid w:val="00660E03"/>
    <w:rsid w:val="00662358"/>
    <w:rsid w:val="00663E10"/>
    <w:rsid w:val="0066417B"/>
    <w:rsid w:val="006647D1"/>
    <w:rsid w:val="00664FB4"/>
    <w:rsid w:val="00666C8B"/>
    <w:rsid w:val="006700E8"/>
    <w:rsid w:val="00671D1D"/>
    <w:rsid w:val="00673C4F"/>
    <w:rsid w:val="0067476E"/>
    <w:rsid w:val="00675527"/>
    <w:rsid w:val="006764BD"/>
    <w:rsid w:val="006769A6"/>
    <w:rsid w:val="00677EEF"/>
    <w:rsid w:val="006810F5"/>
    <w:rsid w:val="00682438"/>
    <w:rsid w:val="0068286F"/>
    <w:rsid w:val="00684B11"/>
    <w:rsid w:val="00684BBF"/>
    <w:rsid w:val="006854ED"/>
    <w:rsid w:val="00687883"/>
    <w:rsid w:val="00690E7F"/>
    <w:rsid w:val="00694B00"/>
    <w:rsid w:val="006952A6"/>
    <w:rsid w:val="00696767"/>
    <w:rsid w:val="006969FC"/>
    <w:rsid w:val="00697521"/>
    <w:rsid w:val="00697567"/>
    <w:rsid w:val="006A09AA"/>
    <w:rsid w:val="006A0B67"/>
    <w:rsid w:val="006A22D8"/>
    <w:rsid w:val="006A2503"/>
    <w:rsid w:val="006A3AD4"/>
    <w:rsid w:val="006A4695"/>
    <w:rsid w:val="006A4E2F"/>
    <w:rsid w:val="006A6237"/>
    <w:rsid w:val="006A74AC"/>
    <w:rsid w:val="006A74D0"/>
    <w:rsid w:val="006A7DD0"/>
    <w:rsid w:val="006B0671"/>
    <w:rsid w:val="006B0B17"/>
    <w:rsid w:val="006B25BB"/>
    <w:rsid w:val="006B2878"/>
    <w:rsid w:val="006B4052"/>
    <w:rsid w:val="006B56D1"/>
    <w:rsid w:val="006B62A9"/>
    <w:rsid w:val="006B7ECF"/>
    <w:rsid w:val="006C0C1A"/>
    <w:rsid w:val="006C1202"/>
    <w:rsid w:val="006C303D"/>
    <w:rsid w:val="006C4C9C"/>
    <w:rsid w:val="006C7588"/>
    <w:rsid w:val="006D033B"/>
    <w:rsid w:val="006D0342"/>
    <w:rsid w:val="006D2221"/>
    <w:rsid w:val="006D2A2A"/>
    <w:rsid w:val="006D31C2"/>
    <w:rsid w:val="006D31CB"/>
    <w:rsid w:val="006D3744"/>
    <w:rsid w:val="006D395E"/>
    <w:rsid w:val="006D4796"/>
    <w:rsid w:val="006D5D53"/>
    <w:rsid w:val="006D6068"/>
    <w:rsid w:val="006D6BDF"/>
    <w:rsid w:val="006D724E"/>
    <w:rsid w:val="006E0588"/>
    <w:rsid w:val="006E085A"/>
    <w:rsid w:val="006E1203"/>
    <w:rsid w:val="006E1573"/>
    <w:rsid w:val="006E1E6A"/>
    <w:rsid w:val="006E4001"/>
    <w:rsid w:val="006E5BC7"/>
    <w:rsid w:val="006E6749"/>
    <w:rsid w:val="006F075D"/>
    <w:rsid w:val="006F0AF9"/>
    <w:rsid w:val="006F1733"/>
    <w:rsid w:val="006F1ECE"/>
    <w:rsid w:val="006F37CC"/>
    <w:rsid w:val="006F4D44"/>
    <w:rsid w:val="006F4FC6"/>
    <w:rsid w:val="006F58A5"/>
    <w:rsid w:val="006F6E6D"/>
    <w:rsid w:val="006F794E"/>
    <w:rsid w:val="006F7A95"/>
    <w:rsid w:val="006F7D33"/>
    <w:rsid w:val="00700266"/>
    <w:rsid w:val="00700578"/>
    <w:rsid w:val="00701204"/>
    <w:rsid w:val="0070166B"/>
    <w:rsid w:val="0070240E"/>
    <w:rsid w:val="00703804"/>
    <w:rsid w:val="00705BA3"/>
    <w:rsid w:val="00710BBE"/>
    <w:rsid w:val="00710F2D"/>
    <w:rsid w:val="00711349"/>
    <w:rsid w:val="00712E56"/>
    <w:rsid w:val="007138CF"/>
    <w:rsid w:val="00715081"/>
    <w:rsid w:val="00715503"/>
    <w:rsid w:val="007155A4"/>
    <w:rsid w:val="00715631"/>
    <w:rsid w:val="0071625D"/>
    <w:rsid w:val="007169E9"/>
    <w:rsid w:val="00716B24"/>
    <w:rsid w:val="00717106"/>
    <w:rsid w:val="00717456"/>
    <w:rsid w:val="0072092B"/>
    <w:rsid w:val="007228DA"/>
    <w:rsid w:val="00722D6B"/>
    <w:rsid w:val="00723C5D"/>
    <w:rsid w:val="007242D9"/>
    <w:rsid w:val="00724DFC"/>
    <w:rsid w:val="00725781"/>
    <w:rsid w:val="007260B5"/>
    <w:rsid w:val="00731460"/>
    <w:rsid w:val="00731FCA"/>
    <w:rsid w:val="00733C90"/>
    <w:rsid w:val="00734204"/>
    <w:rsid w:val="00734E35"/>
    <w:rsid w:val="007355F2"/>
    <w:rsid w:val="00736547"/>
    <w:rsid w:val="007365D6"/>
    <w:rsid w:val="00736CD8"/>
    <w:rsid w:val="00736FEC"/>
    <w:rsid w:val="00737BF6"/>
    <w:rsid w:val="00740089"/>
    <w:rsid w:val="00740602"/>
    <w:rsid w:val="00740A52"/>
    <w:rsid w:val="0074120D"/>
    <w:rsid w:val="007414EB"/>
    <w:rsid w:val="0074199A"/>
    <w:rsid w:val="0074304F"/>
    <w:rsid w:val="00744ACE"/>
    <w:rsid w:val="00745318"/>
    <w:rsid w:val="00745790"/>
    <w:rsid w:val="00746223"/>
    <w:rsid w:val="00746C1A"/>
    <w:rsid w:val="0074744D"/>
    <w:rsid w:val="00750032"/>
    <w:rsid w:val="007509A1"/>
    <w:rsid w:val="007513F4"/>
    <w:rsid w:val="00751BFB"/>
    <w:rsid w:val="00752D6A"/>
    <w:rsid w:val="00753781"/>
    <w:rsid w:val="0075388B"/>
    <w:rsid w:val="00755928"/>
    <w:rsid w:val="007562B5"/>
    <w:rsid w:val="00756509"/>
    <w:rsid w:val="007574D4"/>
    <w:rsid w:val="0075761A"/>
    <w:rsid w:val="00760384"/>
    <w:rsid w:val="007604F2"/>
    <w:rsid w:val="007610B5"/>
    <w:rsid w:val="007612AB"/>
    <w:rsid w:val="0076206B"/>
    <w:rsid w:val="00762738"/>
    <w:rsid w:val="00763BAA"/>
    <w:rsid w:val="007642D4"/>
    <w:rsid w:val="00765369"/>
    <w:rsid w:val="007659CE"/>
    <w:rsid w:val="00765AD7"/>
    <w:rsid w:val="00767F4E"/>
    <w:rsid w:val="007731AF"/>
    <w:rsid w:val="0077531E"/>
    <w:rsid w:val="0077587B"/>
    <w:rsid w:val="00776D5C"/>
    <w:rsid w:val="00780762"/>
    <w:rsid w:val="0078154E"/>
    <w:rsid w:val="00781584"/>
    <w:rsid w:val="007824E9"/>
    <w:rsid w:val="00783014"/>
    <w:rsid w:val="0078336B"/>
    <w:rsid w:val="007833EE"/>
    <w:rsid w:val="00783BE1"/>
    <w:rsid w:val="00784A11"/>
    <w:rsid w:val="0078555C"/>
    <w:rsid w:val="007879D7"/>
    <w:rsid w:val="00787F27"/>
    <w:rsid w:val="0079029D"/>
    <w:rsid w:val="007911C4"/>
    <w:rsid w:val="007915C6"/>
    <w:rsid w:val="00792110"/>
    <w:rsid w:val="00792690"/>
    <w:rsid w:val="00793366"/>
    <w:rsid w:val="007937CD"/>
    <w:rsid w:val="00793D10"/>
    <w:rsid w:val="00794BFB"/>
    <w:rsid w:val="0079567B"/>
    <w:rsid w:val="00796735"/>
    <w:rsid w:val="007A1E7E"/>
    <w:rsid w:val="007A40B0"/>
    <w:rsid w:val="007A52DA"/>
    <w:rsid w:val="007A5F44"/>
    <w:rsid w:val="007A6123"/>
    <w:rsid w:val="007A67F7"/>
    <w:rsid w:val="007B0905"/>
    <w:rsid w:val="007B0F81"/>
    <w:rsid w:val="007B235C"/>
    <w:rsid w:val="007B2560"/>
    <w:rsid w:val="007B28BD"/>
    <w:rsid w:val="007B38DC"/>
    <w:rsid w:val="007B47C3"/>
    <w:rsid w:val="007B553F"/>
    <w:rsid w:val="007C06F9"/>
    <w:rsid w:val="007C070E"/>
    <w:rsid w:val="007C2867"/>
    <w:rsid w:val="007C2A9B"/>
    <w:rsid w:val="007C53DD"/>
    <w:rsid w:val="007C58B8"/>
    <w:rsid w:val="007C5AAB"/>
    <w:rsid w:val="007C6E44"/>
    <w:rsid w:val="007D0EBD"/>
    <w:rsid w:val="007D1631"/>
    <w:rsid w:val="007D4331"/>
    <w:rsid w:val="007D4E3E"/>
    <w:rsid w:val="007D4FE7"/>
    <w:rsid w:val="007D5DCB"/>
    <w:rsid w:val="007D668B"/>
    <w:rsid w:val="007D6AED"/>
    <w:rsid w:val="007E056C"/>
    <w:rsid w:val="007E3B79"/>
    <w:rsid w:val="007E3C24"/>
    <w:rsid w:val="007E3E67"/>
    <w:rsid w:val="007E46C4"/>
    <w:rsid w:val="007E62A0"/>
    <w:rsid w:val="007F0B40"/>
    <w:rsid w:val="007F31C9"/>
    <w:rsid w:val="007F47AC"/>
    <w:rsid w:val="007F5B00"/>
    <w:rsid w:val="007F5B11"/>
    <w:rsid w:val="007F5E10"/>
    <w:rsid w:val="008013B4"/>
    <w:rsid w:val="00801944"/>
    <w:rsid w:val="00802324"/>
    <w:rsid w:val="0080236A"/>
    <w:rsid w:val="00803B6B"/>
    <w:rsid w:val="008047B5"/>
    <w:rsid w:val="00805102"/>
    <w:rsid w:val="00805C9F"/>
    <w:rsid w:val="00806473"/>
    <w:rsid w:val="008112E8"/>
    <w:rsid w:val="00811D23"/>
    <w:rsid w:val="00811FC2"/>
    <w:rsid w:val="008123E2"/>
    <w:rsid w:val="008154B9"/>
    <w:rsid w:val="00815EB8"/>
    <w:rsid w:val="00815EE8"/>
    <w:rsid w:val="00815FB7"/>
    <w:rsid w:val="0081675A"/>
    <w:rsid w:val="0081712E"/>
    <w:rsid w:val="008208DC"/>
    <w:rsid w:val="00821719"/>
    <w:rsid w:val="00822A8F"/>
    <w:rsid w:val="00822FF3"/>
    <w:rsid w:val="008265A5"/>
    <w:rsid w:val="00831350"/>
    <w:rsid w:val="0083312A"/>
    <w:rsid w:val="008332F7"/>
    <w:rsid w:val="008334D5"/>
    <w:rsid w:val="008341B7"/>
    <w:rsid w:val="00834AC0"/>
    <w:rsid w:val="00834E27"/>
    <w:rsid w:val="00836F21"/>
    <w:rsid w:val="00836FB8"/>
    <w:rsid w:val="00837073"/>
    <w:rsid w:val="00837279"/>
    <w:rsid w:val="00841060"/>
    <w:rsid w:val="008410FF"/>
    <w:rsid w:val="0084496D"/>
    <w:rsid w:val="00845ADE"/>
    <w:rsid w:val="00846190"/>
    <w:rsid w:val="008468BD"/>
    <w:rsid w:val="008476A9"/>
    <w:rsid w:val="00850769"/>
    <w:rsid w:val="00851077"/>
    <w:rsid w:val="008510C7"/>
    <w:rsid w:val="0085206A"/>
    <w:rsid w:val="0085210A"/>
    <w:rsid w:val="00853A7A"/>
    <w:rsid w:val="00857737"/>
    <w:rsid w:val="008607EC"/>
    <w:rsid w:val="00863579"/>
    <w:rsid w:val="0086367B"/>
    <w:rsid w:val="008642EA"/>
    <w:rsid w:val="00864955"/>
    <w:rsid w:val="008652ED"/>
    <w:rsid w:val="008666CB"/>
    <w:rsid w:val="0086703D"/>
    <w:rsid w:val="008717E1"/>
    <w:rsid w:val="00871ECD"/>
    <w:rsid w:val="008720FE"/>
    <w:rsid w:val="00872272"/>
    <w:rsid w:val="00873440"/>
    <w:rsid w:val="00873895"/>
    <w:rsid w:val="00873FCB"/>
    <w:rsid w:val="00874BBC"/>
    <w:rsid w:val="008758B6"/>
    <w:rsid w:val="008778B5"/>
    <w:rsid w:val="00877B06"/>
    <w:rsid w:val="00880E67"/>
    <w:rsid w:val="00883BD4"/>
    <w:rsid w:val="0088438C"/>
    <w:rsid w:val="00884484"/>
    <w:rsid w:val="00885C2D"/>
    <w:rsid w:val="00887EE5"/>
    <w:rsid w:val="0089221A"/>
    <w:rsid w:val="008928A3"/>
    <w:rsid w:val="00892B6E"/>
    <w:rsid w:val="008952FC"/>
    <w:rsid w:val="008954A8"/>
    <w:rsid w:val="0089583B"/>
    <w:rsid w:val="00895CF3"/>
    <w:rsid w:val="00896DCE"/>
    <w:rsid w:val="008A06E6"/>
    <w:rsid w:val="008A099C"/>
    <w:rsid w:val="008A1404"/>
    <w:rsid w:val="008A19E2"/>
    <w:rsid w:val="008A1AD8"/>
    <w:rsid w:val="008A1CFD"/>
    <w:rsid w:val="008A4F88"/>
    <w:rsid w:val="008A7E6F"/>
    <w:rsid w:val="008B0F53"/>
    <w:rsid w:val="008B121F"/>
    <w:rsid w:val="008B3BFA"/>
    <w:rsid w:val="008B427C"/>
    <w:rsid w:val="008B4577"/>
    <w:rsid w:val="008B4B1E"/>
    <w:rsid w:val="008B4C40"/>
    <w:rsid w:val="008B52A1"/>
    <w:rsid w:val="008B6A31"/>
    <w:rsid w:val="008B7030"/>
    <w:rsid w:val="008C05B2"/>
    <w:rsid w:val="008C06E0"/>
    <w:rsid w:val="008C11DB"/>
    <w:rsid w:val="008C3B21"/>
    <w:rsid w:val="008C3B2C"/>
    <w:rsid w:val="008C5725"/>
    <w:rsid w:val="008C6A2A"/>
    <w:rsid w:val="008C78A0"/>
    <w:rsid w:val="008C7EA1"/>
    <w:rsid w:val="008D0C7F"/>
    <w:rsid w:val="008D2786"/>
    <w:rsid w:val="008D2A50"/>
    <w:rsid w:val="008D49F9"/>
    <w:rsid w:val="008D5802"/>
    <w:rsid w:val="008D6D94"/>
    <w:rsid w:val="008E0D58"/>
    <w:rsid w:val="008E11F5"/>
    <w:rsid w:val="008E1ADB"/>
    <w:rsid w:val="008E3E2F"/>
    <w:rsid w:val="008E4A7D"/>
    <w:rsid w:val="008E4C12"/>
    <w:rsid w:val="008E5E4B"/>
    <w:rsid w:val="008E7465"/>
    <w:rsid w:val="008F024A"/>
    <w:rsid w:val="008F0FD9"/>
    <w:rsid w:val="008F16B6"/>
    <w:rsid w:val="008F181D"/>
    <w:rsid w:val="008F223E"/>
    <w:rsid w:val="008F2DEF"/>
    <w:rsid w:val="008F4098"/>
    <w:rsid w:val="008F410E"/>
    <w:rsid w:val="008F506B"/>
    <w:rsid w:val="008F539A"/>
    <w:rsid w:val="008F6587"/>
    <w:rsid w:val="008F7205"/>
    <w:rsid w:val="008F7B64"/>
    <w:rsid w:val="008F7C0A"/>
    <w:rsid w:val="00900CD4"/>
    <w:rsid w:val="009036A3"/>
    <w:rsid w:val="00906D67"/>
    <w:rsid w:val="00907C2C"/>
    <w:rsid w:val="009108D8"/>
    <w:rsid w:val="0091314E"/>
    <w:rsid w:val="0092002B"/>
    <w:rsid w:val="00920A07"/>
    <w:rsid w:val="00921F6F"/>
    <w:rsid w:val="009232C1"/>
    <w:rsid w:val="009236BC"/>
    <w:rsid w:val="00925F9A"/>
    <w:rsid w:val="009268D4"/>
    <w:rsid w:val="0092787F"/>
    <w:rsid w:val="0092796A"/>
    <w:rsid w:val="00927E5E"/>
    <w:rsid w:val="009325AB"/>
    <w:rsid w:val="00933707"/>
    <w:rsid w:val="009370B3"/>
    <w:rsid w:val="009372B5"/>
    <w:rsid w:val="00937C23"/>
    <w:rsid w:val="00940368"/>
    <w:rsid w:val="0094050D"/>
    <w:rsid w:val="00940C98"/>
    <w:rsid w:val="00942148"/>
    <w:rsid w:val="00944279"/>
    <w:rsid w:val="009453FA"/>
    <w:rsid w:val="00947453"/>
    <w:rsid w:val="00947B88"/>
    <w:rsid w:val="009521EF"/>
    <w:rsid w:val="00952494"/>
    <w:rsid w:val="009524B5"/>
    <w:rsid w:val="009529D7"/>
    <w:rsid w:val="00952EC1"/>
    <w:rsid w:val="00953E4D"/>
    <w:rsid w:val="00954045"/>
    <w:rsid w:val="00954180"/>
    <w:rsid w:val="009541F5"/>
    <w:rsid w:val="009567E0"/>
    <w:rsid w:val="00956C4F"/>
    <w:rsid w:val="00957534"/>
    <w:rsid w:val="00957FA2"/>
    <w:rsid w:val="009606A4"/>
    <w:rsid w:val="009606AB"/>
    <w:rsid w:val="00960974"/>
    <w:rsid w:val="00960C7E"/>
    <w:rsid w:val="00961123"/>
    <w:rsid w:val="00962428"/>
    <w:rsid w:val="00963AD1"/>
    <w:rsid w:val="009658AF"/>
    <w:rsid w:val="00967411"/>
    <w:rsid w:val="00970439"/>
    <w:rsid w:val="0097147C"/>
    <w:rsid w:val="009715E1"/>
    <w:rsid w:val="00971B60"/>
    <w:rsid w:val="0097230A"/>
    <w:rsid w:val="009748D0"/>
    <w:rsid w:val="009753E3"/>
    <w:rsid w:val="009758F4"/>
    <w:rsid w:val="00977C64"/>
    <w:rsid w:val="009809C9"/>
    <w:rsid w:val="009813B5"/>
    <w:rsid w:val="00981600"/>
    <w:rsid w:val="0098282E"/>
    <w:rsid w:val="009831FD"/>
    <w:rsid w:val="00983873"/>
    <w:rsid w:val="00984663"/>
    <w:rsid w:val="00985907"/>
    <w:rsid w:val="00985B75"/>
    <w:rsid w:val="00990172"/>
    <w:rsid w:val="00990374"/>
    <w:rsid w:val="009916A4"/>
    <w:rsid w:val="00992AAE"/>
    <w:rsid w:val="00992C4C"/>
    <w:rsid w:val="0099464C"/>
    <w:rsid w:val="00996064"/>
    <w:rsid w:val="009965C8"/>
    <w:rsid w:val="009A0C18"/>
    <w:rsid w:val="009A430F"/>
    <w:rsid w:val="009A549D"/>
    <w:rsid w:val="009A64C5"/>
    <w:rsid w:val="009A6D19"/>
    <w:rsid w:val="009A7363"/>
    <w:rsid w:val="009A7C0D"/>
    <w:rsid w:val="009A7CF1"/>
    <w:rsid w:val="009B0A9A"/>
    <w:rsid w:val="009B0C4A"/>
    <w:rsid w:val="009B2F5E"/>
    <w:rsid w:val="009B32E9"/>
    <w:rsid w:val="009B36CB"/>
    <w:rsid w:val="009B38C9"/>
    <w:rsid w:val="009B4FFF"/>
    <w:rsid w:val="009B525D"/>
    <w:rsid w:val="009B5A79"/>
    <w:rsid w:val="009C0C49"/>
    <w:rsid w:val="009C0EB7"/>
    <w:rsid w:val="009C46EB"/>
    <w:rsid w:val="009C5387"/>
    <w:rsid w:val="009C6AC5"/>
    <w:rsid w:val="009D27B5"/>
    <w:rsid w:val="009D3DBA"/>
    <w:rsid w:val="009D5222"/>
    <w:rsid w:val="009D631C"/>
    <w:rsid w:val="009D6B64"/>
    <w:rsid w:val="009E062B"/>
    <w:rsid w:val="009E0979"/>
    <w:rsid w:val="009E1930"/>
    <w:rsid w:val="009E3C72"/>
    <w:rsid w:val="009E3DB6"/>
    <w:rsid w:val="009E4393"/>
    <w:rsid w:val="009E543E"/>
    <w:rsid w:val="009E54C9"/>
    <w:rsid w:val="009E67B2"/>
    <w:rsid w:val="009F1940"/>
    <w:rsid w:val="009F23DC"/>
    <w:rsid w:val="009F27DC"/>
    <w:rsid w:val="009F31B5"/>
    <w:rsid w:val="009F3581"/>
    <w:rsid w:val="009F3ED4"/>
    <w:rsid w:val="009F3F4C"/>
    <w:rsid w:val="009F67CD"/>
    <w:rsid w:val="009F6FF6"/>
    <w:rsid w:val="00A0232B"/>
    <w:rsid w:val="00A037C0"/>
    <w:rsid w:val="00A05292"/>
    <w:rsid w:val="00A111FA"/>
    <w:rsid w:val="00A11BFF"/>
    <w:rsid w:val="00A12298"/>
    <w:rsid w:val="00A141EB"/>
    <w:rsid w:val="00A16AD3"/>
    <w:rsid w:val="00A16AFB"/>
    <w:rsid w:val="00A20FC5"/>
    <w:rsid w:val="00A214E2"/>
    <w:rsid w:val="00A21891"/>
    <w:rsid w:val="00A21C5A"/>
    <w:rsid w:val="00A22C49"/>
    <w:rsid w:val="00A24B54"/>
    <w:rsid w:val="00A26433"/>
    <w:rsid w:val="00A279C3"/>
    <w:rsid w:val="00A317B1"/>
    <w:rsid w:val="00A34F2A"/>
    <w:rsid w:val="00A35272"/>
    <w:rsid w:val="00A35760"/>
    <w:rsid w:val="00A3703D"/>
    <w:rsid w:val="00A40E06"/>
    <w:rsid w:val="00A42681"/>
    <w:rsid w:val="00A42F06"/>
    <w:rsid w:val="00A44937"/>
    <w:rsid w:val="00A44A3D"/>
    <w:rsid w:val="00A45462"/>
    <w:rsid w:val="00A474B0"/>
    <w:rsid w:val="00A4774A"/>
    <w:rsid w:val="00A501AB"/>
    <w:rsid w:val="00A50744"/>
    <w:rsid w:val="00A50BC9"/>
    <w:rsid w:val="00A50CE8"/>
    <w:rsid w:val="00A51CA5"/>
    <w:rsid w:val="00A5248A"/>
    <w:rsid w:val="00A52F3D"/>
    <w:rsid w:val="00A54A07"/>
    <w:rsid w:val="00A54C2D"/>
    <w:rsid w:val="00A55DA1"/>
    <w:rsid w:val="00A56833"/>
    <w:rsid w:val="00A6005F"/>
    <w:rsid w:val="00A6171E"/>
    <w:rsid w:val="00A61B6A"/>
    <w:rsid w:val="00A6305A"/>
    <w:rsid w:val="00A64CF6"/>
    <w:rsid w:val="00A65F4D"/>
    <w:rsid w:val="00A707B9"/>
    <w:rsid w:val="00A70944"/>
    <w:rsid w:val="00A7192D"/>
    <w:rsid w:val="00A71BF4"/>
    <w:rsid w:val="00A71EA4"/>
    <w:rsid w:val="00A730D6"/>
    <w:rsid w:val="00A731BB"/>
    <w:rsid w:val="00A757D2"/>
    <w:rsid w:val="00A75BD1"/>
    <w:rsid w:val="00A75C7A"/>
    <w:rsid w:val="00A75F02"/>
    <w:rsid w:val="00A76909"/>
    <w:rsid w:val="00A76F3A"/>
    <w:rsid w:val="00A81ACA"/>
    <w:rsid w:val="00A82049"/>
    <w:rsid w:val="00A83970"/>
    <w:rsid w:val="00A84C11"/>
    <w:rsid w:val="00A856F8"/>
    <w:rsid w:val="00A85DF3"/>
    <w:rsid w:val="00A86109"/>
    <w:rsid w:val="00A86603"/>
    <w:rsid w:val="00A8799A"/>
    <w:rsid w:val="00A90318"/>
    <w:rsid w:val="00A906EB"/>
    <w:rsid w:val="00A9217C"/>
    <w:rsid w:val="00A9261D"/>
    <w:rsid w:val="00A93281"/>
    <w:rsid w:val="00A93BE9"/>
    <w:rsid w:val="00A95DC9"/>
    <w:rsid w:val="00A963FC"/>
    <w:rsid w:val="00A96A89"/>
    <w:rsid w:val="00A96EEE"/>
    <w:rsid w:val="00A9783B"/>
    <w:rsid w:val="00AA02C3"/>
    <w:rsid w:val="00AA03C1"/>
    <w:rsid w:val="00AA0DE1"/>
    <w:rsid w:val="00AA1FAC"/>
    <w:rsid w:val="00AA25C9"/>
    <w:rsid w:val="00AA5186"/>
    <w:rsid w:val="00AA5D66"/>
    <w:rsid w:val="00AA5FCA"/>
    <w:rsid w:val="00AA60A7"/>
    <w:rsid w:val="00AA740C"/>
    <w:rsid w:val="00AB2624"/>
    <w:rsid w:val="00AB270B"/>
    <w:rsid w:val="00AB5468"/>
    <w:rsid w:val="00AB603D"/>
    <w:rsid w:val="00AB6B7D"/>
    <w:rsid w:val="00AC1686"/>
    <w:rsid w:val="00AC1AF5"/>
    <w:rsid w:val="00AC446E"/>
    <w:rsid w:val="00AC4E13"/>
    <w:rsid w:val="00AC6E9E"/>
    <w:rsid w:val="00AC752F"/>
    <w:rsid w:val="00AD0168"/>
    <w:rsid w:val="00AD0A81"/>
    <w:rsid w:val="00AD1D0F"/>
    <w:rsid w:val="00AD3AF0"/>
    <w:rsid w:val="00AD666A"/>
    <w:rsid w:val="00AD7730"/>
    <w:rsid w:val="00AD7DDE"/>
    <w:rsid w:val="00AD7E5B"/>
    <w:rsid w:val="00AE0554"/>
    <w:rsid w:val="00AE0AC7"/>
    <w:rsid w:val="00AE50D8"/>
    <w:rsid w:val="00AE58EF"/>
    <w:rsid w:val="00AE63F8"/>
    <w:rsid w:val="00AF2B04"/>
    <w:rsid w:val="00AF330A"/>
    <w:rsid w:val="00AF41F6"/>
    <w:rsid w:val="00AF5010"/>
    <w:rsid w:val="00AF588D"/>
    <w:rsid w:val="00AF590A"/>
    <w:rsid w:val="00AF5D08"/>
    <w:rsid w:val="00AF692A"/>
    <w:rsid w:val="00B00CCF"/>
    <w:rsid w:val="00B01567"/>
    <w:rsid w:val="00B019FE"/>
    <w:rsid w:val="00B031A1"/>
    <w:rsid w:val="00B031B3"/>
    <w:rsid w:val="00B03DB1"/>
    <w:rsid w:val="00B04A0E"/>
    <w:rsid w:val="00B053B8"/>
    <w:rsid w:val="00B05B09"/>
    <w:rsid w:val="00B073E5"/>
    <w:rsid w:val="00B07E93"/>
    <w:rsid w:val="00B10A8B"/>
    <w:rsid w:val="00B1231B"/>
    <w:rsid w:val="00B12AEE"/>
    <w:rsid w:val="00B1377A"/>
    <w:rsid w:val="00B17010"/>
    <w:rsid w:val="00B17D38"/>
    <w:rsid w:val="00B17DC1"/>
    <w:rsid w:val="00B20C4F"/>
    <w:rsid w:val="00B20C98"/>
    <w:rsid w:val="00B20DE1"/>
    <w:rsid w:val="00B222E2"/>
    <w:rsid w:val="00B22C29"/>
    <w:rsid w:val="00B22CDC"/>
    <w:rsid w:val="00B24DDD"/>
    <w:rsid w:val="00B251DB"/>
    <w:rsid w:val="00B2539B"/>
    <w:rsid w:val="00B253D6"/>
    <w:rsid w:val="00B2596D"/>
    <w:rsid w:val="00B260E3"/>
    <w:rsid w:val="00B26C25"/>
    <w:rsid w:val="00B27590"/>
    <w:rsid w:val="00B27A30"/>
    <w:rsid w:val="00B306FE"/>
    <w:rsid w:val="00B308E2"/>
    <w:rsid w:val="00B30E26"/>
    <w:rsid w:val="00B31CCB"/>
    <w:rsid w:val="00B35C0C"/>
    <w:rsid w:val="00B361D9"/>
    <w:rsid w:val="00B364A1"/>
    <w:rsid w:val="00B3674A"/>
    <w:rsid w:val="00B36BF9"/>
    <w:rsid w:val="00B375A6"/>
    <w:rsid w:val="00B41D76"/>
    <w:rsid w:val="00B428B4"/>
    <w:rsid w:val="00B450D4"/>
    <w:rsid w:val="00B461E8"/>
    <w:rsid w:val="00B46A09"/>
    <w:rsid w:val="00B46AD3"/>
    <w:rsid w:val="00B46EAA"/>
    <w:rsid w:val="00B47160"/>
    <w:rsid w:val="00B4718B"/>
    <w:rsid w:val="00B51615"/>
    <w:rsid w:val="00B5445D"/>
    <w:rsid w:val="00B54F72"/>
    <w:rsid w:val="00B559E8"/>
    <w:rsid w:val="00B56626"/>
    <w:rsid w:val="00B5685D"/>
    <w:rsid w:val="00B572F3"/>
    <w:rsid w:val="00B612BA"/>
    <w:rsid w:val="00B62D58"/>
    <w:rsid w:val="00B63257"/>
    <w:rsid w:val="00B636C1"/>
    <w:rsid w:val="00B63A76"/>
    <w:rsid w:val="00B63E59"/>
    <w:rsid w:val="00B656F3"/>
    <w:rsid w:val="00B661B6"/>
    <w:rsid w:val="00B661EA"/>
    <w:rsid w:val="00B727A8"/>
    <w:rsid w:val="00B72E38"/>
    <w:rsid w:val="00B744CA"/>
    <w:rsid w:val="00B75F4C"/>
    <w:rsid w:val="00B76057"/>
    <w:rsid w:val="00B7797D"/>
    <w:rsid w:val="00B80F21"/>
    <w:rsid w:val="00B81AD6"/>
    <w:rsid w:val="00B83A6E"/>
    <w:rsid w:val="00B8405B"/>
    <w:rsid w:val="00B865A2"/>
    <w:rsid w:val="00B875BB"/>
    <w:rsid w:val="00B92042"/>
    <w:rsid w:val="00B929ED"/>
    <w:rsid w:val="00B931CF"/>
    <w:rsid w:val="00B93E78"/>
    <w:rsid w:val="00B93EE5"/>
    <w:rsid w:val="00B93FB0"/>
    <w:rsid w:val="00B94086"/>
    <w:rsid w:val="00B94509"/>
    <w:rsid w:val="00B9525E"/>
    <w:rsid w:val="00B95452"/>
    <w:rsid w:val="00B958DB"/>
    <w:rsid w:val="00B96459"/>
    <w:rsid w:val="00B969ED"/>
    <w:rsid w:val="00BA0B0B"/>
    <w:rsid w:val="00BA1ADA"/>
    <w:rsid w:val="00BA1BDF"/>
    <w:rsid w:val="00BA481B"/>
    <w:rsid w:val="00BA59BD"/>
    <w:rsid w:val="00BA5A5B"/>
    <w:rsid w:val="00BB00DE"/>
    <w:rsid w:val="00BB0AC3"/>
    <w:rsid w:val="00BB27CE"/>
    <w:rsid w:val="00BB38E9"/>
    <w:rsid w:val="00BB3AF2"/>
    <w:rsid w:val="00BB545E"/>
    <w:rsid w:val="00BB6DA9"/>
    <w:rsid w:val="00BB724E"/>
    <w:rsid w:val="00BB77CB"/>
    <w:rsid w:val="00BB7A52"/>
    <w:rsid w:val="00BB7EEA"/>
    <w:rsid w:val="00BC0AD3"/>
    <w:rsid w:val="00BC0FD6"/>
    <w:rsid w:val="00BC14BB"/>
    <w:rsid w:val="00BC173C"/>
    <w:rsid w:val="00BC17BD"/>
    <w:rsid w:val="00BC2787"/>
    <w:rsid w:val="00BC4D9C"/>
    <w:rsid w:val="00BC6865"/>
    <w:rsid w:val="00BC78BD"/>
    <w:rsid w:val="00BD0252"/>
    <w:rsid w:val="00BD0912"/>
    <w:rsid w:val="00BD0F8A"/>
    <w:rsid w:val="00BD30E1"/>
    <w:rsid w:val="00BD3781"/>
    <w:rsid w:val="00BE0178"/>
    <w:rsid w:val="00BE1D64"/>
    <w:rsid w:val="00BE3193"/>
    <w:rsid w:val="00BE693E"/>
    <w:rsid w:val="00BE6991"/>
    <w:rsid w:val="00BE6EEA"/>
    <w:rsid w:val="00BE70D1"/>
    <w:rsid w:val="00BE7F84"/>
    <w:rsid w:val="00BF037D"/>
    <w:rsid w:val="00BF179E"/>
    <w:rsid w:val="00BF3B38"/>
    <w:rsid w:val="00BF45F9"/>
    <w:rsid w:val="00BF5B68"/>
    <w:rsid w:val="00BF6665"/>
    <w:rsid w:val="00BF775A"/>
    <w:rsid w:val="00BF79D1"/>
    <w:rsid w:val="00BF7F72"/>
    <w:rsid w:val="00C0097C"/>
    <w:rsid w:val="00C03B6C"/>
    <w:rsid w:val="00C046C3"/>
    <w:rsid w:val="00C06384"/>
    <w:rsid w:val="00C06C6D"/>
    <w:rsid w:val="00C07577"/>
    <w:rsid w:val="00C1023B"/>
    <w:rsid w:val="00C10A31"/>
    <w:rsid w:val="00C1224E"/>
    <w:rsid w:val="00C1413C"/>
    <w:rsid w:val="00C1537D"/>
    <w:rsid w:val="00C15881"/>
    <w:rsid w:val="00C16306"/>
    <w:rsid w:val="00C17B56"/>
    <w:rsid w:val="00C20203"/>
    <w:rsid w:val="00C2049D"/>
    <w:rsid w:val="00C20DB5"/>
    <w:rsid w:val="00C22D61"/>
    <w:rsid w:val="00C22FC1"/>
    <w:rsid w:val="00C2712D"/>
    <w:rsid w:val="00C27EB3"/>
    <w:rsid w:val="00C30150"/>
    <w:rsid w:val="00C302DC"/>
    <w:rsid w:val="00C30E0B"/>
    <w:rsid w:val="00C31CED"/>
    <w:rsid w:val="00C3218B"/>
    <w:rsid w:val="00C32FBF"/>
    <w:rsid w:val="00C332B9"/>
    <w:rsid w:val="00C336AF"/>
    <w:rsid w:val="00C34329"/>
    <w:rsid w:val="00C34766"/>
    <w:rsid w:val="00C34D22"/>
    <w:rsid w:val="00C35D6C"/>
    <w:rsid w:val="00C35DC2"/>
    <w:rsid w:val="00C36FE4"/>
    <w:rsid w:val="00C3789F"/>
    <w:rsid w:val="00C40346"/>
    <w:rsid w:val="00C4106E"/>
    <w:rsid w:val="00C4139C"/>
    <w:rsid w:val="00C41903"/>
    <w:rsid w:val="00C4220F"/>
    <w:rsid w:val="00C46B77"/>
    <w:rsid w:val="00C46F49"/>
    <w:rsid w:val="00C47B42"/>
    <w:rsid w:val="00C50DEB"/>
    <w:rsid w:val="00C51D5F"/>
    <w:rsid w:val="00C52731"/>
    <w:rsid w:val="00C533EA"/>
    <w:rsid w:val="00C53E7D"/>
    <w:rsid w:val="00C540A0"/>
    <w:rsid w:val="00C54250"/>
    <w:rsid w:val="00C54A2A"/>
    <w:rsid w:val="00C55162"/>
    <w:rsid w:val="00C55319"/>
    <w:rsid w:val="00C56489"/>
    <w:rsid w:val="00C567BC"/>
    <w:rsid w:val="00C57829"/>
    <w:rsid w:val="00C61816"/>
    <w:rsid w:val="00C62193"/>
    <w:rsid w:val="00C629B2"/>
    <w:rsid w:val="00C62ABB"/>
    <w:rsid w:val="00C6307F"/>
    <w:rsid w:val="00C63562"/>
    <w:rsid w:val="00C64742"/>
    <w:rsid w:val="00C654C6"/>
    <w:rsid w:val="00C6562A"/>
    <w:rsid w:val="00C70276"/>
    <w:rsid w:val="00C702DF"/>
    <w:rsid w:val="00C71B94"/>
    <w:rsid w:val="00C7380D"/>
    <w:rsid w:val="00C7464D"/>
    <w:rsid w:val="00C751E3"/>
    <w:rsid w:val="00C75D91"/>
    <w:rsid w:val="00C76753"/>
    <w:rsid w:val="00C774A8"/>
    <w:rsid w:val="00C81F4B"/>
    <w:rsid w:val="00C82B2B"/>
    <w:rsid w:val="00C82BB7"/>
    <w:rsid w:val="00C860B0"/>
    <w:rsid w:val="00C87156"/>
    <w:rsid w:val="00C874DC"/>
    <w:rsid w:val="00C87E16"/>
    <w:rsid w:val="00C91AFF"/>
    <w:rsid w:val="00C92192"/>
    <w:rsid w:val="00C92679"/>
    <w:rsid w:val="00C9274D"/>
    <w:rsid w:val="00C92D48"/>
    <w:rsid w:val="00C93524"/>
    <w:rsid w:val="00C943DF"/>
    <w:rsid w:val="00C94689"/>
    <w:rsid w:val="00C9473C"/>
    <w:rsid w:val="00C94DE2"/>
    <w:rsid w:val="00C96F35"/>
    <w:rsid w:val="00C97D4A"/>
    <w:rsid w:val="00CA072C"/>
    <w:rsid w:val="00CA09B1"/>
    <w:rsid w:val="00CA0D75"/>
    <w:rsid w:val="00CA1210"/>
    <w:rsid w:val="00CA1E69"/>
    <w:rsid w:val="00CA2035"/>
    <w:rsid w:val="00CA309F"/>
    <w:rsid w:val="00CA557D"/>
    <w:rsid w:val="00CA56BA"/>
    <w:rsid w:val="00CA6899"/>
    <w:rsid w:val="00CB0062"/>
    <w:rsid w:val="00CB23D1"/>
    <w:rsid w:val="00CB5DB0"/>
    <w:rsid w:val="00CB65FB"/>
    <w:rsid w:val="00CB7499"/>
    <w:rsid w:val="00CC0C73"/>
    <w:rsid w:val="00CC1290"/>
    <w:rsid w:val="00CC12A6"/>
    <w:rsid w:val="00CC20B8"/>
    <w:rsid w:val="00CC22B1"/>
    <w:rsid w:val="00CC32AB"/>
    <w:rsid w:val="00CC5F88"/>
    <w:rsid w:val="00CC6769"/>
    <w:rsid w:val="00CC6E73"/>
    <w:rsid w:val="00CC7339"/>
    <w:rsid w:val="00CD008D"/>
    <w:rsid w:val="00CD00BE"/>
    <w:rsid w:val="00CD07A9"/>
    <w:rsid w:val="00CD146A"/>
    <w:rsid w:val="00CD19FE"/>
    <w:rsid w:val="00CD2960"/>
    <w:rsid w:val="00CD2A61"/>
    <w:rsid w:val="00CD3096"/>
    <w:rsid w:val="00CD7EE6"/>
    <w:rsid w:val="00CE0F1A"/>
    <w:rsid w:val="00CE13E8"/>
    <w:rsid w:val="00CE1480"/>
    <w:rsid w:val="00CE15DF"/>
    <w:rsid w:val="00CE359E"/>
    <w:rsid w:val="00CE490E"/>
    <w:rsid w:val="00CE5C22"/>
    <w:rsid w:val="00CE5CA3"/>
    <w:rsid w:val="00CE7465"/>
    <w:rsid w:val="00CF0DD9"/>
    <w:rsid w:val="00CF0E1A"/>
    <w:rsid w:val="00CF1178"/>
    <w:rsid w:val="00CF2D7A"/>
    <w:rsid w:val="00CF3A4E"/>
    <w:rsid w:val="00CF3AE5"/>
    <w:rsid w:val="00CF6B84"/>
    <w:rsid w:val="00CF7C98"/>
    <w:rsid w:val="00D006AD"/>
    <w:rsid w:val="00D01BC6"/>
    <w:rsid w:val="00D02BD4"/>
    <w:rsid w:val="00D02FED"/>
    <w:rsid w:val="00D04652"/>
    <w:rsid w:val="00D05338"/>
    <w:rsid w:val="00D054C8"/>
    <w:rsid w:val="00D059E6"/>
    <w:rsid w:val="00D06196"/>
    <w:rsid w:val="00D06CBF"/>
    <w:rsid w:val="00D10026"/>
    <w:rsid w:val="00D1079C"/>
    <w:rsid w:val="00D123BA"/>
    <w:rsid w:val="00D126D2"/>
    <w:rsid w:val="00D12824"/>
    <w:rsid w:val="00D129F0"/>
    <w:rsid w:val="00D14658"/>
    <w:rsid w:val="00D14F2D"/>
    <w:rsid w:val="00D15364"/>
    <w:rsid w:val="00D15531"/>
    <w:rsid w:val="00D15BF9"/>
    <w:rsid w:val="00D15F89"/>
    <w:rsid w:val="00D16D82"/>
    <w:rsid w:val="00D202AB"/>
    <w:rsid w:val="00D206BB"/>
    <w:rsid w:val="00D20F39"/>
    <w:rsid w:val="00D21444"/>
    <w:rsid w:val="00D21F55"/>
    <w:rsid w:val="00D220CF"/>
    <w:rsid w:val="00D221C4"/>
    <w:rsid w:val="00D222EB"/>
    <w:rsid w:val="00D22554"/>
    <w:rsid w:val="00D2451E"/>
    <w:rsid w:val="00D261A7"/>
    <w:rsid w:val="00D27609"/>
    <w:rsid w:val="00D27E4C"/>
    <w:rsid w:val="00D30ABE"/>
    <w:rsid w:val="00D30BCC"/>
    <w:rsid w:val="00D30ECB"/>
    <w:rsid w:val="00D31CE7"/>
    <w:rsid w:val="00D31D8E"/>
    <w:rsid w:val="00D33903"/>
    <w:rsid w:val="00D37B24"/>
    <w:rsid w:val="00D41952"/>
    <w:rsid w:val="00D41CF6"/>
    <w:rsid w:val="00D42152"/>
    <w:rsid w:val="00D422A0"/>
    <w:rsid w:val="00D42331"/>
    <w:rsid w:val="00D42D8C"/>
    <w:rsid w:val="00D43170"/>
    <w:rsid w:val="00D44096"/>
    <w:rsid w:val="00D44C20"/>
    <w:rsid w:val="00D44EA7"/>
    <w:rsid w:val="00D455D4"/>
    <w:rsid w:val="00D461B8"/>
    <w:rsid w:val="00D51E68"/>
    <w:rsid w:val="00D5239F"/>
    <w:rsid w:val="00D53125"/>
    <w:rsid w:val="00D54242"/>
    <w:rsid w:val="00D55288"/>
    <w:rsid w:val="00D55379"/>
    <w:rsid w:val="00D563B2"/>
    <w:rsid w:val="00D56CF1"/>
    <w:rsid w:val="00D57AD3"/>
    <w:rsid w:val="00D60C37"/>
    <w:rsid w:val="00D61900"/>
    <w:rsid w:val="00D61C20"/>
    <w:rsid w:val="00D62215"/>
    <w:rsid w:val="00D648CF"/>
    <w:rsid w:val="00D6665B"/>
    <w:rsid w:val="00D67540"/>
    <w:rsid w:val="00D67906"/>
    <w:rsid w:val="00D70A2C"/>
    <w:rsid w:val="00D7146E"/>
    <w:rsid w:val="00D715EE"/>
    <w:rsid w:val="00D7173C"/>
    <w:rsid w:val="00D71857"/>
    <w:rsid w:val="00D72117"/>
    <w:rsid w:val="00D731F2"/>
    <w:rsid w:val="00D73210"/>
    <w:rsid w:val="00D733DE"/>
    <w:rsid w:val="00D737AA"/>
    <w:rsid w:val="00D74847"/>
    <w:rsid w:val="00D761C2"/>
    <w:rsid w:val="00D812CF"/>
    <w:rsid w:val="00D815FE"/>
    <w:rsid w:val="00D81B7C"/>
    <w:rsid w:val="00D824FD"/>
    <w:rsid w:val="00D827BC"/>
    <w:rsid w:val="00D82BA6"/>
    <w:rsid w:val="00D840FF"/>
    <w:rsid w:val="00D84158"/>
    <w:rsid w:val="00D841E9"/>
    <w:rsid w:val="00D84D9E"/>
    <w:rsid w:val="00D857B6"/>
    <w:rsid w:val="00D85BDE"/>
    <w:rsid w:val="00D86836"/>
    <w:rsid w:val="00D86AC3"/>
    <w:rsid w:val="00D900EF"/>
    <w:rsid w:val="00D92DE0"/>
    <w:rsid w:val="00D9351D"/>
    <w:rsid w:val="00D9382C"/>
    <w:rsid w:val="00D94C6E"/>
    <w:rsid w:val="00D94DB9"/>
    <w:rsid w:val="00D95694"/>
    <w:rsid w:val="00D96384"/>
    <w:rsid w:val="00D964E1"/>
    <w:rsid w:val="00D96B79"/>
    <w:rsid w:val="00D973F2"/>
    <w:rsid w:val="00D97DD1"/>
    <w:rsid w:val="00DA05C2"/>
    <w:rsid w:val="00DA0A63"/>
    <w:rsid w:val="00DA28B1"/>
    <w:rsid w:val="00DA36BF"/>
    <w:rsid w:val="00DA3C76"/>
    <w:rsid w:val="00DA729B"/>
    <w:rsid w:val="00DA72EE"/>
    <w:rsid w:val="00DB0EA1"/>
    <w:rsid w:val="00DB0F41"/>
    <w:rsid w:val="00DB3221"/>
    <w:rsid w:val="00DB381E"/>
    <w:rsid w:val="00DB4138"/>
    <w:rsid w:val="00DB4193"/>
    <w:rsid w:val="00DB49E1"/>
    <w:rsid w:val="00DB6EE2"/>
    <w:rsid w:val="00DB76B3"/>
    <w:rsid w:val="00DC02CE"/>
    <w:rsid w:val="00DC1BB5"/>
    <w:rsid w:val="00DC484A"/>
    <w:rsid w:val="00DC569C"/>
    <w:rsid w:val="00DC604B"/>
    <w:rsid w:val="00DC6BD3"/>
    <w:rsid w:val="00DC7209"/>
    <w:rsid w:val="00DC7573"/>
    <w:rsid w:val="00DD3195"/>
    <w:rsid w:val="00DD4008"/>
    <w:rsid w:val="00DD4590"/>
    <w:rsid w:val="00DD45FF"/>
    <w:rsid w:val="00DD598C"/>
    <w:rsid w:val="00DD72C2"/>
    <w:rsid w:val="00DD7660"/>
    <w:rsid w:val="00DD7B2D"/>
    <w:rsid w:val="00DE128C"/>
    <w:rsid w:val="00DE1570"/>
    <w:rsid w:val="00DE1808"/>
    <w:rsid w:val="00DE30EC"/>
    <w:rsid w:val="00DE310E"/>
    <w:rsid w:val="00DE3138"/>
    <w:rsid w:val="00DE4318"/>
    <w:rsid w:val="00DE470A"/>
    <w:rsid w:val="00DE4D6A"/>
    <w:rsid w:val="00DE5406"/>
    <w:rsid w:val="00DE59CB"/>
    <w:rsid w:val="00DE5B39"/>
    <w:rsid w:val="00DE5C55"/>
    <w:rsid w:val="00DE6182"/>
    <w:rsid w:val="00DE6CA9"/>
    <w:rsid w:val="00DE76FA"/>
    <w:rsid w:val="00DE77FE"/>
    <w:rsid w:val="00DF0D09"/>
    <w:rsid w:val="00DF159E"/>
    <w:rsid w:val="00DF1CE0"/>
    <w:rsid w:val="00DF2A4F"/>
    <w:rsid w:val="00DF3370"/>
    <w:rsid w:val="00DF3A6A"/>
    <w:rsid w:val="00DF3E99"/>
    <w:rsid w:val="00DF49C9"/>
    <w:rsid w:val="00DF61FE"/>
    <w:rsid w:val="00DF6624"/>
    <w:rsid w:val="00DF6E2C"/>
    <w:rsid w:val="00DF6F53"/>
    <w:rsid w:val="00DF79E0"/>
    <w:rsid w:val="00E003E9"/>
    <w:rsid w:val="00E00B8F"/>
    <w:rsid w:val="00E013A4"/>
    <w:rsid w:val="00E01D7D"/>
    <w:rsid w:val="00E02F7D"/>
    <w:rsid w:val="00E03E75"/>
    <w:rsid w:val="00E03F52"/>
    <w:rsid w:val="00E05105"/>
    <w:rsid w:val="00E05116"/>
    <w:rsid w:val="00E07A31"/>
    <w:rsid w:val="00E07B15"/>
    <w:rsid w:val="00E07B65"/>
    <w:rsid w:val="00E07C43"/>
    <w:rsid w:val="00E10897"/>
    <w:rsid w:val="00E10FA8"/>
    <w:rsid w:val="00E11274"/>
    <w:rsid w:val="00E12905"/>
    <w:rsid w:val="00E1433F"/>
    <w:rsid w:val="00E14A01"/>
    <w:rsid w:val="00E16B35"/>
    <w:rsid w:val="00E17037"/>
    <w:rsid w:val="00E177FF"/>
    <w:rsid w:val="00E17B67"/>
    <w:rsid w:val="00E17EDB"/>
    <w:rsid w:val="00E204D8"/>
    <w:rsid w:val="00E20D8F"/>
    <w:rsid w:val="00E2363D"/>
    <w:rsid w:val="00E23D44"/>
    <w:rsid w:val="00E24AC9"/>
    <w:rsid w:val="00E26CE9"/>
    <w:rsid w:val="00E3027E"/>
    <w:rsid w:val="00E31326"/>
    <w:rsid w:val="00E31E14"/>
    <w:rsid w:val="00E347BC"/>
    <w:rsid w:val="00E34F00"/>
    <w:rsid w:val="00E3588E"/>
    <w:rsid w:val="00E3640A"/>
    <w:rsid w:val="00E368E5"/>
    <w:rsid w:val="00E37DDD"/>
    <w:rsid w:val="00E401A7"/>
    <w:rsid w:val="00E40689"/>
    <w:rsid w:val="00E41624"/>
    <w:rsid w:val="00E4171C"/>
    <w:rsid w:val="00E47D86"/>
    <w:rsid w:val="00E50977"/>
    <w:rsid w:val="00E50F90"/>
    <w:rsid w:val="00E510ED"/>
    <w:rsid w:val="00E51120"/>
    <w:rsid w:val="00E52DFF"/>
    <w:rsid w:val="00E53441"/>
    <w:rsid w:val="00E539A6"/>
    <w:rsid w:val="00E5490E"/>
    <w:rsid w:val="00E57F85"/>
    <w:rsid w:val="00E6084A"/>
    <w:rsid w:val="00E61D6A"/>
    <w:rsid w:val="00E61F53"/>
    <w:rsid w:val="00E6266C"/>
    <w:rsid w:val="00E6301B"/>
    <w:rsid w:val="00E63620"/>
    <w:rsid w:val="00E63744"/>
    <w:rsid w:val="00E638FA"/>
    <w:rsid w:val="00E65F4C"/>
    <w:rsid w:val="00E66A80"/>
    <w:rsid w:val="00E678AE"/>
    <w:rsid w:val="00E67DE8"/>
    <w:rsid w:val="00E7034D"/>
    <w:rsid w:val="00E7061E"/>
    <w:rsid w:val="00E71963"/>
    <w:rsid w:val="00E744FC"/>
    <w:rsid w:val="00E753C5"/>
    <w:rsid w:val="00E75473"/>
    <w:rsid w:val="00E756D9"/>
    <w:rsid w:val="00E75C8C"/>
    <w:rsid w:val="00E81014"/>
    <w:rsid w:val="00E81F83"/>
    <w:rsid w:val="00E82175"/>
    <w:rsid w:val="00E829AC"/>
    <w:rsid w:val="00E82C86"/>
    <w:rsid w:val="00E8414C"/>
    <w:rsid w:val="00E868F2"/>
    <w:rsid w:val="00E87304"/>
    <w:rsid w:val="00E87DD7"/>
    <w:rsid w:val="00E9140E"/>
    <w:rsid w:val="00E92A36"/>
    <w:rsid w:val="00E92CB7"/>
    <w:rsid w:val="00E958E7"/>
    <w:rsid w:val="00E96052"/>
    <w:rsid w:val="00E97045"/>
    <w:rsid w:val="00E97828"/>
    <w:rsid w:val="00E97FF6"/>
    <w:rsid w:val="00EA0184"/>
    <w:rsid w:val="00EA14DD"/>
    <w:rsid w:val="00EA17A0"/>
    <w:rsid w:val="00EA3D0A"/>
    <w:rsid w:val="00EA3F2B"/>
    <w:rsid w:val="00EA57EB"/>
    <w:rsid w:val="00EA7977"/>
    <w:rsid w:val="00EB0DA2"/>
    <w:rsid w:val="00EB187A"/>
    <w:rsid w:val="00EB2B24"/>
    <w:rsid w:val="00EB3938"/>
    <w:rsid w:val="00EB5839"/>
    <w:rsid w:val="00EB5FF8"/>
    <w:rsid w:val="00EB7757"/>
    <w:rsid w:val="00EC0D17"/>
    <w:rsid w:val="00EC166E"/>
    <w:rsid w:val="00EC2777"/>
    <w:rsid w:val="00EC27C1"/>
    <w:rsid w:val="00EC646A"/>
    <w:rsid w:val="00EC6A89"/>
    <w:rsid w:val="00ED02D7"/>
    <w:rsid w:val="00ED1086"/>
    <w:rsid w:val="00ED1A52"/>
    <w:rsid w:val="00ED2E33"/>
    <w:rsid w:val="00ED3293"/>
    <w:rsid w:val="00ED34C2"/>
    <w:rsid w:val="00ED35C1"/>
    <w:rsid w:val="00ED3AAE"/>
    <w:rsid w:val="00ED3B85"/>
    <w:rsid w:val="00ED48F1"/>
    <w:rsid w:val="00ED4F5F"/>
    <w:rsid w:val="00ED6914"/>
    <w:rsid w:val="00ED7605"/>
    <w:rsid w:val="00EE06C3"/>
    <w:rsid w:val="00EE0D4B"/>
    <w:rsid w:val="00EE10F3"/>
    <w:rsid w:val="00EE2399"/>
    <w:rsid w:val="00EE5BE7"/>
    <w:rsid w:val="00EE6A46"/>
    <w:rsid w:val="00EE7AEB"/>
    <w:rsid w:val="00EF0300"/>
    <w:rsid w:val="00EF0448"/>
    <w:rsid w:val="00EF0946"/>
    <w:rsid w:val="00EF5113"/>
    <w:rsid w:val="00EF67C4"/>
    <w:rsid w:val="00F01605"/>
    <w:rsid w:val="00F02BFC"/>
    <w:rsid w:val="00F03611"/>
    <w:rsid w:val="00F03668"/>
    <w:rsid w:val="00F03FB1"/>
    <w:rsid w:val="00F048C7"/>
    <w:rsid w:val="00F05CD9"/>
    <w:rsid w:val="00F06489"/>
    <w:rsid w:val="00F072D9"/>
    <w:rsid w:val="00F07630"/>
    <w:rsid w:val="00F07A7D"/>
    <w:rsid w:val="00F102C2"/>
    <w:rsid w:val="00F1094A"/>
    <w:rsid w:val="00F10AB3"/>
    <w:rsid w:val="00F11363"/>
    <w:rsid w:val="00F1139B"/>
    <w:rsid w:val="00F12570"/>
    <w:rsid w:val="00F13A7C"/>
    <w:rsid w:val="00F1445C"/>
    <w:rsid w:val="00F146ED"/>
    <w:rsid w:val="00F14D84"/>
    <w:rsid w:val="00F20E5C"/>
    <w:rsid w:val="00F218A5"/>
    <w:rsid w:val="00F22BB9"/>
    <w:rsid w:val="00F24AF9"/>
    <w:rsid w:val="00F2556C"/>
    <w:rsid w:val="00F25580"/>
    <w:rsid w:val="00F26957"/>
    <w:rsid w:val="00F26EEB"/>
    <w:rsid w:val="00F270AB"/>
    <w:rsid w:val="00F27C24"/>
    <w:rsid w:val="00F32849"/>
    <w:rsid w:val="00F32A51"/>
    <w:rsid w:val="00F32B8B"/>
    <w:rsid w:val="00F3433F"/>
    <w:rsid w:val="00F3516E"/>
    <w:rsid w:val="00F36196"/>
    <w:rsid w:val="00F362E5"/>
    <w:rsid w:val="00F3644F"/>
    <w:rsid w:val="00F3758E"/>
    <w:rsid w:val="00F40482"/>
    <w:rsid w:val="00F40E00"/>
    <w:rsid w:val="00F40EA9"/>
    <w:rsid w:val="00F417A0"/>
    <w:rsid w:val="00F42BB8"/>
    <w:rsid w:val="00F450C1"/>
    <w:rsid w:val="00F45492"/>
    <w:rsid w:val="00F46499"/>
    <w:rsid w:val="00F5050E"/>
    <w:rsid w:val="00F50ED5"/>
    <w:rsid w:val="00F518B7"/>
    <w:rsid w:val="00F51981"/>
    <w:rsid w:val="00F51B21"/>
    <w:rsid w:val="00F52C22"/>
    <w:rsid w:val="00F533B0"/>
    <w:rsid w:val="00F54FBA"/>
    <w:rsid w:val="00F55476"/>
    <w:rsid w:val="00F55563"/>
    <w:rsid w:val="00F563CB"/>
    <w:rsid w:val="00F60399"/>
    <w:rsid w:val="00F6049E"/>
    <w:rsid w:val="00F619BE"/>
    <w:rsid w:val="00F648C0"/>
    <w:rsid w:val="00F655C3"/>
    <w:rsid w:val="00F669AD"/>
    <w:rsid w:val="00F67272"/>
    <w:rsid w:val="00F673DF"/>
    <w:rsid w:val="00F71590"/>
    <w:rsid w:val="00F72DED"/>
    <w:rsid w:val="00F74793"/>
    <w:rsid w:val="00F769CC"/>
    <w:rsid w:val="00F76CBD"/>
    <w:rsid w:val="00F77982"/>
    <w:rsid w:val="00F77BF8"/>
    <w:rsid w:val="00F77E02"/>
    <w:rsid w:val="00F808CD"/>
    <w:rsid w:val="00F80E17"/>
    <w:rsid w:val="00F82637"/>
    <w:rsid w:val="00F84CA4"/>
    <w:rsid w:val="00F86412"/>
    <w:rsid w:val="00F865E0"/>
    <w:rsid w:val="00F87475"/>
    <w:rsid w:val="00F877F4"/>
    <w:rsid w:val="00F907D9"/>
    <w:rsid w:val="00F90CF5"/>
    <w:rsid w:val="00F92ABC"/>
    <w:rsid w:val="00F92B3D"/>
    <w:rsid w:val="00F92E71"/>
    <w:rsid w:val="00F93DC5"/>
    <w:rsid w:val="00F964E6"/>
    <w:rsid w:val="00F97FC9"/>
    <w:rsid w:val="00FA0442"/>
    <w:rsid w:val="00FA0A3E"/>
    <w:rsid w:val="00FA0BE1"/>
    <w:rsid w:val="00FA21BE"/>
    <w:rsid w:val="00FA3899"/>
    <w:rsid w:val="00FA3F50"/>
    <w:rsid w:val="00FA43C0"/>
    <w:rsid w:val="00FA5259"/>
    <w:rsid w:val="00FA7FF0"/>
    <w:rsid w:val="00FB149B"/>
    <w:rsid w:val="00FB261B"/>
    <w:rsid w:val="00FB387E"/>
    <w:rsid w:val="00FB3C53"/>
    <w:rsid w:val="00FB5C39"/>
    <w:rsid w:val="00FB62B7"/>
    <w:rsid w:val="00FB6E10"/>
    <w:rsid w:val="00FB7449"/>
    <w:rsid w:val="00FB76EC"/>
    <w:rsid w:val="00FB7C37"/>
    <w:rsid w:val="00FC1797"/>
    <w:rsid w:val="00FC1BEE"/>
    <w:rsid w:val="00FC33CD"/>
    <w:rsid w:val="00FC35E3"/>
    <w:rsid w:val="00FC38C5"/>
    <w:rsid w:val="00FC3CA8"/>
    <w:rsid w:val="00FC3CF9"/>
    <w:rsid w:val="00FC4DEB"/>
    <w:rsid w:val="00FC6B71"/>
    <w:rsid w:val="00FC6DF0"/>
    <w:rsid w:val="00FC6E0A"/>
    <w:rsid w:val="00FD1FB4"/>
    <w:rsid w:val="00FD3D40"/>
    <w:rsid w:val="00FD508D"/>
    <w:rsid w:val="00FD5109"/>
    <w:rsid w:val="00FD56F8"/>
    <w:rsid w:val="00FD6C72"/>
    <w:rsid w:val="00FD7A30"/>
    <w:rsid w:val="00FE1A8B"/>
    <w:rsid w:val="00FE1E86"/>
    <w:rsid w:val="00FE1E87"/>
    <w:rsid w:val="00FE1E90"/>
    <w:rsid w:val="00FE3DD4"/>
    <w:rsid w:val="00FE4982"/>
    <w:rsid w:val="00FE7DB2"/>
    <w:rsid w:val="00FF1821"/>
    <w:rsid w:val="00FF20EF"/>
    <w:rsid w:val="00FF281E"/>
    <w:rsid w:val="00FF291C"/>
    <w:rsid w:val="00FF3DD7"/>
    <w:rsid w:val="00FF3F1E"/>
    <w:rsid w:val="00FF66CD"/>
    <w:rsid w:val="00FF6F1D"/>
    <w:rsid w:val="00FF703D"/>
    <w:rsid w:val="00FF7A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5889"/>
    <o:shapelayout v:ext="edit">
      <o:idmap v:ext="edit" data="1"/>
    </o:shapelayout>
  </w:shapeDefaults>
  <w:decimalSymbol w:val="."/>
  <w:listSeparator w:val=","/>
  <w14:docId w14:val="42CE319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lsdException w:name="List Bullet 3" w:semiHidden="1" w:uiPriority="4" w:unhideWhenUsed="1"/>
    <w:lsdException w:name="List Bullet 4" w:semiHidden="1" w:uiPriority="4" w:unhideWhenUsed="1"/>
    <w:lsdException w:name="List Bullet 5" w:semiHidden="1" w:uiPriority="4"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03DDF"/>
    <w:pPr>
      <w:keepNext/>
      <w:keepLines/>
      <w:spacing w:before="240" w:after="80"/>
      <w:outlineLvl w:val="0"/>
    </w:pPr>
    <w:rPr>
      <w:rFonts w:asciiTheme="majorHAnsi" w:eastAsiaTheme="majorEastAsia" w:hAnsiTheme="majorHAnsi" w:cstheme="majorBidi"/>
      <w:color w:val="005677" w:themeColor="text2"/>
      <w:sz w:val="48"/>
      <w:szCs w:val="32"/>
    </w:rPr>
  </w:style>
  <w:style w:type="paragraph" w:styleId="Heading2">
    <w:name w:val="heading 2"/>
    <w:basedOn w:val="Normal"/>
    <w:next w:val="Normal"/>
    <w:link w:val="Heading2Char"/>
    <w:uiPriority w:val="9"/>
    <w:unhideWhenUsed/>
    <w:qFormat/>
    <w:rsid w:val="003B47A9"/>
    <w:pPr>
      <w:keepNext/>
      <w:keepLines/>
      <w:spacing w:before="40" w:after="40"/>
      <w:outlineLvl w:val="1"/>
    </w:pPr>
    <w:rPr>
      <w:rFonts w:asciiTheme="majorHAnsi" w:eastAsiaTheme="majorEastAsia" w:hAnsiTheme="majorHAnsi" w:cstheme="majorBidi"/>
      <w:color w:val="005677" w:themeColor="text2"/>
      <w:sz w:val="40"/>
      <w:szCs w:val="48"/>
    </w:rPr>
  </w:style>
  <w:style w:type="paragraph" w:styleId="Heading3">
    <w:name w:val="heading 3"/>
    <w:basedOn w:val="Normal"/>
    <w:next w:val="Normal"/>
    <w:link w:val="Heading3Char"/>
    <w:uiPriority w:val="9"/>
    <w:unhideWhenUsed/>
    <w:qFormat/>
    <w:rsid w:val="006E4001"/>
    <w:pPr>
      <w:keepNext/>
      <w:keepLines/>
      <w:spacing w:before="40" w:after="0"/>
      <w:outlineLvl w:val="2"/>
    </w:pPr>
    <w:rPr>
      <w:rFonts w:asciiTheme="majorHAnsi" w:eastAsiaTheme="majorEastAsia" w:hAnsiTheme="majorHAnsi" w:cstheme="majorBidi"/>
      <w:color w:val="005677" w:themeColor="text2"/>
      <w:sz w:val="32"/>
      <w:szCs w:val="40"/>
    </w:rPr>
  </w:style>
  <w:style w:type="paragraph" w:styleId="Heading4">
    <w:name w:val="heading 4"/>
    <w:basedOn w:val="Normal"/>
    <w:next w:val="Normal"/>
    <w:link w:val="Heading4Char"/>
    <w:uiPriority w:val="9"/>
    <w:unhideWhenUsed/>
    <w:qFormat/>
    <w:rsid w:val="006E4001"/>
    <w:pPr>
      <w:keepNext/>
      <w:keepLines/>
      <w:spacing w:before="40" w:after="0"/>
      <w:outlineLvl w:val="3"/>
    </w:pPr>
    <w:rPr>
      <w:rFonts w:asciiTheme="majorHAnsi" w:eastAsiaTheme="majorEastAsia" w:hAnsiTheme="majorHAnsi" w:cstheme="majorBidi"/>
      <w:iCs/>
      <w:color w:val="005677" w:themeColor="text2"/>
      <w:sz w:val="28"/>
      <w:szCs w:val="28"/>
    </w:rPr>
  </w:style>
  <w:style w:type="paragraph" w:styleId="Heading5">
    <w:name w:val="heading 5"/>
    <w:basedOn w:val="Normal"/>
    <w:next w:val="Normal"/>
    <w:link w:val="Heading5Char"/>
    <w:uiPriority w:val="9"/>
    <w:unhideWhenUsed/>
    <w:qFormat/>
    <w:rsid w:val="004632E9"/>
    <w:pPr>
      <w:keepNext/>
      <w:keepLines/>
      <w:spacing w:before="40" w:after="0"/>
      <w:outlineLvl w:val="4"/>
    </w:pPr>
    <w:rPr>
      <w:rFonts w:asciiTheme="majorHAnsi" w:eastAsiaTheme="majorEastAsia" w:hAnsiTheme="majorHAnsi" w:cstheme="majorBidi"/>
      <w:color w:val="005677" w:themeColor="text2"/>
      <w:sz w:val="26"/>
      <w:szCs w:val="26"/>
    </w:rPr>
  </w:style>
  <w:style w:type="paragraph" w:styleId="Heading6">
    <w:name w:val="heading 6"/>
    <w:basedOn w:val="Normal"/>
    <w:next w:val="Normal"/>
    <w:link w:val="Heading6Char"/>
    <w:uiPriority w:val="9"/>
    <w:unhideWhenUsed/>
    <w:qFormat/>
    <w:rsid w:val="004632E9"/>
    <w:pPr>
      <w:keepNext/>
      <w:keepLines/>
      <w:spacing w:before="40" w:after="0"/>
      <w:outlineLvl w:val="5"/>
    </w:pPr>
    <w:rPr>
      <w:rFonts w:asciiTheme="majorHAnsi" w:eastAsiaTheme="majorEastAsia" w:hAnsiTheme="majorHAnsi" w:cstheme="majorBidi"/>
      <w:color w:val="00567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1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51DB"/>
  </w:style>
  <w:style w:type="paragraph" w:styleId="Footer">
    <w:name w:val="footer"/>
    <w:basedOn w:val="Normal"/>
    <w:link w:val="FooterChar"/>
    <w:uiPriority w:val="99"/>
    <w:unhideWhenUsed/>
    <w:rsid w:val="00B251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51DB"/>
  </w:style>
  <w:style w:type="character" w:customStyle="1" w:styleId="Heading1Char">
    <w:name w:val="Heading 1 Char"/>
    <w:basedOn w:val="DefaultParagraphFont"/>
    <w:link w:val="Heading1"/>
    <w:uiPriority w:val="9"/>
    <w:rsid w:val="00603DDF"/>
    <w:rPr>
      <w:rFonts w:asciiTheme="majorHAnsi" w:eastAsiaTheme="majorEastAsia" w:hAnsiTheme="majorHAnsi" w:cstheme="majorBidi"/>
      <w:color w:val="005677" w:themeColor="text2"/>
      <w:sz w:val="48"/>
      <w:szCs w:val="32"/>
    </w:rPr>
  </w:style>
  <w:style w:type="paragraph" w:styleId="Title">
    <w:name w:val="Title"/>
    <w:basedOn w:val="Normal"/>
    <w:next w:val="Normal"/>
    <w:link w:val="TitleChar"/>
    <w:uiPriority w:val="10"/>
    <w:qFormat/>
    <w:rsid w:val="00697567"/>
    <w:pPr>
      <w:pBdr>
        <w:bottom w:val="single" w:sz="8" w:space="1" w:color="005677" w:themeColor="text2"/>
      </w:pBdr>
      <w:spacing w:before="3600" w:after="120" w:line="240" w:lineRule="auto"/>
      <w:contextualSpacing/>
      <w:outlineLvl w:val="0"/>
    </w:pPr>
    <w:rPr>
      <w:rFonts w:asciiTheme="majorHAnsi" w:eastAsiaTheme="majorEastAsia" w:hAnsiTheme="majorHAnsi" w:cstheme="majorBidi"/>
      <w:color w:val="005677" w:themeColor="text2"/>
      <w:spacing w:val="-10"/>
      <w:kern w:val="28"/>
      <w:sz w:val="72"/>
      <w:szCs w:val="72"/>
    </w:rPr>
  </w:style>
  <w:style w:type="character" w:customStyle="1" w:styleId="TitleChar">
    <w:name w:val="Title Char"/>
    <w:basedOn w:val="DefaultParagraphFont"/>
    <w:link w:val="Title"/>
    <w:uiPriority w:val="10"/>
    <w:rsid w:val="00697567"/>
    <w:rPr>
      <w:rFonts w:asciiTheme="majorHAnsi" w:eastAsiaTheme="majorEastAsia" w:hAnsiTheme="majorHAnsi" w:cstheme="majorBidi"/>
      <w:color w:val="005677" w:themeColor="text2"/>
      <w:spacing w:val="-10"/>
      <w:kern w:val="28"/>
      <w:sz w:val="72"/>
      <w:szCs w:val="72"/>
    </w:rPr>
  </w:style>
  <w:style w:type="paragraph" w:styleId="Subtitle">
    <w:name w:val="Subtitle"/>
    <w:basedOn w:val="Normal"/>
    <w:next w:val="Normal"/>
    <w:link w:val="SubtitleChar"/>
    <w:uiPriority w:val="11"/>
    <w:qFormat/>
    <w:rsid w:val="00697567"/>
    <w:pPr>
      <w:numPr>
        <w:ilvl w:val="1"/>
      </w:numPr>
    </w:pPr>
    <w:rPr>
      <w:rFonts w:eastAsiaTheme="minorEastAsia"/>
      <w:color w:val="58595B" w:themeColor="background2"/>
      <w:sz w:val="40"/>
    </w:rPr>
  </w:style>
  <w:style w:type="character" w:customStyle="1" w:styleId="SubtitleChar">
    <w:name w:val="Subtitle Char"/>
    <w:basedOn w:val="DefaultParagraphFont"/>
    <w:link w:val="Subtitle"/>
    <w:uiPriority w:val="11"/>
    <w:rsid w:val="00697567"/>
    <w:rPr>
      <w:rFonts w:eastAsiaTheme="minorEastAsia"/>
      <w:color w:val="58595B" w:themeColor="background2"/>
      <w:sz w:val="40"/>
    </w:rPr>
  </w:style>
  <w:style w:type="character" w:customStyle="1" w:styleId="Heading2Char">
    <w:name w:val="Heading 2 Char"/>
    <w:basedOn w:val="DefaultParagraphFont"/>
    <w:link w:val="Heading2"/>
    <w:uiPriority w:val="9"/>
    <w:rsid w:val="003B47A9"/>
    <w:rPr>
      <w:rFonts w:asciiTheme="majorHAnsi" w:eastAsiaTheme="majorEastAsia" w:hAnsiTheme="majorHAnsi" w:cstheme="majorBidi"/>
      <w:color w:val="005677" w:themeColor="text2"/>
      <w:sz w:val="40"/>
      <w:szCs w:val="48"/>
    </w:rPr>
  </w:style>
  <w:style w:type="character" w:customStyle="1" w:styleId="Heading3Char">
    <w:name w:val="Heading 3 Char"/>
    <w:basedOn w:val="DefaultParagraphFont"/>
    <w:link w:val="Heading3"/>
    <w:uiPriority w:val="9"/>
    <w:rsid w:val="006E4001"/>
    <w:rPr>
      <w:rFonts w:asciiTheme="majorHAnsi" w:eastAsiaTheme="majorEastAsia" w:hAnsiTheme="majorHAnsi" w:cstheme="majorBidi"/>
      <w:color w:val="005677" w:themeColor="text2"/>
      <w:sz w:val="32"/>
      <w:szCs w:val="40"/>
    </w:rPr>
  </w:style>
  <w:style w:type="character" w:customStyle="1" w:styleId="Heading4Char">
    <w:name w:val="Heading 4 Char"/>
    <w:basedOn w:val="DefaultParagraphFont"/>
    <w:link w:val="Heading4"/>
    <w:uiPriority w:val="9"/>
    <w:rsid w:val="006E4001"/>
    <w:rPr>
      <w:rFonts w:asciiTheme="majorHAnsi" w:eastAsiaTheme="majorEastAsia" w:hAnsiTheme="majorHAnsi" w:cstheme="majorBidi"/>
      <w:iCs/>
      <w:color w:val="005677" w:themeColor="text2"/>
      <w:sz w:val="28"/>
      <w:szCs w:val="28"/>
    </w:rPr>
  </w:style>
  <w:style w:type="character" w:customStyle="1" w:styleId="Heading5Char">
    <w:name w:val="Heading 5 Char"/>
    <w:basedOn w:val="DefaultParagraphFont"/>
    <w:link w:val="Heading5"/>
    <w:uiPriority w:val="9"/>
    <w:rsid w:val="004632E9"/>
    <w:rPr>
      <w:rFonts w:asciiTheme="majorHAnsi" w:eastAsiaTheme="majorEastAsia" w:hAnsiTheme="majorHAnsi" w:cstheme="majorBidi"/>
      <w:color w:val="005677" w:themeColor="text2"/>
      <w:sz w:val="26"/>
      <w:szCs w:val="26"/>
    </w:rPr>
  </w:style>
  <w:style w:type="paragraph" w:styleId="Quote">
    <w:name w:val="Quote"/>
    <w:basedOn w:val="Normal"/>
    <w:next w:val="Normal"/>
    <w:link w:val="QuoteChar"/>
    <w:uiPriority w:val="29"/>
    <w:qFormat/>
    <w:rsid w:val="00BE6EEA"/>
    <w:pPr>
      <w:pBdr>
        <w:top w:val="single" w:sz="4" w:space="6" w:color="auto"/>
        <w:bottom w:val="single" w:sz="4" w:space="6" w:color="auto"/>
      </w:pBdr>
      <w:spacing w:before="200"/>
      <w:ind w:left="720" w:right="864"/>
      <w:jc w:val="center"/>
    </w:pPr>
    <w:rPr>
      <w:i/>
      <w:iCs/>
      <w:color w:val="000000" w:themeColor="text1"/>
      <w:szCs w:val="24"/>
    </w:rPr>
  </w:style>
  <w:style w:type="character" w:customStyle="1" w:styleId="QuoteChar">
    <w:name w:val="Quote Char"/>
    <w:basedOn w:val="DefaultParagraphFont"/>
    <w:link w:val="Quote"/>
    <w:uiPriority w:val="29"/>
    <w:rsid w:val="00BE6EEA"/>
    <w:rPr>
      <w:i/>
      <w:iCs/>
      <w:color w:val="000000" w:themeColor="text1"/>
      <w:szCs w:val="24"/>
    </w:rPr>
  </w:style>
  <w:style w:type="character" w:styleId="Strong">
    <w:name w:val="Strong"/>
    <w:basedOn w:val="DefaultParagraphFont"/>
    <w:uiPriority w:val="22"/>
    <w:qFormat/>
    <w:rsid w:val="00B251DB"/>
    <w:rPr>
      <w:b/>
      <w:bCs/>
    </w:rPr>
  </w:style>
  <w:style w:type="character" w:styleId="Emphasis">
    <w:name w:val="Emphasis"/>
    <w:basedOn w:val="DefaultParagraphFont"/>
    <w:uiPriority w:val="20"/>
    <w:qFormat/>
    <w:rsid w:val="00B251DB"/>
    <w:rPr>
      <w:i/>
      <w:iCs/>
    </w:rPr>
  </w:style>
  <w:style w:type="paragraph" w:styleId="ListParagraph">
    <w:name w:val="List Paragraph"/>
    <w:basedOn w:val="Normal"/>
    <w:uiPriority w:val="34"/>
    <w:qFormat/>
    <w:rsid w:val="004632E9"/>
    <w:pPr>
      <w:ind w:left="720" w:hanging="360"/>
      <w:contextualSpacing/>
    </w:pPr>
  </w:style>
  <w:style w:type="character" w:styleId="Hyperlink">
    <w:name w:val="Hyperlink"/>
    <w:basedOn w:val="DefaultParagraphFont"/>
    <w:uiPriority w:val="99"/>
    <w:unhideWhenUsed/>
    <w:rsid w:val="00711349"/>
    <w:rPr>
      <w:color w:val="0070AE" w:themeColor="hyperlink"/>
      <w:u w:val="single"/>
    </w:rPr>
  </w:style>
  <w:style w:type="table" w:styleId="TableGrid">
    <w:name w:val="Table Grid"/>
    <w:basedOn w:val="TableNormal"/>
    <w:uiPriority w:val="39"/>
    <w:rsid w:val="0071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71134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71134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0C3494"/>
    <w:pPr>
      <w:spacing w:after="120" w:line="240" w:lineRule="auto"/>
    </w:pPr>
    <w:rPr>
      <w:i/>
      <w:iCs/>
      <w:color w:val="005677" w:themeColor="text2"/>
      <w:szCs w:val="18"/>
    </w:rPr>
  </w:style>
  <w:style w:type="character" w:styleId="PlaceholderText">
    <w:name w:val="Placeholder Text"/>
    <w:basedOn w:val="DefaultParagraphFont"/>
    <w:uiPriority w:val="99"/>
    <w:semiHidden/>
    <w:rsid w:val="00BD0F8A"/>
    <w:rPr>
      <w:color w:val="808080"/>
    </w:rPr>
  </w:style>
  <w:style w:type="paragraph" w:styleId="NoSpacing">
    <w:name w:val="No Spacing"/>
    <w:link w:val="NoSpacingChar"/>
    <w:uiPriority w:val="1"/>
    <w:qFormat/>
    <w:rsid w:val="00671D1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71D1D"/>
    <w:rPr>
      <w:rFonts w:eastAsiaTheme="minorEastAsia"/>
      <w:lang w:val="en-US"/>
    </w:rPr>
  </w:style>
  <w:style w:type="paragraph" w:styleId="TOCHeading">
    <w:name w:val="TOC Heading"/>
    <w:basedOn w:val="Heading1"/>
    <w:next w:val="Normal"/>
    <w:uiPriority w:val="39"/>
    <w:unhideWhenUsed/>
    <w:qFormat/>
    <w:rsid w:val="000F2564"/>
    <w:pPr>
      <w:spacing w:after="480"/>
      <w:outlineLvl w:val="9"/>
    </w:pPr>
    <w:rPr>
      <w:lang w:val="en-US"/>
    </w:rPr>
  </w:style>
  <w:style w:type="paragraph" w:styleId="TOC1">
    <w:name w:val="toc 1"/>
    <w:basedOn w:val="Normal"/>
    <w:next w:val="Normal"/>
    <w:autoRedefine/>
    <w:uiPriority w:val="39"/>
    <w:unhideWhenUsed/>
    <w:rsid w:val="0099464C"/>
    <w:pPr>
      <w:tabs>
        <w:tab w:val="right" w:leader="dot" w:pos="9016"/>
      </w:tabs>
      <w:spacing w:after="100"/>
    </w:pPr>
  </w:style>
  <w:style w:type="paragraph" w:styleId="TOC2">
    <w:name w:val="toc 2"/>
    <w:basedOn w:val="Normal"/>
    <w:next w:val="Normal"/>
    <w:autoRedefine/>
    <w:uiPriority w:val="39"/>
    <w:unhideWhenUsed/>
    <w:rsid w:val="000F2564"/>
    <w:pPr>
      <w:spacing w:after="100"/>
      <w:ind w:left="220"/>
    </w:pPr>
  </w:style>
  <w:style w:type="paragraph" w:styleId="TOC3">
    <w:name w:val="toc 3"/>
    <w:basedOn w:val="Normal"/>
    <w:next w:val="Normal"/>
    <w:autoRedefine/>
    <w:uiPriority w:val="39"/>
    <w:unhideWhenUsed/>
    <w:rsid w:val="000F2564"/>
    <w:pPr>
      <w:spacing w:after="100"/>
      <w:ind w:left="440"/>
    </w:pPr>
  </w:style>
  <w:style w:type="paragraph" w:customStyle="1" w:styleId="Address">
    <w:name w:val="Address"/>
    <w:basedOn w:val="Subtitle"/>
    <w:qFormat/>
    <w:rsid w:val="009A549D"/>
    <w:pPr>
      <w:spacing w:after="0"/>
    </w:pPr>
    <w:rPr>
      <w:sz w:val="24"/>
    </w:rPr>
  </w:style>
  <w:style w:type="paragraph" w:styleId="BalloonText">
    <w:name w:val="Balloon Text"/>
    <w:basedOn w:val="Normal"/>
    <w:link w:val="BalloonTextChar"/>
    <w:uiPriority w:val="99"/>
    <w:semiHidden/>
    <w:unhideWhenUsed/>
    <w:rsid w:val="00E302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27E"/>
    <w:rPr>
      <w:rFonts w:ascii="Segoe UI" w:hAnsi="Segoe UI" w:cs="Segoe UI"/>
      <w:sz w:val="18"/>
      <w:szCs w:val="18"/>
    </w:rPr>
  </w:style>
  <w:style w:type="table" w:styleId="ListTable3-Accent2">
    <w:name w:val="List Table 3 Accent 2"/>
    <w:basedOn w:val="TableNormal"/>
    <w:uiPriority w:val="48"/>
    <w:rsid w:val="00153C15"/>
    <w:pPr>
      <w:spacing w:after="0" w:line="240" w:lineRule="auto"/>
    </w:pPr>
    <w:tblPr>
      <w:tblStyleRowBandSize w:val="1"/>
      <w:tblStyleColBandSize w:val="1"/>
      <w:tblBorders>
        <w:top w:val="single" w:sz="4" w:space="0" w:color="00283E" w:themeColor="accent2"/>
        <w:left w:val="single" w:sz="4" w:space="0" w:color="00283E" w:themeColor="accent2"/>
        <w:bottom w:val="single" w:sz="4" w:space="0" w:color="00283E" w:themeColor="accent2"/>
        <w:right w:val="single" w:sz="4" w:space="0" w:color="00283E" w:themeColor="accent2"/>
      </w:tblBorders>
    </w:tblPr>
    <w:tblStylePr w:type="firstRow">
      <w:rPr>
        <w:b/>
        <w:bCs/>
        <w:color w:val="FFFFFF" w:themeColor="background1"/>
      </w:rPr>
      <w:tblPr/>
      <w:tcPr>
        <w:shd w:val="clear" w:color="auto" w:fill="00283E" w:themeFill="accent2"/>
      </w:tcPr>
    </w:tblStylePr>
    <w:tblStylePr w:type="lastRow">
      <w:rPr>
        <w:b/>
        <w:bCs/>
      </w:rPr>
      <w:tblPr/>
      <w:tcPr>
        <w:tcBorders>
          <w:top w:val="double" w:sz="4" w:space="0" w:color="00283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83E" w:themeColor="accent2"/>
          <w:right w:val="single" w:sz="4" w:space="0" w:color="00283E" w:themeColor="accent2"/>
        </w:tcBorders>
      </w:tcPr>
    </w:tblStylePr>
    <w:tblStylePr w:type="band1Horz">
      <w:tblPr/>
      <w:tcPr>
        <w:tcBorders>
          <w:top w:val="single" w:sz="4" w:space="0" w:color="00283E" w:themeColor="accent2"/>
          <w:bottom w:val="single" w:sz="4" w:space="0" w:color="00283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83E" w:themeColor="accent2"/>
          <w:left w:val="nil"/>
        </w:tcBorders>
      </w:tcPr>
    </w:tblStylePr>
    <w:tblStylePr w:type="swCell">
      <w:tblPr/>
      <w:tcPr>
        <w:tcBorders>
          <w:top w:val="double" w:sz="4" w:space="0" w:color="00283E" w:themeColor="accent2"/>
          <w:right w:val="nil"/>
        </w:tcBorders>
      </w:tcPr>
    </w:tblStylePr>
  </w:style>
  <w:style w:type="table" w:styleId="ListTable3-Accent3">
    <w:name w:val="List Table 3 Accent 3"/>
    <w:basedOn w:val="TableNormal"/>
    <w:uiPriority w:val="48"/>
    <w:rsid w:val="00153C15"/>
    <w:pPr>
      <w:spacing w:after="0" w:line="240" w:lineRule="auto"/>
    </w:pPr>
    <w:tblPr>
      <w:tblStyleRowBandSize w:val="1"/>
      <w:tblStyleColBandSize w:val="1"/>
      <w:tblBorders>
        <w:top w:val="single" w:sz="4" w:space="0" w:color="1B9590" w:themeColor="accent3"/>
        <w:left w:val="single" w:sz="4" w:space="0" w:color="1B9590" w:themeColor="accent3"/>
        <w:bottom w:val="single" w:sz="4" w:space="0" w:color="1B9590" w:themeColor="accent3"/>
        <w:right w:val="single" w:sz="4" w:space="0" w:color="1B9590" w:themeColor="accent3"/>
      </w:tblBorders>
    </w:tblPr>
    <w:tblStylePr w:type="firstRow">
      <w:rPr>
        <w:b/>
        <w:bCs/>
        <w:color w:val="FFFFFF" w:themeColor="background1"/>
      </w:rPr>
      <w:tblPr/>
      <w:tcPr>
        <w:shd w:val="clear" w:color="auto" w:fill="1B9590" w:themeFill="accent3"/>
      </w:tcPr>
    </w:tblStylePr>
    <w:tblStylePr w:type="lastRow">
      <w:rPr>
        <w:b/>
        <w:bCs/>
      </w:rPr>
      <w:tblPr/>
      <w:tcPr>
        <w:tcBorders>
          <w:top w:val="double" w:sz="4" w:space="0" w:color="1B959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9590" w:themeColor="accent3"/>
          <w:right w:val="single" w:sz="4" w:space="0" w:color="1B9590" w:themeColor="accent3"/>
        </w:tcBorders>
      </w:tcPr>
    </w:tblStylePr>
    <w:tblStylePr w:type="band1Horz">
      <w:tblPr/>
      <w:tcPr>
        <w:tcBorders>
          <w:top w:val="single" w:sz="4" w:space="0" w:color="1B9590" w:themeColor="accent3"/>
          <w:bottom w:val="single" w:sz="4" w:space="0" w:color="1B959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9590" w:themeColor="accent3"/>
          <w:left w:val="nil"/>
        </w:tcBorders>
      </w:tcPr>
    </w:tblStylePr>
    <w:tblStylePr w:type="swCell">
      <w:tblPr/>
      <w:tcPr>
        <w:tcBorders>
          <w:top w:val="double" w:sz="4" w:space="0" w:color="1B9590" w:themeColor="accent3"/>
          <w:right w:val="nil"/>
        </w:tcBorders>
      </w:tcPr>
    </w:tblStylePr>
  </w:style>
  <w:style w:type="paragraph" w:styleId="IntenseQuote">
    <w:name w:val="Intense Quote"/>
    <w:basedOn w:val="Normal"/>
    <w:next w:val="Normal"/>
    <w:link w:val="IntenseQuoteChar"/>
    <w:uiPriority w:val="30"/>
    <w:qFormat/>
    <w:rsid w:val="00BE6EEA"/>
    <w:pPr>
      <w:pBdr>
        <w:top w:val="single" w:sz="4" w:space="6" w:color="DFF3F3" w:themeColor="accent4" w:themeTint="33"/>
        <w:left w:val="single" w:sz="4" w:space="4" w:color="DFF3F3" w:themeColor="accent4" w:themeTint="33"/>
        <w:bottom w:val="single" w:sz="4" w:space="6" w:color="DFF3F3" w:themeColor="accent4" w:themeTint="33"/>
        <w:right w:val="single" w:sz="4" w:space="4" w:color="DFF3F3" w:themeColor="accent4" w:themeTint="33"/>
      </w:pBdr>
      <w:shd w:val="clear" w:color="auto" w:fill="DFF3F3" w:themeFill="accent4" w:themeFillTint="33"/>
      <w:spacing w:before="360" w:after="360"/>
      <w:ind w:left="864" w:right="864"/>
      <w:jc w:val="center"/>
    </w:pPr>
    <w:rPr>
      <w:i/>
      <w:iCs/>
    </w:rPr>
  </w:style>
  <w:style w:type="character" w:customStyle="1" w:styleId="IntenseQuoteChar">
    <w:name w:val="Intense Quote Char"/>
    <w:basedOn w:val="DefaultParagraphFont"/>
    <w:link w:val="IntenseQuote"/>
    <w:uiPriority w:val="30"/>
    <w:rsid w:val="00BE6EEA"/>
    <w:rPr>
      <w:i/>
      <w:iCs/>
      <w:shd w:val="clear" w:color="auto" w:fill="DFF3F3" w:themeFill="accent4" w:themeFillTint="33"/>
    </w:rPr>
  </w:style>
  <w:style w:type="paragraph" w:customStyle="1" w:styleId="Calloutbox">
    <w:name w:val="Call out box"/>
    <w:basedOn w:val="Normal"/>
    <w:qFormat/>
    <w:rsid w:val="00032995"/>
    <w:pPr>
      <w:pBdr>
        <w:top w:val="single" w:sz="4" w:space="6" w:color="DFF3F3" w:themeColor="accent4" w:themeTint="33"/>
        <w:left w:val="single" w:sz="4" w:space="4" w:color="DFF3F3" w:themeColor="accent4" w:themeTint="33"/>
        <w:bottom w:val="single" w:sz="4" w:space="6" w:color="DFF3F3" w:themeColor="accent4" w:themeTint="33"/>
        <w:right w:val="single" w:sz="4" w:space="4" w:color="DFF3F3" w:themeColor="accent4" w:themeTint="33"/>
      </w:pBdr>
      <w:shd w:val="clear" w:color="auto" w:fill="DFF3F3" w:themeFill="accent4" w:themeFillTint="33"/>
      <w:contextualSpacing/>
    </w:pPr>
  </w:style>
  <w:style w:type="character" w:customStyle="1" w:styleId="Heading6Char">
    <w:name w:val="Heading 6 Char"/>
    <w:basedOn w:val="DefaultParagraphFont"/>
    <w:link w:val="Heading6"/>
    <w:uiPriority w:val="9"/>
    <w:rsid w:val="004632E9"/>
    <w:rPr>
      <w:rFonts w:asciiTheme="majorHAnsi" w:eastAsiaTheme="majorEastAsia" w:hAnsiTheme="majorHAnsi" w:cstheme="majorBidi"/>
      <w:color w:val="005677" w:themeColor="text2"/>
    </w:rPr>
  </w:style>
  <w:style w:type="table" w:styleId="GridTable4-Accent2">
    <w:name w:val="Grid Table 4 Accent 2"/>
    <w:basedOn w:val="TableNormal"/>
    <w:uiPriority w:val="49"/>
    <w:rsid w:val="004D3B0F"/>
    <w:pPr>
      <w:spacing w:after="0" w:line="240" w:lineRule="auto"/>
    </w:pPr>
    <w:tblPr>
      <w:tblStyleRowBandSize w:val="1"/>
      <w:tblStyleColBandSize w:val="1"/>
      <w:tblBorders>
        <w:top w:val="single" w:sz="4" w:space="0" w:color="009AF1" w:themeColor="accent2" w:themeTint="99"/>
        <w:left w:val="single" w:sz="4" w:space="0" w:color="009AF1" w:themeColor="accent2" w:themeTint="99"/>
        <w:bottom w:val="single" w:sz="4" w:space="0" w:color="009AF1" w:themeColor="accent2" w:themeTint="99"/>
        <w:right w:val="single" w:sz="4" w:space="0" w:color="009AF1" w:themeColor="accent2" w:themeTint="99"/>
        <w:insideH w:val="single" w:sz="4" w:space="0" w:color="009AF1" w:themeColor="accent2" w:themeTint="99"/>
        <w:insideV w:val="single" w:sz="4" w:space="0" w:color="009AF1" w:themeColor="accent2" w:themeTint="99"/>
      </w:tblBorders>
    </w:tblPr>
    <w:tblStylePr w:type="firstRow">
      <w:rPr>
        <w:b/>
        <w:bCs/>
        <w:color w:val="FFFFFF" w:themeColor="background1"/>
      </w:rPr>
      <w:tblPr/>
      <w:tcPr>
        <w:tcBorders>
          <w:top w:val="single" w:sz="4" w:space="0" w:color="00283E" w:themeColor="accent2"/>
          <w:left w:val="single" w:sz="4" w:space="0" w:color="00283E" w:themeColor="accent2"/>
          <w:bottom w:val="single" w:sz="4" w:space="0" w:color="00283E" w:themeColor="accent2"/>
          <w:right w:val="single" w:sz="4" w:space="0" w:color="00283E" w:themeColor="accent2"/>
          <w:insideH w:val="nil"/>
          <w:insideV w:val="nil"/>
        </w:tcBorders>
        <w:shd w:val="clear" w:color="auto" w:fill="00283E" w:themeFill="accent2"/>
      </w:tcPr>
    </w:tblStylePr>
    <w:tblStylePr w:type="lastRow">
      <w:rPr>
        <w:b/>
        <w:bCs/>
      </w:rPr>
      <w:tblPr/>
      <w:tcPr>
        <w:tcBorders>
          <w:top w:val="double" w:sz="4" w:space="0" w:color="00283E" w:themeColor="accent2"/>
        </w:tcBorders>
      </w:tcPr>
    </w:tblStylePr>
    <w:tblStylePr w:type="firstCol">
      <w:rPr>
        <w:b/>
        <w:bCs/>
      </w:rPr>
    </w:tblStylePr>
    <w:tblStylePr w:type="lastCol">
      <w:rPr>
        <w:b/>
        <w:bCs/>
      </w:rPr>
    </w:tblStylePr>
    <w:tblStylePr w:type="band1Vert">
      <w:tblPr/>
      <w:tcPr>
        <w:shd w:val="clear" w:color="auto" w:fill="A5DFFF" w:themeFill="accent2" w:themeFillTint="33"/>
      </w:tcPr>
    </w:tblStylePr>
    <w:tblStylePr w:type="band1Horz">
      <w:tblPr/>
      <w:tcPr>
        <w:shd w:val="clear" w:color="auto" w:fill="A5DFFF" w:themeFill="accent2" w:themeFillTint="33"/>
      </w:tcPr>
    </w:tblStylePr>
  </w:style>
  <w:style w:type="table" w:styleId="GridTable1Light-Accent2">
    <w:name w:val="Grid Table 1 Light Accent 2"/>
    <w:basedOn w:val="TableNormal"/>
    <w:uiPriority w:val="46"/>
    <w:rsid w:val="004D3B0F"/>
    <w:pPr>
      <w:spacing w:after="0" w:line="240" w:lineRule="auto"/>
    </w:pPr>
    <w:tblPr>
      <w:tblStyleRowBandSize w:val="1"/>
      <w:tblStyleColBandSize w:val="1"/>
      <w:tblBorders>
        <w:top w:val="single" w:sz="4" w:space="0" w:color="4BBFFF" w:themeColor="accent2" w:themeTint="66"/>
        <w:left w:val="single" w:sz="4" w:space="0" w:color="4BBFFF" w:themeColor="accent2" w:themeTint="66"/>
        <w:bottom w:val="single" w:sz="4" w:space="0" w:color="4BBFFF" w:themeColor="accent2" w:themeTint="66"/>
        <w:right w:val="single" w:sz="4" w:space="0" w:color="4BBFFF" w:themeColor="accent2" w:themeTint="66"/>
        <w:insideH w:val="single" w:sz="4" w:space="0" w:color="4BBFFF" w:themeColor="accent2" w:themeTint="66"/>
        <w:insideV w:val="single" w:sz="4" w:space="0" w:color="4BBFFF" w:themeColor="accent2" w:themeTint="66"/>
      </w:tblBorders>
    </w:tblPr>
    <w:tblStylePr w:type="firstRow">
      <w:rPr>
        <w:b/>
        <w:bCs/>
      </w:rPr>
      <w:tblPr/>
      <w:tcPr>
        <w:tcBorders>
          <w:bottom w:val="single" w:sz="12" w:space="0" w:color="009AF1" w:themeColor="accent2" w:themeTint="99"/>
        </w:tcBorders>
      </w:tcPr>
    </w:tblStylePr>
    <w:tblStylePr w:type="lastRow">
      <w:rPr>
        <w:b/>
        <w:bCs/>
      </w:rPr>
      <w:tblPr/>
      <w:tcPr>
        <w:tcBorders>
          <w:top w:val="double" w:sz="2" w:space="0" w:color="009AF1"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4D3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9E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959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959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959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9598" w:themeFill="accent1"/>
      </w:tcPr>
    </w:tblStylePr>
    <w:tblStylePr w:type="band1Vert">
      <w:tblPr/>
      <w:tcPr>
        <w:shd w:val="clear" w:color="auto" w:fill="D3D4D5" w:themeFill="accent1" w:themeFillTint="66"/>
      </w:tcPr>
    </w:tblStylePr>
    <w:tblStylePr w:type="band1Horz">
      <w:tblPr/>
      <w:tcPr>
        <w:shd w:val="clear" w:color="auto" w:fill="D3D4D5" w:themeFill="accent1" w:themeFillTint="66"/>
      </w:tcPr>
    </w:tblStylePr>
  </w:style>
  <w:style w:type="table" w:styleId="GridTable4-Accent1">
    <w:name w:val="Grid Table 4 Accent 1"/>
    <w:basedOn w:val="TableNormal"/>
    <w:uiPriority w:val="49"/>
    <w:rsid w:val="004D3B0F"/>
    <w:pPr>
      <w:spacing w:after="0" w:line="240" w:lineRule="auto"/>
    </w:pPr>
    <w:tblPr>
      <w:tblStyleRowBandSize w:val="1"/>
      <w:tblStyleColBandSize w:val="1"/>
      <w:tblBorders>
        <w:top w:val="single" w:sz="4" w:space="0" w:color="BEBFC1" w:themeColor="accent1" w:themeTint="99"/>
        <w:left w:val="single" w:sz="4" w:space="0" w:color="BEBFC1" w:themeColor="accent1" w:themeTint="99"/>
        <w:bottom w:val="single" w:sz="4" w:space="0" w:color="BEBFC1" w:themeColor="accent1" w:themeTint="99"/>
        <w:right w:val="single" w:sz="4" w:space="0" w:color="BEBFC1" w:themeColor="accent1" w:themeTint="99"/>
        <w:insideH w:val="single" w:sz="4" w:space="0" w:color="BEBFC1" w:themeColor="accent1" w:themeTint="99"/>
        <w:insideV w:val="single" w:sz="4" w:space="0" w:color="BEBFC1" w:themeColor="accent1" w:themeTint="99"/>
      </w:tblBorders>
    </w:tblPr>
    <w:tblStylePr w:type="firstRow">
      <w:rPr>
        <w:b/>
        <w:bCs/>
        <w:color w:val="FFFFFF" w:themeColor="background1"/>
      </w:rPr>
      <w:tblPr/>
      <w:tcPr>
        <w:tcBorders>
          <w:top w:val="single" w:sz="4" w:space="0" w:color="939598" w:themeColor="accent1"/>
          <w:left w:val="single" w:sz="4" w:space="0" w:color="939598" w:themeColor="accent1"/>
          <w:bottom w:val="single" w:sz="4" w:space="0" w:color="939598" w:themeColor="accent1"/>
          <w:right w:val="single" w:sz="4" w:space="0" w:color="939598" w:themeColor="accent1"/>
          <w:insideH w:val="nil"/>
          <w:insideV w:val="nil"/>
        </w:tcBorders>
        <w:shd w:val="clear" w:color="auto" w:fill="939598" w:themeFill="accent1"/>
      </w:tcPr>
    </w:tblStylePr>
    <w:tblStylePr w:type="lastRow">
      <w:rPr>
        <w:b/>
        <w:bCs/>
      </w:rPr>
      <w:tblPr/>
      <w:tcPr>
        <w:tcBorders>
          <w:top w:val="double" w:sz="4" w:space="0" w:color="939598" w:themeColor="accent1"/>
        </w:tcBorders>
      </w:tcPr>
    </w:tblStylePr>
    <w:tblStylePr w:type="firstCol">
      <w:rPr>
        <w:b/>
        <w:bCs/>
      </w:rPr>
    </w:tblStylePr>
    <w:tblStylePr w:type="lastCol">
      <w:rPr>
        <w:b/>
        <w:bCs/>
      </w:rPr>
    </w:tblStylePr>
    <w:tblStylePr w:type="band1Vert">
      <w:tblPr/>
      <w:tcPr>
        <w:shd w:val="clear" w:color="auto" w:fill="E9E9EA" w:themeFill="accent1" w:themeFillTint="33"/>
      </w:tcPr>
    </w:tblStylePr>
    <w:tblStylePr w:type="band1Horz">
      <w:tblPr/>
      <w:tcPr>
        <w:shd w:val="clear" w:color="auto" w:fill="E9E9EA" w:themeFill="accent1" w:themeFillTint="33"/>
      </w:tcPr>
    </w:tblStylePr>
  </w:style>
  <w:style w:type="table" w:styleId="GridTable4-Accent5">
    <w:name w:val="Grid Table 4 Accent 5"/>
    <w:basedOn w:val="TableNormal"/>
    <w:uiPriority w:val="49"/>
    <w:rsid w:val="004D3B0F"/>
    <w:pPr>
      <w:spacing w:after="0" w:line="240" w:lineRule="auto"/>
    </w:pPr>
    <w:tblPr>
      <w:tblStyleRowBandSize w:val="1"/>
      <w:tblStyleColBandSize w:val="1"/>
      <w:tblBorders>
        <w:top w:val="single" w:sz="4" w:space="0" w:color="C3E8EC" w:themeColor="accent5" w:themeTint="99"/>
        <w:left w:val="single" w:sz="4" w:space="0" w:color="C3E8EC" w:themeColor="accent5" w:themeTint="99"/>
        <w:bottom w:val="single" w:sz="4" w:space="0" w:color="C3E8EC" w:themeColor="accent5" w:themeTint="99"/>
        <w:right w:val="single" w:sz="4" w:space="0" w:color="C3E8EC" w:themeColor="accent5" w:themeTint="99"/>
        <w:insideH w:val="single" w:sz="4" w:space="0" w:color="C3E8EC" w:themeColor="accent5" w:themeTint="99"/>
        <w:insideV w:val="single" w:sz="4" w:space="0" w:color="C3E8EC" w:themeColor="accent5" w:themeTint="99"/>
      </w:tblBorders>
    </w:tblPr>
    <w:tblStylePr w:type="firstRow">
      <w:rPr>
        <w:b/>
        <w:bCs/>
        <w:color w:val="FFFFFF" w:themeColor="background1"/>
      </w:rPr>
      <w:tblPr/>
      <w:tcPr>
        <w:tcBorders>
          <w:top w:val="single" w:sz="4" w:space="0" w:color="9CD9E0" w:themeColor="accent5"/>
          <w:left w:val="single" w:sz="4" w:space="0" w:color="9CD9E0" w:themeColor="accent5"/>
          <w:bottom w:val="single" w:sz="4" w:space="0" w:color="9CD9E0" w:themeColor="accent5"/>
          <w:right w:val="single" w:sz="4" w:space="0" w:color="9CD9E0" w:themeColor="accent5"/>
          <w:insideH w:val="nil"/>
          <w:insideV w:val="nil"/>
        </w:tcBorders>
        <w:shd w:val="clear" w:color="auto" w:fill="9CD9E0" w:themeFill="accent5"/>
      </w:tcPr>
    </w:tblStylePr>
    <w:tblStylePr w:type="lastRow">
      <w:rPr>
        <w:b/>
        <w:bCs/>
      </w:rPr>
      <w:tblPr/>
      <w:tcPr>
        <w:tcBorders>
          <w:top w:val="double" w:sz="4" w:space="0" w:color="9CD9E0" w:themeColor="accent5"/>
        </w:tcBorders>
      </w:tcPr>
    </w:tblStylePr>
    <w:tblStylePr w:type="firstCol">
      <w:rPr>
        <w:b/>
        <w:bCs/>
      </w:rPr>
    </w:tblStylePr>
    <w:tblStylePr w:type="lastCol">
      <w:rPr>
        <w:b/>
        <w:bCs/>
      </w:rPr>
    </w:tblStylePr>
    <w:tblStylePr w:type="band1Vert">
      <w:tblPr/>
      <w:tcPr>
        <w:shd w:val="clear" w:color="auto" w:fill="EBF7F8" w:themeFill="accent5" w:themeFillTint="33"/>
      </w:tcPr>
    </w:tblStylePr>
    <w:tblStylePr w:type="band1Horz">
      <w:tblPr/>
      <w:tcPr>
        <w:shd w:val="clear" w:color="auto" w:fill="EBF7F8" w:themeFill="accent5" w:themeFillTint="33"/>
      </w:tcPr>
    </w:tblStylePr>
  </w:style>
  <w:style w:type="table" w:styleId="GridTable4-Accent4">
    <w:name w:val="Grid Table 4 Accent 4"/>
    <w:basedOn w:val="TableNormal"/>
    <w:uiPriority w:val="49"/>
    <w:rsid w:val="004D3B0F"/>
    <w:pPr>
      <w:spacing w:after="0" w:line="240" w:lineRule="auto"/>
    </w:pPr>
    <w:tblPr>
      <w:tblStyleRowBandSize w:val="1"/>
      <w:tblStyleColBandSize w:val="1"/>
      <w:tblBorders>
        <w:top w:val="single" w:sz="4" w:space="0" w:color="A0DCDC" w:themeColor="accent4" w:themeTint="99"/>
        <w:left w:val="single" w:sz="4" w:space="0" w:color="A0DCDC" w:themeColor="accent4" w:themeTint="99"/>
        <w:bottom w:val="single" w:sz="4" w:space="0" w:color="A0DCDC" w:themeColor="accent4" w:themeTint="99"/>
        <w:right w:val="single" w:sz="4" w:space="0" w:color="A0DCDC" w:themeColor="accent4" w:themeTint="99"/>
        <w:insideH w:val="single" w:sz="4" w:space="0" w:color="A0DCDC" w:themeColor="accent4" w:themeTint="99"/>
        <w:insideV w:val="single" w:sz="4" w:space="0" w:color="A0DCDC" w:themeColor="accent4" w:themeTint="99"/>
      </w:tblBorders>
    </w:tblPr>
    <w:tblStylePr w:type="firstRow">
      <w:rPr>
        <w:b/>
        <w:bCs/>
        <w:color w:val="FFFFFF" w:themeColor="background1"/>
      </w:rPr>
      <w:tblPr/>
      <w:tcPr>
        <w:tcBorders>
          <w:top w:val="single" w:sz="4" w:space="0" w:color="61C6C6" w:themeColor="accent4"/>
          <w:left w:val="single" w:sz="4" w:space="0" w:color="61C6C6" w:themeColor="accent4"/>
          <w:bottom w:val="single" w:sz="4" w:space="0" w:color="61C6C6" w:themeColor="accent4"/>
          <w:right w:val="single" w:sz="4" w:space="0" w:color="61C6C6" w:themeColor="accent4"/>
          <w:insideH w:val="nil"/>
          <w:insideV w:val="nil"/>
        </w:tcBorders>
        <w:shd w:val="clear" w:color="auto" w:fill="61C6C6" w:themeFill="accent4"/>
      </w:tcPr>
    </w:tblStylePr>
    <w:tblStylePr w:type="lastRow">
      <w:rPr>
        <w:b/>
        <w:bCs/>
      </w:rPr>
      <w:tblPr/>
      <w:tcPr>
        <w:tcBorders>
          <w:top w:val="double" w:sz="4" w:space="0" w:color="61C6C6" w:themeColor="accent4"/>
        </w:tcBorders>
      </w:tcPr>
    </w:tblStylePr>
    <w:tblStylePr w:type="firstCol">
      <w:rPr>
        <w:b/>
        <w:bCs/>
      </w:rPr>
    </w:tblStylePr>
    <w:tblStylePr w:type="lastCol">
      <w:rPr>
        <w:b/>
        <w:bCs/>
      </w:rPr>
    </w:tblStylePr>
    <w:tblStylePr w:type="band1Vert">
      <w:tblPr/>
      <w:tcPr>
        <w:shd w:val="clear" w:color="auto" w:fill="DFF3F3" w:themeFill="accent4" w:themeFillTint="33"/>
      </w:tcPr>
    </w:tblStylePr>
    <w:tblStylePr w:type="band1Horz">
      <w:tblPr/>
      <w:tcPr>
        <w:shd w:val="clear" w:color="auto" w:fill="DFF3F3" w:themeFill="accent4" w:themeFillTint="33"/>
      </w:tcPr>
    </w:tblStylePr>
  </w:style>
  <w:style w:type="table" w:styleId="GridTable4-Accent3">
    <w:name w:val="Grid Table 4 Accent 3"/>
    <w:basedOn w:val="TableNormal"/>
    <w:uiPriority w:val="49"/>
    <w:rsid w:val="004D3B0F"/>
    <w:pPr>
      <w:spacing w:after="0" w:line="240" w:lineRule="auto"/>
    </w:pPr>
    <w:tblPr>
      <w:tblStyleRowBandSize w:val="1"/>
      <w:tblStyleColBandSize w:val="1"/>
      <w:tblBorders>
        <w:top w:val="single" w:sz="4" w:space="0" w:color="55E0DA" w:themeColor="accent3" w:themeTint="99"/>
        <w:left w:val="single" w:sz="4" w:space="0" w:color="55E0DA" w:themeColor="accent3" w:themeTint="99"/>
        <w:bottom w:val="single" w:sz="4" w:space="0" w:color="55E0DA" w:themeColor="accent3" w:themeTint="99"/>
        <w:right w:val="single" w:sz="4" w:space="0" w:color="55E0DA" w:themeColor="accent3" w:themeTint="99"/>
        <w:insideH w:val="single" w:sz="4" w:space="0" w:color="55E0DA" w:themeColor="accent3" w:themeTint="99"/>
        <w:insideV w:val="single" w:sz="4" w:space="0" w:color="55E0DA" w:themeColor="accent3" w:themeTint="99"/>
      </w:tblBorders>
    </w:tblPr>
    <w:tblStylePr w:type="firstRow">
      <w:rPr>
        <w:b/>
        <w:bCs/>
        <w:color w:val="FFFFFF" w:themeColor="background1"/>
      </w:rPr>
      <w:tblPr/>
      <w:tcPr>
        <w:tcBorders>
          <w:top w:val="single" w:sz="4" w:space="0" w:color="1B9590" w:themeColor="accent3"/>
          <w:left w:val="single" w:sz="4" w:space="0" w:color="1B9590" w:themeColor="accent3"/>
          <w:bottom w:val="single" w:sz="4" w:space="0" w:color="1B9590" w:themeColor="accent3"/>
          <w:right w:val="single" w:sz="4" w:space="0" w:color="1B9590" w:themeColor="accent3"/>
          <w:insideH w:val="nil"/>
          <w:insideV w:val="nil"/>
        </w:tcBorders>
        <w:shd w:val="clear" w:color="auto" w:fill="1B9590" w:themeFill="accent3"/>
      </w:tcPr>
    </w:tblStylePr>
    <w:tblStylePr w:type="lastRow">
      <w:rPr>
        <w:b/>
        <w:bCs/>
      </w:rPr>
      <w:tblPr/>
      <w:tcPr>
        <w:tcBorders>
          <w:top w:val="double" w:sz="4" w:space="0" w:color="1B9590" w:themeColor="accent3"/>
        </w:tcBorders>
      </w:tcPr>
    </w:tblStylePr>
    <w:tblStylePr w:type="firstCol">
      <w:rPr>
        <w:b/>
        <w:bCs/>
      </w:rPr>
    </w:tblStylePr>
    <w:tblStylePr w:type="lastCol">
      <w:rPr>
        <w:b/>
        <w:bCs/>
      </w:rPr>
    </w:tblStylePr>
    <w:tblStylePr w:type="band1Vert">
      <w:tblPr/>
      <w:tcPr>
        <w:shd w:val="clear" w:color="auto" w:fill="C6F4F2" w:themeFill="accent3" w:themeFillTint="33"/>
      </w:tcPr>
    </w:tblStylePr>
    <w:tblStylePr w:type="band1Horz">
      <w:tblPr/>
      <w:tcPr>
        <w:shd w:val="clear" w:color="auto" w:fill="C6F4F2" w:themeFill="accent3" w:themeFillTint="33"/>
      </w:tcPr>
    </w:tblStylePr>
  </w:style>
  <w:style w:type="paragraph" w:customStyle="1" w:styleId="Authoranddate">
    <w:name w:val="Author and date"/>
    <w:basedOn w:val="Subtitle"/>
    <w:link w:val="AuthoranddateChar"/>
    <w:qFormat/>
    <w:rsid w:val="001D51DA"/>
    <w:rPr>
      <w:szCs w:val="40"/>
    </w:rPr>
  </w:style>
  <w:style w:type="character" w:customStyle="1" w:styleId="AuthoranddateChar">
    <w:name w:val="Author and date Char"/>
    <w:basedOn w:val="SubtitleChar"/>
    <w:link w:val="Authoranddate"/>
    <w:rsid w:val="001D51DA"/>
    <w:rPr>
      <w:rFonts w:eastAsiaTheme="minorEastAsia"/>
      <w:color w:val="58595B" w:themeColor="background2"/>
      <w:sz w:val="40"/>
      <w:szCs w:val="40"/>
    </w:rPr>
  </w:style>
  <w:style w:type="paragraph" w:styleId="NormalWeb">
    <w:name w:val="Normal (Web)"/>
    <w:basedOn w:val="Normal"/>
    <w:uiPriority w:val="99"/>
    <w:semiHidden/>
    <w:unhideWhenUsed/>
    <w:rsid w:val="00DF6E2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BookTitle">
    <w:name w:val="Book Title"/>
    <w:basedOn w:val="DefaultParagraphFont"/>
    <w:uiPriority w:val="33"/>
    <w:qFormat/>
    <w:rsid w:val="008E4C12"/>
    <w:rPr>
      <w:b/>
      <w:bCs/>
      <w:i/>
      <w:iCs/>
      <w:spacing w:val="5"/>
    </w:rPr>
  </w:style>
  <w:style w:type="character" w:customStyle="1" w:styleId="charsubscript">
    <w:name w:val="charsubscript"/>
    <w:basedOn w:val="DefaultParagraphFont"/>
    <w:rsid w:val="003B6E23"/>
  </w:style>
  <w:style w:type="paragraph" w:styleId="FootnoteText">
    <w:name w:val="footnote text"/>
    <w:basedOn w:val="Normal"/>
    <w:link w:val="FootnoteTextChar"/>
    <w:uiPriority w:val="99"/>
    <w:unhideWhenUsed/>
    <w:rsid w:val="004A3EEF"/>
    <w:pPr>
      <w:spacing w:after="0" w:line="240" w:lineRule="auto"/>
    </w:pPr>
    <w:rPr>
      <w:sz w:val="20"/>
      <w:szCs w:val="20"/>
    </w:rPr>
  </w:style>
  <w:style w:type="character" w:customStyle="1" w:styleId="FootnoteTextChar">
    <w:name w:val="Footnote Text Char"/>
    <w:basedOn w:val="DefaultParagraphFont"/>
    <w:link w:val="FootnoteText"/>
    <w:uiPriority w:val="99"/>
    <w:rsid w:val="004A3EEF"/>
    <w:rPr>
      <w:sz w:val="20"/>
      <w:szCs w:val="20"/>
    </w:rPr>
  </w:style>
  <w:style w:type="character" w:styleId="FootnoteReference">
    <w:name w:val="footnote reference"/>
    <w:basedOn w:val="DefaultParagraphFont"/>
    <w:uiPriority w:val="8"/>
    <w:unhideWhenUsed/>
    <w:rsid w:val="004A3EEF"/>
    <w:rPr>
      <w:vertAlign w:val="superscript"/>
    </w:rPr>
  </w:style>
  <w:style w:type="character" w:styleId="CommentReference">
    <w:name w:val="annotation reference"/>
    <w:basedOn w:val="DefaultParagraphFont"/>
    <w:uiPriority w:val="99"/>
    <w:semiHidden/>
    <w:unhideWhenUsed/>
    <w:rsid w:val="00E17EDB"/>
    <w:rPr>
      <w:sz w:val="16"/>
      <w:szCs w:val="16"/>
    </w:rPr>
  </w:style>
  <w:style w:type="paragraph" w:styleId="CommentText">
    <w:name w:val="annotation text"/>
    <w:basedOn w:val="Normal"/>
    <w:link w:val="CommentTextChar"/>
    <w:uiPriority w:val="99"/>
    <w:unhideWhenUsed/>
    <w:rsid w:val="00E17EDB"/>
    <w:pPr>
      <w:spacing w:line="240" w:lineRule="auto"/>
    </w:pPr>
    <w:rPr>
      <w:sz w:val="20"/>
      <w:szCs w:val="20"/>
    </w:rPr>
  </w:style>
  <w:style w:type="character" w:customStyle="1" w:styleId="CommentTextChar">
    <w:name w:val="Comment Text Char"/>
    <w:basedOn w:val="DefaultParagraphFont"/>
    <w:link w:val="CommentText"/>
    <w:uiPriority w:val="99"/>
    <w:rsid w:val="00E17EDB"/>
    <w:rPr>
      <w:sz w:val="20"/>
      <w:szCs w:val="20"/>
    </w:rPr>
  </w:style>
  <w:style w:type="paragraph" w:styleId="CommentSubject">
    <w:name w:val="annotation subject"/>
    <w:basedOn w:val="CommentText"/>
    <w:next w:val="CommentText"/>
    <w:link w:val="CommentSubjectChar"/>
    <w:uiPriority w:val="99"/>
    <w:semiHidden/>
    <w:unhideWhenUsed/>
    <w:rsid w:val="00E17EDB"/>
    <w:rPr>
      <w:b/>
      <w:bCs/>
    </w:rPr>
  </w:style>
  <w:style w:type="character" w:customStyle="1" w:styleId="CommentSubjectChar">
    <w:name w:val="Comment Subject Char"/>
    <w:basedOn w:val="CommentTextChar"/>
    <w:link w:val="CommentSubject"/>
    <w:uiPriority w:val="99"/>
    <w:semiHidden/>
    <w:rsid w:val="00E17EDB"/>
    <w:rPr>
      <w:b/>
      <w:bCs/>
      <w:sz w:val="20"/>
      <w:szCs w:val="20"/>
    </w:rPr>
  </w:style>
  <w:style w:type="paragraph" w:styleId="ListBullet">
    <w:name w:val="List Bullet"/>
    <w:basedOn w:val="Normal"/>
    <w:uiPriority w:val="4"/>
    <w:qFormat/>
    <w:rsid w:val="00736CD8"/>
    <w:pPr>
      <w:spacing w:after="280" w:line="280" w:lineRule="atLeast"/>
      <w:ind w:left="425" w:hanging="425"/>
      <w:contextualSpacing/>
    </w:pPr>
    <w:rPr>
      <w:rFonts w:ascii="Arial" w:hAnsi="Arial"/>
      <w:color w:val="000000" w:themeColor="text1" w:themeShade="80"/>
      <w:sz w:val="20"/>
    </w:rPr>
  </w:style>
  <w:style w:type="paragraph" w:styleId="ListBullet2">
    <w:name w:val="List Bullet 2"/>
    <w:basedOn w:val="ListBullet"/>
    <w:uiPriority w:val="4"/>
    <w:rsid w:val="00736CD8"/>
    <w:pPr>
      <w:ind w:left="850"/>
    </w:pPr>
  </w:style>
  <w:style w:type="paragraph" w:styleId="ListBullet3">
    <w:name w:val="List Bullet 3"/>
    <w:basedOn w:val="ListBullet2"/>
    <w:uiPriority w:val="4"/>
    <w:rsid w:val="00736CD8"/>
    <w:pPr>
      <w:tabs>
        <w:tab w:val="num" w:pos="360"/>
      </w:tabs>
      <w:ind w:left="1275"/>
    </w:pPr>
  </w:style>
  <w:style w:type="numbering" w:customStyle="1" w:styleId="List-ListBullet">
    <w:name w:val="List - List Bullet"/>
    <w:basedOn w:val="NoList"/>
    <w:uiPriority w:val="99"/>
    <w:rsid w:val="00F13A7C"/>
    <w:pPr>
      <w:numPr>
        <w:numId w:val="4"/>
      </w:numPr>
    </w:pPr>
  </w:style>
  <w:style w:type="paragraph" w:styleId="ListBullet4">
    <w:name w:val="List Bullet 4"/>
    <w:basedOn w:val="ListBullet3"/>
    <w:uiPriority w:val="4"/>
    <w:rsid w:val="00736CD8"/>
    <w:pPr>
      <w:ind w:left="1700"/>
    </w:pPr>
  </w:style>
  <w:style w:type="paragraph" w:styleId="ListBullet5">
    <w:name w:val="List Bullet 5"/>
    <w:basedOn w:val="ListBullet4"/>
    <w:uiPriority w:val="4"/>
    <w:rsid w:val="00736CD8"/>
    <w:pPr>
      <w:ind w:left="2125"/>
    </w:pPr>
  </w:style>
  <w:style w:type="table" w:customStyle="1" w:styleId="EPLTablePlain">
    <w:name w:val="EPL_Table_Plain"/>
    <w:basedOn w:val="TableNormal"/>
    <w:rsid w:val="00AE0AC7"/>
    <w:pPr>
      <w:spacing w:after="80" w:line="280" w:lineRule="atLeast"/>
      <w:contextualSpacing/>
    </w:pPr>
    <w:rPr>
      <w:rFonts w:ascii="Arial" w:eastAsia="Times New Roman" w:hAnsi="Arial" w:cs="Times New Roman"/>
      <w:sz w:val="18"/>
      <w:szCs w:val="20"/>
      <w:lang w:eastAsia="en-AU"/>
    </w:rPr>
    <w:tblPr>
      <w:tblCellSpacing w:w="28" w:type="dxa"/>
      <w:tblCellMar>
        <w:top w:w="57" w:type="dxa"/>
        <w:left w:w="142" w:type="dxa"/>
        <w:bottom w:w="57" w:type="dxa"/>
        <w:right w:w="142" w:type="dxa"/>
      </w:tblCellMar>
    </w:tblPr>
    <w:trPr>
      <w:tblCellSpacing w:w="28" w:type="dxa"/>
    </w:trPr>
    <w:tcPr>
      <w:shd w:val="clear" w:color="auto" w:fill="F3F3F3"/>
    </w:tcPr>
    <w:tblStylePr w:type="firstRow">
      <w:pPr>
        <w:wordWrap/>
        <w:jc w:val="center"/>
      </w:pPr>
      <w:rPr>
        <w:rFonts w:ascii="Arial Bold" w:hAnsi="Arial Bold"/>
        <w:b/>
        <w:color w:val="000000" w:themeColor="text1"/>
        <w:sz w:val="18"/>
      </w:rPr>
      <w:tblPr/>
      <w:tcPr>
        <w:tcBorders>
          <w:top w:val="single" w:sz="12" w:space="0" w:color="939598" w:themeColor="accent1"/>
          <w:left w:val="nil"/>
          <w:bottom w:val="nil"/>
          <w:right w:val="nil"/>
          <w:insideH w:val="nil"/>
          <w:insideV w:val="nil"/>
          <w:tl2br w:val="nil"/>
          <w:tr2bl w:val="nil"/>
        </w:tcBorders>
        <w:shd w:val="clear" w:color="auto" w:fill="FFFFFF"/>
        <w:vAlign w:val="center"/>
      </w:tcPr>
    </w:tblStylePr>
  </w:style>
  <w:style w:type="paragraph" w:styleId="BodyText">
    <w:name w:val="Body Text"/>
    <w:basedOn w:val="Normal"/>
    <w:link w:val="BodyTextChar"/>
    <w:uiPriority w:val="99"/>
    <w:unhideWhenUsed/>
    <w:rsid w:val="009715E1"/>
    <w:pPr>
      <w:spacing w:after="120" w:line="280" w:lineRule="atLeast"/>
    </w:pPr>
    <w:rPr>
      <w:rFonts w:ascii="Arial" w:hAnsi="Arial"/>
      <w:color w:val="000000" w:themeColor="text1" w:themeShade="80"/>
      <w:sz w:val="20"/>
    </w:rPr>
  </w:style>
  <w:style w:type="character" w:customStyle="1" w:styleId="BodyTextChar">
    <w:name w:val="Body Text Char"/>
    <w:basedOn w:val="DefaultParagraphFont"/>
    <w:link w:val="BodyText"/>
    <w:uiPriority w:val="99"/>
    <w:rsid w:val="009715E1"/>
    <w:rPr>
      <w:rFonts w:ascii="Arial" w:hAnsi="Arial"/>
      <w:color w:val="000000" w:themeColor="text1" w:themeShade="80"/>
      <w:sz w:val="20"/>
    </w:rPr>
  </w:style>
  <w:style w:type="table" w:customStyle="1" w:styleId="EPLTableStandard">
    <w:name w:val="EPL_Table_Standard"/>
    <w:basedOn w:val="TableNormal"/>
    <w:rsid w:val="00A856F8"/>
    <w:pPr>
      <w:spacing w:after="80" w:line="280" w:lineRule="atLeast"/>
      <w:contextualSpacing/>
    </w:pPr>
    <w:rPr>
      <w:rFonts w:ascii="Arial" w:eastAsia="Times New Roman" w:hAnsi="Arial" w:cs="Times New Roman"/>
      <w:sz w:val="18"/>
      <w:szCs w:val="18"/>
      <w:lang w:eastAsia="en-AU"/>
    </w:rPr>
    <w:tblPr>
      <w:tblStyleRowBandSize w:val="1"/>
      <w:tblStyleColBandSize w:val="1"/>
      <w:tblBorders>
        <w:top w:val="single" w:sz="2" w:space="0" w:color="C0C0C0"/>
        <w:left w:val="single" w:sz="2" w:space="0" w:color="FFFFFF"/>
        <w:bottom w:val="single" w:sz="2" w:space="0" w:color="C0C0C0"/>
        <w:right w:val="single" w:sz="2" w:space="0" w:color="FFFFFF"/>
        <w:insideH w:val="single" w:sz="2" w:space="0" w:color="FFFFFF"/>
        <w:insideV w:val="single" w:sz="2" w:space="0" w:color="FFFFFF"/>
      </w:tblBorders>
      <w:tblCellMar>
        <w:top w:w="57" w:type="dxa"/>
        <w:left w:w="142" w:type="dxa"/>
        <w:bottom w:w="57" w:type="dxa"/>
        <w:right w:w="142" w:type="dxa"/>
      </w:tblCellMar>
    </w:tblPr>
    <w:tblStylePr w:type="firstRow">
      <w:pPr>
        <w:wordWrap/>
        <w:jc w:val="center"/>
      </w:pPr>
      <w:rPr>
        <w:rFonts w:ascii="Arial Bold" w:hAnsi="Arial Bold"/>
        <w:b/>
        <w:i w:val="0"/>
        <w:color w:val="auto"/>
        <w:sz w:val="18"/>
        <w:szCs w:val="18"/>
      </w:rPr>
      <w:tblPr/>
      <w:tcPr>
        <w:tcBorders>
          <w:top w:val="single" w:sz="12" w:space="0" w:color="F48024"/>
          <w:left w:val="nil"/>
          <w:bottom w:val="nil"/>
          <w:right w:val="nil"/>
          <w:insideH w:val="nil"/>
          <w:insideV w:val="nil"/>
          <w:tl2br w:val="nil"/>
          <w:tr2bl w:val="nil"/>
        </w:tcBorders>
      </w:tcPr>
    </w:tblStylePr>
    <w:tblStylePr w:type="lastRow">
      <w:tblPr/>
      <w:tcPr>
        <w:tcBorders>
          <w:top w:val="nil"/>
          <w:left w:val="nil"/>
          <w:bottom w:val="single" w:sz="4" w:space="0" w:color="005677" w:themeColor="text2"/>
          <w:right w:val="nil"/>
          <w:insideH w:val="nil"/>
          <w:insideV w:val="nil"/>
          <w:tl2br w:val="nil"/>
          <w:tr2bl w:val="nil"/>
        </w:tcBorders>
      </w:tcPr>
    </w:tblStylePr>
    <w:tblStylePr w:type="firstCol">
      <w:pPr>
        <w:wordWrap/>
        <w:spacing w:beforeLines="0" w:before="0" w:beforeAutospacing="0" w:afterLines="0" w:after="0" w:afterAutospacing="0" w:line="280" w:lineRule="atLeast"/>
      </w:pPr>
      <w:tblPr/>
      <w:tcPr>
        <w:tcBorders>
          <w:top w:val="nil"/>
          <w:left w:val="nil"/>
          <w:bottom w:val="nil"/>
          <w:right w:val="single" w:sz="4" w:space="0" w:color="000000" w:themeColor="text1"/>
          <w:insideH w:val="nil"/>
          <w:insideV w:val="nil"/>
          <w:tl2br w:val="nil"/>
          <w:tr2bl w:val="nil"/>
        </w:tcBorders>
      </w:tcPr>
    </w:tblStylePr>
    <w:tblStylePr w:type="lastCol">
      <w:pPr>
        <w:wordWrap/>
        <w:spacing w:beforeLines="0" w:before="0" w:beforeAutospacing="0" w:afterLines="0" w:after="0" w:afterAutospacing="0" w:line="280" w:lineRule="atLeast"/>
      </w:pPr>
      <w:tblPr/>
      <w:tcPr>
        <w:tcBorders>
          <w:top w:val="nil"/>
          <w:left w:val="single" w:sz="4" w:space="0" w:color="000000" w:themeColor="text1"/>
          <w:bottom w:val="nil"/>
          <w:right w:val="nil"/>
          <w:insideH w:val="nil"/>
          <w:insideV w:val="nil"/>
          <w:tl2br w:val="nil"/>
          <w:tr2bl w:val="nil"/>
        </w:tcBorders>
      </w:tcPr>
    </w:tblStylePr>
    <w:tblStylePr w:type="band1Vert">
      <w:pPr>
        <w:wordWrap/>
        <w:spacing w:beforeLines="0" w:before="0" w:beforeAutospacing="0" w:afterLines="0" w:after="0" w:afterAutospacing="0" w:line="280" w:lineRule="atLeast"/>
      </w:pPr>
    </w:tblStylePr>
    <w:tblStylePr w:type="band2Vert">
      <w:pPr>
        <w:wordWrap/>
        <w:spacing w:beforeLines="0" w:before="0" w:beforeAutospacing="0" w:afterLines="0" w:after="0" w:afterAutospacing="0" w:line="280" w:lineRule="atLeast"/>
      </w:pPr>
    </w:tblStylePr>
    <w:tblStylePr w:type="band1Horz">
      <w:pPr>
        <w:wordWrap/>
        <w:spacing w:beforeLines="0" w:before="0" w:beforeAutospacing="0" w:afterLines="0" w:after="0" w:afterAutospacing="0" w:line="280" w:lineRule="atLeast"/>
      </w:pPr>
      <w:rPr>
        <w:sz w:val="18"/>
      </w:rPr>
      <w:tblPr/>
      <w:tcPr>
        <w:tcBorders>
          <w:top w:val="nil"/>
          <w:left w:val="nil"/>
          <w:bottom w:val="nil"/>
          <w:right w:val="nil"/>
          <w:insideH w:val="nil"/>
          <w:insideV w:val="single" w:sz="4" w:space="0" w:color="000000" w:themeColor="text1"/>
          <w:tl2br w:val="nil"/>
          <w:tr2bl w:val="nil"/>
        </w:tcBorders>
        <w:shd w:val="clear" w:color="auto" w:fill="E5E5E6"/>
      </w:tcPr>
    </w:tblStylePr>
    <w:tblStylePr w:type="band2Horz">
      <w:pPr>
        <w:wordWrap/>
        <w:spacing w:beforeLines="0" w:before="0" w:beforeAutospacing="0" w:afterLines="0" w:after="0" w:afterAutospacing="0" w:line="280" w:lineRule="atLeast"/>
      </w:pPr>
      <w:rPr>
        <w:sz w:val="18"/>
      </w:rPr>
      <w:tblPr/>
      <w:tcPr>
        <w:tcBorders>
          <w:top w:val="nil"/>
          <w:left w:val="nil"/>
          <w:bottom w:val="nil"/>
          <w:right w:val="nil"/>
          <w:insideH w:val="nil"/>
          <w:insideV w:val="single" w:sz="4" w:space="0" w:color="000000" w:themeColor="text1"/>
          <w:tl2br w:val="nil"/>
          <w:tr2bl w:val="nil"/>
        </w:tcBorders>
      </w:tcPr>
    </w:tblStylePr>
  </w:style>
  <w:style w:type="paragraph" w:customStyle="1" w:styleId="Default">
    <w:name w:val="Default"/>
    <w:rsid w:val="004D70F9"/>
    <w:pPr>
      <w:autoSpaceDE w:val="0"/>
      <w:autoSpaceDN w:val="0"/>
      <w:adjustRightInd w:val="0"/>
      <w:spacing w:after="0" w:line="240" w:lineRule="auto"/>
    </w:pPr>
    <w:rPr>
      <w:rFonts w:ascii="Arial" w:hAnsi="Arial" w:cs="Arial"/>
      <w:color w:val="000000"/>
      <w:sz w:val="24"/>
      <w:szCs w:val="24"/>
    </w:rPr>
  </w:style>
  <w:style w:type="character" w:customStyle="1" w:styleId="acopre">
    <w:name w:val="acopre"/>
    <w:basedOn w:val="DefaultParagraphFont"/>
    <w:rsid w:val="00E65F4C"/>
  </w:style>
  <w:style w:type="paragraph" w:styleId="Revision">
    <w:name w:val="Revision"/>
    <w:hidden/>
    <w:uiPriority w:val="99"/>
    <w:semiHidden/>
    <w:rsid w:val="007D5DCB"/>
    <w:pPr>
      <w:spacing w:after="0" w:line="240" w:lineRule="auto"/>
    </w:pPr>
  </w:style>
  <w:style w:type="character" w:customStyle="1" w:styleId="acopre1">
    <w:name w:val="acopre1"/>
    <w:basedOn w:val="DefaultParagraphFont"/>
    <w:rsid w:val="00171DB6"/>
  </w:style>
  <w:style w:type="table" w:styleId="ListTable3-Accent4">
    <w:name w:val="List Table 3 Accent 4"/>
    <w:basedOn w:val="TableNormal"/>
    <w:uiPriority w:val="48"/>
    <w:rsid w:val="006D6BDF"/>
    <w:pPr>
      <w:spacing w:after="0" w:line="240" w:lineRule="auto"/>
    </w:pPr>
    <w:tblPr>
      <w:tblStyleRowBandSize w:val="1"/>
      <w:tblStyleColBandSize w:val="1"/>
      <w:tblBorders>
        <w:top w:val="single" w:sz="4" w:space="0" w:color="61C6C6" w:themeColor="accent4"/>
        <w:left w:val="single" w:sz="4" w:space="0" w:color="61C6C6" w:themeColor="accent4"/>
        <w:bottom w:val="single" w:sz="4" w:space="0" w:color="61C6C6" w:themeColor="accent4"/>
        <w:right w:val="single" w:sz="4" w:space="0" w:color="61C6C6" w:themeColor="accent4"/>
      </w:tblBorders>
    </w:tblPr>
    <w:tblStylePr w:type="firstRow">
      <w:rPr>
        <w:b/>
        <w:bCs/>
        <w:color w:val="FFFFFF" w:themeColor="background1"/>
      </w:rPr>
      <w:tblPr/>
      <w:tcPr>
        <w:shd w:val="clear" w:color="auto" w:fill="61C6C6" w:themeFill="accent4"/>
      </w:tcPr>
    </w:tblStylePr>
    <w:tblStylePr w:type="lastRow">
      <w:rPr>
        <w:b/>
        <w:bCs/>
      </w:rPr>
      <w:tblPr/>
      <w:tcPr>
        <w:tcBorders>
          <w:top w:val="double" w:sz="4" w:space="0" w:color="61C6C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C6C6" w:themeColor="accent4"/>
          <w:right w:val="single" w:sz="4" w:space="0" w:color="61C6C6" w:themeColor="accent4"/>
        </w:tcBorders>
      </w:tcPr>
    </w:tblStylePr>
    <w:tblStylePr w:type="band1Horz">
      <w:tblPr/>
      <w:tcPr>
        <w:tcBorders>
          <w:top w:val="single" w:sz="4" w:space="0" w:color="61C6C6" w:themeColor="accent4"/>
          <w:bottom w:val="single" w:sz="4" w:space="0" w:color="61C6C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C6C6" w:themeColor="accent4"/>
          <w:left w:val="nil"/>
        </w:tcBorders>
      </w:tcPr>
    </w:tblStylePr>
    <w:tblStylePr w:type="swCell">
      <w:tblPr/>
      <w:tcPr>
        <w:tcBorders>
          <w:top w:val="double" w:sz="4" w:space="0" w:color="61C6C6" w:themeColor="accent4"/>
          <w:right w:val="nil"/>
        </w:tcBorders>
      </w:tcPr>
    </w:tblStylePr>
  </w:style>
  <w:style w:type="character" w:styleId="FollowedHyperlink">
    <w:name w:val="FollowedHyperlink"/>
    <w:basedOn w:val="DefaultParagraphFont"/>
    <w:uiPriority w:val="99"/>
    <w:semiHidden/>
    <w:unhideWhenUsed/>
    <w:rsid w:val="00731FCA"/>
    <w:rPr>
      <w:color w:val="551A8B" w:themeColor="followedHyperlink"/>
      <w:u w:val="single"/>
    </w:rPr>
  </w:style>
  <w:style w:type="paragraph" w:styleId="ListNumber">
    <w:name w:val="List Number"/>
    <w:basedOn w:val="Normal"/>
    <w:uiPriority w:val="99"/>
    <w:qFormat/>
    <w:rsid w:val="00B3674A"/>
    <w:pPr>
      <w:numPr>
        <w:numId w:val="24"/>
      </w:numPr>
      <w:spacing w:after="200" w:line="276" w:lineRule="auto"/>
    </w:pPr>
    <w:rPr>
      <w:rFonts w:ascii="Arial" w:eastAsia="Calibri" w:hAnsi="Arial" w:cs="Times New Roman"/>
    </w:rPr>
  </w:style>
  <w:style w:type="paragraph" w:styleId="ListNumber2">
    <w:name w:val="List Number 2"/>
    <w:basedOn w:val="Normal"/>
    <w:uiPriority w:val="99"/>
    <w:rsid w:val="00B3674A"/>
    <w:pPr>
      <w:numPr>
        <w:ilvl w:val="1"/>
        <w:numId w:val="24"/>
      </w:numPr>
      <w:spacing w:after="200" w:line="276" w:lineRule="auto"/>
    </w:pPr>
    <w:rPr>
      <w:rFonts w:ascii="Arial" w:eastAsia="Calibri" w:hAnsi="Arial" w:cs="Times New Roman"/>
    </w:rPr>
  </w:style>
  <w:style w:type="paragraph" w:styleId="ListNumber3">
    <w:name w:val="List Number 3"/>
    <w:basedOn w:val="Normal"/>
    <w:uiPriority w:val="99"/>
    <w:rsid w:val="00B3674A"/>
    <w:pPr>
      <w:numPr>
        <w:ilvl w:val="2"/>
        <w:numId w:val="24"/>
      </w:numPr>
      <w:spacing w:after="200" w:line="276" w:lineRule="auto"/>
    </w:pPr>
    <w:rPr>
      <w:rFonts w:ascii="Arial" w:eastAsia="Calibri" w:hAnsi="Arial" w:cs="Times New Roman"/>
    </w:rPr>
  </w:style>
  <w:style w:type="paragraph" w:styleId="ListNumber4">
    <w:name w:val="List Number 4"/>
    <w:basedOn w:val="Normal"/>
    <w:uiPriority w:val="99"/>
    <w:rsid w:val="00B3674A"/>
    <w:pPr>
      <w:numPr>
        <w:ilvl w:val="3"/>
        <w:numId w:val="24"/>
      </w:numPr>
      <w:spacing w:after="200" w:line="276" w:lineRule="auto"/>
    </w:pPr>
    <w:rPr>
      <w:rFonts w:ascii="Arial" w:eastAsia="Calibri" w:hAnsi="Arial" w:cs="Times New Roman"/>
    </w:rPr>
  </w:style>
  <w:style w:type="paragraph" w:styleId="ListNumber5">
    <w:name w:val="List Number 5"/>
    <w:basedOn w:val="Normal"/>
    <w:uiPriority w:val="99"/>
    <w:rsid w:val="00B3674A"/>
    <w:pPr>
      <w:numPr>
        <w:ilvl w:val="4"/>
        <w:numId w:val="24"/>
      </w:numPr>
      <w:spacing w:after="200" w:line="276" w:lineRule="auto"/>
    </w:pPr>
    <w:rPr>
      <w:rFonts w:ascii="Arial" w:eastAsia="Calibri"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35642">
      <w:bodyDiv w:val="1"/>
      <w:marLeft w:val="0"/>
      <w:marRight w:val="0"/>
      <w:marTop w:val="0"/>
      <w:marBottom w:val="0"/>
      <w:divBdr>
        <w:top w:val="none" w:sz="0" w:space="0" w:color="auto"/>
        <w:left w:val="none" w:sz="0" w:space="0" w:color="auto"/>
        <w:bottom w:val="none" w:sz="0" w:space="0" w:color="auto"/>
        <w:right w:val="none" w:sz="0" w:space="0" w:color="auto"/>
      </w:divBdr>
    </w:div>
    <w:div w:id="19548272">
      <w:bodyDiv w:val="1"/>
      <w:marLeft w:val="0"/>
      <w:marRight w:val="0"/>
      <w:marTop w:val="0"/>
      <w:marBottom w:val="0"/>
      <w:divBdr>
        <w:top w:val="none" w:sz="0" w:space="0" w:color="auto"/>
        <w:left w:val="none" w:sz="0" w:space="0" w:color="auto"/>
        <w:bottom w:val="none" w:sz="0" w:space="0" w:color="auto"/>
        <w:right w:val="none" w:sz="0" w:space="0" w:color="auto"/>
      </w:divBdr>
    </w:div>
    <w:div w:id="30765319">
      <w:bodyDiv w:val="1"/>
      <w:marLeft w:val="0"/>
      <w:marRight w:val="0"/>
      <w:marTop w:val="0"/>
      <w:marBottom w:val="0"/>
      <w:divBdr>
        <w:top w:val="none" w:sz="0" w:space="0" w:color="auto"/>
        <w:left w:val="none" w:sz="0" w:space="0" w:color="auto"/>
        <w:bottom w:val="none" w:sz="0" w:space="0" w:color="auto"/>
        <w:right w:val="none" w:sz="0" w:space="0" w:color="auto"/>
      </w:divBdr>
    </w:div>
    <w:div w:id="54470329">
      <w:bodyDiv w:val="1"/>
      <w:marLeft w:val="0"/>
      <w:marRight w:val="0"/>
      <w:marTop w:val="0"/>
      <w:marBottom w:val="0"/>
      <w:divBdr>
        <w:top w:val="none" w:sz="0" w:space="0" w:color="auto"/>
        <w:left w:val="none" w:sz="0" w:space="0" w:color="auto"/>
        <w:bottom w:val="none" w:sz="0" w:space="0" w:color="auto"/>
        <w:right w:val="none" w:sz="0" w:space="0" w:color="auto"/>
      </w:divBdr>
    </w:div>
    <w:div w:id="76053274">
      <w:bodyDiv w:val="1"/>
      <w:marLeft w:val="0"/>
      <w:marRight w:val="0"/>
      <w:marTop w:val="0"/>
      <w:marBottom w:val="0"/>
      <w:divBdr>
        <w:top w:val="none" w:sz="0" w:space="0" w:color="auto"/>
        <w:left w:val="none" w:sz="0" w:space="0" w:color="auto"/>
        <w:bottom w:val="none" w:sz="0" w:space="0" w:color="auto"/>
        <w:right w:val="none" w:sz="0" w:space="0" w:color="auto"/>
      </w:divBdr>
    </w:div>
    <w:div w:id="116145269">
      <w:bodyDiv w:val="1"/>
      <w:marLeft w:val="0"/>
      <w:marRight w:val="0"/>
      <w:marTop w:val="0"/>
      <w:marBottom w:val="0"/>
      <w:divBdr>
        <w:top w:val="none" w:sz="0" w:space="0" w:color="auto"/>
        <w:left w:val="none" w:sz="0" w:space="0" w:color="auto"/>
        <w:bottom w:val="none" w:sz="0" w:space="0" w:color="auto"/>
        <w:right w:val="none" w:sz="0" w:space="0" w:color="auto"/>
      </w:divBdr>
    </w:div>
    <w:div w:id="125124162">
      <w:bodyDiv w:val="1"/>
      <w:marLeft w:val="0"/>
      <w:marRight w:val="0"/>
      <w:marTop w:val="0"/>
      <w:marBottom w:val="0"/>
      <w:divBdr>
        <w:top w:val="none" w:sz="0" w:space="0" w:color="auto"/>
        <w:left w:val="none" w:sz="0" w:space="0" w:color="auto"/>
        <w:bottom w:val="none" w:sz="0" w:space="0" w:color="auto"/>
        <w:right w:val="none" w:sz="0" w:space="0" w:color="auto"/>
      </w:divBdr>
    </w:div>
    <w:div w:id="132329623">
      <w:bodyDiv w:val="1"/>
      <w:marLeft w:val="0"/>
      <w:marRight w:val="0"/>
      <w:marTop w:val="0"/>
      <w:marBottom w:val="0"/>
      <w:divBdr>
        <w:top w:val="none" w:sz="0" w:space="0" w:color="auto"/>
        <w:left w:val="none" w:sz="0" w:space="0" w:color="auto"/>
        <w:bottom w:val="none" w:sz="0" w:space="0" w:color="auto"/>
        <w:right w:val="none" w:sz="0" w:space="0" w:color="auto"/>
      </w:divBdr>
    </w:div>
    <w:div w:id="178466969">
      <w:bodyDiv w:val="1"/>
      <w:marLeft w:val="0"/>
      <w:marRight w:val="0"/>
      <w:marTop w:val="0"/>
      <w:marBottom w:val="0"/>
      <w:divBdr>
        <w:top w:val="none" w:sz="0" w:space="0" w:color="auto"/>
        <w:left w:val="none" w:sz="0" w:space="0" w:color="auto"/>
        <w:bottom w:val="none" w:sz="0" w:space="0" w:color="auto"/>
        <w:right w:val="none" w:sz="0" w:space="0" w:color="auto"/>
      </w:divBdr>
    </w:div>
    <w:div w:id="179592494">
      <w:bodyDiv w:val="1"/>
      <w:marLeft w:val="0"/>
      <w:marRight w:val="0"/>
      <w:marTop w:val="0"/>
      <w:marBottom w:val="0"/>
      <w:divBdr>
        <w:top w:val="none" w:sz="0" w:space="0" w:color="auto"/>
        <w:left w:val="none" w:sz="0" w:space="0" w:color="auto"/>
        <w:bottom w:val="none" w:sz="0" w:space="0" w:color="auto"/>
        <w:right w:val="none" w:sz="0" w:space="0" w:color="auto"/>
      </w:divBdr>
      <w:divsChild>
        <w:div w:id="112137184">
          <w:marLeft w:val="0"/>
          <w:marRight w:val="0"/>
          <w:marTop w:val="0"/>
          <w:marBottom w:val="0"/>
          <w:divBdr>
            <w:top w:val="none" w:sz="0" w:space="0" w:color="auto"/>
            <w:left w:val="none" w:sz="0" w:space="0" w:color="auto"/>
            <w:bottom w:val="none" w:sz="0" w:space="0" w:color="auto"/>
            <w:right w:val="none" w:sz="0" w:space="0" w:color="auto"/>
          </w:divBdr>
          <w:divsChild>
            <w:div w:id="1045905816">
              <w:marLeft w:val="0"/>
              <w:marRight w:val="0"/>
              <w:marTop w:val="0"/>
              <w:marBottom w:val="0"/>
              <w:divBdr>
                <w:top w:val="none" w:sz="0" w:space="0" w:color="auto"/>
                <w:left w:val="none" w:sz="0" w:space="0" w:color="auto"/>
                <w:bottom w:val="none" w:sz="0" w:space="0" w:color="auto"/>
                <w:right w:val="none" w:sz="0" w:space="0" w:color="auto"/>
              </w:divBdr>
              <w:divsChild>
                <w:div w:id="1828323983">
                  <w:marLeft w:val="0"/>
                  <w:marRight w:val="0"/>
                  <w:marTop w:val="0"/>
                  <w:marBottom w:val="0"/>
                  <w:divBdr>
                    <w:top w:val="none" w:sz="0" w:space="0" w:color="auto"/>
                    <w:left w:val="none" w:sz="0" w:space="0" w:color="auto"/>
                    <w:bottom w:val="none" w:sz="0" w:space="0" w:color="auto"/>
                    <w:right w:val="none" w:sz="0" w:space="0" w:color="auto"/>
                  </w:divBdr>
                  <w:divsChild>
                    <w:div w:id="304241263">
                      <w:marLeft w:val="0"/>
                      <w:marRight w:val="0"/>
                      <w:marTop w:val="0"/>
                      <w:marBottom w:val="0"/>
                      <w:divBdr>
                        <w:top w:val="none" w:sz="0" w:space="0" w:color="auto"/>
                        <w:left w:val="none" w:sz="0" w:space="0" w:color="auto"/>
                        <w:bottom w:val="none" w:sz="0" w:space="0" w:color="auto"/>
                        <w:right w:val="none" w:sz="0" w:space="0" w:color="auto"/>
                      </w:divBdr>
                      <w:divsChild>
                        <w:div w:id="1192835980">
                          <w:marLeft w:val="-225"/>
                          <w:marRight w:val="-225"/>
                          <w:marTop w:val="0"/>
                          <w:marBottom w:val="0"/>
                          <w:divBdr>
                            <w:top w:val="none" w:sz="0" w:space="0" w:color="auto"/>
                            <w:left w:val="none" w:sz="0" w:space="0" w:color="auto"/>
                            <w:bottom w:val="none" w:sz="0" w:space="0" w:color="auto"/>
                            <w:right w:val="none" w:sz="0" w:space="0" w:color="auto"/>
                          </w:divBdr>
                          <w:divsChild>
                            <w:div w:id="650214681">
                              <w:marLeft w:val="0"/>
                              <w:marRight w:val="0"/>
                              <w:marTop w:val="0"/>
                              <w:marBottom w:val="0"/>
                              <w:divBdr>
                                <w:top w:val="none" w:sz="0" w:space="0" w:color="auto"/>
                                <w:left w:val="none" w:sz="0" w:space="0" w:color="auto"/>
                                <w:bottom w:val="none" w:sz="0" w:space="0" w:color="auto"/>
                                <w:right w:val="none" w:sz="0" w:space="0" w:color="auto"/>
                              </w:divBdr>
                              <w:divsChild>
                                <w:div w:id="737242431">
                                  <w:marLeft w:val="0"/>
                                  <w:marRight w:val="0"/>
                                  <w:marTop w:val="0"/>
                                  <w:marBottom w:val="0"/>
                                  <w:divBdr>
                                    <w:top w:val="none" w:sz="0" w:space="0" w:color="auto"/>
                                    <w:left w:val="none" w:sz="0" w:space="0" w:color="auto"/>
                                    <w:bottom w:val="none" w:sz="0" w:space="0" w:color="auto"/>
                                    <w:right w:val="none" w:sz="0" w:space="0" w:color="auto"/>
                                  </w:divBdr>
                                  <w:divsChild>
                                    <w:div w:id="417605345">
                                      <w:marLeft w:val="0"/>
                                      <w:marRight w:val="0"/>
                                      <w:marTop w:val="0"/>
                                      <w:marBottom w:val="0"/>
                                      <w:divBdr>
                                        <w:top w:val="none" w:sz="0" w:space="0" w:color="auto"/>
                                        <w:left w:val="none" w:sz="0" w:space="0" w:color="auto"/>
                                        <w:bottom w:val="none" w:sz="0" w:space="0" w:color="auto"/>
                                        <w:right w:val="none" w:sz="0" w:space="0" w:color="auto"/>
                                      </w:divBdr>
                                      <w:divsChild>
                                        <w:div w:id="1504127106">
                                          <w:marLeft w:val="-225"/>
                                          <w:marRight w:val="-225"/>
                                          <w:marTop w:val="0"/>
                                          <w:marBottom w:val="0"/>
                                          <w:divBdr>
                                            <w:top w:val="none" w:sz="0" w:space="0" w:color="auto"/>
                                            <w:left w:val="none" w:sz="0" w:space="0" w:color="auto"/>
                                            <w:bottom w:val="none" w:sz="0" w:space="0" w:color="auto"/>
                                            <w:right w:val="none" w:sz="0" w:space="0" w:color="auto"/>
                                          </w:divBdr>
                                          <w:divsChild>
                                            <w:div w:id="154491272">
                                              <w:marLeft w:val="0"/>
                                              <w:marRight w:val="0"/>
                                              <w:marTop w:val="0"/>
                                              <w:marBottom w:val="0"/>
                                              <w:divBdr>
                                                <w:top w:val="none" w:sz="0" w:space="0" w:color="auto"/>
                                                <w:left w:val="none" w:sz="0" w:space="0" w:color="auto"/>
                                                <w:bottom w:val="none" w:sz="0" w:space="0" w:color="auto"/>
                                                <w:right w:val="none" w:sz="0" w:space="0" w:color="auto"/>
                                              </w:divBdr>
                                              <w:divsChild>
                                                <w:div w:id="1250306298">
                                                  <w:marLeft w:val="0"/>
                                                  <w:marRight w:val="0"/>
                                                  <w:marTop w:val="0"/>
                                                  <w:marBottom w:val="0"/>
                                                  <w:divBdr>
                                                    <w:top w:val="none" w:sz="0" w:space="0" w:color="auto"/>
                                                    <w:left w:val="none" w:sz="0" w:space="0" w:color="auto"/>
                                                    <w:bottom w:val="none" w:sz="0" w:space="0" w:color="auto"/>
                                                    <w:right w:val="none" w:sz="0" w:space="0" w:color="auto"/>
                                                  </w:divBdr>
                                                  <w:divsChild>
                                                    <w:div w:id="249389185">
                                                      <w:marLeft w:val="0"/>
                                                      <w:marRight w:val="0"/>
                                                      <w:marTop w:val="0"/>
                                                      <w:marBottom w:val="0"/>
                                                      <w:divBdr>
                                                        <w:top w:val="none" w:sz="0" w:space="0" w:color="auto"/>
                                                        <w:left w:val="none" w:sz="0" w:space="0" w:color="auto"/>
                                                        <w:bottom w:val="none" w:sz="0" w:space="0" w:color="auto"/>
                                                        <w:right w:val="none" w:sz="0" w:space="0" w:color="auto"/>
                                                      </w:divBdr>
                                                      <w:divsChild>
                                                        <w:div w:id="1418360607">
                                                          <w:marLeft w:val="0"/>
                                                          <w:marRight w:val="0"/>
                                                          <w:marTop w:val="0"/>
                                                          <w:marBottom w:val="0"/>
                                                          <w:divBdr>
                                                            <w:top w:val="none" w:sz="0" w:space="0" w:color="auto"/>
                                                            <w:left w:val="none" w:sz="0" w:space="0" w:color="auto"/>
                                                            <w:bottom w:val="none" w:sz="0" w:space="0" w:color="auto"/>
                                                            <w:right w:val="none" w:sz="0" w:space="0" w:color="auto"/>
                                                          </w:divBdr>
                                                          <w:divsChild>
                                                            <w:div w:id="104644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323491">
      <w:bodyDiv w:val="1"/>
      <w:marLeft w:val="0"/>
      <w:marRight w:val="0"/>
      <w:marTop w:val="0"/>
      <w:marBottom w:val="0"/>
      <w:divBdr>
        <w:top w:val="none" w:sz="0" w:space="0" w:color="auto"/>
        <w:left w:val="none" w:sz="0" w:space="0" w:color="auto"/>
        <w:bottom w:val="none" w:sz="0" w:space="0" w:color="auto"/>
        <w:right w:val="none" w:sz="0" w:space="0" w:color="auto"/>
      </w:divBdr>
    </w:div>
    <w:div w:id="204874613">
      <w:bodyDiv w:val="1"/>
      <w:marLeft w:val="0"/>
      <w:marRight w:val="0"/>
      <w:marTop w:val="0"/>
      <w:marBottom w:val="0"/>
      <w:divBdr>
        <w:top w:val="none" w:sz="0" w:space="0" w:color="auto"/>
        <w:left w:val="none" w:sz="0" w:space="0" w:color="auto"/>
        <w:bottom w:val="none" w:sz="0" w:space="0" w:color="auto"/>
        <w:right w:val="none" w:sz="0" w:space="0" w:color="auto"/>
      </w:divBdr>
    </w:div>
    <w:div w:id="205916699">
      <w:bodyDiv w:val="1"/>
      <w:marLeft w:val="0"/>
      <w:marRight w:val="0"/>
      <w:marTop w:val="0"/>
      <w:marBottom w:val="0"/>
      <w:divBdr>
        <w:top w:val="none" w:sz="0" w:space="0" w:color="auto"/>
        <w:left w:val="none" w:sz="0" w:space="0" w:color="auto"/>
        <w:bottom w:val="none" w:sz="0" w:space="0" w:color="auto"/>
        <w:right w:val="none" w:sz="0" w:space="0" w:color="auto"/>
      </w:divBdr>
    </w:div>
    <w:div w:id="219633828">
      <w:bodyDiv w:val="1"/>
      <w:marLeft w:val="0"/>
      <w:marRight w:val="0"/>
      <w:marTop w:val="0"/>
      <w:marBottom w:val="0"/>
      <w:divBdr>
        <w:top w:val="none" w:sz="0" w:space="0" w:color="auto"/>
        <w:left w:val="none" w:sz="0" w:space="0" w:color="auto"/>
        <w:bottom w:val="none" w:sz="0" w:space="0" w:color="auto"/>
        <w:right w:val="none" w:sz="0" w:space="0" w:color="auto"/>
      </w:divBdr>
    </w:div>
    <w:div w:id="226653455">
      <w:bodyDiv w:val="1"/>
      <w:marLeft w:val="0"/>
      <w:marRight w:val="0"/>
      <w:marTop w:val="0"/>
      <w:marBottom w:val="0"/>
      <w:divBdr>
        <w:top w:val="none" w:sz="0" w:space="0" w:color="auto"/>
        <w:left w:val="none" w:sz="0" w:space="0" w:color="auto"/>
        <w:bottom w:val="none" w:sz="0" w:space="0" w:color="auto"/>
        <w:right w:val="none" w:sz="0" w:space="0" w:color="auto"/>
      </w:divBdr>
    </w:div>
    <w:div w:id="240796868">
      <w:bodyDiv w:val="1"/>
      <w:marLeft w:val="0"/>
      <w:marRight w:val="0"/>
      <w:marTop w:val="0"/>
      <w:marBottom w:val="0"/>
      <w:divBdr>
        <w:top w:val="none" w:sz="0" w:space="0" w:color="auto"/>
        <w:left w:val="none" w:sz="0" w:space="0" w:color="auto"/>
        <w:bottom w:val="none" w:sz="0" w:space="0" w:color="auto"/>
        <w:right w:val="none" w:sz="0" w:space="0" w:color="auto"/>
      </w:divBdr>
    </w:div>
    <w:div w:id="268395636">
      <w:bodyDiv w:val="1"/>
      <w:marLeft w:val="0"/>
      <w:marRight w:val="0"/>
      <w:marTop w:val="0"/>
      <w:marBottom w:val="0"/>
      <w:divBdr>
        <w:top w:val="none" w:sz="0" w:space="0" w:color="auto"/>
        <w:left w:val="none" w:sz="0" w:space="0" w:color="auto"/>
        <w:bottom w:val="none" w:sz="0" w:space="0" w:color="auto"/>
        <w:right w:val="none" w:sz="0" w:space="0" w:color="auto"/>
      </w:divBdr>
    </w:div>
    <w:div w:id="318189683">
      <w:bodyDiv w:val="1"/>
      <w:marLeft w:val="0"/>
      <w:marRight w:val="0"/>
      <w:marTop w:val="0"/>
      <w:marBottom w:val="0"/>
      <w:divBdr>
        <w:top w:val="none" w:sz="0" w:space="0" w:color="auto"/>
        <w:left w:val="none" w:sz="0" w:space="0" w:color="auto"/>
        <w:bottom w:val="none" w:sz="0" w:space="0" w:color="auto"/>
        <w:right w:val="none" w:sz="0" w:space="0" w:color="auto"/>
      </w:divBdr>
    </w:div>
    <w:div w:id="373510016">
      <w:bodyDiv w:val="1"/>
      <w:marLeft w:val="0"/>
      <w:marRight w:val="0"/>
      <w:marTop w:val="0"/>
      <w:marBottom w:val="0"/>
      <w:divBdr>
        <w:top w:val="none" w:sz="0" w:space="0" w:color="auto"/>
        <w:left w:val="none" w:sz="0" w:space="0" w:color="auto"/>
        <w:bottom w:val="none" w:sz="0" w:space="0" w:color="auto"/>
        <w:right w:val="none" w:sz="0" w:space="0" w:color="auto"/>
      </w:divBdr>
    </w:div>
    <w:div w:id="395711653">
      <w:bodyDiv w:val="1"/>
      <w:marLeft w:val="0"/>
      <w:marRight w:val="0"/>
      <w:marTop w:val="0"/>
      <w:marBottom w:val="0"/>
      <w:divBdr>
        <w:top w:val="none" w:sz="0" w:space="0" w:color="auto"/>
        <w:left w:val="none" w:sz="0" w:space="0" w:color="auto"/>
        <w:bottom w:val="none" w:sz="0" w:space="0" w:color="auto"/>
        <w:right w:val="none" w:sz="0" w:space="0" w:color="auto"/>
      </w:divBdr>
    </w:div>
    <w:div w:id="422261921">
      <w:bodyDiv w:val="1"/>
      <w:marLeft w:val="0"/>
      <w:marRight w:val="0"/>
      <w:marTop w:val="0"/>
      <w:marBottom w:val="0"/>
      <w:divBdr>
        <w:top w:val="none" w:sz="0" w:space="0" w:color="auto"/>
        <w:left w:val="none" w:sz="0" w:space="0" w:color="auto"/>
        <w:bottom w:val="none" w:sz="0" w:space="0" w:color="auto"/>
        <w:right w:val="none" w:sz="0" w:space="0" w:color="auto"/>
      </w:divBdr>
    </w:div>
    <w:div w:id="430274679">
      <w:bodyDiv w:val="1"/>
      <w:marLeft w:val="0"/>
      <w:marRight w:val="0"/>
      <w:marTop w:val="0"/>
      <w:marBottom w:val="0"/>
      <w:divBdr>
        <w:top w:val="none" w:sz="0" w:space="0" w:color="auto"/>
        <w:left w:val="none" w:sz="0" w:space="0" w:color="auto"/>
        <w:bottom w:val="none" w:sz="0" w:space="0" w:color="auto"/>
        <w:right w:val="none" w:sz="0" w:space="0" w:color="auto"/>
      </w:divBdr>
    </w:div>
    <w:div w:id="441612132">
      <w:bodyDiv w:val="1"/>
      <w:marLeft w:val="0"/>
      <w:marRight w:val="0"/>
      <w:marTop w:val="0"/>
      <w:marBottom w:val="0"/>
      <w:divBdr>
        <w:top w:val="none" w:sz="0" w:space="0" w:color="auto"/>
        <w:left w:val="none" w:sz="0" w:space="0" w:color="auto"/>
        <w:bottom w:val="none" w:sz="0" w:space="0" w:color="auto"/>
        <w:right w:val="none" w:sz="0" w:space="0" w:color="auto"/>
      </w:divBdr>
    </w:div>
    <w:div w:id="460656004">
      <w:bodyDiv w:val="1"/>
      <w:marLeft w:val="0"/>
      <w:marRight w:val="0"/>
      <w:marTop w:val="0"/>
      <w:marBottom w:val="0"/>
      <w:divBdr>
        <w:top w:val="none" w:sz="0" w:space="0" w:color="auto"/>
        <w:left w:val="none" w:sz="0" w:space="0" w:color="auto"/>
        <w:bottom w:val="none" w:sz="0" w:space="0" w:color="auto"/>
        <w:right w:val="none" w:sz="0" w:space="0" w:color="auto"/>
      </w:divBdr>
    </w:div>
    <w:div w:id="463734466">
      <w:bodyDiv w:val="1"/>
      <w:marLeft w:val="0"/>
      <w:marRight w:val="0"/>
      <w:marTop w:val="0"/>
      <w:marBottom w:val="0"/>
      <w:divBdr>
        <w:top w:val="none" w:sz="0" w:space="0" w:color="auto"/>
        <w:left w:val="none" w:sz="0" w:space="0" w:color="auto"/>
        <w:bottom w:val="none" w:sz="0" w:space="0" w:color="auto"/>
        <w:right w:val="none" w:sz="0" w:space="0" w:color="auto"/>
      </w:divBdr>
    </w:div>
    <w:div w:id="496506350">
      <w:bodyDiv w:val="1"/>
      <w:marLeft w:val="0"/>
      <w:marRight w:val="0"/>
      <w:marTop w:val="0"/>
      <w:marBottom w:val="0"/>
      <w:divBdr>
        <w:top w:val="none" w:sz="0" w:space="0" w:color="auto"/>
        <w:left w:val="none" w:sz="0" w:space="0" w:color="auto"/>
        <w:bottom w:val="none" w:sz="0" w:space="0" w:color="auto"/>
        <w:right w:val="none" w:sz="0" w:space="0" w:color="auto"/>
      </w:divBdr>
    </w:div>
    <w:div w:id="508063267">
      <w:bodyDiv w:val="1"/>
      <w:marLeft w:val="0"/>
      <w:marRight w:val="0"/>
      <w:marTop w:val="0"/>
      <w:marBottom w:val="0"/>
      <w:divBdr>
        <w:top w:val="none" w:sz="0" w:space="0" w:color="auto"/>
        <w:left w:val="none" w:sz="0" w:space="0" w:color="auto"/>
        <w:bottom w:val="none" w:sz="0" w:space="0" w:color="auto"/>
        <w:right w:val="none" w:sz="0" w:space="0" w:color="auto"/>
      </w:divBdr>
    </w:div>
    <w:div w:id="520316122">
      <w:bodyDiv w:val="1"/>
      <w:marLeft w:val="0"/>
      <w:marRight w:val="0"/>
      <w:marTop w:val="0"/>
      <w:marBottom w:val="0"/>
      <w:divBdr>
        <w:top w:val="none" w:sz="0" w:space="0" w:color="auto"/>
        <w:left w:val="none" w:sz="0" w:space="0" w:color="auto"/>
        <w:bottom w:val="none" w:sz="0" w:space="0" w:color="auto"/>
        <w:right w:val="none" w:sz="0" w:space="0" w:color="auto"/>
      </w:divBdr>
    </w:div>
    <w:div w:id="535241754">
      <w:bodyDiv w:val="1"/>
      <w:marLeft w:val="0"/>
      <w:marRight w:val="0"/>
      <w:marTop w:val="0"/>
      <w:marBottom w:val="0"/>
      <w:divBdr>
        <w:top w:val="none" w:sz="0" w:space="0" w:color="auto"/>
        <w:left w:val="none" w:sz="0" w:space="0" w:color="auto"/>
        <w:bottom w:val="none" w:sz="0" w:space="0" w:color="auto"/>
        <w:right w:val="none" w:sz="0" w:space="0" w:color="auto"/>
      </w:divBdr>
    </w:div>
    <w:div w:id="536546172">
      <w:bodyDiv w:val="1"/>
      <w:marLeft w:val="0"/>
      <w:marRight w:val="0"/>
      <w:marTop w:val="0"/>
      <w:marBottom w:val="0"/>
      <w:divBdr>
        <w:top w:val="none" w:sz="0" w:space="0" w:color="auto"/>
        <w:left w:val="none" w:sz="0" w:space="0" w:color="auto"/>
        <w:bottom w:val="none" w:sz="0" w:space="0" w:color="auto"/>
        <w:right w:val="none" w:sz="0" w:space="0" w:color="auto"/>
      </w:divBdr>
    </w:div>
    <w:div w:id="538780441">
      <w:bodyDiv w:val="1"/>
      <w:marLeft w:val="0"/>
      <w:marRight w:val="0"/>
      <w:marTop w:val="0"/>
      <w:marBottom w:val="0"/>
      <w:divBdr>
        <w:top w:val="none" w:sz="0" w:space="0" w:color="auto"/>
        <w:left w:val="none" w:sz="0" w:space="0" w:color="auto"/>
        <w:bottom w:val="none" w:sz="0" w:space="0" w:color="auto"/>
        <w:right w:val="none" w:sz="0" w:space="0" w:color="auto"/>
      </w:divBdr>
    </w:div>
    <w:div w:id="549150868">
      <w:bodyDiv w:val="1"/>
      <w:marLeft w:val="0"/>
      <w:marRight w:val="0"/>
      <w:marTop w:val="0"/>
      <w:marBottom w:val="0"/>
      <w:divBdr>
        <w:top w:val="none" w:sz="0" w:space="0" w:color="auto"/>
        <w:left w:val="none" w:sz="0" w:space="0" w:color="auto"/>
        <w:bottom w:val="none" w:sz="0" w:space="0" w:color="auto"/>
        <w:right w:val="none" w:sz="0" w:space="0" w:color="auto"/>
      </w:divBdr>
    </w:div>
    <w:div w:id="566769620">
      <w:bodyDiv w:val="1"/>
      <w:marLeft w:val="0"/>
      <w:marRight w:val="0"/>
      <w:marTop w:val="0"/>
      <w:marBottom w:val="0"/>
      <w:divBdr>
        <w:top w:val="none" w:sz="0" w:space="0" w:color="auto"/>
        <w:left w:val="none" w:sz="0" w:space="0" w:color="auto"/>
        <w:bottom w:val="none" w:sz="0" w:space="0" w:color="auto"/>
        <w:right w:val="none" w:sz="0" w:space="0" w:color="auto"/>
      </w:divBdr>
    </w:div>
    <w:div w:id="582956378">
      <w:bodyDiv w:val="1"/>
      <w:marLeft w:val="0"/>
      <w:marRight w:val="0"/>
      <w:marTop w:val="0"/>
      <w:marBottom w:val="0"/>
      <w:divBdr>
        <w:top w:val="none" w:sz="0" w:space="0" w:color="auto"/>
        <w:left w:val="none" w:sz="0" w:space="0" w:color="auto"/>
        <w:bottom w:val="none" w:sz="0" w:space="0" w:color="auto"/>
        <w:right w:val="none" w:sz="0" w:space="0" w:color="auto"/>
      </w:divBdr>
    </w:div>
    <w:div w:id="596133328">
      <w:bodyDiv w:val="1"/>
      <w:marLeft w:val="0"/>
      <w:marRight w:val="0"/>
      <w:marTop w:val="0"/>
      <w:marBottom w:val="0"/>
      <w:divBdr>
        <w:top w:val="none" w:sz="0" w:space="0" w:color="auto"/>
        <w:left w:val="none" w:sz="0" w:space="0" w:color="auto"/>
        <w:bottom w:val="none" w:sz="0" w:space="0" w:color="auto"/>
        <w:right w:val="none" w:sz="0" w:space="0" w:color="auto"/>
      </w:divBdr>
    </w:div>
    <w:div w:id="645277629">
      <w:bodyDiv w:val="1"/>
      <w:marLeft w:val="0"/>
      <w:marRight w:val="0"/>
      <w:marTop w:val="0"/>
      <w:marBottom w:val="0"/>
      <w:divBdr>
        <w:top w:val="none" w:sz="0" w:space="0" w:color="auto"/>
        <w:left w:val="none" w:sz="0" w:space="0" w:color="auto"/>
        <w:bottom w:val="none" w:sz="0" w:space="0" w:color="auto"/>
        <w:right w:val="none" w:sz="0" w:space="0" w:color="auto"/>
      </w:divBdr>
    </w:div>
    <w:div w:id="678895331">
      <w:bodyDiv w:val="1"/>
      <w:marLeft w:val="0"/>
      <w:marRight w:val="0"/>
      <w:marTop w:val="0"/>
      <w:marBottom w:val="0"/>
      <w:divBdr>
        <w:top w:val="none" w:sz="0" w:space="0" w:color="auto"/>
        <w:left w:val="none" w:sz="0" w:space="0" w:color="auto"/>
        <w:bottom w:val="none" w:sz="0" w:space="0" w:color="auto"/>
        <w:right w:val="none" w:sz="0" w:space="0" w:color="auto"/>
      </w:divBdr>
    </w:div>
    <w:div w:id="679817552">
      <w:bodyDiv w:val="1"/>
      <w:marLeft w:val="0"/>
      <w:marRight w:val="0"/>
      <w:marTop w:val="0"/>
      <w:marBottom w:val="0"/>
      <w:divBdr>
        <w:top w:val="none" w:sz="0" w:space="0" w:color="auto"/>
        <w:left w:val="none" w:sz="0" w:space="0" w:color="auto"/>
        <w:bottom w:val="none" w:sz="0" w:space="0" w:color="auto"/>
        <w:right w:val="none" w:sz="0" w:space="0" w:color="auto"/>
      </w:divBdr>
    </w:div>
    <w:div w:id="688524891">
      <w:bodyDiv w:val="1"/>
      <w:marLeft w:val="0"/>
      <w:marRight w:val="0"/>
      <w:marTop w:val="0"/>
      <w:marBottom w:val="0"/>
      <w:divBdr>
        <w:top w:val="none" w:sz="0" w:space="0" w:color="auto"/>
        <w:left w:val="none" w:sz="0" w:space="0" w:color="auto"/>
        <w:bottom w:val="none" w:sz="0" w:space="0" w:color="auto"/>
        <w:right w:val="none" w:sz="0" w:space="0" w:color="auto"/>
      </w:divBdr>
    </w:div>
    <w:div w:id="703794627">
      <w:bodyDiv w:val="1"/>
      <w:marLeft w:val="0"/>
      <w:marRight w:val="0"/>
      <w:marTop w:val="0"/>
      <w:marBottom w:val="0"/>
      <w:divBdr>
        <w:top w:val="none" w:sz="0" w:space="0" w:color="auto"/>
        <w:left w:val="none" w:sz="0" w:space="0" w:color="auto"/>
        <w:bottom w:val="none" w:sz="0" w:space="0" w:color="auto"/>
        <w:right w:val="none" w:sz="0" w:space="0" w:color="auto"/>
      </w:divBdr>
    </w:div>
    <w:div w:id="726992796">
      <w:bodyDiv w:val="1"/>
      <w:marLeft w:val="0"/>
      <w:marRight w:val="0"/>
      <w:marTop w:val="0"/>
      <w:marBottom w:val="0"/>
      <w:divBdr>
        <w:top w:val="none" w:sz="0" w:space="0" w:color="auto"/>
        <w:left w:val="none" w:sz="0" w:space="0" w:color="auto"/>
        <w:bottom w:val="none" w:sz="0" w:space="0" w:color="auto"/>
        <w:right w:val="none" w:sz="0" w:space="0" w:color="auto"/>
      </w:divBdr>
    </w:div>
    <w:div w:id="728765747">
      <w:bodyDiv w:val="1"/>
      <w:marLeft w:val="0"/>
      <w:marRight w:val="0"/>
      <w:marTop w:val="0"/>
      <w:marBottom w:val="0"/>
      <w:divBdr>
        <w:top w:val="none" w:sz="0" w:space="0" w:color="auto"/>
        <w:left w:val="none" w:sz="0" w:space="0" w:color="auto"/>
        <w:bottom w:val="none" w:sz="0" w:space="0" w:color="auto"/>
        <w:right w:val="none" w:sz="0" w:space="0" w:color="auto"/>
      </w:divBdr>
    </w:div>
    <w:div w:id="805006886">
      <w:bodyDiv w:val="1"/>
      <w:marLeft w:val="0"/>
      <w:marRight w:val="0"/>
      <w:marTop w:val="0"/>
      <w:marBottom w:val="0"/>
      <w:divBdr>
        <w:top w:val="none" w:sz="0" w:space="0" w:color="auto"/>
        <w:left w:val="none" w:sz="0" w:space="0" w:color="auto"/>
        <w:bottom w:val="none" w:sz="0" w:space="0" w:color="auto"/>
        <w:right w:val="none" w:sz="0" w:space="0" w:color="auto"/>
      </w:divBdr>
    </w:div>
    <w:div w:id="810362847">
      <w:bodyDiv w:val="1"/>
      <w:marLeft w:val="0"/>
      <w:marRight w:val="0"/>
      <w:marTop w:val="0"/>
      <w:marBottom w:val="0"/>
      <w:divBdr>
        <w:top w:val="none" w:sz="0" w:space="0" w:color="auto"/>
        <w:left w:val="none" w:sz="0" w:space="0" w:color="auto"/>
        <w:bottom w:val="none" w:sz="0" w:space="0" w:color="auto"/>
        <w:right w:val="none" w:sz="0" w:space="0" w:color="auto"/>
      </w:divBdr>
    </w:div>
    <w:div w:id="819662768">
      <w:bodyDiv w:val="1"/>
      <w:marLeft w:val="0"/>
      <w:marRight w:val="0"/>
      <w:marTop w:val="0"/>
      <w:marBottom w:val="0"/>
      <w:divBdr>
        <w:top w:val="none" w:sz="0" w:space="0" w:color="auto"/>
        <w:left w:val="none" w:sz="0" w:space="0" w:color="auto"/>
        <w:bottom w:val="none" w:sz="0" w:space="0" w:color="auto"/>
        <w:right w:val="none" w:sz="0" w:space="0" w:color="auto"/>
      </w:divBdr>
    </w:div>
    <w:div w:id="850219705">
      <w:bodyDiv w:val="1"/>
      <w:marLeft w:val="0"/>
      <w:marRight w:val="0"/>
      <w:marTop w:val="0"/>
      <w:marBottom w:val="0"/>
      <w:divBdr>
        <w:top w:val="none" w:sz="0" w:space="0" w:color="auto"/>
        <w:left w:val="none" w:sz="0" w:space="0" w:color="auto"/>
        <w:bottom w:val="none" w:sz="0" w:space="0" w:color="auto"/>
        <w:right w:val="none" w:sz="0" w:space="0" w:color="auto"/>
      </w:divBdr>
    </w:div>
    <w:div w:id="854155544">
      <w:bodyDiv w:val="1"/>
      <w:marLeft w:val="0"/>
      <w:marRight w:val="0"/>
      <w:marTop w:val="0"/>
      <w:marBottom w:val="0"/>
      <w:divBdr>
        <w:top w:val="none" w:sz="0" w:space="0" w:color="auto"/>
        <w:left w:val="none" w:sz="0" w:space="0" w:color="auto"/>
        <w:bottom w:val="none" w:sz="0" w:space="0" w:color="auto"/>
        <w:right w:val="none" w:sz="0" w:space="0" w:color="auto"/>
      </w:divBdr>
    </w:div>
    <w:div w:id="858273746">
      <w:bodyDiv w:val="1"/>
      <w:marLeft w:val="0"/>
      <w:marRight w:val="0"/>
      <w:marTop w:val="0"/>
      <w:marBottom w:val="0"/>
      <w:divBdr>
        <w:top w:val="none" w:sz="0" w:space="0" w:color="auto"/>
        <w:left w:val="none" w:sz="0" w:space="0" w:color="auto"/>
        <w:bottom w:val="none" w:sz="0" w:space="0" w:color="auto"/>
        <w:right w:val="none" w:sz="0" w:space="0" w:color="auto"/>
      </w:divBdr>
    </w:div>
    <w:div w:id="871461638">
      <w:bodyDiv w:val="1"/>
      <w:marLeft w:val="0"/>
      <w:marRight w:val="0"/>
      <w:marTop w:val="0"/>
      <w:marBottom w:val="0"/>
      <w:divBdr>
        <w:top w:val="none" w:sz="0" w:space="0" w:color="auto"/>
        <w:left w:val="none" w:sz="0" w:space="0" w:color="auto"/>
        <w:bottom w:val="none" w:sz="0" w:space="0" w:color="auto"/>
        <w:right w:val="none" w:sz="0" w:space="0" w:color="auto"/>
      </w:divBdr>
    </w:div>
    <w:div w:id="890767581">
      <w:bodyDiv w:val="1"/>
      <w:marLeft w:val="0"/>
      <w:marRight w:val="0"/>
      <w:marTop w:val="0"/>
      <w:marBottom w:val="0"/>
      <w:divBdr>
        <w:top w:val="none" w:sz="0" w:space="0" w:color="auto"/>
        <w:left w:val="none" w:sz="0" w:space="0" w:color="auto"/>
        <w:bottom w:val="none" w:sz="0" w:space="0" w:color="auto"/>
        <w:right w:val="none" w:sz="0" w:space="0" w:color="auto"/>
      </w:divBdr>
    </w:div>
    <w:div w:id="916864064">
      <w:bodyDiv w:val="1"/>
      <w:marLeft w:val="0"/>
      <w:marRight w:val="0"/>
      <w:marTop w:val="0"/>
      <w:marBottom w:val="0"/>
      <w:divBdr>
        <w:top w:val="none" w:sz="0" w:space="0" w:color="auto"/>
        <w:left w:val="none" w:sz="0" w:space="0" w:color="auto"/>
        <w:bottom w:val="none" w:sz="0" w:space="0" w:color="auto"/>
        <w:right w:val="none" w:sz="0" w:space="0" w:color="auto"/>
      </w:divBdr>
    </w:div>
    <w:div w:id="921912581">
      <w:bodyDiv w:val="1"/>
      <w:marLeft w:val="0"/>
      <w:marRight w:val="0"/>
      <w:marTop w:val="0"/>
      <w:marBottom w:val="0"/>
      <w:divBdr>
        <w:top w:val="none" w:sz="0" w:space="0" w:color="auto"/>
        <w:left w:val="none" w:sz="0" w:space="0" w:color="auto"/>
        <w:bottom w:val="none" w:sz="0" w:space="0" w:color="auto"/>
        <w:right w:val="none" w:sz="0" w:space="0" w:color="auto"/>
      </w:divBdr>
    </w:div>
    <w:div w:id="925698344">
      <w:bodyDiv w:val="1"/>
      <w:marLeft w:val="0"/>
      <w:marRight w:val="0"/>
      <w:marTop w:val="0"/>
      <w:marBottom w:val="0"/>
      <w:divBdr>
        <w:top w:val="none" w:sz="0" w:space="0" w:color="auto"/>
        <w:left w:val="none" w:sz="0" w:space="0" w:color="auto"/>
        <w:bottom w:val="none" w:sz="0" w:space="0" w:color="auto"/>
        <w:right w:val="none" w:sz="0" w:space="0" w:color="auto"/>
      </w:divBdr>
    </w:div>
    <w:div w:id="928929754">
      <w:bodyDiv w:val="1"/>
      <w:marLeft w:val="0"/>
      <w:marRight w:val="0"/>
      <w:marTop w:val="0"/>
      <w:marBottom w:val="0"/>
      <w:divBdr>
        <w:top w:val="none" w:sz="0" w:space="0" w:color="auto"/>
        <w:left w:val="none" w:sz="0" w:space="0" w:color="auto"/>
        <w:bottom w:val="none" w:sz="0" w:space="0" w:color="auto"/>
        <w:right w:val="none" w:sz="0" w:space="0" w:color="auto"/>
      </w:divBdr>
    </w:div>
    <w:div w:id="988365601">
      <w:bodyDiv w:val="1"/>
      <w:marLeft w:val="0"/>
      <w:marRight w:val="0"/>
      <w:marTop w:val="0"/>
      <w:marBottom w:val="0"/>
      <w:divBdr>
        <w:top w:val="none" w:sz="0" w:space="0" w:color="auto"/>
        <w:left w:val="none" w:sz="0" w:space="0" w:color="auto"/>
        <w:bottom w:val="none" w:sz="0" w:space="0" w:color="auto"/>
        <w:right w:val="none" w:sz="0" w:space="0" w:color="auto"/>
      </w:divBdr>
      <w:divsChild>
        <w:div w:id="1892304787">
          <w:marLeft w:val="1080"/>
          <w:marRight w:val="0"/>
          <w:marTop w:val="100"/>
          <w:marBottom w:val="0"/>
          <w:divBdr>
            <w:top w:val="none" w:sz="0" w:space="0" w:color="auto"/>
            <w:left w:val="none" w:sz="0" w:space="0" w:color="auto"/>
            <w:bottom w:val="none" w:sz="0" w:space="0" w:color="auto"/>
            <w:right w:val="none" w:sz="0" w:space="0" w:color="auto"/>
          </w:divBdr>
        </w:div>
        <w:div w:id="856623837">
          <w:marLeft w:val="1080"/>
          <w:marRight w:val="0"/>
          <w:marTop w:val="100"/>
          <w:marBottom w:val="0"/>
          <w:divBdr>
            <w:top w:val="none" w:sz="0" w:space="0" w:color="auto"/>
            <w:left w:val="none" w:sz="0" w:space="0" w:color="auto"/>
            <w:bottom w:val="none" w:sz="0" w:space="0" w:color="auto"/>
            <w:right w:val="none" w:sz="0" w:space="0" w:color="auto"/>
          </w:divBdr>
        </w:div>
      </w:divsChild>
    </w:div>
    <w:div w:id="991712544">
      <w:bodyDiv w:val="1"/>
      <w:marLeft w:val="0"/>
      <w:marRight w:val="0"/>
      <w:marTop w:val="0"/>
      <w:marBottom w:val="0"/>
      <w:divBdr>
        <w:top w:val="none" w:sz="0" w:space="0" w:color="auto"/>
        <w:left w:val="none" w:sz="0" w:space="0" w:color="auto"/>
        <w:bottom w:val="none" w:sz="0" w:space="0" w:color="auto"/>
        <w:right w:val="none" w:sz="0" w:space="0" w:color="auto"/>
      </w:divBdr>
    </w:div>
    <w:div w:id="1015771741">
      <w:bodyDiv w:val="1"/>
      <w:marLeft w:val="0"/>
      <w:marRight w:val="0"/>
      <w:marTop w:val="0"/>
      <w:marBottom w:val="0"/>
      <w:divBdr>
        <w:top w:val="none" w:sz="0" w:space="0" w:color="auto"/>
        <w:left w:val="none" w:sz="0" w:space="0" w:color="auto"/>
        <w:bottom w:val="none" w:sz="0" w:space="0" w:color="auto"/>
        <w:right w:val="none" w:sz="0" w:space="0" w:color="auto"/>
      </w:divBdr>
    </w:div>
    <w:div w:id="1019158128">
      <w:bodyDiv w:val="1"/>
      <w:marLeft w:val="0"/>
      <w:marRight w:val="0"/>
      <w:marTop w:val="0"/>
      <w:marBottom w:val="0"/>
      <w:divBdr>
        <w:top w:val="none" w:sz="0" w:space="0" w:color="auto"/>
        <w:left w:val="none" w:sz="0" w:space="0" w:color="auto"/>
        <w:bottom w:val="none" w:sz="0" w:space="0" w:color="auto"/>
        <w:right w:val="none" w:sz="0" w:space="0" w:color="auto"/>
      </w:divBdr>
    </w:div>
    <w:div w:id="1047418297">
      <w:bodyDiv w:val="1"/>
      <w:marLeft w:val="0"/>
      <w:marRight w:val="0"/>
      <w:marTop w:val="0"/>
      <w:marBottom w:val="0"/>
      <w:divBdr>
        <w:top w:val="none" w:sz="0" w:space="0" w:color="auto"/>
        <w:left w:val="none" w:sz="0" w:space="0" w:color="auto"/>
        <w:bottom w:val="none" w:sz="0" w:space="0" w:color="auto"/>
        <w:right w:val="none" w:sz="0" w:space="0" w:color="auto"/>
      </w:divBdr>
    </w:div>
    <w:div w:id="1068458397">
      <w:bodyDiv w:val="1"/>
      <w:marLeft w:val="0"/>
      <w:marRight w:val="0"/>
      <w:marTop w:val="0"/>
      <w:marBottom w:val="0"/>
      <w:divBdr>
        <w:top w:val="none" w:sz="0" w:space="0" w:color="auto"/>
        <w:left w:val="none" w:sz="0" w:space="0" w:color="auto"/>
        <w:bottom w:val="none" w:sz="0" w:space="0" w:color="auto"/>
        <w:right w:val="none" w:sz="0" w:space="0" w:color="auto"/>
      </w:divBdr>
    </w:div>
    <w:div w:id="1094473052">
      <w:bodyDiv w:val="1"/>
      <w:marLeft w:val="0"/>
      <w:marRight w:val="0"/>
      <w:marTop w:val="0"/>
      <w:marBottom w:val="0"/>
      <w:divBdr>
        <w:top w:val="none" w:sz="0" w:space="0" w:color="auto"/>
        <w:left w:val="none" w:sz="0" w:space="0" w:color="auto"/>
        <w:bottom w:val="none" w:sz="0" w:space="0" w:color="auto"/>
        <w:right w:val="none" w:sz="0" w:space="0" w:color="auto"/>
      </w:divBdr>
      <w:divsChild>
        <w:div w:id="583297346">
          <w:marLeft w:val="360"/>
          <w:marRight w:val="0"/>
          <w:marTop w:val="200"/>
          <w:marBottom w:val="0"/>
          <w:divBdr>
            <w:top w:val="none" w:sz="0" w:space="0" w:color="auto"/>
            <w:left w:val="none" w:sz="0" w:space="0" w:color="auto"/>
            <w:bottom w:val="none" w:sz="0" w:space="0" w:color="auto"/>
            <w:right w:val="none" w:sz="0" w:space="0" w:color="auto"/>
          </w:divBdr>
        </w:div>
        <w:div w:id="2139640969">
          <w:marLeft w:val="1080"/>
          <w:marRight w:val="0"/>
          <w:marTop w:val="100"/>
          <w:marBottom w:val="0"/>
          <w:divBdr>
            <w:top w:val="none" w:sz="0" w:space="0" w:color="auto"/>
            <w:left w:val="none" w:sz="0" w:space="0" w:color="auto"/>
            <w:bottom w:val="none" w:sz="0" w:space="0" w:color="auto"/>
            <w:right w:val="none" w:sz="0" w:space="0" w:color="auto"/>
          </w:divBdr>
        </w:div>
        <w:div w:id="685837008">
          <w:marLeft w:val="1080"/>
          <w:marRight w:val="0"/>
          <w:marTop w:val="100"/>
          <w:marBottom w:val="0"/>
          <w:divBdr>
            <w:top w:val="none" w:sz="0" w:space="0" w:color="auto"/>
            <w:left w:val="none" w:sz="0" w:space="0" w:color="auto"/>
            <w:bottom w:val="none" w:sz="0" w:space="0" w:color="auto"/>
            <w:right w:val="none" w:sz="0" w:space="0" w:color="auto"/>
          </w:divBdr>
        </w:div>
        <w:div w:id="1669941387">
          <w:marLeft w:val="360"/>
          <w:marRight w:val="0"/>
          <w:marTop w:val="200"/>
          <w:marBottom w:val="0"/>
          <w:divBdr>
            <w:top w:val="none" w:sz="0" w:space="0" w:color="auto"/>
            <w:left w:val="none" w:sz="0" w:space="0" w:color="auto"/>
            <w:bottom w:val="none" w:sz="0" w:space="0" w:color="auto"/>
            <w:right w:val="none" w:sz="0" w:space="0" w:color="auto"/>
          </w:divBdr>
        </w:div>
        <w:div w:id="1282153282">
          <w:marLeft w:val="1080"/>
          <w:marRight w:val="0"/>
          <w:marTop w:val="100"/>
          <w:marBottom w:val="0"/>
          <w:divBdr>
            <w:top w:val="none" w:sz="0" w:space="0" w:color="auto"/>
            <w:left w:val="none" w:sz="0" w:space="0" w:color="auto"/>
            <w:bottom w:val="none" w:sz="0" w:space="0" w:color="auto"/>
            <w:right w:val="none" w:sz="0" w:space="0" w:color="auto"/>
          </w:divBdr>
        </w:div>
        <w:div w:id="1157502125">
          <w:marLeft w:val="1080"/>
          <w:marRight w:val="0"/>
          <w:marTop w:val="100"/>
          <w:marBottom w:val="0"/>
          <w:divBdr>
            <w:top w:val="none" w:sz="0" w:space="0" w:color="auto"/>
            <w:left w:val="none" w:sz="0" w:space="0" w:color="auto"/>
            <w:bottom w:val="none" w:sz="0" w:space="0" w:color="auto"/>
            <w:right w:val="none" w:sz="0" w:space="0" w:color="auto"/>
          </w:divBdr>
        </w:div>
        <w:div w:id="2103253520">
          <w:marLeft w:val="360"/>
          <w:marRight w:val="0"/>
          <w:marTop w:val="200"/>
          <w:marBottom w:val="0"/>
          <w:divBdr>
            <w:top w:val="none" w:sz="0" w:space="0" w:color="auto"/>
            <w:left w:val="none" w:sz="0" w:space="0" w:color="auto"/>
            <w:bottom w:val="none" w:sz="0" w:space="0" w:color="auto"/>
            <w:right w:val="none" w:sz="0" w:space="0" w:color="auto"/>
          </w:divBdr>
        </w:div>
        <w:div w:id="1111894698">
          <w:marLeft w:val="360"/>
          <w:marRight w:val="0"/>
          <w:marTop w:val="200"/>
          <w:marBottom w:val="0"/>
          <w:divBdr>
            <w:top w:val="none" w:sz="0" w:space="0" w:color="auto"/>
            <w:left w:val="none" w:sz="0" w:space="0" w:color="auto"/>
            <w:bottom w:val="none" w:sz="0" w:space="0" w:color="auto"/>
            <w:right w:val="none" w:sz="0" w:space="0" w:color="auto"/>
          </w:divBdr>
        </w:div>
      </w:divsChild>
    </w:div>
    <w:div w:id="1101222215">
      <w:bodyDiv w:val="1"/>
      <w:marLeft w:val="0"/>
      <w:marRight w:val="0"/>
      <w:marTop w:val="0"/>
      <w:marBottom w:val="0"/>
      <w:divBdr>
        <w:top w:val="none" w:sz="0" w:space="0" w:color="auto"/>
        <w:left w:val="none" w:sz="0" w:space="0" w:color="auto"/>
        <w:bottom w:val="none" w:sz="0" w:space="0" w:color="auto"/>
        <w:right w:val="none" w:sz="0" w:space="0" w:color="auto"/>
      </w:divBdr>
    </w:div>
    <w:div w:id="1106146893">
      <w:bodyDiv w:val="1"/>
      <w:marLeft w:val="0"/>
      <w:marRight w:val="0"/>
      <w:marTop w:val="0"/>
      <w:marBottom w:val="0"/>
      <w:divBdr>
        <w:top w:val="none" w:sz="0" w:space="0" w:color="auto"/>
        <w:left w:val="none" w:sz="0" w:space="0" w:color="auto"/>
        <w:bottom w:val="none" w:sz="0" w:space="0" w:color="auto"/>
        <w:right w:val="none" w:sz="0" w:space="0" w:color="auto"/>
      </w:divBdr>
    </w:div>
    <w:div w:id="1129981241">
      <w:bodyDiv w:val="1"/>
      <w:marLeft w:val="0"/>
      <w:marRight w:val="0"/>
      <w:marTop w:val="0"/>
      <w:marBottom w:val="0"/>
      <w:divBdr>
        <w:top w:val="none" w:sz="0" w:space="0" w:color="auto"/>
        <w:left w:val="none" w:sz="0" w:space="0" w:color="auto"/>
        <w:bottom w:val="none" w:sz="0" w:space="0" w:color="auto"/>
        <w:right w:val="none" w:sz="0" w:space="0" w:color="auto"/>
      </w:divBdr>
    </w:div>
    <w:div w:id="1171918258">
      <w:bodyDiv w:val="1"/>
      <w:marLeft w:val="0"/>
      <w:marRight w:val="0"/>
      <w:marTop w:val="0"/>
      <w:marBottom w:val="0"/>
      <w:divBdr>
        <w:top w:val="none" w:sz="0" w:space="0" w:color="auto"/>
        <w:left w:val="none" w:sz="0" w:space="0" w:color="auto"/>
        <w:bottom w:val="none" w:sz="0" w:space="0" w:color="auto"/>
        <w:right w:val="none" w:sz="0" w:space="0" w:color="auto"/>
      </w:divBdr>
    </w:div>
    <w:div w:id="1194265103">
      <w:bodyDiv w:val="1"/>
      <w:marLeft w:val="0"/>
      <w:marRight w:val="0"/>
      <w:marTop w:val="0"/>
      <w:marBottom w:val="0"/>
      <w:divBdr>
        <w:top w:val="none" w:sz="0" w:space="0" w:color="auto"/>
        <w:left w:val="none" w:sz="0" w:space="0" w:color="auto"/>
        <w:bottom w:val="none" w:sz="0" w:space="0" w:color="auto"/>
        <w:right w:val="none" w:sz="0" w:space="0" w:color="auto"/>
      </w:divBdr>
      <w:divsChild>
        <w:div w:id="2041121114">
          <w:marLeft w:val="1440"/>
          <w:marRight w:val="0"/>
          <w:marTop w:val="100"/>
          <w:marBottom w:val="0"/>
          <w:divBdr>
            <w:top w:val="none" w:sz="0" w:space="0" w:color="auto"/>
            <w:left w:val="none" w:sz="0" w:space="0" w:color="auto"/>
            <w:bottom w:val="none" w:sz="0" w:space="0" w:color="auto"/>
            <w:right w:val="none" w:sz="0" w:space="0" w:color="auto"/>
          </w:divBdr>
        </w:div>
      </w:divsChild>
    </w:div>
    <w:div w:id="1214926734">
      <w:bodyDiv w:val="1"/>
      <w:marLeft w:val="0"/>
      <w:marRight w:val="0"/>
      <w:marTop w:val="0"/>
      <w:marBottom w:val="0"/>
      <w:divBdr>
        <w:top w:val="none" w:sz="0" w:space="0" w:color="auto"/>
        <w:left w:val="none" w:sz="0" w:space="0" w:color="auto"/>
        <w:bottom w:val="none" w:sz="0" w:space="0" w:color="auto"/>
        <w:right w:val="none" w:sz="0" w:space="0" w:color="auto"/>
      </w:divBdr>
    </w:div>
    <w:div w:id="1215117716">
      <w:bodyDiv w:val="1"/>
      <w:marLeft w:val="0"/>
      <w:marRight w:val="0"/>
      <w:marTop w:val="0"/>
      <w:marBottom w:val="0"/>
      <w:divBdr>
        <w:top w:val="none" w:sz="0" w:space="0" w:color="auto"/>
        <w:left w:val="none" w:sz="0" w:space="0" w:color="auto"/>
        <w:bottom w:val="none" w:sz="0" w:space="0" w:color="auto"/>
        <w:right w:val="none" w:sz="0" w:space="0" w:color="auto"/>
      </w:divBdr>
    </w:div>
    <w:div w:id="1238057289">
      <w:bodyDiv w:val="1"/>
      <w:marLeft w:val="0"/>
      <w:marRight w:val="0"/>
      <w:marTop w:val="0"/>
      <w:marBottom w:val="0"/>
      <w:divBdr>
        <w:top w:val="none" w:sz="0" w:space="0" w:color="auto"/>
        <w:left w:val="none" w:sz="0" w:space="0" w:color="auto"/>
        <w:bottom w:val="none" w:sz="0" w:space="0" w:color="auto"/>
        <w:right w:val="none" w:sz="0" w:space="0" w:color="auto"/>
      </w:divBdr>
    </w:div>
    <w:div w:id="1256593470">
      <w:bodyDiv w:val="1"/>
      <w:marLeft w:val="0"/>
      <w:marRight w:val="0"/>
      <w:marTop w:val="0"/>
      <w:marBottom w:val="0"/>
      <w:divBdr>
        <w:top w:val="none" w:sz="0" w:space="0" w:color="auto"/>
        <w:left w:val="none" w:sz="0" w:space="0" w:color="auto"/>
        <w:bottom w:val="none" w:sz="0" w:space="0" w:color="auto"/>
        <w:right w:val="none" w:sz="0" w:space="0" w:color="auto"/>
      </w:divBdr>
    </w:div>
    <w:div w:id="1261257265">
      <w:bodyDiv w:val="1"/>
      <w:marLeft w:val="0"/>
      <w:marRight w:val="0"/>
      <w:marTop w:val="0"/>
      <w:marBottom w:val="0"/>
      <w:divBdr>
        <w:top w:val="none" w:sz="0" w:space="0" w:color="auto"/>
        <w:left w:val="none" w:sz="0" w:space="0" w:color="auto"/>
        <w:bottom w:val="none" w:sz="0" w:space="0" w:color="auto"/>
        <w:right w:val="none" w:sz="0" w:space="0" w:color="auto"/>
      </w:divBdr>
    </w:div>
    <w:div w:id="1273592612">
      <w:bodyDiv w:val="1"/>
      <w:marLeft w:val="0"/>
      <w:marRight w:val="0"/>
      <w:marTop w:val="0"/>
      <w:marBottom w:val="0"/>
      <w:divBdr>
        <w:top w:val="none" w:sz="0" w:space="0" w:color="auto"/>
        <w:left w:val="none" w:sz="0" w:space="0" w:color="auto"/>
        <w:bottom w:val="none" w:sz="0" w:space="0" w:color="auto"/>
        <w:right w:val="none" w:sz="0" w:space="0" w:color="auto"/>
      </w:divBdr>
    </w:div>
    <w:div w:id="1280988458">
      <w:bodyDiv w:val="1"/>
      <w:marLeft w:val="0"/>
      <w:marRight w:val="0"/>
      <w:marTop w:val="0"/>
      <w:marBottom w:val="0"/>
      <w:divBdr>
        <w:top w:val="none" w:sz="0" w:space="0" w:color="auto"/>
        <w:left w:val="none" w:sz="0" w:space="0" w:color="auto"/>
        <w:bottom w:val="none" w:sz="0" w:space="0" w:color="auto"/>
        <w:right w:val="none" w:sz="0" w:space="0" w:color="auto"/>
      </w:divBdr>
    </w:div>
    <w:div w:id="1283877823">
      <w:bodyDiv w:val="1"/>
      <w:marLeft w:val="0"/>
      <w:marRight w:val="0"/>
      <w:marTop w:val="0"/>
      <w:marBottom w:val="0"/>
      <w:divBdr>
        <w:top w:val="none" w:sz="0" w:space="0" w:color="auto"/>
        <w:left w:val="none" w:sz="0" w:space="0" w:color="auto"/>
        <w:bottom w:val="none" w:sz="0" w:space="0" w:color="auto"/>
        <w:right w:val="none" w:sz="0" w:space="0" w:color="auto"/>
      </w:divBdr>
      <w:divsChild>
        <w:div w:id="976372464">
          <w:marLeft w:val="1080"/>
          <w:marRight w:val="0"/>
          <w:marTop w:val="100"/>
          <w:marBottom w:val="0"/>
          <w:divBdr>
            <w:top w:val="none" w:sz="0" w:space="0" w:color="auto"/>
            <w:left w:val="none" w:sz="0" w:space="0" w:color="auto"/>
            <w:bottom w:val="none" w:sz="0" w:space="0" w:color="auto"/>
            <w:right w:val="none" w:sz="0" w:space="0" w:color="auto"/>
          </w:divBdr>
        </w:div>
        <w:div w:id="778910448">
          <w:marLeft w:val="1080"/>
          <w:marRight w:val="0"/>
          <w:marTop w:val="100"/>
          <w:marBottom w:val="0"/>
          <w:divBdr>
            <w:top w:val="none" w:sz="0" w:space="0" w:color="auto"/>
            <w:left w:val="none" w:sz="0" w:space="0" w:color="auto"/>
            <w:bottom w:val="none" w:sz="0" w:space="0" w:color="auto"/>
            <w:right w:val="none" w:sz="0" w:space="0" w:color="auto"/>
          </w:divBdr>
        </w:div>
        <w:div w:id="1290626322">
          <w:marLeft w:val="1080"/>
          <w:marRight w:val="0"/>
          <w:marTop w:val="100"/>
          <w:marBottom w:val="0"/>
          <w:divBdr>
            <w:top w:val="none" w:sz="0" w:space="0" w:color="auto"/>
            <w:left w:val="none" w:sz="0" w:space="0" w:color="auto"/>
            <w:bottom w:val="none" w:sz="0" w:space="0" w:color="auto"/>
            <w:right w:val="none" w:sz="0" w:space="0" w:color="auto"/>
          </w:divBdr>
        </w:div>
        <w:div w:id="396052861">
          <w:marLeft w:val="1080"/>
          <w:marRight w:val="0"/>
          <w:marTop w:val="100"/>
          <w:marBottom w:val="0"/>
          <w:divBdr>
            <w:top w:val="none" w:sz="0" w:space="0" w:color="auto"/>
            <w:left w:val="none" w:sz="0" w:space="0" w:color="auto"/>
            <w:bottom w:val="none" w:sz="0" w:space="0" w:color="auto"/>
            <w:right w:val="none" w:sz="0" w:space="0" w:color="auto"/>
          </w:divBdr>
        </w:div>
        <w:div w:id="460077704">
          <w:marLeft w:val="1080"/>
          <w:marRight w:val="0"/>
          <w:marTop w:val="100"/>
          <w:marBottom w:val="0"/>
          <w:divBdr>
            <w:top w:val="none" w:sz="0" w:space="0" w:color="auto"/>
            <w:left w:val="none" w:sz="0" w:space="0" w:color="auto"/>
            <w:bottom w:val="none" w:sz="0" w:space="0" w:color="auto"/>
            <w:right w:val="none" w:sz="0" w:space="0" w:color="auto"/>
          </w:divBdr>
        </w:div>
        <w:div w:id="842086529">
          <w:marLeft w:val="1080"/>
          <w:marRight w:val="0"/>
          <w:marTop w:val="100"/>
          <w:marBottom w:val="0"/>
          <w:divBdr>
            <w:top w:val="none" w:sz="0" w:space="0" w:color="auto"/>
            <w:left w:val="none" w:sz="0" w:space="0" w:color="auto"/>
            <w:bottom w:val="none" w:sz="0" w:space="0" w:color="auto"/>
            <w:right w:val="none" w:sz="0" w:space="0" w:color="auto"/>
          </w:divBdr>
        </w:div>
      </w:divsChild>
    </w:div>
    <w:div w:id="1304769568">
      <w:bodyDiv w:val="1"/>
      <w:marLeft w:val="0"/>
      <w:marRight w:val="0"/>
      <w:marTop w:val="0"/>
      <w:marBottom w:val="0"/>
      <w:divBdr>
        <w:top w:val="none" w:sz="0" w:space="0" w:color="auto"/>
        <w:left w:val="none" w:sz="0" w:space="0" w:color="auto"/>
        <w:bottom w:val="none" w:sz="0" w:space="0" w:color="auto"/>
        <w:right w:val="none" w:sz="0" w:space="0" w:color="auto"/>
      </w:divBdr>
    </w:div>
    <w:div w:id="1333025344">
      <w:bodyDiv w:val="1"/>
      <w:marLeft w:val="0"/>
      <w:marRight w:val="0"/>
      <w:marTop w:val="0"/>
      <w:marBottom w:val="0"/>
      <w:divBdr>
        <w:top w:val="none" w:sz="0" w:space="0" w:color="auto"/>
        <w:left w:val="none" w:sz="0" w:space="0" w:color="auto"/>
        <w:bottom w:val="none" w:sz="0" w:space="0" w:color="auto"/>
        <w:right w:val="none" w:sz="0" w:space="0" w:color="auto"/>
      </w:divBdr>
    </w:div>
    <w:div w:id="1355308184">
      <w:bodyDiv w:val="1"/>
      <w:marLeft w:val="0"/>
      <w:marRight w:val="0"/>
      <w:marTop w:val="0"/>
      <w:marBottom w:val="0"/>
      <w:divBdr>
        <w:top w:val="none" w:sz="0" w:space="0" w:color="auto"/>
        <w:left w:val="none" w:sz="0" w:space="0" w:color="auto"/>
        <w:bottom w:val="none" w:sz="0" w:space="0" w:color="auto"/>
        <w:right w:val="none" w:sz="0" w:space="0" w:color="auto"/>
      </w:divBdr>
    </w:div>
    <w:div w:id="1380860699">
      <w:bodyDiv w:val="1"/>
      <w:marLeft w:val="0"/>
      <w:marRight w:val="0"/>
      <w:marTop w:val="0"/>
      <w:marBottom w:val="0"/>
      <w:divBdr>
        <w:top w:val="none" w:sz="0" w:space="0" w:color="auto"/>
        <w:left w:val="none" w:sz="0" w:space="0" w:color="auto"/>
        <w:bottom w:val="none" w:sz="0" w:space="0" w:color="auto"/>
        <w:right w:val="none" w:sz="0" w:space="0" w:color="auto"/>
      </w:divBdr>
    </w:div>
    <w:div w:id="1386637116">
      <w:bodyDiv w:val="1"/>
      <w:marLeft w:val="0"/>
      <w:marRight w:val="0"/>
      <w:marTop w:val="0"/>
      <w:marBottom w:val="0"/>
      <w:divBdr>
        <w:top w:val="none" w:sz="0" w:space="0" w:color="auto"/>
        <w:left w:val="none" w:sz="0" w:space="0" w:color="auto"/>
        <w:bottom w:val="none" w:sz="0" w:space="0" w:color="auto"/>
        <w:right w:val="none" w:sz="0" w:space="0" w:color="auto"/>
      </w:divBdr>
    </w:div>
    <w:div w:id="1401707079">
      <w:bodyDiv w:val="1"/>
      <w:marLeft w:val="0"/>
      <w:marRight w:val="0"/>
      <w:marTop w:val="0"/>
      <w:marBottom w:val="0"/>
      <w:divBdr>
        <w:top w:val="none" w:sz="0" w:space="0" w:color="auto"/>
        <w:left w:val="none" w:sz="0" w:space="0" w:color="auto"/>
        <w:bottom w:val="none" w:sz="0" w:space="0" w:color="auto"/>
        <w:right w:val="none" w:sz="0" w:space="0" w:color="auto"/>
      </w:divBdr>
    </w:div>
    <w:div w:id="1408503447">
      <w:bodyDiv w:val="1"/>
      <w:marLeft w:val="0"/>
      <w:marRight w:val="0"/>
      <w:marTop w:val="0"/>
      <w:marBottom w:val="0"/>
      <w:divBdr>
        <w:top w:val="none" w:sz="0" w:space="0" w:color="auto"/>
        <w:left w:val="none" w:sz="0" w:space="0" w:color="auto"/>
        <w:bottom w:val="none" w:sz="0" w:space="0" w:color="auto"/>
        <w:right w:val="none" w:sz="0" w:space="0" w:color="auto"/>
      </w:divBdr>
    </w:div>
    <w:div w:id="1445879393">
      <w:bodyDiv w:val="1"/>
      <w:marLeft w:val="0"/>
      <w:marRight w:val="0"/>
      <w:marTop w:val="0"/>
      <w:marBottom w:val="0"/>
      <w:divBdr>
        <w:top w:val="none" w:sz="0" w:space="0" w:color="auto"/>
        <w:left w:val="none" w:sz="0" w:space="0" w:color="auto"/>
        <w:bottom w:val="none" w:sz="0" w:space="0" w:color="auto"/>
        <w:right w:val="none" w:sz="0" w:space="0" w:color="auto"/>
      </w:divBdr>
    </w:div>
    <w:div w:id="1462308518">
      <w:bodyDiv w:val="1"/>
      <w:marLeft w:val="0"/>
      <w:marRight w:val="0"/>
      <w:marTop w:val="0"/>
      <w:marBottom w:val="0"/>
      <w:divBdr>
        <w:top w:val="none" w:sz="0" w:space="0" w:color="auto"/>
        <w:left w:val="none" w:sz="0" w:space="0" w:color="auto"/>
        <w:bottom w:val="none" w:sz="0" w:space="0" w:color="auto"/>
        <w:right w:val="none" w:sz="0" w:space="0" w:color="auto"/>
      </w:divBdr>
    </w:div>
    <w:div w:id="1483232415">
      <w:bodyDiv w:val="1"/>
      <w:marLeft w:val="0"/>
      <w:marRight w:val="0"/>
      <w:marTop w:val="0"/>
      <w:marBottom w:val="0"/>
      <w:divBdr>
        <w:top w:val="none" w:sz="0" w:space="0" w:color="auto"/>
        <w:left w:val="none" w:sz="0" w:space="0" w:color="auto"/>
        <w:bottom w:val="none" w:sz="0" w:space="0" w:color="auto"/>
        <w:right w:val="none" w:sz="0" w:space="0" w:color="auto"/>
      </w:divBdr>
    </w:div>
    <w:div w:id="1497383930">
      <w:bodyDiv w:val="1"/>
      <w:marLeft w:val="0"/>
      <w:marRight w:val="0"/>
      <w:marTop w:val="0"/>
      <w:marBottom w:val="0"/>
      <w:divBdr>
        <w:top w:val="none" w:sz="0" w:space="0" w:color="auto"/>
        <w:left w:val="none" w:sz="0" w:space="0" w:color="auto"/>
        <w:bottom w:val="none" w:sz="0" w:space="0" w:color="auto"/>
        <w:right w:val="none" w:sz="0" w:space="0" w:color="auto"/>
      </w:divBdr>
    </w:div>
    <w:div w:id="1514760395">
      <w:bodyDiv w:val="1"/>
      <w:marLeft w:val="0"/>
      <w:marRight w:val="0"/>
      <w:marTop w:val="0"/>
      <w:marBottom w:val="0"/>
      <w:divBdr>
        <w:top w:val="none" w:sz="0" w:space="0" w:color="auto"/>
        <w:left w:val="none" w:sz="0" w:space="0" w:color="auto"/>
        <w:bottom w:val="none" w:sz="0" w:space="0" w:color="auto"/>
        <w:right w:val="none" w:sz="0" w:space="0" w:color="auto"/>
      </w:divBdr>
    </w:div>
    <w:div w:id="1528180945">
      <w:bodyDiv w:val="1"/>
      <w:marLeft w:val="0"/>
      <w:marRight w:val="0"/>
      <w:marTop w:val="0"/>
      <w:marBottom w:val="0"/>
      <w:divBdr>
        <w:top w:val="none" w:sz="0" w:space="0" w:color="auto"/>
        <w:left w:val="none" w:sz="0" w:space="0" w:color="auto"/>
        <w:bottom w:val="none" w:sz="0" w:space="0" w:color="auto"/>
        <w:right w:val="none" w:sz="0" w:space="0" w:color="auto"/>
      </w:divBdr>
    </w:div>
    <w:div w:id="1555315031">
      <w:bodyDiv w:val="1"/>
      <w:marLeft w:val="0"/>
      <w:marRight w:val="0"/>
      <w:marTop w:val="0"/>
      <w:marBottom w:val="0"/>
      <w:divBdr>
        <w:top w:val="none" w:sz="0" w:space="0" w:color="auto"/>
        <w:left w:val="none" w:sz="0" w:space="0" w:color="auto"/>
        <w:bottom w:val="none" w:sz="0" w:space="0" w:color="auto"/>
        <w:right w:val="none" w:sz="0" w:space="0" w:color="auto"/>
      </w:divBdr>
    </w:div>
    <w:div w:id="1579705163">
      <w:bodyDiv w:val="1"/>
      <w:marLeft w:val="0"/>
      <w:marRight w:val="0"/>
      <w:marTop w:val="0"/>
      <w:marBottom w:val="0"/>
      <w:divBdr>
        <w:top w:val="none" w:sz="0" w:space="0" w:color="auto"/>
        <w:left w:val="none" w:sz="0" w:space="0" w:color="auto"/>
        <w:bottom w:val="none" w:sz="0" w:space="0" w:color="auto"/>
        <w:right w:val="none" w:sz="0" w:space="0" w:color="auto"/>
      </w:divBdr>
    </w:div>
    <w:div w:id="1593389199">
      <w:bodyDiv w:val="1"/>
      <w:marLeft w:val="0"/>
      <w:marRight w:val="0"/>
      <w:marTop w:val="0"/>
      <w:marBottom w:val="0"/>
      <w:divBdr>
        <w:top w:val="none" w:sz="0" w:space="0" w:color="auto"/>
        <w:left w:val="none" w:sz="0" w:space="0" w:color="auto"/>
        <w:bottom w:val="none" w:sz="0" w:space="0" w:color="auto"/>
        <w:right w:val="none" w:sz="0" w:space="0" w:color="auto"/>
      </w:divBdr>
    </w:div>
    <w:div w:id="1596939329">
      <w:bodyDiv w:val="1"/>
      <w:marLeft w:val="0"/>
      <w:marRight w:val="0"/>
      <w:marTop w:val="0"/>
      <w:marBottom w:val="0"/>
      <w:divBdr>
        <w:top w:val="none" w:sz="0" w:space="0" w:color="auto"/>
        <w:left w:val="none" w:sz="0" w:space="0" w:color="auto"/>
        <w:bottom w:val="none" w:sz="0" w:space="0" w:color="auto"/>
        <w:right w:val="none" w:sz="0" w:space="0" w:color="auto"/>
      </w:divBdr>
    </w:div>
    <w:div w:id="1599369637">
      <w:bodyDiv w:val="1"/>
      <w:marLeft w:val="0"/>
      <w:marRight w:val="0"/>
      <w:marTop w:val="0"/>
      <w:marBottom w:val="0"/>
      <w:divBdr>
        <w:top w:val="none" w:sz="0" w:space="0" w:color="auto"/>
        <w:left w:val="none" w:sz="0" w:space="0" w:color="auto"/>
        <w:bottom w:val="none" w:sz="0" w:space="0" w:color="auto"/>
        <w:right w:val="none" w:sz="0" w:space="0" w:color="auto"/>
      </w:divBdr>
    </w:div>
    <w:div w:id="1606841105">
      <w:bodyDiv w:val="1"/>
      <w:marLeft w:val="0"/>
      <w:marRight w:val="0"/>
      <w:marTop w:val="0"/>
      <w:marBottom w:val="0"/>
      <w:divBdr>
        <w:top w:val="none" w:sz="0" w:space="0" w:color="auto"/>
        <w:left w:val="none" w:sz="0" w:space="0" w:color="auto"/>
        <w:bottom w:val="none" w:sz="0" w:space="0" w:color="auto"/>
        <w:right w:val="none" w:sz="0" w:space="0" w:color="auto"/>
      </w:divBdr>
    </w:div>
    <w:div w:id="1619723354">
      <w:bodyDiv w:val="1"/>
      <w:marLeft w:val="0"/>
      <w:marRight w:val="0"/>
      <w:marTop w:val="0"/>
      <w:marBottom w:val="0"/>
      <w:divBdr>
        <w:top w:val="none" w:sz="0" w:space="0" w:color="auto"/>
        <w:left w:val="none" w:sz="0" w:space="0" w:color="auto"/>
        <w:bottom w:val="none" w:sz="0" w:space="0" w:color="auto"/>
        <w:right w:val="none" w:sz="0" w:space="0" w:color="auto"/>
      </w:divBdr>
    </w:div>
    <w:div w:id="1622957059">
      <w:bodyDiv w:val="1"/>
      <w:marLeft w:val="0"/>
      <w:marRight w:val="0"/>
      <w:marTop w:val="0"/>
      <w:marBottom w:val="0"/>
      <w:divBdr>
        <w:top w:val="none" w:sz="0" w:space="0" w:color="auto"/>
        <w:left w:val="none" w:sz="0" w:space="0" w:color="auto"/>
        <w:bottom w:val="none" w:sz="0" w:space="0" w:color="auto"/>
        <w:right w:val="none" w:sz="0" w:space="0" w:color="auto"/>
      </w:divBdr>
    </w:div>
    <w:div w:id="1626618218">
      <w:bodyDiv w:val="1"/>
      <w:marLeft w:val="0"/>
      <w:marRight w:val="0"/>
      <w:marTop w:val="0"/>
      <w:marBottom w:val="0"/>
      <w:divBdr>
        <w:top w:val="none" w:sz="0" w:space="0" w:color="auto"/>
        <w:left w:val="none" w:sz="0" w:space="0" w:color="auto"/>
        <w:bottom w:val="none" w:sz="0" w:space="0" w:color="auto"/>
        <w:right w:val="none" w:sz="0" w:space="0" w:color="auto"/>
      </w:divBdr>
    </w:div>
    <w:div w:id="1631663876">
      <w:bodyDiv w:val="1"/>
      <w:marLeft w:val="0"/>
      <w:marRight w:val="0"/>
      <w:marTop w:val="0"/>
      <w:marBottom w:val="0"/>
      <w:divBdr>
        <w:top w:val="none" w:sz="0" w:space="0" w:color="auto"/>
        <w:left w:val="none" w:sz="0" w:space="0" w:color="auto"/>
        <w:bottom w:val="none" w:sz="0" w:space="0" w:color="auto"/>
        <w:right w:val="none" w:sz="0" w:space="0" w:color="auto"/>
      </w:divBdr>
    </w:div>
    <w:div w:id="1637492433">
      <w:bodyDiv w:val="1"/>
      <w:marLeft w:val="0"/>
      <w:marRight w:val="0"/>
      <w:marTop w:val="0"/>
      <w:marBottom w:val="0"/>
      <w:divBdr>
        <w:top w:val="none" w:sz="0" w:space="0" w:color="auto"/>
        <w:left w:val="none" w:sz="0" w:space="0" w:color="auto"/>
        <w:bottom w:val="none" w:sz="0" w:space="0" w:color="auto"/>
        <w:right w:val="none" w:sz="0" w:space="0" w:color="auto"/>
      </w:divBdr>
    </w:div>
    <w:div w:id="1655839848">
      <w:bodyDiv w:val="1"/>
      <w:marLeft w:val="0"/>
      <w:marRight w:val="0"/>
      <w:marTop w:val="0"/>
      <w:marBottom w:val="0"/>
      <w:divBdr>
        <w:top w:val="none" w:sz="0" w:space="0" w:color="auto"/>
        <w:left w:val="none" w:sz="0" w:space="0" w:color="auto"/>
        <w:bottom w:val="none" w:sz="0" w:space="0" w:color="auto"/>
        <w:right w:val="none" w:sz="0" w:space="0" w:color="auto"/>
      </w:divBdr>
    </w:div>
    <w:div w:id="1686714327">
      <w:bodyDiv w:val="1"/>
      <w:marLeft w:val="0"/>
      <w:marRight w:val="0"/>
      <w:marTop w:val="0"/>
      <w:marBottom w:val="0"/>
      <w:divBdr>
        <w:top w:val="none" w:sz="0" w:space="0" w:color="auto"/>
        <w:left w:val="none" w:sz="0" w:space="0" w:color="auto"/>
        <w:bottom w:val="none" w:sz="0" w:space="0" w:color="auto"/>
        <w:right w:val="none" w:sz="0" w:space="0" w:color="auto"/>
      </w:divBdr>
    </w:div>
    <w:div w:id="1731609193">
      <w:bodyDiv w:val="1"/>
      <w:marLeft w:val="0"/>
      <w:marRight w:val="0"/>
      <w:marTop w:val="0"/>
      <w:marBottom w:val="0"/>
      <w:divBdr>
        <w:top w:val="none" w:sz="0" w:space="0" w:color="auto"/>
        <w:left w:val="none" w:sz="0" w:space="0" w:color="auto"/>
        <w:bottom w:val="none" w:sz="0" w:space="0" w:color="auto"/>
        <w:right w:val="none" w:sz="0" w:space="0" w:color="auto"/>
      </w:divBdr>
    </w:div>
    <w:div w:id="1731922207">
      <w:bodyDiv w:val="1"/>
      <w:marLeft w:val="0"/>
      <w:marRight w:val="0"/>
      <w:marTop w:val="0"/>
      <w:marBottom w:val="0"/>
      <w:divBdr>
        <w:top w:val="none" w:sz="0" w:space="0" w:color="auto"/>
        <w:left w:val="none" w:sz="0" w:space="0" w:color="auto"/>
        <w:bottom w:val="none" w:sz="0" w:space="0" w:color="auto"/>
        <w:right w:val="none" w:sz="0" w:space="0" w:color="auto"/>
      </w:divBdr>
    </w:div>
    <w:div w:id="1734037303">
      <w:bodyDiv w:val="1"/>
      <w:marLeft w:val="0"/>
      <w:marRight w:val="0"/>
      <w:marTop w:val="0"/>
      <w:marBottom w:val="0"/>
      <w:divBdr>
        <w:top w:val="none" w:sz="0" w:space="0" w:color="auto"/>
        <w:left w:val="none" w:sz="0" w:space="0" w:color="auto"/>
        <w:bottom w:val="none" w:sz="0" w:space="0" w:color="auto"/>
        <w:right w:val="none" w:sz="0" w:space="0" w:color="auto"/>
      </w:divBdr>
    </w:div>
    <w:div w:id="1751006081">
      <w:bodyDiv w:val="1"/>
      <w:marLeft w:val="0"/>
      <w:marRight w:val="0"/>
      <w:marTop w:val="0"/>
      <w:marBottom w:val="0"/>
      <w:divBdr>
        <w:top w:val="none" w:sz="0" w:space="0" w:color="auto"/>
        <w:left w:val="none" w:sz="0" w:space="0" w:color="auto"/>
        <w:bottom w:val="none" w:sz="0" w:space="0" w:color="auto"/>
        <w:right w:val="none" w:sz="0" w:space="0" w:color="auto"/>
      </w:divBdr>
    </w:div>
    <w:div w:id="1758669080">
      <w:bodyDiv w:val="1"/>
      <w:marLeft w:val="0"/>
      <w:marRight w:val="0"/>
      <w:marTop w:val="0"/>
      <w:marBottom w:val="0"/>
      <w:divBdr>
        <w:top w:val="none" w:sz="0" w:space="0" w:color="auto"/>
        <w:left w:val="none" w:sz="0" w:space="0" w:color="auto"/>
        <w:bottom w:val="none" w:sz="0" w:space="0" w:color="auto"/>
        <w:right w:val="none" w:sz="0" w:space="0" w:color="auto"/>
      </w:divBdr>
    </w:div>
    <w:div w:id="1759908023">
      <w:bodyDiv w:val="1"/>
      <w:marLeft w:val="0"/>
      <w:marRight w:val="0"/>
      <w:marTop w:val="0"/>
      <w:marBottom w:val="0"/>
      <w:divBdr>
        <w:top w:val="none" w:sz="0" w:space="0" w:color="auto"/>
        <w:left w:val="none" w:sz="0" w:space="0" w:color="auto"/>
        <w:bottom w:val="none" w:sz="0" w:space="0" w:color="auto"/>
        <w:right w:val="none" w:sz="0" w:space="0" w:color="auto"/>
      </w:divBdr>
    </w:div>
    <w:div w:id="1760714010">
      <w:bodyDiv w:val="1"/>
      <w:marLeft w:val="0"/>
      <w:marRight w:val="0"/>
      <w:marTop w:val="0"/>
      <w:marBottom w:val="0"/>
      <w:divBdr>
        <w:top w:val="none" w:sz="0" w:space="0" w:color="auto"/>
        <w:left w:val="none" w:sz="0" w:space="0" w:color="auto"/>
        <w:bottom w:val="none" w:sz="0" w:space="0" w:color="auto"/>
        <w:right w:val="none" w:sz="0" w:space="0" w:color="auto"/>
      </w:divBdr>
    </w:div>
    <w:div w:id="1786732514">
      <w:bodyDiv w:val="1"/>
      <w:marLeft w:val="0"/>
      <w:marRight w:val="0"/>
      <w:marTop w:val="0"/>
      <w:marBottom w:val="0"/>
      <w:divBdr>
        <w:top w:val="none" w:sz="0" w:space="0" w:color="auto"/>
        <w:left w:val="none" w:sz="0" w:space="0" w:color="auto"/>
        <w:bottom w:val="none" w:sz="0" w:space="0" w:color="auto"/>
        <w:right w:val="none" w:sz="0" w:space="0" w:color="auto"/>
      </w:divBdr>
    </w:div>
    <w:div w:id="1791434795">
      <w:bodyDiv w:val="1"/>
      <w:marLeft w:val="0"/>
      <w:marRight w:val="0"/>
      <w:marTop w:val="0"/>
      <w:marBottom w:val="0"/>
      <w:divBdr>
        <w:top w:val="none" w:sz="0" w:space="0" w:color="auto"/>
        <w:left w:val="none" w:sz="0" w:space="0" w:color="auto"/>
        <w:bottom w:val="none" w:sz="0" w:space="0" w:color="auto"/>
        <w:right w:val="none" w:sz="0" w:space="0" w:color="auto"/>
      </w:divBdr>
    </w:div>
    <w:div w:id="1836677820">
      <w:bodyDiv w:val="1"/>
      <w:marLeft w:val="0"/>
      <w:marRight w:val="0"/>
      <w:marTop w:val="0"/>
      <w:marBottom w:val="0"/>
      <w:divBdr>
        <w:top w:val="none" w:sz="0" w:space="0" w:color="auto"/>
        <w:left w:val="none" w:sz="0" w:space="0" w:color="auto"/>
        <w:bottom w:val="none" w:sz="0" w:space="0" w:color="auto"/>
        <w:right w:val="none" w:sz="0" w:space="0" w:color="auto"/>
      </w:divBdr>
    </w:div>
    <w:div w:id="1861898022">
      <w:bodyDiv w:val="1"/>
      <w:marLeft w:val="0"/>
      <w:marRight w:val="0"/>
      <w:marTop w:val="0"/>
      <w:marBottom w:val="0"/>
      <w:divBdr>
        <w:top w:val="none" w:sz="0" w:space="0" w:color="auto"/>
        <w:left w:val="none" w:sz="0" w:space="0" w:color="auto"/>
        <w:bottom w:val="none" w:sz="0" w:space="0" w:color="auto"/>
        <w:right w:val="none" w:sz="0" w:space="0" w:color="auto"/>
      </w:divBdr>
    </w:div>
    <w:div w:id="1962490580">
      <w:bodyDiv w:val="1"/>
      <w:marLeft w:val="0"/>
      <w:marRight w:val="0"/>
      <w:marTop w:val="0"/>
      <w:marBottom w:val="0"/>
      <w:divBdr>
        <w:top w:val="none" w:sz="0" w:space="0" w:color="auto"/>
        <w:left w:val="none" w:sz="0" w:space="0" w:color="auto"/>
        <w:bottom w:val="none" w:sz="0" w:space="0" w:color="auto"/>
        <w:right w:val="none" w:sz="0" w:space="0" w:color="auto"/>
      </w:divBdr>
    </w:div>
    <w:div w:id="1979260955">
      <w:bodyDiv w:val="1"/>
      <w:marLeft w:val="0"/>
      <w:marRight w:val="0"/>
      <w:marTop w:val="0"/>
      <w:marBottom w:val="0"/>
      <w:divBdr>
        <w:top w:val="none" w:sz="0" w:space="0" w:color="auto"/>
        <w:left w:val="none" w:sz="0" w:space="0" w:color="auto"/>
        <w:bottom w:val="none" w:sz="0" w:space="0" w:color="auto"/>
        <w:right w:val="none" w:sz="0" w:space="0" w:color="auto"/>
      </w:divBdr>
    </w:div>
    <w:div w:id="1986860873">
      <w:bodyDiv w:val="1"/>
      <w:marLeft w:val="0"/>
      <w:marRight w:val="0"/>
      <w:marTop w:val="0"/>
      <w:marBottom w:val="0"/>
      <w:divBdr>
        <w:top w:val="none" w:sz="0" w:space="0" w:color="auto"/>
        <w:left w:val="none" w:sz="0" w:space="0" w:color="auto"/>
        <w:bottom w:val="none" w:sz="0" w:space="0" w:color="auto"/>
        <w:right w:val="none" w:sz="0" w:space="0" w:color="auto"/>
      </w:divBdr>
    </w:div>
    <w:div w:id="1989245917">
      <w:bodyDiv w:val="1"/>
      <w:marLeft w:val="0"/>
      <w:marRight w:val="0"/>
      <w:marTop w:val="0"/>
      <w:marBottom w:val="0"/>
      <w:divBdr>
        <w:top w:val="none" w:sz="0" w:space="0" w:color="auto"/>
        <w:left w:val="none" w:sz="0" w:space="0" w:color="auto"/>
        <w:bottom w:val="none" w:sz="0" w:space="0" w:color="auto"/>
        <w:right w:val="none" w:sz="0" w:space="0" w:color="auto"/>
      </w:divBdr>
    </w:div>
    <w:div w:id="2019769183">
      <w:bodyDiv w:val="1"/>
      <w:marLeft w:val="0"/>
      <w:marRight w:val="0"/>
      <w:marTop w:val="0"/>
      <w:marBottom w:val="0"/>
      <w:divBdr>
        <w:top w:val="none" w:sz="0" w:space="0" w:color="auto"/>
        <w:left w:val="none" w:sz="0" w:space="0" w:color="auto"/>
        <w:bottom w:val="none" w:sz="0" w:space="0" w:color="auto"/>
        <w:right w:val="none" w:sz="0" w:space="0" w:color="auto"/>
      </w:divBdr>
    </w:div>
    <w:div w:id="2041587082">
      <w:bodyDiv w:val="1"/>
      <w:marLeft w:val="0"/>
      <w:marRight w:val="0"/>
      <w:marTop w:val="0"/>
      <w:marBottom w:val="0"/>
      <w:divBdr>
        <w:top w:val="none" w:sz="0" w:space="0" w:color="auto"/>
        <w:left w:val="none" w:sz="0" w:space="0" w:color="auto"/>
        <w:bottom w:val="none" w:sz="0" w:space="0" w:color="auto"/>
        <w:right w:val="none" w:sz="0" w:space="0" w:color="auto"/>
      </w:divBdr>
    </w:div>
    <w:div w:id="2063481211">
      <w:bodyDiv w:val="1"/>
      <w:marLeft w:val="0"/>
      <w:marRight w:val="0"/>
      <w:marTop w:val="0"/>
      <w:marBottom w:val="0"/>
      <w:divBdr>
        <w:top w:val="none" w:sz="0" w:space="0" w:color="auto"/>
        <w:left w:val="none" w:sz="0" w:space="0" w:color="auto"/>
        <w:bottom w:val="none" w:sz="0" w:space="0" w:color="auto"/>
        <w:right w:val="none" w:sz="0" w:space="0" w:color="auto"/>
      </w:divBdr>
    </w:div>
    <w:div w:id="2068795797">
      <w:bodyDiv w:val="1"/>
      <w:marLeft w:val="0"/>
      <w:marRight w:val="0"/>
      <w:marTop w:val="0"/>
      <w:marBottom w:val="0"/>
      <w:divBdr>
        <w:top w:val="none" w:sz="0" w:space="0" w:color="auto"/>
        <w:left w:val="none" w:sz="0" w:space="0" w:color="auto"/>
        <w:bottom w:val="none" w:sz="0" w:space="0" w:color="auto"/>
        <w:right w:val="none" w:sz="0" w:space="0" w:color="auto"/>
      </w:divBdr>
    </w:div>
    <w:div w:id="2077389537">
      <w:bodyDiv w:val="1"/>
      <w:marLeft w:val="0"/>
      <w:marRight w:val="0"/>
      <w:marTop w:val="0"/>
      <w:marBottom w:val="0"/>
      <w:divBdr>
        <w:top w:val="none" w:sz="0" w:space="0" w:color="auto"/>
        <w:left w:val="none" w:sz="0" w:space="0" w:color="auto"/>
        <w:bottom w:val="none" w:sz="0" w:space="0" w:color="auto"/>
        <w:right w:val="none" w:sz="0" w:space="0" w:color="auto"/>
      </w:divBdr>
    </w:div>
    <w:div w:id="2090538884">
      <w:bodyDiv w:val="1"/>
      <w:marLeft w:val="0"/>
      <w:marRight w:val="0"/>
      <w:marTop w:val="0"/>
      <w:marBottom w:val="0"/>
      <w:divBdr>
        <w:top w:val="none" w:sz="0" w:space="0" w:color="auto"/>
        <w:left w:val="none" w:sz="0" w:space="0" w:color="auto"/>
        <w:bottom w:val="none" w:sz="0" w:space="0" w:color="auto"/>
        <w:right w:val="none" w:sz="0" w:space="0" w:color="auto"/>
      </w:divBdr>
    </w:div>
    <w:div w:id="2127577130">
      <w:bodyDiv w:val="1"/>
      <w:marLeft w:val="0"/>
      <w:marRight w:val="0"/>
      <w:marTop w:val="0"/>
      <w:marBottom w:val="0"/>
      <w:divBdr>
        <w:top w:val="none" w:sz="0" w:space="0" w:color="auto"/>
        <w:left w:val="none" w:sz="0" w:space="0" w:color="auto"/>
        <w:bottom w:val="none" w:sz="0" w:space="0" w:color="auto"/>
        <w:right w:val="none" w:sz="0" w:space="0" w:color="auto"/>
      </w:divBdr>
    </w:div>
    <w:div w:id="2129927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7.jpg"/><Relationship Id="rId34" Type="http://schemas.openxmlformats.org/officeDocument/2006/relationships/image" Target="media/image20.png"/><Relationship Id="rId42" Type="http://schemas.openxmlformats.org/officeDocument/2006/relationships/footer" Target="footer2.xml"/><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1.jp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consult.industry.gov.au/" TargetMode="External"/><Relationship Id="rId20" Type="http://schemas.openxmlformats.org/officeDocument/2006/relationships/image" Target="media/image6.jpg"/><Relationship Id="rId29" Type="http://schemas.openxmlformats.org/officeDocument/2006/relationships/image" Target="media/image15.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jp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oter" Target="footer1.xml"/><Relationship Id="rId45" Type="http://schemas.openxmlformats.org/officeDocument/2006/relationships/hyperlink" Target="https://www.industry.gov.au/data-and-publications/national-greenhouse-accounts-factors"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jp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yperlink" Target="http://www.cleanenergyregulator.gov.au/RET/Scheme-participants-and-industry/the-renewable-power-percentag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reativecommons.org/licenses/by/4.0/legalcode"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g"/><Relationship Id="rId35" Type="http://schemas.openxmlformats.org/officeDocument/2006/relationships/image" Target="media/image21.png"/><Relationship Id="rId43" Type="http://schemas.openxmlformats.org/officeDocument/2006/relationships/hyperlink" Target="https://ghgprotocol.org/scope_2_guidance" TargetMode="External"/><Relationship Id="rId48" Type="http://schemas.openxmlformats.org/officeDocument/2006/relationships/glossaryDocument" Target="glossary/document.xm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7.jp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95F21A025A4639A0029495A8866CC4"/>
        <w:category>
          <w:name w:val="General"/>
          <w:gallery w:val="placeholder"/>
        </w:category>
        <w:types>
          <w:type w:val="bbPlcHdr"/>
        </w:types>
        <w:behaviors>
          <w:behavior w:val="content"/>
        </w:behaviors>
        <w:guid w:val="{834C6828-8ED1-45C1-A01F-961378599566}"/>
      </w:docPartPr>
      <w:docPartBody>
        <w:p w:rsidR="00494D8E" w:rsidRDefault="00B647FE">
          <w:pPr>
            <w:pStyle w:val="2B95F21A025A4639A0029495A8866CC4"/>
          </w:pPr>
          <w:r w:rsidRPr="00DB39DE">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Bold">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7FE"/>
    <w:rsid w:val="0002607C"/>
    <w:rsid w:val="00030BEB"/>
    <w:rsid w:val="00036CE3"/>
    <w:rsid w:val="0004730C"/>
    <w:rsid w:val="00060B20"/>
    <w:rsid w:val="000A499F"/>
    <w:rsid w:val="000C0FDE"/>
    <w:rsid w:val="000D584A"/>
    <w:rsid w:val="000F3F16"/>
    <w:rsid w:val="000F46DA"/>
    <w:rsid w:val="00106A8F"/>
    <w:rsid w:val="00125D7B"/>
    <w:rsid w:val="00176255"/>
    <w:rsid w:val="00183AFF"/>
    <w:rsid w:val="001928A2"/>
    <w:rsid w:val="0019413D"/>
    <w:rsid w:val="001B4438"/>
    <w:rsid w:val="002208CA"/>
    <w:rsid w:val="00271EB2"/>
    <w:rsid w:val="002C5CD3"/>
    <w:rsid w:val="00337F4A"/>
    <w:rsid w:val="00342827"/>
    <w:rsid w:val="0035696D"/>
    <w:rsid w:val="0038593B"/>
    <w:rsid w:val="003C1829"/>
    <w:rsid w:val="00401F8E"/>
    <w:rsid w:val="004404FA"/>
    <w:rsid w:val="00494D8E"/>
    <w:rsid w:val="00512374"/>
    <w:rsid w:val="00517322"/>
    <w:rsid w:val="00564E90"/>
    <w:rsid w:val="005774E5"/>
    <w:rsid w:val="005913A8"/>
    <w:rsid w:val="00595CA1"/>
    <w:rsid w:val="005A205D"/>
    <w:rsid w:val="005F076A"/>
    <w:rsid w:val="006538F2"/>
    <w:rsid w:val="006F2F49"/>
    <w:rsid w:val="0074028C"/>
    <w:rsid w:val="0075678F"/>
    <w:rsid w:val="00762B42"/>
    <w:rsid w:val="007A6628"/>
    <w:rsid w:val="00836DCF"/>
    <w:rsid w:val="00887A3C"/>
    <w:rsid w:val="008D3C15"/>
    <w:rsid w:val="008D4D2E"/>
    <w:rsid w:val="00914052"/>
    <w:rsid w:val="00953DC2"/>
    <w:rsid w:val="00972031"/>
    <w:rsid w:val="009A61F2"/>
    <w:rsid w:val="009B5E5A"/>
    <w:rsid w:val="009D0948"/>
    <w:rsid w:val="00A029E0"/>
    <w:rsid w:val="00A9001A"/>
    <w:rsid w:val="00B002ED"/>
    <w:rsid w:val="00B168E2"/>
    <w:rsid w:val="00B51E45"/>
    <w:rsid w:val="00B647FE"/>
    <w:rsid w:val="00B660BB"/>
    <w:rsid w:val="00B92246"/>
    <w:rsid w:val="00BC76AA"/>
    <w:rsid w:val="00BD7EAB"/>
    <w:rsid w:val="00BF5DA6"/>
    <w:rsid w:val="00C81D66"/>
    <w:rsid w:val="00CB4E36"/>
    <w:rsid w:val="00CC4DDF"/>
    <w:rsid w:val="00D10891"/>
    <w:rsid w:val="00D149EA"/>
    <w:rsid w:val="00D2674B"/>
    <w:rsid w:val="00D460C1"/>
    <w:rsid w:val="00D83BC9"/>
    <w:rsid w:val="00DC1F95"/>
    <w:rsid w:val="00E65C11"/>
    <w:rsid w:val="00E95B03"/>
    <w:rsid w:val="00EC52B0"/>
    <w:rsid w:val="00ED3B87"/>
    <w:rsid w:val="00F72CED"/>
    <w:rsid w:val="00FB2FA5"/>
    <w:rsid w:val="00FB42BD"/>
    <w:rsid w:val="00FE45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83BC9"/>
    <w:rPr>
      <w:color w:val="808080"/>
    </w:rPr>
  </w:style>
  <w:style w:type="paragraph" w:customStyle="1" w:styleId="BC4FB19D76B5429497C017C6555FB792">
    <w:name w:val="BC4FB19D76B5429497C017C6555FB792"/>
  </w:style>
  <w:style w:type="paragraph" w:customStyle="1" w:styleId="2B95F21A025A4639A0029495A8866CC4">
    <w:name w:val="2B95F21A025A4639A0029495A8866CC4"/>
  </w:style>
  <w:style w:type="paragraph" w:customStyle="1" w:styleId="7DDCD980D68B4AD8809EC01CEAB037FF">
    <w:name w:val="7DDCD980D68B4AD8809EC01CEAB037FF"/>
    <w:rsid w:val="00D83B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DIIS">
      <a:dk1>
        <a:srgbClr val="000000"/>
      </a:dk1>
      <a:lt1>
        <a:srgbClr val="FFFFFF"/>
      </a:lt1>
      <a:dk2>
        <a:srgbClr val="005677"/>
      </a:dk2>
      <a:lt2>
        <a:srgbClr val="58595B"/>
      </a:lt2>
      <a:accent1>
        <a:srgbClr val="939598"/>
      </a:accent1>
      <a:accent2>
        <a:srgbClr val="00283E"/>
      </a:accent2>
      <a:accent3>
        <a:srgbClr val="1B9590"/>
      </a:accent3>
      <a:accent4>
        <a:srgbClr val="61C6C6"/>
      </a:accent4>
      <a:accent5>
        <a:srgbClr val="9CD9E0"/>
      </a:accent5>
      <a:accent6>
        <a:srgbClr val="C973AF"/>
      </a:accent6>
      <a:hlink>
        <a:srgbClr val="0070AE"/>
      </a:hlink>
      <a:folHlink>
        <a:srgbClr val="551A8B"/>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BC986DFDE75994F940B8C539C91BA04" ma:contentTypeVersion="14" ma:contentTypeDescription="Create a new document." ma:contentTypeScope="" ma:versionID="4dec2ae86bcc1c0c190874cfb8a3aa40">
  <xsd:schema xmlns:xsd="http://www.w3.org/2001/XMLSchema" xmlns:xs="http://www.w3.org/2001/XMLSchema" xmlns:p="http://schemas.microsoft.com/office/2006/metadata/properties" xmlns:ns1="http://schemas.microsoft.com/sharepoint/v3" xmlns:ns2="a36bd50b-1532-4c22-b385-5c082c960938" xmlns:ns3="06a8ef23-3c56-433f-9e1a-931c6bc25665" xmlns:ns4="http://schemas.microsoft.com/sharepoint/v4" targetNamespace="http://schemas.microsoft.com/office/2006/metadata/properties" ma:root="true" ma:fieldsID="01860b17db9432ac1f1a815c07ea3131" ns1:_="" ns2:_="" ns3:_="" ns4:_="">
    <xsd:import namespace="http://schemas.microsoft.com/sharepoint/v3"/>
    <xsd:import namespace="a36bd50b-1532-4c22-b385-5c082c960938"/>
    <xsd:import namespace="06a8ef23-3c56-433f-9e1a-931c6bc25665"/>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SharedWithUser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6bd50b-1532-4c22-b385-5c082c9609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b105633c-b4a4-410d-9aa1-03dbcd2659c8}" ma:internalName="TaxCatchAll" ma:showField="CatchAllData" ma:web="06a8ef23-3c56-433f-9e1a-931c6bc25665">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9d462c63-7003-4b1e-942d-e9594199c0eb"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6a8ef23-3c56-433f-9e1a-931c6bc25665"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adb9bed2e36e4a93af574aeb444da63e xmlns="a36bd50b-1532-4c22-b385-5c082c960938">
      <Terms xmlns="http://schemas.microsoft.com/office/infopath/2007/PartnerControls"/>
    </adb9bed2e36e4a93af574aeb444da63e>
    <n99e4c9942c6404eb103464a00e6097b xmlns="a36bd50b-1532-4c22-b385-5c082c960938">
      <Terms xmlns="http://schemas.microsoft.com/office/infopath/2007/PartnerControls"/>
    </n99e4c9942c6404eb103464a00e6097b>
    <IconOverlay xmlns="http://schemas.microsoft.com/sharepoint/v4" xsi:nil="true"/>
    <pe2555c81638466f9eb614edb9ecde52 xmlns="a36bd50b-1532-4c22-b385-5c082c960938">
      <Terms xmlns="http://schemas.microsoft.com/office/infopath/2007/PartnerControls">
        <TermInfo xmlns="http://schemas.microsoft.com/office/infopath/2007/PartnerControls">
          <TermName>Report</TermName>
          <TermId>116a9244-cef6-47ce-a9a5-088c9cf21292</TermId>
        </TermInfo>
      </Terms>
    </pe2555c81638466f9eb614edb9ecde52>
    <aa25a1a23adf4c92a153145de6afe324 xmlns="a36bd50b-1532-4c22-b385-5c082c960938">
      <Terms xmlns="http://schemas.microsoft.com/office/infopath/2007/PartnerControls">
        <TermInfo xmlns="http://schemas.microsoft.com/office/infopath/2007/PartnerControls">
          <TermName>OFFICIAL</TermName>
          <TermId>6106d03b-a1a0-4e30-9d91-d5e9fb4314f9</TermId>
        </TermInfo>
      </Terms>
    </aa25a1a23adf4c92a153145de6afe324>
    <g7bcb40ba23249a78edca7d43a67c1c9 xmlns="a36bd50b-1532-4c22-b385-5c082c960938">
      <Terms xmlns="http://schemas.microsoft.com/office/infopath/2007/PartnerControls">
        <TermInfo xmlns="http://schemas.microsoft.com/office/infopath/2007/PartnerControls">
          <TermName>Policy Consultation</TermName>
          <TermId>2c1b3c96-ddbe-43b6-afb9-5596fa993eac</TermId>
        </TermInfo>
      </Terms>
    </g7bcb40ba23249a78edca7d43a67c1c9>
    <TaxCatchAll xmlns="a36bd50b-1532-4c22-b385-5c082c960938">
      <Value>160</Value>
      <Value>5</Value>
      <Value>1</Value>
    </TaxCatchAll>
    <Comment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b:Source>
    <b:Tag>Dep14</b:Tag>
    <b:SourceType>Report</b:SourceType>
    <b:Guid>{6E28AAB3-7316-4A51-B8DD-0C40004E46EB}</b:Guid>
    <b:Author>
      <b:Author>
        <b:Corporate>Department of the Environment</b:Corporate>
      </b:Author>
    </b:Author>
    <b:Title>Subsidence from coal mining activities</b:Title>
    <b:Year>2014</b:Year>
    <b:Publisher>Deparment of the Environment</b:Publisher>
    <b:City>Canberra</b:City>
    <b:URL>https://www.environment.gov.au/system/files/resources/1ebc143e-e796-453d-b9d6-00cdbbabdee3/files/background-review-subsidence-coal-mining.pdf</b:URL>
    <b:RefOrder>6</b:RefOrder>
  </b:Source>
  <b:Source>
    <b:Tag>Raj20</b:Tag>
    <b:SourceType>InternetSite</b:SourceType>
    <b:Guid>{70822E9D-54DE-4D9A-B234-B25F8B146A85}</b:Guid>
    <b:Author>
      <b:Author>
        <b:NameList>
          <b:Person>
            <b:Last>Ramani</b:Last>
            <b:First>Raja</b:First>
            <b:Middle>Venkat</b:Middle>
          </b:Person>
        </b:NameList>
      </b:Author>
    </b:Author>
    <b:Title>Coal mining</b:Title>
    <b:InternetSiteTitle>Encyclopedia Brittannica</b:InternetSiteTitle>
    <b:Year>2020</b:Year>
    <b:Month>November</b:Month>
    <b:Day>2</b:Day>
    <b:URL>https://www.britannica.com/technology/coal-mining/Choosing-a-mining-method</b:URL>
    <b:RefOrder>7</b:RefOrder>
  </b:Source>
  <b:Source>
    <b:Tag>Lee83</b:Tag>
    <b:SourceType>Report</b:SourceType>
    <b:Guid>{D7D37F07-802E-4939-9B89-7FD0327018C9}</b:Guid>
    <b:Author>
      <b:Author>
        <b:NameList>
          <b:Person>
            <b:Last>Lee</b:Last>
            <b:First>F</b:First>
          </b:Person>
          <b:Person>
            <b:Last>Abel</b:Last>
            <b:First>J</b:First>
          </b:Person>
        </b:NameList>
      </b:Author>
    </b:Author>
    <b:Title>Subsidence from underground mining: environmental analysis and planning considerations</b:Title>
    <b:Year>1983</b:Year>
    <b:Publisher>United States Geological Survey</b:Publisher>
    <b:City>Alexandria</b:City>
    <b:RefOrder>8</b:RefOrder>
  </b:Source>
  <b:Source>
    <b:Tag>Cle20</b:Tag>
    <b:SourceType>Report</b:SourceType>
    <b:Guid>{01F15F60-11B6-43AC-B5BA-44E81A3CBB49}</b:Guid>
    <b:Title>Estimating emissions and energy from coal mining guideline</b:Title>
    <b:Year>2020</b:Year>
    <b:Author>
      <b:Author>
        <b:Corporate>Clean Energy Regulator</b:Corporate>
      </b:Author>
    </b:Author>
    <b:Publisher>Clean Energy Regulator</b:Publisher>
    <b:City>Canberra</b:City>
    <b:RefOrder>9</b:RefOrder>
  </b:Source>
  <b:Source>
    <b:Tag>Glo20</b:Tag>
    <b:SourceType>DocumentFromInternetSite</b:SourceType>
    <b:Guid>{72E87534-8E3C-42F0-AF5E-168C0E2F10E3}</b:Guid>
    <b:Author>
      <b:Author>
        <b:Corporate>Global Methane Initiative Coal Subcommittee</b:Corporate>
      </b:Author>
    </b:Author>
    <b:Title>Flaring of Coal Mine Methane: Assessing Appropriate Opportunities</b:Title>
    <b:Year>2020</b:Year>
    <b:Month>November</b:Month>
    <b:Day>6</b:Day>
    <b:URL>https://www.globalmethane.org/documents/GMICoalFlaringNov2013.pdf</b:URL>
    <b:RefOrder>10</b:RefOrder>
  </b:Source>
  <b:Source>
    <b:Tag>Lee14</b:Tag>
    <b:SourceType>Report</b:SourceType>
    <b:Guid>{80624E62-75C7-4BD3-A245-CCD0095DB120}</b:Guid>
    <b:Title>Sustainable Application of Reciprocating Gas Engines Operating On Coal Mine Methane Gas</b:Title>
    <b:Year>2014</b:Year>
    <b:URL>http://s7d2.scene7.com/is/content/Caterpillar/CM20160629-32522-55426</b:URL>
    <b:Publisher>Caterpillar</b:Publisher>
    <b:Author>
      <b:Author>
        <b:NameList>
          <b:Person>
            <b:Last>Lee</b:Last>
            <b:First>J</b:First>
          </b:Person>
          <b:Person>
            <b:Last>Teo</b:Last>
            <b:First>T</b:First>
          </b:Person>
          <b:Person>
            <b:Last>Tnay</b:Last>
            <b:First>C</b:First>
          </b:Person>
        </b:NameList>
      </b:Author>
    </b:Author>
    <b:RefOrder>11</b:RefOrder>
  </b:Source>
  <b:Source>
    <b:Tag>McP93</b:Tag>
    <b:SourceType>JournalArticle</b:SourceType>
    <b:Guid>{A18C588F-9C81-4F39-A684-44C44C2E15CC}</b:Guid>
    <b:Title>Refrigeration plant and mine air conditioning systems</b:Title>
    <b:Year>1993</b:Year>
    <b:Author>
      <b:Author>
        <b:NameList>
          <b:Person>
            <b:Last>McPherson</b:Last>
            <b:First>M</b:First>
          </b:Person>
        </b:NameList>
      </b:Author>
    </b:Author>
    <b:JournalName>Subsurface Ventilation and Environmental Engineering</b:JournalName>
    <b:Pages>651-738</b:Pages>
    <b:URL>https://www.mvsengineering.com/files/Subsurface-Book/MVS-SVE_Chapter18.pdf</b:URL>
    <b:RefOrder>12</b:RefOrder>
  </b:Source>
  <b:Source>
    <b:Tag>Vam00</b:Tag>
    <b:SourceType>BookSection</b:SourceType>
    <b:Guid>{75BFFC99-A9AE-447E-B483-A8ECB0814303}</b:Guid>
    <b:Author>
      <b:Author>
        <b:NameList>
          <b:Person>
            <b:Last>Vamvuka</b:Last>
            <b:First>D</b:First>
          </b:Person>
        </b:NameList>
      </b:Author>
    </b:Author>
    <b:Title>Gasification of coal</b:Title>
    <b:Year>2000</b:Year>
    <b:City>Brentwood</b:City>
    <b:Publisher>MultiScience Publishing Corporation Limited</b:Publisher>
    <b:BookTitle>Clean Use of Coals. Low-Rank Coal Technologies</b:BookTitle>
    <b:Pages>515-581</b:Pages>
    <b:URL>https://journals.sagepub.com/doi/pdf/10.1177/014459879901700603</b:URL>
    <b:RefOrder>13</b:RefOrder>
  </b:Source>
  <b:Source>
    <b:Tag>Nat20</b:Tag>
    <b:SourceType>InternetSite</b:SourceType>
    <b:Guid>{02B331C2-3C2C-4C24-AAD3-343FDA64155A}</b:Guid>
    <b:Title>Catalytic gasification</b:Title>
    <b:Year>2010</b:Year>
    <b:Author>
      <b:Author>
        <b:Corporate>National Energy Technology Laboratory</b:Corporate>
      </b:Author>
    </b:Author>
    <b:Month>November</b:Month>
    <b:Day>9</b:Day>
    <b:URL>https://netl.doe.gov/research/Coal/energy-systems/gasification/gasifipedia/catalytic</b:URL>
    <b:RefOrder>14</b:RefOrder>
  </b:Source>
  <b:Source>
    <b:Tag>Hig08</b:Tag>
    <b:SourceType>BookSection</b:SourceType>
    <b:Guid>{F03D7F0B-E9DD-48E4-B45E-F8264797B972}</b:Guid>
    <b:Author>
      <b:Author>
        <b:NameList>
          <b:Person>
            <b:Last>Higman</b:Last>
            <b:First>C.</b:First>
            <b:Middle>&amp; van der Burgt, M</b:Middle>
          </b:Person>
        </b:NameList>
      </b:Author>
    </b:Author>
    <b:Title>Chapter 5 - Gasification Processes</b:Title>
    <b:Year>2008</b:Year>
    <b:URL>http://www.sciencedirect.com/science/article/pii/B9780750685283000055</b:URL>
    <b:BookTitle>Gasification (second edition)</b:BookTitle>
    <b:Pages>91-191</b:Pages>
    <b:Publisher>Gulf Professional Publishing</b:Publisher>
    <b:DOI>https://doi.org/10.1016/B978-0-7506-8528-3.00005-5</b:DOI>
    <b:RefOrder>15</b:RefOrder>
  </b:Source>
  <b:Source>
    <b:Tag>htt07</b:Tag>
    <b:SourceType>Report</b:SourceType>
    <b:Guid>{09F84308-2E6A-4C36-A11F-85F05014946B}</b:Guid>
    <b:Title>Life Cycle Inventories of Chemicals</b:Title>
    <b:Year>2007</b:Year>
    <b:Publisher>EMPA</b:Publisher>
    <b:City>Dubendorf</b:City>
    <b:Institution>Swiss Centre for Life Cycle Inventories</b:Institution>
    <b:ShortTitle>ecoinvent report No. 9, v2.0</b:ShortTitle>
    <b:URL>https://db.ecoinvent.org/reports/08_Chemicals.pdf</b:URL>
    <b:Author>
      <b:Author>
        <b:NameList>
          <b:Person>
            <b:Last>Althaus</b:Last>
            <b:First>H.J.,</b:First>
            <b:Middle>Chudacoff, M., Hischier, R. Jungbluth, N., Osses, M. and Primas, A.</b:Middle>
          </b:Person>
        </b:NameList>
      </b:Author>
    </b:Author>
    <b:RefOrder>5</b:RefOrder>
  </b:Source>
  <b:Source>
    <b:Tag>Kop00</b:Tag>
    <b:SourceType>InternetSite</b:SourceType>
    <b:Guid>{02D3CDEB-139F-476E-A3D7-6F20D38EB9F3}</b:Guid>
    <b:Title>Coal utilization</b:Title>
    <b:Year>2000</b:Year>
    <b:Author>
      <b:Author>
        <b:NameList>
          <b:Person>
            <b:Last>Kopp</b:Last>
            <b:First>O</b:First>
          </b:Person>
        </b:NameList>
      </b:Author>
    </b:Author>
    <b:InternetSiteTitle>Encyclopedia Britannica</b:InternetSiteTitle>
    <b:Month>November</b:Month>
    <b:Day>3</b:Day>
    <b:URL>https://www.britannica.com/science/fossil-fuel</b:URL>
    <b:RefOrder>16</b:RefOrder>
  </b:Source>
  <b:Source>
    <b:Tag>Pal18</b:Tag>
    <b:SourceType>JournalArticle</b:SourceType>
    <b:Guid>{0304883B-AD1C-4735-80FB-A0D5231F9079}</b:Guid>
    <b:Title>Performance of water gas shift reaction catalysts: a review</b:Title>
    <b:Year>2018</b:Year>
    <b:Author>
      <b:Author>
        <b:NameList>
          <b:Person>
            <b:Last>Pal</b:Last>
            <b:First>D</b:First>
          </b:Person>
          <b:Person>
            <b:Last>Chand</b:Last>
            <b:First>R</b:First>
          </b:Person>
          <b:Person>
            <b:Last>Upadhyay</b:Last>
            <b:First>S</b:First>
          </b:Person>
          <b:Person>
            <b:Last>Mishra</b:Last>
            <b:First>P</b:First>
          </b:Person>
        </b:NameList>
      </b:Author>
    </b:Author>
    <b:JournalName>Renewable and Sustainable Energy Reviews</b:JournalName>
    <b:Pages>549-565</b:Pages>
    <b:Volume>93</b:Volume>
    <b:RefOrder>17</b:RefOrder>
  </b:Source>
  <b:Source>
    <b:Tag>Fer18</b:Tag>
    <b:SourceType>BookSection</b:SourceType>
    <b:Guid>{1DFC5689-168E-424F-AA62-178E4EF76774}</b:Guid>
    <b:Author>
      <b:Author>
        <b:NameList>
          <b:Person>
            <b:Last>Vega</b:Last>
            <b:First>F</b:First>
          </b:Person>
          <b:Person>
            <b:Last>Cano</b:Last>
            <b:First>M</b:First>
          </b:Person>
          <b:Person>
            <b:Last>Camino</b:Last>
            <b:First>S</b:First>
          </b:Person>
          <b:Person>
            <b:Last>Gallego Fernández</b:Last>
            <b:First>LM</b:First>
          </b:Person>
          <b:Person>
            <b:Last>Portillo</b:Last>
            <b:First>E</b:First>
          </b:Person>
          <b:Person>
            <b:Last>&amp; Navarrete</b:Last>
            <b:First>B</b:First>
          </b:Person>
        </b:NameList>
      </b:Author>
    </b:Author>
    <b:Title>Solvents for Carbon Dioxide Capture</b:Title>
    <b:Year>2018</b:Year>
    <b:URL>https://www.intechopen.com/books/carbon-dioxide-chemistry-capture-and-oil-recovery/solvents-for-carbon-dioxide-capture</b:URL>
    <b:BookTitle>Carbon Dioxide Chemistry Capture and Oil Recovery</b:BookTitle>
    <b:Publisher>https://www.intechopen.com/books/carbon-dioxide-chemistry-capture-and-oil-recovery/solvents-for-carbon-dioxide-capture</b:Publisher>
    <b:RefOrder>18</b:RefOrder>
  </b:Source>
  <b:Source>
    <b:Tag>Chi13</b:Tag>
    <b:SourceType>JournalArticle</b:SourceType>
    <b:Guid>{F75410FB-28EB-4460-9F85-B9208B7355E9}</b:Guid>
    <b:Author>
      <b:Author>
        <b:NameList>
          <b:Person>
            <b:Last>Chiche</b:Last>
            <b:First>D</b:First>
          </b:Person>
          <b:Person>
            <b:Last>Diverchy</b:Last>
            <b:First>C</b:First>
          </b:Person>
          <b:Person>
            <b:Last>Lucquin</b:Last>
            <b:First>A</b:First>
          </b:Person>
          <b:Person>
            <b:Last>Porcheron</b:Last>
            <b:First>F</b:First>
          </b:Person>
          <b:Person>
            <b:Last>Defoort</b:Last>
          </b:Person>
        </b:NameList>
      </b:Author>
    </b:Author>
    <b:Title>Synthesis Gas Purification</b:Title>
    <b:JournalName>Oil and Gas Science and Technology</b:JournalName>
    <b:Year>2013</b:Year>
    <b:Pages>707-723</b:Pages>
    <b:Volume>68</b:Volume>
    <b:URL>https://hal-ifp.archives-ouvertes.fr/hal-01936192/document</b:URL>
    <b:RefOrder>19</b:RefOrder>
  </b:Source>
  <b:Source>
    <b:Tag>Hof07</b:Tag>
    <b:SourceType>Report</b:SourceType>
    <b:Guid>{02920162-74DD-4E97-87AA-1DD22BA1915F}</b:Guid>
    <b:Author>
      <b:Author>
        <b:NameList>
          <b:Person>
            <b:Last>Hofbauer</b:Last>
            <b:First>H</b:First>
          </b:Person>
          <b:Person>
            <b:Last>Rauch</b:Last>
            <b:First>R</b:First>
          </b:Person>
          <b:Person>
            <b:Last>Ripfel-Nitsche</b:Last>
            <b:First>K</b:First>
          </b:Person>
        </b:NameList>
      </b:Author>
    </b:Author>
    <b:Title>Report on gas cleaning for synthesis applications</b:Title>
    <b:Year>2007</b:Year>
    <b:Publisher>Vienna University of Technology</b:Publisher>
    <b:City>Vienna</b:City>
    <b:RefOrder>20</b:RefOrder>
  </b:Source>
  <b:Source>
    <b:Tag>Rez20</b:Tag>
    <b:SourceType>JournalArticle</b:SourceType>
    <b:Guid>{556C6750-9934-4188-B27B-C9BBBF29D42A}</b:Guid>
    <b:Author>
      <b:Author>
        <b:NameList>
          <b:Person>
            <b:Last>Rezaee</b:Last>
            <b:First>P</b:First>
          </b:Person>
          <b:Person>
            <b:Last>Naeij</b:Last>
            <b:First>H</b:First>
          </b:Person>
        </b:NameList>
      </b:Author>
    </b:Author>
    <b:Title>A new approach to separate hydrogen from carbon dioxide using graphdiyne-like membrane</b:Title>
    <b:JournalName>Nature: Scientific Reports</b:JournalName>
    <b:Year>2020</b:Year>
    <b:Pages>13549</b:Pages>
    <b:Volume>10</b:Volume>
    <b:RefOrder>21</b:RefOrder>
  </b:Source>
  <b:Source>
    <b:Tag>Sch10</b:Tag>
    <b:SourceType>JournalArticle</b:SourceType>
    <b:Guid>{0265DA53-2398-470B-A95B-C3C8715BBA70}</b:Guid>
    <b:Author>
      <b:Author>
        <b:NameList>
          <b:Person>
            <b:Last>Scholes</b:Last>
            <b:First>C</b:First>
          </b:Person>
          <b:Person>
            <b:Last>Smith</b:Last>
            <b:First>K</b:First>
          </b:Person>
          <b:Person>
            <b:Last>Kentish</b:Last>
            <b:First>S</b:First>
          </b:Person>
          <b:Person>
            <b:Last>Stevens</b:Last>
            <b:First>G</b:First>
          </b:Person>
        </b:NameList>
      </b:Author>
    </b:Author>
    <b:Title>CO2 capture from pre-combustion processes - strategies for membrane gas separation</b:Title>
    <b:JournalName>International Journal of Greenhouse Gas Control</b:JournalName>
    <b:Year>2010</b:Year>
    <b:Pages>739-755</b:Pages>
    <b:Volume>4</b:Volume>
    <b:Issue>5</b:Issue>
    <b:RefOrder>22</b:RefOrder>
  </b:Source>
  <b:Source>
    <b:Tag>Mar16</b:Tag>
    <b:SourceType>JournalArticle</b:SourceType>
    <b:Guid>{5E82C7B9-CD7C-4769-A883-AC125CF43AAF}</b:Guid>
    <b:Title>Impact of stream impurities on compressor power requirements for CO2 pipeline transportation</b:Title>
    <b:Year>2016</b:Year>
    <b:URL>https://discovery.ucl.ac.uk/id/eprint/1522551/1/CO2%20Compression%20-%20%2030%20July%202016.pdf</b:URL>
    <b:JournalName>International Journal of Greenhouse Gas Control</b:JournalName>
    <b:Pages>652-661</b:Pages>
    <b:Volume>54</b:Volume>
    <b:Issue>2</b:Issue>
    <b:DOI>https://doi.org/10.1016/j.ijggc.2016.08.010</b:DOI>
    <b:Author>
      <b:Author>
        <b:NameList>
          <b:Person>
            <b:Last>Martynov</b:Last>
            <b:First>S</b:First>
          </b:Person>
          <b:Person>
            <b:Last>Daud</b:Last>
            <b:First>N</b:First>
          </b:Person>
          <b:Person>
            <b:Last>Mahgerefteh</b:Last>
            <b:First>H</b:First>
          </b:Person>
          <b:Person>
            <b:Last>Brown</b:Last>
            <b:First>S</b:First>
          </b:Person>
          <b:Person>
            <b:Last>Porter</b:Last>
            <b:First>R</b:First>
          </b:Person>
        </b:NameList>
      </b:Author>
    </b:Author>
    <b:RefOrder>23</b:RefOrder>
  </b:Source>
  <b:Source>
    <b:Tag>Nat07</b:Tag>
    <b:SourceType>Book</b:SourceType>
    <b:Guid>{C5B8E25B-5693-49BA-88B9-39C9B1E80A8C}</b:Guid>
    <b:Title>Coal: Research and Development to Support National Energy Policy</b:Title>
    <b:Year>2007</b:Year>
    <b:Author>
      <b:Author>
        <b:Corporate>National Research Council</b:Corporate>
      </b:Author>
    </b:Author>
    <b:City>Washington</b:City>
    <b:Publisher>The National Archives Press</b:Publisher>
    <b:RefOrder>24</b:RefOrder>
  </b:Source>
  <b:Source>
    <b:Tag>Env20</b:Tag>
    <b:SourceType>InternetSite</b:SourceType>
    <b:Guid>{F1592538-D884-47E2-A8E8-2E41710C45D5}</b:Guid>
    <b:Title>Carbon Capture and Storage (CCS)</b:Title>
    <b:Year>2020</b:Year>
    <b:Author>
      <b:Author>
        <b:Corporate>Environmental and Energy Study Institute</b:Corporate>
      </b:Author>
    </b:Author>
    <b:Month>November</b:Month>
    <b:Day>3</b:Day>
    <b:URL>https://www.eesi.org/topics/fossil-fuels/ccs</b:URL>
    <b:RefOrder>25</b:RefOrder>
  </b:Source>
  <b:Source>
    <b:Tag>HES20</b:Tag>
    <b:SourceType>InternetSite</b:SourceType>
    <b:Guid>{F663A27C-45BB-4479-ACD3-053A553D344F}</b:Guid>
    <b:Title>Community and Sustainability</b:Title>
    <b:InternetSiteTitle>Hydrogen Energy Supply Chain</b:InternetSiteTitle>
    <b:Year>2020</b:Year>
    <b:URL>https://hydrogenenergysupplychain.com/community-and-sustainability/</b:URL>
    <b:Author>
      <b:Author>
        <b:NameList>
          <b:Person>
            <b:Last>HESC</b:Last>
          </b:Person>
        </b:NameList>
      </b:Author>
    </b:Author>
    <b:RefOrder>26</b:RefOrder>
  </b:Source>
  <b:Source>
    <b:Tag>IEA201</b:Tag>
    <b:SourceType>InternetSite</b:SourceType>
    <b:Guid>{79002A4D-DF24-48B3-AA5A-D044C7410217}</b:Guid>
    <b:Author>
      <b:Author>
        <b:Corporate>IEA</b:Corporate>
      </b:Author>
    </b:Author>
    <b:Title>CCUS in Clean Energy Transitions</b:Title>
    <b:InternetSiteTitle>IEA</b:InternetSiteTitle>
    <b:Year>2020</b:Year>
    <b:URL>https://www.iea.org/reports/ccus-in-clean-energy-transitions/a-new-era-for-ccus#growing-ccus-momentum</b:URL>
    <b:RefOrder>46</b:RefOrder>
  </b:Source>
  <b:Source>
    <b:Tag>Mak16</b:Tag>
    <b:SourceType>BookSection</b:SourceType>
    <b:Guid>{B2779A34-4DC9-4BB6-8D7D-28F8F6802710}</b:Guid>
    <b:Author>
      <b:Author>
        <b:NameList>
          <b:Person>
            <b:Last>Makridis</b:Last>
            <b:First>S.</b:First>
          </b:Person>
        </b:NameList>
      </b:Author>
    </b:Author>
    <b:Title>Chapter 1: Hydrogen storage and compression,</b:Title>
    <b:Year>2016</b:Year>
    <b:BookTitle>Methane and Hydrogen for Energy Storage,</b:BookTitle>
    <b:URL>https://arxiv.org/ftp/arxiv/papers/1702/1702.06015.pdf</b:URL>
    <b:RefOrder>27</b:RefOrder>
  </b:Source>
  <b:Source>
    <b:Tag>Gha19</b:Tag>
    <b:SourceType>Report</b:SourceType>
    <b:Guid>{D1807262-6A12-4943-B591-087659702309}</b:Guid>
    <b:Title>Liquid Hydrogen in Australia: Requirements of Further Technical Research</b:Title>
    <b:Year>2019</b:Year>
    <b:Author>
      <b:Author>
        <b:NameList>
          <b:Person>
            <b:Last>Ghafri</b:Last>
            <b:First>S.</b:First>
            <b:Middle>&amp; Munro, S.</b:Middle>
          </b:Person>
        </b:NameList>
      </b:Author>
    </b:Author>
    <b:URL>https://lngfutures.edu.au/wp-content/uploads/2019/10/Munro-S.-Al-Ghafri-S.-Liquid-Hydrogen-in-Australia-requirements-of-futher-technical-research.pdf</b:URL>
    <b:RefOrder>28</b:RefOrder>
  </b:Source>
  <b:Source>
    <b:Tag>asd</b:Tag>
    <b:SourceType>InternetSite</b:SourceType>
    <b:Guid>{87A4FAA7-C6F7-4521-8607-8BCC1B2C22D7}</b:Guid>
    <b:URL>https://www.energy.gov/eere/fuelcells/hydrogen-storage#:~:text=This%20is%20less%20of%20an,and%20easily%20refuel%20the%20vehicle</b:URL>
    <b:Author>
      <b:Author>
        <b:Corporate>US Office of Energy Efficiency and Renewable Energy</b:Corporate>
      </b:Author>
    </b:Author>
    <b:Title>Hydrogen Storage</b:Title>
    <b:Year>n.d.</b:Year>
    <b:RefOrder>29</b:RefOrder>
  </b:Source>
  <b:Source>
    <b:Tag>ARE16</b:Tag>
    <b:SourceType>Report</b:SourceType>
    <b:Guid>{347B15B6-224C-44F4-9C19-C4F217AAB307}</b:Guid>
    <b:Author>
      <b:Author>
        <b:Corporate>ARENA</b:Corporate>
      </b:Author>
    </b:Author>
    <b:Title>Method and guidance for undertaking life cycle assessment (LCA) of bioenergy products and projects </b:Title>
    <b:Year>2016</b:Year>
    <b:Department>ARENA</b:Department>
    <b:URL>https://arena.gov.au/assets/2017/02/ARENA-LCA-Method-and-Guidance-FINAL-DRAFT-1-0.pdf </b:URL>
    <b:RefOrder>30</b:RefOrder>
  </b:Source>
  <b:Source>
    <b:Tag>Joh04</b:Tag>
    <b:SourceType>Report</b:SourceType>
    <b:Guid>{7EFECF8C-2236-448F-85B2-FF94D737BB5D}</b:Guid>
    <b:Author>
      <b:Author>
        <b:NameList>
          <b:Person>
            <b:Last>Johanna</b:Last>
            <b:First>I</b:First>
          </b:Person>
        </b:NameList>
      </b:Author>
    </b:Author>
    <b:Title>Summary of Electrolytic Hydrogen Production: Milestone Completion Report</b:Title>
    <b:Year>2004</b:Year>
    <b:Institution>National Renewable Energy Laboratory</b:Institution>
    <b:URL>https://www.nrel.gov/docs/fy04osti/36734.pdf</b:URL>
    <b:RefOrder>2</b:RefOrder>
  </b:Source>
  <b:Source>
    <b:Tag>COA19</b:Tag>
    <b:SourceType>Report</b:SourceType>
    <b:Guid>{C9CE5874-FB74-4FDA-B011-5C25043FE126}</b:Guid>
    <b:Author>
      <b:Author>
        <b:Corporate>COAG Energy Council</b:Corporate>
      </b:Author>
    </b:Author>
    <b:Title>Australia’s National Hydrogen Strategy</b:Title>
    <b:Year>2019</b:Year>
    <b:Department>Department of Industry, Innovation and Science</b:Department>
    <b:Institution>Commonwealth of Australia</b:Institution>
    <b:URL>https://www.industry.gov.au/sites/default/files/2019-11/australias-national-hydrogen-strategy.pdf</b:URL>
    <b:RefOrder>3</b:RefOrder>
  </b:Source>
  <b:Source>
    <b:Tag>CSI18</b:Tag>
    <b:SourceType>Report</b:SourceType>
    <b:Guid>{E0095CB9-5626-4C8A-84A1-E230410C4A18}</b:Guid>
    <b:Title>National Hydrogen Roadmap</b:Title>
    <b:Year> 2018</b:Year>
    <b:Author>
      <b:Author>
        <b:Corporate>CSIRO</b:Corporate>
      </b:Author>
    </b:Author>
    <b:URL>https://www.csiro.au/~/media/Do-Business/Files/Futures/18-00314_EN_NationalHydrogenRoadmap_WEB_180823.pdf?la=en&amp;hash=36839EEC2DE1BC38DC738F5AAE7B40895F3E15F4</b:URL>
    <b:RefOrder>4</b:RefOrder>
  </b:Source>
  <b:Source>
    <b:Tag>Env15</b:Tag>
    <b:SourceType>Report</b:SourceType>
    <b:Guid>{62BDFEEB-6D39-426C-9F1A-790763285CA8}</b:Guid>
    <b:Title>Conventional and unconventional gas</b:Title>
    <b:Year>2015</b:Year>
    <b:Publisher>NSW EPA</b:Publisher>
    <b:Author>
      <b:Author>
        <b:NameList>
          <b:Person>
            <b:Last>Environment Protection Authority</b:Last>
          </b:Person>
        </b:NameList>
      </b:Author>
    </b:Author>
    <b:RefOrder>31</b:RefOrder>
  </b:Source>
  <b:Source>
    <b:Tag>JLi19</b:Tag>
    <b:SourceType>Report</b:SourceType>
    <b:Guid>{2BE6CF29-75F5-4848-8D58-DE1C78CF01F2}</b:Guid>
    <b:Title>Life Cycle Analysis of Natural Gas Extraction and Power Generation</b:Title>
    <b:Year>2019</b:Year>
    <b:City>Pittsburgh</b:City>
    <b:Publisher>National Energy Technology Laboratory</b:Publisher>
    <b:Author>
      <b:Author>
        <b:NameList>
          <b:Person>
            <b:Last>Littlefield</b:Last>
            <b:First>J.,</b:First>
            <b:Middle>Roman-White, S., Augustine, D., Pegallapati, A., Zaimes, G. G. Rai, S., Cooney, G., Skone, T. J.</b:Middle>
          </b:Person>
        </b:NameList>
      </b:Author>
    </b:Author>
    <b:RefOrder>32</b:RefOrder>
  </b:Source>
  <b:Source>
    <b:Tag>Dep12</b:Tag>
    <b:SourceType>Report</b:SourceType>
    <b:Guid>{1BFA5DB8-C8DC-4CAB-9125-5989BA420B2F}</b:Guid>
    <b:Author>
      <b:Author>
        <b:NameList>
          <b:Person>
            <b:Last>Department of Environment and Heritage Protection</b:Last>
          </b:Person>
        </b:NameList>
      </b:Author>
    </b:Author>
    <b:Title>Coal Seam Gas Water Management Policy</b:Title>
    <b:Year>2012</b:Year>
    <b:Publisher>Queensland Government</b:Publisher>
    <b:City>Brisbane</b:City>
    <b:RefOrder>33</b:RefOrder>
  </b:Source>
  <b:Source>
    <b:Tag>Cla11</b:Tag>
    <b:SourceType>Report</b:SourceType>
    <b:Guid>{6FD82220-24C0-4D53-ADEB-783BDF781BF4}</b:Guid>
    <b:Author>
      <b:Author>
        <b:NameList>
          <b:Person>
            <b:Last>Clark</b:Last>
            <b:First>C.E.,</b:First>
            <b:Middle>Han, J., Burnham, A., Dunn, J.B., Wang, M.</b:Middle>
          </b:Person>
        </b:NameList>
      </b:Author>
    </b:Author>
    <b:Title>Life-Cycle Analysis of Shale Gas and Natural Gas</b:Title>
    <b:Year>2011</b:Year>
    <b:Publisher>Center for Transportation Research Energy Systems Division</b:Publisher>
    <b:City>Argonne Naitonal Laboratory</b:City>
    <b:RefOrder>34</b:RefOrder>
  </b:Source>
  <b:Source>
    <b:Tag>Ste14</b:Tag>
    <b:SourceType>Report</b:SourceType>
    <b:Guid>{F5EF84AC-CE8E-4401-B5CB-B47AC1027E04}</b:Guid>
    <b:Author>
      <b:Author>
        <b:NameList>
          <b:Person>
            <b:Last>Stewart</b:Last>
            <b:First>M.</b:First>
          </b:Person>
        </b:NameList>
      </b:Author>
    </b:Author>
    <b:Title>Surface production operations. Volume two, Design of gas-handling systems and facilities (3rd edition.)</b:Title>
    <b:Year>2014</b:Year>
    <b:Publisher>Gulf Professional Publishing</b:Publisher>
    <b:RefOrder>35</b:RefOrder>
  </b:Source>
  <b:Source>
    <b:Tag>Isl07</b:Tag>
    <b:SourceType>Book</b:SourceType>
    <b:Guid>{9AA4101E-58A3-4B72-961E-F5339682E649}</b:Guid>
    <b:Title>The Petroleum Engineering Handbook: Sustainable Operations</b:Title>
    <b:Year>2007</b:Year>
    <b:Publisher>Austin: Gulf Publishing Company</b:Publisher>
    <b:Author>
      <b:Author>
        <b:NameList>
          <b:Person>
            <b:Last>Islam</b:Last>
            <b:First>M.R.</b:First>
          </b:Person>
          <b:Person>
            <b:Last>Khan</b:Last>
            <b:First>M.I.</b:First>
          </b:Person>
        </b:NameList>
      </b:Author>
    </b:Author>
    <b:RefOrder>36</b:RefOrder>
  </b:Source>
  <b:Source>
    <b:Tag>Mok12</b:Tag>
    <b:SourceType>Report</b:SourceType>
    <b:Guid>{F3DC4C6E-74AF-48BC-BF17-47D4C8C8C3BB}</b:Guid>
    <b:Author>
      <b:Author>
        <b:NameList>
          <b:Person>
            <b:Last>Mokhatab</b:Last>
            <b:First>S.</b:First>
          </b:Person>
        </b:NameList>
      </b:Author>
    </b:Author>
    <b:Title>Handbook of natural gas transmission and processing (2nd ed.)</b:Title>
    <b:Year>2012</b:Year>
    <b:Publisher>Elsevier/Gulf Professional Pub</b:Publisher>
    <b:RefOrder>37</b:RefOrder>
  </b:Source>
  <b:Source>
    <b:Tag>Nex06</b:Tag>
    <b:SourceType>Report</b:SourceType>
    <b:Guid>{875ADA81-42E3-40FE-80D8-AD3E6E4EEC98}</b:Guid>
    <b:Author>
      <b:Author>
        <b:Corporate>Nexant Incorporated</b:Corporate>
      </b:Author>
    </b:Author>
    <b:Title>Equipment Design and Cost Estimation for Small Modular Biomass Systems, Synthesis Gas Cleanup, and Oxygen Separation Equipment</b:Title>
    <b:Year>2006</b:Year>
    <b:Publisher>National Renewable Energy Laboratory</b:Publisher>
    <b:City>Colorado</b:City>
    <b:URL>https://www.nrel.gov/docs/fy06osti/39943.pdf</b:URL>
    <b:RefOrder>38</b:RefOrder>
  </b:Source>
  <b:Source>
    <b:Tag>Bos15</b:Tag>
    <b:SourceType>JournalArticle</b:SourceType>
    <b:Guid>{62F52CEC-7128-4F94-A94A-040C3019D8D5}</b:Guid>
    <b:Title>Design parameters for a hydrodesulfurization (HDS) unit for petroleum naphtha at 3500 barrels per day</b:Title>
    <b:Pages>99-111</b:Pages>
    <b:Year>2015</b:Year>
    <b:Author>
      <b:Author>
        <b:NameList>
          <b:Person>
            <b:Last>Bose</b:Last>
            <b:First>D</b:First>
          </b:Person>
        </b:NameList>
      </b:Author>
    </b:Author>
    <b:JournalName>World Scientific News</b:JournalName>
    <b:URL>http://www.worldscientificnews.com/wp-content/uploads/2012/11/WSN-3-2015-99-111.pdf</b:URL>
    <b:RefOrder>39</b:RefOrder>
  </b:Source>
  <b:Source>
    <b:Tag>Dut21</b:Tag>
    <b:SourceType>InternetSite</b:SourceType>
    <b:Guid>{FB87AF78-AB45-4D61-AD0D-B6A0D532261F}</b:Guid>
    <b:Author>
      <b:Author>
        <b:NameList>
          <b:Person>
            <b:Last>Dutton</b:Last>
            <b:First>J</b:First>
          </b:Person>
        </b:NameList>
      </b:Author>
    </b:Author>
    <b:Title>Hydrodesulfurization</b:Title>
    <b:InternetSiteTitle>FSC 432: Petroleum Processing</b:InternetSiteTitle>
    <b:Year>2021</b:Year>
    <b:Month>1</b:Month>
    <b:Day>12</b:Day>
    <b:URL>https://www.e-education.psu.edu/fsc432/content/hydrodesulfurization</b:URL>
    <b:RefOrder>40</b:RefOrder>
  </b:Source>
  <b:Source>
    <b:Tag>Sha17</b:Tag>
    <b:SourceType>JournalArticle</b:SourceType>
    <b:Guid>{BFE772FA-5F3B-4A62-8C67-B15BAB394FD2}</b:Guid>
    <b:Author>
      <b:Author>
        <b:NameList>
          <b:Person>
            <b:Last>Shah</b:Last>
            <b:First>M</b:First>
          </b:Person>
          <b:Person>
            <b:Last>Tsapatsis</b:Last>
            <b:First>M</b:First>
          </b:Person>
          <b:Person>
            <b:Last>Siepmann</b:Last>
            <b:First>J</b:First>
          </b:Person>
        </b:NameList>
      </b:Author>
    </b:Author>
    <b:Title>Hydrogen sulfide capture: from absorption in polar liquids to oxide, zeolite, and metal-organic framework adsorbents and membranes</b:Title>
    <b:JournalName>Chemical Reviews</b:JournalName>
    <b:Year>2017</b:Year>
    <b:Pages>9755-9803</b:Pages>
    <b:URL>http://www.cchem.berkeley.edu/co2efrc/downloads/pdfs/Shah17.pdf</b:URL>
    <b:RefOrder>41</b:RefOrder>
  </b:Source>
  <b:Source>
    <b:Tag>Zou01</b:Tag>
    <b:SourceType>JournalArticle</b:SourceType>
    <b:Guid>{451231DB-E15D-40B5-86D4-952F453AB1CE}</b:Guid>
    <b:Title>The separation enhanced reaction process (SERP) in the production of hydrogen from methane steam reforming</b:Title>
    <b:Year>2001</b:Year>
    <b:Author>
      <b:Author>
        <b:NameList>
          <b:Person>
            <b:Last>Zou</b:Last>
            <b:First>Y</b:First>
          </b:Person>
          <b:Person>
            <b:Last>Rodrigues</b:Last>
            <b:First>A</b:First>
          </b:Person>
        </b:NameList>
      </b:Author>
    </b:Author>
    <b:JournalName>Adsorption Science and Technology</b:JournalName>
    <b:Pages>655-671</b:Pages>
    <b:RefOrder>42</b:RefOrder>
  </b:Source>
  <b:Source>
    <b:Tag>Ben05</b:Tag>
    <b:SourceType>JournalArticle</b:SourceType>
    <b:Guid>{A1FBACD1-A2F1-49FA-84A7-12AF86264C06}</b:Guid>
    <b:Author>
      <b:Author>
        <b:NameList>
          <b:Person>
            <b:Last>Benito</b:Last>
            <b:First>M</b:First>
          </b:Person>
          <b:Person>
            <b:Last>Sanz</b:Last>
            <b:First>J</b:First>
          </b:Person>
        </b:NameList>
      </b:Author>
    </b:Author>
    <b:Title>New trends in reforming technologies: from hydrogen industrial plants to multifuel microreformers</b:Title>
    <b:JournalName>Catalysis Reviews</b:JournalName>
    <b:Year>2005</b:Year>
    <b:Pages>491-588</b:Pages>
    <b:RefOrder>43</b:RefOrder>
  </b:Source>
  <b:Source>
    <b:Tag>Ben11</b:Tag>
    <b:SourceType>JournalArticle</b:SourceType>
    <b:Guid>{48C2731E-8BE2-48DF-8572-CF99DAF04580}</b:Guid>
    <b:Title>A comparative life cycle assessment of marine fuels: liquefied natural gas and three other fossil fuels</b:Title>
    <b:Year>2011</b:Year>
    <b:Author>
      <b:Author>
        <b:NameList>
          <b:Person>
            <b:Last>Bengtsson</b:Last>
            <b:First>S.,</b:First>
            <b:Middle>Andersson, K. and Fridell, E.</b:Middle>
          </b:Person>
        </b:NameList>
      </b:Author>
    </b:Author>
    <b:JournalName>Proceedings of the Institution of Mechanical Engineers, Part M: Journal of Engineering for the Maritime</b:JournalName>
    <b:Volume>225</b:Volume>
    <b:Issue>2</b:Issue>
    <b:DOI>https://doi.org/10.1177/1475090211402136</b:DOI>
    <b:RefOrder>44</b:RefOrder>
  </b:Source>
  <b:Source>
    <b:Tag>Ekv01</b:Tag>
    <b:SourceType>JournalArticle</b:SourceType>
    <b:Guid>{9E80A8F6-DAC5-45B6-9E56-4F16CCF365D3}</b:Guid>
    <b:Author>
      <b:Author>
        <b:NameList>
          <b:Person>
            <b:Last>Ekvall</b:Last>
            <b:First>T</b:First>
            <b:Middle>&amp; Finnveden, G</b:Middle>
          </b:Person>
        </b:NameList>
      </b:Author>
    </b:Author>
    <b:Title>Allocation in ISO 14041—a critical review</b:Title>
    <b:Year>2001</b:Year>
    <b:JournalName>Journal of Cleaner Production</b:JournalName>
    <b:RefOrder>45</b:RefOrder>
  </b:Source>
  <b:Source>
    <b:Tag>GHG201</b:Tag>
    <b:SourceType>Report</b:SourceType>
    <b:Guid>{C81CBC1A-760F-4795-ADC0-57A392BA3417}</b:Guid>
    <b:Author>
      <b:Author>
        <b:Corporate>GHG Protocol</b:Corporate>
      </b:Author>
    </b:Author>
    <b:Title>Carbon Removals and Land Sector Initiative </b:Title>
    <b:Year>2020</b:Year>
    <b:URL>https://ghgprotocol.org/sites/default/files/GHG%20Protocol%20-%20Carbon%20Removals%20and%20Land%20Sector%20Initiative%20-%20Overview.pdf</b:URL>
    <b:RefOrder>1</b:RefOrder>
  </b:Source>
  <b:Source>
    <b:Tag>IPC06</b:Tag>
    <b:SourceType>Book</b:SourceType>
    <b:Guid>{9F363E5D-3A98-4BDD-BC26-FAA9B7B81697}</b:Guid>
    <b:Author>
      <b:Author>
        <b:Corporate>IPCC</b:Corporate>
      </b:Author>
    </b:Author>
    <b:Title>2006 IPCC Guidelines for National Greenhouse Gas Inventories</b:Title>
    <b:Year>2006</b:Year>
    <b:Publisher>IPCC</b:Publisher>
    <b:Volume>1</b:Volume>
    <b:RefOrder>2</b:RefOrder>
  </b:Source>
  <b:Source>
    <b:Tag>Cli21</b:Tag>
    <b:SourceType>Report</b:SourceType>
    <b:Guid>{AFE73044-678E-4818-8810-F27BDEF14AF8}</b:Guid>
    <b:Author>
      <b:Author>
        <b:Corporate>Climate Active</b:Corporate>
      </b:Author>
    </b:Author>
    <b:Title>Electricity Accounting Rules</b:Title>
    <b:Year>2021</b:Year>
    <b:Publisher>Climate Active</b:Publisher>
    <b:Comments>Copy provided by the Department of Industry, Science, Energy and Resources</b:Comments>
    <b:RefOrder>9</b:RefOrder>
  </b:Source>
  <b:Source>
    <b:Tag>GHG04</b:Tag>
    <b:SourceType>Report</b:SourceType>
    <b:Guid>{A24E04E4-D747-4E9C-A41F-74C50C27C164}</b:Guid>
    <b:Title>GHG Protocol Corporate Accounting and Reporting Standard</b:Title>
    <b:Year>2004</b:Year>
    <b:Author>
      <b:Author>
        <b:Corporate>GHG Protocol</b:Corporate>
      </b:Author>
    </b:Author>
    <b:Publisher>World Resources Institute and World Business Council</b:Publisher>
    <b:City>USA</b:City>
    <b:RefOrder>16</b:RefOrder>
  </b:Source>
  <b:Source>
    <b:Tag>IPC051</b:Tag>
    <b:SourceType>BookSection</b:SourceType>
    <b:Guid>{FE2EE975-2D8E-40CD-BEC3-51A82AC58AB3}</b:Guid>
    <b:Author>
      <b:Author>
        <b:Corporate>IPCC</b:Corporate>
      </b:Author>
      <b:BookAuthor>
        <b:NameList>
          <b:Person>
            <b:Last>IPCC</b:Last>
          </b:Person>
        </b:NameList>
      </b:BookAuthor>
    </b:Author>
    <b:Title>Chapter 9: Implications of carbon dioxide capture and storage for greenhouse gas inventories and accounting</b:Title>
    <b:Year>2005</b:Year>
    <b:BookTitle>IPCC Special Report on Carbon dioxide Capture and Storage</b:BookTitle>
    <b:RefOrder>17</b:RefOrder>
  </b:Source>
  <b:Source>
    <b:Tag>GHG11</b:Tag>
    <b:SourceType>Report</b:SourceType>
    <b:Guid>{8E58BF67-F0A4-4362-866C-91C6087E2748}</b:Guid>
    <b:Author>
      <b:Author>
        <b:Corporate>GHG Protocol</b:Corporate>
      </b:Author>
    </b:Author>
    <b:Title>Product Life Cycle Accounting and Reporting Standard</b:Title>
    <b:Year>2011</b:Year>
    <b:Publisher>WRI/WBCSD</b:Publisher>
    <b:URL>https://ghgprotocol.org/sites/default/files/standards/Product-Life-Cycle-Accounting-Reporting-Standard_041613.pdf </b:URL>
    <b:RefOrder>14</b:RefOrder>
  </b:Source>
</b:Sources>
</file>

<file path=customXml/itemProps1.xml><?xml version="1.0" encoding="utf-8"?>
<ds:datastoreItem xmlns:ds="http://schemas.openxmlformats.org/officeDocument/2006/customXml" ds:itemID="{B430B683-A64F-4BB8-85EF-34029EBDEAE5}">
  <ds:schemaRefs>
    <ds:schemaRef ds:uri="http://schemas.microsoft.com/sharepoint/v3/contenttype/forms"/>
  </ds:schemaRefs>
</ds:datastoreItem>
</file>

<file path=customXml/itemProps2.xml><?xml version="1.0" encoding="utf-8"?>
<ds:datastoreItem xmlns:ds="http://schemas.openxmlformats.org/officeDocument/2006/customXml" ds:itemID="{00091E84-E877-46DA-9F7E-30985202D8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6bd50b-1532-4c22-b385-5c082c960938"/>
    <ds:schemaRef ds:uri="06a8ef23-3c56-433f-9e1a-931c6bc25665"/>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86BEEC-62CD-49DA-B953-5CC3B398B16B}">
  <ds:schemaRefs>
    <ds:schemaRef ds:uri="http://schemas.microsoft.com/sharepoint/events"/>
  </ds:schemaRefs>
</ds:datastoreItem>
</file>

<file path=customXml/itemProps4.xml><?xml version="1.0" encoding="utf-8"?>
<ds:datastoreItem xmlns:ds="http://schemas.openxmlformats.org/officeDocument/2006/customXml" ds:itemID="{F570BFDF-F1F2-418E-886F-699AC168CC46}">
  <ds:schemaRefs>
    <ds:schemaRef ds:uri="http://purl.org/dc/elements/1.1/"/>
    <ds:schemaRef ds:uri="http://schemas.microsoft.com/office/2006/metadata/properties"/>
    <ds:schemaRef ds:uri="a36bd50b-1532-4c22-b385-5c082c960938"/>
    <ds:schemaRef ds:uri="http://schemas.microsoft.com/sharepoint/v3"/>
    <ds:schemaRef ds:uri="http://schemas.microsoft.com/sharepoint/v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6a8ef23-3c56-433f-9e1a-931c6bc25665"/>
    <ds:schemaRef ds:uri="http://www.w3.org/XML/1998/namespace"/>
    <ds:schemaRef ds:uri="http://purl.org/dc/dcmitype/"/>
  </ds:schemaRefs>
</ds:datastoreItem>
</file>

<file path=customXml/itemProps5.xml><?xml version="1.0" encoding="utf-8"?>
<ds:datastoreItem xmlns:ds="http://schemas.openxmlformats.org/officeDocument/2006/customXml" ds:itemID="{48F919AC-C5D3-4DC9-9260-871468D25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24447</Words>
  <Characters>139349</Characters>
  <Application>Microsoft Office Word</Application>
  <DocSecurity>0</DocSecurity>
  <Lines>1161</Lines>
  <Paragraphs>326</Paragraphs>
  <ScaleCrop>false</ScaleCrop>
  <HeadingPairs>
    <vt:vector size="2" baseType="variant">
      <vt:variant>
        <vt:lpstr>Title</vt:lpstr>
      </vt:variant>
      <vt:variant>
        <vt:i4>1</vt:i4>
      </vt:variant>
    </vt:vector>
  </HeadingPairs>
  <TitlesOfParts>
    <vt:vector size="1" baseType="lpstr">
      <vt:lpstr>A Hydrogen Guarantee of Origin scheme for Australia</vt:lpstr>
    </vt:vector>
  </TitlesOfParts>
  <Manager/>
  <Company/>
  <LinksUpToDate>false</LinksUpToDate>
  <CharactersWithSpaces>163470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Hydrogen Guarantee of Origin scheme for Australia</dc:title>
  <dc:subject/>
  <dc:creator/>
  <cp:keywords/>
  <dc:description/>
  <cp:lastModifiedBy/>
  <cp:revision>1</cp:revision>
  <dcterms:created xsi:type="dcterms:W3CDTF">2021-06-17T03:45:00Z</dcterms:created>
  <dcterms:modified xsi:type="dcterms:W3CDTF">2021-06-17T06:33:00Z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0x0101005BC986DFDE75994F940B8C539C91BA04</vt:lpwstr>
  </property>
  <property fmtid="{D5CDD505-2E9C-101B-9397-08002B2CF9AE}" pid="3" name="DocHub_Year">
    <vt:lpwstr/>
  </property>
  <property fmtid="{D5CDD505-2E9C-101B-9397-08002B2CF9AE}" pid="4" name="DocHub_DocumentType">
    <vt:lpwstr>5;#Report|116a9244-cef6-47ce-a9a5-088c9cf21292</vt:lpwstr>
  </property>
  <property fmtid="{D5CDD505-2E9C-101B-9397-08002B2CF9AE}" pid="5" name="DocHub_SecurityClassification">
    <vt:lpwstr>1;#OFFICIAL|6106d03b-a1a0-4e30-9d91-d5e9fb4314f9</vt:lpwstr>
  </property>
  <property fmtid="{D5CDD505-2E9C-101B-9397-08002B2CF9AE}" pid="6" name="DocHub_Keywords">
    <vt:lpwstr/>
  </property>
  <property fmtid="{D5CDD505-2E9C-101B-9397-08002B2CF9AE}" pid="7" name="DocHub_WorkActivity">
    <vt:lpwstr>160;#Policy Consultation|2c1b3c96-ddbe-43b6-afb9-5596fa993eac</vt:lpwstr>
  </property>
</Properties>
</file>