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FF112" w14:textId="2D917A96" w:rsidR="008F4DF2" w:rsidRDefault="00705A92" w:rsidP="008F4DF2">
      <w:pPr>
        <w:pStyle w:val="Heading1"/>
      </w:pPr>
      <w:bookmarkStart w:id="0" w:name="_Toc75442774"/>
      <w:r>
        <w:t xml:space="preserve">Carbon Capture and Storage Method 2021 – </w:t>
      </w:r>
      <w:r w:rsidR="008F4DF2">
        <w:t xml:space="preserve">Draft </w:t>
      </w:r>
      <w:r>
        <w:t>S</w:t>
      </w:r>
      <w:r w:rsidR="008F4DF2">
        <w:t xml:space="preserve">imple </w:t>
      </w:r>
      <w:r>
        <w:t>M</w:t>
      </w:r>
      <w:r w:rsidR="008F4DF2">
        <w:t xml:space="preserve">ethod </w:t>
      </w:r>
      <w:r>
        <w:t>G</w:t>
      </w:r>
      <w:r w:rsidR="008F4DF2">
        <w:t>uide</w:t>
      </w:r>
      <w:bookmarkEnd w:id="0"/>
      <w:r w:rsidR="008F4DF2">
        <w:t xml:space="preserve"> </w:t>
      </w:r>
    </w:p>
    <w:p w14:paraId="70951887" w14:textId="44496D3B" w:rsidR="008F4DF2" w:rsidRPr="0065258B" w:rsidRDefault="008F4DF2" w:rsidP="008F4DF2">
      <w:pPr>
        <w:rPr>
          <w:b/>
          <w:bCs/>
          <w:lang w:val="en-US"/>
        </w:rPr>
      </w:pPr>
      <w:r w:rsidRPr="00AD0956">
        <w:rPr>
          <w:b/>
          <w:lang w:val="en-GB"/>
        </w:rPr>
        <w:t xml:space="preserve">This </w:t>
      </w:r>
      <w:r w:rsidR="00705A92">
        <w:rPr>
          <w:b/>
          <w:bCs/>
          <w:lang w:val="en-GB"/>
        </w:rPr>
        <w:t xml:space="preserve">draft </w:t>
      </w:r>
      <w:r w:rsidRPr="00AD0956">
        <w:rPr>
          <w:b/>
          <w:bCs/>
          <w:lang w:val="en-GB"/>
        </w:rPr>
        <w:t xml:space="preserve">guide </w:t>
      </w:r>
      <w:r w:rsidR="00705A92">
        <w:rPr>
          <w:b/>
          <w:bCs/>
          <w:lang w:val="en-GB"/>
        </w:rPr>
        <w:t>is designed to support the proposed</w:t>
      </w:r>
      <w:r w:rsidRPr="00AD0956">
        <w:rPr>
          <w:b/>
          <w:lang w:val="en-GB"/>
        </w:rPr>
        <w:t xml:space="preserve"> </w:t>
      </w:r>
      <w:r w:rsidRPr="00AD0956">
        <w:rPr>
          <w:b/>
          <w:i/>
          <w:lang w:val="en-GB"/>
        </w:rPr>
        <w:t>Carbon Credits (Carbon Farming Initiative—Carbon Capture and Storage) Methodology Determination 2021</w:t>
      </w:r>
      <w:r w:rsidRPr="00AD0956">
        <w:rPr>
          <w:b/>
          <w:lang w:val="en-GB"/>
        </w:rPr>
        <w:t xml:space="preserve"> (</w:t>
      </w:r>
      <w:r w:rsidR="00496CCB">
        <w:rPr>
          <w:b/>
          <w:lang w:val="en-GB"/>
        </w:rPr>
        <w:t xml:space="preserve">the proposed </w:t>
      </w:r>
      <w:r w:rsidRPr="00AD0956">
        <w:rPr>
          <w:b/>
          <w:lang w:val="en-GB"/>
        </w:rPr>
        <w:t>CCS method</w:t>
      </w:r>
      <w:r w:rsidRPr="00AD0956">
        <w:rPr>
          <w:b/>
          <w:bCs/>
          <w:lang w:val="en-GB"/>
        </w:rPr>
        <w:t>)</w:t>
      </w:r>
      <w:r w:rsidR="00BC0BD1">
        <w:rPr>
          <w:b/>
          <w:bCs/>
          <w:lang w:val="en-GB"/>
        </w:rPr>
        <w:t xml:space="preserve"> under the Emissions Reduction Fund</w:t>
      </w:r>
      <w:r w:rsidR="00705A92">
        <w:rPr>
          <w:b/>
          <w:bCs/>
          <w:lang w:val="en-GB"/>
        </w:rPr>
        <w:t xml:space="preserve">, and is for the purposes of </w:t>
      </w:r>
      <w:r w:rsidRPr="00990069">
        <w:rPr>
          <w:b/>
          <w:bCs/>
          <w:lang w:val="en-GB"/>
        </w:rPr>
        <w:t>public consultation.</w:t>
      </w:r>
      <w:r>
        <w:rPr>
          <w:b/>
          <w:bCs/>
          <w:lang w:val="en-GB"/>
        </w:rPr>
        <w:t xml:space="preserve"> </w:t>
      </w:r>
    </w:p>
    <w:p w14:paraId="5794C32F" w14:textId="595AEE2C" w:rsidR="00873DDA" w:rsidRPr="00676C45" w:rsidRDefault="00873DDA" w:rsidP="00BF347D">
      <w:pPr>
        <w:spacing w:after="0" w:line="276" w:lineRule="auto"/>
        <w:rPr>
          <w:b/>
          <w:bCs/>
          <w:sz w:val="32"/>
          <w:szCs w:val="32"/>
        </w:rPr>
      </w:pPr>
    </w:p>
    <w:p w14:paraId="6C24C7F9" w14:textId="3A5D90AF" w:rsidR="00BF347D" w:rsidRDefault="00BF347D" w:rsidP="00BF347D">
      <w:pPr>
        <w:spacing w:after="0" w:line="276" w:lineRule="auto"/>
        <w:rPr>
          <w:b/>
          <w:bCs/>
          <w:sz w:val="32"/>
          <w:szCs w:val="32"/>
        </w:rPr>
      </w:pPr>
      <w:r w:rsidRPr="00676C45">
        <w:rPr>
          <w:b/>
          <w:bCs/>
          <w:sz w:val="32"/>
          <w:szCs w:val="32"/>
        </w:rPr>
        <w:t xml:space="preserve">User Guide for </w:t>
      </w:r>
      <w:r w:rsidR="00676C45" w:rsidRPr="00676C45">
        <w:rPr>
          <w:b/>
          <w:bCs/>
          <w:sz w:val="32"/>
          <w:szCs w:val="32"/>
        </w:rPr>
        <w:t>Carbon Capture and Storage Projects</w:t>
      </w:r>
      <w:r w:rsidR="00273B47">
        <w:rPr>
          <w:b/>
          <w:bCs/>
          <w:sz w:val="32"/>
          <w:szCs w:val="32"/>
        </w:rPr>
        <w:t>: DRAFT</w:t>
      </w:r>
    </w:p>
    <w:sdt>
      <w:sdtPr>
        <w:rPr>
          <w:rFonts w:ascii="Calibri" w:eastAsia="Cambria" w:hAnsi="Calibri" w:cs="Calibri"/>
          <w:color w:val="000000"/>
          <w:sz w:val="22"/>
          <w:szCs w:val="24"/>
          <w:lang w:val="en-AU"/>
        </w:rPr>
        <w:id w:val="-98801628"/>
        <w:docPartObj>
          <w:docPartGallery w:val="Table of Contents"/>
          <w:docPartUnique/>
        </w:docPartObj>
      </w:sdtPr>
      <w:sdtEndPr>
        <w:rPr>
          <w:b/>
          <w:bCs/>
          <w:noProof/>
        </w:rPr>
      </w:sdtEndPr>
      <w:sdtContent>
        <w:p w14:paraId="6E344726" w14:textId="3E05BC1E" w:rsidR="0066117A" w:rsidRDefault="0066117A">
          <w:pPr>
            <w:pStyle w:val="TOCHeading"/>
          </w:pPr>
          <w:r>
            <w:t>Table of Contents</w:t>
          </w:r>
        </w:p>
        <w:p w14:paraId="79A554F9" w14:textId="6E48B302" w:rsidR="00CF7BFA" w:rsidRDefault="0066117A">
          <w:pPr>
            <w:pStyle w:val="TOC1"/>
            <w:tabs>
              <w:tab w:val="right" w:leader="dot" w:pos="9016"/>
            </w:tabs>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75442774" w:history="1">
            <w:r w:rsidR="00CF7BFA" w:rsidRPr="0004351E">
              <w:rPr>
                <w:rStyle w:val="Hyperlink"/>
                <w:noProof/>
              </w:rPr>
              <w:t>Carbon Capture and Storage Method 2021 – Draft Simple Method Guide</w:t>
            </w:r>
            <w:r w:rsidR="00CF7BFA">
              <w:rPr>
                <w:noProof/>
                <w:webHidden/>
              </w:rPr>
              <w:tab/>
            </w:r>
            <w:r w:rsidR="00CF7BFA">
              <w:rPr>
                <w:noProof/>
                <w:webHidden/>
              </w:rPr>
              <w:fldChar w:fldCharType="begin"/>
            </w:r>
            <w:r w:rsidR="00CF7BFA">
              <w:rPr>
                <w:noProof/>
                <w:webHidden/>
              </w:rPr>
              <w:instrText xml:space="preserve"> PAGEREF _Toc75442774 \h </w:instrText>
            </w:r>
            <w:r w:rsidR="00CF7BFA">
              <w:rPr>
                <w:noProof/>
                <w:webHidden/>
              </w:rPr>
            </w:r>
            <w:r w:rsidR="00CF7BFA">
              <w:rPr>
                <w:noProof/>
                <w:webHidden/>
              </w:rPr>
              <w:fldChar w:fldCharType="separate"/>
            </w:r>
            <w:r w:rsidR="007D499B">
              <w:rPr>
                <w:noProof/>
                <w:webHidden/>
              </w:rPr>
              <w:t>1</w:t>
            </w:r>
            <w:r w:rsidR="00CF7BFA">
              <w:rPr>
                <w:noProof/>
                <w:webHidden/>
              </w:rPr>
              <w:fldChar w:fldCharType="end"/>
            </w:r>
          </w:hyperlink>
        </w:p>
        <w:p w14:paraId="56B9CDC4" w14:textId="58951244" w:rsidR="00CF7BFA" w:rsidRDefault="007A0C10">
          <w:pPr>
            <w:pStyle w:val="TOC1"/>
            <w:tabs>
              <w:tab w:val="right" w:leader="dot" w:pos="9016"/>
            </w:tabs>
            <w:rPr>
              <w:rFonts w:asciiTheme="minorHAnsi" w:eastAsiaTheme="minorEastAsia" w:hAnsiTheme="minorHAnsi" w:cstheme="minorBidi"/>
              <w:noProof/>
              <w:color w:val="auto"/>
              <w:szCs w:val="22"/>
              <w:lang w:eastAsia="en-AU"/>
            </w:rPr>
          </w:pPr>
          <w:hyperlink w:anchor="_Toc75442775" w:history="1">
            <w:r w:rsidR="00CF7BFA" w:rsidRPr="0004351E">
              <w:rPr>
                <w:rStyle w:val="Hyperlink"/>
                <w:noProof/>
              </w:rPr>
              <w:t>Participating in the Emissions Reduction Fund</w:t>
            </w:r>
            <w:bookmarkStart w:id="1" w:name="_GoBack"/>
            <w:bookmarkEnd w:id="1"/>
            <w:r w:rsidR="00CF7BFA">
              <w:rPr>
                <w:noProof/>
                <w:webHidden/>
              </w:rPr>
              <w:tab/>
            </w:r>
            <w:r w:rsidR="00CF7BFA">
              <w:rPr>
                <w:noProof/>
                <w:webHidden/>
              </w:rPr>
              <w:fldChar w:fldCharType="begin"/>
            </w:r>
            <w:r w:rsidR="00CF7BFA">
              <w:rPr>
                <w:noProof/>
                <w:webHidden/>
              </w:rPr>
              <w:instrText xml:space="preserve"> PAGEREF _Toc75442775 \h </w:instrText>
            </w:r>
            <w:r w:rsidR="00CF7BFA">
              <w:rPr>
                <w:noProof/>
                <w:webHidden/>
              </w:rPr>
            </w:r>
            <w:r w:rsidR="00CF7BFA">
              <w:rPr>
                <w:noProof/>
                <w:webHidden/>
              </w:rPr>
              <w:fldChar w:fldCharType="separate"/>
            </w:r>
            <w:r w:rsidR="007D499B">
              <w:rPr>
                <w:noProof/>
                <w:webHidden/>
              </w:rPr>
              <w:t>3</w:t>
            </w:r>
            <w:r w:rsidR="00CF7BFA">
              <w:rPr>
                <w:noProof/>
                <w:webHidden/>
              </w:rPr>
              <w:fldChar w:fldCharType="end"/>
            </w:r>
          </w:hyperlink>
        </w:p>
        <w:p w14:paraId="3117B50A" w14:textId="684B7EEA" w:rsidR="00CF7BFA" w:rsidRDefault="007A0C10">
          <w:pPr>
            <w:pStyle w:val="TOC2"/>
            <w:tabs>
              <w:tab w:val="right" w:leader="dot" w:pos="9016"/>
            </w:tabs>
            <w:rPr>
              <w:rFonts w:asciiTheme="minorHAnsi" w:eastAsiaTheme="minorEastAsia" w:hAnsiTheme="minorHAnsi" w:cstheme="minorBidi"/>
              <w:noProof/>
              <w:color w:val="auto"/>
              <w:szCs w:val="22"/>
              <w:lang w:eastAsia="en-AU"/>
            </w:rPr>
          </w:pPr>
          <w:hyperlink w:anchor="_Toc75442776" w:history="1">
            <w:r w:rsidR="00CF7BFA" w:rsidRPr="0004351E">
              <w:rPr>
                <w:rStyle w:val="Hyperlink"/>
                <w:noProof/>
              </w:rPr>
              <w:t>How participating in the Emissions Reduction Fund works</w:t>
            </w:r>
            <w:r w:rsidR="00CF7BFA">
              <w:rPr>
                <w:noProof/>
                <w:webHidden/>
              </w:rPr>
              <w:tab/>
            </w:r>
            <w:r w:rsidR="00CF7BFA">
              <w:rPr>
                <w:noProof/>
                <w:webHidden/>
              </w:rPr>
              <w:fldChar w:fldCharType="begin"/>
            </w:r>
            <w:r w:rsidR="00CF7BFA">
              <w:rPr>
                <w:noProof/>
                <w:webHidden/>
              </w:rPr>
              <w:instrText xml:space="preserve"> PAGEREF _Toc75442776 \h </w:instrText>
            </w:r>
            <w:r w:rsidR="00CF7BFA">
              <w:rPr>
                <w:noProof/>
                <w:webHidden/>
              </w:rPr>
            </w:r>
            <w:r w:rsidR="00CF7BFA">
              <w:rPr>
                <w:noProof/>
                <w:webHidden/>
              </w:rPr>
              <w:fldChar w:fldCharType="separate"/>
            </w:r>
            <w:r w:rsidR="007D499B">
              <w:rPr>
                <w:noProof/>
                <w:webHidden/>
              </w:rPr>
              <w:t>3</w:t>
            </w:r>
            <w:r w:rsidR="00CF7BFA">
              <w:rPr>
                <w:noProof/>
                <w:webHidden/>
              </w:rPr>
              <w:fldChar w:fldCharType="end"/>
            </w:r>
          </w:hyperlink>
        </w:p>
        <w:p w14:paraId="75891C7E" w14:textId="3D4EFBF5" w:rsidR="00CF7BFA" w:rsidRDefault="007A0C10">
          <w:pPr>
            <w:pStyle w:val="TOC2"/>
            <w:tabs>
              <w:tab w:val="right" w:leader="dot" w:pos="9016"/>
            </w:tabs>
            <w:rPr>
              <w:rFonts w:asciiTheme="minorHAnsi" w:eastAsiaTheme="minorEastAsia" w:hAnsiTheme="minorHAnsi" w:cstheme="minorBidi"/>
              <w:noProof/>
              <w:color w:val="auto"/>
              <w:szCs w:val="22"/>
              <w:lang w:eastAsia="en-AU"/>
            </w:rPr>
          </w:pPr>
          <w:hyperlink w:anchor="_Toc75442777" w:history="1">
            <w:r w:rsidR="00CF7BFA" w:rsidRPr="0004351E">
              <w:rPr>
                <w:rStyle w:val="Hyperlink"/>
                <w:noProof/>
              </w:rPr>
              <w:t>Carbon capture and storage projects</w:t>
            </w:r>
            <w:r w:rsidR="00CF7BFA">
              <w:rPr>
                <w:noProof/>
                <w:webHidden/>
              </w:rPr>
              <w:tab/>
            </w:r>
            <w:r w:rsidR="00CF7BFA">
              <w:rPr>
                <w:noProof/>
                <w:webHidden/>
              </w:rPr>
              <w:fldChar w:fldCharType="begin"/>
            </w:r>
            <w:r w:rsidR="00CF7BFA">
              <w:rPr>
                <w:noProof/>
                <w:webHidden/>
              </w:rPr>
              <w:instrText xml:space="preserve"> PAGEREF _Toc75442777 \h </w:instrText>
            </w:r>
            <w:r w:rsidR="00CF7BFA">
              <w:rPr>
                <w:noProof/>
                <w:webHidden/>
              </w:rPr>
            </w:r>
            <w:r w:rsidR="00CF7BFA">
              <w:rPr>
                <w:noProof/>
                <w:webHidden/>
              </w:rPr>
              <w:fldChar w:fldCharType="separate"/>
            </w:r>
            <w:r w:rsidR="007D499B">
              <w:rPr>
                <w:noProof/>
                <w:webHidden/>
              </w:rPr>
              <w:t>4</w:t>
            </w:r>
            <w:r w:rsidR="00CF7BFA">
              <w:rPr>
                <w:noProof/>
                <w:webHidden/>
              </w:rPr>
              <w:fldChar w:fldCharType="end"/>
            </w:r>
          </w:hyperlink>
        </w:p>
        <w:p w14:paraId="28170224" w14:textId="0CD84A8D" w:rsidR="00CF7BFA" w:rsidRDefault="007A0C10">
          <w:pPr>
            <w:pStyle w:val="TOC2"/>
            <w:tabs>
              <w:tab w:val="right" w:leader="dot" w:pos="9016"/>
            </w:tabs>
            <w:rPr>
              <w:rFonts w:asciiTheme="minorHAnsi" w:eastAsiaTheme="minorEastAsia" w:hAnsiTheme="minorHAnsi" w:cstheme="minorBidi"/>
              <w:noProof/>
              <w:color w:val="auto"/>
              <w:szCs w:val="22"/>
              <w:lang w:eastAsia="en-AU"/>
            </w:rPr>
          </w:pPr>
          <w:hyperlink w:anchor="_Toc75442778" w:history="1">
            <w:r w:rsidR="00CF7BFA" w:rsidRPr="0004351E">
              <w:rPr>
                <w:rStyle w:val="Hyperlink"/>
                <w:noProof/>
              </w:rPr>
              <w:t>Using this guide</w:t>
            </w:r>
            <w:r w:rsidR="00CF7BFA">
              <w:rPr>
                <w:noProof/>
                <w:webHidden/>
              </w:rPr>
              <w:tab/>
            </w:r>
            <w:r w:rsidR="00CF7BFA">
              <w:rPr>
                <w:noProof/>
                <w:webHidden/>
              </w:rPr>
              <w:fldChar w:fldCharType="begin"/>
            </w:r>
            <w:r w:rsidR="00CF7BFA">
              <w:rPr>
                <w:noProof/>
                <w:webHidden/>
              </w:rPr>
              <w:instrText xml:space="preserve"> PAGEREF _Toc75442778 \h </w:instrText>
            </w:r>
            <w:r w:rsidR="00CF7BFA">
              <w:rPr>
                <w:noProof/>
                <w:webHidden/>
              </w:rPr>
            </w:r>
            <w:r w:rsidR="00CF7BFA">
              <w:rPr>
                <w:noProof/>
                <w:webHidden/>
              </w:rPr>
              <w:fldChar w:fldCharType="separate"/>
            </w:r>
            <w:r w:rsidR="007D499B">
              <w:rPr>
                <w:noProof/>
                <w:webHidden/>
              </w:rPr>
              <w:t>4</w:t>
            </w:r>
            <w:r w:rsidR="00CF7BFA">
              <w:rPr>
                <w:noProof/>
                <w:webHidden/>
              </w:rPr>
              <w:fldChar w:fldCharType="end"/>
            </w:r>
          </w:hyperlink>
        </w:p>
        <w:p w14:paraId="15B9D601" w14:textId="78D9061D" w:rsidR="00CF7BFA" w:rsidRDefault="007A0C10">
          <w:pPr>
            <w:pStyle w:val="TOC1"/>
            <w:tabs>
              <w:tab w:val="right" w:leader="dot" w:pos="9016"/>
            </w:tabs>
            <w:rPr>
              <w:rFonts w:asciiTheme="minorHAnsi" w:eastAsiaTheme="minorEastAsia" w:hAnsiTheme="minorHAnsi" w:cstheme="minorBidi"/>
              <w:noProof/>
              <w:color w:val="auto"/>
              <w:szCs w:val="22"/>
              <w:lang w:eastAsia="en-AU"/>
            </w:rPr>
          </w:pPr>
          <w:hyperlink w:anchor="_Toc75442779" w:history="1">
            <w:r w:rsidR="00CF7BFA" w:rsidRPr="0004351E">
              <w:rPr>
                <w:rStyle w:val="Hyperlink"/>
                <w:noProof/>
              </w:rPr>
              <w:t>Planning and registering your ERF project</w:t>
            </w:r>
            <w:r w:rsidR="00CF7BFA">
              <w:rPr>
                <w:noProof/>
                <w:webHidden/>
              </w:rPr>
              <w:tab/>
            </w:r>
            <w:r w:rsidR="00CF7BFA">
              <w:rPr>
                <w:noProof/>
                <w:webHidden/>
              </w:rPr>
              <w:fldChar w:fldCharType="begin"/>
            </w:r>
            <w:r w:rsidR="00CF7BFA">
              <w:rPr>
                <w:noProof/>
                <w:webHidden/>
              </w:rPr>
              <w:instrText xml:space="preserve"> PAGEREF _Toc75442779 \h </w:instrText>
            </w:r>
            <w:r w:rsidR="00CF7BFA">
              <w:rPr>
                <w:noProof/>
                <w:webHidden/>
              </w:rPr>
            </w:r>
            <w:r w:rsidR="00CF7BFA">
              <w:rPr>
                <w:noProof/>
                <w:webHidden/>
              </w:rPr>
              <w:fldChar w:fldCharType="separate"/>
            </w:r>
            <w:r w:rsidR="007D499B">
              <w:rPr>
                <w:noProof/>
                <w:webHidden/>
              </w:rPr>
              <w:t>4</w:t>
            </w:r>
            <w:r w:rsidR="00CF7BFA">
              <w:rPr>
                <w:noProof/>
                <w:webHidden/>
              </w:rPr>
              <w:fldChar w:fldCharType="end"/>
            </w:r>
          </w:hyperlink>
        </w:p>
        <w:p w14:paraId="15539D50" w14:textId="1AC6E20F" w:rsidR="00CF7BFA" w:rsidRDefault="007A0C10">
          <w:pPr>
            <w:pStyle w:val="TOC2"/>
            <w:tabs>
              <w:tab w:val="right" w:leader="dot" w:pos="9016"/>
            </w:tabs>
            <w:rPr>
              <w:rFonts w:asciiTheme="minorHAnsi" w:eastAsiaTheme="minorEastAsia" w:hAnsiTheme="minorHAnsi" w:cstheme="minorBidi"/>
              <w:noProof/>
              <w:color w:val="auto"/>
              <w:szCs w:val="22"/>
              <w:lang w:eastAsia="en-AU"/>
            </w:rPr>
          </w:pPr>
          <w:hyperlink w:anchor="_Toc75442780" w:history="1">
            <w:r w:rsidR="00CF7BFA" w:rsidRPr="0004351E">
              <w:rPr>
                <w:rStyle w:val="Hyperlink"/>
                <w:noProof/>
              </w:rPr>
              <w:t>Eligibility requirements</w:t>
            </w:r>
            <w:r w:rsidR="00CF7BFA">
              <w:rPr>
                <w:noProof/>
                <w:webHidden/>
              </w:rPr>
              <w:tab/>
            </w:r>
            <w:r w:rsidR="00CF7BFA">
              <w:rPr>
                <w:noProof/>
                <w:webHidden/>
              </w:rPr>
              <w:fldChar w:fldCharType="begin"/>
            </w:r>
            <w:r w:rsidR="00CF7BFA">
              <w:rPr>
                <w:noProof/>
                <w:webHidden/>
              </w:rPr>
              <w:instrText xml:space="preserve"> PAGEREF _Toc75442780 \h </w:instrText>
            </w:r>
            <w:r w:rsidR="00CF7BFA">
              <w:rPr>
                <w:noProof/>
                <w:webHidden/>
              </w:rPr>
            </w:r>
            <w:r w:rsidR="00CF7BFA">
              <w:rPr>
                <w:noProof/>
                <w:webHidden/>
              </w:rPr>
              <w:fldChar w:fldCharType="separate"/>
            </w:r>
            <w:r w:rsidR="007D499B">
              <w:rPr>
                <w:noProof/>
                <w:webHidden/>
              </w:rPr>
              <w:t>4</w:t>
            </w:r>
            <w:r w:rsidR="00CF7BFA">
              <w:rPr>
                <w:noProof/>
                <w:webHidden/>
              </w:rPr>
              <w:fldChar w:fldCharType="end"/>
            </w:r>
          </w:hyperlink>
        </w:p>
        <w:p w14:paraId="43C6BB56" w14:textId="249F22D4"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781" w:history="1">
            <w:r w:rsidR="00CF7BFA" w:rsidRPr="0004351E">
              <w:rPr>
                <w:rStyle w:val="Hyperlink"/>
                <w:noProof/>
              </w:rPr>
              <w:t>CCS project plan</w:t>
            </w:r>
            <w:r w:rsidR="00CF7BFA">
              <w:rPr>
                <w:noProof/>
                <w:webHidden/>
              </w:rPr>
              <w:tab/>
            </w:r>
            <w:r w:rsidR="00CF7BFA">
              <w:rPr>
                <w:noProof/>
                <w:webHidden/>
              </w:rPr>
              <w:fldChar w:fldCharType="begin"/>
            </w:r>
            <w:r w:rsidR="00CF7BFA">
              <w:rPr>
                <w:noProof/>
                <w:webHidden/>
              </w:rPr>
              <w:instrText xml:space="preserve"> PAGEREF _Toc75442781 \h </w:instrText>
            </w:r>
            <w:r w:rsidR="00CF7BFA">
              <w:rPr>
                <w:noProof/>
                <w:webHidden/>
              </w:rPr>
            </w:r>
            <w:r w:rsidR="00CF7BFA">
              <w:rPr>
                <w:noProof/>
                <w:webHidden/>
              </w:rPr>
              <w:fldChar w:fldCharType="separate"/>
            </w:r>
            <w:r w:rsidR="007D499B">
              <w:rPr>
                <w:noProof/>
                <w:webHidden/>
              </w:rPr>
              <w:t>5</w:t>
            </w:r>
            <w:r w:rsidR="00CF7BFA">
              <w:rPr>
                <w:noProof/>
                <w:webHidden/>
              </w:rPr>
              <w:fldChar w:fldCharType="end"/>
            </w:r>
          </w:hyperlink>
        </w:p>
        <w:p w14:paraId="3A0DB1B4" w14:textId="2F1A5DD6"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782" w:history="1">
            <w:r w:rsidR="00CF7BFA" w:rsidRPr="0004351E">
              <w:rPr>
                <w:rStyle w:val="Hyperlink"/>
                <w:noProof/>
              </w:rPr>
              <w:t>Fit and proper person assessment</w:t>
            </w:r>
            <w:r w:rsidR="00CF7BFA">
              <w:rPr>
                <w:noProof/>
                <w:webHidden/>
              </w:rPr>
              <w:tab/>
            </w:r>
            <w:r w:rsidR="00CF7BFA">
              <w:rPr>
                <w:noProof/>
                <w:webHidden/>
              </w:rPr>
              <w:fldChar w:fldCharType="begin"/>
            </w:r>
            <w:r w:rsidR="00CF7BFA">
              <w:rPr>
                <w:noProof/>
                <w:webHidden/>
              </w:rPr>
              <w:instrText xml:space="preserve"> PAGEREF _Toc75442782 \h </w:instrText>
            </w:r>
            <w:r w:rsidR="00CF7BFA">
              <w:rPr>
                <w:noProof/>
                <w:webHidden/>
              </w:rPr>
            </w:r>
            <w:r w:rsidR="00CF7BFA">
              <w:rPr>
                <w:noProof/>
                <w:webHidden/>
              </w:rPr>
              <w:fldChar w:fldCharType="separate"/>
            </w:r>
            <w:r w:rsidR="007D499B">
              <w:rPr>
                <w:noProof/>
                <w:webHidden/>
              </w:rPr>
              <w:t>6</w:t>
            </w:r>
            <w:r w:rsidR="00CF7BFA">
              <w:rPr>
                <w:noProof/>
                <w:webHidden/>
              </w:rPr>
              <w:fldChar w:fldCharType="end"/>
            </w:r>
          </w:hyperlink>
        </w:p>
        <w:p w14:paraId="3A67099A" w14:textId="76BBD773"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783" w:history="1">
            <w:r w:rsidR="00CF7BFA" w:rsidRPr="0004351E">
              <w:rPr>
                <w:rStyle w:val="Hyperlink"/>
                <w:noProof/>
              </w:rPr>
              <w:t>Regulatory approvals</w:t>
            </w:r>
            <w:r w:rsidR="00CF7BFA">
              <w:rPr>
                <w:noProof/>
                <w:webHidden/>
              </w:rPr>
              <w:tab/>
            </w:r>
            <w:r w:rsidR="00CF7BFA">
              <w:rPr>
                <w:noProof/>
                <w:webHidden/>
              </w:rPr>
              <w:fldChar w:fldCharType="begin"/>
            </w:r>
            <w:r w:rsidR="00CF7BFA">
              <w:rPr>
                <w:noProof/>
                <w:webHidden/>
              </w:rPr>
              <w:instrText xml:space="preserve"> PAGEREF _Toc75442783 \h </w:instrText>
            </w:r>
            <w:r w:rsidR="00CF7BFA">
              <w:rPr>
                <w:noProof/>
                <w:webHidden/>
              </w:rPr>
            </w:r>
            <w:r w:rsidR="00CF7BFA">
              <w:rPr>
                <w:noProof/>
                <w:webHidden/>
              </w:rPr>
              <w:fldChar w:fldCharType="separate"/>
            </w:r>
            <w:r w:rsidR="007D499B">
              <w:rPr>
                <w:noProof/>
                <w:webHidden/>
              </w:rPr>
              <w:t>6</w:t>
            </w:r>
            <w:r w:rsidR="00CF7BFA">
              <w:rPr>
                <w:noProof/>
                <w:webHidden/>
              </w:rPr>
              <w:fldChar w:fldCharType="end"/>
            </w:r>
          </w:hyperlink>
        </w:p>
        <w:p w14:paraId="1DE8302A" w14:textId="419F92EF"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784" w:history="1">
            <w:r w:rsidR="00CF7BFA" w:rsidRPr="0004351E">
              <w:rPr>
                <w:rStyle w:val="Hyperlink"/>
                <w:noProof/>
              </w:rPr>
              <w:t>Hold legal right</w:t>
            </w:r>
            <w:r w:rsidR="00CF7BFA">
              <w:rPr>
                <w:noProof/>
                <w:webHidden/>
              </w:rPr>
              <w:tab/>
            </w:r>
            <w:r w:rsidR="00CF7BFA">
              <w:rPr>
                <w:noProof/>
                <w:webHidden/>
              </w:rPr>
              <w:fldChar w:fldCharType="begin"/>
            </w:r>
            <w:r w:rsidR="00CF7BFA">
              <w:rPr>
                <w:noProof/>
                <w:webHidden/>
              </w:rPr>
              <w:instrText xml:space="preserve"> PAGEREF _Toc75442784 \h </w:instrText>
            </w:r>
            <w:r w:rsidR="00CF7BFA">
              <w:rPr>
                <w:noProof/>
                <w:webHidden/>
              </w:rPr>
            </w:r>
            <w:r w:rsidR="00CF7BFA">
              <w:rPr>
                <w:noProof/>
                <w:webHidden/>
              </w:rPr>
              <w:fldChar w:fldCharType="separate"/>
            </w:r>
            <w:r w:rsidR="007D499B">
              <w:rPr>
                <w:noProof/>
                <w:webHidden/>
              </w:rPr>
              <w:t>6</w:t>
            </w:r>
            <w:r w:rsidR="00CF7BFA">
              <w:rPr>
                <w:noProof/>
                <w:webHidden/>
              </w:rPr>
              <w:fldChar w:fldCharType="end"/>
            </w:r>
          </w:hyperlink>
        </w:p>
        <w:p w14:paraId="6F8C7F37" w14:textId="785A4CF8"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785" w:history="1">
            <w:r w:rsidR="00CF7BFA" w:rsidRPr="0004351E">
              <w:rPr>
                <w:rStyle w:val="Hyperlink"/>
                <w:rFonts w:eastAsiaTheme="minorHAnsi"/>
                <w:noProof/>
                <w:lang w:val="en-GB"/>
              </w:rPr>
              <w:t>Additionality – in lieu of newness provision</w:t>
            </w:r>
            <w:r w:rsidR="00CF7BFA">
              <w:rPr>
                <w:noProof/>
                <w:webHidden/>
              </w:rPr>
              <w:tab/>
            </w:r>
            <w:r w:rsidR="00CF7BFA">
              <w:rPr>
                <w:noProof/>
                <w:webHidden/>
              </w:rPr>
              <w:fldChar w:fldCharType="begin"/>
            </w:r>
            <w:r w:rsidR="00CF7BFA">
              <w:rPr>
                <w:noProof/>
                <w:webHidden/>
              </w:rPr>
              <w:instrText xml:space="preserve"> PAGEREF _Toc75442785 \h </w:instrText>
            </w:r>
            <w:r w:rsidR="00CF7BFA">
              <w:rPr>
                <w:noProof/>
                <w:webHidden/>
              </w:rPr>
            </w:r>
            <w:r w:rsidR="00CF7BFA">
              <w:rPr>
                <w:noProof/>
                <w:webHidden/>
              </w:rPr>
              <w:fldChar w:fldCharType="separate"/>
            </w:r>
            <w:r w:rsidR="007D499B">
              <w:rPr>
                <w:noProof/>
                <w:webHidden/>
              </w:rPr>
              <w:t>7</w:t>
            </w:r>
            <w:r w:rsidR="00CF7BFA">
              <w:rPr>
                <w:noProof/>
                <w:webHidden/>
              </w:rPr>
              <w:fldChar w:fldCharType="end"/>
            </w:r>
          </w:hyperlink>
        </w:p>
        <w:p w14:paraId="7BF95784" w14:textId="4B4186C6"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786" w:history="1">
            <w:r w:rsidR="00CF7BFA" w:rsidRPr="0004351E">
              <w:rPr>
                <w:rStyle w:val="Hyperlink"/>
                <w:noProof/>
              </w:rPr>
              <w:t>Additionality - regulatory</w:t>
            </w:r>
            <w:r w:rsidR="00CF7BFA">
              <w:rPr>
                <w:noProof/>
                <w:webHidden/>
              </w:rPr>
              <w:tab/>
            </w:r>
            <w:r w:rsidR="00CF7BFA">
              <w:rPr>
                <w:noProof/>
                <w:webHidden/>
              </w:rPr>
              <w:fldChar w:fldCharType="begin"/>
            </w:r>
            <w:r w:rsidR="00CF7BFA">
              <w:rPr>
                <w:noProof/>
                <w:webHidden/>
              </w:rPr>
              <w:instrText xml:space="preserve"> PAGEREF _Toc75442786 \h </w:instrText>
            </w:r>
            <w:r w:rsidR="00CF7BFA">
              <w:rPr>
                <w:noProof/>
                <w:webHidden/>
              </w:rPr>
            </w:r>
            <w:r w:rsidR="00CF7BFA">
              <w:rPr>
                <w:noProof/>
                <w:webHidden/>
              </w:rPr>
              <w:fldChar w:fldCharType="separate"/>
            </w:r>
            <w:r w:rsidR="007D499B">
              <w:rPr>
                <w:noProof/>
                <w:webHidden/>
              </w:rPr>
              <w:t>7</w:t>
            </w:r>
            <w:r w:rsidR="00CF7BFA">
              <w:rPr>
                <w:noProof/>
                <w:webHidden/>
              </w:rPr>
              <w:fldChar w:fldCharType="end"/>
            </w:r>
          </w:hyperlink>
        </w:p>
        <w:p w14:paraId="279F4A95" w14:textId="3917059C"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787" w:history="1">
            <w:r w:rsidR="00CF7BFA" w:rsidRPr="0004351E">
              <w:rPr>
                <w:rStyle w:val="Hyperlink"/>
                <w:noProof/>
                <w:lang w:val="en-GB"/>
              </w:rPr>
              <w:t>Additionality – government program funding</w:t>
            </w:r>
            <w:r w:rsidR="00CF7BFA">
              <w:rPr>
                <w:noProof/>
                <w:webHidden/>
              </w:rPr>
              <w:tab/>
            </w:r>
            <w:r w:rsidR="00CF7BFA">
              <w:rPr>
                <w:noProof/>
                <w:webHidden/>
              </w:rPr>
              <w:fldChar w:fldCharType="begin"/>
            </w:r>
            <w:r w:rsidR="00CF7BFA">
              <w:rPr>
                <w:noProof/>
                <w:webHidden/>
              </w:rPr>
              <w:instrText xml:space="preserve"> PAGEREF _Toc75442787 \h </w:instrText>
            </w:r>
            <w:r w:rsidR="00CF7BFA">
              <w:rPr>
                <w:noProof/>
                <w:webHidden/>
              </w:rPr>
            </w:r>
            <w:r w:rsidR="00CF7BFA">
              <w:rPr>
                <w:noProof/>
                <w:webHidden/>
              </w:rPr>
              <w:fldChar w:fldCharType="separate"/>
            </w:r>
            <w:r w:rsidR="007D499B">
              <w:rPr>
                <w:noProof/>
                <w:webHidden/>
              </w:rPr>
              <w:t>8</w:t>
            </w:r>
            <w:r w:rsidR="00CF7BFA">
              <w:rPr>
                <w:noProof/>
                <w:webHidden/>
              </w:rPr>
              <w:fldChar w:fldCharType="end"/>
            </w:r>
          </w:hyperlink>
        </w:p>
        <w:p w14:paraId="24FCF1B3" w14:textId="654D4AE3" w:rsidR="00CF7BFA" w:rsidRDefault="007A0C10">
          <w:pPr>
            <w:pStyle w:val="TOC2"/>
            <w:tabs>
              <w:tab w:val="right" w:leader="dot" w:pos="9016"/>
            </w:tabs>
            <w:rPr>
              <w:rFonts w:asciiTheme="minorHAnsi" w:eastAsiaTheme="minorEastAsia" w:hAnsiTheme="minorHAnsi" w:cstheme="minorBidi"/>
              <w:noProof/>
              <w:color w:val="auto"/>
              <w:szCs w:val="22"/>
              <w:lang w:eastAsia="en-AU"/>
            </w:rPr>
          </w:pPr>
          <w:hyperlink w:anchor="_Toc75442788" w:history="1">
            <w:r w:rsidR="00CF7BFA" w:rsidRPr="0004351E">
              <w:rPr>
                <w:rStyle w:val="Hyperlink"/>
                <w:noProof/>
              </w:rPr>
              <w:t>Eligible project activities</w:t>
            </w:r>
            <w:r w:rsidR="00CF7BFA">
              <w:rPr>
                <w:noProof/>
                <w:webHidden/>
              </w:rPr>
              <w:tab/>
            </w:r>
            <w:r w:rsidR="00CF7BFA">
              <w:rPr>
                <w:noProof/>
                <w:webHidden/>
              </w:rPr>
              <w:fldChar w:fldCharType="begin"/>
            </w:r>
            <w:r w:rsidR="00CF7BFA">
              <w:rPr>
                <w:noProof/>
                <w:webHidden/>
              </w:rPr>
              <w:instrText xml:space="preserve"> PAGEREF _Toc75442788 \h </w:instrText>
            </w:r>
            <w:r w:rsidR="00CF7BFA">
              <w:rPr>
                <w:noProof/>
                <w:webHidden/>
              </w:rPr>
            </w:r>
            <w:r w:rsidR="00CF7BFA">
              <w:rPr>
                <w:noProof/>
                <w:webHidden/>
              </w:rPr>
              <w:fldChar w:fldCharType="separate"/>
            </w:r>
            <w:r w:rsidR="007D499B">
              <w:rPr>
                <w:noProof/>
                <w:webHidden/>
              </w:rPr>
              <w:t>8</w:t>
            </w:r>
            <w:r w:rsidR="00CF7BFA">
              <w:rPr>
                <w:noProof/>
                <w:webHidden/>
              </w:rPr>
              <w:fldChar w:fldCharType="end"/>
            </w:r>
          </w:hyperlink>
        </w:p>
        <w:p w14:paraId="16D12304" w14:textId="445DA8B7" w:rsidR="00CF7BFA" w:rsidRDefault="007A0C10">
          <w:pPr>
            <w:pStyle w:val="TOC2"/>
            <w:tabs>
              <w:tab w:val="right" w:leader="dot" w:pos="9016"/>
            </w:tabs>
            <w:rPr>
              <w:rFonts w:asciiTheme="minorHAnsi" w:eastAsiaTheme="minorEastAsia" w:hAnsiTheme="minorHAnsi" w:cstheme="minorBidi"/>
              <w:noProof/>
              <w:color w:val="auto"/>
              <w:szCs w:val="22"/>
              <w:lang w:eastAsia="en-AU"/>
            </w:rPr>
          </w:pPr>
          <w:hyperlink w:anchor="_Toc75442789" w:history="1">
            <w:r w:rsidR="00CF7BFA" w:rsidRPr="0004351E">
              <w:rPr>
                <w:rStyle w:val="Hyperlink"/>
                <w:noProof/>
              </w:rPr>
              <w:t>Project timelines</w:t>
            </w:r>
            <w:r w:rsidR="00CF7BFA">
              <w:rPr>
                <w:noProof/>
                <w:webHidden/>
              </w:rPr>
              <w:tab/>
            </w:r>
            <w:r w:rsidR="00CF7BFA">
              <w:rPr>
                <w:noProof/>
                <w:webHidden/>
              </w:rPr>
              <w:fldChar w:fldCharType="begin"/>
            </w:r>
            <w:r w:rsidR="00CF7BFA">
              <w:rPr>
                <w:noProof/>
                <w:webHidden/>
              </w:rPr>
              <w:instrText xml:space="preserve"> PAGEREF _Toc75442789 \h </w:instrText>
            </w:r>
            <w:r w:rsidR="00CF7BFA">
              <w:rPr>
                <w:noProof/>
                <w:webHidden/>
              </w:rPr>
            </w:r>
            <w:r w:rsidR="00CF7BFA">
              <w:rPr>
                <w:noProof/>
                <w:webHidden/>
              </w:rPr>
              <w:fldChar w:fldCharType="separate"/>
            </w:r>
            <w:r w:rsidR="007D499B">
              <w:rPr>
                <w:noProof/>
                <w:webHidden/>
              </w:rPr>
              <w:t>9</w:t>
            </w:r>
            <w:r w:rsidR="00CF7BFA">
              <w:rPr>
                <w:noProof/>
                <w:webHidden/>
              </w:rPr>
              <w:fldChar w:fldCharType="end"/>
            </w:r>
          </w:hyperlink>
        </w:p>
        <w:p w14:paraId="703912C3" w14:textId="1FFCB6F4"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790" w:history="1">
            <w:r w:rsidR="00CF7BFA" w:rsidRPr="0004351E">
              <w:rPr>
                <w:rStyle w:val="Hyperlink"/>
                <w:noProof/>
                <w:lang w:val="en-GB"/>
              </w:rPr>
              <w:t>Start date</w:t>
            </w:r>
            <w:r w:rsidR="00CF7BFA">
              <w:rPr>
                <w:noProof/>
                <w:webHidden/>
              </w:rPr>
              <w:tab/>
            </w:r>
            <w:r w:rsidR="00CF7BFA">
              <w:rPr>
                <w:noProof/>
                <w:webHidden/>
              </w:rPr>
              <w:fldChar w:fldCharType="begin"/>
            </w:r>
            <w:r w:rsidR="00CF7BFA">
              <w:rPr>
                <w:noProof/>
                <w:webHidden/>
              </w:rPr>
              <w:instrText xml:space="preserve"> PAGEREF _Toc75442790 \h </w:instrText>
            </w:r>
            <w:r w:rsidR="00CF7BFA">
              <w:rPr>
                <w:noProof/>
                <w:webHidden/>
              </w:rPr>
            </w:r>
            <w:r w:rsidR="00CF7BFA">
              <w:rPr>
                <w:noProof/>
                <w:webHidden/>
              </w:rPr>
              <w:fldChar w:fldCharType="separate"/>
            </w:r>
            <w:r w:rsidR="007D499B">
              <w:rPr>
                <w:noProof/>
                <w:webHidden/>
              </w:rPr>
              <w:t>9</w:t>
            </w:r>
            <w:r w:rsidR="00CF7BFA">
              <w:rPr>
                <w:noProof/>
                <w:webHidden/>
              </w:rPr>
              <w:fldChar w:fldCharType="end"/>
            </w:r>
          </w:hyperlink>
        </w:p>
        <w:p w14:paraId="5891B986" w14:textId="45A70CC5"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791" w:history="1">
            <w:r w:rsidR="00CF7BFA" w:rsidRPr="0004351E">
              <w:rPr>
                <w:rStyle w:val="Hyperlink"/>
                <w:noProof/>
                <w:lang w:val="en-GB"/>
              </w:rPr>
              <w:t>Crediting period</w:t>
            </w:r>
            <w:r w:rsidR="00CF7BFA">
              <w:rPr>
                <w:noProof/>
                <w:webHidden/>
              </w:rPr>
              <w:tab/>
            </w:r>
            <w:r w:rsidR="00CF7BFA">
              <w:rPr>
                <w:noProof/>
                <w:webHidden/>
              </w:rPr>
              <w:fldChar w:fldCharType="begin"/>
            </w:r>
            <w:r w:rsidR="00CF7BFA">
              <w:rPr>
                <w:noProof/>
                <w:webHidden/>
              </w:rPr>
              <w:instrText xml:space="preserve"> PAGEREF _Toc75442791 \h </w:instrText>
            </w:r>
            <w:r w:rsidR="00CF7BFA">
              <w:rPr>
                <w:noProof/>
                <w:webHidden/>
              </w:rPr>
            </w:r>
            <w:r w:rsidR="00CF7BFA">
              <w:rPr>
                <w:noProof/>
                <w:webHidden/>
              </w:rPr>
              <w:fldChar w:fldCharType="separate"/>
            </w:r>
            <w:r w:rsidR="007D499B">
              <w:rPr>
                <w:noProof/>
                <w:webHidden/>
              </w:rPr>
              <w:t>9</w:t>
            </w:r>
            <w:r w:rsidR="00CF7BFA">
              <w:rPr>
                <w:noProof/>
                <w:webHidden/>
              </w:rPr>
              <w:fldChar w:fldCharType="end"/>
            </w:r>
          </w:hyperlink>
        </w:p>
        <w:p w14:paraId="69873F17" w14:textId="3A8E42BD"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792" w:history="1">
            <w:r w:rsidR="00CF7BFA" w:rsidRPr="0004351E">
              <w:rPr>
                <w:rStyle w:val="Hyperlink"/>
                <w:noProof/>
                <w:lang w:val="en-GB"/>
              </w:rPr>
              <w:t>Longer-term risk of reversal</w:t>
            </w:r>
            <w:r w:rsidR="00CF7BFA">
              <w:rPr>
                <w:noProof/>
                <w:webHidden/>
              </w:rPr>
              <w:tab/>
            </w:r>
            <w:r w:rsidR="00CF7BFA">
              <w:rPr>
                <w:noProof/>
                <w:webHidden/>
              </w:rPr>
              <w:fldChar w:fldCharType="begin"/>
            </w:r>
            <w:r w:rsidR="00CF7BFA">
              <w:rPr>
                <w:noProof/>
                <w:webHidden/>
              </w:rPr>
              <w:instrText xml:space="preserve"> PAGEREF _Toc75442792 \h </w:instrText>
            </w:r>
            <w:r w:rsidR="00CF7BFA">
              <w:rPr>
                <w:noProof/>
                <w:webHidden/>
              </w:rPr>
            </w:r>
            <w:r w:rsidR="00CF7BFA">
              <w:rPr>
                <w:noProof/>
                <w:webHidden/>
              </w:rPr>
              <w:fldChar w:fldCharType="separate"/>
            </w:r>
            <w:r w:rsidR="007D499B">
              <w:rPr>
                <w:noProof/>
                <w:webHidden/>
              </w:rPr>
              <w:t>9</w:t>
            </w:r>
            <w:r w:rsidR="00CF7BFA">
              <w:rPr>
                <w:noProof/>
                <w:webHidden/>
              </w:rPr>
              <w:fldChar w:fldCharType="end"/>
            </w:r>
          </w:hyperlink>
        </w:p>
        <w:p w14:paraId="048C4766" w14:textId="5525615E" w:rsidR="00CF7BFA" w:rsidRDefault="007A0C10">
          <w:pPr>
            <w:pStyle w:val="TOC1"/>
            <w:tabs>
              <w:tab w:val="right" w:leader="dot" w:pos="9016"/>
            </w:tabs>
            <w:rPr>
              <w:rFonts w:asciiTheme="minorHAnsi" w:eastAsiaTheme="minorEastAsia" w:hAnsiTheme="minorHAnsi" w:cstheme="minorBidi"/>
              <w:noProof/>
              <w:color w:val="auto"/>
              <w:szCs w:val="22"/>
              <w:lang w:eastAsia="en-AU"/>
            </w:rPr>
          </w:pPr>
          <w:hyperlink w:anchor="_Toc75442793" w:history="1">
            <w:r w:rsidR="00CF7BFA" w:rsidRPr="0004351E">
              <w:rPr>
                <w:rStyle w:val="Hyperlink"/>
                <w:noProof/>
              </w:rPr>
              <w:t>Running and reporting on your project</w:t>
            </w:r>
            <w:r w:rsidR="00CF7BFA">
              <w:rPr>
                <w:noProof/>
                <w:webHidden/>
              </w:rPr>
              <w:tab/>
            </w:r>
            <w:r w:rsidR="00CF7BFA">
              <w:rPr>
                <w:noProof/>
                <w:webHidden/>
              </w:rPr>
              <w:fldChar w:fldCharType="begin"/>
            </w:r>
            <w:r w:rsidR="00CF7BFA">
              <w:rPr>
                <w:noProof/>
                <w:webHidden/>
              </w:rPr>
              <w:instrText xml:space="preserve"> PAGEREF _Toc75442793 \h </w:instrText>
            </w:r>
            <w:r w:rsidR="00CF7BFA">
              <w:rPr>
                <w:noProof/>
                <w:webHidden/>
              </w:rPr>
            </w:r>
            <w:r w:rsidR="00CF7BFA">
              <w:rPr>
                <w:noProof/>
                <w:webHidden/>
              </w:rPr>
              <w:fldChar w:fldCharType="separate"/>
            </w:r>
            <w:r w:rsidR="007D499B">
              <w:rPr>
                <w:noProof/>
                <w:webHidden/>
              </w:rPr>
              <w:t>10</w:t>
            </w:r>
            <w:r w:rsidR="00CF7BFA">
              <w:rPr>
                <w:noProof/>
                <w:webHidden/>
              </w:rPr>
              <w:fldChar w:fldCharType="end"/>
            </w:r>
          </w:hyperlink>
        </w:p>
        <w:p w14:paraId="149BD911" w14:textId="4776E00B" w:rsidR="00CF7BFA" w:rsidRDefault="007A0C10">
          <w:pPr>
            <w:pStyle w:val="TOC2"/>
            <w:tabs>
              <w:tab w:val="right" w:leader="dot" w:pos="9016"/>
            </w:tabs>
            <w:rPr>
              <w:rFonts w:asciiTheme="minorHAnsi" w:eastAsiaTheme="minorEastAsia" w:hAnsiTheme="minorHAnsi" w:cstheme="minorBidi"/>
              <w:noProof/>
              <w:color w:val="auto"/>
              <w:szCs w:val="22"/>
              <w:lang w:eastAsia="en-AU"/>
            </w:rPr>
          </w:pPr>
          <w:hyperlink w:anchor="_Toc75442794" w:history="1">
            <w:r w:rsidR="00CF7BFA" w:rsidRPr="0004351E">
              <w:rPr>
                <w:rStyle w:val="Hyperlink"/>
                <w:rFonts w:eastAsiaTheme="majorEastAsia"/>
                <w:noProof/>
                <w:lang w:val="en-GB"/>
              </w:rPr>
              <w:t>Reporting net abatement</w:t>
            </w:r>
            <w:r w:rsidR="00CF7BFA">
              <w:rPr>
                <w:noProof/>
                <w:webHidden/>
              </w:rPr>
              <w:tab/>
            </w:r>
            <w:r w:rsidR="00CF7BFA">
              <w:rPr>
                <w:noProof/>
                <w:webHidden/>
              </w:rPr>
              <w:fldChar w:fldCharType="begin"/>
            </w:r>
            <w:r w:rsidR="00CF7BFA">
              <w:rPr>
                <w:noProof/>
                <w:webHidden/>
              </w:rPr>
              <w:instrText xml:space="preserve"> PAGEREF _Toc75442794 \h </w:instrText>
            </w:r>
            <w:r w:rsidR="00CF7BFA">
              <w:rPr>
                <w:noProof/>
                <w:webHidden/>
              </w:rPr>
            </w:r>
            <w:r w:rsidR="00CF7BFA">
              <w:rPr>
                <w:noProof/>
                <w:webHidden/>
              </w:rPr>
              <w:fldChar w:fldCharType="separate"/>
            </w:r>
            <w:r w:rsidR="007D499B">
              <w:rPr>
                <w:noProof/>
                <w:webHidden/>
              </w:rPr>
              <w:t>10</w:t>
            </w:r>
            <w:r w:rsidR="00CF7BFA">
              <w:rPr>
                <w:noProof/>
                <w:webHidden/>
              </w:rPr>
              <w:fldChar w:fldCharType="end"/>
            </w:r>
          </w:hyperlink>
        </w:p>
        <w:p w14:paraId="39E31FD1" w14:textId="1884C973"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795" w:history="1">
            <w:r w:rsidR="00CF7BFA" w:rsidRPr="0004351E">
              <w:rPr>
                <w:rStyle w:val="Hyperlink"/>
                <w:noProof/>
              </w:rPr>
              <w:t>Net abatement calculation</w:t>
            </w:r>
            <w:r w:rsidR="00CF7BFA">
              <w:rPr>
                <w:noProof/>
                <w:webHidden/>
              </w:rPr>
              <w:tab/>
            </w:r>
            <w:r w:rsidR="00CF7BFA">
              <w:rPr>
                <w:noProof/>
                <w:webHidden/>
              </w:rPr>
              <w:fldChar w:fldCharType="begin"/>
            </w:r>
            <w:r w:rsidR="00CF7BFA">
              <w:rPr>
                <w:noProof/>
                <w:webHidden/>
              </w:rPr>
              <w:instrText xml:space="preserve"> PAGEREF _Toc75442795 \h </w:instrText>
            </w:r>
            <w:r w:rsidR="00CF7BFA">
              <w:rPr>
                <w:noProof/>
                <w:webHidden/>
              </w:rPr>
            </w:r>
            <w:r w:rsidR="00CF7BFA">
              <w:rPr>
                <w:noProof/>
                <w:webHidden/>
              </w:rPr>
              <w:fldChar w:fldCharType="separate"/>
            </w:r>
            <w:r w:rsidR="007D499B">
              <w:rPr>
                <w:noProof/>
                <w:webHidden/>
              </w:rPr>
              <w:t>11</w:t>
            </w:r>
            <w:r w:rsidR="00CF7BFA">
              <w:rPr>
                <w:noProof/>
                <w:webHidden/>
              </w:rPr>
              <w:fldChar w:fldCharType="end"/>
            </w:r>
          </w:hyperlink>
        </w:p>
        <w:p w14:paraId="59486912" w14:textId="25A9F834"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796" w:history="1">
            <w:r w:rsidR="00CF7BFA" w:rsidRPr="0004351E">
              <w:rPr>
                <w:rStyle w:val="Hyperlink"/>
                <w:noProof/>
                <w:lang w:val="en-GB"/>
              </w:rPr>
              <w:t>Determination of CCS emissions (CCSE)</w:t>
            </w:r>
            <w:r w:rsidR="00CF7BFA">
              <w:rPr>
                <w:noProof/>
                <w:webHidden/>
              </w:rPr>
              <w:tab/>
            </w:r>
            <w:r w:rsidR="00CF7BFA">
              <w:rPr>
                <w:noProof/>
                <w:webHidden/>
              </w:rPr>
              <w:fldChar w:fldCharType="begin"/>
            </w:r>
            <w:r w:rsidR="00CF7BFA">
              <w:rPr>
                <w:noProof/>
                <w:webHidden/>
              </w:rPr>
              <w:instrText xml:space="preserve"> PAGEREF _Toc75442796 \h </w:instrText>
            </w:r>
            <w:r w:rsidR="00CF7BFA">
              <w:rPr>
                <w:noProof/>
                <w:webHidden/>
              </w:rPr>
            </w:r>
            <w:r w:rsidR="00CF7BFA">
              <w:rPr>
                <w:noProof/>
                <w:webHidden/>
              </w:rPr>
              <w:fldChar w:fldCharType="separate"/>
            </w:r>
            <w:r w:rsidR="007D499B">
              <w:rPr>
                <w:noProof/>
                <w:webHidden/>
              </w:rPr>
              <w:t>12</w:t>
            </w:r>
            <w:r w:rsidR="00CF7BFA">
              <w:rPr>
                <w:noProof/>
                <w:webHidden/>
              </w:rPr>
              <w:fldChar w:fldCharType="end"/>
            </w:r>
          </w:hyperlink>
        </w:p>
        <w:p w14:paraId="49F3B0B4" w14:textId="1333E12B"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797" w:history="1">
            <w:r w:rsidR="00CF7BFA" w:rsidRPr="0004351E">
              <w:rPr>
                <w:rStyle w:val="Hyperlink"/>
                <w:rFonts w:eastAsiaTheme="minorHAnsi"/>
                <w:noProof/>
                <w:lang w:val="en-GB"/>
              </w:rPr>
              <w:t>Processing, compression and transportation emissions</w:t>
            </w:r>
            <w:r w:rsidR="00CF7BFA">
              <w:rPr>
                <w:noProof/>
                <w:webHidden/>
              </w:rPr>
              <w:tab/>
            </w:r>
            <w:r w:rsidR="00CF7BFA">
              <w:rPr>
                <w:noProof/>
                <w:webHidden/>
              </w:rPr>
              <w:fldChar w:fldCharType="begin"/>
            </w:r>
            <w:r w:rsidR="00CF7BFA">
              <w:rPr>
                <w:noProof/>
                <w:webHidden/>
              </w:rPr>
              <w:instrText xml:space="preserve"> PAGEREF _Toc75442797 \h </w:instrText>
            </w:r>
            <w:r w:rsidR="00CF7BFA">
              <w:rPr>
                <w:noProof/>
                <w:webHidden/>
              </w:rPr>
            </w:r>
            <w:r w:rsidR="00CF7BFA">
              <w:rPr>
                <w:noProof/>
                <w:webHidden/>
              </w:rPr>
              <w:fldChar w:fldCharType="separate"/>
            </w:r>
            <w:r w:rsidR="007D499B">
              <w:rPr>
                <w:noProof/>
                <w:webHidden/>
              </w:rPr>
              <w:t>12</w:t>
            </w:r>
            <w:r w:rsidR="00CF7BFA">
              <w:rPr>
                <w:noProof/>
                <w:webHidden/>
              </w:rPr>
              <w:fldChar w:fldCharType="end"/>
            </w:r>
          </w:hyperlink>
        </w:p>
        <w:p w14:paraId="24CEC913" w14:textId="090DE2BD"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798" w:history="1">
            <w:r w:rsidR="00CF7BFA" w:rsidRPr="0004351E">
              <w:rPr>
                <w:rStyle w:val="Hyperlink"/>
                <w:rFonts w:eastAsiaTheme="minorHAnsi"/>
                <w:noProof/>
                <w:lang w:val="en-GB"/>
              </w:rPr>
              <w:t>Transportation and injection site fugitive emissions</w:t>
            </w:r>
            <w:r w:rsidR="00CF7BFA">
              <w:rPr>
                <w:noProof/>
                <w:webHidden/>
              </w:rPr>
              <w:tab/>
            </w:r>
            <w:r w:rsidR="00CF7BFA">
              <w:rPr>
                <w:noProof/>
                <w:webHidden/>
              </w:rPr>
              <w:fldChar w:fldCharType="begin"/>
            </w:r>
            <w:r w:rsidR="00CF7BFA">
              <w:rPr>
                <w:noProof/>
                <w:webHidden/>
              </w:rPr>
              <w:instrText xml:space="preserve"> PAGEREF _Toc75442798 \h </w:instrText>
            </w:r>
            <w:r w:rsidR="00CF7BFA">
              <w:rPr>
                <w:noProof/>
                <w:webHidden/>
              </w:rPr>
            </w:r>
            <w:r w:rsidR="00CF7BFA">
              <w:rPr>
                <w:noProof/>
                <w:webHidden/>
              </w:rPr>
              <w:fldChar w:fldCharType="separate"/>
            </w:r>
            <w:r w:rsidR="007D499B">
              <w:rPr>
                <w:noProof/>
                <w:webHidden/>
              </w:rPr>
              <w:t>12</w:t>
            </w:r>
            <w:r w:rsidR="00CF7BFA">
              <w:rPr>
                <w:noProof/>
                <w:webHidden/>
              </w:rPr>
              <w:fldChar w:fldCharType="end"/>
            </w:r>
          </w:hyperlink>
        </w:p>
        <w:p w14:paraId="2C04B605" w14:textId="0B809AAA"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799" w:history="1">
            <w:r w:rsidR="00CF7BFA" w:rsidRPr="0004351E">
              <w:rPr>
                <w:rStyle w:val="Hyperlink"/>
                <w:noProof/>
                <w:lang w:val="en-GB"/>
              </w:rPr>
              <w:t>Storage site monitoring emissions</w:t>
            </w:r>
            <w:r w:rsidR="00CF7BFA">
              <w:rPr>
                <w:noProof/>
                <w:webHidden/>
              </w:rPr>
              <w:tab/>
            </w:r>
            <w:r w:rsidR="00CF7BFA">
              <w:rPr>
                <w:noProof/>
                <w:webHidden/>
              </w:rPr>
              <w:fldChar w:fldCharType="begin"/>
            </w:r>
            <w:r w:rsidR="00CF7BFA">
              <w:rPr>
                <w:noProof/>
                <w:webHidden/>
              </w:rPr>
              <w:instrText xml:space="preserve"> PAGEREF _Toc75442799 \h </w:instrText>
            </w:r>
            <w:r w:rsidR="00CF7BFA">
              <w:rPr>
                <w:noProof/>
                <w:webHidden/>
              </w:rPr>
            </w:r>
            <w:r w:rsidR="00CF7BFA">
              <w:rPr>
                <w:noProof/>
                <w:webHidden/>
              </w:rPr>
              <w:fldChar w:fldCharType="separate"/>
            </w:r>
            <w:r w:rsidR="007D499B">
              <w:rPr>
                <w:noProof/>
                <w:webHidden/>
              </w:rPr>
              <w:t>13</w:t>
            </w:r>
            <w:r w:rsidR="00CF7BFA">
              <w:rPr>
                <w:noProof/>
                <w:webHidden/>
              </w:rPr>
              <w:fldChar w:fldCharType="end"/>
            </w:r>
          </w:hyperlink>
        </w:p>
        <w:p w14:paraId="4BC7A8AB" w14:textId="01FC9618"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800" w:history="1">
            <w:r w:rsidR="00CF7BFA" w:rsidRPr="0004351E">
              <w:rPr>
                <w:rStyle w:val="Hyperlink"/>
                <w:rFonts w:eastAsiaTheme="minorHAnsi"/>
                <w:noProof/>
                <w:lang w:val="en-GB"/>
              </w:rPr>
              <w:t>Storage site fugitive emissions</w:t>
            </w:r>
            <w:r w:rsidR="00CF7BFA">
              <w:rPr>
                <w:noProof/>
                <w:webHidden/>
              </w:rPr>
              <w:tab/>
            </w:r>
            <w:r w:rsidR="00CF7BFA">
              <w:rPr>
                <w:noProof/>
                <w:webHidden/>
              </w:rPr>
              <w:fldChar w:fldCharType="begin"/>
            </w:r>
            <w:r w:rsidR="00CF7BFA">
              <w:rPr>
                <w:noProof/>
                <w:webHidden/>
              </w:rPr>
              <w:instrText xml:space="preserve"> PAGEREF _Toc75442800 \h </w:instrText>
            </w:r>
            <w:r w:rsidR="00CF7BFA">
              <w:rPr>
                <w:noProof/>
                <w:webHidden/>
              </w:rPr>
            </w:r>
            <w:r w:rsidR="00CF7BFA">
              <w:rPr>
                <w:noProof/>
                <w:webHidden/>
              </w:rPr>
              <w:fldChar w:fldCharType="separate"/>
            </w:r>
            <w:r w:rsidR="007D499B">
              <w:rPr>
                <w:noProof/>
                <w:webHidden/>
              </w:rPr>
              <w:t>13</w:t>
            </w:r>
            <w:r w:rsidR="00CF7BFA">
              <w:rPr>
                <w:noProof/>
                <w:webHidden/>
              </w:rPr>
              <w:fldChar w:fldCharType="end"/>
            </w:r>
          </w:hyperlink>
        </w:p>
        <w:p w14:paraId="459E9391" w14:textId="4F51F219"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801" w:history="1">
            <w:r w:rsidR="00CF7BFA" w:rsidRPr="0004351E">
              <w:rPr>
                <w:rStyle w:val="Hyperlink"/>
                <w:rFonts w:eastAsiaTheme="minorHAnsi"/>
                <w:noProof/>
                <w:lang w:val="en-GB"/>
              </w:rPr>
              <w:t>Offtake reduction</w:t>
            </w:r>
            <w:r w:rsidR="00CF7BFA">
              <w:rPr>
                <w:noProof/>
                <w:webHidden/>
              </w:rPr>
              <w:tab/>
            </w:r>
            <w:r w:rsidR="00CF7BFA">
              <w:rPr>
                <w:noProof/>
                <w:webHidden/>
              </w:rPr>
              <w:fldChar w:fldCharType="begin"/>
            </w:r>
            <w:r w:rsidR="00CF7BFA">
              <w:rPr>
                <w:noProof/>
                <w:webHidden/>
              </w:rPr>
              <w:instrText xml:space="preserve"> PAGEREF _Toc75442801 \h </w:instrText>
            </w:r>
            <w:r w:rsidR="00CF7BFA">
              <w:rPr>
                <w:noProof/>
                <w:webHidden/>
              </w:rPr>
            </w:r>
            <w:r w:rsidR="00CF7BFA">
              <w:rPr>
                <w:noProof/>
                <w:webHidden/>
              </w:rPr>
              <w:fldChar w:fldCharType="separate"/>
            </w:r>
            <w:r w:rsidR="007D499B">
              <w:rPr>
                <w:noProof/>
                <w:webHidden/>
              </w:rPr>
              <w:t>13</w:t>
            </w:r>
            <w:r w:rsidR="00CF7BFA">
              <w:rPr>
                <w:noProof/>
                <w:webHidden/>
              </w:rPr>
              <w:fldChar w:fldCharType="end"/>
            </w:r>
          </w:hyperlink>
        </w:p>
        <w:p w14:paraId="6F900DA5" w14:textId="3AA61678"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802" w:history="1">
            <w:r w:rsidR="00CF7BFA" w:rsidRPr="0004351E">
              <w:rPr>
                <w:rStyle w:val="Hyperlink"/>
                <w:noProof/>
                <w:lang w:val="en-GB"/>
              </w:rPr>
              <w:t>Determination of quantity of captured methane emission</w:t>
            </w:r>
            <w:r w:rsidR="00CF7BFA">
              <w:rPr>
                <w:noProof/>
                <w:webHidden/>
              </w:rPr>
              <w:tab/>
            </w:r>
            <w:r w:rsidR="00CF7BFA">
              <w:rPr>
                <w:noProof/>
                <w:webHidden/>
              </w:rPr>
              <w:fldChar w:fldCharType="begin"/>
            </w:r>
            <w:r w:rsidR="00CF7BFA">
              <w:rPr>
                <w:noProof/>
                <w:webHidden/>
              </w:rPr>
              <w:instrText xml:space="preserve"> PAGEREF _Toc75442802 \h </w:instrText>
            </w:r>
            <w:r w:rsidR="00CF7BFA">
              <w:rPr>
                <w:noProof/>
                <w:webHidden/>
              </w:rPr>
            </w:r>
            <w:r w:rsidR="00CF7BFA">
              <w:rPr>
                <w:noProof/>
                <w:webHidden/>
              </w:rPr>
              <w:fldChar w:fldCharType="separate"/>
            </w:r>
            <w:r w:rsidR="007D499B">
              <w:rPr>
                <w:noProof/>
                <w:webHidden/>
              </w:rPr>
              <w:t>13</w:t>
            </w:r>
            <w:r w:rsidR="00CF7BFA">
              <w:rPr>
                <w:noProof/>
                <w:webHidden/>
              </w:rPr>
              <w:fldChar w:fldCharType="end"/>
            </w:r>
          </w:hyperlink>
        </w:p>
        <w:p w14:paraId="04686955" w14:textId="1CA585BC"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803" w:history="1">
            <w:r w:rsidR="00CF7BFA" w:rsidRPr="0004351E">
              <w:rPr>
                <w:rStyle w:val="Hyperlink"/>
                <w:noProof/>
                <w:lang w:val="en-GB"/>
              </w:rPr>
              <w:t>Risk of abatement reversal</w:t>
            </w:r>
            <w:r w:rsidR="00CF7BFA">
              <w:rPr>
                <w:noProof/>
                <w:webHidden/>
              </w:rPr>
              <w:tab/>
            </w:r>
            <w:r w:rsidR="00CF7BFA">
              <w:rPr>
                <w:noProof/>
                <w:webHidden/>
              </w:rPr>
              <w:fldChar w:fldCharType="begin"/>
            </w:r>
            <w:r w:rsidR="00CF7BFA">
              <w:rPr>
                <w:noProof/>
                <w:webHidden/>
              </w:rPr>
              <w:instrText xml:space="preserve"> PAGEREF _Toc75442803 \h </w:instrText>
            </w:r>
            <w:r w:rsidR="00CF7BFA">
              <w:rPr>
                <w:noProof/>
                <w:webHidden/>
              </w:rPr>
            </w:r>
            <w:r w:rsidR="00CF7BFA">
              <w:rPr>
                <w:noProof/>
                <w:webHidden/>
              </w:rPr>
              <w:fldChar w:fldCharType="separate"/>
            </w:r>
            <w:r w:rsidR="007D499B">
              <w:rPr>
                <w:noProof/>
                <w:webHidden/>
              </w:rPr>
              <w:t>14</w:t>
            </w:r>
            <w:r w:rsidR="00CF7BFA">
              <w:rPr>
                <w:noProof/>
                <w:webHidden/>
              </w:rPr>
              <w:fldChar w:fldCharType="end"/>
            </w:r>
          </w:hyperlink>
        </w:p>
        <w:p w14:paraId="349D950E" w14:textId="75B713EF"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804" w:history="1">
            <w:r w:rsidR="00CF7BFA" w:rsidRPr="0004351E">
              <w:rPr>
                <w:rStyle w:val="Hyperlink"/>
                <w:noProof/>
                <w:lang w:val="en-GB"/>
              </w:rPr>
              <w:t>Abatement calculation example – gas processing</w:t>
            </w:r>
            <w:r w:rsidR="00CF7BFA">
              <w:rPr>
                <w:noProof/>
                <w:webHidden/>
              </w:rPr>
              <w:tab/>
            </w:r>
            <w:r w:rsidR="00CF7BFA">
              <w:rPr>
                <w:noProof/>
                <w:webHidden/>
              </w:rPr>
              <w:fldChar w:fldCharType="begin"/>
            </w:r>
            <w:r w:rsidR="00CF7BFA">
              <w:rPr>
                <w:noProof/>
                <w:webHidden/>
              </w:rPr>
              <w:instrText xml:space="preserve"> PAGEREF _Toc75442804 \h </w:instrText>
            </w:r>
            <w:r w:rsidR="00CF7BFA">
              <w:rPr>
                <w:noProof/>
                <w:webHidden/>
              </w:rPr>
            </w:r>
            <w:r w:rsidR="00CF7BFA">
              <w:rPr>
                <w:noProof/>
                <w:webHidden/>
              </w:rPr>
              <w:fldChar w:fldCharType="separate"/>
            </w:r>
            <w:r w:rsidR="007D499B">
              <w:rPr>
                <w:noProof/>
                <w:webHidden/>
              </w:rPr>
              <w:t>14</w:t>
            </w:r>
            <w:r w:rsidR="00CF7BFA">
              <w:rPr>
                <w:noProof/>
                <w:webHidden/>
              </w:rPr>
              <w:fldChar w:fldCharType="end"/>
            </w:r>
          </w:hyperlink>
        </w:p>
        <w:p w14:paraId="1C6C1640" w14:textId="7F078587" w:rsidR="00CF7BFA" w:rsidRDefault="007A0C10">
          <w:pPr>
            <w:pStyle w:val="TOC3"/>
            <w:tabs>
              <w:tab w:val="right" w:leader="dot" w:pos="9016"/>
            </w:tabs>
            <w:rPr>
              <w:rFonts w:asciiTheme="minorHAnsi" w:eastAsiaTheme="minorEastAsia" w:hAnsiTheme="minorHAnsi" w:cstheme="minorBidi"/>
              <w:noProof/>
              <w:color w:val="auto"/>
              <w:szCs w:val="22"/>
              <w:lang w:eastAsia="en-AU"/>
            </w:rPr>
          </w:pPr>
          <w:hyperlink w:anchor="_Toc75442805" w:history="1">
            <w:r w:rsidR="00CF7BFA" w:rsidRPr="0004351E">
              <w:rPr>
                <w:rStyle w:val="Hyperlink"/>
                <w:noProof/>
                <w:lang w:val="en-GB"/>
              </w:rPr>
              <w:t>Consistency with National Greenhouse and Energy Reporting</w:t>
            </w:r>
            <w:r w:rsidR="00CF7BFA">
              <w:rPr>
                <w:noProof/>
                <w:webHidden/>
              </w:rPr>
              <w:tab/>
            </w:r>
            <w:r w:rsidR="00CF7BFA">
              <w:rPr>
                <w:noProof/>
                <w:webHidden/>
              </w:rPr>
              <w:fldChar w:fldCharType="begin"/>
            </w:r>
            <w:r w:rsidR="00CF7BFA">
              <w:rPr>
                <w:noProof/>
                <w:webHidden/>
              </w:rPr>
              <w:instrText xml:space="preserve"> PAGEREF _Toc75442805 \h </w:instrText>
            </w:r>
            <w:r w:rsidR="00CF7BFA">
              <w:rPr>
                <w:noProof/>
                <w:webHidden/>
              </w:rPr>
            </w:r>
            <w:r w:rsidR="00CF7BFA">
              <w:rPr>
                <w:noProof/>
                <w:webHidden/>
              </w:rPr>
              <w:fldChar w:fldCharType="separate"/>
            </w:r>
            <w:r w:rsidR="007D499B">
              <w:rPr>
                <w:noProof/>
                <w:webHidden/>
              </w:rPr>
              <w:t>15</w:t>
            </w:r>
            <w:r w:rsidR="00CF7BFA">
              <w:rPr>
                <w:noProof/>
                <w:webHidden/>
              </w:rPr>
              <w:fldChar w:fldCharType="end"/>
            </w:r>
          </w:hyperlink>
        </w:p>
        <w:p w14:paraId="799E58C2" w14:textId="6AC3B60B" w:rsidR="00CF7BFA" w:rsidRDefault="007A0C10">
          <w:pPr>
            <w:pStyle w:val="TOC2"/>
            <w:tabs>
              <w:tab w:val="right" w:leader="dot" w:pos="9016"/>
            </w:tabs>
            <w:rPr>
              <w:rFonts w:asciiTheme="minorHAnsi" w:eastAsiaTheme="minorEastAsia" w:hAnsiTheme="minorHAnsi" w:cstheme="minorBidi"/>
              <w:noProof/>
              <w:color w:val="auto"/>
              <w:szCs w:val="22"/>
              <w:lang w:eastAsia="en-AU"/>
            </w:rPr>
          </w:pPr>
          <w:hyperlink w:anchor="_Toc75442806" w:history="1">
            <w:r w:rsidR="00CF7BFA" w:rsidRPr="0004351E">
              <w:rPr>
                <w:rStyle w:val="Hyperlink"/>
                <w:noProof/>
              </w:rPr>
              <w:t>Offsets reports and claiming carbon credits</w:t>
            </w:r>
            <w:r w:rsidR="00CF7BFA">
              <w:rPr>
                <w:noProof/>
                <w:webHidden/>
              </w:rPr>
              <w:tab/>
            </w:r>
            <w:r w:rsidR="00CF7BFA">
              <w:rPr>
                <w:noProof/>
                <w:webHidden/>
              </w:rPr>
              <w:fldChar w:fldCharType="begin"/>
            </w:r>
            <w:r w:rsidR="00CF7BFA">
              <w:rPr>
                <w:noProof/>
                <w:webHidden/>
              </w:rPr>
              <w:instrText xml:space="preserve"> PAGEREF _Toc75442806 \h </w:instrText>
            </w:r>
            <w:r w:rsidR="00CF7BFA">
              <w:rPr>
                <w:noProof/>
                <w:webHidden/>
              </w:rPr>
            </w:r>
            <w:r w:rsidR="00CF7BFA">
              <w:rPr>
                <w:noProof/>
                <w:webHidden/>
              </w:rPr>
              <w:fldChar w:fldCharType="separate"/>
            </w:r>
            <w:r w:rsidR="007D499B">
              <w:rPr>
                <w:noProof/>
                <w:webHidden/>
              </w:rPr>
              <w:t>15</w:t>
            </w:r>
            <w:r w:rsidR="00CF7BFA">
              <w:rPr>
                <w:noProof/>
                <w:webHidden/>
              </w:rPr>
              <w:fldChar w:fldCharType="end"/>
            </w:r>
          </w:hyperlink>
        </w:p>
        <w:p w14:paraId="4ABFFD91" w14:textId="32360233" w:rsidR="00CF7BFA" w:rsidRDefault="007A0C10">
          <w:pPr>
            <w:pStyle w:val="TOC2"/>
            <w:tabs>
              <w:tab w:val="right" w:leader="dot" w:pos="9016"/>
            </w:tabs>
            <w:rPr>
              <w:rFonts w:asciiTheme="minorHAnsi" w:eastAsiaTheme="minorEastAsia" w:hAnsiTheme="minorHAnsi" w:cstheme="minorBidi"/>
              <w:noProof/>
              <w:color w:val="auto"/>
              <w:szCs w:val="22"/>
              <w:lang w:eastAsia="en-AU"/>
            </w:rPr>
          </w:pPr>
          <w:hyperlink w:anchor="_Toc75442807" w:history="1">
            <w:r w:rsidR="00CF7BFA" w:rsidRPr="0004351E">
              <w:rPr>
                <w:rStyle w:val="Hyperlink"/>
                <w:noProof/>
              </w:rPr>
              <w:t>Relationship with the Safeguard Mechanism</w:t>
            </w:r>
            <w:r w:rsidR="00CF7BFA">
              <w:rPr>
                <w:noProof/>
                <w:webHidden/>
              </w:rPr>
              <w:tab/>
            </w:r>
            <w:r w:rsidR="00CF7BFA">
              <w:rPr>
                <w:noProof/>
                <w:webHidden/>
              </w:rPr>
              <w:fldChar w:fldCharType="begin"/>
            </w:r>
            <w:r w:rsidR="00CF7BFA">
              <w:rPr>
                <w:noProof/>
                <w:webHidden/>
              </w:rPr>
              <w:instrText xml:space="preserve"> PAGEREF _Toc75442807 \h </w:instrText>
            </w:r>
            <w:r w:rsidR="00CF7BFA">
              <w:rPr>
                <w:noProof/>
                <w:webHidden/>
              </w:rPr>
            </w:r>
            <w:r w:rsidR="00CF7BFA">
              <w:rPr>
                <w:noProof/>
                <w:webHidden/>
              </w:rPr>
              <w:fldChar w:fldCharType="separate"/>
            </w:r>
            <w:r w:rsidR="007D499B">
              <w:rPr>
                <w:noProof/>
                <w:webHidden/>
              </w:rPr>
              <w:t>16</w:t>
            </w:r>
            <w:r w:rsidR="00CF7BFA">
              <w:rPr>
                <w:noProof/>
                <w:webHidden/>
              </w:rPr>
              <w:fldChar w:fldCharType="end"/>
            </w:r>
          </w:hyperlink>
        </w:p>
        <w:p w14:paraId="426F7D84" w14:textId="434820AB" w:rsidR="00CF7BFA" w:rsidRDefault="007A0C10">
          <w:pPr>
            <w:pStyle w:val="TOC2"/>
            <w:tabs>
              <w:tab w:val="right" w:leader="dot" w:pos="9016"/>
            </w:tabs>
            <w:rPr>
              <w:rFonts w:asciiTheme="minorHAnsi" w:eastAsiaTheme="minorEastAsia" w:hAnsiTheme="minorHAnsi" w:cstheme="minorBidi"/>
              <w:noProof/>
              <w:color w:val="auto"/>
              <w:szCs w:val="22"/>
              <w:lang w:eastAsia="en-AU"/>
            </w:rPr>
          </w:pPr>
          <w:hyperlink w:anchor="_Toc75442808" w:history="1">
            <w:r w:rsidR="00CF7BFA" w:rsidRPr="0004351E">
              <w:rPr>
                <w:rStyle w:val="Hyperlink"/>
                <w:noProof/>
              </w:rPr>
              <w:t>Audit Requirements</w:t>
            </w:r>
            <w:r w:rsidR="00CF7BFA">
              <w:rPr>
                <w:noProof/>
                <w:webHidden/>
              </w:rPr>
              <w:tab/>
            </w:r>
            <w:r w:rsidR="00CF7BFA">
              <w:rPr>
                <w:noProof/>
                <w:webHidden/>
              </w:rPr>
              <w:fldChar w:fldCharType="begin"/>
            </w:r>
            <w:r w:rsidR="00CF7BFA">
              <w:rPr>
                <w:noProof/>
                <w:webHidden/>
              </w:rPr>
              <w:instrText xml:space="preserve"> PAGEREF _Toc75442808 \h </w:instrText>
            </w:r>
            <w:r w:rsidR="00CF7BFA">
              <w:rPr>
                <w:noProof/>
                <w:webHidden/>
              </w:rPr>
            </w:r>
            <w:r w:rsidR="00CF7BFA">
              <w:rPr>
                <w:noProof/>
                <w:webHidden/>
              </w:rPr>
              <w:fldChar w:fldCharType="separate"/>
            </w:r>
            <w:r w:rsidR="007D499B">
              <w:rPr>
                <w:noProof/>
                <w:webHidden/>
              </w:rPr>
              <w:t>17</w:t>
            </w:r>
            <w:r w:rsidR="00CF7BFA">
              <w:rPr>
                <w:noProof/>
                <w:webHidden/>
              </w:rPr>
              <w:fldChar w:fldCharType="end"/>
            </w:r>
          </w:hyperlink>
        </w:p>
        <w:p w14:paraId="4A2F02A0" w14:textId="22F531EF" w:rsidR="00CF7BFA" w:rsidRDefault="007A0C10">
          <w:pPr>
            <w:pStyle w:val="TOC1"/>
            <w:tabs>
              <w:tab w:val="right" w:leader="dot" w:pos="9016"/>
            </w:tabs>
            <w:rPr>
              <w:rFonts w:asciiTheme="minorHAnsi" w:eastAsiaTheme="minorEastAsia" w:hAnsiTheme="minorHAnsi" w:cstheme="minorBidi"/>
              <w:noProof/>
              <w:color w:val="auto"/>
              <w:szCs w:val="22"/>
              <w:lang w:eastAsia="en-AU"/>
            </w:rPr>
          </w:pPr>
          <w:hyperlink w:anchor="_Toc75442809" w:history="1">
            <w:r w:rsidR="00CF7BFA" w:rsidRPr="0004351E">
              <w:rPr>
                <w:rStyle w:val="Hyperlink"/>
                <w:noProof/>
              </w:rPr>
              <w:t>Other matters</w:t>
            </w:r>
            <w:r w:rsidR="00CF7BFA">
              <w:rPr>
                <w:noProof/>
                <w:webHidden/>
              </w:rPr>
              <w:tab/>
            </w:r>
            <w:r w:rsidR="00CF7BFA">
              <w:rPr>
                <w:noProof/>
                <w:webHidden/>
              </w:rPr>
              <w:fldChar w:fldCharType="begin"/>
            </w:r>
            <w:r w:rsidR="00CF7BFA">
              <w:rPr>
                <w:noProof/>
                <w:webHidden/>
              </w:rPr>
              <w:instrText xml:space="preserve"> PAGEREF _Toc75442809 \h </w:instrText>
            </w:r>
            <w:r w:rsidR="00CF7BFA">
              <w:rPr>
                <w:noProof/>
                <w:webHidden/>
              </w:rPr>
            </w:r>
            <w:r w:rsidR="00CF7BFA">
              <w:rPr>
                <w:noProof/>
                <w:webHidden/>
              </w:rPr>
              <w:fldChar w:fldCharType="separate"/>
            </w:r>
            <w:r w:rsidR="007D499B">
              <w:rPr>
                <w:noProof/>
                <w:webHidden/>
              </w:rPr>
              <w:t>17</w:t>
            </w:r>
            <w:r w:rsidR="00CF7BFA">
              <w:rPr>
                <w:noProof/>
                <w:webHidden/>
              </w:rPr>
              <w:fldChar w:fldCharType="end"/>
            </w:r>
          </w:hyperlink>
        </w:p>
        <w:p w14:paraId="08848D85" w14:textId="3B75C9CB" w:rsidR="00CF7BFA" w:rsidRDefault="007A0C10">
          <w:pPr>
            <w:pStyle w:val="TOC2"/>
            <w:tabs>
              <w:tab w:val="right" w:leader="dot" w:pos="9016"/>
            </w:tabs>
            <w:rPr>
              <w:rFonts w:asciiTheme="minorHAnsi" w:eastAsiaTheme="minorEastAsia" w:hAnsiTheme="minorHAnsi" w:cstheme="minorBidi"/>
              <w:noProof/>
              <w:color w:val="auto"/>
              <w:szCs w:val="22"/>
              <w:lang w:eastAsia="en-AU"/>
            </w:rPr>
          </w:pPr>
          <w:hyperlink w:anchor="_Toc75442810" w:history="1">
            <w:r w:rsidR="00CF7BFA" w:rsidRPr="0004351E">
              <w:rPr>
                <w:rStyle w:val="Hyperlink"/>
                <w:noProof/>
              </w:rPr>
              <w:t>Notification requirements</w:t>
            </w:r>
            <w:r w:rsidR="00CF7BFA">
              <w:rPr>
                <w:noProof/>
                <w:webHidden/>
              </w:rPr>
              <w:tab/>
            </w:r>
            <w:r w:rsidR="00CF7BFA">
              <w:rPr>
                <w:noProof/>
                <w:webHidden/>
              </w:rPr>
              <w:fldChar w:fldCharType="begin"/>
            </w:r>
            <w:r w:rsidR="00CF7BFA">
              <w:rPr>
                <w:noProof/>
                <w:webHidden/>
              </w:rPr>
              <w:instrText xml:space="preserve"> PAGEREF _Toc75442810 \h </w:instrText>
            </w:r>
            <w:r w:rsidR="00CF7BFA">
              <w:rPr>
                <w:noProof/>
                <w:webHidden/>
              </w:rPr>
            </w:r>
            <w:r w:rsidR="00CF7BFA">
              <w:rPr>
                <w:noProof/>
                <w:webHidden/>
              </w:rPr>
              <w:fldChar w:fldCharType="separate"/>
            </w:r>
            <w:r w:rsidR="007D499B">
              <w:rPr>
                <w:noProof/>
                <w:webHidden/>
              </w:rPr>
              <w:t>17</w:t>
            </w:r>
            <w:r w:rsidR="00CF7BFA">
              <w:rPr>
                <w:noProof/>
                <w:webHidden/>
              </w:rPr>
              <w:fldChar w:fldCharType="end"/>
            </w:r>
          </w:hyperlink>
        </w:p>
        <w:p w14:paraId="6035CF2D" w14:textId="00B73CA7" w:rsidR="00CF7BFA" w:rsidRDefault="007A0C10">
          <w:pPr>
            <w:pStyle w:val="TOC2"/>
            <w:tabs>
              <w:tab w:val="right" w:leader="dot" w:pos="9016"/>
            </w:tabs>
            <w:rPr>
              <w:rFonts w:asciiTheme="minorHAnsi" w:eastAsiaTheme="minorEastAsia" w:hAnsiTheme="minorHAnsi" w:cstheme="minorBidi"/>
              <w:noProof/>
              <w:color w:val="auto"/>
              <w:szCs w:val="22"/>
              <w:lang w:eastAsia="en-AU"/>
            </w:rPr>
          </w:pPr>
          <w:hyperlink w:anchor="_Toc75442811" w:history="1">
            <w:r w:rsidR="00CF7BFA" w:rsidRPr="0004351E">
              <w:rPr>
                <w:rStyle w:val="Hyperlink"/>
                <w:noProof/>
              </w:rPr>
              <w:t>Legislative Rules</w:t>
            </w:r>
            <w:r w:rsidR="00CF7BFA">
              <w:rPr>
                <w:noProof/>
                <w:webHidden/>
              </w:rPr>
              <w:tab/>
            </w:r>
            <w:r w:rsidR="00CF7BFA">
              <w:rPr>
                <w:noProof/>
                <w:webHidden/>
              </w:rPr>
              <w:fldChar w:fldCharType="begin"/>
            </w:r>
            <w:r w:rsidR="00CF7BFA">
              <w:rPr>
                <w:noProof/>
                <w:webHidden/>
              </w:rPr>
              <w:instrText xml:space="preserve"> PAGEREF _Toc75442811 \h </w:instrText>
            </w:r>
            <w:r w:rsidR="00CF7BFA">
              <w:rPr>
                <w:noProof/>
                <w:webHidden/>
              </w:rPr>
            </w:r>
            <w:r w:rsidR="00CF7BFA">
              <w:rPr>
                <w:noProof/>
                <w:webHidden/>
              </w:rPr>
              <w:fldChar w:fldCharType="separate"/>
            </w:r>
            <w:r w:rsidR="007D499B">
              <w:rPr>
                <w:noProof/>
                <w:webHidden/>
              </w:rPr>
              <w:t>18</w:t>
            </w:r>
            <w:r w:rsidR="00CF7BFA">
              <w:rPr>
                <w:noProof/>
                <w:webHidden/>
              </w:rPr>
              <w:fldChar w:fldCharType="end"/>
            </w:r>
          </w:hyperlink>
        </w:p>
        <w:p w14:paraId="0B59E378" w14:textId="2CA9C9D3" w:rsidR="00CF7BFA" w:rsidRDefault="007A0C10">
          <w:pPr>
            <w:pStyle w:val="TOC2"/>
            <w:tabs>
              <w:tab w:val="right" w:leader="dot" w:pos="9016"/>
            </w:tabs>
            <w:rPr>
              <w:rFonts w:asciiTheme="minorHAnsi" w:eastAsiaTheme="minorEastAsia" w:hAnsiTheme="minorHAnsi" w:cstheme="minorBidi"/>
              <w:noProof/>
              <w:color w:val="auto"/>
              <w:szCs w:val="22"/>
              <w:lang w:eastAsia="en-AU"/>
            </w:rPr>
          </w:pPr>
          <w:hyperlink w:anchor="_Toc75442812" w:history="1">
            <w:r w:rsidR="00CF7BFA" w:rsidRPr="0004351E">
              <w:rPr>
                <w:rStyle w:val="Hyperlink"/>
                <w:noProof/>
              </w:rPr>
              <w:t>Making changes to your project</w:t>
            </w:r>
            <w:r w:rsidR="00CF7BFA">
              <w:rPr>
                <w:noProof/>
                <w:webHidden/>
              </w:rPr>
              <w:tab/>
            </w:r>
            <w:r w:rsidR="00CF7BFA">
              <w:rPr>
                <w:noProof/>
                <w:webHidden/>
              </w:rPr>
              <w:fldChar w:fldCharType="begin"/>
            </w:r>
            <w:r w:rsidR="00CF7BFA">
              <w:rPr>
                <w:noProof/>
                <w:webHidden/>
              </w:rPr>
              <w:instrText xml:space="preserve"> PAGEREF _Toc75442812 \h </w:instrText>
            </w:r>
            <w:r w:rsidR="00CF7BFA">
              <w:rPr>
                <w:noProof/>
                <w:webHidden/>
              </w:rPr>
            </w:r>
            <w:r w:rsidR="00CF7BFA">
              <w:rPr>
                <w:noProof/>
                <w:webHidden/>
              </w:rPr>
              <w:fldChar w:fldCharType="separate"/>
            </w:r>
            <w:r w:rsidR="007D499B">
              <w:rPr>
                <w:noProof/>
                <w:webHidden/>
              </w:rPr>
              <w:t>18</w:t>
            </w:r>
            <w:r w:rsidR="00CF7BFA">
              <w:rPr>
                <w:noProof/>
                <w:webHidden/>
              </w:rPr>
              <w:fldChar w:fldCharType="end"/>
            </w:r>
          </w:hyperlink>
        </w:p>
        <w:p w14:paraId="12781836" w14:textId="7146207F" w:rsidR="00CF7BFA" w:rsidRDefault="007A0C10">
          <w:pPr>
            <w:pStyle w:val="TOC1"/>
            <w:tabs>
              <w:tab w:val="right" w:leader="dot" w:pos="9016"/>
            </w:tabs>
            <w:rPr>
              <w:rFonts w:asciiTheme="minorHAnsi" w:eastAsiaTheme="minorEastAsia" w:hAnsiTheme="minorHAnsi" w:cstheme="minorBidi"/>
              <w:noProof/>
              <w:color w:val="auto"/>
              <w:szCs w:val="22"/>
              <w:lang w:eastAsia="en-AU"/>
            </w:rPr>
          </w:pPr>
          <w:hyperlink w:anchor="_Toc75442813" w:history="1">
            <w:r w:rsidR="00CF7BFA" w:rsidRPr="0004351E">
              <w:rPr>
                <w:rStyle w:val="Hyperlink"/>
                <w:noProof/>
              </w:rPr>
              <w:t>Disclaimer</w:t>
            </w:r>
            <w:r w:rsidR="00CF7BFA">
              <w:rPr>
                <w:noProof/>
                <w:webHidden/>
              </w:rPr>
              <w:tab/>
            </w:r>
            <w:r w:rsidR="00CF7BFA">
              <w:rPr>
                <w:noProof/>
                <w:webHidden/>
              </w:rPr>
              <w:fldChar w:fldCharType="begin"/>
            </w:r>
            <w:r w:rsidR="00CF7BFA">
              <w:rPr>
                <w:noProof/>
                <w:webHidden/>
              </w:rPr>
              <w:instrText xml:space="preserve"> PAGEREF _Toc75442813 \h </w:instrText>
            </w:r>
            <w:r w:rsidR="00CF7BFA">
              <w:rPr>
                <w:noProof/>
                <w:webHidden/>
              </w:rPr>
            </w:r>
            <w:r w:rsidR="00CF7BFA">
              <w:rPr>
                <w:noProof/>
                <w:webHidden/>
              </w:rPr>
              <w:fldChar w:fldCharType="separate"/>
            </w:r>
            <w:r w:rsidR="007D499B">
              <w:rPr>
                <w:noProof/>
                <w:webHidden/>
              </w:rPr>
              <w:t>18</w:t>
            </w:r>
            <w:r w:rsidR="00CF7BFA">
              <w:rPr>
                <w:noProof/>
                <w:webHidden/>
              </w:rPr>
              <w:fldChar w:fldCharType="end"/>
            </w:r>
          </w:hyperlink>
        </w:p>
        <w:p w14:paraId="669A707E" w14:textId="0E1C2085" w:rsidR="0066117A" w:rsidRDefault="0066117A" w:rsidP="00AC070B">
          <w:pPr>
            <w:pStyle w:val="TOC1"/>
            <w:tabs>
              <w:tab w:val="right" w:leader="dot" w:pos="9016"/>
            </w:tabs>
          </w:pPr>
          <w:r>
            <w:rPr>
              <w:b/>
              <w:bCs/>
              <w:noProof/>
            </w:rPr>
            <w:fldChar w:fldCharType="end"/>
          </w:r>
        </w:p>
      </w:sdtContent>
    </w:sdt>
    <w:p w14:paraId="204ACFFD" w14:textId="77777777" w:rsidR="00061B4D" w:rsidRDefault="00061B4D">
      <w:pPr>
        <w:spacing w:after="0" w:line="276" w:lineRule="auto"/>
        <w:ind w:hanging="357"/>
        <w:rPr>
          <w:rFonts w:eastAsia="Times New Roman"/>
          <w:b/>
          <w:bCs/>
          <w:color w:val="005874"/>
          <w:kern w:val="32"/>
          <w:sz w:val="40"/>
        </w:rPr>
      </w:pPr>
      <w:r>
        <w:br w:type="page"/>
      </w:r>
    </w:p>
    <w:p w14:paraId="48B38339" w14:textId="01407165" w:rsidR="000B74AE" w:rsidRDefault="000B74AE" w:rsidP="000B74AE">
      <w:pPr>
        <w:pStyle w:val="Heading1"/>
        <w:spacing w:before="0"/>
      </w:pPr>
      <w:bookmarkStart w:id="2" w:name="_Toc75442775"/>
      <w:r>
        <w:lastRenderedPageBreak/>
        <w:t xml:space="preserve">Participating in the </w:t>
      </w:r>
      <w:r w:rsidR="00986BF7">
        <w:t xml:space="preserve">Emissions </w:t>
      </w:r>
      <w:r w:rsidR="00FF026F">
        <w:t>Re</w:t>
      </w:r>
      <w:r w:rsidR="00986BF7">
        <w:t>duction Fund</w:t>
      </w:r>
      <w:bookmarkEnd w:id="2"/>
    </w:p>
    <w:p w14:paraId="29BDF999" w14:textId="7FD98A3E" w:rsidR="000B74AE" w:rsidRDefault="000B74AE" w:rsidP="000B74AE">
      <w:r>
        <w:t xml:space="preserve">The </w:t>
      </w:r>
      <w:r w:rsidR="00986BF7">
        <w:t>Emissions Reduction Fund</w:t>
      </w:r>
      <w:r>
        <w:t xml:space="preserve"> </w:t>
      </w:r>
      <w:r w:rsidR="009C41BD">
        <w:t xml:space="preserve">(ERF) </w:t>
      </w:r>
      <w:r>
        <w:t xml:space="preserve">offers landholders, communities and businesses the opportunity to run new projects in Australia that </w:t>
      </w:r>
      <w:r w:rsidR="007046D8">
        <w:t xml:space="preserve">avoid emissions of greenhouse gases to the atmosphere, or </w:t>
      </w:r>
      <w:r>
        <w:t xml:space="preserve">remove </w:t>
      </w:r>
      <w:r w:rsidR="007046D8">
        <w:t>them from the</w:t>
      </w:r>
      <w:r>
        <w:t xml:space="preserve"> </w:t>
      </w:r>
      <w:r w:rsidR="00F73B20">
        <w:t>atmosphere by storing them in biological systems such as vegetation or soil</w:t>
      </w:r>
      <w:r w:rsidR="007046D8">
        <w:t>.</w:t>
      </w:r>
      <w:r w:rsidR="00F73B20">
        <w:t xml:space="preserve"> These are known as emissions avoidance and sequestration projects respectively. </w:t>
      </w:r>
    </w:p>
    <w:p w14:paraId="781D3EE4" w14:textId="18A1975A" w:rsidR="000B74AE" w:rsidRDefault="000B74AE" w:rsidP="000B74AE">
      <w:r>
        <w:t>By running</w:t>
      </w:r>
      <w:r w:rsidRPr="00F00EFA">
        <w:t xml:space="preserve"> </w:t>
      </w:r>
      <w:r>
        <w:t>a project, you can earn Australian carbon credit units (</w:t>
      </w:r>
      <w:r w:rsidR="0078419A">
        <w:t>ACCUs</w:t>
      </w:r>
      <w:r>
        <w:t>) and sell them to the Australian Government, or to companies</w:t>
      </w:r>
      <w:r w:rsidR="009C2651">
        <w:t xml:space="preserve">, </w:t>
      </w:r>
      <w:r w:rsidR="00384534">
        <w:t>State governments</w:t>
      </w:r>
      <w:r>
        <w:t xml:space="preserve"> and other private buyers.</w:t>
      </w:r>
      <w:r w:rsidRPr="00CF5D54">
        <w:t xml:space="preserve"> </w:t>
      </w:r>
      <w:r w:rsidRPr="00D35A4E">
        <w:t xml:space="preserve">Each </w:t>
      </w:r>
      <w:r w:rsidR="0078419A">
        <w:t>ACCU</w:t>
      </w:r>
      <w:r w:rsidRPr="00D35A4E">
        <w:t xml:space="preserve"> represents</w:t>
      </w:r>
      <w:r>
        <w:t xml:space="preserve"> one </w:t>
      </w:r>
      <w:r w:rsidRPr="00D35A4E">
        <w:t xml:space="preserve">tonne of carbon dioxide equivalent </w:t>
      </w:r>
      <w:r w:rsidR="009C41BD">
        <w:t>(CO</w:t>
      </w:r>
      <w:r w:rsidR="009C41BD" w:rsidRPr="009C41BD">
        <w:rPr>
          <w:vertAlign w:val="subscript"/>
        </w:rPr>
        <w:t>2</w:t>
      </w:r>
      <w:r w:rsidR="004911E3">
        <w:t>-e</w:t>
      </w:r>
      <w:r w:rsidR="009C41BD">
        <w:t xml:space="preserve">) </w:t>
      </w:r>
      <w:r w:rsidRPr="00D35A4E">
        <w:t>emissions stored or avoided</w:t>
      </w:r>
      <w:r w:rsidR="008F2EFF">
        <w:t>.</w:t>
      </w:r>
    </w:p>
    <w:p w14:paraId="1502A8A4" w14:textId="38C9A59A" w:rsidR="000B74AE" w:rsidRDefault="000B74AE" w:rsidP="000B74AE">
      <w:pPr>
        <w:pStyle w:val="Heading2"/>
      </w:pPr>
      <w:bookmarkStart w:id="3" w:name="_Toc75442776"/>
      <w:r w:rsidRPr="00340118">
        <w:t xml:space="preserve">How participating in the </w:t>
      </w:r>
      <w:r w:rsidR="00122F9F">
        <w:t xml:space="preserve">Emissions Reduction Fund </w:t>
      </w:r>
      <w:r w:rsidRPr="00340118">
        <w:t>works</w:t>
      </w:r>
      <w:bookmarkEnd w:id="3"/>
    </w:p>
    <w:p w14:paraId="74D19D95" w14:textId="420B5686" w:rsidR="00EB1A15" w:rsidRDefault="00EB1A15" w:rsidP="00BA4891">
      <w:pPr>
        <w:rPr>
          <w:highlight w:val="yellow"/>
        </w:rPr>
      </w:pPr>
    </w:p>
    <w:p w14:paraId="48033429" w14:textId="756BD1EF" w:rsidR="00EB1A15" w:rsidRDefault="00EB1A15" w:rsidP="00BA4891">
      <w:pPr>
        <w:rPr>
          <w:highlight w:val="yellow"/>
        </w:rPr>
      </w:pPr>
      <w:r>
        <w:rPr>
          <w:noProof/>
          <w:lang w:eastAsia="en-AU"/>
        </w:rPr>
        <w:drawing>
          <wp:inline distT="0" distB="0" distL="0" distR="0" wp14:anchorId="770BF6E0" wp14:editId="6B5983DF">
            <wp:extent cx="5731510" cy="2007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007235"/>
                    </a:xfrm>
                    <a:prstGeom prst="rect">
                      <a:avLst/>
                    </a:prstGeom>
                    <a:noFill/>
                    <a:ln>
                      <a:noFill/>
                    </a:ln>
                  </pic:spPr>
                </pic:pic>
              </a:graphicData>
            </a:graphic>
          </wp:inline>
        </w:drawing>
      </w:r>
    </w:p>
    <w:p w14:paraId="220C6024" w14:textId="3803EE32" w:rsidR="000B74AE" w:rsidRDefault="000B74AE" w:rsidP="000B74AE">
      <w:pPr>
        <w:keepNext/>
        <w:jc w:val="center"/>
      </w:pPr>
    </w:p>
    <w:p w14:paraId="4FD10045" w14:textId="2A3FCF0F" w:rsidR="000B74AE" w:rsidRPr="001520E0" w:rsidRDefault="000B74AE" w:rsidP="000B74AE">
      <w:pPr>
        <w:pStyle w:val="Caption"/>
        <w:jc w:val="center"/>
        <w:rPr>
          <w:color w:val="auto"/>
          <w:sz w:val="22"/>
        </w:rPr>
      </w:pPr>
      <w:r w:rsidRPr="001520E0">
        <w:rPr>
          <w:color w:val="auto"/>
          <w:sz w:val="22"/>
        </w:rPr>
        <w:t xml:space="preserve">Figure </w:t>
      </w:r>
      <w:r w:rsidRPr="001520E0">
        <w:rPr>
          <w:color w:val="auto"/>
          <w:sz w:val="22"/>
        </w:rPr>
        <w:fldChar w:fldCharType="begin"/>
      </w:r>
      <w:r w:rsidRPr="001520E0">
        <w:rPr>
          <w:color w:val="auto"/>
          <w:sz w:val="22"/>
        </w:rPr>
        <w:instrText xml:space="preserve"> SEQ Figure \* ARABIC </w:instrText>
      </w:r>
      <w:r w:rsidRPr="001520E0">
        <w:rPr>
          <w:color w:val="auto"/>
          <w:sz w:val="22"/>
        </w:rPr>
        <w:fldChar w:fldCharType="separate"/>
      </w:r>
      <w:r w:rsidR="007D499B">
        <w:rPr>
          <w:noProof/>
          <w:color w:val="auto"/>
          <w:sz w:val="22"/>
        </w:rPr>
        <w:t>1</w:t>
      </w:r>
      <w:r w:rsidRPr="001520E0">
        <w:rPr>
          <w:color w:val="auto"/>
          <w:sz w:val="22"/>
        </w:rPr>
        <w:fldChar w:fldCharType="end"/>
      </w:r>
      <w:r w:rsidRPr="001520E0">
        <w:rPr>
          <w:color w:val="auto"/>
          <w:sz w:val="22"/>
        </w:rPr>
        <w:t xml:space="preserve">: </w:t>
      </w:r>
      <w:r w:rsidR="00986BF7">
        <w:rPr>
          <w:color w:val="auto"/>
          <w:sz w:val="22"/>
        </w:rPr>
        <w:t>Emissions Reduction Fund</w:t>
      </w:r>
      <w:r w:rsidRPr="001520E0">
        <w:rPr>
          <w:color w:val="auto"/>
          <w:sz w:val="22"/>
        </w:rPr>
        <w:t xml:space="preserve"> </w:t>
      </w:r>
      <w:r>
        <w:rPr>
          <w:color w:val="auto"/>
          <w:sz w:val="22"/>
        </w:rPr>
        <w:t>p</w:t>
      </w:r>
      <w:r w:rsidRPr="001520E0">
        <w:rPr>
          <w:color w:val="auto"/>
          <w:sz w:val="22"/>
        </w:rPr>
        <w:t>roject lifecycle</w:t>
      </w:r>
    </w:p>
    <w:p w14:paraId="5EAF251A" w14:textId="5DF98623" w:rsidR="000B74AE" w:rsidRDefault="000B74AE" w:rsidP="000B74AE">
      <w:pPr>
        <w:spacing w:after="120"/>
      </w:pPr>
      <w:r>
        <w:t xml:space="preserve">There are four general steps in running a project and participating in the </w:t>
      </w:r>
      <w:r w:rsidR="00986BF7">
        <w:t>Emissions Reduction Fund</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7995"/>
      </w:tblGrid>
      <w:tr w:rsidR="000B74AE" w14:paraId="580343D4" w14:textId="77777777" w:rsidTr="20F7574B">
        <w:tc>
          <w:tcPr>
            <w:tcW w:w="1031" w:type="dxa"/>
            <w:shd w:val="clear" w:color="auto" w:fill="FFFFFF" w:themeFill="background1"/>
            <w:vAlign w:val="center"/>
          </w:tcPr>
          <w:p w14:paraId="002F4B43" w14:textId="77777777" w:rsidR="000B74AE" w:rsidRDefault="000B74AE" w:rsidP="00AD1763">
            <w:pPr>
              <w:spacing w:before="80" w:after="80"/>
              <w:jc w:val="center"/>
            </w:pPr>
            <w:r>
              <w:rPr>
                <w:noProof/>
              </w:rPr>
              <w:drawing>
                <wp:inline distT="0" distB="0" distL="0" distR="0" wp14:anchorId="1FF8237D" wp14:editId="20801C04">
                  <wp:extent cx="514350" cy="46962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a:ext>
                            </a:extLst>
                          </a:blip>
                          <a:stretch>
                            <a:fillRect/>
                          </a:stretch>
                        </pic:blipFill>
                        <pic:spPr>
                          <a:xfrm>
                            <a:off x="0" y="0"/>
                            <a:ext cx="514350" cy="469624"/>
                          </a:xfrm>
                          <a:prstGeom prst="rect">
                            <a:avLst/>
                          </a:prstGeom>
                        </pic:spPr>
                      </pic:pic>
                    </a:graphicData>
                  </a:graphic>
                </wp:inline>
              </w:drawing>
            </w:r>
          </w:p>
        </w:tc>
        <w:tc>
          <w:tcPr>
            <w:tcW w:w="8709" w:type="dxa"/>
            <w:shd w:val="clear" w:color="auto" w:fill="FFFFFF" w:themeFill="background1"/>
            <w:vAlign w:val="center"/>
          </w:tcPr>
          <w:p w14:paraId="316703A3" w14:textId="77777777" w:rsidR="000B74AE" w:rsidRDefault="000B74AE" w:rsidP="00AD1763">
            <w:pPr>
              <w:pStyle w:val="CERnumbering"/>
              <w:spacing w:before="80" w:after="80"/>
              <w:ind w:left="357" w:hanging="357"/>
            </w:pPr>
            <w:r w:rsidRPr="00407734">
              <w:t>Plan your project</w:t>
            </w:r>
            <w:r>
              <w:t>,</w:t>
            </w:r>
            <w:r w:rsidRPr="00407734">
              <w:t xml:space="preserve"> make sure </w:t>
            </w:r>
            <w:r>
              <w:t xml:space="preserve">the project is eligible, and ensure </w:t>
            </w:r>
            <w:r w:rsidRPr="00407734">
              <w:t>you</w:t>
            </w:r>
            <w:r>
              <w:t xml:space="preserve"> hold legal right.</w:t>
            </w:r>
          </w:p>
        </w:tc>
      </w:tr>
      <w:tr w:rsidR="000B74AE" w14:paraId="0FBCC5EA" w14:textId="77777777" w:rsidTr="20F7574B">
        <w:tc>
          <w:tcPr>
            <w:tcW w:w="1031" w:type="dxa"/>
            <w:shd w:val="clear" w:color="auto" w:fill="FFFFFF" w:themeFill="background1"/>
            <w:vAlign w:val="center"/>
          </w:tcPr>
          <w:p w14:paraId="104E0C69" w14:textId="77777777" w:rsidR="000B74AE" w:rsidRDefault="000B74AE" w:rsidP="00AD1763">
            <w:pPr>
              <w:spacing w:before="120" w:after="120"/>
              <w:jc w:val="center"/>
            </w:pPr>
            <w:r>
              <w:rPr>
                <w:noProof/>
              </w:rPr>
              <w:drawing>
                <wp:inline distT="0" distB="0" distL="0" distR="0" wp14:anchorId="0DD6AABF" wp14:editId="238557EF">
                  <wp:extent cx="517984"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a:ext>
                            </a:extLst>
                          </a:blip>
                          <a:stretch>
                            <a:fillRect/>
                          </a:stretch>
                        </pic:blipFill>
                        <pic:spPr>
                          <a:xfrm>
                            <a:off x="0" y="0"/>
                            <a:ext cx="517984" cy="533400"/>
                          </a:xfrm>
                          <a:prstGeom prst="rect">
                            <a:avLst/>
                          </a:prstGeom>
                        </pic:spPr>
                      </pic:pic>
                    </a:graphicData>
                  </a:graphic>
                </wp:inline>
              </w:drawing>
            </w:r>
          </w:p>
        </w:tc>
        <w:tc>
          <w:tcPr>
            <w:tcW w:w="8709" w:type="dxa"/>
            <w:shd w:val="clear" w:color="auto" w:fill="FFFFFF" w:themeFill="background1"/>
            <w:vAlign w:val="center"/>
          </w:tcPr>
          <w:p w14:paraId="1D3EDD4E" w14:textId="1A154009" w:rsidR="000B74AE" w:rsidRDefault="000B74AE" w:rsidP="00AD1763">
            <w:pPr>
              <w:pStyle w:val="CERnumbering"/>
              <w:spacing w:before="80" w:after="80"/>
            </w:pPr>
            <w:r>
              <w:t xml:space="preserve">Register your project with the </w:t>
            </w:r>
            <w:r w:rsidR="00986BF7">
              <w:t>Emissions Reduction Fund</w:t>
            </w:r>
            <w:r>
              <w:t>.</w:t>
            </w:r>
          </w:p>
        </w:tc>
      </w:tr>
      <w:tr w:rsidR="000B74AE" w14:paraId="0C2C0F98" w14:textId="77777777" w:rsidTr="20F7574B">
        <w:tc>
          <w:tcPr>
            <w:tcW w:w="1031" w:type="dxa"/>
            <w:shd w:val="clear" w:color="auto" w:fill="FFFFFF" w:themeFill="background1"/>
            <w:vAlign w:val="center"/>
          </w:tcPr>
          <w:p w14:paraId="58016DE9" w14:textId="77777777" w:rsidR="000B74AE" w:rsidRDefault="000B74AE" w:rsidP="00AD1763">
            <w:pPr>
              <w:spacing w:before="120" w:after="120"/>
              <w:jc w:val="center"/>
            </w:pPr>
            <w:r>
              <w:rPr>
                <w:noProof/>
              </w:rPr>
              <w:drawing>
                <wp:inline distT="0" distB="0" distL="0" distR="0" wp14:anchorId="49649FBA" wp14:editId="44B5F2F5">
                  <wp:extent cx="469158" cy="50482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a:ext>
                            </a:extLst>
                          </a:blip>
                          <a:stretch>
                            <a:fillRect/>
                          </a:stretch>
                        </pic:blipFill>
                        <pic:spPr>
                          <a:xfrm>
                            <a:off x="0" y="0"/>
                            <a:ext cx="469158" cy="504825"/>
                          </a:xfrm>
                          <a:prstGeom prst="rect">
                            <a:avLst/>
                          </a:prstGeom>
                        </pic:spPr>
                      </pic:pic>
                    </a:graphicData>
                  </a:graphic>
                </wp:inline>
              </w:drawing>
            </w:r>
          </w:p>
        </w:tc>
        <w:tc>
          <w:tcPr>
            <w:tcW w:w="8709" w:type="dxa"/>
            <w:shd w:val="clear" w:color="auto" w:fill="FFFFFF" w:themeFill="background1"/>
            <w:vAlign w:val="center"/>
          </w:tcPr>
          <w:p w14:paraId="49E25D8F" w14:textId="77777777" w:rsidR="000B74AE" w:rsidRPr="00407734" w:rsidRDefault="000B74AE" w:rsidP="00AD1763">
            <w:pPr>
              <w:pStyle w:val="CERnumbering"/>
              <w:spacing w:before="80" w:after="80"/>
            </w:pPr>
            <w:r>
              <w:t>Run your project and deliver on project activities.</w:t>
            </w:r>
          </w:p>
        </w:tc>
      </w:tr>
      <w:tr w:rsidR="000B74AE" w14:paraId="19E05C4E" w14:textId="77777777" w:rsidTr="20F7574B">
        <w:tc>
          <w:tcPr>
            <w:tcW w:w="1031" w:type="dxa"/>
            <w:shd w:val="clear" w:color="auto" w:fill="FFFFFF" w:themeFill="background1"/>
            <w:vAlign w:val="center"/>
          </w:tcPr>
          <w:p w14:paraId="115EE921" w14:textId="77777777" w:rsidR="000B74AE" w:rsidRDefault="000B74AE" w:rsidP="00AD1763">
            <w:pPr>
              <w:spacing w:before="120" w:after="120"/>
              <w:jc w:val="center"/>
            </w:pPr>
            <w:r>
              <w:rPr>
                <w:noProof/>
              </w:rPr>
              <w:drawing>
                <wp:inline distT="0" distB="0" distL="0" distR="0" wp14:anchorId="0D68A957" wp14:editId="3947A7D1">
                  <wp:extent cx="514150" cy="448310"/>
                  <wp:effectExtent l="0" t="0" r="63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2">
                            <a:extLst>
                              <a:ext uri="{28A0092B-C50C-407E-A947-70E740481C1C}">
                                <a14:useLocalDpi xmlns:a14="http://schemas.microsoft.com/office/drawing/2010/main"/>
                              </a:ext>
                            </a:extLst>
                          </a:blip>
                          <a:stretch>
                            <a:fillRect/>
                          </a:stretch>
                        </pic:blipFill>
                        <pic:spPr>
                          <a:xfrm>
                            <a:off x="0" y="0"/>
                            <a:ext cx="514150" cy="448310"/>
                          </a:xfrm>
                          <a:prstGeom prst="rect">
                            <a:avLst/>
                          </a:prstGeom>
                        </pic:spPr>
                      </pic:pic>
                    </a:graphicData>
                  </a:graphic>
                </wp:inline>
              </w:drawing>
            </w:r>
          </w:p>
        </w:tc>
        <w:tc>
          <w:tcPr>
            <w:tcW w:w="8709" w:type="dxa"/>
            <w:shd w:val="clear" w:color="auto" w:fill="FFFFFF" w:themeFill="background1"/>
            <w:vAlign w:val="center"/>
          </w:tcPr>
          <w:p w14:paraId="01223F3B" w14:textId="64C63302" w:rsidR="000B74AE" w:rsidRDefault="000B74AE" w:rsidP="00AD1763">
            <w:pPr>
              <w:pStyle w:val="CERnumbering"/>
              <w:spacing w:before="80" w:after="80"/>
            </w:pPr>
            <w:r w:rsidRPr="00407734">
              <w:t xml:space="preserve">Report on your project and claim </w:t>
            </w:r>
            <w:r w:rsidR="009C41BD">
              <w:t>ACCUs</w:t>
            </w:r>
            <w:r>
              <w:t>.</w:t>
            </w:r>
          </w:p>
        </w:tc>
      </w:tr>
    </w:tbl>
    <w:p w14:paraId="10708AA8" w14:textId="33CEFB87" w:rsidR="00442883" w:rsidRDefault="000B74AE" w:rsidP="000B74AE">
      <w:r w:rsidRPr="007212E8">
        <w:lastRenderedPageBreak/>
        <w:t>See our website</w:t>
      </w:r>
      <w:bookmarkStart w:id="4" w:name="_Ref35002250"/>
      <w:r w:rsidRPr="007212E8">
        <w:rPr>
          <w:rStyle w:val="FootnoteReference"/>
          <w:color w:val="auto"/>
          <w:szCs w:val="22"/>
        </w:rPr>
        <w:footnoteReference w:id="2"/>
      </w:r>
      <w:bookmarkEnd w:id="4"/>
      <w:r w:rsidRPr="007212E8">
        <w:t xml:space="preserve"> for more information on selling your </w:t>
      </w:r>
      <w:r w:rsidR="009C41BD">
        <w:t xml:space="preserve">ACCUs </w:t>
      </w:r>
      <w:r w:rsidRPr="007212E8">
        <w:t>to the</w:t>
      </w:r>
      <w:r w:rsidR="00EE1897">
        <w:t xml:space="preserve"> Australian</w:t>
      </w:r>
      <w:r w:rsidRPr="007212E8">
        <w:t xml:space="preserve"> </w:t>
      </w:r>
      <w:r w:rsidR="00EE1897">
        <w:t>G</w:t>
      </w:r>
      <w:r w:rsidRPr="007212E8">
        <w:t>overnment or other interested buyers.</w:t>
      </w:r>
    </w:p>
    <w:p w14:paraId="05253296" w14:textId="5146CA9D" w:rsidR="00442883" w:rsidRPr="007802AF" w:rsidRDefault="00442883" w:rsidP="008A692E">
      <w:pPr>
        <w:pStyle w:val="Heading2"/>
      </w:pPr>
      <w:bookmarkStart w:id="5" w:name="_Toc75442777"/>
      <w:r>
        <w:t>Carbon capture and storage projects</w:t>
      </w:r>
      <w:bookmarkEnd w:id="5"/>
    </w:p>
    <w:p w14:paraId="1027ADF1" w14:textId="72907691" w:rsidR="000F23A1" w:rsidRDefault="003035B2" w:rsidP="003C643D">
      <w:pPr>
        <w:jc w:val="both"/>
        <w:rPr>
          <w:lang w:eastAsia="en-GB"/>
        </w:rPr>
      </w:pPr>
      <w:r>
        <w:t xml:space="preserve">The Australian Government’s first </w:t>
      </w:r>
      <w:r w:rsidRPr="00764DB2">
        <w:rPr>
          <w:i/>
          <w:iCs/>
        </w:rPr>
        <w:t>Low Emissions Technology Statement –</w:t>
      </w:r>
      <w:r w:rsidR="008E1CCE">
        <w:rPr>
          <w:i/>
          <w:iCs/>
        </w:rPr>
        <w:t xml:space="preserve"> </w:t>
      </w:r>
      <w:r w:rsidRPr="00764DB2">
        <w:rPr>
          <w:i/>
          <w:iCs/>
        </w:rPr>
        <w:t>2020</w:t>
      </w:r>
      <w:r>
        <w:rPr>
          <w:rStyle w:val="FootnoteReference"/>
          <w:i/>
          <w:iCs/>
        </w:rPr>
        <w:footnoteReference w:id="3"/>
      </w:r>
      <w:r>
        <w:t xml:space="preserve"> identified carbon capture and storage </w:t>
      </w:r>
      <w:r w:rsidR="009C41BD">
        <w:t xml:space="preserve">(CCS) </w:t>
      </w:r>
      <w:r>
        <w:t xml:space="preserve">as one of Australia’s priority low emissions technologies. </w:t>
      </w:r>
      <w:r w:rsidR="00742331">
        <w:t xml:space="preserve">A </w:t>
      </w:r>
      <w:r w:rsidR="009C41BD">
        <w:t xml:space="preserve">CCS </w:t>
      </w:r>
      <w:r w:rsidR="00742331">
        <w:t xml:space="preserve">project </w:t>
      </w:r>
      <w:r w:rsidR="00864F87">
        <w:t>captures</w:t>
      </w:r>
      <w:r w:rsidR="00593C04">
        <w:t xml:space="preserve"> </w:t>
      </w:r>
      <w:r w:rsidR="00B7219F">
        <w:t>greenhouse gas emissions</w:t>
      </w:r>
      <w:r w:rsidR="006B3625">
        <w:rPr>
          <w:rStyle w:val="FootnoteReference"/>
        </w:rPr>
        <w:footnoteReference w:id="4"/>
      </w:r>
      <w:r w:rsidR="00593C04">
        <w:t xml:space="preserve"> that would </w:t>
      </w:r>
      <w:r w:rsidR="00D37D85">
        <w:t xml:space="preserve">have </w:t>
      </w:r>
      <w:r w:rsidR="000C79F8">
        <w:t xml:space="preserve">otherwise </w:t>
      </w:r>
      <w:r w:rsidR="00D37D85">
        <w:t>been released to</w:t>
      </w:r>
      <w:r w:rsidR="00AF3866">
        <w:t xml:space="preserve"> </w:t>
      </w:r>
      <w:r w:rsidR="00D37D85">
        <w:t>the atmosphere</w:t>
      </w:r>
      <w:r w:rsidR="00C41B63">
        <w:t xml:space="preserve"> </w:t>
      </w:r>
      <w:r w:rsidR="00D37D85">
        <w:t xml:space="preserve">and </w:t>
      </w:r>
      <w:r>
        <w:t>transport</w:t>
      </w:r>
      <w:r w:rsidR="0078419A">
        <w:t>s</w:t>
      </w:r>
      <w:r>
        <w:t xml:space="preserve"> </w:t>
      </w:r>
      <w:r w:rsidR="00B02841">
        <w:t>the</w:t>
      </w:r>
      <w:r w:rsidR="00B7219F">
        <w:t>m</w:t>
      </w:r>
      <w:r w:rsidR="00CC3B3C">
        <w:t xml:space="preserve"> </w:t>
      </w:r>
      <w:r>
        <w:t xml:space="preserve">for injection </w:t>
      </w:r>
      <w:r w:rsidR="007718A0">
        <w:t xml:space="preserve">into an underground </w:t>
      </w:r>
      <w:r w:rsidR="00D87795">
        <w:t xml:space="preserve">geological formation for permanent storage. </w:t>
      </w:r>
      <w:r w:rsidR="009C786C">
        <w:t xml:space="preserve">The technology </w:t>
      </w:r>
      <w:r w:rsidR="0044731F">
        <w:t xml:space="preserve">can underpin </w:t>
      </w:r>
      <w:r w:rsidR="68AAEDF3">
        <w:t>new low emissions industries</w:t>
      </w:r>
      <w:r w:rsidR="00D87795">
        <w:t xml:space="preserve"> such as </w:t>
      </w:r>
      <w:r w:rsidR="68AAEDF3">
        <w:t>hydrogen</w:t>
      </w:r>
      <w:r w:rsidR="00986BF7">
        <w:t>,</w:t>
      </w:r>
      <w:r w:rsidR="68AAEDF3">
        <w:t xml:space="preserve"> </w:t>
      </w:r>
      <w:r>
        <w:t xml:space="preserve">as well as </w:t>
      </w:r>
      <w:r w:rsidR="006B4FF7">
        <w:t xml:space="preserve">reducing emissions in hard to abate sectors such as cement production and steel </w:t>
      </w:r>
      <w:r w:rsidR="0087205B">
        <w:t xml:space="preserve">manufacture. </w:t>
      </w:r>
    </w:p>
    <w:p w14:paraId="76499209" w14:textId="7703E830" w:rsidR="00F73B20" w:rsidRPr="00BA396F" w:rsidRDefault="00F73B20" w:rsidP="00F73B20">
      <w:bookmarkStart w:id="6" w:name="_Hlk72184139"/>
      <w:r w:rsidRPr="00BA396F">
        <w:t xml:space="preserve">CCS projects are classified as emissions avoidance projects as the release of greenhouse gases to the atmosphere from industrial facilities </w:t>
      </w:r>
      <w:r w:rsidR="00705A92">
        <w:t xml:space="preserve">or resource activities </w:t>
      </w:r>
      <w:r w:rsidR="00B75958">
        <w:t xml:space="preserve">is </w:t>
      </w:r>
      <w:r w:rsidRPr="00BA396F">
        <w:t>avoided by capturing, transporting</w:t>
      </w:r>
      <w:r w:rsidR="000F545C">
        <w:t>,</w:t>
      </w:r>
      <w:r w:rsidRPr="00BA396F">
        <w:t xml:space="preserve"> and injecting the emissions into geological formations for permanent storage</w:t>
      </w:r>
      <w:bookmarkEnd w:id="6"/>
      <w:r w:rsidRPr="00BA396F">
        <w:t xml:space="preserve">. </w:t>
      </w:r>
    </w:p>
    <w:p w14:paraId="0FB83BB8" w14:textId="6D88A205" w:rsidR="0039099A" w:rsidRDefault="00D54AED" w:rsidP="003C643D">
      <w:pPr>
        <w:jc w:val="both"/>
      </w:pPr>
      <w:r w:rsidRPr="008A692E">
        <w:t>The term ‘carbon capture</w:t>
      </w:r>
      <w:r w:rsidR="008C3E99" w:rsidRPr="008A692E">
        <w:t>,</w:t>
      </w:r>
      <w:r w:rsidRPr="008A692E">
        <w:t xml:space="preserve"> </w:t>
      </w:r>
      <w:r w:rsidR="00C6795F">
        <w:t>u</w:t>
      </w:r>
      <w:r w:rsidR="00705A92">
        <w:t>tilisation</w:t>
      </w:r>
      <w:r w:rsidR="00C6795F">
        <w:t xml:space="preserve"> and </w:t>
      </w:r>
      <w:r w:rsidRPr="008A692E">
        <w:t>storage’</w:t>
      </w:r>
      <w:r w:rsidR="00517102">
        <w:t xml:space="preserve"> (CCUS)</w:t>
      </w:r>
      <w:r w:rsidRPr="008A692E">
        <w:t xml:space="preserve"> is often applied to the use of carbon dioxide for enhanced oil recovery</w:t>
      </w:r>
      <w:r w:rsidR="00772D1D">
        <w:t>, enhanced gas recovery,</w:t>
      </w:r>
      <w:r w:rsidRPr="008A692E">
        <w:t xml:space="preserve"> and where carbon dioxide is used as an input to another production process</w:t>
      </w:r>
      <w:r w:rsidR="00772D1D">
        <w:t xml:space="preserve"> such as manufacturing concrete products</w:t>
      </w:r>
      <w:r w:rsidRPr="008A692E">
        <w:t xml:space="preserve">. These alternative uses for carbon dioxide are </w:t>
      </w:r>
      <w:r w:rsidR="00CD2975" w:rsidRPr="008A692E">
        <w:t xml:space="preserve">outside </w:t>
      </w:r>
      <w:r w:rsidRPr="008A692E">
        <w:t xml:space="preserve">the scope of </w:t>
      </w:r>
      <w:r w:rsidR="00502F55">
        <w:t xml:space="preserve">this </w:t>
      </w:r>
      <w:r w:rsidR="0044731F" w:rsidRPr="008A692E">
        <w:t xml:space="preserve">module of the </w:t>
      </w:r>
      <w:r w:rsidR="000F545C">
        <w:t xml:space="preserve">proposed </w:t>
      </w:r>
      <w:r w:rsidR="009C41BD" w:rsidRPr="008A692E">
        <w:t xml:space="preserve">CCS </w:t>
      </w:r>
      <w:r w:rsidRPr="008A692E">
        <w:t>method</w:t>
      </w:r>
      <w:r w:rsidR="00AF0B8E">
        <w:t xml:space="preserve"> </w:t>
      </w:r>
      <w:r w:rsidR="0078419A" w:rsidRPr="008A692E" w:rsidDel="00D87795">
        <w:t>being developed in 2021</w:t>
      </w:r>
      <w:r w:rsidRPr="008A692E">
        <w:t>.</w:t>
      </w:r>
      <w:r w:rsidR="00B7219F">
        <w:t xml:space="preserve"> </w:t>
      </w:r>
    </w:p>
    <w:p w14:paraId="780BCFC4" w14:textId="28AF4843" w:rsidR="00D54AED" w:rsidRPr="008A692E" w:rsidRDefault="005B07CB" w:rsidP="003C643D">
      <w:pPr>
        <w:jc w:val="both"/>
      </w:pPr>
      <w:r>
        <w:t>The</w:t>
      </w:r>
      <w:r w:rsidR="00772D1D">
        <w:t xml:space="preserve"> </w:t>
      </w:r>
      <w:r w:rsidR="00772D1D">
        <w:rPr>
          <w:i/>
          <w:iCs/>
        </w:rPr>
        <w:t xml:space="preserve">Carbon Credits (Carbon Farming Initiative) Act 2011 </w:t>
      </w:r>
      <w:r w:rsidR="00772D1D">
        <w:t>(</w:t>
      </w:r>
      <w:r>
        <w:t>CFI Act</w:t>
      </w:r>
      <w:r w:rsidR="00772D1D">
        <w:t xml:space="preserve">) </w:t>
      </w:r>
      <w:r>
        <w:t>excludes</w:t>
      </w:r>
      <w:r w:rsidR="0039099A">
        <w:t xml:space="preserve"> projects involving</w:t>
      </w:r>
      <w:r>
        <w:t xml:space="preserve"> </w:t>
      </w:r>
      <w:r w:rsidR="0039099A">
        <w:t>d</w:t>
      </w:r>
      <w:r w:rsidR="00B7219F">
        <w:t xml:space="preserve">irect </w:t>
      </w:r>
      <w:r w:rsidR="0039099A">
        <w:t>a</w:t>
      </w:r>
      <w:r w:rsidR="00B7219F">
        <w:t xml:space="preserve">ir </w:t>
      </w:r>
      <w:r w:rsidR="0039099A">
        <w:t>c</w:t>
      </w:r>
      <w:r w:rsidR="00B7219F">
        <w:t xml:space="preserve">apture </w:t>
      </w:r>
      <w:r w:rsidR="0039099A">
        <w:t xml:space="preserve">(DAC) </w:t>
      </w:r>
      <w:r>
        <w:t xml:space="preserve">from participating </w:t>
      </w:r>
      <w:r w:rsidR="0039099A">
        <w:t>in</w:t>
      </w:r>
      <w:r>
        <w:t xml:space="preserve"> the ERF as </w:t>
      </w:r>
      <w:r w:rsidR="00FE7225">
        <w:t xml:space="preserve">the technology </w:t>
      </w:r>
      <w:r>
        <w:t>do</w:t>
      </w:r>
      <w:r w:rsidR="0039099A">
        <w:t>es</w:t>
      </w:r>
      <w:r>
        <w:t xml:space="preserve"> not meet the definition of either </w:t>
      </w:r>
      <w:r w:rsidR="000C79F8">
        <w:t xml:space="preserve">an </w:t>
      </w:r>
      <w:r>
        <w:t>emissions avoidance or sequestration activit</w:t>
      </w:r>
      <w:r w:rsidR="000C79F8">
        <w:t>y</w:t>
      </w:r>
      <w:r>
        <w:t xml:space="preserve">. Further, </w:t>
      </w:r>
      <w:r w:rsidR="000C79F8">
        <w:t xml:space="preserve">abatement from a </w:t>
      </w:r>
      <w:r w:rsidR="0039099A">
        <w:t xml:space="preserve">DAC </w:t>
      </w:r>
      <w:r w:rsidR="000C79F8">
        <w:t>project</w:t>
      </w:r>
      <w:r>
        <w:t xml:space="preserve"> cannot currently be counted towards meeting Australia’s international emissions reduction</w:t>
      </w:r>
      <w:r w:rsidR="00760B03">
        <w:t xml:space="preserve"> targets</w:t>
      </w:r>
      <w:r>
        <w:t xml:space="preserve">. </w:t>
      </w:r>
      <w:r w:rsidR="00CF4DDF">
        <w:t xml:space="preserve">This means </w:t>
      </w:r>
      <w:r>
        <w:t xml:space="preserve">DAC </w:t>
      </w:r>
      <w:r w:rsidR="00072736">
        <w:t xml:space="preserve">is not </w:t>
      </w:r>
      <w:r w:rsidR="00CF4DDF">
        <w:t xml:space="preserve">an eligible technology for the purposes of </w:t>
      </w:r>
      <w:r w:rsidR="00072736">
        <w:t>th</w:t>
      </w:r>
      <w:r w:rsidR="000F545C">
        <w:t>e proposed</w:t>
      </w:r>
      <w:r w:rsidR="00072736">
        <w:t xml:space="preserve"> </w:t>
      </w:r>
      <w:r w:rsidR="0039099A">
        <w:t>CCS</w:t>
      </w:r>
      <w:r>
        <w:t xml:space="preserve"> method. </w:t>
      </w:r>
    </w:p>
    <w:p w14:paraId="00713579" w14:textId="6416CDE1" w:rsidR="00442883" w:rsidRPr="002B5431" w:rsidRDefault="00442883" w:rsidP="00E776FB">
      <w:pPr>
        <w:pStyle w:val="Heading2"/>
      </w:pPr>
      <w:bookmarkStart w:id="7" w:name="_Toc75442778"/>
      <w:r w:rsidRPr="002B5431">
        <w:t>Using this guide</w:t>
      </w:r>
      <w:bookmarkEnd w:id="7"/>
    </w:p>
    <w:p w14:paraId="5108A811" w14:textId="6BF81342" w:rsidR="00567FE5" w:rsidRDefault="00772D1D" w:rsidP="003C643D">
      <w:pPr>
        <w:jc w:val="both"/>
      </w:pPr>
      <w:r>
        <w:t>T</w:t>
      </w:r>
      <w:r w:rsidR="00D27AB3">
        <w:t xml:space="preserve">his </w:t>
      </w:r>
      <w:r w:rsidR="00442883">
        <w:t xml:space="preserve">document </w:t>
      </w:r>
      <w:r>
        <w:t xml:space="preserve">is </w:t>
      </w:r>
      <w:r w:rsidR="00442883">
        <w:t xml:space="preserve">a step-by-step guide on how to register, run and report on a </w:t>
      </w:r>
      <w:r w:rsidR="008A692E">
        <w:t>CCS</w:t>
      </w:r>
      <w:r w:rsidR="00442883">
        <w:t xml:space="preserve"> project. It</w:t>
      </w:r>
      <w:r w:rsidR="00D27AB3">
        <w:t xml:space="preserve"> </w:t>
      </w:r>
      <w:r w:rsidR="00442883">
        <w:t>support</w:t>
      </w:r>
      <w:r>
        <w:t>s</w:t>
      </w:r>
      <w:r w:rsidR="00442883">
        <w:t xml:space="preserve"> the </w:t>
      </w:r>
      <w:bookmarkStart w:id="8" w:name="_Ref22546496"/>
      <w:r w:rsidR="000F545C">
        <w:t xml:space="preserve">proposed </w:t>
      </w:r>
      <w:r w:rsidR="00725498">
        <w:t>C</w:t>
      </w:r>
      <w:r w:rsidR="009C41BD">
        <w:t xml:space="preserve">CS </w:t>
      </w:r>
      <w:r w:rsidR="000C79F8">
        <w:t>m</w:t>
      </w:r>
      <w:r w:rsidR="00725498">
        <w:t>ethod</w:t>
      </w:r>
      <w:bookmarkEnd w:id="8"/>
      <w:r w:rsidR="004B5A01">
        <w:t xml:space="preserve">, which is </w:t>
      </w:r>
      <w:r w:rsidR="00442883">
        <w:t xml:space="preserve">the legislation that </w:t>
      </w:r>
      <w:r w:rsidR="000729EE">
        <w:t xml:space="preserve">sets out the rules and process to be followed </w:t>
      </w:r>
      <w:r>
        <w:t xml:space="preserve">by </w:t>
      </w:r>
      <w:r w:rsidR="00115EC1">
        <w:t>a</w:t>
      </w:r>
      <w:r w:rsidR="0005097A">
        <w:t xml:space="preserve"> </w:t>
      </w:r>
      <w:r w:rsidR="009C41BD">
        <w:t xml:space="preserve">CCS </w:t>
      </w:r>
      <w:r w:rsidR="0005097A">
        <w:t>project</w:t>
      </w:r>
      <w:r w:rsidR="00115EC1">
        <w:t xml:space="preserve"> </w:t>
      </w:r>
      <w:r>
        <w:t xml:space="preserve">to be </w:t>
      </w:r>
      <w:r w:rsidR="0005097A">
        <w:t xml:space="preserve">eligible </w:t>
      </w:r>
      <w:r w:rsidR="00115EC1">
        <w:t xml:space="preserve">to </w:t>
      </w:r>
      <w:r w:rsidR="00D27AB3">
        <w:t xml:space="preserve">receive </w:t>
      </w:r>
      <w:r w:rsidR="0078419A">
        <w:t>ACCUs</w:t>
      </w:r>
      <w:r w:rsidR="004C08D5">
        <w:t>.</w:t>
      </w:r>
    </w:p>
    <w:p w14:paraId="54A5F43A" w14:textId="7D9739D8" w:rsidR="00CF7BFA" w:rsidRDefault="00CF7BFA" w:rsidP="00CF7BFA">
      <w:pPr>
        <w:pStyle w:val="Heading1"/>
      </w:pPr>
      <w:bookmarkStart w:id="9" w:name="_Toc75442779"/>
      <w:r>
        <w:t>P</w:t>
      </w:r>
      <w:r w:rsidRPr="00A46F65">
        <w:t xml:space="preserve">lanning </w:t>
      </w:r>
      <w:r>
        <w:t xml:space="preserve">and registering </w:t>
      </w:r>
      <w:r w:rsidRPr="00A46F65">
        <w:t xml:space="preserve">your </w:t>
      </w:r>
      <w:r>
        <w:t>ERF p</w:t>
      </w:r>
      <w:r w:rsidRPr="00A46F65">
        <w:t>roject</w:t>
      </w:r>
      <w:bookmarkEnd w:id="9"/>
    </w:p>
    <w:p w14:paraId="6215FB21" w14:textId="1C17B5CB" w:rsidR="004E3332" w:rsidRDefault="004E3332" w:rsidP="003C643D">
      <w:pPr>
        <w:jc w:val="both"/>
      </w:pPr>
      <w:r>
        <w:t xml:space="preserve">There are general requirements that need to be met to participate in the </w:t>
      </w:r>
      <w:r w:rsidR="008C3E99">
        <w:t>E</w:t>
      </w:r>
      <w:r w:rsidR="00C138E4">
        <w:t>RF</w:t>
      </w:r>
      <w:r>
        <w:t xml:space="preserve">, as well as specific </w:t>
      </w:r>
      <w:r w:rsidR="00FE219A">
        <w:t xml:space="preserve">requirements </w:t>
      </w:r>
      <w:r w:rsidR="00804853">
        <w:t>contained</w:t>
      </w:r>
      <w:r w:rsidR="00FE219A">
        <w:t xml:space="preserve"> in the </w:t>
      </w:r>
      <w:r w:rsidR="000F545C">
        <w:t xml:space="preserve">proposed </w:t>
      </w:r>
      <w:r w:rsidR="00473FE1">
        <w:t xml:space="preserve">CCS </w:t>
      </w:r>
      <w:r w:rsidR="002754DA">
        <w:t>m</w:t>
      </w:r>
      <w:r w:rsidR="00FE219A">
        <w:t>ethod</w:t>
      </w:r>
      <w:r>
        <w:t xml:space="preserve">. </w:t>
      </w:r>
    </w:p>
    <w:p w14:paraId="005003AC" w14:textId="7C8A802A" w:rsidR="004E3332" w:rsidRDefault="00936462" w:rsidP="004E3332">
      <w:pPr>
        <w:pStyle w:val="Heading2"/>
      </w:pPr>
      <w:bookmarkStart w:id="10" w:name="_Toc75442780"/>
      <w:r>
        <w:t>E</w:t>
      </w:r>
      <w:r w:rsidR="004E3332">
        <w:t>ligibility requirements</w:t>
      </w:r>
      <w:bookmarkEnd w:id="10"/>
    </w:p>
    <w:p w14:paraId="48859E15" w14:textId="77777777" w:rsidR="006036CD" w:rsidRDefault="006036CD" w:rsidP="003C643D">
      <w:pPr>
        <w:tabs>
          <w:tab w:val="left" w:pos="2840"/>
        </w:tabs>
        <w:jc w:val="both"/>
        <w:rPr>
          <w:rFonts w:asciiTheme="minorHAnsi" w:eastAsiaTheme="minorHAnsi" w:hAnsiTheme="minorHAnsi" w:cstheme="minorBidi"/>
          <w:color w:val="000000" w:themeColor="text1"/>
          <w:szCs w:val="22"/>
          <w:lang w:val="en-GB"/>
        </w:rPr>
      </w:pPr>
      <w:r>
        <w:rPr>
          <w:rFonts w:asciiTheme="minorHAnsi" w:eastAsiaTheme="minorHAnsi" w:hAnsiTheme="minorHAnsi" w:cstheme="minorBidi"/>
          <w:color w:val="000000" w:themeColor="text1"/>
          <w:szCs w:val="22"/>
          <w:lang w:val="en-GB"/>
        </w:rPr>
        <w:t>You must first register your CCS project before it can begin earning ACCUs.</w:t>
      </w:r>
    </w:p>
    <w:p w14:paraId="1211367C" w14:textId="4A93AA50" w:rsidR="00C11684" w:rsidRPr="001746D9" w:rsidRDefault="006036CD" w:rsidP="003C643D">
      <w:pPr>
        <w:tabs>
          <w:tab w:val="left" w:pos="2840"/>
        </w:tabs>
        <w:jc w:val="both"/>
        <w:rPr>
          <w:color w:val="000000" w:themeColor="text1"/>
        </w:rPr>
      </w:pPr>
      <w:r>
        <w:rPr>
          <w:rFonts w:asciiTheme="minorHAnsi" w:eastAsiaTheme="minorHAnsi" w:hAnsiTheme="minorHAnsi" w:cstheme="minorBidi"/>
          <w:color w:val="000000" w:themeColor="text1"/>
          <w:szCs w:val="22"/>
          <w:lang w:val="en-GB"/>
        </w:rPr>
        <w:lastRenderedPageBreak/>
        <w:t xml:space="preserve">Applications for an ERF </w:t>
      </w:r>
      <w:r w:rsidR="00067824" w:rsidRPr="001746D9">
        <w:rPr>
          <w:rFonts w:asciiTheme="minorHAnsi" w:eastAsiaTheme="minorHAnsi" w:hAnsiTheme="minorHAnsi" w:cstheme="minorBidi"/>
          <w:color w:val="000000" w:themeColor="text1"/>
          <w:szCs w:val="22"/>
          <w:lang w:val="en-GB"/>
        </w:rPr>
        <w:t>project must</w:t>
      </w:r>
      <w:r w:rsidR="00FC70FB" w:rsidRPr="001746D9">
        <w:rPr>
          <w:rFonts w:asciiTheme="minorHAnsi" w:eastAsiaTheme="minorHAnsi" w:hAnsiTheme="minorHAnsi" w:cstheme="minorBidi"/>
          <w:color w:val="000000" w:themeColor="text1"/>
          <w:szCs w:val="22"/>
          <w:lang w:val="en-GB"/>
        </w:rPr>
        <w:t xml:space="preserve"> </w:t>
      </w:r>
      <w:r w:rsidR="00C11684" w:rsidRPr="001746D9">
        <w:rPr>
          <w:rFonts w:asciiTheme="minorHAnsi" w:eastAsiaTheme="minorHAnsi" w:hAnsiTheme="minorHAnsi" w:cstheme="minorBidi"/>
          <w:color w:val="000000" w:themeColor="text1"/>
          <w:szCs w:val="22"/>
          <w:lang w:val="en-GB"/>
        </w:rPr>
        <w:t xml:space="preserve">satisfy </w:t>
      </w:r>
      <w:r w:rsidR="00C11684" w:rsidRPr="001746D9">
        <w:rPr>
          <w:color w:val="000000" w:themeColor="text1"/>
        </w:rPr>
        <w:t xml:space="preserve">the </w:t>
      </w:r>
      <w:r w:rsidR="00D80FF2">
        <w:rPr>
          <w:color w:val="000000" w:themeColor="text1"/>
        </w:rPr>
        <w:t xml:space="preserve">general </w:t>
      </w:r>
      <w:r w:rsidR="00C11684" w:rsidRPr="001746D9">
        <w:rPr>
          <w:color w:val="000000" w:themeColor="text1"/>
        </w:rPr>
        <w:t xml:space="preserve">requirements in </w:t>
      </w:r>
      <w:r w:rsidR="00067824" w:rsidRPr="001746D9">
        <w:rPr>
          <w:rFonts w:asciiTheme="minorHAnsi" w:eastAsiaTheme="minorHAnsi" w:hAnsiTheme="minorHAnsi" w:cstheme="minorBidi"/>
          <w:color w:val="000000" w:themeColor="text1"/>
          <w:szCs w:val="22"/>
          <w:lang w:val="en-GB"/>
        </w:rPr>
        <w:t xml:space="preserve">Section 23 of the CFI Act and Section 13 of the </w:t>
      </w:r>
      <w:r w:rsidR="000F0FB1">
        <w:rPr>
          <w:rFonts w:asciiTheme="minorHAnsi" w:eastAsiaTheme="minorHAnsi" w:hAnsiTheme="minorHAnsi" w:cstheme="minorBidi"/>
          <w:color w:val="000000" w:themeColor="text1"/>
          <w:szCs w:val="22"/>
          <w:lang w:val="en-GB"/>
        </w:rPr>
        <w:t xml:space="preserve">Carbon Credits (Carbon Farming Initiative) Rule </w:t>
      </w:r>
      <w:r w:rsidR="00FD66BD">
        <w:rPr>
          <w:rFonts w:asciiTheme="minorHAnsi" w:eastAsiaTheme="minorHAnsi" w:hAnsiTheme="minorHAnsi" w:cstheme="minorBidi"/>
          <w:color w:val="000000" w:themeColor="text1"/>
          <w:szCs w:val="22"/>
          <w:lang w:val="en-GB"/>
        </w:rPr>
        <w:t xml:space="preserve">2015 </w:t>
      </w:r>
      <w:r w:rsidR="00FD66BD" w:rsidRPr="00A92E78">
        <w:rPr>
          <w:rFonts w:asciiTheme="minorHAnsi" w:eastAsiaTheme="minorHAnsi" w:hAnsiTheme="minorHAnsi" w:cstheme="minorBidi"/>
          <w:color w:val="000000" w:themeColor="text1"/>
          <w:szCs w:val="22"/>
          <w:lang w:val="en-GB"/>
        </w:rPr>
        <w:t>(</w:t>
      </w:r>
      <w:r w:rsidR="00067824" w:rsidRPr="00A92E78">
        <w:rPr>
          <w:rFonts w:asciiTheme="minorHAnsi" w:eastAsiaTheme="minorHAnsi" w:hAnsiTheme="minorHAnsi" w:cstheme="minorBidi"/>
          <w:color w:val="000000" w:themeColor="text1"/>
          <w:szCs w:val="22"/>
          <w:lang w:val="en-GB"/>
        </w:rPr>
        <w:t>CFI Rule</w:t>
      </w:r>
      <w:r w:rsidR="00FD66BD" w:rsidRPr="00A92E78">
        <w:rPr>
          <w:rFonts w:asciiTheme="minorHAnsi" w:eastAsiaTheme="minorHAnsi" w:hAnsiTheme="minorHAnsi" w:cstheme="minorBidi"/>
          <w:color w:val="000000" w:themeColor="text1"/>
          <w:szCs w:val="22"/>
          <w:lang w:val="en-GB"/>
        </w:rPr>
        <w:t>)</w:t>
      </w:r>
      <w:r w:rsidR="00113067" w:rsidRPr="00A92E78">
        <w:rPr>
          <w:color w:val="000000" w:themeColor="text1"/>
        </w:rPr>
        <w:t>,</w:t>
      </w:r>
      <w:r w:rsidR="00113067" w:rsidRPr="001746D9">
        <w:rPr>
          <w:b/>
          <w:bCs/>
          <w:color w:val="000000" w:themeColor="text1"/>
        </w:rPr>
        <w:t xml:space="preserve"> </w:t>
      </w:r>
      <w:r w:rsidR="00113067" w:rsidRPr="001746D9">
        <w:rPr>
          <w:color w:val="000000" w:themeColor="text1"/>
        </w:rPr>
        <w:t>including</w:t>
      </w:r>
      <w:r w:rsidR="003C643D">
        <w:rPr>
          <w:rFonts w:asciiTheme="minorHAnsi" w:eastAsiaTheme="minorHAnsi" w:hAnsiTheme="minorHAnsi" w:cstheme="minorBidi"/>
          <w:color w:val="000000" w:themeColor="text1"/>
          <w:szCs w:val="22"/>
          <w:lang w:val="en-GB"/>
        </w:rPr>
        <w:t>:</w:t>
      </w:r>
    </w:p>
    <w:p w14:paraId="2B11E7C8" w14:textId="58E4F61E" w:rsidR="00936462" w:rsidRDefault="00936462" w:rsidP="003C643D">
      <w:pPr>
        <w:pStyle w:val="ListParagraph"/>
        <w:numPr>
          <w:ilvl w:val="0"/>
          <w:numId w:val="10"/>
        </w:numPr>
        <w:tabs>
          <w:tab w:val="left" w:pos="2840"/>
        </w:tabs>
        <w:spacing w:after="200" w:line="240" w:lineRule="auto"/>
        <w:ind w:left="714" w:hanging="357"/>
        <w:jc w:val="both"/>
      </w:pPr>
      <w:r w:rsidRPr="00C11684">
        <w:t>a summary of the project, including details of its location</w:t>
      </w:r>
    </w:p>
    <w:p w14:paraId="62C2B576" w14:textId="2F3B5751" w:rsidR="003C643D" w:rsidRDefault="003C643D" w:rsidP="003C643D">
      <w:pPr>
        <w:pStyle w:val="ListParagraph"/>
        <w:numPr>
          <w:ilvl w:val="0"/>
          <w:numId w:val="10"/>
        </w:numPr>
        <w:tabs>
          <w:tab w:val="left" w:pos="2840"/>
        </w:tabs>
        <w:spacing w:after="200" w:line="240" w:lineRule="auto"/>
        <w:ind w:left="714" w:hanging="357"/>
        <w:jc w:val="both"/>
      </w:pPr>
      <w:r w:rsidRPr="00936462">
        <w:t>details of the applicant</w:t>
      </w:r>
    </w:p>
    <w:p w14:paraId="129190DA" w14:textId="05DF6D16" w:rsidR="003C643D" w:rsidRDefault="003C643D" w:rsidP="003C643D">
      <w:pPr>
        <w:pStyle w:val="ListParagraph"/>
        <w:numPr>
          <w:ilvl w:val="0"/>
          <w:numId w:val="10"/>
        </w:numPr>
        <w:tabs>
          <w:tab w:val="left" w:pos="2840"/>
        </w:tabs>
        <w:spacing w:after="200" w:line="240" w:lineRule="auto"/>
        <w:ind w:left="714" w:hanging="357"/>
        <w:jc w:val="both"/>
      </w:pPr>
      <w:r>
        <w:t xml:space="preserve">details of the project’s activities that show how they are eligible under </w:t>
      </w:r>
      <w:r w:rsidRPr="00936462">
        <w:t xml:space="preserve">the </w:t>
      </w:r>
      <w:r>
        <w:t>m</w:t>
      </w:r>
      <w:r w:rsidRPr="00936462">
        <w:t>ethod</w:t>
      </w:r>
    </w:p>
    <w:p w14:paraId="67688715" w14:textId="40F0458C" w:rsidR="003C643D" w:rsidRDefault="003C643D" w:rsidP="003C643D">
      <w:pPr>
        <w:pStyle w:val="ListParagraph"/>
        <w:numPr>
          <w:ilvl w:val="0"/>
          <w:numId w:val="10"/>
        </w:numPr>
        <w:tabs>
          <w:tab w:val="left" w:pos="2840"/>
        </w:tabs>
        <w:spacing w:after="200" w:line="240" w:lineRule="auto"/>
        <w:ind w:left="714" w:hanging="357"/>
        <w:jc w:val="both"/>
      </w:pPr>
      <w:r w:rsidRPr="00936462">
        <w:t xml:space="preserve">the skills </w:t>
      </w:r>
      <w:r>
        <w:t xml:space="preserve">and expertise </w:t>
      </w:r>
      <w:r w:rsidRPr="00936462">
        <w:t>available to the applicant</w:t>
      </w:r>
      <w:r>
        <w:t xml:space="preserve"> to carry out the project</w:t>
      </w:r>
    </w:p>
    <w:p w14:paraId="5CA8D3A4" w14:textId="64B3F597" w:rsidR="003C643D" w:rsidRDefault="003C643D" w:rsidP="003C643D">
      <w:pPr>
        <w:pStyle w:val="ListParagraph"/>
        <w:numPr>
          <w:ilvl w:val="0"/>
          <w:numId w:val="10"/>
        </w:numPr>
        <w:tabs>
          <w:tab w:val="left" w:pos="2840"/>
        </w:tabs>
        <w:spacing w:after="200" w:line="240" w:lineRule="auto"/>
        <w:ind w:left="714" w:hanging="357"/>
        <w:jc w:val="both"/>
      </w:pPr>
      <w:r w:rsidRPr="00936462">
        <w:t xml:space="preserve">a description of the approvals required to undertake the project and </w:t>
      </w:r>
      <w:r w:rsidR="00FC4F71">
        <w:t xml:space="preserve">evidence of </w:t>
      </w:r>
      <w:r w:rsidRPr="00936462">
        <w:t>progress in obtaining these approvals</w:t>
      </w:r>
    </w:p>
    <w:p w14:paraId="29856C6E" w14:textId="1B659D48" w:rsidR="003C643D" w:rsidRDefault="003C643D" w:rsidP="003C643D">
      <w:pPr>
        <w:pStyle w:val="ListParagraph"/>
        <w:numPr>
          <w:ilvl w:val="0"/>
          <w:numId w:val="10"/>
        </w:numPr>
        <w:tabs>
          <w:tab w:val="left" w:pos="2840"/>
        </w:tabs>
        <w:spacing w:after="200" w:line="240" w:lineRule="auto"/>
        <w:ind w:left="714" w:hanging="357"/>
        <w:jc w:val="both"/>
      </w:pPr>
      <w:r w:rsidRPr="00936462">
        <w:t>information that shows that the applicant has the legal right to carry out the project</w:t>
      </w:r>
    </w:p>
    <w:p w14:paraId="795FD589" w14:textId="1ED6EBC2" w:rsidR="003C643D" w:rsidRDefault="003C643D" w:rsidP="003C643D">
      <w:pPr>
        <w:pStyle w:val="ListParagraph"/>
        <w:numPr>
          <w:ilvl w:val="0"/>
          <w:numId w:val="10"/>
        </w:numPr>
        <w:tabs>
          <w:tab w:val="left" w:pos="2840"/>
        </w:tabs>
        <w:spacing w:after="200" w:line="240" w:lineRule="auto"/>
        <w:ind w:left="714" w:hanging="357"/>
        <w:jc w:val="both"/>
      </w:pPr>
      <w:r w:rsidRPr="00936462">
        <w:t xml:space="preserve">an estimate of the forward abatement </w:t>
      </w:r>
      <w:r>
        <w:t xml:space="preserve">(emissions </w:t>
      </w:r>
      <w:r w:rsidR="00420805">
        <w:t>avoided</w:t>
      </w:r>
      <w:r>
        <w:t xml:space="preserve">) </w:t>
      </w:r>
      <w:r w:rsidR="00502F55">
        <w:t>resulting</w:t>
      </w:r>
      <w:r w:rsidR="00601C72">
        <w:t xml:space="preserve"> </w:t>
      </w:r>
      <w:r w:rsidRPr="00936462">
        <w:t>from the project</w:t>
      </w:r>
    </w:p>
    <w:p w14:paraId="7AB79506" w14:textId="32C62813" w:rsidR="003C643D" w:rsidRDefault="003C643D" w:rsidP="003C643D">
      <w:pPr>
        <w:pStyle w:val="ListParagraph"/>
        <w:numPr>
          <w:ilvl w:val="0"/>
          <w:numId w:val="10"/>
        </w:numPr>
        <w:tabs>
          <w:tab w:val="left" w:pos="2840"/>
        </w:tabs>
        <w:spacing w:after="200" w:line="240" w:lineRule="auto"/>
        <w:ind w:left="714" w:hanging="357"/>
        <w:jc w:val="both"/>
      </w:pPr>
      <w:r w:rsidRPr="00B6619E">
        <w:t xml:space="preserve">details of how the project meets </w:t>
      </w:r>
      <w:r>
        <w:t xml:space="preserve">the </w:t>
      </w:r>
      <w:r w:rsidRPr="00B6619E">
        <w:t>additionality requirements.</w:t>
      </w:r>
    </w:p>
    <w:p w14:paraId="26D38174" w14:textId="77BC3D40" w:rsidR="006036CD" w:rsidRDefault="006036CD" w:rsidP="004C3102">
      <w:pPr>
        <w:jc w:val="both"/>
      </w:pPr>
      <w:r>
        <w:t>The project must be carried out entirely in Australia</w:t>
      </w:r>
      <w:r w:rsidR="00F62023">
        <w:rPr>
          <w:rStyle w:val="FootnoteReference"/>
        </w:rPr>
        <w:footnoteReference w:id="5"/>
      </w:r>
      <w:r>
        <w:t>.</w:t>
      </w:r>
      <w:r w:rsidR="0045323E">
        <w:t xml:space="preserve"> This includes all relevant infrastructure within the project, including capture facilities, pipelines and the storage site or sites</w:t>
      </w:r>
      <w:r w:rsidR="00C05672">
        <w:t>.</w:t>
      </w:r>
      <w:r>
        <w:t xml:space="preserve"> </w:t>
      </w:r>
    </w:p>
    <w:p w14:paraId="18A9996E" w14:textId="1B1A0414" w:rsidR="005137DC" w:rsidRPr="005137DC" w:rsidRDefault="005F5237" w:rsidP="004C3102">
      <w:pPr>
        <w:jc w:val="both"/>
      </w:pPr>
      <w:r>
        <w:t>F</w:t>
      </w:r>
      <w:r w:rsidR="004E3332">
        <w:t xml:space="preserve">or more information on </w:t>
      </w:r>
      <w:r w:rsidR="005137DC">
        <w:t xml:space="preserve">general </w:t>
      </w:r>
      <w:r w:rsidR="004E3332">
        <w:t xml:space="preserve">eligibility, visit </w:t>
      </w:r>
      <w:hyperlink r:id="rId13" w:history="1">
        <w:r w:rsidR="004E3332" w:rsidRPr="00C2448A">
          <w:rPr>
            <w:rStyle w:val="Hyperlink"/>
          </w:rPr>
          <w:t>our website</w:t>
        </w:r>
      </w:hyperlink>
      <w:r w:rsidR="004E3332">
        <w:rPr>
          <w:rStyle w:val="FootnoteReference"/>
        </w:rPr>
        <w:footnoteReference w:id="6"/>
      </w:r>
      <w:r w:rsidR="004E3332">
        <w:t>.</w:t>
      </w:r>
    </w:p>
    <w:p w14:paraId="02260F85" w14:textId="634B1743" w:rsidR="008E6A38" w:rsidRPr="008E6A38" w:rsidRDefault="006036CD" w:rsidP="00795867">
      <w:pPr>
        <w:jc w:val="both"/>
      </w:pPr>
      <w:r>
        <w:rPr>
          <w:color w:val="000000" w:themeColor="text1"/>
        </w:rPr>
        <w:t>To be a CCS project, a project</w:t>
      </w:r>
      <w:r w:rsidR="00C41B63">
        <w:rPr>
          <w:color w:val="000000" w:themeColor="text1"/>
        </w:rPr>
        <w:t xml:space="preserve"> must involve the capture and permanent storage o</w:t>
      </w:r>
      <w:r w:rsidR="00912B48">
        <w:rPr>
          <w:color w:val="000000" w:themeColor="text1"/>
        </w:rPr>
        <w:t xml:space="preserve">f </w:t>
      </w:r>
      <w:r w:rsidR="00E74788">
        <w:t>greenhouse gases</w:t>
      </w:r>
      <w:r w:rsidR="00912B48">
        <w:rPr>
          <w:color w:val="000000" w:themeColor="text1"/>
        </w:rPr>
        <w:t xml:space="preserve"> </w:t>
      </w:r>
      <w:r w:rsidR="00C41B63">
        <w:rPr>
          <w:color w:val="000000" w:themeColor="text1"/>
        </w:rPr>
        <w:t xml:space="preserve">in a geological formation. The </w:t>
      </w:r>
      <w:r w:rsidR="00E74788">
        <w:t>greenhouse gases</w:t>
      </w:r>
      <w:r w:rsidR="00C41B63">
        <w:rPr>
          <w:color w:val="000000" w:themeColor="text1"/>
        </w:rPr>
        <w:t xml:space="preserve"> can be captured from </w:t>
      </w:r>
      <w:r w:rsidR="00C50F17">
        <w:rPr>
          <w:color w:val="000000" w:themeColor="text1"/>
        </w:rPr>
        <w:t>oil and gas industry operations</w:t>
      </w:r>
      <w:r w:rsidR="00C50F17" w:rsidDel="00C50F17">
        <w:rPr>
          <w:color w:val="000000" w:themeColor="text1"/>
        </w:rPr>
        <w:t xml:space="preserve"> </w:t>
      </w:r>
      <w:r w:rsidR="00C50F17">
        <w:rPr>
          <w:color w:val="000000" w:themeColor="text1"/>
        </w:rPr>
        <w:t xml:space="preserve">or an </w:t>
      </w:r>
      <w:r w:rsidR="00C41B63">
        <w:rPr>
          <w:color w:val="000000" w:themeColor="text1"/>
        </w:rPr>
        <w:t xml:space="preserve">industrial </w:t>
      </w:r>
      <w:r w:rsidR="00C50F17">
        <w:rPr>
          <w:color w:val="000000" w:themeColor="text1"/>
        </w:rPr>
        <w:t>process such as hydrogen production as well as electricity generation.</w:t>
      </w:r>
    </w:p>
    <w:p w14:paraId="6B069360" w14:textId="6AFFC459" w:rsidR="00F54BF5" w:rsidRPr="00CC6982" w:rsidRDefault="00F54BF5" w:rsidP="00F54BF5">
      <w:pPr>
        <w:pStyle w:val="Heading3"/>
        <w:spacing w:after="200"/>
      </w:pPr>
      <w:bookmarkStart w:id="11" w:name="_Toc75442781"/>
      <w:r>
        <w:t>CCS project plan</w:t>
      </w:r>
      <w:bookmarkEnd w:id="11"/>
    </w:p>
    <w:p w14:paraId="0D136446" w14:textId="70CCAEED" w:rsidR="00D34EB5" w:rsidRDefault="00597E7D" w:rsidP="004C3102">
      <w:pPr>
        <w:spacing w:before="200"/>
        <w:jc w:val="both"/>
      </w:pPr>
      <w:r>
        <w:rPr>
          <w:color w:val="000000" w:themeColor="text1"/>
        </w:rPr>
        <w:t>I</w:t>
      </w:r>
      <w:r w:rsidR="00D165D9" w:rsidRPr="00A445C5">
        <w:rPr>
          <w:color w:val="000000" w:themeColor="text1"/>
        </w:rPr>
        <w:t>t is a</w:t>
      </w:r>
      <w:r w:rsidR="55888B55" w:rsidRPr="00A445C5">
        <w:rPr>
          <w:color w:val="000000" w:themeColor="text1"/>
        </w:rPr>
        <w:t xml:space="preserve"> </w:t>
      </w:r>
      <w:r w:rsidR="00D165D9" w:rsidRPr="00A445C5">
        <w:rPr>
          <w:color w:val="000000" w:themeColor="text1"/>
        </w:rPr>
        <w:t>requirement of the</w:t>
      </w:r>
      <w:r w:rsidR="000F545C">
        <w:rPr>
          <w:color w:val="000000" w:themeColor="text1"/>
        </w:rPr>
        <w:t xml:space="preserve"> proposed</w:t>
      </w:r>
      <w:r w:rsidR="00D165D9" w:rsidRPr="00A445C5">
        <w:rPr>
          <w:color w:val="000000" w:themeColor="text1"/>
        </w:rPr>
        <w:t xml:space="preserve"> </w:t>
      </w:r>
      <w:r w:rsidR="00A92E78">
        <w:rPr>
          <w:color w:val="000000" w:themeColor="text1"/>
        </w:rPr>
        <w:t xml:space="preserve">CCS </w:t>
      </w:r>
      <w:r w:rsidR="00F24FAA">
        <w:rPr>
          <w:color w:val="000000" w:themeColor="text1"/>
        </w:rPr>
        <w:t>m</w:t>
      </w:r>
      <w:r w:rsidR="00D165D9" w:rsidRPr="00A445C5">
        <w:rPr>
          <w:color w:val="000000" w:themeColor="text1"/>
        </w:rPr>
        <w:t>ethod that the project</w:t>
      </w:r>
      <w:r w:rsidR="0052038C">
        <w:rPr>
          <w:color w:val="000000" w:themeColor="text1"/>
        </w:rPr>
        <w:t xml:space="preserve"> p</w:t>
      </w:r>
      <w:r w:rsidR="00CB34F8">
        <w:rPr>
          <w:color w:val="000000" w:themeColor="text1"/>
        </w:rPr>
        <w:t>roponent</w:t>
      </w:r>
      <w:r w:rsidR="0052038C">
        <w:rPr>
          <w:color w:val="000000" w:themeColor="text1"/>
        </w:rPr>
        <w:t xml:space="preserve"> take reasonable steps to implement or oversee the implementation of the project</w:t>
      </w:r>
      <w:r w:rsidR="00D165D9" w:rsidRPr="00A445C5">
        <w:rPr>
          <w:color w:val="000000" w:themeColor="text1"/>
        </w:rPr>
        <w:t xml:space="preserve"> in accordance with </w:t>
      </w:r>
      <w:r w:rsidR="004D0828">
        <w:rPr>
          <w:color w:val="000000" w:themeColor="text1"/>
        </w:rPr>
        <w:t xml:space="preserve">a </w:t>
      </w:r>
      <w:r w:rsidR="008D64D3">
        <w:rPr>
          <w:b/>
          <w:bCs/>
          <w:color w:val="000000" w:themeColor="text1"/>
        </w:rPr>
        <w:t xml:space="preserve">CCS project </w:t>
      </w:r>
      <w:r w:rsidR="004D0828" w:rsidRPr="00A92E78">
        <w:rPr>
          <w:b/>
          <w:bCs/>
          <w:color w:val="000000" w:themeColor="text1"/>
        </w:rPr>
        <w:t>plan</w:t>
      </w:r>
      <w:r w:rsidR="004D0828">
        <w:rPr>
          <w:color w:val="000000" w:themeColor="text1"/>
        </w:rPr>
        <w:t xml:space="preserve">. </w:t>
      </w:r>
      <w:bookmarkStart w:id="12" w:name="_Hlk70341716"/>
      <w:r w:rsidR="0003752F">
        <w:rPr>
          <w:color w:val="000000" w:themeColor="text1"/>
        </w:rPr>
        <w:t xml:space="preserve">A </w:t>
      </w:r>
      <w:r w:rsidR="008D64D3">
        <w:rPr>
          <w:color w:val="000000" w:themeColor="text1"/>
        </w:rPr>
        <w:t xml:space="preserve">CCS project </w:t>
      </w:r>
      <w:r w:rsidR="0003752F">
        <w:rPr>
          <w:color w:val="000000" w:themeColor="text1"/>
        </w:rPr>
        <w:t>plan</w:t>
      </w:r>
      <w:r w:rsidR="00C50F17">
        <w:rPr>
          <w:color w:val="000000" w:themeColor="text1"/>
        </w:rPr>
        <w:t>’s purpose is to</w:t>
      </w:r>
      <w:r w:rsidR="0003752F">
        <w:rPr>
          <w:color w:val="000000" w:themeColor="text1"/>
        </w:rPr>
        <w:t xml:space="preserve"> </w:t>
      </w:r>
      <w:r w:rsidR="00C50F17">
        <w:rPr>
          <w:color w:val="000000" w:themeColor="text1"/>
        </w:rPr>
        <w:t xml:space="preserve">outline </w:t>
      </w:r>
      <w:r w:rsidR="00693E01">
        <w:rPr>
          <w:color w:val="000000" w:themeColor="text1"/>
        </w:rPr>
        <w:t xml:space="preserve">how the project will </w:t>
      </w:r>
      <w:r w:rsidR="00C50F17">
        <w:rPr>
          <w:color w:val="000000" w:themeColor="text1"/>
        </w:rPr>
        <w:t xml:space="preserve">be </w:t>
      </w:r>
      <w:r w:rsidR="00693E01">
        <w:rPr>
          <w:color w:val="000000" w:themeColor="text1"/>
        </w:rPr>
        <w:t>undertake</w:t>
      </w:r>
      <w:r w:rsidR="00C50F17">
        <w:rPr>
          <w:color w:val="000000" w:themeColor="text1"/>
        </w:rPr>
        <w:t>n</w:t>
      </w:r>
      <w:r w:rsidR="00C50F17" w:rsidDel="0052038C">
        <w:rPr>
          <w:color w:val="000000" w:themeColor="text1"/>
        </w:rPr>
        <w:t xml:space="preserve"> including</w:t>
      </w:r>
      <w:r w:rsidR="005F267A">
        <w:rPr>
          <w:color w:val="000000" w:themeColor="text1"/>
        </w:rPr>
        <w:t xml:space="preserve">: </w:t>
      </w:r>
      <w:r w:rsidR="00601C72">
        <w:t xml:space="preserve">all the </w:t>
      </w:r>
      <w:r w:rsidR="00C50F17">
        <w:t xml:space="preserve">project’s </w:t>
      </w:r>
      <w:r w:rsidR="00601C72">
        <w:t>capture points</w:t>
      </w:r>
      <w:r w:rsidR="0074196D">
        <w:rPr>
          <w:rStyle w:val="FootnoteReference"/>
        </w:rPr>
        <w:footnoteReference w:id="7"/>
      </w:r>
      <w:r w:rsidR="00320F05">
        <w:t>;</w:t>
      </w:r>
      <w:r w:rsidR="00502F55">
        <w:t xml:space="preserve"> </w:t>
      </w:r>
      <w:r w:rsidR="00171C84">
        <w:t>pipelines</w:t>
      </w:r>
      <w:r w:rsidR="00320F05">
        <w:t>;</w:t>
      </w:r>
      <w:r w:rsidR="00171C84">
        <w:t xml:space="preserve"> </w:t>
      </w:r>
      <w:r w:rsidR="00320F05">
        <w:t xml:space="preserve">characteristics </w:t>
      </w:r>
      <w:r w:rsidR="00171C84">
        <w:t xml:space="preserve">and </w:t>
      </w:r>
      <w:r w:rsidR="00D34EB5">
        <w:t>operation of the storage site</w:t>
      </w:r>
      <w:r w:rsidR="00320F05">
        <w:t xml:space="preserve"> </w:t>
      </w:r>
      <w:r w:rsidR="008E5F0A">
        <w:t>including</w:t>
      </w:r>
      <w:r w:rsidR="00FC4F71">
        <w:t xml:space="preserve"> monitoring and reporting activities</w:t>
      </w:r>
      <w:r w:rsidR="00320F05">
        <w:t>;</w:t>
      </w:r>
      <w:r w:rsidR="009E5A20">
        <w:t xml:space="preserve"> and how </w:t>
      </w:r>
      <w:r w:rsidR="00D34EB5">
        <w:t>the longer-term risk of reversal from the storage site</w:t>
      </w:r>
      <w:r w:rsidR="009E5A20">
        <w:t xml:space="preserve"> will be managed</w:t>
      </w:r>
      <w:r w:rsidR="00D34EB5">
        <w:t>.</w:t>
      </w:r>
      <w:r w:rsidR="00B342EA">
        <w:t xml:space="preserve"> A CCS project plan is to be lodged with the project application and should include relevant authorities or details on how those authorities will be obtained. </w:t>
      </w:r>
    </w:p>
    <w:bookmarkEnd w:id="12"/>
    <w:p w14:paraId="164CF87B" w14:textId="775FBDD2" w:rsidR="005137DC" w:rsidRDefault="005137DC" w:rsidP="004C3102">
      <w:pPr>
        <w:jc w:val="both"/>
      </w:pPr>
      <w:r w:rsidRPr="009B141D">
        <w:t xml:space="preserve">CCS projects </w:t>
      </w:r>
      <w:r w:rsidR="00171C84">
        <w:t>may</w:t>
      </w:r>
      <w:r w:rsidRPr="009B141D">
        <w:t xml:space="preserve"> be operated under one of the </w:t>
      </w:r>
      <w:r w:rsidR="00093895" w:rsidRPr="009B141D">
        <w:t xml:space="preserve">Acts listed in section </w:t>
      </w:r>
      <w:r w:rsidR="00171C84">
        <w:t>5</w:t>
      </w:r>
      <w:r w:rsidR="00093895" w:rsidRPr="009B141D">
        <w:t xml:space="preserve"> of the </w:t>
      </w:r>
      <w:r w:rsidR="000F545C">
        <w:t xml:space="preserve">proposed </w:t>
      </w:r>
      <w:r w:rsidR="00D80FF2" w:rsidRPr="009B141D">
        <w:t xml:space="preserve">CCS </w:t>
      </w:r>
      <w:r w:rsidR="00093895" w:rsidRPr="009B141D">
        <w:t>method:</w:t>
      </w:r>
    </w:p>
    <w:p w14:paraId="7AF39421" w14:textId="05EF2CF9" w:rsidR="00093895" w:rsidRPr="00453C4D" w:rsidRDefault="00093895" w:rsidP="004C3102">
      <w:pPr>
        <w:pStyle w:val="ListParagraph"/>
        <w:numPr>
          <w:ilvl w:val="0"/>
          <w:numId w:val="54"/>
        </w:numPr>
        <w:jc w:val="both"/>
        <w:rPr>
          <w:rFonts w:ascii="Calibri" w:eastAsia="Cambria" w:hAnsi="Calibri" w:cs="Calibri"/>
          <w:i/>
          <w:iCs/>
          <w:color w:val="000000"/>
          <w:szCs w:val="24"/>
          <w:lang w:val="en-AU"/>
        </w:rPr>
      </w:pPr>
      <w:r w:rsidRPr="00453C4D">
        <w:rPr>
          <w:rFonts w:ascii="Calibri" w:eastAsia="Cambria" w:hAnsi="Calibri" w:cs="Calibri"/>
          <w:i/>
          <w:iCs/>
          <w:color w:val="000000"/>
          <w:szCs w:val="24"/>
          <w:lang w:val="en-AU"/>
        </w:rPr>
        <w:t>Offshore Petroleum and Greenhouse Gas Storage Act 2006</w:t>
      </w:r>
      <w:r w:rsidR="00685C96" w:rsidRPr="00FE7225">
        <w:rPr>
          <w:rFonts w:ascii="Calibri" w:eastAsia="Cambria" w:hAnsi="Calibri" w:cs="Calibri"/>
          <w:i/>
          <w:iCs/>
          <w:color w:val="000000"/>
          <w:szCs w:val="24"/>
          <w:lang w:val="en-AU"/>
        </w:rPr>
        <w:t xml:space="preserve"> (Commonwealth)</w:t>
      </w:r>
    </w:p>
    <w:p w14:paraId="467CA7B1" w14:textId="7A28C364" w:rsidR="00F31D64" w:rsidRPr="00C316C6" w:rsidRDefault="00F31D64" w:rsidP="004C3102">
      <w:pPr>
        <w:pStyle w:val="ListParagraph"/>
        <w:numPr>
          <w:ilvl w:val="0"/>
          <w:numId w:val="54"/>
        </w:numPr>
        <w:jc w:val="both"/>
        <w:rPr>
          <w:rFonts w:ascii="Calibri" w:eastAsia="Cambria" w:hAnsi="Calibri" w:cs="Calibri"/>
          <w:i/>
          <w:iCs/>
          <w:color w:val="000000"/>
          <w:szCs w:val="24"/>
          <w:lang w:val="en-AU"/>
        </w:rPr>
      </w:pPr>
      <w:r w:rsidRPr="00453C4D">
        <w:rPr>
          <w:rFonts w:ascii="Calibri" w:eastAsia="Cambria" w:hAnsi="Calibri" w:cs="Calibri"/>
          <w:i/>
          <w:iCs/>
          <w:color w:val="000000"/>
          <w:szCs w:val="24"/>
          <w:lang w:val="en-AU"/>
        </w:rPr>
        <w:t xml:space="preserve">Greenhouse Gas Geological Sequestration Act 2008 </w:t>
      </w:r>
      <w:r w:rsidRPr="00C316C6">
        <w:rPr>
          <w:rFonts w:ascii="Calibri" w:eastAsia="Cambria" w:hAnsi="Calibri" w:cs="Calibri"/>
          <w:i/>
          <w:iCs/>
          <w:color w:val="000000"/>
          <w:szCs w:val="24"/>
          <w:lang w:val="en-AU"/>
        </w:rPr>
        <w:t>(Vic</w:t>
      </w:r>
      <w:r w:rsidR="00C316C6" w:rsidRPr="00C316C6">
        <w:rPr>
          <w:rFonts w:ascii="Calibri" w:eastAsia="Cambria" w:hAnsi="Calibri" w:cs="Calibri"/>
          <w:i/>
          <w:iCs/>
          <w:color w:val="000000"/>
          <w:szCs w:val="24"/>
          <w:lang w:val="en-AU"/>
        </w:rPr>
        <w:t>toria</w:t>
      </w:r>
      <w:r w:rsidRPr="00C316C6">
        <w:rPr>
          <w:rFonts w:ascii="Calibri" w:eastAsia="Cambria" w:hAnsi="Calibri" w:cs="Calibri"/>
          <w:i/>
          <w:iCs/>
          <w:color w:val="000000"/>
          <w:szCs w:val="24"/>
          <w:lang w:val="en-AU"/>
        </w:rPr>
        <w:t>)</w:t>
      </w:r>
    </w:p>
    <w:p w14:paraId="3D67C547" w14:textId="7DCF0C08" w:rsidR="00F31D64" w:rsidRPr="00453C4D" w:rsidRDefault="00F31D64" w:rsidP="004C3102">
      <w:pPr>
        <w:pStyle w:val="ListParagraph"/>
        <w:numPr>
          <w:ilvl w:val="0"/>
          <w:numId w:val="54"/>
        </w:numPr>
        <w:jc w:val="both"/>
        <w:rPr>
          <w:rFonts w:ascii="Calibri" w:eastAsia="Cambria" w:hAnsi="Calibri" w:cs="Calibri"/>
          <w:i/>
          <w:iCs/>
          <w:color w:val="000000"/>
          <w:szCs w:val="24"/>
          <w:lang w:val="en-AU"/>
        </w:rPr>
      </w:pPr>
      <w:r w:rsidRPr="00453C4D">
        <w:rPr>
          <w:rFonts w:ascii="Calibri" w:eastAsia="Cambria" w:hAnsi="Calibri" w:cs="Calibri"/>
          <w:i/>
          <w:iCs/>
          <w:color w:val="000000"/>
          <w:szCs w:val="24"/>
          <w:lang w:val="en-AU"/>
        </w:rPr>
        <w:t xml:space="preserve">Offshore Petroleum and Greenhouse Gas Storage Act 2010 </w:t>
      </w:r>
      <w:r w:rsidRPr="00C316C6">
        <w:rPr>
          <w:rFonts w:ascii="Calibri" w:eastAsia="Cambria" w:hAnsi="Calibri" w:cs="Calibri"/>
          <w:i/>
          <w:iCs/>
          <w:color w:val="000000"/>
          <w:szCs w:val="24"/>
          <w:lang w:val="en-AU"/>
        </w:rPr>
        <w:t>(Vic</w:t>
      </w:r>
      <w:r w:rsidR="00C316C6" w:rsidRPr="00C316C6">
        <w:rPr>
          <w:rFonts w:ascii="Calibri" w:eastAsia="Cambria" w:hAnsi="Calibri" w:cs="Calibri"/>
          <w:i/>
          <w:iCs/>
          <w:color w:val="000000"/>
          <w:szCs w:val="24"/>
          <w:lang w:val="en-AU"/>
        </w:rPr>
        <w:t>toria</w:t>
      </w:r>
      <w:r w:rsidRPr="00C316C6">
        <w:rPr>
          <w:rFonts w:ascii="Calibri" w:eastAsia="Cambria" w:hAnsi="Calibri" w:cs="Calibri"/>
          <w:i/>
          <w:iCs/>
          <w:color w:val="000000"/>
          <w:szCs w:val="24"/>
          <w:lang w:val="en-AU"/>
        </w:rPr>
        <w:t>)</w:t>
      </w:r>
    </w:p>
    <w:p w14:paraId="56C6E151" w14:textId="5CA31B97" w:rsidR="00F31D64" w:rsidRPr="00C316C6" w:rsidRDefault="00F31D64" w:rsidP="004C3102">
      <w:pPr>
        <w:pStyle w:val="ListParagraph"/>
        <w:numPr>
          <w:ilvl w:val="0"/>
          <w:numId w:val="54"/>
        </w:numPr>
        <w:jc w:val="both"/>
        <w:rPr>
          <w:rFonts w:ascii="Calibri" w:eastAsia="Cambria" w:hAnsi="Calibri" w:cs="Calibri"/>
          <w:i/>
          <w:iCs/>
          <w:color w:val="000000"/>
          <w:szCs w:val="24"/>
          <w:lang w:val="en-AU"/>
        </w:rPr>
      </w:pPr>
      <w:r w:rsidRPr="00453C4D">
        <w:rPr>
          <w:rFonts w:ascii="Calibri" w:eastAsia="Cambria" w:hAnsi="Calibri" w:cs="Calibri"/>
          <w:i/>
          <w:iCs/>
          <w:color w:val="000000"/>
          <w:szCs w:val="24"/>
          <w:lang w:val="en-AU"/>
        </w:rPr>
        <w:t xml:space="preserve">Greenhouse Gas Storage Act 2009 </w:t>
      </w:r>
      <w:r w:rsidRPr="00C316C6">
        <w:rPr>
          <w:rFonts w:ascii="Calibri" w:eastAsia="Cambria" w:hAnsi="Calibri" w:cs="Calibri"/>
          <w:i/>
          <w:iCs/>
          <w:color w:val="000000"/>
          <w:szCs w:val="24"/>
          <w:lang w:val="en-AU"/>
        </w:rPr>
        <w:t>(Q</w:t>
      </w:r>
      <w:r w:rsidR="00C316C6" w:rsidRPr="00C316C6">
        <w:rPr>
          <w:rFonts w:ascii="Calibri" w:eastAsia="Cambria" w:hAnsi="Calibri" w:cs="Calibri"/>
          <w:i/>
          <w:iCs/>
          <w:color w:val="000000"/>
          <w:szCs w:val="24"/>
          <w:lang w:val="en-AU"/>
        </w:rPr>
        <w:t>ueensland</w:t>
      </w:r>
      <w:r w:rsidRPr="00C316C6">
        <w:rPr>
          <w:rFonts w:ascii="Calibri" w:eastAsia="Cambria" w:hAnsi="Calibri" w:cs="Calibri"/>
          <w:i/>
          <w:iCs/>
          <w:color w:val="000000"/>
          <w:szCs w:val="24"/>
          <w:lang w:val="en-AU"/>
        </w:rPr>
        <w:t>)</w:t>
      </w:r>
    </w:p>
    <w:p w14:paraId="69BFF603" w14:textId="78664B1D" w:rsidR="00F31D64" w:rsidRPr="00453C4D" w:rsidRDefault="00F31D64" w:rsidP="004C3102">
      <w:pPr>
        <w:pStyle w:val="ListParagraph"/>
        <w:numPr>
          <w:ilvl w:val="0"/>
          <w:numId w:val="54"/>
        </w:numPr>
        <w:jc w:val="both"/>
        <w:rPr>
          <w:rFonts w:ascii="Calibri" w:eastAsia="Cambria" w:hAnsi="Calibri" w:cs="Calibri"/>
          <w:i/>
          <w:iCs/>
          <w:color w:val="000000"/>
          <w:szCs w:val="24"/>
          <w:lang w:val="en-AU"/>
        </w:rPr>
      </w:pPr>
      <w:r w:rsidRPr="00453C4D">
        <w:rPr>
          <w:rFonts w:ascii="Calibri" w:eastAsia="Cambria" w:hAnsi="Calibri" w:cs="Calibri"/>
          <w:i/>
          <w:iCs/>
          <w:color w:val="000000"/>
          <w:szCs w:val="24"/>
          <w:lang w:val="en-AU"/>
        </w:rPr>
        <w:t xml:space="preserve">Petroleum and Geothermal Energy Act 2000 </w:t>
      </w:r>
      <w:r w:rsidRPr="00C316C6">
        <w:rPr>
          <w:rFonts w:ascii="Calibri" w:eastAsia="Cambria" w:hAnsi="Calibri" w:cs="Calibri"/>
          <w:i/>
          <w:iCs/>
          <w:color w:val="000000"/>
          <w:szCs w:val="24"/>
          <w:lang w:val="en-AU"/>
        </w:rPr>
        <w:t>(S</w:t>
      </w:r>
      <w:r w:rsidR="00C316C6" w:rsidRPr="00C316C6">
        <w:rPr>
          <w:rFonts w:ascii="Calibri" w:eastAsia="Cambria" w:hAnsi="Calibri" w:cs="Calibri"/>
          <w:i/>
          <w:iCs/>
          <w:color w:val="000000"/>
          <w:szCs w:val="24"/>
          <w:lang w:val="en-AU"/>
        </w:rPr>
        <w:t>outh Australia</w:t>
      </w:r>
      <w:r w:rsidRPr="00C316C6">
        <w:rPr>
          <w:rFonts w:ascii="Calibri" w:eastAsia="Cambria" w:hAnsi="Calibri" w:cs="Calibri"/>
          <w:i/>
          <w:iCs/>
          <w:color w:val="000000"/>
          <w:szCs w:val="24"/>
          <w:lang w:val="en-AU"/>
        </w:rPr>
        <w:t>)</w:t>
      </w:r>
    </w:p>
    <w:p w14:paraId="50CC0997" w14:textId="3CE5B38A" w:rsidR="00F31D64" w:rsidRDefault="00171C84" w:rsidP="004C3102">
      <w:pPr>
        <w:jc w:val="both"/>
      </w:pPr>
      <w:r>
        <w:t xml:space="preserve">A CCS </w:t>
      </w:r>
      <w:r w:rsidDel="004170E1">
        <w:t xml:space="preserve">project </w:t>
      </w:r>
      <w:r>
        <w:t>may</w:t>
      </w:r>
      <w:r w:rsidR="00FB30E2">
        <w:t xml:space="preserve"> </w:t>
      </w:r>
      <w:r>
        <w:t xml:space="preserve">be operated </w:t>
      </w:r>
      <w:r w:rsidR="00320F05">
        <w:t xml:space="preserve">in a State or Territory that does not have CCS specific </w:t>
      </w:r>
      <w:r>
        <w:t xml:space="preserve">legislation if </w:t>
      </w:r>
      <w:r w:rsidR="00320F05">
        <w:t>i</w:t>
      </w:r>
      <w:r>
        <w:t>t</w:t>
      </w:r>
      <w:r w:rsidR="00320F05">
        <w:t xml:space="preserve">s legal framework </w:t>
      </w:r>
      <w:r>
        <w:t xml:space="preserve">meets the criteria set out in </w:t>
      </w:r>
      <w:r w:rsidR="00320F05">
        <w:t xml:space="preserve">section 5 of the </w:t>
      </w:r>
      <w:r w:rsidR="000F545C">
        <w:t>proposed</w:t>
      </w:r>
      <w:r>
        <w:t xml:space="preserve"> CCS method. </w:t>
      </w:r>
      <w:r w:rsidR="00FB30E2">
        <w:t>Th</w:t>
      </w:r>
      <w:r w:rsidR="00F24FAA">
        <w:t>e</w:t>
      </w:r>
      <w:r w:rsidR="00FB30E2">
        <w:t>s</w:t>
      </w:r>
      <w:r w:rsidR="00F24FAA">
        <w:t>e</w:t>
      </w:r>
      <w:r w:rsidR="00FB30E2">
        <w:t xml:space="preserve"> criteria provide assurance around the safety and permanence of the stored greenhouse gases. </w:t>
      </w:r>
      <w:r>
        <w:t xml:space="preserve">A CCS project </w:t>
      </w:r>
      <w:r>
        <w:lastRenderedPageBreak/>
        <w:t>may</w:t>
      </w:r>
      <w:r w:rsidR="00FB30E2">
        <w:t xml:space="preserve"> </w:t>
      </w:r>
      <w:r>
        <w:t xml:space="preserve">be operated </w:t>
      </w:r>
      <w:r w:rsidR="00320F05">
        <w:t xml:space="preserve">in a State or Territory that does not have CCS specific </w:t>
      </w:r>
      <w:r>
        <w:t xml:space="preserve">legislation if </w:t>
      </w:r>
      <w:r w:rsidR="005F267A">
        <w:t>the jurisdiction’s</w:t>
      </w:r>
      <w:r w:rsidR="00320F05">
        <w:t xml:space="preserve"> legal framework </w:t>
      </w:r>
      <w:r>
        <w:t xml:space="preserve">meets the criteria set out in </w:t>
      </w:r>
      <w:r w:rsidR="00320F05">
        <w:t xml:space="preserve">section 5 of the </w:t>
      </w:r>
      <w:r w:rsidR="000F545C">
        <w:t>proposed</w:t>
      </w:r>
      <w:r>
        <w:t xml:space="preserve"> CCS method. </w:t>
      </w:r>
      <w:r w:rsidR="00FB30E2">
        <w:t>Th</w:t>
      </w:r>
      <w:r w:rsidR="00F24FAA">
        <w:t>e</w:t>
      </w:r>
      <w:r w:rsidR="00FB30E2">
        <w:t>s</w:t>
      </w:r>
      <w:r w:rsidR="00F24FAA">
        <w:t>e</w:t>
      </w:r>
      <w:r w:rsidR="00FB30E2">
        <w:t xml:space="preserve"> criteria provide assurance </w:t>
      </w:r>
      <w:r w:rsidR="005F267A">
        <w:t xml:space="preserve">that the framework is consistent with other CCS-specific legislation for regulating </w:t>
      </w:r>
      <w:r w:rsidR="00FB30E2">
        <w:t xml:space="preserve">the safety and permanence of the stored greenhouse gases. </w:t>
      </w:r>
    </w:p>
    <w:p w14:paraId="7271B1F3" w14:textId="77777777" w:rsidR="00CC6982" w:rsidRPr="00CC6982" w:rsidRDefault="00CC6982" w:rsidP="003C643D">
      <w:pPr>
        <w:pStyle w:val="Heading3"/>
        <w:spacing w:after="200"/>
      </w:pPr>
      <w:bookmarkStart w:id="13" w:name="_Toc75442782"/>
      <w:r w:rsidRPr="00CC6982">
        <w:t>Fit and proper person assessment</w:t>
      </w:r>
      <w:bookmarkEnd w:id="13"/>
    </w:p>
    <w:p w14:paraId="0EC4A93F" w14:textId="7AFD095E" w:rsidR="00CC6982" w:rsidRDefault="00CC6982" w:rsidP="009F7D6C">
      <w:pPr>
        <w:jc w:val="both"/>
      </w:pPr>
      <w:r w:rsidRPr="004E40C0">
        <w:t xml:space="preserve">You need to be recognised as a </w:t>
      </w:r>
      <w:hyperlink r:id="rId14" w:history="1">
        <w:r w:rsidRPr="00A45A5D">
          <w:rPr>
            <w:rStyle w:val="Hyperlink"/>
          </w:rPr>
          <w:t>fit and proper person</w:t>
        </w:r>
      </w:hyperlink>
      <w:r>
        <w:rPr>
          <w:rStyle w:val="FootnoteReference"/>
        </w:rPr>
        <w:footnoteReference w:id="8"/>
      </w:r>
      <w:r>
        <w:t xml:space="preserve"> for the purposes of the </w:t>
      </w:r>
      <w:r w:rsidR="00C138E4">
        <w:t>ERF</w:t>
      </w:r>
      <w:r w:rsidRPr="004E40C0">
        <w:t>. The fit and proper test involves declarations about any convictions or insolvency</w:t>
      </w:r>
      <w:r>
        <w:t xml:space="preserve"> </w:t>
      </w:r>
      <w:r w:rsidRPr="000A1ABE">
        <w:rPr>
          <w:rFonts w:asciiTheme="minorHAnsi" w:hAnsiTheme="minorHAnsi" w:cstheme="minorHAnsi"/>
        </w:rPr>
        <w:t xml:space="preserve">and whether a person has the capabilities </w:t>
      </w:r>
      <w:r w:rsidR="00E1725C">
        <w:rPr>
          <w:rFonts w:asciiTheme="minorHAnsi" w:hAnsiTheme="minorHAnsi" w:cstheme="minorHAnsi"/>
        </w:rPr>
        <w:t xml:space="preserve">needed </w:t>
      </w:r>
      <w:r w:rsidRPr="000A1ABE">
        <w:rPr>
          <w:rFonts w:asciiTheme="minorHAnsi" w:hAnsiTheme="minorHAnsi" w:cstheme="minorHAnsi"/>
        </w:rPr>
        <w:t>to run a project</w:t>
      </w:r>
      <w:r w:rsidRPr="004E40C0">
        <w:t>.</w:t>
      </w:r>
    </w:p>
    <w:p w14:paraId="3863884D" w14:textId="77777777" w:rsidR="00634686" w:rsidRDefault="00634686" w:rsidP="003C643D">
      <w:pPr>
        <w:pStyle w:val="Heading3"/>
        <w:spacing w:after="200"/>
      </w:pPr>
      <w:bookmarkStart w:id="14" w:name="_Toc75442783"/>
      <w:bookmarkStart w:id="15" w:name="_Hlk58233703"/>
      <w:r>
        <w:t>Regulatory approvals</w:t>
      </w:r>
      <w:bookmarkEnd w:id="14"/>
    </w:p>
    <w:p w14:paraId="589502B5" w14:textId="23A13CFA" w:rsidR="00F90D39" w:rsidRDefault="00634686" w:rsidP="004C3102">
      <w:pPr>
        <w:jc w:val="both"/>
      </w:pPr>
      <w:r>
        <w:t>You need to ensure you have all relevant approvals, licenses</w:t>
      </w:r>
      <w:r w:rsidR="00A92E78">
        <w:t>,</w:t>
      </w:r>
      <w:r>
        <w:t xml:space="preserve"> permits</w:t>
      </w:r>
      <w:r w:rsidR="00A92E78">
        <w:t xml:space="preserve"> or authorities</w:t>
      </w:r>
      <w:r>
        <w:t xml:space="preserve"> that are required to carry out your </w:t>
      </w:r>
      <w:r w:rsidR="00494915">
        <w:t>project</w:t>
      </w:r>
      <w:r>
        <w:t xml:space="preserve">. </w:t>
      </w:r>
    </w:p>
    <w:p w14:paraId="450C91DD" w14:textId="0A837CB3" w:rsidR="00F90D39" w:rsidRPr="00F90D39" w:rsidRDefault="00F90D39" w:rsidP="00CF26CD">
      <w:pPr>
        <w:spacing w:after="120"/>
        <w:contextualSpacing/>
        <w:jc w:val="both"/>
        <w:rPr>
          <w:color w:val="000000" w:themeColor="text1"/>
        </w:rPr>
      </w:pPr>
      <w:r w:rsidRPr="7B21090F">
        <w:rPr>
          <w:color w:val="000000" w:themeColor="text1"/>
        </w:rPr>
        <w:t xml:space="preserve">In Australia, the underground injection of </w:t>
      </w:r>
      <w:r w:rsidR="00E74788">
        <w:t>greenhouse gases</w:t>
      </w:r>
      <w:r w:rsidRPr="7B21090F">
        <w:rPr>
          <w:color w:val="000000" w:themeColor="text1"/>
        </w:rPr>
        <w:t xml:space="preserve"> for permanent storage can only be undertaken in accordance with relevant </w:t>
      </w:r>
      <w:r w:rsidR="00E36622">
        <w:rPr>
          <w:color w:val="000000" w:themeColor="text1"/>
        </w:rPr>
        <w:t>S</w:t>
      </w:r>
      <w:r w:rsidRPr="7B21090F">
        <w:rPr>
          <w:color w:val="000000" w:themeColor="text1"/>
        </w:rPr>
        <w:t>tate</w:t>
      </w:r>
      <w:r w:rsidR="000A1D49">
        <w:rPr>
          <w:color w:val="000000" w:themeColor="text1"/>
        </w:rPr>
        <w:t xml:space="preserve">, </w:t>
      </w:r>
      <w:r w:rsidR="00E36622">
        <w:rPr>
          <w:color w:val="000000" w:themeColor="text1"/>
        </w:rPr>
        <w:t>T</w:t>
      </w:r>
      <w:r w:rsidRPr="7B21090F">
        <w:rPr>
          <w:color w:val="000000" w:themeColor="text1"/>
        </w:rPr>
        <w:t>erritory</w:t>
      </w:r>
      <w:r w:rsidR="00EF181D">
        <w:rPr>
          <w:color w:val="000000" w:themeColor="text1"/>
        </w:rPr>
        <w:t>,</w:t>
      </w:r>
      <w:r w:rsidRPr="7B21090F">
        <w:rPr>
          <w:color w:val="000000" w:themeColor="text1"/>
        </w:rPr>
        <w:t xml:space="preserve"> </w:t>
      </w:r>
      <w:r w:rsidR="00572D0B">
        <w:rPr>
          <w:color w:val="000000" w:themeColor="text1"/>
        </w:rPr>
        <w:t xml:space="preserve">and </w:t>
      </w:r>
      <w:r w:rsidRPr="7B21090F">
        <w:rPr>
          <w:color w:val="000000" w:themeColor="text1"/>
        </w:rPr>
        <w:t>Commonwealth legislation</w:t>
      </w:r>
      <w:r w:rsidR="00A92E78">
        <w:rPr>
          <w:color w:val="000000" w:themeColor="text1"/>
        </w:rPr>
        <w:t xml:space="preserve">. </w:t>
      </w:r>
      <w:r w:rsidRPr="7B21090F">
        <w:rPr>
          <w:rFonts w:asciiTheme="minorHAnsi" w:eastAsiaTheme="minorEastAsia" w:hAnsiTheme="minorHAnsi" w:cstheme="minorBidi"/>
          <w:color w:val="000000" w:themeColor="text1"/>
          <w:lang w:val="en-GB"/>
        </w:rPr>
        <w:t xml:space="preserve">These laws </w:t>
      </w:r>
      <w:r w:rsidR="003C643D">
        <w:rPr>
          <w:rFonts w:asciiTheme="minorHAnsi" w:eastAsiaTheme="minorEastAsia" w:hAnsiTheme="minorHAnsi" w:cstheme="minorBidi"/>
          <w:color w:val="000000" w:themeColor="text1"/>
          <w:lang w:val="en-GB"/>
        </w:rPr>
        <w:t>include</w:t>
      </w:r>
      <w:r w:rsidRPr="7B21090F">
        <w:rPr>
          <w:rFonts w:asciiTheme="minorHAnsi" w:eastAsiaTheme="minorEastAsia" w:hAnsiTheme="minorHAnsi" w:cstheme="minorBidi"/>
          <w:color w:val="000000" w:themeColor="text1"/>
          <w:lang w:val="en-GB"/>
        </w:rPr>
        <w:t>:</w:t>
      </w:r>
    </w:p>
    <w:p w14:paraId="79B3C763" w14:textId="77777777" w:rsidR="00BD5807" w:rsidRPr="003C643D" w:rsidRDefault="00BD5807" w:rsidP="003C643D">
      <w:pPr>
        <w:pStyle w:val="ListParagraph"/>
        <w:numPr>
          <w:ilvl w:val="0"/>
          <w:numId w:val="7"/>
        </w:numPr>
        <w:spacing w:after="200" w:line="240" w:lineRule="auto"/>
        <w:ind w:left="714" w:hanging="357"/>
        <w:jc w:val="both"/>
        <w:rPr>
          <w:color w:val="000000" w:themeColor="text1"/>
        </w:rPr>
      </w:pPr>
      <w:r>
        <w:rPr>
          <w:b/>
          <w:bCs/>
          <w:color w:val="000000" w:themeColor="text1"/>
        </w:rPr>
        <w:t>CCS specific legislation</w:t>
      </w:r>
      <w:r w:rsidRPr="003C643D">
        <w:rPr>
          <w:color w:val="000000" w:themeColor="text1"/>
        </w:rPr>
        <w:t xml:space="preserve"> that regulates: </w:t>
      </w:r>
    </w:p>
    <w:p w14:paraId="0E44ACD8" w14:textId="00F5091F" w:rsidR="00F90D39" w:rsidRDefault="00764D05" w:rsidP="003C643D">
      <w:pPr>
        <w:pStyle w:val="ListParagraph"/>
        <w:numPr>
          <w:ilvl w:val="1"/>
          <w:numId w:val="7"/>
        </w:numPr>
        <w:spacing w:after="200" w:line="240" w:lineRule="auto"/>
        <w:jc w:val="both"/>
        <w:rPr>
          <w:color w:val="000000" w:themeColor="text1"/>
        </w:rPr>
      </w:pPr>
      <w:r w:rsidRPr="00BD5807">
        <w:rPr>
          <w:color w:val="000000" w:themeColor="text1"/>
        </w:rPr>
        <w:t xml:space="preserve">identifying </w:t>
      </w:r>
      <w:r w:rsidR="00F90D39" w:rsidRPr="00BD5807">
        <w:rPr>
          <w:color w:val="000000" w:themeColor="text1"/>
        </w:rPr>
        <w:t xml:space="preserve">a suitable </w:t>
      </w:r>
      <w:r w:rsidR="008C3E99" w:rsidRPr="00BD5807">
        <w:rPr>
          <w:color w:val="000000" w:themeColor="text1"/>
        </w:rPr>
        <w:t>s</w:t>
      </w:r>
      <w:r w:rsidR="00F90D39" w:rsidRPr="00BD5807">
        <w:rPr>
          <w:color w:val="000000" w:themeColor="text1"/>
        </w:rPr>
        <w:t xml:space="preserve">torage </w:t>
      </w:r>
      <w:r w:rsidR="008C3E99" w:rsidRPr="00BD5807">
        <w:rPr>
          <w:color w:val="000000" w:themeColor="text1"/>
        </w:rPr>
        <w:t>s</w:t>
      </w:r>
      <w:r w:rsidR="00F90D39" w:rsidRPr="00BD5807">
        <w:rPr>
          <w:color w:val="000000" w:themeColor="text1"/>
        </w:rPr>
        <w:t>ite</w:t>
      </w:r>
    </w:p>
    <w:p w14:paraId="536B89F5" w14:textId="18DB317D" w:rsidR="00BD5807" w:rsidRDefault="00BD5807" w:rsidP="003C643D">
      <w:pPr>
        <w:pStyle w:val="ListParagraph"/>
        <w:numPr>
          <w:ilvl w:val="1"/>
          <w:numId w:val="7"/>
        </w:numPr>
        <w:spacing w:after="200" w:line="240" w:lineRule="auto"/>
        <w:jc w:val="both"/>
        <w:rPr>
          <w:color w:val="000000" w:themeColor="text1"/>
        </w:rPr>
      </w:pPr>
      <w:r w:rsidRPr="00BF234B">
        <w:rPr>
          <w:color w:val="000000" w:themeColor="text1"/>
        </w:rPr>
        <w:t>establishing the compositional limits on and specifications for the range of gases that can be injected</w:t>
      </w:r>
    </w:p>
    <w:p w14:paraId="2C065584" w14:textId="40754237" w:rsidR="00BD5807" w:rsidRDefault="00BD5807" w:rsidP="003C643D">
      <w:pPr>
        <w:pStyle w:val="ListParagraph"/>
        <w:numPr>
          <w:ilvl w:val="1"/>
          <w:numId w:val="7"/>
        </w:numPr>
        <w:spacing w:after="200" w:line="240" w:lineRule="auto"/>
        <w:jc w:val="both"/>
        <w:rPr>
          <w:color w:val="000000" w:themeColor="text1"/>
        </w:rPr>
      </w:pPr>
      <w:r w:rsidRPr="008D1714">
        <w:rPr>
          <w:color w:val="000000" w:themeColor="text1"/>
        </w:rPr>
        <w:t>requirements for the monitoring of the site</w:t>
      </w:r>
    </w:p>
    <w:p w14:paraId="6D7A0AB3" w14:textId="0EFFF8F4" w:rsidR="00BD5807" w:rsidRDefault="00BD5807" w:rsidP="003C643D">
      <w:pPr>
        <w:pStyle w:val="ListParagraph"/>
        <w:numPr>
          <w:ilvl w:val="1"/>
          <w:numId w:val="7"/>
        </w:numPr>
        <w:spacing w:after="200" w:line="240" w:lineRule="auto"/>
        <w:jc w:val="both"/>
        <w:rPr>
          <w:color w:val="000000" w:themeColor="text1"/>
        </w:rPr>
      </w:pPr>
      <w:r w:rsidRPr="000F5915">
        <w:rPr>
          <w:color w:val="000000" w:themeColor="text1"/>
        </w:rPr>
        <w:t>site closure processes including managing longer-term residual risks and/or liabilities</w:t>
      </w:r>
    </w:p>
    <w:p w14:paraId="0CFE5035" w14:textId="3DA34C6A" w:rsidR="00BD5807" w:rsidRPr="00BD5807" w:rsidRDefault="00BD5807" w:rsidP="003C643D">
      <w:pPr>
        <w:pStyle w:val="ListParagraph"/>
        <w:numPr>
          <w:ilvl w:val="1"/>
          <w:numId w:val="7"/>
        </w:numPr>
        <w:spacing w:after="200" w:line="240" w:lineRule="auto"/>
        <w:jc w:val="both"/>
        <w:rPr>
          <w:color w:val="000000" w:themeColor="text1"/>
        </w:rPr>
      </w:pPr>
      <w:r w:rsidRPr="001E2C2D">
        <w:rPr>
          <w:color w:val="000000" w:themeColor="text1"/>
        </w:rPr>
        <w:t xml:space="preserve">regular reporting on the operations undertaken at the </w:t>
      </w:r>
      <w:r w:rsidR="003C643D">
        <w:rPr>
          <w:color w:val="000000" w:themeColor="text1"/>
        </w:rPr>
        <w:t>s</w:t>
      </w:r>
      <w:r w:rsidRPr="001E2C2D">
        <w:rPr>
          <w:color w:val="000000" w:themeColor="text1"/>
        </w:rPr>
        <w:t xml:space="preserve">torage </w:t>
      </w:r>
      <w:r w:rsidR="003C643D">
        <w:rPr>
          <w:color w:val="000000" w:themeColor="text1"/>
        </w:rPr>
        <w:t>s</w:t>
      </w:r>
      <w:r w:rsidRPr="001E2C2D">
        <w:rPr>
          <w:color w:val="000000" w:themeColor="text1"/>
        </w:rPr>
        <w:t>ite</w:t>
      </w:r>
    </w:p>
    <w:p w14:paraId="7AB3BD8E" w14:textId="1B96A2C7" w:rsidR="00BD5807" w:rsidRDefault="00BD5807" w:rsidP="003C643D">
      <w:pPr>
        <w:pStyle w:val="ListParagraph"/>
        <w:numPr>
          <w:ilvl w:val="0"/>
          <w:numId w:val="7"/>
        </w:numPr>
        <w:spacing w:after="200" w:line="240" w:lineRule="auto"/>
        <w:jc w:val="both"/>
        <w:rPr>
          <w:color w:val="000000" w:themeColor="text1"/>
        </w:rPr>
      </w:pPr>
      <w:r w:rsidRPr="00840CCE">
        <w:rPr>
          <w:b/>
          <w:bCs/>
          <w:color w:val="000000" w:themeColor="text1"/>
        </w:rPr>
        <w:t>environmental laws</w:t>
      </w:r>
      <w:r>
        <w:rPr>
          <w:color w:val="000000" w:themeColor="text1"/>
        </w:rPr>
        <w:t xml:space="preserve"> that approve the entire project, specific components of a facility or manage impacts on environmental matters</w:t>
      </w:r>
    </w:p>
    <w:p w14:paraId="7CEF6C5A" w14:textId="6A8E40D5" w:rsidR="00BD5807" w:rsidRDefault="00BD5807" w:rsidP="003C643D">
      <w:pPr>
        <w:pStyle w:val="ListParagraph"/>
        <w:numPr>
          <w:ilvl w:val="0"/>
          <w:numId w:val="7"/>
        </w:numPr>
        <w:spacing w:after="200" w:line="240" w:lineRule="auto"/>
        <w:jc w:val="both"/>
        <w:rPr>
          <w:color w:val="000000" w:themeColor="text1"/>
        </w:rPr>
      </w:pPr>
      <w:r>
        <w:rPr>
          <w:b/>
          <w:bCs/>
          <w:color w:val="000000" w:themeColor="text1"/>
        </w:rPr>
        <w:t xml:space="preserve">major project laws </w:t>
      </w:r>
      <w:r>
        <w:rPr>
          <w:color w:val="000000" w:themeColor="text1"/>
        </w:rPr>
        <w:t>that enable the central co-ordination of large-scale infrastructure projects</w:t>
      </w:r>
    </w:p>
    <w:p w14:paraId="7CEE3E1F" w14:textId="20A3CC7C" w:rsidR="00F90D39" w:rsidRDefault="00F90D39" w:rsidP="003C643D">
      <w:pPr>
        <w:pStyle w:val="ListParagraph"/>
        <w:numPr>
          <w:ilvl w:val="0"/>
          <w:numId w:val="7"/>
        </w:numPr>
        <w:spacing w:afterLines="200" w:after="480" w:line="240" w:lineRule="auto"/>
        <w:jc w:val="both"/>
        <w:rPr>
          <w:color w:val="000000" w:themeColor="text1"/>
        </w:rPr>
      </w:pPr>
      <w:r w:rsidRPr="00BA10AB">
        <w:rPr>
          <w:b/>
          <w:bCs/>
          <w:color w:val="000000" w:themeColor="text1"/>
        </w:rPr>
        <w:t>petroleum pipeline laws</w:t>
      </w:r>
      <w:r>
        <w:rPr>
          <w:color w:val="000000" w:themeColor="text1"/>
        </w:rPr>
        <w:t xml:space="preserve"> </w:t>
      </w:r>
      <w:r w:rsidR="00912258">
        <w:rPr>
          <w:color w:val="000000" w:themeColor="text1"/>
        </w:rPr>
        <w:t xml:space="preserve">as </w:t>
      </w:r>
      <w:r>
        <w:rPr>
          <w:color w:val="000000" w:themeColor="text1"/>
        </w:rPr>
        <w:t xml:space="preserve">many jurisdictions </w:t>
      </w:r>
      <w:r w:rsidR="00912258">
        <w:rPr>
          <w:color w:val="000000" w:themeColor="text1"/>
        </w:rPr>
        <w:t xml:space="preserve">regulate </w:t>
      </w:r>
      <w:r>
        <w:rPr>
          <w:color w:val="000000" w:themeColor="text1"/>
        </w:rPr>
        <w:t>carbon dioxide pipelines under petroleum pipeline laws</w:t>
      </w:r>
    </w:p>
    <w:p w14:paraId="15CA8BD3" w14:textId="4DC46E4A" w:rsidR="00F90D39" w:rsidRPr="00BA10AB" w:rsidRDefault="00BA10AB" w:rsidP="003C643D">
      <w:pPr>
        <w:pStyle w:val="ListParagraph"/>
        <w:numPr>
          <w:ilvl w:val="0"/>
          <w:numId w:val="7"/>
        </w:numPr>
        <w:spacing w:afterLines="200" w:after="480" w:line="240" w:lineRule="auto"/>
        <w:jc w:val="both"/>
        <w:rPr>
          <w:color w:val="000000" w:themeColor="text1"/>
        </w:rPr>
      </w:pPr>
      <w:r w:rsidRPr="002A4185">
        <w:rPr>
          <w:b/>
          <w:bCs/>
          <w:color w:val="000000" w:themeColor="text1"/>
        </w:rPr>
        <w:t>emissions reporting laws</w:t>
      </w:r>
      <w:r w:rsidRPr="00BA10AB">
        <w:rPr>
          <w:color w:val="000000" w:themeColor="text1"/>
        </w:rPr>
        <w:t xml:space="preserve"> including </w:t>
      </w:r>
      <w:r w:rsidR="00F90D39" w:rsidRPr="00BA10AB">
        <w:rPr>
          <w:color w:val="000000" w:themeColor="text1"/>
        </w:rPr>
        <w:t xml:space="preserve">the </w:t>
      </w:r>
      <w:r w:rsidR="00F90D39" w:rsidRPr="00BA10AB">
        <w:rPr>
          <w:i/>
          <w:iCs/>
          <w:color w:val="000000" w:themeColor="text1"/>
        </w:rPr>
        <w:t>National Greenhouse and Energy Reporting Act 2007</w:t>
      </w:r>
      <w:r w:rsidRPr="00BA10AB">
        <w:rPr>
          <w:color w:val="000000" w:themeColor="text1"/>
        </w:rPr>
        <w:t xml:space="preserve"> and </w:t>
      </w:r>
      <w:r w:rsidR="00F90D39" w:rsidRPr="00BA10AB">
        <w:rPr>
          <w:color w:val="000000" w:themeColor="text1"/>
        </w:rPr>
        <w:t xml:space="preserve">the </w:t>
      </w:r>
      <w:r w:rsidR="00F90D39" w:rsidRPr="00BA10AB">
        <w:rPr>
          <w:i/>
          <w:iCs/>
          <w:color w:val="000000" w:themeColor="text1"/>
        </w:rPr>
        <w:t>National Greenhouse and Energy Reporting (Safeguard Mechanism) Rule 2015</w:t>
      </w:r>
    </w:p>
    <w:p w14:paraId="436521BA" w14:textId="3CC510F3" w:rsidR="00F70FF3" w:rsidRPr="008F1E5C" w:rsidRDefault="00631E6C" w:rsidP="00FA5303">
      <w:pPr>
        <w:pStyle w:val="ListParagraph"/>
        <w:numPr>
          <w:ilvl w:val="0"/>
          <w:numId w:val="7"/>
        </w:numPr>
        <w:spacing w:afterLines="100" w:after="240" w:line="240" w:lineRule="auto"/>
        <w:ind w:left="714" w:hanging="357"/>
        <w:jc w:val="both"/>
        <w:rPr>
          <w:color w:val="000000" w:themeColor="text1"/>
        </w:rPr>
      </w:pPr>
      <w:r w:rsidRPr="002A4185">
        <w:rPr>
          <w:b/>
          <w:bCs/>
          <w:color w:val="000000" w:themeColor="text1"/>
        </w:rPr>
        <w:t>tenure laws</w:t>
      </w:r>
      <w:r>
        <w:rPr>
          <w:color w:val="000000" w:themeColor="text1"/>
        </w:rPr>
        <w:t xml:space="preserve"> </w:t>
      </w:r>
      <w:r w:rsidR="00840CCE">
        <w:rPr>
          <w:color w:val="000000" w:themeColor="text1"/>
        </w:rPr>
        <w:t xml:space="preserve">such as </w:t>
      </w:r>
      <w:r w:rsidR="00F70FF3">
        <w:rPr>
          <w:color w:val="000000" w:themeColor="text1"/>
        </w:rPr>
        <w:t>Native Title legislation</w:t>
      </w:r>
      <w:r>
        <w:rPr>
          <w:color w:val="000000" w:themeColor="text1"/>
        </w:rPr>
        <w:t xml:space="preserve">, </w:t>
      </w:r>
      <w:r w:rsidR="00840CCE">
        <w:rPr>
          <w:color w:val="000000" w:themeColor="text1"/>
        </w:rPr>
        <w:t>land classification, and resources</w:t>
      </w:r>
      <w:r w:rsidR="00CF26CD">
        <w:rPr>
          <w:color w:val="000000" w:themeColor="text1"/>
        </w:rPr>
        <w:t>.</w:t>
      </w:r>
    </w:p>
    <w:bookmarkEnd w:id="15"/>
    <w:p w14:paraId="5E573AC5" w14:textId="6DCD903F" w:rsidR="00F64BA6" w:rsidRDefault="00F64BA6" w:rsidP="00F64BA6">
      <w:pPr>
        <w:jc w:val="both"/>
      </w:pPr>
      <w:r>
        <w:t xml:space="preserve">The </w:t>
      </w:r>
      <w:r w:rsidR="000F545C">
        <w:t xml:space="preserve">proposed </w:t>
      </w:r>
      <w:r>
        <w:t>CCS method does not duplicate requirements governing how storage sites should be selected, operated, monitored</w:t>
      </w:r>
      <w:r w:rsidR="005712CE">
        <w:t>,</w:t>
      </w:r>
      <w:r>
        <w:t xml:space="preserve"> or closed. Rather, it </w:t>
      </w:r>
      <w:r w:rsidR="00773147">
        <w:t>builds</w:t>
      </w:r>
      <w:r>
        <w:t xml:space="preserve"> on the existing laws and regulatory frameworks.</w:t>
      </w:r>
    </w:p>
    <w:p w14:paraId="7C25CCD4" w14:textId="07A57C3A" w:rsidR="00D34EB5" w:rsidRPr="00A01A82" w:rsidRDefault="00D34EB5" w:rsidP="004C3102">
      <w:pPr>
        <w:jc w:val="both"/>
        <w:rPr>
          <w:color w:val="000000" w:themeColor="text1"/>
        </w:rPr>
      </w:pPr>
      <w:r>
        <w:t>Projects may be registered without having all regulatory approvals</w:t>
      </w:r>
      <w:r w:rsidR="00A27D68">
        <w:t>. T</w:t>
      </w:r>
      <w:r w:rsidR="005631A3">
        <w:t xml:space="preserve">hese projects are </w:t>
      </w:r>
      <w:r w:rsidR="005631A3">
        <w:rPr>
          <w:i/>
          <w:iCs/>
        </w:rPr>
        <w:t>conditionally</w:t>
      </w:r>
      <w:r w:rsidR="005631A3">
        <w:t xml:space="preserve"> declared and must ensure that all approvals are obtained </w:t>
      </w:r>
      <w:r w:rsidR="00773147">
        <w:t xml:space="preserve">before </w:t>
      </w:r>
      <w:r w:rsidR="005631A3">
        <w:t>the</w:t>
      </w:r>
      <w:r w:rsidR="001B3567">
        <w:t xml:space="preserve">y </w:t>
      </w:r>
      <w:r w:rsidR="00A27D68">
        <w:t xml:space="preserve">make a </w:t>
      </w:r>
      <w:r w:rsidR="001B3567">
        <w:t xml:space="preserve">claim </w:t>
      </w:r>
      <w:r w:rsidR="00A27D68">
        <w:t xml:space="preserve">for </w:t>
      </w:r>
      <w:r w:rsidR="001B3567">
        <w:t>ACCUs</w:t>
      </w:r>
      <w:r w:rsidR="005631A3">
        <w:t xml:space="preserve">. </w:t>
      </w:r>
    </w:p>
    <w:p w14:paraId="1FA8E43F" w14:textId="7B4B5EAF" w:rsidR="00EE5601" w:rsidRDefault="004E3332" w:rsidP="0085246F">
      <w:pPr>
        <w:pStyle w:val="Heading3"/>
        <w:spacing w:after="200"/>
      </w:pPr>
      <w:bookmarkStart w:id="16" w:name="_Toc75442784"/>
      <w:r>
        <w:t>Hold legal right</w:t>
      </w:r>
      <w:bookmarkEnd w:id="16"/>
    </w:p>
    <w:p w14:paraId="0267A651" w14:textId="147B79B7" w:rsidR="000A707E" w:rsidRDefault="0044319B" w:rsidP="00FD08AD">
      <w:pPr>
        <w:tabs>
          <w:tab w:val="left" w:pos="2840"/>
        </w:tabs>
        <w:jc w:val="both"/>
      </w:pPr>
      <w:r>
        <w:t xml:space="preserve">At the time of registering your project, you </w:t>
      </w:r>
      <w:r w:rsidR="004E3332">
        <w:t xml:space="preserve">need the legal right to </w:t>
      </w:r>
      <w:r w:rsidR="00E1365A">
        <w:t>undertake</w:t>
      </w:r>
      <w:r w:rsidR="004E3332">
        <w:t xml:space="preserve"> your project and claim </w:t>
      </w:r>
      <w:r w:rsidR="0085246F">
        <w:t>ACCUs</w:t>
      </w:r>
      <w:r w:rsidR="00B04A61">
        <w:t xml:space="preserve">. </w:t>
      </w:r>
      <w:r w:rsidR="000A707E">
        <w:t>This means you must have the legal right to carry out project activities</w:t>
      </w:r>
      <w:r w:rsidR="004B64E9">
        <w:t>.</w:t>
      </w:r>
      <w:r w:rsidR="000A707E">
        <w:t xml:space="preserve"> </w:t>
      </w:r>
    </w:p>
    <w:p w14:paraId="2C7189E6" w14:textId="13DF462F" w:rsidR="00B94E9C" w:rsidRDefault="7AC64A80" w:rsidP="00FD08AD">
      <w:pPr>
        <w:tabs>
          <w:tab w:val="left" w:pos="2840"/>
        </w:tabs>
        <w:jc w:val="both"/>
      </w:pPr>
      <w:r>
        <w:t xml:space="preserve">For a </w:t>
      </w:r>
      <w:r w:rsidR="0085246F">
        <w:t xml:space="preserve">CCS </w:t>
      </w:r>
      <w:r>
        <w:t xml:space="preserve">project, legal right </w:t>
      </w:r>
      <w:r w:rsidR="00AE7768">
        <w:t xml:space="preserve">may </w:t>
      </w:r>
      <w:r>
        <w:t xml:space="preserve">be </w:t>
      </w:r>
      <w:r w:rsidR="241298D5">
        <w:t xml:space="preserve">more </w:t>
      </w:r>
      <w:r>
        <w:t>complex</w:t>
      </w:r>
      <w:r w:rsidR="3EE4005E">
        <w:t xml:space="preserve"> than for other industrial methods</w:t>
      </w:r>
      <w:r w:rsidR="00222DF7">
        <w:t xml:space="preserve"> due to </w:t>
      </w:r>
      <w:r w:rsidR="00845425">
        <w:t xml:space="preserve">the </w:t>
      </w:r>
      <w:r w:rsidR="00B342EA">
        <w:t xml:space="preserve">potential </w:t>
      </w:r>
      <w:r w:rsidR="000A707E">
        <w:t xml:space="preserve">involvement of </w:t>
      </w:r>
      <w:r w:rsidR="00BB3270">
        <w:t xml:space="preserve">multiple </w:t>
      </w:r>
      <w:r w:rsidR="00773147">
        <w:t xml:space="preserve">parties responsible for different aspects of the </w:t>
      </w:r>
      <w:r w:rsidR="00BB3270">
        <w:t>project.</w:t>
      </w:r>
      <w:r w:rsidR="00773147">
        <w:t xml:space="preserve"> </w:t>
      </w:r>
      <w:r w:rsidR="00BB3270">
        <w:t>F</w:t>
      </w:r>
      <w:r w:rsidR="00773147">
        <w:t>or example,</w:t>
      </w:r>
      <w:r w:rsidR="00BB3270">
        <w:t xml:space="preserve"> a project may involve the capture point owner,</w:t>
      </w:r>
      <w:r w:rsidR="00773147">
        <w:t xml:space="preserve"> the pipeline operator and the injection site operator</w:t>
      </w:r>
      <w:r w:rsidR="004C4953">
        <w:t xml:space="preserve">, </w:t>
      </w:r>
      <w:r w:rsidR="00B342EA">
        <w:lastRenderedPageBreak/>
        <w:t>with the relationship between the parties being underpinned by contractual arrangements between them</w:t>
      </w:r>
      <w:r w:rsidR="00773147">
        <w:t xml:space="preserve">. </w:t>
      </w:r>
    </w:p>
    <w:p w14:paraId="0D7D65E8" w14:textId="4E80FCA3" w:rsidR="006232AE" w:rsidRDefault="00C71BCF" w:rsidP="00FD08AD">
      <w:pPr>
        <w:jc w:val="both"/>
      </w:pPr>
      <w:r>
        <w:t xml:space="preserve">You </w:t>
      </w:r>
      <w:r w:rsidR="005631A3">
        <w:t>may</w:t>
      </w:r>
      <w:r w:rsidR="00222DF7">
        <w:t xml:space="preserve"> need to provide evidence of legal right such as a written agreement </w:t>
      </w:r>
      <w:r>
        <w:t>if there are multiple parties.</w:t>
      </w:r>
    </w:p>
    <w:p w14:paraId="4546A498" w14:textId="34DC807F" w:rsidR="00F35D50" w:rsidRDefault="00F35D50" w:rsidP="00A7135D">
      <w:pPr>
        <w:pStyle w:val="Heading3"/>
        <w:spacing w:after="200"/>
        <w:rPr>
          <w:rFonts w:eastAsiaTheme="minorHAnsi"/>
          <w:lang w:val="en-GB"/>
        </w:rPr>
      </w:pPr>
      <w:bookmarkStart w:id="17" w:name="_Toc75442785"/>
      <w:r w:rsidRPr="009B141D">
        <w:rPr>
          <w:rFonts w:eastAsiaTheme="minorHAnsi"/>
          <w:lang w:val="en-GB"/>
        </w:rPr>
        <w:t xml:space="preserve">Additionality </w:t>
      </w:r>
      <w:r w:rsidR="0025354A" w:rsidRPr="009B141D">
        <w:rPr>
          <w:rFonts w:eastAsiaTheme="minorHAnsi"/>
          <w:lang w:val="en-GB"/>
        </w:rPr>
        <w:t>–</w:t>
      </w:r>
      <w:r w:rsidRPr="009B141D">
        <w:rPr>
          <w:rFonts w:eastAsiaTheme="minorHAnsi"/>
          <w:lang w:val="en-GB"/>
        </w:rPr>
        <w:t xml:space="preserve"> </w:t>
      </w:r>
      <w:r w:rsidR="0025354A" w:rsidRPr="009B141D">
        <w:rPr>
          <w:rFonts w:eastAsiaTheme="minorHAnsi"/>
          <w:lang w:val="en-GB"/>
        </w:rPr>
        <w:t>in lieu of</w:t>
      </w:r>
      <w:r w:rsidRPr="009B141D">
        <w:rPr>
          <w:rFonts w:eastAsiaTheme="minorHAnsi"/>
          <w:lang w:val="en-GB"/>
        </w:rPr>
        <w:t xml:space="preserve"> </w:t>
      </w:r>
      <w:r w:rsidR="00414BED" w:rsidRPr="009B141D">
        <w:rPr>
          <w:rFonts w:eastAsiaTheme="minorHAnsi"/>
          <w:lang w:val="en-GB"/>
        </w:rPr>
        <w:t>n</w:t>
      </w:r>
      <w:r w:rsidRPr="009B141D">
        <w:rPr>
          <w:rFonts w:eastAsiaTheme="minorHAnsi"/>
          <w:lang w:val="en-GB"/>
        </w:rPr>
        <w:t>ewness</w:t>
      </w:r>
      <w:r w:rsidR="0025354A" w:rsidRPr="009B141D">
        <w:rPr>
          <w:rFonts w:eastAsiaTheme="minorHAnsi"/>
          <w:lang w:val="en-GB"/>
        </w:rPr>
        <w:t xml:space="preserve"> provision</w:t>
      </w:r>
      <w:bookmarkEnd w:id="17"/>
    </w:p>
    <w:p w14:paraId="5216BA3E" w14:textId="08E535AA" w:rsidR="00DE52DB" w:rsidRPr="00CF26CD" w:rsidRDefault="00225966" w:rsidP="004C3102">
      <w:pPr>
        <w:jc w:val="both"/>
      </w:pPr>
      <w:r w:rsidRPr="00CF26CD">
        <w:t>For a project to be declared an eligible offset</w:t>
      </w:r>
      <w:r w:rsidR="00AC4CF8">
        <w:t>s</w:t>
      </w:r>
      <w:r w:rsidRPr="00CF26CD">
        <w:t xml:space="preserve"> project</w:t>
      </w:r>
      <w:r w:rsidR="00DE52DB" w:rsidRPr="00CF26CD">
        <w:t xml:space="preserve">, </w:t>
      </w:r>
      <w:r w:rsidR="000148CB">
        <w:t>s</w:t>
      </w:r>
      <w:r w:rsidR="00DE52DB" w:rsidRPr="00CF26CD">
        <w:t xml:space="preserve">ection 27(4A)(a) of the CFI Act requires that it ‘has not begun to be implemented’. </w:t>
      </w:r>
      <w:r w:rsidR="009E75A3" w:rsidRPr="00CF26CD">
        <w:t xml:space="preserve">However, this </w:t>
      </w:r>
      <w:r w:rsidR="003841EC">
        <w:t xml:space="preserve">may </w:t>
      </w:r>
      <w:r w:rsidR="00AC267A">
        <w:t xml:space="preserve">be difficult </w:t>
      </w:r>
      <w:r w:rsidR="009E75A3" w:rsidRPr="00CF26CD">
        <w:t xml:space="preserve">for CCS projects, which have lengthy lead times. </w:t>
      </w:r>
    </w:p>
    <w:p w14:paraId="51867686" w14:textId="46DB390A" w:rsidR="00F5617A" w:rsidRPr="00CF26CD" w:rsidRDefault="004C3102" w:rsidP="004C3102">
      <w:pPr>
        <w:jc w:val="both"/>
      </w:pPr>
      <w:r w:rsidRPr="00CF26CD">
        <w:t xml:space="preserve">To provide greater certainty </w:t>
      </w:r>
      <w:r w:rsidR="0025354A" w:rsidRPr="00CF26CD">
        <w:t xml:space="preserve">on </w:t>
      </w:r>
      <w:r w:rsidRPr="00CF26CD">
        <w:t xml:space="preserve">newness, the </w:t>
      </w:r>
      <w:r w:rsidR="00506F09">
        <w:t xml:space="preserve">proposed </w:t>
      </w:r>
      <w:r w:rsidRPr="00CF26CD">
        <w:t>CCS method includes an in</w:t>
      </w:r>
      <w:r w:rsidR="00384480" w:rsidRPr="00CF26CD">
        <w:t>-</w:t>
      </w:r>
      <w:r w:rsidRPr="00CF26CD">
        <w:t xml:space="preserve">lieu provision under </w:t>
      </w:r>
      <w:r w:rsidR="0025354A" w:rsidRPr="00CF26CD">
        <w:t>section</w:t>
      </w:r>
      <w:r w:rsidRPr="00CF26CD">
        <w:t xml:space="preserve"> 27(4A)(a)(ii) of the CFI Act to clarify that newness hinges on whether a final investment decision has been made </w:t>
      </w:r>
      <w:r w:rsidR="0025354A" w:rsidRPr="00CF26CD">
        <w:t xml:space="preserve">on </w:t>
      </w:r>
      <w:r w:rsidRPr="00CF26CD">
        <w:t xml:space="preserve">the project. </w:t>
      </w:r>
      <w:r w:rsidR="00893287" w:rsidRPr="00CF26CD">
        <w:t xml:space="preserve">This means </w:t>
      </w:r>
      <w:r w:rsidR="00066CCA" w:rsidRPr="00CF26CD">
        <w:t xml:space="preserve">a project </w:t>
      </w:r>
      <w:r w:rsidR="00AC4CF8">
        <w:t>can be</w:t>
      </w:r>
      <w:r w:rsidR="00066CCA" w:rsidRPr="00CF26CD">
        <w:t xml:space="preserve"> considered new until a final investment decision is made</w:t>
      </w:r>
      <w:r w:rsidR="00F5617A">
        <w:t xml:space="preserve"> and activities such as the following may be undertaken without breaching “newness”: </w:t>
      </w:r>
    </w:p>
    <w:p w14:paraId="11226934" w14:textId="3D97791A" w:rsidR="00E21643" w:rsidRPr="0013357F" w:rsidRDefault="009320E1" w:rsidP="000A707E">
      <w:pPr>
        <w:pStyle w:val="ListParagraph"/>
        <w:numPr>
          <w:ilvl w:val="0"/>
          <w:numId w:val="7"/>
        </w:numPr>
        <w:spacing w:afterLines="100" w:after="240" w:line="240" w:lineRule="auto"/>
        <w:ind w:left="714" w:hanging="357"/>
        <w:jc w:val="both"/>
      </w:pPr>
      <w:r>
        <w:t>i</w:t>
      </w:r>
      <w:r w:rsidR="00E21643">
        <w:t>dentifying</w:t>
      </w:r>
      <w:r w:rsidR="00E21643" w:rsidRPr="0013357F">
        <w:t xml:space="preserve"> and </w:t>
      </w:r>
      <w:r w:rsidR="00E21643">
        <w:t xml:space="preserve">assessing </w:t>
      </w:r>
      <w:r w:rsidR="00E21643" w:rsidRPr="0013357F">
        <w:t>a</w:t>
      </w:r>
      <w:r w:rsidR="00E21643">
        <w:t xml:space="preserve"> </w:t>
      </w:r>
      <w:r w:rsidR="00E21643" w:rsidRPr="00A7135D">
        <w:t>storage site</w:t>
      </w:r>
      <w:r w:rsidR="00E21643" w:rsidRPr="0013357F">
        <w:t xml:space="preserve"> </w:t>
      </w:r>
    </w:p>
    <w:p w14:paraId="702AB87E" w14:textId="39F83DDF" w:rsidR="00E21643" w:rsidRPr="0013357F" w:rsidRDefault="00E21643" w:rsidP="00CF26CD">
      <w:pPr>
        <w:pStyle w:val="ListParagraph"/>
        <w:numPr>
          <w:ilvl w:val="0"/>
          <w:numId w:val="7"/>
        </w:numPr>
        <w:spacing w:afterLines="100" w:after="240" w:line="240" w:lineRule="auto"/>
        <w:ind w:left="714" w:hanging="357"/>
        <w:jc w:val="both"/>
      </w:pPr>
      <w:r w:rsidRPr="0013357F">
        <w:t>undertak</w:t>
      </w:r>
      <w:r>
        <w:t>ing</w:t>
      </w:r>
      <w:r w:rsidRPr="0013357F">
        <w:t xml:space="preserve"> any required environmental approvals under State</w:t>
      </w:r>
      <w:r>
        <w:t xml:space="preserve">, </w:t>
      </w:r>
      <w:r w:rsidRPr="0013357F">
        <w:t xml:space="preserve">Territory or Commonwealth laws </w:t>
      </w:r>
    </w:p>
    <w:p w14:paraId="31F4BA5A" w14:textId="63FAE193" w:rsidR="00E21643" w:rsidRPr="0013357F" w:rsidRDefault="00E21643" w:rsidP="00CF26CD">
      <w:pPr>
        <w:pStyle w:val="ListParagraph"/>
        <w:numPr>
          <w:ilvl w:val="0"/>
          <w:numId w:val="7"/>
        </w:numPr>
        <w:spacing w:afterLines="100" w:after="240" w:line="240" w:lineRule="auto"/>
        <w:ind w:left="714" w:hanging="357"/>
        <w:jc w:val="both"/>
      </w:pPr>
      <w:r w:rsidRPr="004911E3">
        <w:t>for hub projects,</w:t>
      </w:r>
      <w:r w:rsidRPr="0013357F">
        <w:t xml:space="preserve"> put</w:t>
      </w:r>
      <w:r>
        <w:t>ting</w:t>
      </w:r>
      <w:r w:rsidRPr="0013357F">
        <w:t xml:space="preserve"> in place the required commercial agreements that will govern the project</w:t>
      </w:r>
      <w:r w:rsidR="00C05672">
        <w:t>, contingent on the project being approved</w:t>
      </w:r>
    </w:p>
    <w:p w14:paraId="149DDCD9" w14:textId="39A32215" w:rsidR="00E21643" w:rsidRDefault="00E21643" w:rsidP="00CF26CD">
      <w:pPr>
        <w:pStyle w:val="ListParagraph"/>
        <w:numPr>
          <w:ilvl w:val="0"/>
          <w:numId w:val="7"/>
        </w:numPr>
        <w:spacing w:afterLines="100" w:after="240" w:line="240" w:lineRule="auto"/>
        <w:ind w:left="714" w:hanging="357"/>
        <w:jc w:val="both"/>
      </w:pPr>
      <w:r>
        <w:t>c</w:t>
      </w:r>
      <w:r w:rsidRPr="0013357F">
        <w:t>omplet</w:t>
      </w:r>
      <w:r>
        <w:t>ing</w:t>
      </w:r>
      <w:r w:rsidRPr="0013357F">
        <w:t xml:space="preserve"> the engineering and design for the required facilities</w:t>
      </w:r>
    </w:p>
    <w:p w14:paraId="072E359F" w14:textId="381850B8" w:rsidR="00190A5E" w:rsidRDefault="00E21643" w:rsidP="00190A5E">
      <w:pPr>
        <w:pStyle w:val="ListParagraph"/>
        <w:numPr>
          <w:ilvl w:val="0"/>
          <w:numId w:val="7"/>
        </w:numPr>
        <w:spacing w:afterLines="100" w:after="240" w:line="240" w:lineRule="auto"/>
        <w:ind w:left="714" w:hanging="357"/>
        <w:jc w:val="both"/>
      </w:pPr>
      <w:r>
        <w:t>procuring equipment.</w:t>
      </w:r>
    </w:p>
    <w:p w14:paraId="5374A5EE" w14:textId="7040BA89" w:rsidR="00530A06" w:rsidRDefault="00220DDB" w:rsidP="007265D8">
      <w:pPr>
        <w:jc w:val="both"/>
      </w:pPr>
      <w:r>
        <w:t xml:space="preserve">An ‘in-lieu of newness’ provision is </w:t>
      </w:r>
      <w:r w:rsidR="00B342EA">
        <w:t xml:space="preserve">also </w:t>
      </w:r>
      <w:r>
        <w:t xml:space="preserve">included to allow a new oil or gas field or basin to use an existing capture facility. </w:t>
      </w:r>
      <w:r w:rsidRPr="00947A3A">
        <w:t xml:space="preserve"> </w:t>
      </w:r>
    </w:p>
    <w:p w14:paraId="00D5B6B4" w14:textId="615D77FB" w:rsidR="00530A06" w:rsidRPr="00CF26CD" w:rsidRDefault="00530A06" w:rsidP="00530A06">
      <w:pPr>
        <w:jc w:val="both"/>
      </w:pPr>
      <w:r w:rsidRPr="00CF26CD">
        <w:t>Th</w:t>
      </w:r>
      <w:r>
        <w:t>ese</w:t>
      </w:r>
      <w:r w:rsidR="001F7A89">
        <w:t xml:space="preserve"> </w:t>
      </w:r>
      <w:r>
        <w:t xml:space="preserve">in lieu of newness requirements </w:t>
      </w:r>
      <w:r w:rsidRPr="00CF26CD">
        <w:t>replace the general provision under section 27(4A)(a)(i) that requires that a project has not begun to be implemented.</w:t>
      </w:r>
    </w:p>
    <w:p w14:paraId="69FB2BDF" w14:textId="77777777" w:rsidR="00565D0C" w:rsidRDefault="004C3102" w:rsidP="00970A48">
      <w:pPr>
        <w:pStyle w:val="Heading3"/>
        <w:spacing w:after="200"/>
      </w:pPr>
      <w:bookmarkStart w:id="18" w:name="_Toc75442786"/>
      <w:r>
        <w:t>A</w:t>
      </w:r>
      <w:r w:rsidR="00F35D50">
        <w:t xml:space="preserve">dditionality - </w:t>
      </w:r>
      <w:r w:rsidR="00414BED">
        <w:t>r</w:t>
      </w:r>
      <w:r w:rsidR="00540CC3">
        <w:t>egulatory</w:t>
      </w:r>
      <w:bookmarkEnd w:id="18"/>
      <w:r w:rsidR="00540CC3">
        <w:t xml:space="preserve"> </w:t>
      </w:r>
    </w:p>
    <w:p w14:paraId="1E525FA9" w14:textId="3529DF42" w:rsidR="00540CC3" w:rsidRDefault="005E04B8" w:rsidP="00ED0409">
      <w:pPr>
        <w:jc w:val="both"/>
        <w:rPr>
          <w:rFonts w:asciiTheme="minorHAnsi" w:eastAsiaTheme="minorHAnsi" w:hAnsiTheme="minorHAnsi" w:cstheme="minorBidi"/>
          <w:color w:val="000000" w:themeColor="text1"/>
          <w:szCs w:val="22"/>
          <w:lang w:val="en-GB"/>
        </w:rPr>
      </w:pPr>
      <w:r w:rsidRPr="00776BC9">
        <w:rPr>
          <w:rFonts w:asciiTheme="minorHAnsi" w:eastAsiaTheme="minorHAnsi" w:hAnsiTheme="minorHAnsi" w:cstheme="minorBidi"/>
          <w:color w:val="000000" w:themeColor="text1"/>
          <w:szCs w:val="22"/>
          <w:lang w:val="en-GB"/>
        </w:rPr>
        <w:t>For a project to be declared an eligible offset</w:t>
      </w:r>
      <w:r w:rsidR="00BB1C19">
        <w:rPr>
          <w:rFonts w:asciiTheme="minorHAnsi" w:eastAsiaTheme="minorHAnsi" w:hAnsiTheme="minorHAnsi" w:cstheme="minorBidi"/>
          <w:color w:val="000000" w:themeColor="text1"/>
          <w:szCs w:val="22"/>
          <w:lang w:val="en-GB"/>
        </w:rPr>
        <w:t xml:space="preserve">s </w:t>
      </w:r>
      <w:r w:rsidRPr="00776BC9">
        <w:rPr>
          <w:rFonts w:asciiTheme="minorHAnsi" w:eastAsiaTheme="minorHAnsi" w:hAnsiTheme="minorHAnsi" w:cstheme="minorBidi"/>
          <w:color w:val="000000" w:themeColor="text1"/>
          <w:szCs w:val="22"/>
          <w:lang w:val="en-GB"/>
        </w:rPr>
        <w:t>project</w:t>
      </w:r>
      <w:r w:rsidR="00A74B3F">
        <w:rPr>
          <w:rFonts w:asciiTheme="minorHAnsi" w:eastAsiaTheme="minorHAnsi" w:hAnsiTheme="minorHAnsi" w:cstheme="minorBidi"/>
          <w:color w:val="000000" w:themeColor="text1"/>
          <w:szCs w:val="22"/>
          <w:lang w:val="en-GB"/>
        </w:rPr>
        <w:t xml:space="preserve"> and registered under the ERF</w:t>
      </w:r>
      <w:r w:rsidRPr="00776BC9">
        <w:rPr>
          <w:rFonts w:asciiTheme="minorHAnsi" w:eastAsiaTheme="minorHAnsi" w:hAnsiTheme="minorHAnsi" w:cstheme="minorBidi"/>
          <w:color w:val="000000" w:themeColor="text1"/>
          <w:szCs w:val="22"/>
          <w:lang w:val="en-GB"/>
        </w:rPr>
        <w:t xml:space="preserve">, </w:t>
      </w:r>
      <w:r w:rsidR="0025354A">
        <w:rPr>
          <w:rFonts w:asciiTheme="minorHAnsi" w:eastAsiaTheme="minorHAnsi" w:hAnsiTheme="minorHAnsi" w:cstheme="minorBidi"/>
          <w:color w:val="000000" w:themeColor="text1"/>
          <w:szCs w:val="22"/>
          <w:lang w:val="en-GB"/>
        </w:rPr>
        <w:t>s</w:t>
      </w:r>
      <w:r w:rsidRPr="00776BC9">
        <w:rPr>
          <w:rFonts w:asciiTheme="minorHAnsi" w:eastAsiaTheme="minorHAnsi" w:hAnsiTheme="minorHAnsi" w:cstheme="minorBidi"/>
          <w:color w:val="000000" w:themeColor="text1"/>
          <w:szCs w:val="22"/>
          <w:lang w:val="en-GB"/>
        </w:rPr>
        <w:t>ection 27(4A)(</w:t>
      </w:r>
      <w:r w:rsidR="0092031B" w:rsidRPr="00776BC9">
        <w:rPr>
          <w:rFonts w:asciiTheme="minorHAnsi" w:eastAsiaTheme="minorHAnsi" w:hAnsiTheme="minorHAnsi" w:cstheme="minorBidi"/>
          <w:color w:val="000000" w:themeColor="text1"/>
          <w:szCs w:val="22"/>
          <w:lang w:val="en-GB"/>
        </w:rPr>
        <w:t>b</w:t>
      </w:r>
      <w:r w:rsidRPr="00776BC9">
        <w:rPr>
          <w:rFonts w:asciiTheme="minorHAnsi" w:eastAsiaTheme="minorHAnsi" w:hAnsiTheme="minorHAnsi" w:cstheme="minorBidi"/>
          <w:color w:val="000000" w:themeColor="text1"/>
          <w:szCs w:val="22"/>
          <w:lang w:val="en-GB"/>
        </w:rPr>
        <w:t xml:space="preserve">) of the CFI Act requires the project </w:t>
      </w:r>
      <w:r w:rsidR="009440E7" w:rsidRPr="00776BC9">
        <w:rPr>
          <w:rFonts w:asciiTheme="minorHAnsi" w:eastAsiaTheme="minorHAnsi" w:hAnsiTheme="minorHAnsi" w:cstheme="minorBidi"/>
          <w:color w:val="000000" w:themeColor="text1"/>
          <w:szCs w:val="22"/>
          <w:lang w:val="en-GB"/>
        </w:rPr>
        <w:t xml:space="preserve">is </w:t>
      </w:r>
      <w:r w:rsidRPr="00776BC9">
        <w:rPr>
          <w:rFonts w:asciiTheme="minorHAnsi" w:eastAsiaTheme="minorHAnsi" w:hAnsiTheme="minorHAnsi" w:cstheme="minorBidi"/>
          <w:color w:val="000000" w:themeColor="text1"/>
          <w:szCs w:val="22"/>
          <w:lang w:val="en-GB"/>
        </w:rPr>
        <w:t>‘</w:t>
      </w:r>
      <w:r w:rsidR="00753A77" w:rsidRPr="00776BC9">
        <w:rPr>
          <w:rFonts w:asciiTheme="minorHAnsi" w:eastAsiaTheme="minorHAnsi" w:hAnsiTheme="minorHAnsi" w:cstheme="minorBidi"/>
          <w:color w:val="000000" w:themeColor="text1"/>
          <w:szCs w:val="22"/>
          <w:lang w:val="en-GB"/>
        </w:rPr>
        <w:t>not required to be carried out by or under a law of the Commonwealth, a State or a Territory’.</w:t>
      </w:r>
    </w:p>
    <w:p w14:paraId="6163528B" w14:textId="029FFB62" w:rsidR="0054609D" w:rsidRDefault="00124D85" w:rsidP="00ED0409">
      <w:pPr>
        <w:jc w:val="both"/>
        <w:rPr>
          <w:rFonts w:asciiTheme="minorHAnsi" w:eastAsiaTheme="minorHAnsi" w:hAnsiTheme="minorHAnsi" w:cstheme="minorBidi"/>
          <w:color w:val="000000" w:themeColor="text1"/>
          <w:szCs w:val="22"/>
          <w:lang w:val="en-GB"/>
        </w:rPr>
      </w:pPr>
      <w:r>
        <w:rPr>
          <w:rFonts w:asciiTheme="minorHAnsi" w:eastAsiaTheme="minorHAnsi" w:hAnsiTheme="minorHAnsi" w:cstheme="minorBidi"/>
          <w:color w:val="000000" w:themeColor="text1"/>
          <w:szCs w:val="22"/>
          <w:lang w:val="en-GB"/>
        </w:rPr>
        <w:t xml:space="preserve">In October 2020, the Clean Energy Regulator published guidance </w:t>
      </w:r>
      <w:r w:rsidR="00AC7DBC" w:rsidRPr="0054609D">
        <w:rPr>
          <w:rFonts w:asciiTheme="minorHAnsi" w:eastAsiaTheme="minorHAnsi" w:hAnsiTheme="minorHAnsi" w:cstheme="minorBidi"/>
          <w:color w:val="000000" w:themeColor="text1"/>
          <w:szCs w:val="22"/>
          <w:lang w:val="en-GB"/>
        </w:rPr>
        <w:t xml:space="preserve">on </w:t>
      </w:r>
      <w:r w:rsidR="00AC7DBC">
        <w:rPr>
          <w:rFonts w:asciiTheme="minorHAnsi" w:eastAsiaTheme="minorHAnsi" w:hAnsiTheme="minorHAnsi" w:cstheme="minorBidi"/>
          <w:color w:val="000000" w:themeColor="text1"/>
          <w:szCs w:val="22"/>
          <w:lang w:val="en-GB"/>
        </w:rPr>
        <w:t>the</w:t>
      </w:r>
      <w:r w:rsidR="00AC7DBC" w:rsidRPr="0054609D">
        <w:rPr>
          <w:rFonts w:asciiTheme="minorHAnsi" w:eastAsiaTheme="minorHAnsi" w:hAnsiTheme="minorHAnsi" w:cstheme="minorBidi"/>
          <w:color w:val="000000" w:themeColor="text1"/>
          <w:szCs w:val="22"/>
          <w:lang w:val="en-GB"/>
        </w:rPr>
        <w:t xml:space="preserve"> approach </w:t>
      </w:r>
      <w:r w:rsidR="002D6C4B">
        <w:rPr>
          <w:rFonts w:asciiTheme="minorHAnsi" w:eastAsiaTheme="minorHAnsi" w:hAnsiTheme="minorHAnsi" w:cstheme="minorBidi"/>
          <w:color w:val="000000" w:themeColor="text1"/>
          <w:szCs w:val="22"/>
          <w:lang w:val="en-GB"/>
        </w:rPr>
        <w:t xml:space="preserve">for </w:t>
      </w:r>
      <w:r w:rsidR="00AC7DBC" w:rsidRPr="0054609D">
        <w:rPr>
          <w:rFonts w:asciiTheme="minorHAnsi" w:eastAsiaTheme="minorHAnsi" w:hAnsiTheme="minorHAnsi" w:cstheme="minorBidi"/>
          <w:color w:val="000000" w:themeColor="text1"/>
          <w:szCs w:val="22"/>
          <w:lang w:val="en-GB"/>
        </w:rPr>
        <w:t xml:space="preserve">addressing regulatory additionality where </w:t>
      </w:r>
      <w:r w:rsidR="00244AE7">
        <w:rPr>
          <w:rFonts w:asciiTheme="minorHAnsi" w:eastAsiaTheme="minorHAnsi" w:hAnsiTheme="minorHAnsi" w:cstheme="minorBidi"/>
          <w:color w:val="000000" w:themeColor="text1"/>
          <w:szCs w:val="22"/>
          <w:lang w:val="en-GB"/>
        </w:rPr>
        <w:t xml:space="preserve">greenhouse </w:t>
      </w:r>
      <w:r w:rsidR="001C5BD7">
        <w:rPr>
          <w:rFonts w:asciiTheme="minorHAnsi" w:eastAsiaTheme="minorHAnsi" w:hAnsiTheme="minorHAnsi" w:cstheme="minorBidi"/>
          <w:color w:val="000000" w:themeColor="text1"/>
          <w:szCs w:val="22"/>
          <w:lang w:val="en-GB"/>
        </w:rPr>
        <w:t>g</w:t>
      </w:r>
      <w:r w:rsidR="00244AE7">
        <w:rPr>
          <w:rFonts w:asciiTheme="minorHAnsi" w:eastAsiaTheme="minorHAnsi" w:hAnsiTheme="minorHAnsi" w:cstheme="minorBidi"/>
          <w:color w:val="000000" w:themeColor="text1"/>
          <w:szCs w:val="22"/>
          <w:lang w:val="en-GB"/>
        </w:rPr>
        <w:t xml:space="preserve">as </w:t>
      </w:r>
      <w:r w:rsidR="00AC7DBC" w:rsidRPr="0054609D">
        <w:rPr>
          <w:rFonts w:asciiTheme="minorHAnsi" w:eastAsiaTheme="minorHAnsi" w:hAnsiTheme="minorHAnsi" w:cstheme="minorBidi"/>
          <w:color w:val="000000" w:themeColor="text1"/>
          <w:szCs w:val="22"/>
          <w:lang w:val="en-GB"/>
        </w:rPr>
        <w:t>offset obligations are imposed by State or Territory Governments</w:t>
      </w:r>
      <w:r w:rsidR="00AC7DBC">
        <w:rPr>
          <w:rStyle w:val="FootnoteReference"/>
          <w:rFonts w:asciiTheme="minorHAnsi" w:eastAsiaTheme="minorHAnsi" w:hAnsiTheme="minorHAnsi" w:cstheme="minorBidi"/>
          <w:color w:val="000000" w:themeColor="text1"/>
          <w:szCs w:val="22"/>
          <w:lang w:val="en-GB"/>
        </w:rPr>
        <w:footnoteReference w:id="9"/>
      </w:r>
      <w:r w:rsidR="002D6C4B">
        <w:rPr>
          <w:rFonts w:asciiTheme="minorHAnsi" w:eastAsiaTheme="minorHAnsi" w:hAnsiTheme="minorHAnsi" w:cstheme="minorBidi"/>
          <w:color w:val="000000" w:themeColor="text1"/>
          <w:szCs w:val="22"/>
          <w:lang w:val="en-GB"/>
        </w:rPr>
        <w:t>.</w:t>
      </w:r>
      <w:r w:rsidR="0054609D" w:rsidRPr="0054609D">
        <w:rPr>
          <w:rFonts w:asciiTheme="minorHAnsi" w:eastAsiaTheme="minorHAnsi" w:hAnsiTheme="minorHAnsi" w:cstheme="minorBidi"/>
          <w:color w:val="000000" w:themeColor="text1"/>
          <w:szCs w:val="22"/>
          <w:lang w:val="en-GB"/>
        </w:rPr>
        <w:t xml:space="preserve">  </w:t>
      </w:r>
    </w:p>
    <w:p w14:paraId="3B54F51D" w14:textId="56D68DA1" w:rsidR="0021353A" w:rsidRDefault="0021353A" w:rsidP="00ED0409">
      <w:pPr>
        <w:jc w:val="both"/>
        <w:rPr>
          <w:rFonts w:asciiTheme="minorHAnsi" w:eastAsiaTheme="minorHAnsi" w:hAnsiTheme="minorHAnsi" w:cstheme="minorBidi"/>
          <w:color w:val="000000" w:themeColor="text1"/>
          <w:szCs w:val="22"/>
          <w:lang w:val="en-GB"/>
        </w:rPr>
      </w:pPr>
      <w:r>
        <w:rPr>
          <w:rFonts w:asciiTheme="minorHAnsi" w:eastAsiaTheme="minorHAnsi" w:hAnsiTheme="minorHAnsi" w:cstheme="minorBidi"/>
          <w:color w:val="000000" w:themeColor="text1"/>
          <w:szCs w:val="22"/>
          <w:lang w:val="en-GB"/>
        </w:rPr>
        <w:t xml:space="preserve">In summary, if </w:t>
      </w:r>
      <w:r w:rsidRPr="008F2EFF">
        <w:rPr>
          <w:rFonts w:asciiTheme="minorHAnsi" w:eastAsiaTheme="minorHAnsi" w:hAnsiTheme="minorHAnsi" w:cstheme="minorBidi"/>
          <w:color w:val="000000" w:themeColor="text1"/>
          <w:szCs w:val="22"/>
          <w:lang w:val="en-GB"/>
        </w:rPr>
        <w:t xml:space="preserve">the Commonwealth, </w:t>
      </w:r>
      <w:r w:rsidR="0077140F">
        <w:rPr>
          <w:rFonts w:asciiTheme="minorHAnsi" w:eastAsiaTheme="minorHAnsi" w:hAnsiTheme="minorHAnsi" w:cstheme="minorBidi"/>
          <w:color w:val="000000" w:themeColor="text1"/>
          <w:szCs w:val="22"/>
          <w:lang w:val="en-GB"/>
        </w:rPr>
        <w:t>S</w:t>
      </w:r>
      <w:r w:rsidRPr="008F2EFF">
        <w:rPr>
          <w:rFonts w:asciiTheme="minorHAnsi" w:eastAsiaTheme="minorHAnsi" w:hAnsiTheme="minorHAnsi" w:cstheme="minorBidi"/>
          <w:color w:val="000000" w:themeColor="text1"/>
          <w:szCs w:val="22"/>
          <w:lang w:val="en-GB"/>
        </w:rPr>
        <w:t xml:space="preserve">tate or </w:t>
      </w:r>
      <w:r w:rsidR="0077140F">
        <w:rPr>
          <w:rFonts w:asciiTheme="minorHAnsi" w:eastAsiaTheme="minorHAnsi" w:hAnsiTheme="minorHAnsi" w:cstheme="minorBidi"/>
          <w:color w:val="000000" w:themeColor="text1"/>
          <w:szCs w:val="22"/>
          <w:lang w:val="en-GB"/>
        </w:rPr>
        <w:t>T</w:t>
      </w:r>
      <w:r w:rsidRPr="008F2EFF">
        <w:rPr>
          <w:rFonts w:asciiTheme="minorHAnsi" w:eastAsiaTheme="minorHAnsi" w:hAnsiTheme="minorHAnsi" w:cstheme="minorBidi"/>
          <w:color w:val="000000" w:themeColor="text1"/>
          <w:szCs w:val="22"/>
          <w:lang w:val="en-GB"/>
        </w:rPr>
        <w:t>erritory regulatory requirement refers to reducing or offsetting emissions but does not specify a particular activity to do so</w:t>
      </w:r>
      <w:r w:rsidR="00ED0409">
        <w:rPr>
          <w:rFonts w:asciiTheme="minorHAnsi" w:eastAsiaTheme="minorHAnsi" w:hAnsiTheme="minorHAnsi" w:cstheme="minorBidi"/>
          <w:color w:val="000000" w:themeColor="text1"/>
          <w:szCs w:val="22"/>
          <w:lang w:val="en-GB"/>
        </w:rPr>
        <w:t>, if</w:t>
      </w:r>
      <w:r w:rsidRPr="008F2EFF">
        <w:rPr>
          <w:rFonts w:asciiTheme="minorHAnsi" w:eastAsiaTheme="minorHAnsi" w:hAnsiTheme="minorHAnsi" w:cstheme="minorBidi"/>
          <w:color w:val="000000" w:themeColor="text1"/>
          <w:szCs w:val="22"/>
          <w:lang w:val="en-GB"/>
        </w:rPr>
        <w:t xml:space="preserve"> the regulated entity establishes an ERF project </w:t>
      </w:r>
      <w:r w:rsidR="00C3454D">
        <w:rPr>
          <w:rFonts w:asciiTheme="minorHAnsi" w:eastAsiaTheme="minorHAnsi" w:hAnsiTheme="minorHAnsi" w:cstheme="minorBidi"/>
          <w:color w:val="000000" w:themeColor="text1"/>
          <w:szCs w:val="22"/>
          <w:lang w:val="en-GB"/>
        </w:rPr>
        <w:t xml:space="preserve">then </w:t>
      </w:r>
      <w:r w:rsidRPr="008F2EFF">
        <w:rPr>
          <w:rFonts w:asciiTheme="minorHAnsi" w:eastAsiaTheme="minorHAnsi" w:hAnsiTheme="minorHAnsi" w:cstheme="minorBidi"/>
          <w:color w:val="000000" w:themeColor="text1"/>
          <w:szCs w:val="22"/>
          <w:lang w:val="en-GB"/>
        </w:rPr>
        <w:t xml:space="preserve">any ACCUs generated by </w:t>
      </w:r>
      <w:r w:rsidR="00C3454D">
        <w:rPr>
          <w:rFonts w:asciiTheme="minorHAnsi" w:eastAsiaTheme="minorHAnsi" w:hAnsiTheme="minorHAnsi" w:cstheme="minorBidi"/>
          <w:color w:val="000000" w:themeColor="text1"/>
          <w:szCs w:val="22"/>
          <w:lang w:val="en-GB"/>
        </w:rPr>
        <w:t>that project that</w:t>
      </w:r>
      <w:r w:rsidRPr="008F2EFF">
        <w:rPr>
          <w:rFonts w:asciiTheme="minorHAnsi" w:eastAsiaTheme="minorHAnsi" w:hAnsiTheme="minorHAnsi" w:cstheme="minorBidi"/>
          <w:color w:val="000000" w:themeColor="text1"/>
          <w:szCs w:val="22"/>
          <w:lang w:val="en-GB"/>
        </w:rPr>
        <w:t xml:space="preserve"> are used to meet its regulatory requirement must be put aside permanently in </w:t>
      </w:r>
      <w:r w:rsidR="00C3454D">
        <w:rPr>
          <w:rFonts w:asciiTheme="minorHAnsi" w:eastAsiaTheme="minorHAnsi" w:hAnsiTheme="minorHAnsi" w:cstheme="minorBidi"/>
          <w:color w:val="000000" w:themeColor="text1"/>
          <w:szCs w:val="22"/>
          <w:lang w:val="en-GB"/>
        </w:rPr>
        <w:t>a</w:t>
      </w:r>
      <w:r w:rsidRPr="008F2EFF">
        <w:rPr>
          <w:rFonts w:asciiTheme="minorHAnsi" w:eastAsiaTheme="minorHAnsi" w:hAnsiTheme="minorHAnsi" w:cstheme="minorBidi"/>
          <w:color w:val="000000" w:themeColor="text1"/>
          <w:szCs w:val="22"/>
          <w:lang w:val="en-GB"/>
        </w:rPr>
        <w:t xml:space="preserve"> Commonwealth holding account</w:t>
      </w:r>
      <w:r w:rsidR="00C3454D">
        <w:rPr>
          <w:rFonts w:asciiTheme="minorHAnsi" w:eastAsiaTheme="minorHAnsi" w:hAnsiTheme="minorHAnsi" w:cstheme="minorBidi"/>
          <w:color w:val="000000" w:themeColor="text1"/>
          <w:szCs w:val="22"/>
          <w:lang w:val="en-GB"/>
        </w:rPr>
        <w:t xml:space="preserve">. </w:t>
      </w:r>
      <w:r>
        <w:rPr>
          <w:rFonts w:asciiTheme="minorHAnsi" w:eastAsiaTheme="minorHAnsi" w:hAnsiTheme="minorHAnsi" w:cstheme="minorBidi"/>
          <w:color w:val="000000" w:themeColor="text1"/>
          <w:szCs w:val="22"/>
          <w:lang w:val="en-GB"/>
        </w:rPr>
        <w:t xml:space="preserve">These </w:t>
      </w:r>
      <w:r w:rsidR="00C1263A">
        <w:rPr>
          <w:rFonts w:asciiTheme="minorHAnsi" w:eastAsiaTheme="minorHAnsi" w:hAnsiTheme="minorHAnsi" w:cstheme="minorBidi"/>
          <w:color w:val="000000" w:themeColor="text1"/>
          <w:szCs w:val="22"/>
          <w:lang w:val="en-GB"/>
        </w:rPr>
        <w:t>ACCUs</w:t>
      </w:r>
      <w:r>
        <w:rPr>
          <w:rFonts w:asciiTheme="minorHAnsi" w:eastAsiaTheme="minorHAnsi" w:hAnsiTheme="minorHAnsi" w:cstheme="minorBidi"/>
          <w:color w:val="000000" w:themeColor="text1"/>
          <w:szCs w:val="22"/>
          <w:lang w:val="en-GB"/>
        </w:rPr>
        <w:t xml:space="preserve"> cannot be sold or transferred to another party including the Commonwealth. </w:t>
      </w:r>
      <w:r w:rsidR="00C3454D">
        <w:rPr>
          <w:rFonts w:asciiTheme="minorHAnsi" w:eastAsiaTheme="minorHAnsi" w:hAnsiTheme="minorHAnsi" w:cstheme="minorBidi"/>
          <w:color w:val="000000" w:themeColor="text1"/>
          <w:szCs w:val="22"/>
          <w:lang w:val="en-GB"/>
        </w:rPr>
        <w:t>However, a</w:t>
      </w:r>
      <w:r w:rsidR="00C3454D" w:rsidRPr="008F2EFF">
        <w:rPr>
          <w:rFonts w:asciiTheme="minorHAnsi" w:eastAsiaTheme="minorHAnsi" w:hAnsiTheme="minorHAnsi" w:cstheme="minorBidi"/>
          <w:color w:val="000000" w:themeColor="text1"/>
          <w:szCs w:val="22"/>
          <w:lang w:val="en-GB"/>
        </w:rPr>
        <w:t xml:space="preserve">ny </w:t>
      </w:r>
      <w:r w:rsidR="00C3454D" w:rsidRPr="008F2EFF">
        <w:rPr>
          <w:rFonts w:asciiTheme="minorHAnsi" w:eastAsiaTheme="minorHAnsi" w:hAnsiTheme="minorHAnsi" w:cstheme="minorBidi"/>
          <w:color w:val="000000" w:themeColor="text1"/>
          <w:szCs w:val="22"/>
          <w:lang w:val="en-GB"/>
        </w:rPr>
        <w:lastRenderedPageBreak/>
        <w:t xml:space="preserve">ACCUs resulting from the project that are not used to meet the </w:t>
      </w:r>
      <w:r w:rsidR="00C3454D">
        <w:rPr>
          <w:rFonts w:asciiTheme="minorHAnsi" w:eastAsiaTheme="minorHAnsi" w:hAnsiTheme="minorHAnsi" w:cstheme="minorBidi"/>
          <w:color w:val="000000" w:themeColor="text1"/>
          <w:szCs w:val="22"/>
          <w:lang w:val="en-GB"/>
        </w:rPr>
        <w:t xml:space="preserve">Commonwealth, </w:t>
      </w:r>
      <w:r w:rsidR="0077140F">
        <w:rPr>
          <w:rFonts w:asciiTheme="minorHAnsi" w:eastAsiaTheme="minorHAnsi" w:hAnsiTheme="minorHAnsi" w:cstheme="minorBidi"/>
          <w:color w:val="000000" w:themeColor="text1"/>
          <w:szCs w:val="22"/>
          <w:lang w:val="en-GB"/>
        </w:rPr>
        <w:t>S</w:t>
      </w:r>
      <w:r w:rsidR="00C3454D" w:rsidRPr="008F2EFF">
        <w:rPr>
          <w:rFonts w:asciiTheme="minorHAnsi" w:eastAsiaTheme="minorHAnsi" w:hAnsiTheme="minorHAnsi" w:cstheme="minorBidi"/>
          <w:color w:val="000000" w:themeColor="text1"/>
          <w:szCs w:val="22"/>
          <w:lang w:val="en-GB"/>
        </w:rPr>
        <w:t xml:space="preserve">tate or </w:t>
      </w:r>
      <w:r w:rsidR="0077140F">
        <w:rPr>
          <w:rFonts w:asciiTheme="minorHAnsi" w:eastAsiaTheme="minorHAnsi" w:hAnsiTheme="minorHAnsi" w:cstheme="minorBidi"/>
          <w:color w:val="000000" w:themeColor="text1"/>
          <w:szCs w:val="22"/>
          <w:lang w:val="en-GB"/>
        </w:rPr>
        <w:t>T</w:t>
      </w:r>
      <w:r w:rsidR="00C3454D" w:rsidRPr="008F2EFF">
        <w:rPr>
          <w:rFonts w:asciiTheme="minorHAnsi" w:eastAsiaTheme="minorHAnsi" w:hAnsiTheme="minorHAnsi" w:cstheme="minorBidi"/>
          <w:color w:val="000000" w:themeColor="text1"/>
          <w:szCs w:val="22"/>
          <w:lang w:val="en-GB"/>
        </w:rPr>
        <w:t>erritory obligation could be made available to the market</w:t>
      </w:r>
      <w:r w:rsidR="00E75FBA">
        <w:rPr>
          <w:rFonts w:asciiTheme="minorHAnsi" w:eastAsiaTheme="minorHAnsi" w:hAnsiTheme="minorHAnsi" w:cstheme="minorBidi"/>
          <w:color w:val="000000" w:themeColor="text1"/>
          <w:szCs w:val="22"/>
          <w:lang w:val="en-GB"/>
        </w:rPr>
        <w:t>.</w:t>
      </w:r>
    </w:p>
    <w:p w14:paraId="1E9AF316" w14:textId="77777777" w:rsidR="004670A7" w:rsidRDefault="00AE7768" w:rsidP="00ED0409">
      <w:pPr>
        <w:jc w:val="both"/>
        <w:rPr>
          <w:rFonts w:asciiTheme="minorHAnsi" w:eastAsiaTheme="minorHAnsi" w:hAnsiTheme="minorHAnsi" w:cstheme="minorBidi"/>
          <w:color w:val="000000" w:themeColor="text1"/>
          <w:szCs w:val="22"/>
          <w:lang w:val="en-GB"/>
        </w:rPr>
      </w:pPr>
      <w:bookmarkStart w:id="19" w:name="_Hlk58412217"/>
      <w:r>
        <w:rPr>
          <w:rFonts w:asciiTheme="minorHAnsi" w:eastAsiaTheme="minorHAnsi" w:hAnsiTheme="minorHAnsi" w:cstheme="minorBidi"/>
          <w:color w:val="000000" w:themeColor="text1"/>
          <w:szCs w:val="22"/>
          <w:lang w:val="en-GB"/>
        </w:rPr>
        <w:t xml:space="preserve">If a </w:t>
      </w:r>
      <w:r w:rsidR="0077140F">
        <w:rPr>
          <w:rFonts w:asciiTheme="minorHAnsi" w:eastAsiaTheme="minorHAnsi" w:hAnsiTheme="minorHAnsi" w:cstheme="minorBidi"/>
          <w:color w:val="000000" w:themeColor="text1"/>
          <w:szCs w:val="22"/>
          <w:lang w:val="en-GB"/>
        </w:rPr>
        <w:t>S</w:t>
      </w:r>
      <w:r>
        <w:rPr>
          <w:rFonts w:asciiTheme="minorHAnsi" w:eastAsiaTheme="minorHAnsi" w:hAnsiTheme="minorHAnsi" w:cstheme="minorBidi"/>
          <w:color w:val="000000" w:themeColor="text1"/>
          <w:szCs w:val="22"/>
          <w:lang w:val="en-GB"/>
        </w:rPr>
        <w:t>tate government</w:t>
      </w:r>
      <w:r w:rsidR="00384534">
        <w:rPr>
          <w:rFonts w:asciiTheme="minorHAnsi" w:eastAsiaTheme="minorHAnsi" w:hAnsiTheme="minorHAnsi" w:cstheme="minorBidi"/>
          <w:color w:val="000000" w:themeColor="text1"/>
          <w:szCs w:val="22"/>
          <w:lang w:val="en-GB"/>
        </w:rPr>
        <w:t xml:space="preserve"> regulatory </w:t>
      </w:r>
      <w:r w:rsidR="00AC6C3C">
        <w:rPr>
          <w:rFonts w:asciiTheme="minorHAnsi" w:eastAsiaTheme="minorHAnsi" w:hAnsiTheme="minorHAnsi" w:cstheme="minorBidi"/>
          <w:color w:val="000000" w:themeColor="text1"/>
          <w:szCs w:val="22"/>
          <w:lang w:val="en-GB"/>
        </w:rPr>
        <w:t>obligation</w:t>
      </w:r>
      <w:r w:rsidR="00636ECA">
        <w:rPr>
          <w:rFonts w:asciiTheme="minorHAnsi" w:eastAsiaTheme="minorHAnsi" w:hAnsiTheme="minorHAnsi" w:cstheme="minorBidi"/>
          <w:color w:val="000000" w:themeColor="text1"/>
          <w:szCs w:val="22"/>
          <w:lang w:val="en-GB"/>
        </w:rPr>
        <w:t xml:space="preserve"> </w:t>
      </w:r>
      <w:r w:rsidR="00AC6C3C">
        <w:rPr>
          <w:rFonts w:asciiTheme="minorHAnsi" w:eastAsiaTheme="minorHAnsi" w:hAnsiTheme="minorHAnsi" w:cstheme="minorBidi"/>
          <w:color w:val="000000" w:themeColor="text1"/>
          <w:szCs w:val="22"/>
          <w:lang w:val="en-GB"/>
        </w:rPr>
        <w:t>states</w:t>
      </w:r>
      <w:r w:rsidR="00384534">
        <w:rPr>
          <w:rFonts w:asciiTheme="minorHAnsi" w:eastAsiaTheme="minorHAnsi" w:hAnsiTheme="minorHAnsi" w:cstheme="minorBidi"/>
          <w:color w:val="000000" w:themeColor="text1"/>
          <w:szCs w:val="22"/>
          <w:lang w:val="en-GB"/>
        </w:rPr>
        <w:t xml:space="preserve"> that a CCS project is required to meet an offset or emissions reduction obligation, then the project will only be able to sell ACCUs to the extent that the project stores more emissions than the offsetting obligation requires.</w:t>
      </w:r>
    </w:p>
    <w:p w14:paraId="03847DAB" w14:textId="77777777" w:rsidR="00443DCD" w:rsidRPr="00443DCD" w:rsidRDefault="00443DCD" w:rsidP="00ED0409">
      <w:pPr>
        <w:pStyle w:val="Heading3"/>
        <w:spacing w:after="200"/>
        <w:rPr>
          <w:lang w:val="en-GB"/>
        </w:rPr>
      </w:pPr>
      <w:bookmarkStart w:id="20" w:name="_Toc57100994"/>
      <w:bookmarkStart w:id="21" w:name="_Toc75442787"/>
      <w:bookmarkEnd w:id="19"/>
      <w:r w:rsidRPr="00443DCD">
        <w:rPr>
          <w:lang w:val="en-GB"/>
        </w:rPr>
        <w:t xml:space="preserve">Additionality – </w:t>
      </w:r>
      <w:r w:rsidR="00414BED">
        <w:rPr>
          <w:lang w:val="en-GB"/>
        </w:rPr>
        <w:t>g</w:t>
      </w:r>
      <w:r w:rsidRPr="00443DCD">
        <w:rPr>
          <w:lang w:val="en-GB"/>
        </w:rPr>
        <w:t xml:space="preserve">overnment </w:t>
      </w:r>
      <w:r w:rsidR="00414BED">
        <w:rPr>
          <w:lang w:val="en-GB"/>
        </w:rPr>
        <w:t>p</w:t>
      </w:r>
      <w:r w:rsidRPr="00443DCD">
        <w:rPr>
          <w:lang w:val="en-GB"/>
        </w:rPr>
        <w:t xml:space="preserve">rogram </w:t>
      </w:r>
      <w:bookmarkEnd w:id="20"/>
      <w:r w:rsidR="00FA5303">
        <w:rPr>
          <w:lang w:val="en-GB"/>
        </w:rPr>
        <w:t>funding</w:t>
      </w:r>
      <w:bookmarkEnd w:id="21"/>
    </w:p>
    <w:p w14:paraId="17F272F8" w14:textId="386F0F3B" w:rsidR="008334B0" w:rsidRDefault="008334B0" w:rsidP="00ED0409">
      <w:pPr>
        <w:jc w:val="both"/>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 xml:space="preserve">The intent of the Government program requirement is to rule out projects that are substantially funded by a large-scale government program. </w:t>
      </w:r>
    </w:p>
    <w:p w14:paraId="5DD4CA31" w14:textId="755C6B3C" w:rsidR="00443DCD" w:rsidRDefault="00443DCD" w:rsidP="00ED0409">
      <w:pPr>
        <w:jc w:val="both"/>
        <w:rPr>
          <w:rFonts w:asciiTheme="minorHAnsi" w:eastAsiaTheme="minorEastAsia" w:hAnsiTheme="minorHAnsi" w:cstheme="minorBidi"/>
          <w:color w:val="000000" w:themeColor="text1"/>
          <w:lang w:val="en-GB"/>
        </w:rPr>
      </w:pPr>
      <w:r w:rsidRPr="20F7574B">
        <w:rPr>
          <w:rFonts w:asciiTheme="minorHAnsi" w:eastAsiaTheme="minorEastAsia" w:hAnsiTheme="minorHAnsi" w:cstheme="minorBidi"/>
          <w:color w:val="000000" w:themeColor="text1"/>
          <w:lang w:val="en-GB"/>
        </w:rPr>
        <w:t xml:space="preserve">Section 21 of </w:t>
      </w:r>
      <w:r w:rsidRPr="00C41E81">
        <w:rPr>
          <w:rFonts w:asciiTheme="minorHAnsi" w:eastAsiaTheme="minorEastAsia" w:hAnsiTheme="minorHAnsi" w:cstheme="minorBidi"/>
          <w:color w:val="000000" w:themeColor="text1"/>
          <w:lang w:val="en-GB"/>
        </w:rPr>
        <w:t xml:space="preserve">the </w:t>
      </w:r>
      <w:r w:rsidRPr="00084DC9">
        <w:rPr>
          <w:rFonts w:asciiTheme="minorHAnsi" w:eastAsiaTheme="minorEastAsia" w:hAnsiTheme="minorHAnsi" w:cstheme="minorBidi"/>
          <w:color w:val="000000" w:themeColor="text1"/>
          <w:lang w:val="en-GB"/>
        </w:rPr>
        <w:t>CFI Rule</w:t>
      </w:r>
      <w:r w:rsidRPr="00C41E81">
        <w:rPr>
          <w:rFonts w:asciiTheme="minorHAnsi" w:eastAsiaTheme="minorEastAsia" w:hAnsiTheme="minorHAnsi" w:cstheme="minorBidi"/>
          <w:color w:val="000000" w:themeColor="text1"/>
          <w:lang w:val="en-GB"/>
        </w:rPr>
        <w:t xml:space="preserve"> </w:t>
      </w:r>
      <w:r w:rsidR="079AE2E9" w:rsidRPr="00084DC9">
        <w:rPr>
          <w:rFonts w:asciiTheme="minorHAnsi" w:eastAsiaTheme="minorEastAsia" w:hAnsiTheme="minorHAnsi" w:cstheme="minorBidi"/>
          <w:color w:val="000000" w:themeColor="text1"/>
          <w:lang w:val="en-GB"/>
        </w:rPr>
        <w:t>creates</w:t>
      </w:r>
      <w:r w:rsidR="079AE2E9" w:rsidRPr="20F7574B">
        <w:rPr>
          <w:rFonts w:asciiTheme="minorHAnsi" w:eastAsiaTheme="minorEastAsia" w:hAnsiTheme="minorHAnsi" w:cstheme="minorBidi"/>
          <w:color w:val="000000" w:themeColor="text1"/>
          <w:lang w:val="en-GB"/>
        </w:rPr>
        <w:t xml:space="preserve"> in-lieu </w:t>
      </w:r>
      <w:r w:rsidR="008B51DA">
        <w:rPr>
          <w:rFonts w:asciiTheme="minorHAnsi" w:eastAsiaTheme="minorEastAsia" w:hAnsiTheme="minorHAnsi" w:cstheme="minorBidi"/>
          <w:color w:val="000000" w:themeColor="text1"/>
          <w:lang w:val="en-GB"/>
        </w:rPr>
        <w:t>g</w:t>
      </w:r>
      <w:r w:rsidR="079AE2E9" w:rsidRPr="20F7574B">
        <w:rPr>
          <w:rFonts w:asciiTheme="minorHAnsi" w:eastAsiaTheme="minorEastAsia" w:hAnsiTheme="minorHAnsi" w:cstheme="minorBidi"/>
          <w:color w:val="000000" w:themeColor="text1"/>
          <w:lang w:val="en-GB"/>
        </w:rPr>
        <w:t xml:space="preserve">overnment </w:t>
      </w:r>
      <w:r w:rsidR="008B51DA">
        <w:rPr>
          <w:rFonts w:asciiTheme="minorHAnsi" w:eastAsiaTheme="minorEastAsia" w:hAnsiTheme="minorHAnsi" w:cstheme="minorBidi"/>
          <w:color w:val="000000" w:themeColor="text1"/>
          <w:lang w:val="en-GB"/>
        </w:rPr>
        <w:t>p</w:t>
      </w:r>
      <w:r w:rsidR="079AE2E9" w:rsidRPr="20F7574B">
        <w:rPr>
          <w:rFonts w:asciiTheme="minorHAnsi" w:eastAsiaTheme="minorEastAsia" w:hAnsiTheme="minorHAnsi" w:cstheme="minorBidi"/>
          <w:color w:val="000000" w:themeColor="text1"/>
          <w:lang w:val="en-GB"/>
        </w:rPr>
        <w:t>rogram requirements that substitute</w:t>
      </w:r>
      <w:r w:rsidR="00F64BA6">
        <w:rPr>
          <w:rFonts w:asciiTheme="minorHAnsi" w:eastAsiaTheme="minorEastAsia" w:hAnsiTheme="minorHAnsi" w:cstheme="minorBidi"/>
          <w:color w:val="000000" w:themeColor="text1"/>
          <w:lang w:val="en-GB"/>
        </w:rPr>
        <w:t>s</w:t>
      </w:r>
      <w:r w:rsidR="079AE2E9" w:rsidRPr="20F7574B">
        <w:rPr>
          <w:rFonts w:asciiTheme="minorHAnsi" w:eastAsiaTheme="minorEastAsia" w:hAnsiTheme="minorHAnsi" w:cstheme="minorBidi"/>
          <w:color w:val="000000" w:themeColor="text1"/>
          <w:lang w:val="en-GB"/>
        </w:rPr>
        <w:t xml:space="preserve"> for the general requirements in </w:t>
      </w:r>
      <w:r w:rsidR="00496444">
        <w:rPr>
          <w:rFonts w:asciiTheme="minorHAnsi" w:eastAsiaTheme="minorEastAsia" w:hAnsiTheme="minorHAnsi" w:cstheme="minorBidi"/>
          <w:color w:val="000000" w:themeColor="text1"/>
          <w:lang w:val="en-GB"/>
        </w:rPr>
        <w:t>section</w:t>
      </w:r>
      <w:r w:rsidR="079AE2E9" w:rsidRPr="20F7574B">
        <w:rPr>
          <w:rFonts w:asciiTheme="minorHAnsi" w:eastAsiaTheme="minorEastAsia" w:hAnsiTheme="minorHAnsi" w:cstheme="minorBidi"/>
          <w:color w:val="000000" w:themeColor="text1"/>
          <w:lang w:val="en-GB"/>
        </w:rPr>
        <w:t xml:space="preserve"> 27(4A)</w:t>
      </w:r>
      <w:r w:rsidR="1452A639" w:rsidRPr="20F7574B">
        <w:rPr>
          <w:rFonts w:asciiTheme="minorHAnsi" w:eastAsiaTheme="minorEastAsia" w:hAnsiTheme="minorHAnsi" w:cstheme="minorBidi"/>
          <w:color w:val="000000" w:themeColor="text1"/>
          <w:lang w:val="en-GB"/>
        </w:rPr>
        <w:t>(c)(i) of the CFI Act</w:t>
      </w:r>
      <w:r w:rsidR="2ADEEAF8" w:rsidRPr="20F7574B">
        <w:rPr>
          <w:rFonts w:asciiTheme="minorHAnsi" w:eastAsiaTheme="minorEastAsia" w:hAnsiTheme="minorHAnsi" w:cstheme="minorBidi"/>
          <w:color w:val="000000" w:themeColor="text1"/>
          <w:lang w:val="en-GB"/>
        </w:rPr>
        <w:t>. Section 21 of the CFI Rule</w:t>
      </w:r>
      <w:r w:rsidRPr="20F7574B">
        <w:rPr>
          <w:rFonts w:asciiTheme="minorHAnsi" w:eastAsiaTheme="minorEastAsia" w:hAnsiTheme="minorHAnsi" w:cstheme="minorBidi"/>
          <w:color w:val="000000" w:themeColor="text1"/>
          <w:lang w:val="en-GB"/>
        </w:rPr>
        <w:t xml:space="preserve"> </w:t>
      </w:r>
      <w:r w:rsidR="1D1D0E9C" w:rsidRPr="20F7574B">
        <w:rPr>
          <w:rFonts w:asciiTheme="minorHAnsi" w:eastAsiaTheme="minorEastAsia" w:hAnsiTheme="minorHAnsi" w:cstheme="minorBidi"/>
          <w:color w:val="000000" w:themeColor="text1"/>
          <w:lang w:val="en-GB"/>
        </w:rPr>
        <w:t xml:space="preserve">excludes ERF projects from also receiving </w:t>
      </w:r>
      <w:r w:rsidR="4DA3D93C" w:rsidRPr="20F7574B">
        <w:rPr>
          <w:rFonts w:asciiTheme="minorHAnsi" w:eastAsiaTheme="minorEastAsia" w:hAnsiTheme="minorHAnsi" w:cstheme="minorBidi"/>
          <w:color w:val="000000" w:themeColor="text1"/>
          <w:lang w:val="en-GB"/>
        </w:rPr>
        <w:t xml:space="preserve">funding </w:t>
      </w:r>
      <w:r w:rsidR="008B51DA">
        <w:rPr>
          <w:rFonts w:asciiTheme="minorHAnsi" w:eastAsiaTheme="minorEastAsia" w:hAnsiTheme="minorHAnsi" w:cstheme="minorBidi"/>
          <w:color w:val="000000" w:themeColor="text1"/>
          <w:lang w:val="en-GB"/>
        </w:rPr>
        <w:t>or</w:t>
      </w:r>
      <w:r w:rsidR="4DA3D93C" w:rsidRPr="20F7574B">
        <w:rPr>
          <w:rFonts w:asciiTheme="minorHAnsi" w:eastAsiaTheme="minorEastAsia" w:hAnsiTheme="minorHAnsi" w:cstheme="minorBidi"/>
          <w:color w:val="000000" w:themeColor="text1"/>
          <w:lang w:val="en-GB"/>
        </w:rPr>
        <w:t xml:space="preserve"> certificates under</w:t>
      </w:r>
      <w:r w:rsidRPr="20F7574B">
        <w:rPr>
          <w:rFonts w:asciiTheme="minorHAnsi" w:eastAsiaTheme="minorEastAsia" w:hAnsiTheme="minorHAnsi" w:cstheme="minorBidi"/>
          <w:color w:val="000000" w:themeColor="text1"/>
          <w:lang w:val="en-GB"/>
        </w:rPr>
        <w:t xml:space="preserve"> </w:t>
      </w:r>
      <w:r w:rsidR="00F46132">
        <w:rPr>
          <w:rFonts w:asciiTheme="minorHAnsi" w:eastAsiaTheme="minorEastAsia" w:hAnsiTheme="minorHAnsi" w:cstheme="minorBidi"/>
          <w:color w:val="000000" w:themeColor="text1"/>
          <w:lang w:val="en-GB"/>
        </w:rPr>
        <w:t xml:space="preserve">some </w:t>
      </w:r>
      <w:r w:rsidRPr="20F7574B">
        <w:rPr>
          <w:rFonts w:asciiTheme="minorHAnsi" w:eastAsiaTheme="minorEastAsia" w:hAnsiTheme="minorHAnsi" w:cstheme="minorBidi"/>
          <w:color w:val="000000" w:themeColor="text1"/>
          <w:lang w:val="en-GB"/>
        </w:rPr>
        <w:t>State and Commonwealth programs</w:t>
      </w:r>
      <w:r w:rsidR="009C2919">
        <w:rPr>
          <w:rFonts w:asciiTheme="minorHAnsi" w:eastAsiaTheme="minorEastAsia" w:hAnsiTheme="minorHAnsi" w:cstheme="minorBidi"/>
          <w:color w:val="000000" w:themeColor="text1"/>
          <w:lang w:val="en-GB"/>
        </w:rPr>
        <w:t>, including the Renewable Energy Target</w:t>
      </w:r>
      <w:r w:rsidR="000148CB">
        <w:rPr>
          <w:rFonts w:asciiTheme="minorHAnsi" w:eastAsiaTheme="minorEastAsia" w:hAnsiTheme="minorHAnsi" w:cstheme="minorBidi"/>
          <w:color w:val="000000" w:themeColor="text1"/>
          <w:lang w:val="en-GB"/>
        </w:rPr>
        <w:t xml:space="preserve">, </w:t>
      </w:r>
      <w:r w:rsidR="00F46132">
        <w:rPr>
          <w:rFonts w:asciiTheme="minorHAnsi" w:eastAsiaTheme="minorEastAsia" w:hAnsiTheme="minorHAnsi" w:cstheme="minorBidi"/>
          <w:color w:val="000000" w:themeColor="text1"/>
          <w:lang w:val="en-GB"/>
        </w:rPr>
        <w:t>in some circumstances</w:t>
      </w:r>
      <w:r w:rsidR="000148CB">
        <w:rPr>
          <w:rFonts w:asciiTheme="minorHAnsi" w:eastAsiaTheme="minorEastAsia" w:hAnsiTheme="minorHAnsi" w:cstheme="minorBidi"/>
          <w:color w:val="000000" w:themeColor="text1"/>
          <w:lang w:val="en-GB"/>
        </w:rPr>
        <w:t>,</w:t>
      </w:r>
      <w:r w:rsidR="00F46132">
        <w:rPr>
          <w:rFonts w:asciiTheme="minorHAnsi" w:eastAsiaTheme="minorEastAsia" w:hAnsiTheme="minorHAnsi" w:cstheme="minorBidi"/>
          <w:color w:val="000000" w:themeColor="text1"/>
          <w:lang w:val="en-GB"/>
        </w:rPr>
        <w:t xml:space="preserve"> </w:t>
      </w:r>
      <w:r w:rsidR="009E5A20">
        <w:rPr>
          <w:rFonts w:asciiTheme="minorHAnsi" w:eastAsiaTheme="minorEastAsia" w:hAnsiTheme="minorHAnsi" w:cstheme="minorBidi"/>
          <w:color w:val="000000" w:themeColor="text1"/>
          <w:lang w:val="en-GB"/>
        </w:rPr>
        <w:t>and some</w:t>
      </w:r>
      <w:r w:rsidR="00F46132">
        <w:rPr>
          <w:rFonts w:asciiTheme="minorHAnsi" w:eastAsiaTheme="minorEastAsia" w:hAnsiTheme="minorHAnsi" w:cstheme="minorBidi"/>
          <w:color w:val="000000" w:themeColor="text1"/>
          <w:lang w:val="en-GB"/>
        </w:rPr>
        <w:t xml:space="preserve"> </w:t>
      </w:r>
      <w:r w:rsidR="009C2919">
        <w:rPr>
          <w:rFonts w:asciiTheme="minorHAnsi" w:eastAsiaTheme="minorEastAsia" w:hAnsiTheme="minorHAnsi" w:cstheme="minorBidi"/>
          <w:color w:val="000000" w:themeColor="text1"/>
          <w:lang w:val="en-GB"/>
        </w:rPr>
        <w:t>state-based energy efficiency certificate schemes</w:t>
      </w:r>
      <w:r w:rsidRPr="20F7574B">
        <w:rPr>
          <w:rFonts w:asciiTheme="minorHAnsi" w:eastAsiaTheme="minorEastAsia" w:hAnsiTheme="minorHAnsi" w:cstheme="minorBidi"/>
          <w:color w:val="000000" w:themeColor="text1"/>
          <w:lang w:val="en-GB"/>
        </w:rPr>
        <w:t>.</w:t>
      </w:r>
      <w:r w:rsidR="00497386">
        <w:rPr>
          <w:rStyle w:val="FootnoteReference"/>
          <w:rFonts w:asciiTheme="minorHAnsi" w:eastAsiaTheme="minorEastAsia" w:hAnsiTheme="minorHAnsi" w:cstheme="minorBidi"/>
          <w:color w:val="000000" w:themeColor="text1"/>
          <w:lang w:val="en-GB"/>
        </w:rPr>
        <w:footnoteReference w:id="10"/>
      </w:r>
      <w:r w:rsidR="00537AF4">
        <w:rPr>
          <w:rFonts w:asciiTheme="minorHAnsi" w:eastAsiaTheme="minorEastAsia" w:hAnsiTheme="minorHAnsi" w:cstheme="minorBidi"/>
          <w:color w:val="000000" w:themeColor="text1"/>
          <w:lang w:val="en-GB"/>
        </w:rPr>
        <w:t xml:space="preserve"> </w:t>
      </w:r>
      <w:r w:rsidR="00497386" w:rsidRPr="009E635D">
        <w:rPr>
          <w:rFonts w:asciiTheme="minorHAnsi" w:eastAsiaTheme="minorEastAsia" w:hAnsiTheme="minorHAnsi" w:cstheme="minorBidi"/>
          <w:color w:val="000000" w:themeColor="text1"/>
          <w:lang w:val="en-GB"/>
        </w:rPr>
        <w:t xml:space="preserve">Overlaps between a CCS project and the programs listed under section 21 of the CFI Rule are </w:t>
      </w:r>
      <w:r w:rsidR="00497386">
        <w:rPr>
          <w:rFonts w:asciiTheme="minorHAnsi" w:eastAsiaTheme="minorEastAsia" w:hAnsiTheme="minorHAnsi" w:cstheme="minorBidi"/>
          <w:color w:val="000000" w:themeColor="text1"/>
          <w:lang w:val="en-GB"/>
        </w:rPr>
        <w:t xml:space="preserve">considered </w:t>
      </w:r>
      <w:r w:rsidR="00497386" w:rsidRPr="009E635D">
        <w:rPr>
          <w:rFonts w:asciiTheme="minorHAnsi" w:eastAsiaTheme="minorEastAsia" w:hAnsiTheme="minorHAnsi" w:cstheme="minorBidi"/>
          <w:color w:val="000000" w:themeColor="text1"/>
          <w:lang w:val="en-GB"/>
        </w:rPr>
        <w:t>unlikely.</w:t>
      </w:r>
    </w:p>
    <w:p w14:paraId="0A28A0D5" w14:textId="40069C89" w:rsidR="00537AF4" w:rsidRPr="00497386" w:rsidRDefault="000A707E" w:rsidP="004C35B5">
      <w:pPr>
        <w:tabs>
          <w:tab w:val="left" w:pos="1134"/>
        </w:tabs>
        <w:jc w:val="both"/>
        <w:rPr>
          <w:rFonts w:asciiTheme="minorHAnsi" w:eastAsiaTheme="minorEastAsia" w:hAnsiTheme="minorHAnsi" w:cstheme="minorBidi"/>
          <w:color w:val="000000" w:themeColor="text1"/>
          <w:lang w:val="en-GB"/>
        </w:rPr>
      </w:pPr>
      <w:r w:rsidRPr="000A707E">
        <w:rPr>
          <w:rFonts w:asciiTheme="minorHAnsi" w:eastAsiaTheme="minorEastAsia" w:hAnsiTheme="minorHAnsi" w:cstheme="minorBidi"/>
          <w:color w:val="000000" w:themeColor="text1"/>
          <w:lang w:val="en-GB"/>
        </w:rPr>
        <w:t>The Government is providing pre-operational support for CCS projects under the recently announced Carbon Capture, Use and Storage Development Fund</w:t>
      </w:r>
      <w:r w:rsidR="00BA2B33">
        <w:rPr>
          <w:rFonts w:asciiTheme="minorHAnsi" w:eastAsiaTheme="minorEastAsia" w:hAnsiTheme="minorHAnsi" w:cstheme="minorBidi"/>
          <w:color w:val="000000" w:themeColor="text1"/>
          <w:lang w:val="en-GB"/>
        </w:rPr>
        <w:t xml:space="preserve"> and</w:t>
      </w:r>
      <w:r w:rsidR="002664FB">
        <w:rPr>
          <w:rFonts w:asciiTheme="minorHAnsi" w:eastAsiaTheme="minorEastAsia" w:hAnsiTheme="minorHAnsi" w:cstheme="minorBidi"/>
          <w:color w:val="000000" w:themeColor="text1"/>
          <w:lang w:val="en-GB"/>
        </w:rPr>
        <w:t xml:space="preserve"> </w:t>
      </w:r>
      <w:r w:rsidRPr="000A707E">
        <w:rPr>
          <w:rFonts w:asciiTheme="minorHAnsi" w:eastAsiaTheme="minorEastAsia" w:hAnsiTheme="minorHAnsi" w:cstheme="minorBidi"/>
          <w:color w:val="000000" w:themeColor="text1"/>
          <w:lang w:val="en-GB"/>
        </w:rPr>
        <w:t xml:space="preserve">the Carbon Capture, Use and Storage Hubs and Technology Program. This Government support aims to incentivise technology uptake by industry; however, it will need to be supplemented by support provided under the </w:t>
      </w:r>
      <w:r w:rsidR="00496CCB">
        <w:rPr>
          <w:rFonts w:asciiTheme="minorHAnsi" w:eastAsiaTheme="minorEastAsia" w:hAnsiTheme="minorHAnsi" w:cstheme="minorBidi"/>
          <w:color w:val="000000" w:themeColor="text1"/>
          <w:lang w:val="en-GB"/>
        </w:rPr>
        <w:t xml:space="preserve">proposed </w:t>
      </w:r>
      <w:r w:rsidR="00997136">
        <w:rPr>
          <w:rFonts w:asciiTheme="minorHAnsi" w:eastAsiaTheme="minorEastAsia" w:hAnsiTheme="minorHAnsi" w:cstheme="minorBidi"/>
          <w:color w:val="000000" w:themeColor="text1"/>
          <w:lang w:val="en-GB"/>
        </w:rPr>
        <w:t xml:space="preserve">CCS </w:t>
      </w:r>
      <w:r w:rsidRPr="000A707E">
        <w:rPr>
          <w:rFonts w:asciiTheme="minorHAnsi" w:eastAsiaTheme="minorEastAsia" w:hAnsiTheme="minorHAnsi" w:cstheme="minorBidi"/>
          <w:color w:val="000000" w:themeColor="text1"/>
          <w:lang w:val="en-GB"/>
        </w:rPr>
        <w:t>method, given the large scale and extensive investment required for CCS projects. Therefore</w:t>
      </w:r>
      <w:r>
        <w:rPr>
          <w:rFonts w:asciiTheme="minorHAnsi" w:eastAsiaTheme="minorEastAsia" w:hAnsiTheme="minorHAnsi" w:cstheme="minorBidi"/>
          <w:color w:val="000000" w:themeColor="text1"/>
          <w:lang w:val="en-GB"/>
        </w:rPr>
        <w:t>,</w:t>
      </w:r>
      <w:r w:rsidRPr="000A707E">
        <w:rPr>
          <w:rFonts w:asciiTheme="minorHAnsi" w:eastAsiaTheme="minorEastAsia" w:hAnsiTheme="minorHAnsi" w:cstheme="minorBidi"/>
          <w:color w:val="000000" w:themeColor="text1"/>
          <w:lang w:val="en-GB"/>
        </w:rPr>
        <w:t xml:space="preserve"> receiving this pre-operational support will not make projects ineligible under the E</w:t>
      </w:r>
      <w:r w:rsidR="00997136">
        <w:rPr>
          <w:rFonts w:asciiTheme="minorHAnsi" w:eastAsiaTheme="minorEastAsia" w:hAnsiTheme="minorHAnsi" w:cstheme="minorBidi"/>
          <w:color w:val="000000" w:themeColor="text1"/>
          <w:lang w:val="en-GB"/>
        </w:rPr>
        <w:t>RF</w:t>
      </w:r>
      <w:r w:rsidRPr="000A707E">
        <w:rPr>
          <w:rFonts w:asciiTheme="minorHAnsi" w:eastAsiaTheme="minorEastAsia" w:hAnsiTheme="minorHAnsi" w:cstheme="minorBidi"/>
          <w:color w:val="000000" w:themeColor="text1"/>
          <w:lang w:val="en-GB"/>
        </w:rPr>
        <w:t>.</w:t>
      </w:r>
    </w:p>
    <w:p w14:paraId="08DEA740" w14:textId="77777777" w:rsidR="00461BA0" w:rsidRDefault="006741DB" w:rsidP="00F82C01">
      <w:pPr>
        <w:pStyle w:val="Heading2"/>
      </w:pPr>
      <w:bookmarkStart w:id="22" w:name="_Toc75442788"/>
      <w:r>
        <w:t>Eligible project activities</w:t>
      </w:r>
      <w:bookmarkEnd w:id="22"/>
    </w:p>
    <w:p w14:paraId="2986A9F1" w14:textId="58673B24" w:rsidR="00A74C19" w:rsidRDefault="003D6547" w:rsidP="006741DB">
      <w:pPr>
        <w:jc w:val="both"/>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 xml:space="preserve">CCS projects must involve </w:t>
      </w:r>
      <w:r w:rsidRPr="000F545C">
        <w:rPr>
          <w:rFonts w:asciiTheme="minorHAnsi" w:eastAsiaTheme="minorEastAsia" w:hAnsiTheme="minorHAnsi" w:cstheme="minorBidi"/>
          <w:color w:val="000000" w:themeColor="text1"/>
          <w:lang w:val="en-GB"/>
        </w:rPr>
        <w:t>a</w:t>
      </w:r>
      <w:r w:rsidR="008C0F0E">
        <w:rPr>
          <w:rFonts w:asciiTheme="minorHAnsi" w:eastAsiaTheme="minorEastAsia" w:hAnsiTheme="minorHAnsi" w:cstheme="minorBidi"/>
          <w:color w:val="000000" w:themeColor="text1"/>
          <w:lang w:val="en-GB"/>
        </w:rPr>
        <w:t xml:space="preserve"> new </w:t>
      </w:r>
      <w:r w:rsidR="00BB4081">
        <w:rPr>
          <w:rFonts w:asciiTheme="minorHAnsi" w:eastAsiaTheme="minorEastAsia" w:hAnsiTheme="minorHAnsi" w:cstheme="minorBidi"/>
          <w:color w:val="000000" w:themeColor="text1"/>
          <w:lang w:val="en-GB"/>
        </w:rPr>
        <w:t>source of greenhouse gases</w:t>
      </w:r>
      <w:r w:rsidR="00151F1A">
        <w:rPr>
          <w:rFonts w:asciiTheme="minorHAnsi" w:eastAsiaTheme="minorEastAsia" w:hAnsiTheme="minorHAnsi" w:cstheme="minorBidi"/>
          <w:color w:val="000000" w:themeColor="text1"/>
          <w:lang w:val="en-GB"/>
        </w:rPr>
        <w:t xml:space="preserve"> captured for permanent storage</w:t>
      </w:r>
      <w:r w:rsidR="00BB4081">
        <w:rPr>
          <w:rFonts w:asciiTheme="minorHAnsi" w:eastAsiaTheme="minorEastAsia" w:hAnsiTheme="minorHAnsi" w:cstheme="minorBidi"/>
          <w:color w:val="000000" w:themeColor="text1"/>
          <w:lang w:val="en-GB"/>
        </w:rPr>
        <w:t xml:space="preserve">. </w:t>
      </w:r>
      <w:r w:rsidR="00247B35">
        <w:rPr>
          <w:rFonts w:asciiTheme="minorHAnsi" w:eastAsiaTheme="minorEastAsia" w:hAnsiTheme="minorHAnsi" w:cstheme="minorBidi"/>
          <w:color w:val="000000" w:themeColor="text1"/>
          <w:lang w:val="en-GB"/>
        </w:rPr>
        <w:t>This may</w:t>
      </w:r>
      <w:r w:rsidR="00F43E9B">
        <w:rPr>
          <w:rFonts w:asciiTheme="minorHAnsi" w:eastAsiaTheme="minorEastAsia" w:hAnsiTheme="minorHAnsi" w:cstheme="minorBidi"/>
          <w:color w:val="000000" w:themeColor="text1"/>
          <w:lang w:val="en-GB"/>
        </w:rPr>
        <w:t xml:space="preserve"> </w:t>
      </w:r>
      <w:r w:rsidR="00BB4081">
        <w:rPr>
          <w:rFonts w:asciiTheme="minorHAnsi" w:eastAsiaTheme="minorEastAsia" w:hAnsiTheme="minorHAnsi" w:cstheme="minorBidi"/>
          <w:color w:val="000000" w:themeColor="text1"/>
          <w:lang w:val="en-GB"/>
        </w:rPr>
        <w:t>involve a new</w:t>
      </w:r>
      <w:r w:rsidR="008C0F0E">
        <w:rPr>
          <w:rFonts w:asciiTheme="minorHAnsi" w:eastAsiaTheme="minorEastAsia" w:hAnsiTheme="minorHAnsi" w:cstheme="minorBidi"/>
          <w:color w:val="000000" w:themeColor="text1"/>
          <w:lang w:val="en-GB"/>
        </w:rPr>
        <w:t xml:space="preserve"> </w:t>
      </w:r>
      <w:r w:rsidR="008C0F0E" w:rsidRPr="00733124">
        <w:rPr>
          <w:rFonts w:asciiTheme="minorHAnsi" w:eastAsiaTheme="minorEastAsia" w:hAnsiTheme="minorHAnsi" w:cstheme="minorBidi"/>
          <w:i/>
          <w:iCs/>
          <w:color w:val="000000" w:themeColor="text1"/>
          <w:lang w:val="en-GB"/>
        </w:rPr>
        <w:t>capture point</w:t>
      </w:r>
      <w:r w:rsidRPr="000F545C">
        <w:rPr>
          <w:rFonts w:asciiTheme="minorHAnsi" w:eastAsiaTheme="minorEastAsia" w:hAnsiTheme="minorHAnsi" w:cstheme="minorBidi"/>
          <w:color w:val="000000" w:themeColor="text1"/>
          <w:lang w:val="en-GB"/>
        </w:rPr>
        <w:t>, which is any plant, building or equipment</w:t>
      </w:r>
      <w:r w:rsidR="00B75D04">
        <w:rPr>
          <w:rFonts w:asciiTheme="minorHAnsi" w:eastAsiaTheme="minorEastAsia" w:hAnsiTheme="minorHAnsi" w:cstheme="minorBidi"/>
          <w:color w:val="000000" w:themeColor="text1"/>
          <w:lang w:val="en-GB"/>
        </w:rPr>
        <w:t xml:space="preserve"> </w:t>
      </w:r>
      <w:r w:rsidR="00551A53" w:rsidRPr="000F545C">
        <w:rPr>
          <w:rFonts w:asciiTheme="minorHAnsi" w:eastAsiaTheme="minorEastAsia" w:hAnsiTheme="minorHAnsi" w:cstheme="minorBidi"/>
          <w:color w:val="000000" w:themeColor="text1"/>
          <w:lang w:val="en-GB"/>
        </w:rPr>
        <w:t xml:space="preserve">where </w:t>
      </w:r>
      <w:r w:rsidRPr="000F545C">
        <w:rPr>
          <w:rFonts w:asciiTheme="minorHAnsi" w:eastAsiaTheme="minorEastAsia" w:hAnsiTheme="minorHAnsi" w:cstheme="minorBidi"/>
          <w:color w:val="000000" w:themeColor="text1"/>
          <w:lang w:val="en-GB"/>
        </w:rPr>
        <w:t xml:space="preserve">greenhouse gases are captured </w:t>
      </w:r>
      <w:r w:rsidR="00551A53" w:rsidRPr="000F545C">
        <w:rPr>
          <w:rFonts w:asciiTheme="minorHAnsi" w:eastAsiaTheme="minorEastAsia" w:hAnsiTheme="minorHAnsi" w:cstheme="minorBidi"/>
          <w:color w:val="000000" w:themeColor="text1"/>
          <w:lang w:val="en-GB"/>
        </w:rPr>
        <w:t xml:space="preserve">for injection into a geological formation </w:t>
      </w:r>
      <w:r w:rsidRPr="000F545C">
        <w:rPr>
          <w:rFonts w:asciiTheme="minorHAnsi" w:eastAsiaTheme="minorEastAsia" w:hAnsiTheme="minorHAnsi" w:cstheme="minorBidi"/>
          <w:color w:val="000000" w:themeColor="text1"/>
          <w:lang w:val="en-GB"/>
        </w:rPr>
        <w:t>for permanent storage.</w:t>
      </w:r>
      <w:r w:rsidR="001C06AB" w:rsidRPr="000F545C">
        <w:rPr>
          <w:rStyle w:val="FootnoteReference"/>
          <w:rFonts w:asciiTheme="minorHAnsi" w:eastAsiaTheme="minorEastAsia" w:hAnsiTheme="minorHAnsi" w:cstheme="minorBidi"/>
          <w:color w:val="000000" w:themeColor="text1"/>
          <w:lang w:val="en-GB"/>
        </w:rPr>
        <w:footnoteReference w:id="11"/>
      </w:r>
      <w:r w:rsidR="00BB4081">
        <w:rPr>
          <w:rFonts w:asciiTheme="minorHAnsi" w:eastAsiaTheme="minorEastAsia" w:hAnsiTheme="minorHAnsi" w:cstheme="minorBidi"/>
          <w:color w:val="000000" w:themeColor="text1"/>
          <w:lang w:val="en-GB"/>
        </w:rPr>
        <w:t xml:space="preserve"> </w:t>
      </w:r>
      <w:r w:rsidR="003E44CA">
        <w:rPr>
          <w:rFonts w:asciiTheme="minorHAnsi" w:eastAsiaTheme="minorEastAsia" w:hAnsiTheme="minorHAnsi" w:cstheme="minorBidi"/>
          <w:color w:val="000000" w:themeColor="text1"/>
          <w:lang w:val="en-GB"/>
        </w:rPr>
        <w:t>For</w:t>
      </w:r>
      <w:r w:rsidR="00BB4081">
        <w:rPr>
          <w:rFonts w:asciiTheme="minorHAnsi" w:eastAsiaTheme="minorEastAsia" w:hAnsiTheme="minorHAnsi" w:cstheme="minorBidi"/>
          <w:color w:val="000000" w:themeColor="text1"/>
          <w:lang w:val="en-GB"/>
        </w:rPr>
        <w:t xml:space="preserve"> the oil and gas industry, </w:t>
      </w:r>
      <w:r w:rsidR="003E44CA">
        <w:rPr>
          <w:rFonts w:asciiTheme="minorHAnsi" w:eastAsiaTheme="minorEastAsia" w:hAnsiTheme="minorHAnsi" w:cstheme="minorBidi"/>
          <w:color w:val="000000" w:themeColor="text1"/>
          <w:lang w:val="en-GB"/>
        </w:rPr>
        <w:t>a new source of greenhouse gases</w:t>
      </w:r>
      <w:r w:rsidR="00BB4081">
        <w:rPr>
          <w:rFonts w:asciiTheme="minorHAnsi" w:eastAsiaTheme="minorEastAsia" w:hAnsiTheme="minorHAnsi" w:cstheme="minorBidi"/>
          <w:color w:val="000000" w:themeColor="text1"/>
          <w:lang w:val="en-GB"/>
        </w:rPr>
        <w:t xml:space="preserve"> can also </w:t>
      </w:r>
      <w:r w:rsidR="00151F1A">
        <w:rPr>
          <w:rFonts w:asciiTheme="minorHAnsi" w:eastAsiaTheme="minorEastAsia" w:hAnsiTheme="minorHAnsi" w:cstheme="minorBidi"/>
          <w:color w:val="000000" w:themeColor="text1"/>
          <w:lang w:val="en-GB"/>
        </w:rPr>
        <w:t xml:space="preserve">be </w:t>
      </w:r>
      <w:r w:rsidR="00BB4081">
        <w:rPr>
          <w:rFonts w:asciiTheme="minorHAnsi" w:eastAsiaTheme="minorEastAsia" w:hAnsiTheme="minorHAnsi" w:cstheme="minorBidi"/>
          <w:color w:val="000000" w:themeColor="text1"/>
          <w:lang w:val="en-GB"/>
        </w:rPr>
        <w:t xml:space="preserve">a </w:t>
      </w:r>
      <w:r w:rsidR="00B75D04">
        <w:rPr>
          <w:rFonts w:asciiTheme="minorHAnsi" w:eastAsiaTheme="minorEastAsia" w:hAnsiTheme="minorHAnsi" w:cstheme="minorBidi"/>
          <w:color w:val="000000" w:themeColor="text1"/>
          <w:lang w:val="en-GB"/>
        </w:rPr>
        <w:t xml:space="preserve">hydrocarbon </w:t>
      </w:r>
      <w:r w:rsidR="00BB4081">
        <w:rPr>
          <w:rFonts w:asciiTheme="minorHAnsi" w:eastAsiaTheme="minorEastAsia" w:hAnsiTheme="minorHAnsi" w:cstheme="minorBidi"/>
          <w:color w:val="000000" w:themeColor="text1"/>
          <w:lang w:val="en-GB"/>
        </w:rPr>
        <w:t xml:space="preserve">field </w:t>
      </w:r>
      <w:r w:rsidR="00B75D04">
        <w:rPr>
          <w:rFonts w:asciiTheme="minorHAnsi" w:eastAsiaTheme="minorEastAsia" w:hAnsiTheme="minorHAnsi" w:cstheme="minorBidi"/>
          <w:color w:val="000000" w:themeColor="text1"/>
          <w:lang w:val="en-GB"/>
        </w:rPr>
        <w:t xml:space="preserve">or basin </w:t>
      </w:r>
      <w:r w:rsidR="00905202">
        <w:rPr>
          <w:rFonts w:asciiTheme="minorHAnsi" w:eastAsiaTheme="minorEastAsia" w:hAnsiTheme="minorHAnsi" w:cstheme="minorBidi"/>
          <w:color w:val="000000" w:themeColor="text1"/>
          <w:lang w:val="en-GB"/>
        </w:rPr>
        <w:t>(</w:t>
      </w:r>
      <w:r w:rsidR="00542F6C">
        <w:rPr>
          <w:rFonts w:asciiTheme="minorHAnsi" w:eastAsiaTheme="minorEastAsia" w:hAnsiTheme="minorHAnsi" w:cstheme="minorBidi"/>
          <w:color w:val="000000" w:themeColor="text1"/>
          <w:lang w:val="en-GB"/>
        </w:rPr>
        <w:t>that has</w:t>
      </w:r>
      <w:r w:rsidR="00821538">
        <w:rPr>
          <w:rFonts w:asciiTheme="minorHAnsi" w:eastAsiaTheme="minorEastAsia" w:hAnsiTheme="minorHAnsi" w:cstheme="minorBidi"/>
          <w:color w:val="000000" w:themeColor="text1"/>
          <w:lang w:val="en-GB"/>
        </w:rPr>
        <w:t xml:space="preserve"> </w:t>
      </w:r>
      <w:r w:rsidR="00542F6C">
        <w:rPr>
          <w:rFonts w:asciiTheme="minorHAnsi" w:eastAsiaTheme="minorEastAsia" w:hAnsiTheme="minorHAnsi" w:cstheme="minorBidi"/>
          <w:color w:val="000000" w:themeColor="text1"/>
          <w:lang w:val="en-GB"/>
        </w:rPr>
        <w:t>n</w:t>
      </w:r>
      <w:r w:rsidR="00821538">
        <w:rPr>
          <w:rFonts w:asciiTheme="minorHAnsi" w:eastAsiaTheme="minorEastAsia" w:hAnsiTheme="minorHAnsi" w:cstheme="minorBidi"/>
          <w:color w:val="000000" w:themeColor="text1"/>
          <w:lang w:val="en-GB"/>
        </w:rPr>
        <w:t>o</w:t>
      </w:r>
      <w:r w:rsidR="00542F6C">
        <w:rPr>
          <w:rFonts w:asciiTheme="minorHAnsi" w:eastAsiaTheme="minorEastAsia" w:hAnsiTheme="minorHAnsi" w:cstheme="minorBidi"/>
          <w:color w:val="000000" w:themeColor="text1"/>
          <w:lang w:val="en-GB"/>
        </w:rPr>
        <w:t>t previously been used as an ERF CCS project</w:t>
      </w:r>
      <w:r w:rsidR="00905202">
        <w:rPr>
          <w:rFonts w:asciiTheme="minorHAnsi" w:eastAsiaTheme="minorEastAsia" w:hAnsiTheme="minorHAnsi" w:cstheme="minorBidi"/>
          <w:color w:val="000000" w:themeColor="text1"/>
          <w:lang w:val="en-GB"/>
        </w:rPr>
        <w:t>)</w:t>
      </w:r>
      <w:r w:rsidR="00542F6C">
        <w:rPr>
          <w:rFonts w:asciiTheme="minorHAnsi" w:eastAsiaTheme="minorEastAsia" w:hAnsiTheme="minorHAnsi" w:cstheme="minorBidi"/>
          <w:color w:val="000000" w:themeColor="text1"/>
          <w:lang w:val="en-GB"/>
        </w:rPr>
        <w:t xml:space="preserve"> </w:t>
      </w:r>
      <w:r w:rsidR="00BB4081">
        <w:rPr>
          <w:rFonts w:asciiTheme="minorHAnsi" w:eastAsiaTheme="minorEastAsia" w:hAnsiTheme="minorHAnsi" w:cstheme="minorBidi"/>
          <w:color w:val="000000" w:themeColor="text1"/>
          <w:lang w:val="en-GB"/>
        </w:rPr>
        <w:t>using an existing capture point.</w:t>
      </w:r>
    </w:p>
    <w:p w14:paraId="50A05353" w14:textId="44DCA801" w:rsidR="0091088F" w:rsidRDefault="00A74C19" w:rsidP="006741DB">
      <w:pPr>
        <w:jc w:val="both"/>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 xml:space="preserve">This </w:t>
      </w:r>
      <w:r w:rsidR="00B71E1D">
        <w:rPr>
          <w:rFonts w:asciiTheme="minorHAnsi" w:eastAsiaTheme="minorEastAsia" w:hAnsiTheme="minorHAnsi" w:cstheme="minorBidi"/>
          <w:color w:val="000000" w:themeColor="text1"/>
          <w:lang w:val="en-GB"/>
        </w:rPr>
        <w:t>provides for greater flexibility</w:t>
      </w:r>
      <w:r>
        <w:rPr>
          <w:rFonts w:asciiTheme="minorHAnsi" w:eastAsiaTheme="minorEastAsia" w:hAnsiTheme="minorHAnsi" w:cstheme="minorBidi"/>
          <w:color w:val="000000" w:themeColor="text1"/>
          <w:lang w:val="en-GB"/>
        </w:rPr>
        <w:t xml:space="preserve"> as project</w:t>
      </w:r>
      <w:r w:rsidR="00D25048">
        <w:rPr>
          <w:rFonts w:asciiTheme="minorHAnsi" w:eastAsiaTheme="minorEastAsia" w:hAnsiTheme="minorHAnsi" w:cstheme="minorBidi"/>
          <w:color w:val="000000" w:themeColor="text1"/>
          <w:lang w:val="en-GB"/>
        </w:rPr>
        <w:t>s</w:t>
      </w:r>
      <w:r>
        <w:rPr>
          <w:rFonts w:asciiTheme="minorHAnsi" w:eastAsiaTheme="minorEastAsia" w:hAnsiTheme="minorHAnsi" w:cstheme="minorBidi"/>
          <w:color w:val="000000" w:themeColor="text1"/>
          <w:lang w:val="en-GB"/>
        </w:rPr>
        <w:t xml:space="preserve"> </w:t>
      </w:r>
      <w:r w:rsidR="00D25048">
        <w:rPr>
          <w:rFonts w:asciiTheme="minorHAnsi" w:eastAsiaTheme="minorEastAsia" w:hAnsiTheme="minorHAnsi" w:cstheme="minorBidi"/>
          <w:color w:val="000000" w:themeColor="text1"/>
          <w:lang w:val="en-GB"/>
        </w:rPr>
        <w:t>are</w:t>
      </w:r>
      <w:r>
        <w:rPr>
          <w:rFonts w:asciiTheme="minorHAnsi" w:eastAsiaTheme="minorEastAsia" w:hAnsiTheme="minorHAnsi" w:cstheme="minorBidi"/>
          <w:color w:val="000000" w:themeColor="text1"/>
          <w:lang w:val="en-GB"/>
        </w:rPr>
        <w:t xml:space="preserve"> tied to a new </w:t>
      </w:r>
      <w:r w:rsidR="00D25048">
        <w:rPr>
          <w:rFonts w:asciiTheme="minorHAnsi" w:eastAsiaTheme="minorEastAsia" w:hAnsiTheme="minorHAnsi" w:cstheme="minorBidi"/>
          <w:color w:val="000000" w:themeColor="text1"/>
          <w:lang w:val="en-GB"/>
        </w:rPr>
        <w:t>greenhouse gas source</w:t>
      </w:r>
      <w:r>
        <w:rPr>
          <w:rFonts w:asciiTheme="minorHAnsi" w:eastAsiaTheme="minorEastAsia" w:hAnsiTheme="minorHAnsi" w:cstheme="minorBidi"/>
          <w:color w:val="000000" w:themeColor="text1"/>
          <w:lang w:val="en-GB"/>
        </w:rPr>
        <w:t xml:space="preserve"> </w:t>
      </w:r>
      <w:r w:rsidRPr="000F545C">
        <w:rPr>
          <w:rFonts w:asciiTheme="minorHAnsi" w:eastAsiaTheme="minorEastAsia" w:hAnsiTheme="minorHAnsi" w:cstheme="minorBidi"/>
          <w:color w:val="000000" w:themeColor="text1"/>
          <w:lang w:val="en-GB"/>
        </w:rPr>
        <w:t>rather</w:t>
      </w:r>
      <w:r>
        <w:rPr>
          <w:rFonts w:asciiTheme="minorHAnsi" w:eastAsiaTheme="minorEastAsia" w:hAnsiTheme="minorHAnsi" w:cstheme="minorBidi"/>
          <w:color w:val="000000" w:themeColor="text1"/>
          <w:lang w:val="en-GB"/>
        </w:rPr>
        <w:t xml:space="preserve"> than a </w:t>
      </w:r>
      <w:r w:rsidR="00D25048">
        <w:rPr>
          <w:rFonts w:asciiTheme="minorHAnsi" w:eastAsiaTheme="minorEastAsia" w:hAnsiTheme="minorHAnsi" w:cstheme="minorBidi"/>
          <w:color w:val="000000" w:themeColor="text1"/>
          <w:lang w:val="en-GB"/>
        </w:rPr>
        <w:t xml:space="preserve">particular </w:t>
      </w:r>
      <w:r>
        <w:rPr>
          <w:rFonts w:asciiTheme="minorHAnsi" w:eastAsiaTheme="minorEastAsia" w:hAnsiTheme="minorHAnsi" w:cstheme="minorBidi"/>
          <w:color w:val="000000" w:themeColor="text1"/>
          <w:lang w:val="en-GB"/>
        </w:rPr>
        <w:t xml:space="preserve">storage site. </w:t>
      </w:r>
      <w:r w:rsidR="00B71E1D">
        <w:rPr>
          <w:rFonts w:asciiTheme="minorHAnsi" w:eastAsiaTheme="minorEastAsia" w:hAnsiTheme="minorHAnsi" w:cstheme="minorBidi"/>
          <w:color w:val="000000" w:themeColor="text1"/>
          <w:lang w:val="en-GB"/>
        </w:rPr>
        <w:t>I</w:t>
      </w:r>
      <w:r>
        <w:rPr>
          <w:rFonts w:asciiTheme="minorHAnsi" w:eastAsiaTheme="minorEastAsia" w:hAnsiTheme="minorHAnsi" w:cstheme="minorBidi"/>
          <w:color w:val="000000" w:themeColor="text1"/>
          <w:lang w:val="en-GB"/>
        </w:rPr>
        <w:t xml:space="preserve">t allows </w:t>
      </w:r>
      <w:r w:rsidR="00B71E1D">
        <w:rPr>
          <w:rFonts w:asciiTheme="minorHAnsi" w:eastAsiaTheme="minorEastAsia" w:hAnsiTheme="minorHAnsi" w:cstheme="minorBidi"/>
          <w:color w:val="000000" w:themeColor="text1"/>
          <w:lang w:val="en-GB"/>
        </w:rPr>
        <w:t xml:space="preserve">entirely </w:t>
      </w:r>
      <w:r>
        <w:rPr>
          <w:rFonts w:asciiTheme="minorHAnsi" w:eastAsiaTheme="minorEastAsia" w:hAnsiTheme="minorHAnsi" w:cstheme="minorBidi"/>
          <w:color w:val="000000" w:themeColor="text1"/>
          <w:lang w:val="en-GB"/>
        </w:rPr>
        <w:t xml:space="preserve">new facilities </w:t>
      </w:r>
      <w:r w:rsidR="00B71E1D">
        <w:rPr>
          <w:rFonts w:asciiTheme="minorHAnsi" w:eastAsiaTheme="minorEastAsia" w:hAnsiTheme="minorHAnsi" w:cstheme="minorBidi"/>
          <w:color w:val="000000" w:themeColor="text1"/>
          <w:lang w:val="en-GB"/>
        </w:rPr>
        <w:t>to be</w:t>
      </w:r>
      <w:r>
        <w:rPr>
          <w:rFonts w:asciiTheme="minorHAnsi" w:eastAsiaTheme="minorEastAsia" w:hAnsiTheme="minorHAnsi" w:cstheme="minorBidi"/>
          <w:color w:val="000000" w:themeColor="text1"/>
          <w:lang w:val="en-GB"/>
        </w:rPr>
        <w:t xml:space="preserve"> added to an existing CCS storage site </w:t>
      </w:r>
      <w:r w:rsidR="00B71E1D">
        <w:rPr>
          <w:rFonts w:asciiTheme="minorHAnsi" w:eastAsiaTheme="minorEastAsia" w:hAnsiTheme="minorHAnsi" w:cstheme="minorBidi"/>
          <w:color w:val="000000" w:themeColor="text1"/>
          <w:lang w:val="en-GB"/>
        </w:rPr>
        <w:t>and</w:t>
      </w:r>
      <w:r>
        <w:rPr>
          <w:rFonts w:asciiTheme="minorHAnsi" w:eastAsiaTheme="minorEastAsia" w:hAnsiTheme="minorHAnsi" w:cstheme="minorBidi"/>
          <w:color w:val="000000" w:themeColor="text1"/>
          <w:lang w:val="en-GB"/>
        </w:rPr>
        <w:t xml:space="preserve"> registered as a new project with a new crediting period</w:t>
      </w:r>
      <w:r w:rsidR="00821538">
        <w:rPr>
          <w:rFonts w:asciiTheme="minorHAnsi" w:eastAsiaTheme="minorEastAsia" w:hAnsiTheme="minorHAnsi" w:cstheme="minorBidi"/>
          <w:color w:val="000000" w:themeColor="text1"/>
          <w:lang w:val="en-GB"/>
        </w:rPr>
        <w:t xml:space="preserve">. This arrangement is </w:t>
      </w:r>
      <w:r w:rsidR="00B71E1D">
        <w:rPr>
          <w:rFonts w:asciiTheme="minorHAnsi" w:eastAsiaTheme="minorEastAsia" w:hAnsiTheme="minorHAnsi" w:cstheme="minorBidi"/>
          <w:color w:val="000000" w:themeColor="text1"/>
          <w:lang w:val="en-GB"/>
        </w:rPr>
        <w:t xml:space="preserve">commonly referred to as </w:t>
      </w:r>
      <w:r w:rsidR="00821538">
        <w:rPr>
          <w:rFonts w:asciiTheme="minorHAnsi" w:eastAsiaTheme="minorEastAsia" w:hAnsiTheme="minorHAnsi" w:cstheme="minorBidi"/>
          <w:color w:val="000000" w:themeColor="text1"/>
          <w:lang w:val="en-GB"/>
        </w:rPr>
        <w:t xml:space="preserve">a </w:t>
      </w:r>
      <w:r w:rsidR="00B71E1D">
        <w:rPr>
          <w:rFonts w:asciiTheme="minorHAnsi" w:eastAsiaTheme="minorEastAsia" w:hAnsiTheme="minorHAnsi" w:cstheme="minorBidi"/>
          <w:color w:val="000000" w:themeColor="text1"/>
          <w:lang w:val="en-GB"/>
        </w:rPr>
        <w:t>hub and spoke project</w:t>
      </w:r>
      <w:r>
        <w:rPr>
          <w:rFonts w:asciiTheme="minorHAnsi" w:eastAsiaTheme="minorEastAsia" w:hAnsiTheme="minorHAnsi" w:cstheme="minorBidi"/>
          <w:color w:val="000000" w:themeColor="text1"/>
          <w:lang w:val="en-GB"/>
        </w:rPr>
        <w:t xml:space="preserve">. Similarly, an existing facility may </w:t>
      </w:r>
      <w:r w:rsidR="0091088F">
        <w:rPr>
          <w:rFonts w:asciiTheme="minorHAnsi" w:eastAsiaTheme="minorEastAsia" w:hAnsiTheme="minorHAnsi" w:cstheme="minorBidi"/>
          <w:color w:val="000000" w:themeColor="text1"/>
          <w:lang w:val="en-GB"/>
        </w:rPr>
        <w:t xml:space="preserve">expand to include a new </w:t>
      </w:r>
      <w:r w:rsidR="000F545C">
        <w:rPr>
          <w:rFonts w:asciiTheme="minorHAnsi" w:eastAsiaTheme="minorEastAsia" w:hAnsiTheme="minorHAnsi" w:cstheme="minorBidi"/>
          <w:color w:val="000000" w:themeColor="text1"/>
          <w:lang w:val="en-GB"/>
        </w:rPr>
        <w:t>capture point</w:t>
      </w:r>
      <w:r w:rsidR="0091088F">
        <w:rPr>
          <w:rFonts w:asciiTheme="minorHAnsi" w:eastAsiaTheme="minorEastAsia" w:hAnsiTheme="minorHAnsi" w:cstheme="minorBidi"/>
          <w:color w:val="000000" w:themeColor="text1"/>
          <w:lang w:val="en-GB"/>
        </w:rPr>
        <w:t xml:space="preserve"> and this new </w:t>
      </w:r>
      <w:r w:rsidR="000F545C">
        <w:rPr>
          <w:rFonts w:asciiTheme="minorHAnsi" w:eastAsiaTheme="minorEastAsia" w:hAnsiTheme="minorHAnsi" w:cstheme="minorBidi"/>
          <w:color w:val="000000" w:themeColor="text1"/>
          <w:lang w:val="en-GB"/>
        </w:rPr>
        <w:t>capture point</w:t>
      </w:r>
      <w:r w:rsidR="0091088F">
        <w:rPr>
          <w:rFonts w:asciiTheme="minorHAnsi" w:eastAsiaTheme="minorEastAsia" w:hAnsiTheme="minorHAnsi" w:cstheme="minorBidi"/>
          <w:color w:val="000000" w:themeColor="text1"/>
          <w:lang w:val="en-GB"/>
        </w:rPr>
        <w:t xml:space="preserve"> can be registered as a new project. </w:t>
      </w:r>
    </w:p>
    <w:p w14:paraId="439889DE" w14:textId="3C9E66A0" w:rsidR="00EF6C4B" w:rsidRDefault="0091088F" w:rsidP="006741DB">
      <w:pPr>
        <w:jc w:val="both"/>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In both cases</w:t>
      </w:r>
      <w:r w:rsidR="00823CA4">
        <w:rPr>
          <w:rFonts w:asciiTheme="minorHAnsi" w:eastAsiaTheme="minorEastAsia" w:hAnsiTheme="minorHAnsi" w:cstheme="minorBidi"/>
          <w:color w:val="000000" w:themeColor="text1"/>
          <w:lang w:val="en-GB"/>
        </w:rPr>
        <w:t>,</w:t>
      </w:r>
      <w:r>
        <w:rPr>
          <w:rFonts w:asciiTheme="minorHAnsi" w:eastAsiaTheme="minorEastAsia" w:hAnsiTheme="minorHAnsi" w:cstheme="minorBidi"/>
          <w:color w:val="000000" w:themeColor="text1"/>
          <w:lang w:val="en-GB"/>
        </w:rPr>
        <w:t xml:space="preserve"> the initial project continues with its existing crediting period</w:t>
      </w:r>
      <w:r w:rsidR="007143DD">
        <w:rPr>
          <w:rFonts w:asciiTheme="minorHAnsi" w:eastAsiaTheme="minorEastAsia" w:hAnsiTheme="minorHAnsi" w:cstheme="minorBidi"/>
          <w:color w:val="000000" w:themeColor="text1"/>
          <w:lang w:val="en-GB"/>
        </w:rPr>
        <w:t>, which</w:t>
      </w:r>
      <w:r>
        <w:rPr>
          <w:rFonts w:asciiTheme="minorHAnsi" w:eastAsiaTheme="minorEastAsia" w:hAnsiTheme="minorHAnsi" w:cstheme="minorBidi"/>
          <w:color w:val="000000" w:themeColor="text1"/>
          <w:lang w:val="en-GB"/>
        </w:rPr>
        <w:t xml:space="preserve"> is unaffected by any subsequent projects that share the same storage site</w:t>
      </w:r>
      <w:r w:rsidR="00542F6C">
        <w:rPr>
          <w:rFonts w:asciiTheme="minorHAnsi" w:eastAsiaTheme="minorEastAsia" w:hAnsiTheme="minorHAnsi" w:cstheme="minorBidi"/>
          <w:color w:val="000000" w:themeColor="text1"/>
          <w:lang w:val="en-GB"/>
        </w:rPr>
        <w:t xml:space="preserve"> or capture point</w:t>
      </w:r>
      <w:r w:rsidR="00821538">
        <w:rPr>
          <w:rStyle w:val="FootnoteReference"/>
          <w:rFonts w:asciiTheme="minorHAnsi" w:eastAsiaTheme="minorEastAsia" w:hAnsiTheme="minorHAnsi" w:cstheme="minorBidi"/>
          <w:color w:val="000000" w:themeColor="text1"/>
          <w:lang w:val="en-GB"/>
        </w:rPr>
        <w:footnoteReference w:id="12"/>
      </w:r>
      <w:r>
        <w:rPr>
          <w:rFonts w:asciiTheme="minorHAnsi" w:eastAsiaTheme="minorEastAsia" w:hAnsiTheme="minorHAnsi" w:cstheme="minorBidi"/>
          <w:color w:val="000000" w:themeColor="text1"/>
          <w:lang w:val="en-GB"/>
        </w:rPr>
        <w:t>.</w:t>
      </w:r>
      <w:r w:rsidR="00A74C19">
        <w:rPr>
          <w:rFonts w:asciiTheme="minorHAnsi" w:eastAsiaTheme="minorEastAsia" w:hAnsiTheme="minorHAnsi" w:cstheme="minorBidi"/>
          <w:color w:val="000000" w:themeColor="text1"/>
          <w:lang w:val="en-GB"/>
        </w:rPr>
        <w:t xml:space="preserve"> </w:t>
      </w:r>
      <w:r>
        <w:rPr>
          <w:rFonts w:asciiTheme="minorHAnsi" w:eastAsiaTheme="minorEastAsia" w:hAnsiTheme="minorHAnsi" w:cstheme="minorBidi"/>
          <w:color w:val="000000" w:themeColor="text1"/>
          <w:lang w:val="en-GB"/>
        </w:rPr>
        <w:t xml:space="preserve">However, all projects </w:t>
      </w:r>
      <w:r w:rsidR="009C6637">
        <w:rPr>
          <w:rFonts w:asciiTheme="minorHAnsi" w:eastAsiaTheme="minorEastAsia" w:hAnsiTheme="minorHAnsi" w:cstheme="minorBidi"/>
          <w:color w:val="000000" w:themeColor="text1"/>
          <w:lang w:val="en-GB"/>
        </w:rPr>
        <w:t>must be metered s</w:t>
      </w:r>
      <w:r w:rsidR="000F545C">
        <w:rPr>
          <w:rFonts w:asciiTheme="minorHAnsi" w:eastAsiaTheme="minorEastAsia" w:hAnsiTheme="minorHAnsi" w:cstheme="minorBidi"/>
          <w:color w:val="000000" w:themeColor="text1"/>
          <w:lang w:val="en-GB"/>
        </w:rPr>
        <w:t xml:space="preserve">o </w:t>
      </w:r>
      <w:r w:rsidR="009C6637">
        <w:rPr>
          <w:rFonts w:asciiTheme="minorHAnsi" w:eastAsiaTheme="minorEastAsia" w:hAnsiTheme="minorHAnsi" w:cstheme="minorBidi"/>
          <w:color w:val="000000" w:themeColor="text1"/>
          <w:lang w:val="en-GB"/>
        </w:rPr>
        <w:t xml:space="preserve">that project abatement for </w:t>
      </w:r>
      <w:r w:rsidR="00823CA4">
        <w:rPr>
          <w:rFonts w:asciiTheme="minorHAnsi" w:eastAsiaTheme="minorEastAsia" w:hAnsiTheme="minorHAnsi" w:cstheme="minorBidi"/>
          <w:color w:val="000000" w:themeColor="text1"/>
          <w:lang w:val="en-GB"/>
        </w:rPr>
        <w:t xml:space="preserve">each </w:t>
      </w:r>
      <w:r w:rsidR="009C6637">
        <w:rPr>
          <w:rFonts w:asciiTheme="minorHAnsi" w:eastAsiaTheme="minorEastAsia" w:hAnsiTheme="minorHAnsi" w:cstheme="minorBidi"/>
          <w:color w:val="000000" w:themeColor="text1"/>
          <w:lang w:val="en-GB"/>
        </w:rPr>
        <w:t xml:space="preserve">project can be separately </w:t>
      </w:r>
      <w:r w:rsidR="00693000">
        <w:rPr>
          <w:rFonts w:asciiTheme="minorHAnsi" w:eastAsiaTheme="minorEastAsia" w:hAnsiTheme="minorHAnsi" w:cstheme="minorBidi"/>
          <w:color w:val="000000" w:themeColor="text1"/>
          <w:lang w:val="en-GB"/>
        </w:rPr>
        <w:t>calculated, including both greenhouse gases captured and project emissions.</w:t>
      </w:r>
      <w:r w:rsidR="00C21D99">
        <w:rPr>
          <w:rFonts w:asciiTheme="minorHAnsi" w:eastAsiaTheme="minorEastAsia" w:hAnsiTheme="minorHAnsi" w:cstheme="minorBidi"/>
          <w:color w:val="000000" w:themeColor="text1"/>
          <w:lang w:val="en-GB"/>
        </w:rPr>
        <w:t xml:space="preserve"> This is to ensure that </w:t>
      </w:r>
      <w:r>
        <w:rPr>
          <w:rFonts w:asciiTheme="minorHAnsi" w:eastAsiaTheme="minorEastAsia" w:hAnsiTheme="minorHAnsi" w:cstheme="minorBidi"/>
          <w:color w:val="000000" w:themeColor="text1"/>
          <w:lang w:val="en-GB"/>
        </w:rPr>
        <w:t>each project receives the appropriate number of ACCUs</w:t>
      </w:r>
      <w:r w:rsidR="00FB30E2">
        <w:rPr>
          <w:rFonts w:asciiTheme="minorHAnsi" w:eastAsiaTheme="minorEastAsia" w:hAnsiTheme="minorHAnsi" w:cstheme="minorBidi"/>
          <w:color w:val="000000" w:themeColor="text1"/>
          <w:lang w:val="en-GB"/>
        </w:rPr>
        <w:t xml:space="preserve"> and that only the new project receives a new crediting period</w:t>
      </w:r>
      <w:r w:rsidR="00C21D99">
        <w:rPr>
          <w:rFonts w:asciiTheme="minorHAnsi" w:eastAsiaTheme="minorEastAsia" w:hAnsiTheme="minorHAnsi" w:cstheme="minorBidi"/>
          <w:color w:val="000000" w:themeColor="text1"/>
          <w:lang w:val="en-GB"/>
        </w:rPr>
        <w:t xml:space="preserve">. </w:t>
      </w:r>
    </w:p>
    <w:tbl>
      <w:tblPr>
        <w:tblStyle w:val="TableGrid"/>
        <w:tblW w:w="0" w:type="auto"/>
        <w:tblLook w:val="0420" w:firstRow="1" w:lastRow="0" w:firstColumn="0" w:lastColumn="0" w:noHBand="0" w:noVBand="1"/>
      </w:tblPr>
      <w:tblGrid>
        <w:gridCol w:w="9016"/>
      </w:tblGrid>
      <w:tr w:rsidR="0091088F" w14:paraId="1C0AB934" w14:textId="77777777" w:rsidTr="00281D04">
        <w:tc>
          <w:tcPr>
            <w:tcW w:w="9016" w:type="dxa"/>
            <w:shd w:val="clear" w:color="auto" w:fill="FFF2CC" w:themeFill="accent4" w:themeFillTint="33"/>
          </w:tcPr>
          <w:p w14:paraId="5B2AE307" w14:textId="3321077A" w:rsidR="0091088F" w:rsidRPr="00A81DB2" w:rsidRDefault="0091088F" w:rsidP="00281D04">
            <w:pPr>
              <w:jc w:val="both"/>
              <w:rPr>
                <w:rFonts w:asciiTheme="minorHAnsi" w:eastAsiaTheme="minorEastAsia" w:hAnsiTheme="minorHAnsi" w:cstheme="minorBidi"/>
                <w:color w:val="000000" w:themeColor="text1"/>
                <w:sz w:val="22"/>
                <w:szCs w:val="22"/>
                <w:lang w:val="en-GB"/>
              </w:rPr>
            </w:pPr>
            <w:r w:rsidRPr="00795F20">
              <w:rPr>
                <w:rFonts w:asciiTheme="minorHAnsi" w:eastAsiaTheme="minorEastAsia" w:hAnsiTheme="minorHAnsi" w:cstheme="minorBidi"/>
                <w:b/>
                <w:bCs/>
                <w:color w:val="000000" w:themeColor="text1"/>
                <w:sz w:val="22"/>
                <w:szCs w:val="22"/>
                <w:lang w:val="en-GB"/>
              </w:rPr>
              <w:lastRenderedPageBreak/>
              <w:t>Example:</w:t>
            </w:r>
            <w:r w:rsidRPr="00A81DB2">
              <w:rPr>
                <w:rFonts w:asciiTheme="minorHAnsi" w:eastAsiaTheme="minorEastAsia" w:hAnsiTheme="minorHAnsi" w:cstheme="minorBidi"/>
                <w:color w:val="000000" w:themeColor="text1"/>
                <w:sz w:val="22"/>
                <w:szCs w:val="22"/>
                <w:lang w:val="en-GB"/>
              </w:rPr>
              <w:t xml:space="preserve"> A </w:t>
            </w:r>
            <w:r w:rsidR="007C0EAE">
              <w:rPr>
                <w:rFonts w:asciiTheme="minorHAnsi" w:eastAsiaTheme="minorEastAsia" w:hAnsiTheme="minorHAnsi" w:cstheme="minorBidi"/>
                <w:color w:val="000000" w:themeColor="text1"/>
                <w:sz w:val="22"/>
                <w:szCs w:val="22"/>
                <w:lang w:val="en-GB"/>
              </w:rPr>
              <w:t>L</w:t>
            </w:r>
            <w:r w:rsidR="00CF7BFA">
              <w:rPr>
                <w:rFonts w:asciiTheme="minorHAnsi" w:eastAsiaTheme="minorEastAsia" w:hAnsiTheme="minorHAnsi" w:cstheme="minorBidi"/>
                <w:color w:val="000000" w:themeColor="text1"/>
                <w:sz w:val="22"/>
                <w:szCs w:val="22"/>
                <w:lang w:val="en-GB"/>
              </w:rPr>
              <w:t xml:space="preserve">iquefied </w:t>
            </w:r>
            <w:r w:rsidR="007C0EAE">
              <w:rPr>
                <w:rFonts w:asciiTheme="minorHAnsi" w:eastAsiaTheme="minorEastAsia" w:hAnsiTheme="minorHAnsi" w:cstheme="minorBidi"/>
                <w:color w:val="000000" w:themeColor="text1"/>
                <w:sz w:val="22"/>
                <w:szCs w:val="22"/>
                <w:lang w:val="en-GB"/>
              </w:rPr>
              <w:t>N</w:t>
            </w:r>
            <w:r w:rsidR="00CF7BFA">
              <w:rPr>
                <w:rFonts w:asciiTheme="minorHAnsi" w:eastAsiaTheme="minorEastAsia" w:hAnsiTheme="minorHAnsi" w:cstheme="minorBidi"/>
                <w:color w:val="000000" w:themeColor="text1"/>
                <w:sz w:val="22"/>
                <w:szCs w:val="22"/>
                <w:lang w:val="en-GB"/>
              </w:rPr>
              <w:t xml:space="preserve">atural </w:t>
            </w:r>
            <w:r w:rsidR="007C0EAE">
              <w:rPr>
                <w:rFonts w:asciiTheme="minorHAnsi" w:eastAsiaTheme="minorEastAsia" w:hAnsiTheme="minorHAnsi" w:cstheme="minorBidi"/>
                <w:color w:val="000000" w:themeColor="text1"/>
                <w:sz w:val="22"/>
                <w:szCs w:val="22"/>
                <w:lang w:val="en-GB"/>
              </w:rPr>
              <w:t>G</w:t>
            </w:r>
            <w:r w:rsidR="00CF7BFA">
              <w:rPr>
                <w:rFonts w:asciiTheme="minorHAnsi" w:eastAsiaTheme="minorEastAsia" w:hAnsiTheme="minorHAnsi" w:cstheme="minorBidi"/>
                <w:color w:val="000000" w:themeColor="text1"/>
                <w:sz w:val="22"/>
                <w:szCs w:val="22"/>
                <w:lang w:val="en-GB"/>
              </w:rPr>
              <w:t>as</w:t>
            </w:r>
            <w:r w:rsidRPr="00A81DB2">
              <w:rPr>
                <w:rFonts w:asciiTheme="minorHAnsi" w:eastAsiaTheme="minorEastAsia" w:hAnsiTheme="minorHAnsi" w:cstheme="minorBidi"/>
                <w:color w:val="000000" w:themeColor="text1"/>
                <w:sz w:val="22"/>
                <w:szCs w:val="22"/>
                <w:lang w:val="en-GB"/>
              </w:rPr>
              <w:t xml:space="preserve"> facility </w:t>
            </w:r>
            <w:r>
              <w:rPr>
                <w:rFonts w:asciiTheme="minorHAnsi" w:eastAsiaTheme="minorEastAsia" w:hAnsiTheme="minorHAnsi" w:cstheme="minorBidi"/>
                <w:color w:val="000000" w:themeColor="text1"/>
                <w:sz w:val="22"/>
                <w:szCs w:val="22"/>
                <w:lang w:val="en-GB"/>
              </w:rPr>
              <w:t xml:space="preserve">has a </w:t>
            </w:r>
            <w:r w:rsidRPr="00A81DB2">
              <w:rPr>
                <w:rFonts w:asciiTheme="minorHAnsi" w:eastAsiaTheme="minorEastAsia" w:hAnsiTheme="minorHAnsi" w:cstheme="minorBidi"/>
                <w:color w:val="000000" w:themeColor="text1"/>
                <w:sz w:val="22"/>
                <w:szCs w:val="22"/>
                <w:lang w:val="en-GB"/>
              </w:rPr>
              <w:t>register</w:t>
            </w:r>
            <w:r>
              <w:rPr>
                <w:rFonts w:asciiTheme="minorHAnsi" w:eastAsiaTheme="minorEastAsia" w:hAnsiTheme="minorHAnsi" w:cstheme="minorBidi"/>
                <w:color w:val="000000" w:themeColor="text1"/>
                <w:sz w:val="22"/>
                <w:szCs w:val="22"/>
                <w:lang w:val="en-GB"/>
              </w:rPr>
              <w:t xml:space="preserve">ed </w:t>
            </w:r>
            <w:r w:rsidRPr="00A81DB2">
              <w:rPr>
                <w:rFonts w:asciiTheme="minorHAnsi" w:eastAsiaTheme="minorEastAsia" w:hAnsiTheme="minorHAnsi" w:cstheme="minorBidi"/>
                <w:color w:val="000000" w:themeColor="text1"/>
                <w:sz w:val="22"/>
                <w:szCs w:val="22"/>
                <w:lang w:val="en-GB"/>
              </w:rPr>
              <w:t>CCS project</w:t>
            </w:r>
            <w:r>
              <w:rPr>
                <w:rFonts w:asciiTheme="minorHAnsi" w:eastAsiaTheme="minorEastAsia" w:hAnsiTheme="minorHAnsi" w:cstheme="minorBidi"/>
                <w:color w:val="000000" w:themeColor="text1"/>
                <w:sz w:val="22"/>
                <w:szCs w:val="22"/>
                <w:lang w:val="en-GB"/>
              </w:rPr>
              <w:t xml:space="preserve">. The facility starts </w:t>
            </w:r>
            <w:r w:rsidRPr="00A81DB2">
              <w:rPr>
                <w:rFonts w:asciiTheme="minorHAnsi" w:eastAsiaTheme="minorEastAsia" w:hAnsiTheme="minorHAnsi" w:cstheme="minorBidi"/>
                <w:color w:val="000000" w:themeColor="text1"/>
                <w:sz w:val="22"/>
                <w:szCs w:val="22"/>
                <w:lang w:val="en-GB"/>
              </w:rPr>
              <w:t xml:space="preserve">injecting its </w:t>
            </w:r>
            <w:r w:rsidR="00821538">
              <w:rPr>
                <w:rFonts w:asciiTheme="minorHAnsi" w:eastAsiaTheme="minorEastAsia" w:hAnsiTheme="minorHAnsi" w:cstheme="minorBidi"/>
                <w:color w:val="000000" w:themeColor="text1"/>
                <w:sz w:val="22"/>
                <w:szCs w:val="22"/>
                <w:lang w:val="en-GB"/>
              </w:rPr>
              <w:t xml:space="preserve">greenhouse gas stream </w:t>
            </w:r>
            <w:r w:rsidRPr="00A81DB2">
              <w:rPr>
                <w:rFonts w:asciiTheme="minorHAnsi" w:eastAsiaTheme="minorEastAsia" w:hAnsiTheme="minorHAnsi" w:cstheme="minorBidi"/>
                <w:color w:val="000000" w:themeColor="text1"/>
                <w:sz w:val="22"/>
                <w:szCs w:val="22"/>
                <w:lang w:val="en-GB"/>
              </w:rPr>
              <w:t xml:space="preserve">into a nearby reservoir with a crediting period starting in 2025. </w:t>
            </w:r>
            <w:r>
              <w:rPr>
                <w:rFonts w:asciiTheme="minorHAnsi" w:eastAsiaTheme="minorEastAsia" w:hAnsiTheme="minorHAnsi" w:cstheme="minorBidi"/>
                <w:color w:val="000000" w:themeColor="text1"/>
                <w:sz w:val="22"/>
                <w:szCs w:val="22"/>
                <w:lang w:val="en-GB"/>
              </w:rPr>
              <w:t>The LNG facility is the capture point for this initial project.</w:t>
            </w:r>
          </w:p>
          <w:p w14:paraId="17546746" w14:textId="72AD7F7D" w:rsidR="0091088F" w:rsidRPr="00795F20" w:rsidRDefault="0091088F" w:rsidP="00281D04">
            <w:pPr>
              <w:jc w:val="both"/>
              <w:rPr>
                <w:rFonts w:asciiTheme="minorHAnsi" w:eastAsiaTheme="minorEastAsia" w:hAnsiTheme="minorHAnsi" w:cstheme="minorBidi"/>
                <w:color w:val="000000" w:themeColor="text1"/>
                <w:sz w:val="22"/>
                <w:szCs w:val="22"/>
                <w:lang w:val="en-GB"/>
              </w:rPr>
            </w:pPr>
            <w:r w:rsidRPr="00A81DB2">
              <w:rPr>
                <w:rFonts w:asciiTheme="minorHAnsi" w:eastAsiaTheme="minorEastAsia" w:hAnsiTheme="minorHAnsi" w:cstheme="minorBidi"/>
                <w:color w:val="000000" w:themeColor="text1"/>
                <w:sz w:val="22"/>
                <w:szCs w:val="22"/>
                <w:lang w:val="en-GB"/>
              </w:rPr>
              <w:t>In 2030, a gas</w:t>
            </w:r>
            <w:r>
              <w:rPr>
                <w:rFonts w:asciiTheme="minorHAnsi" w:eastAsiaTheme="minorEastAsia" w:hAnsiTheme="minorHAnsi" w:cstheme="minorBidi"/>
                <w:color w:val="000000" w:themeColor="text1"/>
                <w:sz w:val="22"/>
                <w:szCs w:val="22"/>
                <w:lang w:val="en-GB"/>
              </w:rPr>
              <w:t>-</w:t>
            </w:r>
            <w:r w:rsidRPr="00A81DB2">
              <w:rPr>
                <w:rFonts w:asciiTheme="minorHAnsi" w:eastAsiaTheme="minorEastAsia" w:hAnsiTheme="minorHAnsi" w:cstheme="minorBidi"/>
                <w:color w:val="000000" w:themeColor="text1"/>
                <w:sz w:val="22"/>
                <w:szCs w:val="22"/>
                <w:lang w:val="en-GB"/>
              </w:rPr>
              <w:t xml:space="preserve">fired generator is built nearby and is purpose built to capture the </w:t>
            </w:r>
            <w:r>
              <w:rPr>
                <w:rFonts w:asciiTheme="minorHAnsi" w:eastAsiaTheme="minorEastAsia" w:hAnsiTheme="minorHAnsi" w:cstheme="minorBidi"/>
                <w:color w:val="000000" w:themeColor="text1"/>
                <w:sz w:val="22"/>
                <w:szCs w:val="22"/>
                <w:lang w:val="en-GB"/>
              </w:rPr>
              <w:t xml:space="preserve">greenhouse gas </w:t>
            </w:r>
            <w:r w:rsidRPr="00A81DB2">
              <w:rPr>
                <w:rFonts w:asciiTheme="minorHAnsi" w:eastAsiaTheme="minorEastAsia" w:hAnsiTheme="minorHAnsi" w:cstheme="minorBidi"/>
                <w:color w:val="000000" w:themeColor="text1"/>
                <w:sz w:val="22"/>
                <w:szCs w:val="22"/>
                <w:lang w:val="en-GB"/>
              </w:rPr>
              <w:t>emissions from the combustion of natural gas, including a new pipeline</w:t>
            </w:r>
            <w:r>
              <w:rPr>
                <w:rFonts w:asciiTheme="minorHAnsi" w:eastAsiaTheme="minorEastAsia" w:hAnsiTheme="minorHAnsi" w:cstheme="minorBidi"/>
                <w:color w:val="000000" w:themeColor="text1"/>
                <w:sz w:val="22"/>
                <w:szCs w:val="22"/>
                <w:lang w:val="en-GB"/>
              </w:rPr>
              <w:t xml:space="preserve"> to</w:t>
            </w:r>
            <w:r w:rsidRPr="00A81DB2">
              <w:rPr>
                <w:rFonts w:asciiTheme="minorHAnsi" w:eastAsiaTheme="minorEastAsia" w:hAnsiTheme="minorHAnsi" w:cstheme="minorBidi"/>
                <w:color w:val="000000" w:themeColor="text1"/>
                <w:sz w:val="22"/>
                <w:szCs w:val="22"/>
                <w:lang w:val="en-GB"/>
              </w:rPr>
              <w:t xml:space="preserve"> transport the </w:t>
            </w:r>
            <w:r>
              <w:rPr>
                <w:rFonts w:asciiTheme="minorHAnsi" w:eastAsiaTheme="minorEastAsia" w:hAnsiTheme="minorHAnsi" w:cstheme="minorBidi"/>
                <w:color w:val="000000" w:themeColor="text1"/>
                <w:sz w:val="22"/>
                <w:szCs w:val="22"/>
                <w:lang w:val="en-GB"/>
              </w:rPr>
              <w:t xml:space="preserve">greenhouse gases </w:t>
            </w:r>
            <w:r w:rsidRPr="00A81DB2">
              <w:rPr>
                <w:rFonts w:asciiTheme="minorHAnsi" w:eastAsiaTheme="minorEastAsia" w:hAnsiTheme="minorHAnsi" w:cstheme="minorBidi"/>
                <w:color w:val="000000" w:themeColor="text1"/>
                <w:sz w:val="22"/>
                <w:szCs w:val="22"/>
                <w:lang w:val="en-GB"/>
              </w:rPr>
              <w:t xml:space="preserve">to the shared </w:t>
            </w:r>
            <w:r w:rsidR="0003191C">
              <w:rPr>
                <w:rFonts w:asciiTheme="minorHAnsi" w:eastAsiaTheme="minorEastAsia" w:hAnsiTheme="minorHAnsi" w:cstheme="minorBidi"/>
                <w:color w:val="000000" w:themeColor="text1"/>
                <w:sz w:val="22"/>
                <w:szCs w:val="22"/>
                <w:lang w:val="en-GB"/>
              </w:rPr>
              <w:t>reservoir</w:t>
            </w:r>
            <w:r w:rsidRPr="00A81DB2">
              <w:rPr>
                <w:rFonts w:asciiTheme="minorHAnsi" w:eastAsiaTheme="minorEastAsia" w:hAnsiTheme="minorHAnsi" w:cstheme="minorBidi"/>
                <w:color w:val="000000" w:themeColor="text1"/>
                <w:sz w:val="22"/>
                <w:szCs w:val="22"/>
                <w:lang w:val="en-GB"/>
              </w:rPr>
              <w:t>. Th</w:t>
            </w:r>
            <w:r>
              <w:rPr>
                <w:rFonts w:asciiTheme="minorHAnsi" w:eastAsiaTheme="minorEastAsia" w:hAnsiTheme="minorHAnsi" w:cstheme="minorBidi"/>
                <w:color w:val="000000" w:themeColor="text1"/>
                <w:sz w:val="22"/>
                <w:szCs w:val="22"/>
                <w:lang w:val="en-GB"/>
              </w:rPr>
              <w:t xml:space="preserve">e gas-fired generator is a new capture point and can be </w:t>
            </w:r>
            <w:r w:rsidRPr="00A81DB2">
              <w:rPr>
                <w:rFonts w:asciiTheme="minorHAnsi" w:eastAsiaTheme="minorEastAsia" w:hAnsiTheme="minorHAnsi" w:cstheme="minorBidi"/>
                <w:color w:val="000000" w:themeColor="text1"/>
                <w:sz w:val="22"/>
                <w:szCs w:val="22"/>
                <w:lang w:val="en-GB"/>
              </w:rPr>
              <w:t>registered as a</w:t>
            </w:r>
            <w:r>
              <w:rPr>
                <w:rFonts w:asciiTheme="minorHAnsi" w:eastAsiaTheme="minorEastAsia" w:hAnsiTheme="minorHAnsi" w:cstheme="minorBidi"/>
                <w:color w:val="000000" w:themeColor="text1"/>
                <w:sz w:val="22"/>
                <w:szCs w:val="22"/>
                <w:lang w:val="en-GB"/>
              </w:rPr>
              <w:t xml:space="preserve"> new CCS </w:t>
            </w:r>
            <w:r w:rsidRPr="00A81DB2">
              <w:rPr>
                <w:rFonts w:asciiTheme="minorHAnsi" w:eastAsiaTheme="minorEastAsia" w:hAnsiTheme="minorHAnsi" w:cstheme="minorBidi"/>
                <w:color w:val="000000" w:themeColor="text1"/>
                <w:sz w:val="22"/>
                <w:szCs w:val="22"/>
                <w:lang w:val="en-GB"/>
              </w:rPr>
              <w:t xml:space="preserve">project with a </w:t>
            </w:r>
            <w:r>
              <w:rPr>
                <w:rFonts w:asciiTheme="minorHAnsi" w:eastAsiaTheme="minorEastAsia" w:hAnsiTheme="minorHAnsi" w:cstheme="minorBidi"/>
                <w:color w:val="000000" w:themeColor="text1"/>
                <w:sz w:val="22"/>
                <w:szCs w:val="22"/>
                <w:lang w:val="en-GB"/>
              </w:rPr>
              <w:t xml:space="preserve">separate </w:t>
            </w:r>
            <w:r w:rsidRPr="00A81DB2">
              <w:rPr>
                <w:rFonts w:asciiTheme="minorHAnsi" w:eastAsiaTheme="minorEastAsia" w:hAnsiTheme="minorHAnsi" w:cstheme="minorBidi"/>
                <w:color w:val="000000" w:themeColor="text1"/>
                <w:sz w:val="22"/>
                <w:szCs w:val="22"/>
                <w:lang w:val="en-GB"/>
              </w:rPr>
              <w:t>crediting period starting in 2030.</w:t>
            </w:r>
          </w:p>
        </w:tc>
      </w:tr>
    </w:tbl>
    <w:p w14:paraId="626FD263" w14:textId="77777777" w:rsidR="0091088F" w:rsidRPr="00551A53" w:rsidRDefault="0091088F" w:rsidP="0091088F">
      <w:pPr>
        <w:jc w:val="both"/>
        <w:rPr>
          <w:rFonts w:asciiTheme="minorHAnsi" w:eastAsiaTheme="minorEastAsia" w:hAnsiTheme="minorHAnsi" w:cstheme="minorBidi"/>
          <w:color w:val="000000" w:themeColor="text1"/>
          <w:sz w:val="2"/>
          <w:szCs w:val="2"/>
          <w:lang w:val="en-GB"/>
        </w:rPr>
      </w:pPr>
    </w:p>
    <w:p w14:paraId="1625AC18" w14:textId="1620E34C" w:rsidR="006741DB" w:rsidRDefault="007C0EAE">
      <w:pPr>
        <w:jc w:val="both"/>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 xml:space="preserve">Within a project, a proponent can move injection points to access a different part of the storage site or move injection points to access a new storage site. However, these activities </w:t>
      </w:r>
      <w:r w:rsidR="005C6B21">
        <w:rPr>
          <w:rFonts w:asciiTheme="minorHAnsi" w:eastAsiaTheme="minorEastAsia" w:hAnsiTheme="minorHAnsi" w:cstheme="minorBidi"/>
          <w:color w:val="000000" w:themeColor="text1"/>
          <w:lang w:val="en-GB"/>
        </w:rPr>
        <w:t>cannot</w:t>
      </w:r>
      <w:r>
        <w:rPr>
          <w:rFonts w:asciiTheme="minorHAnsi" w:eastAsiaTheme="minorEastAsia" w:hAnsiTheme="minorHAnsi" w:cstheme="minorBidi"/>
          <w:color w:val="000000" w:themeColor="text1"/>
          <w:lang w:val="en-GB"/>
        </w:rPr>
        <w:t xml:space="preserve"> be registered as new projects. </w:t>
      </w:r>
    </w:p>
    <w:p w14:paraId="37843698" w14:textId="4367305C" w:rsidR="00F82C01" w:rsidRDefault="000F73AB" w:rsidP="00F82C01">
      <w:pPr>
        <w:pStyle w:val="Heading2"/>
      </w:pPr>
      <w:bookmarkStart w:id="23" w:name="_Toc75442789"/>
      <w:r>
        <w:t>Project</w:t>
      </w:r>
      <w:r w:rsidR="00516DF8">
        <w:t xml:space="preserve"> timeline</w:t>
      </w:r>
      <w:r w:rsidR="005E2593">
        <w:t>s</w:t>
      </w:r>
      <w:bookmarkEnd w:id="23"/>
    </w:p>
    <w:p w14:paraId="365E7910" w14:textId="7A8C862A" w:rsidR="002E1D11" w:rsidRPr="00726E98" w:rsidRDefault="001C4AA8" w:rsidP="20F7574B">
      <w:pPr>
        <w:spacing w:after="180"/>
        <w:jc w:val="both"/>
        <w:rPr>
          <w:rFonts w:asciiTheme="minorHAnsi" w:eastAsiaTheme="minorEastAsia" w:hAnsiTheme="minorHAnsi" w:cstheme="minorBidi"/>
          <w:color w:val="000000" w:themeColor="text1"/>
          <w:lang w:val="en-GB"/>
        </w:rPr>
      </w:pPr>
      <w:r w:rsidRPr="00D6378F">
        <w:rPr>
          <w:rFonts w:asciiTheme="minorHAnsi" w:eastAsiaTheme="minorEastAsia" w:hAnsiTheme="minorHAnsi" w:cstheme="minorBidi"/>
          <w:color w:val="000000" w:themeColor="text1"/>
          <w:lang w:val="en-GB"/>
        </w:rPr>
        <w:t xml:space="preserve">The Start </w:t>
      </w:r>
      <w:r w:rsidR="00890CF1">
        <w:rPr>
          <w:rFonts w:asciiTheme="minorHAnsi" w:eastAsiaTheme="minorEastAsia" w:hAnsiTheme="minorHAnsi" w:cstheme="minorBidi"/>
          <w:color w:val="000000" w:themeColor="text1"/>
          <w:lang w:val="en-GB"/>
        </w:rPr>
        <w:t>D</w:t>
      </w:r>
      <w:r w:rsidR="2EC8EFFC" w:rsidRPr="00D6378F">
        <w:rPr>
          <w:rFonts w:asciiTheme="minorHAnsi" w:eastAsiaTheme="minorEastAsia" w:hAnsiTheme="minorHAnsi" w:cstheme="minorBidi"/>
          <w:color w:val="000000" w:themeColor="text1"/>
          <w:lang w:val="en-GB"/>
        </w:rPr>
        <w:t>ate</w:t>
      </w:r>
      <w:r w:rsidRPr="00D6378F">
        <w:rPr>
          <w:rFonts w:asciiTheme="minorHAnsi" w:eastAsiaTheme="minorEastAsia" w:hAnsiTheme="minorHAnsi" w:cstheme="minorBidi"/>
          <w:color w:val="000000" w:themeColor="text1"/>
          <w:lang w:val="en-GB"/>
        </w:rPr>
        <w:t xml:space="preserve"> and Crediting Period</w:t>
      </w:r>
      <w:r w:rsidR="00307DE8" w:rsidRPr="00D6378F">
        <w:rPr>
          <w:rFonts w:asciiTheme="minorHAnsi" w:eastAsiaTheme="minorEastAsia" w:hAnsiTheme="minorHAnsi" w:cstheme="minorBidi"/>
          <w:color w:val="000000" w:themeColor="text1"/>
          <w:lang w:val="en-GB"/>
        </w:rPr>
        <w:t xml:space="preserve"> </w:t>
      </w:r>
      <w:r w:rsidRPr="00D6378F">
        <w:rPr>
          <w:rFonts w:asciiTheme="minorHAnsi" w:eastAsiaTheme="minorEastAsia" w:hAnsiTheme="minorHAnsi" w:cstheme="minorBidi"/>
          <w:color w:val="000000" w:themeColor="text1"/>
          <w:lang w:val="en-GB"/>
        </w:rPr>
        <w:t>e</w:t>
      </w:r>
      <w:r w:rsidR="002E1D11" w:rsidRPr="00D6378F">
        <w:rPr>
          <w:rFonts w:asciiTheme="minorHAnsi" w:eastAsiaTheme="minorEastAsia" w:hAnsiTheme="minorHAnsi" w:cstheme="minorBidi"/>
          <w:color w:val="000000" w:themeColor="text1"/>
          <w:lang w:val="en-GB"/>
        </w:rPr>
        <w:t xml:space="preserve">stablish the commencement and end date </w:t>
      </w:r>
      <w:r w:rsidR="003210D6">
        <w:rPr>
          <w:rFonts w:asciiTheme="minorHAnsi" w:eastAsiaTheme="minorEastAsia" w:hAnsiTheme="minorHAnsi" w:cstheme="minorBidi"/>
          <w:color w:val="000000" w:themeColor="text1"/>
          <w:lang w:val="en-GB"/>
        </w:rPr>
        <w:t xml:space="preserve">for </w:t>
      </w:r>
      <w:r w:rsidR="00AE01AB">
        <w:rPr>
          <w:rFonts w:asciiTheme="minorHAnsi" w:eastAsiaTheme="minorEastAsia" w:hAnsiTheme="minorHAnsi" w:cstheme="minorBidi"/>
          <w:color w:val="000000" w:themeColor="text1"/>
          <w:lang w:val="en-GB"/>
        </w:rPr>
        <w:t xml:space="preserve">the </w:t>
      </w:r>
      <w:r w:rsidR="002E1D11" w:rsidRPr="00D6378F">
        <w:rPr>
          <w:rFonts w:asciiTheme="minorHAnsi" w:eastAsiaTheme="minorEastAsia" w:hAnsiTheme="minorHAnsi" w:cstheme="minorBidi"/>
          <w:color w:val="000000" w:themeColor="text1"/>
          <w:lang w:val="en-GB"/>
        </w:rPr>
        <w:t xml:space="preserve">crediting </w:t>
      </w:r>
      <w:r w:rsidR="00AE01AB">
        <w:rPr>
          <w:rFonts w:asciiTheme="minorHAnsi" w:eastAsiaTheme="minorEastAsia" w:hAnsiTheme="minorHAnsi" w:cstheme="minorBidi"/>
          <w:color w:val="000000" w:themeColor="text1"/>
          <w:lang w:val="en-GB"/>
        </w:rPr>
        <w:t>o</w:t>
      </w:r>
      <w:r w:rsidR="002E1D11" w:rsidRPr="00D6378F">
        <w:rPr>
          <w:rFonts w:asciiTheme="minorHAnsi" w:eastAsiaTheme="minorEastAsia" w:hAnsiTheme="minorHAnsi" w:cstheme="minorBidi"/>
          <w:color w:val="000000" w:themeColor="text1"/>
          <w:lang w:val="en-GB"/>
        </w:rPr>
        <w:t xml:space="preserve">f </w:t>
      </w:r>
      <w:r w:rsidR="007601BB">
        <w:rPr>
          <w:rFonts w:asciiTheme="minorHAnsi" w:eastAsiaTheme="minorEastAsia" w:hAnsiTheme="minorHAnsi" w:cstheme="minorBidi"/>
          <w:color w:val="000000" w:themeColor="text1"/>
          <w:lang w:val="en-GB"/>
        </w:rPr>
        <w:t>ERF project</w:t>
      </w:r>
      <w:r w:rsidR="00AE01AB">
        <w:rPr>
          <w:rFonts w:asciiTheme="minorHAnsi" w:eastAsiaTheme="minorEastAsia" w:hAnsiTheme="minorHAnsi" w:cstheme="minorBidi"/>
          <w:color w:val="000000" w:themeColor="text1"/>
          <w:lang w:val="en-GB"/>
        </w:rPr>
        <w:t>s</w:t>
      </w:r>
      <w:r w:rsidR="0077140F">
        <w:rPr>
          <w:rFonts w:asciiTheme="minorHAnsi" w:eastAsiaTheme="minorEastAsia" w:hAnsiTheme="minorHAnsi" w:cstheme="minorBidi"/>
          <w:color w:val="000000" w:themeColor="text1"/>
          <w:lang w:val="en-GB"/>
        </w:rPr>
        <w:t>, that is</w:t>
      </w:r>
      <w:r w:rsidR="00890CF1">
        <w:rPr>
          <w:rFonts w:asciiTheme="minorHAnsi" w:eastAsiaTheme="minorEastAsia" w:hAnsiTheme="minorHAnsi" w:cstheme="minorBidi"/>
          <w:color w:val="000000" w:themeColor="text1"/>
          <w:lang w:val="en-GB"/>
        </w:rPr>
        <w:t>,</w:t>
      </w:r>
      <w:r w:rsidR="0077140F">
        <w:rPr>
          <w:rFonts w:asciiTheme="minorHAnsi" w:eastAsiaTheme="minorEastAsia" w:hAnsiTheme="minorHAnsi" w:cstheme="minorBidi"/>
          <w:color w:val="000000" w:themeColor="text1"/>
          <w:lang w:val="en-GB"/>
        </w:rPr>
        <w:t xml:space="preserve"> </w:t>
      </w:r>
      <w:r w:rsidR="00F46132">
        <w:rPr>
          <w:rFonts w:asciiTheme="minorHAnsi" w:eastAsiaTheme="minorEastAsia" w:hAnsiTheme="minorHAnsi" w:cstheme="minorBidi"/>
          <w:color w:val="000000" w:themeColor="text1"/>
          <w:lang w:val="en-GB"/>
        </w:rPr>
        <w:t xml:space="preserve">the period of time </w:t>
      </w:r>
      <w:r w:rsidR="00890CF1">
        <w:rPr>
          <w:rFonts w:asciiTheme="minorHAnsi" w:eastAsiaTheme="minorEastAsia" w:hAnsiTheme="minorHAnsi" w:cstheme="minorBidi"/>
          <w:color w:val="000000" w:themeColor="text1"/>
          <w:lang w:val="en-GB"/>
        </w:rPr>
        <w:t>over which</w:t>
      </w:r>
      <w:r w:rsidR="00F46132">
        <w:rPr>
          <w:rFonts w:asciiTheme="minorHAnsi" w:eastAsiaTheme="minorEastAsia" w:hAnsiTheme="minorHAnsi" w:cstheme="minorBidi"/>
          <w:color w:val="000000" w:themeColor="text1"/>
          <w:lang w:val="en-GB"/>
        </w:rPr>
        <w:t xml:space="preserve"> the project can receive ACCUs</w:t>
      </w:r>
      <w:r w:rsidR="002E1D11" w:rsidRPr="20F7574B">
        <w:rPr>
          <w:rFonts w:asciiTheme="minorHAnsi" w:eastAsiaTheme="minorEastAsia" w:hAnsiTheme="minorHAnsi" w:cstheme="minorBidi"/>
          <w:color w:val="000000" w:themeColor="text1"/>
          <w:lang w:val="en-GB"/>
        </w:rPr>
        <w:t xml:space="preserve">.  </w:t>
      </w:r>
    </w:p>
    <w:p w14:paraId="215D8913" w14:textId="0A0CC7EF" w:rsidR="00572BD5" w:rsidRPr="00572BD5" w:rsidRDefault="00572BD5" w:rsidP="00ED0409">
      <w:pPr>
        <w:pStyle w:val="Heading3"/>
        <w:spacing w:after="200"/>
        <w:rPr>
          <w:lang w:val="en-GB"/>
        </w:rPr>
      </w:pPr>
      <w:bookmarkStart w:id="24" w:name="_Toc75442790"/>
      <w:bookmarkStart w:id="25" w:name="_Toc57100996"/>
      <w:r w:rsidRPr="20F7574B">
        <w:rPr>
          <w:lang w:val="en-GB"/>
        </w:rPr>
        <w:t xml:space="preserve">Start </w:t>
      </w:r>
      <w:r w:rsidR="3F447B7D" w:rsidRPr="20F7574B">
        <w:rPr>
          <w:lang w:val="en-GB"/>
        </w:rPr>
        <w:t>date</w:t>
      </w:r>
      <w:bookmarkEnd w:id="24"/>
      <w:r w:rsidRPr="20F7574B">
        <w:rPr>
          <w:lang w:val="en-GB"/>
        </w:rPr>
        <w:t xml:space="preserve"> </w:t>
      </w:r>
      <w:bookmarkEnd w:id="25"/>
    </w:p>
    <w:p w14:paraId="30AF9D38" w14:textId="2951FC96" w:rsidR="00F43E9B" w:rsidRDefault="007C19E9" w:rsidP="00E61F14">
      <w:pPr>
        <w:jc w:val="both"/>
        <w:rPr>
          <w:rFonts w:asciiTheme="minorHAnsi" w:eastAsiaTheme="minorEastAsia" w:hAnsiTheme="minorHAnsi" w:cstheme="minorBidi"/>
          <w:color w:val="000000" w:themeColor="text1"/>
          <w:lang w:val="en-GB"/>
        </w:rPr>
      </w:pPr>
      <w:r w:rsidRPr="20F7574B">
        <w:rPr>
          <w:rFonts w:asciiTheme="minorHAnsi" w:eastAsiaTheme="minorEastAsia" w:hAnsiTheme="minorHAnsi" w:cstheme="minorBidi"/>
          <w:color w:val="000000" w:themeColor="text1"/>
          <w:lang w:val="en-GB"/>
        </w:rPr>
        <w:t xml:space="preserve">The start </w:t>
      </w:r>
      <w:r w:rsidR="452C169B" w:rsidRPr="20F7574B">
        <w:rPr>
          <w:rFonts w:asciiTheme="minorHAnsi" w:eastAsiaTheme="minorEastAsia" w:hAnsiTheme="minorHAnsi" w:cstheme="minorBidi"/>
          <w:color w:val="000000" w:themeColor="text1"/>
          <w:lang w:val="en-GB"/>
        </w:rPr>
        <w:t>date is the date when the crediting period starts</w:t>
      </w:r>
      <w:r w:rsidR="0077140F">
        <w:rPr>
          <w:rFonts w:asciiTheme="minorHAnsi" w:eastAsiaTheme="minorEastAsia" w:hAnsiTheme="minorHAnsi" w:cstheme="minorBidi"/>
          <w:color w:val="000000" w:themeColor="text1"/>
          <w:lang w:val="en-GB"/>
        </w:rPr>
        <w:t xml:space="preserve">, that is, </w:t>
      </w:r>
      <w:r w:rsidR="00890CF1">
        <w:rPr>
          <w:rFonts w:asciiTheme="minorHAnsi" w:eastAsiaTheme="minorEastAsia" w:hAnsiTheme="minorHAnsi" w:cstheme="minorBidi"/>
          <w:color w:val="000000" w:themeColor="text1"/>
          <w:lang w:val="en-GB"/>
        </w:rPr>
        <w:t xml:space="preserve">the date from </w:t>
      </w:r>
      <w:r w:rsidR="0077140F">
        <w:rPr>
          <w:rFonts w:asciiTheme="minorHAnsi" w:eastAsiaTheme="minorEastAsia" w:hAnsiTheme="minorHAnsi" w:cstheme="minorBidi"/>
          <w:color w:val="000000" w:themeColor="text1"/>
          <w:lang w:val="en-GB"/>
        </w:rPr>
        <w:t xml:space="preserve">when </w:t>
      </w:r>
      <w:r w:rsidR="00F46132">
        <w:rPr>
          <w:rFonts w:asciiTheme="minorHAnsi" w:eastAsiaTheme="minorEastAsia" w:hAnsiTheme="minorHAnsi" w:cstheme="minorBidi"/>
          <w:color w:val="000000" w:themeColor="text1"/>
          <w:lang w:val="en-GB"/>
        </w:rPr>
        <w:t xml:space="preserve">the project </w:t>
      </w:r>
      <w:r w:rsidR="00890CF1">
        <w:rPr>
          <w:rFonts w:asciiTheme="minorHAnsi" w:eastAsiaTheme="minorEastAsia" w:hAnsiTheme="minorHAnsi" w:cstheme="minorBidi"/>
          <w:color w:val="000000" w:themeColor="text1"/>
          <w:lang w:val="en-GB"/>
        </w:rPr>
        <w:t xml:space="preserve">can </w:t>
      </w:r>
      <w:r w:rsidR="0078683B">
        <w:rPr>
          <w:rFonts w:asciiTheme="minorHAnsi" w:eastAsiaTheme="minorEastAsia" w:hAnsiTheme="minorHAnsi" w:cstheme="minorBidi"/>
          <w:color w:val="000000" w:themeColor="text1"/>
          <w:lang w:val="en-GB"/>
        </w:rPr>
        <w:t xml:space="preserve">earn </w:t>
      </w:r>
      <w:r w:rsidR="00F46132">
        <w:rPr>
          <w:rFonts w:asciiTheme="minorHAnsi" w:eastAsiaTheme="minorEastAsia" w:hAnsiTheme="minorHAnsi" w:cstheme="minorBidi"/>
          <w:color w:val="000000" w:themeColor="text1"/>
          <w:lang w:val="en-GB"/>
        </w:rPr>
        <w:t>ACCUs</w:t>
      </w:r>
      <w:r w:rsidR="007E3E9E">
        <w:rPr>
          <w:rFonts w:asciiTheme="minorHAnsi" w:eastAsiaTheme="minorEastAsia" w:hAnsiTheme="minorHAnsi" w:cstheme="minorBidi"/>
          <w:color w:val="000000" w:themeColor="text1"/>
          <w:lang w:val="en-GB"/>
        </w:rPr>
        <w:t xml:space="preserve">. </w:t>
      </w:r>
      <w:r w:rsidR="009E5A20">
        <w:rPr>
          <w:rFonts w:asciiTheme="minorHAnsi" w:eastAsiaTheme="minorEastAsia" w:hAnsiTheme="minorHAnsi" w:cstheme="minorBidi"/>
          <w:color w:val="000000" w:themeColor="text1"/>
          <w:lang w:val="en-GB"/>
        </w:rPr>
        <w:t>For CCS projects</w:t>
      </w:r>
      <w:r w:rsidR="41E749B0" w:rsidRPr="20F7574B">
        <w:rPr>
          <w:rFonts w:asciiTheme="minorHAnsi" w:eastAsiaTheme="minorEastAsia" w:hAnsiTheme="minorHAnsi" w:cstheme="minorBidi"/>
          <w:color w:val="000000" w:themeColor="text1"/>
          <w:lang w:val="en-GB"/>
        </w:rPr>
        <w:t xml:space="preserve">, </w:t>
      </w:r>
      <w:r w:rsidR="00B626AE">
        <w:rPr>
          <w:rFonts w:asciiTheme="minorHAnsi" w:eastAsiaTheme="minorEastAsia" w:hAnsiTheme="minorHAnsi" w:cstheme="minorBidi"/>
          <w:color w:val="000000" w:themeColor="text1"/>
          <w:lang w:val="en-GB"/>
        </w:rPr>
        <w:t xml:space="preserve">project proponents </w:t>
      </w:r>
      <w:r w:rsidR="41E749B0" w:rsidRPr="20F7574B">
        <w:rPr>
          <w:rFonts w:asciiTheme="minorHAnsi" w:eastAsiaTheme="minorEastAsia" w:hAnsiTheme="minorHAnsi" w:cstheme="minorBidi"/>
          <w:color w:val="000000" w:themeColor="text1"/>
          <w:lang w:val="en-GB"/>
        </w:rPr>
        <w:t xml:space="preserve">can nominate any start date </w:t>
      </w:r>
      <w:r w:rsidR="00F46132">
        <w:rPr>
          <w:rFonts w:asciiTheme="minorHAnsi" w:eastAsiaTheme="minorEastAsia" w:hAnsiTheme="minorHAnsi" w:cstheme="minorBidi"/>
          <w:color w:val="000000" w:themeColor="text1"/>
          <w:lang w:val="en-GB"/>
        </w:rPr>
        <w:t xml:space="preserve">from </w:t>
      </w:r>
      <w:r w:rsidR="41E749B0" w:rsidRPr="20F7574B">
        <w:rPr>
          <w:rFonts w:asciiTheme="minorHAnsi" w:eastAsiaTheme="minorEastAsia" w:hAnsiTheme="minorHAnsi" w:cstheme="minorBidi"/>
          <w:color w:val="000000" w:themeColor="text1"/>
          <w:lang w:val="en-GB"/>
        </w:rPr>
        <w:t xml:space="preserve">the date </w:t>
      </w:r>
      <w:r w:rsidR="00F46132">
        <w:rPr>
          <w:rFonts w:asciiTheme="minorHAnsi" w:eastAsiaTheme="minorEastAsia" w:hAnsiTheme="minorHAnsi" w:cstheme="minorBidi"/>
          <w:color w:val="000000" w:themeColor="text1"/>
          <w:lang w:val="en-GB"/>
        </w:rPr>
        <w:t xml:space="preserve">the </w:t>
      </w:r>
      <w:r w:rsidR="00ED0409" w:rsidRPr="00ED0409">
        <w:rPr>
          <w:rFonts w:asciiTheme="minorHAnsi" w:eastAsiaTheme="minorEastAsia" w:hAnsiTheme="minorHAnsi" w:cstheme="minorBidi"/>
          <w:color w:val="000000" w:themeColor="text1"/>
          <w:lang w:val="en-GB"/>
        </w:rPr>
        <w:t>Clean Energy Regulator</w:t>
      </w:r>
      <w:r w:rsidR="00F46132">
        <w:rPr>
          <w:rFonts w:asciiTheme="minorHAnsi" w:eastAsiaTheme="minorEastAsia" w:hAnsiTheme="minorHAnsi" w:cstheme="minorBidi"/>
          <w:color w:val="000000" w:themeColor="text1"/>
          <w:lang w:val="en-GB"/>
        </w:rPr>
        <w:t xml:space="preserve"> declares </w:t>
      </w:r>
      <w:r w:rsidR="001061C4">
        <w:rPr>
          <w:rFonts w:asciiTheme="minorHAnsi" w:eastAsiaTheme="minorEastAsia" w:hAnsiTheme="minorHAnsi" w:cstheme="minorBidi"/>
          <w:color w:val="000000" w:themeColor="text1"/>
          <w:lang w:val="en-GB"/>
        </w:rPr>
        <w:t>the project</w:t>
      </w:r>
      <w:r w:rsidR="00B50920">
        <w:rPr>
          <w:rFonts w:asciiTheme="minorHAnsi" w:eastAsiaTheme="minorEastAsia" w:hAnsiTheme="minorHAnsi" w:cstheme="minorBidi"/>
          <w:color w:val="000000" w:themeColor="text1"/>
          <w:lang w:val="en-GB"/>
        </w:rPr>
        <w:t xml:space="preserve"> to be</w:t>
      </w:r>
      <w:r w:rsidR="001061C4">
        <w:rPr>
          <w:rFonts w:asciiTheme="minorHAnsi" w:eastAsiaTheme="minorEastAsia" w:hAnsiTheme="minorHAnsi" w:cstheme="minorBidi"/>
          <w:color w:val="000000" w:themeColor="text1"/>
          <w:lang w:val="en-GB"/>
        </w:rPr>
        <w:t xml:space="preserve"> </w:t>
      </w:r>
      <w:r w:rsidR="00F46132">
        <w:rPr>
          <w:rFonts w:asciiTheme="minorHAnsi" w:eastAsiaTheme="minorEastAsia" w:hAnsiTheme="minorHAnsi" w:cstheme="minorBidi"/>
          <w:color w:val="000000" w:themeColor="text1"/>
          <w:lang w:val="en-GB"/>
        </w:rPr>
        <w:t>successfully registered</w:t>
      </w:r>
      <w:r w:rsidR="00755B4C">
        <w:rPr>
          <w:rFonts w:asciiTheme="minorHAnsi" w:eastAsiaTheme="minorEastAsia" w:hAnsiTheme="minorHAnsi" w:cstheme="minorBidi"/>
          <w:color w:val="000000" w:themeColor="text1"/>
          <w:lang w:val="en-GB"/>
        </w:rPr>
        <w:t>, to</w:t>
      </w:r>
      <w:r w:rsidR="0077140F">
        <w:rPr>
          <w:rFonts w:asciiTheme="minorHAnsi" w:eastAsiaTheme="minorEastAsia" w:hAnsiTheme="minorHAnsi" w:cstheme="minorBidi"/>
          <w:color w:val="000000" w:themeColor="text1"/>
          <w:lang w:val="en-GB"/>
        </w:rPr>
        <w:t xml:space="preserve"> </w:t>
      </w:r>
      <w:r w:rsidR="0CD52988" w:rsidRPr="20F7574B">
        <w:rPr>
          <w:rFonts w:asciiTheme="minorHAnsi" w:eastAsiaTheme="minorEastAsia" w:hAnsiTheme="minorHAnsi" w:cstheme="minorBidi"/>
          <w:color w:val="000000" w:themeColor="text1"/>
          <w:lang w:val="en-GB"/>
        </w:rPr>
        <w:t xml:space="preserve">up to </w:t>
      </w:r>
      <w:r w:rsidR="00890CF1">
        <w:rPr>
          <w:rFonts w:asciiTheme="minorHAnsi" w:eastAsiaTheme="minorEastAsia" w:hAnsiTheme="minorHAnsi" w:cstheme="minorBidi"/>
          <w:color w:val="000000" w:themeColor="text1"/>
          <w:lang w:val="en-GB"/>
        </w:rPr>
        <w:t>five</w:t>
      </w:r>
      <w:r w:rsidR="002B2AB6">
        <w:rPr>
          <w:rFonts w:asciiTheme="minorHAnsi" w:eastAsiaTheme="minorEastAsia" w:hAnsiTheme="minorHAnsi" w:cstheme="minorBidi"/>
          <w:color w:val="000000" w:themeColor="text1"/>
          <w:lang w:val="en-GB"/>
        </w:rPr>
        <w:t xml:space="preserve"> years</w:t>
      </w:r>
      <w:r w:rsidR="0CD52988" w:rsidRPr="20F7574B">
        <w:rPr>
          <w:rFonts w:asciiTheme="minorHAnsi" w:eastAsiaTheme="minorEastAsia" w:hAnsiTheme="minorHAnsi" w:cstheme="minorBidi"/>
          <w:color w:val="000000" w:themeColor="text1"/>
          <w:lang w:val="en-GB"/>
        </w:rPr>
        <w:t xml:space="preserve"> after this date.</w:t>
      </w:r>
      <w:r w:rsidR="00CF1B70">
        <w:rPr>
          <w:rFonts w:asciiTheme="minorHAnsi" w:eastAsiaTheme="minorEastAsia" w:hAnsiTheme="minorHAnsi" w:cstheme="minorBidi"/>
          <w:color w:val="000000" w:themeColor="text1"/>
          <w:lang w:val="en-GB"/>
        </w:rPr>
        <w:t xml:space="preserve"> </w:t>
      </w:r>
      <w:bookmarkStart w:id="26" w:name="_Hlk72171407"/>
    </w:p>
    <w:p w14:paraId="45141332" w14:textId="4ADDF7D5" w:rsidR="008E0EB2" w:rsidRDefault="00680FFE" w:rsidP="00E61F14">
      <w:pPr>
        <w:jc w:val="both"/>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If projects are unable to start within the five</w:t>
      </w:r>
      <w:r w:rsidR="001061C4">
        <w:rPr>
          <w:rFonts w:asciiTheme="minorHAnsi" w:eastAsiaTheme="minorEastAsia" w:hAnsiTheme="minorHAnsi" w:cstheme="minorBidi"/>
          <w:color w:val="000000" w:themeColor="text1"/>
          <w:lang w:val="en-GB"/>
        </w:rPr>
        <w:t>-</w:t>
      </w:r>
      <w:r>
        <w:rPr>
          <w:rFonts w:asciiTheme="minorHAnsi" w:eastAsiaTheme="minorEastAsia" w:hAnsiTheme="minorHAnsi" w:cstheme="minorBidi"/>
          <w:color w:val="000000" w:themeColor="text1"/>
          <w:lang w:val="en-GB"/>
        </w:rPr>
        <w:t>year period</w:t>
      </w:r>
      <w:r w:rsidR="00050F85">
        <w:rPr>
          <w:rFonts w:asciiTheme="minorHAnsi" w:eastAsiaTheme="minorEastAsia" w:hAnsiTheme="minorHAnsi" w:cstheme="minorBidi"/>
          <w:color w:val="000000" w:themeColor="text1"/>
          <w:lang w:val="en-GB"/>
        </w:rPr>
        <w:t>,</w:t>
      </w:r>
      <w:r>
        <w:rPr>
          <w:rFonts w:asciiTheme="minorHAnsi" w:eastAsiaTheme="minorEastAsia" w:hAnsiTheme="minorHAnsi" w:cstheme="minorBidi"/>
          <w:color w:val="000000" w:themeColor="text1"/>
          <w:lang w:val="en-GB"/>
        </w:rPr>
        <w:t xml:space="preserve"> the project can continue under the</w:t>
      </w:r>
      <w:r w:rsidR="007C0EAE">
        <w:rPr>
          <w:rFonts w:asciiTheme="minorHAnsi" w:eastAsiaTheme="minorEastAsia" w:hAnsiTheme="minorHAnsi" w:cstheme="minorBidi"/>
          <w:color w:val="000000" w:themeColor="text1"/>
          <w:lang w:val="en-GB"/>
        </w:rPr>
        <w:t xml:space="preserve"> proposed</w:t>
      </w:r>
      <w:r>
        <w:rPr>
          <w:rFonts w:asciiTheme="minorHAnsi" w:eastAsiaTheme="minorEastAsia" w:hAnsiTheme="minorHAnsi" w:cstheme="minorBidi"/>
          <w:color w:val="000000" w:themeColor="text1"/>
          <w:lang w:val="en-GB"/>
        </w:rPr>
        <w:t xml:space="preserve"> </w:t>
      </w:r>
      <w:r w:rsidR="007C0EAE">
        <w:rPr>
          <w:rFonts w:asciiTheme="minorHAnsi" w:eastAsiaTheme="minorEastAsia" w:hAnsiTheme="minorHAnsi" w:cstheme="minorBidi"/>
          <w:color w:val="000000" w:themeColor="text1"/>
          <w:lang w:val="en-GB"/>
        </w:rPr>
        <w:t xml:space="preserve">CCS </w:t>
      </w:r>
      <w:r>
        <w:rPr>
          <w:rFonts w:asciiTheme="minorHAnsi" w:eastAsiaTheme="minorEastAsia" w:hAnsiTheme="minorHAnsi" w:cstheme="minorBidi"/>
          <w:color w:val="000000" w:themeColor="text1"/>
          <w:lang w:val="en-GB"/>
        </w:rPr>
        <w:t>method</w:t>
      </w:r>
      <w:r w:rsidR="00642614">
        <w:rPr>
          <w:rFonts w:asciiTheme="minorHAnsi" w:eastAsiaTheme="minorEastAsia" w:hAnsiTheme="minorHAnsi" w:cstheme="minorBidi"/>
          <w:color w:val="000000" w:themeColor="text1"/>
          <w:lang w:val="en-GB"/>
        </w:rPr>
        <w:t>,</w:t>
      </w:r>
      <w:r>
        <w:rPr>
          <w:rFonts w:asciiTheme="minorHAnsi" w:eastAsiaTheme="minorEastAsia" w:hAnsiTheme="minorHAnsi" w:cstheme="minorBidi"/>
          <w:color w:val="000000" w:themeColor="text1"/>
          <w:lang w:val="en-GB"/>
        </w:rPr>
        <w:t xml:space="preserve"> but the length of their crediting period will be reduced by any delays beyond </w:t>
      </w:r>
      <w:r w:rsidR="001061C4">
        <w:rPr>
          <w:rFonts w:asciiTheme="minorHAnsi" w:eastAsiaTheme="minorEastAsia" w:hAnsiTheme="minorHAnsi" w:cstheme="minorBidi"/>
          <w:color w:val="000000" w:themeColor="text1"/>
          <w:lang w:val="en-GB"/>
        </w:rPr>
        <w:t xml:space="preserve">the five </w:t>
      </w:r>
      <w:r>
        <w:rPr>
          <w:rFonts w:asciiTheme="minorHAnsi" w:eastAsiaTheme="minorEastAsia" w:hAnsiTheme="minorHAnsi" w:cstheme="minorBidi"/>
          <w:color w:val="000000" w:themeColor="text1"/>
          <w:lang w:val="en-GB"/>
        </w:rPr>
        <w:t xml:space="preserve">years. </w:t>
      </w:r>
    </w:p>
    <w:p w14:paraId="1CE48696" w14:textId="46CA59E2" w:rsidR="00F43E9B" w:rsidRDefault="00F43E9B" w:rsidP="00E61F14">
      <w:pPr>
        <w:jc w:val="both"/>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 xml:space="preserve">Additionally, if the method is varied between the start date and when the crediting period commences, the project proponent is required to follow the varied method and not the version in force at the time of declaration. </w:t>
      </w:r>
    </w:p>
    <w:p w14:paraId="0B9CD2AB" w14:textId="0DEF1C73" w:rsidR="005E2593" w:rsidRPr="005E2593" w:rsidRDefault="005E2593" w:rsidP="004C7040">
      <w:pPr>
        <w:pStyle w:val="Heading3"/>
        <w:spacing w:before="0" w:after="200"/>
        <w:rPr>
          <w:lang w:val="en-GB"/>
        </w:rPr>
      </w:pPr>
      <w:bookmarkStart w:id="27" w:name="_Toc57100995"/>
      <w:bookmarkStart w:id="28" w:name="_Toc75442791"/>
      <w:bookmarkEnd w:id="26"/>
      <w:r w:rsidRPr="005E2593">
        <w:rPr>
          <w:lang w:val="en-GB"/>
        </w:rPr>
        <w:t xml:space="preserve">Crediting </w:t>
      </w:r>
      <w:r w:rsidR="00414BED">
        <w:rPr>
          <w:lang w:val="en-GB"/>
        </w:rPr>
        <w:t>p</w:t>
      </w:r>
      <w:r w:rsidRPr="005E2593">
        <w:rPr>
          <w:lang w:val="en-GB"/>
        </w:rPr>
        <w:t>eriod</w:t>
      </w:r>
      <w:bookmarkEnd w:id="27"/>
      <w:bookmarkEnd w:id="28"/>
    </w:p>
    <w:p w14:paraId="65E42CD8" w14:textId="290ACE40" w:rsidR="00055182" w:rsidRDefault="001474EB" w:rsidP="00AB2259">
      <w:pPr>
        <w:jc w:val="both"/>
        <w:rPr>
          <w:rFonts w:asciiTheme="minorHAnsi" w:eastAsiaTheme="minorEastAsia" w:hAnsiTheme="minorHAnsi" w:cstheme="minorBidi"/>
          <w:color w:val="000000" w:themeColor="text1"/>
          <w:lang w:val="en-GB"/>
        </w:rPr>
      </w:pPr>
      <w:r w:rsidRPr="20F7574B">
        <w:rPr>
          <w:rFonts w:asciiTheme="minorHAnsi" w:eastAsiaTheme="minorEastAsia" w:hAnsiTheme="minorHAnsi" w:cstheme="minorBidi"/>
          <w:color w:val="000000" w:themeColor="text1"/>
          <w:lang w:val="en-GB"/>
        </w:rPr>
        <w:t>The crediting period is t</w:t>
      </w:r>
      <w:r w:rsidR="799F2634" w:rsidRPr="20F7574B">
        <w:rPr>
          <w:rFonts w:asciiTheme="minorHAnsi" w:eastAsiaTheme="minorEastAsia" w:hAnsiTheme="minorHAnsi" w:cstheme="minorBidi"/>
          <w:color w:val="000000" w:themeColor="text1"/>
          <w:lang w:val="en-GB"/>
        </w:rPr>
        <w:t>he</w:t>
      </w:r>
      <w:r w:rsidRPr="20F7574B">
        <w:rPr>
          <w:rFonts w:asciiTheme="minorHAnsi" w:eastAsiaTheme="minorEastAsia" w:hAnsiTheme="minorHAnsi" w:cstheme="minorBidi"/>
          <w:color w:val="000000" w:themeColor="text1"/>
          <w:lang w:val="en-GB"/>
        </w:rPr>
        <w:t xml:space="preserve"> period </w:t>
      </w:r>
      <w:r w:rsidR="00890CF1">
        <w:rPr>
          <w:rFonts w:asciiTheme="minorHAnsi" w:eastAsiaTheme="minorEastAsia" w:hAnsiTheme="minorHAnsi" w:cstheme="minorBidi"/>
          <w:color w:val="000000" w:themeColor="text1"/>
          <w:lang w:val="en-GB"/>
        </w:rPr>
        <w:t>over</w:t>
      </w:r>
      <w:r w:rsidRPr="20F7574B">
        <w:rPr>
          <w:rFonts w:asciiTheme="minorHAnsi" w:eastAsiaTheme="minorEastAsia" w:hAnsiTheme="minorHAnsi" w:cstheme="minorBidi"/>
          <w:color w:val="000000" w:themeColor="text1"/>
          <w:lang w:val="en-GB"/>
        </w:rPr>
        <w:t xml:space="preserve"> which </w:t>
      </w:r>
      <w:r w:rsidR="0078683B">
        <w:rPr>
          <w:rFonts w:asciiTheme="minorHAnsi" w:eastAsiaTheme="minorEastAsia" w:hAnsiTheme="minorHAnsi" w:cstheme="minorBidi"/>
          <w:color w:val="000000" w:themeColor="text1"/>
          <w:lang w:val="en-GB"/>
        </w:rPr>
        <w:t xml:space="preserve">the </w:t>
      </w:r>
      <w:r w:rsidR="00C602F2" w:rsidRPr="20F7574B">
        <w:rPr>
          <w:rFonts w:asciiTheme="minorHAnsi" w:eastAsiaTheme="minorEastAsia" w:hAnsiTheme="minorHAnsi" w:cstheme="minorBidi"/>
          <w:color w:val="000000" w:themeColor="text1"/>
          <w:lang w:val="en-GB"/>
        </w:rPr>
        <w:t>Clean Energy Regulator may issue A</w:t>
      </w:r>
      <w:r w:rsidR="00F71D15">
        <w:rPr>
          <w:rFonts w:asciiTheme="minorHAnsi" w:eastAsiaTheme="minorEastAsia" w:hAnsiTheme="minorHAnsi" w:cstheme="minorBidi"/>
          <w:color w:val="000000" w:themeColor="text1"/>
          <w:lang w:val="en-GB"/>
        </w:rPr>
        <w:t>CCUs</w:t>
      </w:r>
      <w:r w:rsidR="00C602F2" w:rsidRPr="20F7574B">
        <w:rPr>
          <w:rFonts w:asciiTheme="minorHAnsi" w:eastAsiaTheme="minorEastAsia" w:hAnsiTheme="minorHAnsi" w:cstheme="minorBidi"/>
          <w:color w:val="000000" w:themeColor="text1"/>
          <w:lang w:val="en-GB"/>
        </w:rPr>
        <w:t xml:space="preserve"> for the </w:t>
      </w:r>
      <w:r w:rsidRPr="20F7574B">
        <w:rPr>
          <w:rFonts w:asciiTheme="minorHAnsi" w:eastAsiaTheme="minorEastAsia" w:hAnsiTheme="minorHAnsi" w:cstheme="minorBidi"/>
          <w:color w:val="000000" w:themeColor="text1"/>
          <w:lang w:val="en-GB"/>
        </w:rPr>
        <w:t xml:space="preserve">emissions </w:t>
      </w:r>
      <w:r w:rsidR="00F46132">
        <w:rPr>
          <w:rFonts w:asciiTheme="minorHAnsi" w:eastAsiaTheme="minorEastAsia" w:hAnsiTheme="minorHAnsi" w:cstheme="minorBidi"/>
          <w:color w:val="000000" w:themeColor="text1"/>
          <w:lang w:val="en-GB"/>
        </w:rPr>
        <w:t xml:space="preserve">reductions </w:t>
      </w:r>
      <w:r w:rsidR="00F709DC" w:rsidRPr="20F7574B">
        <w:rPr>
          <w:rFonts w:asciiTheme="minorHAnsi" w:eastAsiaTheme="minorEastAsia" w:hAnsiTheme="minorHAnsi" w:cstheme="minorBidi"/>
          <w:color w:val="000000" w:themeColor="text1"/>
          <w:lang w:val="en-GB"/>
        </w:rPr>
        <w:t xml:space="preserve">reported </w:t>
      </w:r>
      <w:r w:rsidR="00F46132">
        <w:rPr>
          <w:rFonts w:asciiTheme="minorHAnsi" w:eastAsiaTheme="minorEastAsia" w:hAnsiTheme="minorHAnsi" w:cstheme="minorBidi"/>
          <w:color w:val="000000" w:themeColor="text1"/>
          <w:lang w:val="en-GB"/>
        </w:rPr>
        <w:t xml:space="preserve">under </w:t>
      </w:r>
      <w:r w:rsidR="00F709DC" w:rsidRPr="20F7574B">
        <w:rPr>
          <w:rFonts w:asciiTheme="minorHAnsi" w:eastAsiaTheme="minorEastAsia" w:hAnsiTheme="minorHAnsi" w:cstheme="minorBidi"/>
          <w:color w:val="000000" w:themeColor="text1"/>
          <w:lang w:val="en-GB"/>
        </w:rPr>
        <w:t xml:space="preserve">the </w:t>
      </w:r>
      <w:r w:rsidR="00506F09">
        <w:rPr>
          <w:rFonts w:asciiTheme="minorHAnsi" w:eastAsiaTheme="minorEastAsia" w:hAnsiTheme="minorHAnsi" w:cstheme="minorBidi"/>
          <w:color w:val="000000" w:themeColor="text1"/>
          <w:lang w:val="en-GB"/>
        </w:rPr>
        <w:t xml:space="preserve">proposed CCS </w:t>
      </w:r>
      <w:r w:rsidR="00F709DC" w:rsidRPr="20F7574B">
        <w:rPr>
          <w:rFonts w:asciiTheme="minorHAnsi" w:eastAsiaTheme="minorEastAsia" w:hAnsiTheme="minorHAnsi" w:cstheme="minorBidi"/>
          <w:color w:val="000000" w:themeColor="text1"/>
          <w:lang w:val="en-GB"/>
        </w:rPr>
        <w:t>method.</w:t>
      </w:r>
      <w:r w:rsidR="00C27B53" w:rsidRPr="20F7574B">
        <w:rPr>
          <w:rFonts w:asciiTheme="minorHAnsi" w:eastAsiaTheme="minorEastAsia" w:hAnsiTheme="minorHAnsi" w:cstheme="minorBidi"/>
          <w:color w:val="000000" w:themeColor="text1"/>
          <w:lang w:val="en-GB"/>
        </w:rPr>
        <w:t xml:space="preserve"> </w:t>
      </w:r>
      <w:r w:rsidR="00AB2259">
        <w:rPr>
          <w:rFonts w:asciiTheme="minorHAnsi" w:eastAsiaTheme="minorEastAsia" w:hAnsiTheme="minorHAnsi" w:cstheme="minorBidi"/>
          <w:color w:val="000000" w:themeColor="text1"/>
          <w:lang w:val="en-GB"/>
        </w:rPr>
        <w:t xml:space="preserve">Most emissions avoidance methods allow for a crediting period of </w:t>
      </w:r>
      <w:r w:rsidR="00890CF1">
        <w:rPr>
          <w:rFonts w:asciiTheme="minorHAnsi" w:eastAsiaTheme="minorEastAsia" w:hAnsiTheme="minorHAnsi" w:cstheme="minorBidi"/>
          <w:color w:val="000000" w:themeColor="text1"/>
          <w:lang w:val="en-GB"/>
        </w:rPr>
        <w:t>seven</w:t>
      </w:r>
      <w:r w:rsidR="00AB2259">
        <w:rPr>
          <w:rFonts w:asciiTheme="minorHAnsi" w:eastAsiaTheme="minorEastAsia" w:hAnsiTheme="minorHAnsi" w:cstheme="minorBidi"/>
          <w:color w:val="000000" w:themeColor="text1"/>
          <w:lang w:val="en-GB"/>
        </w:rPr>
        <w:t xml:space="preserve"> years</w:t>
      </w:r>
      <w:r w:rsidR="00890CF1">
        <w:rPr>
          <w:rFonts w:asciiTheme="minorHAnsi" w:eastAsiaTheme="minorEastAsia" w:hAnsiTheme="minorHAnsi" w:cstheme="minorBidi"/>
          <w:color w:val="000000" w:themeColor="text1"/>
          <w:lang w:val="en-GB"/>
        </w:rPr>
        <w:t>. H</w:t>
      </w:r>
      <w:r w:rsidR="00AB2259">
        <w:rPr>
          <w:rFonts w:asciiTheme="minorHAnsi" w:eastAsiaTheme="minorEastAsia" w:hAnsiTheme="minorHAnsi" w:cstheme="minorBidi"/>
          <w:color w:val="000000" w:themeColor="text1"/>
          <w:lang w:val="en-GB"/>
        </w:rPr>
        <w:t>owever, a crediting period of 25 years is pro</w:t>
      </w:r>
      <w:r w:rsidR="009E5A20">
        <w:rPr>
          <w:rFonts w:asciiTheme="minorHAnsi" w:eastAsiaTheme="minorEastAsia" w:hAnsiTheme="minorHAnsi" w:cstheme="minorBidi"/>
          <w:color w:val="000000" w:themeColor="text1"/>
          <w:lang w:val="en-GB"/>
        </w:rPr>
        <w:t>vide</w:t>
      </w:r>
      <w:r w:rsidR="00AB2259">
        <w:rPr>
          <w:rFonts w:asciiTheme="minorHAnsi" w:eastAsiaTheme="minorEastAsia" w:hAnsiTheme="minorHAnsi" w:cstheme="minorBidi"/>
          <w:color w:val="000000" w:themeColor="text1"/>
          <w:lang w:val="en-GB"/>
        </w:rPr>
        <w:t>d</w:t>
      </w:r>
      <w:r w:rsidR="005B123D">
        <w:rPr>
          <w:rFonts w:asciiTheme="minorHAnsi" w:eastAsiaTheme="minorEastAsia" w:hAnsiTheme="minorHAnsi" w:cstheme="minorBidi"/>
          <w:color w:val="000000" w:themeColor="text1"/>
          <w:lang w:val="en-GB"/>
        </w:rPr>
        <w:t xml:space="preserve"> for CCS projects to recognise th</w:t>
      </w:r>
      <w:r w:rsidR="001E1E2D">
        <w:rPr>
          <w:rFonts w:asciiTheme="minorHAnsi" w:eastAsiaTheme="minorEastAsia" w:hAnsiTheme="minorHAnsi" w:cstheme="minorBidi"/>
          <w:color w:val="000000" w:themeColor="text1"/>
          <w:lang w:val="en-GB"/>
        </w:rPr>
        <w:t xml:space="preserve">e </w:t>
      </w:r>
      <w:r w:rsidR="00C05672">
        <w:rPr>
          <w:rFonts w:asciiTheme="minorHAnsi" w:eastAsiaTheme="minorEastAsia" w:hAnsiTheme="minorHAnsi" w:cstheme="minorBidi"/>
          <w:color w:val="000000" w:themeColor="text1"/>
          <w:lang w:val="en-GB"/>
        </w:rPr>
        <w:t xml:space="preserve">very large upfront and ongoing </w:t>
      </w:r>
      <w:r w:rsidR="004356A5">
        <w:rPr>
          <w:rFonts w:asciiTheme="minorHAnsi" w:eastAsiaTheme="minorEastAsia" w:hAnsiTheme="minorHAnsi" w:cstheme="minorBidi"/>
          <w:color w:val="000000" w:themeColor="text1"/>
          <w:lang w:val="en-GB"/>
        </w:rPr>
        <w:t>costs</w:t>
      </w:r>
      <w:r w:rsidR="00283CBD">
        <w:rPr>
          <w:rFonts w:asciiTheme="minorHAnsi" w:eastAsiaTheme="minorEastAsia" w:hAnsiTheme="minorHAnsi" w:cstheme="minorBidi"/>
          <w:color w:val="000000" w:themeColor="text1"/>
          <w:lang w:val="en-GB"/>
        </w:rPr>
        <w:t>, and</w:t>
      </w:r>
      <w:r w:rsidR="001E1E2D">
        <w:rPr>
          <w:rFonts w:asciiTheme="minorHAnsi" w:eastAsiaTheme="minorEastAsia" w:hAnsiTheme="minorHAnsi" w:cstheme="minorBidi"/>
          <w:color w:val="000000" w:themeColor="text1"/>
          <w:lang w:val="en-GB"/>
        </w:rPr>
        <w:t xml:space="preserve"> </w:t>
      </w:r>
      <w:r w:rsidR="009F318B">
        <w:rPr>
          <w:rFonts w:asciiTheme="minorHAnsi" w:eastAsiaTheme="minorEastAsia" w:hAnsiTheme="minorHAnsi" w:cstheme="minorBidi"/>
          <w:color w:val="000000" w:themeColor="text1"/>
          <w:lang w:val="en-GB"/>
        </w:rPr>
        <w:t xml:space="preserve">the fact that they </w:t>
      </w:r>
      <w:r w:rsidR="005B123D">
        <w:rPr>
          <w:rFonts w:asciiTheme="minorHAnsi" w:eastAsiaTheme="minorEastAsia" w:hAnsiTheme="minorHAnsi" w:cstheme="minorBidi"/>
          <w:color w:val="000000" w:themeColor="text1"/>
          <w:lang w:val="en-GB"/>
        </w:rPr>
        <w:t>are not expected to generate any revenue other than ACCUs</w:t>
      </w:r>
      <w:r w:rsidR="00283CBD">
        <w:rPr>
          <w:rFonts w:asciiTheme="minorHAnsi" w:eastAsiaTheme="minorEastAsia" w:hAnsiTheme="minorHAnsi" w:cstheme="minorBidi"/>
          <w:color w:val="000000" w:themeColor="text1"/>
          <w:lang w:val="en-GB"/>
        </w:rPr>
        <w:t xml:space="preserve">. This is </w:t>
      </w:r>
      <w:r w:rsidR="005B123D">
        <w:rPr>
          <w:rFonts w:asciiTheme="minorHAnsi" w:eastAsiaTheme="minorEastAsia" w:hAnsiTheme="minorHAnsi" w:cstheme="minorBidi"/>
          <w:color w:val="000000" w:themeColor="text1"/>
          <w:lang w:val="en-GB"/>
        </w:rPr>
        <w:t>unlike projects such as energy efficiency</w:t>
      </w:r>
      <w:r w:rsidR="00B50920">
        <w:rPr>
          <w:rFonts w:asciiTheme="minorHAnsi" w:eastAsiaTheme="minorEastAsia" w:hAnsiTheme="minorHAnsi" w:cstheme="minorBidi"/>
          <w:color w:val="000000" w:themeColor="text1"/>
          <w:lang w:val="en-GB"/>
        </w:rPr>
        <w:t xml:space="preserve"> that </w:t>
      </w:r>
      <w:r w:rsidR="005B123D">
        <w:rPr>
          <w:rFonts w:asciiTheme="minorHAnsi" w:eastAsiaTheme="minorEastAsia" w:hAnsiTheme="minorHAnsi" w:cstheme="minorBidi"/>
          <w:color w:val="000000" w:themeColor="text1"/>
          <w:lang w:val="en-GB"/>
        </w:rPr>
        <w:t xml:space="preserve">can </w:t>
      </w:r>
      <w:r w:rsidR="00283CBD">
        <w:rPr>
          <w:rFonts w:asciiTheme="minorHAnsi" w:eastAsiaTheme="minorEastAsia" w:hAnsiTheme="minorHAnsi" w:cstheme="minorBidi"/>
          <w:color w:val="000000" w:themeColor="text1"/>
          <w:lang w:val="en-GB"/>
        </w:rPr>
        <w:t xml:space="preserve">deliver cost savings </w:t>
      </w:r>
      <w:r w:rsidR="00B50920">
        <w:rPr>
          <w:rFonts w:asciiTheme="minorHAnsi" w:eastAsiaTheme="minorEastAsia" w:hAnsiTheme="minorHAnsi" w:cstheme="minorBidi"/>
          <w:color w:val="000000" w:themeColor="text1"/>
          <w:lang w:val="en-GB"/>
        </w:rPr>
        <w:t xml:space="preserve">due to </w:t>
      </w:r>
      <w:r w:rsidR="009F318B">
        <w:rPr>
          <w:rFonts w:asciiTheme="minorHAnsi" w:eastAsiaTheme="minorEastAsia" w:hAnsiTheme="minorHAnsi" w:cstheme="minorBidi"/>
          <w:color w:val="000000" w:themeColor="text1"/>
          <w:lang w:val="en-GB"/>
        </w:rPr>
        <w:t>r</w:t>
      </w:r>
      <w:r w:rsidR="00283CBD">
        <w:rPr>
          <w:rFonts w:asciiTheme="minorHAnsi" w:eastAsiaTheme="minorEastAsia" w:hAnsiTheme="minorHAnsi" w:cstheme="minorBidi"/>
          <w:color w:val="000000" w:themeColor="text1"/>
          <w:lang w:val="en-GB"/>
        </w:rPr>
        <w:t xml:space="preserve">educed </w:t>
      </w:r>
      <w:r w:rsidR="009F318B">
        <w:rPr>
          <w:rFonts w:asciiTheme="minorHAnsi" w:eastAsiaTheme="minorEastAsia" w:hAnsiTheme="minorHAnsi" w:cstheme="minorBidi"/>
          <w:color w:val="000000" w:themeColor="text1"/>
          <w:lang w:val="en-GB"/>
        </w:rPr>
        <w:t>energy</w:t>
      </w:r>
      <w:r w:rsidR="00283CBD">
        <w:rPr>
          <w:rFonts w:asciiTheme="minorHAnsi" w:eastAsiaTheme="minorEastAsia" w:hAnsiTheme="minorHAnsi" w:cstheme="minorBidi"/>
          <w:color w:val="000000" w:themeColor="text1"/>
          <w:lang w:val="en-GB"/>
        </w:rPr>
        <w:t xml:space="preserve"> use. </w:t>
      </w:r>
      <w:r w:rsidR="001E1E2D">
        <w:rPr>
          <w:rFonts w:asciiTheme="minorHAnsi" w:eastAsiaTheme="minorEastAsia" w:hAnsiTheme="minorHAnsi" w:cstheme="minorBidi"/>
          <w:color w:val="000000" w:themeColor="text1"/>
          <w:lang w:val="en-GB"/>
        </w:rPr>
        <w:t xml:space="preserve">On this basis, </w:t>
      </w:r>
      <w:r w:rsidR="0078683B">
        <w:rPr>
          <w:rFonts w:asciiTheme="minorHAnsi" w:eastAsiaTheme="minorEastAsia" w:hAnsiTheme="minorHAnsi" w:cstheme="minorBidi"/>
          <w:color w:val="000000" w:themeColor="text1"/>
          <w:lang w:val="en-GB"/>
        </w:rPr>
        <w:t xml:space="preserve">25 years represents a timeframe over which </w:t>
      </w:r>
      <w:r w:rsidR="00B50920">
        <w:rPr>
          <w:rFonts w:asciiTheme="minorHAnsi" w:eastAsiaTheme="minorEastAsia" w:hAnsiTheme="minorHAnsi" w:cstheme="minorBidi"/>
          <w:color w:val="000000" w:themeColor="text1"/>
          <w:lang w:val="en-GB"/>
        </w:rPr>
        <w:t xml:space="preserve">a CCS </w:t>
      </w:r>
      <w:r w:rsidR="0078683B">
        <w:rPr>
          <w:rFonts w:asciiTheme="minorHAnsi" w:eastAsiaTheme="minorEastAsia" w:hAnsiTheme="minorHAnsi" w:cstheme="minorBidi"/>
          <w:color w:val="000000" w:themeColor="text1"/>
          <w:lang w:val="en-GB"/>
        </w:rPr>
        <w:t xml:space="preserve">project is likely to </w:t>
      </w:r>
      <w:r w:rsidR="001E1E2D">
        <w:rPr>
          <w:rFonts w:asciiTheme="minorHAnsi" w:eastAsiaTheme="minorEastAsia" w:hAnsiTheme="minorHAnsi" w:cstheme="minorBidi"/>
          <w:color w:val="000000" w:themeColor="text1"/>
          <w:lang w:val="en-GB"/>
        </w:rPr>
        <w:t xml:space="preserve">generate </w:t>
      </w:r>
      <w:r w:rsidR="0078683B">
        <w:rPr>
          <w:rFonts w:asciiTheme="minorHAnsi" w:eastAsiaTheme="minorEastAsia" w:hAnsiTheme="minorHAnsi" w:cstheme="minorBidi"/>
          <w:color w:val="000000" w:themeColor="text1"/>
          <w:lang w:val="en-GB"/>
        </w:rPr>
        <w:t>additional</w:t>
      </w:r>
      <w:r w:rsidR="001E1E2D">
        <w:rPr>
          <w:rFonts w:asciiTheme="minorHAnsi" w:eastAsiaTheme="minorEastAsia" w:hAnsiTheme="minorHAnsi" w:cstheme="minorBidi"/>
          <w:color w:val="000000" w:themeColor="text1"/>
          <w:lang w:val="en-GB"/>
        </w:rPr>
        <w:t xml:space="preserve"> abatement, that is, abatement </w:t>
      </w:r>
      <w:r w:rsidR="001C1445">
        <w:rPr>
          <w:rFonts w:asciiTheme="minorHAnsi" w:eastAsiaTheme="minorEastAsia" w:hAnsiTheme="minorHAnsi" w:cstheme="minorBidi"/>
          <w:color w:val="000000" w:themeColor="text1"/>
          <w:lang w:val="en-GB"/>
        </w:rPr>
        <w:t xml:space="preserve">beyond </w:t>
      </w:r>
      <w:r w:rsidR="001E1E2D">
        <w:rPr>
          <w:rFonts w:asciiTheme="minorHAnsi" w:eastAsiaTheme="minorEastAsia" w:hAnsiTheme="minorHAnsi" w:cstheme="minorBidi"/>
          <w:color w:val="000000" w:themeColor="text1"/>
          <w:lang w:val="en-GB"/>
        </w:rPr>
        <w:t>the ordinary course of business</w:t>
      </w:r>
      <w:r w:rsidR="0078683B">
        <w:rPr>
          <w:rFonts w:asciiTheme="minorHAnsi" w:eastAsiaTheme="minorEastAsia" w:hAnsiTheme="minorHAnsi" w:cstheme="minorBidi"/>
          <w:color w:val="000000" w:themeColor="text1"/>
          <w:lang w:val="en-GB"/>
        </w:rPr>
        <w:t xml:space="preserve">. </w:t>
      </w:r>
    </w:p>
    <w:p w14:paraId="0959960F" w14:textId="07376C0D" w:rsidR="00BA10DB" w:rsidRDefault="004C7040" w:rsidP="004C7040">
      <w:pPr>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The i</w:t>
      </w:r>
      <w:r w:rsidR="00A7002B" w:rsidRPr="00776BC9">
        <w:rPr>
          <w:rFonts w:asciiTheme="minorHAnsi" w:eastAsiaTheme="minorEastAsia" w:hAnsiTheme="minorHAnsi" w:cstheme="minorBidi"/>
          <w:color w:val="000000" w:themeColor="text1"/>
          <w:lang w:val="en-GB"/>
        </w:rPr>
        <w:t>nject</w:t>
      </w:r>
      <w:r w:rsidR="00A7002B">
        <w:rPr>
          <w:rFonts w:asciiTheme="minorHAnsi" w:eastAsiaTheme="minorEastAsia" w:hAnsiTheme="minorHAnsi" w:cstheme="minorBidi"/>
          <w:color w:val="000000" w:themeColor="text1"/>
          <w:lang w:val="en-GB"/>
        </w:rPr>
        <w:t>ion</w:t>
      </w:r>
      <w:r w:rsidR="00A7002B" w:rsidRPr="00776BC9">
        <w:rPr>
          <w:rFonts w:asciiTheme="minorHAnsi" w:eastAsiaTheme="minorEastAsia" w:hAnsiTheme="minorHAnsi" w:cstheme="minorBidi"/>
          <w:color w:val="000000" w:themeColor="text1"/>
          <w:lang w:val="en-GB"/>
        </w:rPr>
        <w:t xml:space="preserve"> and stor</w:t>
      </w:r>
      <w:r w:rsidR="00A7002B">
        <w:rPr>
          <w:rFonts w:asciiTheme="minorHAnsi" w:eastAsiaTheme="minorEastAsia" w:hAnsiTheme="minorHAnsi" w:cstheme="minorBidi"/>
          <w:color w:val="000000" w:themeColor="text1"/>
          <w:lang w:val="en-GB"/>
        </w:rPr>
        <w:t>age of</w:t>
      </w:r>
      <w:r w:rsidR="00A7002B" w:rsidRPr="00776BC9">
        <w:rPr>
          <w:rFonts w:asciiTheme="minorHAnsi" w:eastAsiaTheme="minorEastAsia" w:hAnsiTheme="minorHAnsi" w:cstheme="minorBidi"/>
          <w:color w:val="000000" w:themeColor="text1"/>
          <w:lang w:val="en-GB"/>
        </w:rPr>
        <w:t xml:space="preserve"> greenhouse gas emissions </w:t>
      </w:r>
      <w:r w:rsidR="00055182" w:rsidRPr="00776BC9">
        <w:rPr>
          <w:rFonts w:asciiTheme="minorHAnsi" w:eastAsiaTheme="minorEastAsia" w:hAnsiTheme="minorHAnsi" w:cstheme="minorBidi"/>
          <w:color w:val="000000" w:themeColor="text1"/>
          <w:lang w:val="en-GB"/>
        </w:rPr>
        <w:t>beyond the end of the crediting period</w:t>
      </w:r>
      <w:r w:rsidR="00A7002B">
        <w:rPr>
          <w:rFonts w:asciiTheme="minorHAnsi" w:eastAsiaTheme="minorEastAsia" w:hAnsiTheme="minorHAnsi" w:cstheme="minorBidi"/>
          <w:color w:val="000000" w:themeColor="text1"/>
          <w:lang w:val="en-GB"/>
        </w:rPr>
        <w:t xml:space="preserve"> </w:t>
      </w:r>
      <w:r w:rsidR="00F71D15">
        <w:rPr>
          <w:rFonts w:asciiTheme="minorHAnsi" w:eastAsiaTheme="minorEastAsia" w:hAnsiTheme="minorHAnsi" w:cstheme="minorBidi"/>
          <w:color w:val="000000" w:themeColor="text1"/>
          <w:lang w:val="en-GB"/>
        </w:rPr>
        <w:t xml:space="preserve">will not be </w:t>
      </w:r>
      <w:r w:rsidR="00A7002B">
        <w:rPr>
          <w:rFonts w:asciiTheme="minorHAnsi" w:eastAsiaTheme="minorEastAsia" w:hAnsiTheme="minorHAnsi" w:cstheme="minorBidi"/>
          <w:color w:val="000000" w:themeColor="text1"/>
          <w:lang w:val="en-GB"/>
        </w:rPr>
        <w:t xml:space="preserve">eligible to receive </w:t>
      </w:r>
      <w:r w:rsidR="00055182" w:rsidRPr="00776BC9">
        <w:rPr>
          <w:rFonts w:asciiTheme="minorHAnsi" w:eastAsiaTheme="minorEastAsia" w:hAnsiTheme="minorHAnsi" w:cstheme="minorBidi"/>
          <w:color w:val="000000" w:themeColor="text1"/>
          <w:lang w:val="en-GB"/>
        </w:rPr>
        <w:t>A</w:t>
      </w:r>
      <w:r w:rsidR="00F71D15">
        <w:rPr>
          <w:rFonts w:asciiTheme="minorHAnsi" w:eastAsiaTheme="minorEastAsia" w:hAnsiTheme="minorHAnsi" w:cstheme="minorBidi"/>
          <w:color w:val="000000" w:themeColor="text1"/>
          <w:lang w:val="en-GB"/>
        </w:rPr>
        <w:t>CCUs</w:t>
      </w:r>
      <w:r>
        <w:rPr>
          <w:rFonts w:asciiTheme="minorHAnsi" w:eastAsiaTheme="minorEastAsia" w:hAnsiTheme="minorHAnsi" w:cstheme="minorBidi"/>
          <w:color w:val="000000" w:themeColor="text1"/>
          <w:lang w:val="en-GB"/>
        </w:rPr>
        <w:t>.</w:t>
      </w:r>
    </w:p>
    <w:p w14:paraId="5F8C856C" w14:textId="27F02492" w:rsidR="00A51106" w:rsidRPr="00487A8B" w:rsidRDefault="5A325C99" w:rsidP="00A51106">
      <w:pPr>
        <w:pStyle w:val="Heading3"/>
        <w:spacing w:before="0" w:after="200"/>
        <w:rPr>
          <w:lang w:val="en-GB"/>
        </w:rPr>
      </w:pPr>
      <w:bookmarkStart w:id="29" w:name="_Toc75442792"/>
      <w:r w:rsidRPr="20F7574B">
        <w:rPr>
          <w:lang w:val="en-GB"/>
        </w:rPr>
        <w:t>Lo</w:t>
      </w:r>
      <w:r w:rsidR="008568FD">
        <w:rPr>
          <w:lang w:val="en-GB"/>
        </w:rPr>
        <w:t>n</w:t>
      </w:r>
      <w:r w:rsidRPr="20F7574B">
        <w:rPr>
          <w:lang w:val="en-GB"/>
        </w:rPr>
        <w:t xml:space="preserve">ger-term </w:t>
      </w:r>
      <w:r w:rsidR="00414BED">
        <w:rPr>
          <w:lang w:val="en-GB"/>
        </w:rPr>
        <w:t>r</w:t>
      </w:r>
      <w:r w:rsidR="004C7040">
        <w:rPr>
          <w:lang w:val="en-GB"/>
        </w:rPr>
        <w:t xml:space="preserve">isk of </w:t>
      </w:r>
      <w:r w:rsidR="00414BED">
        <w:rPr>
          <w:lang w:val="en-GB"/>
        </w:rPr>
        <w:t>r</w:t>
      </w:r>
      <w:r w:rsidR="00E22C06" w:rsidRPr="20F7574B">
        <w:rPr>
          <w:lang w:val="en-GB"/>
        </w:rPr>
        <w:t>eversal</w:t>
      </w:r>
      <w:bookmarkEnd w:id="29"/>
      <w:r w:rsidR="00A51106" w:rsidRPr="00A51106">
        <w:rPr>
          <w:lang w:val="en-GB"/>
        </w:rPr>
        <w:t xml:space="preserve"> </w:t>
      </w:r>
    </w:p>
    <w:p w14:paraId="100BA614" w14:textId="43C20EBA" w:rsidR="0098173A" w:rsidRDefault="00207BAC" w:rsidP="00970A48">
      <w:pPr>
        <w:tabs>
          <w:tab w:val="left" w:pos="1134"/>
        </w:tabs>
        <w:jc w:val="both"/>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There is a risk that</w:t>
      </w:r>
      <w:r w:rsidR="0022646E">
        <w:rPr>
          <w:rFonts w:asciiTheme="minorHAnsi" w:eastAsiaTheme="minorEastAsia" w:hAnsiTheme="minorHAnsi" w:cstheme="minorBidi"/>
          <w:color w:val="000000" w:themeColor="text1"/>
          <w:lang w:val="en-GB"/>
        </w:rPr>
        <w:t xml:space="preserve"> the</w:t>
      </w:r>
      <w:r>
        <w:rPr>
          <w:rFonts w:asciiTheme="minorHAnsi" w:eastAsiaTheme="minorEastAsia" w:hAnsiTheme="minorHAnsi" w:cstheme="minorBidi"/>
          <w:color w:val="000000" w:themeColor="text1"/>
          <w:lang w:val="en-GB"/>
        </w:rPr>
        <w:t xml:space="preserve"> </w:t>
      </w:r>
      <w:r w:rsidR="006F5B71">
        <w:rPr>
          <w:rFonts w:asciiTheme="minorHAnsi" w:eastAsiaTheme="minorEastAsia" w:hAnsiTheme="minorHAnsi" w:cstheme="minorBidi"/>
          <w:color w:val="000000" w:themeColor="text1"/>
          <w:lang w:val="en-GB"/>
        </w:rPr>
        <w:t>abatement created</w:t>
      </w:r>
      <w:r>
        <w:rPr>
          <w:rFonts w:asciiTheme="minorHAnsi" w:eastAsiaTheme="minorEastAsia" w:hAnsiTheme="minorHAnsi" w:cstheme="minorBidi"/>
          <w:color w:val="000000" w:themeColor="text1"/>
          <w:lang w:val="en-GB"/>
        </w:rPr>
        <w:t xml:space="preserve"> </w:t>
      </w:r>
      <w:r w:rsidR="004C7040">
        <w:rPr>
          <w:rFonts w:asciiTheme="minorHAnsi" w:eastAsiaTheme="minorEastAsia" w:hAnsiTheme="minorHAnsi" w:cstheme="minorBidi"/>
          <w:color w:val="000000" w:themeColor="text1"/>
          <w:lang w:val="en-GB"/>
        </w:rPr>
        <w:t xml:space="preserve">by </w:t>
      </w:r>
      <w:r>
        <w:rPr>
          <w:rFonts w:asciiTheme="minorHAnsi" w:eastAsiaTheme="minorEastAsia" w:hAnsiTheme="minorHAnsi" w:cstheme="minorBidi"/>
          <w:color w:val="000000" w:themeColor="text1"/>
          <w:lang w:val="en-GB"/>
        </w:rPr>
        <w:t xml:space="preserve">a CCS project could be reversed and </w:t>
      </w:r>
      <w:r w:rsidR="0098173A">
        <w:rPr>
          <w:rFonts w:asciiTheme="minorHAnsi" w:eastAsiaTheme="minorEastAsia" w:hAnsiTheme="minorHAnsi" w:cstheme="minorBidi"/>
          <w:color w:val="000000" w:themeColor="text1"/>
          <w:lang w:val="en-GB"/>
        </w:rPr>
        <w:t xml:space="preserve">the </w:t>
      </w:r>
      <w:r w:rsidR="00755B4C">
        <w:rPr>
          <w:rFonts w:asciiTheme="minorHAnsi" w:eastAsiaTheme="minorEastAsia" w:hAnsiTheme="minorHAnsi" w:cstheme="minorBidi"/>
          <w:color w:val="000000" w:themeColor="text1"/>
          <w:lang w:val="en-GB"/>
        </w:rPr>
        <w:t xml:space="preserve">injected </w:t>
      </w:r>
      <w:r w:rsidR="006F5B71">
        <w:rPr>
          <w:rFonts w:asciiTheme="minorHAnsi" w:eastAsiaTheme="minorEastAsia" w:hAnsiTheme="minorHAnsi" w:cstheme="minorBidi"/>
          <w:color w:val="000000" w:themeColor="text1"/>
          <w:lang w:val="en-GB"/>
        </w:rPr>
        <w:t xml:space="preserve">emissions released </w:t>
      </w:r>
      <w:r>
        <w:rPr>
          <w:rFonts w:asciiTheme="minorHAnsi" w:eastAsiaTheme="minorEastAsia" w:hAnsiTheme="minorHAnsi" w:cstheme="minorBidi"/>
          <w:color w:val="000000" w:themeColor="text1"/>
          <w:lang w:val="en-GB"/>
        </w:rPr>
        <w:t>to the atmosphere.</w:t>
      </w:r>
      <w:r w:rsidR="004E06BB">
        <w:rPr>
          <w:rFonts w:asciiTheme="minorHAnsi" w:eastAsiaTheme="minorEastAsia" w:hAnsiTheme="minorHAnsi" w:cstheme="minorBidi"/>
          <w:color w:val="000000" w:themeColor="text1"/>
          <w:lang w:val="en-GB"/>
        </w:rPr>
        <w:t xml:space="preserve"> </w:t>
      </w:r>
      <w:r w:rsidR="00F236AD">
        <w:rPr>
          <w:rFonts w:asciiTheme="minorHAnsi" w:eastAsiaTheme="minorEastAsia" w:hAnsiTheme="minorHAnsi" w:cstheme="minorBidi"/>
          <w:color w:val="000000" w:themeColor="text1"/>
          <w:lang w:val="en-GB"/>
        </w:rPr>
        <w:t>International</w:t>
      </w:r>
      <w:r w:rsidR="00365BD3">
        <w:rPr>
          <w:rFonts w:asciiTheme="minorHAnsi" w:eastAsiaTheme="minorEastAsia" w:hAnsiTheme="minorHAnsi" w:cstheme="minorBidi"/>
          <w:color w:val="000000" w:themeColor="text1"/>
          <w:lang w:val="en-GB"/>
        </w:rPr>
        <w:t xml:space="preserve"> technical assessments suggest </w:t>
      </w:r>
      <w:r w:rsidR="00F236AD">
        <w:rPr>
          <w:rFonts w:asciiTheme="minorHAnsi" w:eastAsiaTheme="minorEastAsia" w:hAnsiTheme="minorHAnsi" w:cstheme="minorBidi"/>
          <w:color w:val="000000" w:themeColor="text1"/>
          <w:lang w:val="en-GB"/>
        </w:rPr>
        <w:t>that th</w:t>
      </w:r>
      <w:r w:rsidR="00365BD3">
        <w:rPr>
          <w:rFonts w:asciiTheme="minorHAnsi" w:eastAsiaTheme="minorEastAsia" w:hAnsiTheme="minorHAnsi" w:cstheme="minorBidi"/>
          <w:color w:val="000000" w:themeColor="text1"/>
          <w:lang w:val="en-GB"/>
        </w:rPr>
        <w:t xml:space="preserve">e risk of </w:t>
      </w:r>
      <w:r w:rsidR="00365BD3">
        <w:rPr>
          <w:rFonts w:asciiTheme="minorHAnsi" w:eastAsiaTheme="minorEastAsia" w:hAnsiTheme="minorHAnsi" w:cstheme="minorBidi"/>
          <w:color w:val="000000" w:themeColor="text1"/>
          <w:lang w:val="en-GB"/>
        </w:rPr>
        <w:lastRenderedPageBreak/>
        <w:t xml:space="preserve">reversal </w:t>
      </w:r>
      <w:r w:rsidR="00F236AD">
        <w:rPr>
          <w:rFonts w:asciiTheme="minorHAnsi" w:eastAsiaTheme="minorEastAsia" w:hAnsiTheme="minorHAnsi" w:cstheme="minorBidi"/>
          <w:color w:val="000000" w:themeColor="text1"/>
          <w:lang w:val="en-GB"/>
        </w:rPr>
        <w:t>is low and declines over time</w:t>
      </w:r>
      <w:r w:rsidR="00E80E08">
        <w:rPr>
          <w:rStyle w:val="FootnoteReference"/>
          <w:rFonts w:asciiTheme="minorHAnsi" w:eastAsiaTheme="minorEastAsia" w:hAnsiTheme="minorHAnsi" w:cstheme="minorBidi"/>
          <w:color w:val="000000" w:themeColor="text1"/>
          <w:lang w:val="en-GB"/>
        </w:rPr>
        <w:footnoteReference w:id="13"/>
      </w:r>
      <w:r w:rsidR="00F236AD">
        <w:rPr>
          <w:rFonts w:asciiTheme="minorHAnsi" w:eastAsiaTheme="minorEastAsia" w:hAnsiTheme="minorHAnsi" w:cstheme="minorBidi"/>
          <w:color w:val="000000" w:themeColor="text1"/>
          <w:lang w:val="en-GB"/>
        </w:rPr>
        <w:t>. In Australia, t</w:t>
      </w:r>
      <w:r w:rsidR="0098173A">
        <w:rPr>
          <w:rFonts w:asciiTheme="minorHAnsi" w:eastAsiaTheme="minorEastAsia" w:hAnsiTheme="minorHAnsi" w:cstheme="minorBidi"/>
          <w:color w:val="000000" w:themeColor="text1"/>
          <w:lang w:val="en-GB"/>
        </w:rPr>
        <w:t xml:space="preserve">he risk of reversal is </w:t>
      </w:r>
      <w:r w:rsidR="00F236AD" w:rsidRPr="00474920">
        <w:rPr>
          <w:rFonts w:asciiTheme="minorHAnsi" w:eastAsiaTheme="minorEastAsia" w:hAnsiTheme="minorHAnsi" w:cstheme="minorBidi"/>
          <w:color w:val="000000" w:themeColor="text1"/>
          <w:lang w:val="en-GB"/>
        </w:rPr>
        <w:t xml:space="preserve">considered </w:t>
      </w:r>
      <w:r w:rsidR="00D2010B">
        <w:rPr>
          <w:rFonts w:asciiTheme="minorHAnsi" w:eastAsiaTheme="minorEastAsia" w:hAnsiTheme="minorHAnsi" w:cstheme="minorBidi"/>
          <w:color w:val="000000" w:themeColor="text1"/>
          <w:lang w:val="en-GB"/>
        </w:rPr>
        <w:t xml:space="preserve">particularly </w:t>
      </w:r>
      <w:r w:rsidR="00F236AD" w:rsidRPr="00474920">
        <w:rPr>
          <w:rFonts w:asciiTheme="minorHAnsi" w:eastAsiaTheme="minorEastAsia" w:hAnsiTheme="minorHAnsi" w:cstheme="minorBidi"/>
          <w:color w:val="000000" w:themeColor="text1"/>
          <w:lang w:val="en-GB"/>
        </w:rPr>
        <w:t>low</w:t>
      </w:r>
      <w:r w:rsidR="00F236AD" w:rsidRPr="00F236AD">
        <w:rPr>
          <w:rFonts w:asciiTheme="minorHAnsi" w:eastAsiaTheme="minorEastAsia" w:hAnsiTheme="minorHAnsi" w:cstheme="minorBidi"/>
          <w:color w:val="000000" w:themeColor="text1"/>
          <w:lang w:val="en-GB"/>
        </w:rPr>
        <w:t xml:space="preserve"> </w:t>
      </w:r>
      <w:r w:rsidR="00F236AD" w:rsidRPr="00474920">
        <w:rPr>
          <w:rFonts w:asciiTheme="minorHAnsi" w:eastAsiaTheme="minorEastAsia" w:hAnsiTheme="minorHAnsi" w:cstheme="minorBidi"/>
          <w:color w:val="000000" w:themeColor="text1"/>
          <w:lang w:val="en-GB"/>
        </w:rPr>
        <w:t>due to the characteristics of geological formations where CCS projects are likely to be located and strong regulatory frameworks</w:t>
      </w:r>
      <w:r w:rsidR="00F236AD">
        <w:rPr>
          <w:rStyle w:val="FootnoteReference"/>
          <w:rFonts w:asciiTheme="minorHAnsi" w:eastAsiaTheme="minorEastAsia" w:hAnsiTheme="minorHAnsi" w:cstheme="minorBidi"/>
          <w:color w:val="000000" w:themeColor="text1"/>
          <w:lang w:val="en-GB"/>
        </w:rPr>
        <w:footnoteReference w:id="14"/>
      </w:r>
      <w:r w:rsidR="00E80E08">
        <w:rPr>
          <w:rFonts w:asciiTheme="minorHAnsi" w:eastAsiaTheme="minorEastAsia" w:hAnsiTheme="minorHAnsi" w:cstheme="minorBidi"/>
          <w:color w:val="000000" w:themeColor="text1"/>
          <w:lang w:val="en-GB"/>
        </w:rPr>
        <w:t>.</w:t>
      </w:r>
    </w:p>
    <w:p w14:paraId="584C9320" w14:textId="384491E9" w:rsidR="004356A5" w:rsidRDefault="002A1F13" w:rsidP="00970A48">
      <w:pPr>
        <w:tabs>
          <w:tab w:val="left" w:pos="1134"/>
        </w:tabs>
        <w:jc w:val="both"/>
        <w:rPr>
          <w:rFonts w:asciiTheme="minorHAnsi" w:eastAsiaTheme="minorEastAsia" w:hAnsiTheme="minorHAnsi" w:cstheme="minorBidi"/>
          <w:color w:val="000000" w:themeColor="text1"/>
          <w:lang w:val="en-GB"/>
        </w:rPr>
      </w:pPr>
      <w:r w:rsidRPr="00474920">
        <w:rPr>
          <w:rFonts w:asciiTheme="minorHAnsi" w:eastAsiaTheme="minorEastAsia" w:hAnsiTheme="minorHAnsi" w:cstheme="minorBidi"/>
          <w:color w:val="000000" w:themeColor="text1"/>
          <w:lang w:val="en-GB"/>
        </w:rPr>
        <w:t>However,</w:t>
      </w:r>
      <w:r>
        <w:rPr>
          <w:rFonts w:asciiTheme="minorHAnsi" w:eastAsiaTheme="minorEastAsia" w:hAnsiTheme="minorHAnsi" w:cstheme="minorBidi"/>
          <w:color w:val="000000" w:themeColor="text1"/>
          <w:lang w:val="en-GB"/>
        </w:rPr>
        <w:t xml:space="preserve"> as</w:t>
      </w:r>
      <w:r w:rsidRPr="00474920">
        <w:rPr>
          <w:rFonts w:asciiTheme="minorHAnsi" w:eastAsiaTheme="minorEastAsia" w:hAnsiTheme="minorHAnsi" w:cstheme="minorBidi"/>
          <w:color w:val="000000" w:themeColor="text1"/>
          <w:lang w:val="en-GB"/>
        </w:rPr>
        <w:t xml:space="preserve"> these frameworks do not provide a remedy for the loss of any carbon that has been credited</w:t>
      </w:r>
      <w:r w:rsidR="001C1445">
        <w:rPr>
          <w:rFonts w:asciiTheme="minorHAnsi" w:eastAsiaTheme="minorEastAsia" w:hAnsiTheme="minorHAnsi" w:cstheme="minorBidi"/>
          <w:color w:val="000000" w:themeColor="text1"/>
          <w:lang w:val="en-GB"/>
        </w:rPr>
        <w:t>,</w:t>
      </w:r>
      <w:r>
        <w:rPr>
          <w:rFonts w:asciiTheme="minorHAnsi" w:eastAsiaTheme="minorEastAsia" w:hAnsiTheme="minorHAnsi" w:cstheme="minorBidi"/>
          <w:color w:val="000000" w:themeColor="text1"/>
          <w:lang w:val="en-GB"/>
        </w:rPr>
        <w:t xml:space="preserve"> the</w:t>
      </w:r>
      <w:r w:rsidR="00506F09">
        <w:rPr>
          <w:rFonts w:asciiTheme="minorHAnsi" w:eastAsiaTheme="minorEastAsia" w:hAnsiTheme="minorHAnsi" w:cstheme="minorBidi"/>
          <w:color w:val="000000" w:themeColor="text1"/>
          <w:lang w:val="en-GB"/>
        </w:rPr>
        <w:t xml:space="preserve"> proposed CCS</w:t>
      </w:r>
      <w:r>
        <w:rPr>
          <w:rFonts w:asciiTheme="minorHAnsi" w:eastAsiaTheme="minorEastAsia" w:hAnsiTheme="minorHAnsi" w:cstheme="minorBidi"/>
          <w:color w:val="000000" w:themeColor="text1"/>
          <w:lang w:val="en-GB"/>
        </w:rPr>
        <w:t xml:space="preserve"> method incorporates additional controls</w:t>
      </w:r>
      <w:r w:rsidRPr="00474920">
        <w:rPr>
          <w:rFonts w:asciiTheme="minorHAnsi" w:eastAsiaTheme="minorEastAsia" w:hAnsiTheme="minorHAnsi" w:cstheme="minorBidi"/>
          <w:color w:val="000000" w:themeColor="text1"/>
          <w:lang w:val="en-GB"/>
        </w:rPr>
        <w:t xml:space="preserve">. </w:t>
      </w:r>
    </w:p>
    <w:p w14:paraId="36136A8E" w14:textId="5BBAF6BB" w:rsidR="00E93F60" w:rsidRPr="00CB34F8" w:rsidRDefault="001050B2" w:rsidP="00F13D4D">
      <w:pPr>
        <w:tabs>
          <w:tab w:val="left" w:pos="1134"/>
        </w:tabs>
        <w:jc w:val="both"/>
        <w:rPr>
          <w:rFonts w:asciiTheme="minorHAnsi" w:eastAsiaTheme="minorHAnsi" w:hAnsiTheme="minorHAnsi" w:cstheme="minorBidi"/>
          <w:color w:val="auto"/>
          <w:lang w:val="en-GB"/>
        </w:rPr>
      </w:pPr>
      <w:r>
        <w:rPr>
          <w:rFonts w:asciiTheme="minorHAnsi" w:eastAsiaTheme="minorEastAsia" w:hAnsiTheme="minorHAnsi" w:cstheme="minorBidi"/>
          <w:color w:val="000000" w:themeColor="text1"/>
          <w:lang w:val="en-GB"/>
        </w:rPr>
        <w:t xml:space="preserve">While reversals during the crediting period will be accounted for in the net abatement calculation, this mechanism will cease to be available when the crediting period ends. </w:t>
      </w:r>
      <w:r w:rsidR="00E93F60">
        <w:rPr>
          <w:rFonts w:asciiTheme="minorHAnsi" w:eastAsiaTheme="minorEastAsia" w:hAnsiTheme="minorHAnsi" w:cstheme="minorBidi"/>
          <w:color w:val="000000" w:themeColor="text1"/>
          <w:lang w:val="en-GB"/>
        </w:rPr>
        <w:t>In selecting an appropriate approach to risk of reversal</w:t>
      </w:r>
      <w:r>
        <w:rPr>
          <w:rFonts w:asciiTheme="minorHAnsi" w:eastAsiaTheme="minorEastAsia" w:hAnsiTheme="minorHAnsi" w:cstheme="minorBidi"/>
          <w:color w:val="000000" w:themeColor="text1"/>
          <w:lang w:val="en-GB"/>
        </w:rPr>
        <w:t xml:space="preserve"> after the crediting period ends</w:t>
      </w:r>
      <w:r w:rsidR="00E93F60">
        <w:rPr>
          <w:rFonts w:asciiTheme="minorHAnsi" w:eastAsiaTheme="minorEastAsia" w:hAnsiTheme="minorHAnsi" w:cstheme="minorBidi"/>
          <w:color w:val="000000" w:themeColor="text1"/>
          <w:lang w:val="en-GB"/>
        </w:rPr>
        <w:t>, t</w:t>
      </w:r>
      <w:r w:rsidR="00E93F60" w:rsidRPr="002664FB">
        <w:rPr>
          <w:rFonts w:asciiTheme="minorHAnsi" w:eastAsiaTheme="minorEastAsia" w:hAnsiTheme="minorHAnsi" w:cstheme="minorBidi"/>
          <w:color w:val="000000" w:themeColor="text1"/>
          <w:lang w:val="en-GB"/>
        </w:rPr>
        <w:t xml:space="preserve">he </w:t>
      </w:r>
      <w:r w:rsidR="00E93F60">
        <w:rPr>
          <w:rFonts w:asciiTheme="minorHAnsi" w:eastAsiaTheme="minorEastAsia" w:hAnsiTheme="minorHAnsi" w:cstheme="minorBidi"/>
          <w:color w:val="000000" w:themeColor="text1"/>
          <w:lang w:val="en-GB"/>
        </w:rPr>
        <w:t xml:space="preserve">Regulator </w:t>
      </w:r>
      <w:r w:rsidR="00E93F60" w:rsidRPr="002664FB">
        <w:rPr>
          <w:rFonts w:asciiTheme="minorHAnsi" w:eastAsiaTheme="minorEastAsia" w:hAnsiTheme="minorHAnsi" w:cstheme="minorBidi"/>
          <w:color w:val="000000" w:themeColor="text1"/>
          <w:lang w:val="en-GB"/>
        </w:rPr>
        <w:t xml:space="preserve">sought expert advice, reviewed other international </w:t>
      </w:r>
      <w:r w:rsidR="00E93F60">
        <w:rPr>
          <w:rFonts w:asciiTheme="minorHAnsi" w:eastAsiaTheme="minorEastAsia" w:hAnsiTheme="minorHAnsi" w:cstheme="minorBidi"/>
          <w:color w:val="000000" w:themeColor="text1"/>
          <w:lang w:val="en-GB"/>
        </w:rPr>
        <w:t xml:space="preserve">CCS </w:t>
      </w:r>
      <w:r w:rsidR="00E93F60" w:rsidRPr="002664FB">
        <w:rPr>
          <w:rFonts w:asciiTheme="minorHAnsi" w:eastAsiaTheme="minorEastAsia" w:hAnsiTheme="minorHAnsi" w:cstheme="minorBidi"/>
          <w:color w:val="000000" w:themeColor="text1"/>
          <w:lang w:val="en-GB"/>
        </w:rPr>
        <w:t>frameworks, and consulted with key stakeholders</w:t>
      </w:r>
      <w:r w:rsidR="00E93F60">
        <w:rPr>
          <w:rFonts w:asciiTheme="minorHAnsi" w:eastAsiaTheme="minorEastAsia" w:hAnsiTheme="minorHAnsi" w:cstheme="minorBidi"/>
          <w:color w:val="000000" w:themeColor="text1"/>
          <w:lang w:val="en-GB"/>
        </w:rPr>
        <w:t xml:space="preserve">. </w:t>
      </w:r>
    </w:p>
    <w:p w14:paraId="4996B003" w14:textId="77777777" w:rsidR="00322FDE" w:rsidRDefault="001050B2" w:rsidP="00970A48">
      <w:pPr>
        <w:tabs>
          <w:tab w:val="left" w:pos="1134"/>
        </w:tabs>
        <w:jc w:val="both"/>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 xml:space="preserve">Taking the information available into account, the proposed CCS method </w:t>
      </w:r>
      <w:r w:rsidR="00640316">
        <w:rPr>
          <w:rFonts w:asciiTheme="minorHAnsi" w:eastAsiaTheme="minorEastAsia" w:hAnsiTheme="minorHAnsi" w:cstheme="minorBidi"/>
          <w:color w:val="000000" w:themeColor="text1"/>
          <w:lang w:val="en-GB"/>
        </w:rPr>
        <w:t xml:space="preserve">provides for three per cent of ACCUs to be withheld </w:t>
      </w:r>
      <w:r w:rsidR="00640316" w:rsidRPr="002664FB">
        <w:rPr>
          <w:rFonts w:asciiTheme="minorHAnsi" w:eastAsiaTheme="minorEastAsia" w:hAnsiTheme="minorHAnsi" w:cstheme="minorBidi"/>
          <w:color w:val="000000" w:themeColor="text1"/>
          <w:lang w:val="en-GB"/>
        </w:rPr>
        <w:t>refundable on evidence of successful site closure issued by the regulating authority.</w:t>
      </w:r>
      <w:r w:rsidR="00640316">
        <w:rPr>
          <w:rFonts w:asciiTheme="minorHAnsi" w:eastAsiaTheme="minorEastAsia" w:hAnsiTheme="minorHAnsi" w:cstheme="minorBidi"/>
          <w:color w:val="000000" w:themeColor="text1"/>
          <w:lang w:val="en-GB"/>
        </w:rPr>
        <w:t xml:space="preserve"> </w:t>
      </w:r>
    </w:p>
    <w:p w14:paraId="76C8B715" w14:textId="77777777" w:rsidR="00322FDE" w:rsidRDefault="00322FDE" w:rsidP="00970A48">
      <w:pPr>
        <w:tabs>
          <w:tab w:val="left" w:pos="1134"/>
        </w:tabs>
        <w:jc w:val="both"/>
        <w:rPr>
          <w:rFonts w:asciiTheme="minorHAnsi" w:eastAsiaTheme="minorEastAsia" w:hAnsiTheme="minorHAnsi" w:cstheme="minorBidi"/>
          <w:color w:val="000000" w:themeColor="text1"/>
          <w:lang w:val="en-GB"/>
        </w:rPr>
      </w:pPr>
      <w:r w:rsidRPr="002664FB">
        <w:rPr>
          <w:rFonts w:asciiTheme="minorHAnsi" w:eastAsiaTheme="minorEastAsia" w:hAnsiTheme="minorHAnsi" w:cstheme="minorBidi"/>
          <w:color w:val="000000" w:themeColor="text1"/>
          <w:lang w:val="en-GB"/>
        </w:rPr>
        <w:t>The length of th</w:t>
      </w:r>
      <w:r>
        <w:rPr>
          <w:rFonts w:asciiTheme="minorHAnsi" w:eastAsiaTheme="minorEastAsia" w:hAnsiTheme="minorHAnsi" w:cstheme="minorBidi"/>
          <w:color w:val="000000" w:themeColor="text1"/>
          <w:lang w:val="en-GB"/>
        </w:rPr>
        <w:t xml:space="preserve">e period between the end of the crediting period and the successful site closure will be </w:t>
      </w:r>
      <w:r w:rsidRPr="002664FB">
        <w:rPr>
          <w:rFonts w:asciiTheme="minorHAnsi" w:eastAsiaTheme="minorEastAsia" w:hAnsiTheme="minorHAnsi" w:cstheme="minorBidi"/>
          <w:color w:val="000000" w:themeColor="text1"/>
          <w:lang w:val="en-GB"/>
        </w:rPr>
        <w:t xml:space="preserve">project specific. It could be more than 15 years after injection has ceased before an application can be made to surrender a licence. </w:t>
      </w:r>
    </w:p>
    <w:p w14:paraId="628F7C4B" w14:textId="2BD0FE17" w:rsidR="009A029B" w:rsidRDefault="00322FDE" w:rsidP="00970A48">
      <w:pPr>
        <w:tabs>
          <w:tab w:val="left" w:pos="1134"/>
        </w:tabs>
        <w:jc w:val="both"/>
        <w:rPr>
          <w:rFonts w:asciiTheme="minorHAnsi" w:eastAsiaTheme="minorEastAsia" w:hAnsiTheme="minorHAnsi" w:cstheme="minorBidi"/>
          <w:color w:val="000000" w:themeColor="text1"/>
          <w:lang w:val="en-GB"/>
        </w:rPr>
      </w:pPr>
      <w:r w:rsidRPr="002664FB">
        <w:rPr>
          <w:rFonts w:asciiTheme="minorHAnsi" w:eastAsiaTheme="minorEastAsia" w:hAnsiTheme="minorHAnsi" w:cstheme="minorBidi"/>
          <w:color w:val="000000" w:themeColor="text1"/>
          <w:lang w:val="en-GB"/>
        </w:rPr>
        <w:t xml:space="preserve">During the </w:t>
      </w:r>
      <w:r>
        <w:rPr>
          <w:rFonts w:asciiTheme="minorHAnsi" w:eastAsiaTheme="minorEastAsia" w:hAnsiTheme="minorHAnsi" w:cstheme="minorBidi"/>
          <w:color w:val="000000" w:themeColor="text1"/>
          <w:lang w:val="en-GB"/>
        </w:rPr>
        <w:t xml:space="preserve">period between when the crediting period ends and successful site closure, </w:t>
      </w:r>
      <w:r w:rsidRPr="002664FB">
        <w:rPr>
          <w:rFonts w:asciiTheme="minorHAnsi" w:eastAsiaTheme="minorEastAsia" w:hAnsiTheme="minorHAnsi" w:cstheme="minorBidi"/>
          <w:color w:val="000000" w:themeColor="text1"/>
          <w:lang w:val="en-GB"/>
        </w:rPr>
        <w:t>project proponents will be required to report any fugitive emissions from the site so they can be deducted from the amount</w:t>
      </w:r>
      <w:r w:rsidR="000521CD">
        <w:rPr>
          <w:rFonts w:asciiTheme="minorHAnsi" w:eastAsiaTheme="minorEastAsia" w:hAnsiTheme="minorHAnsi" w:cstheme="minorBidi"/>
          <w:color w:val="000000" w:themeColor="text1"/>
          <w:lang w:val="en-GB"/>
        </w:rPr>
        <w:t xml:space="preserve"> of ACCUs</w:t>
      </w:r>
      <w:r w:rsidRPr="002664FB">
        <w:rPr>
          <w:rFonts w:asciiTheme="minorHAnsi" w:eastAsiaTheme="minorEastAsia" w:hAnsiTheme="minorHAnsi" w:cstheme="minorBidi"/>
          <w:color w:val="000000" w:themeColor="text1"/>
          <w:lang w:val="en-GB"/>
        </w:rPr>
        <w:t xml:space="preserve"> to be refunded.</w:t>
      </w:r>
      <w:r w:rsidRPr="00322FDE">
        <w:rPr>
          <w:rFonts w:asciiTheme="minorHAnsi" w:eastAsiaTheme="minorEastAsia" w:hAnsiTheme="minorHAnsi" w:cstheme="minorBidi"/>
          <w:color w:val="000000" w:themeColor="text1"/>
          <w:lang w:val="en-GB"/>
        </w:rPr>
        <w:t xml:space="preserve"> </w:t>
      </w:r>
      <w:r>
        <w:rPr>
          <w:rFonts w:asciiTheme="minorHAnsi" w:eastAsiaTheme="minorEastAsia" w:hAnsiTheme="minorHAnsi" w:cstheme="minorBidi"/>
          <w:color w:val="000000" w:themeColor="text1"/>
          <w:lang w:val="en-GB"/>
        </w:rPr>
        <w:t xml:space="preserve">This is called the extended accounting period. Offsets reports will be required every two years during the extended accounting period and the licence surrender, and any reversals that happen during that time will reduce the number of ACCUs credited to the </w:t>
      </w:r>
      <w:r w:rsidR="00B626AE">
        <w:rPr>
          <w:rFonts w:asciiTheme="minorHAnsi" w:eastAsiaTheme="minorEastAsia" w:hAnsiTheme="minorHAnsi" w:cstheme="minorBidi"/>
          <w:color w:val="000000" w:themeColor="text1"/>
          <w:lang w:val="en-GB"/>
        </w:rPr>
        <w:t xml:space="preserve">project </w:t>
      </w:r>
      <w:r>
        <w:rPr>
          <w:rFonts w:asciiTheme="minorHAnsi" w:eastAsiaTheme="minorEastAsia" w:hAnsiTheme="minorHAnsi" w:cstheme="minorBidi"/>
          <w:color w:val="000000" w:themeColor="text1"/>
          <w:lang w:val="en-GB"/>
        </w:rPr>
        <w:t>proponent at the end of the extended accounting period.</w:t>
      </w:r>
    </w:p>
    <w:p w14:paraId="54BDA65A" w14:textId="77777777" w:rsidR="00CF7BFA" w:rsidRDefault="002664FB" w:rsidP="00CF7BFA">
      <w:pPr>
        <w:tabs>
          <w:tab w:val="left" w:pos="1134"/>
        </w:tabs>
        <w:jc w:val="both"/>
        <w:rPr>
          <w:rFonts w:asciiTheme="minorHAnsi" w:eastAsiaTheme="minorEastAsia" w:hAnsiTheme="minorHAnsi" w:cstheme="minorBidi"/>
          <w:color w:val="000000" w:themeColor="text1"/>
          <w:lang w:val="en-GB"/>
        </w:rPr>
      </w:pPr>
      <w:r w:rsidRPr="002664FB">
        <w:rPr>
          <w:rFonts w:asciiTheme="minorHAnsi" w:eastAsiaTheme="minorEastAsia" w:hAnsiTheme="minorHAnsi" w:cstheme="minorBidi"/>
          <w:color w:val="000000" w:themeColor="text1"/>
          <w:lang w:val="en-GB"/>
        </w:rPr>
        <w:t xml:space="preserve">An amendment to the CFI Rule will be </w:t>
      </w:r>
      <w:r w:rsidR="000521CD">
        <w:rPr>
          <w:rFonts w:asciiTheme="minorHAnsi" w:eastAsiaTheme="minorEastAsia" w:hAnsiTheme="minorHAnsi" w:cstheme="minorBidi"/>
          <w:color w:val="000000" w:themeColor="text1"/>
          <w:lang w:val="en-GB"/>
        </w:rPr>
        <w:t xml:space="preserve">made </w:t>
      </w:r>
      <w:r w:rsidRPr="002664FB">
        <w:rPr>
          <w:rFonts w:asciiTheme="minorHAnsi" w:eastAsiaTheme="minorEastAsia" w:hAnsiTheme="minorHAnsi" w:cstheme="minorBidi"/>
          <w:color w:val="000000" w:themeColor="text1"/>
          <w:lang w:val="en-GB"/>
        </w:rPr>
        <w:t xml:space="preserve">to apply an extended accounting period to CCS projects to cover the period between the end of the crediting period and site closure. </w:t>
      </w:r>
      <w:bookmarkStart w:id="30" w:name="_Ref31888056"/>
    </w:p>
    <w:p w14:paraId="263D2431" w14:textId="22814841" w:rsidR="00565D0C" w:rsidRDefault="00A00151" w:rsidP="00A00151">
      <w:pPr>
        <w:pStyle w:val="Heading1"/>
      </w:pPr>
      <w:bookmarkStart w:id="31" w:name="_Toc75442793"/>
      <w:r>
        <w:t xml:space="preserve">Running </w:t>
      </w:r>
      <w:r w:rsidR="61C01CC5">
        <w:t xml:space="preserve">and reporting on </w:t>
      </w:r>
      <w:r>
        <w:t>your project</w:t>
      </w:r>
      <w:bookmarkEnd w:id="30"/>
      <w:bookmarkEnd w:id="31"/>
    </w:p>
    <w:p w14:paraId="6B777B6B" w14:textId="6FFF11F9" w:rsidR="00372711" w:rsidRDefault="00EA78FE" w:rsidP="00346B22">
      <w:pPr>
        <w:jc w:val="both"/>
      </w:pPr>
      <w:r>
        <w:t xml:space="preserve">Following the </w:t>
      </w:r>
      <w:r w:rsidR="009574C1">
        <w:t xml:space="preserve">declaration </w:t>
      </w:r>
      <w:r w:rsidR="003427F4">
        <w:t xml:space="preserve">by the Clean Energy Regulator </w:t>
      </w:r>
      <w:r w:rsidR="009574C1">
        <w:t>that your project is an eligible offset</w:t>
      </w:r>
      <w:r w:rsidR="00451FEF">
        <w:t>s</w:t>
      </w:r>
      <w:r w:rsidR="009574C1">
        <w:t xml:space="preserve"> project you </w:t>
      </w:r>
      <w:r w:rsidR="00597D17">
        <w:t>can</w:t>
      </w:r>
      <w:r w:rsidR="008F2E26">
        <w:t xml:space="preserve"> then </w:t>
      </w:r>
      <w:r w:rsidR="00372711">
        <w:t xml:space="preserve">make the final investment decision and </w:t>
      </w:r>
      <w:r w:rsidR="008F2E26">
        <w:t xml:space="preserve">start your project. </w:t>
      </w:r>
    </w:p>
    <w:p w14:paraId="13FBE5C1" w14:textId="20FEEB0F" w:rsidR="00372711" w:rsidRPr="00237F7D" w:rsidRDefault="00372711" w:rsidP="00372711">
      <w:pPr>
        <w:pStyle w:val="Heading2"/>
        <w:rPr>
          <w:rFonts w:eastAsiaTheme="majorEastAsia"/>
          <w:lang w:val="en-GB"/>
        </w:rPr>
      </w:pPr>
      <w:bookmarkStart w:id="32" w:name="_Toc75442794"/>
      <w:bookmarkStart w:id="33" w:name="_Toc57100999"/>
      <w:r>
        <w:rPr>
          <w:rFonts w:eastAsiaTheme="majorEastAsia"/>
          <w:lang w:val="en-GB"/>
        </w:rPr>
        <w:t>Reporting n</w:t>
      </w:r>
      <w:r w:rsidRPr="00237F7D">
        <w:rPr>
          <w:rFonts w:eastAsiaTheme="majorEastAsia"/>
          <w:lang w:val="en-GB"/>
        </w:rPr>
        <w:t xml:space="preserve">et </w:t>
      </w:r>
      <w:r>
        <w:rPr>
          <w:rFonts w:eastAsiaTheme="majorEastAsia"/>
          <w:lang w:val="en-GB"/>
        </w:rPr>
        <w:t>a</w:t>
      </w:r>
      <w:r w:rsidRPr="00237F7D">
        <w:rPr>
          <w:rFonts w:eastAsiaTheme="majorEastAsia"/>
          <w:lang w:val="en-GB"/>
        </w:rPr>
        <w:t>batement</w:t>
      </w:r>
      <w:bookmarkEnd w:id="32"/>
      <w:r w:rsidRPr="00237F7D">
        <w:rPr>
          <w:rFonts w:eastAsiaTheme="majorEastAsia"/>
          <w:lang w:val="en-GB"/>
        </w:rPr>
        <w:t xml:space="preserve"> </w:t>
      </w:r>
      <w:bookmarkEnd w:id="33"/>
    </w:p>
    <w:p w14:paraId="28984F8F" w14:textId="2B62339B" w:rsidR="007936D8" w:rsidRPr="00CB04CF" w:rsidRDefault="00597D17" w:rsidP="00CB04CF">
      <w:pPr>
        <w:tabs>
          <w:tab w:val="left" w:pos="1134"/>
        </w:tabs>
        <w:jc w:val="both"/>
        <w:rPr>
          <w:rFonts w:asciiTheme="minorHAnsi" w:eastAsiaTheme="minorEastAsia" w:hAnsiTheme="minorHAnsi" w:cstheme="minorBidi"/>
          <w:color w:val="000000" w:themeColor="text1"/>
          <w:lang w:val="en-GB"/>
        </w:rPr>
      </w:pPr>
      <w:r w:rsidRPr="00CB04CF">
        <w:rPr>
          <w:rFonts w:asciiTheme="minorHAnsi" w:eastAsiaTheme="minorEastAsia" w:hAnsiTheme="minorHAnsi" w:cstheme="minorBidi"/>
          <w:color w:val="000000" w:themeColor="text1"/>
          <w:lang w:val="en-GB"/>
        </w:rPr>
        <w:t>When your project is up and running, y</w:t>
      </w:r>
      <w:r w:rsidR="008F2E26" w:rsidRPr="00CB04CF">
        <w:rPr>
          <w:rFonts w:asciiTheme="minorHAnsi" w:eastAsiaTheme="minorEastAsia" w:hAnsiTheme="minorHAnsi" w:cstheme="minorBidi"/>
          <w:color w:val="000000" w:themeColor="text1"/>
          <w:lang w:val="en-GB"/>
        </w:rPr>
        <w:t xml:space="preserve">ou will then need to report on the </w:t>
      </w:r>
      <w:r w:rsidR="004852BC" w:rsidRPr="00CB04CF">
        <w:rPr>
          <w:rFonts w:asciiTheme="minorHAnsi" w:eastAsiaTheme="minorEastAsia" w:hAnsiTheme="minorHAnsi" w:cstheme="minorBidi"/>
          <w:color w:val="000000" w:themeColor="text1"/>
          <w:lang w:val="en-GB"/>
        </w:rPr>
        <w:t xml:space="preserve">net </w:t>
      </w:r>
      <w:r w:rsidR="008F2E26" w:rsidRPr="00CB04CF">
        <w:rPr>
          <w:rFonts w:asciiTheme="minorHAnsi" w:eastAsiaTheme="minorEastAsia" w:hAnsiTheme="minorHAnsi" w:cstheme="minorBidi"/>
          <w:color w:val="000000" w:themeColor="text1"/>
          <w:lang w:val="en-GB"/>
        </w:rPr>
        <w:t xml:space="preserve">emissions from your project to the </w:t>
      </w:r>
      <w:r w:rsidR="00346B22" w:rsidRPr="00CB04CF">
        <w:rPr>
          <w:rFonts w:asciiTheme="minorHAnsi" w:eastAsiaTheme="minorEastAsia" w:hAnsiTheme="minorHAnsi" w:cstheme="minorBidi"/>
          <w:color w:val="000000" w:themeColor="text1"/>
          <w:lang w:val="en-GB"/>
        </w:rPr>
        <w:t>Clean Energy Regulator</w:t>
      </w:r>
      <w:r w:rsidR="008F2E26" w:rsidRPr="00CB04CF">
        <w:rPr>
          <w:rFonts w:asciiTheme="minorHAnsi" w:eastAsiaTheme="minorEastAsia" w:hAnsiTheme="minorHAnsi" w:cstheme="minorBidi"/>
          <w:color w:val="000000" w:themeColor="text1"/>
          <w:lang w:val="en-GB"/>
        </w:rPr>
        <w:t>.</w:t>
      </w:r>
    </w:p>
    <w:p w14:paraId="4B8B297E" w14:textId="4A5F9918" w:rsidR="00504DC6" w:rsidRPr="002C28B2" w:rsidRDefault="21A622AD" w:rsidP="00CB04CF">
      <w:pPr>
        <w:tabs>
          <w:tab w:val="left" w:pos="1134"/>
        </w:tabs>
        <w:jc w:val="both"/>
        <w:rPr>
          <w:rFonts w:asciiTheme="minorHAnsi" w:eastAsiaTheme="minorEastAsia" w:hAnsiTheme="minorHAnsi" w:cstheme="minorBidi"/>
          <w:color w:val="000000" w:themeColor="text1"/>
          <w:lang w:val="en-GB"/>
        </w:rPr>
      </w:pPr>
      <w:bookmarkStart w:id="34" w:name="_Hlk70611391"/>
      <w:r w:rsidRPr="002C28B2">
        <w:rPr>
          <w:rFonts w:asciiTheme="minorHAnsi" w:eastAsiaTheme="minorEastAsia" w:hAnsiTheme="minorHAnsi" w:cstheme="minorBidi"/>
          <w:color w:val="000000" w:themeColor="text1"/>
          <w:lang w:val="en-GB"/>
        </w:rPr>
        <w:lastRenderedPageBreak/>
        <w:t xml:space="preserve">Under the offsets integrity standards set out </w:t>
      </w:r>
      <w:r w:rsidR="002731EF" w:rsidRPr="002C28B2">
        <w:rPr>
          <w:rFonts w:asciiTheme="minorHAnsi" w:eastAsiaTheme="minorEastAsia" w:hAnsiTheme="minorHAnsi" w:cstheme="minorBidi"/>
          <w:color w:val="000000" w:themeColor="text1"/>
          <w:lang w:val="en-GB"/>
        </w:rPr>
        <w:t xml:space="preserve">in </w:t>
      </w:r>
      <w:r w:rsidR="00273AE5" w:rsidRPr="002C28B2">
        <w:rPr>
          <w:rFonts w:asciiTheme="minorHAnsi" w:eastAsiaTheme="minorEastAsia" w:hAnsiTheme="minorHAnsi" w:cstheme="minorBidi"/>
          <w:color w:val="000000" w:themeColor="text1"/>
          <w:lang w:val="en-GB"/>
        </w:rPr>
        <w:t xml:space="preserve">section 133 of </w:t>
      </w:r>
      <w:r w:rsidRPr="002C28B2">
        <w:rPr>
          <w:rFonts w:asciiTheme="minorHAnsi" w:eastAsiaTheme="minorEastAsia" w:hAnsiTheme="minorHAnsi" w:cstheme="minorBidi"/>
          <w:color w:val="000000" w:themeColor="text1"/>
          <w:lang w:val="en-GB"/>
        </w:rPr>
        <w:t xml:space="preserve">the CFI Act, all </w:t>
      </w:r>
      <w:r w:rsidR="198A8A92" w:rsidRPr="002C28B2">
        <w:rPr>
          <w:rFonts w:asciiTheme="minorHAnsi" w:eastAsiaTheme="minorEastAsia" w:hAnsiTheme="minorHAnsi" w:cstheme="minorBidi"/>
          <w:color w:val="000000" w:themeColor="text1"/>
          <w:lang w:val="en-GB"/>
        </w:rPr>
        <w:t xml:space="preserve">ERF </w:t>
      </w:r>
      <w:r w:rsidRPr="002C28B2">
        <w:rPr>
          <w:rFonts w:asciiTheme="minorHAnsi" w:eastAsiaTheme="minorEastAsia" w:hAnsiTheme="minorHAnsi" w:cstheme="minorBidi"/>
          <w:color w:val="000000" w:themeColor="text1"/>
          <w:lang w:val="en-GB"/>
        </w:rPr>
        <w:t>methods must</w:t>
      </w:r>
      <w:r w:rsidR="38DC7574" w:rsidRPr="002C28B2">
        <w:rPr>
          <w:rFonts w:asciiTheme="minorHAnsi" w:eastAsiaTheme="minorEastAsia" w:hAnsiTheme="minorHAnsi" w:cstheme="minorBidi"/>
          <w:color w:val="000000" w:themeColor="text1"/>
          <w:lang w:val="en-GB"/>
        </w:rPr>
        <w:t xml:space="preserve"> include a deduction for any material emissions that occur as a result </w:t>
      </w:r>
      <w:r w:rsidR="60B9D088" w:rsidRPr="002C28B2">
        <w:rPr>
          <w:rFonts w:asciiTheme="minorHAnsi" w:eastAsiaTheme="minorEastAsia" w:hAnsiTheme="minorHAnsi" w:cstheme="minorBidi"/>
          <w:color w:val="000000" w:themeColor="text1"/>
          <w:lang w:val="en-GB"/>
        </w:rPr>
        <w:t>of carrying out the project.</w:t>
      </w:r>
      <w:r w:rsidR="00597D17" w:rsidRPr="002C28B2">
        <w:rPr>
          <w:rFonts w:asciiTheme="minorHAnsi" w:eastAsiaTheme="minorEastAsia" w:hAnsiTheme="minorHAnsi" w:cstheme="minorBidi"/>
          <w:color w:val="000000" w:themeColor="text1"/>
          <w:lang w:val="en-GB"/>
        </w:rPr>
        <w:t xml:space="preserve"> </w:t>
      </w:r>
      <w:r w:rsidR="009D3258" w:rsidRPr="002C28B2">
        <w:rPr>
          <w:rFonts w:asciiTheme="minorHAnsi" w:eastAsiaTheme="minorEastAsia" w:hAnsiTheme="minorHAnsi" w:cstheme="minorBidi"/>
          <w:color w:val="000000" w:themeColor="text1"/>
          <w:lang w:val="en-GB"/>
        </w:rPr>
        <w:t>C</w:t>
      </w:r>
      <w:r w:rsidR="00346B22" w:rsidRPr="002C28B2">
        <w:rPr>
          <w:rFonts w:asciiTheme="minorHAnsi" w:eastAsiaTheme="minorEastAsia" w:hAnsiTheme="minorHAnsi" w:cstheme="minorBidi"/>
          <w:color w:val="000000" w:themeColor="text1"/>
          <w:lang w:val="en-GB"/>
        </w:rPr>
        <w:t>CS</w:t>
      </w:r>
      <w:r w:rsidR="001B1FB6" w:rsidRPr="002C28B2">
        <w:rPr>
          <w:rFonts w:asciiTheme="minorHAnsi" w:eastAsiaTheme="minorEastAsia" w:hAnsiTheme="minorHAnsi" w:cstheme="minorBidi"/>
          <w:color w:val="000000" w:themeColor="text1"/>
          <w:lang w:val="en-GB"/>
        </w:rPr>
        <w:t xml:space="preserve"> </w:t>
      </w:r>
      <w:r w:rsidR="26A3E4B0" w:rsidRPr="002C28B2">
        <w:rPr>
          <w:rFonts w:asciiTheme="minorHAnsi" w:eastAsiaTheme="minorEastAsia" w:hAnsiTheme="minorHAnsi" w:cstheme="minorBidi"/>
          <w:color w:val="000000" w:themeColor="text1"/>
          <w:lang w:val="en-GB"/>
        </w:rPr>
        <w:t>p</w:t>
      </w:r>
      <w:r w:rsidR="00504DC6" w:rsidRPr="002C28B2">
        <w:rPr>
          <w:rFonts w:asciiTheme="minorHAnsi" w:eastAsiaTheme="minorEastAsia" w:hAnsiTheme="minorHAnsi" w:cstheme="minorBidi"/>
          <w:color w:val="000000" w:themeColor="text1"/>
          <w:lang w:val="en-GB"/>
        </w:rPr>
        <w:t xml:space="preserve">rojects involve activities that </w:t>
      </w:r>
      <w:r w:rsidR="00A250F9" w:rsidRPr="002C28B2">
        <w:rPr>
          <w:rFonts w:asciiTheme="minorHAnsi" w:eastAsiaTheme="minorEastAsia" w:hAnsiTheme="minorHAnsi" w:cstheme="minorBidi"/>
          <w:color w:val="000000" w:themeColor="text1"/>
          <w:lang w:val="en-GB"/>
        </w:rPr>
        <w:t xml:space="preserve">create </w:t>
      </w:r>
      <w:r w:rsidR="00FA446A" w:rsidRPr="002C28B2">
        <w:rPr>
          <w:rFonts w:asciiTheme="minorHAnsi" w:eastAsiaTheme="minorEastAsia" w:hAnsiTheme="minorHAnsi" w:cstheme="minorBidi"/>
          <w:color w:val="000000" w:themeColor="text1"/>
          <w:lang w:val="en-GB"/>
        </w:rPr>
        <w:t>other</w:t>
      </w:r>
      <w:r w:rsidR="00CC09E1" w:rsidRPr="002C28B2">
        <w:rPr>
          <w:rFonts w:asciiTheme="minorHAnsi" w:eastAsiaTheme="minorEastAsia" w:hAnsiTheme="minorHAnsi" w:cstheme="minorBidi"/>
          <w:color w:val="000000" w:themeColor="text1"/>
          <w:lang w:val="en-GB"/>
        </w:rPr>
        <w:t xml:space="preserve"> </w:t>
      </w:r>
      <w:r w:rsidR="00A153C9" w:rsidRPr="002C28B2">
        <w:rPr>
          <w:rFonts w:asciiTheme="minorHAnsi" w:eastAsiaTheme="minorEastAsia" w:hAnsiTheme="minorHAnsi" w:cstheme="minorBidi"/>
          <w:color w:val="000000" w:themeColor="text1"/>
          <w:lang w:val="en-GB"/>
        </w:rPr>
        <w:t>e</w:t>
      </w:r>
      <w:r w:rsidR="00504DC6" w:rsidRPr="002C28B2">
        <w:rPr>
          <w:rFonts w:asciiTheme="minorHAnsi" w:eastAsiaTheme="minorEastAsia" w:hAnsiTheme="minorHAnsi" w:cstheme="minorBidi"/>
          <w:color w:val="000000" w:themeColor="text1"/>
          <w:lang w:val="en-GB"/>
        </w:rPr>
        <w:t>missions</w:t>
      </w:r>
      <w:r w:rsidR="006379CF" w:rsidRPr="002C28B2">
        <w:rPr>
          <w:rFonts w:asciiTheme="minorHAnsi" w:eastAsiaTheme="minorEastAsia" w:hAnsiTheme="minorHAnsi" w:cstheme="minorBidi"/>
          <w:color w:val="000000" w:themeColor="text1"/>
          <w:lang w:val="en-GB"/>
        </w:rPr>
        <w:t xml:space="preserve"> that need to be deducted from the net abatement</w:t>
      </w:r>
      <w:r w:rsidR="00504DC6" w:rsidRPr="002C28B2">
        <w:rPr>
          <w:rFonts w:asciiTheme="minorHAnsi" w:eastAsiaTheme="minorEastAsia" w:hAnsiTheme="minorHAnsi" w:cstheme="minorBidi"/>
          <w:color w:val="000000" w:themeColor="text1"/>
          <w:lang w:val="en-GB"/>
        </w:rPr>
        <w:t>. These activities may include but are not limited to:</w:t>
      </w:r>
    </w:p>
    <w:p w14:paraId="34C3AEA0" w14:textId="7711AAEA" w:rsidR="00504DC6" w:rsidRPr="00504DC6" w:rsidRDefault="00504DC6" w:rsidP="00346B22">
      <w:pPr>
        <w:numPr>
          <w:ilvl w:val="0"/>
          <w:numId w:val="21"/>
        </w:numPr>
        <w:ind w:left="714" w:hanging="357"/>
        <w:contextualSpacing/>
        <w:jc w:val="both"/>
        <w:rPr>
          <w:rFonts w:asciiTheme="minorHAnsi" w:eastAsiaTheme="minorHAnsi" w:hAnsiTheme="minorHAnsi" w:cstheme="minorBidi"/>
          <w:color w:val="000000" w:themeColor="text1"/>
          <w:szCs w:val="22"/>
          <w:lang w:val="en-GB"/>
        </w:rPr>
      </w:pPr>
      <w:r w:rsidRPr="00504DC6">
        <w:rPr>
          <w:rFonts w:asciiTheme="minorHAnsi" w:eastAsiaTheme="minorHAnsi" w:hAnsiTheme="minorHAnsi" w:cstheme="minorBidi"/>
          <w:color w:val="000000" w:themeColor="text1"/>
          <w:szCs w:val="22"/>
          <w:lang w:val="en-GB"/>
        </w:rPr>
        <w:t>emissions required to capture, process, compress</w:t>
      </w:r>
      <w:r w:rsidR="006F7F67">
        <w:rPr>
          <w:rFonts w:asciiTheme="minorHAnsi" w:eastAsiaTheme="minorHAnsi" w:hAnsiTheme="minorHAnsi" w:cstheme="minorBidi"/>
          <w:color w:val="000000" w:themeColor="text1"/>
          <w:szCs w:val="22"/>
          <w:lang w:val="en-GB"/>
        </w:rPr>
        <w:t xml:space="preserve"> and</w:t>
      </w:r>
      <w:r w:rsidRPr="00504DC6">
        <w:rPr>
          <w:rFonts w:asciiTheme="minorHAnsi" w:eastAsiaTheme="minorHAnsi" w:hAnsiTheme="minorHAnsi" w:cstheme="minorBidi"/>
          <w:color w:val="000000" w:themeColor="text1"/>
          <w:szCs w:val="22"/>
          <w:lang w:val="en-GB"/>
        </w:rPr>
        <w:t xml:space="preserve"> transport the greenhouse gas stream</w:t>
      </w:r>
      <w:r w:rsidR="006379CF">
        <w:rPr>
          <w:rFonts w:asciiTheme="minorHAnsi" w:eastAsiaTheme="minorHAnsi" w:hAnsiTheme="minorHAnsi" w:cstheme="minorBidi"/>
          <w:color w:val="000000" w:themeColor="text1"/>
          <w:szCs w:val="22"/>
          <w:lang w:val="en-GB"/>
        </w:rPr>
        <w:t>,</w:t>
      </w:r>
      <w:r w:rsidR="00CC09E1">
        <w:rPr>
          <w:rFonts w:asciiTheme="minorHAnsi" w:eastAsiaTheme="minorHAnsi" w:hAnsiTheme="minorHAnsi" w:cstheme="minorBidi"/>
          <w:color w:val="000000" w:themeColor="text1"/>
          <w:szCs w:val="22"/>
          <w:lang w:val="en-GB"/>
        </w:rPr>
        <w:t xml:space="preserve"> including </w:t>
      </w:r>
      <w:r w:rsidR="00273AE5">
        <w:rPr>
          <w:rFonts w:asciiTheme="minorHAnsi" w:eastAsiaTheme="minorHAnsi" w:hAnsiTheme="minorHAnsi" w:cstheme="minorBidi"/>
          <w:color w:val="000000" w:themeColor="text1"/>
          <w:szCs w:val="22"/>
          <w:lang w:val="en-GB"/>
        </w:rPr>
        <w:t>S</w:t>
      </w:r>
      <w:r w:rsidR="00CC09E1">
        <w:rPr>
          <w:rFonts w:asciiTheme="minorHAnsi" w:eastAsiaTheme="minorHAnsi" w:hAnsiTheme="minorHAnsi" w:cstheme="minorBidi"/>
          <w:color w:val="000000" w:themeColor="text1"/>
          <w:szCs w:val="22"/>
          <w:lang w:val="en-GB"/>
        </w:rPr>
        <w:t>cope 2</w:t>
      </w:r>
      <w:r w:rsidR="001E1E2D">
        <w:rPr>
          <w:rStyle w:val="FootnoteReference"/>
          <w:rFonts w:asciiTheme="minorHAnsi" w:eastAsiaTheme="minorHAnsi" w:hAnsiTheme="minorHAnsi" w:cstheme="minorBidi"/>
          <w:color w:val="000000" w:themeColor="text1"/>
          <w:szCs w:val="22"/>
          <w:lang w:val="en-GB"/>
        </w:rPr>
        <w:footnoteReference w:id="15"/>
      </w:r>
      <w:r w:rsidR="00CC09E1">
        <w:rPr>
          <w:rFonts w:asciiTheme="minorHAnsi" w:eastAsiaTheme="minorHAnsi" w:hAnsiTheme="minorHAnsi" w:cstheme="minorBidi"/>
          <w:color w:val="000000" w:themeColor="text1"/>
          <w:szCs w:val="22"/>
          <w:lang w:val="en-GB"/>
        </w:rPr>
        <w:t xml:space="preserve"> </w:t>
      </w:r>
      <w:r w:rsidR="002731EF">
        <w:rPr>
          <w:rFonts w:asciiTheme="minorHAnsi" w:eastAsiaTheme="minorHAnsi" w:hAnsiTheme="minorHAnsi" w:cstheme="minorBidi"/>
          <w:color w:val="000000" w:themeColor="text1"/>
          <w:szCs w:val="22"/>
          <w:lang w:val="en-GB"/>
        </w:rPr>
        <w:t xml:space="preserve">emissions </w:t>
      </w:r>
      <w:r w:rsidR="00CC09E1">
        <w:rPr>
          <w:rFonts w:asciiTheme="minorHAnsi" w:eastAsiaTheme="minorHAnsi" w:hAnsiTheme="minorHAnsi" w:cstheme="minorBidi"/>
          <w:color w:val="000000" w:themeColor="text1"/>
          <w:szCs w:val="22"/>
          <w:lang w:val="en-GB"/>
        </w:rPr>
        <w:t xml:space="preserve">from </w:t>
      </w:r>
      <w:r w:rsidR="00C03E97">
        <w:rPr>
          <w:rFonts w:asciiTheme="minorHAnsi" w:eastAsiaTheme="minorHAnsi" w:hAnsiTheme="minorHAnsi" w:cstheme="minorBidi"/>
          <w:color w:val="000000" w:themeColor="text1"/>
          <w:szCs w:val="22"/>
          <w:lang w:val="en-GB"/>
        </w:rPr>
        <w:t>electricity use</w:t>
      </w:r>
    </w:p>
    <w:p w14:paraId="2493EAB3" w14:textId="00490F1E" w:rsidR="00504DC6" w:rsidRPr="00504DC6" w:rsidRDefault="00504DC6" w:rsidP="00346B22">
      <w:pPr>
        <w:numPr>
          <w:ilvl w:val="0"/>
          <w:numId w:val="21"/>
        </w:numPr>
        <w:ind w:left="714" w:hanging="357"/>
        <w:contextualSpacing/>
        <w:jc w:val="both"/>
        <w:rPr>
          <w:rFonts w:asciiTheme="minorHAnsi" w:eastAsiaTheme="minorHAnsi" w:hAnsiTheme="minorHAnsi" w:cstheme="minorBidi"/>
          <w:color w:val="000000" w:themeColor="text1"/>
          <w:szCs w:val="22"/>
          <w:lang w:val="en-GB"/>
        </w:rPr>
      </w:pPr>
      <w:r w:rsidRPr="00504DC6">
        <w:rPr>
          <w:rFonts w:asciiTheme="minorHAnsi" w:eastAsiaTheme="minorHAnsi" w:hAnsiTheme="minorHAnsi" w:cstheme="minorBidi"/>
          <w:color w:val="000000" w:themeColor="text1"/>
          <w:szCs w:val="22"/>
          <w:lang w:val="en-GB"/>
        </w:rPr>
        <w:t xml:space="preserve">fugitive emissions </w:t>
      </w:r>
      <w:r w:rsidR="006379CF">
        <w:rPr>
          <w:rFonts w:asciiTheme="minorHAnsi" w:eastAsiaTheme="minorHAnsi" w:hAnsiTheme="minorHAnsi" w:cstheme="minorBidi"/>
          <w:color w:val="000000" w:themeColor="text1"/>
          <w:szCs w:val="22"/>
          <w:lang w:val="en-GB"/>
        </w:rPr>
        <w:t xml:space="preserve">from pipelines </w:t>
      </w:r>
      <w:r w:rsidR="003E3923">
        <w:rPr>
          <w:rFonts w:asciiTheme="minorHAnsi" w:eastAsiaTheme="minorHAnsi" w:hAnsiTheme="minorHAnsi" w:cstheme="minorBidi"/>
          <w:color w:val="000000" w:themeColor="text1"/>
          <w:szCs w:val="22"/>
          <w:lang w:val="en-GB"/>
        </w:rPr>
        <w:t xml:space="preserve">and </w:t>
      </w:r>
      <w:r w:rsidRPr="00504DC6">
        <w:rPr>
          <w:rFonts w:asciiTheme="minorHAnsi" w:eastAsiaTheme="minorHAnsi" w:hAnsiTheme="minorHAnsi" w:cstheme="minorBidi"/>
          <w:color w:val="000000" w:themeColor="text1"/>
          <w:szCs w:val="22"/>
          <w:lang w:val="en-GB"/>
        </w:rPr>
        <w:t>the underground stor</w:t>
      </w:r>
      <w:r w:rsidR="00A153C9">
        <w:rPr>
          <w:rFonts w:asciiTheme="minorHAnsi" w:eastAsiaTheme="minorHAnsi" w:hAnsiTheme="minorHAnsi" w:cstheme="minorBidi"/>
          <w:color w:val="000000" w:themeColor="text1"/>
          <w:szCs w:val="22"/>
          <w:lang w:val="en-GB"/>
        </w:rPr>
        <w:t>a</w:t>
      </w:r>
      <w:r w:rsidRPr="00504DC6">
        <w:rPr>
          <w:rFonts w:asciiTheme="minorHAnsi" w:eastAsiaTheme="minorHAnsi" w:hAnsiTheme="minorHAnsi" w:cstheme="minorBidi"/>
          <w:color w:val="000000" w:themeColor="text1"/>
          <w:szCs w:val="22"/>
          <w:lang w:val="en-GB"/>
        </w:rPr>
        <w:t xml:space="preserve">ge site </w:t>
      </w:r>
      <w:r w:rsidR="00994561" w:rsidRPr="00F66A86">
        <w:rPr>
          <w:rFonts w:asciiTheme="minorHAnsi" w:eastAsiaTheme="minorHAnsi" w:hAnsiTheme="minorHAnsi" w:cstheme="minorBidi"/>
          <w:color w:val="000000" w:themeColor="text1"/>
          <w:szCs w:val="22"/>
          <w:lang w:val="en-GB"/>
        </w:rPr>
        <w:t>during the crediting period</w:t>
      </w:r>
    </w:p>
    <w:p w14:paraId="599F9C95" w14:textId="60DADF38" w:rsidR="00504DC6" w:rsidRPr="00504DC6" w:rsidRDefault="00E93507" w:rsidP="00597D17">
      <w:pPr>
        <w:numPr>
          <w:ilvl w:val="0"/>
          <w:numId w:val="21"/>
        </w:numPr>
        <w:ind w:left="714" w:hanging="357"/>
        <w:contextualSpacing/>
        <w:jc w:val="both"/>
        <w:rPr>
          <w:rFonts w:asciiTheme="minorHAnsi" w:eastAsiaTheme="minorHAnsi" w:hAnsiTheme="minorHAnsi" w:cstheme="minorBidi"/>
          <w:color w:val="000000" w:themeColor="text1"/>
          <w:szCs w:val="22"/>
          <w:lang w:val="en-GB"/>
        </w:rPr>
      </w:pPr>
      <w:r>
        <w:rPr>
          <w:rFonts w:asciiTheme="minorHAnsi" w:eastAsiaTheme="minorHAnsi" w:hAnsiTheme="minorHAnsi" w:cstheme="minorBidi"/>
          <w:color w:val="000000" w:themeColor="text1"/>
          <w:szCs w:val="22"/>
          <w:lang w:val="en-GB"/>
        </w:rPr>
        <w:t>e</w:t>
      </w:r>
      <w:r w:rsidR="00504DC6" w:rsidRPr="00504DC6">
        <w:rPr>
          <w:rFonts w:asciiTheme="minorHAnsi" w:eastAsiaTheme="minorHAnsi" w:hAnsiTheme="minorHAnsi" w:cstheme="minorBidi"/>
          <w:color w:val="000000" w:themeColor="text1"/>
          <w:szCs w:val="22"/>
          <w:lang w:val="en-GB"/>
        </w:rPr>
        <w:t>missions associated with monitoring activities</w:t>
      </w:r>
      <w:r w:rsidR="00AA6EC1">
        <w:rPr>
          <w:rFonts w:asciiTheme="minorHAnsi" w:eastAsiaTheme="minorHAnsi" w:hAnsiTheme="minorHAnsi" w:cstheme="minorBidi"/>
          <w:color w:val="000000" w:themeColor="text1"/>
          <w:szCs w:val="22"/>
          <w:lang w:val="en-GB"/>
        </w:rPr>
        <w:t>.</w:t>
      </w:r>
    </w:p>
    <w:bookmarkEnd w:id="34"/>
    <w:p w14:paraId="5A38E3A2" w14:textId="77777777" w:rsidR="00597D17" w:rsidRPr="00597D17" w:rsidRDefault="00597D17" w:rsidP="00597D17">
      <w:pPr>
        <w:tabs>
          <w:tab w:val="left" w:pos="567"/>
        </w:tabs>
        <w:spacing w:after="0"/>
        <w:jc w:val="both"/>
        <w:rPr>
          <w:rFonts w:asciiTheme="minorHAnsi" w:eastAsiaTheme="minorEastAsia" w:hAnsiTheme="minorHAnsi" w:cstheme="minorBidi"/>
          <w:color w:val="000000" w:themeColor="text1"/>
          <w:sz w:val="2"/>
          <w:szCs w:val="2"/>
          <w:lang w:val="en-GB"/>
        </w:rPr>
      </w:pPr>
    </w:p>
    <w:p w14:paraId="2D2B41DD" w14:textId="480617F9" w:rsidR="00CC7931" w:rsidRPr="00346B22" w:rsidRDefault="00414BED" w:rsidP="00597D17">
      <w:pPr>
        <w:tabs>
          <w:tab w:val="left" w:pos="567"/>
        </w:tabs>
        <w:spacing w:before="200"/>
        <w:jc w:val="both"/>
        <w:rPr>
          <w:rFonts w:asciiTheme="minorHAnsi" w:eastAsiaTheme="minorEastAsia" w:hAnsiTheme="minorHAnsi" w:cstheme="minorBidi"/>
          <w:color w:val="000000" w:themeColor="text1"/>
          <w:szCs w:val="22"/>
          <w:lang w:val="en-GB"/>
        </w:rPr>
      </w:pPr>
      <w:r>
        <w:rPr>
          <w:rFonts w:asciiTheme="minorHAnsi" w:eastAsiaTheme="minorEastAsia" w:hAnsiTheme="minorHAnsi" w:cstheme="minorBidi"/>
          <w:color w:val="000000" w:themeColor="text1"/>
          <w:szCs w:val="22"/>
          <w:lang w:val="en-GB"/>
        </w:rPr>
        <w:t>CCS p</w:t>
      </w:r>
      <w:r w:rsidR="12C27CD3" w:rsidRPr="00346B22">
        <w:rPr>
          <w:rFonts w:asciiTheme="minorHAnsi" w:eastAsiaTheme="minorEastAsia" w:hAnsiTheme="minorHAnsi" w:cstheme="minorBidi"/>
          <w:color w:val="000000" w:themeColor="text1"/>
          <w:szCs w:val="22"/>
          <w:lang w:val="en-GB"/>
        </w:rPr>
        <w:t>rojects are credited for net abatement, which</w:t>
      </w:r>
      <w:r>
        <w:rPr>
          <w:rFonts w:asciiTheme="minorHAnsi" w:eastAsiaTheme="minorEastAsia" w:hAnsiTheme="minorHAnsi" w:cstheme="minorBidi"/>
          <w:color w:val="000000" w:themeColor="text1"/>
          <w:szCs w:val="22"/>
          <w:lang w:val="en-GB"/>
        </w:rPr>
        <w:t xml:space="preserve"> in simple terms</w:t>
      </w:r>
      <w:r w:rsidR="12C27CD3" w:rsidRPr="00346B22">
        <w:rPr>
          <w:rFonts w:asciiTheme="minorHAnsi" w:eastAsiaTheme="minorEastAsia" w:hAnsiTheme="minorHAnsi" w:cstheme="minorBidi"/>
          <w:color w:val="000000" w:themeColor="text1"/>
          <w:szCs w:val="22"/>
          <w:lang w:val="en-GB"/>
        </w:rPr>
        <w:t xml:space="preserve"> is equal to </w:t>
      </w:r>
      <w:r w:rsidR="26EDBA9B" w:rsidRPr="00346B22">
        <w:rPr>
          <w:rFonts w:asciiTheme="minorHAnsi" w:eastAsiaTheme="minorEastAsia" w:hAnsiTheme="minorHAnsi" w:cstheme="minorBidi"/>
          <w:color w:val="000000" w:themeColor="text1"/>
          <w:szCs w:val="22"/>
          <w:lang w:val="en-GB"/>
        </w:rPr>
        <w:t xml:space="preserve">the </w:t>
      </w:r>
      <w:r w:rsidR="00E74788">
        <w:t>greenhouse gases</w:t>
      </w:r>
      <w:r w:rsidR="26EDBA9B" w:rsidRPr="00346B22">
        <w:rPr>
          <w:rFonts w:asciiTheme="minorHAnsi" w:eastAsiaTheme="minorEastAsia" w:hAnsiTheme="minorHAnsi" w:cstheme="minorBidi"/>
          <w:color w:val="000000" w:themeColor="text1"/>
          <w:szCs w:val="22"/>
          <w:lang w:val="en-GB"/>
        </w:rPr>
        <w:t xml:space="preserve"> </w:t>
      </w:r>
      <w:r w:rsidR="0094545C">
        <w:rPr>
          <w:rFonts w:asciiTheme="minorHAnsi" w:eastAsiaTheme="minorEastAsia" w:hAnsiTheme="minorHAnsi" w:cstheme="minorBidi"/>
          <w:color w:val="000000" w:themeColor="text1"/>
          <w:szCs w:val="22"/>
          <w:lang w:val="en-GB"/>
        </w:rPr>
        <w:t>captured</w:t>
      </w:r>
      <w:r w:rsidR="0094545C" w:rsidRPr="00346B22">
        <w:rPr>
          <w:rFonts w:asciiTheme="minorHAnsi" w:eastAsiaTheme="minorEastAsia" w:hAnsiTheme="minorHAnsi" w:cstheme="minorBidi"/>
          <w:color w:val="000000" w:themeColor="text1"/>
          <w:szCs w:val="22"/>
          <w:lang w:val="en-GB"/>
        </w:rPr>
        <w:t xml:space="preserve"> </w:t>
      </w:r>
      <w:r w:rsidR="26EDBA9B" w:rsidRPr="00346B22">
        <w:rPr>
          <w:rFonts w:asciiTheme="minorHAnsi" w:eastAsiaTheme="minorEastAsia" w:hAnsiTheme="minorHAnsi" w:cstheme="minorBidi"/>
          <w:color w:val="000000" w:themeColor="text1"/>
          <w:szCs w:val="22"/>
          <w:lang w:val="en-GB"/>
        </w:rPr>
        <w:t xml:space="preserve">minus </w:t>
      </w:r>
      <w:r w:rsidR="00255556" w:rsidRPr="00346B22">
        <w:rPr>
          <w:rFonts w:asciiTheme="minorHAnsi" w:eastAsiaTheme="minorEastAsia" w:hAnsiTheme="minorHAnsi" w:cstheme="minorBidi"/>
          <w:color w:val="000000" w:themeColor="text1"/>
          <w:szCs w:val="22"/>
          <w:lang w:val="en-GB"/>
        </w:rPr>
        <w:t xml:space="preserve">other </w:t>
      </w:r>
      <w:r w:rsidR="26EDBA9B" w:rsidRPr="00346B22">
        <w:rPr>
          <w:rFonts w:asciiTheme="minorHAnsi" w:eastAsiaTheme="minorEastAsia" w:hAnsiTheme="minorHAnsi" w:cstheme="minorBidi"/>
          <w:color w:val="000000" w:themeColor="text1"/>
          <w:szCs w:val="22"/>
          <w:lang w:val="en-GB"/>
        </w:rPr>
        <w:t>emissions</w:t>
      </w:r>
      <w:r w:rsidR="00255556" w:rsidRPr="00346B22">
        <w:rPr>
          <w:rFonts w:asciiTheme="minorHAnsi" w:eastAsiaTheme="minorEastAsia" w:hAnsiTheme="minorHAnsi" w:cstheme="minorBidi"/>
          <w:color w:val="000000" w:themeColor="text1"/>
          <w:szCs w:val="22"/>
          <w:lang w:val="en-GB"/>
        </w:rPr>
        <w:t xml:space="preserve"> caused directly by the project activity</w:t>
      </w:r>
      <w:r w:rsidR="00CC7931" w:rsidRPr="00346B22">
        <w:rPr>
          <w:rFonts w:asciiTheme="minorHAnsi" w:eastAsiaTheme="minorEastAsia" w:hAnsiTheme="minorHAnsi" w:cstheme="minorBidi"/>
          <w:color w:val="000000" w:themeColor="text1"/>
          <w:szCs w:val="22"/>
          <w:lang w:val="en-GB"/>
        </w:rPr>
        <w:t>.</w:t>
      </w:r>
      <w:r>
        <w:rPr>
          <w:rFonts w:asciiTheme="minorHAnsi" w:eastAsiaTheme="minorEastAsia" w:hAnsiTheme="minorHAnsi" w:cstheme="minorBidi"/>
          <w:color w:val="000000" w:themeColor="text1"/>
          <w:szCs w:val="22"/>
          <w:lang w:val="en-GB"/>
        </w:rPr>
        <w:t xml:space="preserve"> </w:t>
      </w:r>
    </w:p>
    <w:p w14:paraId="1A888BF5" w14:textId="0875161E" w:rsidR="008919D0" w:rsidRPr="004E0A2E" w:rsidRDefault="00597D17" w:rsidP="008856D6">
      <w:pPr>
        <w:pStyle w:val="Heading3"/>
        <w:rPr>
          <w:color w:val="1F3864" w:themeColor="accent1" w:themeShade="80"/>
        </w:rPr>
      </w:pPr>
      <w:bookmarkStart w:id="35" w:name="_Toc75442795"/>
      <w:r>
        <w:rPr>
          <w:color w:val="1F3864" w:themeColor="accent1" w:themeShade="80"/>
        </w:rPr>
        <w:t>Net a</w:t>
      </w:r>
      <w:r w:rsidR="00414BED">
        <w:rPr>
          <w:color w:val="1F3864" w:themeColor="accent1" w:themeShade="80"/>
        </w:rPr>
        <w:t>batement</w:t>
      </w:r>
      <w:r w:rsidR="008919D0" w:rsidRPr="004E0A2E">
        <w:rPr>
          <w:color w:val="1F3864" w:themeColor="accent1" w:themeShade="80"/>
        </w:rPr>
        <w:t xml:space="preserve"> </w:t>
      </w:r>
      <w:r w:rsidR="00414BED">
        <w:rPr>
          <w:color w:val="1F3864" w:themeColor="accent1" w:themeShade="80"/>
        </w:rPr>
        <w:t>c</w:t>
      </w:r>
      <w:r w:rsidR="008919D0" w:rsidRPr="004E0A2E">
        <w:rPr>
          <w:color w:val="1F3864" w:themeColor="accent1" w:themeShade="80"/>
        </w:rPr>
        <w:t>alculation</w:t>
      </w:r>
      <w:bookmarkEnd w:id="35"/>
    </w:p>
    <w:p w14:paraId="5FEDE778" w14:textId="77777777" w:rsidR="000B3D12" w:rsidRDefault="000B3D12" w:rsidP="000B3D12">
      <w:pPr>
        <w:spacing w:after="0" w:line="276" w:lineRule="auto"/>
        <w:jc w:val="both"/>
        <w:rPr>
          <w:rFonts w:asciiTheme="minorHAnsi" w:eastAsiaTheme="minorHAnsi" w:hAnsiTheme="minorHAnsi" w:cstheme="minorBidi"/>
          <w:color w:val="auto"/>
          <w:szCs w:val="22"/>
          <w:lang w:val="en-GB"/>
        </w:rPr>
      </w:pPr>
    </w:p>
    <w:p w14:paraId="1505D05C" w14:textId="46446E48" w:rsidR="008919D0" w:rsidRPr="00CB04CF" w:rsidRDefault="00597D17" w:rsidP="00CB04CF">
      <w:pPr>
        <w:tabs>
          <w:tab w:val="left" w:pos="1134"/>
        </w:tabs>
        <w:jc w:val="both"/>
        <w:rPr>
          <w:rFonts w:asciiTheme="minorHAnsi" w:eastAsiaTheme="minorEastAsia" w:hAnsiTheme="minorHAnsi" w:cstheme="minorBidi"/>
          <w:color w:val="000000" w:themeColor="text1"/>
          <w:lang w:val="en-GB"/>
        </w:rPr>
      </w:pPr>
      <w:r w:rsidRPr="00CB04CF">
        <w:rPr>
          <w:rFonts w:asciiTheme="minorHAnsi" w:eastAsiaTheme="minorEastAsia" w:hAnsiTheme="minorHAnsi" w:cstheme="minorBidi"/>
          <w:color w:val="000000" w:themeColor="text1"/>
          <w:lang w:val="en-GB"/>
        </w:rPr>
        <w:t xml:space="preserve">The net abatement calculation </w:t>
      </w:r>
      <w:r w:rsidR="00E415FF" w:rsidRPr="00CB04CF">
        <w:rPr>
          <w:rFonts w:asciiTheme="minorHAnsi" w:eastAsiaTheme="minorEastAsia" w:hAnsiTheme="minorHAnsi" w:cstheme="minorBidi"/>
          <w:color w:val="000000" w:themeColor="text1"/>
          <w:lang w:val="en-GB"/>
        </w:rPr>
        <w:t xml:space="preserve">for a reporting period in the crediting period </w:t>
      </w:r>
      <w:r w:rsidRPr="00CB04CF">
        <w:rPr>
          <w:rFonts w:asciiTheme="minorHAnsi" w:eastAsiaTheme="minorEastAsia" w:hAnsiTheme="minorHAnsi" w:cstheme="minorBidi"/>
          <w:color w:val="000000" w:themeColor="text1"/>
          <w:lang w:val="en-GB"/>
        </w:rPr>
        <w:t xml:space="preserve">is based on the volume of </w:t>
      </w:r>
      <w:r w:rsidR="002A3774" w:rsidRPr="00CB04CF">
        <w:rPr>
          <w:rFonts w:asciiTheme="minorHAnsi" w:eastAsiaTheme="minorEastAsia" w:hAnsiTheme="minorHAnsi" w:cstheme="minorBidi"/>
          <w:color w:val="000000" w:themeColor="text1"/>
          <w:lang w:val="en-GB"/>
        </w:rPr>
        <w:t>greenhouse gases</w:t>
      </w:r>
      <w:r w:rsidR="003C5698" w:rsidRPr="00821538">
        <w:rPr>
          <w:rFonts w:asciiTheme="minorHAnsi" w:eastAsiaTheme="minorEastAsia" w:hAnsiTheme="minorHAnsi" w:cstheme="minorBidi"/>
          <w:color w:val="000000" w:themeColor="text1"/>
          <w:vertAlign w:val="superscript"/>
          <w:lang w:val="en-GB"/>
        </w:rPr>
        <w:footnoteReference w:id="16"/>
      </w:r>
      <w:r w:rsidR="002A3774" w:rsidRPr="00CB04CF">
        <w:rPr>
          <w:rFonts w:asciiTheme="minorHAnsi" w:eastAsiaTheme="minorEastAsia" w:hAnsiTheme="minorHAnsi" w:cstheme="minorBidi"/>
          <w:color w:val="000000" w:themeColor="text1"/>
          <w:lang w:val="en-GB"/>
        </w:rPr>
        <w:t xml:space="preserve"> </w:t>
      </w:r>
      <w:r w:rsidR="003C5698" w:rsidRPr="00CB04CF">
        <w:rPr>
          <w:rFonts w:asciiTheme="minorHAnsi" w:eastAsiaTheme="minorEastAsia" w:hAnsiTheme="minorHAnsi" w:cstheme="minorBidi"/>
          <w:color w:val="000000" w:themeColor="text1"/>
          <w:lang w:val="en-GB"/>
        </w:rPr>
        <w:t>measured in tonnes of carbon dioxide equivalent (CO</w:t>
      </w:r>
      <w:r w:rsidR="003C5698" w:rsidRPr="00821538">
        <w:rPr>
          <w:rFonts w:asciiTheme="minorHAnsi" w:eastAsiaTheme="minorEastAsia" w:hAnsiTheme="minorHAnsi" w:cstheme="minorBidi"/>
          <w:color w:val="000000" w:themeColor="text1"/>
          <w:vertAlign w:val="subscript"/>
          <w:lang w:val="en-GB"/>
        </w:rPr>
        <w:t>2</w:t>
      </w:r>
      <w:r w:rsidR="003C5698" w:rsidRPr="00CB04CF">
        <w:rPr>
          <w:rFonts w:asciiTheme="minorHAnsi" w:eastAsiaTheme="minorEastAsia" w:hAnsiTheme="minorHAnsi" w:cstheme="minorBidi"/>
          <w:color w:val="000000" w:themeColor="text1"/>
          <w:lang w:val="en-GB"/>
        </w:rPr>
        <w:t>-e)</w:t>
      </w:r>
      <w:r w:rsidR="00F14C1A" w:rsidRPr="00CB04CF">
        <w:rPr>
          <w:rFonts w:asciiTheme="minorHAnsi" w:eastAsiaTheme="minorEastAsia" w:hAnsiTheme="minorHAnsi" w:cstheme="minorBidi"/>
          <w:color w:val="000000" w:themeColor="text1"/>
          <w:lang w:val="en-GB"/>
        </w:rPr>
        <w:t xml:space="preserve"> </w:t>
      </w:r>
      <w:r w:rsidR="00752F9C" w:rsidRPr="00CB04CF">
        <w:rPr>
          <w:rFonts w:asciiTheme="minorHAnsi" w:eastAsiaTheme="minorEastAsia" w:hAnsiTheme="minorHAnsi" w:cstheme="minorBidi"/>
          <w:color w:val="000000" w:themeColor="text1"/>
          <w:lang w:val="en-GB"/>
        </w:rPr>
        <w:t xml:space="preserve">captured </w:t>
      </w:r>
      <w:r w:rsidR="006E5A4C">
        <w:rPr>
          <w:rFonts w:asciiTheme="minorHAnsi" w:eastAsiaTheme="minorEastAsia" w:hAnsiTheme="minorHAnsi" w:cstheme="minorBidi"/>
          <w:color w:val="000000" w:themeColor="text1"/>
          <w:lang w:val="en-GB"/>
        </w:rPr>
        <w:t>at</w:t>
      </w:r>
      <w:r w:rsidR="006E5A4C" w:rsidRPr="00CB04CF">
        <w:rPr>
          <w:rFonts w:asciiTheme="minorHAnsi" w:eastAsiaTheme="minorEastAsia" w:hAnsiTheme="minorHAnsi" w:cstheme="minorBidi"/>
          <w:color w:val="000000" w:themeColor="text1"/>
          <w:lang w:val="en-GB"/>
        </w:rPr>
        <w:t xml:space="preserve"> </w:t>
      </w:r>
      <w:r w:rsidR="00752F9C" w:rsidRPr="00CB04CF">
        <w:rPr>
          <w:rFonts w:asciiTheme="minorHAnsi" w:eastAsiaTheme="minorEastAsia" w:hAnsiTheme="minorHAnsi" w:cstheme="minorBidi"/>
          <w:color w:val="000000" w:themeColor="text1"/>
          <w:lang w:val="en-GB"/>
        </w:rPr>
        <w:t>the project</w:t>
      </w:r>
      <w:r w:rsidR="008E1862" w:rsidRPr="00CB04CF">
        <w:rPr>
          <w:rFonts w:asciiTheme="minorHAnsi" w:eastAsiaTheme="minorEastAsia" w:hAnsiTheme="minorHAnsi" w:cstheme="minorBidi"/>
          <w:color w:val="000000" w:themeColor="text1"/>
          <w:lang w:val="en-GB"/>
        </w:rPr>
        <w:t xml:space="preserve">’s </w:t>
      </w:r>
      <w:r w:rsidR="00642614" w:rsidRPr="00CB04CF">
        <w:rPr>
          <w:rFonts w:asciiTheme="minorHAnsi" w:eastAsiaTheme="minorEastAsia" w:hAnsiTheme="minorHAnsi" w:cstheme="minorBidi"/>
          <w:color w:val="000000" w:themeColor="text1"/>
          <w:lang w:val="en-GB"/>
        </w:rPr>
        <w:t xml:space="preserve">capture point </w:t>
      </w:r>
      <w:r w:rsidRPr="00CB04CF">
        <w:rPr>
          <w:rFonts w:asciiTheme="minorHAnsi" w:eastAsiaTheme="minorEastAsia" w:hAnsiTheme="minorHAnsi" w:cstheme="minorBidi"/>
          <w:color w:val="000000" w:themeColor="text1"/>
          <w:lang w:val="en-GB"/>
        </w:rPr>
        <w:t>minus the emissions caused by the project:</w:t>
      </w:r>
    </w:p>
    <w:p w14:paraId="5CD3E1BF" w14:textId="77777777" w:rsidR="008919D0" w:rsidRDefault="008919D0" w:rsidP="000B3D12">
      <w:pPr>
        <w:spacing w:after="0" w:line="276" w:lineRule="auto"/>
        <w:jc w:val="both"/>
        <w:rPr>
          <w:rFonts w:asciiTheme="minorHAnsi" w:eastAsiaTheme="minorHAnsi" w:hAnsiTheme="minorHAnsi" w:cstheme="minorHAnsi"/>
          <w:color w:val="auto"/>
          <w:szCs w:val="22"/>
          <w:lang w:val="en-GB"/>
        </w:rPr>
      </w:pPr>
    </w:p>
    <w:tbl>
      <w:tblPr>
        <w:tblStyle w:val="TableGrid"/>
        <w:tblW w:w="0" w:type="auto"/>
        <w:tblLook w:val="04A0" w:firstRow="1" w:lastRow="0" w:firstColumn="1" w:lastColumn="0" w:noHBand="0" w:noVBand="1"/>
      </w:tblPr>
      <w:tblGrid>
        <w:gridCol w:w="1555"/>
        <w:gridCol w:w="7461"/>
      </w:tblGrid>
      <w:tr w:rsidR="000B3D12" w14:paraId="6A74E895" w14:textId="77777777" w:rsidTr="00986BF7">
        <w:tc>
          <w:tcPr>
            <w:tcW w:w="9016" w:type="dxa"/>
            <w:gridSpan w:val="2"/>
            <w:vAlign w:val="center"/>
          </w:tcPr>
          <w:p w14:paraId="00F24CB2" w14:textId="6B5B5E46" w:rsidR="00063990" w:rsidRPr="00063990" w:rsidRDefault="00063990" w:rsidP="00986BF7">
            <w:pPr>
              <w:spacing w:before="240" w:after="240"/>
              <w:ind w:left="567"/>
              <w:jc w:val="center"/>
              <w:rPr>
                <w:rFonts w:asciiTheme="minorHAnsi" w:eastAsiaTheme="minorEastAsia" w:hAnsiTheme="minorHAnsi" w:cstheme="minorBidi"/>
                <w:b/>
                <w:bCs/>
                <w:color w:val="000000" w:themeColor="text1"/>
                <w:lang w:val="en-GB"/>
              </w:rPr>
            </w:pPr>
            <w:r w:rsidRPr="00551A53">
              <w:rPr>
                <w:b/>
                <w:bCs/>
              </w:rPr>
              <w:t>A = (</w:t>
            </w:r>
            <w:r w:rsidR="00752F9C">
              <w:rPr>
                <w:b/>
                <w:bCs/>
              </w:rPr>
              <w:t>C</w:t>
            </w:r>
            <w:r w:rsidR="00752F9C" w:rsidRPr="00551A53">
              <w:rPr>
                <w:b/>
                <w:bCs/>
              </w:rPr>
              <w:t xml:space="preserve">GG </w:t>
            </w:r>
            <w:r w:rsidR="00CF7BFA">
              <w:rPr>
                <w:b/>
                <w:bCs/>
              </w:rPr>
              <w:t xml:space="preserve"> </w:t>
            </w:r>
            <w:r w:rsidRPr="00551A53">
              <w:rPr>
                <w:b/>
                <w:bCs/>
              </w:rPr>
              <w:t xml:space="preserve">–  </w:t>
            </w:r>
            <w:r w:rsidR="00045C47" w:rsidRPr="00551A53">
              <w:rPr>
                <w:b/>
                <w:bCs/>
              </w:rPr>
              <w:t>Q</w:t>
            </w:r>
            <w:r w:rsidR="00045C47">
              <w:rPr>
                <w:b/>
                <w:bCs/>
                <w:vertAlign w:val="subscript"/>
              </w:rPr>
              <w:t>C</w:t>
            </w:r>
            <w:r w:rsidR="00045C47" w:rsidRPr="00551A53">
              <w:rPr>
                <w:b/>
                <w:bCs/>
                <w:vertAlign w:val="subscript"/>
              </w:rPr>
              <w:t>M</w:t>
            </w:r>
            <w:r w:rsidR="00045C47" w:rsidRPr="00551A53">
              <w:rPr>
                <w:b/>
                <w:bCs/>
              </w:rPr>
              <w:t xml:space="preserve">  </w:t>
            </w:r>
            <w:r w:rsidRPr="00551A53">
              <w:rPr>
                <w:b/>
                <w:bCs/>
              </w:rPr>
              <w:t>–  CCSE ) x 0.97</w:t>
            </w:r>
          </w:p>
        </w:tc>
      </w:tr>
      <w:tr w:rsidR="000B3D12" w14:paraId="2EE72F24" w14:textId="77777777" w:rsidTr="00986BF7">
        <w:tc>
          <w:tcPr>
            <w:tcW w:w="9016" w:type="dxa"/>
            <w:gridSpan w:val="2"/>
          </w:tcPr>
          <w:p w14:paraId="220B8482" w14:textId="77777777" w:rsidR="000B3D12" w:rsidRDefault="000B3D12" w:rsidP="00986BF7">
            <w:pPr>
              <w:tabs>
                <w:tab w:val="left" w:pos="567"/>
              </w:tabs>
              <w:spacing w:before="240" w:after="240"/>
              <w:jc w:val="both"/>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Where:</w:t>
            </w:r>
          </w:p>
        </w:tc>
      </w:tr>
      <w:tr w:rsidR="000B3D12" w14:paraId="01A58ADB" w14:textId="77777777" w:rsidTr="00986BF7">
        <w:trPr>
          <w:trHeight w:val="487"/>
        </w:trPr>
        <w:tc>
          <w:tcPr>
            <w:tcW w:w="1555" w:type="dxa"/>
          </w:tcPr>
          <w:p w14:paraId="76084F97" w14:textId="4EE346C2" w:rsidR="000B3D12" w:rsidRDefault="000B3D12" w:rsidP="00986BF7">
            <w:pPr>
              <w:tabs>
                <w:tab w:val="left" w:pos="567"/>
              </w:tabs>
              <w:spacing w:before="240" w:after="240"/>
              <w:jc w:val="both"/>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A</w:t>
            </w:r>
          </w:p>
        </w:tc>
        <w:tc>
          <w:tcPr>
            <w:tcW w:w="7461" w:type="dxa"/>
          </w:tcPr>
          <w:p w14:paraId="37E25A0E" w14:textId="0A37644E" w:rsidR="000B3D12" w:rsidRDefault="00FF0775" w:rsidP="00986BF7">
            <w:pPr>
              <w:tabs>
                <w:tab w:val="left" w:pos="567"/>
              </w:tabs>
              <w:spacing w:before="240" w:after="240"/>
              <w:jc w:val="both"/>
              <w:rPr>
                <w:rFonts w:asciiTheme="minorHAnsi" w:eastAsiaTheme="minorEastAsia" w:hAnsiTheme="minorHAnsi" w:cstheme="minorBidi"/>
                <w:color w:val="000000" w:themeColor="text1"/>
                <w:lang w:val="en-GB"/>
              </w:rPr>
            </w:pPr>
            <w:r>
              <w:rPr>
                <w:rFonts w:asciiTheme="minorHAnsi" w:eastAsiaTheme="minorHAnsi" w:hAnsiTheme="minorHAnsi" w:cstheme="minorHAnsi"/>
                <w:color w:val="auto"/>
                <w:szCs w:val="22"/>
                <w:lang w:val="en-GB"/>
              </w:rPr>
              <w:t>M</w:t>
            </w:r>
            <w:r w:rsidR="000B3D12" w:rsidRPr="004E0A2E">
              <w:rPr>
                <w:rFonts w:asciiTheme="minorHAnsi" w:eastAsiaTheme="minorHAnsi" w:hAnsiTheme="minorHAnsi" w:cstheme="minorHAnsi"/>
                <w:color w:val="auto"/>
                <w:szCs w:val="22"/>
                <w:lang w:val="en-GB"/>
              </w:rPr>
              <w:t xml:space="preserve">eans the </w:t>
            </w:r>
            <w:r w:rsidR="00063990">
              <w:rPr>
                <w:rFonts w:asciiTheme="minorHAnsi" w:eastAsiaTheme="minorHAnsi" w:hAnsiTheme="minorHAnsi" w:cstheme="minorHAnsi"/>
                <w:color w:val="auto"/>
                <w:szCs w:val="22"/>
                <w:lang w:val="en-GB"/>
              </w:rPr>
              <w:t>n</w:t>
            </w:r>
            <w:r w:rsidR="000B3D12" w:rsidRPr="004E0A2E">
              <w:rPr>
                <w:rFonts w:asciiTheme="minorHAnsi" w:eastAsiaTheme="minorHAnsi" w:hAnsiTheme="minorHAnsi" w:cstheme="minorHAnsi"/>
                <w:color w:val="auto"/>
                <w:szCs w:val="22"/>
                <w:lang w:val="en-GB"/>
              </w:rPr>
              <w:t xml:space="preserve">et </w:t>
            </w:r>
            <w:r w:rsidR="00063990">
              <w:rPr>
                <w:rFonts w:asciiTheme="minorHAnsi" w:eastAsiaTheme="minorHAnsi" w:hAnsiTheme="minorHAnsi" w:cstheme="minorHAnsi"/>
                <w:color w:val="auto"/>
                <w:szCs w:val="22"/>
                <w:lang w:val="en-GB"/>
              </w:rPr>
              <w:t>a</w:t>
            </w:r>
            <w:r w:rsidR="000B3D12" w:rsidRPr="004E0A2E">
              <w:rPr>
                <w:rFonts w:asciiTheme="minorHAnsi" w:eastAsiaTheme="minorHAnsi" w:hAnsiTheme="minorHAnsi" w:cstheme="minorHAnsi"/>
                <w:color w:val="auto"/>
                <w:szCs w:val="22"/>
                <w:lang w:val="en-GB"/>
              </w:rPr>
              <w:t xml:space="preserve">batement in tonnes </w:t>
            </w:r>
            <w:r w:rsidR="000B3D12" w:rsidRPr="00597D17">
              <w:rPr>
                <w:rFonts w:asciiTheme="minorHAnsi" w:eastAsiaTheme="minorHAnsi" w:hAnsiTheme="minorHAnsi" w:cstheme="minorHAnsi"/>
                <w:color w:val="auto"/>
                <w:szCs w:val="22"/>
                <w:lang w:val="en-GB"/>
              </w:rPr>
              <w:t>CO</w:t>
            </w:r>
            <w:r w:rsidR="000B3D12" w:rsidRPr="00597D17">
              <w:rPr>
                <w:rFonts w:asciiTheme="minorHAnsi" w:eastAsiaTheme="minorHAnsi" w:hAnsiTheme="minorHAnsi" w:cstheme="minorHAnsi"/>
                <w:color w:val="auto"/>
                <w:szCs w:val="22"/>
                <w:vertAlign w:val="subscript"/>
                <w:lang w:val="en-GB"/>
              </w:rPr>
              <w:t>2</w:t>
            </w:r>
            <w:r w:rsidR="00597D17">
              <w:rPr>
                <w:rFonts w:asciiTheme="minorHAnsi" w:eastAsiaTheme="minorHAnsi" w:hAnsiTheme="minorHAnsi" w:cstheme="minorHAnsi"/>
                <w:color w:val="auto"/>
                <w:szCs w:val="22"/>
                <w:lang w:val="en-GB"/>
              </w:rPr>
              <w:t>-</w:t>
            </w:r>
            <w:r w:rsidR="000B3D12" w:rsidRPr="00597D17">
              <w:rPr>
                <w:rFonts w:asciiTheme="minorHAnsi" w:eastAsiaTheme="minorHAnsi" w:hAnsiTheme="minorHAnsi" w:cstheme="minorHAnsi"/>
                <w:color w:val="auto"/>
                <w:szCs w:val="22"/>
                <w:lang w:val="en-GB"/>
              </w:rPr>
              <w:t>e</w:t>
            </w:r>
            <w:r w:rsidR="000B3D12" w:rsidRPr="004E0A2E">
              <w:rPr>
                <w:rFonts w:asciiTheme="minorHAnsi" w:eastAsiaTheme="minorHAnsi" w:hAnsiTheme="minorHAnsi" w:cstheme="minorHAnsi"/>
                <w:color w:val="auto"/>
                <w:szCs w:val="22"/>
                <w:lang w:val="en-GB"/>
              </w:rPr>
              <w:t>, for the reporting period</w:t>
            </w:r>
            <w:r w:rsidR="002731EF">
              <w:rPr>
                <w:rFonts w:asciiTheme="minorHAnsi" w:eastAsiaTheme="minorHAnsi" w:hAnsiTheme="minorHAnsi" w:cstheme="minorHAnsi"/>
                <w:color w:val="auto"/>
                <w:szCs w:val="22"/>
                <w:lang w:val="en-GB"/>
              </w:rPr>
              <w:t xml:space="preserve"> in the crediting period</w:t>
            </w:r>
            <w:r w:rsidR="007073B6">
              <w:rPr>
                <w:rFonts w:asciiTheme="minorHAnsi" w:eastAsiaTheme="minorHAnsi" w:hAnsiTheme="minorHAnsi" w:cstheme="minorHAnsi"/>
                <w:color w:val="auto"/>
                <w:szCs w:val="22"/>
                <w:lang w:val="en-GB"/>
              </w:rPr>
              <w:t>.</w:t>
            </w:r>
          </w:p>
        </w:tc>
      </w:tr>
      <w:tr w:rsidR="000B3D12" w14:paraId="56DCA121" w14:textId="77777777" w:rsidTr="00112FDA">
        <w:trPr>
          <w:trHeight w:val="715"/>
        </w:trPr>
        <w:tc>
          <w:tcPr>
            <w:tcW w:w="1555" w:type="dxa"/>
          </w:tcPr>
          <w:p w14:paraId="46CC96C6" w14:textId="41840189" w:rsidR="000B3D12" w:rsidRDefault="006D1A11" w:rsidP="00986BF7">
            <w:pPr>
              <w:tabs>
                <w:tab w:val="left" w:pos="567"/>
              </w:tabs>
              <w:spacing w:before="240" w:after="240"/>
              <w:jc w:val="both"/>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CGG</w:t>
            </w:r>
          </w:p>
        </w:tc>
        <w:tc>
          <w:tcPr>
            <w:tcW w:w="7461" w:type="dxa"/>
          </w:tcPr>
          <w:p w14:paraId="31C11202" w14:textId="0EB5F404" w:rsidR="000B3D12" w:rsidRPr="00BB271E" w:rsidRDefault="00BB271E" w:rsidP="00581FFF">
            <w:pPr>
              <w:spacing w:before="120"/>
              <w:jc w:val="both"/>
              <w:rPr>
                <w:rFonts w:asciiTheme="minorHAnsi" w:eastAsiaTheme="minorHAnsi" w:hAnsiTheme="minorHAnsi" w:cstheme="minorHAnsi"/>
                <w:color w:val="auto"/>
                <w:szCs w:val="22"/>
                <w:lang w:val="en-GB"/>
              </w:rPr>
            </w:pPr>
            <w:r>
              <w:rPr>
                <w:rFonts w:cstheme="minorHAnsi"/>
              </w:rPr>
              <w:t>M</w:t>
            </w:r>
            <w:r w:rsidR="000B3D12" w:rsidRPr="00BB271E">
              <w:rPr>
                <w:rFonts w:cstheme="minorHAnsi"/>
              </w:rPr>
              <w:t xml:space="preserve">eans the </w:t>
            </w:r>
            <w:r w:rsidR="004E5F80">
              <w:rPr>
                <w:rFonts w:cstheme="minorHAnsi"/>
              </w:rPr>
              <w:t>quantity</w:t>
            </w:r>
            <w:r w:rsidR="004E5F80" w:rsidRPr="00BB271E">
              <w:rPr>
                <w:rFonts w:cstheme="minorHAnsi"/>
              </w:rPr>
              <w:t xml:space="preserve"> </w:t>
            </w:r>
            <w:r w:rsidR="000B3D12" w:rsidRPr="00BB271E">
              <w:rPr>
                <w:rFonts w:cstheme="minorHAnsi"/>
              </w:rPr>
              <w:t xml:space="preserve">of </w:t>
            </w:r>
            <w:r w:rsidR="002A3774">
              <w:rPr>
                <w:rFonts w:cstheme="minorHAnsi"/>
              </w:rPr>
              <w:t>greenhouse gases</w:t>
            </w:r>
            <w:r w:rsidR="000B3D12" w:rsidRPr="00BB271E">
              <w:rPr>
                <w:rFonts w:cstheme="minorHAnsi"/>
              </w:rPr>
              <w:t xml:space="preserve"> </w:t>
            </w:r>
            <w:r w:rsidR="006D1A11">
              <w:rPr>
                <w:rFonts w:cstheme="minorHAnsi"/>
              </w:rPr>
              <w:t xml:space="preserve">captured </w:t>
            </w:r>
            <w:r w:rsidR="00724E76">
              <w:rPr>
                <w:rFonts w:cstheme="minorHAnsi"/>
              </w:rPr>
              <w:t xml:space="preserve">at </w:t>
            </w:r>
            <w:r w:rsidR="006D1A11">
              <w:rPr>
                <w:rFonts w:cstheme="minorHAnsi"/>
              </w:rPr>
              <w:t>the project’s capture points</w:t>
            </w:r>
            <w:r w:rsidR="004E5F80">
              <w:rPr>
                <w:rFonts w:cstheme="minorHAnsi"/>
              </w:rPr>
              <w:t xml:space="preserve"> </w:t>
            </w:r>
            <w:r w:rsidR="000B3D12" w:rsidRPr="00BB271E">
              <w:rPr>
                <w:rFonts w:cstheme="minorHAnsi"/>
              </w:rPr>
              <w:t>for the reporting period</w:t>
            </w:r>
            <w:r w:rsidR="002731EF">
              <w:rPr>
                <w:rFonts w:cstheme="minorHAnsi"/>
              </w:rPr>
              <w:t xml:space="preserve"> </w:t>
            </w:r>
            <w:r w:rsidR="006379CF">
              <w:rPr>
                <w:rFonts w:cstheme="minorHAnsi"/>
              </w:rPr>
              <w:t xml:space="preserve">during the crediting period </w:t>
            </w:r>
            <w:r w:rsidR="004E5F80" w:rsidRPr="00BB271E">
              <w:rPr>
                <w:rFonts w:cstheme="minorHAnsi"/>
              </w:rPr>
              <w:t>in tonnes</w:t>
            </w:r>
            <w:r w:rsidR="004E5F80" w:rsidRPr="00597D17">
              <w:rPr>
                <w:rFonts w:asciiTheme="minorHAnsi" w:eastAsiaTheme="minorHAnsi" w:hAnsiTheme="minorHAnsi" w:cstheme="minorHAnsi"/>
                <w:color w:val="auto"/>
                <w:szCs w:val="22"/>
                <w:lang w:val="en-GB"/>
              </w:rPr>
              <w:t xml:space="preserve"> CO</w:t>
            </w:r>
            <w:r w:rsidR="004E5F80" w:rsidRPr="00597D17">
              <w:rPr>
                <w:rFonts w:asciiTheme="minorHAnsi" w:eastAsiaTheme="minorHAnsi" w:hAnsiTheme="minorHAnsi" w:cstheme="minorHAnsi"/>
                <w:color w:val="auto"/>
                <w:szCs w:val="22"/>
                <w:vertAlign w:val="subscript"/>
                <w:lang w:val="en-GB"/>
              </w:rPr>
              <w:t>2</w:t>
            </w:r>
            <w:r w:rsidR="004E5F80">
              <w:rPr>
                <w:rFonts w:asciiTheme="minorHAnsi" w:eastAsiaTheme="minorHAnsi" w:hAnsiTheme="minorHAnsi" w:cstheme="minorHAnsi"/>
                <w:color w:val="auto"/>
                <w:szCs w:val="22"/>
                <w:lang w:val="en-GB"/>
              </w:rPr>
              <w:t>-</w:t>
            </w:r>
            <w:r w:rsidR="004E5F80" w:rsidRPr="00597D17">
              <w:rPr>
                <w:rFonts w:asciiTheme="minorHAnsi" w:eastAsiaTheme="minorHAnsi" w:hAnsiTheme="minorHAnsi" w:cstheme="minorHAnsi"/>
                <w:color w:val="auto"/>
                <w:szCs w:val="22"/>
                <w:lang w:val="en-GB"/>
              </w:rPr>
              <w:t>e</w:t>
            </w:r>
            <w:r w:rsidR="00FF0775">
              <w:rPr>
                <w:rFonts w:cstheme="minorHAnsi"/>
              </w:rPr>
              <w:t>.</w:t>
            </w:r>
            <w:r w:rsidR="000B3D12" w:rsidRPr="00BB271E">
              <w:rPr>
                <w:rFonts w:cstheme="minorHAnsi"/>
              </w:rPr>
              <w:t xml:space="preserve"> </w:t>
            </w:r>
          </w:p>
        </w:tc>
      </w:tr>
      <w:tr w:rsidR="00215EBE" w14:paraId="2662E54D" w14:textId="77777777" w:rsidTr="00112FDA">
        <w:trPr>
          <w:trHeight w:val="715"/>
        </w:trPr>
        <w:tc>
          <w:tcPr>
            <w:tcW w:w="1555" w:type="dxa"/>
          </w:tcPr>
          <w:p w14:paraId="6B7B9A91" w14:textId="6F23AA17" w:rsidR="00215EBE" w:rsidRDefault="00215EBE" w:rsidP="00215EBE">
            <w:pPr>
              <w:tabs>
                <w:tab w:val="left" w:pos="567"/>
              </w:tabs>
              <w:spacing w:before="240" w:after="240"/>
              <w:jc w:val="both"/>
              <w:rPr>
                <w:rFonts w:asciiTheme="minorHAnsi" w:eastAsiaTheme="minorEastAsia" w:hAnsiTheme="minorHAnsi" w:cstheme="minorBidi"/>
                <w:color w:val="000000" w:themeColor="text1"/>
                <w:lang w:val="en-GB"/>
              </w:rPr>
            </w:pPr>
            <w:r w:rsidRPr="004E0A2E">
              <w:rPr>
                <w:rFonts w:asciiTheme="minorHAnsi" w:eastAsiaTheme="minorHAnsi" w:hAnsiTheme="minorHAnsi" w:cstheme="minorHAnsi"/>
                <w:color w:val="auto"/>
                <w:szCs w:val="22"/>
                <w:lang w:val="en-GB"/>
              </w:rPr>
              <w:t>CCSE</w:t>
            </w:r>
          </w:p>
        </w:tc>
        <w:tc>
          <w:tcPr>
            <w:tcW w:w="7461" w:type="dxa"/>
          </w:tcPr>
          <w:p w14:paraId="6D5D6E82" w14:textId="77777777" w:rsidR="00642614" w:rsidRDefault="00215EBE" w:rsidP="00581FFF">
            <w:pPr>
              <w:spacing w:before="120"/>
              <w:jc w:val="both"/>
              <w:rPr>
                <w:rFonts w:asciiTheme="minorHAnsi" w:eastAsiaTheme="minorHAnsi" w:hAnsiTheme="minorHAnsi" w:cstheme="minorBidi"/>
                <w:color w:val="auto"/>
                <w:szCs w:val="22"/>
                <w:lang w:val="en-GB"/>
              </w:rPr>
            </w:pPr>
            <w:r w:rsidRPr="008919D0">
              <w:rPr>
                <w:rFonts w:asciiTheme="minorHAnsi" w:eastAsiaTheme="minorHAnsi" w:hAnsiTheme="minorHAnsi" w:cstheme="minorBidi"/>
                <w:color w:val="auto"/>
                <w:szCs w:val="22"/>
                <w:lang w:val="en-GB"/>
              </w:rPr>
              <w:t>Means the CCS Emissions which comprise the</w:t>
            </w:r>
            <w:r w:rsidR="006379CF">
              <w:rPr>
                <w:rFonts w:asciiTheme="minorHAnsi" w:eastAsiaTheme="minorHAnsi" w:hAnsiTheme="minorHAnsi" w:cstheme="minorBidi"/>
                <w:color w:val="auto"/>
                <w:szCs w:val="22"/>
                <w:lang w:val="en-GB"/>
              </w:rPr>
              <w:t>:</w:t>
            </w:r>
            <w:r w:rsidRPr="008919D0">
              <w:rPr>
                <w:rFonts w:asciiTheme="minorHAnsi" w:eastAsiaTheme="minorHAnsi" w:hAnsiTheme="minorHAnsi" w:cstheme="minorBidi"/>
                <w:color w:val="auto"/>
                <w:szCs w:val="22"/>
                <w:lang w:val="en-GB"/>
              </w:rPr>
              <w:t xml:space="preserve"> </w:t>
            </w:r>
          </w:p>
          <w:p w14:paraId="4C693FB7" w14:textId="7D728971" w:rsidR="00642614" w:rsidRPr="00642614" w:rsidRDefault="00215EBE" w:rsidP="00642614">
            <w:pPr>
              <w:pStyle w:val="ListParagraph"/>
              <w:numPr>
                <w:ilvl w:val="0"/>
                <w:numId w:val="21"/>
              </w:numPr>
              <w:ind w:left="321" w:hanging="284"/>
              <w:jc w:val="both"/>
              <w:rPr>
                <w:rFonts w:cstheme="minorHAnsi"/>
              </w:rPr>
            </w:pPr>
            <w:r w:rsidRPr="00642614">
              <w:t>capture related emissions</w:t>
            </w:r>
            <w:r w:rsidR="006379CF" w:rsidRPr="00642614">
              <w:t>;</w:t>
            </w:r>
          </w:p>
          <w:p w14:paraId="1BFE4CB7" w14:textId="2E0FC112" w:rsidR="00642614" w:rsidRPr="00642614" w:rsidRDefault="00215EBE" w:rsidP="00642614">
            <w:pPr>
              <w:pStyle w:val="ListParagraph"/>
              <w:numPr>
                <w:ilvl w:val="0"/>
                <w:numId w:val="21"/>
              </w:numPr>
              <w:ind w:left="321" w:hanging="284"/>
              <w:jc w:val="both"/>
              <w:rPr>
                <w:rFonts w:cstheme="minorHAnsi"/>
              </w:rPr>
            </w:pPr>
            <w:r w:rsidRPr="00642614">
              <w:t xml:space="preserve">processing, compression and </w:t>
            </w:r>
            <w:r w:rsidR="00FB30E2" w:rsidRPr="00642614">
              <w:t>transportation</w:t>
            </w:r>
            <w:r w:rsidRPr="00642614">
              <w:t xml:space="preserve"> emissions</w:t>
            </w:r>
            <w:r w:rsidR="006379CF" w:rsidRPr="00642614">
              <w:t>;</w:t>
            </w:r>
          </w:p>
          <w:p w14:paraId="0351AA61" w14:textId="5956FFB1" w:rsidR="00581FFF" w:rsidRPr="00581FFF" w:rsidRDefault="00752F9C" w:rsidP="00642614">
            <w:pPr>
              <w:pStyle w:val="ListParagraph"/>
              <w:numPr>
                <w:ilvl w:val="0"/>
                <w:numId w:val="21"/>
              </w:numPr>
              <w:ind w:left="321" w:hanging="284"/>
              <w:jc w:val="both"/>
              <w:rPr>
                <w:rFonts w:cstheme="minorHAnsi"/>
              </w:rPr>
            </w:pPr>
            <w:r w:rsidRPr="00642614">
              <w:t>transport</w:t>
            </w:r>
            <w:r w:rsidR="00C41D40" w:rsidRPr="00642614">
              <w:t>ation</w:t>
            </w:r>
            <w:r w:rsidRPr="00642614">
              <w:t xml:space="preserve"> and </w:t>
            </w:r>
            <w:r w:rsidR="00E72456" w:rsidRPr="00581FFF">
              <w:t>injection site</w:t>
            </w:r>
            <w:r w:rsidRPr="00581FFF">
              <w:t xml:space="preserve"> fugitive emissions</w:t>
            </w:r>
            <w:r w:rsidR="00581FFF">
              <w:t>;</w:t>
            </w:r>
          </w:p>
          <w:p w14:paraId="73BAF085" w14:textId="328CF951" w:rsidR="00581FFF" w:rsidRPr="00797E3B" w:rsidRDefault="00215EBE" w:rsidP="00642614">
            <w:pPr>
              <w:pStyle w:val="ListParagraph"/>
              <w:numPr>
                <w:ilvl w:val="0"/>
                <w:numId w:val="21"/>
              </w:numPr>
              <w:ind w:left="321" w:hanging="284"/>
              <w:jc w:val="both"/>
              <w:rPr>
                <w:rFonts w:cstheme="minorHAnsi"/>
              </w:rPr>
            </w:pPr>
            <w:r w:rsidRPr="00797E3B">
              <w:t>storage site monitoring emissions</w:t>
            </w:r>
            <w:r w:rsidR="006379CF" w:rsidRPr="00581FFF">
              <w:t>;</w:t>
            </w:r>
            <w:r w:rsidR="00F43E9B">
              <w:t xml:space="preserve"> </w:t>
            </w:r>
            <w:r w:rsidRPr="00797E3B">
              <w:t xml:space="preserve"> </w:t>
            </w:r>
          </w:p>
          <w:p w14:paraId="040058B4" w14:textId="550C099E" w:rsidR="009C6926" w:rsidRPr="009C6926" w:rsidRDefault="00215EBE" w:rsidP="00642614">
            <w:pPr>
              <w:pStyle w:val="ListParagraph"/>
              <w:numPr>
                <w:ilvl w:val="0"/>
                <w:numId w:val="21"/>
              </w:numPr>
              <w:ind w:left="321" w:hanging="284"/>
              <w:jc w:val="both"/>
              <w:rPr>
                <w:rFonts w:cstheme="minorHAnsi"/>
              </w:rPr>
            </w:pPr>
            <w:r w:rsidRPr="00797E3B">
              <w:t>any storage site fugitive emissions in tonnes CO</w:t>
            </w:r>
            <w:r w:rsidRPr="00797E3B">
              <w:rPr>
                <w:rFonts w:cstheme="minorHAnsi"/>
                <w:vertAlign w:val="subscript"/>
              </w:rPr>
              <w:t>2</w:t>
            </w:r>
            <w:r w:rsidRPr="00797E3B">
              <w:rPr>
                <w:rFonts w:cstheme="minorHAnsi"/>
              </w:rPr>
              <w:t>-</w:t>
            </w:r>
            <w:r w:rsidRPr="00797E3B">
              <w:t>e</w:t>
            </w:r>
            <w:r w:rsidR="009C6926">
              <w:t>; and</w:t>
            </w:r>
          </w:p>
          <w:p w14:paraId="48B83934" w14:textId="65455FFB" w:rsidR="00581FFF" w:rsidRPr="00797E3B" w:rsidRDefault="009C6926" w:rsidP="00642614">
            <w:pPr>
              <w:pStyle w:val="ListParagraph"/>
              <w:numPr>
                <w:ilvl w:val="0"/>
                <w:numId w:val="21"/>
              </w:numPr>
              <w:ind w:left="321" w:hanging="284"/>
              <w:jc w:val="both"/>
              <w:rPr>
                <w:rFonts w:cstheme="minorHAnsi"/>
              </w:rPr>
            </w:pPr>
            <w:r>
              <w:t>any off</w:t>
            </w:r>
            <w:r w:rsidR="00F66DC7">
              <w:t>-</w:t>
            </w:r>
            <w:r>
              <w:t>take of carbon dioxide for purposes other than permanent storage.</w:t>
            </w:r>
            <w:r w:rsidR="00215EBE" w:rsidRPr="00797E3B">
              <w:t xml:space="preserve"> </w:t>
            </w:r>
          </w:p>
          <w:p w14:paraId="7FE59A71" w14:textId="2FC1B182" w:rsidR="00215EBE" w:rsidRPr="00797E3B" w:rsidRDefault="00215EBE" w:rsidP="00581FFF">
            <w:pPr>
              <w:ind w:left="37"/>
              <w:jc w:val="both"/>
              <w:rPr>
                <w:rFonts w:cstheme="minorHAnsi"/>
              </w:rPr>
            </w:pPr>
            <w:r w:rsidRPr="00797E3B">
              <w:t xml:space="preserve">These terms are defined in the </w:t>
            </w:r>
            <w:r w:rsidR="00506F09">
              <w:t xml:space="preserve">proposed </w:t>
            </w:r>
            <w:r w:rsidR="006379CF" w:rsidRPr="00797E3B">
              <w:t xml:space="preserve">CCS </w:t>
            </w:r>
            <w:r w:rsidRPr="00797E3B">
              <w:t>method and further described below.</w:t>
            </w:r>
          </w:p>
        </w:tc>
      </w:tr>
      <w:tr w:rsidR="002A3774" w14:paraId="24657124" w14:textId="77777777" w:rsidTr="00112FDA">
        <w:trPr>
          <w:trHeight w:val="715"/>
        </w:trPr>
        <w:tc>
          <w:tcPr>
            <w:tcW w:w="1555" w:type="dxa"/>
          </w:tcPr>
          <w:p w14:paraId="68E16761" w14:textId="471F3F56" w:rsidR="002A3774" w:rsidRDefault="00045C47" w:rsidP="00986BF7">
            <w:pPr>
              <w:tabs>
                <w:tab w:val="left" w:pos="567"/>
              </w:tabs>
              <w:spacing w:before="240" w:after="240"/>
              <w:jc w:val="both"/>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Q</w:t>
            </w:r>
            <w:r>
              <w:rPr>
                <w:rFonts w:asciiTheme="minorHAnsi" w:eastAsiaTheme="minorEastAsia" w:hAnsiTheme="minorHAnsi" w:cstheme="minorBidi"/>
                <w:color w:val="000000" w:themeColor="text1"/>
                <w:vertAlign w:val="subscript"/>
                <w:lang w:val="en-GB"/>
              </w:rPr>
              <w:t>C</w:t>
            </w:r>
            <w:r w:rsidRPr="00551A53">
              <w:rPr>
                <w:rFonts w:asciiTheme="minorHAnsi" w:eastAsiaTheme="minorEastAsia" w:hAnsiTheme="minorHAnsi" w:cstheme="minorBidi"/>
                <w:color w:val="000000" w:themeColor="text1"/>
                <w:vertAlign w:val="subscript"/>
                <w:lang w:val="en-GB"/>
              </w:rPr>
              <w:t>M</w:t>
            </w:r>
          </w:p>
        </w:tc>
        <w:tc>
          <w:tcPr>
            <w:tcW w:w="7461" w:type="dxa"/>
          </w:tcPr>
          <w:p w14:paraId="2A47ED40" w14:textId="18568AF2" w:rsidR="002A3774" w:rsidRDefault="00215EBE" w:rsidP="00581FFF">
            <w:pPr>
              <w:spacing w:before="120"/>
              <w:jc w:val="both"/>
              <w:rPr>
                <w:rFonts w:cstheme="minorHAnsi"/>
              </w:rPr>
            </w:pPr>
            <w:r>
              <w:rPr>
                <w:rFonts w:cstheme="minorHAnsi"/>
              </w:rPr>
              <w:t>Is relevant only for oil and gas operations</w:t>
            </w:r>
            <w:r w:rsidR="0059648A">
              <w:rPr>
                <w:rFonts w:cstheme="minorHAnsi"/>
              </w:rPr>
              <w:t xml:space="preserve"> where methane in the waste gas stream would </w:t>
            </w:r>
            <w:r w:rsidR="006379CF">
              <w:rPr>
                <w:rFonts w:cstheme="minorHAnsi"/>
              </w:rPr>
              <w:t>have been</w:t>
            </w:r>
            <w:r w:rsidR="0059648A">
              <w:rPr>
                <w:rFonts w:cstheme="minorHAnsi"/>
              </w:rPr>
              <w:t xml:space="preserve"> oxidised in the absence of the CCS project</w:t>
            </w:r>
            <w:r w:rsidR="00B52868">
              <w:rPr>
                <w:rFonts w:cstheme="minorHAnsi"/>
              </w:rPr>
              <w:t xml:space="preserve">. </w:t>
            </w:r>
            <w:r w:rsidR="00B52868">
              <w:rPr>
                <w:rFonts w:asciiTheme="minorHAnsi" w:eastAsiaTheme="minorEastAsia" w:hAnsiTheme="minorHAnsi" w:cstheme="minorBidi"/>
                <w:color w:val="000000" w:themeColor="text1"/>
                <w:lang w:val="en-GB"/>
              </w:rPr>
              <w:t>Q</w:t>
            </w:r>
            <w:r w:rsidR="00B52868">
              <w:rPr>
                <w:rFonts w:asciiTheme="minorHAnsi" w:eastAsiaTheme="minorEastAsia" w:hAnsiTheme="minorHAnsi" w:cstheme="minorBidi"/>
                <w:color w:val="000000" w:themeColor="text1"/>
                <w:vertAlign w:val="subscript"/>
                <w:lang w:val="en-GB"/>
              </w:rPr>
              <w:t>C</w:t>
            </w:r>
            <w:r w:rsidR="00B52868" w:rsidRPr="00551A53">
              <w:rPr>
                <w:rFonts w:asciiTheme="minorHAnsi" w:eastAsiaTheme="minorEastAsia" w:hAnsiTheme="minorHAnsi" w:cstheme="minorBidi"/>
                <w:color w:val="000000" w:themeColor="text1"/>
                <w:vertAlign w:val="subscript"/>
                <w:lang w:val="en-GB"/>
              </w:rPr>
              <w:t>M</w:t>
            </w:r>
            <w:r w:rsidR="008C3375">
              <w:rPr>
                <w:rFonts w:cstheme="minorHAnsi"/>
              </w:rPr>
              <w:t xml:space="preserve"> </w:t>
            </w:r>
            <w:r w:rsidR="00B52868">
              <w:rPr>
                <w:rFonts w:cstheme="minorHAnsi"/>
              </w:rPr>
              <w:t>is</w:t>
            </w:r>
            <w:r w:rsidR="004E5F80">
              <w:rPr>
                <w:rFonts w:cstheme="minorHAnsi"/>
              </w:rPr>
              <w:t xml:space="preserve"> the amount </w:t>
            </w:r>
            <w:r w:rsidR="00871B02">
              <w:rPr>
                <w:rFonts w:cstheme="minorHAnsi"/>
              </w:rPr>
              <w:t xml:space="preserve">of </w:t>
            </w:r>
            <w:r w:rsidR="0059648A">
              <w:rPr>
                <w:rFonts w:cstheme="minorHAnsi"/>
              </w:rPr>
              <w:t>methane</w:t>
            </w:r>
            <w:r w:rsidR="004E5F80">
              <w:rPr>
                <w:rFonts w:cstheme="minorHAnsi"/>
              </w:rPr>
              <w:t xml:space="preserve"> included in</w:t>
            </w:r>
            <w:r w:rsidR="00871B02">
              <w:rPr>
                <w:rFonts w:cstheme="minorHAnsi"/>
              </w:rPr>
              <w:t xml:space="preserve"> the</w:t>
            </w:r>
            <w:r w:rsidR="004E5F80">
              <w:rPr>
                <w:rFonts w:cstheme="minorHAnsi"/>
              </w:rPr>
              <w:t xml:space="preserve"> </w:t>
            </w:r>
            <w:r w:rsidR="00045C47">
              <w:rPr>
                <w:rFonts w:cstheme="minorHAnsi"/>
              </w:rPr>
              <w:t xml:space="preserve">CGG </w:t>
            </w:r>
            <w:r w:rsidR="00871B02">
              <w:rPr>
                <w:rFonts w:cstheme="minorHAnsi"/>
              </w:rPr>
              <w:t>quantity</w:t>
            </w:r>
            <w:r w:rsidR="004E5F80">
              <w:rPr>
                <w:rFonts w:cstheme="minorHAnsi"/>
              </w:rPr>
              <w:t xml:space="preserve"> </w:t>
            </w:r>
            <w:r w:rsidR="0059648A">
              <w:rPr>
                <w:rFonts w:cstheme="minorHAnsi"/>
              </w:rPr>
              <w:t>for a reporting period</w:t>
            </w:r>
            <w:r w:rsidR="006379CF">
              <w:rPr>
                <w:rFonts w:cstheme="minorHAnsi"/>
              </w:rPr>
              <w:t xml:space="preserve"> in the crediting period</w:t>
            </w:r>
            <w:r w:rsidR="0094545C">
              <w:rPr>
                <w:rFonts w:cstheme="minorHAnsi"/>
              </w:rPr>
              <w:t xml:space="preserve"> reduced by the amount of emissions that would occur if that methane had been combusted</w:t>
            </w:r>
            <w:r w:rsidR="0059648A">
              <w:rPr>
                <w:rFonts w:cstheme="minorHAnsi"/>
              </w:rPr>
              <w:t>.</w:t>
            </w:r>
          </w:p>
        </w:tc>
      </w:tr>
    </w:tbl>
    <w:p w14:paraId="033906B5" w14:textId="77777777" w:rsidR="000B4988" w:rsidRDefault="000B4988" w:rsidP="00F14C1A">
      <w:pPr>
        <w:pStyle w:val="Heading3"/>
        <w:spacing w:after="200"/>
        <w:rPr>
          <w:lang w:val="en-GB"/>
        </w:rPr>
      </w:pPr>
    </w:p>
    <w:p w14:paraId="2FDC2EAB" w14:textId="7B26312A" w:rsidR="00F14C1A" w:rsidRPr="00C13BAE" w:rsidRDefault="00F14C1A" w:rsidP="00F14C1A">
      <w:pPr>
        <w:pStyle w:val="Heading3"/>
        <w:spacing w:after="200"/>
        <w:rPr>
          <w:lang w:val="en-GB"/>
        </w:rPr>
      </w:pPr>
      <w:bookmarkStart w:id="36" w:name="_Toc75442796"/>
      <w:r w:rsidRPr="00C13BAE">
        <w:rPr>
          <w:lang w:val="en-GB"/>
        </w:rPr>
        <w:t xml:space="preserve">Determination of CCS </w:t>
      </w:r>
      <w:r>
        <w:rPr>
          <w:lang w:val="en-GB"/>
        </w:rPr>
        <w:t>e</w:t>
      </w:r>
      <w:r w:rsidRPr="00C13BAE">
        <w:rPr>
          <w:lang w:val="en-GB"/>
        </w:rPr>
        <w:t>missions</w:t>
      </w:r>
      <w:r>
        <w:rPr>
          <w:lang w:val="en-GB"/>
        </w:rPr>
        <w:t xml:space="preserve"> (CCSE)</w:t>
      </w:r>
      <w:bookmarkEnd w:id="36"/>
    </w:p>
    <w:p w14:paraId="2CF72A44" w14:textId="7A358E30" w:rsidR="00F14C1A" w:rsidRPr="00CB04CF" w:rsidRDefault="00F14C1A" w:rsidP="00CB04CF">
      <w:pPr>
        <w:tabs>
          <w:tab w:val="left" w:pos="2840"/>
        </w:tabs>
        <w:jc w:val="both"/>
      </w:pPr>
      <w:r w:rsidRPr="00CB04CF">
        <w:t>This section defines the terms used when calculating the net abatement from your project: Capture Related Emissions</w:t>
      </w:r>
      <w:r w:rsidR="00AF78D2" w:rsidRPr="00CB04CF">
        <w:t>;</w:t>
      </w:r>
      <w:r w:rsidRPr="00CB04CF">
        <w:t xml:space="preserve"> </w:t>
      </w:r>
      <w:r w:rsidR="008836A3" w:rsidRPr="00CB04CF">
        <w:t>Processing, Compression and Transport</w:t>
      </w:r>
      <w:r w:rsidR="00AF78D2" w:rsidRPr="00CB04CF">
        <w:t>ation</w:t>
      </w:r>
      <w:r w:rsidRPr="00CB04CF">
        <w:t xml:space="preserve"> Emissions</w:t>
      </w:r>
      <w:r w:rsidR="00AF78D2" w:rsidRPr="00CB04CF">
        <w:t>;</w:t>
      </w:r>
      <w:r w:rsidRPr="00CB04CF">
        <w:t xml:space="preserve"> </w:t>
      </w:r>
      <w:r w:rsidR="00AF78D2" w:rsidRPr="00CB04CF">
        <w:t xml:space="preserve">Transportation and Injection Site Fugitive Emissions; </w:t>
      </w:r>
      <w:r w:rsidRPr="00CB04CF">
        <w:t>Storage Site Monitoring Emissions; Storage Site Fugitive Emissions</w:t>
      </w:r>
      <w:r w:rsidR="00CA1125">
        <w:t>;</w:t>
      </w:r>
      <w:r w:rsidR="00F66DC7">
        <w:t xml:space="preserve"> and Off-take Reduction</w:t>
      </w:r>
      <w:r w:rsidRPr="00CB04CF">
        <w:t xml:space="preserve">. </w:t>
      </w:r>
    </w:p>
    <w:p w14:paraId="211D4BDF" w14:textId="4F510D54" w:rsidR="00F14C1A" w:rsidRPr="00EB53AC" w:rsidRDefault="00F14C1A" w:rsidP="00F14C1A">
      <w:pPr>
        <w:pStyle w:val="Heading4"/>
        <w:spacing w:after="200"/>
        <w:rPr>
          <w:rFonts w:eastAsiaTheme="minorHAnsi"/>
          <w:lang w:val="en-GB"/>
        </w:rPr>
      </w:pPr>
      <w:r w:rsidRPr="00EB53AC">
        <w:rPr>
          <w:rFonts w:eastAsiaTheme="minorHAnsi"/>
          <w:lang w:val="en-GB"/>
        </w:rPr>
        <w:t xml:space="preserve">Capture </w:t>
      </w:r>
      <w:r w:rsidR="00D52883" w:rsidRPr="00EB53AC">
        <w:rPr>
          <w:rFonts w:eastAsiaTheme="minorHAnsi"/>
          <w:lang w:val="en-GB"/>
        </w:rPr>
        <w:t>r</w:t>
      </w:r>
      <w:r w:rsidRPr="0039450C">
        <w:rPr>
          <w:rFonts w:eastAsiaTheme="minorHAnsi"/>
          <w:lang w:val="en-GB"/>
        </w:rPr>
        <w:t>elated</w:t>
      </w:r>
      <w:r w:rsidR="00D52883" w:rsidRPr="00F96473">
        <w:rPr>
          <w:rFonts w:eastAsiaTheme="minorHAnsi"/>
          <w:lang w:val="en-GB"/>
        </w:rPr>
        <w:t xml:space="preserve"> e</w:t>
      </w:r>
      <w:r w:rsidRPr="00EB53AC">
        <w:rPr>
          <w:rFonts w:eastAsiaTheme="minorHAnsi"/>
          <w:lang w:val="en-GB"/>
        </w:rPr>
        <w:t xml:space="preserve">missions </w:t>
      </w:r>
    </w:p>
    <w:p w14:paraId="7BF46354" w14:textId="368665F4" w:rsidR="00F14C1A" w:rsidRPr="00CB04CF" w:rsidRDefault="00F14C1A" w:rsidP="00CB04CF">
      <w:pPr>
        <w:tabs>
          <w:tab w:val="left" w:pos="2840"/>
        </w:tabs>
        <w:jc w:val="both"/>
      </w:pPr>
      <w:r w:rsidRPr="00CB04CF">
        <w:t xml:space="preserve">Capture related emissions refers to the emissions </w:t>
      </w:r>
      <w:r w:rsidR="00822D3F" w:rsidRPr="00CB04CF">
        <w:t xml:space="preserve">associated with the capture of the greenhouse gases </w:t>
      </w:r>
      <w:r w:rsidRPr="00CB04CF">
        <w:t xml:space="preserve">at the capture </w:t>
      </w:r>
      <w:r w:rsidR="00AF78D2" w:rsidRPr="00CB04CF">
        <w:t>points</w:t>
      </w:r>
      <w:r w:rsidRPr="00CB04CF">
        <w:t xml:space="preserve">. </w:t>
      </w:r>
    </w:p>
    <w:p w14:paraId="69938BFE" w14:textId="03F38A11" w:rsidR="00F14C1A" w:rsidRPr="00CB04CF" w:rsidRDefault="00F14C1A" w:rsidP="00CB04CF">
      <w:pPr>
        <w:tabs>
          <w:tab w:val="left" w:pos="2840"/>
        </w:tabs>
        <w:jc w:val="both"/>
      </w:pPr>
      <w:r w:rsidRPr="00CB04CF">
        <w:t xml:space="preserve">For </w:t>
      </w:r>
      <w:r w:rsidR="00AF78D2" w:rsidRPr="00CB04CF">
        <w:t>capture points</w:t>
      </w:r>
      <w:r w:rsidRPr="00CB04CF">
        <w:t xml:space="preserve"> where the capture of </w:t>
      </w:r>
      <w:r w:rsidRPr="002C28B2">
        <w:t>greenhouse gases</w:t>
      </w:r>
      <w:r w:rsidRPr="00CB04CF">
        <w:t xml:space="preserve"> would have been</w:t>
      </w:r>
      <w:r w:rsidR="008836A3" w:rsidRPr="00CB04CF">
        <w:t xml:space="preserve"> required and</w:t>
      </w:r>
      <w:r w:rsidRPr="00CB04CF">
        <w:t xml:space="preserve"> undertaken routinely without a CCS project, such as when carbon dioxide is removed during natural gas processing operations, the emissions associated with that activity are not considered capture related emission</w:t>
      </w:r>
      <w:r w:rsidR="008836A3" w:rsidRPr="00CB04CF">
        <w:t>s.</w:t>
      </w:r>
      <w:r w:rsidRPr="00CB04CF">
        <w:t xml:space="preserve"> </w:t>
      </w:r>
    </w:p>
    <w:p w14:paraId="5C6E807D" w14:textId="00488604" w:rsidR="00F14C1A" w:rsidRPr="00CB04CF" w:rsidRDefault="00F14C1A" w:rsidP="00CB04CF">
      <w:pPr>
        <w:tabs>
          <w:tab w:val="left" w:pos="2840"/>
        </w:tabs>
        <w:jc w:val="both"/>
      </w:pPr>
      <w:r w:rsidRPr="00CB04CF">
        <w:t xml:space="preserve">For facilities such as electricity generators </w:t>
      </w:r>
      <w:r w:rsidR="00690965" w:rsidRPr="00CB04CF">
        <w:t>where</w:t>
      </w:r>
      <w:r w:rsidRPr="00CB04CF">
        <w:t xml:space="preserve"> capture is not undertaken routinely</w:t>
      </w:r>
      <w:r w:rsidR="00690965" w:rsidRPr="00CB04CF">
        <w:t>, the</w:t>
      </w:r>
      <w:r w:rsidRPr="00CB04CF">
        <w:t xml:space="preserve"> emissions associated with the </w:t>
      </w:r>
      <w:r w:rsidR="00690965" w:rsidRPr="00CB04CF">
        <w:t xml:space="preserve">energy used required for the </w:t>
      </w:r>
      <w:r w:rsidRPr="00CB04CF">
        <w:t>capture process must be included in the capture related emissions.</w:t>
      </w:r>
    </w:p>
    <w:p w14:paraId="4F938B88" w14:textId="3832AE2E" w:rsidR="00F14C1A" w:rsidRPr="00CB04CF" w:rsidRDefault="00F14C1A" w:rsidP="00CB04CF">
      <w:pPr>
        <w:tabs>
          <w:tab w:val="left" w:pos="2840"/>
        </w:tabs>
        <w:jc w:val="both"/>
      </w:pPr>
      <w:r w:rsidRPr="00CB04CF">
        <w:t xml:space="preserve">The capture related emissions must be included in the abatement calculation </w:t>
      </w:r>
      <w:r w:rsidR="00581FFF" w:rsidRPr="00CB04CF">
        <w:t xml:space="preserve">regardless of </w:t>
      </w:r>
      <w:r w:rsidRPr="00CB04CF">
        <w:t xml:space="preserve">whether the additional emissions are also captured and injected into the storage site. </w:t>
      </w:r>
    </w:p>
    <w:p w14:paraId="018EEB91" w14:textId="6BA2BB14" w:rsidR="003D3779" w:rsidRPr="00CB04CF" w:rsidRDefault="003D3779" w:rsidP="00CB04CF">
      <w:pPr>
        <w:tabs>
          <w:tab w:val="left" w:pos="2840"/>
        </w:tabs>
        <w:jc w:val="both"/>
      </w:pPr>
      <w:r w:rsidRPr="00CB04CF">
        <w:t>In some situations</w:t>
      </w:r>
      <w:r w:rsidR="00FB30E2" w:rsidRPr="00CB04CF">
        <w:t>,</w:t>
      </w:r>
      <w:r w:rsidRPr="00CB04CF">
        <w:t xml:space="preserve"> a single energy source will provide useful energy to both the capture equipment and a productive activity and emissions associated with this energy source will need to be apportioned between the two uses.   </w:t>
      </w:r>
    </w:p>
    <w:p w14:paraId="6A5CB06D" w14:textId="7AB70C70" w:rsidR="00F14C1A" w:rsidRPr="00CB04CF" w:rsidRDefault="00F14C1A" w:rsidP="00CB04CF">
      <w:pPr>
        <w:tabs>
          <w:tab w:val="left" w:pos="2840"/>
        </w:tabs>
        <w:jc w:val="both"/>
      </w:pPr>
      <w:r w:rsidRPr="00CB04CF">
        <w:t xml:space="preserve">The methodology used to calculate the capture related emissions </w:t>
      </w:r>
      <w:r w:rsidR="003D3779" w:rsidRPr="00CB04CF">
        <w:t xml:space="preserve">must be included in each offsets report and </w:t>
      </w:r>
      <w:r w:rsidRPr="00CB04CF">
        <w:t xml:space="preserve">will be within the scope of each audit. </w:t>
      </w:r>
    </w:p>
    <w:p w14:paraId="00E94581" w14:textId="53065FB3" w:rsidR="00F14C1A" w:rsidRPr="00905C98" w:rsidRDefault="000940DC" w:rsidP="00F14C1A">
      <w:pPr>
        <w:pStyle w:val="Heading3"/>
        <w:spacing w:after="200"/>
        <w:rPr>
          <w:rFonts w:eastAsiaTheme="minorHAnsi"/>
          <w:lang w:val="en-GB"/>
        </w:rPr>
      </w:pPr>
      <w:bookmarkStart w:id="37" w:name="_Toc75442797"/>
      <w:r>
        <w:rPr>
          <w:rFonts w:eastAsiaTheme="minorHAnsi"/>
          <w:lang w:val="en-GB"/>
        </w:rPr>
        <w:t>Processing, compression and transportation</w:t>
      </w:r>
      <w:r w:rsidR="00F14C1A">
        <w:rPr>
          <w:rFonts w:eastAsiaTheme="minorHAnsi"/>
          <w:lang w:val="en-GB"/>
        </w:rPr>
        <w:t xml:space="preserve"> emissions</w:t>
      </w:r>
      <w:bookmarkEnd w:id="37"/>
    </w:p>
    <w:p w14:paraId="101C1BAA" w14:textId="3692423A" w:rsidR="00F14C1A" w:rsidRPr="00CB04CF" w:rsidRDefault="000940DC" w:rsidP="00CB04CF">
      <w:pPr>
        <w:tabs>
          <w:tab w:val="left" w:pos="2840"/>
        </w:tabs>
        <w:jc w:val="both"/>
      </w:pPr>
      <w:r w:rsidRPr="00CB04CF">
        <w:t>Processing, compression and transportation</w:t>
      </w:r>
      <w:r w:rsidR="00F14C1A" w:rsidRPr="00CB04CF">
        <w:t xml:space="preserve"> emissions refers to emissions from:</w:t>
      </w:r>
    </w:p>
    <w:p w14:paraId="215E0C46" w14:textId="7548AE59" w:rsidR="00F14C1A" w:rsidRDefault="00F14C1A" w:rsidP="004A2B6C">
      <w:pPr>
        <w:pStyle w:val="ListParagraph"/>
        <w:numPr>
          <w:ilvl w:val="0"/>
          <w:numId w:val="21"/>
        </w:numPr>
        <w:tabs>
          <w:tab w:val="left" w:pos="2840"/>
        </w:tabs>
        <w:jc w:val="both"/>
      </w:pPr>
      <w:r w:rsidRPr="00CB04CF">
        <w:t>any processing or compression of the greenhouse gas</w:t>
      </w:r>
      <w:r w:rsidR="000940DC" w:rsidRPr="00CB04CF">
        <w:t>es</w:t>
      </w:r>
      <w:r w:rsidRPr="00CB04CF">
        <w:t xml:space="preserve"> </w:t>
      </w:r>
      <w:r w:rsidR="000940DC" w:rsidRPr="00CB04CF">
        <w:t xml:space="preserve">after </w:t>
      </w:r>
      <w:r w:rsidR="00A0235B" w:rsidRPr="00CB04CF">
        <w:t>they are</w:t>
      </w:r>
      <w:r w:rsidR="000940DC" w:rsidRPr="00CB04CF">
        <w:t xml:space="preserve"> captured</w:t>
      </w:r>
      <w:r w:rsidRPr="00CB04CF">
        <w:t>, and</w:t>
      </w:r>
    </w:p>
    <w:p w14:paraId="2EAD5114" w14:textId="6904DF60" w:rsidR="008633DE" w:rsidRPr="00CB04CF" w:rsidRDefault="008633DE" w:rsidP="00CB04CF">
      <w:pPr>
        <w:pStyle w:val="ListParagraph"/>
        <w:numPr>
          <w:ilvl w:val="0"/>
          <w:numId w:val="21"/>
        </w:numPr>
        <w:tabs>
          <w:tab w:val="left" w:pos="2840"/>
        </w:tabs>
        <w:jc w:val="both"/>
      </w:pPr>
      <w:r w:rsidRPr="00CB04CF">
        <w:t>the transport of the captured greenhouse gas stream</w:t>
      </w:r>
      <w:r w:rsidR="00581FFF" w:rsidRPr="00CB04CF">
        <w:t>, for example,</w:t>
      </w:r>
      <w:r w:rsidRPr="00CB04CF">
        <w:t xml:space="preserve"> if the captured gas is transported via road, rail, or ship.</w:t>
      </w:r>
    </w:p>
    <w:p w14:paraId="38FEAA87" w14:textId="18078A9A" w:rsidR="000940DC" w:rsidRPr="00CB04CF" w:rsidRDefault="00AF78D2" w:rsidP="00CB04CF">
      <w:pPr>
        <w:tabs>
          <w:tab w:val="left" w:pos="2840"/>
        </w:tabs>
        <w:spacing w:before="240"/>
        <w:jc w:val="both"/>
      </w:pPr>
      <w:bookmarkStart w:id="38" w:name="_Hlk70612057"/>
      <w:r w:rsidRPr="00CB04CF">
        <w:t>P</w:t>
      </w:r>
      <w:r w:rsidR="00D41615" w:rsidRPr="00CB04CF">
        <w:t>rocessing, compression</w:t>
      </w:r>
      <w:r w:rsidR="00581FFF" w:rsidRPr="00CB04CF">
        <w:t>,</w:t>
      </w:r>
      <w:r w:rsidR="00D41615" w:rsidRPr="00CB04CF">
        <w:t xml:space="preserve"> and </w:t>
      </w:r>
      <w:r w:rsidR="000940DC" w:rsidRPr="00CB04CF">
        <w:t xml:space="preserve">transportation emissions do not include fugitive emissions that occur via pipelines and other equipment </w:t>
      </w:r>
      <w:r w:rsidR="00FD03EA" w:rsidRPr="00CB04CF">
        <w:t>when</w:t>
      </w:r>
      <w:r w:rsidR="000940DC" w:rsidRPr="00CB04CF">
        <w:t xml:space="preserve"> the greenhouse </w:t>
      </w:r>
      <w:r w:rsidR="00A0235B" w:rsidRPr="00CB04CF">
        <w:t>g</w:t>
      </w:r>
      <w:r w:rsidR="000940DC" w:rsidRPr="00CB04CF">
        <w:t>ases are transported to the storage site.</w:t>
      </w:r>
      <w:r w:rsidR="006D6593" w:rsidRPr="00CB04CF">
        <w:t xml:space="preserve"> The</w:t>
      </w:r>
      <w:r w:rsidR="00C41D40" w:rsidRPr="00CB04CF">
        <w:t>se are included in the transportation and injection site fugitive emissions</w:t>
      </w:r>
      <w:r w:rsidR="004600BF" w:rsidRPr="00CB04CF">
        <w:t>.</w:t>
      </w:r>
      <w:r w:rsidR="006D6593" w:rsidRPr="00CB04CF">
        <w:t xml:space="preserve"> </w:t>
      </w:r>
    </w:p>
    <w:bookmarkEnd w:id="38"/>
    <w:p w14:paraId="7931A4BB" w14:textId="65C3CD77" w:rsidR="00F14C1A" w:rsidRPr="00CB04CF" w:rsidRDefault="00F14C1A" w:rsidP="00CB04CF">
      <w:pPr>
        <w:tabs>
          <w:tab w:val="left" w:pos="2840"/>
        </w:tabs>
        <w:jc w:val="both"/>
      </w:pPr>
      <w:r w:rsidRPr="00CB04CF">
        <w:t>Where there is more than one project sharing</w:t>
      </w:r>
      <w:r w:rsidR="00066245" w:rsidRPr="00CB04CF">
        <w:t xml:space="preserve"> processing</w:t>
      </w:r>
      <w:r w:rsidR="00A00E41">
        <w:t>,</w:t>
      </w:r>
      <w:r w:rsidR="00066245" w:rsidRPr="00CB04CF">
        <w:t xml:space="preserve"> compression </w:t>
      </w:r>
      <w:r w:rsidR="00A00E41">
        <w:t xml:space="preserve">or transportation </w:t>
      </w:r>
      <w:r w:rsidR="00066245" w:rsidRPr="00CB04CF">
        <w:t>infrastruct</w:t>
      </w:r>
      <w:r w:rsidR="000E260D" w:rsidRPr="00CB04CF">
        <w:t>ure</w:t>
      </w:r>
      <w:r w:rsidR="002E5805" w:rsidRPr="00CB04CF">
        <w:t>,</w:t>
      </w:r>
      <w:r w:rsidR="00737450" w:rsidRPr="00CB04CF">
        <w:t xml:space="preserve"> </w:t>
      </w:r>
      <w:r w:rsidR="00EB53AC" w:rsidRPr="00CB04CF">
        <w:t>associated</w:t>
      </w:r>
      <w:r w:rsidR="00066245" w:rsidRPr="00CB04CF">
        <w:t xml:space="preserve"> emissions</w:t>
      </w:r>
      <w:r w:rsidRPr="00CB04CF">
        <w:t xml:space="preserve"> will need to be apportioned between projects</w:t>
      </w:r>
      <w:r w:rsidR="001B1E80">
        <w:t xml:space="preserve"> on a pro rata basis</w:t>
      </w:r>
      <w:r w:rsidRPr="00CB04CF">
        <w:t>.</w:t>
      </w:r>
      <w:bookmarkStart w:id="39" w:name="_Hlk70612144"/>
    </w:p>
    <w:p w14:paraId="0491F44D" w14:textId="5231B5F8" w:rsidR="00E72456" w:rsidRPr="00BA3C66" w:rsidRDefault="00E72456" w:rsidP="00FD5DB7">
      <w:pPr>
        <w:pStyle w:val="Heading3"/>
        <w:spacing w:after="200"/>
        <w:rPr>
          <w:rFonts w:eastAsiaTheme="minorHAnsi"/>
          <w:lang w:val="en-GB"/>
        </w:rPr>
      </w:pPr>
      <w:bookmarkStart w:id="40" w:name="_Toc75442798"/>
      <w:bookmarkEnd w:id="39"/>
      <w:r>
        <w:rPr>
          <w:rFonts w:eastAsiaTheme="minorHAnsi"/>
          <w:lang w:val="en-GB"/>
        </w:rPr>
        <w:t>Transport</w:t>
      </w:r>
      <w:r w:rsidR="00C41D40">
        <w:rPr>
          <w:rFonts w:eastAsiaTheme="minorHAnsi"/>
          <w:lang w:val="en-GB"/>
        </w:rPr>
        <w:t>ation</w:t>
      </w:r>
      <w:r>
        <w:rPr>
          <w:rFonts w:eastAsiaTheme="minorHAnsi"/>
          <w:lang w:val="en-GB"/>
        </w:rPr>
        <w:t xml:space="preserve"> and injection site fugitive e</w:t>
      </w:r>
      <w:r w:rsidRPr="00BA3C66">
        <w:rPr>
          <w:rFonts w:eastAsiaTheme="minorHAnsi"/>
          <w:lang w:val="en-GB"/>
        </w:rPr>
        <w:t>missions</w:t>
      </w:r>
      <w:bookmarkEnd w:id="40"/>
      <w:r w:rsidRPr="00BA3C66">
        <w:rPr>
          <w:rFonts w:eastAsiaTheme="minorHAnsi"/>
          <w:lang w:val="en-GB"/>
        </w:rPr>
        <w:t xml:space="preserve"> </w:t>
      </w:r>
    </w:p>
    <w:p w14:paraId="6E55E1F9" w14:textId="7086083A" w:rsidR="00E72456" w:rsidRPr="00FD5DB7" w:rsidRDefault="003F61FF" w:rsidP="00E72456">
      <w:pPr>
        <w:jc w:val="both"/>
        <w:rPr>
          <w:rFonts w:asciiTheme="minorHAnsi" w:eastAsiaTheme="minorEastAsia" w:hAnsiTheme="minorHAnsi" w:cstheme="minorBidi"/>
          <w:color w:val="auto"/>
          <w:lang w:val="en-GB"/>
        </w:rPr>
      </w:pPr>
      <w:r>
        <w:rPr>
          <w:rFonts w:asciiTheme="minorHAnsi" w:eastAsiaTheme="minorEastAsia" w:hAnsiTheme="minorHAnsi" w:cstheme="minorBidi"/>
          <w:color w:val="auto"/>
          <w:lang w:val="en-GB"/>
        </w:rPr>
        <w:t xml:space="preserve">The </w:t>
      </w:r>
      <w:r w:rsidR="002E5805">
        <w:rPr>
          <w:rFonts w:asciiTheme="minorHAnsi" w:eastAsiaTheme="minorEastAsia" w:hAnsiTheme="minorHAnsi" w:cstheme="minorBidi"/>
          <w:color w:val="auto"/>
          <w:lang w:val="en-GB"/>
        </w:rPr>
        <w:t>abatement calculations</w:t>
      </w:r>
      <w:r>
        <w:rPr>
          <w:rFonts w:asciiTheme="minorHAnsi" w:eastAsiaTheme="minorEastAsia" w:hAnsiTheme="minorHAnsi" w:cstheme="minorBidi"/>
          <w:color w:val="auto"/>
          <w:lang w:val="en-GB"/>
        </w:rPr>
        <w:t xml:space="preserve"> must account for</w:t>
      </w:r>
      <w:r w:rsidR="002E5805">
        <w:rPr>
          <w:rFonts w:asciiTheme="minorHAnsi" w:eastAsiaTheme="minorEastAsia" w:hAnsiTheme="minorHAnsi" w:cstheme="minorBidi"/>
          <w:color w:val="auto"/>
          <w:lang w:val="en-GB"/>
        </w:rPr>
        <w:t xml:space="preserve"> </w:t>
      </w:r>
      <w:r w:rsidR="00E72456">
        <w:rPr>
          <w:rFonts w:asciiTheme="minorHAnsi" w:eastAsiaTheme="minorEastAsia" w:hAnsiTheme="minorHAnsi" w:cstheme="minorBidi"/>
          <w:color w:val="auto"/>
          <w:lang w:val="en-GB"/>
        </w:rPr>
        <w:t>fugitive</w:t>
      </w:r>
      <w:r w:rsidR="00E72456" w:rsidRPr="20F7574B">
        <w:rPr>
          <w:rFonts w:asciiTheme="minorHAnsi" w:eastAsiaTheme="minorEastAsia" w:hAnsiTheme="minorHAnsi" w:cstheme="minorBidi"/>
          <w:color w:val="auto"/>
          <w:lang w:val="en-GB"/>
        </w:rPr>
        <w:t xml:space="preserve"> </w:t>
      </w:r>
      <w:r w:rsidR="00E72456">
        <w:rPr>
          <w:rFonts w:asciiTheme="minorHAnsi" w:eastAsiaTheme="minorEastAsia" w:hAnsiTheme="minorHAnsi" w:cstheme="minorBidi"/>
          <w:color w:val="auto"/>
          <w:lang w:val="en-GB"/>
        </w:rPr>
        <w:t xml:space="preserve">emissions </w:t>
      </w:r>
      <w:r w:rsidR="008D1877">
        <w:rPr>
          <w:rFonts w:asciiTheme="minorHAnsi" w:eastAsiaTheme="minorEastAsia" w:hAnsiTheme="minorHAnsi" w:cstheme="minorBidi"/>
          <w:color w:val="auto"/>
          <w:lang w:val="en-GB"/>
        </w:rPr>
        <w:t>that occur during</w:t>
      </w:r>
      <w:r w:rsidR="00E72456">
        <w:rPr>
          <w:rFonts w:asciiTheme="minorHAnsi" w:eastAsiaTheme="minorEastAsia" w:hAnsiTheme="minorHAnsi" w:cstheme="minorBidi"/>
          <w:color w:val="auto"/>
          <w:lang w:val="en-GB"/>
        </w:rPr>
        <w:t xml:space="preserve"> transportation </w:t>
      </w:r>
      <w:r w:rsidR="00FD5DB7">
        <w:rPr>
          <w:rFonts w:asciiTheme="minorHAnsi" w:eastAsiaTheme="minorEastAsia" w:hAnsiTheme="minorHAnsi" w:cstheme="minorBidi"/>
          <w:color w:val="auto"/>
          <w:lang w:val="en-GB"/>
        </w:rPr>
        <w:t xml:space="preserve">of the greenhouse gases to the injection site from pipelines, </w:t>
      </w:r>
      <w:r w:rsidR="00E72456">
        <w:rPr>
          <w:rFonts w:asciiTheme="minorHAnsi" w:eastAsiaTheme="minorEastAsia" w:hAnsiTheme="minorHAnsi" w:cstheme="minorBidi"/>
          <w:color w:val="auto"/>
          <w:lang w:val="en-GB"/>
        </w:rPr>
        <w:t>and at the injection site</w:t>
      </w:r>
      <w:r w:rsidR="00FD5DB7">
        <w:rPr>
          <w:rFonts w:asciiTheme="minorHAnsi" w:eastAsiaTheme="minorEastAsia" w:hAnsiTheme="minorHAnsi" w:cstheme="minorBidi"/>
          <w:color w:val="auto"/>
          <w:lang w:val="en-GB"/>
        </w:rPr>
        <w:t>, for example due to venting or equipment</w:t>
      </w:r>
      <w:r>
        <w:rPr>
          <w:rFonts w:asciiTheme="minorHAnsi" w:eastAsiaTheme="minorEastAsia" w:hAnsiTheme="minorHAnsi" w:cstheme="minorBidi"/>
          <w:color w:val="auto"/>
          <w:lang w:val="en-GB"/>
        </w:rPr>
        <w:t xml:space="preserve"> leakage</w:t>
      </w:r>
      <w:r w:rsidR="00E72456">
        <w:rPr>
          <w:rFonts w:asciiTheme="minorHAnsi" w:eastAsiaTheme="minorEastAsia" w:hAnsiTheme="minorHAnsi" w:cstheme="minorBidi"/>
          <w:color w:val="auto"/>
          <w:lang w:val="en-GB"/>
        </w:rPr>
        <w:t xml:space="preserve">. </w:t>
      </w:r>
    </w:p>
    <w:p w14:paraId="3C40E44B" w14:textId="187B4120" w:rsidR="00E72456" w:rsidRDefault="00E72456" w:rsidP="00FD5DB7">
      <w:pPr>
        <w:jc w:val="both"/>
        <w:rPr>
          <w:rFonts w:asciiTheme="minorHAnsi" w:eastAsiaTheme="minorEastAsia" w:hAnsiTheme="minorHAnsi" w:cstheme="minorBidi"/>
          <w:color w:val="auto"/>
          <w:lang w:val="en-GB"/>
        </w:rPr>
      </w:pPr>
      <w:r>
        <w:rPr>
          <w:rFonts w:asciiTheme="minorHAnsi" w:eastAsiaTheme="minorEastAsia" w:hAnsiTheme="minorHAnsi" w:cstheme="minorBidi"/>
          <w:color w:val="auto"/>
          <w:lang w:val="en-GB"/>
        </w:rPr>
        <w:lastRenderedPageBreak/>
        <w:t>Where there is more than one project sharing a pipeline</w:t>
      </w:r>
      <w:r w:rsidR="004D17F9">
        <w:rPr>
          <w:rFonts w:asciiTheme="minorHAnsi" w:eastAsiaTheme="minorEastAsia" w:hAnsiTheme="minorHAnsi" w:cstheme="minorBidi"/>
          <w:color w:val="auto"/>
          <w:lang w:val="en-GB"/>
        </w:rPr>
        <w:t>,</w:t>
      </w:r>
      <w:r>
        <w:rPr>
          <w:rFonts w:asciiTheme="minorHAnsi" w:eastAsiaTheme="minorEastAsia" w:hAnsiTheme="minorHAnsi" w:cstheme="minorBidi"/>
          <w:color w:val="auto"/>
          <w:lang w:val="en-GB"/>
        </w:rPr>
        <w:t xml:space="preserve"> </w:t>
      </w:r>
      <w:r w:rsidR="006D1A11">
        <w:rPr>
          <w:rFonts w:asciiTheme="minorHAnsi" w:eastAsiaTheme="minorEastAsia" w:hAnsiTheme="minorHAnsi" w:cstheme="minorBidi"/>
          <w:color w:val="auto"/>
          <w:lang w:val="en-GB"/>
        </w:rPr>
        <w:t>transport and injection site</w:t>
      </w:r>
      <w:r w:rsidR="003F61FF">
        <w:rPr>
          <w:rFonts w:asciiTheme="minorHAnsi" w:eastAsiaTheme="minorEastAsia" w:hAnsiTheme="minorHAnsi" w:cstheme="minorBidi"/>
          <w:color w:val="auto"/>
          <w:lang w:val="en-GB"/>
        </w:rPr>
        <w:t>,</w:t>
      </w:r>
      <w:r>
        <w:rPr>
          <w:rFonts w:asciiTheme="minorHAnsi" w:eastAsiaTheme="minorEastAsia" w:hAnsiTheme="minorHAnsi" w:cstheme="minorBidi"/>
          <w:color w:val="auto"/>
          <w:lang w:val="en-GB"/>
        </w:rPr>
        <w:t xml:space="preserve"> fugitive emissions will need to be apportioned between </w:t>
      </w:r>
      <w:r w:rsidR="00FD5DB7">
        <w:rPr>
          <w:rFonts w:asciiTheme="minorHAnsi" w:eastAsiaTheme="minorEastAsia" w:hAnsiTheme="minorHAnsi" w:cstheme="minorBidi"/>
          <w:color w:val="auto"/>
          <w:lang w:val="en-GB"/>
        </w:rPr>
        <w:t xml:space="preserve">the </w:t>
      </w:r>
      <w:r>
        <w:rPr>
          <w:rFonts w:asciiTheme="minorHAnsi" w:eastAsiaTheme="minorEastAsia" w:hAnsiTheme="minorHAnsi" w:cstheme="minorBidi"/>
          <w:color w:val="auto"/>
          <w:lang w:val="en-GB"/>
        </w:rPr>
        <w:t xml:space="preserve">projects. The apportionment will be based on the </w:t>
      </w:r>
      <w:r w:rsidR="0003191C">
        <w:rPr>
          <w:rFonts w:asciiTheme="minorHAnsi" w:eastAsiaTheme="minorEastAsia" w:hAnsiTheme="minorHAnsi" w:cstheme="minorBidi"/>
          <w:color w:val="auto"/>
          <w:lang w:val="en-GB"/>
        </w:rPr>
        <w:t>amount</w:t>
      </w:r>
      <w:r w:rsidR="00D1670A">
        <w:rPr>
          <w:rFonts w:asciiTheme="minorHAnsi" w:eastAsiaTheme="minorEastAsia" w:hAnsiTheme="minorHAnsi" w:cstheme="minorBidi"/>
          <w:color w:val="auto"/>
          <w:lang w:val="en-GB"/>
        </w:rPr>
        <w:t xml:space="preserve"> of </w:t>
      </w:r>
      <w:r>
        <w:rPr>
          <w:rFonts w:asciiTheme="minorHAnsi" w:eastAsiaTheme="minorEastAsia" w:hAnsiTheme="minorHAnsi" w:cstheme="minorBidi"/>
          <w:color w:val="auto"/>
          <w:lang w:val="en-GB"/>
        </w:rPr>
        <w:t xml:space="preserve">measured </w:t>
      </w:r>
      <w:r w:rsidR="004D17F9">
        <w:rPr>
          <w:rFonts w:asciiTheme="minorHAnsi" w:eastAsiaTheme="minorEastAsia" w:hAnsiTheme="minorHAnsi" w:cstheme="minorBidi"/>
          <w:color w:val="auto"/>
          <w:lang w:val="en-GB"/>
        </w:rPr>
        <w:t xml:space="preserve">emissions </w:t>
      </w:r>
      <w:r>
        <w:rPr>
          <w:rFonts w:asciiTheme="minorHAnsi" w:eastAsiaTheme="minorEastAsia" w:hAnsiTheme="minorHAnsi" w:cstheme="minorBidi"/>
          <w:color w:val="auto"/>
          <w:lang w:val="en-GB"/>
        </w:rPr>
        <w:t>contributed by each project</w:t>
      </w:r>
      <w:r w:rsidR="0039450C">
        <w:rPr>
          <w:rFonts w:asciiTheme="minorHAnsi" w:eastAsiaTheme="minorEastAsia" w:hAnsiTheme="minorHAnsi" w:cstheme="minorBidi"/>
          <w:color w:val="auto"/>
          <w:lang w:val="en-GB"/>
        </w:rPr>
        <w:t xml:space="preserve"> during the reporting period</w:t>
      </w:r>
      <w:r>
        <w:rPr>
          <w:rFonts w:asciiTheme="minorHAnsi" w:eastAsiaTheme="minorEastAsia" w:hAnsiTheme="minorHAnsi" w:cstheme="minorBidi"/>
          <w:color w:val="auto"/>
          <w:lang w:val="en-GB"/>
        </w:rPr>
        <w:t>.</w:t>
      </w:r>
    </w:p>
    <w:p w14:paraId="38C17FCF" w14:textId="391341D4" w:rsidR="00F14C1A" w:rsidRPr="00F2168E" w:rsidRDefault="00F14C1A" w:rsidP="00F14C1A">
      <w:pPr>
        <w:pStyle w:val="Heading3"/>
        <w:spacing w:after="200"/>
        <w:rPr>
          <w:rFonts w:eastAsiaTheme="minorEastAsia"/>
          <w:lang w:val="en-GB"/>
        </w:rPr>
      </w:pPr>
      <w:bookmarkStart w:id="41" w:name="_Toc75442799"/>
      <w:r w:rsidRPr="20F7574B">
        <w:rPr>
          <w:rFonts w:eastAsiaTheme="minorEastAsia"/>
          <w:lang w:val="en-GB"/>
        </w:rPr>
        <w:t xml:space="preserve">Storage </w:t>
      </w:r>
      <w:r w:rsidR="000148CB">
        <w:rPr>
          <w:rFonts w:eastAsiaTheme="minorEastAsia"/>
          <w:lang w:val="en-GB"/>
        </w:rPr>
        <w:t>s</w:t>
      </w:r>
      <w:r w:rsidRPr="20F7574B">
        <w:rPr>
          <w:rFonts w:eastAsiaTheme="minorEastAsia"/>
          <w:lang w:val="en-GB"/>
        </w:rPr>
        <w:t xml:space="preserve">ite </w:t>
      </w:r>
      <w:r w:rsidR="000148CB">
        <w:rPr>
          <w:rFonts w:eastAsiaTheme="minorEastAsia"/>
          <w:lang w:val="en-GB"/>
        </w:rPr>
        <w:t>m</w:t>
      </w:r>
      <w:r w:rsidRPr="20F7574B">
        <w:rPr>
          <w:rFonts w:eastAsiaTheme="minorEastAsia"/>
          <w:lang w:val="en-GB"/>
        </w:rPr>
        <w:t>onitoring</w:t>
      </w:r>
      <w:r>
        <w:rPr>
          <w:rFonts w:eastAsiaTheme="minorEastAsia"/>
          <w:lang w:val="en-GB"/>
        </w:rPr>
        <w:t xml:space="preserve"> </w:t>
      </w:r>
      <w:r w:rsidR="000148CB">
        <w:rPr>
          <w:rFonts w:eastAsiaTheme="minorEastAsia"/>
          <w:lang w:val="en-GB"/>
        </w:rPr>
        <w:t>e</w:t>
      </w:r>
      <w:r>
        <w:rPr>
          <w:rFonts w:eastAsiaTheme="minorEastAsia"/>
          <w:lang w:val="en-GB"/>
        </w:rPr>
        <w:t>missions</w:t>
      </w:r>
      <w:bookmarkEnd w:id="41"/>
    </w:p>
    <w:p w14:paraId="7251099B" w14:textId="7A9BB1F6" w:rsidR="00F14C1A" w:rsidRPr="003C28A8" w:rsidRDefault="00F14C1A" w:rsidP="00F14C1A">
      <w:pPr>
        <w:jc w:val="both"/>
        <w:rPr>
          <w:rFonts w:asciiTheme="minorHAnsi" w:eastAsiaTheme="minorHAnsi" w:hAnsiTheme="minorHAnsi" w:cstheme="minorBidi"/>
          <w:color w:val="000000" w:themeColor="text1"/>
          <w:szCs w:val="22"/>
          <w:lang w:val="en-GB"/>
        </w:rPr>
      </w:pPr>
      <w:r>
        <w:rPr>
          <w:rFonts w:asciiTheme="minorHAnsi" w:eastAsiaTheme="minorHAnsi" w:hAnsiTheme="minorHAnsi" w:cstheme="minorBidi"/>
          <w:color w:val="000000" w:themeColor="text1"/>
          <w:szCs w:val="22"/>
          <w:lang w:val="en-GB"/>
        </w:rPr>
        <w:t>Project proponents</w:t>
      </w:r>
      <w:r w:rsidRPr="00F2168E">
        <w:rPr>
          <w:rFonts w:asciiTheme="minorHAnsi" w:eastAsiaTheme="minorHAnsi" w:hAnsiTheme="minorHAnsi" w:cstheme="minorBidi"/>
          <w:color w:val="000000" w:themeColor="text1"/>
          <w:szCs w:val="22"/>
          <w:lang w:val="en-GB"/>
        </w:rPr>
        <w:t xml:space="preserve"> will </w:t>
      </w:r>
      <w:r>
        <w:rPr>
          <w:rFonts w:asciiTheme="minorHAnsi" w:eastAsiaTheme="minorHAnsi" w:hAnsiTheme="minorHAnsi" w:cstheme="minorBidi"/>
          <w:color w:val="000000" w:themeColor="text1"/>
          <w:szCs w:val="22"/>
          <w:lang w:val="en-GB"/>
        </w:rPr>
        <w:t xml:space="preserve">be required to </w:t>
      </w:r>
      <w:r w:rsidRPr="00F2168E">
        <w:rPr>
          <w:rFonts w:asciiTheme="minorHAnsi" w:eastAsiaTheme="minorHAnsi" w:hAnsiTheme="minorHAnsi" w:cstheme="minorBidi"/>
          <w:color w:val="000000" w:themeColor="text1"/>
          <w:szCs w:val="22"/>
          <w:lang w:val="en-GB"/>
        </w:rPr>
        <w:t xml:space="preserve">undertake a range of monitoring and verification activities </w:t>
      </w:r>
      <w:r>
        <w:rPr>
          <w:rFonts w:asciiTheme="minorHAnsi" w:eastAsiaTheme="minorHAnsi" w:hAnsiTheme="minorHAnsi" w:cstheme="minorBidi"/>
          <w:color w:val="000000" w:themeColor="text1"/>
          <w:szCs w:val="22"/>
          <w:lang w:val="en-GB"/>
        </w:rPr>
        <w:t>t</w:t>
      </w:r>
      <w:r w:rsidRPr="00F2168E">
        <w:rPr>
          <w:rFonts w:asciiTheme="minorHAnsi" w:eastAsiaTheme="minorHAnsi" w:hAnsiTheme="minorHAnsi" w:cstheme="minorBidi"/>
          <w:color w:val="000000" w:themeColor="text1"/>
          <w:szCs w:val="22"/>
          <w:lang w:val="en-GB"/>
        </w:rPr>
        <w:t xml:space="preserve">o ensure the underground storage of </w:t>
      </w:r>
      <w:r w:rsidR="004D17F9">
        <w:rPr>
          <w:rFonts w:asciiTheme="minorHAnsi" w:eastAsiaTheme="minorHAnsi" w:hAnsiTheme="minorHAnsi" w:cstheme="minorBidi"/>
          <w:color w:val="000000" w:themeColor="text1"/>
          <w:szCs w:val="22"/>
          <w:lang w:val="en-GB"/>
        </w:rPr>
        <w:t xml:space="preserve">emissions remains secure </w:t>
      </w:r>
      <w:r>
        <w:rPr>
          <w:rFonts w:asciiTheme="minorHAnsi" w:eastAsiaTheme="minorHAnsi" w:hAnsiTheme="minorHAnsi" w:cstheme="minorBidi"/>
          <w:color w:val="000000" w:themeColor="text1"/>
          <w:szCs w:val="22"/>
          <w:lang w:val="en-GB"/>
        </w:rPr>
        <w:t xml:space="preserve">including </w:t>
      </w:r>
      <w:r w:rsidR="003F61FF">
        <w:rPr>
          <w:rFonts w:asciiTheme="minorHAnsi" w:eastAsiaTheme="minorHAnsi" w:hAnsiTheme="minorHAnsi" w:cstheme="minorBidi"/>
          <w:color w:val="000000" w:themeColor="text1"/>
          <w:szCs w:val="22"/>
          <w:lang w:val="en-GB"/>
        </w:rPr>
        <w:t>monitoring</w:t>
      </w:r>
      <w:r w:rsidRPr="00EE661B">
        <w:rPr>
          <w:rFonts w:asciiTheme="minorHAnsi" w:eastAsiaTheme="minorHAnsi" w:hAnsiTheme="minorHAnsi" w:cstheme="minorBidi"/>
          <w:color w:val="000000" w:themeColor="text1"/>
          <w:szCs w:val="22"/>
          <w:lang w:val="en-GB"/>
        </w:rPr>
        <w:t xml:space="preserve"> well</w:t>
      </w:r>
      <w:r>
        <w:rPr>
          <w:rFonts w:asciiTheme="minorHAnsi" w:eastAsiaTheme="minorHAnsi" w:hAnsiTheme="minorHAnsi" w:cstheme="minorBidi"/>
          <w:color w:val="000000" w:themeColor="text1"/>
          <w:szCs w:val="22"/>
          <w:lang w:val="en-GB"/>
        </w:rPr>
        <w:t>s</w:t>
      </w:r>
      <w:r w:rsidR="003F61FF">
        <w:rPr>
          <w:rFonts w:asciiTheme="minorHAnsi" w:eastAsiaTheme="minorHAnsi" w:hAnsiTheme="minorHAnsi" w:cstheme="minorBidi"/>
          <w:color w:val="000000" w:themeColor="text1"/>
          <w:szCs w:val="22"/>
          <w:lang w:val="en-GB"/>
        </w:rPr>
        <w:t xml:space="preserve"> and undertaking seismic surveys</w:t>
      </w:r>
      <w:r>
        <w:rPr>
          <w:rFonts w:asciiTheme="minorHAnsi" w:eastAsiaTheme="minorHAnsi" w:hAnsiTheme="minorHAnsi" w:cstheme="minorBidi"/>
          <w:color w:val="000000" w:themeColor="text1"/>
          <w:szCs w:val="22"/>
          <w:lang w:val="en-GB"/>
        </w:rPr>
        <w:t xml:space="preserve">. </w:t>
      </w:r>
      <w:bookmarkStart w:id="42" w:name="_Hlk70612521"/>
      <w:r>
        <w:rPr>
          <w:rFonts w:asciiTheme="minorHAnsi" w:eastAsiaTheme="minorHAnsi" w:hAnsiTheme="minorHAnsi" w:cstheme="minorBidi"/>
          <w:color w:val="000000" w:themeColor="text1"/>
          <w:szCs w:val="22"/>
          <w:lang w:val="en-GB"/>
        </w:rPr>
        <w:t>Emissions from these activities will need to be included in the calculation</w:t>
      </w:r>
      <w:r w:rsidR="0003191C">
        <w:rPr>
          <w:rFonts w:asciiTheme="minorHAnsi" w:eastAsiaTheme="minorHAnsi" w:hAnsiTheme="minorHAnsi" w:cstheme="minorBidi"/>
          <w:color w:val="000000" w:themeColor="text1"/>
          <w:szCs w:val="22"/>
          <w:lang w:val="en-GB"/>
        </w:rPr>
        <w:t>. Where multiple projects are using the same storage site, the storage site monitoring emissions will need to be apportioned between the projects on a pro rata basis.</w:t>
      </w:r>
      <w:bookmarkEnd w:id="42"/>
    </w:p>
    <w:p w14:paraId="29EA69B5" w14:textId="3870B648" w:rsidR="00F14C1A" w:rsidRPr="00796418" w:rsidRDefault="00F14C1A" w:rsidP="00F14C1A">
      <w:pPr>
        <w:pStyle w:val="Heading3"/>
        <w:spacing w:after="200"/>
        <w:rPr>
          <w:rFonts w:eastAsiaTheme="minorHAnsi"/>
          <w:lang w:val="en-GB"/>
        </w:rPr>
      </w:pPr>
      <w:bookmarkStart w:id="43" w:name="_Toc75442800"/>
      <w:r w:rsidRPr="00796418">
        <w:rPr>
          <w:rFonts w:eastAsiaTheme="minorHAnsi"/>
          <w:lang w:val="en-GB"/>
        </w:rPr>
        <w:t xml:space="preserve">Storage </w:t>
      </w:r>
      <w:r w:rsidR="000148CB">
        <w:rPr>
          <w:rFonts w:eastAsiaTheme="minorHAnsi"/>
          <w:lang w:val="en-GB"/>
        </w:rPr>
        <w:t>s</w:t>
      </w:r>
      <w:r w:rsidRPr="00796418">
        <w:rPr>
          <w:rFonts w:eastAsiaTheme="minorHAnsi"/>
          <w:lang w:val="en-GB"/>
        </w:rPr>
        <w:t xml:space="preserve">ite </w:t>
      </w:r>
      <w:r w:rsidR="000148CB">
        <w:rPr>
          <w:rFonts w:eastAsiaTheme="minorHAnsi"/>
          <w:lang w:val="en-GB"/>
        </w:rPr>
        <w:t>f</w:t>
      </w:r>
      <w:r w:rsidRPr="00796418">
        <w:rPr>
          <w:rFonts w:eastAsiaTheme="minorHAnsi"/>
          <w:lang w:val="en-GB"/>
        </w:rPr>
        <w:t xml:space="preserve">ugitive </w:t>
      </w:r>
      <w:r w:rsidR="000148CB">
        <w:rPr>
          <w:rFonts w:eastAsiaTheme="minorHAnsi"/>
          <w:lang w:val="en-GB"/>
        </w:rPr>
        <w:t>e</w:t>
      </w:r>
      <w:r w:rsidRPr="00796418">
        <w:rPr>
          <w:rFonts w:eastAsiaTheme="minorHAnsi"/>
          <w:lang w:val="en-GB"/>
        </w:rPr>
        <w:t>missions</w:t>
      </w:r>
      <w:bookmarkEnd w:id="43"/>
    </w:p>
    <w:p w14:paraId="20E61BE6" w14:textId="77777777" w:rsidR="00F14C1A" w:rsidRPr="00C10C5B" w:rsidRDefault="00F14C1A" w:rsidP="00F14C1A">
      <w:pPr>
        <w:tabs>
          <w:tab w:val="right" w:pos="1021"/>
        </w:tabs>
        <w:jc w:val="both"/>
        <w:rPr>
          <w:rFonts w:asciiTheme="minorHAnsi" w:eastAsia="Times New Roman" w:hAnsiTheme="minorHAnsi" w:cstheme="minorHAnsi"/>
          <w:color w:val="000000" w:themeColor="text1"/>
          <w:szCs w:val="20"/>
          <w:lang w:eastAsia="en-AU"/>
        </w:rPr>
      </w:pPr>
      <w:r w:rsidRPr="00796418">
        <w:rPr>
          <w:rFonts w:asciiTheme="minorHAnsi" w:eastAsia="Times New Roman" w:hAnsiTheme="minorHAnsi" w:cstheme="minorHAnsi"/>
          <w:color w:val="000000" w:themeColor="text1"/>
          <w:szCs w:val="20"/>
          <w:lang w:eastAsia="en-AU"/>
        </w:rPr>
        <w:t xml:space="preserve">Storage </w:t>
      </w:r>
      <w:r>
        <w:rPr>
          <w:rFonts w:asciiTheme="minorHAnsi" w:eastAsia="Times New Roman" w:hAnsiTheme="minorHAnsi" w:cstheme="minorHAnsi"/>
          <w:color w:val="000000" w:themeColor="text1"/>
          <w:szCs w:val="20"/>
          <w:lang w:eastAsia="en-AU"/>
        </w:rPr>
        <w:t>s</w:t>
      </w:r>
      <w:r w:rsidRPr="00796418">
        <w:rPr>
          <w:rFonts w:asciiTheme="minorHAnsi" w:eastAsia="Times New Roman" w:hAnsiTheme="minorHAnsi" w:cstheme="minorHAnsi"/>
          <w:color w:val="000000" w:themeColor="text1"/>
          <w:szCs w:val="20"/>
          <w:lang w:eastAsia="en-AU"/>
        </w:rPr>
        <w:t xml:space="preserve">ite </w:t>
      </w:r>
      <w:r>
        <w:rPr>
          <w:rFonts w:asciiTheme="minorHAnsi" w:eastAsia="Times New Roman" w:hAnsiTheme="minorHAnsi" w:cstheme="minorHAnsi"/>
          <w:color w:val="000000" w:themeColor="text1"/>
          <w:szCs w:val="20"/>
          <w:lang w:eastAsia="en-AU"/>
        </w:rPr>
        <w:t>f</w:t>
      </w:r>
      <w:r w:rsidRPr="00796418">
        <w:rPr>
          <w:rFonts w:asciiTheme="minorHAnsi" w:eastAsia="Times New Roman" w:hAnsiTheme="minorHAnsi" w:cstheme="minorHAnsi"/>
          <w:color w:val="000000" w:themeColor="text1"/>
          <w:szCs w:val="20"/>
          <w:lang w:eastAsia="en-AU"/>
        </w:rPr>
        <w:t xml:space="preserve">ugitive </w:t>
      </w:r>
      <w:r>
        <w:rPr>
          <w:rFonts w:asciiTheme="minorHAnsi" w:eastAsia="Times New Roman" w:hAnsiTheme="minorHAnsi" w:cstheme="minorHAnsi"/>
          <w:color w:val="000000" w:themeColor="text1"/>
          <w:szCs w:val="20"/>
          <w:lang w:eastAsia="en-AU"/>
        </w:rPr>
        <w:t>e</w:t>
      </w:r>
      <w:r w:rsidRPr="00796418">
        <w:rPr>
          <w:rFonts w:asciiTheme="minorHAnsi" w:eastAsia="Times New Roman" w:hAnsiTheme="minorHAnsi" w:cstheme="minorHAnsi"/>
          <w:color w:val="000000" w:themeColor="text1"/>
          <w:szCs w:val="20"/>
          <w:lang w:eastAsia="en-AU"/>
        </w:rPr>
        <w:t>missions are emission</w:t>
      </w:r>
      <w:r>
        <w:rPr>
          <w:rFonts w:asciiTheme="minorHAnsi" w:eastAsia="Times New Roman" w:hAnsiTheme="minorHAnsi" w:cstheme="minorHAnsi"/>
          <w:color w:val="000000" w:themeColor="text1"/>
          <w:szCs w:val="20"/>
          <w:lang w:eastAsia="en-AU"/>
        </w:rPr>
        <w:t>s</w:t>
      </w:r>
      <w:r w:rsidRPr="00796418">
        <w:rPr>
          <w:rFonts w:asciiTheme="minorHAnsi" w:eastAsia="Times New Roman" w:hAnsiTheme="minorHAnsi" w:cstheme="minorHAnsi"/>
          <w:color w:val="000000" w:themeColor="text1"/>
          <w:szCs w:val="20"/>
          <w:lang w:eastAsia="en-AU"/>
        </w:rPr>
        <w:t xml:space="preserve"> from any </w:t>
      </w:r>
      <w:r>
        <w:rPr>
          <w:rFonts w:asciiTheme="minorHAnsi" w:eastAsia="Times New Roman" w:hAnsiTheme="minorHAnsi" w:cstheme="minorHAnsi"/>
          <w:color w:val="000000" w:themeColor="text1"/>
          <w:szCs w:val="20"/>
          <w:lang w:eastAsia="en-AU"/>
        </w:rPr>
        <w:t xml:space="preserve">reversal of the injected gases </w:t>
      </w:r>
      <w:r w:rsidRPr="00796418">
        <w:rPr>
          <w:rFonts w:asciiTheme="minorHAnsi" w:eastAsia="Times New Roman" w:hAnsiTheme="minorHAnsi" w:cstheme="minorHAnsi"/>
          <w:color w:val="000000" w:themeColor="text1"/>
          <w:szCs w:val="20"/>
          <w:lang w:eastAsia="en-AU"/>
        </w:rPr>
        <w:t xml:space="preserve">to the atmosphere from the storage site occurring during the </w:t>
      </w:r>
      <w:r>
        <w:rPr>
          <w:rFonts w:asciiTheme="minorHAnsi" w:eastAsia="Times New Roman" w:hAnsiTheme="minorHAnsi" w:cstheme="minorHAnsi"/>
          <w:color w:val="000000" w:themeColor="text1"/>
          <w:szCs w:val="20"/>
          <w:lang w:eastAsia="en-AU"/>
        </w:rPr>
        <w:t>c</w:t>
      </w:r>
      <w:r w:rsidRPr="00796418">
        <w:rPr>
          <w:rFonts w:asciiTheme="minorHAnsi" w:eastAsia="Times New Roman" w:hAnsiTheme="minorHAnsi" w:cstheme="minorHAnsi"/>
          <w:color w:val="000000" w:themeColor="text1"/>
          <w:szCs w:val="20"/>
          <w:lang w:eastAsia="en-AU"/>
        </w:rPr>
        <w:t xml:space="preserve">rediting </w:t>
      </w:r>
      <w:r>
        <w:rPr>
          <w:rFonts w:asciiTheme="minorHAnsi" w:eastAsia="Times New Roman" w:hAnsiTheme="minorHAnsi" w:cstheme="minorHAnsi"/>
          <w:color w:val="000000" w:themeColor="text1"/>
          <w:szCs w:val="20"/>
          <w:lang w:eastAsia="en-AU"/>
        </w:rPr>
        <w:t>p</w:t>
      </w:r>
      <w:r w:rsidRPr="00796418">
        <w:rPr>
          <w:rFonts w:asciiTheme="minorHAnsi" w:eastAsia="Times New Roman" w:hAnsiTheme="minorHAnsi" w:cstheme="minorHAnsi"/>
          <w:color w:val="000000" w:themeColor="text1"/>
          <w:szCs w:val="20"/>
          <w:lang w:eastAsia="en-AU"/>
        </w:rPr>
        <w:t xml:space="preserve">eriod. </w:t>
      </w:r>
    </w:p>
    <w:p w14:paraId="36C9038C" w14:textId="2FBCE9B5" w:rsidR="00F14C1A" w:rsidRPr="00C10C5B" w:rsidRDefault="004D17F9" w:rsidP="00F14C1A">
      <w:pPr>
        <w:tabs>
          <w:tab w:val="right" w:pos="1021"/>
        </w:tabs>
        <w:jc w:val="both"/>
        <w:rPr>
          <w:rFonts w:asciiTheme="minorHAnsi" w:eastAsia="Times New Roman" w:hAnsiTheme="minorHAnsi" w:cstheme="minorHAnsi"/>
          <w:color w:val="000000" w:themeColor="text1"/>
          <w:szCs w:val="20"/>
          <w:lang w:eastAsia="en-AU"/>
        </w:rPr>
      </w:pPr>
      <w:r>
        <w:rPr>
          <w:rFonts w:asciiTheme="minorHAnsi" w:eastAsia="Times New Roman" w:hAnsiTheme="minorHAnsi" w:cstheme="minorHAnsi"/>
          <w:color w:val="000000" w:themeColor="text1"/>
          <w:szCs w:val="20"/>
          <w:lang w:eastAsia="en-AU"/>
        </w:rPr>
        <w:t>Scientific evidence indicates</w:t>
      </w:r>
      <w:r w:rsidR="00F14C1A" w:rsidRPr="00C10C5B">
        <w:rPr>
          <w:rFonts w:asciiTheme="minorHAnsi" w:eastAsia="Times New Roman" w:hAnsiTheme="minorHAnsi" w:cstheme="minorHAnsi"/>
          <w:color w:val="000000" w:themeColor="text1"/>
          <w:szCs w:val="20"/>
          <w:lang w:eastAsia="en-AU"/>
        </w:rPr>
        <w:t xml:space="preserve"> that </w:t>
      </w:r>
      <w:r w:rsidR="00B52868">
        <w:rPr>
          <w:rFonts w:asciiTheme="minorHAnsi" w:eastAsia="Times New Roman" w:hAnsiTheme="minorHAnsi" w:cstheme="minorHAnsi"/>
          <w:color w:val="000000" w:themeColor="text1"/>
          <w:szCs w:val="20"/>
          <w:lang w:eastAsia="en-AU"/>
        </w:rPr>
        <w:t xml:space="preserve">the risk of </w:t>
      </w:r>
      <w:r w:rsidR="00F14C1A">
        <w:rPr>
          <w:rFonts w:asciiTheme="minorHAnsi" w:eastAsia="Times New Roman" w:hAnsiTheme="minorHAnsi" w:cstheme="minorHAnsi"/>
          <w:color w:val="000000" w:themeColor="text1"/>
          <w:szCs w:val="20"/>
          <w:lang w:eastAsia="en-AU"/>
        </w:rPr>
        <w:t>reversal</w:t>
      </w:r>
      <w:r w:rsidR="0039450C">
        <w:rPr>
          <w:rFonts w:asciiTheme="minorHAnsi" w:eastAsia="Times New Roman" w:hAnsiTheme="minorHAnsi" w:cstheme="minorHAnsi"/>
          <w:color w:val="000000" w:themeColor="text1"/>
          <w:szCs w:val="20"/>
          <w:lang w:eastAsia="en-AU"/>
        </w:rPr>
        <w:t>s</w:t>
      </w:r>
      <w:r w:rsidR="00F14C1A">
        <w:rPr>
          <w:rFonts w:asciiTheme="minorHAnsi" w:eastAsia="Times New Roman" w:hAnsiTheme="minorHAnsi" w:cstheme="minorHAnsi"/>
          <w:color w:val="000000" w:themeColor="text1"/>
          <w:szCs w:val="20"/>
          <w:lang w:eastAsia="en-AU"/>
        </w:rPr>
        <w:t xml:space="preserve"> </w:t>
      </w:r>
      <w:r w:rsidR="00F14C1A" w:rsidRPr="00C10C5B">
        <w:rPr>
          <w:rFonts w:asciiTheme="minorHAnsi" w:eastAsia="Times New Roman" w:hAnsiTheme="minorHAnsi" w:cstheme="minorHAnsi"/>
          <w:color w:val="000000" w:themeColor="text1"/>
          <w:szCs w:val="20"/>
          <w:lang w:eastAsia="en-AU"/>
        </w:rPr>
        <w:t xml:space="preserve">to the atmosphere from </w:t>
      </w:r>
      <w:r w:rsidR="00F14C1A" w:rsidRPr="00C10C5B" w:rsidDel="00CA7102">
        <w:rPr>
          <w:rFonts w:asciiTheme="minorHAnsi" w:eastAsia="Times New Roman" w:hAnsiTheme="minorHAnsi" w:cstheme="minorHAnsi"/>
          <w:color w:val="000000" w:themeColor="text1"/>
          <w:szCs w:val="20"/>
          <w:lang w:eastAsia="en-AU"/>
        </w:rPr>
        <w:t xml:space="preserve">the </w:t>
      </w:r>
      <w:r w:rsidR="00F14C1A" w:rsidRPr="00C10C5B">
        <w:rPr>
          <w:rFonts w:asciiTheme="minorHAnsi" w:eastAsia="Times New Roman" w:hAnsiTheme="minorHAnsi" w:cstheme="minorHAnsi"/>
          <w:color w:val="000000" w:themeColor="text1"/>
          <w:szCs w:val="20"/>
          <w:lang w:eastAsia="en-AU"/>
        </w:rPr>
        <w:t xml:space="preserve">storage site </w:t>
      </w:r>
      <w:r w:rsidR="00B52868">
        <w:rPr>
          <w:rFonts w:asciiTheme="minorHAnsi" w:eastAsia="Times New Roman" w:hAnsiTheme="minorHAnsi" w:cstheme="minorHAnsi"/>
          <w:color w:val="000000" w:themeColor="text1"/>
          <w:szCs w:val="20"/>
          <w:lang w:eastAsia="en-AU"/>
        </w:rPr>
        <w:t>is</w:t>
      </w:r>
      <w:r w:rsidR="00F14C1A" w:rsidRPr="00C10C5B">
        <w:rPr>
          <w:rFonts w:asciiTheme="minorHAnsi" w:eastAsia="Times New Roman" w:hAnsiTheme="minorHAnsi" w:cstheme="minorHAnsi"/>
          <w:color w:val="000000" w:themeColor="text1"/>
          <w:szCs w:val="20"/>
          <w:lang w:eastAsia="en-AU"/>
        </w:rPr>
        <w:t xml:space="preserve"> </w:t>
      </w:r>
      <w:r w:rsidR="0039450C">
        <w:rPr>
          <w:rFonts w:asciiTheme="minorHAnsi" w:eastAsia="Times New Roman" w:hAnsiTheme="minorHAnsi" w:cstheme="minorHAnsi"/>
          <w:color w:val="000000" w:themeColor="text1"/>
          <w:szCs w:val="20"/>
          <w:lang w:eastAsia="en-AU"/>
        </w:rPr>
        <w:t>low,</w:t>
      </w:r>
      <w:r w:rsidR="00F14C1A" w:rsidRPr="00C10C5B">
        <w:rPr>
          <w:rFonts w:asciiTheme="minorHAnsi" w:eastAsia="Times New Roman" w:hAnsiTheme="minorHAnsi" w:cstheme="minorHAnsi"/>
          <w:color w:val="000000" w:themeColor="text1"/>
          <w:szCs w:val="20"/>
          <w:lang w:eastAsia="en-AU"/>
        </w:rPr>
        <w:t xml:space="preserve"> given the purpose of a well-managed </w:t>
      </w:r>
      <w:r w:rsidR="007E7418">
        <w:rPr>
          <w:rFonts w:asciiTheme="minorHAnsi" w:eastAsia="Times New Roman" w:hAnsiTheme="minorHAnsi" w:cstheme="minorHAnsi"/>
          <w:color w:val="000000" w:themeColor="text1"/>
          <w:szCs w:val="20"/>
          <w:lang w:eastAsia="en-AU"/>
        </w:rPr>
        <w:t xml:space="preserve">and regulated </w:t>
      </w:r>
      <w:r w:rsidR="00F14C1A">
        <w:rPr>
          <w:rFonts w:asciiTheme="minorHAnsi" w:eastAsia="Times New Roman" w:hAnsiTheme="minorHAnsi" w:cstheme="minorHAnsi"/>
          <w:color w:val="000000" w:themeColor="text1"/>
          <w:szCs w:val="20"/>
          <w:lang w:eastAsia="en-AU"/>
        </w:rPr>
        <w:t>s</w:t>
      </w:r>
      <w:r w:rsidR="00F14C1A" w:rsidRPr="00C10C5B">
        <w:rPr>
          <w:rFonts w:asciiTheme="minorHAnsi" w:eastAsia="Times New Roman" w:hAnsiTheme="minorHAnsi" w:cstheme="minorHAnsi"/>
          <w:color w:val="000000" w:themeColor="text1"/>
          <w:szCs w:val="20"/>
          <w:lang w:eastAsia="en-AU"/>
        </w:rPr>
        <w:t xml:space="preserve">torage </w:t>
      </w:r>
      <w:r w:rsidR="00F14C1A">
        <w:rPr>
          <w:rFonts w:asciiTheme="minorHAnsi" w:eastAsia="Times New Roman" w:hAnsiTheme="minorHAnsi" w:cstheme="minorHAnsi"/>
          <w:color w:val="000000" w:themeColor="text1"/>
          <w:szCs w:val="20"/>
          <w:lang w:eastAsia="en-AU"/>
        </w:rPr>
        <w:t>s</w:t>
      </w:r>
      <w:r w:rsidR="00F14C1A" w:rsidRPr="00C10C5B">
        <w:rPr>
          <w:rFonts w:asciiTheme="minorHAnsi" w:eastAsia="Times New Roman" w:hAnsiTheme="minorHAnsi" w:cstheme="minorHAnsi"/>
          <w:color w:val="000000" w:themeColor="text1"/>
          <w:szCs w:val="20"/>
          <w:lang w:eastAsia="en-AU"/>
        </w:rPr>
        <w:t xml:space="preserve">ite is to prevent such emissions </w:t>
      </w:r>
      <w:r w:rsidR="00030F66">
        <w:rPr>
          <w:rFonts w:asciiTheme="minorHAnsi" w:eastAsia="Times New Roman" w:hAnsiTheme="minorHAnsi" w:cstheme="minorHAnsi"/>
          <w:color w:val="000000" w:themeColor="text1"/>
          <w:szCs w:val="20"/>
          <w:lang w:eastAsia="en-AU"/>
        </w:rPr>
        <w:t xml:space="preserve">being released </w:t>
      </w:r>
      <w:r w:rsidR="00F14C1A" w:rsidRPr="00C10C5B">
        <w:rPr>
          <w:rFonts w:asciiTheme="minorHAnsi" w:eastAsia="Times New Roman" w:hAnsiTheme="minorHAnsi" w:cstheme="minorHAnsi"/>
          <w:color w:val="000000" w:themeColor="text1"/>
          <w:szCs w:val="20"/>
          <w:lang w:eastAsia="en-AU"/>
        </w:rPr>
        <w:t xml:space="preserve">to the atmosphere. </w:t>
      </w:r>
      <w:r w:rsidR="00E51491">
        <w:rPr>
          <w:rFonts w:asciiTheme="minorHAnsi" w:eastAsia="Times New Roman" w:hAnsiTheme="minorHAnsi" w:cstheme="minorHAnsi"/>
          <w:color w:val="000000" w:themeColor="text1"/>
          <w:szCs w:val="20"/>
          <w:lang w:eastAsia="en-AU"/>
        </w:rPr>
        <w:t xml:space="preserve">However, any such emissions </w:t>
      </w:r>
      <w:r w:rsidR="001C1445">
        <w:rPr>
          <w:rFonts w:asciiTheme="minorHAnsi" w:eastAsia="Times New Roman" w:hAnsiTheme="minorHAnsi" w:cstheme="minorHAnsi"/>
          <w:color w:val="000000" w:themeColor="text1"/>
          <w:szCs w:val="20"/>
          <w:lang w:eastAsia="en-AU"/>
        </w:rPr>
        <w:t xml:space="preserve">that do occur </w:t>
      </w:r>
      <w:r w:rsidR="00E51491">
        <w:rPr>
          <w:rFonts w:asciiTheme="minorHAnsi" w:eastAsia="Times New Roman" w:hAnsiTheme="minorHAnsi" w:cstheme="minorHAnsi"/>
          <w:color w:val="000000" w:themeColor="text1"/>
          <w:szCs w:val="20"/>
          <w:lang w:eastAsia="en-AU"/>
        </w:rPr>
        <w:t xml:space="preserve">must be accounted for. </w:t>
      </w:r>
    </w:p>
    <w:p w14:paraId="7B20E321" w14:textId="1E7293C4" w:rsidR="00F14C1A" w:rsidRDefault="00F14C1A" w:rsidP="00F14C1A">
      <w:pPr>
        <w:jc w:val="both"/>
        <w:rPr>
          <w:rFonts w:asciiTheme="minorHAnsi" w:eastAsiaTheme="minorEastAsia" w:hAnsiTheme="minorHAnsi" w:cstheme="minorBidi"/>
          <w:color w:val="auto"/>
          <w:lang w:val="en-GB"/>
        </w:rPr>
      </w:pPr>
      <w:bookmarkStart w:id="44" w:name="_Hlk72174132"/>
      <w:r>
        <w:rPr>
          <w:rFonts w:asciiTheme="minorHAnsi" w:eastAsiaTheme="minorEastAsia" w:hAnsiTheme="minorHAnsi" w:cstheme="minorBidi"/>
          <w:color w:val="auto"/>
          <w:lang w:val="en-GB"/>
        </w:rPr>
        <w:t>Where there is more than one project sharing a storage site, the fugitive emissions will need to be apportioned between projects</w:t>
      </w:r>
      <w:r w:rsidR="0003191C">
        <w:rPr>
          <w:rFonts w:asciiTheme="minorHAnsi" w:eastAsiaTheme="minorEastAsia" w:hAnsiTheme="minorHAnsi" w:cstheme="minorBidi"/>
          <w:color w:val="auto"/>
          <w:lang w:val="en-GB"/>
        </w:rPr>
        <w:t xml:space="preserve"> on a pro rata basis using the </w:t>
      </w:r>
      <w:r w:rsidR="0039450C">
        <w:rPr>
          <w:rFonts w:asciiTheme="minorHAnsi" w:eastAsiaTheme="minorEastAsia" w:hAnsiTheme="minorHAnsi" w:cstheme="minorBidi"/>
          <w:color w:val="auto"/>
          <w:lang w:val="en-GB"/>
        </w:rPr>
        <w:t xml:space="preserve">total </w:t>
      </w:r>
      <w:r>
        <w:rPr>
          <w:rFonts w:asciiTheme="minorHAnsi" w:eastAsiaTheme="minorEastAsia" w:hAnsiTheme="minorHAnsi" w:cstheme="minorBidi"/>
          <w:color w:val="auto"/>
          <w:lang w:val="en-GB"/>
        </w:rPr>
        <w:t xml:space="preserve">measured </w:t>
      </w:r>
      <w:r>
        <w:t>greenhouse gases</w:t>
      </w:r>
      <w:r>
        <w:rPr>
          <w:rFonts w:asciiTheme="minorHAnsi" w:eastAsiaTheme="minorEastAsia" w:hAnsiTheme="minorHAnsi" w:cstheme="minorBidi"/>
          <w:color w:val="auto"/>
          <w:lang w:val="en-GB"/>
        </w:rPr>
        <w:t xml:space="preserve"> </w:t>
      </w:r>
      <w:r w:rsidR="003F61FF">
        <w:rPr>
          <w:rFonts w:asciiTheme="minorHAnsi" w:eastAsiaTheme="minorEastAsia" w:hAnsiTheme="minorHAnsi" w:cstheme="minorBidi"/>
          <w:color w:val="auto"/>
          <w:lang w:val="en-GB"/>
        </w:rPr>
        <w:t>injected</w:t>
      </w:r>
      <w:r>
        <w:rPr>
          <w:rFonts w:asciiTheme="minorHAnsi" w:eastAsiaTheme="minorEastAsia" w:hAnsiTheme="minorHAnsi" w:cstheme="minorBidi"/>
          <w:color w:val="auto"/>
          <w:lang w:val="en-GB"/>
        </w:rPr>
        <w:t xml:space="preserve"> by each project</w:t>
      </w:r>
      <w:r w:rsidR="00A33542">
        <w:rPr>
          <w:rFonts w:asciiTheme="minorHAnsi" w:eastAsiaTheme="minorEastAsia" w:hAnsiTheme="minorHAnsi" w:cstheme="minorBidi"/>
          <w:color w:val="auto"/>
          <w:lang w:val="en-GB"/>
        </w:rPr>
        <w:t>. These fugitive emissions exclude injection site fugitives</w:t>
      </w:r>
      <w:bookmarkEnd w:id="44"/>
      <w:r>
        <w:rPr>
          <w:rFonts w:asciiTheme="minorHAnsi" w:eastAsiaTheme="minorEastAsia" w:hAnsiTheme="minorHAnsi" w:cstheme="minorBidi"/>
          <w:color w:val="auto"/>
          <w:lang w:val="en-GB"/>
        </w:rPr>
        <w:t>.</w:t>
      </w:r>
    </w:p>
    <w:p w14:paraId="5107552A" w14:textId="1112B9DF" w:rsidR="009C6926" w:rsidRDefault="009C6926" w:rsidP="009C6926">
      <w:pPr>
        <w:pStyle w:val="Heading3"/>
        <w:spacing w:after="200"/>
        <w:rPr>
          <w:rFonts w:eastAsiaTheme="minorHAnsi"/>
          <w:lang w:val="en-GB"/>
        </w:rPr>
      </w:pPr>
      <w:bookmarkStart w:id="45" w:name="_Toc75442801"/>
      <w:r>
        <w:rPr>
          <w:rFonts w:eastAsiaTheme="minorHAnsi"/>
          <w:lang w:val="en-GB"/>
        </w:rPr>
        <w:t>Offtake reduction</w:t>
      </w:r>
      <w:bookmarkEnd w:id="45"/>
    </w:p>
    <w:p w14:paraId="3D571682" w14:textId="5CDCBA81" w:rsidR="009C6926" w:rsidRDefault="009C6926" w:rsidP="001010D8">
      <w:pPr>
        <w:jc w:val="both"/>
        <w:rPr>
          <w:rFonts w:asciiTheme="minorHAnsi" w:eastAsiaTheme="minorEastAsia" w:hAnsiTheme="minorHAnsi" w:cstheme="minorBidi"/>
          <w:color w:val="000000" w:themeColor="text1"/>
          <w:lang w:val="en-GB"/>
        </w:rPr>
      </w:pPr>
      <w:r>
        <w:rPr>
          <w:lang w:val="en-GB"/>
        </w:rPr>
        <w:t xml:space="preserve">The </w:t>
      </w:r>
      <w:r w:rsidR="00E66568">
        <w:rPr>
          <w:lang w:val="en-GB"/>
        </w:rPr>
        <w:t xml:space="preserve">proposed CCS method provides </w:t>
      </w:r>
      <w:r>
        <w:rPr>
          <w:lang w:val="en-GB"/>
        </w:rPr>
        <w:t xml:space="preserve">for </w:t>
      </w:r>
      <w:r w:rsidR="00E66568">
        <w:rPr>
          <w:lang w:val="en-GB"/>
        </w:rPr>
        <w:t xml:space="preserve">the abatement to be </w:t>
      </w:r>
      <w:r>
        <w:rPr>
          <w:lang w:val="en-GB"/>
        </w:rPr>
        <w:t>reduc</w:t>
      </w:r>
      <w:r w:rsidR="00E66568">
        <w:rPr>
          <w:lang w:val="en-GB"/>
        </w:rPr>
        <w:t xml:space="preserve">ed if the greenhouse gas stream is transferred </w:t>
      </w:r>
      <w:r w:rsidR="00D30605">
        <w:rPr>
          <w:lang w:val="en-GB"/>
        </w:rPr>
        <w:t>for a purpose other than permanent storage</w:t>
      </w:r>
      <w:r w:rsidR="00E66568">
        <w:rPr>
          <w:lang w:val="en-GB"/>
        </w:rPr>
        <w:t>, after it is captured</w:t>
      </w:r>
      <w:r w:rsidR="00D30605">
        <w:rPr>
          <w:lang w:val="en-GB"/>
        </w:rPr>
        <w:t xml:space="preserve">. For example, </w:t>
      </w:r>
      <w:r w:rsidR="00E66568">
        <w:rPr>
          <w:lang w:val="en-GB"/>
        </w:rPr>
        <w:t xml:space="preserve">part of the greenhouse gas stream may </w:t>
      </w:r>
      <w:r w:rsidR="00D30605">
        <w:rPr>
          <w:lang w:val="en-GB"/>
        </w:rPr>
        <w:t xml:space="preserve">be diverted </w:t>
      </w:r>
      <w:r w:rsidR="00E66568">
        <w:rPr>
          <w:lang w:val="en-GB"/>
        </w:rPr>
        <w:t xml:space="preserve">for use in beverage </w:t>
      </w:r>
      <w:r w:rsidR="00D30605">
        <w:rPr>
          <w:lang w:val="en-GB"/>
        </w:rPr>
        <w:t>manufacturing</w:t>
      </w:r>
      <w:r w:rsidR="00E66568">
        <w:rPr>
          <w:lang w:val="en-GB"/>
        </w:rPr>
        <w:t xml:space="preserve"> mean</w:t>
      </w:r>
      <w:r w:rsidR="001010D8">
        <w:rPr>
          <w:lang w:val="en-GB"/>
        </w:rPr>
        <w:t>ing</w:t>
      </w:r>
      <w:r w:rsidR="00E66568">
        <w:rPr>
          <w:lang w:val="en-GB"/>
        </w:rPr>
        <w:t xml:space="preserve"> that </w:t>
      </w:r>
      <w:r w:rsidR="00D30605">
        <w:rPr>
          <w:lang w:val="en-GB"/>
        </w:rPr>
        <w:t xml:space="preserve">this portion </w:t>
      </w:r>
      <w:r w:rsidR="00E66568">
        <w:rPr>
          <w:lang w:val="en-GB"/>
        </w:rPr>
        <w:t xml:space="preserve">would </w:t>
      </w:r>
      <w:r w:rsidR="00D30605">
        <w:rPr>
          <w:lang w:val="en-GB"/>
        </w:rPr>
        <w:t xml:space="preserve">need to be deducted from the </w:t>
      </w:r>
      <w:r w:rsidR="001010D8">
        <w:rPr>
          <w:lang w:val="en-GB"/>
        </w:rPr>
        <w:t xml:space="preserve">net </w:t>
      </w:r>
      <w:r w:rsidR="00D30605">
        <w:rPr>
          <w:lang w:val="en-GB"/>
        </w:rPr>
        <w:t>abatement calculation.</w:t>
      </w:r>
    </w:p>
    <w:p w14:paraId="5F321B8C" w14:textId="0A810D61" w:rsidR="00871B02" w:rsidRPr="00C13BAE" w:rsidRDefault="00871B02" w:rsidP="00871B02">
      <w:pPr>
        <w:pStyle w:val="Heading3"/>
        <w:spacing w:after="200"/>
        <w:rPr>
          <w:lang w:val="en-GB"/>
        </w:rPr>
      </w:pPr>
      <w:bookmarkStart w:id="46" w:name="_Toc75442802"/>
      <w:r w:rsidRPr="00C13BAE">
        <w:rPr>
          <w:lang w:val="en-GB"/>
        </w:rPr>
        <w:t>Determination of</w:t>
      </w:r>
      <w:r w:rsidR="006B16F7">
        <w:rPr>
          <w:lang w:val="en-GB"/>
        </w:rPr>
        <w:t xml:space="preserve"> </w:t>
      </w:r>
      <w:r w:rsidR="006B16F7" w:rsidRPr="00A33542">
        <w:rPr>
          <w:lang w:val="en-GB"/>
        </w:rPr>
        <w:t xml:space="preserve">quantity of </w:t>
      </w:r>
      <w:r w:rsidR="00C41D40">
        <w:rPr>
          <w:lang w:val="en-GB"/>
        </w:rPr>
        <w:t>captured</w:t>
      </w:r>
      <w:r w:rsidR="006B16F7" w:rsidRPr="00A33542">
        <w:rPr>
          <w:lang w:val="en-GB"/>
        </w:rPr>
        <w:t xml:space="preserve"> methane emission</w:t>
      </w:r>
      <w:bookmarkEnd w:id="46"/>
      <w:r w:rsidRPr="00C13BAE">
        <w:rPr>
          <w:lang w:val="en-GB"/>
        </w:rPr>
        <w:t xml:space="preserve"> </w:t>
      </w:r>
    </w:p>
    <w:p w14:paraId="7FE7BE4A" w14:textId="674FBA17" w:rsidR="00E05341" w:rsidRPr="00245484" w:rsidRDefault="00551A53" w:rsidP="00CB04CF">
      <w:pPr>
        <w:tabs>
          <w:tab w:val="right" w:pos="1021"/>
        </w:tabs>
        <w:jc w:val="both"/>
        <w:rPr>
          <w:rFonts w:asciiTheme="minorHAnsi" w:eastAsia="Times New Roman" w:hAnsiTheme="minorHAnsi" w:cstheme="minorHAnsi"/>
          <w:color w:val="000000" w:themeColor="text1"/>
          <w:szCs w:val="20"/>
          <w:lang w:eastAsia="en-AU"/>
        </w:rPr>
      </w:pPr>
      <w:r w:rsidRPr="00CB04CF">
        <w:rPr>
          <w:rFonts w:asciiTheme="minorHAnsi" w:eastAsia="Times New Roman" w:hAnsiTheme="minorHAnsi" w:cstheme="minorHAnsi"/>
          <w:color w:val="000000" w:themeColor="text1"/>
          <w:szCs w:val="20"/>
          <w:lang w:eastAsia="en-AU"/>
        </w:rPr>
        <w:t xml:space="preserve">Determining the quantity of </w:t>
      </w:r>
      <w:r w:rsidR="00C41D40" w:rsidRPr="00CB04CF">
        <w:rPr>
          <w:rFonts w:asciiTheme="minorHAnsi" w:eastAsia="Times New Roman" w:hAnsiTheme="minorHAnsi" w:cstheme="minorHAnsi"/>
          <w:color w:val="000000" w:themeColor="text1"/>
          <w:szCs w:val="20"/>
          <w:lang w:eastAsia="en-AU"/>
        </w:rPr>
        <w:t xml:space="preserve">captured </w:t>
      </w:r>
      <w:r w:rsidR="00066245" w:rsidRPr="00CB04CF">
        <w:rPr>
          <w:rFonts w:asciiTheme="minorHAnsi" w:eastAsia="Times New Roman" w:hAnsiTheme="minorHAnsi" w:cstheme="minorHAnsi"/>
          <w:color w:val="000000" w:themeColor="text1"/>
          <w:szCs w:val="20"/>
          <w:lang w:eastAsia="en-AU"/>
        </w:rPr>
        <w:t xml:space="preserve">methane emissions </w:t>
      </w:r>
      <w:r w:rsidR="00737450" w:rsidRPr="00CB04CF">
        <w:rPr>
          <w:rFonts w:asciiTheme="minorHAnsi" w:eastAsia="Times New Roman" w:hAnsiTheme="minorHAnsi" w:cstheme="minorHAnsi"/>
          <w:color w:val="000000" w:themeColor="text1"/>
          <w:szCs w:val="20"/>
          <w:lang w:eastAsia="en-AU"/>
        </w:rPr>
        <w:t>referred to a</w:t>
      </w:r>
      <w:r w:rsidR="00F920B6" w:rsidRPr="00CB04CF">
        <w:rPr>
          <w:rFonts w:asciiTheme="minorHAnsi" w:eastAsia="Times New Roman" w:hAnsiTheme="minorHAnsi" w:cstheme="minorHAnsi"/>
          <w:color w:val="000000" w:themeColor="text1"/>
          <w:szCs w:val="20"/>
          <w:lang w:eastAsia="en-AU"/>
        </w:rPr>
        <w:t>s</w:t>
      </w:r>
      <w:r w:rsidR="00737450" w:rsidRPr="00CB04CF">
        <w:rPr>
          <w:rFonts w:asciiTheme="minorHAnsi" w:eastAsia="Times New Roman" w:hAnsiTheme="minorHAnsi" w:cstheme="minorHAnsi"/>
          <w:color w:val="000000" w:themeColor="text1"/>
          <w:szCs w:val="20"/>
          <w:lang w:eastAsia="en-AU"/>
        </w:rPr>
        <w:t xml:space="preserve"> </w:t>
      </w:r>
      <w:r w:rsidR="00C41D40" w:rsidRPr="00CB04CF">
        <w:rPr>
          <w:rFonts w:asciiTheme="minorHAnsi" w:eastAsia="Times New Roman" w:hAnsiTheme="minorHAnsi" w:cstheme="minorHAnsi"/>
          <w:color w:val="000000" w:themeColor="text1"/>
          <w:szCs w:val="20"/>
          <w:lang w:eastAsia="en-AU"/>
        </w:rPr>
        <w:t>Q</w:t>
      </w:r>
      <w:r w:rsidR="00C41D40" w:rsidRPr="00CB04CF">
        <w:rPr>
          <w:rFonts w:asciiTheme="minorHAnsi" w:eastAsia="Times New Roman" w:hAnsiTheme="minorHAnsi" w:cstheme="minorHAnsi"/>
          <w:color w:val="000000" w:themeColor="text1"/>
          <w:szCs w:val="20"/>
          <w:vertAlign w:val="subscript"/>
          <w:lang w:eastAsia="en-AU"/>
        </w:rPr>
        <w:t>CM</w:t>
      </w:r>
      <w:r w:rsidR="00C41D40" w:rsidRPr="00CB04CF">
        <w:rPr>
          <w:rFonts w:asciiTheme="minorHAnsi" w:eastAsia="Times New Roman" w:hAnsiTheme="minorHAnsi" w:cstheme="minorHAnsi"/>
          <w:color w:val="000000" w:themeColor="text1"/>
          <w:szCs w:val="20"/>
          <w:lang w:eastAsia="en-AU"/>
        </w:rPr>
        <w:t xml:space="preserve"> </w:t>
      </w:r>
      <w:r w:rsidR="006B16F7" w:rsidRPr="00CB04CF">
        <w:rPr>
          <w:rFonts w:asciiTheme="minorHAnsi" w:eastAsia="Times New Roman" w:hAnsiTheme="minorHAnsi" w:cstheme="minorHAnsi"/>
          <w:color w:val="000000" w:themeColor="text1"/>
          <w:szCs w:val="20"/>
          <w:lang w:eastAsia="en-AU"/>
        </w:rPr>
        <w:t>is</w:t>
      </w:r>
      <w:r w:rsidR="00714D01" w:rsidRPr="00CB04CF">
        <w:rPr>
          <w:rFonts w:asciiTheme="minorHAnsi" w:eastAsia="Times New Roman" w:hAnsiTheme="minorHAnsi" w:cstheme="minorHAnsi"/>
          <w:color w:val="000000" w:themeColor="text1"/>
          <w:szCs w:val="20"/>
          <w:lang w:eastAsia="en-AU"/>
        </w:rPr>
        <w:t xml:space="preserve"> only </w:t>
      </w:r>
      <w:r w:rsidR="004A2B6C" w:rsidRPr="00B81A0C">
        <w:rPr>
          <w:rFonts w:asciiTheme="minorHAnsi" w:eastAsia="Times New Roman" w:hAnsiTheme="minorHAnsi" w:cstheme="minorHAnsi"/>
          <w:color w:val="000000" w:themeColor="text1"/>
          <w:szCs w:val="20"/>
          <w:lang w:eastAsia="en-AU"/>
        </w:rPr>
        <w:t xml:space="preserve">relevant </w:t>
      </w:r>
      <w:r w:rsidR="00714D01" w:rsidRPr="00CB04CF">
        <w:rPr>
          <w:rFonts w:asciiTheme="minorHAnsi" w:eastAsia="Times New Roman" w:hAnsiTheme="minorHAnsi" w:cstheme="minorHAnsi"/>
          <w:color w:val="000000" w:themeColor="text1"/>
          <w:szCs w:val="20"/>
          <w:lang w:eastAsia="en-AU"/>
        </w:rPr>
        <w:t>for</w:t>
      </w:r>
      <w:r w:rsidR="004A2B6C">
        <w:rPr>
          <w:rFonts w:asciiTheme="minorHAnsi" w:eastAsia="Times New Roman" w:hAnsiTheme="minorHAnsi" w:cstheme="minorHAnsi"/>
          <w:color w:val="000000" w:themeColor="text1"/>
          <w:szCs w:val="20"/>
          <w:lang w:eastAsia="en-AU"/>
        </w:rPr>
        <w:t xml:space="preserve"> </w:t>
      </w:r>
      <w:r w:rsidR="004A2B6C" w:rsidRPr="0002139B">
        <w:rPr>
          <w:rFonts w:asciiTheme="minorHAnsi" w:eastAsia="Times New Roman" w:hAnsiTheme="minorHAnsi" w:cstheme="minorHAnsi"/>
          <w:color w:val="000000" w:themeColor="text1"/>
          <w:szCs w:val="20"/>
          <w:lang w:eastAsia="en-AU"/>
        </w:rPr>
        <w:t xml:space="preserve">oil and gas </w:t>
      </w:r>
      <w:r w:rsidR="004A2B6C">
        <w:rPr>
          <w:rFonts w:asciiTheme="minorHAnsi" w:eastAsia="Times New Roman" w:hAnsiTheme="minorHAnsi" w:cstheme="minorHAnsi"/>
          <w:color w:val="000000" w:themeColor="text1"/>
          <w:szCs w:val="20"/>
          <w:lang w:eastAsia="en-AU"/>
        </w:rPr>
        <w:t xml:space="preserve">industry projects </w:t>
      </w:r>
      <w:r w:rsidR="00714D01" w:rsidRPr="00CB04CF">
        <w:rPr>
          <w:rFonts w:asciiTheme="minorHAnsi" w:eastAsia="Times New Roman" w:hAnsiTheme="minorHAnsi" w:cstheme="minorHAnsi"/>
          <w:color w:val="000000" w:themeColor="text1"/>
          <w:szCs w:val="20"/>
          <w:lang w:eastAsia="en-AU"/>
        </w:rPr>
        <w:t xml:space="preserve">where methane </w:t>
      </w:r>
      <w:r w:rsidR="00CB04CF">
        <w:rPr>
          <w:rFonts w:asciiTheme="minorHAnsi" w:eastAsia="Times New Roman" w:hAnsiTheme="minorHAnsi" w:cstheme="minorHAnsi"/>
          <w:color w:val="000000" w:themeColor="text1"/>
          <w:szCs w:val="20"/>
          <w:lang w:eastAsia="en-AU"/>
        </w:rPr>
        <w:t xml:space="preserve">was </w:t>
      </w:r>
      <w:r w:rsidR="004A2B6C">
        <w:rPr>
          <w:rFonts w:asciiTheme="minorHAnsi" w:eastAsia="Times New Roman" w:hAnsiTheme="minorHAnsi" w:cstheme="minorHAnsi"/>
          <w:color w:val="000000" w:themeColor="text1"/>
          <w:szCs w:val="20"/>
          <w:lang w:eastAsia="en-AU"/>
        </w:rPr>
        <w:t xml:space="preserve">present </w:t>
      </w:r>
      <w:r w:rsidR="00714D01" w:rsidRPr="00CB04CF">
        <w:rPr>
          <w:rFonts w:asciiTheme="minorHAnsi" w:eastAsia="Times New Roman" w:hAnsiTheme="minorHAnsi" w:cstheme="minorHAnsi"/>
          <w:color w:val="000000" w:themeColor="text1"/>
          <w:szCs w:val="20"/>
          <w:lang w:eastAsia="en-AU"/>
        </w:rPr>
        <w:t xml:space="preserve">in the waste gas stream </w:t>
      </w:r>
      <w:r w:rsidR="00D1670A">
        <w:rPr>
          <w:rFonts w:asciiTheme="minorHAnsi" w:eastAsia="Times New Roman" w:hAnsiTheme="minorHAnsi" w:cstheme="minorHAnsi"/>
          <w:color w:val="000000" w:themeColor="text1"/>
          <w:szCs w:val="20"/>
          <w:lang w:eastAsia="en-AU"/>
        </w:rPr>
        <w:t xml:space="preserve">and </w:t>
      </w:r>
      <w:r w:rsidR="004A2B6C">
        <w:rPr>
          <w:rFonts w:asciiTheme="minorHAnsi" w:eastAsia="Times New Roman" w:hAnsiTheme="minorHAnsi" w:cstheme="minorHAnsi"/>
          <w:color w:val="000000" w:themeColor="text1"/>
          <w:szCs w:val="20"/>
          <w:lang w:eastAsia="en-AU"/>
        </w:rPr>
        <w:t xml:space="preserve">would have been </w:t>
      </w:r>
      <w:r w:rsidR="00714D01" w:rsidRPr="00245484">
        <w:rPr>
          <w:rFonts w:asciiTheme="minorHAnsi" w:eastAsia="Times New Roman" w:hAnsiTheme="minorHAnsi" w:cstheme="minorHAnsi"/>
          <w:color w:val="000000" w:themeColor="text1"/>
          <w:szCs w:val="20"/>
          <w:lang w:eastAsia="en-AU"/>
        </w:rPr>
        <w:t>oxidised</w:t>
      </w:r>
      <w:r w:rsidR="00AA0A24">
        <w:rPr>
          <w:rFonts w:asciiTheme="minorHAnsi" w:eastAsia="Times New Roman" w:hAnsiTheme="minorHAnsi" w:cstheme="minorHAnsi"/>
          <w:color w:val="000000" w:themeColor="text1"/>
          <w:szCs w:val="20"/>
          <w:lang w:eastAsia="en-AU"/>
        </w:rPr>
        <w:t xml:space="preserve"> and converted to carbon dioxide</w:t>
      </w:r>
      <w:r w:rsidR="00714D01" w:rsidRPr="00CB04CF">
        <w:rPr>
          <w:rFonts w:asciiTheme="minorHAnsi" w:eastAsia="Times New Roman" w:hAnsiTheme="minorHAnsi" w:cstheme="minorHAnsi"/>
          <w:color w:val="000000" w:themeColor="text1"/>
          <w:szCs w:val="20"/>
          <w:lang w:eastAsia="en-AU"/>
        </w:rPr>
        <w:t xml:space="preserve"> in the absence of a CCS project. </w:t>
      </w:r>
      <w:r w:rsidR="007A5FB9">
        <w:rPr>
          <w:rFonts w:asciiTheme="minorHAnsi" w:eastAsia="Times New Roman" w:hAnsiTheme="minorHAnsi" w:cstheme="minorHAnsi"/>
          <w:color w:val="000000" w:themeColor="text1"/>
          <w:szCs w:val="20"/>
          <w:lang w:eastAsia="en-AU"/>
        </w:rPr>
        <w:t>Such f</w:t>
      </w:r>
      <w:r w:rsidR="00AA0A24">
        <w:rPr>
          <w:rFonts w:asciiTheme="minorHAnsi" w:eastAsia="Times New Roman" w:hAnsiTheme="minorHAnsi" w:cstheme="minorHAnsi"/>
          <w:color w:val="000000" w:themeColor="text1"/>
          <w:szCs w:val="20"/>
          <w:lang w:eastAsia="en-AU"/>
        </w:rPr>
        <w:t xml:space="preserve">acilities </w:t>
      </w:r>
      <w:r w:rsidR="007A5FB9">
        <w:rPr>
          <w:rFonts w:asciiTheme="minorHAnsi" w:eastAsia="Times New Roman" w:hAnsiTheme="minorHAnsi" w:cstheme="minorHAnsi"/>
          <w:color w:val="000000" w:themeColor="text1"/>
          <w:szCs w:val="20"/>
          <w:lang w:eastAsia="en-AU"/>
        </w:rPr>
        <w:t>can be</w:t>
      </w:r>
      <w:r w:rsidR="00AA0A24">
        <w:rPr>
          <w:rFonts w:asciiTheme="minorHAnsi" w:eastAsia="Times New Roman" w:hAnsiTheme="minorHAnsi" w:cstheme="minorHAnsi"/>
          <w:color w:val="000000" w:themeColor="text1"/>
          <w:szCs w:val="20"/>
          <w:lang w:eastAsia="en-AU"/>
        </w:rPr>
        <w:t xml:space="preserve"> required to undertake o</w:t>
      </w:r>
      <w:r w:rsidR="004A2B6C">
        <w:rPr>
          <w:rFonts w:asciiTheme="minorHAnsi" w:eastAsia="Times New Roman" w:hAnsiTheme="minorHAnsi" w:cstheme="minorHAnsi"/>
          <w:color w:val="000000" w:themeColor="text1"/>
          <w:szCs w:val="20"/>
          <w:lang w:eastAsia="en-AU"/>
        </w:rPr>
        <w:t xml:space="preserve">xidisation </w:t>
      </w:r>
      <w:r w:rsidR="00AA0A24">
        <w:rPr>
          <w:rFonts w:asciiTheme="minorHAnsi" w:eastAsia="Times New Roman" w:hAnsiTheme="minorHAnsi" w:cstheme="minorHAnsi"/>
          <w:color w:val="000000" w:themeColor="text1"/>
          <w:szCs w:val="20"/>
          <w:lang w:eastAsia="en-AU"/>
        </w:rPr>
        <w:t xml:space="preserve">under their environmental approvals </w:t>
      </w:r>
      <w:r w:rsidR="00E05341" w:rsidRPr="00245484">
        <w:rPr>
          <w:rFonts w:asciiTheme="minorHAnsi" w:eastAsia="Times New Roman" w:hAnsiTheme="minorHAnsi" w:cstheme="minorHAnsi"/>
          <w:color w:val="000000" w:themeColor="text1"/>
          <w:szCs w:val="20"/>
          <w:lang w:eastAsia="en-AU"/>
        </w:rPr>
        <w:t>to remove air pollutants prior to venting</w:t>
      </w:r>
      <w:r w:rsidR="00AA0A24">
        <w:rPr>
          <w:rFonts w:asciiTheme="minorHAnsi" w:eastAsia="Times New Roman" w:hAnsiTheme="minorHAnsi" w:cstheme="minorHAnsi"/>
          <w:color w:val="000000" w:themeColor="text1"/>
          <w:szCs w:val="20"/>
          <w:lang w:eastAsia="en-AU"/>
        </w:rPr>
        <w:t xml:space="preserve"> the waste gas. </w:t>
      </w:r>
      <w:r w:rsidR="00E05341" w:rsidRPr="00245484">
        <w:rPr>
          <w:rFonts w:asciiTheme="minorHAnsi" w:eastAsia="Times New Roman" w:hAnsiTheme="minorHAnsi" w:cstheme="minorHAnsi"/>
          <w:color w:val="000000" w:themeColor="text1"/>
          <w:szCs w:val="20"/>
          <w:lang w:eastAsia="en-AU"/>
        </w:rPr>
        <w:t xml:space="preserve"> </w:t>
      </w:r>
    </w:p>
    <w:p w14:paraId="4B006DAB" w14:textId="78A2E2E9" w:rsidR="00D40FBB" w:rsidRPr="00CB04CF" w:rsidRDefault="00AA0A24" w:rsidP="00CB04CF">
      <w:pPr>
        <w:tabs>
          <w:tab w:val="right" w:pos="1021"/>
        </w:tabs>
        <w:jc w:val="both"/>
        <w:rPr>
          <w:rFonts w:asciiTheme="minorHAnsi" w:eastAsia="Times New Roman" w:hAnsiTheme="minorHAnsi" w:cstheme="minorHAnsi"/>
          <w:color w:val="000000" w:themeColor="text1"/>
          <w:szCs w:val="20"/>
          <w:lang w:eastAsia="en-AU"/>
        </w:rPr>
      </w:pPr>
      <w:r>
        <w:rPr>
          <w:rFonts w:asciiTheme="minorHAnsi" w:eastAsia="Times New Roman" w:hAnsiTheme="minorHAnsi" w:cstheme="minorHAnsi"/>
          <w:color w:val="000000" w:themeColor="text1"/>
          <w:szCs w:val="20"/>
          <w:lang w:eastAsia="en-AU"/>
        </w:rPr>
        <w:t xml:space="preserve">At facilities where oxidisation was </w:t>
      </w:r>
      <w:r w:rsidR="007A5FB9">
        <w:rPr>
          <w:rFonts w:asciiTheme="minorHAnsi" w:eastAsia="Times New Roman" w:hAnsiTheme="minorHAnsi" w:cstheme="minorHAnsi"/>
          <w:color w:val="000000" w:themeColor="text1"/>
          <w:szCs w:val="20"/>
          <w:lang w:eastAsia="en-AU"/>
        </w:rPr>
        <w:t>previously</w:t>
      </w:r>
      <w:r w:rsidR="00D1670A">
        <w:rPr>
          <w:rFonts w:asciiTheme="minorHAnsi" w:eastAsia="Times New Roman" w:hAnsiTheme="minorHAnsi" w:cstheme="minorHAnsi"/>
          <w:color w:val="000000" w:themeColor="text1"/>
          <w:szCs w:val="20"/>
          <w:lang w:eastAsia="en-AU"/>
        </w:rPr>
        <w:t xml:space="preserve"> </w:t>
      </w:r>
      <w:r>
        <w:rPr>
          <w:rFonts w:asciiTheme="minorHAnsi" w:eastAsia="Times New Roman" w:hAnsiTheme="minorHAnsi" w:cstheme="minorHAnsi"/>
          <w:color w:val="000000" w:themeColor="text1"/>
          <w:szCs w:val="20"/>
          <w:lang w:eastAsia="en-AU"/>
        </w:rPr>
        <w:t xml:space="preserve">undertaken, the abatement </w:t>
      </w:r>
      <w:r w:rsidR="00714D01" w:rsidRPr="00245484">
        <w:rPr>
          <w:rFonts w:asciiTheme="minorHAnsi" w:eastAsia="Times New Roman" w:hAnsiTheme="minorHAnsi" w:cstheme="minorHAnsi"/>
          <w:color w:val="000000" w:themeColor="text1"/>
          <w:szCs w:val="20"/>
          <w:lang w:eastAsia="en-AU"/>
        </w:rPr>
        <w:t xml:space="preserve">will need to </w:t>
      </w:r>
      <w:r>
        <w:rPr>
          <w:rFonts w:asciiTheme="minorHAnsi" w:eastAsia="Times New Roman" w:hAnsiTheme="minorHAnsi" w:cstheme="minorHAnsi"/>
          <w:color w:val="000000" w:themeColor="text1"/>
          <w:szCs w:val="20"/>
          <w:lang w:eastAsia="en-AU"/>
        </w:rPr>
        <w:t xml:space="preserve">be </w:t>
      </w:r>
      <w:r w:rsidR="00714D01" w:rsidRPr="00CB04CF">
        <w:rPr>
          <w:rFonts w:asciiTheme="minorHAnsi" w:eastAsia="Times New Roman" w:hAnsiTheme="minorHAnsi" w:cstheme="minorHAnsi"/>
          <w:color w:val="000000" w:themeColor="text1"/>
          <w:szCs w:val="20"/>
          <w:lang w:eastAsia="en-AU"/>
        </w:rPr>
        <w:t>reduce</w:t>
      </w:r>
      <w:r>
        <w:rPr>
          <w:rFonts w:asciiTheme="minorHAnsi" w:eastAsia="Times New Roman" w:hAnsiTheme="minorHAnsi" w:cstheme="minorHAnsi"/>
          <w:color w:val="000000" w:themeColor="text1"/>
          <w:szCs w:val="20"/>
          <w:lang w:eastAsia="en-AU"/>
        </w:rPr>
        <w:t xml:space="preserve">d </w:t>
      </w:r>
      <w:r w:rsidR="00714D01" w:rsidRPr="00CB04CF">
        <w:rPr>
          <w:rFonts w:asciiTheme="minorHAnsi" w:eastAsia="Times New Roman" w:hAnsiTheme="minorHAnsi" w:cstheme="minorHAnsi"/>
          <w:color w:val="000000" w:themeColor="text1"/>
          <w:szCs w:val="20"/>
          <w:lang w:eastAsia="en-AU"/>
        </w:rPr>
        <w:t>for the t</w:t>
      </w:r>
      <w:r w:rsidR="00746DDE" w:rsidRPr="00CB04CF">
        <w:rPr>
          <w:rFonts w:asciiTheme="minorHAnsi" w:eastAsia="Times New Roman" w:hAnsiTheme="minorHAnsi" w:cstheme="minorHAnsi"/>
          <w:color w:val="000000" w:themeColor="text1"/>
          <w:szCs w:val="20"/>
          <w:lang w:eastAsia="en-AU"/>
        </w:rPr>
        <w:t xml:space="preserve">onnes </w:t>
      </w:r>
      <w:r w:rsidR="00714D01" w:rsidRPr="00CB04CF">
        <w:rPr>
          <w:rFonts w:asciiTheme="minorHAnsi" w:eastAsia="Times New Roman" w:hAnsiTheme="minorHAnsi" w:cstheme="minorHAnsi"/>
          <w:color w:val="000000" w:themeColor="text1"/>
          <w:szCs w:val="20"/>
          <w:lang w:eastAsia="en-AU"/>
        </w:rPr>
        <w:t>CO</w:t>
      </w:r>
      <w:r w:rsidR="00714D01" w:rsidRPr="00CB04CF">
        <w:rPr>
          <w:rFonts w:asciiTheme="minorHAnsi" w:eastAsia="Times New Roman" w:hAnsiTheme="minorHAnsi" w:cstheme="minorHAnsi"/>
          <w:color w:val="000000" w:themeColor="text1"/>
          <w:szCs w:val="20"/>
          <w:vertAlign w:val="subscript"/>
          <w:lang w:eastAsia="en-AU"/>
        </w:rPr>
        <w:t>2</w:t>
      </w:r>
      <w:r w:rsidR="00714D01" w:rsidRPr="00CB04CF">
        <w:rPr>
          <w:rFonts w:asciiTheme="minorHAnsi" w:eastAsia="Times New Roman" w:hAnsiTheme="minorHAnsi" w:cstheme="minorHAnsi"/>
          <w:color w:val="000000" w:themeColor="text1"/>
          <w:szCs w:val="20"/>
          <w:lang w:eastAsia="en-AU"/>
        </w:rPr>
        <w:t xml:space="preserve">-e of methane included in the </w:t>
      </w:r>
      <w:r w:rsidR="00C41D40" w:rsidRPr="00CB04CF">
        <w:rPr>
          <w:rFonts w:asciiTheme="minorHAnsi" w:eastAsia="Times New Roman" w:hAnsiTheme="minorHAnsi" w:cstheme="minorHAnsi"/>
          <w:color w:val="000000" w:themeColor="text1"/>
          <w:szCs w:val="20"/>
          <w:lang w:eastAsia="en-AU"/>
        </w:rPr>
        <w:t>CGG</w:t>
      </w:r>
      <w:r w:rsidR="00581FFF" w:rsidRPr="0022525E">
        <w:rPr>
          <w:rFonts w:eastAsia="Times New Roman" w:cstheme="minorHAnsi"/>
          <w:color w:val="000000" w:themeColor="text1"/>
          <w:szCs w:val="20"/>
          <w:vertAlign w:val="superscript"/>
          <w:lang w:eastAsia="en-AU"/>
        </w:rPr>
        <w:footnoteReference w:id="17"/>
      </w:r>
      <w:r w:rsidR="00C41D40" w:rsidRPr="00CB04CF">
        <w:rPr>
          <w:rFonts w:asciiTheme="minorHAnsi" w:eastAsia="Times New Roman" w:hAnsiTheme="minorHAnsi" w:cstheme="minorHAnsi"/>
          <w:color w:val="000000" w:themeColor="text1"/>
          <w:szCs w:val="20"/>
          <w:lang w:eastAsia="en-AU"/>
        </w:rPr>
        <w:t xml:space="preserve"> </w:t>
      </w:r>
      <w:r w:rsidR="00714D01" w:rsidRPr="00CB04CF">
        <w:rPr>
          <w:rFonts w:asciiTheme="minorHAnsi" w:eastAsia="Times New Roman" w:hAnsiTheme="minorHAnsi" w:cstheme="minorHAnsi"/>
          <w:color w:val="000000" w:themeColor="text1"/>
          <w:szCs w:val="20"/>
          <w:lang w:eastAsia="en-AU"/>
        </w:rPr>
        <w:t>figure for the reporting period</w:t>
      </w:r>
      <w:r>
        <w:rPr>
          <w:rFonts w:asciiTheme="minorHAnsi" w:eastAsia="Times New Roman" w:hAnsiTheme="minorHAnsi" w:cstheme="minorHAnsi"/>
          <w:color w:val="000000" w:themeColor="text1"/>
          <w:szCs w:val="20"/>
          <w:lang w:eastAsia="en-AU"/>
        </w:rPr>
        <w:t>,</w:t>
      </w:r>
      <w:r w:rsidR="00E05341" w:rsidRPr="00CB04CF">
        <w:rPr>
          <w:rFonts w:asciiTheme="minorHAnsi" w:eastAsia="Times New Roman" w:hAnsiTheme="minorHAnsi" w:cstheme="minorHAnsi"/>
          <w:color w:val="000000" w:themeColor="text1"/>
          <w:szCs w:val="20"/>
          <w:lang w:eastAsia="en-AU"/>
        </w:rPr>
        <w:t xml:space="preserve"> as the methane portion was n</w:t>
      </w:r>
      <w:r w:rsidR="00F846D9">
        <w:rPr>
          <w:rFonts w:asciiTheme="minorHAnsi" w:eastAsia="Times New Roman" w:hAnsiTheme="minorHAnsi" w:cstheme="minorHAnsi"/>
          <w:color w:val="000000" w:themeColor="text1"/>
          <w:szCs w:val="20"/>
          <w:lang w:eastAsia="en-AU"/>
        </w:rPr>
        <w:t xml:space="preserve">ot </w:t>
      </w:r>
      <w:r w:rsidR="00E05341" w:rsidRPr="00CB04CF">
        <w:rPr>
          <w:rFonts w:asciiTheme="minorHAnsi" w:eastAsia="Times New Roman" w:hAnsiTheme="minorHAnsi" w:cstheme="minorHAnsi"/>
          <w:color w:val="000000" w:themeColor="text1"/>
          <w:szCs w:val="20"/>
          <w:lang w:eastAsia="en-AU"/>
        </w:rPr>
        <w:t>going to be emitted</w:t>
      </w:r>
      <w:r w:rsidR="004D17F9" w:rsidRPr="00CB04CF">
        <w:rPr>
          <w:rFonts w:asciiTheme="minorHAnsi" w:eastAsia="Times New Roman" w:hAnsiTheme="minorHAnsi" w:cstheme="minorHAnsi"/>
          <w:color w:val="000000" w:themeColor="text1"/>
          <w:szCs w:val="20"/>
          <w:lang w:eastAsia="en-AU"/>
        </w:rPr>
        <w:t xml:space="preserve"> in the absence of the project</w:t>
      </w:r>
      <w:r w:rsidR="00D40FBB" w:rsidRPr="00CB04CF">
        <w:rPr>
          <w:rFonts w:asciiTheme="minorHAnsi" w:eastAsia="Times New Roman" w:hAnsiTheme="minorHAnsi" w:cstheme="minorHAnsi"/>
          <w:color w:val="000000" w:themeColor="text1"/>
          <w:szCs w:val="20"/>
          <w:lang w:eastAsia="en-AU"/>
        </w:rPr>
        <w:t>.</w:t>
      </w:r>
      <w:r w:rsidR="003F61FF" w:rsidRPr="00CB04CF">
        <w:rPr>
          <w:rFonts w:asciiTheme="minorHAnsi" w:eastAsia="Times New Roman" w:hAnsiTheme="minorHAnsi" w:cstheme="minorHAnsi"/>
          <w:color w:val="000000" w:themeColor="text1"/>
          <w:szCs w:val="20"/>
          <w:lang w:eastAsia="en-AU"/>
        </w:rPr>
        <w:t xml:space="preserve"> The Q</w:t>
      </w:r>
      <w:r w:rsidR="003F61FF" w:rsidRPr="00CB04CF">
        <w:rPr>
          <w:rFonts w:asciiTheme="minorHAnsi" w:eastAsia="Times New Roman" w:hAnsiTheme="minorHAnsi" w:cstheme="minorHAnsi"/>
          <w:color w:val="000000" w:themeColor="text1"/>
          <w:szCs w:val="20"/>
          <w:vertAlign w:val="subscript"/>
          <w:lang w:eastAsia="en-AU"/>
        </w:rPr>
        <w:t>CM</w:t>
      </w:r>
      <w:r w:rsidR="003F61FF" w:rsidRPr="00CB04CF">
        <w:rPr>
          <w:rFonts w:asciiTheme="minorHAnsi" w:eastAsia="Times New Roman" w:hAnsiTheme="minorHAnsi" w:cstheme="minorHAnsi"/>
          <w:color w:val="000000" w:themeColor="text1"/>
          <w:szCs w:val="20"/>
          <w:lang w:eastAsia="en-AU"/>
        </w:rPr>
        <w:t xml:space="preserve"> calculation includes a</w:t>
      </w:r>
      <w:r w:rsidR="00D1670A">
        <w:rPr>
          <w:rFonts w:asciiTheme="minorHAnsi" w:eastAsia="Times New Roman" w:hAnsiTheme="minorHAnsi" w:cstheme="minorHAnsi"/>
          <w:color w:val="000000" w:themeColor="text1"/>
          <w:szCs w:val="20"/>
          <w:lang w:eastAsia="en-AU"/>
        </w:rPr>
        <w:t>n</w:t>
      </w:r>
      <w:r w:rsidR="003F61FF" w:rsidRPr="00CB04CF">
        <w:rPr>
          <w:rFonts w:asciiTheme="minorHAnsi" w:eastAsia="Times New Roman" w:hAnsiTheme="minorHAnsi" w:cstheme="minorHAnsi"/>
          <w:color w:val="000000" w:themeColor="text1"/>
          <w:szCs w:val="20"/>
          <w:lang w:eastAsia="en-AU"/>
        </w:rPr>
        <w:t xml:space="preserve"> adjustment to reflect the </w:t>
      </w:r>
      <w:r w:rsidR="002E2C5F">
        <w:t>carbon dioxide</w:t>
      </w:r>
      <w:r w:rsidR="003F61FF">
        <w:t xml:space="preserve"> that would </w:t>
      </w:r>
      <w:r w:rsidR="002E2C5F">
        <w:t>otherwise have been released when the methane was oxidised in the base case no longer occurs and can contribute to net abatement</w:t>
      </w:r>
      <w:r w:rsidR="003F61FF" w:rsidRPr="00CB04CF">
        <w:rPr>
          <w:rFonts w:asciiTheme="minorHAnsi" w:eastAsia="Times New Roman" w:hAnsiTheme="minorHAnsi" w:cstheme="minorHAnsi"/>
          <w:color w:val="000000" w:themeColor="text1"/>
          <w:szCs w:val="20"/>
          <w:lang w:eastAsia="en-AU"/>
        </w:rPr>
        <w:t>.</w:t>
      </w:r>
    </w:p>
    <w:p w14:paraId="135668A6" w14:textId="6FD8BFC4" w:rsidR="009D7F1E" w:rsidRPr="00CB04CF" w:rsidRDefault="009D7F1E" w:rsidP="00CB04CF">
      <w:pPr>
        <w:tabs>
          <w:tab w:val="right" w:pos="1021"/>
        </w:tabs>
        <w:jc w:val="both"/>
        <w:rPr>
          <w:rFonts w:asciiTheme="minorHAnsi" w:eastAsia="Times New Roman" w:hAnsiTheme="minorHAnsi" w:cstheme="minorHAnsi"/>
          <w:color w:val="000000" w:themeColor="text1"/>
          <w:szCs w:val="20"/>
          <w:lang w:eastAsia="en-AU"/>
        </w:rPr>
      </w:pPr>
      <w:r w:rsidRPr="00CB04CF">
        <w:rPr>
          <w:rFonts w:asciiTheme="minorHAnsi" w:eastAsia="Times New Roman" w:hAnsiTheme="minorHAnsi" w:cstheme="minorHAnsi"/>
          <w:color w:val="000000" w:themeColor="text1"/>
          <w:szCs w:val="20"/>
          <w:lang w:eastAsia="en-AU"/>
        </w:rPr>
        <w:t xml:space="preserve">In considering </w:t>
      </w:r>
      <w:r w:rsidR="00C41D40" w:rsidRPr="00CB04CF">
        <w:rPr>
          <w:rFonts w:asciiTheme="minorHAnsi" w:eastAsia="Times New Roman" w:hAnsiTheme="minorHAnsi" w:cstheme="minorHAnsi"/>
          <w:color w:val="000000" w:themeColor="text1"/>
          <w:szCs w:val="20"/>
          <w:lang w:eastAsia="en-AU"/>
        </w:rPr>
        <w:t>Q</w:t>
      </w:r>
      <w:r w:rsidR="00C41D40" w:rsidRPr="00CB04CF">
        <w:rPr>
          <w:rFonts w:asciiTheme="minorHAnsi" w:eastAsia="Times New Roman" w:hAnsiTheme="minorHAnsi" w:cstheme="minorHAnsi"/>
          <w:color w:val="000000" w:themeColor="text1"/>
          <w:szCs w:val="20"/>
          <w:vertAlign w:val="subscript"/>
          <w:lang w:eastAsia="en-AU"/>
        </w:rPr>
        <w:t>CM</w:t>
      </w:r>
      <w:r w:rsidRPr="00CB04CF">
        <w:rPr>
          <w:rFonts w:asciiTheme="minorHAnsi" w:eastAsia="Times New Roman" w:hAnsiTheme="minorHAnsi" w:cstheme="minorHAnsi"/>
          <w:color w:val="000000" w:themeColor="text1"/>
          <w:szCs w:val="20"/>
          <w:lang w:eastAsia="en-AU"/>
        </w:rPr>
        <w:t xml:space="preserve">, a new facility purpose built to include CCS would need to consider whether </w:t>
      </w:r>
      <w:r w:rsidR="006B16F7" w:rsidRPr="00CB04CF">
        <w:rPr>
          <w:rFonts w:asciiTheme="minorHAnsi" w:eastAsia="Times New Roman" w:hAnsiTheme="minorHAnsi" w:cstheme="minorHAnsi"/>
          <w:color w:val="000000" w:themeColor="text1"/>
          <w:szCs w:val="20"/>
          <w:lang w:eastAsia="en-AU"/>
        </w:rPr>
        <w:t>that</w:t>
      </w:r>
      <w:r w:rsidRPr="00CB04CF">
        <w:rPr>
          <w:rFonts w:asciiTheme="minorHAnsi" w:eastAsia="Times New Roman" w:hAnsiTheme="minorHAnsi" w:cstheme="minorHAnsi"/>
          <w:color w:val="000000" w:themeColor="text1"/>
          <w:szCs w:val="20"/>
          <w:lang w:eastAsia="en-AU"/>
        </w:rPr>
        <w:t xml:space="preserve"> facility, </w:t>
      </w:r>
      <w:r w:rsidR="006B16F7" w:rsidRPr="00CB04CF">
        <w:rPr>
          <w:rFonts w:asciiTheme="minorHAnsi" w:eastAsia="Times New Roman" w:hAnsiTheme="minorHAnsi" w:cstheme="minorHAnsi"/>
          <w:color w:val="000000" w:themeColor="text1"/>
          <w:szCs w:val="20"/>
          <w:lang w:eastAsia="en-AU"/>
        </w:rPr>
        <w:t xml:space="preserve">if it was </w:t>
      </w:r>
      <w:r w:rsidRPr="00CB04CF">
        <w:rPr>
          <w:rFonts w:asciiTheme="minorHAnsi" w:eastAsia="Times New Roman" w:hAnsiTheme="minorHAnsi" w:cstheme="minorHAnsi"/>
          <w:color w:val="000000" w:themeColor="text1"/>
          <w:szCs w:val="20"/>
          <w:lang w:eastAsia="en-AU"/>
        </w:rPr>
        <w:t xml:space="preserve">built without CCS, would be legally required to oxidise the </w:t>
      </w:r>
      <w:r w:rsidR="00567A1B" w:rsidRPr="00CB04CF">
        <w:rPr>
          <w:rFonts w:asciiTheme="minorHAnsi" w:eastAsia="Times New Roman" w:hAnsiTheme="minorHAnsi" w:cstheme="minorHAnsi"/>
          <w:color w:val="000000" w:themeColor="text1"/>
          <w:szCs w:val="20"/>
          <w:lang w:eastAsia="en-AU"/>
        </w:rPr>
        <w:t xml:space="preserve">waste </w:t>
      </w:r>
      <w:r w:rsidRPr="00CB04CF">
        <w:rPr>
          <w:rFonts w:asciiTheme="minorHAnsi" w:eastAsia="Times New Roman" w:hAnsiTheme="minorHAnsi" w:cstheme="minorHAnsi"/>
          <w:color w:val="000000" w:themeColor="text1"/>
          <w:szCs w:val="20"/>
          <w:lang w:eastAsia="en-AU"/>
        </w:rPr>
        <w:t>gas stream</w:t>
      </w:r>
      <w:r w:rsidR="00DC346B" w:rsidRPr="00CB04CF">
        <w:rPr>
          <w:rFonts w:asciiTheme="minorHAnsi" w:eastAsia="Times New Roman" w:hAnsiTheme="minorHAnsi" w:cstheme="minorHAnsi"/>
          <w:color w:val="000000" w:themeColor="text1"/>
          <w:szCs w:val="20"/>
          <w:lang w:eastAsia="en-AU"/>
        </w:rPr>
        <w:t xml:space="preserve">. If the facility </w:t>
      </w:r>
      <w:r w:rsidR="00E05341" w:rsidRPr="00CB04CF">
        <w:rPr>
          <w:rFonts w:asciiTheme="minorHAnsi" w:eastAsia="Times New Roman" w:hAnsiTheme="minorHAnsi" w:cstheme="minorHAnsi"/>
          <w:color w:val="000000" w:themeColor="text1"/>
          <w:szCs w:val="20"/>
          <w:lang w:eastAsia="en-AU"/>
        </w:rPr>
        <w:t xml:space="preserve">would be </w:t>
      </w:r>
      <w:r w:rsidR="00DB757B" w:rsidRPr="00CB04CF">
        <w:rPr>
          <w:rFonts w:asciiTheme="minorHAnsi" w:eastAsia="Times New Roman" w:hAnsiTheme="minorHAnsi" w:cstheme="minorHAnsi"/>
          <w:color w:val="000000" w:themeColor="text1"/>
          <w:szCs w:val="20"/>
          <w:lang w:eastAsia="en-AU"/>
        </w:rPr>
        <w:t xml:space="preserve">required to oxidise </w:t>
      </w:r>
      <w:r w:rsidR="00E05341" w:rsidRPr="00CB04CF">
        <w:rPr>
          <w:rFonts w:asciiTheme="minorHAnsi" w:eastAsia="Times New Roman" w:hAnsiTheme="minorHAnsi" w:cstheme="minorHAnsi"/>
          <w:color w:val="000000" w:themeColor="text1"/>
          <w:szCs w:val="20"/>
          <w:lang w:eastAsia="en-AU"/>
        </w:rPr>
        <w:t xml:space="preserve">the methane, </w:t>
      </w:r>
      <w:r w:rsidR="00DC346B" w:rsidRPr="00CB04CF">
        <w:rPr>
          <w:rFonts w:asciiTheme="minorHAnsi" w:eastAsia="Times New Roman" w:hAnsiTheme="minorHAnsi" w:cstheme="minorHAnsi"/>
          <w:color w:val="000000" w:themeColor="text1"/>
          <w:szCs w:val="20"/>
          <w:lang w:eastAsia="en-AU"/>
        </w:rPr>
        <w:t xml:space="preserve">then </w:t>
      </w:r>
      <w:r w:rsidR="00E05341" w:rsidRPr="00CB04CF">
        <w:rPr>
          <w:rFonts w:asciiTheme="minorHAnsi" w:eastAsia="Times New Roman" w:hAnsiTheme="minorHAnsi" w:cstheme="minorHAnsi"/>
          <w:color w:val="000000" w:themeColor="text1"/>
          <w:szCs w:val="20"/>
          <w:lang w:eastAsia="en-AU"/>
        </w:rPr>
        <w:t xml:space="preserve">it would need to </w:t>
      </w:r>
      <w:r w:rsidR="006B16F7" w:rsidRPr="00CB04CF">
        <w:rPr>
          <w:rFonts w:asciiTheme="minorHAnsi" w:eastAsia="Times New Roman" w:hAnsiTheme="minorHAnsi" w:cstheme="minorHAnsi"/>
          <w:color w:val="000000" w:themeColor="text1"/>
          <w:szCs w:val="20"/>
          <w:lang w:eastAsia="en-AU"/>
        </w:rPr>
        <w:t>calculate the</w:t>
      </w:r>
      <w:r w:rsidR="00E05341" w:rsidRPr="00CB04CF">
        <w:rPr>
          <w:rFonts w:asciiTheme="minorHAnsi" w:eastAsia="Times New Roman" w:hAnsiTheme="minorHAnsi" w:cstheme="minorHAnsi"/>
          <w:color w:val="000000" w:themeColor="text1"/>
          <w:szCs w:val="20"/>
          <w:lang w:eastAsia="en-AU"/>
        </w:rPr>
        <w:t xml:space="preserve"> </w:t>
      </w:r>
      <w:r w:rsidR="00045C47" w:rsidRPr="00CB04CF">
        <w:rPr>
          <w:rFonts w:asciiTheme="minorHAnsi" w:eastAsia="Times New Roman" w:hAnsiTheme="minorHAnsi" w:cstheme="minorHAnsi"/>
          <w:color w:val="000000" w:themeColor="text1"/>
          <w:szCs w:val="20"/>
          <w:lang w:eastAsia="en-AU"/>
        </w:rPr>
        <w:t>Q</w:t>
      </w:r>
      <w:r w:rsidR="00045C47" w:rsidRPr="00CB04CF">
        <w:rPr>
          <w:rFonts w:asciiTheme="minorHAnsi" w:eastAsia="Times New Roman" w:hAnsiTheme="minorHAnsi" w:cstheme="minorHAnsi"/>
          <w:color w:val="000000" w:themeColor="text1"/>
          <w:szCs w:val="20"/>
          <w:vertAlign w:val="subscript"/>
          <w:lang w:eastAsia="en-AU"/>
        </w:rPr>
        <w:t>CM</w:t>
      </w:r>
      <w:r w:rsidR="00045C47" w:rsidRPr="00CB04CF">
        <w:rPr>
          <w:rFonts w:asciiTheme="minorHAnsi" w:eastAsia="Times New Roman" w:hAnsiTheme="minorHAnsi" w:cstheme="minorHAnsi"/>
          <w:color w:val="000000" w:themeColor="text1"/>
          <w:szCs w:val="20"/>
          <w:lang w:eastAsia="en-AU"/>
        </w:rPr>
        <w:t xml:space="preserve"> </w:t>
      </w:r>
      <w:r w:rsidR="00DC346B" w:rsidRPr="00CB04CF">
        <w:rPr>
          <w:rFonts w:asciiTheme="minorHAnsi" w:eastAsia="Times New Roman" w:hAnsiTheme="minorHAnsi" w:cstheme="minorHAnsi"/>
          <w:color w:val="000000" w:themeColor="text1"/>
          <w:szCs w:val="20"/>
          <w:lang w:eastAsia="en-AU"/>
        </w:rPr>
        <w:t xml:space="preserve">in the </w:t>
      </w:r>
      <w:r w:rsidR="00E05341" w:rsidRPr="00CB04CF">
        <w:rPr>
          <w:rFonts w:asciiTheme="minorHAnsi" w:eastAsia="Times New Roman" w:hAnsiTheme="minorHAnsi" w:cstheme="minorHAnsi"/>
          <w:color w:val="000000" w:themeColor="text1"/>
          <w:szCs w:val="20"/>
          <w:lang w:eastAsia="en-AU"/>
        </w:rPr>
        <w:t xml:space="preserve">abatement </w:t>
      </w:r>
      <w:r w:rsidR="00DC346B" w:rsidRPr="00CB04CF">
        <w:rPr>
          <w:rFonts w:asciiTheme="minorHAnsi" w:eastAsia="Times New Roman" w:hAnsiTheme="minorHAnsi" w:cstheme="minorHAnsi"/>
          <w:color w:val="000000" w:themeColor="text1"/>
          <w:szCs w:val="20"/>
          <w:lang w:eastAsia="en-AU"/>
        </w:rPr>
        <w:t>calculation</w:t>
      </w:r>
      <w:r w:rsidR="006B16F7" w:rsidRPr="00CB04CF">
        <w:rPr>
          <w:rFonts w:asciiTheme="minorHAnsi" w:eastAsia="Times New Roman" w:hAnsiTheme="minorHAnsi" w:cstheme="minorHAnsi"/>
          <w:color w:val="000000" w:themeColor="text1"/>
          <w:szCs w:val="20"/>
          <w:lang w:eastAsia="en-AU"/>
        </w:rPr>
        <w:t xml:space="preserve"> for the purpose of excluding it from crediting</w:t>
      </w:r>
      <w:r w:rsidR="00DC346B" w:rsidRPr="00CB04CF">
        <w:rPr>
          <w:rFonts w:asciiTheme="minorHAnsi" w:eastAsia="Times New Roman" w:hAnsiTheme="minorHAnsi" w:cstheme="minorHAnsi"/>
          <w:color w:val="000000" w:themeColor="text1"/>
          <w:szCs w:val="20"/>
          <w:lang w:eastAsia="en-AU"/>
        </w:rPr>
        <w:t>.</w:t>
      </w:r>
    </w:p>
    <w:p w14:paraId="7EAC98A2" w14:textId="6941AC73" w:rsidR="000940DC" w:rsidRPr="00C13BAE" w:rsidRDefault="00E73D49" w:rsidP="000940DC">
      <w:pPr>
        <w:pStyle w:val="Heading3"/>
        <w:spacing w:after="200"/>
        <w:rPr>
          <w:lang w:val="en-GB"/>
        </w:rPr>
      </w:pPr>
      <w:bookmarkStart w:id="47" w:name="_Toc75442803"/>
      <w:r>
        <w:rPr>
          <w:lang w:val="en-GB"/>
        </w:rPr>
        <w:lastRenderedPageBreak/>
        <w:t xml:space="preserve">Risk of </w:t>
      </w:r>
      <w:r w:rsidR="00144F51">
        <w:rPr>
          <w:lang w:val="en-GB"/>
        </w:rPr>
        <w:t xml:space="preserve">abatement </w:t>
      </w:r>
      <w:r>
        <w:rPr>
          <w:lang w:val="en-GB"/>
        </w:rPr>
        <w:t>reversal</w:t>
      </w:r>
      <w:bookmarkEnd w:id="47"/>
      <w:r w:rsidR="0045198E">
        <w:rPr>
          <w:lang w:val="en-GB"/>
        </w:rPr>
        <w:t xml:space="preserve"> </w:t>
      </w:r>
    </w:p>
    <w:p w14:paraId="5E0E84E1" w14:textId="762213C9" w:rsidR="00FE7D7D" w:rsidRDefault="00E73D49" w:rsidP="000940DC">
      <w:pPr>
        <w:tabs>
          <w:tab w:val="right" w:pos="1021"/>
        </w:tabs>
        <w:spacing w:after="240"/>
        <w:jc w:val="both"/>
        <w:rPr>
          <w:rFonts w:asciiTheme="minorHAnsi" w:eastAsiaTheme="minorEastAsia" w:hAnsiTheme="minorHAnsi" w:cstheme="minorBidi"/>
          <w:color w:val="auto"/>
          <w:lang w:val="en-GB"/>
        </w:rPr>
      </w:pPr>
      <w:r>
        <w:rPr>
          <w:rFonts w:asciiTheme="minorHAnsi" w:eastAsiaTheme="minorEastAsia" w:hAnsiTheme="minorHAnsi" w:cstheme="minorBidi"/>
          <w:color w:val="auto"/>
          <w:lang w:val="en-GB"/>
        </w:rPr>
        <w:t xml:space="preserve">The abatement calculation reduces abatement by three per cent in each reporting period to account for the risk that injected greenhouse gases are released from the storage site after the end of the crediting period. </w:t>
      </w:r>
    </w:p>
    <w:p w14:paraId="4F508FD6" w14:textId="4953DFF5" w:rsidR="00C161EA" w:rsidRDefault="00853D9D" w:rsidP="00EA6B12">
      <w:pPr>
        <w:jc w:val="both"/>
        <w:rPr>
          <w:rFonts w:asciiTheme="minorHAnsi" w:eastAsia="Times New Roman" w:hAnsiTheme="minorHAnsi" w:cs="Times New Roman"/>
          <w:color w:val="000000" w:themeColor="text1"/>
          <w:lang w:eastAsia="en-AU"/>
        </w:rPr>
      </w:pPr>
      <w:r>
        <w:rPr>
          <w:rFonts w:asciiTheme="minorHAnsi" w:eastAsia="Times New Roman" w:hAnsiTheme="minorHAnsi" w:cs="Times New Roman"/>
          <w:color w:val="000000" w:themeColor="text1"/>
          <w:lang w:eastAsia="en-AU"/>
        </w:rPr>
        <w:t>The project p</w:t>
      </w:r>
      <w:r w:rsidR="00B626AE">
        <w:rPr>
          <w:rFonts w:asciiTheme="minorHAnsi" w:eastAsia="Times New Roman" w:hAnsiTheme="minorHAnsi" w:cs="Times New Roman"/>
          <w:color w:val="000000" w:themeColor="text1"/>
          <w:lang w:eastAsia="en-AU"/>
        </w:rPr>
        <w:t>roponent</w:t>
      </w:r>
      <w:r>
        <w:rPr>
          <w:rFonts w:asciiTheme="minorHAnsi" w:eastAsia="Times New Roman" w:hAnsiTheme="minorHAnsi" w:cs="Times New Roman"/>
          <w:color w:val="000000" w:themeColor="text1"/>
          <w:lang w:eastAsia="en-AU"/>
        </w:rPr>
        <w:t xml:space="preserve"> may </w:t>
      </w:r>
      <w:r w:rsidR="006414A3">
        <w:rPr>
          <w:rFonts w:asciiTheme="minorHAnsi" w:eastAsia="Times New Roman" w:hAnsiTheme="minorHAnsi" w:cs="Times New Roman"/>
          <w:color w:val="000000" w:themeColor="text1"/>
          <w:lang w:eastAsia="en-AU"/>
        </w:rPr>
        <w:t>then</w:t>
      </w:r>
      <w:r>
        <w:rPr>
          <w:rFonts w:asciiTheme="minorHAnsi" w:eastAsia="Times New Roman" w:hAnsiTheme="minorHAnsi" w:cs="Times New Roman"/>
          <w:color w:val="000000" w:themeColor="text1"/>
          <w:lang w:eastAsia="en-AU"/>
        </w:rPr>
        <w:t xml:space="preserve"> apply to have t</w:t>
      </w:r>
      <w:r w:rsidR="00E73D49">
        <w:rPr>
          <w:rFonts w:asciiTheme="minorHAnsi" w:eastAsia="Times New Roman" w:hAnsiTheme="minorHAnsi" w:cs="Times New Roman"/>
          <w:color w:val="000000" w:themeColor="text1"/>
          <w:lang w:eastAsia="en-AU"/>
        </w:rPr>
        <w:t>he</w:t>
      </w:r>
      <w:r w:rsidR="0045198E">
        <w:rPr>
          <w:rFonts w:asciiTheme="minorHAnsi" w:eastAsia="Times New Roman" w:hAnsiTheme="minorHAnsi" w:cs="Times New Roman"/>
          <w:color w:val="000000" w:themeColor="text1"/>
          <w:lang w:eastAsia="en-AU"/>
        </w:rPr>
        <w:t xml:space="preserve"> deducted ACCUs</w:t>
      </w:r>
      <w:r w:rsidR="00E73D49">
        <w:rPr>
          <w:rFonts w:asciiTheme="minorHAnsi" w:eastAsia="Times New Roman" w:hAnsiTheme="minorHAnsi" w:cs="Times New Roman"/>
          <w:color w:val="000000" w:themeColor="text1"/>
          <w:lang w:eastAsia="en-AU"/>
        </w:rPr>
        <w:t xml:space="preserve"> refund</w:t>
      </w:r>
      <w:r>
        <w:rPr>
          <w:rFonts w:asciiTheme="minorHAnsi" w:eastAsia="Times New Roman" w:hAnsiTheme="minorHAnsi" w:cs="Times New Roman"/>
          <w:color w:val="000000" w:themeColor="text1"/>
          <w:lang w:eastAsia="en-AU"/>
        </w:rPr>
        <w:t>ed</w:t>
      </w:r>
      <w:r w:rsidR="00E73D49">
        <w:rPr>
          <w:rFonts w:asciiTheme="minorHAnsi" w:eastAsia="Times New Roman" w:hAnsiTheme="minorHAnsi" w:cs="Times New Roman"/>
          <w:color w:val="000000" w:themeColor="text1"/>
          <w:lang w:eastAsia="en-AU"/>
        </w:rPr>
        <w:t xml:space="preserve"> back to the</w:t>
      </w:r>
      <w:r>
        <w:rPr>
          <w:rFonts w:asciiTheme="minorHAnsi" w:eastAsia="Times New Roman" w:hAnsiTheme="minorHAnsi" w:cs="Times New Roman"/>
          <w:color w:val="000000" w:themeColor="text1"/>
          <w:lang w:eastAsia="en-AU"/>
        </w:rPr>
        <w:t>m</w:t>
      </w:r>
      <w:r w:rsidR="00E73D49">
        <w:rPr>
          <w:rFonts w:asciiTheme="minorHAnsi" w:eastAsia="Times New Roman" w:hAnsiTheme="minorHAnsi" w:cs="Times New Roman"/>
          <w:color w:val="000000" w:themeColor="text1"/>
          <w:lang w:eastAsia="en-AU"/>
        </w:rPr>
        <w:t xml:space="preserve"> </w:t>
      </w:r>
      <w:r>
        <w:rPr>
          <w:rFonts w:asciiTheme="minorHAnsi" w:eastAsia="Times New Roman" w:hAnsiTheme="minorHAnsi" w:cs="Times New Roman"/>
          <w:color w:val="000000" w:themeColor="text1"/>
          <w:lang w:eastAsia="en-AU"/>
        </w:rPr>
        <w:t xml:space="preserve">following the </w:t>
      </w:r>
      <w:r w:rsidR="0045198E">
        <w:rPr>
          <w:rFonts w:asciiTheme="minorHAnsi" w:eastAsia="Times New Roman" w:hAnsiTheme="minorHAnsi" w:cs="Times New Roman"/>
          <w:color w:val="000000" w:themeColor="text1"/>
          <w:lang w:eastAsia="en-AU"/>
        </w:rPr>
        <w:t xml:space="preserve">completion of the </w:t>
      </w:r>
      <w:r>
        <w:rPr>
          <w:rFonts w:asciiTheme="minorHAnsi" w:eastAsia="Times New Roman" w:hAnsiTheme="minorHAnsi" w:cs="Times New Roman"/>
          <w:color w:val="000000" w:themeColor="text1"/>
          <w:lang w:eastAsia="en-AU"/>
        </w:rPr>
        <w:t xml:space="preserve">site closure </w:t>
      </w:r>
      <w:r w:rsidR="0045198E">
        <w:rPr>
          <w:rFonts w:asciiTheme="minorHAnsi" w:eastAsia="Times New Roman" w:hAnsiTheme="minorHAnsi" w:cs="Times New Roman"/>
          <w:color w:val="000000" w:themeColor="text1"/>
          <w:lang w:eastAsia="en-AU"/>
        </w:rPr>
        <w:t xml:space="preserve">process required by the relevant regulatory body. </w:t>
      </w:r>
      <w:r w:rsidR="00604A04">
        <w:rPr>
          <w:rFonts w:asciiTheme="minorHAnsi" w:eastAsia="Times New Roman" w:hAnsiTheme="minorHAnsi" w:cs="Times New Roman"/>
          <w:color w:val="000000" w:themeColor="text1"/>
          <w:lang w:eastAsia="en-AU"/>
        </w:rPr>
        <w:t xml:space="preserve">This generally </w:t>
      </w:r>
      <w:r w:rsidR="0045198E">
        <w:rPr>
          <w:rFonts w:asciiTheme="minorHAnsi" w:eastAsia="Times New Roman" w:hAnsiTheme="minorHAnsi" w:cs="Times New Roman"/>
          <w:color w:val="000000" w:themeColor="text1"/>
          <w:lang w:eastAsia="en-AU"/>
        </w:rPr>
        <w:t xml:space="preserve">occurs </w:t>
      </w:r>
      <w:r w:rsidR="00604A04">
        <w:rPr>
          <w:rFonts w:asciiTheme="minorHAnsi" w:eastAsia="Times New Roman" w:hAnsiTheme="minorHAnsi" w:cs="Times New Roman"/>
          <w:color w:val="000000" w:themeColor="text1"/>
          <w:lang w:eastAsia="en-AU"/>
        </w:rPr>
        <w:t xml:space="preserve">when the </w:t>
      </w:r>
      <w:r w:rsidR="0045198E">
        <w:rPr>
          <w:rFonts w:asciiTheme="minorHAnsi" w:eastAsia="Times New Roman" w:hAnsiTheme="minorHAnsi" w:cs="Times New Roman"/>
          <w:color w:val="000000" w:themeColor="text1"/>
          <w:lang w:eastAsia="en-AU"/>
        </w:rPr>
        <w:t xml:space="preserve">site </w:t>
      </w:r>
      <w:r w:rsidR="00604A04">
        <w:rPr>
          <w:rFonts w:asciiTheme="minorHAnsi" w:eastAsia="Times New Roman" w:hAnsiTheme="minorHAnsi" w:cs="Times New Roman"/>
          <w:color w:val="000000" w:themeColor="text1"/>
          <w:lang w:eastAsia="en-AU"/>
        </w:rPr>
        <w:t>operating licence is surrendered to the appropriate regulatory body</w:t>
      </w:r>
      <w:r w:rsidR="0045198E">
        <w:rPr>
          <w:rFonts w:asciiTheme="minorHAnsi" w:eastAsia="Times New Roman" w:hAnsiTheme="minorHAnsi" w:cs="Times New Roman"/>
          <w:color w:val="000000" w:themeColor="text1"/>
          <w:lang w:eastAsia="en-AU"/>
        </w:rPr>
        <w:t xml:space="preserve"> after injection has ceased</w:t>
      </w:r>
      <w:r w:rsidR="00EA6B12">
        <w:rPr>
          <w:rFonts w:asciiTheme="minorHAnsi" w:eastAsia="Times New Roman" w:hAnsiTheme="minorHAnsi" w:cs="Times New Roman"/>
          <w:color w:val="000000" w:themeColor="text1"/>
          <w:lang w:eastAsia="en-AU"/>
        </w:rPr>
        <w:t xml:space="preserve">. </w:t>
      </w:r>
      <w:r w:rsidR="00C161EA">
        <w:rPr>
          <w:rFonts w:asciiTheme="minorHAnsi" w:eastAsia="Times New Roman" w:hAnsiTheme="minorHAnsi" w:cs="Times New Roman"/>
          <w:color w:val="000000" w:themeColor="text1"/>
          <w:lang w:eastAsia="en-AU"/>
        </w:rPr>
        <w:t xml:space="preserve">The number of ACCUs refunded </w:t>
      </w:r>
      <w:r w:rsidR="0045198E">
        <w:rPr>
          <w:rFonts w:asciiTheme="minorHAnsi" w:eastAsia="Times New Roman" w:hAnsiTheme="minorHAnsi" w:cs="Times New Roman"/>
          <w:color w:val="000000" w:themeColor="text1"/>
          <w:lang w:eastAsia="en-AU"/>
        </w:rPr>
        <w:t xml:space="preserve">would be </w:t>
      </w:r>
      <w:r w:rsidR="00C161EA">
        <w:rPr>
          <w:rFonts w:asciiTheme="minorHAnsi" w:eastAsia="Times New Roman" w:hAnsiTheme="minorHAnsi" w:cs="Times New Roman"/>
          <w:color w:val="000000" w:themeColor="text1"/>
          <w:lang w:eastAsia="en-AU"/>
        </w:rPr>
        <w:t xml:space="preserve">reduced for any storage site fugitive emissions that have occurred since the end of the crediting period. </w:t>
      </w:r>
    </w:p>
    <w:p w14:paraId="4C03795F" w14:textId="2DA429F9" w:rsidR="00EA6B12" w:rsidRPr="00215556" w:rsidRDefault="00EA6B12" w:rsidP="00EA6B12">
      <w:pPr>
        <w:jc w:val="both"/>
      </w:pPr>
      <w:r>
        <w:t xml:space="preserve">Each </w:t>
      </w:r>
      <w:r w:rsidR="00C161EA">
        <w:t xml:space="preserve">of the </w:t>
      </w:r>
      <w:r w:rsidR="00C55F7D">
        <w:t xml:space="preserve">specifically listed </w:t>
      </w:r>
      <w:r w:rsidR="00C161EA">
        <w:t xml:space="preserve">legislative </w:t>
      </w:r>
      <w:r>
        <w:t>framework</w:t>
      </w:r>
      <w:r w:rsidR="00E05341">
        <w:t>s</w:t>
      </w:r>
      <w:r>
        <w:t xml:space="preserve"> deals with site closures differently and these are set out below:</w:t>
      </w:r>
    </w:p>
    <w:tbl>
      <w:tblPr>
        <w:tblStyle w:val="TableGrid"/>
        <w:tblW w:w="0" w:type="auto"/>
        <w:tblLook w:val="04A0" w:firstRow="1" w:lastRow="0" w:firstColumn="1" w:lastColumn="0" w:noHBand="0" w:noVBand="1"/>
      </w:tblPr>
      <w:tblGrid>
        <w:gridCol w:w="4508"/>
        <w:gridCol w:w="4508"/>
      </w:tblGrid>
      <w:tr w:rsidR="00EA6B12" w14:paraId="3C13BB70" w14:textId="77777777" w:rsidTr="00642614">
        <w:trPr>
          <w:tblHeader/>
        </w:trPr>
        <w:tc>
          <w:tcPr>
            <w:tcW w:w="4508" w:type="dxa"/>
            <w:shd w:val="clear" w:color="auto" w:fill="F2F2F2" w:themeFill="background1" w:themeFillShade="F2"/>
          </w:tcPr>
          <w:p w14:paraId="19698B51" w14:textId="6B1C685C" w:rsidR="00EA6B12" w:rsidRPr="00737450" w:rsidRDefault="00EA6B12" w:rsidP="00057299">
            <w:pPr>
              <w:tabs>
                <w:tab w:val="right" w:pos="1021"/>
              </w:tabs>
              <w:spacing w:after="240"/>
              <w:rPr>
                <w:rFonts w:asciiTheme="minorHAnsi" w:eastAsia="Times New Roman" w:hAnsiTheme="minorHAnsi" w:cs="Times New Roman"/>
                <w:b/>
                <w:bCs/>
                <w:color w:val="000000" w:themeColor="text1"/>
              </w:rPr>
            </w:pPr>
            <w:r w:rsidRPr="00737450">
              <w:rPr>
                <w:rFonts w:asciiTheme="minorHAnsi" w:eastAsia="Times New Roman" w:hAnsiTheme="minorHAnsi" w:cs="Times New Roman"/>
                <w:b/>
                <w:bCs/>
                <w:color w:val="000000" w:themeColor="text1"/>
              </w:rPr>
              <w:t>Legislation</w:t>
            </w:r>
          </w:p>
        </w:tc>
        <w:tc>
          <w:tcPr>
            <w:tcW w:w="4508" w:type="dxa"/>
            <w:shd w:val="clear" w:color="auto" w:fill="F2F2F2" w:themeFill="background1" w:themeFillShade="F2"/>
          </w:tcPr>
          <w:p w14:paraId="011274B4" w14:textId="56BE3BE1" w:rsidR="00EA6B12" w:rsidRPr="00737450" w:rsidRDefault="00EA6B12" w:rsidP="000940DC">
            <w:pPr>
              <w:tabs>
                <w:tab w:val="right" w:pos="1021"/>
              </w:tabs>
              <w:spacing w:after="240"/>
              <w:jc w:val="both"/>
              <w:rPr>
                <w:rFonts w:asciiTheme="minorHAnsi" w:eastAsia="Times New Roman" w:hAnsiTheme="minorHAnsi" w:cs="Times New Roman"/>
                <w:b/>
                <w:bCs/>
                <w:color w:val="000000" w:themeColor="text1"/>
              </w:rPr>
            </w:pPr>
            <w:r w:rsidRPr="00737450">
              <w:rPr>
                <w:rFonts w:asciiTheme="minorHAnsi" w:eastAsia="Times New Roman" w:hAnsiTheme="minorHAnsi" w:cs="Times New Roman"/>
                <w:b/>
                <w:bCs/>
                <w:color w:val="000000" w:themeColor="text1"/>
              </w:rPr>
              <w:t>Site closure trigger</w:t>
            </w:r>
          </w:p>
        </w:tc>
      </w:tr>
      <w:tr w:rsidR="00EA6B12" w14:paraId="5F2DF228" w14:textId="77777777" w:rsidTr="00EA6B12">
        <w:tc>
          <w:tcPr>
            <w:tcW w:w="4508" w:type="dxa"/>
          </w:tcPr>
          <w:p w14:paraId="5C0A8B4F" w14:textId="22E71B10" w:rsidR="00EA6B12" w:rsidRDefault="00EA6B12" w:rsidP="00EA6B12">
            <w:pPr>
              <w:tabs>
                <w:tab w:val="right" w:pos="1021"/>
              </w:tabs>
              <w:spacing w:after="240"/>
              <w:jc w:val="both"/>
              <w:rPr>
                <w:rFonts w:asciiTheme="minorHAnsi" w:eastAsia="Times New Roman" w:hAnsiTheme="minorHAnsi" w:cs="Times New Roman"/>
                <w:color w:val="000000" w:themeColor="text1"/>
              </w:rPr>
            </w:pPr>
            <w:r w:rsidRPr="007A79B3">
              <w:rPr>
                <w:i/>
                <w:iCs/>
              </w:rPr>
              <w:t>Offshore Petroleum and Greenhouse Gas Storage Act 2006 (Commonwealth)</w:t>
            </w:r>
          </w:p>
        </w:tc>
        <w:tc>
          <w:tcPr>
            <w:tcW w:w="4508" w:type="dxa"/>
          </w:tcPr>
          <w:p w14:paraId="1B8F2FEA" w14:textId="143187B5" w:rsidR="00EA6B12" w:rsidRDefault="00EA6B12" w:rsidP="00EA6B12">
            <w:pPr>
              <w:tabs>
                <w:tab w:val="right" w:pos="1021"/>
              </w:tabs>
              <w:spacing w:after="240"/>
              <w:jc w:val="both"/>
              <w:rPr>
                <w:rFonts w:asciiTheme="minorHAnsi" w:eastAsia="Times New Roman" w:hAnsiTheme="minorHAnsi" w:cs="Times New Roman"/>
                <w:color w:val="000000" w:themeColor="text1"/>
              </w:rPr>
            </w:pPr>
            <w:r>
              <w:t>A closure assurance period has been declared under section 399.</w:t>
            </w:r>
          </w:p>
        </w:tc>
      </w:tr>
      <w:tr w:rsidR="00EA6B12" w14:paraId="03BED936" w14:textId="77777777" w:rsidTr="00EA6B12">
        <w:tc>
          <w:tcPr>
            <w:tcW w:w="4508" w:type="dxa"/>
          </w:tcPr>
          <w:p w14:paraId="00AFD3AF" w14:textId="17060B22" w:rsidR="00EA6B12" w:rsidRDefault="00EA6B12" w:rsidP="00EA6B12">
            <w:pPr>
              <w:tabs>
                <w:tab w:val="right" w:pos="1021"/>
              </w:tabs>
              <w:spacing w:after="240"/>
              <w:jc w:val="both"/>
              <w:rPr>
                <w:rFonts w:asciiTheme="minorHAnsi" w:eastAsia="Times New Roman" w:hAnsiTheme="minorHAnsi" w:cs="Times New Roman"/>
                <w:color w:val="000000" w:themeColor="text1"/>
              </w:rPr>
            </w:pPr>
            <w:r w:rsidRPr="007A79B3">
              <w:rPr>
                <w:i/>
                <w:iCs/>
              </w:rPr>
              <w:t>Greenhouse Gas Geological Sequestration Act 2008 (Victoria)</w:t>
            </w:r>
          </w:p>
        </w:tc>
        <w:tc>
          <w:tcPr>
            <w:tcW w:w="4508" w:type="dxa"/>
          </w:tcPr>
          <w:p w14:paraId="74588A4E" w14:textId="091C0D29" w:rsidR="00EA6B12" w:rsidRDefault="00EA6B12" w:rsidP="00EA6B12">
            <w:pPr>
              <w:tabs>
                <w:tab w:val="right" w:pos="1021"/>
              </w:tabs>
              <w:spacing w:after="240"/>
              <w:jc w:val="both"/>
              <w:rPr>
                <w:rFonts w:asciiTheme="minorHAnsi" w:eastAsia="Times New Roman" w:hAnsiTheme="minorHAnsi" w:cs="Times New Roman"/>
                <w:color w:val="000000" w:themeColor="text1"/>
              </w:rPr>
            </w:pPr>
            <w:r>
              <w:rPr>
                <w:szCs w:val="22"/>
              </w:rPr>
              <w:t>A surrender of authority under section 168 has been consented to by the relevant Minister.</w:t>
            </w:r>
          </w:p>
        </w:tc>
      </w:tr>
      <w:tr w:rsidR="00EA6B12" w14:paraId="7904BD80" w14:textId="77777777" w:rsidTr="00EA6B12">
        <w:tc>
          <w:tcPr>
            <w:tcW w:w="4508" w:type="dxa"/>
          </w:tcPr>
          <w:p w14:paraId="4B9FA9D5" w14:textId="5DE5D46B" w:rsidR="00EA6B12" w:rsidRDefault="00EA6B12" w:rsidP="00EA6B12">
            <w:pPr>
              <w:tabs>
                <w:tab w:val="right" w:pos="1021"/>
              </w:tabs>
              <w:spacing w:after="240"/>
              <w:jc w:val="both"/>
              <w:rPr>
                <w:rFonts w:asciiTheme="minorHAnsi" w:eastAsia="Times New Roman" w:hAnsiTheme="minorHAnsi" w:cs="Times New Roman"/>
                <w:color w:val="000000" w:themeColor="text1"/>
              </w:rPr>
            </w:pPr>
            <w:r w:rsidRPr="007A79B3">
              <w:rPr>
                <w:i/>
                <w:iCs/>
              </w:rPr>
              <w:t>Offshore Petroleum and Greenhouse Gas Storage Act 2010 (Victoria)</w:t>
            </w:r>
          </w:p>
        </w:tc>
        <w:tc>
          <w:tcPr>
            <w:tcW w:w="4508" w:type="dxa"/>
          </w:tcPr>
          <w:p w14:paraId="47433994" w14:textId="7D506F1A" w:rsidR="00EA6B12" w:rsidRDefault="00EA6B12" w:rsidP="00EA6B12">
            <w:pPr>
              <w:tabs>
                <w:tab w:val="right" w:pos="1021"/>
              </w:tabs>
              <w:spacing w:after="240"/>
              <w:jc w:val="both"/>
              <w:rPr>
                <w:rFonts w:asciiTheme="minorHAnsi" w:eastAsia="Times New Roman" w:hAnsiTheme="minorHAnsi" w:cs="Times New Roman"/>
                <w:color w:val="000000" w:themeColor="text1"/>
              </w:rPr>
            </w:pPr>
            <w:r w:rsidRPr="00057299">
              <w:rPr>
                <w:szCs w:val="22"/>
              </w:rPr>
              <w:t>A site closing certificate has been issued under section 427</w:t>
            </w:r>
            <w:r>
              <w:rPr>
                <w:szCs w:val="22"/>
              </w:rPr>
              <w:t>.</w:t>
            </w:r>
          </w:p>
        </w:tc>
      </w:tr>
      <w:tr w:rsidR="00EA6B12" w14:paraId="45F884CD" w14:textId="77777777" w:rsidTr="00EA6B12">
        <w:tc>
          <w:tcPr>
            <w:tcW w:w="4508" w:type="dxa"/>
          </w:tcPr>
          <w:p w14:paraId="45E6D66E" w14:textId="5512E822" w:rsidR="00EA6B12" w:rsidRDefault="00EA6B12" w:rsidP="00EA6B12">
            <w:pPr>
              <w:tabs>
                <w:tab w:val="right" w:pos="1021"/>
              </w:tabs>
              <w:spacing w:after="240"/>
              <w:jc w:val="both"/>
              <w:rPr>
                <w:rFonts w:asciiTheme="minorHAnsi" w:eastAsia="Times New Roman" w:hAnsiTheme="minorHAnsi" w:cs="Times New Roman"/>
                <w:color w:val="000000" w:themeColor="text1"/>
              </w:rPr>
            </w:pPr>
            <w:r w:rsidRPr="007A79B3">
              <w:rPr>
                <w:i/>
                <w:iCs/>
              </w:rPr>
              <w:t>Greenhouse Gas Storage Act 2009 (Queensland)</w:t>
            </w:r>
          </w:p>
        </w:tc>
        <w:tc>
          <w:tcPr>
            <w:tcW w:w="4508" w:type="dxa"/>
          </w:tcPr>
          <w:p w14:paraId="43BD0869" w14:textId="3BFCA95B" w:rsidR="00EA6B12" w:rsidRDefault="00EA6B12" w:rsidP="00EA6B12">
            <w:pPr>
              <w:tabs>
                <w:tab w:val="right" w:pos="1021"/>
              </w:tabs>
              <w:spacing w:after="240"/>
              <w:jc w:val="both"/>
              <w:rPr>
                <w:rFonts w:asciiTheme="minorHAnsi" w:eastAsia="Times New Roman" w:hAnsiTheme="minorHAnsi" w:cs="Times New Roman"/>
                <w:color w:val="000000" w:themeColor="text1"/>
              </w:rPr>
            </w:pPr>
            <w:r>
              <w:rPr>
                <w:szCs w:val="22"/>
                <w:lang w:eastAsia="zh-CN"/>
              </w:rPr>
              <w:t>A lease surrender has been approved under section 179.</w:t>
            </w:r>
          </w:p>
        </w:tc>
      </w:tr>
      <w:tr w:rsidR="00EA6B12" w14:paraId="294913FA" w14:textId="77777777" w:rsidTr="00EA6B12">
        <w:tc>
          <w:tcPr>
            <w:tcW w:w="4508" w:type="dxa"/>
          </w:tcPr>
          <w:p w14:paraId="6A0B9273" w14:textId="51604355" w:rsidR="00EA6B12" w:rsidRDefault="00EA6B12" w:rsidP="00EA6B12">
            <w:pPr>
              <w:tabs>
                <w:tab w:val="right" w:pos="1021"/>
              </w:tabs>
              <w:spacing w:after="240"/>
              <w:jc w:val="both"/>
              <w:rPr>
                <w:rFonts w:asciiTheme="minorHAnsi" w:eastAsia="Times New Roman" w:hAnsiTheme="minorHAnsi" w:cs="Times New Roman"/>
                <w:color w:val="000000" w:themeColor="text1"/>
              </w:rPr>
            </w:pPr>
            <w:r w:rsidRPr="007A79B3">
              <w:rPr>
                <w:i/>
                <w:iCs/>
              </w:rPr>
              <w:t>Petroleum and Geothermal Energy Act 2000 (South Australia)</w:t>
            </w:r>
          </w:p>
        </w:tc>
        <w:tc>
          <w:tcPr>
            <w:tcW w:w="4508" w:type="dxa"/>
          </w:tcPr>
          <w:p w14:paraId="58FE27C8" w14:textId="4C3A8D6D" w:rsidR="00EA6B12" w:rsidRDefault="00EA6B12" w:rsidP="00EA6B12">
            <w:pPr>
              <w:tabs>
                <w:tab w:val="right" w:pos="1021"/>
              </w:tabs>
              <w:spacing w:after="240"/>
              <w:jc w:val="both"/>
              <w:rPr>
                <w:rFonts w:asciiTheme="minorHAnsi" w:eastAsia="Times New Roman" w:hAnsiTheme="minorHAnsi" w:cs="Times New Roman"/>
                <w:color w:val="000000" w:themeColor="text1"/>
              </w:rPr>
            </w:pPr>
            <w:r>
              <w:rPr>
                <w:szCs w:val="22"/>
              </w:rPr>
              <w:t>The Minister accepts an application to surrender the licence under section 89.</w:t>
            </w:r>
          </w:p>
        </w:tc>
      </w:tr>
    </w:tbl>
    <w:p w14:paraId="3DAAEDC4" w14:textId="77777777" w:rsidR="006414A3" w:rsidRPr="00FA4D8A" w:rsidRDefault="006414A3" w:rsidP="006414A3">
      <w:pPr>
        <w:rPr>
          <w:sz w:val="2"/>
          <w:szCs w:val="2"/>
          <w:lang w:val="en-GB"/>
        </w:rPr>
      </w:pPr>
    </w:p>
    <w:p w14:paraId="5053E2CA" w14:textId="41727EAF" w:rsidR="00C55F7D" w:rsidRPr="003F313C" w:rsidRDefault="00C55F7D" w:rsidP="003F313C">
      <w:pPr>
        <w:tabs>
          <w:tab w:val="right" w:pos="1021"/>
        </w:tabs>
        <w:jc w:val="both"/>
        <w:rPr>
          <w:rFonts w:asciiTheme="minorHAnsi" w:eastAsia="Times New Roman" w:hAnsiTheme="minorHAnsi" w:cstheme="minorHAnsi"/>
          <w:color w:val="000000" w:themeColor="text1"/>
          <w:szCs w:val="20"/>
          <w:lang w:eastAsia="en-AU"/>
        </w:rPr>
      </w:pPr>
      <w:r w:rsidRPr="003F313C">
        <w:rPr>
          <w:rFonts w:asciiTheme="minorHAnsi" w:eastAsia="Times New Roman" w:hAnsiTheme="minorHAnsi" w:cstheme="minorHAnsi"/>
          <w:color w:val="000000" w:themeColor="text1"/>
          <w:szCs w:val="20"/>
          <w:lang w:eastAsia="en-AU"/>
        </w:rPr>
        <w:t xml:space="preserve">If a project is using another legal framework that </w:t>
      </w:r>
      <w:r w:rsidR="003F313C">
        <w:rPr>
          <w:rFonts w:asciiTheme="minorHAnsi" w:eastAsia="Times New Roman" w:hAnsiTheme="minorHAnsi" w:cstheme="minorHAnsi"/>
          <w:color w:val="000000" w:themeColor="text1"/>
          <w:szCs w:val="20"/>
          <w:lang w:eastAsia="en-AU"/>
        </w:rPr>
        <w:t xml:space="preserve">was </w:t>
      </w:r>
      <w:r w:rsidRPr="003F313C">
        <w:rPr>
          <w:rFonts w:asciiTheme="minorHAnsi" w:eastAsia="Times New Roman" w:hAnsiTheme="minorHAnsi" w:cstheme="minorHAnsi"/>
          <w:color w:val="000000" w:themeColor="text1"/>
          <w:szCs w:val="20"/>
          <w:lang w:eastAsia="en-AU"/>
        </w:rPr>
        <w:t xml:space="preserve">determined </w:t>
      </w:r>
      <w:r w:rsidR="003F313C">
        <w:rPr>
          <w:rFonts w:asciiTheme="minorHAnsi" w:eastAsia="Times New Roman" w:hAnsiTheme="minorHAnsi" w:cstheme="minorHAnsi"/>
          <w:color w:val="000000" w:themeColor="text1"/>
          <w:szCs w:val="20"/>
          <w:lang w:eastAsia="en-AU"/>
        </w:rPr>
        <w:t xml:space="preserve">as </w:t>
      </w:r>
      <w:r w:rsidRPr="003F313C">
        <w:rPr>
          <w:rFonts w:asciiTheme="minorHAnsi" w:eastAsia="Times New Roman" w:hAnsiTheme="minorHAnsi" w:cstheme="minorHAnsi"/>
          <w:color w:val="000000" w:themeColor="text1"/>
          <w:szCs w:val="20"/>
          <w:lang w:eastAsia="en-AU"/>
        </w:rPr>
        <w:t>meet</w:t>
      </w:r>
      <w:r w:rsidR="003F313C">
        <w:rPr>
          <w:rFonts w:asciiTheme="minorHAnsi" w:eastAsia="Times New Roman" w:hAnsiTheme="minorHAnsi" w:cstheme="minorHAnsi"/>
          <w:color w:val="000000" w:themeColor="text1"/>
          <w:szCs w:val="20"/>
          <w:lang w:eastAsia="en-AU"/>
        </w:rPr>
        <w:t>ing</w:t>
      </w:r>
      <w:r w:rsidRPr="003F313C">
        <w:rPr>
          <w:rFonts w:asciiTheme="minorHAnsi" w:eastAsia="Times New Roman" w:hAnsiTheme="minorHAnsi" w:cstheme="minorHAnsi"/>
          <w:color w:val="000000" w:themeColor="text1"/>
          <w:szCs w:val="20"/>
          <w:lang w:eastAsia="en-AU"/>
        </w:rPr>
        <w:t xml:space="preserve"> the </w:t>
      </w:r>
      <w:r w:rsidR="003F313C">
        <w:rPr>
          <w:rFonts w:asciiTheme="minorHAnsi" w:eastAsia="Times New Roman" w:hAnsiTheme="minorHAnsi" w:cstheme="minorHAnsi"/>
          <w:color w:val="000000" w:themeColor="text1"/>
          <w:szCs w:val="20"/>
          <w:lang w:eastAsia="en-AU"/>
        </w:rPr>
        <w:t xml:space="preserve">regulatory </w:t>
      </w:r>
      <w:r w:rsidRPr="003F313C">
        <w:rPr>
          <w:rFonts w:asciiTheme="minorHAnsi" w:eastAsia="Times New Roman" w:hAnsiTheme="minorHAnsi" w:cstheme="minorHAnsi"/>
          <w:color w:val="000000" w:themeColor="text1"/>
          <w:szCs w:val="20"/>
          <w:lang w:eastAsia="en-AU"/>
        </w:rPr>
        <w:t>criteria set out in the method, the site closure trigger will be when the licence has been surrendered to the satisfaction of the authority responsible for administering th</w:t>
      </w:r>
      <w:r w:rsidR="00C27136" w:rsidRPr="003F313C">
        <w:rPr>
          <w:rFonts w:asciiTheme="minorHAnsi" w:eastAsia="Times New Roman" w:hAnsiTheme="minorHAnsi" w:cstheme="minorHAnsi"/>
          <w:color w:val="000000" w:themeColor="text1"/>
          <w:szCs w:val="20"/>
          <w:lang w:eastAsia="en-AU"/>
        </w:rPr>
        <w:t>e relevant legislation</w:t>
      </w:r>
      <w:r w:rsidRPr="003F313C">
        <w:rPr>
          <w:rFonts w:asciiTheme="minorHAnsi" w:eastAsia="Times New Roman" w:hAnsiTheme="minorHAnsi" w:cstheme="minorHAnsi"/>
          <w:color w:val="000000" w:themeColor="text1"/>
          <w:szCs w:val="20"/>
          <w:lang w:eastAsia="en-AU"/>
        </w:rPr>
        <w:t xml:space="preserve">. </w:t>
      </w:r>
    </w:p>
    <w:p w14:paraId="7189E0FA" w14:textId="3042523C" w:rsidR="006414A3" w:rsidRPr="003F313C" w:rsidRDefault="00F96473" w:rsidP="003F313C">
      <w:pPr>
        <w:tabs>
          <w:tab w:val="right" w:pos="1021"/>
        </w:tabs>
        <w:jc w:val="both"/>
        <w:rPr>
          <w:rFonts w:asciiTheme="minorHAnsi" w:eastAsia="Times New Roman" w:hAnsiTheme="minorHAnsi" w:cstheme="minorHAnsi"/>
          <w:color w:val="000000" w:themeColor="text1"/>
          <w:szCs w:val="20"/>
          <w:lang w:eastAsia="en-AU"/>
        </w:rPr>
      </w:pPr>
      <w:r w:rsidRPr="003F313C">
        <w:rPr>
          <w:rFonts w:asciiTheme="minorHAnsi" w:eastAsia="Times New Roman" w:hAnsiTheme="minorHAnsi" w:cstheme="minorHAnsi"/>
          <w:color w:val="000000" w:themeColor="text1"/>
          <w:szCs w:val="20"/>
          <w:lang w:eastAsia="en-AU"/>
        </w:rPr>
        <w:t xml:space="preserve">Once a site closure trigger has occurred, the extended accounting period ends and a project ceases to have further reporting obligations. </w:t>
      </w:r>
    </w:p>
    <w:p w14:paraId="6CFA20E0" w14:textId="308AB010" w:rsidR="00CB22E5" w:rsidRPr="00C13BAE" w:rsidRDefault="00CB22E5" w:rsidP="00CB22E5">
      <w:pPr>
        <w:pStyle w:val="Heading3"/>
        <w:spacing w:after="200"/>
        <w:rPr>
          <w:lang w:val="en-GB"/>
        </w:rPr>
      </w:pPr>
      <w:bookmarkStart w:id="48" w:name="_Toc75442804"/>
      <w:r w:rsidRPr="005A438D">
        <w:rPr>
          <w:lang w:val="en-GB"/>
        </w:rPr>
        <w:t>Abatement calculation example – gas processing</w:t>
      </w:r>
      <w:bookmarkEnd w:id="48"/>
    </w:p>
    <w:tbl>
      <w:tblPr>
        <w:tblStyle w:val="TableGrid"/>
        <w:tblW w:w="0" w:type="auto"/>
        <w:tblLook w:val="04A0" w:firstRow="1" w:lastRow="0" w:firstColumn="1" w:lastColumn="0" w:noHBand="0" w:noVBand="1"/>
      </w:tblPr>
      <w:tblGrid>
        <w:gridCol w:w="9016"/>
      </w:tblGrid>
      <w:tr w:rsidR="00E172D4" w14:paraId="797BF96C" w14:textId="3A30AE80" w:rsidTr="000D76A9">
        <w:tc>
          <w:tcPr>
            <w:tcW w:w="9016" w:type="dxa"/>
          </w:tcPr>
          <w:p w14:paraId="200207CF" w14:textId="1CF8E768" w:rsidR="00E172D4" w:rsidRPr="00970A48" w:rsidRDefault="00E172D4" w:rsidP="000D76A9">
            <w:pPr>
              <w:jc w:val="both"/>
              <w:rPr>
                <w:color w:val="auto"/>
                <w:sz w:val="22"/>
                <w:szCs w:val="28"/>
              </w:rPr>
            </w:pPr>
            <w:r w:rsidRPr="00970A48">
              <w:rPr>
                <w:color w:val="auto"/>
                <w:sz w:val="22"/>
                <w:szCs w:val="28"/>
              </w:rPr>
              <w:t xml:space="preserve">A </w:t>
            </w:r>
            <w:r w:rsidR="00BB120B">
              <w:rPr>
                <w:color w:val="auto"/>
                <w:sz w:val="22"/>
                <w:szCs w:val="28"/>
              </w:rPr>
              <w:t xml:space="preserve">gas processing </w:t>
            </w:r>
            <w:r w:rsidRPr="00970A48">
              <w:rPr>
                <w:color w:val="auto"/>
                <w:sz w:val="22"/>
                <w:szCs w:val="28"/>
              </w:rPr>
              <w:t xml:space="preserve">facility </w:t>
            </w:r>
            <w:r w:rsidR="00557AED">
              <w:rPr>
                <w:color w:val="auto"/>
                <w:sz w:val="22"/>
                <w:szCs w:val="28"/>
              </w:rPr>
              <w:t>has set up a CCS project</w:t>
            </w:r>
            <w:r w:rsidR="00973F9E">
              <w:rPr>
                <w:color w:val="auto"/>
                <w:sz w:val="22"/>
                <w:szCs w:val="28"/>
              </w:rPr>
              <w:t xml:space="preserve"> and is now</w:t>
            </w:r>
            <w:r w:rsidR="00557AED">
              <w:rPr>
                <w:color w:val="auto"/>
                <w:sz w:val="22"/>
                <w:szCs w:val="28"/>
              </w:rPr>
              <w:t xml:space="preserve"> </w:t>
            </w:r>
            <w:r w:rsidR="00BB120B">
              <w:rPr>
                <w:color w:val="auto"/>
                <w:sz w:val="22"/>
                <w:szCs w:val="28"/>
              </w:rPr>
              <w:t xml:space="preserve">piping </w:t>
            </w:r>
            <w:r w:rsidR="00057299">
              <w:rPr>
                <w:color w:val="auto"/>
                <w:sz w:val="22"/>
                <w:szCs w:val="28"/>
              </w:rPr>
              <w:t xml:space="preserve">a greenhouse gas stream </w:t>
            </w:r>
            <w:r w:rsidR="00BB120B">
              <w:rPr>
                <w:color w:val="auto"/>
                <w:sz w:val="22"/>
                <w:szCs w:val="28"/>
              </w:rPr>
              <w:t xml:space="preserve">to a reservoir </w:t>
            </w:r>
            <w:r w:rsidR="00045C47">
              <w:rPr>
                <w:color w:val="auto"/>
                <w:sz w:val="22"/>
                <w:szCs w:val="28"/>
              </w:rPr>
              <w:t>100 kilometres away</w:t>
            </w:r>
            <w:r w:rsidR="00BB120B">
              <w:rPr>
                <w:color w:val="auto"/>
                <w:sz w:val="22"/>
                <w:szCs w:val="28"/>
              </w:rPr>
              <w:t xml:space="preserve"> where it is injected for </w:t>
            </w:r>
            <w:r w:rsidR="00057299">
              <w:rPr>
                <w:color w:val="auto"/>
                <w:sz w:val="22"/>
                <w:szCs w:val="28"/>
              </w:rPr>
              <w:t>permanent storage</w:t>
            </w:r>
            <w:r w:rsidR="00BB120B">
              <w:rPr>
                <w:color w:val="auto"/>
                <w:sz w:val="22"/>
                <w:szCs w:val="28"/>
              </w:rPr>
              <w:t>.</w:t>
            </w:r>
            <w:r w:rsidR="00973F9E">
              <w:rPr>
                <w:color w:val="auto"/>
                <w:sz w:val="22"/>
                <w:szCs w:val="28"/>
              </w:rPr>
              <w:t xml:space="preserve"> </w:t>
            </w:r>
            <w:r w:rsidR="00057299">
              <w:rPr>
                <w:color w:val="auto"/>
                <w:sz w:val="22"/>
                <w:szCs w:val="28"/>
              </w:rPr>
              <w:t xml:space="preserve">The facility </w:t>
            </w:r>
            <w:r w:rsidR="00973F9E">
              <w:rPr>
                <w:color w:val="auto"/>
                <w:sz w:val="22"/>
                <w:szCs w:val="28"/>
              </w:rPr>
              <w:t xml:space="preserve">was </w:t>
            </w:r>
            <w:r w:rsidR="00F96473">
              <w:rPr>
                <w:color w:val="auto"/>
                <w:sz w:val="22"/>
                <w:szCs w:val="28"/>
              </w:rPr>
              <w:t xml:space="preserve">not </w:t>
            </w:r>
            <w:r w:rsidR="00973F9E">
              <w:rPr>
                <w:color w:val="auto"/>
                <w:sz w:val="22"/>
                <w:szCs w:val="28"/>
              </w:rPr>
              <w:t>previously oxidis</w:t>
            </w:r>
            <w:r w:rsidR="00F96473">
              <w:rPr>
                <w:color w:val="auto"/>
                <w:sz w:val="22"/>
                <w:szCs w:val="28"/>
              </w:rPr>
              <w:t>ing</w:t>
            </w:r>
            <w:r w:rsidR="00973F9E">
              <w:rPr>
                <w:color w:val="auto"/>
                <w:sz w:val="22"/>
                <w:szCs w:val="28"/>
              </w:rPr>
              <w:t xml:space="preserve"> its </w:t>
            </w:r>
            <w:r w:rsidR="00057299">
              <w:rPr>
                <w:color w:val="auto"/>
                <w:sz w:val="22"/>
                <w:szCs w:val="28"/>
              </w:rPr>
              <w:t>waste gas</w:t>
            </w:r>
            <w:r w:rsidR="00973F9E">
              <w:rPr>
                <w:color w:val="auto"/>
                <w:sz w:val="22"/>
                <w:szCs w:val="28"/>
              </w:rPr>
              <w:t>.</w:t>
            </w:r>
          </w:p>
          <w:p w14:paraId="66A5BB00" w14:textId="13D247F7" w:rsidR="00BB120B" w:rsidRDefault="00BB120B" w:rsidP="000D76A9">
            <w:pPr>
              <w:jc w:val="both"/>
              <w:rPr>
                <w:color w:val="auto"/>
                <w:sz w:val="22"/>
                <w:szCs w:val="28"/>
              </w:rPr>
            </w:pPr>
            <w:r>
              <w:rPr>
                <w:color w:val="auto"/>
                <w:sz w:val="22"/>
                <w:szCs w:val="28"/>
              </w:rPr>
              <w:t>For a 12</w:t>
            </w:r>
            <w:r w:rsidR="00797E3B">
              <w:rPr>
                <w:color w:val="auto"/>
                <w:sz w:val="22"/>
                <w:szCs w:val="28"/>
              </w:rPr>
              <w:t>-</w:t>
            </w:r>
            <w:r>
              <w:rPr>
                <w:color w:val="auto"/>
                <w:sz w:val="22"/>
                <w:szCs w:val="28"/>
              </w:rPr>
              <w:t xml:space="preserve">month reporting period, the </w:t>
            </w:r>
            <w:r w:rsidR="00BA44FE">
              <w:rPr>
                <w:color w:val="auto"/>
                <w:sz w:val="22"/>
                <w:szCs w:val="28"/>
              </w:rPr>
              <w:t>CCS project calculated the following:</w:t>
            </w:r>
          </w:p>
          <w:p w14:paraId="512974DF" w14:textId="5123238C" w:rsidR="00E172D4" w:rsidRPr="007231F1" w:rsidRDefault="00BA44FE" w:rsidP="000D76A9">
            <w:pPr>
              <w:pStyle w:val="ListParagraph"/>
              <w:numPr>
                <w:ilvl w:val="0"/>
                <w:numId w:val="25"/>
              </w:numPr>
              <w:rPr>
                <w:color w:val="000000" w:themeColor="text1"/>
                <w:sz w:val="22"/>
                <w:szCs w:val="24"/>
              </w:rPr>
            </w:pPr>
            <w:r>
              <w:rPr>
                <w:sz w:val="22"/>
                <w:szCs w:val="24"/>
              </w:rPr>
              <w:t xml:space="preserve">1,000,000 tonnes of </w:t>
            </w:r>
            <w:r w:rsidR="00E74788" w:rsidRPr="00F14C1A">
              <w:rPr>
                <w:rFonts w:ascii="Calibri" w:eastAsia="Cambria" w:hAnsi="Calibri" w:cs="Calibri"/>
                <w:sz w:val="22"/>
                <w:szCs w:val="28"/>
                <w:lang w:val="en-AU"/>
              </w:rPr>
              <w:t>greenhouse gases</w:t>
            </w:r>
            <w:r w:rsidR="00973F9E">
              <w:rPr>
                <w:rFonts w:ascii="Calibri" w:eastAsia="Cambria" w:hAnsi="Calibri" w:cs="Calibri"/>
                <w:sz w:val="22"/>
                <w:szCs w:val="28"/>
                <w:lang w:val="en-AU"/>
              </w:rPr>
              <w:t xml:space="preserve"> (measured in </w:t>
            </w:r>
            <w:r w:rsidR="00973F9E" w:rsidRPr="00970A48">
              <w:rPr>
                <w:sz w:val="22"/>
                <w:szCs w:val="28"/>
              </w:rPr>
              <w:t xml:space="preserve">tonnes </w:t>
            </w:r>
            <w:r w:rsidR="00973F9E" w:rsidRPr="00970A48">
              <w:rPr>
                <w:color w:val="000000" w:themeColor="text1"/>
                <w:sz w:val="22"/>
              </w:rPr>
              <w:t>CO</w:t>
            </w:r>
            <w:r w:rsidR="00973F9E" w:rsidRPr="00970A48">
              <w:rPr>
                <w:sz w:val="22"/>
                <w:szCs w:val="28"/>
                <w:vertAlign w:val="subscript"/>
              </w:rPr>
              <w:t>2</w:t>
            </w:r>
            <w:r w:rsidR="00973F9E">
              <w:rPr>
                <w:sz w:val="22"/>
                <w:szCs w:val="28"/>
              </w:rPr>
              <w:t>-</w:t>
            </w:r>
            <w:r w:rsidR="00973F9E" w:rsidRPr="00970A48">
              <w:rPr>
                <w:color w:val="000000" w:themeColor="text1"/>
                <w:sz w:val="22"/>
              </w:rPr>
              <w:t>e</w:t>
            </w:r>
            <w:r w:rsidR="00973F9E">
              <w:rPr>
                <w:color w:val="000000" w:themeColor="text1"/>
                <w:sz w:val="22"/>
              </w:rPr>
              <w:t>)</w:t>
            </w:r>
            <w:r w:rsidRPr="00F14C1A">
              <w:rPr>
                <w:rFonts w:ascii="Calibri" w:eastAsia="Cambria" w:hAnsi="Calibri" w:cs="Calibri"/>
                <w:sz w:val="22"/>
                <w:szCs w:val="28"/>
                <w:lang w:val="en-AU"/>
              </w:rPr>
              <w:t xml:space="preserve"> </w:t>
            </w:r>
            <w:r w:rsidR="00045C47">
              <w:rPr>
                <w:rFonts w:ascii="Calibri" w:eastAsia="Cambria" w:hAnsi="Calibri" w:cs="Calibri"/>
                <w:sz w:val="22"/>
                <w:szCs w:val="28"/>
                <w:lang w:val="en-AU"/>
              </w:rPr>
              <w:t>captured by the facility</w:t>
            </w:r>
            <w:r>
              <w:rPr>
                <w:sz w:val="22"/>
                <w:szCs w:val="24"/>
              </w:rPr>
              <w:t>.</w:t>
            </w:r>
          </w:p>
          <w:p w14:paraId="018DF276" w14:textId="6E11E9DA" w:rsidR="00E2788E" w:rsidRPr="00F96473" w:rsidRDefault="00557AED" w:rsidP="000D76A9">
            <w:pPr>
              <w:pStyle w:val="ListParagraph"/>
              <w:numPr>
                <w:ilvl w:val="0"/>
                <w:numId w:val="25"/>
              </w:numPr>
              <w:rPr>
                <w:color w:val="000000" w:themeColor="text1"/>
                <w:sz w:val="22"/>
                <w:szCs w:val="24"/>
              </w:rPr>
            </w:pPr>
            <w:r w:rsidRPr="00F846D9">
              <w:rPr>
                <w:color w:val="000000" w:themeColor="text1"/>
                <w:sz w:val="22"/>
                <w:szCs w:val="24"/>
              </w:rPr>
              <w:t xml:space="preserve">There are no capture related emissions as the facility was </w:t>
            </w:r>
            <w:r w:rsidR="00797E3B" w:rsidRPr="00F846D9">
              <w:rPr>
                <w:color w:val="000000" w:themeColor="text1"/>
                <w:sz w:val="22"/>
                <w:szCs w:val="24"/>
              </w:rPr>
              <w:t xml:space="preserve">not </w:t>
            </w:r>
            <w:r w:rsidR="00E2788E" w:rsidRPr="00F846D9">
              <w:rPr>
                <w:color w:val="000000" w:themeColor="text1"/>
                <w:sz w:val="22"/>
                <w:szCs w:val="24"/>
              </w:rPr>
              <w:t>previously capturing the greenhouse gases.</w:t>
            </w:r>
          </w:p>
          <w:p w14:paraId="582DEA1E" w14:textId="2104F7FF" w:rsidR="00E172D4" w:rsidRPr="00970A48" w:rsidRDefault="00045C47" w:rsidP="000D76A9">
            <w:pPr>
              <w:pStyle w:val="ListParagraph"/>
              <w:numPr>
                <w:ilvl w:val="0"/>
                <w:numId w:val="25"/>
              </w:numPr>
              <w:rPr>
                <w:color w:val="000000" w:themeColor="text1"/>
                <w:sz w:val="22"/>
                <w:szCs w:val="24"/>
              </w:rPr>
            </w:pPr>
            <w:r>
              <w:rPr>
                <w:color w:val="000000" w:themeColor="text1"/>
                <w:sz w:val="22"/>
                <w:szCs w:val="24"/>
              </w:rPr>
              <w:lastRenderedPageBreak/>
              <w:t>25</w:t>
            </w:r>
            <w:r w:rsidR="00BA44FE">
              <w:rPr>
                <w:color w:val="000000" w:themeColor="text1"/>
                <w:sz w:val="22"/>
                <w:szCs w:val="24"/>
              </w:rPr>
              <w:t xml:space="preserve">,000 </w:t>
            </w:r>
            <w:r w:rsidR="00BA44FE" w:rsidRPr="00970A48">
              <w:rPr>
                <w:color w:val="000000" w:themeColor="text1"/>
                <w:sz w:val="22"/>
                <w:szCs w:val="24"/>
              </w:rPr>
              <w:t>tonnes CO</w:t>
            </w:r>
            <w:r w:rsidR="00BA44FE" w:rsidRPr="00970A48">
              <w:rPr>
                <w:rFonts w:ascii="Calibri" w:eastAsia="Cambria" w:hAnsi="Calibri" w:cs="Calibri"/>
                <w:sz w:val="22"/>
                <w:szCs w:val="28"/>
                <w:vertAlign w:val="subscript"/>
                <w:lang w:val="en-AU"/>
              </w:rPr>
              <w:t>2</w:t>
            </w:r>
            <w:r w:rsidR="00BA44FE">
              <w:rPr>
                <w:rFonts w:ascii="Calibri" w:eastAsia="Cambria" w:hAnsi="Calibri" w:cs="Calibri"/>
                <w:sz w:val="22"/>
                <w:szCs w:val="28"/>
                <w:lang w:val="en-AU"/>
              </w:rPr>
              <w:t>-</w:t>
            </w:r>
            <w:r w:rsidR="00BA44FE" w:rsidRPr="00970A48">
              <w:rPr>
                <w:color w:val="000000" w:themeColor="text1"/>
                <w:sz w:val="22"/>
                <w:szCs w:val="24"/>
              </w:rPr>
              <w:t xml:space="preserve">e </w:t>
            </w:r>
            <w:r w:rsidR="00557AED">
              <w:rPr>
                <w:color w:val="000000" w:themeColor="text1"/>
                <w:sz w:val="22"/>
                <w:szCs w:val="24"/>
              </w:rPr>
              <w:t>processing, compression and transportation</w:t>
            </w:r>
            <w:r w:rsidR="00E172D4" w:rsidRPr="00970A48">
              <w:rPr>
                <w:color w:val="000000" w:themeColor="text1"/>
                <w:sz w:val="22"/>
                <w:szCs w:val="24"/>
              </w:rPr>
              <w:t xml:space="preserve"> </w:t>
            </w:r>
            <w:r w:rsidR="00BA44FE">
              <w:rPr>
                <w:color w:val="000000" w:themeColor="text1"/>
                <w:sz w:val="22"/>
                <w:szCs w:val="24"/>
              </w:rPr>
              <w:t>e</w:t>
            </w:r>
            <w:r w:rsidR="00E172D4" w:rsidRPr="00970A48">
              <w:rPr>
                <w:color w:val="000000" w:themeColor="text1"/>
                <w:sz w:val="22"/>
                <w:szCs w:val="24"/>
              </w:rPr>
              <w:t>missions</w:t>
            </w:r>
            <w:r w:rsidR="00BA44FE">
              <w:rPr>
                <w:color w:val="000000" w:themeColor="text1"/>
                <w:sz w:val="22"/>
                <w:szCs w:val="24"/>
              </w:rPr>
              <w:t xml:space="preserve"> – primarily </w:t>
            </w:r>
            <w:r w:rsidR="00C35769">
              <w:rPr>
                <w:color w:val="000000" w:themeColor="text1"/>
                <w:sz w:val="22"/>
                <w:szCs w:val="24"/>
              </w:rPr>
              <w:t>from</w:t>
            </w:r>
            <w:r w:rsidR="00C96E2D">
              <w:rPr>
                <w:color w:val="000000" w:themeColor="text1"/>
                <w:sz w:val="22"/>
                <w:szCs w:val="24"/>
              </w:rPr>
              <w:t xml:space="preserve"> the compression of greenhouse gases </w:t>
            </w:r>
            <w:r w:rsidR="00557AED">
              <w:rPr>
                <w:color w:val="000000" w:themeColor="text1"/>
                <w:sz w:val="22"/>
                <w:szCs w:val="24"/>
              </w:rPr>
              <w:t>at the gas processing facility</w:t>
            </w:r>
            <w:r w:rsidR="00C96E2D">
              <w:rPr>
                <w:color w:val="000000" w:themeColor="text1"/>
                <w:sz w:val="22"/>
                <w:szCs w:val="24"/>
              </w:rPr>
              <w:t xml:space="preserve">. </w:t>
            </w:r>
          </w:p>
          <w:p w14:paraId="6FDA7E48" w14:textId="65E81204" w:rsidR="00045C47" w:rsidRPr="00970A48" w:rsidRDefault="00045C47" w:rsidP="000D76A9">
            <w:pPr>
              <w:pStyle w:val="ListParagraph"/>
              <w:numPr>
                <w:ilvl w:val="0"/>
                <w:numId w:val="25"/>
              </w:numPr>
              <w:rPr>
                <w:color w:val="000000" w:themeColor="text1"/>
                <w:sz w:val="22"/>
                <w:szCs w:val="24"/>
              </w:rPr>
            </w:pPr>
            <w:r>
              <w:rPr>
                <w:color w:val="000000" w:themeColor="text1"/>
                <w:sz w:val="22"/>
                <w:szCs w:val="24"/>
              </w:rPr>
              <w:t xml:space="preserve">15,000 </w:t>
            </w:r>
            <w:r w:rsidRPr="00970A48">
              <w:rPr>
                <w:color w:val="000000" w:themeColor="text1"/>
                <w:sz w:val="22"/>
                <w:szCs w:val="24"/>
              </w:rPr>
              <w:t>tonnes CO</w:t>
            </w:r>
            <w:r w:rsidRPr="00970A48">
              <w:rPr>
                <w:rFonts w:ascii="Calibri" w:eastAsia="Cambria" w:hAnsi="Calibri" w:cs="Calibri"/>
                <w:sz w:val="22"/>
                <w:szCs w:val="28"/>
                <w:vertAlign w:val="subscript"/>
                <w:lang w:val="en-AU"/>
              </w:rPr>
              <w:t>2</w:t>
            </w:r>
            <w:r>
              <w:rPr>
                <w:rFonts w:ascii="Calibri" w:eastAsia="Cambria" w:hAnsi="Calibri" w:cs="Calibri"/>
                <w:sz w:val="22"/>
                <w:szCs w:val="28"/>
                <w:lang w:val="en-AU"/>
              </w:rPr>
              <w:t>-</w:t>
            </w:r>
            <w:r w:rsidRPr="00970A48">
              <w:rPr>
                <w:color w:val="000000" w:themeColor="text1"/>
                <w:sz w:val="22"/>
                <w:szCs w:val="24"/>
              </w:rPr>
              <w:t>e</w:t>
            </w:r>
            <w:r>
              <w:rPr>
                <w:color w:val="000000" w:themeColor="text1"/>
                <w:sz w:val="22"/>
                <w:szCs w:val="24"/>
              </w:rPr>
              <w:t xml:space="preserve"> transportation and storage site fugitive emissions – primarily </w:t>
            </w:r>
            <w:r w:rsidR="0032191F">
              <w:rPr>
                <w:color w:val="000000" w:themeColor="text1"/>
                <w:sz w:val="22"/>
                <w:szCs w:val="24"/>
              </w:rPr>
              <w:t>as a result of</w:t>
            </w:r>
            <w:r>
              <w:rPr>
                <w:color w:val="000000" w:themeColor="text1"/>
                <w:sz w:val="22"/>
                <w:szCs w:val="24"/>
              </w:rPr>
              <w:t xml:space="preserve"> </w:t>
            </w:r>
            <w:r w:rsidR="005610A0">
              <w:rPr>
                <w:color w:val="000000" w:themeColor="text1"/>
                <w:sz w:val="22"/>
                <w:szCs w:val="24"/>
              </w:rPr>
              <w:t>venting from the pipeline and equipment at the injection site</w:t>
            </w:r>
            <w:r>
              <w:rPr>
                <w:color w:val="000000" w:themeColor="text1"/>
                <w:sz w:val="22"/>
                <w:szCs w:val="24"/>
              </w:rPr>
              <w:t>.</w:t>
            </w:r>
          </w:p>
          <w:p w14:paraId="65ECF6B2" w14:textId="196751BD" w:rsidR="00E172D4" w:rsidRPr="00970A48" w:rsidRDefault="00C96E2D" w:rsidP="000D76A9">
            <w:pPr>
              <w:pStyle w:val="ListParagraph"/>
              <w:numPr>
                <w:ilvl w:val="0"/>
                <w:numId w:val="25"/>
              </w:numPr>
              <w:rPr>
                <w:color w:val="000000" w:themeColor="text1"/>
                <w:sz w:val="22"/>
                <w:szCs w:val="24"/>
              </w:rPr>
            </w:pPr>
            <w:r w:rsidRPr="00970A48">
              <w:rPr>
                <w:color w:val="000000" w:themeColor="text1"/>
                <w:sz w:val="22"/>
                <w:szCs w:val="24"/>
              </w:rPr>
              <w:t>500 tonnes CO</w:t>
            </w:r>
            <w:r w:rsidRPr="00970A48">
              <w:rPr>
                <w:rFonts w:ascii="Calibri" w:eastAsia="Cambria" w:hAnsi="Calibri" w:cs="Calibri"/>
                <w:sz w:val="22"/>
                <w:szCs w:val="28"/>
                <w:vertAlign w:val="subscript"/>
                <w:lang w:val="en-AU"/>
              </w:rPr>
              <w:t>2</w:t>
            </w:r>
            <w:r>
              <w:rPr>
                <w:rFonts w:ascii="Calibri" w:eastAsia="Cambria" w:hAnsi="Calibri" w:cs="Calibri"/>
                <w:sz w:val="22"/>
                <w:szCs w:val="28"/>
                <w:lang w:val="en-AU"/>
              </w:rPr>
              <w:t>-</w:t>
            </w:r>
            <w:r w:rsidRPr="00970A48">
              <w:rPr>
                <w:color w:val="000000" w:themeColor="text1"/>
                <w:sz w:val="22"/>
                <w:szCs w:val="24"/>
              </w:rPr>
              <w:t>e</w:t>
            </w:r>
            <w:r>
              <w:rPr>
                <w:color w:val="000000" w:themeColor="text1"/>
                <w:sz w:val="22"/>
                <w:szCs w:val="24"/>
              </w:rPr>
              <w:t xml:space="preserve"> s</w:t>
            </w:r>
            <w:r w:rsidR="00E172D4" w:rsidRPr="00970A48">
              <w:rPr>
                <w:color w:val="000000" w:themeColor="text1"/>
                <w:sz w:val="22"/>
                <w:szCs w:val="24"/>
              </w:rPr>
              <w:t xml:space="preserve">torage </w:t>
            </w:r>
            <w:r>
              <w:rPr>
                <w:color w:val="000000" w:themeColor="text1"/>
                <w:sz w:val="22"/>
                <w:szCs w:val="24"/>
              </w:rPr>
              <w:t>s</w:t>
            </w:r>
            <w:r w:rsidR="00E172D4" w:rsidRPr="00970A48">
              <w:rPr>
                <w:color w:val="000000" w:themeColor="text1"/>
                <w:sz w:val="22"/>
                <w:szCs w:val="24"/>
              </w:rPr>
              <w:t xml:space="preserve">ite </w:t>
            </w:r>
            <w:r>
              <w:rPr>
                <w:color w:val="000000" w:themeColor="text1"/>
                <w:sz w:val="22"/>
                <w:szCs w:val="24"/>
              </w:rPr>
              <w:t>m</w:t>
            </w:r>
            <w:r w:rsidR="00E172D4" w:rsidRPr="00970A48">
              <w:rPr>
                <w:color w:val="000000" w:themeColor="text1"/>
                <w:sz w:val="22"/>
                <w:szCs w:val="24"/>
              </w:rPr>
              <w:t xml:space="preserve">onitoring </w:t>
            </w:r>
            <w:r>
              <w:rPr>
                <w:color w:val="000000" w:themeColor="text1"/>
                <w:sz w:val="22"/>
                <w:szCs w:val="24"/>
              </w:rPr>
              <w:t>e</w:t>
            </w:r>
            <w:r w:rsidR="00E172D4" w:rsidRPr="00970A48">
              <w:rPr>
                <w:color w:val="000000" w:themeColor="text1"/>
                <w:sz w:val="22"/>
                <w:szCs w:val="24"/>
              </w:rPr>
              <w:t>missions</w:t>
            </w:r>
          </w:p>
          <w:p w14:paraId="4EC0F4E9" w14:textId="4EF3BD57" w:rsidR="00E172D4" w:rsidRPr="00970A48" w:rsidRDefault="00E172D4" w:rsidP="000D76A9">
            <w:pPr>
              <w:pStyle w:val="ListParagraph"/>
              <w:numPr>
                <w:ilvl w:val="0"/>
                <w:numId w:val="25"/>
              </w:numPr>
              <w:rPr>
                <w:color w:val="000000" w:themeColor="text1"/>
                <w:sz w:val="22"/>
                <w:szCs w:val="24"/>
              </w:rPr>
            </w:pPr>
            <w:r w:rsidRPr="00970A48">
              <w:rPr>
                <w:color w:val="000000" w:themeColor="text1"/>
                <w:sz w:val="22"/>
                <w:szCs w:val="24"/>
              </w:rPr>
              <w:t xml:space="preserve">There are no </w:t>
            </w:r>
            <w:r w:rsidR="00C96E2D">
              <w:rPr>
                <w:color w:val="000000" w:themeColor="text1"/>
                <w:sz w:val="22"/>
                <w:szCs w:val="24"/>
              </w:rPr>
              <w:t>s</w:t>
            </w:r>
            <w:r w:rsidRPr="00970A48">
              <w:rPr>
                <w:color w:val="000000" w:themeColor="text1"/>
                <w:sz w:val="22"/>
                <w:szCs w:val="24"/>
              </w:rPr>
              <w:t xml:space="preserve">torage </w:t>
            </w:r>
            <w:r w:rsidR="00C96E2D">
              <w:rPr>
                <w:color w:val="000000" w:themeColor="text1"/>
                <w:sz w:val="22"/>
                <w:szCs w:val="24"/>
              </w:rPr>
              <w:t>s</w:t>
            </w:r>
            <w:r w:rsidRPr="00970A48">
              <w:rPr>
                <w:color w:val="000000" w:themeColor="text1"/>
                <w:sz w:val="22"/>
                <w:szCs w:val="24"/>
              </w:rPr>
              <w:t xml:space="preserve">ite </w:t>
            </w:r>
            <w:r w:rsidR="00C96E2D">
              <w:rPr>
                <w:color w:val="000000" w:themeColor="text1"/>
                <w:sz w:val="22"/>
                <w:szCs w:val="24"/>
              </w:rPr>
              <w:t>f</w:t>
            </w:r>
            <w:r w:rsidRPr="00970A48">
              <w:rPr>
                <w:color w:val="000000" w:themeColor="text1"/>
                <w:sz w:val="22"/>
                <w:szCs w:val="24"/>
              </w:rPr>
              <w:t xml:space="preserve">ugitive </w:t>
            </w:r>
            <w:r w:rsidR="00C96E2D">
              <w:rPr>
                <w:color w:val="000000" w:themeColor="text1"/>
                <w:sz w:val="22"/>
                <w:szCs w:val="24"/>
              </w:rPr>
              <w:t>e</w:t>
            </w:r>
            <w:r w:rsidRPr="00970A48">
              <w:rPr>
                <w:color w:val="000000" w:themeColor="text1"/>
                <w:sz w:val="22"/>
                <w:szCs w:val="24"/>
              </w:rPr>
              <w:t>missions</w:t>
            </w:r>
            <w:r w:rsidR="00C96E2D">
              <w:rPr>
                <w:color w:val="000000" w:themeColor="text1"/>
                <w:sz w:val="22"/>
                <w:szCs w:val="24"/>
              </w:rPr>
              <w:t xml:space="preserve"> detected by the monitoring program</w:t>
            </w:r>
          </w:p>
          <w:p w14:paraId="5B807E36" w14:textId="77B3A026" w:rsidR="00E172D4" w:rsidRPr="00970A48" w:rsidRDefault="00E172D4" w:rsidP="000D76A9">
            <w:pPr>
              <w:jc w:val="both"/>
              <w:rPr>
                <w:color w:val="000000" w:themeColor="text1"/>
                <w:sz w:val="22"/>
                <w:szCs w:val="28"/>
              </w:rPr>
            </w:pPr>
          </w:p>
          <w:p w14:paraId="10AAD072" w14:textId="5FF31D7E" w:rsidR="00E2788E" w:rsidRPr="009B5ED6" w:rsidRDefault="00737450" w:rsidP="00C96E2D">
            <w:pPr>
              <w:jc w:val="center"/>
              <w:rPr>
                <w:color w:val="000000" w:themeColor="text1"/>
                <w:sz w:val="22"/>
                <w:szCs w:val="22"/>
              </w:rPr>
            </w:pPr>
            <w:r w:rsidRPr="00737450">
              <w:rPr>
                <w:rFonts w:asciiTheme="minorHAnsi" w:eastAsiaTheme="minorHAnsi" w:hAnsiTheme="minorHAnsi" w:cstheme="minorHAnsi"/>
                <w:b/>
                <w:bCs/>
                <w:color w:val="auto"/>
                <w:szCs w:val="22"/>
              </w:rPr>
              <w:t>A = (</w:t>
            </w:r>
            <w:r w:rsidR="009820CE">
              <w:rPr>
                <w:rFonts w:asciiTheme="minorHAnsi" w:eastAsiaTheme="minorHAnsi" w:hAnsiTheme="minorHAnsi" w:cstheme="minorHAnsi"/>
                <w:b/>
                <w:bCs/>
                <w:color w:val="auto"/>
                <w:szCs w:val="22"/>
              </w:rPr>
              <w:t>C</w:t>
            </w:r>
            <w:r w:rsidRPr="00737450">
              <w:rPr>
                <w:rFonts w:asciiTheme="minorHAnsi" w:eastAsiaTheme="minorHAnsi" w:hAnsiTheme="minorHAnsi" w:cstheme="minorHAnsi"/>
                <w:b/>
                <w:bCs/>
                <w:color w:val="auto"/>
                <w:szCs w:val="22"/>
              </w:rPr>
              <w:t xml:space="preserve">GG  –  </w:t>
            </w:r>
            <w:r w:rsidR="00045C47" w:rsidRPr="00737450">
              <w:rPr>
                <w:rFonts w:asciiTheme="minorHAnsi" w:eastAsiaTheme="minorHAnsi" w:hAnsiTheme="minorHAnsi" w:cstheme="minorHAnsi"/>
                <w:b/>
                <w:bCs/>
                <w:color w:val="auto"/>
                <w:szCs w:val="22"/>
              </w:rPr>
              <w:t>Q</w:t>
            </w:r>
            <w:r w:rsidR="00045C47">
              <w:rPr>
                <w:rFonts w:asciiTheme="minorHAnsi" w:eastAsiaTheme="minorHAnsi" w:hAnsiTheme="minorHAnsi" w:cstheme="minorHAnsi"/>
                <w:b/>
                <w:bCs/>
                <w:color w:val="auto"/>
                <w:szCs w:val="22"/>
                <w:vertAlign w:val="subscript"/>
              </w:rPr>
              <w:t>C</w:t>
            </w:r>
            <w:r w:rsidR="00045C47" w:rsidRPr="00737450">
              <w:rPr>
                <w:rFonts w:asciiTheme="minorHAnsi" w:eastAsiaTheme="minorHAnsi" w:hAnsiTheme="minorHAnsi" w:cstheme="minorHAnsi"/>
                <w:b/>
                <w:bCs/>
                <w:color w:val="auto"/>
                <w:szCs w:val="22"/>
                <w:vertAlign w:val="subscript"/>
              </w:rPr>
              <w:t>M</w:t>
            </w:r>
            <w:r w:rsidR="00045C47" w:rsidRPr="00737450">
              <w:rPr>
                <w:rFonts w:asciiTheme="minorHAnsi" w:eastAsiaTheme="minorHAnsi" w:hAnsiTheme="minorHAnsi" w:cstheme="minorHAnsi"/>
                <w:b/>
                <w:bCs/>
                <w:color w:val="auto"/>
                <w:szCs w:val="22"/>
              </w:rPr>
              <w:t xml:space="preserve">  </w:t>
            </w:r>
            <w:r w:rsidRPr="00737450">
              <w:rPr>
                <w:rFonts w:asciiTheme="minorHAnsi" w:eastAsiaTheme="minorHAnsi" w:hAnsiTheme="minorHAnsi" w:cstheme="minorHAnsi"/>
                <w:b/>
                <w:bCs/>
                <w:color w:val="auto"/>
                <w:szCs w:val="22"/>
              </w:rPr>
              <w:t>–  CCSE ) x 0.97</w:t>
            </w:r>
          </w:p>
          <w:p w14:paraId="525DF48F" w14:textId="3F9EDCD9" w:rsidR="00E172D4" w:rsidRPr="00C96E2D" w:rsidRDefault="00E172D4" w:rsidP="00C96E2D">
            <w:pPr>
              <w:jc w:val="center"/>
              <w:rPr>
                <w:color w:val="auto"/>
                <w:sz w:val="22"/>
                <w:szCs w:val="28"/>
              </w:rPr>
            </w:pPr>
            <w:r w:rsidRPr="00970A48">
              <w:rPr>
                <w:color w:val="000000" w:themeColor="text1"/>
                <w:sz w:val="22"/>
                <w:szCs w:val="28"/>
              </w:rPr>
              <w:t>Abatement =</w:t>
            </w:r>
            <w:r w:rsidR="00E2788E">
              <w:rPr>
                <w:color w:val="000000" w:themeColor="text1"/>
                <w:sz w:val="22"/>
                <w:szCs w:val="28"/>
              </w:rPr>
              <w:t xml:space="preserve"> (</w:t>
            </w:r>
            <w:r w:rsidRPr="00970A48">
              <w:rPr>
                <w:color w:val="000000" w:themeColor="text1"/>
                <w:sz w:val="22"/>
                <w:szCs w:val="28"/>
              </w:rPr>
              <w:t>1,0</w:t>
            </w:r>
            <w:r w:rsidR="00C96E2D">
              <w:rPr>
                <w:color w:val="000000" w:themeColor="text1"/>
                <w:sz w:val="22"/>
                <w:szCs w:val="28"/>
              </w:rPr>
              <w:t>00</w:t>
            </w:r>
            <w:r w:rsidRPr="00970A48">
              <w:rPr>
                <w:color w:val="000000" w:themeColor="text1"/>
                <w:sz w:val="22"/>
                <w:szCs w:val="28"/>
              </w:rPr>
              <w:t xml:space="preserve">,000 – </w:t>
            </w:r>
            <w:r w:rsidR="00F96473">
              <w:rPr>
                <w:color w:val="000000" w:themeColor="text1"/>
                <w:sz w:val="22"/>
                <w:szCs w:val="28"/>
              </w:rPr>
              <w:t xml:space="preserve">0 </w:t>
            </w:r>
            <w:r w:rsidR="00E51D7A">
              <w:rPr>
                <w:color w:val="000000" w:themeColor="text1"/>
                <w:sz w:val="22"/>
                <w:szCs w:val="28"/>
              </w:rPr>
              <w:t xml:space="preserve">– </w:t>
            </w:r>
            <w:r w:rsidRPr="00970A48">
              <w:rPr>
                <w:color w:val="000000" w:themeColor="text1"/>
                <w:sz w:val="22"/>
                <w:szCs w:val="28"/>
              </w:rPr>
              <w:t>(</w:t>
            </w:r>
            <w:r w:rsidR="00045C47">
              <w:rPr>
                <w:color w:val="000000" w:themeColor="text1"/>
                <w:sz w:val="22"/>
                <w:szCs w:val="28"/>
              </w:rPr>
              <w:t>25</w:t>
            </w:r>
            <w:r w:rsidR="00C96E2D">
              <w:rPr>
                <w:color w:val="000000" w:themeColor="text1"/>
                <w:sz w:val="22"/>
                <w:szCs w:val="28"/>
              </w:rPr>
              <w:t>,0</w:t>
            </w:r>
            <w:r w:rsidRPr="00970A48">
              <w:rPr>
                <w:color w:val="000000" w:themeColor="text1"/>
                <w:sz w:val="22"/>
                <w:szCs w:val="28"/>
              </w:rPr>
              <w:t xml:space="preserve">00 </w:t>
            </w:r>
            <w:r w:rsidR="00E2788E">
              <w:rPr>
                <w:color w:val="000000" w:themeColor="text1"/>
                <w:sz w:val="22"/>
                <w:szCs w:val="28"/>
              </w:rPr>
              <w:t>+</w:t>
            </w:r>
            <w:r w:rsidR="00045C47">
              <w:rPr>
                <w:color w:val="000000" w:themeColor="text1"/>
                <w:sz w:val="22"/>
                <w:szCs w:val="28"/>
              </w:rPr>
              <w:t xml:space="preserve">15,000 </w:t>
            </w:r>
            <w:r w:rsidR="00E2788E">
              <w:rPr>
                <w:color w:val="000000" w:themeColor="text1"/>
                <w:sz w:val="22"/>
                <w:szCs w:val="28"/>
              </w:rPr>
              <w:t>+</w:t>
            </w:r>
            <w:r w:rsidRPr="00970A48">
              <w:rPr>
                <w:color w:val="000000" w:themeColor="text1"/>
                <w:sz w:val="22"/>
                <w:szCs w:val="28"/>
              </w:rPr>
              <w:t xml:space="preserve"> 500)</w:t>
            </w:r>
            <w:r w:rsidR="00E2788E">
              <w:rPr>
                <w:color w:val="000000" w:themeColor="text1"/>
                <w:sz w:val="22"/>
                <w:szCs w:val="28"/>
              </w:rPr>
              <w:t>) x 0.97</w:t>
            </w:r>
            <w:r w:rsidRPr="00970A48">
              <w:rPr>
                <w:color w:val="000000" w:themeColor="text1"/>
                <w:sz w:val="22"/>
                <w:szCs w:val="28"/>
              </w:rPr>
              <w:t xml:space="preserve"> = </w:t>
            </w:r>
            <w:r w:rsidR="00F96473">
              <w:rPr>
                <w:color w:val="000000" w:themeColor="text1"/>
                <w:sz w:val="22"/>
                <w:szCs w:val="28"/>
              </w:rPr>
              <w:t>930,715</w:t>
            </w:r>
            <w:r w:rsidRPr="00970A48">
              <w:rPr>
                <w:color w:val="auto"/>
                <w:sz w:val="22"/>
                <w:szCs w:val="28"/>
              </w:rPr>
              <w:t xml:space="preserve"> tonnes </w:t>
            </w:r>
            <w:r w:rsidRPr="00970A48">
              <w:rPr>
                <w:color w:val="000000" w:themeColor="text1"/>
                <w:sz w:val="22"/>
              </w:rPr>
              <w:t>CO</w:t>
            </w:r>
            <w:r w:rsidRPr="00970A48">
              <w:rPr>
                <w:sz w:val="22"/>
                <w:szCs w:val="28"/>
                <w:vertAlign w:val="subscript"/>
              </w:rPr>
              <w:t>2</w:t>
            </w:r>
            <w:r>
              <w:rPr>
                <w:sz w:val="22"/>
                <w:szCs w:val="28"/>
              </w:rPr>
              <w:t>-</w:t>
            </w:r>
            <w:r w:rsidRPr="00970A48">
              <w:rPr>
                <w:color w:val="000000" w:themeColor="text1"/>
                <w:sz w:val="22"/>
              </w:rPr>
              <w:t>e</w:t>
            </w:r>
          </w:p>
        </w:tc>
      </w:tr>
    </w:tbl>
    <w:p w14:paraId="19C4AF12" w14:textId="78A3477A" w:rsidR="007D6B3E" w:rsidRPr="0089633B" w:rsidRDefault="007D6B3E" w:rsidP="0089633B">
      <w:pPr>
        <w:tabs>
          <w:tab w:val="right" w:pos="1021"/>
        </w:tabs>
        <w:spacing w:after="240"/>
        <w:jc w:val="both"/>
        <w:rPr>
          <w:rFonts w:asciiTheme="minorHAnsi" w:eastAsia="Times New Roman" w:hAnsiTheme="minorHAnsi" w:cs="Times New Roman"/>
          <w:color w:val="000000" w:themeColor="text1"/>
          <w:szCs w:val="20"/>
          <w:lang w:eastAsia="en-AU"/>
        </w:rPr>
      </w:pPr>
    </w:p>
    <w:p w14:paraId="04D8D824" w14:textId="492CDFB9" w:rsidR="00E14C4B" w:rsidRDefault="00E14C4B" w:rsidP="00E14C4B">
      <w:pPr>
        <w:pStyle w:val="Heading3"/>
        <w:spacing w:after="200"/>
        <w:rPr>
          <w:lang w:val="en-GB"/>
        </w:rPr>
      </w:pPr>
      <w:bookmarkStart w:id="49" w:name="_Toc75442805"/>
      <w:r>
        <w:rPr>
          <w:lang w:val="en-GB"/>
        </w:rPr>
        <w:t>Consistency with National Greenhouse and Energy Reporting</w:t>
      </w:r>
      <w:bookmarkEnd w:id="49"/>
    </w:p>
    <w:p w14:paraId="3514B9C4" w14:textId="5E60232E" w:rsidR="00C823C0" w:rsidRDefault="00C823C0" w:rsidP="003E3CD6">
      <w:pPr>
        <w:jc w:val="both"/>
        <w:rPr>
          <w:rFonts w:ascii="Segoe UI" w:hAnsi="Segoe UI" w:cs="Segoe UI"/>
          <w:sz w:val="21"/>
          <w:szCs w:val="21"/>
        </w:rPr>
      </w:pPr>
      <w:r w:rsidRPr="003E3CD6">
        <w:rPr>
          <w:rFonts w:asciiTheme="minorHAnsi" w:eastAsia="Times New Roman" w:hAnsiTheme="minorHAnsi" w:cs="Times New Roman"/>
          <w:color w:val="000000" w:themeColor="text1"/>
          <w:lang w:eastAsia="en-AU"/>
        </w:rPr>
        <w:t>Corporations</w:t>
      </w:r>
      <w:r>
        <w:rPr>
          <w:szCs w:val="22"/>
        </w:rPr>
        <w:t xml:space="preserve"> that meet</w:t>
      </w:r>
      <w:r w:rsidR="00B93851">
        <w:rPr>
          <w:szCs w:val="22"/>
        </w:rPr>
        <w:t xml:space="preserve"> National Greenhouse and Energy Report</w:t>
      </w:r>
      <w:r w:rsidR="001F31BB">
        <w:rPr>
          <w:szCs w:val="22"/>
        </w:rPr>
        <w:t>ing</w:t>
      </w:r>
      <w:r w:rsidR="00B93851">
        <w:rPr>
          <w:szCs w:val="22"/>
        </w:rPr>
        <w:t xml:space="preserve"> (NGER) thresholds </w:t>
      </w:r>
      <w:r w:rsidR="003F313C">
        <w:rPr>
          <w:szCs w:val="22"/>
        </w:rPr>
        <w:t xml:space="preserve">are required to </w:t>
      </w:r>
      <w:r w:rsidR="00B93851">
        <w:rPr>
          <w:szCs w:val="22"/>
        </w:rPr>
        <w:t xml:space="preserve">annually </w:t>
      </w:r>
      <w:r>
        <w:rPr>
          <w:szCs w:val="22"/>
        </w:rPr>
        <w:t xml:space="preserve">report their energy production, energy consumption, and emissions to the Clean Energy Regulator. </w:t>
      </w:r>
      <w:r w:rsidR="001F31BB">
        <w:rPr>
          <w:szCs w:val="22"/>
        </w:rPr>
        <w:t>For many emission sources, t</w:t>
      </w:r>
      <w:r w:rsidR="00B93851">
        <w:rPr>
          <w:szCs w:val="22"/>
        </w:rPr>
        <w:t xml:space="preserve">he NGER framework provides a choice for which </w:t>
      </w:r>
      <w:r w:rsidR="002827FC">
        <w:rPr>
          <w:szCs w:val="22"/>
        </w:rPr>
        <w:t xml:space="preserve">estimation methodology </w:t>
      </w:r>
      <w:r w:rsidR="00B93851">
        <w:rPr>
          <w:szCs w:val="22"/>
        </w:rPr>
        <w:t>to use for estimating emissions</w:t>
      </w:r>
      <w:r>
        <w:rPr>
          <w:szCs w:val="22"/>
        </w:rPr>
        <w:t xml:space="preserve">. </w:t>
      </w:r>
    </w:p>
    <w:p w14:paraId="79C49018" w14:textId="4343E715" w:rsidR="00E14C4B" w:rsidRPr="0003191C" w:rsidRDefault="00B93851" w:rsidP="003E3CD6">
      <w:pPr>
        <w:jc w:val="both"/>
      </w:pPr>
      <w:r>
        <w:t>While t</w:t>
      </w:r>
      <w:r w:rsidR="00C823C0" w:rsidRPr="002E60A1">
        <w:t xml:space="preserve">he proposed CCS method </w:t>
      </w:r>
      <w:r w:rsidR="002827FC">
        <w:t xml:space="preserve">does </w:t>
      </w:r>
      <w:r w:rsidR="00C823C0" w:rsidRPr="002E60A1">
        <w:t>n</w:t>
      </w:r>
      <w:r>
        <w:t>o</w:t>
      </w:r>
      <w:r w:rsidR="00C823C0" w:rsidRPr="002E60A1">
        <w:t xml:space="preserve">t prescribe a particular </w:t>
      </w:r>
      <w:r w:rsidR="001F31BB">
        <w:t xml:space="preserve">NGER </w:t>
      </w:r>
      <w:r w:rsidR="002827FC">
        <w:t xml:space="preserve">methodology </w:t>
      </w:r>
      <w:r>
        <w:t xml:space="preserve">to </w:t>
      </w:r>
      <w:r w:rsidR="00C823C0" w:rsidRPr="002E60A1">
        <w:t>be used</w:t>
      </w:r>
      <w:r w:rsidR="002827FC">
        <w:t>, i</w:t>
      </w:r>
      <w:r w:rsidR="00C823C0" w:rsidRPr="002E60A1">
        <w:t xml:space="preserve">t </w:t>
      </w:r>
      <w:r>
        <w:t xml:space="preserve">does </w:t>
      </w:r>
      <w:r w:rsidR="00C823C0" w:rsidRPr="002E60A1">
        <w:t xml:space="preserve">require projects </w:t>
      </w:r>
      <w:r w:rsidR="002827FC">
        <w:t xml:space="preserve">to </w:t>
      </w:r>
      <w:r w:rsidR="001F31BB">
        <w:t>use the same</w:t>
      </w:r>
      <w:r w:rsidR="00C823C0" w:rsidRPr="002E60A1">
        <w:t xml:space="preserve"> approach </w:t>
      </w:r>
      <w:r w:rsidR="002827FC">
        <w:t xml:space="preserve">for </w:t>
      </w:r>
      <w:r w:rsidR="00C823C0" w:rsidRPr="002E60A1">
        <w:t>their ERF project calculations a</w:t>
      </w:r>
      <w:r w:rsidR="001F31BB">
        <w:t xml:space="preserve">s they have chosen for </w:t>
      </w:r>
      <w:r w:rsidR="00C823C0" w:rsidRPr="002E60A1">
        <w:t>their NGER re</w:t>
      </w:r>
      <w:r w:rsidR="00C823C0" w:rsidRPr="006A0F9C">
        <w:t xml:space="preserve">porting within a particular </w:t>
      </w:r>
      <w:r w:rsidR="001F31BB">
        <w:t xml:space="preserve">reporting </w:t>
      </w:r>
      <w:r w:rsidR="00C823C0" w:rsidRPr="006A0F9C">
        <w:t xml:space="preserve">period. </w:t>
      </w:r>
      <w:r w:rsidR="00E14C4B" w:rsidRPr="00C823C0">
        <w:t xml:space="preserve">A facility </w:t>
      </w:r>
      <w:r>
        <w:t xml:space="preserve">or </w:t>
      </w:r>
      <w:r w:rsidR="00E14C4B" w:rsidRPr="00C823C0">
        <w:t xml:space="preserve">project may change </w:t>
      </w:r>
      <w:r w:rsidR="002827FC">
        <w:t xml:space="preserve">the methodology </w:t>
      </w:r>
      <w:r w:rsidR="001F31BB">
        <w:t xml:space="preserve">used for their ERF project calculations </w:t>
      </w:r>
      <w:r w:rsidR="00E14C4B" w:rsidRPr="00C823C0">
        <w:t xml:space="preserve">between periods </w:t>
      </w:r>
      <w:r w:rsidR="002827FC">
        <w:t xml:space="preserve">provided it is the same one used </w:t>
      </w:r>
      <w:r w:rsidR="001F31BB">
        <w:t>under</w:t>
      </w:r>
      <w:r w:rsidR="00E14C4B" w:rsidRPr="00C823C0">
        <w:t xml:space="preserve"> NGER</w:t>
      </w:r>
      <w:r w:rsidR="007F32C4" w:rsidRPr="00C823C0">
        <w:t>.</w:t>
      </w:r>
      <w:r w:rsidR="00C823C0" w:rsidRPr="006A0F9C">
        <w:t xml:space="preserve"> </w:t>
      </w:r>
      <w:r w:rsidR="002827FC">
        <w:t>U</w:t>
      </w:r>
      <w:r w:rsidR="00C823C0" w:rsidRPr="002E60A1">
        <w:t>nder</w:t>
      </w:r>
      <w:r w:rsidR="00C823C0" w:rsidRPr="006A0F9C">
        <w:t xml:space="preserve"> NGER</w:t>
      </w:r>
      <w:r w:rsidR="002827FC">
        <w:t>,</w:t>
      </w:r>
      <w:r w:rsidR="00C823C0" w:rsidRPr="006A0F9C">
        <w:t xml:space="preserve"> a reporter may switch to a higher order</w:t>
      </w:r>
      <w:r w:rsidR="002827FC">
        <w:t xml:space="preserve"> methodology </w:t>
      </w:r>
      <w:r w:rsidR="00C823C0" w:rsidRPr="006A0F9C">
        <w:t xml:space="preserve">at any time </w:t>
      </w:r>
      <w:r w:rsidR="006A0F9C">
        <w:t xml:space="preserve">provided they use that approach </w:t>
      </w:r>
      <w:r w:rsidR="00C823C0" w:rsidRPr="006A0F9C">
        <w:t>for a</w:t>
      </w:r>
      <w:r w:rsidR="006A0F9C">
        <w:t xml:space="preserve"> minimum of </w:t>
      </w:r>
      <w:r w:rsidR="00C823C0" w:rsidRPr="006A0F9C">
        <w:t>four years before changing to a lower order method.</w:t>
      </w:r>
    </w:p>
    <w:p w14:paraId="081FEE98" w14:textId="541D3D49" w:rsidR="00C46AC9" w:rsidRDefault="00C46AC9" w:rsidP="00C46AC9">
      <w:pPr>
        <w:pStyle w:val="Heading2"/>
      </w:pPr>
      <w:bookmarkStart w:id="50" w:name="_Toc75442806"/>
      <w:r>
        <w:t>Offsets reports and claiming carbon credits</w:t>
      </w:r>
      <w:bookmarkEnd w:id="50"/>
      <w:r w:rsidR="00712911">
        <w:t xml:space="preserve"> </w:t>
      </w:r>
    </w:p>
    <w:p w14:paraId="14BBF41E" w14:textId="1F04D68A" w:rsidR="00712911" w:rsidRPr="002E60A1" w:rsidRDefault="00712911" w:rsidP="002E60A1">
      <w:pPr>
        <w:jc w:val="both"/>
        <w:rPr>
          <w:rFonts w:asciiTheme="minorHAnsi" w:eastAsia="Times New Roman" w:hAnsiTheme="minorHAnsi" w:cs="Times New Roman"/>
          <w:color w:val="000000" w:themeColor="text1"/>
          <w:lang w:eastAsia="en-AU"/>
        </w:rPr>
      </w:pPr>
      <w:r w:rsidRPr="002E60A1">
        <w:rPr>
          <w:rFonts w:asciiTheme="minorHAnsi" w:eastAsia="Times New Roman" w:hAnsiTheme="minorHAnsi" w:cs="Times New Roman"/>
          <w:color w:val="000000" w:themeColor="text1"/>
          <w:lang w:eastAsia="en-AU"/>
        </w:rPr>
        <w:t>A</w:t>
      </w:r>
      <w:r w:rsidR="00797E3B" w:rsidRPr="002E60A1">
        <w:rPr>
          <w:rFonts w:asciiTheme="minorHAnsi" w:eastAsia="Times New Roman" w:hAnsiTheme="minorHAnsi" w:cs="Times New Roman"/>
          <w:color w:val="000000" w:themeColor="text1"/>
          <w:lang w:eastAsia="en-AU"/>
        </w:rPr>
        <w:t>CCUs</w:t>
      </w:r>
      <w:r w:rsidRPr="002E60A1">
        <w:rPr>
          <w:rFonts w:asciiTheme="minorHAnsi" w:eastAsia="Times New Roman" w:hAnsiTheme="minorHAnsi" w:cs="Times New Roman"/>
          <w:color w:val="000000" w:themeColor="text1"/>
          <w:lang w:eastAsia="en-AU"/>
        </w:rPr>
        <w:t xml:space="preserve"> from a </w:t>
      </w:r>
      <w:r w:rsidR="00722D80" w:rsidRPr="002E60A1">
        <w:rPr>
          <w:rFonts w:asciiTheme="minorHAnsi" w:eastAsia="Times New Roman" w:hAnsiTheme="minorHAnsi" w:cs="Times New Roman"/>
          <w:color w:val="000000" w:themeColor="text1"/>
          <w:lang w:eastAsia="en-AU"/>
        </w:rPr>
        <w:t>CCS</w:t>
      </w:r>
      <w:r w:rsidRPr="002E60A1">
        <w:rPr>
          <w:rFonts w:asciiTheme="minorHAnsi" w:eastAsia="Times New Roman" w:hAnsiTheme="minorHAnsi" w:cs="Times New Roman"/>
          <w:color w:val="000000" w:themeColor="text1"/>
          <w:lang w:eastAsia="en-AU"/>
        </w:rPr>
        <w:t xml:space="preserve"> project will be issued following </w:t>
      </w:r>
      <w:r w:rsidR="004C42B8" w:rsidRPr="002E60A1">
        <w:rPr>
          <w:rFonts w:asciiTheme="minorHAnsi" w:eastAsia="Times New Roman" w:hAnsiTheme="minorHAnsi" w:cs="Times New Roman"/>
          <w:color w:val="000000" w:themeColor="text1"/>
          <w:lang w:eastAsia="en-AU"/>
        </w:rPr>
        <w:t>the lodgement of a</w:t>
      </w:r>
      <w:r w:rsidR="00E53E42" w:rsidRPr="002E60A1">
        <w:rPr>
          <w:rFonts w:asciiTheme="minorHAnsi" w:eastAsia="Times New Roman" w:hAnsiTheme="minorHAnsi" w:cs="Times New Roman"/>
          <w:color w:val="000000" w:themeColor="text1"/>
          <w:lang w:eastAsia="en-AU"/>
        </w:rPr>
        <w:t>n</w:t>
      </w:r>
      <w:r w:rsidR="004C42B8" w:rsidRPr="002E60A1">
        <w:rPr>
          <w:rFonts w:asciiTheme="minorHAnsi" w:eastAsia="Times New Roman" w:hAnsiTheme="minorHAnsi" w:cs="Times New Roman"/>
          <w:color w:val="000000" w:themeColor="text1"/>
          <w:lang w:eastAsia="en-AU"/>
        </w:rPr>
        <w:t xml:space="preserve"> offsets report by</w:t>
      </w:r>
      <w:r w:rsidR="00722D80" w:rsidRPr="002E60A1">
        <w:rPr>
          <w:rFonts w:asciiTheme="minorHAnsi" w:eastAsia="Times New Roman" w:hAnsiTheme="minorHAnsi" w:cs="Times New Roman"/>
          <w:color w:val="000000" w:themeColor="text1"/>
          <w:lang w:eastAsia="en-AU"/>
        </w:rPr>
        <w:t xml:space="preserve"> the project proponent </w:t>
      </w:r>
      <w:r w:rsidRPr="002E60A1">
        <w:rPr>
          <w:rFonts w:asciiTheme="minorHAnsi" w:eastAsia="Times New Roman" w:hAnsiTheme="minorHAnsi" w:cs="Times New Roman"/>
          <w:color w:val="000000" w:themeColor="text1"/>
          <w:lang w:eastAsia="en-AU"/>
        </w:rPr>
        <w:t xml:space="preserve">and an assessment by the Clean Energy Regulator. </w:t>
      </w:r>
    </w:p>
    <w:p w14:paraId="3C1A948C" w14:textId="0429362E" w:rsidR="004A3FA2" w:rsidRDefault="004A3FA2" w:rsidP="00ED25DC">
      <w:pPr>
        <w:jc w:val="both"/>
      </w:pPr>
      <w:r>
        <w:t>Once the crediting period for your project has commenced you must provide offset</w:t>
      </w:r>
      <w:r w:rsidR="00722D80">
        <w:t>s</w:t>
      </w:r>
      <w:r>
        <w:t xml:space="preserve"> report</w:t>
      </w:r>
      <w:r w:rsidR="4F11A700">
        <w:t>s</w:t>
      </w:r>
      <w:r>
        <w:t xml:space="preserve"> in accordance with </w:t>
      </w:r>
      <w:r w:rsidR="00E51D7A">
        <w:t>s</w:t>
      </w:r>
      <w:r>
        <w:t>ection 76 of the CFI Act</w:t>
      </w:r>
      <w:r w:rsidR="008B48E9">
        <w:t xml:space="preserve"> and </w:t>
      </w:r>
      <w:r w:rsidR="00E51D7A">
        <w:t>s</w:t>
      </w:r>
      <w:r w:rsidR="00A5390C">
        <w:t>ection 70 of the</w:t>
      </w:r>
      <w:r w:rsidR="008B48E9">
        <w:t xml:space="preserve"> CFI Rule</w:t>
      </w:r>
      <w:r>
        <w:t>. The first offset</w:t>
      </w:r>
      <w:r w:rsidR="00722D80">
        <w:t>s</w:t>
      </w:r>
      <w:r>
        <w:t xml:space="preserve"> report covers </w:t>
      </w:r>
      <w:r w:rsidRPr="002E60A1">
        <w:rPr>
          <w:rFonts w:asciiTheme="minorHAnsi" w:eastAsia="Times New Roman" w:hAnsiTheme="minorHAnsi" w:cs="Times New Roman"/>
          <w:color w:val="000000" w:themeColor="text1"/>
          <w:lang w:eastAsia="en-AU"/>
        </w:rPr>
        <w:t>the</w:t>
      </w:r>
      <w:r>
        <w:t xml:space="preserve"> period commencing upon the start of the crediting period and </w:t>
      </w:r>
      <w:r w:rsidR="006E7CF9">
        <w:t xml:space="preserve">you can choose </w:t>
      </w:r>
      <w:r>
        <w:t xml:space="preserve">a duration of between </w:t>
      </w:r>
      <w:r w:rsidR="000A0E62">
        <w:t xml:space="preserve">one </w:t>
      </w:r>
      <w:r>
        <w:t>month</w:t>
      </w:r>
      <w:r w:rsidR="00E15171">
        <w:t>s</w:t>
      </w:r>
      <w:r>
        <w:t xml:space="preserve"> and two years</w:t>
      </w:r>
      <w:r w:rsidRPr="20F7574B">
        <w:rPr>
          <w:rStyle w:val="FootnoteReference"/>
        </w:rPr>
        <w:footnoteReference w:id="18"/>
      </w:r>
      <w:r>
        <w:t xml:space="preserve">. Subsequent reporting </w:t>
      </w:r>
      <w:r w:rsidR="00E0097E">
        <w:t>periods</w:t>
      </w:r>
      <w:r>
        <w:t xml:space="preserve"> commence immediately after the end of the previous reporting period and </w:t>
      </w:r>
      <w:r w:rsidR="006E7CF9">
        <w:t>you can choose</w:t>
      </w:r>
      <w:r>
        <w:t xml:space="preserve"> between </w:t>
      </w:r>
      <w:r w:rsidR="00601549">
        <w:t>one</w:t>
      </w:r>
      <w:r>
        <w:t xml:space="preserve"> month and two years.</w:t>
      </w:r>
    </w:p>
    <w:p w14:paraId="4C110440" w14:textId="40F86A0E" w:rsidR="00C46AC9" w:rsidRPr="002E60A1" w:rsidRDefault="00C46AC9" w:rsidP="002E60A1">
      <w:pPr>
        <w:tabs>
          <w:tab w:val="right" w:pos="1021"/>
        </w:tabs>
        <w:jc w:val="both"/>
        <w:rPr>
          <w:rFonts w:asciiTheme="minorHAnsi" w:eastAsia="Times New Roman" w:hAnsiTheme="minorHAnsi" w:cstheme="minorHAnsi"/>
          <w:color w:val="000000" w:themeColor="text1"/>
          <w:szCs w:val="20"/>
          <w:lang w:eastAsia="en-AU"/>
        </w:rPr>
      </w:pPr>
      <w:r w:rsidRPr="002E60A1">
        <w:rPr>
          <w:rFonts w:asciiTheme="minorHAnsi" w:eastAsia="Times New Roman" w:hAnsiTheme="minorHAnsi" w:cstheme="minorHAnsi"/>
          <w:color w:val="000000" w:themeColor="text1"/>
          <w:szCs w:val="20"/>
          <w:lang w:eastAsia="en-AU"/>
        </w:rPr>
        <w:t>An offsets report is the</w:t>
      </w:r>
      <w:r w:rsidR="005712CE" w:rsidRPr="002E60A1">
        <w:rPr>
          <w:rFonts w:asciiTheme="minorHAnsi" w:eastAsia="Times New Roman" w:hAnsiTheme="minorHAnsi" w:cstheme="minorHAnsi"/>
          <w:color w:val="000000" w:themeColor="text1"/>
          <w:szCs w:val="20"/>
          <w:lang w:eastAsia="en-AU"/>
        </w:rPr>
        <w:t xml:space="preserve"> report</w:t>
      </w:r>
      <w:r w:rsidRPr="002E60A1">
        <w:rPr>
          <w:rFonts w:asciiTheme="minorHAnsi" w:eastAsia="Times New Roman" w:hAnsiTheme="minorHAnsi" w:cstheme="minorHAnsi"/>
          <w:color w:val="000000" w:themeColor="text1"/>
          <w:szCs w:val="20"/>
          <w:lang w:eastAsia="en-AU"/>
        </w:rPr>
        <w:t xml:space="preserve"> plus </w:t>
      </w:r>
      <w:r w:rsidR="005712CE" w:rsidRPr="002E60A1">
        <w:rPr>
          <w:rFonts w:asciiTheme="minorHAnsi" w:eastAsia="Times New Roman" w:hAnsiTheme="minorHAnsi" w:cstheme="minorHAnsi"/>
          <w:color w:val="000000" w:themeColor="text1"/>
          <w:szCs w:val="20"/>
          <w:lang w:eastAsia="en-AU"/>
        </w:rPr>
        <w:t xml:space="preserve">any </w:t>
      </w:r>
      <w:r w:rsidRPr="002E60A1">
        <w:rPr>
          <w:rFonts w:asciiTheme="minorHAnsi" w:eastAsia="Times New Roman" w:hAnsiTheme="minorHAnsi" w:cstheme="minorHAnsi"/>
          <w:color w:val="000000" w:themeColor="text1"/>
          <w:szCs w:val="20"/>
          <w:lang w:eastAsia="en-AU"/>
        </w:rPr>
        <w:t xml:space="preserve">supporting information that you provide to us </w:t>
      </w:r>
      <w:r w:rsidR="00AB27FD" w:rsidRPr="002E60A1">
        <w:rPr>
          <w:rFonts w:asciiTheme="minorHAnsi" w:eastAsia="Times New Roman" w:hAnsiTheme="minorHAnsi" w:cstheme="minorHAnsi"/>
          <w:color w:val="000000" w:themeColor="text1"/>
          <w:szCs w:val="20"/>
          <w:lang w:eastAsia="en-AU"/>
        </w:rPr>
        <w:t>that</w:t>
      </w:r>
      <w:r w:rsidRPr="002E60A1">
        <w:rPr>
          <w:rFonts w:asciiTheme="minorHAnsi" w:eastAsia="Times New Roman" w:hAnsiTheme="minorHAnsi" w:cstheme="minorHAnsi"/>
          <w:color w:val="000000" w:themeColor="text1"/>
          <w:szCs w:val="20"/>
          <w:lang w:eastAsia="en-AU"/>
        </w:rPr>
        <w:t xml:space="preserve"> details your project’s progress, including the net abatement amount. </w:t>
      </w:r>
      <w:r w:rsidR="004A215F" w:rsidRPr="002E60A1">
        <w:rPr>
          <w:rFonts w:asciiTheme="minorHAnsi" w:eastAsia="Times New Roman" w:hAnsiTheme="minorHAnsi" w:cstheme="minorHAnsi"/>
          <w:color w:val="000000" w:themeColor="text1"/>
          <w:szCs w:val="20"/>
          <w:lang w:eastAsia="en-AU"/>
        </w:rPr>
        <w:t>An offset</w:t>
      </w:r>
      <w:r w:rsidR="007B0B26" w:rsidRPr="002E60A1">
        <w:rPr>
          <w:rFonts w:asciiTheme="minorHAnsi" w:eastAsia="Times New Roman" w:hAnsiTheme="minorHAnsi" w:cstheme="minorHAnsi"/>
          <w:color w:val="000000" w:themeColor="text1"/>
          <w:szCs w:val="20"/>
          <w:lang w:eastAsia="en-AU"/>
        </w:rPr>
        <w:t>s</w:t>
      </w:r>
      <w:r w:rsidR="004A215F" w:rsidRPr="002E60A1">
        <w:rPr>
          <w:rFonts w:asciiTheme="minorHAnsi" w:eastAsia="Times New Roman" w:hAnsiTheme="minorHAnsi" w:cstheme="minorHAnsi"/>
          <w:color w:val="000000" w:themeColor="text1"/>
          <w:szCs w:val="20"/>
          <w:lang w:eastAsia="en-AU"/>
        </w:rPr>
        <w:t xml:space="preserve"> report </w:t>
      </w:r>
      <w:r w:rsidR="008C6BF1" w:rsidRPr="002E60A1">
        <w:rPr>
          <w:rFonts w:asciiTheme="minorHAnsi" w:eastAsia="Times New Roman" w:hAnsiTheme="minorHAnsi" w:cstheme="minorHAnsi"/>
          <w:color w:val="000000" w:themeColor="text1"/>
          <w:szCs w:val="20"/>
          <w:lang w:eastAsia="en-AU"/>
        </w:rPr>
        <w:t xml:space="preserve">may include an ‘application for certificate of entitlement’ under </w:t>
      </w:r>
      <w:r w:rsidR="00E51D7A" w:rsidRPr="002E60A1">
        <w:rPr>
          <w:rFonts w:asciiTheme="minorHAnsi" w:eastAsia="Times New Roman" w:hAnsiTheme="minorHAnsi" w:cstheme="minorHAnsi"/>
          <w:color w:val="000000" w:themeColor="text1"/>
          <w:szCs w:val="20"/>
          <w:lang w:eastAsia="en-AU"/>
        </w:rPr>
        <w:t>s</w:t>
      </w:r>
      <w:r w:rsidR="008C6BF1" w:rsidRPr="002E60A1">
        <w:rPr>
          <w:rFonts w:asciiTheme="minorHAnsi" w:eastAsia="Times New Roman" w:hAnsiTheme="minorHAnsi" w:cstheme="minorHAnsi"/>
          <w:color w:val="000000" w:themeColor="text1"/>
          <w:szCs w:val="20"/>
          <w:lang w:eastAsia="en-AU"/>
        </w:rPr>
        <w:t xml:space="preserve">ection </w:t>
      </w:r>
      <w:r w:rsidR="00C11BD5" w:rsidRPr="002E60A1">
        <w:rPr>
          <w:rFonts w:asciiTheme="minorHAnsi" w:eastAsia="Times New Roman" w:hAnsiTheme="minorHAnsi" w:cstheme="minorHAnsi"/>
          <w:color w:val="000000" w:themeColor="text1"/>
          <w:szCs w:val="20"/>
          <w:lang w:eastAsia="en-AU"/>
        </w:rPr>
        <w:t>12</w:t>
      </w:r>
      <w:r w:rsidR="008C6BF1" w:rsidRPr="002E60A1">
        <w:rPr>
          <w:rFonts w:asciiTheme="minorHAnsi" w:eastAsia="Times New Roman" w:hAnsiTheme="minorHAnsi" w:cstheme="minorHAnsi"/>
          <w:color w:val="000000" w:themeColor="text1"/>
          <w:szCs w:val="20"/>
          <w:lang w:eastAsia="en-AU"/>
        </w:rPr>
        <w:t xml:space="preserve"> of the CFI Act and </w:t>
      </w:r>
      <w:r w:rsidR="00E51D7A" w:rsidRPr="002E60A1">
        <w:rPr>
          <w:rFonts w:asciiTheme="minorHAnsi" w:eastAsia="Times New Roman" w:hAnsiTheme="minorHAnsi" w:cstheme="minorHAnsi"/>
          <w:color w:val="000000" w:themeColor="text1"/>
          <w:szCs w:val="20"/>
          <w:lang w:eastAsia="en-AU"/>
        </w:rPr>
        <w:t>s</w:t>
      </w:r>
      <w:r w:rsidR="002663C6" w:rsidRPr="002E60A1">
        <w:rPr>
          <w:rFonts w:asciiTheme="minorHAnsi" w:eastAsia="Times New Roman" w:hAnsiTheme="minorHAnsi" w:cstheme="minorHAnsi"/>
          <w:color w:val="000000" w:themeColor="text1"/>
          <w:szCs w:val="20"/>
          <w:lang w:eastAsia="en-AU"/>
        </w:rPr>
        <w:t xml:space="preserve">ection 7 of the </w:t>
      </w:r>
      <w:r w:rsidR="008C6BF1" w:rsidRPr="002E60A1">
        <w:rPr>
          <w:rFonts w:asciiTheme="minorHAnsi" w:eastAsia="Times New Roman" w:hAnsiTheme="minorHAnsi" w:cstheme="minorHAnsi"/>
          <w:color w:val="000000" w:themeColor="text1"/>
          <w:szCs w:val="20"/>
          <w:lang w:eastAsia="en-AU"/>
        </w:rPr>
        <w:t>CFI Rule</w:t>
      </w:r>
      <w:r w:rsidR="00971B96" w:rsidRPr="002E60A1">
        <w:rPr>
          <w:rFonts w:asciiTheme="minorHAnsi" w:eastAsia="Times New Roman" w:hAnsiTheme="minorHAnsi" w:cstheme="minorHAnsi"/>
          <w:color w:val="000000" w:themeColor="text1"/>
          <w:szCs w:val="20"/>
          <w:lang w:eastAsia="en-AU"/>
        </w:rPr>
        <w:t>.</w:t>
      </w:r>
    </w:p>
    <w:p w14:paraId="032518C2" w14:textId="27262C45" w:rsidR="00061DD0" w:rsidRDefault="006539D1" w:rsidP="001F6809">
      <w:pPr>
        <w:pStyle w:val="CERbullets"/>
        <w:numPr>
          <w:ilvl w:val="0"/>
          <w:numId w:val="0"/>
        </w:numPr>
        <w:spacing w:after="240"/>
        <w:jc w:val="both"/>
        <w:rPr>
          <w:lang w:eastAsia="en-AU"/>
        </w:rPr>
      </w:pPr>
      <w:bookmarkStart w:id="51" w:name="_Hlk32324801"/>
      <w:r>
        <w:rPr>
          <w:lang w:eastAsia="en-AU"/>
        </w:rPr>
        <w:t xml:space="preserve">The CCS method includes several method requirements </w:t>
      </w:r>
      <w:r w:rsidR="005712CE">
        <w:rPr>
          <w:lang w:eastAsia="en-AU"/>
        </w:rPr>
        <w:t>regarding</w:t>
      </w:r>
      <w:r>
        <w:rPr>
          <w:lang w:eastAsia="en-AU"/>
        </w:rPr>
        <w:t xml:space="preserve"> project reports. These include</w:t>
      </w:r>
      <w:r w:rsidR="005712CE">
        <w:rPr>
          <w:lang w:eastAsia="en-AU"/>
        </w:rPr>
        <w:t>:</w:t>
      </w:r>
      <w:r w:rsidR="005A438D">
        <w:rPr>
          <w:lang w:eastAsia="en-AU"/>
        </w:rPr>
        <w:t xml:space="preserve"> </w:t>
      </w:r>
    </w:p>
    <w:p w14:paraId="5C157448" w14:textId="03ECD4E4" w:rsidR="005712CE" w:rsidRPr="009E635D" w:rsidRDefault="006539D1" w:rsidP="009E635D">
      <w:pPr>
        <w:numPr>
          <w:ilvl w:val="0"/>
          <w:numId w:val="23"/>
        </w:numPr>
        <w:ind w:left="714" w:hanging="357"/>
        <w:jc w:val="both"/>
        <w:rPr>
          <w:color w:val="000000" w:themeColor="text1"/>
          <w:szCs w:val="22"/>
        </w:rPr>
      </w:pPr>
      <w:r w:rsidRPr="009E635D">
        <w:rPr>
          <w:rFonts w:asciiTheme="minorHAnsi" w:eastAsiaTheme="minorHAnsi" w:hAnsiTheme="minorHAnsi" w:cstheme="minorBidi"/>
          <w:color w:val="000000" w:themeColor="text1"/>
          <w:szCs w:val="22"/>
          <w:lang w:val="en-GB"/>
        </w:rPr>
        <w:t xml:space="preserve">a description of </w:t>
      </w:r>
      <w:r w:rsidR="00A534AA" w:rsidRPr="009E635D">
        <w:rPr>
          <w:rFonts w:asciiTheme="minorHAnsi" w:eastAsiaTheme="minorHAnsi" w:hAnsiTheme="minorHAnsi" w:cstheme="minorBidi"/>
          <w:color w:val="000000" w:themeColor="text1"/>
          <w:szCs w:val="22"/>
          <w:lang w:val="en-GB"/>
        </w:rPr>
        <w:t xml:space="preserve">how </w:t>
      </w:r>
      <w:r w:rsidRPr="009E635D">
        <w:rPr>
          <w:rFonts w:asciiTheme="minorHAnsi" w:eastAsiaTheme="minorHAnsi" w:hAnsiTheme="minorHAnsi" w:cstheme="minorBidi"/>
          <w:color w:val="000000" w:themeColor="text1"/>
          <w:szCs w:val="22"/>
          <w:lang w:val="en-GB"/>
        </w:rPr>
        <w:t xml:space="preserve">the </w:t>
      </w:r>
      <w:r w:rsidR="00A534AA" w:rsidRPr="009E635D">
        <w:rPr>
          <w:rFonts w:asciiTheme="minorHAnsi" w:eastAsiaTheme="minorHAnsi" w:hAnsiTheme="minorHAnsi" w:cstheme="minorBidi"/>
          <w:color w:val="000000" w:themeColor="text1"/>
          <w:szCs w:val="22"/>
          <w:lang w:val="en-GB"/>
        </w:rPr>
        <w:t>components used to calculate the net abatement a</w:t>
      </w:r>
      <w:r w:rsidRPr="009E635D">
        <w:rPr>
          <w:rFonts w:asciiTheme="minorHAnsi" w:eastAsiaTheme="minorHAnsi" w:hAnsiTheme="minorHAnsi" w:cstheme="minorBidi"/>
          <w:color w:val="000000" w:themeColor="text1"/>
          <w:szCs w:val="22"/>
          <w:lang w:val="en-GB"/>
        </w:rPr>
        <w:t>m</w:t>
      </w:r>
      <w:r w:rsidR="00A534AA" w:rsidRPr="009E635D">
        <w:rPr>
          <w:rFonts w:asciiTheme="minorHAnsi" w:eastAsiaTheme="minorHAnsi" w:hAnsiTheme="minorHAnsi" w:cstheme="minorBidi"/>
          <w:color w:val="000000" w:themeColor="text1"/>
          <w:szCs w:val="22"/>
          <w:lang w:val="en-GB"/>
        </w:rPr>
        <w:t xml:space="preserve">ount have been calculated, including the </w:t>
      </w:r>
      <w:r w:rsidRPr="00392B79">
        <w:rPr>
          <w:rFonts w:asciiTheme="minorHAnsi" w:eastAsiaTheme="minorHAnsi" w:hAnsiTheme="minorHAnsi" w:cstheme="minorBidi"/>
          <w:color w:val="000000" w:themeColor="text1"/>
          <w:szCs w:val="22"/>
          <w:lang w:val="en-GB"/>
        </w:rPr>
        <w:t>capture related emissions</w:t>
      </w:r>
    </w:p>
    <w:p w14:paraId="045F5E7E" w14:textId="42C1C776" w:rsidR="00E26D55" w:rsidRPr="00E51D7A" w:rsidRDefault="006539D1" w:rsidP="009E635D">
      <w:pPr>
        <w:numPr>
          <w:ilvl w:val="0"/>
          <w:numId w:val="23"/>
        </w:numPr>
        <w:ind w:left="714" w:hanging="357"/>
        <w:jc w:val="both"/>
        <w:rPr>
          <w:color w:val="000000" w:themeColor="text1"/>
        </w:rPr>
      </w:pPr>
      <w:r w:rsidRPr="00E51D7A">
        <w:rPr>
          <w:rFonts w:asciiTheme="minorHAnsi" w:eastAsiaTheme="minorHAnsi" w:hAnsiTheme="minorHAnsi" w:cstheme="minorBidi"/>
          <w:color w:val="000000" w:themeColor="text1"/>
          <w:szCs w:val="22"/>
          <w:lang w:val="en-GB"/>
        </w:rPr>
        <w:lastRenderedPageBreak/>
        <w:t xml:space="preserve">any changes to the manner </w:t>
      </w:r>
      <w:r w:rsidR="00C66BB7" w:rsidRPr="00E51D7A">
        <w:rPr>
          <w:rFonts w:asciiTheme="minorHAnsi" w:eastAsiaTheme="minorHAnsi" w:hAnsiTheme="minorHAnsi" w:cstheme="minorBidi"/>
          <w:color w:val="000000" w:themeColor="text1"/>
          <w:szCs w:val="22"/>
          <w:lang w:val="en-GB"/>
        </w:rPr>
        <w:t xml:space="preserve">of </w:t>
      </w:r>
      <w:r w:rsidRPr="00E51D7A">
        <w:rPr>
          <w:rFonts w:asciiTheme="minorHAnsi" w:eastAsiaTheme="minorHAnsi" w:hAnsiTheme="minorHAnsi" w:cstheme="minorBidi"/>
          <w:color w:val="000000" w:themeColor="text1"/>
          <w:szCs w:val="22"/>
          <w:lang w:val="en-GB"/>
        </w:rPr>
        <w:t>the project</w:t>
      </w:r>
      <w:r w:rsidR="00C66BB7" w:rsidRPr="00E51D7A">
        <w:rPr>
          <w:rFonts w:asciiTheme="minorHAnsi" w:eastAsiaTheme="minorHAnsi" w:hAnsiTheme="minorHAnsi" w:cstheme="minorBidi"/>
          <w:color w:val="000000" w:themeColor="text1"/>
          <w:szCs w:val="22"/>
          <w:lang w:val="en-GB"/>
        </w:rPr>
        <w:t>’</w:t>
      </w:r>
      <w:r w:rsidRPr="00E51D7A">
        <w:rPr>
          <w:rFonts w:asciiTheme="minorHAnsi" w:eastAsiaTheme="minorHAnsi" w:hAnsiTheme="minorHAnsi" w:cstheme="minorBidi"/>
          <w:color w:val="000000" w:themeColor="text1"/>
          <w:szCs w:val="22"/>
          <w:lang w:val="en-GB"/>
        </w:rPr>
        <w:t xml:space="preserve">s operating or project </w:t>
      </w:r>
      <w:r w:rsidR="00B721DD" w:rsidRPr="00E51D7A">
        <w:rPr>
          <w:rFonts w:asciiTheme="minorHAnsi" w:eastAsiaTheme="minorHAnsi" w:hAnsiTheme="minorHAnsi" w:cstheme="minorBidi"/>
          <w:color w:val="000000" w:themeColor="text1"/>
          <w:szCs w:val="22"/>
          <w:lang w:val="en-GB"/>
        </w:rPr>
        <w:t>locations</w:t>
      </w:r>
    </w:p>
    <w:p w14:paraId="4649D1CD" w14:textId="50A318E1" w:rsidR="00E26D55" w:rsidRPr="00E51D7A" w:rsidRDefault="00F15A69" w:rsidP="009E635D">
      <w:pPr>
        <w:numPr>
          <w:ilvl w:val="0"/>
          <w:numId w:val="23"/>
        </w:numPr>
        <w:ind w:left="714" w:hanging="357"/>
        <w:jc w:val="both"/>
        <w:rPr>
          <w:color w:val="000000" w:themeColor="text1"/>
        </w:rPr>
      </w:pPr>
      <w:r w:rsidRPr="00E51D7A">
        <w:rPr>
          <w:rFonts w:asciiTheme="minorHAnsi" w:eastAsiaTheme="minorHAnsi" w:hAnsiTheme="minorHAnsi" w:cstheme="minorBidi"/>
          <w:color w:val="000000" w:themeColor="text1"/>
          <w:szCs w:val="22"/>
          <w:lang w:val="en-GB"/>
        </w:rPr>
        <w:t>a description of any additional regulatory approvals that were required for the change</w:t>
      </w:r>
      <w:r w:rsidR="00AC5D3D" w:rsidRPr="00E51D7A">
        <w:rPr>
          <w:rFonts w:asciiTheme="minorHAnsi" w:eastAsiaTheme="minorHAnsi" w:hAnsiTheme="minorHAnsi" w:cstheme="minorBidi"/>
          <w:color w:val="000000" w:themeColor="text1"/>
          <w:szCs w:val="22"/>
          <w:lang w:val="en-GB"/>
        </w:rPr>
        <w:t>s</w:t>
      </w:r>
      <w:r w:rsidR="006539D1" w:rsidRPr="00E51D7A">
        <w:rPr>
          <w:rFonts w:asciiTheme="minorHAnsi" w:eastAsiaTheme="minorHAnsi" w:hAnsiTheme="minorHAnsi" w:cstheme="minorBidi"/>
          <w:color w:val="000000" w:themeColor="text1"/>
          <w:szCs w:val="22"/>
          <w:lang w:val="en-GB"/>
        </w:rPr>
        <w:t>.</w:t>
      </w:r>
    </w:p>
    <w:p w14:paraId="0FB10A24" w14:textId="31C38F33" w:rsidR="00A534AA" w:rsidRPr="00E51D7A" w:rsidRDefault="00A534AA" w:rsidP="002E60A1">
      <w:pPr>
        <w:jc w:val="both"/>
        <w:rPr>
          <w:rFonts w:asciiTheme="minorHAnsi" w:eastAsiaTheme="minorEastAsia" w:hAnsiTheme="minorHAnsi" w:cstheme="minorBidi"/>
          <w:color w:val="auto"/>
          <w:lang w:val="en-GB"/>
        </w:rPr>
      </w:pPr>
      <w:r w:rsidRPr="00E51D7A">
        <w:rPr>
          <w:rFonts w:asciiTheme="minorHAnsi" w:eastAsiaTheme="minorEastAsia" w:hAnsiTheme="minorHAnsi" w:cstheme="minorBidi"/>
          <w:color w:val="auto"/>
          <w:lang w:val="en-GB"/>
        </w:rPr>
        <w:t xml:space="preserve">When the crediting period </w:t>
      </w:r>
      <w:r w:rsidR="00853D9D" w:rsidRPr="00E51D7A">
        <w:rPr>
          <w:rFonts w:asciiTheme="minorHAnsi" w:eastAsiaTheme="minorEastAsia" w:hAnsiTheme="minorHAnsi" w:cstheme="minorBidi"/>
          <w:color w:val="auto"/>
          <w:lang w:val="en-GB"/>
        </w:rPr>
        <w:t>ends</w:t>
      </w:r>
      <w:r w:rsidRPr="00E51D7A">
        <w:rPr>
          <w:rFonts w:asciiTheme="minorHAnsi" w:eastAsiaTheme="minorEastAsia" w:hAnsiTheme="minorHAnsi" w:cstheme="minorBidi"/>
          <w:color w:val="auto"/>
          <w:lang w:val="en-GB"/>
        </w:rPr>
        <w:t>, the extended accounting period begins</w:t>
      </w:r>
      <w:r w:rsidR="00853D9D" w:rsidRPr="00E51D7A">
        <w:rPr>
          <w:rFonts w:asciiTheme="minorHAnsi" w:eastAsiaTheme="minorEastAsia" w:hAnsiTheme="minorHAnsi" w:cstheme="minorBidi"/>
          <w:color w:val="auto"/>
          <w:lang w:val="en-GB"/>
        </w:rPr>
        <w:t xml:space="preserve"> and project p</w:t>
      </w:r>
      <w:r w:rsidR="00B626AE">
        <w:rPr>
          <w:rFonts w:asciiTheme="minorHAnsi" w:eastAsiaTheme="minorEastAsia" w:hAnsiTheme="minorHAnsi" w:cstheme="minorBidi"/>
          <w:color w:val="auto"/>
          <w:lang w:val="en-GB"/>
        </w:rPr>
        <w:t>roponents</w:t>
      </w:r>
      <w:r w:rsidR="00853D9D" w:rsidRPr="00E51D7A">
        <w:rPr>
          <w:rFonts w:asciiTheme="minorHAnsi" w:eastAsiaTheme="minorEastAsia" w:hAnsiTheme="minorHAnsi" w:cstheme="minorBidi"/>
          <w:color w:val="auto"/>
          <w:lang w:val="en-GB"/>
        </w:rPr>
        <w:t xml:space="preserve"> have </w:t>
      </w:r>
      <w:r w:rsidR="00853D9D" w:rsidRPr="002E60A1">
        <w:rPr>
          <w:rFonts w:asciiTheme="minorHAnsi" w:eastAsia="Times New Roman" w:hAnsiTheme="minorHAnsi" w:cs="Times New Roman"/>
          <w:color w:val="000000" w:themeColor="text1"/>
          <w:lang w:eastAsia="en-AU"/>
        </w:rPr>
        <w:t>ongoing</w:t>
      </w:r>
      <w:r w:rsidR="00853D9D" w:rsidRPr="00E51D7A">
        <w:rPr>
          <w:rFonts w:asciiTheme="minorHAnsi" w:eastAsiaTheme="minorEastAsia" w:hAnsiTheme="minorHAnsi" w:cstheme="minorBidi"/>
          <w:color w:val="auto"/>
          <w:lang w:val="en-GB"/>
        </w:rPr>
        <w:t xml:space="preserve"> reporting obligations during the extended accounting period, though these are different from the obligations during the crediting period:</w:t>
      </w:r>
    </w:p>
    <w:p w14:paraId="082FDE2D" w14:textId="58644037" w:rsidR="00853D9D" w:rsidRDefault="00853D9D" w:rsidP="00E51D7A">
      <w:pPr>
        <w:pStyle w:val="ListParagraph"/>
        <w:numPr>
          <w:ilvl w:val="0"/>
          <w:numId w:val="57"/>
        </w:numPr>
        <w:spacing w:after="200" w:line="240" w:lineRule="auto"/>
        <w:ind w:left="714" w:hanging="357"/>
        <w:contextualSpacing w:val="0"/>
        <w:rPr>
          <w:color w:val="000000" w:themeColor="text1"/>
          <w:lang w:eastAsia="en-AU"/>
        </w:rPr>
      </w:pPr>
      <w:r>
        <w:rPr>
          <w:color w:val="000000" w:themeColor="text1"/>
          <w:lang w:eastAsia="en-AU"/>
        </w:rPr>
        <w:t>any storage site fugitive emissions that have occurred during the reporting period</w:t>
      </w:r>
    </w:p>
    <w:p w14:paraId="19006C34" w14:textId="1691CF37" w:rsidR="00853D9D" w:rsidRDefault="00853D9D" w:rsidP="00E51D7A">
      <w:pPr>
        <w:pStyle w:val="ListParagraph"/>
        <w:numPr>
          <w:ilvl w:val="0"/>
          <w:numId w:val="57"/>
        </w:numPr>
        <w:spacing w:after="200" w:line="240" w:lineRule="auto"/>
        <w:ind w:left="714" w:hanging="357"/>
        <w:contextualSpacing w:val="0"/>
        <w:rPr>
          <w:color w:val="000000" w:themeColor="text1"/>
          <w:lang w:eastAsia="en-AU"/>
        </w:rPr>
      </w:pPr>
      <w:r>
        <w:rPr>
          <w:color w:val="000000" w:themeColor="text1"/>
          <w:lang w:eastAsia="en-AU"/>
        </w:rPr>
        <w:t>any material changes to the behaviour of the greenhouse gases in the storage site that increases the risk of fugitive emissions being released during the extended accounting period.</w:t>
      </w:r>
    </w:p>
    <w:p w14:paraId="392B9DBC" w14:textId="79681CBE" w:rsidR="006539D1" w:rsidRPr="00E26D55" w:rsidRDefault="00216B7A" w:rsidP="002E60A1">
      <w:pPr>
        <w:jc w:val="both"/>
        <w:rPr>
          <w:color w:val="000000" w:themeColor="text1"/>
          <w:lang w:eastAsia="en-AU"/>
        </w:rPr>
      </w:pPr>
      <w:r w:rsidRPr="00E26D55">
        <w:rPr>
          <w:color w:val="000000" w:themeColor="text1"/>
          <w:lang w:eastAsia="en-AU"/>
        </w:rPr>
        <w:t>There are also additional reporting requirements where an ERF project includes a safeguard facility</w:t>
      </w:r>
      <w:r w:rsidR="00CE67FC">
        <w:rPr>
          <w:color w:val="000000" w:themeColor="text1"/>
          <w:lang w:eastAsia="en-AU"/>
        </w:rPr>
        <w:t xml:space="preserve">, </w:t>
      </w:r>
      <w:r w:rsidR="00CE67FC" w:rsidRPr="002E60A1">
        <w:rPr>
          <w:rFonts w:asciiTheme="minorHAnsi" w:eastAsia="Times New Roman" w:hAnsiTheme="minorHAnsi" w:cs="Times New Roman"/>
          <w:color w:val="000000" w:themeColor="text1"/>
          <w:lang w:eastAsia="en-AU"/>
        </w:rPr>
        <w:t>which</w:t>
      </w:r>
      <w:r w:rsidR="00CE67FC">
        <w:rPr>
          <w:color w:val="000000" w:themeColor="text1"/>
          <w:lang w:eastAsia="en-AU"/>
        </w:rPr>
        <w:t xml:space="preserve"> </w:t>
      </w:r>
      <w:r w:rsidRPr="00E26D55">
        <w:rPr>
          <w:color w:val="000000" w:themeColor="text1"/>
          <w:lang w:eastAsia="en-AU"/>
        </w:rPr>
        <w:t xml:space="preserve">are described in </w:t>
      </w:r>
      <w:r w:rsidRPr="00E51D7A">
        <w:rPr>
          <w:b/>
          <w:color w:val="000000" w:themeColor="text1"/>
          <w:lang w:eastAsia="en-AU"/>
        </w:rPr>
        <w:t>Relationship with the Safeguard Mechanism</w:t>
      </w:r>
      <w:r w:rsidRPr="00E26D55">
        <w:rPr>
          <w:color w:val="000000" w:themeColor="text1"/>
          <w:lang w:eastAsia="en-AU"/>
        </w:rPr>
        <w:t xml:space="preserve"> </w:t>
      </w:r>
      <w:r w:rsidR="00E26D55">
        <w:rPr>
          <w:color w:val="000000" w:themeColor="text1"/>
          <w:lang w:eastAsia="en-AU"/>
        </w:rPr>
        <w:t xml:space="preserve">section </w:t>
      </w:r>
      <w:r w:rsidRPr="00E26D55">
        <w:rPr>
          <w:color w:val="000000" w:themeColor="text1"/>
          <w:lang w:eastAsia="en-AU"/>
        </w:rPr>
        <w:t>below</w:t>
      </w:r>
      <w:r w:rsidR="00797E3B">
        <w:rPr>
          <w:color w:val="000000" w:themeColor="text1"/>
          <w:lang w:eastAsia="en-AU"/>
        </w:rPr>
        <w:t>.</w:t>
      </w:r>
      <w:r w:rsidRPr="00E26D55">
        <w:rPr>
          <w:color w:val="000000" w:themeColor="text1"/>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37"/>
        <w:gridCol w:w="7389"/>
      </w:tblGrid>
      <w:tr w:rsidR="001F6809" w:rsidRPr="00C46AC9" w14:paraId="2A1EFB05" w14:textId="77777777" w:rsidTr="00121A2D">
        <w:trPr>
          <w:trHeight w:val="1843"/>
        </w:trPr>
        <w:tc>
          <w:tcPr>
            <w:tcW w:w="1637" w:type="dxa"/>
            <w:shd w:val="clear" w:color="auto" w:fill="F2F2F2" w:themeFill="background1" w:themeFillShade="F2"/>
            <w:vAlign w:val="center"/>
          </w:tcPr>
          <w:p w14:paraId="3478309B" w14:textId="77777777" w:rsidR="001F6809" w:rsidRPr="00C46AC9" w:rsidRDefault="001F6809" w:rsidP="00225966">
            <w:pPr>
              <w:spacing w:before="240"/>
              <w:jc w:val="center"/>
              <w:rPr>
                <w:color w:val="FF0000"/>
              </w:rPr>
            </w:pPr>
            <w:r>
              <w:rPr>
                <w:noProof/>
              </w:rPr>
              <w:drawing>
                <wp:inline distT="0" distB="0" distL="0" distR="0" wp14:anchorId="0190ADFC" wp14:editId="266F54BF">
                  <wp:extent cx="540000" cy="540000"/>
                  <wp:effectExtent l="0" t="0" r="0" b="0"/>
                  <wp:docPr id="25" name="Picture 25" desc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5">
                            <a:extLst>
                              <a:ext uri="{28A0092B-C50C-407E-A947-70E740481C1C}">
                                <a14:useLocalDpi xmlns:a14="http://schemas.microsoft.com/office/drawing/2010/main"/>
                              </a:ext>
                            </a:extLst>
                          </a:blip>
                          <a:stretch>
                            <a:fillRect/>
                          </a:stretch>
                        </pic:blipFill>
                        <pic:spPr>
                          <a:xfrm>
                            <a:off x="0" y="0"/>
                            <a:ext cx="540000" cy="540000"/>
                          </a:xfrm>
                          <a:prstGeom prst="rect">
                            <a:avLst/>
                          </a:prstGeom>
                        </pic:spPr>
                      </pic:pic>
                    </a:graphicData>
                  </a:graphic>
                </wp:inline>
              </w:drawing>
            </w:r>
          </w:p>
        </w:tc>
        <w:tc>
          <w:tcPr>
            <w:tcW w:w="7389" w:type="dxa"/>
            <w:shd w:val="clear" w:color="auto" w:fill="F2F2F2" w:themeFill="background1" w:themeFillShade="F2"/>
          </w:tcPr>
          <w:p w14:paraId="01ED74DE" w14:textId="74729083" w:rsidR="001F6809" w:rsidRPr="00B626AE" w:rsidRDefault="001F6809" w:rsidP="00225966">
            <w:pPr>
              <w:pStyle w:val="Heading5"/>
              <w:spacing w:before="160" w:after="160"/>
              <w:outlineLvl w:val="4"/>
              <w:rPr>
                <w:rFonts w:ascii="Calibri" w:eastAsia="Cambria" w:hAnsi="Calibri" w:cs="Calibri"/>
                <w:b/>
                <w:bCs/>
                <w:color w:val="auto"/>
                <w:sz w:val="22"/>
                <w:szCs w:val="22"/>
              </w:rPr>
            </w:pPr>
            <w:r w:rsidRPr="00B626AE">
              <w:rPr>
                <w:rFonts w:ascii="Calibri" w:eastAsia="Cambria" w:hAnsi="Calibri" w:cs="Calibri"/>
                <w:b/>
                <w:bCs/>
                <w:color w:val="auto"/>
                <w:sz w:val="22"/>
                <w:szCs w:val="22"/>
              </w:rPr>
              <w:t>Adding new storage sites to your project</w:t>
            </w:r>
          </w:p>
          <w:p w14:paraId="5EAAABAC" w14:textId="490C723F" w:rsidR="001248A7" w:rsidRPr="00B626AE" w:rsidRDefault="001248A7" w:rsidP="00225966">
            <w:pPr>
              <w:spacing w:before="160" w:after="160"/>
              <w:rPr>
                <w:color w:val="auto"/>
                <w:sz w:val="22"/>
                <w:szCs w:val="22"/>
              </w:rPr>
            </w:pPr>
            <w:r w:rsidRPr="00B626AE">
              <w:rPr>
                <w:color w:val="auto"/>
                <w:sz w:val="22"/>
                <w:szCs w:val="22"/>
              </w:rPr>
              <w:t>Project proponents may add in or swap over to a new storage site so long as the</w:t>
            </w:r>
            <w:r w:rsidR="00B626AE" w:rsidRPr="00B626AE">
              <w:rPr>
                <w:color w:val="auto"/>
                <w:sz w:val="22"/>
                <w:szCs w:val="22"/>
              </w:rPr>
              <w:t>y</w:t>
            </w:r>
            <w:r w:rsidRPr="00B626AE">
              <w:rPr>
                <w:color w:val="auto"/>
                <w:sz w:val="22"/>
                <w:szCs w:val="22"/>
              </w:rPr>
              <w:t xml:space="preserve"> ha</w:t>
            </w:r>
            <w:r w:rsidR="00B626AE" w:rsidRPr="00B626AE">
              <w:rPr>
                <w:color w:val="auto"/>
                <w:sz w:val="22"/>
                <w:szCs w:val="22"/>
              </w:rPr>
              <w:t>ve</w:t>
            </w:r>
            <w:r w:rsidRPr="00B626AE">
              <w:rPr>
                <w:color w:val="auto"/>
                <w:sz w:val="22"/>
                <w:szCs w:val="22"/>
              </w:rPr>
              <w:t xml:space="preserve"> ob</w:t>
            </w:r>
            <w:r w:rsidR="0094015F" w:rsidRPr="00B626AE">
              <w:rPr>
                <w:color w:val="auto"/>
                <w:sz w:val="22"/>
                <w:szCs w:val="22"/>
              </w:rPr>
              <w:t>tained all the relevant regulatory approvals and the</w:t>
            </w:r>
            <w:r w:rsidRPr="00B626AE">
              <w:rPr>
                <w:color w:val="auto"/>
                <w:sz w:val="22"/>
                <w:szCs w:val="22"/>
              </w:rPr>
              <w:t xml:space="preserve"> </w:t>
            </w:r>
            <w:r w:rsidR="0094015F" w:rsidRPr="00B626AE">
              <w:rPr>
                <w:color w:val="auto"/>
                <w:sz w:val="22"/>
                <w:szCs w:val="22"/>
              </w:rPr>
              <w:t>project continues to meet all the eligibility requirements in the CCS method.</w:t>
            </w:r>
          </w:p>
          <w:p w14:paraId="0DA911DD" w14:textId="35B76F27" w:rsidR="0094015F" w:rsidRPr="001248A7" w:rsidRDefault="0094015F" w:rsidP="00225966">
            <w:pPr>
              <w:spacing w:before="160" w:after="160"/>
              <w:rPr>
                <w:color w:val="auto"/>
              </w:rPr>
            </w:pPr>
            <w:r w:rsidRPr="00B626AE">
              <w:rPr>
                <w:color w:val="auto"/>
                <w:sz w:val="22"/>
                <w:szCs w:val="22"/>
              </w:rPr>
              <w:t>Such changes must be included in the next offsets report to the Clean Energy Regulator.</w:t>
            </w:r>
          </w:p>
        </w:tc>
      </w:tr>
    </w:tbl>
    <w:p w14:paraId="22DB9D79" w14:textId="77777777" w:rsidR="00BC47BD" w:rsidRPr="00BC47BD" w:rsidRDefault="00BC47BD" w:rsidP="00BC47BD">
      <w:pPr>
        <w:spacing w:after="0"/>
        <w:jc w:val="both"/>
        <w:rPr>
          <w:color w:val="auto"/>
          <w:sz w:val="8"/>
          <w:szCs w:val="8"/>
        </w:rPr>
      </w:pPr>
    </w:p>
    <w:p w14:paraId="550BB860" w14:textId="1D856E0D" w:rsidR="00C46AC9" w:rsidRPr="00E0097E" w:rsidRDefault="00C46AC9" w:rsidP="00ED25DC">
      <w:pPr>
        <w:jc w:val="both"/>
        <w:rPr>
          <w:color w:val="auto"/>
        </w:rPr>
      </w:pPr>
      <w:r w:rsidRPr="00E0097E">
        <w:rPr>
          <w:color w:val="auto"/>
        </w:rPr>
        <w:t xml:space="preserve">You </w:t>
      </w:r>
      <w:r w:rsidR="00722D80">
        <w:rPr>
          <w:color w:val="auto"/>
        </w:rPr>
        <w:t>must</w:t>
      </w:r>
      <w:r w:rsidRPr="00E0097E">
        <w:rPr>
          <w:color w:val="auto"/>
        </w:rPr>
        <w:t xml:space="preserve"> submit your offsets report through the </w:t>
      </w:r>
      <w:hyperlink r:id="rId16" w:history="1">
        <w:r w:rsidRPr="00086DC4">
          <w:rPr>
            <w:rStyle w:val="Hyperlink"/>
            <w:color w:val="auto"/>
            <w:u w:val="none"/>
          </w:rPr>
          <w:t>Clean Energy Regulator Client Portal</w:t>
        </w:r>
      </w:hyperlink>
      <w:bookmarkStart w:id="52" w:name="_Ref22212165"/>
      <w:r w:rsidRPr="00D950EC">
        <w:rPr>
          <w:color w:val="auto"/>
          <w:vertAlign w:val="superscript"/>
        </w:rPr>
        <w:footnoteReference w:id="19"/>
      </w:r>
      <w:bookmarkEnd w:id="52"/>
      <w:r w:rsidR="00D950EC" w:rsidRPr="003C28A8">
        <w:rPr>
          <w:rStyle w:val="Hyperlink"/>
          <w:color w:val="auto"/>
          <w:u w:val="none"/>
        </w:rPr>
        <w:t xml:space="preserve">. </w:t>
      </w:r>
      <w:r w:rsidR="00E0097E" w:rsidRPr="003C28A8">
        <w:rPr>
          <w:rStyle w:val="Hyperlink"/>
          <w:color w:val="auto"/>
          <w:u w:val="none"/>
        </w:rPr>
        <w:t>T</w:t>
      </w:r>
      <w:r w:rsidRPr="003C28A8">
        <w:rPr>
          <w:rStyle w:val="Hyperlink"/>
          <w:color w:val="auto"/>
          <w:u w:val="none"/>
        </w:rPr>
        <w:t xml:space="preserve">o be issued </w:t>
      </w:r>
      <w:r w:rsidRPr="002E60A1">
        <w:rPr>
          <w:rFonts w:asciiTheme="minorHAnsi" w:eastAsia="Times New Roman" w:hAnsiTheme="minorHAnsi" w:cs="Times New Roman"/>
          <w:color w:val="000000" w:themeColor="text1"/>
          <w:lang w:eastAsia="en-AU"/>
        </w:rPr>
        <w:t>carbon</w:t>
      </w:r>
      <w:r w:rsidRPr="003C28A8">
        <w:rPr>
          <w:rStyle w:val="Hyperlink"/>
          <w:color w:val="auto"/>
          <w:u w:val="none"/>
        </w:rPr>
        <w:t xml:space="preserve"> credits</w:t>
      </w:r>
      <w:r w:rsidR="00D950EC" w:rsidRPr="00D950EC">
        <w:rPr>
          <w:color w:val="auto"/>
        </w:rPr>
        <w:t xml:space="preserve"> </w:t>
      </w:r>
      <w:r w:rsidR="00D950EC">
        <w:rPr>
          <w:color w:val="auto"/>
        </w:rPr>
        <w:t>y</w:t>
      </w:r>
      <w:r w:rsidRPr="00E0097E">
        <w:rPr>
          <w:color w:val="auto"/>
        </w:rPr>
        <w:t xml:space="preserve">ou’ll need to </w:t>
      </w:r>
      <w:hyperlink r:id="rId17" w:history="1">
        <w:r w:rsidRPr="00086DC4">
          <w:rPr>
            <w:rStyle w:val="Hyperlink"/>
            <w:color w:val="auto"/>
            <w:u w:val="none"/>
          </w:rPr>
          <w:t>set up an Australian National Registry of Emissions Units (ANREU) account</w:t>
        </w:r>
      </w:hyperlink>
      <w:r w:rsidRPr="00E0097E">
        <w:rPr>
          <w:rStyle w:val="FootnoteReference"/>
          <w:color w:val="auto"/>
        </w:rPr>
        <w:footnoteReference w:id="20"/>
      </w:r>
      <w:r w:rsidRPr="00E0097E">
        <w:rPr>
          <w:color w:val="auto"/>
        </w:rPr>
        <w:t>.</w:t>
      </w:r>
    </w:p>
    <w:bookmarkEnd w:id="51"/>
    <w:p w14:paraId="3DAD1204" w14:textId="1BE80DB1" w:rsidR="00C46AC9" w:rsidRDefault="00797E3B" w:rsidP="00ED25DC">
      <w:pPr>
        <w:jc w:val="both"/>
        <w:rPr>
          <w:color w:val="auto"/>
        </w:rPr>
      </w:pPr>
      <w:r>
        <w:rPr>
          <w:color w:val="auto"/>
        </w:rPr>
        <w:t xml:space="preserve">The Clean Energy Regulator </w:t>
      </w:r>
      <w:r w:rsidR="00C46AC9" w:rsidRPr="20F7574B">
        <w:rPr>
          <w:color w:val="auto"/>
        </w:rPr>
        <w:t xml:space="preserve">will assess your offsets report within </w:t>
      </w:r>
      <w:r w:rsidR="001A50E0">
        <w:rPr>
          <w:color w:val="auto"/>
        </w:rPr>
        <w:t>90</w:t>
      </w:r>
      <w:r w:rsidR="001A50E0" w:rsidRPr="20F7574B">
        <w:rPr>
          <w:color w:val="auto"/>
        </w:rPr>
        <w:t xml:space="preserve"> </w:t>
      </w:r>
      <w:r w:rsidR="00C46AC9" w:rsidRPr="20F7574B">
        <w:rPr>
          <w:color w:val="auto"/>
        </w:rPr>
        <w:t xml:space="preserve">days unless further information is required. If </w:t>
      </w:r>
      <w:r>
        <w:rPr>
          <w:color w:val="auto"/>
        </w:rPr>
        <w:t xml:space="preserve">the Clean Energy Regulator assesses </w:t>
      </w:r>
      <w:r w:rsidR="00C46AC9" w:rsidRPr="20F7574B">
        <w:rPr>
          <w:color w:val="auto"/>
        </w:rPr>
        <w:t xml:space="preserve">everything to be in order, </w:t>
      </w:r>
      <w:r>
        <w:rPr>
          <w:color w:val="auto"/>
        </w:rPr>
        <w:t xml:space="preserve">ACCUs will be issued </w:t>
      </w:r>
      <w:r w:rsidR="00C46AC9" w:rsidRPr="20F7574B">
        <w:rPr>
          <w:color w:val="auto"/>
        </w:rPr>
        <w:t>into your ANREU account.</w:t>
      </w:r>
      <w:r w:rsidR="001A50E0">
        <w:rPr>
          <w:color w:val="auto"/>
        </w:rPr>
        <w:t xml:space="preserve"> The </w:t>
      </w:r>
      <w:r w:rsidR="001A50E0" w:rsidRPr="001A50E0">
        <w:rPr>
          <w:color w:val="auto"/>
        </w:rPr>
        <w:t>Clean Energy Regulator</w:t>
      </w:r>
      <w:r w:rsidR="001A50E0">
        <w:rPr>
          <w:color w:val="auto"/>
        </w:rPr>
        <w:t xml:space="preserve"> is currently improving our systems with the intention of reducing this timeframe to 45 days.</w:t>
      </w:r>
    </w:p>
    <w:p w14:paraId="49C30F9C" w14:textId="73247067" w:rsidR="3B523865" w:rsidRDefault="3B523865" w:rsidP="20F7574B">
      <w:pPr>
        <w:pStyle w:val="Heading2"/>
      </w:pPr>
      <w:bookmarkStart w:id="53" w:name="_Toc75442807"/>
      <w:r>
        <w:t>Relationship with the Safeguard Mechanism</w:t>
      </w:r>
      <w:bookmarkEnd w:id="53"/>
      <w:r>
        <w:t xml:space="preserve"> </w:t>
      </w:r>
    </w:p>
    <w:p w14:paraId="63F51026" w14:textId="4B4EDCAA" w:rsidR="00C702BC" w:rsidRDefault="00E53E42" w:rsidP="002E60A1">
      <w:pPr>
        <w:tabs>
          <w:tab w:val="right" w:pos="1021"/>
        </w:tabs>
        <w:jc w:val="both"/>
      </w:pPr>
      <w:r w:rsidRPr="002E60A1">
        <w:rPr>
          <w:rFonts w:asciiTheme="minorHAnsi" w:eastAsia="Times New Roman" w:hAnsiTheme="minorHAnsi" w:cstheme="minorHAnsi"/>
          <w:color w:val="000000" w:themeColor="text1"/>
          <w:szCs w:val="20"/>
          <w:lang w:eastAsia="en-AU"/>
        </w:rPr>
        <w:t>To avoid counting the same offset twice, the number of ACCUs</w:t>
      </w:r>
      <w:r w:rsidR="00C702BC" w:rsidRPr="002E60A1">
        <w:rPr>
          <w:rFonts w:asciiTheme="minorHAnsi" w:eastAsia="Times New Roman" w:hAnsiTheme="minorHAnsi" w:cstheme="minorHAnsi"/>
          <w:color w:val="000000" w:themeColor="text1"/>
          <w:szCs w:val="20"/>
          <w:lang w:eastAsia="en-AU"/>
        </w:rPr>
        <w:t xml:space="preserve"> (if any)</w:t>
      </w:r>
      <w:r w:rsidRPr="002E60A1">
        <w:rPr>
          <w:rFonts w:asciiTheme="minorHAnsi" w:eastAsia="Times New Roman" w:hAnsiTheme="minorHAnsi" w:cstheme="minorHAnsi"/>
          <w:color w:val="000000" w:themeColor="text1"/>
          <w:szCs w:val="20"/>
          <w:lang w:eastAsia="en-AU"/>
        </w:rPr>
        <w:t xml:space="preserve"> </w:t>
      </w:r>
      <w:r w:rsidRPr="002E60A1" w:rsidDel="00460258">
        <w:rPr>
          <w:rFonts w:asciiTheme="minorHAnsi" w:eastAsia="Times New Roman" w:hAnsiTheme="minorHAnsi" w:cstheme="minorHAnsi"/>
          <w:color w:val="000000" w:themeColor="text1"/>
          <w:szCs w:val="20"/>
          <w:lang w:eastAsia="en-AU"/>
        </w:rPr>
        <w:t>generated at</w:t>
      </w:r>
      <w:r w:rsidR="003F4753" w:rsidRPr="002E60A1">
        <w:rPr>
          <w:rFonts w:asciiTheme="minorHAnsi" w:eastAsia="Times New Roman" w:hAnsiTheme="minorHAnsi" w:cstheme="minorHAnsi"/>
          <w:color w:val="000000" w:themeColor="text1"/>
          <w:szCs w:val="20"/>
          <w:lang w:eastAsia="en-AU"/>
        </w:rPr>
        <w:t xml:space="preserve"> a safeguard facility</w:t>
      </w:r>
      <w:r w:rsidRPr="002E60A1">
        <w:rPr>
          <w:rFonts w:asciiTheme="minorHAnsi" w:eastAsia="Times New Roman" w:hAnsiTheme="minorHAnsi" w:cstheme="minorHAnsi"/>
          <w:color w:val="000000" w:themeColor="text1"/>
          <w:szCs w:val="20"/>
          <w:lang w:eastAsia="en-AU"/>
        </w:rPr>
        <w:t xml:space="preserve"> are added to</w:t>
      </w:r>
      <w:r w:rsidR="00C702BC" w:rsidRPr="002E60A1">
        <w:rPr>
          <w:rFonts w:asciiTheme="minorHAnsi" w:eastAsia="Times New Roman" w:hAnsiTheme="minorHAnsi" w:cstheme="minorHAnsi"/>
          <w:color w:val="000000" w:themeColor="text1"/>
          <w:szCs w:val="20"/>
          <w:lang w:eastAsia="en-AU"/>
        </w:rPr>
        <w:t xml:space="preserve"> its</w:t>
      </w:r>
      <w:r w:rsidRPr="002E60A1">
        <w:rPr>
          <w:rFonts w:asciiTheme="minorHAnsi" w:eastAsia="Times New Roman" w:hAnsiTheme="minorHAnsi" w:cstheme="minorHAnsi"/>
          <w:color w:val="000000" w:themeColor="text1"/>
          <w:szCs w:val="20"/>
          <w:lang w:eastAsia="en-AU"/>
        </w:rPr>
        <w:t xml:space="preserve"> net </w:t>
      </w:r>
      <w:r w:rsidR="003F4753" w:rsidRPr="002E60A1">
        <w:rPr>
          <w:rFonts w:asciiTheme="minorHAnsi" w:eastAsia="Times New Roman" w:hAnsiTheme="minorHAnsi" w:cstheme="minorHAnsi"/>
          <w:color w:val="000000" w:themeColor="text1"/>
          <w:szCs w:val="20"/>
          <w:lang w:eastAsia="en-AU"/>
        </w:rPr>
        <w:t>emissions number</w:t>
      </w:r>
      <w:r w:rsidR="00037C10" w:rsidRPr="002E60A1">
        <w:rPr>
          <w:rFonts w:asciiTheme="minorHAnsi" w:eastAsia="Times New Roman" w:hAnsiTheme="minorHAnsi" w:cstheme="minorHAnsi"/>
          <w:color w:val="000000" w:themeColor="text1"/>
          <w:szCs w:val="20"/>
          <w:lang w:eastAsia="en-AU"/>
        </w:rPr>
        <w:t xml:space="preserve"> </w:t>
      </w:r>
      <w:r w:rsidR="00C702BC" w:rsidRPr="002E60A1">
        <w:rPr>
          <w:rFonts w:asciiTheme="minorHAnsi" w:eastAsia="Times New Roman" w:hAnsiTheme="minorHAnsi" w:cstheme="minorHAnsi"/>
          <w:color w:val="000000" w:themeColor="text1"/>
          <w:szCs w:val="20"/>
          <w:lang w:eastAsia="en-AU"/>
        </w:rPr>
        <w:t xml:space="preserve">for </w:t>
      </w:r>
      <w:r w:rsidRPr="002E60A1">
        <w:rPr>
          <w:rFonts w:asciiTheme="minorHAnsi" w:eastAsia="Times New Roman" w:hAnsiTheme="minorHAnsi" w:cstheme="minorHAnsi"/>
          <w:color w:val="000000" w:themeColor="text1"/>
          <w:szCs w:val="20"/>
          <w:lang w:eastAsia="en-AU"/>
        </w:rPr>
        <w:t xml:space="preserve">the year in which the ACCUs were issued. </w:t>
      </w:r>
      <w:r w:rsidR="00C702BC" w:rsidRPr="002E60A1">
        <w:rPr>
          <w:rFonts w:asciiTheme="minorHAnsi" w:eastAsia="Times New Roman" w:hAnsiTheme="minorHAnsi" w:cstheme="minorHAnsi"/>
          <w:color w:val="000000" w:themeColor="text1"/>
          <w:szCs w:val="20"/>
          <w:lang w:eastAsia="en-AU"/>
        </w:rPr>
        <w:t xml:space="preserve">If </w:t>
      </w:r>
      <w:r w:rsidR="002C1E39" w:rsidRPr="002E60A1">
        <w:rPr>
          <w:rFonts w:asciiTheme="minorHAnsi" w:eastAsia="Times New Roman" w:hAnsiTheme="minorHAnsi" w:cstheme="minorHAnsi"/>
          <w:color w:val="000000" w:themeColor="text1"/>
          <w:szCs w:val="20"/>
          <w:lang w:eastAsia="en-AU"/>
        </w:rPr>
        <w:t xml:space="preserve">the facility’s </w:t>
      </w:r>
      <w:r w:rsidR="00C702BC" w:rsidRPr="002E60A1">
        <w:rPr>
          <w:rFonts w:asciiTheme="minorHAnsi" w:eastAsia="Times New Roman" w:hAnsiTheme="minorHAnsi" w:cstheme="minorHAnsi"/>
          <w:color w:val="000000" w:themeColor="text1"/>
          <w:szCs w:val="20"/>
          <w:lang w:eastAsia="en-AU"/>
        </w:rPr>
        <w:t xml:space="preserve">net emissions exceed its baseline, </w:t>
      </w:r>
      <w:r w:rsidR="006220DB" w:rsidRPr="002E60A1">
        <w:rPr>
          <w:rFonts w:asciiTheme="minorHAnsi" w:eastAsia="Times New Roman" w:hAnsiTheme="minorHAnsi" w:cstheme="minorHAnsi"/>
          <w:color w:val="000000" w:themeColor="text1"/>
          <w:szCs w:val="20"/>
          <w:lang w:eastAsia="en-AU"/>
        </w:rPr>
        <w:t>th</w:t>
      </w:r>
      <w:r w:rsidR="0084357A" w:rsidRPr="002E60A1">
        <w:rPr>
          <w:rFonts w:asciiTheme="minorHAnsi" w:eastAsia="Times New Roman" w:hAnsiTheme="minorHAnsi" w:cstheme="minorHAnsi"/>
          <w:color w:val="000000" w:themeColor="text1"/>
          <w:szCs w:val="20"/>
          <w:lang w:eastAsia="en-AU"/>
        </w:rPr>
        <w:t>ose ACCUs</w:t>
      </w:r>
      <w:r w:rsidR="006220DB" w:rsidRPr="002E60A1">
        <w:rPr>
          <w:rFonts w:asciiTheme="minorHAnsi" w:eastAsia="Times New Roman" w:hAnsiTheme="minorHAnsi" w:cstheme="minorHAnsi"/>
          <w:color w:val="000000" w:themeColor="text1"/>
          <w:szCs w:val="20"/>
          <w:lang w:eastAsia="en-AU"/>
        </w:rPr>
        <w:t xml:space="preserve"> </w:t>
      </w:r>
      <w:r w:rsidR="002C1E39" w:rsidRPr="002E60A1">
        <w:rPr>
          <w:rFonts w:asciiTheme="minorHAnsi" w:eastAsia="Times New Roman" w:hAnsiTheme="minorHAnsi" w:cstheme="minorHAnsi"/>
          <w:color w:val="000000" w:themeColor="text1"/>
          <w:szCs w:val="20"/>
          <w:lang w:eastAsia="en-AU"/>
        </w:rPr>
        <w:t>can</w:t>
      </w:r>
      <w:r w:rsidR="00C702BC" w:rsidRPr="002E60A1">
        <w:rPr>
          <w:rFonts w:asciiTheme="minorHAnsi" w:eastAsia="Times New Roman" w:hAnsiTheme="minorHAnsi" w:cstheme="minorHAnsi"/>
          <w:color w:val="000000" w:themeColor="text1"/>
          <w:szCs w:val="20"/>
          <w:lang w:eastAsia="en-AU"/>
        </w:rPr>
        <w:t xml:space="preserve"> </w:t>
      </w:r>
      <w:r w:rsidR="0084357A" w:rsidRPr="002E60A1">
        <w:rPr>
          <w:rFonts w:asciiTheme="minorHAnsi" w:eastAsia="Times New Roman" w:hAnsiTheme="minorHAnsi" w:cstheme="minorHAnsi"/>
          <w:color w:val="000000" w:themeColor="text1"/>
          <w:szCs w:val="20"/>
          <w:lang w:eastAsia="en-AU"/>
        </w:rPr>
        <w:t xml:space="preserve">be surrendered </w:t>
      </w:r>
      <w:r w:rsidR="00C702BC" w:rsidRPr="002E60A1">
        <w:rPr>
          <w:rFonts w:asciiTheme="minorHAnsi" w:eastAsia="Times New Roman" w:hAnsiTheme="minorHAnsi" w:cstheme="minorHAnsi"/>
          <w:color w:val="000000" w:themeColor="text1"/>
          <w:szCs w:val="20"/>
          <w:lang w:eastAsia="en-AU"/>
        </w:rPr>
        <w:t xml:space="preserve">to bring </w:t>
      </w:r>
      <w:r w:rsidR="0084357A" w:rsidRPr="002E60A1">
        <w:rPr>
          <w:rFonts w:asciiTheme="minorHAnsi" w:eastAsia="Times New Roman" w:hAnsiTheme="minorHAnsi" w:cstheme="minorHAnsi"/>
          <w:color w:val="000000" w:themeColor="text1"/>
          <w:szCs w:val="20"/>
          <w:lang w:eastAsia="en-AU"/>
        </w:rPr>
        <w:t>the facility’s net emissions back to its baseline</w:t>
      </w:r>
      <w:r w:rsidR="00C702BC" w:rsidRPr="002E60A1">
        <w:rPr>
          <w:rFonts w:asciiTheme="minorHAnsi" w:eastAsia="Times New Roman" w:hAnsiTheme="minorHAnsi" w:cstheme="minorHAnsi"/>
          <w:color w:val="000000" w:themeColor="text1"/>
          <w:szCs w:val="20"/>
          <w:lang w:eastAsia="en-AU"/>
        </w:rPr>
        <w:t>.</w:t>
      </w:r>
      <w:r w:rsidR="002C1E39" w:rsidRPr="002E60A1">
        <w:rPr>
          <w:rFonts w:asciiTheme="minorHAnsi" w:eastAsia="Times New Roman" w:hAnsiTheme="minorHAnsi" w:cstheme="minorHAnsi"/>
          <w:color w:val="000000" w:themeColor="text1"/>
          <w:szCs w:val="20"/>
          <w:lang w:eastAsia="en-AU"/>
        </w:rPr>
        <w:t xml:space="preserve"> Alternatively, if the ACCUs generated at the facility are delivered under an ERF contract, the facility’s net emissions number will also be reduced by the amount of ACCUs delivered</w:t>
      </w:r>
      <w:r w:rsidR="002C1E39" w:rsidRPr="0022525E">
        <w:rPr>
          <w:rFonts w:asciiTheme="minorHAnsi" w:eastAsia="Times New Roman" w:hAnsiTheme="minorHAnsi" w:cstheme="minorHAnsi"/>
          <w:color w:val="000000" w:themeColor="text1"/>
          <w:szCs w:val="20"/>
          <w:lang w:eastAsia="en-AU"/>
        </w:rPr>
        <w:t xml:space="preserve"> (this is called deemed surrender).</w:t>
      </w:r>
      <w:r w:rsidR="00514D54" w:rsidRPr="0022525E">
        <w:rPr>
          <w:rFonts w:asciiTheme="minorHAnsi" w:eastAsia="Times New Roman" w:hAnsiTheme="minorHAnsi" w:cstheme="minorHAnsi"/>
          <w:color w:val="000000" w:themeColor="text1"/>
          <w:szCs w:val="20"/>
          <w:lang w:eastAsia="en-AU"/>
        </w:rPr>
        <w:t xml:space="preserve"> </w:t>
      </w:r>
      <w:r w:rsidR="0084357A" w:rsidRPr="0022525E">
        <w:rPr>
          <w:rFonts w:asciiTheme="minorHAnsi" w:eastAsia="Times New Roman" w:hAnsiTheme="minorHAnsi" w:cstheme="minorHAnsi"/>
          <w:color w:val="000000" w:themeColor="text1"/>
          <w:szCs w:val="20"/>
          <w:lang w:eastAsia="en-AU"/>
        </w:rPr>
        <w:t>Where deemed surrender is being used, parties should ensure that ACCUs are delivered under the ERF contract before the 1 March safeguard deadline</w:t>
      </w:r>
      <w:r w:rsidR="0084357A" w:rsidRPr="002E60A1">
        <w:rPr>
          <w:rFonts w:asciiTheme="minorHAnsi" w:eastAsia="Times New Roman" w:hAnsiTheme="minorHAnsi" w:cstheme="minorHAnsi"/>
          <w:color w:val="000000" w:themeColor="text1"/>
          <w:szCs w:val="20"/>
          <w:lang w:eastAsia="en-AU"/>
        </w:rPr>
        <w:t>.</w:t>
      </w:r>
      <w:r w:rsidR="00F75F7A" w:rsidRPr="002E60A1">
        <w:rPr>
          <w:rFonts w:asciiTheme="minorHAnsi" w:eastAsia="Times New Roman" w:hAnsiTheme="minorHAnsi" w:cstheme="minorHAnsi"/>
          <w:color w:val="000000" w:themeColor="text1"/>
          <w:szCs w:val="20"/>
          <w:lang w:eastAsia="en-AU"/>
        </w:rPr>
        <w:t xml:space="preserve"> For more information on excess emissions management options under the Safeguard Mechanism see</w:t>
      </w:r>
      <w:r w:rsidR="00F75F7A">
        <w:t xml:space="preserve"> </w:t>
      </w:r>
      <w:r w:rsidR="00086DC4">
        <w:t>‘Managing excess emissions’</w:t>
      </w:r>
      <w:r w:rsidR="00086DC4" w:rsidRPr="00086DC4">
        <w:rPr>
          <w:vertAlign w:val="superscript"/>
        </w:rPr>
        <w:footnoteReference w:id="21"/>
      </w:r>
      <w:r w:rsidR="00086DC4">
        <w:t xml:space="preserve"> on the Clean Energy Regulator’s website. </w:t>
      </w:r>
    </w:p>
    <w:p w14:paraId="220405AA" w14:textId="30659821" w:rsidR="00054722" w:rsidRDefault="004141FE" w:rsidP="002E60A1">
      <w:pPr>
        <w:tabs>
          <w:tab w:val="right" w:pos="1021"/>
        </w:tabs>
        <w:jc w:val="both"/>
      </w:pPr>
      <w:r>
        <w:t>S</w:t>
      </w:r>
      <w:r w:rsidR="00216B7A">
        <w:t xml:space="preserve">ection 70(4) of the CFI </w:t>
      </w:r>
      <w:r w:rsidR="000A5E53">
        <w:t>R</w:t>
      </w:r>
      <w:r w:rsidR="00216B7A">
        <w:t>ule sets out additional requirements for offset</w:t>
      </w:r>
      <w:r w:rsidR="00722D80">
        <w:t>s</w:t>
      </w:r>
      <w:r w:rsidR="00216B7A">
        <w:t xml:space="preserve"> reports where </w:t>
      </w:r>
      <w:r w:rsidR="00722D80">
        <w:t>a</w:t>
      </w:r>
      <w:r w:rsidR="00216B7A">
        <w:t xml:space="preserve"> project includes </w:t>
      </w:r>
      <w:r w:rsidR="0084357A">
        <w:t>ACCUs that were generated at</w:t>
      </w:r>
      <w:r w:rsidR="00216B7A">
        <w:t xml:space="preserve"> </w:t>
      </w:r>
      <w:r w:rsidR="00C702BC">
        <w:t>one or more</w:t>
      </w:r>
      <w:r w:rsidR="00216B7A">
        <w:t xml:space="preserve"> safeguard facilit</w:t>
      </w:r>
      <w:r w:rsidR="00C702BC">
        <w:t>ies</w:t>
      </w:r>
      <w:r w:rsidR="00216B7A">
        <w:t xml:space="preserve">. </w:t>
      </w:r>
      <w:r w:rsidR="00C702BC">
        <w:t>In these circumstances</w:t>
      </w:r>
      <w:r w:rsidR="000A5E53">
        <w:t>,</w:t>
      </w:r>
      <w:r w:rsidR="00216B7A">
        <w:t xml:space="preserve"> each </w:t>
      </w:r>
      <w:r w:rsidR="00216B7A" w:rsidRPr="002E60A1">
        <w:rPr>
          <w:rFonts w:asciiTheme="minorHAnsi" w:eastAsia="Times New Roman" w:hAnsiTheme="minorHAnsi" w:cstheme="minorHAnsi"/>
          <w:color w:val="000000" w:themeColor="text1"/>
          <w:szCs w:val="20"/>
          <w:lang w:eastAsia="en-AU"/>
        </w:rPr>
        <w:lastRenderedPageBreak/>
        <w:t>offset</w:t>
      </w:r>
      <w:r w:rsidR="007B0B26" w:rsidRPr="002E60A1">
        <w:rPr>
          <w:rFonts w:asciiTheme="minorHAnsi" w:eastAsia="Times New Roman" w:hAnsiTheme="minorHAnsi" w:cstheme="minorHAnsi"/>
          <w:color w:val="000000" w:themeColor="text1"/>
          <w:szCs w:val="20"/>
          <w:lang w:eastAsia="en-AU"/>
        </w:rPr>
        <w:t>s</w:t>
      </w:r>
      <w:r w:rsidR="00216B7A">
        <w:t xml:space="preserve"> report must set out what portion of the net abatement from the project is </w:t>
      </w:r>
      <w:r w:rsidR="00216B7A" w:rsidRPr="00101D52">
        <w:rPr>
          <w:i/>
          <w:iCs/>
        </w:rPr>
        <w:t>attributable</w:t>
      </w:r>
      <w:r w:rsidR="00216B7A">
        <w:t xml:space="preserve"> to each safeguard facility that the project involves. </w:t>
      </w:r>
      <w:r w:rsidR="00F75F7A">
        <w:t>This information is used to identify any safeguard facilities that need to have adjustments made to their net emissions numbers.</w:t>
      </w:r>
    </w:p>
    <w:p w14:paraId="3D2677C5" w14:textId="1FCF14E5" w:rsidR="00797E3B" w:rsidRDefault="00216B7A" w:rsidP="00245484">
      <w:pPr>
        <w:tabs>
          <w:tab w:val="right" w:pos="1021"/>
        </w:tabs>
        <w:jc w:val="both"/>
        <w:rPr>
          <w:szCs w:val="22"/>
        </w:rPr>
      </w:pPr>
      <w:r w:rsidRPr="0000460A">
        <w:t xml:space="preserve">Where a </w:t>
      </w:r>
      <w:r w:rsidR="00E51D7A" w:rsidRPr="0000460A">
        <w:t xml:space="preserve">CCS </w:t>
      </w:r>
      <w:r w:rsidRPr="0000460A">
        <w:t>projec</w:t>
      </w:r>
      <w:r w:rsidRPr="00E04468">
        <w:t>t involves multiple facilities</w:t>
      </w:r>
      <w:r w:rsidR="00392B79" w:rsidRPr="00E04468">
        <w:t>,</w:t>
      </w:r>
      <w:r w:rsidR="008755BA" w:rsidRPr="00E04468">
        <w:t xml:space="preserve"> including one </w:t>
      </w:r>
      <w:r w:rsidR="00514D54" w:rsidRPr="00E04468">
        <w:t xml:space="preserve">or more </w:t>
      </w:r>
      <w:r w:rsidR="008755BA" w:rsidRPr="00E04468">
        <w:t xml:space="preserve">safeguard </w:t>
      </w:r>
      <w:r w:rsidR="00A02284" w:rsidRPr="00E04468">
        <w:t>facilit</w:t>
      </w:r>
      <w:r w:rsidR="00514D54" w:rsidRPr="00E04468">
        <w:t>ies</w:t>
      </w:r>
      <w:r w:rsidR="008755BA" w:rsidRPr="00E04468">
        <w:t>,</w:t>
      </w:r>
      <w:r w:rsidRPr="00E04468">
        <w:t xml:space="preserve"> </w:t>
      </w:r>
      <w:r w:rsidR="00101D52" w:rsidRPr="00E04468">
        <w:t>ACCUs</w:t>
      </w:r>
      <w:r w:rsidRPr="00E04468">
        <w:t xml:space="preserve"> </w:t>
      </w:r>
      <w:r w:rsidR="006220DB" w:rsidRPr="00E04468">
        <w:t xml:space="preserve">may be </w:t>
      </w:r>
      <w:r w:rsidR="00B71069">
        <w:rPr>
          <w:rFonts w:asciiTheme="minorHAnsi" w:eastAsia="Times New Roman" w:hAnsiTheme="minorHAnsi" w:cstheme="minorHAnsi"/>
          <w:color w:val="000000" w:themeColor="text1"/>
          <w:szCs w:val="20"/>
          <w:lang w:eastAsia="en-AU"/>
        </w:rPr>
        <w:t>attributed</w:t>
      </w:r>
      <w:r w:rsidR="00B71069" w:rsidRPr="00E04468">
        <w:t xml:space="preserve"> </w:t>
      </w:r>
      <w:r w:rsidRPr="00E04468">
        <w:t>between multiple facilities</w:t>
      </w:r>
      <w:r w:rsidR="00F75F7A" w:rsidRPr="00E04468">
        <w:t xml:space="preserve"> (i.e. where abatement occurred across multiple facilities)</w:t>
      </w:r>
      <w:r w:rsidRPr="00E04468">
        <w:t xml:space="preserve">. </w:t>
      </w:r>
      <w:r w:rsidR="008755BA" w:rsidRPr="00E04468">
        <w:t xml:space="preserve">In attributing the ACCUs, </w:t>
      </w:r>
      <w:r w:rsidR="00B626AE">
        <w:t xml:space="preserve">project proponents </w:t>
      </w:r>
      <w:r w:rsidR="00F75F7A" w:rsidRPr="00E04468">
        <w:t>should</w:t>
      </w:r>
      <w:r w:rsidR="009722B2" w:rsidRPr="00E04468">
        <w:t xml:space="preserve"> be mindful of </w:t>
      </w:r>
      <w:r w:rsidR="002E0969" w:rsidRPr="00E04468">
        <w:t xml:space="preserve">interactions with their </w:t>
      </w:r>
      <w:r w:rsidR="002E0969" w:rsidRPr="0000460A">
        <w:t>safeguard obligations and may</w:t>
      </w:r>
      <w:r w:rsidR="002E0969" w:rsidRPr="00E04468">
        <w:t xml:space="preserve"> want to consider including ACCU attribution in their commercial arrangements for participat</w:t>
      </w:r>
      <w:r w:rsidR="002E0969" w:rsidRPr="009549CC">
        <w:rPr>
          <w:szCs w:val="22"/>
        </w:rPr>
        <w:t>ing in an ERF project</w:t>
      </w:r>
      <w:r w:rsidR="00797E3B">
        <w:rPr>
          <w:szCs w:val="22"/>
        </w:rPr>
        <w:t>.</w:t>
      </w:r>
      <w:r w:rsidR="00F72ECE">
        <w:rPr>
          <w:szCs w:val="22"/>
        </w:rPr>
        <w:t xml:space="preserve"> Additionally, if a project involves a safeguard facility where the entity that has operational control of the facility is different from the project p</w:t>
      </w:r>
      <w:r w:rsidR="00B626AE">
        <w:rPr>
          <w:szCs w:val="22"/>
        </w:rPr>
        <w:t>roponent</w:t>
      </w:r>
      <w:r w:rsidR="00F72ECE">
        <w:rPr>
          <w:szCs w:val="22"/>
        </w:rPr>
        <w:t>, the project p</w:t>
      </w:r>
      <w:r w:rsidR="00B626AE">
        <w:rPr>
          <w:szCs w:val="22"/>
        </w:rPr>
        <w:t>roponent</w:t>
      </w:r>
      <w:r w:rsidR="00F72ECE">
        <w:rPr>
          <w:szCs w:val="22"/>
        </w:rPr>
        <w:t xml:space="preserve"> must obtain the consent of the entity with operational control to carry out the project.</w:t>
      </w:r>
    </w:p>
    <w:tbl>
      <w:tblPr>
        <w:tblStyle w:val="TableGrid"/>
        <w:tblW w:w="0" w:type="auto"/>
        <w:tblLook w:val="04A0" w:firstRow="1" w:lastRow="0" w:firstColumn="1" w:lastColumn="0" w:noHBand="0" w:noVBand="1"/>
      </w:tblPr>
      <w:tblGrid>
        <w:gridCol w:w="9016"/>
      </w:tblGrid>
      <w:tr w:rsidR="004A25AA" w14:paraId="44CD46AD" w14:textId="77777777" w:rsidTr="00CB34F8">
        <w:tc>
          <w:tcPr>
            <w:tcW w:w="9016" w:type="dxa"/>
            <w:shd w:val="clear" w:color="auto" w:fill="FFF2CC" w:themeFill="accent4" w:themeFillTint="33"/>
            <w:vAlign w:val="center"/>
          </w:tcPr>
          <w:p w14:paraId="78508A0F" w14:textId="4EE877CD" w:rsidR="004A25AA" w:rsidRPr="00CB34F8" w:rsidRDefault="004A25AA" w:rsidP="00245484">
            <w:pPr>
              <w:tabs>
                <w:tab w:val="right" w:pos="1021"/>
              </w:tabs>
              <w:spacing w:before="240"/>
              <w:rPr>
                <w:b/>
                <w:bCs/>
                <w:sz w:val="22"/>
                <w:szCs w:val="22"/>
              </w:rPr>
            </w:pPr>
            <w:r w:rsidRPr="00795575">
              <w:rPr>
                <w:b/>
                <w:szCs w:val="22"/>
              </w:rPr>
              <w:t xml:space="preserve">Please note that the attribution of ACCUs is for safeguard purposes only. The ACCUs themselves can only be credited to the registered project proponent. </w:t>
            </w:r>
          </w:p>
        </w:tc>
      </w:tr>
    </w:tbl>
    <w:p w14:paraId="7173DC81" w14:textId="04DF28A5" w:rsidR="004A25AA" w:rsidRPr="00245484" w:rsidRDefault="004A25AA" w:rsidP="00245484">
      <w:pPr>
        <w:tabs>
          <w:tab w:val="right" w:pos="1021"/>
        </w:tabs>
        <w:jc w:val="both"/>
      </w:pPr>
    </w:p>
    <w:p w14:paraId="12591DE7" w14:textId="2EE68382" w:rsidR="004A3FA2" w:rsidRDefault="004A3FA2" w:rsidP="004A3FA2">
      <w:pPr>
        <w:pStyle w:val="Heading2"/>
      </w:pPr>
      <w:bookmarkStart w:id="54" w:name="_Toc75442808"/>
      <w:r>
        <w:t>Audit Requirements</w:t>
      </w:r>
      <w:bookmarkEnd w:id="54"/>
    </w:p>
    <w:p w14:paraId="3F129BE5" w14:textId="6E778AE7" w:rsidR="00700D07" w:rsidRDefault="5C4ED381" w:rsidP="00A82565">
      <w:r>
        <w:t xml:space="preserve">The CFI Rule and the CFI </w:t>
      </w:r>
      <w:r w:rsidR="21C917C1">
        <w:t>A</w:t>
      </w:r>
      <w:r>
        <w:t>udit</w:t>
      </w:r>
      <w:r w:rsidR="7DEF5BB4">
        <w:t xml:space="preserve"> </w:t>
      </w:r>
      <w:r w:rsidR="58FCFC58">
        <w:t>T</w:t>
      </w:r>
      <w:r w:rsidR="7DEF5BB4">
        <w:t xml:space="preserve">hreshold </w:t>
      </w:r>
      <w:r w:rsidR="74D28FB3">
        <w:t>I</w:t>
      </w:r>
      <w:r w:rsidR="7DEF5BB4">
        <w:t>nstrument set out the requirements of audit reports that</w:t>
      </w:r>
      <w:r w:rsidR="002833BB">
        <w:t xml:space="preserve"> accompany an offset</w:t>
      </w:r>
      <w:r w:rsidR="00263D64">
        <w:t>s</w:t>
      </w:r>
      <w:r w:rsidR="00E71424">
        <w:t xml:space="preserve"> report</w:t>
      </w:r>
      <w:r w:rsidR="007F4396">
        <w:t>.</w:t>
      </w:r>
      <w:r w:rsidR="2EC4249D">
        <w:t xml:space="preserve"> </w:t>
      </w:r>
    </w:p>
    <w:p w14:paraId="32DC3F26" w14:textId="2979475A" w:rsidR="00847190" w:rsidRDefault="0096619B" w:rsidP="007F45AF">
      <w:pPr>
        <w:jc w:val="both"/>
      </w:pPr>
      <w:r>
        <w:t>These regulatory instruments currently</w:t>
      </w:r>
      <w:r w:rsidR="2EC4249D" w:rsidRPr="007F45AF">
        <w:t xml:space="preserve"> require that any application for </w:t>
      </w:r>
      <w:r w:rsidR="00615376">
        <w:t>more</w:t>
      </w:r>
      <w:r w:rsidR="2EC4249D" w:rsidRPr="007F45AF">
        <w:t xml:space="preserve"> than 100,000 ACCUs must be accompanie</w:t>
      </w:r>
      <w:r w:rsidR="3B7BE7ED" w:rsidRPr="007F45AF">
        <w:t>d by an audit report</w:t>
      </w:r>
      <w:r w:rsidR="00F37D48" w:rsidRPr="007F45AF">
        <w:t xml:space="preserve">. </w:t>
      </w:r>
      <w:r w:rsidR="00615376">
        <w:t>Given the abatement volumes</w:t>
      </w:r>
      <w:r w:rsidR="004B28ED">
        <w:t xml:space="preserve"> likely to be generated by CCS projects</w:t>
      </w:r>
      <w:r w:rsidR="00615376">
        <w:t xml:space="preserve">, it is likely that </w:t>
      </w:r>
      <w:r w:rsidR="004B28ED">
        <w:t>they</w:t>
      </w:r>
      <w:r w:rsidR="00F37D48" w:rsidRPr="007F45AF">
        <w:t xml:space="preserve"> </w:t>
      </w:r>
      <w:r w:rsidR="56CB4334" w:rsidRPr="007F45AF">
        <w:t>will require an audit to be undertaken</w:t>
      </w:r>
      <w:r w:rsidR="00615376">
        <w:t xml:space="preserve"> for each offset</w:t>
      </w:r>
      <w:r w:rsidR="00263D64">
        <w:t>s</w:t>
      </w:r>
      <w:r w:rsidR="00615376">
        <w:t xml:space="preserve"> report</w:t>
      </w:r>
      <w:r w:rsidR="005A438D">
        <w:t>.</w:t>
      </w:r>
      <w:r w:rsidR="002B3B3B" w:rsidRPr="007F45AF">
        <w:t xml:space="preserve"> </w:t>
      </w:r>
    </w:p>
    <w:p w14:paraId="536A429B" w14:textId="6D14C351" w:rsidR="00154284" w:rsidRDefault="00154284" w:rsidP="00154284">
      <w:pPr>
        <w:pStyle w:val="Heading1"/>
      </w:pPr>
      <w:bookmarkStart w:id="55" w:name="_Toc75442809"/>
      <w:r>
        <w:t>Other matters</w:t>
      </w:r>
      <w:bookmarkEnd w:id="55"/>
    </w:p>
    <w:p w14:paraId="0C9A7497" w14:textId="0857663E" w:rsidR="001612D2" w:rsidRPr="00154284" w:rsidRDefault="001612D2" w:rsidP="00154284">
      <w:pPr>
        <w:pStyle w:val="Heading2"/>
      </w:pPr>
      <w:bookmarkStart w:id="56" w:name="_Toc75442810"/>
      <w:r w:rsidRPr="00154284">
        <w:t>Notification requirements</w:t>
      </w:r>
      <w:bookmarkEnd w:id="56"/>
    </w:p>
    <w:p w14:paraId="08C99622" w14:textId="1B1FBFD0" w:rsidR="00673446" w:rsidRDefault="00F53CBE" w:rsidP="005A438D">
      <w:pPr>
        <w:jc w:val="both"/>
      </w:pPr>
      <w:r>
        <w:t>The legislation, including the CFI Act, CFI Rule</w:t>
      </w:r>
      <w:r w:rsidR="00AF5FE8">
        <w:t>,</w:t>
      </w:r>
      <w:r>
        <w:t xml:space="preserve"> and the </w:t>
      </w:r>
      <w:r w:rsidR="00496CCB">
        <w:t xml:space="preserve">proposed </w:t>
      </w:r>
      <w:r>
        <w:t xml:space="preserve">CCS method, set out various situations where you are required </w:t>
      </w:r>
      <w:r w:rsidR="00366374">
        <w:t xml:space="preserve">to report to </w:t>
      </w:r>
      <w:r>
        <w:t>the Clean Energy Regulator within various timeframes.</w:t>
      </w:r>
    </w:p>
    <w:p w14:paraId="42B0976F" w14:textId="77777777" w:rsidR="00673446" w:rsidRDefault="00673446" w:rsidP="005A438D">
      <w:pPr>
        <w:jc w:val="both"/>
      </w:pPr>
      <w:r>
        <w:t>General notification requirements include the requirement to notify the Clean Energy Regulator if:</w:t>
      </w:r>
    </w:p>
    <w:p w14:paraId="0ED28F18" w14:textId="5F3B551E" w:rsidR="00673446" w:rsidRPr="00673446" w:rsidRDefault="00673446" w:rsidP="00506F09">
      <w:pPr>
        <w:pStyle w:val="ListParagraph"/>
        <w:numPr>
          <w:ilvl w:val="0"/>
          <w:numId w:val="56"/>
        </w:numPr>
        <w:jc w:val="both"/>
        <w:rPr>
          <w:color w:val="000000" w:themeColor="text1"/>
        </w:rPr>
      </w:pPr>
      <w:r w:rsidRPr="00506F09">
        <w:rPr>
          <w:color w:val="000000" w:themeColor="text1"/>
        </w:rPr>
        <w:t>the project proponent changes</w:t>
      </w:r>
      <w:r w:rsidR="00C5534E" w:rsidRPr="00506F09">
        <w:rPr>
          <w:color w:val="000000" w:themeColor="text1"/>
        </w:rPr>
        <w:t>,</w:t>
      </w:r>
    </w:p>
    <w:p w14:paraId="1C778C31" w14:textId="31CA64B0" w:rsidR="001612D2" w:rsidRPr="00673446" w:rsidRDefault="00673446" w:rsidP="00506F09">
      <w:pPr>
        <w:pStyle w:val="ListParagraph"/>
        <w:numPr>
          <w:ilvl w:val="0"/>
          <w:numId w:val="56"/>
        </w:numPr>
        <w:jc w:val="both"/>
        <w:rPr>
          <w:color w:val="000000" w:themeColor="text1"/>
        </w:rPr>
      </w:pPr>
      <w:r w:rsidRPr="00506F09">
        <w:rPr>
          <w:color w:val="000000" w:themeColor="text1"/>
        </w:rPr>
        <w:t xml:space="preserve">the </w:t>
      </w:r>
      <w:r w:rsidR="00B626AE">
        <w:rPr>
          <w:color w:val="000000" w:themeColor="text1"/>
        </w:rPr>
        <w:t xml:space="preserve">project </w:t>
      </w:r>
      <w:r w:rsidRPr="00506F09">
        <w:rPr>
          <w:color w:val="000000" w:themeColor="text1"/>
        </w:rPr>
        <w:t>proponent has identified errors in previous offsets reports</w:t>
      </w:r>
      <w:r w:rsidR="00C5534E" w:rsidRPr="00506F09">
        <w:rPr>
          <w:color w:val="000000" w:themeColor="text1"/>
        </w:rPr>
        <w:t>, and</w:t>
      </w:r>
    </w:p>
    <w:p w14:paraId="73CADF99" w14:textId="353591A0" w:rsidR="00673446" w:rsidRDefault="00673446" w:rsidP="00506F09">
      <w:pPr>
        <w:pStyle w:val="ListParagraph"/>
        <w:numPr>
          <w:ilvl w:val="0"/>
          <w:numId w:val="56"/>
        </w:numPr>
        <w:jc w:val="both"/>
        <w:rPr>
          <w:color w:val="000000" w:themeColor="text1"/>
        </w:rPr>
      </w:pPr>
      <w:r>
        <w:rPr>
          <w:color w:val="000000" w:themeColor="text1"/>
        </w:rPr>
        <w:t>the manner</w:t>
      </w:r>
      <w:r w:rsidR="00263D64">
        <w:rPr>
          <w:color w:val="000000" w:themeColor="text1"/>
        </w:rPr>
        <w:t xml:space="preserve"> in</w:t>
      </w:r>
      <w:r>
        <w:rPr>
          <w:color w:val="000000" w:themeColor="text1"/>
        </w:rPr>
        <w:t xml:space="preserve"> which the project is being operated has changed where the change is likely to result in the project being revoked.</w:t>
      </w:r>
    </w:p>
    <w:p w14:paraId="52F574AC" w14:textId="4627240B" w:rsidR="00673446" w:rsidRDefault="00673446" w:rsidP="00506F09">
      <w:pPr>
        <w:spacing w:before="240"/>
        <w:jc w:val="both"/>
        <w:rPr>
          <w:color w:val="000000" w:themeColor="text1"/>
        </w:rPr>
      </w:pPr>
      <w:r>
        <w:rPr>
          <w:color w:val="000000" w:themeColor="text1"/>
        </w:rPr>
        <w:t>See sections 78</w:t>
      </w:r>
      <w:r w:rsidR="00AF5FE8">
        <w:rPr>
          <w:color w:val="000000" w:themeColor="text1"/>
        </w:rPr>
        <w:t>-</w:t>
      </w:r>
      <w:r>
        <w:rPr>
          <w:color w:val="000000" w:themeColor="text1"/>
        </w:rPr>
        <w:t>85 in the CFI Act and sections 81</w:t>
      </w:r>
      <w:r w:rsidR="00AF5FE8">
        <w:rPr>
          <w:color w:val="000000" w:themeColor="text1"/>
        </w:rPr>
        <w:t>-</w:t>
      </w:r>
      <w:r>
        <w:rPr>
          <w:color w:val="000000" w:themeColor="text1"/>
        </w:rPr>
        <w:t xml:space="preserve">87 </w:t>
      </w:r>
      <w:r w:rsidR="00203EBB">
        <w:rPr>
          <w:color w:val="000000" w:themeColor="text1"/>
        </w:rPr>
        <w:t xml:space="preserve">in the CFI Rule </w:t>
      </w:r>
      <w:r>
        <w:rPr>
          <w:color w:val="000000" w:themeColor="text1"/>
        </w:rPr>
        <w:t>for further information about the general notification requirements.</w:t>
      </w:r>
    </w:p>
    <w:p w14:paraId="61F27A2D" w14:textId="7BB13BDB" w:rsidR="00673446" w:rsidRDefault="00673446" w:rsidP="005A438D">
      <w:pPr>
        <w:jc w:val="both"/>
        <w:rPr>
          <w:color w:val="000000" w:themeColor="text1"/>
        </w:rPr>
      </w:pPr>
      <w:r>
        <w:rPr>
          <w:color w:val="000000" w:themeColor="text1"/>
        </w:rPr>
        <w:t xml:space="preserve">The </w:t>
      </w:r>
      <w:r w:rsidR="00496CCB">
        <w:rPr>
          <w:color w:val="000000" w:themeColor="text1"/>
        </w:rPr>
        <w:t xml:space="preserve">proposed </w:t>
      </w:r>
      <w:r>
        <w:rPr>
          <w:color w:val="000000" w:themeColor="text1"/>
        </w:rPr>
        <w:t xml:space="preserve">CCS method includes notification requirements where: </w:t>
      </w:r>
    </w:p>
    <w:p w14:paraId="678812E2" w14:textId="33C1AB51" w:rsidR="00673446" w:rsidRDefault="00673446" w:rsidP="00673446">
      <w:pPr>
        <w:pStyle w:val="ListParagraph"/>
        <w:numPr>
          <w:ilvl w:val="0"/>
          <w:numId w:val="56"/>
        </w:numPr>
        <w:jc w:val="both"/>
        <w:rPr>
          <w:color w:val="000000" w:themeColor="text1"/>
        </w:rPr>
      </w:pPr>
      <w:r w:rsidRPr="00673446">
        <w:rPr>
          <w:color w:val="000000" w:themeColor="text1"/>
        </w:rPr>
        <w:t>there are any changes to a CCS project’s regulatory approvals that might impact on its ability to continue to operate</w:t>
      </w:r>
      <w:r w:rsidR="00C5534E">
        <w:rPr>
          <w:color w:val="000000" w:themeColor="text1"/>
        </w:rPr>
        <w:t xml:space="preserve"> the project,</w:t>
      </w:r>
    </w:p>
    <w:p w14:paraId="167E55FF" w14:textId="09AE17AF" w:rsidR="00C5534E" w:rsidRDefault="00C5534E" w:rsidP="00673446">
      <w:pPr>
        <w:pStyle w:val="ListParagraph"/>
        <w:numPr>
          <w:ilvl w:val="0"/>
          <w:numId w:val="56"/>
        </w:numPr>
        <w:jc w:val="both"/>
        <w:rPr>
          <w:color w:val="000000" w:themeColor="text1"/>
        </w:rPr>
      </w:pPr>
      <w:r>
        <w:rPr>
          <w:color w:val="000000" w:themeColor="text1"/>
        </w:rPr>
        <w:t xml:space="preserve">a material volume of storage site fugitive emissions </w:t>
      </w:r>
      <w:r w:rsidR="00F14C1A">
        <w:rPr>
          <w:color w:val="000000" w:themeColor="text1"/>
        </w:rPr>
        <w:t>was</w:t>
      </w:r>
      <w:r w:rsidR="004141FE">
        <w:rPr>
          <w:color w:val="000000" w:themeColor="text1"/>
        </w:rPr>
        <w:t xml:space="preserve"> </w:t>
      </w:r>
      <w:r>
        <w:rPr>
          <w:color w:val="000000" w:themeColor="text1"/>
        </w:rPr>
        <w:t>released in a reporting period, and</w:t>
      </w:r>
    </w:p>
    <w:p w14:paraId="338F3C1D" w14:textId="0A4AFE0B" w:rsidR="00C5534E" w:rsidRPr="00673446" w:rsidRDefault="00C5534E" w:rsidP="00673446">
      <w:pPr>
        <w:pStyle w:val="ListParagraph"/>
        <w:numPr>
          <w:ilvl w:val="0"/>
          <w:numId w:val="56"/>
        </w:numPr>
        <w:jc w:val="both"/>
        <w:rPr>
          <w:color w:val="000000" w:themeColor="text1"/>
        </w:rPr>
      </w:pPr>
      <w:r>
        <w:rPr>
          <w:color w:val="000000" w:themeColor="text1"/>
        </w:rPr>
        <w:lastRenderedPageBreak/>
        <w:t xml:space="preserve">when the </w:t>
      </w:r>
      <w:r w:rsidR="00E74788">
        <w:rPr>
          <w:color w:val="000000" w:themeColor="text1"/>
        </w:rPr>
        <w:t>greenhouse gases</w:t>
      </w:r>
      <w:r>
        <w:rPr>
          <w:color w:val="000000" w:themeColor="text1"/>
        </w:rPr>
        <w:t xml:space="preserve"> injected into a storage site </w:t>
      </w:r>
      <w:r w:rsidR="00263D64">
        <w:rPr>
          <w:color w:val="000000" w:themeColor="text1"/>
        </w:rPr>
        <w:t>are</w:t>
      </w:r>
      <w:r>
        <w:rPr>
          <w:color w:val="000000" w:themeColor="text1"/>
        </w:rPr>
        <w:t xml:space="preserve"> behaving in a manner where there is a material risk of </w:t>
      </w:r>
      <w:r w:rsidR="004141FE">
        <w:rPr>
          <w:color w:val="000000" w:themeColor="text1"/>
        </w:rPr>
        <w:t xml:space="preserve">reversal or increased </w:t>
      </w:r>
      <w:r>
        <w:rPr>
          <w:color w:val="000000" w:themeColor="text1"/>
        </w:rPr>
        <w:t>storage site fugitive emissions being released during the crediting period.</w:t>
      </w:r>
    </w:p>
    <w:p w14:paraId="5BD5319B" w14:textId="76A66DE6" w:rsidR="00732470" w:rsidRDefault="00732470" w:rsidP="00732470">
      <w:pPr>
        <w:pStyle w:val="Heading2"/>
      </w:pPr>
      <w:bookmarkStart w:id="57" w:name="_Toc75442811"/>
      <w:r>
        <w:t>Legislative Rules</w:t>
      </w:r>
      <w:bookmarkEnd w:id="57"/>
    </w:p>
    <w:p w14:paraId="34D2F294" w14:textId="7386DD6D" w:rsidR="00A00290" w:rsidRDefault="00A00290" w:rsidP="003E3CD6">
      <w:pPr>
        <w:tabs>
          <w:tab w:val="right" w:pos="1021"/>
        </w:tabs>
        <w:jc w:val="both"/>
        <w:rPr>
          <w:rFonts w:eastAsiaTheme="minorHAnsi"/>
          <w:color w:val="auto"/>
          <w:szCs w:val="22"/>
        </w:rPr>
      </w:pPr>
      <w:r w:rsidRPr="00506F09">
        <w:t xml:space="preserve">The changes to the </w:t>
      </w:r>
      <w:r w:rsidRPr="00506F09">
        <w:rPr>
          <w:i/>
          <w:iCs/>
        </w:rPr>
        <w:t>Carbon Credits (Carbon Farming Initiative) Rule 2015</w:t>
      </w:r>
      <w:r w:rsidRPr="00506F09">
        <w:t xml:space="preserve"> (CFI Rule) proposed to </w:t>
      </w:r>
      <w:r w:rsidRPr="003E3CD6">
        <w:rPr>
          <w:rFonts w:asciiTheme="minorHAnsi" w:eastAsia="Times New Roman" w:hAnsiTheme="minorHAnsi" w:cstheme="minorHAnsi"/>
          <w:color w:val="000000" w:themeColor="text1"/>
          <w:szCs w:val="20"/>
          <w:lang w:eastAsia="en-AU"/>
        </w:rPr>
        <w:t>support</w:t>
      </w:r>
      <w:r w:rsidRPr="00506F09">
        <w:t xml:space="preserve"> the </w:t>
      </w:r>
      <w:r w:rsidR="00496CCB">
        <w:t xml:space="preserve">proposed </w:t>
      </w:r>
      <w:r w:rsidRPr="00506F09">
        <w:t>CCS method are</w:t>
      </w:r>
      <w:r w:rsidRPr="00A00290">
        <w:t>:</w:t>
      </w:r>
    </w:p>
    <w:p w14:paraId="155A2F99" w14:textId="3FDD1663" w:rsidR="00732470" w:rsidRPr="00245484" w:rsidRDefault="00732470" w:rsidP="00506F09">
      <w:pPr>
        <w:pStyle w:val="ListParagraph"/>
        <w:numPr>
          <w:ilvl w:val="0"/>
          <w:numId w:val="56"/>
        </w:numPr>
        <w:jc w:val="both"/>
        <w:rPr>
          <w:rFonts w:eastAsia="Cambria"/>
          <w:color w:val="000000" w:themeColor="text1"/>
          <w:szCs w:val="24"/>
        </w:rPr>
      </w:pPr>
      <w:r w:rsidRPr="00245484">
        <w:rPr>
          <w:color w:val="000000" w:themeColor="text1"/>
        </w:rPr>
        <w:t xml:space="preserve">Allowing the start time for CCS projects to be deferred for </w:t>
      </w:r>
      <w:r w:rsidR="00506F09">
        <w:rPr>
          <w:color w:val="000000" w:themeColor="text1"/>
        </w:rPr>
        <w:t>five</w:t>
      </w:r>
      <w:r w:rsidRPr="00245484">
        <w:rPr>
          <w:color w:val="000000" w:themeColor="text1"/>
        </w:rPr>
        <w:t xml:space="preserve"> years.</w:t>
      </w:r>
    </w:p>
    <w:p w14:paraId="754A7B85" w14:textId="1B530645" w:rsidR="00732470" w:rsidRPr="00245484" w:rsidRDefault="00732470" w:rsidP="00506F09">
      <w:pPr>
        <w:pStyle w:val="ListParagraph"/>
        <w:numPr>
          <w:ilvl w:val="0"/>
          <w:numId w:val="56"/>
        </w:numPr>
        <w:jc w:val="both"/>
        <w:rPr>
          <w:color w:val="000000" w:themeColor="text1"/>
        </w:rPr>
      </w:pPr>
      <w:r w:rsidRPr="00245484">
        <w:rPr>
          <w:color w:val="000000" w:themeColor="text1"/>
        </w:rPr>
        <w:t xml:space="preserve">Allowing for an extended accounting period for CCS projects which would extend until a return event described in the </w:t>
      </w:r>
      <w:r w:rsidR="00496CCB">
        <w:rPr>
          <w:color w:val="000000" w:themeColor="text1"/>
        </w:rPr>
        <w:t xml:space="preserve">proposed </w:t>
      </w:r>
      <w:r w:rsidRPr="00245484">
        <w:rPr>
          <w:color w:val="000000" w:themeColor="text1"/>
        </w:rPr>
        <w:t>CCS method occurs.</w:t>
      </w:r>
    </w:p>
    <w:p w14:paraId="3FE0C5D1" w14:textId="77777777" w:rsidR="001612D2" w:rsidRDefault="001612D2" w:rsidP="00154284">
      <w:pPr>
        <w:pStyle w:val="Heading2"/>
      </w:pPr>
      <w:bookmarkStart w:id="58" w:name="_Toc75442812"/>
      <w:r>
        <w:t>Making changes to your project</w:t>
      </w:r>
      <w:bookmarkEnd w:id="58"/>
    </w:p>
    <w:p w14:paraId="7AC765A2" w14:textId="61759C8C" w:rsidR="001612D2" w:rsidRDefault="001612D2" w:rsidP="00ED25DC">
      <w:pPr>
        <w:pStyle w:val="CERbullets"/>
        <w:numPr>
          <w:ilvl w:val="0"/>
          <w:numId w:val="0"/>
        </w:numPr>
        <w:jc w:val="both"/>
      </w:pPr>
      <w:r>
        <w:t xml:space="preserve">You can make changes to your project to adjust for changing circumstances. </w:t>
      </w:r>
    </w:p>
    <w:p w14:paraId="725D0D49" w14:textId="6519F15B" w:rsidR="00F61D43" w:rsidRDefault="004C42B8" w:rsidP="00ED25DC">
      <w:pPr>
        <w:jc w:val="both"/>
        <w:rPr>
          <w:color w:val="000000" w:themeColor="text1"/>
        </w:rPr>
      </w:pPr>
      <w:r>
        <w:t xml:space="preserve">For some of these </w:t>
      </w:r>
      <w:r w:rsidR="001612D2">
        <w:t xml:space="preserve">changes to your project, you will need to complete a Project Variation form, located in the </w:t>
      </w:r>
      <w:hyperlink r:id="rId18" w:history="1">
        <w:r w:rsidR="001612D2" w:rsidRPr="00240AE3">
          <w:rPr>
            <w:rStyle w:val="Hyperlink"/>
          </w:rPr>
          <w:t>Clean Energy Regulator Client Portal</w:t>
        </w:r>
      </w:hyperlink>
      <w:r w:rsidR="001612D2" w:rsidRPr="00B746D6">
        <w:rPr>
          <w:rStyle w:val="Hyperlink"/>
          <w:vertAlign w:val="superscript"/>
        </w:rPr>
        <w:fldChar w:fldCharType="begin"/>
      </w:r>
      <w:r w:rsidR="001612D2" w:rsidRPr="00B746D6">
        <w:rPr>
          <w:rStyle w:val="Hyperlink"/>
          <w:vertAlign w:val="superscript"/>
        </w:rPr>
        <w:instrText xml:space="preserve"> NOTEREF _Ref22212165 \h </w:instrText>
      </w:r>
      <w:r w:rsidR="001612D2">
        <w:rPr>
          <w:rStyle w:val="Hyperlink"/>
          <w:vertAlign w:val="superscript"/>
        </w:rPr>
        <w:instrText xml:space="preserve"> \* MERGEFORMAT </w:instrText>
      </w:r>
      <w:r w:rsidR="001612D2" w:rsidRPr="00B746D6">
        <w:rPr>
          <w:rStyle w:val="Hyperlink"/>
          <w:vertAlign w:val="superscript"/>
        </w:rPr>
      </w:r>
      <w:r w:rsidR="001612D2" w:rsidRPr="00B746D6">
        <w:rPr>
          <w:rStyle w:val="Hyperlink"/>
          <w:vertAlign w:val="superscript"/>
        </w:rPr>
        <w:fldChar w:fldCharType="separate"/>
      </w:r>
      <w:r w:rsidR="007D499B">
        <w:rPr>
          <w:rStyle w:val="Hyperlink"/>
          <w:vertAlign w:val="superscript"/>
        </w:rPr>
        <w:t>18</w:t>
      </w:r>
      <w:r w:rsidR="001612D2" w:rsidRPr="00B746D6">
        <w:rPr>
          <w:rStyle w:val="Hyperlink"/>
          <w:vertAlign w:val="superscript"/>
        </w:rPr>
        <w:fldChar w:fldCharType="end"/>
      </w:r>
      <w:r w:rsidR="001612D2">
        <w:t xml:space="preserve">. </w:t>
      </w:r>
      <w:r w:rsidR="001612D2" w:rsidRPr="003C28A8">
        <w:rPr>
          <w:color w:val="000000" w:themeColor="text1"/>
        </w:rPr>
        <w:t>See</w:t>
      </w:r>
      <w:r w:rsidR="00967391">
        <w:rPr>
          <w:color w:val="000000" w:themeColor="text1"/>
        </w:rPr>
        <w:t xml:space="preserve"> the </w:t>
      </w:r>
      <w:r w:rsidR="00967391" w:rsidRPr="00967391">
        <w:rPr>
          <w:color w:val="000000" w:themeColor="text1"/>
        </w:rPr>
        <w:t>Clean Energy Regulator</w:t>
      </w:r>
      <w:r w:rsidR="00967391">
        <w:rPr>
          <w:color w:val="000000" w:themeColor="text1"/>
        </w:rPr>
        <w:t xml:space="preserve"> </w:t>
      </w:r>
      <w:hyperlink r:id="rId19" w:history="1">
        <w:r w:rsidR="00967391" w:rsidRPr="00967391">
          <w:rPr>
            <w:rStyle w:val="Hyperlink"/>
          </w:rPr>
          <w:t>website</w:t>
        </w:r>
      </w:hyperlink>
      <w:r w:rsidR="001612D2" w:rsidRPr="00E86ECB">
        <w:rPr>
          <w:color w:val="000000" w:themeColor="text1"/>
        </w:rPr>
        <w:t xml:space="preserve"> for </w:t>
      </w:r>
      <w:r w:rsidR="00967391">
        <w:rPr>
          <w:color w:val="000000" w:themeColor="text1"/>
        </w:rPr>
        <w:t>further information about varying a project</w:t>
      </w:r>
      <w:r w:rsidR="001612D2" w:rsidRPr="00E86ECB">
        <w:rPr>
          <w:color w:val="000000" w:themeColor="text1"/>
        </w:rPr>
        <w:t>.</w:t>
      </w:r>
    </w:p>
    <w:p w14:paraId="517F87E4" w14:textId="1E11DBAB" w:rsidR="001F6809" w:rsidRPr="00E86ECB" w:rsidRDefault="001F6809" w:rsidP="00ED25DC">
      <w:pPr>
        <w:jc w:val="both"/>
        <w:rPr>
          <w:color w:val="000000" w:themeColor="text1"/>
        </w:rPr>
      </w:pPr>
      <w:r>
        <w:rPr>
          <w:color w:val="000000" w:themeColor="text1"/>
        </w:rPr>
        <w:t xml:space="preserve">Other changes may be made without the approval of the </w:t>
      </w:r>
      <w:r w:rsidR="004D167C">
        <w:rPr>
          <w:color w:val="000000" w:themeColor="text1"/>
        </w:rPr>
        <w:t xml:space="preserve">Clean Energy </w:t>
      </w:r>
      <w:r>
        <w:rPr>
          <w:color w:val="000000" w:themeColor="text1"/>
        </w:rPr>
        <w:t>Regulator but the Regulator must be informed via a formal notification or in an offsets report.</w:t>
      </w:r>
    </w:p>
    <w:p w14:paraId="74EF96A5" w14:textId="77777777" w:rsidR="00506924" w:rsidRDefault="00506924" w:rsidP="00506924">
      <w:pPr>
        <w:pStyle w:val="Heading1"/>
      </w:pPr>
      <w:bookmarkStart w:id="59" w:name="_Toc75442813"/>
      <w:r>
        <w:t>Disclaimer</w:t>
      </w:r>
      <w:bookmarkEnd w:id="59"/>
    </w:p>
    <w:p w14:paraId="4540E7E3" w14:textId="7535AF6F" w:rsidR="00755FAD" w:rsidRDefault="00506924" w:rsidP="00506924">
      <w:r>
        <w:t xml:space="preserve">This document </w:t>
      </w:r>
      <w:r w:rsidR="00CE3F06">
        <w:t xml:space="preserve">is </w:t>
      </w:r>
      <w:r>
        <w:t xml:space="preserve">provided </w:t>
      </w:r>
      <w:r w:rsidR="00755FAD">
        <w:t xml:space="preserve">to stakeholders as part of a </w:t>
      </w:r>
      <w:r w:rsidR="00C23798">
        <w:t>consultation</w:t>
      </w:r>
      <w:r w:rsidR="00755FAD">
        <w:t xml:space="preserve"> process </w:t>
      </w:r>
      <w:r w:rsidR="00C23798">
        <w:t>on the development of a proposed carbon capture and storage method.</w:t>
      </w:r>
      <w:r w:rsidR="000E6924">
        <w:t xml:space="preserve">  </w:t>
      </w:r>
    </w:p>
    <w:p w14:paraId="20BFB0D5" w14:textId="77777777" w:rsidR="00506924" w:rsidRDefault="00506924" w:rsidP="001612D2"/>
    <w:p w14:paraId="041DAFBC" w14:textId="7FDF56D7" w:rsidR="00514D54" w:rsidRPr="00F61D43" w:rsidRDefault="00514D54" w:rsidP="00F14C1A"/>
    <w:sectPr w:rsidR="00514D54" w:rsidRPr="00F61D4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75CFB" w14:textId="77777777" w:rsidR="007A0C10" w:rsidRDefault="007A0C10" w:rsidP="000B74AE">
      <w:pPr>
        <w:spacing w:after="0"/>
      </w:pPr>
      <w:r>
        <w:separator/>
      </w:r>
    </w:p>
  </w:endnote>
  <w:endnote w:type="continuationSeparator" w:id="0">
    <w:p w14:paraId="2206AD30" w14:textId="77777777" w:rsidR="007A0C10" w:rsidRDefault="007A0C10" w:rsidP="000B74AE">
      <w:pPr>
        <w:spacing w:after="0"/>
      </w:pPr>
      <w:r>
        <w:continuationSeparator/>
      </w:r>
    </w:p>
  </w:endnote>
  <w:endnote w:type="continuationNotice" w:id="1">
    <w:p w14:paraId="219F58FC" w14:textId="77777777" w:rsidR="007A0C10" w:rsidRDefault="007A0C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9E12A" w14:textId="77777777" w:rsidR="007A0C10" w:rsidRDefault="007A0C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F2E67" w14:textId="733C6458" w:rsidR="007A0C10" w:rsidRDefault="007A0C10" w:rsidP="00597E7D">
    <w:pPr>
      <w:spacing w:after="0"/>
      <w:jc w:val="center"/>
      <w:rPr>
        <w:rFonts w:eastAsiaTheme="minorHAnsi"/>
        <w:color w:val="auto"/>
        <w:szCs w:val="22"/>
      </w:rPr>
    </w:pPr>
    <w:r>
      <w:t>DRAFT – FOR CONSULTATION</w:t>
    </w:r>
  </w:p>
  <w:p w14:paraId="6153FDC2" w14:textId="69F36B66" w:rsidR="007A0C10" w:rsidRDefault="007A0C10" w:rsidP="00597E7D">
    <w:pPr>
      <w:jc w:val="center"/>
    </w:pPr>
    <w:r>
      <w:t>June 2021</w:t>
    </w:r>
  </w:p>
  <w:p w14:paraId="41AD7C45" w14:textId="77777777" w:rsidR="007A0C10" w:rsidRDefault="007A0C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DBE67" w14:textId="77777777" w:rsidR="007A0C10" w:rsidRDefault="007A0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52B9A" w14:textId="77777777" w:rsidR="007A0C10" w:rsidRDefault="007A0C10" w:rsidP="000B74AE">
      <w:pPr>
        <w:spacing w:after="0"/>
      </w:pPr>
      <w:r>
        <w:separator/>
      </w:r>
    </w:p>
  </w:footnote>
  <w:footnote w:type="continuationSeparator" w:id="0">
    <w:p w14:paraId="1ABC1730" w14:textId="77777777" w:rsidR="007A0C10" w:rsidRDefault="007A0C10" w:rsidP="000B74AE">
      <w:pPr>
        <w:spacing w:after="0"/>
      </w:pPr>
      <w:r>
        <w:continuationSeparator/>
      </w:r>
    </w:p>
  </w:footnote>
  <w:footnote w:type="continuationNotice" w:id="1">
    <w:p w14:paraId="68218EBB" w14:textId="77777777" w:rsidR="007A0C10" w:rsidRDefault="007A0C10">
      <w:pPr>
        <w:spacing w:after="0"/>
      </w:pPr>
    </w:p>
  </w:footnote>
  <w:footnote w:id="2">
    <w:p w14:paraId="27B71952" w14:textId="49D9CE09" w:rsidR="007A0C10" w:rsidRPr="00795867" w:rsidRDefault="007A0C10" w:rsidP="000B74AE">
      <w:pPr>
        <w:pStyle w:val="FootnoteText"/>
      </w:pPr>
      <w:r w:rsidRPr="00AC6958">
        <w:rPr>
          <w:rStyle w:val="FootnoteReference"/>
        </w:rPr>
        <w:footnoteRef/>
      </w:r>
      <w:r w:rsidRPr="00AC6958">
        <w:t xml:space="preserve"> </w:t>
      </w:r>
      <w:r>
        <w:t xml:space="preserve">Clean Energy Regulator, 2020, </w:t>
      </w:r>
      <w:r w:rsidRPr="000C79F8">
        <w:rPr>
          <w:rStyle w:val="Hyperlink"/>
          <w:sz w:val="20"/>
        </w:rPr>
        <w:t xml:space="preserve"> </w:t>
      </w:r>
      <w:hyperlink r:id="rId1" w:history="1">
        <w:r w:rsidRPr="000C79F8">
          <w:rPr>
            <w:color w:val="0000FF"/>
            <w:u w:val="single"/>
          </w:rPr>
          <w:t>Buying ACCUs (cleanenergyregulator.gov.au)</w:t>
        </w:r>
      </w:hyperlink>
      <w:r w:rsidRPr="000C79F8">
        <w:t xml:space="preserve"> </w:t>
      </w:r>
    </w:p>
  </w:footnote>
  <w:footnote w:id="3">
    <w:p w14:paraId="6C098BC4" w14:textId="667A6860" w:rsidR="007A0C10" w:rsidRDefault="007A0C10" w:rsidP="003035B2">
      <w:pPr>
        <w:pStyle w:val="FootnoteText"/>
      </w:pPr>
      <w:r>
        <w:rPr>
          <w:rStyle w:val="FootnoteReference"/>
        </w:rPr>
        <w:footnoteRef/>
      </w:r>
      <w:r>
        <w:t xml:space="preserve"> Department of Industry, Science, Energy and Resources, 2020, </w:t>
      </w:r>
      <w:hyperlink r:id="rId2" w:history="1">
        <w:r w:rsidRPr="00795867">
          <w:rPr>
            <w:rStyle w:val="Hyperlink"/>
            <w:sz w:val="20"/>
          </w:rPr>
          <w:t>Technology Investment Roadmap: First Low Emissions Technology Statement 2020 | Department of Industry, Science, Energy and Resources</w:t>
        </w:r>
      </w:hyperlink>
    </w:p>
  </w:footnote>
  <w:footnote w:id="4">
    <w:p w14:paraId="405D3459" w14:textId="4349ACE4" w:rsidR="007A0C10" w:rsidRDefault="007A0C10">
      <w:pPr>
        <w:pStyle w:val="FootnoteText"/>
      </w:pPr>
      <w:r>
        <w:rPr>
          <w:rStyle w:val="FootnoteReference"/>
        </w:rPr>
        <w:footnoteRef/>
      </w:r>
      <w:r>
        <w:t xml:space="preserve"> Greenhouse gases for the purposes of the proposed CCS method refers to carbon dioxide, methane, and nitrous oxide.</w:t>
      </w:r>
    </w:p>
  </w:footnote>
  <w:footnote w:id="5">
    <w:p w14:paraId="15F998B2" w14:textId="53DF52A5" w:rsidR="007A0C10" w:rsidRPr="00F62023" w:rsidRDefault="007A0C10">
      <w:pPr>
        <w:pStyle w:val="FootnoteText"/>
      </w:pPr>
      <w:r>
        <w:rPr>
          <w:rStyle w:val="FootnoteReference"/>
        </w:rPr>
        <w:footnoteRef/>
      </w:r>
      <w:r>
        <w:t xml:space="preserve"> ‘Within Australia’ means a project that takes place on shore, or offshore within state, territory or Commonwealth waters as defined under section 7 of the </w:t>
      </w:r>
      <w:r>
        <w:rPr>
          <w:i/>
          <w:iCs/>
        </w:rPr>
        <w:t>Offshore Petroleum and Greenhouse Gas Storage Act 2006</w:t>
      </w:r>
      <w:r>
        <w:t xml:space="preserve">. </w:t>
      </w:r>
    </w:p>
  </w:footnote>
  <w:footnote w:id="6">
    <w:p w14:paraId="2C143ABC" w14:textId="7BF1450C" w:rsidR="007A0C10" w:rsidRPr="00191E5D" w:rsidRDefault="007A0C10" w:rsidP="004E3332">
      <w:pPr>
        <w:pStyle w:val="FootnoteText"/>
        <w:rPr>
          <w:sz w:val="18"/>
          <w:szCs w:val="18"/>
        </w:rPr>
      </w:pPr>
      <w:r w:rsidRPr="00191E5D">
        <w:rPr>
          <w:rStyle w:val="FootnoteReference"/>
          <w:sz w:val="18"/>
          <w:szCs w:val="18"/>
        </w:rPr>
        <w:footnoteRef/>
      </w:r>
      <w:r>
        <w:rPr>
          <w:sz w:val="18"/>
          <w:szCs w:val="18"/>
        </w:rPr>
        <w:t xml:space="preserve"> </w:t>
      </w:r>
      <w:r>
        <w:t xml:space="preserve">Clean Energy Regulator, 2020, </w:t>
      </w:r>
      <w:hyperlink r:id="rId3" w:history="1">
        <w:r w:rsidRPr="00795867">
          <w:rPr>
            <w:rStyle w:val="Hyperlink"/>
            <w:sz w:val="20"/>
          </w:rPr>
          <w:t>Planning a project (cleanenergyregulator.gov.au)</w:t>
        </w:r>
      </w:hyperlink>
      <w:r w:rsidRPr="00795867">
        <w:t xml:space="preserve"> </w:t>
      </w:r>
    </w:p>
  </w:footnote>
  <w:footnote w:id="7">
    <w:p w14:paraId="14F22E29" w14:textId="5140214E" w:rsidR="007A0C10" w:rsidRDefault="007A0C10" w:rsidP="0074196D">
      <w:pPr>
        <w:pStyle w:val="FootnoteText"/>
      </w:pPr>
      <w:r>
        <w:rPr>
          <w:rStyle w:val="FootnoteReference"/>
        </w:rPr>
        <w:footnoteRef/>
      </w:r>
      <w:r>
        <w:t xml:space="preserve"> </w:t>
      </w:r>
      <w:r w:rsidRPr="00601C72">
        <w:t>A capture point</w:t>
      </w:r>
      <w:r>
        <w:t xml:space="preserve"> is defined in section 5 of the proposed CCS method to </w:t>
      </w:r>
      <w:r w:rsidRPr="00601C72">
        <w:t>mean</w:t>
      </w:r>
      <w:r w:rsidRPr="00797E3B">
        <w:t xml:space="preserve"> any plant, building, structure or stationary equipment whe</w:t>
      </w:r>
      <w:r w:rsidRPr="00601C72">
        <w:t xml:space="preserve">re greenhouse gases generated from an industrial process including electricity generation, or extracted from a hydrocarbon field or basin are captured for the purpose of being injected into a geological formation for permanent storage. </w:t>
      </w:r>
    </w:p>
  </w:footnote>
  <w:footnote w:id="8">
    <w:p w14:paraId="3C7B9BB8" w14:textId="77777777" w:rsidR="007A0C10" w:rsidRDefault="007A0C10" w:rsidP="00CC6982">
      <w:pPr>
        <w:pStyle w:val="FootnoteText"/>
      </w:pPr>
      <w:r>
        <w:rPr>
          <w:rStyle w:val="FootnoteReference"/>
        </w:rPr>
        <w:footnoteRef/>
      </w:r>
      <w:r>
        <w:t xml:space="preserve"> Clean Energy Regulator, 2020, </w:t>
      </w:r>
      <w:hyperlink r:id="rId4" w:history="1">
        <w:r w:rsidRPr="00EE77AB">
          <w:rPr>
            <w:rStyle w:val="Hyperlink"/>
            <w:sz w:val="20"/>
          </w:rPr>
          <w:t>Fit and Proper Person posture (cleanenergyregulator.gov.au)</w:t>
        </w:r>
      </w:hyperlink>
      <w:r>
        <w:t xml:space="preserve"> </w:t>
      </w:r>
    </w:p>
  </w:footnote>
  <w:footnote w:id="9">
    <w:p w14:paraId="2085D43C" w14:textId="14539477" w:rsidR="007A0C10" w:rsidRDefault="007A0C10">
      <w:pPr>
        <w:pStyle w:val="FootnoteText"/>
      </w:pPr>
      <w:r>
        <w:rPr>
          <w:rStyle w:val="FootnoteReference"/>
        </w:rPr>
        <w:footnoteRef/>
      </w:r>
      <w:r>
        <w:t xml:space="preserve"> Clean Energy Regulator, 2020, </w:t>
      </w:r>
      <w:hyperlink r:id="rId5" w:anchor="regulatory-additionality-requirements" w:history="1">
        <w:r w:rsidRPr="00CB632A">
          <w:rPr>
            <w:rStyle w:val="Hyperlink"/>
            <w:sz w:val="20"/>
          </w:rPr>
          <w:t>http://www.cleanenergyregulator.gov.au/ERF/Want-to-participate-in-the-Emissions-Reduction-Fund/Planning-a-project/regulatory-additionality-and-government-programs#regulatory-additionality-requirements</w:t>
        </w:r>
      </w:hyperlink>
      <w:r>
        <w:t xml:space="preserve"> </w:t>
      </w:r>
    </w:p>
  </w:footnote>
  <w:footnote w:id="10">
    <w:p w14:paraId="1269B7E7" w14:textId="461AB89D" w:rsidR="007A0C10" w:rsidRDefault="007A0C10">
      <w:pPr>
        <w:pStyle w:val="FootnoteText"/>
      </w:pPr>
      <w:r>
        <w:rPr>
          <w:rStyle w:val="FootnoteReference"/>
        </w:rPr>
        <w:footnoteRef/>
      </w:r>
      <w:r>
        <w:t xml:space="preserve"> Clean Energy Regulator, 2020, </w:t>
      </w:r>
      <w:hyperlink r:id="rId6" w:anchor="government-program-requirement" w:history="1">
        <w:r w:rsidRPr="00CB632A">
          <w:rPr>
            <w:rStyle w:val="Hyperlink"/>
            <w:sz w:val="20"/>
          </w:rPr>
          <w:t>http://www.cleanenergyregulator.gov.au/ERF/Want-to-participate-in-the-Emissions-Reduction-Fund/Planning-a-project/regulatory-additionality-and-government-programs#government-program-requirement</w:t>
        </w:r>
      </w:hyperlink>
      <w:r>
        <w:t xml:space="preserve"> </w:t>
      </w:r>
    </w:p>
  </w:footnote>
  <w:footnote w:id="11">
    <w:p w14:paraId="5A90074A" w14:textId="5A5B76FC" w:rsidR="007A0C10" w:rsidRDefault="007A0C10">
      <w:pPr>
        <w:pStyle w:val="FootnoteText"/>
      </w:pPr>
      <w:r>
        <w:rPr>
          <w:rStyle w:val="FootnoteReference"/>
        </w:rPr>
        <w:footnoteRef/>
      </w:r>
      <w:r>
        <w:t xml:space="preserve"> See section 5 of the proposed CCS method.</w:t>
      </w:r>
    </w:p>
  </w:footnote>
  <w:footnote w:id="12">
    <w:p w14:paraId="10C7B494" w14:textId="2A8BBFCF" w:rsidR="007A0C10" w:rsidRDefault="007A0C10">
      <w:pPr>
        <w:pStyle w:val="FootnoteText"/>
      </w:pPr>
      <w:r>
        <w:rPr>
          <w:rStyle w:val="FootnoteReference"/>
        </w:rPr>
        <w:footnoteRef/>
      </w:r>
      <w:r>
        <w:t xml:space="preserve"> Shared capture points relate to oil and gas projects only.</w:t>
      </w:r>
    </w:p>
  </w:footnote>
  <w:footnote w:id="13">
    <w:p w14:paraId="654BD4B7" w14:textId="5F7FCBC5" w:rsidR="007A0C10" w:rsidRPr="00E80E08" w:rsidRDefault="007A0C10" w:rsidP="00E80E08">
      <w:pPr>
        <w:pStyle w:val="FootnoteText"/>
        <w:rPr>
          <w:lang w:val="en-US"/>
        </w:rPr>
      </w:pPr>
      <w:r>
        <w:rPr>
          <w:rStyle w:val="FootnoteReference"/>
        </w:rPr>
        <w:footnoteRef/>
      </w:r>
      <w:r>
        <w:t xml:space="preserve"> IPCC, 2005, </w:t>
      </w:r>
      <w:r w:rsidRPr="004C5F43">
        <w:rPr>
          <w:i/>
          <w:iCs/>
        </w:rPr>
        <w:t>Carbon capture and storage: Special Report</w:t>
      </w:r>
      <w:r>
        <w:t xml:space="preserve">, </w:t>
      </w:r>
      <w:hyperlink r:id="rId7" w:history="1">
        <w:r w:rsidRPr="00E43263">
          <w:rPr>
            <w:rStyle w:val="Hyperlink"/>
            <w:sz w:val="20"/>
          </w:rPr>
          <w:t>https://www.ipcc.ch/report/carbon-dioxide-capture-and-storage/</w:t>
        </w:r>
      </w:hyperlink>
      <w:r>
        <w:t>, p.34-35; Alcade, J et al, 2018, “Estimating geological CO</w:t>
      </w:r>
      <w:r w:rsidRPr="006379CF">
        <w:rPr>
          <w:vertAlign w:val="subscript"/>
        </w:rPr>
        <w:t>2</w:t>
      </w:r>
      <w:r>
        <w:t xml:space="preserve"> storage security to deliver on climate mitigation”, </w:t>
      </w:r>
      <w:r>
        <w:rPr>
          <w:i/>
          <w:iCs/>
        </w:rPr>
        <w:t xml:space="preserve">Nature Communications </w:t>
      </w:r>
      <w:r>
        <w:t xml:space="preserve">9, 2201 (2018), </w:t>
      </w:r>
      <w:hyperlink r:id="rId8" w:history="1">
        <w:r w:rsidRPr="00E43263">
          <w:rPr>
            <w:rStyle w:val="Hyperlink"/>
            <w:sz w:val="20"/>
          </w:rPr>
          <w:t>https://www.nature.com/articles/s41467-018-04423-1</w:t>
        </w:r>
      </w:hyperlink>
      <w:r>
        <w:rPr>
          <w:rStyle w:val="Hyperlink"/>
          <w:sz w:val="20"/>
        </w:rPr>
        <w:t xml:space="preserve">; International Energy Agency, 2020, </w:t>
      </w:r>
      <w:r>
        <w:rPr>
          <w:rStyle w:val="Hyperlink"/>
          <w:i/>
          <w:iCs/>
          <w:sz w:val="20"/>
        </w:rPr>
        <w:t>CCUS in Clean Energy Transitions: Part of Energy Technology Perspectives</w:t>
      </w:r>
      <w:r>
        <w:rPr>
          <w:rStyle w:val="Hyperlink"/>
          <w:sz w:val="20"/>
        </w:rPr>
        <w:t xml:space="preserve">, </w:t>
      </w:r>
      <w:hyperlink r:id="rId9" w:history="1">
        <w:r w:rsidRPr="007F2387">
          <w:rPr>
            <w:rStyle w:val="Hyperlink"/>
            <w:sz w:val="20"/>
          </w:rPr>
          <w:t>https://www.iea.org/reports/ccus-in-clean-energy-transitions</w:t>
        </w:r>
      </w:hyperlink>
      <w:r>
        <w:rPr>
          <w:rStyle w:val="Hyperlink"/>
          <w:sz w:val="20"/>
        </w:rPr>
        <w:t xml:space="preserve"> </w:t>
      </w:r>
    </w:p>
  </w:footnote>
  <w:footnote w:id="14">
    <w:p w14:paraId="62F1B5FF" w14:textId="75EBA611" w:rsidR="007A0C10" w:rsidRDefault="007A0C10">
      <w:pPr>
        <w:pStyle w:val="FootnoteText"/>
      </w:pPr>
      <w:r>
        <w:rPr>
          <w:rStyle w:val="FootnoteReference"/>
        </w:rPr>
        <w:footnoteRef/>
      </w:r>
      <w:r>
        <w:t xml:space="preserve"> Geoscience Australia, Onshore carbon storage, </w:t>
      </w:r>
      <w:hyperlink r:id="rId10" w:anchor="heading-1" w:history="1">
        <w:r w:rsidRPr="007F2387">
          <w:rPr>
            <w:rStyle w:val="Hyperlink"/>
            <w:sz w:val="20"/>
          </w:rPr>
          <w:t>http://www.ga.gov.au/about/projects/resources/onshore-energy-systems/onshore-co2-storage#heading-1</w:t>
        </w:r>
      </w:hyperlink>
      <w:r>
        <w:t xml:space="preserve">; UQ Centre for Natural Gas, 2019, </w:t>
      </w:r>
      <w:r>
        <w:rPr>
          <w:i/>
          <w:iCs/>
        </w:rPr>
        <w:t>The UQ CCS Project</w:t>
      </w:r>
      <w:r>
        <w:t xml:space="preserve">, The University of Queensland, </w:t>
      </w:r>
      <w:hyperlink r:id="rId11" w:history="1">
        <w:r w:rsidRPr="007F2387">
          <w:rPr>
            <w:rStyle w:val="Hyperlink"/>
            <w:sz w:val="20"/>
          </w:rPr>
          <w:t>https://natural-gas.centre.uq.edu.au/ccs/about-ccs</w:t>
        </w:r>
      </w:hyperlink>
      <w:r>
        <w:t xml:space="preserve">; Romasheva, N and A Ilinova, 2019, “CCS projects: How regulatory framework influence their deployment”, 8 </w:t>
      </w:r>
      <w:r>
        <w:rPr>
          <w:i/>
          <w:iCs/>
        </w:rPr>
        <w:t>Resources</w:t>
      </w:r>
      <w:r>
        <w:t xml:space="preserve"> 181, </w:t>
      </w:r>
      <w:hyperlink r:id="rId12" w:history="1">
        <w:r w:rsidRPr="007F2387">
          <w:rPr>
            <w:rStyle w:val="Hyperlink"/>
            <w:sz w:val="20"/>
          </w:rPr>
          <w:t>www.mdpi.com/journal/resources</w:t>
        </w:r>
      </w:hyperlink>
      <w:r>
        <w:t xml:space="preserve"> </w:t>
      </w:r>
    </w:p>
  </w:footnote>
  <w:footnote w:id="15">
    <w:p w14:paraId="53C67E9F" w14:textId="4A479281" w:rsidR="007A0C10" w:rsidRDefault="007A0C10" w:rsidP="001E1E2D">
      <w:pPr>
        <w:pStyle w:val="FootnoteText"/>
      </w:pPr>
      <w:r>
        <w:rPr>
          <w:rStyle w:val="FootnoteReference"/>
        </w:rPr>
        <w:footnoteRef/>
      </w:r>
      <w:r>
        <w:t xml:space="preserve"> Scope 2 emissions are defined under 2.24 of the National Greenhouse and Energy Reporting Regulations 2008.</w:t>
      </w:r>
    </w:p>
  </w:footnote>
  <w:footnote w:id="16">
    <w:p w14:paraId="4299B2BA" w14:textId="1911E737" w:rsidR="007A0C10" w:rsidRDefault="007A0C10">
      <w:pPr>
        <w:pStyle w:val="FootnoteText"/>
      </w:pPr>
      <w:r>
        <w:rPr>
          <w:rStyle w:val="FootnoteReference"/>
        </w:rPr>
        <w:footnoteRef/>
      </w:r>
      <w:r>
        <w:t xml:space="preserve"> Greenhouse gases refers to carbon dioxide, methane, and nitrous oxide. </w:t>
      </w:r>
    </w:p>
  </w:footnote>
  <w:footnote w:id="17">
    <w:p w14:paraId="65EA2101" w14:textId="13D7EAA1" w:rsidR="007A0C10" w:rsidRPr="00581FFF" w:rsidRDefault="007A0C10">
      <w:pPr>
        <w:pStyle w:val="FootnoteText"/>
        <w:rPr>
          <w:i/>
          <w:iCs/>
        </w:rPr>
      </w:pPr>
      <w:r>
        <w:rPr>
          <w:rStyle w:val="FootnoteReference"/>
        </w:rPr>
        <w:footnoteRef/>
      </w:r>
      <w:r>
        <w:t xml:space="preserve"> CGG refers to </w:t>
      </w:r>
      <w:r>
        <w:rPr>
          <w:i/>
          <w:iCs/>
        </w:rPr>
        <w:t xml:space="preserve">captured greenhouse gases for permanent storage. </w:t>
      </w:r>
    </w:p>
  </w:footnote>
  <w:footnote w:id="18">
    <w:p w14:paraId="6D11B250" w14:textId="74057989" w:rsidR="007A0C10" w:rsidRPr="00327F1E" w:rsidRDefault="007A0C10" w:rsidP="00554B8F">
      <w:pPr>
        <w:pStyle w:val="FootnoteText"/>
        <w:ind w:left="142" w:hanging="142"/>
        <w:rPr>
          <w:color w:val="000000" w:themeColor="text1"/>
        </w:rPr>
      </w:pPr>
      <w:r w:rsidRPr="20F7574B">
        <w:rPr>
          <w:rStyle w:val="FootnoteReference"/>
        </w:rPr>
        <w:footnoteRef/>
      </w:r>
      <w:r>
        <w:t xml:space="preserve"> </w:t>
      </w:r>
      <w:r w:rsidRPr="00327F1E">
        <w:rPr>
          <w:color w:val="000000" w:themeColor="text1"/>
        </w:rPr>
        <w:t>Projects can report as frequently as monthly if more than 2</w:t>
      </w:r>
      <w:r>
        <w:rPr>
          <w:color w:val="000000" w:themeColor="text1"/>
        </w:rPr>
        <w:t>,</w:t>
      </w:r>
      <w:r w:rsidRPr="00327F1E">
        <w:rPr>
          <w:color w:val="000000" w:themeColor="text1"/>
        </w:rPr>
        <w:t>000 A</w:t>
      </w:r>
      <w:r>
        <w:rPr>
          <w:color w:val="000000" w:themeColor="text1"/>
        </w:rPr>
        <w:t>CCUs</w:t>
      </w:r>
      <w:r w:rsidRPr="00327F1E">
        <w:rPr>
          <w:color w:val="000000" w:themeColor="text1"/>
        </w:rPr>
        <w:t xml:space="preserve"> are being sought in the reporting period</w:t>
      </w:r>
      <w:r>
        <w:rPr>
          <w:color w:val="000000" w:themeColor="text1"/>
        </w:rPr>
        <w:t>. Otherwise, the minimum reporting period is six months</w:t>
      </w:r>
      <w:r w:rsidRPr="00327F1E">
        <w:rPr>
          <w:color w:val="000000" w:themeColor="text1"/>
        </w:rPr>
        <w:t>.</w:t>
      </w:r>
    </w:p>
  </w:footnote>
  <w:footnote w:id="19">
    <w:p w14:paraId="14500412" w14:textId="4075780A" w:rsidR="007A0C10" w:rsidRPr="00554B8F" w:rsidRDefault="007A0C10" w:rsidP="00C46AC9">
      <w:pPr>
        <w:pStyle w:val="FootnoteText"/>
        <w:rPr>
          <w:color w:val="538135" w:themeColor="accent6" w:themeShade="BF"/>
        </w:rPr>
      </w:pPr>
      <w:r w:rsidRPr="002E60A1">
        <w:rPr>
          <w:rStyle w:val="FootnoteReference"/>
          <w:color w:val="auto"/>
        </w:rPr>
        <w:footnoteRef/>
      </w:r>
      <w:r w:rsidRPr="002E60A1">
        <w:rPr>
          <w:color w:val="auto"/>
        </w:rPr>
        <w:t xml:space="preserve"> Clean Energy Regulator, 2020, </w:t>
      </w:r>
      <w:hyperlink r:id="rId13" w:history="1">
        <w:r w:rsidRPr="00E51D7A">
          <w:rPr>
            <w:rStyle w:val="Hyperlink"/>
            <w:sz w:val="20"/>
          </w:rPr>
          <w:t>Client Portal (cleanenergyregulator.gov.au)</w:t>
        </w:r>
      </w:hyperlink>
      <w:r>
        <w:t xml:space="preserve"> </w:t>
      </w:r>
    </w:p>
  </w:footnote>
  <w:footnote w:id="20">
    <w:p w14:paraId="5CB8DDFC" w14:textId="2B23598E" w:rsidR="007A0C10" w:rsidRDefault="007A0C10" w:rsidP="00C46AC9">
      <w:pPr>
        <w:pStyle w:val="FootnoteText"/>
      </w:pPr>
      <w:r w:rsidRPr="002E60A1">
        <w:rPr>
          <w:rStyle w:val="FootnoteReference"/>
          <w:color w:val="auto"/>
        </w:rPr>
        <w:footnoteRef/>
      </w:r>
      <w:r w:rsidRPr="002E60A1">
        <w:rPr>
          <w:color w:val="auto"/>
        </w:rPr>
        <w:t xml:space="preserve"> Clean Energy Regulator, 2020, </w:t>
      </w:r>
      <w:hyperlink r:id="rId14" w:history="1">
        <w:r w:rsidRPr="009E635D">
          <w:rPr>
            <w:rStyle w:val="Hyperlink"/>
            <w:sz w:val="20"/>
          </w:rPr>
          <w:t>Opening an ANREU account (cleanenergyregulator.gov.au)</w:t>
        </w:r>
      </w:hyperlink>
      <w:r>
        <w:t xml:space="preserve"> </w:t>
      </w:r>
    </w:p>
  </w:footnote>
  <w:footnote w:id="21">
    <w:p w14:paraId="3D0E9095" w14:textId="77777777" w:rsidR="007A0C10" w:rsidRDefault="007A0C10" w:rsidP="00086DC4">
      <w:pPr>
        <w:pStyle w:val="FootnoteText"/>
      </w:pPr>
      <w:r>
        <w:rPr>
          <w:rStyle w:val="FootnoteReference"/>
        </w:rPr>
        <w:footnoteRef/>
      </w:r>
      <w:r>
        <w:t xml:space="preserve"> Clean Energy Regulator, 2020, </w:t>
      </w:r>
      <w:hyperlink r:id="rId15" w:anchor=":~:text=To%20help%20manage%20excess%20emissions,under%20the%20safeguard%20mechanism%20form." w:history="1">
        <w:r w:rsidRPr="00086DC4">
          <w:rPr>
            <w:color w:val="0000FF"/>
            <w:u w:val="single"/>
          </w:rPr>
          <w:t>Managing excess emissions (cleanenergyregulator.gov.au)</w:t>
        </w:r>
      </w:hyperlink>
      <w:r w:rsidRPr="00086DC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1BBDB" w14:textId="77777777" w:rsidR="007A0C10" w:rsidRDefault="007A0C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3291A" w14:textId="6A64807A" w:rsidR="007A0C10" w:rsidRDefault="007A0C10">
    <w:pPr>
      <w:pStyle w:val="Header"/>
      <w:jc w:val="center"/>
    </w:pPr>
    <w:sdt>
      <w:sdtPr>
        <w:id w:val="1497538913"/>
        <w:docPartObj>
          <w:docPartGallery w:val="Watermarks"/>
          <w:docPartUnique/>
        </w:docPartObj>
      </w:sdtPr>
      <w:sdtContent>
        <w:r>
          <w:rPr>
            <w:noProof/>
          </w:rPr>
          <w:pict w14:anchorId="5B6F9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258923" o:spid="_x0000_s2049" type="#_x0000_t136" style="position:absolute;left:0;text-align:left;margin-left:0;margin-top:0;width:559.9pt;height:76.35pt;rotation:315;z-index:-251658752;mso-position-horizontal:center;mso-position-horizontal-relative:margin;mso-position-vertical:center;mso-position-vertical-relative:margin" o:allowincell="f" fillcolor="silver" stroked="f">
              <v:fill opacity=".5"/>
              <v:textpath style="font-family:&quot;Calibri&quot;;font-size:1pt" string="PUBLIC CONSULTATION ONLY"/>
              <w10:wrap anchorx="margin" anchory="margin"/>
            </v:shape>
          </w:pict>
        </w:r>
      </w:sdtContent>
    </w:sdt>
    <w:sdt>
      <w:sdtPr>
        <w:id w:val="96616825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76C37">
          <w:rPr>
            <w:noProof/>
          </w:rPr>
          <w:t>3</w:t>
        </w:r>
        <w:r>
          <w:rPr>
            <w:noProof/>
          </w:rPr>
          <w:fldChar w:fldCharType="end"/>
        </w:r>
      </w:sdtContent>
    </w:sdt>
  </w:p>
  <w:p w14:paraId="03E1FDF1" w14:textId="77777777" w:rsidR="007A0C10" w:rsidRDefault="007A0C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6F8F" w14:textId="77777777" w:rsidR="007A0C10" w:rsidRDefault="007A0C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1424"/>
    <w:multiLevelType w:val="hybridMultilevel"/>
    <w:tmpl w:val="A8625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66621"/>
    <w:multiLevelType w:val="multilevel"/>
    <w:tmpl w:val="AE22F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0758C"/>
    <w:multiLevelType w:val="hybridMultilevel"/>
    <w:tmpl w:val="F954A400"/>
    <w:lvl w:ilvl="0" w:tplc="08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B42FC"/>
    <w:multiLevelType w:val="hybridMultilevel"/>
    <w:tmpl w:val="EED290A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0CC62BE6"/>
    <w:multiLevelType w:val="hybridMultilevel"/>
    <w:tmpl w:val="ACC6A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85E4D"/>
    <w:multiLevelType w:val="hybridMultilevel"/>
    <w:tmpl w:val="016CD0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4623810"/>
    <w:multiLevelType w:val="multilevel"/>
    <w:tmpl w:val="E0B4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74F8A"/>
    <w:multiLevelType w:val="hybridMultilevel"/>
    <w:tmpl w:val="5180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94B9C"/>
    <w:multiLevelType w:val="hybridMultilevel"/>
    <w:tmpl w:val="C224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333E2"/>
    <w:multiLevelType w:val="hybridMultilevel"/>
    <w:tmpl w:val="FFFFFFFF"/>
    <w:lvl w:ilvl="0" w:tplc="67689B52">
      <w:start w:val="1"/>
      <w:numFmt w:val="bullet"/>
      <w:lvlText w:val=""/>
      <w:lvlJc w:val="left"/>
      <w:pPr>
        <w:ind w:left="720" w:hanging="360"/>
      </w:pPr>
      <w:rPr>
        <w:rFonts w:ascii="Symbol" w:hAnsi="Symbol" w:hint="default"/>
      </w:rPr>
    </w:lvl>
    <w:lvl w:ilvl="1" w:tplc="302ED9B4">
      <w:start w:val="1"/>
      <w:numFmt w:val="bullet"/>
      <w:lvlText w:val="o"/>
      <w:lvlJc w:val="left"/>
      <w:pPr>
        <w:ind w:left="1440" w:hanging="360"/>
      </w:pPr>
      <w:rPr>
        <w:rFonts w:ascii="Courier New" w:hAnsi="Courier New" w:hint="default"/>
      </w:rPr>
    </w:lvl>
    <w:lvl w:ilvl="2" w:tplc="829071D0">
      <w:start w:val="1"/>
      <w:numFmt w:val="bullet"/>
      <w:lvlText w:val=""/>
      <w:lvlJc w:val="left"/>
      <w:pPr>
        <w:ind w:left="2160" w:hanging="360"/>
      </w:pPr>
      <w:rPr>
        <w:rFonts w:ascii="Wingdings" w:hAnsi="Wingdings" w:hint="default"/>
      </w:rPr>
    </w:lvl>
    <w:lvl w:ilvl="3" w:tplc="C626251C">
      <w:start w:val="1"/>
      <w:numFmt w:val="bullet"/>
      <w:lvlText w:val=""/>
      <w:lvlJc w:val="left"/>
      <w:pPr>
        <w:ind w:left="2880" w:hanging="360"/>
      </w:pPr>
      <w:rPr>
        <w:rFonts w:ascii="Symbol" w:hAnsi="Symbol" w:hint="default"/>
      </w:rPr>
    </w:lvl>
    <w:lvl w:ilvl="4" w:tplc="ED4294B6">
      <w:start w:val="1"/>
      <w:numFmt w:val="bullet"/>
      <w:lvlText w:val="o"/>
      <w:lvlJc w:val="left"/>
      <w:pPr>
        <w:ind w:left="3600" w:hanging="360"/>
      </w:pPr>
      <w:rPr>
        <w:rFonts w:ascii="Courier New" w:hAnsi="Courier New" w:hint="default"/>
      </w:rPr>
    </w:lvl>
    <w:lvl w:ilvl="5" w:tplc="9BEE6BE6">
      <w:start w:val="1"/>
      <w:numFmt w:val="bullet"/>
      <w:lvlText w:val=""/>
      <w:lvlJc w:val="left"/>
      <w:pPr>
        <w:ind w:left="4320" w:hanging="360"/>
      </w:pPr>
      <w:rPr>
        <w:rFonts w:ascii="Wingdings" w:hAnsi="Wingdings" w:hint="default"/>
      </w:rPr>
    </w:lvl>
    <w:lvl w:ilvl="6" w:tplc="F01C15FE">
      <w:start w:val="1"/>
      <w:numFmt w:val="bullet"/>
      <w:lvlText w:val=""/>
      <w:lvlJc w:val="left"/>
      <w:pPr>
        <w:ind w:left="5040" w:hanging="360"/>
      </w:pPr>
      <w:rPr>
        <w:rFonts w:ascii="Symbol" w:hAnsi="Symbol" w:hint="default"/>
      </w:rPr>
    </w:lvl>
    <w:lvl w:ilvl="7" w:tplc="F02443EE">
      <w:start w:val="1"/>
      <w:numFmt w:val="bullet"/>
      <w:lvlText w:val="o"/>
      <w:lvlJc w:val="left"/>
      <w:pPr>
        <w:ind w:left="5760" w:hanging="360"/>
      </w:pPr>
      <w:rPr>
        <w:rFonts w:ascii="Courier New" w:hAnsi="Courier New" w:hint="default"/>
      </w:rPr>
    </w:lvl>
    <w:lvl w:ilvl="8" w:tplc="50DC72A0">
      <w:start w:val="1"/>
      <w:numFmt w:val="bullet"/>
      <w:lvlText w:val=""/>
      <w:lvlJc w:val="left"/>
      <w:pPr>
        <w:ind w:left="6480" w:hanging="360"/>
      </w:pPr>
      <w:rPr>
        <w:rFonts w:ascii="Wingdings" w:hAnsi="Wingdings" w:hint="default"/>
      </w:rPr>
    </w:lvl>
  </w:abstractNum>
  <w:abstractNum w:abstractNumId="10" w15:restartNumberingAfterBreak="0">
    <w:nsid w:val="1D8F2D8D"/>
    <w:multiLevelType w:val="hybridMultilevel"/>
    <w:tmpl w:val="AADC6C10"/>
    <w:lvl w:ilvl="0" w:tplc="0809001B">
      <w:start w:val="1"/>
      <w:numFmt w:val="lowerRoman"/>
      <w:lvlText w:val="%1."/>
      <w:lvlJc w:val="right"/>
      <w:pPr>
        <w:ind w:left="2062" w:hanging="360"/>
      </w:p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1" w15:restartNumberingAfterBreak="0">
    <w:nsid w:val="1F07040E"/>
    <w:multiLevelType w:val="hybridMultilevel"/>
    <w:tmpl w:val="83E8EAA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2" w15:restartNumberingAfterBreak="0">
    <w:nsid w:val="202C65E1"/>
    <w:multiLevelType w:val="hybridMultilevel"/>
    <w:tmpl w:val="8DAC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B3AC5"/>
    <w:multiLevelType w:val="hybridMultilevel"/>
    <w:tmpl w:val="2954F8CE"/>
    <w:lvl w:ilvl="0" w:tplc="F5DCACC2">
      <w:start w:val="21"/>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6D6F9F"/>
    <w:multiLevelType w:val="hybridMultilevel"/>
    <w:tmpl w:val="EE20E27E"/>
    <w:lvl w:ilvl="0" w:tplc="4E0ED466">
      <w:start w:val="21"/>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134733"/>
    <w:multiLevelType w:val="hybridMultilevel"/>
    <w:tmpl w:val="304E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BA1566"/>
    <w:multiLevelType w:val="hybridMultilevel"/>
    <w:tmpl w:val="4E3E2ADA"/>
    <w:lvl w:ilvl="0" w:tplc="08090001">
      <w:start w:val="1"/>
      <w:numFmt w:val="bullet"/>
      <w:lvlText w:val=""/>
      <w:lvlJc w:val="left"/>
      <w:pPr>
        <w:ind w:left="1637" w:hanging="360"/>
      </w:pPr>
      <w:rPr>
        <w:rFonts w:ascii="Symbol" w:hAnsi="Symbol" w:hint="default"/>
      </w:rPr>
    </w:lvl>
    <w:lvl w:ilvl="1" w:tplc="08090003">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7" w15:restartNumberingAfterBreak="0">
    <w:nsid w:val="2B5C2215"/>
    <w:multiLevelType w:val="hybridMultilevel"/>
    <w:tmpl w:val="66B24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E657A"/>
    <w:multiLevelType w:val="hybridMultilevel"/>
    <w:tmpl w:val="8314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40035"/>
    <w:multiLevelType w:val="hybridMultilevel"/>
    <w:tmpl w:val="4C8E5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454B01"/>
    <w:multiLevelType w:val="hybridMultilevel"/>
    <w:tmpl w:val="62F6C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6A3BFB"/>
    <w:multiLevelType w:val="hybridMultilevel"/>
    <w:tmpl w:val="A3045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153830"/>
    <w:multiLevelType w:val="hybridMultilevel"/>
    <w:tmpl w:val="965E3A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446A3"/>
    <w:multiLevelType w:val="hybridMultilevel"/>
    <w:tmpl w:val="4C1C51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33307B80"/>
    <w:multiLevelType w:val="hybridMultilevel"/>
    <w:tmpl w:val="59FA3C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35AF2BBE"/>
    <w:multiLevelType w:val="hybridMultilevel"/>
    <w:tmpl w:val="AFAC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C617BB"/>
    <w:multiLevelType w:val="hybridMultilevel"/>
    <w:tmpl w:val="4EFC77D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7" w15:restartNumberingAfterBreak="0">
    <w:nsid w:val="37753F0C"/>
    <w:multiLevelType w:val="hybridMultilevel"/>
    <w:tmpl w:val="DFB0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1D2A39"/>
    <w:multiLevelType w:val="hybridMultilevel"/>
    <w:tmpl w:val="31FAC188"/>
    <w:lvl w:ilvl="0" w:tplc="541AD7C4">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EB7DD5"/>
    <w:multiLevelType w:val="hybridMultilevel"/>
    <w:tmpl w:val="6756C61E"/>
    <w:lvl w:ilvl="0" w:tplc="8EB4262A">
      <w:start w:val="1"/>
      <w:numFmt w:val="lowerRoman"/>
      <w:lvlText w:val="(%1)"/>
      <w:lvlJc w:val="left"/>
      <w:pPr>
        <w:ind w:left="3598" w:hanging="1440"/>
      </w:pPr>
      <w:rPr>
        <w:rFonts w:hint="default"/>
      </w:rPr>
    </w:lvl>
    <w:lvl w:ilvl="1" w:tplc="08090019" w:tentative="1">
      <w:start w:val="1"/>
      <w:numFmt w:val="lowerLetter"/>
      <w:lvlText w:val="%2."/>
      <w:lvlJc w:val="left"/>
      <w:pPr>
        <w:ind w:left="3238" w:hanging="360"/>
      </w:pPr>
    </w:lvl>
    <w:lvl w:ilvl="2" w:tplc="0809001B" w:tentative="1">
      <w:start w:val="1"/>
      <w:numFmt w:val="lowerRoman"/>
      <w:lvlText w:val="%3."/>
      <w:lvlJc w:val="right"/>
      <w:pPr>
        <w:ind w:left="3958" w:hanging="180"/>
      </w:pPr>
    </w:lvl>
    <w:lvl w:ilvl="3" w:tplc="0809000F" w:tentative="1">
      <w:start w:val="1"/>
      <w:numFmt w:val="decimal"/>
      <w:lvlText w:val="%4."/>
      <w:lvlJc w:val="left"/>
      <w:pPr>
        <w:ind w:left="4678" w:hanging="360"/>
      </w:pPr>
    </w:lvl>
    <w:lvl w:ilvl="4" w:tplc="08090019" w:tentative="1">
      <w:start w:val="1"/>
      <w:numFmt w:val="lowerLetter"/>
      <w:lvlText w:val="%5."/>
      <w:lvlJc w:val="left"/>
      <w:pPr>
        <w:ind w:left="5398" w:hanging="360"/>
      </w:pPr>
    </w:lvl>
    <w:lvl w:ilvl="5" w:tplc="0809001B" w:tentative="1">
      <w:start w:val="1"/>
      <w:numFmt w:val="lowerRoman"/>
      <w:lvlText w:val="%6."/>
      <w:lvlJc w:val="right"/>
      <w:pPr>
        <w:ind w:left="6118" w:hanging="180"/>
      </w:pPr>
    </w:lvl>
    <w:lvl w:ilvl="6" w:tplc="0809000F" w:tentative="1">
      <w:start w:val="1"/>
      <w:numFmt w:val="decimal"/>
      <w:lvlText w:val="%7."/>
      <w:lvlJc w:val="left"/>
      <w:pPr>
        <w:ind w:left="6838" w:hanging="360"/>
      </w:pPr>
    </w:lvl>
    <w:lvl w:ilvl="7" w:tplc="08090019" w:tentative="1">
      <w:start w:val="1"/>
      <w:numFmt w:val="lowerLetter"/>
      <w:lvlText w:val="%8."/>
      <w:lvlJc w:val="left"/>
      <w:pPr>
        <w:ind w:left="7558" w:hanging="360"/>
      </w:pPr>
    </w:lvl>
    <w:lvl w:ilvl="8" w:tplc="0809001B" w:tentative="1">
      <w:start w:val="1"/>
      <w:numFmt w:val="lowerRoman"/>
      <w:lvlText w:val="%9."/>
      <w:lvlJc w:val="right"/>
      <w:pPr>
        <w:ind w:left="8278" w:hanging="180"/>
      </w:pPr>
    </w:lvl>
  </w:abstractNum>
  <w:abstractNum w:abstractNumId="30" w15:restartNumberingAfterBreak="0">
    <w:nsid w:val="3C0C503B"/>
    <w:multiLevelType w:val="hybridMultilevel"/>
    <w:tmpl w:val="50A66AD4"/>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31" w15:restartNumberingAfterBreak="0">
    <w:nsid w:val="3C7A44F6"/>
    <w:multiLevelType w:val="hybridMultilevel"/>
    <w:tmpl w:val="BA420018"/>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32" w15:restartNumberingAfterBreak="0">
    <w:nsid w:val="3EA44AF9"/>
    <w:multiLevelType w:val="hybridMultilevel"/>
    <w:tmpl w:val="8CE0F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72CDE"/>
    <w:multiLevelType w:val="hybridMultilevel"/>
    <w:tmpl w:val="ED2E82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3FDC1060"/>
    <w:multiLevelType w:val="hybridMultilevel"/>
    <w:tmpl w:val="BAB2D7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40A83182"/>
    <w:multiLevelType w:val="hybridMultilevel"/>
    <w:tmpl w:val="DBB0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F6666B"/>
    <w:multiLevelType w:val="hybridMultilevel"/>
    <w:tmpl w:val="FFD8C304"/>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42021B5C"/>
    <w:multiLevelType w:val="hybridMultilevel"/>
    <w:tmpl w:val="BBC27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90763DF"/>
    <w:multiLevelType w:val="hybridMultilevel"/>
    <w:tmpl w:val="7FE60D8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9" w15:restartNumberingAfterBreak="0">
    <w:nsid w:val="52BC2A4A"/>
    <w:multiLevelType w:val="hybridMultilevel"/>
    <w:tmpl w:val="6AEC3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44448A"/>
    <w:multiLevelType w:val="hybridMultilevel"/>
    <w:tmpl w:val="6930B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C771D5C"/>
    <w:multiLevelType w:val="hybridMultilevel"/>
    <w:tmpl w:val="0F4EA4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603E6B83"/>
    <w:multiLevelType w:val="hybridMultilevel"/>
    <w:tmpl w:val="99C6B2EA"/>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43" w15:restartNumberingAfterBreak="0">
    <w:nsid w:val="641C5722"/>
    <w:multiLevelType w:val="hybridMultilevel"/>
    <w:tmpl w:val="02AC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4C0855"/>
    <w:multiLevelType w:val="hybridMultilevel"/>
    <w:tmpl w:val="96A2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214ED8"/>
    <w:multiLevelType w:val="hybridMultilevel"/>
    <w:tmpl w:val="893C5F02"/>
    <w:lvl w:ilvl="0" w:tplc="C456B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A4549C"/>
    <w:multiLevelType w:val="hybridMultilevel"/>
    <w:tmpl w:val="33AC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DF1140"/>
    <w:multiLevelType w:val="hybridMultilevel"/>
    <w:tmpl w:val="D03C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8561E5"/>
    <w:multiLevelType w:val="hybridMultilevel"/>
    <w:tmpl w:val="A8D45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1260D74"/>
    <w:multiLevelType w:val="hybridMultilevel"/>
    <w:tmpl w:val="BAAA8D68"/>
    <w:lvl w:ilvl="0" w:tplc="9A8EADD8">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50" w15:restartNumberingAfterBreak="0">
    <w:nsid w:val="72B31C45"/>
    <w:multiLevelType w:val="hybridMultilevel"/>
    <w:tmpl w:val="689C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FA72C1"/>
    <w:multiLevelType w:val="hybridMultilevel"/>
    <w:tmpl w:val="2E444660"/>
    <w:lvl w:ilvl="0" w:tplc="2D9ADA7E">
      <w:start w:val="1"/>
      <w:numFmt w:val="bullet"/>
      <w:lvlText w:val=""/>
      <w:lvlJc w:val="left"/>
      <w:pPr>
        <w:ind w:left="720" w:hanging="360"/>
      </w:pPr>
      <w:rPr>
        <w:rFonts w:ascii="Symbol" w:hAnsi="Symbol" w:hint="default"/>
      </w:rPr>
    </w:lvl>
    <w:lvl w:ilvl="1" w:tplc="C9F66C4A">
      <w:start w:val="1"/>
      <w:numFmt w:val="bullet"/>
      <w:lvlText w:val="o"/>
      <w:lvlJc w:val="left"/>
      <w:pPr>
        <w:ind w:left="1440" w:hanging="360"/>
      </w:pPr>
      <w:rPr>
        <w:rFonts w:ascii="Courier New" w:hAnsi="Courier New" w:hint="default"/>
      </w:rPr>
    </w:lvl>
    <w:lvl w:ilvl="2" w:tplc="F5125AFE">
      <w:start w:val="1"/>
      <w:numFmt w:val="bullet"/>
      <w:lvlText w:val=""/>
      <w:lvlJc w:val="left"/>
      <w:pPr>
        <w:ind w:left="2160" w:hanging="360"/>
      </w:pPr>
      <w:rPr>
        <w:rFonts w:ascii="Wingdings" w:hAnsi="Wingdings" w:hint="default"/>
      </w:rPr>
    </w:lvl>
    <w:lvl w:ilvl="3" w:tplc="485EA218">
      <w:start w:val="1"/>
      <w:numFmt w:val="bullet"/>
      <w:lvlText w:val=""/>
      <w:lvlJc w:val="left"/>
      <w:pPr>
        <w:ind w:left="2880" w:hanging="360"/>
      </w:pPr>
      <w:rPr>
        <w:rFonts w:ascii="Symbol" w:hAnsi="Symbol" w:hint="default"/>
      </w:rPr>
    </w:lvl>
    <w:lvl w:ilvl="4" w:tplc="EB361494">
      <w:start w:val="1"/>
      <w:numFmt w:val="bullet"/>
      <w:lvlText w:val="o"/>
      <w:lvlJc w:val="left"/>
      <w:pPr>
        <w:ind w:left="3600" w:hanging="360"/>
      </w:pPr>
      <w:rPr>
        <w:rFonts w:ascii="Courier New" w:hAnsi="Courier New" w:hint="default"/>
      </w:rPr>
    </w:lvl>
    <w:lvl w:ilvl="5" w:tplc="BC72DC12">
      <w:start w:val="1"/>
      <w:numFmt w:val="bullet"/>
      <w:lvlText w:val=""/>
      <w:lvlJc w:val="left"/>
      <w:pPr>
        <w:ind w:left="4320" w:hanging="360"/>
      </w:pPr>
      <w:rPr>
        <w:rFonts w:ascii="Wingdings" w:hAnsi="Wingdings" w:hint="default"/>
      </w:rPr>
    </w:lvl>
    <w:lvl w:ilvl="6" w:tplc="5EA664A2">
      <w:start w:val="1"/>
      <w:numFmt w:val="bullet"/>
      <w:lvlText w:val=""/>
      <w:lvlJc w:val="left"/>
      <w:pPr>
        <w:ind w:left="5040" w:hanging="360"/>
      </w:pPr>
      <w:rPr>
        <w:rFonts w:ascii="Symbol" w:hAnsi="Symbol" w:hint="default"/>
      </w:rPr>
    </w:lvl>
    <w:lvl w:ilvl="7" w:tplc="0A908C66">
      <w:start w:val="1"/>
      <w:numFmt w:val="bullet"/>
      <w:lvlText w:val="o"/>
      <w:lvlJc w:val="left"/>
      <w:pPr>
        <w:ind w:left="5760" w:hanging="360"/>
      </w:pPr>
      <w:rPr>
        <w:rFonts w:ascii="Courier New" w:hAnsi="Courier New" w:hint="default"/>
      </w:rPr>
    </w:lvl>
    <w:lvl w:ilvl="8" w:tplc="BD421DB0">
      <w:start w:val="1"/>
      <w:numFmt w:val="bullet"/>
      <w:lvlText w:val=""/>
      <w:lvlJc w:val="left"/>
      <w:pPr>
        <w:ind w:left="6480" w:hanging="360"/>
      </w:pPr>
      <w:rPr>
        <w:rFonts w:ascii="Wingdings" w:hAnsi="Wingdings" w:hint="default"/>
      </w:rPr>
    </w:lvl>
  </w:abstractNum>
  <w:abstractNum w:abstractNumId="52" w15:restartNumberingAfterBreak="0">
    <w:nsid w:val="778D3564"/>
    <w:multiLevelType w:val="hybridMultilevel"/>
    <w:tmpl w:val="FA007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1C0756"/>
    <w:multiLevelType w:val="hybridMultilevel"/>
    <w:tmpl w:val="6212C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9686574"/>
    <w:multiLevelType w:val="hybridMultilevel"/>
    <w:tmpl w:val="A0C65B4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5" w15:restartNumberingAfterBreak="0">
    <w:nsid w:val="79DB23C0"/>
    <w:multiLevelType w:val="hybridMultilevel"/>
    <w:tmpl w:val="4FAE6096"/>
    <w:lvl w:ilvl="0" w:tplc="49CEF20C">
      <w:start w:val="1"/>
      <w:numFmt w:val="bullet"/>
      <w:pStyle w:val="CERbullets"/>
      <w:lvlText w:val=""/>
      <w:lvlJc w:val="left"/>
      <w:pPr>
        <w:ind w:left="360" w:hanging="360"/>
      </w:pPr>
      <w:rPr>
        <w:rFonts w:ascii="Symbol" w:hAnsi="Symbol" w:hint="default"/>
        <w:color w:val="005874"/>
      </w:rPr>
    </w:lvl>
    <w:lvl w:ilvl="1" w:tplc="3D1CBE38">
      <w:start w:val="1"/>
      <w:numFmt w:val="bullet"/>
      <w:lvlText w:val="»"/>
      <w:lvlJc w:val="left"/>
      <w:pPr>
        <w:ind w:left="720" w:hanging="360"/>
      </w:pPr>
      <w:rPr>
        <w:rFonts w:ascii="Arial" w:hAnsi="Arial" w:hint="default"/>
        <w:color w:val="005874"/>
      </w:rPr>
    </w:lvl>
    <w:lvl w:ilvl="2" w:tplc="F40ABFDC">
      <w:start w:val="1"/>
      <w:numFmt w:val="bullet"/>
      <w:lvlText w:val="›"/>
      <w:lvlJc w:val="left"/>
      <w:pPr>
        <w:ind w:left="1080" w:hanging="360"/>
      </w:pPr>
      <w:rPr>
        <w:rFonts w:ascii="Arial" w:hAnsi="Arial" w:hint="default"/>
        <w:color w:val="005874"/>
      </w:rPr>
    </w:lvl>
    <w:lvl w:ilvl="3" w:tplc="E0D86FD4">
      <w:start w:val="1"/>
      <w:numFmt w:val="decimal"/>
      <w:lvlText w:val="(%4)"/>
      <w:lvlJc w:val="left"/>
      <w:pPr>
        <w:ind w:left="1440" w:hanging="360"/>
      </w:pPr>
      <w:rPr>
        <w:rFonts w:hint="default"/>
      </w:rPr>
    </w:lvl>
    <w:lvl w:ilvl="4" w:tplc="8F02D5C2">
      <w:start w:val="1"/>
      <w:numFmt w:val="lowerLetter"/>
      <w:lvlText w:val="(%5)"/>
      <w:lvlJc w:val="left"/>
      <w:pPr>
        <w:ind w:left="1800" w:hanging="360"/>
      </w:pPr>
      <w:rPr>
        <w:rFonts w:hint="default"/>
      </w:rPr>
    </w:lvl>
    <w:lvl w:ilvl="5" w:tplc="1034F22E">
      <w:start w:val="1"/>
      <w:numFmt w:val="lowerRoman"/>
      <w:lvlText w:val="(%6)"/>
      <w:lvlJc w:val="left"/>
      <w:pPr>
        <w:ind w:left="2160" w:hanging="360"/>
      </w:pPr>
      <w:rPr>
        <w:rFonts w:hint="default"/>
      </w:rPr>
    </w:lvl>
    <w:lvl w:ilvl="6" w:tplc="99CA8248">
      <w:start w:val="1"/>
      <w:numFmt w:val="decimal"/>
      <w:lvlText w:val="%7."/>
      <w:lvlJc w:val="left"/>
      <w:pPr>
        <w:ind w:left="2520" w:hanging="360"/>
      </w:pPr>
      <w:rPr>
        <w:rFonts w:hint="default"/>
      </w:rPr>
    </w:lvl>
    <w:lvl w:ilvl="7" w:tplc="81146C44">
      <w:start w:val="1"/>
      <w:numFmt w:val="lowerLetter"/>
      <w:lvlText w:val="%8."/>
      <w:lvlJc w:val="left"/>
      <w:pPr>
        <w:ind w:left="2880" w:hanging="360"/>
      </w:pPr>
      <w:rPr>
        <w:rFonts w:hint="default"/>
      </w:rPr>
    </w:lvl>
    <w:lvl w:ilvl="8" w:tplc="F4BA2C1E">
      <w:start w:val="1"/>
      <w:numFmt w:val="lowerRoman"/>
      <w:lvlText w:val="%9."/>
      <w:lvlJc w:val="left"/>
      <w:pPr>
        <w:ind w:left="3240" w:hanging="360"/>
      </w:pPr>
      <w:rPr>
        <w:rFonts w:hint="default"/>
      </w:rPr>
    </w:lvl>
  </w:abstractNum>
  <w:abstractNum w:abstractNumId="56" w15:restartNumberingAfterBreak="0">
    <w:nsid w:val="7CC02E79"/>
    <w:multiLevelType w:val="hybridMultilevel"/>
    <w:tmpl w:val="F9304ED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F314803"/>
    <w:multiLevelType w:val="hybridMultilevel"/>
    <w:tmpl w:val="A3A2251E"/>
    <w:lvl w:ilvl="0" w:tplc="68E0DFCE">
      <w:start w:val="1"/>
      <w:numFmt w:val="decimal"/>
      <w:pStyle w:val="CERnumbering"/>
      <w:lvlText w:val="%1."/>
      <w:lvlJc w:val="left"/>
      <w:pPr>
        <w:ind w:left="360" w:hanging="360"/>
      </w:pPr>
      <w:rPr>
        <w:rFonts w:hint="default"/>
        <w:b w:val="0"/>
        <w:color w:val="005874"/>
      </w:rPr>
    </w:lvl>
    <w:lvl w:ilvl="1" w:tplc="70DC1216">
      <w:start w:val="1"/>
      <w:numFmt w:val="bullet"/>
      <w:lvlText w:val="»"/>
      <w:lvlJc w:val="left"/>
      <w:pPr>
        <w:ind w:left="720" w:hanging="360"/>
      </w:pPr>
      <w:rPr>
        <w:rFonts w:ascii="Arial" w:hAnsi="Arial" w:hint="default"/>
        <w:color w:val="005874"/>
      </w:rPr>
    </w:lvl>
    <w:lvl w:ilvl="2" w:tplc="355C98E0">
      <w:start w:val="1"/>
      <w:numFmt w:val="bullet"/>
      <w:lvlText w:val="›"/>
      <w:lvlJc w:val="left"/>
      <w:pPr>
        <w:ind w:left="1080" w:hanging="360"/>
      </w:pPr>
      <w:rPr>
        <w:rFonts w:ascii="Arial" w:hAnsi="Arial" w:hint="default"/>
        <w:color w:val="005874"/>
      </w:rPr>
    </w:lvl>
    <w:lvl w:ilvl="3" w:tplc="4F7E06DA">
      <w:start w:val="1"/>
      <w:numFmt w:val="decimal"/>
      <w:lvlText w:val="(%4)"/>
      <w:lvlJc w:val="left"/>
      <w:pPr>
        <w:ind w:left="1440" w:hanging="360"/>
      </w:pPr>
      <w:rPr>
        <w:rFonts w:hint="default"/>
      </w:rPr>
    </w:lvl>
    <w:lvl w:ilvl="4" w:tplc="353ED81C">
      <w:start w:val="1"/>
      <w:numFmt w:val="lowerLetter"/>
      <w:lvlText w:val="(%5)"/>
      <w:lvlJc w:val="left"/>
      <w:pPr>
        <w:ind w:left="1800" w:hanging="360"/>
      </w:pPr>
      <w:rPr>
        <w:rFonts w:hint="default"/>
      </w:rPr>
    </w:lvl>
    <w:lvl w:ilvl="5" w:tplc="58ECEA84">
      <w:start w:val="1"/>
      <w:numFmt w:val="lowerRoman"/>
      <w:lvlText w:val="(%6)"/>
      <w:lvlJc w:val="left"/>
      <w:pPr>
        <w:ind w:left="2160" w:hanging="360"/>
      </w:pPr>
      <w:rPr>
        <w:rFonts w:hint="default"/>
      </w:rPr>
    </w:lvl>
    <w:lvl w:ilvl="6" w:tplc="64BA90DE">
      <w:start w:val="1"/>
      <w:numFmt w:val="decimal"/>
      <w:lvlText w:val="%7."/>
      <w:lvlJc w:val="left"/>
      <w:pPr>
        <w:ind w:left="2520" w:hanging="360"/>
      </w:pPr>
      <w:rPr>
        <w:rFonts w:hint="default"/>
      </w:rPr>
    </w:lvl>
    <w:lvl w:ilvl="7" w:tplc="FEFEE238">
      <w:start w:val="1"/>
      <w:numFmt w:val="lowerLetter"/>
      <w:lvlText w:val="%8."/>
      <w:lvlJc w:val="left"/>
      <w:pPr>
        <w:ind w:left="2880" w:hanging="360"/>
      </w:pPr>
      <w:rPr>
        <w:rFonts w:hint="default"/>
      </w:rPr>
    </w:lvl>
    <w:lvl w:ilvl="8" w:tplc="2D5A2B00">
      <w:start w:val="1"/>
      <w:numFmt w:val="lowerRoman"/>
      <w:lvlText w:val="%9."/>
      <w:lvlJc w:val="left"/>
      <w:pPr>
        <w:ind w:left="3240" w:hanging="360"/>
      </w:pPr>
      <w:rPr>
        <w:rFonts w:hint="default"/>
      </w:rPr>
    </w:lvl>
  </w:abstractNum>
  <w:num w:numId="1">
    <w:abstractNumId w:val="51"/>
  </w:num>
  <w:num w:numId="2">
    <w:abstractNumId w:val="57"/>
  </w:num>
  <w:num w:numId="3">
    <w:abstractNumId w:val="11"/>
  </w:num>
  <w:num w:numId="4">
    <w:abstractNumId w:val="47"/>
  </w:num>
  <w:num w:numId="5">
    <w:abstractNumId w:val="56"/>
  </w:num>
  <w:num w:numId="6">
    <w:abstractNumId w:val="26"/>
  </w:num>
  <w:num w:numId="7">
    <w:abstractNumId w:val="19"/>
  </w:num>
  <w:num w:numId="8">
    <w:abstractNumId w:val="50"/>
  </w:num>
  <w:num w:numId="9">
    <w:abstractNumId w:val="2"/>
  </w:num>
  <w:num w:numId="10">
    <w:abstractNumId w:val="39"/>
  </w:num>
  <w:num w:numId="11">
    <w:abstractNumId w:val="0"/>
  </w:num>
  <w:num w:numId="12">
    <w:abstractNumId w:val="4"/>
  </w:num>
  <w:num w:numId="13">
    <w:abstractNumId w:val="36"/>
  </w:num>
  <w:num w:numId="14">
    <w:abstractNumId w:val="10"/>
  </w:num>
  <w:num w:numId="15">
    <w:abstractNumId w:val="32"/>
  </w:num>
  <w:num w:numId="16">
    <w:abstractNumId w:val="12"/>
  </w:num>
  <w:num w:numId="17">
    <w:abstractNumId w:val="16"/>
  </w:num>
  <w:num w:numId="18">
    <w:abstractNumId w:val="17"/>
  </w:num>
  <w:num w:numId="19">
    <w:abstractNumId w:val="40"/>
  </w:num>
  <w:num w:numId="20">
    <w:abstractNumId w:val="46"/>
  </w:num>
  <w:num w:numId="21">
    <w:abstractNumId w:val="25"/>
  </w:num>
  <w:num w:numId="22">
    <w:abstractNumId w:val="22"/>
  </w:num>
  <w:num w:numId="23">
    <w:abstractNumId w:val="8"/>
  </w:num>
  <w:num w:numId="24">
    <w:abstractNumId w:val="44"/>
  </w:num>
  <w:num w:numId="25">
    <w:abstractNumId w:val="35"/>
  </w:num>
  <w:num w:numId="26">
    <w:abstractNumId w:val="15"/>
  </w:num>
  <w:num w:numId="27">
    <w:abstractNumId w:val="5"/>
  </w:num>
  <w:num w:numId="28">
    <w:abstractNumId w:val="9"/>
  </w:num>
  <w:num w:numId="29">
    <w:abstractNumId w:val="38"/>
  </w:num>
  <w:num w:numId="30">
    <w:abstractNumId w:val="41"/>
  </w:num>
  <w:num w:numId="31">
    <w:abstractNumId w:val="33"/>
  </w:num>
  <w:num w:numId="32">
    <w:abstractNumId w:val="42"/>
  </w:num>
  <w:num w:numId="33">
    <w:abstractNumId w:val="34"/>
  </w:num>
  <w:num w:numId="34">
    <w:abstractNumId w:val="24"/>
  </w:num>
  <w:num w:numId="35">
    <w:abstractNumId w:val="55"/>
  </w:num>
  <w:num w:numId="36">
    <w:abstractNumId w:val="52"/>
  </w:num>
  <w:num w:numId="37">
    <w:abstractNumId w:val="37"/>
  </w:num>
  <w:num w:numId="38">
    <w:abstractNumId w:val="29"/>
  </w:num>
  <w:num w:numId="39">
    <w:abstractNumId w:val="30"/>
  </w:num>
  <w:num w:numId="40">
    <w:abstractNumId w:val="31"/>
  </w:num>
  <w:num w:numId="41">
    <w:abstractNumId w:val="3"/>
  </w:num>
  <w:num w:numId="42">
    <w:abstractNumId w:val="43"/>
  </w:num>
  <w:num w:numId="43">
    <w:abstractNumId w:val="6"/>
  </w:num>
  <w:num w:numId="44">
    <w:abstractNumId w:val="7"/>
  </w:num>
  <w:num w:numId="45">
    <w:abstractNumId w:val="54"/>
  </w:num>
  <w:num w:numId="46">
    <w:abstractNumId w:val="18"/>
  </w:num>
  <w:num w:numId="47">
    <w:abstractNumId w:val="27"/>
  </w:num>
  <w:num w:numId="48">
    <w:abstractNumId w:val="28"/>
  </w:num>
  <w:num w:numId="49">
    <w:abstractNumId w:val="13"/>
  </w:num>
  <w:num w:numId="50">
    <w:abstractNumId w:val="14"/>
  </w:num>
  <w:num w:numId="51">
    <w:abstractNumId w:val="45"/>
  </w:num>
  <w:num w:numId="52">
    <w:abstractNumId w:val="49"/>
  </w:num>
  <w:num w:numId="53">
    <w:abstractNumId w:val="1"/>
  </w:num>
  <w:num w:numId="54">
    <w:abstractNumId w:val="48"/>
  </w:num>
  <w:num w:numId="55">
    <w:abstractNumId w:val="53"/>
  </w:num>
  <w:num w:numId="56">
    <w:abstractNumId w:val="20"/>
  </w:num>
  <w:num w:numId="57">
    <w:abstractNumId w:val="21"/>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01"/>
    <w:rsid w:val="0000031C"/>
    <w:rsid w:val="00000446"/>
    <w:rsid w:val="00001357"/>
    <w:rsid w:val="00002CAF"/>
    <w:rsid w:val="00002E3C"/>
    <w:rsid w:val="000032FB"/>
    <w:rsid w:val="0000372F"/>
    <w:rsid w:val="00003974"/>
    <w:rsid w:val="0000460A"/>
    <w:rsid w:val="00005579"/>
    <w:rsid w:val="00005D35"/>
    <w:rsid w:val="00006E76"/>
    <w:rsid w:val="0000796A"/>
    <w:rsid w:val="0001016E"/>
    <w:rsid w:val="000101C8"/>
    <w:rsid w:val="000108FF"/>
    <w:rsid w:val="000109B2"/>
    <w:rsid w:val="00010D71"/>
    <w:rsid w:val="00011442"/>
    <w:rsid w:val="00011B94"/>
    <w:rsid w:val="00011ECC"/>
    <w:rsid w:val="00012A21"/>
    <w:rsid w:val="00013883"/>
    <w:rsid w:val="00013929"/>
    <w:rsid w:val="00013985"/>
    <w:rsid w:val="000148CB"/>
    <w:rsid w:val="00015750"/>
    <w:rsid w:val="00016B6E"/>
    <w:rsid w:val="00016E87"/>
    <w:rsid w:val="00017BA6"/>
    <w:rsid w:val="00020EE8"/>
    <w:rsid w:val="000218C6"/>
    <w:rsid w:val="00021E06"/>
    <w:rsid w:val="00024168"/>
    <w:rsid w:val="0002559E"/>
    <w:rsid w:val="0002621D"/>
    <w:rsid w:val="000262F1"/>
    <w:rsid w:val="00027465"/>
    <w:rsid w:val="00027864"/>
    <w:rsid w:val="0003072C"/>
    <w:rsid w:val="00030DF7"/>
    <w:rsid w:val="00030F66"/>
    <w:rsid w:val="000313EC"/>
    <w:rsid w:val="000317D1"/>
    <w:rsid w:val="0003191C"/>
    <w:rsid w:val="00032542"/>
    <w:rsid w:val="000327ED"/>
    <w:rsid w:val="00032B10"/>
    <w:rsid w:val="00033903"/>
    <w:rsid w:val="00034908"/>
    <w:rsid w:val="00034E1F"/>
    <w:rsid w:val="0003752F"/>
    <w:rsid w:val="00037C10"/>
    <w:rsid w:val="00040057"/>
    <w:rsid w:val="00041E8B"/>
    <w:rsid w:val="00041ECF"/>
    <w:rsid w:val="00042BE9"/>
    <w:rsid w:val="00042CAC"/>
    <w:rsid w:val="00044746"/>
    <w:rsid w:val="00044DF9"/>
    <w:rsid w:val="00045C47"/>
    <w:rsid w:val="0004637D"/>
    <w:rsid w:val="000474FA"/>
    <w:rsid w:val="0005097A"/>
    <w:rsid w:val="00050F85"/>
    <w:rsid w:val="000512C7"/>
    <w:rsid w:val="000513C3"/>
    <w:rsid w:val="000521CD"/>
    <w:rsid w:val="0005270B"/>
    <w:rsid w:val="00054722"/>
    <w:rsid w:val="00055182"/>
    <w:rsid w:val="0005519F"/>
    <w:rsid w:val="00055CE7"/>
    <w:rsid w:val="000570A0"/>
    <w:rsid w:val="00057299"/>
    <w:rsid w:val="00057525"/>
    <w:rsid w:val="00057BF3"/>
    <w:rsid w:val="000602FE"/>
    <w:rsid w:val="00060824"/>
    <w:rsid w:val="00061B4D"/>
    <w:rsid w:val="00061DD0"/>
    <w:rsid w:val="000632B5"/>
    <w:rsid w:val="00063990"/>
    <w:rsid w:val="00063A54"/>
    <w:rsid w:val="0006490B"/>
    <w:rsid w:val="000650F8"/>
    <w:rsid w:val="00065226"/>
    <w:rsid w:val="00066245"/>
    <w:rsid w:val="00066CCA"/>
    <w:rsid w:val="00067824"/>
    <w:rsid w:val="00070257"/>
    <w:rsid w:val="000702E0"/>
    <w:rsid w:val="00070BAC"/>
    <w:rsid w:val="0007112E"/>
    <w:rsid w:val="00071478"/>
    <w:rsid w:val="00072736"/>
    <w:rsid w:val="000729EE"/>
    <w:rsid w:val="00073A6A"/>
    <w:rsid w:val="00074620"/>
    <w:rsid w:val="000749D5"/>
    <w:rsid w:val="0007541B"/>
    <w:rsid w:val="00075424"/>
    <w:rsid w:val="00075F43"/>
    <w:rsid w:val="0007639E"/>
    <w:rsid w:val="00076A08"/>
    <w:rsid w:val="00076C37"/>
    <w:rsid w:val="0008195E"/>
    <w:rsid w:val="00081CE8"/>
    <w:rsid w:val="00081D10"/>
    <w:rsid w:val="00082D77"/>
    <w:rsid w:val="00082F21"/>
    <w:rsid w:val="0008398C"/>
    <w:rsid w:val="00084DC9"/>
    <w:rsid w:val="00084F7F"/>
    <w:rsid w:val="00085915"/>
    <w:rsid w:val="00086DC4"/>
    <w:rsid w:val="000905EB"/>
    <w:rsid w:val="00090633"/>
    <w:rsid w:val="0009070C"/>
    <w:rsid w:val="0009150A"/>
    <w:rsid w:val="00093225"/>
    <w:rsid w:val="000933B4"/>
    <w:rsid w:val="00093895"/>
    <w:rsid w:val="000940DC"/>
    <w:rsid w:val="000948E3"/>
    <w:rsid w:val="00094C66"/>
    <w:rsid w:val="00095B58"/>
    <w:rsid w:val="000960D8"/>
    <w:rsid w:val="0009693C"/>
    <w:rsid w:val="000A0AB2"/>
    <w:rsid w:val="000A0E62"/>
    <w:rsid w:val="000A11F3"/>
    <w:rsid w:val="000A1D49"/>
    <w:rsid w:val="000A2F75"/>
    <w:rsid w:val="000A39D0"/>
    <w:rsid w:val="000A3F05"/>
    <w:rsid w:val="000A40E9"/>
    <w:rsid w:val="000A4F5F"/>
    <w:rsid w:val="000A4FBF"/>
    <w:rsid w:val="000A57AA"/>
    <w:rsid w:val="000A5E53"/>
    <w:rsid w:val="000A670B"/>
    <w:rsid w:val="000A6B2B"/>
    <w:rsid w:val="000A6EC5"/>
    <w:rsid w:val="000A707E"/>
    <w:rsid w:val="000A716A"/>
    <w:rsid w:val="000B10AD"/>
    <w:rsid w:val="000B34A7"/>
    <w:rsid w:val="000B37A6"/>
    <w:rsid w:val="000B3BB6"/>
    <w:rsid w:val="000B3D12"/>
    <w:rsid w:val="000B3FE5"/>
    <w:rsid w:val="000B4988"/>
    <w:rsid w:val="000B4AE1"/>
    <w:rsid w:val="000B4B4A"/>
    <w:rsid w:val="000B4F0B"/>
    <w:rsid w:val="000B629E"/>
    <w:rsid w:val="000B74AE"/>
    <w:rsid w:val="000C016A"/>
    <w:rsid w:val="000C18B2"/>
    <w:rsid w:val="000C1A3E"/>
    <w:rsid w:val="000C224A"/>
    <w:rsid w:val="000C28A7"/>
    <w:rsid w:val="000C2A65"/>
    <w:rsid w:val="000C2A90"/>
    <w:rsid w:val="000C44F9"/>
    <w:rsid w:val="000C45DD"/>
    <w:rsid w:val="000C4E5E"/>
    <w:rsid w:val="000C620F"/>
    <w:rsid w:val="000C6225"/>
    <w:rsid w:val="000C6487"/>
    <w:rsid w:val="000C79F8"/>
    <w:rsid w:val="000D03AA"/>
    <w:rsid w:val="000D549E"/>
    <w:rsid w:val="000D55E4"/>
    <w:rsid w:val="000D5EC1"/>
    <w:rsid w:val="000D6B7A"/>
    <w:rsid w:val="000D76A9"/>
    <w:rsid w:val="000D76DE"/>
    <w:rsid w:val="000D7CB9"/>
    <w:rsid w:val="000D7F02"/>
    <w:rsid w:val="000E23AD"/>
    <w:rsid w:val="000E260D"/>
    <w:rsid w:val="000E28C6"/>
    <w:rsid w:val="000E3A2B"/>
    <w:rsid w:val="000E5AF4"/>
    <w:rsid w:val="000E6265"/>
    <w:rsid w:val="000E6924"/>
    <w:rsid w:val="000E73F3"/>
    <w:rsid w:val="000E7764"/>
    <w:rsid w:val="000F00E3"/>
    <w:rsid w:val="000F0AC0"/>
    <w:rsid w:val="000F0F6A"/>
    <w:rsid w:val="000F0FB1"/>
    <w:rsid w:val="000F2349"/>
    <w:rsid w:val="000F23A1"/>
    <w:rsid w:val="000F28DB"/>
    <w:rsid w:val="000F2970"/>
    <w:rsid w:val="000F4F92"/>
    <w:rsid w:val="000F5452"/>
    <w:rsid w:val="000F545C"/>
    <w:rsid w:val="000F54B7"/>
    <w:rsid w:val="000F679F"/>
    <w:rsid w:val="000F73AB"/>
    <w:rsid w:val="001010D8"/>
    <w:rsid w:val="00101D52"/>
    <w:rsid w:val="00101F1A"/>
    <w:rsid w:val="001026FA"/>
    <w:rsid w:val="00102743"/>
    <w:rsid w:val="00103107"/>
    <w:rsid w:val="0010361F"/>
    <w:rsid w:val="00104AED"/>
    <w:rsid w:val="00104D1D"/>
    <w:rsid w:val="001050B2"/>
    <w:rsid w:val="00105F57"/>
    <w:rsid w:val="001060BA"/>
    <w:rsid w:val="001061C4"/>
    <w:rsid w:val="001063EB"/>
    <w:rsid w:val="0010709A"/>
    <w:rsid w:val="001077F2"/>
    <w:rsid w:val="00107AC2"/>
    <w:rsid w:val="00107D26"/>
    <w:rsid w:val="001124D3"/>
    <w:rsid w:val="00112FDA"/>
    <w:rsid w:val="00113067"/>
    <w:rsid w:val="001137C7"/>
    <w:rsid w:val="00113F27"/>
    <w:rsid w:val="00115B6A"/>
    <w:rsid w:val="00115EC1"/>
    <w:rsid w:val="00116A2E"/>
    <w:rsid w:val="00116EA7"/>
    <w:rsid w:val="0011722C"/>
    <w:rsid w:val="001175E2"/>
    <w:rsid w:val="001177C9"/>
    <w:rsid w:val="00117B90"/>
    <w:rsid w:val="00117CB6"/>
    <w:rsid w:val="00120DBC"/>
    <w:rsid w:val="00121A2D"/>
    <w:rsid w:val="00121F91"/>
    <w:rsid w:val="00122558"/>
    <w:rsid w:val="00122A16"/>
    <w:rsid w:val="00122F9F"/>
    <w:rsid w:val="00123CD3"/>
    <w:rsid w:val="001248A7"/>
    <w:rsid w:val="00124D85"/>
    <w:rsid w:val="00124DFC"/>
    <w:rsid w:val="00124FCD"/>
    <w:rsid w:val="00125155"/>
    <w:rsid w:val="00126570"/>
    <w:rsid w:val="001275CA"/>
    <w:rsid w:val="0013017C"/>
    <w:rsid w:val="0013069D"/>
    <w:rsid w:val="00131C56"/>
    <w:rsid w:val="00131F13"/>
    <w:rsid w:val="00132FD5"/>
    <w:rsid w:val="0013357F"/>
    <w:rsid w:val="0013380A"/>
    <w:rsid w:val="00134352"/>
    <w:rsid w:val="00137304"/>
    <w:rsid w:val="001376DA"/>
    <w:rsid w:val="001400C9"/>
    <w:rsid w:val="001401BD"/>
    <w:rsid w:val="001416A4"/>
    <w:rsid w:val="0014208A"/>
    <w:rsid w:val="00143BAB"/>
    <w:rsid w:val="00143DFB"/>
    <w:rsid w:val="0014445C"/>
    <w:rsid w:val="0014450B"/>
    <w:rsid w:val="001447AE"/>
    <w:rsid w:val="00144F51"/>
    <w:rsid w:val="0014524F"/>
    <w:rsid w:val="00145DB5"/>
    <w:rsid w:val="0014607F"/>
    <w:rsid w:val="00147214"/>
    <w:rsid w:val="001473F9"/>
    <w:rsid w:val="001474EB"/>
    <w:rsid w:val="00147672"/>
    <w:rsid w:val="00150902"/>
    <w:rsid w:val="0015094E"/>
    <w:rsid w:val="00151F1A"/>
    <w:rsid w:val="0015241A"/>
    <w:rsid w:val="00152521"/>
    <w:rsid w:val="00152A1B"/>
    <w:rsid w:val="00152A4E"/>
    <w:rsid w:val="00152C3B"/>
    <w:rsid w:val="00153778"/>
    <w:rsid w:val="00153946"/>
    <w:rsid w:val="00154284"/>
    <w:rsid w:val="00155B5F"/>
    <w:rsid w:val="001563FD"/>
    <w:rsid w:val="00156944"/>
    <w:rsid w:val="00156CFE"/>
    <w:rsid w:val="00157802"/>
    <w:rsid w:val="001603C7"/>
    <w:rsid w:val="001607EC"/>
    <w:rsid w:val="00160987"/>
    <w:rsid w:val="001612D2"/>
    <w:rsid w:val="0016326A"/>
    <w:rsid w:val="00165924"/>
    <w:rsid w:val="00165DE8"/>
    <w:rsid w:val="001665F4"/>
    <w:rsid w:val="0017082A"/>
    <w:rsid w:val="00170F19"/>
    <w:rsid w:val="00170F60"/>
    <w:rsid w:val="00171C84"/>
    <w:rsid w:val="001738D2"/>
    <w:rsid w:val="0017461B"/>
    <w:rsid w:val="001746D9"/>
    <w:rsid w:val="001751EC"/>
    <w:rsid w:val="001765DA"/>
    <w:rsid w:val="001769A4"/>
    <w:rsid w:val="001802CD"/>
    <w:rsid w:val="0018194A"/>
    <w:rsid w:val="0018197B"/>
    <w:rsid w:val="00181E0B"/>
    <w:rsid w:val="0018358E"/>
    <w:rsid w:val="001842CD"/>
    <w:rsid w:val="00184477"/>
    <w:rsid w:val="00184479"/>
    <w:rsid w:val="001857D5"/>
    <w:rsid w:val="001861AE"/>
    <w:rsid w:val="00186414"/>
    <w:rsid w:val="001869BC"/>
    <w:rsid w:val="00187E6E"/>
    <w:rsid w:val="00190A5E"/>
    <w:rsid w:val="001911BF"/>
    <w:rsid w:val="00191C24"/>
    <w:rsid w:val="00191E5D"/>
    <w:rsid w:val="00191F7C"/>
    <w:rsid w:val="001924A5"/>
    <w:rsid w:val="001939D9"/>
    <w:rsid w:val="00193A70"/>
    <w:rsid w:val="0019405C"/>
    <w:rsid w:val="0019451E"/>
    <w:rsid w:val="00194732"/>
    <w:rsid w:val="00194AB8"/>
    <w:rsid w:val="00194BE1"/>
    <w:rsid w:val="001978F7"/>
    <w:rsid w:val="001A0857"/>
    <w:rsid w:val="001A0ECF"/>
    <w:rsid w:val="001A0ED0"/>
    <w:rsid w:val="001A109A"/>
    <w:rsid w:val="001A11D4"/>
    <w:rsid w:val="001A31B6"/>
    <w:rsid w:val="001A4C17"/>
    <w:rsid w:val="001A50E0"/>
    <w:rsid w:val="001A5804"/>
    <w:rsid w:val="001A69D2"/>
    <w:rsid w:val="001A6AB8"/>
    <w:rsid w:val="001A7CDE"/>
    <w:rsid w:val="001B049C"/>
    <w:rsid w:val="001B1E80"/>
    <w:rsid w:val="001B1EEE"/>
    <w:rsid w:val="001B1FB6"/>
    <w:rsid w:val="001B3567"/>
    <w:rsid w:val="001B4CD8"/>
    <w:rsid w:val="001B62A9"/>
    <w:rsid w:val="001B6AD0"/>
    <w:rsid w:val="001B6E85"/>
    <w:rsid w:val="001C06AB"/>
    <w:rsid w:val="001C0AB8"/>
    <w:rsid w:val="001C1445"/>
    <w:rsid w:val="001C2532"/>
    <w:rsid w:val="001C2628"/>
    <w:rsid w:val="001C26B9"/>
    <w:rsid w:val="001C412C"/>
    <w:rsid w:val="001C4AA8"/>
    <w:rsid w:val="001C540C"/>
    <w:rsid w:val="001C5BD7"/>
    <w:rsid w:val="001C6529"/>
    <w:rsid w:val="001C68B3"/>
    <w:rsid w:val="001D0540"/>
    <w:rsid w:val="001D08A4"/>
    <w:rsid w:val="001D13F0"/>
    <w:rsid w:val="001D1BC8"/>
    <w:rsid w:val="001D23F1"/>
    <w:rsid w:val="001D2553"/>
    <w:rsid w:val="001D267F"/>
    <w:rsid w:val="001D2985"/>
    <w:rsid w:val="001D3805"/>
    <w:rsid w:val="001D3B50"/>
    <w:rsid w:val="001D3F69"/>
    <w:rsid w:val="001D5597"/>
    <w:rsid w:val="001D5945"/>
    <w:rsid w:val="001D63A3"/>
    <w:rsid w:val="001D657E"/>
    <w:rsid w:val="001D7295"/>
    <w:rsid w:val="001D7EA5"/>
    <w:rsid w:val="001E0C7C"/>
    <w:rsid w:val="001E1E2D"/>
    <w:rsid w:val="001E21F2"/>
    <w:rsid w:val="001E38D7"/>
    <w:rsid w:val="001E683E"/>
    <w:rsid w:val="001E688D"/>
    <w:rsid w:val="001E77C8"/>
    <w:rsid w:val="001F0182"/>
    <w:rsid w:val="001F039E"/>
    <w:rsid w:val="001F10B0"/>
    <w:rsid w:val="001F2060"/>
    <w:rsid w:val="001F2EC8"/>
    <w:rsid w:val="001F31BB"/>
    <w:rsid w:val="001F4153"/>
    <w:rsid w:val="001F4226"/>
    <w:rsid w:val="001F58D1"/>
    <w:rsid w:val="001F593E"/>
    <w:rsid w:val="001F62CD"/>
    <w:rsid w:val="001F6809"/>
    <w:rsid w:val="001F759A"/>
    <w:rsid w:val="001F7A89"/>
    <w:rsid w:val="0020017C"/>
    <w:rsid w:val="00201C55"/>
    <w:rsid w:val="00201FFA"/>
    <w:rsid w:val="0020215F"/>
    <w:rsid w:val="00202739"/>
    <w:rsid w:val="0020299A"/>
    <w:rsid w:val="0020302E"/>
    <w:rsid w:val="00203EBB"/>
    <w:rsid w:val="0020438D"/>
    <w:rsid w:val="002043EB"/>
    <w:rsid w:val="00204A21"/>
    <w:rsid w:val="002067AD"/>
    <w:rsid w:val="002075F8"/>
    <w:rsid w:val="00207BAC"/>
    <w:rsid w:val="0021011B"/>
    <w:rsid w:val="002106FB"/>
    <w:rsid w:val="0021299F"/>
    <w:rsid w:val="0021353A"/>
    <w:rsid w:val="002141CA"/>
    <w:rsid w:val="00214D72"/>
    <w:rsid w:val="00215864"/>
    <w:rsid w:val="00215EBE"/>
    <w:rsid w:val="00216B7A"/>
    <w:rsid w:val="00217BB3"/>
    <w:rsid w:val="00220271"/>
    <w:rsid w:val="00220766"/>
    <w:rsid w:val="0022082C"/>
    <w:rsid w:val="0022091D"/>
    <w:rsid w:val="002209D4"/>
    <w:rsid w:val="00220CA3"/>
    <w:rsid w:val="00220DDB"/>
    <w:rsid w:val="0022258D"/>
    <w:rsid w:val="00222DF7"/>
    <w:rsid w:val="002236E4"/>
    <w:rsid w:val="00224523"/>
    <w:rsid w:val="0022525E"/>
    <w:rsid w:val="00225966"/>
    <w:rsid w:val="00225B04"/>
    <w:rsid w:val="00225C83"/>
    <w:rsid w:val="0022646E"/>
    <w:rsid w:val="00226602"/>
    <w:rsid w:val="0022674B"/>
    <w:rsid w:val="002300B7"/>
    <w:rsid w:val="00230141"/>
    <w:rsid w:val="0023027F"/>
    <w:rsid w:val="002314CE"/>
    <w:rsid w:val="00232215"/>
    <w:rsid w:val="002322C7"/>
    <w:rsid w:val="00232432"/>
    <w:rsid w:val="00232967"/>
    <w:rsid w:val="00232A0E"/>
    <w:rsid w:val="00233ABC"/>
    <w:rsid w:val="0023526E"/>
    <w:rsid w:val="002374A2"/>
    <w:rsid w:val="00237F7D"/>
    <w:rsid w:val="00237F85"/>
    <w:rsid w:val="002413A3"/>
    <w:rsid w:val="002426AC"/>
    <w:rsid w:val="00244AE7"/>
    <w:rsid w:val="00245484"/>
    <w:rsid w:val="00247B35"/>
    <w:rsid w:val="00250231"/>
    <w:rsid w:val="00250B93"/>
    <w:rsid w:val="002518B8"/>
    <w:rsid w:val="0025354A"/>
    <w:rsid w:val="00254EC1"/>
    <w:rsid w:val="00254F8A"/>
    <w:rsid w:val="00255556"/>
    <w:rsid w:val="00255D71"/>
    <w:rsid w:val="002563A6"/>
    <w:rsid w:val="002563F5"/>
    <w:rsid w:val="0025667C"/>
    <w:rsid w:val="002573B3"/>
    <w:rsid w:val="002577D4"/>
    <w:rsid w:val="00257B84"/>
    <w:rsid w:val="002610A4"/>
    <w:rsid w:val="00262B19"/>
    <w:rsid w:val="0026312C"/>
    <w:rsid w:val="00263D64"/>
    <w:rsid w:val="002647B3"/>
    <w:rsid w:val="00264DA8"/>
    <w:rsid w:val="002663C6"/>
    <w:rsid w:val="002664FB"/>
    <w:rsid w:val="00267193"/>
    <w:rsid w:val="00270B9C"/>
    <w:rsid w:val="00270D97"/>
    <w:rsid w:val="00271AA5"/>
    <w:rsid w:val="00272924"/>
    <w:rsid w:val="002731EF"/>
    <w:rsid w:val="0027345C"/>
    <w:rsid w:val="00273AE5"/>
    <w:rsid w:val="00273B47"/>
    <w:rsid w:val="002754DA"/>
    <w:rsid w:val="002761C2"/>
    <w:rsid w:val="00276455"/>
    <w:rsid w:val="00276A70"/>
    <w:rsid w:val="00276E1F"/>
    <w:rsid w:val="0027744A"/>
    <w:rsid w:val="00277A14"/>
    <w:rsid w:val="00277CB7"/>
    <w:rsid w:val="002811F4"/>
    <w:rsid w:val="00281D04"/>
    <w:rsid w:val="002827FC"/>
    <w:rsid w:val="002828AC"/>
    <w:rsid w:val="00282B09"/>
    <w:rsid w:val="00282EA6"/>
    <w:rsid w:val="002833BB"/>
    <w:rsid w:val="002833DF"/>
    <w:rsid w:val="00283CBD"/>
    <w:rsid w:val="002863B8"/>
    <w:rsid w:val="00286D6D"/>
    <w:rsid w:val="002872E0"/>
    <w:rsid w:val="00291A2C"/>
    <w:rsid w:val="00291B38"/>
    <w:rsid w:val="00292B91"/>
    <w:rsid w:val="00293CB5"/>
    <w:rsid w:val="0029421C"/>
    <w:rsid w:val="00295A82"/>
    <w:rsid w:val="002A1F13"/>
    <w:rsid w:val="002A2EAD"/>
    <w:rsid w:val="002A3774"/>
    <w:rsid w:val="002A4185"/>
    <w:rsid w:val="002A4E7E"/>
    <w:rsid w:val="002A50DB"/>
    <w:rsid w:val="002B0866"/>
    <w:rsid w:val="002B1800"/>
    <w:rsid w:val="002B2AB6"/>
    <w:rsid w:val="002B3B3B"/>
    <w:rsid w:val="002B4326"/>
    <w:rsid w:val="002B4BE2"/>
    <w:rsid w:val="002B5322"/>
    <w:rsid w:val="002B5431"/>
    <w:rsid w:val="002B62D4"/>
    <w:rsid w:val="002B663C"/>
    <w:rsid w:val="002B7146"/>
    <w:rsid w:val="002C07A2"/>
    <w:rsid w:val="002C0859"/>
    <w:rsid w:val="002C1AAE"/>
    <w:rsid w:val="002C1E39"/>
    <w:rsid w:val="002C1F6F"/>
    <w:rsid w:val="002C1FE6"/>
    <w:rsid w:val="002C2356"/>
    <w:rsid w:val="002C28B2"/>
    <w:rsid w:val="002C2DDD"/>
    <w:rsid w:val="002C379C"/>
    <w:rsid w:val="002C409C"/>
    <w:rsid w:val="002C5CAF"/>
    <w:rsid w:val="002C637B"/>
    <w:rsid w:val="002D01CE"/>
    <w:rsid w:val="002D08C8"/>
    <w:rsid w:val="002D1031"/>
    <w:rsid w:val="002D2070"/>
    <w:rsid w:val="002D2A06"/>
    <w:rsid w:val="002D4CE7"/>
    <w:rsid w:val="002D5816"/>
    <w:rsid w:val="002D5A9B"/>
    <w:rsid w:val="002D5AF9"/>
    <w:rsid w:val="002D5C1F"/>
    <w:rsid w:val="002D640A"/>
    <w:rsid w:val="002D6C4B"/>
    <w:rsid w:val="002E0969"/>
    <w:rsid w:val="002E1D11"/>
    <w:rsid w:val="002E2C5F"/>
    <w:rsid w:val="002E30E6"/>
    <w:rsid w:val="002E408D"/>
    <w:rsid w:val="002E4C97"/>
    <w:rsid w:val="002E513E"/>
    <w:rsid w:val="002E518D"/>
    <w:rsid w:val="002E5336"/>
    <w:rsid w:val="002E5805"/>
    <w:rsid w:val="002E6011"/>
    <w:rsid w:val="002E601F"/>
    <w:rsid w:val="002E60A1"/>
    <w:rsid w:val="002E64A5"/>
    <w:rsid w:val="002E75DE"/>
    <w:rsid w:val="002E7704"/>
    <w:rsid w:val="002E7B98"/>
    <w:rsid w:val="002F07FE"/>
    <w:rsid w:val="002F0F8C"/>
    <w:rsid w:val="002F102F"/>
    <w:rsid w:val="002F1745"/>
    <w:rsid w:val="002F1AB3"/>
    <w:rsid w:val="002F3692"/>
    <w:rsid w:val="002F426C"/>
    <w:rsid w:val="002F58C4"/>
    <w:rsid w:val="002F7C0A"/>
    <w:rsid w:val="002F7C74"/>
    <w:rsid w:val="0030027B"/>
    <w:rsid w:val="00301CB2"/>
    <w:rsid w:val="003028FA"/>
    <w:rsid w:val="003035B2"/>
    <w:rsid w:val="003064F1"/>
    <w:rsid w:val="00306F9E"/>
    <w:rsid w:val="00307DE8"/>
    <w:rsid w:val="00310146"/>
    <w:rsid w:val="003107B8"/>
    <w:rsid w:val="0031097C"/>
    <w:rsid w:val="00310986"/>
    <w:rsid w:val="00310B69"/>
    <w:rsid w:val="00310CCE"/>
    <w:rsid w:val="00311695"/>
    <w:rsid w:val="00311785"/>
    <w:rsid w:val="003124DD"/>
    <w:rsid w:val="00312B63"/>
    <w:rsid w:val="00312F62"/>
    <w:rsid w:val="00313C86"/>
    <w:rsid w:val="00315BBE"/>
    <w:rsid w:val="00316208"/>
    <w:rsid w:val="0031635E"/>
    <w:rsid w:val="0031698F"/>
    <w:rsid w:val="0031792A"/>
    <w:rsid w:val="00317C51"/>
    <w:rsid w:val="00317EDD"/>
    <w:rsid w:val="00320DDB"/>
    <w:rsid w:val="00320F05"/>
    <w:rsid w:val="003210D6"/>
    <w:rsid w:val="0032191F"/>
    <w:rsid w:val="0032219C"/>
    <w:rsid w:val="00322FDE"/>
    <w:rsid w:val="003235C7"/>
    <w:rsid w:val="00323DD9"/>
    <w:rsid w:val="00324AC6"/>
    <w:rsid w:val="00325E66"/>
    <w:rsid w:val="0032631C"/>
    <w:rsid w:val="003267A7"/>
    <w:rsid w:val="00326B21"/>
    <w:rsid w:val="00327F1E"/>
    <w:rsid w:val="00327FD5"/>
    <w:rsid w:val="003304C5"/>
    <w:rsid w:val="00330B6D"/>
    <w:rsid w:val="003314D1"/>
    <w:rsid w:val="0033409C"/>
    <w:rsid w:val="003357CB"/>
    <w:rsid w:val="003357DD"/>
    <w:rsid w:val="00335DBA"/>
    <w:rsid w:val="00335DDE"/>
    <w:rsid w:val="00336851"/>
    <w:rsid w:val="003376A9"/>
    <w:rsid w:val="00340209"/>
    <w:rsid w:val="003402C4"/>
    <w:rsid w:val="003411E5"/>
    <w:rsid w:val="003427F4"/>
    <w:rsid w:val="00342B0D"/>
    <w:rsid w:val="0034373C"/>
    <w:rsid w:val="003444DC"/>
    <w:rsid w:val="0034545A"/>
    <w:rsid w:val="003463E2"/>
    <w:rsid w:val="00346552"/>
    <w:rsid w:val="00346B22"/>
    <w:rsid w:val="00347043"/>
    <w:rsid w:val="0035070C"/>
    <w:rsid w:val="00350FB3"/>
    <w:rsid w:val="0035120F"/>
    <w:rsid w:val="003515CA"/>
    <w:rsid w:val="00351762"/>
    <w:rsid w:val="00351802"/>
    <w:rsid w:val="00353790"/>
    <w:rsid w:val="00355B37"/>
    <w:rsid w:val="00355DE7"/>
    <w:rsid w:val="00357D84"/>
    <w:rsid w:val="00360317"/>
    <w:rsid w:val="00360981"/>
    <w:rsid w:val="00360C4F"/>
    <w:rsid w:val="00361BF2"/>
    <w:rsid w:val="00362041"/>
    <w:rsid w:val="00362A54"/>
    <w:rsid w:val="0036384B"/>
    <w:rsid w:val="00363C12"/>
    <w:rsid w:val="003649E1"/>
    <w:rsid w:val="00364F6B"/>
    <w:rsid w:val="00365BD3"/>
    <w:rsid w:val="00366374"/>
    <w:rsid w:val="00370473"/>
    <w:rsid w:val="0037253F"/>
    <w:rsid w:val="00372627"/>
    <w:rsid w:val="00372711"/>
    <w:rsid w:val="00373F49"/>
    <w:rsid w:val="00374327"/>
    <w:rsid w:val="00374B79"/>
    <w:rsid w:val="0037501B"/>
    <w:rsid w:val="003765AA"/>
    <w:rsid w:val="00376966"/>
    <w:rsid w:val="00376B8E"/>
    <w:rsid w:val="003771A0"/>
    <w:rsid w:val="0038088F"/>
    <w:rsid w:val="0038144C"/>
    <w:rsid w:val="00381644"/>
    <w:rsid w:val="00381D7D"/>
    <w:rsid w:val="003833BD"/>
    <w:rsid w:val="00383FC4"/>
    <w:rsid w:val="003841EC"/>
    <w:rsid w:val="00384480"/>
    <w:rsid w:val="00384534"/>
    <w:rsid w:val="00384DE6"/>
    <w:rsid w:val="00384E1E"/>
    <w:rsid w:val="0038589D"/>
    <w:rsid w:val="00386923"/>
    <w:rsid w:val="003869B1"/>
    <w:rsid w:val="00386E34"/>
    <w:rsid w:val="00387235"/>
    <w:rsid w:val="00387EC5"/>
    <w:rsid w:val="0039099A"/>
    <w:rsid w:val="00391867"/>
    <w:rsid w:val="003921B3"/>
    <w:rsid w:val="00392B79"/>
    <w:rsid w:val="0039369F"/>
    <w:rsid w:val="0039450C"/>
    <w:rsid w:val="00394782"/>
    <w:rsid w:val="00395522"/>
    <w:rsid w:val="00396F98"/>
    <w:rsid w:val="003A005C"/>
    <w:rsid w:val="003A012F"/>
    <w:rsid w:val="003A0C34"/>
    <w:rsid w:val="003A1459"/>
    <w:rsid w:val="003A1B47"/>
    <w:rsid w:val="003A2391"/>
    <w:rsid w:val="003A3B0C"/>
    <w:rsid w:val="003A4526"/>
    <w:rsid w:val="003A4640"/>
    <w:rsid w:val="003A5BCC"/>
    <w:rsid w:val="003A604D"/>
    <w:rsid w:val="003A6FCD"/>
    <w:rsid w:val="003B018E"/>
    <w:rsid w:val="003B24A2"/>
    <w:rsid w:val="003B2711"/>
    <w:rsid w:val="003B28E7"/>
    <w:rsid w:val="003B2D06"/>
    <w:rsid w:val="003B2E4B"/>
    <w:rsid w:val="003B36A5"/>
    <w:rsid w:val="003B3B80"/>
    <w:rsid w:val="003B3DA0"/>
    <w:rsid w:val="003B6138"/>
    <w:rsid w:val="003B67A7"/>
    <w:rsid w:val="003B70F0"/>
    <w:rsid w:val="003B7E53"/>
    <w:rsid w:val="003B7F52"/>
    <w:rsid w:val="003C1260"/>
    <w:rsid w:val="003C1516"/>
    <w:rsid w:val="003C1B0F"/>
    <w:rsid w:val="003C248A"/>
    <w:rsid w:val="003C28A8"/>
    <w:rsid w:val="003C293B"/>
    <w:rsid w:val="003C2946"/>
    <w:rsid w:val="003C2BC6"/>
    <w:rsid w:val="003C34BB"/>
    <w:rsid w:val="003C34F8"/>
    <w:rsid w:val="003C387F"/>
    <w:rsid w:val="003C3905"/>
    <w:rsid w:val="003C3E3C"/>
    <w:rsid w:val="003C486B"/>
    <w:rsid w:val="003C489E"/>
    <w:rsid w:val="003C4F16"/>
    <w:rsid w:val="003C5698"/>
    <w:rsid w:val="003C643D"/>
    <w:rsid w:val="003C64FB"/>
    <w:rsid w:val="003D047A"/>
    <w:rsid w:val="003D0BB6"/>
    <w:rsid w:val="003D0D15"/>
    <w:rsid w:val="003D1107"/>
    <w:rsid w:val="003D3779"/>
    <w:rsid w:val="003D4B67"/>
    <w:rsid w:val="003D5A14"/>
    <w:rsid w:val="003D5B42"/>
    <w:rsid w:val="003D6547"/>
    <w:rsid w:val="003D6D85"/>
    <w:rsid w:val="003E16EA"/>
    <w:rsid w:val="003E20E0"/>
    <w:rsid w:val="003E3923"/>
    <w:rsid w:val="003E3A39"/>
    <w:rsid w:val="003E3CD6"/>
    <w:rsid w:val="003E44CA"/>
    <w:rsid w:val="003E52DF"/>
    <w:rsid w:val="003E5438"/>
    <w:rsid w:val="003E6718"/>
    <w:rsid w:val="003E6DF0"/>
    <w:rsid w:val="003E6E8D"/>
    <w:rsid w:val="003E6E91"/>
    <w:rsid w:val="003E7662"/>
    <w:rsid w:val="003F0848"/>
    <w:rsid w:val="003F0B9C"/>
    <w:rsid w:val="003F1892"/>
    <w:rsid w:val="003F3033"/>
    <w:rsid w:val="003F3114"/>
    <w:rsid w:val="003F313C"/>
    <w:rsid w:val="003F3641"/>
    <w:rsid w:val="003F3B18"/>
    <w:rsid w:val="003F4753"/>
    <w:rsid w:val="003F4B63"/>
    <w:rsid w:val="003F5541"/>
    <w:rsid w:val="003F61FF"/>
    <w:rsid w:val="003F6E13"/>
    <w:rsid w:val="003F7D49"/>
    <w:rsid w:val="004025F3"/>
    <w:rsid w:val="00402FB0"/>
    <w:rsid w:val="00403056"/>
    <w:rsid w:val="00403932"/>
    <w:rsid w:val="0040464F"/>
    <w:rsid w:val="00406F2F"/>
    <w:rsid w:val="00411238"/>
    <w:rsid w:val="00411541"/>
    <w:rsid w:val="00411BE2"/>
    <w:rsid w:val="004127D7"/>
    <w:rsid w:val="00413CE0"/>
    <w:rsid w:val="004141FE"/>
    <w:rsid w:val="00414BED"/>
    <w:rsid w:val="00414C07"/>
    <w:rsid w:val="004153F3"/>
    <w:rsid w:val="00415877"/>
    <w:rsid w:val="0041666F"/>
    <w:rsid w:val="004170E1"/>
    <w:rsid w:val="00420805"/>
    <w:rsid w:val="004211D4"/>
    <w:rsid w:val="00423CCF"/>
    <w:rsid w:val="00424B9B"/>
    <w:rsid w:val="0042555C"/>
    <w:rsid w:val="00425598"/>
    <w:rsid w:val="00426087"/>
    <w:rsid w:val="00427080"/>
    <w:rsid w:val="00427B13"/>
    <w:rsid w:val="00427E3F"/>
    <w:rsid w:val="004302FA"/>
    <w:rsid w:val="0043188D"/>
    <w:rsid w:val="00431FF1"/>
    <w:rsid w:val="004320F5"/>
    <w:rsid w:val="004326CB"/>
    <w:rsid w:val="00433272"/>
    <w:rsid w:val="00433890"/>
    <w:rsid w:val="0043438C"/>
    <w:rsid w:val="00434A8B"/>
    <w:rsid w:val="004356A5"/>
    <w:rsid w:val="0043678B"/>
    <w:rsid w:val="00436E99"/>
    <w:rsid w:val="0043773F"/>
    <w:rsid w:val="00437FA8"/>
    <w:rsid w:val="0044011C"/>
    <w:rsid w:val="00440706"/>
    <w:rsid w:val="00440EB5"/>
    <w:rsid w:val="004427E5"/>
    <w:rsid w:val="00442883"/>
    <w:rsid w:val="0044319B"/>
    <w:rsid w:val="00443C66"/>
    <w:rsid w:val="00443DCD"/>
    <w:rsid w:val="00444297"/>
    <w:rsid w:val="00444640"/>
    <w:rsid w:val="0044490E"/>
    <w:rsid w:val="00444DB7"/>
    <w:rsid w:val="00446587"/>
    <w:rsid w:val="00446CD4"/>
    <w:rsid w:val="0044731F"/>
    <w:rsid w:val="0044738F"/>
    <w:rsid w:val="004504F8"/>
    <w:rsid w:val="004514E4"/>
    <w:rsid w:val="0045198E"/>
    <w:rsid w:val="00451AFA"/>
    <w:rsid w:val="00451FEF"/>
    <w:rsid w:val="0045323E"/>
    <w:rsid w:val="004533E2"/>
    <w:rsid w:val="00453C4D"/>
    <w:rsid w:val="00454597"/>
    <w:rsid w:val="0045500C"/>
    <w:rsid w:val="0045578A"/>
    <w:rsid w:val="00455A28"/>
    <w:rsid w:val="00456A3A"/>
    <w:rsid w:val="00457DAA"/>
    <w:rsid w:val="004600BF"/>
    <w:rsid w:val="00460258"/>
    <w:rsid w:val="00461BA0"/>
    <w:rsid w:val="004628DB"/>
    <w:rsid w:val="004628F9"/>
    <w:rsid w:val="00463253"/>
    <w:rsid w:val="0046379A"/>
    <w:rsid w:val="00463C13"/>
    <w:rsid w:val="00465CC9"/>
    <w:rsid w:val="004670A7"/>
    <w:rsid w:val="00467121"/>
    <w:rsid w:val="004679FF"/>
    <w:rsid w:val="0047054D"/>
    <w:rsid w:val="00473933"/>
    <w:rsid w:val="00473FE1"/>
    <w:rsid w:val="00474920"/>
    <w:rsid w:val="00474A18"/>
    <w:rsid w:val="004765C5"/>
    <w:rsid w:val="0047688E"/>
    <w:rsid w:val="00480CC3"/>
    <w:rsid w:val="00481CAA"/>
    <w:rsid w:val="00481E80"/>
    <w:rsid w:val="00481F00"/>
    <w:rsid w:val="00482E3E"/>
    <w:rsid w:val="004830DE"/>
    <w:rsid w:val="004831BE"/>
    <w:rsid w:val="004832E5"/>
    <w:rsid w:val="00484D5A"/>
    <w:rsid w:val="004852BC"/>
    <w:rsid w:val="004860BD"/>
    <w:rsid w:val="004869C0"/>
    <w:rsid w:val="0048787E"/>
    <w:rsid w:val="00487A1E"/>
    <w:rsid w:val="00487C75"/>
    <w:rsid w:val="00490A5A"/>
    <w:rsid w:val="00490CEA"/>
    <w:rsid w:val="004911E3"/>
    <w:rsid w:val="00491ED0"/>
    <w:rsid w:val="00491FAF"/>
    <w:rsid w:val="004925B7"/>
    <w:rsid w:val="00492870"/>
    <w:rsid w:val="004931AC"/>
    <w:rsid w:val="004945DD"/>
    <w:rsid w:val="00494915"/>
    <w:rsid w:val="00494B6E"/>
    <w:rsid w:val="00494F93"/>
    <w:rsid w:val="00494FB2"/>
    <w:rsid w:val="00495223"/>
    <w:rsid w:val="00495576"/>
    <w:rsid w:val="00495E73"/>
    <w:rsid w:val="00496263"/>
    <w:rsid w:val="00496444"/>
    <w:rsid w:val="00496CCB"/>
    <w:rsid w:val="00497386"/>
    <w:rsid w:val="004A1D19"/>
    <w:rsid w:val="004A215F"/>
    <w:rsid w:val="004A2599"/>
    <w:rsid w:val="004A25AA"/>
    <w:rsid w:val="004A299B"/>
    <w:rsid w:val="004A2B6C"/>
    <w:rsid w:val="004A3FA2"/>
    <w:rsid w:val="004A457C"/>
    <w:rsid w:val="004A533F"/>
    <w:rsid w:val="004A6C76"/>
    <w:rsid w:val="004B0874"/>
    <w:rsid w:val="004B2168"/>
    <w:rsid w:val="004B22AA"/>
    <w:rsid w:val="004B22D2"/>
    <w:rsid w:val="004B271D"/>
    <w:rsid w:val="004B28ED"/>
    <w:rsid w:val="004B34CC"/>
    <w:rsid w:val="004B3EF2"/>
    <w:rsid w:val="004B42BB"/>
    <w:rsid w:val="004B4B17"/>
    <w:rsid w:val="004B4B6D"/>
    <w:rsid w:val="004B5A01"/>
    <w:rsid w:val="004B64E9"/>
    <w:rsid w:val="004B66D5"/>
    <w:rsid w:val="004B6975"/>
    <w:rsid w:val="004B6E99"/>
    <w:rsid w:val="004B71D1"/>
    <w:rsid w:val="004B7F28"/>
    <w:rsid w:val="004C08D5"/>
    <w:rsid w:val="004C3102"/>
    <w:rsid w:val="004C3273"/>
    <w:rsid w:val="004C35B5"/>
    <w:rsid w:val="004C3AAC"/>
    <w:rsid w:val="004C3D64"/>
    <w:rsid w:val="004C42B8"/>
    <w:rsid w:val="004C4338"/>
    <w:rsid w:val="004C4953"/>
    <w:rsid w:val="004C4C2B"/>
    <w:rsid w:val="004C5623"/>
    <w:rsid w:val="004C5722"/>
    <w:rsid w:val="004C6669"/>
    <w:rsid w:val="004C6DB3"/>
    <w:rsid w:val="004C7040"/>
    <w:rsid w:val="004C750E"/>
    <w:rsid w:val="004C7D93"/>
    <w:rsid w:val="004D0828"/>
    <w:rsid w:val="004D167C"/>
    <w:rsid w:val="004D17F9"/>
    <w:rsid w:val="004D1FDD"/>
    <w:rsid w:val="004D2946"/>
    <w:rsid w:val="004D49AF"/>
    <w:rsid w:val="004D66E5"/>
    <w:rsid w:val="004D7062"/>
    <w:rsid w:val="004E06BB"/>
    <w:rsid w:val="004E0A2E"/>
    <w:rsid w:val="004E18EC"/>
    <w:rsid w:val="004E2050"/>
    <w:rsid w:val="004E2806"/>
    <w:rsid w:val="004E3242"/>
    <w:rsid w:val="004E3332"/>
    <w:rsid w:val="004E390A"/>
    <w:rsid w:val="004E3F6F"/>
    <w:rsid w:val="004E3F7D"/>
    <w:rsid w:val="004E5F80"/>
    <w:rsid w:val="004E5FC5"/>
    <w:rsid w:val="004E712C"/>
    <w:rsid w:val="004F0C55"/>
    <w:rsid w:val="004F0F29"/>
    <w:rsid w:val="004F25DD"/>
    <w:rsid w:val="004F2BEE"/>
    <w:rsid w:val="004F33FF"/>
    <w:rsid w:val="004F53BA"/>
    <w:rsid w:val="004F5ACB"/>
    <w:rsid w:val="004F5D88"/>
    <w:rsid w:val="004F6311"/>
    <w:rsid w:val="004F7B14"/>
    <w:rsid w:val="004F7DAF"/>
    <w:rsid w:val="004F7E07"/>
    <w:rsid w:val="00502C79"/>
    <w:rsid w:val="00502F55"/>
    <w:rsid w:val="00504330"/>
    <w:rsid w:val="00504DC6"/>
    <w:rsid w:val="00506924"/>
    <w:rsid w:val="00506F09"/>
    <w:rsid w:val="00506FB0"/>
    <w:rsid w:val="00507864"/>
    <w:rsid w:val="00510EA3"/>
    <w:rsid w:val="00511339"/>
    <w:rsid w:val="00511BA7"/>
    <w:rsid w:val="00512D77"/>
    <w:rsid w:val="005137DC"/>
    <w:rsid w:val="00514095"/>
    <w:rsid w:val="005142AE"/>
    <w:rsid w:val="00514D54"/>
    <w:rsid w:val="00514D78"/>
    <w:rsid w:val="00516169"/>
    <w:rsid w:val="00516DF8"/>
    <w:rsid w:val="00517102"/>
    <w:rsid w:val="00520178"/>
    <w:rsid w:val="0052038C"/>
    <w:rsid w:val="0052065E"/>
    <w:rsid w:val="0052075B"/>
    <w:rsid w:val="00520CA8"/>
    <w:rsid w:val="00520E9D"/>
    <w:rsid w:val="005217BA"/>
    <w:rsid w:val="00522E3A"/>
    <w:rsid w:val="005237E2"/>
    <w:rsid w:val="00523C35"/>
    <w:rsid w:val="00526F84"/>
    <w:rsid w:val="0052746D"/>
    <w:rsid w:val="0052775A"/>
    <w:rsid w:val="00527AC5"/>
    <w:rsid w:val="0053076A"/>
    <w:rsid w:val="00530A06"/>
    <w:rsid w:val="00530F58"/>
    <w:rsid w:val="00531395"/>
    <w:rsid w:val="005313E9"/>
    <w:rsid w:val="00531764"/>
    <w:rsid w:val="00532598"/>
    <w:rsid w:val="0053330E"/>
    <w:rsid w:val="00533959"/>
    <w:rsid w:val="0053619F"/>
    <w:rsid w:val="00537AF4"/>
    <w:rsid w:val="005400A0"/>
    <w:rsid w:val="00540ACB"/>
    <w:rsid w:val="00540CC3"/>
    <w:rsid w:val="00541D40"/>
    <w:rsid w:val="00542F6C"/>
    <w:rsid w:val="00543528"/>
    <w:rsid w:val="00544C9D"/>
    <w:rsid w:val="00545D02"/>
    <w:rsid w:val="00545D9A"/>
    <w:rsid w:val="0054609D"/>
    <w:rsid w:val="00547A34"/>
    <w:rsid w:val="00551A53"/>
    <w:rsid w:val="00551A7A"/>
    <w:rsid w:val="005541FF"/>
    <w:rsid w:val="00554B8F"/>
    <w:rsid w:val="005553A2"/>
    <w:rsid w:val="00555C99"/>
    <w:rsid w:val="00555E19"/>
    <w:rsid w:val="005560B3"/>
    <w:rsid w:val="005566F3"/>
    <w:rsid w:val="005573CF"/>
    <w:rsid w:val="00557AED"/>
    <w:rsid w:val="005610A0"/>
    <w:rsid w:val="005610FD"/>
    <w:rsid w:val="00561902"/>
    <w:rsid w:val="00563147"/>
    <w:rsid w:val="005631A3"/>
    <w:rsid w:val="00563630"/>
    <w:rsid w:val="00564079"/>
    <w:rsid w:val="005641CF"/>
    <w:rsid w:val="00565A87"/>
    <w:rsid w:val="00565D0C"/>
    <w:rsid w:val="00566062"/>
    <w:rsid w:val="00566A44"/>
    <w:rsid w:val="00567A1B"/>
    <w:rsid w:val="00567DED"/>
    <w:rsid w:val="00567FE5"/>
    <w:rsid w:val="00570446"/>
    <w:rsid w:val="00570CBF"/>
    <w:rsid w:val="00570EA5"/>
    <w:rsid w:val="005712CE"/>
    <w:rsid w:val="00572BD5"/>
    <w:rsid w:val="00572D0B"/>
    <w:rsid w:val="00573249"/>
    <w:rsid w:val="0057522E"/>
    <w:rsid w:val="00575331"/>
    <w:rsid w:val="005779D1"/>
    <w:rsid w:val="0058151E"/>
    <w:rsid w:val="00581FFF"/>
    <w:rsid w:val="00582539"/>
    <w:rsid w:val="00582C95"/>
    <w:rsid w:val="00583ADD"/>
    <w:rsid w:val="0058426E"/>
    <w:rsid w:val="00585010"/>
    <w:rsid w:val="0058694A"/>
    <w:rsid w:val="00587188"/>
    <w:rsid w:val="00587225"/>
    <w:rsid w:val="00587EA9"/>
    <w:rsid w:val="0059002F"/>
    <w:rsid w:val="00590BB3"/>
    <w:rsid w:val="00590D1B"/>
    <w:rsid w:val="0059123B"/>
    <w:rsid w:val="00593C04"/>
    <w:rsid w:val="00594B75"/>
    <w:rsid w:val="00594EB8"/>
    <w:rsid w:val="0059648A"/>
    <w:rsid w:val="00597D17"/>
    <w:rsid w:val="00597E7D"/>
    <w:rsid w:val="005A01D3"/>
    <w:rsid w:val="005A1199"/>
    <w:rsid w:val="005A3201"/>
    <w:rsid w:val="005A3820"/>
    <w:rsid w:val="005A438D"/>
    <w:rsid w:val="005A5D0F"/>
    <w:rsid w:val="005A5D77"/>
    <w:rsid w:val="005A5D79"/>
    <w:rsid w:val="005A61E4"/>
    <w:rsid w:val="005A738B"/>
    <w:rsid w:val="005A7453"/>
    <w:rsid w:val="005B0678"/>
    <w:rsid w:val="005B07CB"/>
    <w:rsid w:val="005B123D"/>
    <w:rsid w:val="005B1287"/>
    <w:rsid w:val="005B3212"/>
    <w:rsid w:val="005B37C1"/>
    <w:rsid w:val="005B3937"/>
    <w:rsid w:val="005B41C5"/>
    <w:rsid w:val="005B4D91"/>
    <w:rsid w:val="005B5A49"/>
    <w:rsid w:val="005B5B00"/>
    <w:rsid w:val="005B7A2F"/>
    <w:rsid w:val="005C18ED"/>
    <w:rsid w:val="005C5FED"/>
    <w:rsid w:val="005C6B21"/>
    <w:rsid w:val="005C796E"/>
    <w:rsid w:val="005D00A8"/>
    <w:rsid w:val="005D0F6C"/>
    <w:rsid w:val="005D191F"/>
    <w:rsid w:val="005D2B6C"/>
    <w:rsid w:val="005D3A14"/>
    <w:rsid w:val="005D3AFA"/>
    <w:rsid w:val="005D53E2"/>
    <w:rsid w:val="005D5CFA"/>
    <w:rsid w:val="005D5FD8"/>
    <w:rsid w:val="005D73E4"/>
    <w:rsid w:val="005D7711"/>
    <w:rsid w:val="005D7AE9"/>
    <w:rsid w:val="005E04B8"/>
    <w:rsid w:val="005E1945"/>
    <w:rsid w:val="005E1E1D"/>
    <w:rsid w:val="005E22AB"/>
    <w:rsid w:val="005E2593"/>
    <w:rsid w:val="005E2D00"/>
    <w:rsid w:val="005E2DBE"/>
    <w:rsid w:val="005E3182"/>
    <w:rsid w:val="005E3A89"/>
    <w:rsid w:val="005E46EA"/>
    <w:rsid w:val="005E50F2"/>
    <w:rsid w:val="005E5264"/>
    <w:rsid w:val="005E5EFA"/>
    <w:rsid w:val="005E652E"/>
    <w:rsid w:val="005E67A8"/>
    <w:rsid w:val="005E6D06"/>
    <w:rsid w:val="005E6DC9"/>
    <w:rsid w:val="005E79DE"/>
    <w:rsid w:val="005F024C"/>
    <w:rsid w:val="005F267A"/>
    <w:rsid w:val="005F38E8"/>
    <w:rsid w:val="005F5237"/>
    <w:rsid w:val="005F59FE"/>
    <w:rsid w:val="005F6A29"/>
    <w:rsid w:val="006003EF"/>
    <w:rsid w:val="00600B85"/>
    <w:rsid w:val="00600D60"/>
    <w:rsid w:val="00601471"/>
    <w:rsid w:val="00601549"/>
    <w:rsid w:val="00601C72"/>
    <w:rsid w:val="00601FE0"/>
    <w:rsid w:val="006023D1"/>
    <w:rsid w:val="00602606"/>
    <w:rsid w:val="0060272F"/>
    <w:rsid w:val="006036CD"/>
    <w:rsid w:val="00603C21"/>
    <w:rsid w:val="00604502"/>
    <w:rsid w:val="00604669"/>
    <w:rsid w:val="00604A04"/>
    <w:rsid w:val="00605095"/>
    <w:rsid w:val="0060669A"/>
    <w:rsid w:val="0060673B"/>
    <w:rsid w:val="00606B9D"/>
    <w:rsid w:val="006078FC"/>
    <w:rsid w:val="00607910"/>
    <w:rsid w:val="00607E63"/>
    <w:rsid w:val="00611473"/>
    <w:rsid w:val="00614EE3"/>
    <w:rsid w:val="00614FEA"/>
    <w:rsid w:val="00615376"/>
    <w:rsid w:val="00617A7C"/>
    <w:rsid w:val="00620162"/>
    <w:rsid w:val="00620839"/>
    <w:rsid w:val="00620FCA"/>
    <w:rsid w:val="00621441"/>
    <w:rsid w:val="006220DB"/>
    <w:rsid w:val="00622151"/>
    <w:rsid w:val="0062241A"/>
    <w:rsid w:val="006232AE"/>
    <w:rsid w:val="00625B2D"/>
    <w:rsid w:val="00625D3E"/>
    <w:rsid w:val="0062628E"/>
    <w:rsid w:val="0062658D"/>
    <w:rsid w:val="00626656"/>
    <w:rsid w:val="00627150"/>
    <w:rsid w:val="00627CEE"/>
    <w:rsid w:val="00627DD7"/>
    <w:rsid w:val="0063136C"/>
    <w:rsid w:val="006317BF"/>
    <w:rsid w:val="00631E6C"/>
    <w:rsid w:val="00631F87"/>
    <w:rsid w:val="00632D9D"/>
    <w:rsid w:val="00633A9A"/>
    <w:rsid w:val="00634686"/>
    <w:rsid w:val="0063558F"/>
    <w:rsid w:val="0063621A"/>
    <w:rsid w:val="006365BA"/>
    <w:rsid w:val="006367E8"/>
    <w:rsid w:val="00636ECA"/>
    <w:rsid w:val="006379CF"/>
    <w:rsid w:val="00640316"/>
    <w:rsid w:val="00640DD7"/>
    <w:rsid w:val="006414A3"/>
    <w:rsid w:val="00641DCE"/>
    <w:rsid w:val="00642614"/>
    <w:rsid w:val="00642878"/>
    <w:rsid w:val="00644C96"/>
    <w:rsid w:val="0064577C"/>
    <w:rsid w:val="006470BF"/>
    <w:rsid w:val="00647D58"/>
    <w:rsid w:val="00647E71"/>
    <w:rsid w:val="006521EC"/>
    <w:rsid w:val="00652CE2"/>
    <w:rsid w:val="00652E32"/>
    <w:rsid w:val="00653826"/>
    <w:rsid w:val="006539D1"/>
    <w:rsid w:val="006543BA"/>
    <w:rsid w:val="00654C35"/>
    <w:rsid w:val="006556EF"/>
    <w:rsid w:val="00655F70"/>
    <w:rsid w:val="006563A6"/>
    <w:rsid w:val="00656ED1"/>
    <w:rsid w:val="0065769B"/>
    <w:rsid w:val="00657C3E"/>
    <w:rsid w:val="0066032A"/>
    <w:rsid w:val="00660C03"/>
    <w:rsid w:val="0066117A"/>
    <w:rsid w:val="00662124"/>
    <w:rsid w:val="00662856"/>
    <w:rsid w:val="00662C11"/>
    <w:rsid w:val="00663F9B"/>
    <w:rsid w:val="00664988"/>
    <w:rsid w:val="0066603A"/>
    <w:rsid w:val="006668AA"/>
    <w:rsid w:val="00666907"/>
    <w:rsid w:val="0066777F"/>
    <w:rsid w:val="00667E4E"/>
    <w:rsid w:val="0067042B"/>
    <w:rsid w:val="00671BD6"/>
    <w:rsid w:val="00673446"/>
    <w:rsid w:val="006741DB"/>
    <w:rsid w:val="00675A50"/>
    <w:rsid w:val="00676668"/>
    <w:rsid w:val="00676C45"/>
    <w:rsid w:val="00676EF7"/>
    <w:rsid w:val="00677673"/>
    <w:rsid w:val="00677790"/>
    <w:rsid w:val="00680292"/>
    <w:rsid w:val="00680821"/>
    <w:rsid w:val="00680FFE"/>
    <w:rsid w:val="006841B4"/>
    <w:rsid w:val="00684571"/>
    <w:rsid w:val="00684B01"/>
    <w:rsid w:val="00685196"/>
    <w:rsid w:val="006852B0"/>
    <w:rsid w:val="00685C96"/>
    <w:rsid w:val="006870E0"/>
    <w:rsid w:val="006873B1"/>
    <w:rsid w:val="006873DC"/>
    <w:rsid w:val="006907FC"/>
    <w:rsid w:val="00690812"/>
    <w:rsid w:val="00690965"/>
    <w:rsid w:val="006918C7"/>
    <w:rsid w:val="006923F8"/>
    <w:rsid w:val="00693000"/>
    <w:rsid w:val="00693638"/>
    <w:rsid w:val="00693671"/>
    <w:rsid w:val="00693A9C"/>
    <w:rsid w:val="00693E01"/>
    <w:rsid w:val="0069483E"/>
    <w:rsid w:val="006958A2"/>
    <w:rsid w:val="00697E2D"/>
    <w:rsid w:val="006A0A90"/>
    <w:rsid w:val="006A0BF7"/>
    <w:rsid w:val="006A0F9C"/>
    <w:rsid w:val="006A10BB"/>
    <w:rsid w:val="006A1AC9"/>
    <w:rsid w:val="006A2042"/>
    <w:rsid w:val="006A2471"/>
    <w:rsid w:val="006A3315"/>
    <w:rsid w:val="006A3DEC"/>
    <w:rsid w:val="006A4F69"/>
    <w:rsid w:val="006A565C"/>
    <w:rsid w:val="006A645B"/>
    <w:rsid w:val="006A671C"/>
    <w:rsid w:val="006B0295"/>
    <w:rsid w:val="006B042A"/>
    <w:rsid w:val="006B0C96"/>
    <w:rsid w:val="006B16F7"/>
    <w:rsid w:val="006B19AA"/>
    <w:rsid w:val="006B1ECE"/>
    <w:rsid w:val="006B2097"/>
    <w:rsid w:val="006B23F7"/>
    <w:rsid w:val="006B26AA"/>
    <w:rsid w:val="006B2894"/>
    <w:rsid w:val="006B2FF6"/>
    <w:rsid w:val="006B3482"/>
    <w:rsid w:val="006B34F6"/>
    <w:rsid w:val="006B3625"/>
    <w:rsid w:val="006B4217"/>
    <w:rsid w:val="006B475A"/>
    <w:rsid w:val="006B4F49"/>
    <w:rsid w:val="006B4FF7"/>
    <w:rsid w:val="006B74A1"/>
    <w:rsid w:val="006C0808"/>
    <w:rsid w:val="006C1102"/>
    <w:rsid w:val="006C1150"/>
    <w:rsid w:val="006C120A"/>
    <w:rsid w:val="006C14B0"/>
    <w:rsid w:val="006C1814"/>
    <w:rsid w:val="006C1E5C"/>
    <w:rsid w:val="006C2018"/>
    <w:rsid w:val="006C2425"/>
    <w:rsid w:val="006C24AC"/>
    <w:rsid w:val="006C2CB7"/>
    <w:rsid w:val="006C3197"/>
    <w:rsid w:val="006C39D0"/>
    <w:rsid w:val="006C3B87"/>
    <w:rsid w:val="006C4244"/>
    <w:rsid w:val="006C42EF"/>
    <w:rsid w:val="006C4A3E"/>
    <w:rsid w:val="006D1A11"/>
    <w:rsid w:val="006D1C08"/>
    <w:rsid w:val="006D2BBC"/>
    <w:rsid w:val="006D4ED5"/>
    <w:rsid w:val="006D5997"/>
    <w:rsid w:val="006D59D2"/>
    <w:rsid w:val="006D6489"/>
    <w:rsid w:val="006D6593"/>
    <w:rsid w:val="006D7914"/>
    <w:rsid w:val="006E261A"/>
    <w:rsid w:val="006E2B22"/>
    <w:rsid w:val="006E367F"/>
    <w:rsid w:val="006E39E2"/>
    <w:rsid w:val="006E433D"/>
    <w:rsid w:val="006E4DB8"/>
    <w:rsid w:val="006E522F"/>
    <w:rsid w:val="006E5A4C"/>
    <w:rsid w:val="006E5FA1"/>
    <w:rsid w:val="006E6F57"/>
    <w:rsid w:val="006E7A38"/>
    <w:rsid w:val="006E7AA1"/>
    <w:rsid w:val="006E7CF9"/>
    <w:rsid w:val="006E7F74"/>
    <w:rsid w:val="006F101C"/>
    <w:rsid w:val="006F1EDA"/>
    <w:rsid w:val="006F2A0C"/>
    <w:rsid w:val="006F3454"/>
    <w:rsid w:val="006F4B66"/>
    <w:rsid w:val="006F4B9F"/>
    <w:rsid w:val="006F4CF9"/>
    <w:rsid w:val="006F4EF9"/>
    <w:rsid w:val="006F5985"/>
    <w:rsid w:val="006F5B71"/>
    <w:rsid w:val="006F5D0D"/>
    <w:rsid w:val="006F6193"/>
    <w:rsid w:val="006F624F"/>
    <w:rsid w:val="006F6B38"/>
    <w:rsid w:val="006F7DC4"/>
    <w:rsid w:val="006F7F67"/>
    <w:rsid w:val="00700D07"/>
    <w:rsid w:val="00701500"/>
    <w:rsid w:val="00701922"/>
    <w:rsid w:val="00702240"/>
    <w:rsid w:val="0070388C"/>
    <w:rsid w:val="00703E63"/>
    <w:rsid w:val="007046D8"/>
    <w:rsid w:val="00704716"/>
    <w:rsid w:val="00705569"/>
    <w:rsid w:val="007057ED"/>
    <w:rsid w:val="00705A5A"/>
    <w:rsid w:val="00705A92"/>
    <w:rsid w:val="00706756"/>
    <w:rsid w:val="007072AE"/>
    <w:rsid w:val="007073B6"/>
    <w:rsid w:val="00711750"/>
    <w:rsid w:val="00711CB0"/>
    <w:rsid w:val="007128C5"/>
    <w:rsid w:val="00712911"/>
    <w:rsid w:val="00712F96"/>
    <w:rsid w:val="007140C3"/>
    <w:rsid w:val="007143DD"/>
    <w:rsid w:val="00714D01"/>
    <w:rsid w:val="00714E8A"/>
    <w:rsid w:val="00716505"/>
    <w:rsid w:val="00721BA6"/>
    <w:rsid w:val="00722D80"/>
    <w:rsid w:val="007231F1"/>
    <w:rsid w:val="00723F25"/>
    <w:rsid w:val="007249F3"/>
    <w:rsid w:val="00724C38"/>
    <w:rsid w:val="00724E76"/>
    <w:rsid w:val="00725498"/>
    <w:rsid w:val="007265D8"/>
    <w:rsid w:val="00726E98"/>
    <w:rsid w:val="00727026"/>
    <w:rsid w:val="00727963"/>
    <w:rsid w:val="00730AC2"/>
    <w:rsid w:val="00730D9B"/>
    <w:rsid w:val="00731ADB"/>
    <w:rsid w:val="00732470"/>
    <w:rsid w:val="00733124"/>
    <w:rsid w:val="0073363D"/>
    <w:rsid w:val="0073453A"/>
    <w:rsid w:val="00734F54"/>
    <w:rsid w:val="00735945"/>
    <w:rsid w:val="00735B45"/>
    <w:rsid w:val="00735BE4"/>
    <w:rsid w:val="00737450"/>
    <w:rsid w:val="007377CD"/>
    <w:rsid w:val="0073E0D7"/>
    <w:rsid w:val="007405BB"/>
    <w:rsid w:val="007407FD"/>
    <w:rsid w:val="00740882"/>
    <w:rsid w:val="0074196D"/>
    <w:rsid w:val="00741C0F"/>
    <w:rsid w:val="00742331"/>
    <w:rsid w:val="007437CB"/>
    <w:rsid w:val="0074412B"/>
    <w:rsid w:val="00746513"/>
    <w:rsid w:val="00746DDE"/>
    <w:rsid w:val="00747618"/>
    <w:rsid w:val="007500DF"/>
    <w:rsid w:val="00750D02"/>
    <w:rsid w:val="007518BA"/>
    <w:rsid w:val="00751CCA"/>
    <w:rsid w:val="00752DCF"/>
    <w:rsid w:val="00752F9C"/>
    <w:rsid w:val="00753030"/>
    <w:rsid w:val="00753A77"/>
    <w:rsid w:val="00753A8F"/>
    <w:rsid w:val="00754FFD"/>
    <w:rsid w:val="0075579B"/>
    <w:rsid w:val="00755854"/>
    <w:rsid w:val="00755B4C"/>
    <w:rsid w:val="00755FAD"/>
    <w:rsid w:val="00756AE0"/>
    <w:rsid w:val="00757511"/>
    <w:rsid w:val="00757873"/>
    <w:rsid w:val="00757BE1"/>
    <w:rsid w:val="007600B2"/>
    <w:rsid w:val="007601BB"/>
    <w:rsid w:val="00760B03"/>
    <w:rsid w:val="0076242E"/>
    <w:rsid w:val="007626AC"/>
    <w:rsid w:val="00762FEE"/>
    <w:rsid w:val="00764D05"/>
    <w:rsid w:val="00764DB2"/>
    <w:rsid w:val="00765658"/>
    <w:rsid w:val="00765B02"/>
    <w:rsid w:val="007671FA"/>
    <w:rsid w:val="0076728C"/>
    <w:rsid w:val="00770180"/>
    <w:rsid w:val="0077140F"/>
    <w:rsid w:val="00771737"/>
    <w:rsid w:val="0077187B"/>
    <w:rsid w:val="007718A0"/>
    <w:rsid w:val="00772D1D"/>
    <w:rsid w:val="00773147"/>
    <w:rsid w:val="00773C72"/>
    <w:rsid w:val="00774BE9"/>
    <w:rsid w:val="00774E02"/>
    <w:rsid w:val="007752D9"/>
    <w:rsid w:val="00775749"/>
    <w:rsid w:val="00776592"/>
    <w:rsid w:val="00776BC9"/>
    <w:rsid w:val="00777299"/>
    <w:rsid w:val="007776C7"/>
    <w:rsid w:val="00780741"/>
    <w:rsid w:val="00780C2C"/>
    <w:rsid w:val="00781C4B"/>
    <w:rsid w:val="00781E9E"/>
    <w:rsid w:val="0078271C"/>
    <w:rsid w:val="00782C12"/>
    <w:rsid w:val="0078419A"/>
    <w:rsid w:val="0078459D"/>
    <w:rsid w:val="0078485D"/>
    <w:rsid w:val="0078583F"/>
    <w:rsid w:val="0078683B"/>
    <w:rsid w:val="00787AEC"/>
    <w:rsid w:val="00787C21"/>
    <w:rsid w:val="00790F27"/>
    <w:rsid w:val="00791141"/>
    <w:rsid w:val="007912B2"/>
    <w:rsid w:val="0079161E"/>
    <w:rsid w:val="0079210B"/>
    <w:rsid w:val="0079219E"/>
    <w:rsid w:val="007931B2"/>
    <w:rsid w:val="007936D8"/>
    <w:rsid w:val="00793724"/>
    <w:rsid w:val="0079457E"/>
    <w:rsid w:val="007953AC"/>
    <w:rsid w:val="00795575"/>
    <w:rsid w:val="00795867"/>
    <w:rsid w:val="00795F20"/>
    <w:rsid w:val="007962EB"/>
    <w:rsid w:val="00796418"/>
    <w:rsid w:val="007973AB"/>
    <w:rsid w:val="00797D03"/>
    <w:rsid w:val="00797E3B"/>
    <w:rsid w:val="007A0C10"/>
    <w:rsid w:val="007A0C19"/>
    <w:rsid w:val="007A0D64"/>
    <w:rsid w:val="007A1102"/>
    <w:rsid w:val="007A185F"/>
    <w:rsid w:val="007A1D85"/>
    <w:rsid w:val="007A1F1B"/>
    <w:rsid w:val="007A3A2B"/>
    <w:rsid w:val="007A5FB9"/>
    <w:rsid w:val="007A60F6"/>
    <w:rsid w:val="007A670C"/>
    <w:rsid w:val="007A6C8F"/>
    <w:rsid w:val="007A6F22"/>
    <w:rsid w:val="007A7385"/>
    <w:rsid w:val="007A7403"/>
    <w:rsid w:val="007B0646"/>
    <w:rsid w:val="007B0B26"/>
    <w:rsid w:val="007B0DB5"/>
    <w:rsid w:val="007B0F65"/>
    <w:rsid w:val="007B2146"/>
    <w:rsid w:val="007B3F64"/>
    <w:rsid w:val="007B4882"/>
    <w:rsid w:val="007B4C1E"/>
    <w:rsid w:val="007B5593"/>
    <w:rsid w:val="007C049F"/>
    <w:rsid w:val="007C08F7"/>
    <w:rsid w:val="007C0EAE"/>
    <w:rsid w:val="007C0EC5"/>
    <w:rsid w:val="007C19E9"/>
    <w:rsid w:val="007C1EED"/>
    <w:rsid w:val="007C2F66"/>
    <w:rsid w:val="007C5F52"/>
    <w:rsid w:val="007C642F"/>
    <w:rsid w:val="007C66AA"/>
    <w:rsid w:val="007C6AA9"/>
    <w:rsid w:val="007D0D2F"/>
    <w:rsid w:val="007D1E1F"/>
    <w:rsid w:val="007D1F78"/>
    <w:rsid w:val="007D2381"/>
    <w:rsid w:val="007D3A0B"/>
    <w:rsid w:val="007D499B"/>
    <w:rsid w:val="007D4A96"/>
    <w:rsid w:val="007D5505"/>
    <w:rsid w:val="007D5B71"/>
    <w:rsid w:val="007D5F68"/>
    <w:rsid w:val="007D660A"/>
    <w:rsid w:val="007D6B3E"/>
    <w:rsid w:val="007E0367"/>
    <w:rsid w:val="007E0428"/>
    <w:rsid w:val="007E0EB5"/>
    <w:rsid w:val="007E3E9E"/>
    <w:rsid w:val="007E7418"/>
    <w:rsid w:val="007F2397"/>
    <w:rsid w:val="007F2547"/>
    <w:rsid w:val="007F27A8"/>
    <w:rsid w:val="007F2C81"/>
    <w:rsid w:val="007F32C4"/>
    <w:rsid w:val="007F33AF"/>
    <w:rsid w:val="007F3705"/>
    <w:rsid w:val="007F3AD5"/>
    <w:rsid w:val="007F4396"/>
    <w:rsid w:val="007F45AF"/>
    <w:rsid w:val="007F5678"/>
    <w:rsid w:val="007F5BC0"/>
    <w:rsid w:val="007F6CEB"/>
    <w:rsid w:val="007F7338"/>
    <w:rsid w:val="00800E15"/>
    <w:rsid w:val="00801D52"/>
    <w:rsid w:val="00802C44"/>
    <w:rsid w:val="00802FF5"/>
    <w:rsid w:val="00803822"/>
    <w:rsid w:val="00803823"/>
    <w:rsid w:val="00804853"/>
    <w:rsid w:val="00806023"/>
    <w:rsid w:val="00806092"/>
    <w:rsid w:val="008062F6"/>
    <w:rsid w:val="00806A0C"/>
    <w:rsid w:val="00806DBA"/>
    <w:rsid w:val="00807844"/>
    <w:rsid w:val="008101AF"/>
    <w:rsid w:val="00810CE3"/>
    <w:rsid w:val="00811500"/>
    <w:rsid w:val="008127B5"/>
    <w:rsid w:val="00812E98"/>
    <w:rsid w:val="0081401C"/>
    <w:rsid w:val="008140CD"/>
    <w:rsid w:val="008142B6"/>
    <w:rsid w:val="008145D5"/>
    <w:rsid w:val="0081483E"/>
    <w:rsid w:val="00814BBC"/>
    <w:rsid w:val="008157E9"/>
    <w:rsid w:val="00815D42"/>
    <w:rsid w:val="00817B63"/>
    <w:rsid w:val="00821065"/>
    <w:rsid w:val="00821538"/>
    <w:rsid w:val="00822235"/>
    <w:rsid w:val="00822D3F"/>
    <w:rsid w:val="00822E76"/>
    <w:rsid w:val="00823CA4"/>
    <w:rsid w:val="008242D2"/>
    <w:rsid w:val="0082436C"/>
    <w:rsid w:val="00824974"/>
    <w:rsid w:val="00824CDE"/>
    <w:rsid w:val="0082528F"/>
    <w:rsid w:val="008268A3"/>
    <w:rsid w:val="00827A92"/>
    <w:rsid w:val="008303F9"/>
    <w:rsid w:val="00830C41"/>
    <w:rsid w:val="008320CC"/>
    <w:rsid w:val="00832A7F"/>
    <w:rsid w:val="00833102"/>
    <w:rsid w:val="008334B0"/>
    <w:rsid w:val="008344B7"/>
    <w:rsid w:val="00834C94"/>
    <w:rsid w:val="008363A4"/>
    <w:rsid w:val="00837420"/>
    <w:rsid w:val="008374CB"/>
    <w:rsid w:val="008405A9"/>
    <w:rsid w:val="00840CCE"/>
    <w:rsid w:val="00840DFF"/>
    <w:rsid w:val="00840E93"/>
    <w:rsid w:val="00841D4A"/>
    <w:rsid w:val="008422AB"/>
    <w:rsid w:val="0084260C"/>
    <w:rsid w:val="0084267A"/>
    <w:rsid w:val="008427B6"/>
    <w:rsid w:val="0084357A"/>
    <w:rsid w:val="008435D9"/>
    <w:rsid w:val="00843991"/>
    <w:rsid w:val="00844C0E"/>
    <w:rsid w:val="00844EC2"/>
    <w:rsid w:val="00844FF1"/>
    <w:rsid w:val="00845425"/>
    <w:rsid w:val="00845B65"/>
    <w:rsid w:val="00846634"/>
    <w:rsid w:val="00846C31"/>
    <w:rsid w:val="00847190"/>
    <w:rsid w:val="008505DB"/>
    <w:rsid w:val="00851E8F"/>
    <w:rsid w:val="00852325"/>
    <w:rsid w:val="0085246F"/>
    <w:rsid w:val="00853425"/>
    <w:rsid w:val="00853627"/>
    <w:rsid w:val="00853D9D"/>
    <w:rsid w:val="00854761"/>
    <w:rsid w:val="008549C2"/>
    <w:rsid w:val="00855D72"/>
    <w:rsid w:val="00855EBA"/>
    <w:rsid w:val="008568FD"/>
    <w:rsid w:val="00860905"/>
    <w:rsid w:val="00861681"/>
    <w:rsid w:val="00861C1F"/>
    <w:rsid w:val="008633DE"/>
    <w:rsid w:val="008637E9"/>
    <w:rsid w:val="00864F87"/>
    <w:rsid w:val="00867592"/>
    <w:rsid w:val="00867C1F"/>
    <w:rsid w:val="00870F03"/>
    <w:rsid w:val="00871B02"/>
    <w:rsid w:val="0087205B"/>
    <w:rsid w:val="00873DDA"/>
    <w:rsid w:val="00873EE3"/>
    <w:rsid w:val="00875011"/>
    <w:rsid w:val="008755BA"/>
    <w:rsid w:val="00876392"/>
    <w:rsid w:val="0087682B"/>
    <w:rsid w:val="008768D6"/>
    <w:rsid w:val="00876F1D"/>
    <w:rsid w:val="00877E8F"/>
    <w:rsid w:val="00880624"/>
    <w:rsid w:val="00883374"/>
    <w:rsid w:val="00883432"/>
    <w:rsid w:val="00883586"/>
    <w:rsid w:val="008836A3"/>
    <w:rsid w:val="008837BC"/>
    <w:rsid w:val="00883E3C"/>
    <w:rsid w:val="00884308"/>
    <w:rsid w:val="00885365"/>
    <w:rsid w:val="008856D6"/>
    <w:rsid w:val="00885FD3"/>
    <w:rsid w:val="00886304"/>
    <w:rsid w:val="0088693E"/>
    <w:rsid w:val="008901F5"/>
    <w:rsid w:val="00890CF1"/>
    <w:rsid w:val="008919D0"/>
    <w:rsid w:val="008924B9"/>
    <w:rsid w:val="00892FE1"/>
    <w:rsid w:val="00893287"/>
    <w:rsid w:val="00893C57"/>
    <w:rsid w:val="00893D61"/>
    <w:rsid w:val="00893FBA"/>
    <w:rsid w:val="00894C52"/>
    <w:rsid w:val="00895110"/>
    <w:rsid w:val="008955F7"/>
    <w:rsid w:val="0089633B"/>
    <w:rsid w:val="00897430"/>
    <w:rsid w:val="00897541"/>
    <w:rsid w:val="008978AB"/>
    <w:rsid w:val="00897A92"/>
    <w:rsid w:val="008A0354"/>
    <w:rsid w:val="008A03F4"/>
    <w:rsid w:val="008A38FF"/>
    <w:rsid w:val="008A3982"/>
    <w:rsid w:val="008A48CE"/>
    <w:rsid w:val="008A48F1"/>
    <w:rsid w:val="008A551E"/>
    <w:rsid w:val="008A5E1E"/>
    <w:rsid w:val="008A6492"/>
    <w:rsid w:val="008A692E"/>
    <w:rsid w:val="008A70A5"/>
    <w:rsid w:val="008B0B30"/>
    <w:rsid w:val="008B0C15"/>
    <w:rsid w:val="008B27AE"/>
    <w:rsid w:val="008B285F"/>
    <w:rsid w:val="008B396F"/>
    <w:rsid w:val="008B3C7C"/>
    <w:rsid w:val="008B4754"/>
    <w:rsid w:val="008B48E9"/>
    <w:rsid w:val="008B4927"/>
    <w:rsid w:val="008B4E6D"/>
    <w:rsid w:val="008B51DA"/>
    <w:rsid w:val="008B7191"/>
    <w:rsid w:val="008B7E5A"/>
    <w:rsid w:val="008C0F0E"/>
    <w:rsid w:val="008C3375"/>
    <w:rsid w:val="008C367A"/>
    <w:rsid w:val="008C3E99"/>
    <w:rsid w:val="008C52A7"/>
    <w:rsid w:val="008C5A6F"/>
    <w:rsid w:val="008C6539"/>
    <w:rsid w:val="008C6BF1"/>
    <w:rsid w:val="008D0444"/>
    <w:rsid w:val="008D0777"/>
    <w:rsid w:val="008D1877"/>
    <w:rsid w:val="008D18C0"/>
    <w:rsid w:val="008D2A07"/>
    <w:rsid w:val="008D2FB9"/>
    <w:rsid w:val="008D3473"/>
    <w:rsid w:val="008D5CA3"/>
    <w:rsid w:val="008D60FD"/>
    <w:rsid w:val="008D64D3"/>
    <w:rsid w:val="008D67BA"/>
    <w:rsid w:val="008D6FA7"/>
    <w:rsid w:val="008E0055"/>
    <w:rsid w:val="008E078A"/>
    <w:rsid w:val="008E0EB2"/>
    <w:rsid w:val="008E1862"/>
    <w:rsid w:val="008E1CCE"/>
    <w:rsid w:val="008E36C3"/>
    <w:rsid w:val="008E424E"/>
    <w:rsid w:val="008E4593"/>
    <w:rsid w:val="008E4E3D"/>
    <w:rsid w:val="008E57F4"/>
    <w:rsid w:val="008E5F0A"/>
    <w:rsid w:val="008E646C"/>
    <w:rsid w:val="008E67E4"/>
    <w:rsid w:val="008E6A38"/>
    <w:rsid w:val="008E6D10"/>
    <w:rsid w:val="008E705E"/>
    <w:rsid w:val="008E753B"/>
    <w:rsid w:val="008F0F02"/>
    <w:rsid w:val="008F1955"/>
    <w:rsid w:val="008F1E5C"/>
    <w:rsid w:val="008F2E26"/>
    <w:rsid w:val="008F2EFF"/>
    <w:rsid w:val="008F35DD"/>
    <w:rsid w:val="008F3B7A"/>
    <w:rsid w:val="008F3F9B"/>
    <w:rsid w:val="008F45F3"/>
    <w:rsid w:val="008F4DF2"/>
    <w:rsid w:val="008F5967"/>
    <w:rsid w:val="008F5A57"/>
    <w:rsid w:val="008F70D2"/>
    <w:rsid w:val="00900BDC"/>
    <w:rsid w:val="009017CE"/>
    <w:rsid w:val="00901D53"/>
    <w:rsid w:val="00901F4F"/>
    <w:rsid w:val="00902B08"/>
    <w:rsid w:val="00904693"/>
    <w:rsid w:val="00904E97"/>
    <w:rsid w:val="00905202"/>
    <w:rsid w:val="00905AAC"/>
    <w:rsid w:val="00905C98"/>
    <w:rsid w:val="00905E13"/>
    <w:rsid w:val="0090685C"/>
    <w:rsid w:val="00907325"/>
    <w:rsid w:val="00907D13"/>
    <w:rsid w:val="0091088F"/>
    <w:rsid w:val="00910AEA"/>
    <w:rsid w:val="009113B4"/>
    <w:rsid w:val="00911B2A"/>
    <w:rsid w:val="00911D9E"/>
    <w:rsid w:val="00912258"/>
    <w:rsid w:val="00912885"/>
    <w:rsid w:val="00912B48"/>
    <w:rsid w:val="00916206"/>
    <w:rsid w:val="00916F91"/>
    <w:rsid w:val="00917A33"/>
    <w:rsid w:val="009200DD"/>
    <w:rsid w:val="0092031B"/>
    <w:rsid w:val="00921245"/>
    <w:rsid w:val="00921286"/>
    <w:rsid w:val="00922E68"/>
    <w:rsid w:val="00924D58"/>
    <w:rsid w:val="00925078"/>
    <w:rsid w:val="0092658D"/>
    <w:rsid w:val="009265FB"/>
    <w:rsid w:val="00927817"/>
    <w:rsid w:val="009315D6"/>
    <w:rsid w:val="009320E1"/>
    <w:rsid w:val="00932361"/>
    <w:rsid w:val="00933445"/>
    <w:rsid w:val="00933477"/>
    <w:rsid w:val="009334A8"/>
    <w:rsid w:val="00933D1D"/>
    <w:rsid w:val="00935349"/>
    <w:rsid w:val="009354C8"/>
    <w:rsid w:val="00936462"/>
    <w:rsid w:val="00936A33"/>
    <w:rsid w:val="00937604"/>
    <w:rsid w:val="0094015F"/>
    <w:rsid w:val="00941009"/>
    <w:rsid w:val="00941950"/>
    <w:rsid w:val="00943BFD"/>
    <w:rsid w:val="00943D33"/>
    <w:rsid w:val="00943FE2"/>
    <w:rsid w:val="009440E7"/>
    <w:rsid w:val="009441AE"/>
    <w:rsid w:val="00944310"/>
    <w:rsid w:val="00944EB3"/>
    <w:rsid w:val="0094545C"/>
    <w:rsid w:val="00945934"/>
    <w:rsid w:val="00945A96"/>
    <w:rsid w:val="00945FD6"/>
    <w:rsid w:val="009471C3"/>
    <w:rsid w:val="00947393"/>
    <w:rsid w:val="00947A3A"/>
    <w:rsid w:val="00950E36"/>
    <w:rsid w:val="00952115"/>
    <w:rsid w:val="00952460"/>
    <w:rsid w:val="00953175"/>
    <w:rsid w:val="0095481F"/>
    <w:rsid w:val="009549CC"/>
    <w:rsid w:val="00955512"/>
    <w:rsid w:val="00955A01"/>
    <w:rsid w:val="00955FB4"/>
    <w:rsid w:val="009560C0"/>
    <w:rsid w:val="00956435"/>
    <w:rsid w:val="00956A9C"/>
    <w:rsid w:val="009570F8"/>
    <w:rsid w:val="0095713F"/>
    <w:rsid w:val="0095745A"/>
    <w:rsid w:val="009574C1"/>
    <w:rsid w:val="00957ECD"/>
    <w:rsid w:val="00960A22"/>
    <w:rsid w:val="00960E31"/>
    <w:rsid w:val="0096188A"/>
    <w:rsid w:val="009625F8"/>
    <w:rsid w:val="00962DE6"/>
    <w:rsid w:val="009631CF"/>
    <w:rsid w:val="00963540"/>
    <w:rsid w:val="00964221"/>
    <w:rsid w:val="0096619B"/>
    <w:rsid w:val="0096689E"/>
    <w:rsid w:val="00966D0B"/>
    <w:rsid w:val="00966FEA"/>
    <w:rsid w:val="00967391"/>
    <w:rsid w:val="0097017A"/>
    <w:rsid w:val="009703AE"/>
    <w:rsid w:val="00970A48"/>
    <w:rsid w:val="009712E1"/>
    <w:rsid w:val="00971B96"/>
    <w:rsid w:val="009722B2"/>
    <w:rsid w:val="00972AF9"/>
    <w:rsid w:val="009738CC"/>
    <w:rsid w:val="00973F9E"/>
    <w:rsid w:val="00974217"/>
    <w:rsid w:val="00974310"/>
    <w:rsid w:val="00974662"/>
    <w:rsid w:val="00974F93"/>
    <w:rsid w:val="009761E1"/>
    <w:rsid w:val="00976CF8"/>
    <w:rsid w:val="009809CF"/>
    <w:rsid w:val="00981400"/>
    <w:rsid w:val="0098173A"/>
    <w:rsid w:val="00981B6B"/>
    <w:rsid w:val="009820CE"/>
    <w:rsid w:val="0098283F"/>
    <w:rsid w:val="009836DE"/>
    <w:rsid w:val="00983BA8"/>
    <w:rsid w:val="00984277"/>
    <w:rsid w:val="0098433F"/>
    <w:rsid w:val="00986BF7"/>
    <w:rsid w:val="009876B0"/>
    <w:rsid w:val="00990DD1"/>
    <w:rsid w:val="0099224F"/>
    <w:rsid w:val="00994561"/>
    <w:rsid w:val="00995661"/>
    <w:rsid w:val="00996B49"/>
    <w:rsid w:val="00996D98"/>
    <w:rsid w:val="00997136"/>
    <w:rsid w:val="00997D11"/>
    <w:rsid w:val="009A029B"/>
    <w:rsid w:val="009A0C9D"/>
    <w:rsid w:val="009A0E7C"/>
    <w:rsid w:val="009A23E6"/>
    <w:rsid w:val="009A37A3"/>
    <w:rsid w:val="009A44C5"/>
    <w:rsid w:val="009A57C7"/>
    <w:rsid w:val="009A5B75"/>
    <w:rsid w:val="009B141D"/>
    <w:rsid w:val="009B151F"/>
    <w:rsid w:val="009B25E4"/>
    <w:rsid w:val="009B362E"/>
    <w:rsid w:val="009B50FC"/>
    <w:rsid w:val="009B5546"/>
    <w:rsid w:val="009B5ED6"/>
    <w:rsid w:val="009B6662"/>
    <w:rsid w:val="009B6A0B"/>
    <w:rsid w:val="009B7B41"/>
    <w:rsid w:val="009C0214"/>
    <w:rsid w:val="009C033C"/>
    <w:rsid w:val="009C09EE"/>
    <w:rsid w:val="009C1504"/>
    <w:rsid w:val="009C2651"/>
    <w:rsid w:val="009C27F9"/>
    <w:rsid w:val="009C2919"/>
    <w:rsid w:val="009C3604"/>
    <w:rsid w:val="009C3815"/>
    <w:rsid w:val="009C41BD"/>
    <w:rsid w:val="009C4330"/>
    <w:rsid w:val="009C483C"/>
    <w:rsid w:val="009C4B26"/>
    <w:rsid w:val="009C568C"/>
    <w:rsid w:val="009C6637"/>
    <w:rsid w:val="009C6926"/>
    <w:rsid w:val="009C6DF5"/>
    <w:rsid w:val="009C716B"/>
    <w:rsid w:val="009C786C"/>
    <w:rsid w:val="009D107C"/>
    <w:rsid w:val="009D142E"/>
    <w:rsid w:val="009D2888"/>
    <w:rsid w:val="009D3258"/>
    <w:rsid w:val="009D3910"/>
    <w:rsid w:val="009D3E6F"/>
    <w:rsid w:val="009D43AD"/>
    <w:rsid w:val="009D4596"/>
    <w:rsid w:val="009D4DE9"/>
    <w:rsid w:val="009D4EFE"/>
    <w:rsid w:val="009D7323"/>
    <w:rsid w:val="009D7F1E"/>
    <w:rsid w:val="009E0841"/>
    <w:rsid w:val="009E160E"/>
    <w:rsid w:val="009E258E"/>
    <w:rsid w:val="009E39C2"/>
    <w:rsid w:val="009E4B74"/>
    <w:rsid w:val="009E4F82"/>
    <w:rsid w:val="009E518B"/>
    <w:rsid w:val="009E53DD"/>
    <w:rsid w:val="009E5469"/>
    <w:rsid w:val="009E56FF"/>
    <w:rsid w:val="009E5716"/>
    <w:rsid w:val="009E5A20"/>
    <w:rsid w:val="009E6314"/>
    <w:rsid w:val="009E635D"/>
    <w:rsid w:val="009E6563"/>
    <w:rsid w:val="009E66C0"/>
    <w:rsid w:val="009E75A3"/>
    <w:rsid w:val="009F0002"/>
    <w:rsid w:val="009F09C1"/>
    <w:rsid w:val="009F1BE3"/>
    <w:rsid w:val="009F2957"/>
    <w:rsid w:val="009F2AA7"/>
    <w:rsid w:val="009F318B"/>
    <w:rsid w:val="009F3968"/>
    <w:rsid w:val="009F3C27"/>
    <w:rsid w:val="009F5937"/>
    <w:rsid w:val="009F5FA4"/>
    <w:rsid w:val="009F62C1"/>
    <w:rsid w:val="009F735D"/>
    <w:rsid w:val="009F7D6C"/>
    <w:rsid w:val="00A00151"/>
    <w:rsid w:val="00A00290"/>
    <w:rsid w:val="00A00E41"/>
    <w:rsid w:val="00A018A7"/>
    <w:rsid w:val="00A01A82"/>
    <w:rsid w:val="00A01D32"/>
    <w:rsid w:val="00A02284"/>
    <w:rsid w:val="00A0235B"/>
    <w:rsid w:val="00A0302B"/>
    <w:rsid w:val="00A035B9"/>
    <w:rsid w:val="00A03C6B"/>
    <w:rsid w:val="00A04787"/>
    <w:rsid w:val="00A04C38"/>
    <w:rsid w:val="00A0533E"/>
    <w:rsid w:val="00A0626E"/>
    <w:rsid w:val="00A1172C"/>
    <w:rsid w:val="00A119E7"/>
    <w:rsid w:val="00A11A9F"/>
    <w:rsid w:val="00A1521F"/>
    <w:rsid w:val="00A153C9"/>
    <w:rsid w:val="00A156D1"/>
    <w:rsid w:val="00A15961"/>
    <w:rsid w:val="00A15B72"/>
    <w:rsid w:val="00A16E0E"/>
    <w:rsid w:val="00A205C3"/>
    <w:rsid w:val="00A208C5"/>
    <w:rsid w:val="00A2105F"/>
    <w:rsid w:val="00A22A7B"/>
    <w:rsid w:val="00A22CBB"/>
    <w:rsid w:val="00A23203"/>
    <w:rsid w:val="00A2442D"/>
    <w:rsid w:val="00A250F9"/>
    <w:rsid w:val="00A27D68"/>
    <w:rsid w:val="00A316C6"/>
    <w:rsid w:val="00A31706"/>
    <w:rsid w:val="00A31D53"/>
    <w:rsid w:val="00A322FD"/>
    <w:rsid w:val="00A33542"/>
    <w:rsid w:val="00A3354C"/>
    <w:rsid w:val="00A34B25"/>
    <w:rsid w:val="00A356B1"/>
    <w:rsid w:val="00A377DC"/>
    <w:rsid w:val="00A4054A"/>
    <w:rsid w:val="00A41186"/>
    <w:rsid w:val="00A42452"/>
    <w:rsid w:val="00A43285"/>
    <w:rsid w:val="00A445C5"/>
    <w:rsid w:val="00A44A9D"/>
    <w:rsid w:val="00A457D0"/>
    <w:rsid w:val="00A45C5C"/>
    <w:rsid w:val="00A46652"/>
    <w:rsid w:val="00A466A2"/>
    <w:rsid w:val="00A466B8"/>
    <w:rsid w:val="00A46E9A"/>
    <w:rsid w:val="00A46F65"/>
    <w:rsid w:val="00A47751"/>
    <w:rsid w:val="00A4786E"/>
    <w:rsid w:val="00A47F97"/>
    <w:rsid w:val="00A5064B"/>
    <w:rsid w:val="00A508A9"/>
    <w:rsid w:val="00A51106"/>
    <w:rsid w:val="00A518A0"/>
    <w:rsid w:val="00A524E7"/>
    <w:rsid w:val="00A52CEC"/>
    <w:rsid w:val="00A534AA"/>
    <w:rsid w:val="00A5390C"/>
    <w:rsid w:val="00A53C88"/>
    <w:rsid w:val="00A54D8D"/>
    <w:rsid w:val="00A54E86"/>
    <w:rsid w:val="00A550F6"/>
    <w:rsid w:val="00A5589D"/>
    <w:rsid w:val="00A5601F"/>
    <w:rsid w:val="00A573F3"/>
    <w:rsid w:val="00A6070F"/>
    <w:rsid w:val="00A60E62"/>
    <w:rsid w:val="00A6114E"/>
    <w:rsid w:val="00A619F9"/>
    <w:rsid w:val="00A62C19"/>
    <w:rsid w:val="00A62FE5"/>
    <w:rsid w:val="00A635B1"/>
    <w:rsid w:val="00A6396C"/>
    <w:rsid w:val="00A67AA1"/>
    <w:rsid w:val="00A67B3A"/>
    <w:rsid w:val="00A7002B"/>
    <w:rsid w:val="00A707E3"/>
    <w:rsid w:val="00A70DEB"/>
    <w:rsid w:val="00A7135D"/>
    <w:rsid w:val="00A721C1"/>
    <w:rsid w:val="00A724FC"/>
    <w:rsid w:val="00A72A69"/>
    <w:rsid w:val="00A74583"/>
    <w:rsid w:val="00A7474E"/>
    <w:rsid w:val="00A74B3F"/>
    <w:rsid w:val="00A74C19"/>
    <w:rsid w:val="00A7560D"/>
    <w:rsid w:val="00A7613E"/>
    <w:rsid w:val="00A76A43"/>
    <w:rsid w:val="00A77D02"/>
    <w:rsid w:val="00A805E6"/>
    <w:rsid w:val="00A8109E"/>
    <w:rsid w:val="00A81925"/>
    <w:rsid w:val="00A81DB2"/>
    <w:rsid w:val="00A82565"/>
    <w:rsid w:val="00A830F0"/>
    <w:rsid w:val="00A85440"/>
    <w:rsid w:val="00A86D15"/>
    <w:rsid w:val="00A907E5"/>
    <w:rsid w:val="00A91E36"/>
    <w:rsid w:val="00A92E78"/>
    <w:rsid w:val="00A947C4"/>
    <w:rsid w:val="00A95049"/>
    <w:rsid w:val="00A95C06"/>
    <w:rsid w:val="00A964D4"/>
    <w:rsid w:val="00A96616"/>
    <w:rsid w:val="00A970C2"/>
    <w:rsid w:val="00AA0A24"/>
    <w:rsid w:val="00AA1927"/>
    <w:rsid w:val="00AA2333"/>
    <w:rsid w:val="00AA2340"/>
    <w:rsid w:val="00AA23DB"/>
    <w:rsid w:val="00AA2807"/>
    <w:rsid w:val="00AA294D"/>
    <w:rsid w:val="00AA3DDB"/>
    <w:rsid w:val="00AA4154"/>
    <w:rsid w:val="00AA42BB"/>
    <w:rsid w:val="00AA4AB0"/>
    <w:rsid w:val="00AA54DC"/>
    <w:rsid w:val="00AA54ED"/>
    <w:rsid w:val="00AA560D"/>
    <w:rsid w:val="00AA6475"/>
    <w:rsid w:val="00AA6BCC"/>
    <w:rsid w:val="00AA6EC1"/>
    <w:rsid w:val="00AA73E9"/>
    <w:rsid w:val="00AA784D"/>
    <w:rsid w:val="00AB2259"/>
    <w:rsid w:val="00AB25FD"/>
    <w:rsid w:val="00AB27FD"/>
    <w:rsid w:val="00AB4570"/>
    <w:rsid w:val="00AB53F3"/>
    <w:rsid w:val="00AB6E60"/>
    <w:rsid w:val="00AB7077"/>
    <w:rsid w:val="00AC070B"/>
    <w:rsid w:val="00AC0EA8"/>
    <w:rsid w:val="00AC166F"/>
    <w:rsid w:val="00AC181A"/>
    <w:rsid w:val="00AC267A"/>
    <w:rsid w:val="00AC2CDB"/>
    <w:rsid w:val="00AC3024"/>
    <w:rsid w:val="00AC4C97"/>
    <w:rsid w:val="00AC4CF8"/>
    <w:rsid w:val="00AC5D3D"/>
    <w:rsid w:val="00AC6C3C"/>
    <w:rsid w:val="00AC7DBC"/>
    <w:rsid w:val="00AD02ED"/>
    <w:rsid w:val="00AD0956"/>
    <w:rsid w:val="00AD1763"/>
    <w:rsid w:val="00AD23CB"/>
    <w:rsid w:val="00AD420A"/>
    <w:rsid w:val="00AD5733"/>
    <w:rsid w:val="00AD5B07"/>
    <w:rsid w:val="00AD6A90"/>
    <w:rsid w:val="00AD7381"/>
    <w:rsid w:val="00AD76A8"/>
    <w:rsid w:val="00AE01AB"/>
    <w:rsid w:val="00AE1387"/>
    <w:rsid w:val="00AE4AE7"/>
    <w:rsid w:val="00AE515F"/>
    <w:rsid w:val="00AE6600"/>
    <w:rsid w:val="00AE73C4"/>
    <w:rsid w:val="00AE73D1"/>
    <w:rsid w:val="00AE7768"/>
    <w:rsid w:val="00AF0579"/>
    <w:rsid w:val="00AF0B8E"/>
    <w:rsid w:val="00AF17A7"/>
    <w:rsid w:val="00AF269A"/>
    <w:rsid w:val="00AF2F19"/>
    <w:rsid w:val="00AF34E6"/>
    <w:rsid w:val="00AF3866"/>
    <w:rsid w:val="00AF513C"/>
    <w:rsid w:val="00AF5539"/>
    <w:rsid w:val="00AF59C9"/>
    <w:rsid w:val="00AF5DDE"/>
    <w:rsid w:val="00AF5FE8"/>
    <w:rsid w:val="00AF6BE4"/>
    <w:rsid w:val="00AF78D2"/>
    <w:rsid w:val="00B0031C"/>
    <w:rsid w:val="00B006AA"/>
    <w:rsid w:val="00B00E1D"/>
    <w:rsid w:val="00B00F85"/>
    <w:rsid w:val="00B0151B"/>
    <w:rsid w:val="00B023B7"/>
    <w:rsid w:val="00B02841"/>
    <w:rsid w:val="00B03752"/>
    <w:rsid w:val="00B03D0C"/>
    <w:rsid w:val="00B04A61"/>
    <w:rsid w:val="00B07F6C"/>
    <w:rsid w:val="00B102AB"/>
    <w:rsid w:val="00B1226B"/>
    <w:rsid w:val="00B12C1A"/>
    <w:rsid w:val="00B1585E"/>
    <w:rsid w:val="00B15ACE"/>
    <w:rsid w:val="00B16290"/>
    <w:rsid w:val="00B165AE"/>
    <w:rsid w:val="00B17295"/>
    <w:rsid w:val="00B17C1A"/>
    <w:rsid w:val="00B204A7"/>
    <w:rsid w:val="00B23503"/>
    <w:rsid w:val="00B23743"/>
    <w:rsid w:val="00B2394B"/>
    <w:rsid w:val="00B23A51"/>
    <w:rsid w:val="00B23BF4"/>
    <w:rsid w:val="00B24A66"/>
    <w:rsid w:val="00B258A6"/>
    <w:rsid w:val="00B269C0"/>
    <w:rsid w:val="00B26A72"/>
    <w:rsid w:val="00B26D1A"/>
    <w:rsid w:val="00B26D95"/>
    <w:rsid w:val="00B26F4C"/>
    <w:rsid w:val="00B26F57"/>
    <w:rsid w:val="00B27B40"/>
    <w:rsid w:val="00B27C41"/>
    <w:rsid w:val="00B3014E"/>
    <w:rsid w:val="00B30AF6"/>
    <w:rsid w:val="00B31785"/>
    <w:rsid w:val="00B3210B"/>
    <w:rsid w:val="00B32CAF"/>
    <w:rsid w:val="00B32E25"/>
    <w:rsid w:val="00B342EA"/>
    <w:rsid w:val="00B36154"/>
    <w:rsid w:val="00B36229"/>
    <w:rsid w:val="00B37084"/>
    <w:rsid w:val="00B37782"/>
    <w:rsid w:val="00B37CD2"/>
    <w:rsid w:val="00B4062D"/>
    <w:rsid w:val="00B408D6"/>
    <w:rsid w:val="00B425C4"/>
    <w:rsid w:val="00B42AAC"/>
    <w:rsid w:val="00B42DCB"/>
    <w:rsid w:val="00B42F28"/>
    <w:rsid w:val="00B44A82"/>
    <w:rsid w:val="00B461BC"/>
    <w:rsid w:val="00B471B3"/>
    <w:rsid w:val="00B4744B"/>
    <w:rsid w:val="00B50920"/>
    <w:rsid w:val="00B50AF0"/>
    <w:rsid w:val="00B50DA9"/>
    <w:rsid w:val="00B511B5"/>
    <w:rsid w:val="00B52868"/>
    <w:rsid w:val="00B52899"/>
    <w:rsid w:val="00B53BD2"/>
    <w:rsid w:val="00B53D55"/>
    <w:rsid w:val="00B548E3"/>
    <w:rsid w:val="00B553AF"/>
    <w:rsid w:val="00B5540B"/>
    <w:rsid w:val="00B554B3"/>
    <w:rsid w:val="00B56120"/>
    <w:rsid w:val="00B57B5F"/>
    <w:rsid w:val="00B600F0"/>
    <w:rsid w:val="00B607D6"/>
    <w:rsid w:val="00B60AEA"/>
    <w:rsid w:val="00B61006"/>
    <w:rsid w:val="00B624A2"/>
    <w:rsid w:val="00B626AE"/>
    <w:rsid w:val="00B6273E"/>
    <w:rsid w:val="00B635DB"/>
    <w:rsid w:val="00B636BA"/>
    <w:rsid w:val="00B636D8"/>
    <w:rsid w:val="00B63B37"/>
    <w:rsid w:val="00B644BD"/>
    <w:rsid w:val="00B64AEF"/>
    <w:rsid w:val="00B64CD9"/>
    <w:rsid w:val="00B64E28"/>
    <w:rsid w:val="00B6514A"/>
    <w:rsid w:val="00B6619E"/>
    <w:rsid w:val="00B66D14"/>
    <w:rsid w:val="00B67479"/>
    <w:rsid w:val="00B67568"/>
    <w:rsid w:val="00B67FE7"/>
    <w:rsid w:val="00B7001B"/>
    <w:rsid w:val="00B704D6"/>
    <w:rsid w:val="00B70C46"/>
    <w:rsid w:val="00B71069"/>
    <w:rsid w:val="00B71145"/>
    <w:rsid w:val="00B716F5"/>
    <w:rsid w:val="00B71E1D"/>
    <w:rsid w:val="00B7219F"/>
    <w:rsid w:val="00B721DD"/>
    <w:rsid w:val="00B72333"/>
    <w:rsid w:val="00B72B61"/>
    <w:rsid w:val="00B7367C"/>
    <w:rsid w:val="00B73A04"/>
    <w:rsid w:val="00B73CC2"/>
    <w:rsid w:val="00B7461F"/>
    <w:rsid w:val="00B74781"/>
    <w:rsid w:val="00B74913"/>
    <w:rsid w:val="00B74ABA"/>
    <w:rsid w:val="00B7514D"/>
    <w:rsid w:val="00B75958"/>
    <w:rsid w:val="00B75D04"/>
    <w:rsid w:val="00B75FAF"/>
    <w:rsid w:val="00B7639D"/>
    <w:rsid w:val="00B77305"/>
    <w:rsid w:val="00B80E61"/>
    <w:rsid w:val="00B81E86"/>
    <w:rsid w:val="00B8210C"/>
    <w:rsid w:val="00B82449"/>
    <w:rsid w:val="00B82A5F"/>
    <w:rsid w:val="00B8438A"/>
    <w:rsid w:val="00B84DFD"/>
    <w:rsid w:val="00B85E91"/>
    <w:rsid w:val="00B864D6"/>
    <w:rsid w:val="00B86908"/>
    <w:rsid w:val="00B8692A"/>
    <w:rsid w:val="00B87640"/>
    <w:rsid w:val="00B87867"/>
    <w:rsid w:val="00B90195"/>
    <w:rsid w:val="00B91F9F"/>
    <w:rsid w:val="00B92D18"/>
    <w:rsid w:val="00B92D2D"/>
    <w:rsid w:val="00B93851"/>
    <w:rsid w:val="00B94C8F"/>
    <w:rsid w:val="00B94E9C"/>
    <w:rsid w:val="00B94F5B"/>
    <w:rsid w:val="00B950B7"/>
    <w:rsid w:val="00B9561D"/>
    <w:rsid w:val="00B96F16"/>
    <w:rsid w:val="00BA0A6A"/>
    <w:rsid w:val="00BA10AB"/>
    <w:rsid w:val="00BA10DB"/>
    <w:rsid w:val="00BA2AA0"/>
    <w:rsid w:val="00BA2B33"/>
    <w:rsid w:val="00BA2B74"/>
    <w:rsid w:val="00BA2C6C"/>
    <w:rsid w:val="00BA3021"/>
    <w:rsid w:val="00BA3A2C"/>
    <w:rsid w:val="00BA3A83"/>
    <w:rsid w:val="00BA3C66"/>
    <w:rsid w:val="00BA44FE"/>
    <w:rsid w:val="00BA4891"/>
    <w:rsid w:val="00BA5899"/>
    <w:rsid w:val="00BA5F54"/>
    <w:rsid w:val="00BA5FB5"/>
    <w:rsid w:val="00BA70E6"/>
    <w:rsid w:val="00BA79A8"/>
    <w:rsid w:val="00BA7DA7"/>
    <w:rsid w:val="00BB03F9"/>
    <w:rsid w:val="00BB0518"/>
    <w:rsid w:val="00BB109C"/>
    <w:rsid w:val="00BB120B"/>
    <w:rsid w:val="00BB1847"/>
    <w:rsid w:val="00BB1C19"/>
    <w:rsid w:val="00BB2275"/>
    <w:rsid w:val="00BB24AB"/>
    <w:rsid w:val="00BB271E"/>
    <w:rsid w:val="00BB3270"/>
    <w:rsid w:val="00BB3D92"/>
    <w:rsid w:val="00BB4081"/>
    <w:rsid w:val="00BB5B35"/>
    <w:rsid w:val="00BB602A"/>
    <w:rsid w:val="00BB6C9B"/>
    <w:rsid w:val="00BC0BD1"/>
    <w:rsid w:val="00BC2022"/>
    <w:rsid w:val="00BC2650"/>
    <w:rsid w:val="00BC2686"/>
    <w:rsid w:val="00BC30E2"/>
    <w:rsid w:val="00BC3989"/>
    <w:rsid w:val="00BC4235"/>
    <w:rsid w:val="00BC47BD"/>
    <w:rsid w:val="00BC5F6A"/>
    <w:rsid w:val="00BC65F4"/>
    <w:rsid w:val="00BC6EF3"/>
    <w:rsid w:val="00BC7769"/>
    <w:rsid w:val="00BD0214"/>
    <w:rsid w:val="00BD0289"/>
    <w:rsid w:val="00BD100B"/>
    <w:rsid w:val="00BD29D8"/>
    <w:rsid w:val="00BD2D31"/>
    <w:rsid w:val="00BD2D69"/>
    <w:rsid w:val="00BD3208"/>
    <w:rsid w:val="00BD38B3"/>
    <w:rsid w:val="00BD3D36"/>
    <w:rsid w:val="00BD40E0"/>
    <w:rsid w:val="00BD5807"/>
    <w:rsid w:val="00BD7083"/>
    <w:rsid w:val="00BE0EE7"/>
    <w:rsid w:val="00BE1A58"/>
    <w:rsid w:val="00BE280A"/>
    <w:rsid w:val="00BE3C40"/>
    <w:rsid w:val="00BE420E"/>
    <w:rsid w:val="00BE46CB"/>
    <w:rsid w:val="00BE4B18"/>
    <w:rsid w:val="00BE4CB1"/>
    <w:rsid w:val="00BE4F19"/>
    <w:rsid w:val="00BE512E"/>
    <w:rsid w:val="00BE52AA"/>
    <w:rsid w:val="00BF0B80"/>
    <w:rsid w:val="00BF2131"/>
    <w:rsid w:val="00BF3422"/>
    <w:rsid w:val="00BF347D"/>
    <w:rsid w:val="00BF3903"/>
    <w:rsid w:val="00BF3C8E"/>
    <w:rsid w:val="00BF40F5"/>
    <w:rsid w:val="00BF43BE"/>
    <w:rsid w:val="00BF4C0E"/>
    <w:rsid w:val="00BF704F"/>
    <w:rsid w:val="00C02BF2"/>
    <w:rsid w:val="00C03E97"/>
    <w:rsid w:val="00C053DC"/>
    <w:rsid w:val="00C05672"/>
    <w:rsid w:val="00C06108"/>
    <w:rsid w:val="00C06FC5"/>
    <w:rsid w:val="00C106D5"/>
    <w:rsid w:val="00C10C5B"/>
    <w:rsid w:val="00C11684"/>
    <w:rsid w:val="00C11BD5"/>
    <w:rsid w:val="00C11EC1"/>
    <w:rsid w:val="00C12147"/>
    <w:rsid w:val="00C1263A"/>
    <w:rsid w:val="00C129DC"/>
    <w:rsid w:val="00C12BB8"/>
    <w:rsid w:val="00C13400"/>
    <w:rsid w:val="00C138A1"/>
    <w:rsid w:val="00C138E4"/>
    <w:rsid w:val="00C13BAE"/>
    <w:rsid w:val="00C148FA"/>
    <w:rsid w:val="00C14A7C"/>
    <w:rsid w:val="00C160BE"/>
    <w:rsid w:val="00C161EA"/>
    <w:rsid w:val="00C164D7"/>
    <w:rsid w:val="00C16B5C"/>
    <w:rsid w:val="00C17363"/>
    <w:rsid w:val="00C178C5"/>
    <w:rsid w:val="00C2173B"/>
    <w:rsid w:val="00C21D99"/>
    <w:rsid w:val="00C221C7"/>
    <w:rsid w:val="00C22D30"/>
    <w:rsid w:val="00C2340E"/>
    <w:rsid w:val="00C23798"/>
    <w:rsid w:val="00C24302"/>
    <w:rsid w:val="00C2459D"/>
    <w:rsid w:val="00C25227"/>
    <w:rsid w:val="00C27136"/>
    <w:rsid w:val="00C276F3"/>
    <w:rsid w:val="00C27B53"/>
    <w:rsid w:val="00C31211"/>
    <w:rsid w:val="00C316C6"/>
    <w:rsid w:val="00C31BAD"/>
    <w:rsid w:val="00C32B46"/>
    <w:rsid w:val="00C3454D"/>
    <w:rsid w:val="00C346B6"/>
    <w:rsid w:val="00C348B1"/>
    <w:rsid w:val="00C35769"/>
    <w:rsid w:val="00C35FC1"/>
    <w:rsid w:val="00C36D5D"/>
    <w:rsid w:val="00C371E4"/>
    <w:rsid w:val="00C37751"/>
    <w:rsid w:val="00C404B0"/>
    <w:rsid w:val="00C408ED"/>
    <w:rsid w:val="00C41B63"/>
    <w:rsid w:val="00C41D40"/>
    <w:rsid w:val="00C41E81"/>
    <w:rsid w:val="00C425E8"/>
    <w:rsid w:val="00C4352B"/>
    <w:rsid w:val="00C451DD"/>
    <w:rsid w:val="00C467FA"/>
    <w:rsid w:val="00C46AC9"/>
    <w:rsid w:val="00C47F1C"/>
    <w:rsid w:val="00C50F17"/>
    <w:rsid w:val="00C53B95"/>
    <w:rsid w:val="00C54226"/>
    <w:rsid w:val="00C54334"/>
    <w:rsid w:val="00C549ED"/>
    <w:rsid w:val="00C5534E"/>
    <w:rsid w:val="00C55D6D"/>
    <w:rsid w:val="00C55F7D"/>
    <w:rsid w:val="00C56208"/>
    <w:rsid w:val="00C567F9"/>
    <w:rsid w:val="00C56D7B"/>
    <w:rsid w:val="00C57E3C"/>
    <w:rsid w:val="00C6004C"/>
    <w:rsid w:val="00C601B2"/>
    <w:rsid w:val="00C602F2"/>
    <w:rsid w:val="00C60395"/>
    <w:rsid w:val="00C60F1B"/>
    <w:rsid w:val="00C60FCE"/>
    <w:rsid w:val="00C619FB"/>
    <w:rsid w:val="00C628AD"/>
    <w:rsid w:val="00C65CFF"/>
    <w:rsid w:val="00C66BB7"/>
    <w:rsid w:val="00C66DEF"/>
    <w:rsid w:val="00C66F83"/>
    <w:rsid w:val="00C6795F"/>
    <w:rsid w:val="00C700C4"/>
    <w:rsid w:val="00C702BC"/>
    <w:rsid w:val="00C706C2"/>
    <w:rsid w:val="00C70C5B"/>
    <w:rsid w:val="00C714CC"/>
    <w:rsid w:val="00C71BCF"/>
    <w:rsid w:val="00C72DCF"/>
    <w:rsid w:val="00C73274"/>
    <w:rsid w:val="00C732D1"/>
    <w:rsid w:val="00C73848"/>
    <w:rsid w:val="00C75836"/>
    <w:rsid w:val="00C75F7F"/>
    <w:rsid w:val="00C75FE3"/>
    <w:rsid w:val="00C76709"/>
    <w:rsid w:val="00C76F36"/>
    <w:rsid w:val="00C7705A"/>
    <w:rsid w:val="00C7783E"/>
    <w:rsid w:val="00C7798D"/>
    <w:rsid w:val="00C801F4"/>
    <w:rsid w:val="00C81EA2"/>
    <w:rsid w:val="00C823C0"/>
    <w:rsid w:val="00C82985"/>
    <w:rsid w:val="00C8315F"/>
    <w:rsid w:val="00C83603"/>
    <w:rsid w:val="00C8376E"/>
    <w:rsid w:val="00C83ACC"/>
    <w:rsid w:val="00C842B3"/>
    <w:rsid w:val="00C869BA"/>
    <w:rsid w:val="00C87B2C"/>
    <w:rsid w:val="00C87DC0"/>
    <w:rsid w:val="00C90427"/>
    <w:rsid w:val="00C908BF"/>
    <w:rsid w:val="00C91B69"/>
    <w:rsid w:val="00C91E69"/>
    <w:rsid w:val="00C9247B"/>
    <w:rsid w:val="00C92BA8"/>
    <w:rsid w:val="00C92C4C"/>
    <w:rsid w:val="00C93186"/>
    <w:rsid w:val="00C9379D"/>
    <w:rsid w:val="00C939B4"/>
    <w:rsid w:val="00C93E26"/>
    <w:rsid w:val="00C956BF"/>
    <w:rsid w:val="00C96E2D"/>
    <w:rsid w:val="00CA1125"/>
    <w:rsid w:val="00CA1150"/>
    <w:rsid w:val="00CA1174"/>
    <w:rsid w:val="00CA1488"/>
    <w:rsid w:val="00CA1FCA"/>
    <w:rsid w:val="00CA23C0"/>
    <w:rsid w:val="00CA3AAC"/>
    <w:rsid w:val="00CA4F33"/>
    <w:rsid w:val="00CA51D8"/>
    <w:rsid w:val="00CA5DA7"/>
    <w:rsid w:val="00CA6C01"/>
    <w:rsid w:val="00CA7102"/>
    <w:rsid w:val="00CB04CF"/>
    <w:rsid w:val="00CB10F5"/>
    <w:rsid w:val="00CB22E5"/>
    <w:rsid w:val="00CB34F8"/>
    <w:rsid w:val="00CB4C2C"/>
    <w:rsid w:val="00CB4FE0"/>
    <w:rsid w:val="00CB5D22"/>
    <w:rsid w:val="00CB5E06"/>
    <w:rsid w:val="00CB5E64"/>
    <w:rsid w:val="00CB61B7"/>
    <w:rsid w:val="00CB64F0"/>
    <w:rsid w:val="00CB672B"/>
    <w:rsid w:val="00CB6B83"/>
    <w:rsid w:val="00CB6E5A"/>
    <w:rsid w:val="00CB7393"/>
    <w:rsid w:val="00CC09E1"/>
    <w:rsid w:val="00CC15CC"/>
    <w:rsid w:val="00CC1C0C"/>
    <w:rsid w:val="00CC1E55"/>
    <w:rsid w:val="00CC26E7"/>
    <w:rsid w:val="00CC2868"/>
    <w:rsid w:val="00CC28CC"/>
    <w:rsid w:val="00CC3B3C"/>
    <w:rsid w:val="00CC3D7D"/>
    <w:rsid w:val="00CC3E50"/>
    <w:rsid w:val="00CC429B"/>
    <w:rsid w:val="00CC566F"/>
    <w:rsid w:val="00CC5BCF"/>
    <w:rsid w:val="00CC66EB"/>
    <w:rsid w:val="00CC6982"/>
    <w:rsid w:val="00CC6D3C"/>
    <w:rsid w:val="00CC7931"/>
    <w:rsid w:val="00CC7D08"/>
    <w:rsid w:val="00CD0974"/>
    <w:rsid w:val="00CD19F6"/>
    <w:rsid w:val="00CD2209"/>
    <w:rsid w:val="00CD2975"/>
    <w:rsid w:val="00CD2986"/>
    <w:rsid w:val="00CD3192"/>
    <w:rsid w:val="00CD3464"/>
    <w:rsid w:val="00CD5318"/>
    <w:rsid w:val="00CD5332"/>
    <w:rsid w:val="00CD56FC"/>
    <w:rsid w:val="00CD61D2"/>
    <w:rsid w:val="00CD6B2A"/>
    <w:rsid w:val="00CD6BC2"/>
    <w:rsid w:val="00CD7EF0"/>
    <w:rsid w:val="00CE0938"/>
    <w:rsid w:val="00CE151E"/>
    <w:rsid w:val="00CE1742"/>
    <w:rsid w:val="00CE31E4"/>
    <w:rsid w:val="00CE3978"/>
    <w:rsid w:val="00CE3F06"/>
    <w:rsid w:val="00CE5313"/>
    <w:rsid w:val="00CE67FC"/>
    <w:rsid w:val="00CE7344"/>
    <w:rsid w:val="00CF1B70"/>
    <w:rsid w:val="00CF1F06"/>
    <w:rsid w:val="00CF2169"/>
    <w:rsid w:val="00CF26C1"/>
    <w:rsid w:val="00CF26CD"/>
    <w:rsid w:val="00CF2721"/>
    <w:rsid w:val="00CF4DDF"/>
    <w:rsid w:val="00CF553A"/>
    <w:rsid w:val="00CF6EBA"/>
    <w:rsid w:val="00CF721B"/>
    <w:rsid w:val="00CF7BFA"/>
    <w:rsid w:val="00D008F4"/>
    <w:rsid w:val="00D01E17"/>
    <w:rsid w:val="00D0403E"/>
    <w:rsid w:val="00D05164"/>
    <w:rsid w:val="00D0597D"/>
    <w:rsid w:val="00D05B24"/>
    <w:rsid w:val="00D06167"/>
    <w:rsid w:val="00D078B2"/>
    <w:rsid w:val="00D10EC6"/>
    <w:rsid w:val="00D11F57"/>
    <w:rsid w:val="00D1266F"/>
    <w:rsid w:val="00D127B3"/>
    <w:rsid w:val="00D130E2"/>
    <w:rsid w:val="00D148B1"/>
    <w:rsid w:val="00D15554"/>
    <w:rsid w:val="00D165D9"/>
    <w:rsid w:val="00D1670A"/>
    <w:rsid w:val="00D170A2"/>
    <w:rsid w:val="00D2010B"/>
    <w:rsid w:val="00D20ECC"/>
    <w:rsid w:val="00D21E45"/>
    <w:rsid w:val="00D21E5F"/>
    <w:rsid w:val="00D236C8"/>
    <w:rsid w:val="00D23839"/>
    <w:rsid w:val="00D23E8C"/>
    <w:rsid w:val="00D25048"/>
    <w:rsid w:val="00D25051"/>
    <w:rsid w:val="00D25CB7"/>
    <w:rsid w:val="00D278F3"/>
    <w:rsid w:val="00D2794C"/>
    <w:rsid w:val="00D27AB3"/>
    <w:rsid w:val="00D27F36"/>
    <w:rsid w:val="00D30605"/>
    <w:rsid w:val="00D30614"/>
    <w:rsid w:val="00D30924"/>
    <w:rsid w:val="00D30BB6"/>
    <w:rsid w:val="00D318CE"/>
    <w:rsid w:val="00D339A5"/>
    <w:rsid w:val="00D34EB5"/>
    <w:rsid w:val="00D352B6"/>
    <w:rsid w:val="00D35F3E"/>
    <w:rsid w:val="00D37819"/>
    <w:rsid w:val="00D37D85"/>
    <w:rsid w:val="00D40651"/>
    <w:rsid w:val="00D40EAB"/>
    <w:rsid w:val="00D40FBB"/>
    <w:rsid w:val="00D41615"/>
    <w:rsid w:val="00D440AE"/>
    <w:rsid w:val="00D44C04"/>
    <w:rsid w:val="00D454B7"/>
    <w:rsid w:val="00D46085"/>
    <w:rsid w:val="00D478FC"/>
    <w:rsid w:val="00D47909"/>
    <w:rsid w:val="00D47D22"/>
    <w:rsid w:val="00D5033B"/>
    <w:rsid w:val="00D504E5"/>
    <w:rsid w:val="00D51982"/>
    <w:rsid w:val="00D5220F"/>
    <w:rsid w:val="00D52883"/>
    <w:rsid w:val="00D535B3"/>
    <w:rsid w:val="00D53875"/>
    <w:rsid w:val="00D54458"/>
    <w:rsid w:val="00D54AED"/>
    <w:rsid w:val="00D54E05"/>
    <w:rsid w:val="00D54E6B"/>
    <w:rsid w:val="00D554FE"/>
    <w:rsid w:val="00D55A0A"/>
    <w:rsid w:val="00D55CCD"/>
    <w:rsid w:val="00D5728D"/>
    <w:rsid w:val="00D57791"/>
    <w:rsid w:val="00D57B6F"/>
    <w:rsid w:val="00D60B7C"/>
    <w:rsid w:val="00D614FB"/>
    <w:rsid w:val="00D625DA"/>
    <w:rsid w:val="00D628DB"/>
    <w:rsid w:val="00D63124"/>
    <w:rsid w:val="00D6378F"/>
    <w:rsid w:val="00D638E1"/>
    <w:rsid w:val="00D63E89"/>
    <w:rsid w:val="00D649C0"/>
    <w:rsid w:val="00D65B36"/>
    <w:rsid w:val="00D65F75"/>
    <w:rsid w:val="00D661D3"/>
    <w:rsid w:val="00D67FF0"/>
    <w:rsid w:val="00D7051A"/>
    <w:rsid w:val="00D70CCD"/>
    <w:rsid w:val="00D712C9"/>
    <w:rsid w:val="00D71D39"/>
    <w:rsid w:val="00D72278"/>
    <w:rsid w:val="00D730EB"/>
    <w:rsid w:val="00D73DCA"/>
    <w:rsid w:val="00D73E1A"/>
    <w:rsid w:val="00D74539"/>
    <w:rsid w:val="00D76606"/>
    <w:rsid w:val="00D76E9D"/>
    <w:rsid w:val="00D77900"/>
    <w:rsid w:val="00D8010F"/>
    <w:rsid w:val="00D80AF4"/>
    <w:rsid w:val="00D80FF2"/>
    <w:rsid w:val="00D813D4"/>
    <w:rsid w:val="00D82022"/>
    <w:rsid w:val="00D82F18"/>
    <w:rsid w:val="00D83633"/>
    <w:rsid w:val="00D8385C"/>
    <w:rsid w:val="00D866BA"/>
    <w:rsid w:val="00D871F6"/>
    <w:rsid w:val="00D87672"/>
    <w:rsid w:val="00D87795"/>
    <w:rsid w:val="00D92AAF"/>
    <w:rsid w:val="00D92EEE"/>
    <w:rsid w:val="00D93B47"/>
    <w:rsid w:val="00D93BAC"/>
    <w:rsid w:val="00D950EC"/>
    <w:rsid w:val="00D9562B"/>
    <w:rsid w:val="00DA0D3D"/>
    <w:rsid w:val="00DA2351"/>
    <w:rsid w:val="00DA3DA2"/>
    <w:rsid w:val="00DA6053"/>
    <w:rsid w:val="00DA71A8"/>
    <w:rsid w:val="00DA7217"/>
    <w:rsid w:val="00DB3DE6"/>
    <w:rsid w:val="00DB462D"/>
    <w:rsid w:val="00DB46A2"/>
    <w:rsid w:val="00DB48A7"/>
    <w:rsid w:val="00DB4ECB"/>
    <w:rsid w:val="00DB523C"/>
    <w:rsid w:val="00DB54BA"/>
    <w:rsid w:val="00DB6C37"/>
    <w:rsid w:val="00DB757B"/>
    <w:rsid w:val="00DB75FE"/>
    <w:rsid w:val="00DB769B"/>
    <w:rsid w:val="00DB7A70"/>
    <w:rsid w:val="00DC0CEB"/>
    <w:rsid w:val="00DC15FE"/>
    <w:rsid w:val="00DC346B"/>
    <w:rsid w:val="00DC4206"/>
    <w:rsid w:val="00DC4596"/>
    <w:rsid w:val="00DC4F6A"/>
    <w:rsid w:val="00DC5F40"/>
    <w:rsid w:val="00DC6CEE"/>
    <w:rsid w:val="00DC6F7D"/>
    <w:rsid w:val="00DD14E5"/>
    <w:rsid w:val="00DD1CDC"/>
    <w:rsid w:val="00DD3752"/>
    <w:rsid w:val="00DD3F68"/>
    <w:rsid w:val="00DD4496"/>
    <w:rsid w:val="00DD44C5"/>
    <w:rsid w:val="00DD46AA"/>
    <w:rsid w:val="00DD5279"/>
    <w:rsid w:val="00DD569C"/>
    <w:rsid w:val="00DD6222"/>
    <w:rsid w:val="00DD651C"/>
    <w:rsid w:val="00DE0396"/>
    <w:rsid w:val="00DE1580"/>
    <w:rsid w:val="00DE29D6"/>
    <w:rsid w:val="00DE322E"/>
    <w:rsid w:val="00DE406A"/>
    <w:rsid w:val="00DE4426"/>
    <w:rsid w:val="00DE52DB"/>
    <w:rsid w:val="00DE65A2"/>
    <w:rsid w:val="00DE696B"/>
    <w:rsid w:val="00DF0059"/>
    <w:rsid w:val="00DF07DF"/>
    <w:rsid w:val="00DF0D96"/>
    <w:rsid w:val="00DF2526"/>
    <w:rsid w:val="00DF2813"/>
    <w:rsid w:val="00DF2834"/>
    <w:rsid w:val="00DF32E5"/>
    <w:rsid w:val="00DF637B"/>
    <w:rsid w:val="00DF6459"/>
    <w:rsid w:val="00DF68F9"/>
    <w:rsid w:val="00DF773F"/>
    <w:rsid w:val="00DF77B1"/>
    <w:rsid w:val="00DF7892"/>
    <w:rsid w:val="00E00940"/>
    <w:rsid w:val="00E0097E"/>
    <w:rsid w:val="00E010EB"/>
    <w:rsid w:val="00E02800"/>
    <w:rsid w:val="00E0290E"/>
    <w:rsid w:val="00E02F60"/>
    <w:rsid w:val="00E03825"/>
    <w:rsid w:val="00E03B6D"/>
    <w:rsid w:val="00E04468"/>
    <w:rsid w:val="00E04722"/>
    <w:rsid w:val="00E04AB3"/>
    <w:rsid w:val="00E04B08"/>
    <w:rsid w:val="00E05037"/>
    <w:rsid w:val="00E05341"/>
    <w:rsid w:val="00E053AC"/>
    <w:rsid w:val="00E05710"/>
    <w:rsid w:val="00E0649C"/>
    <w:rsid w:val="00E0724E"/>
    <w:rsid w:val="00E10027"/>
    <w:rsid w:val="00E10B88"/>
    <w:rsid w:val="00E10C13"/>
    <w:rsid w:val="00E10F8B"/>
    <w:rsid w:val="00E1150C"/>
    <w:rsid w:val="00E13442"/>
    <w:rsid w:val="00E1365A"/>
    <w:rsid w:val="00E14799"/>
    <w:rsid w:val="00E14C4B"/>
    <w:rsid w:val="00E14E75"/>
    <w:rsid w:val="00E15171"/>
    <w:rsid w:val="00E1725C"/>
    <w:rsid w:val="00E172D4"/>
    <w:rsid w:val="00E17384"/>
    <w:rsid w:val="00E176AA"/>
    <w:rsid w:val="00E21643"/>
    <w:rsid w:val="00E225F6"/>
    <w:rsid w:val="00E226C3"/>
    <w:rsid w:val="00E22C06"/>
    <w:rsid w:val="00E24509"/>
    <w:rsid w:val="00E24F42"/>
    <w:rsid w:val="00E26383"/>
    <w:rsid w:val="00E265ED"/>
    <w:rsid w:val="00E26B16"/>
    <w:rsid w:val="00E26D55"/>
    <w:rsid w:val="00E2766C"/>
    <w:rsid w:val="00E2788E"/>
    <w:rsid w:val="00E27EE1"/>
    <w:rsid w:val="00E30E00"/>
    <w:rsid w:val="00E30FE0"/>
    <w:rsid w:val="00E31491"/>
    <w:rsid w:val="00E317F0"/>
    <w:rsid w:val="00E318AD"/>
    <w:rsid w:val="00E3197B"/>
    <w:rsid w:val="00E32609"/>
    <w:rsid w:val="00E328EB"/>
    <w:rsid w:val="00E335D9"/>
    <w:rsid w:val="00E33F8C"/>
    <w:rsid w:val="00E3460B"/>
    <w:rsid w:val="00E34E8D"/>
    <w:rsid w:val="00E35AAB"/>
    <w:rsid w:val="00E36622"/>
    <w:rsid w:val="00E36CC6"/>
    <w:rsid w:val="00E403A8"/>
    <w:rsid w:val="00E404EB"/>
    <w:rsid w:val="00E41465"/>
    <w:rsid w:val="00E415FF"/>
    <w:rsid w:val="00E42672"/>
    <w:rsid w:val="00E443F1"/>
    <w:rsid w:val="00E45701"/>
    <w:rsid w:val="00E46041"/>
    <w:rsid w:val="00E4629F"/>
    <w:rsid w:val="00E46712"/>
    <w:rsid w:val="00E46CC0"/>
    <w:rsid w:val="00E472E7"/>
    <w:rsid w:val="00E47616"/>
    <w:rsid w:val="00E47F83"/>
    <w:rsid w:val="00E5000C"/>
    <w:rsid w:val="00E50401"/>
    <w:rsid w:val="00E50684"/>
    <w:rsid w:val="00E51316"/>
    <w:rsid w:val="00E51491"/>
    <w:rsid w:val="00E51C06"/>
    <w:rsid w:val="00E51D7A"/>
    <w:rsid w:val="00E521E2"/>
    <w:rsid w:val="00E523A9"/>
    <w:rsid w:val="00E52656"/>
    <w:rsid w:val="00E53E42"/>
    <w:rsid w:val="00E54B96"/>
    <w:rsid w:val="00E54D27"/>
    <w:rsid w:val="00E57E5F"/>
    <w:rsid w:val="00E60020"/>
    <w:rsid w:val="00E61264"/>
    <w:rsid w:val="00E61F14"/>
    <w:rsid w:val="00E63309"/>
    <w:rsid w:val="00E6346C"/>
    <w:rsid w:val="00E6462B"/>
    <w:rsid w:val="00E65368"/>
    <w:rsid w:val="00E65B5D"/>
    <w:rsid w:val="00E6600C"/>
    <w:rsid w:val="00E6628F"/>
    <w:rsid w:val="00E66568"/>
    <w:rsid w:val="00E70599"/>
    <w:rsid w:val="00E71078"/>
    <w:rsid w:val="00E71424"/>
    <w:rsid w:val="00E718B9"/>
    <w:rsid w:val="00E72456"/>
    <w:rsid w:val="00E739DF"/>
    <w:rsid w:val="00E73CF4"/>
    <w:rsid w:val="00E73D49"/>
    <w:rsid w:val="00E74788"/>
    <w:rsid w:val="00E74E0D"/>
    <w:rsid w:val="00E750F8"/>
    <w:rsid w:val="00E755DE"/>
    <w:rsid w:val="00E75887"/>
    <w:rsid w:val="00E75FBA"/>
    <w:rsid w:val="00E77103"/>
    <w:rsid w:val="00E776FB"/>
    <w:rsid w:val="00E8049A"/>
    <w:rsid w:val="00E80E08"/>
    <w:rsid w:val="00E81167"/>
    <w:rsid w:val="00E824C8"/>
    <w:rsid w:val="00E84049"/>
    <w:rsid w:val="00E84203"/>
    <w:rsid w:val="00E85EE0"/>
    <w:rsid w:val="00E86ECB"/>
    <w:rsid w:val="00E87206"/>
    <w:rsid w:val="00E90C6D"/>
    <w:rsid w:val="00E91403"/>
    <w:rsid w:val="00E9170A"/>
    <w:rsid w:val="00E93507"/>
    <w:rsid w:val="00E93F60"/>
    <w:rsid w:val="00E94107"/>
    <w:rsid w:val="00E947AF"/>
    <w:rsid w:val="00E94BC9"/>
    <w:rsid w:val="00E95FA2"/>
    <w:rsid w:val="00E96D22"/>
    <w:rsid w:val="00E973C3"/>
    <w:rsid w:val="00E97DA7"/>
    <w:rsid w:val="00EA104E"/>
    <w:rsid w:val="00EA1970"/>
    <w:rsid w:val="00EA249A"/>
    <w:rsid w:val="00EA2873"/>
    <w:rsid w:val="00EA361C"/>
    <w:rsid w:val="00EA3D66"/>
    <w:rsid w:val="00EA48F3"/>
    <w:rsid w:val="00EA4D7B"/>
    <w:rsid w:val="00EA5C60"/>
    <w:rsid w:val="00EA607C"/>
    <w:rsid w:val="00EA64DC"/>
    <w:rsid w:val="00EA6B12"/>
    <w:rsid w:val="00EA6D25"/>
    <w:rsid w:val="00EA706B"/>
    <w:rsid w:val="00EA726E"/>
    <w:rsid w:val="00EA78FE"/>
    <w:rsid w:val="00EB1A15"/>
    <w:rsid w:val="00EB4B2E"/>
    <w:rsid w:val="00EB5019"/>
    <w:rsid w:val="00EB53AC"/>
    <w:rsid w:val="00EB702C"/>
    <w:rsid w:val="00EB7A2B"/>
    <w:rsid w:val="00EC28AE"/>
    <w:rsid w:val="00EC3B51"/>
    <w:rsid w:val="00EC412C"/>
    <w:rsid w:val="00EC447C"/>
    <w:rsid w:val="00EC562C"/>
    <w:rsid w:val="00EC5B6B"/>
    <w:rsid w:val="00EC5F66"/>
    <w:rsid w:val="00EC6521"/>
    <w:rsid w:val="00EC66BD"/>
    <w:rsid w:val="00EC7933"/>
    <w:rsid w:val="00ED0409"/>
    <w:rsid w:val="00ED0C3F"/>
    <w:rsid w:val="00ED112C"/>
    <w:rsid w:val="00ED25DC"/>
    <w:rsid w:val="00ED29E0"/>
    <w:rsid w:val="00ED2D3E"/>
    <w:rsid w:val="00ED3A42"/>
    <w:rsid w:val="00ED67E7"/>
    <w:rsid w:val="00ED6D11"/>
    <w:rsid w:val="00ED6D3F"/>
    <w:rsid w:val="00ED7B98"/>
    <w:rsid w:val="00EE0028"/>
    <w:rsid w:val="00EE0316"/>
    <w:rsid w:val="00EE1897"/>
    <w:rsid w:val="00EE2E5D"/>
    <w:rsid w:val="00EE36ED"/>
    <w:rsid w:val="00EE44D8"/>
    <w:rsid w:val="00EE530C"/>
    <w:rsid w:val="00EE5601"/>
    <w:rsid w:val="00EE5E0E"/>
    <w:rsid w:val="00EE61E8"/>
    <w:rsid w:val="00EE661B"/>
    <w:rsid w:val="00EE6B2B"/>
    <w:rsid w:val="00EE77AB"/>
    <w:rsid w:val="00EE7F8A"/>
    <w:rsid w:val="00EF08A0"/>
    <w:rsid w:val="00EF0D8E"/>
    <w:rsid w:val="00EF15FA"/>
    <w:rsid w:val="00EF181D"/>
    <w:rsid w:val="00EF1ABC"/>
    <w:rsid w:val="00EF26F6"/>
    <w:rsid w:val="00EF30D9"/>
    <w:rsid w:val="00EF329E"/>
    <w:rsid w:val="00EF3C22"/>
    <w:rsid w:val="00EF3E5E"/>
    <w:rsid w:val="00EF5993"/>
    <w:rsid w:val="00EF6119"/>
    <w:rsid w:val="00EF662A"/>
    <w:rsid w:val="00EF6C4B"/>
    <w:rsid w:val="00EF6FD6"/>
    <w:rsid w:val="00F00092"/>
    <w:rsid w:val="00F01C6D"/>
    <w:rsid w:val="00F03A11"/>
    <w:rsid w:val="00F044F9"/>
    <w:rsid w:val="00F05B35"/>
    <w:rsid w:val="00F06785"/>
    <w:rsid w:val="00F07C32"/>
    <w:rsid w:val="00F1042B"/>
    <w:rsid w:val="00F1092A"/>
    <w:rsid w:val="00F118B0"/>
    <w:rsid w:val="00F123CE"/>
    <w:rsid w:val="00F128EE"/>
    <w:rsid w:val="00F1307E"/>
    <w:rsid w:val="00F134DB"/>
    <w:rsid w:val="00F13D4D"/>
    <w:rsid w:val="00F14C1A"/>
    <w:rsid w:val="00F14FCE"/>
    <w:rsid w:val="00F15A69"/>
    <w:rsid w:val="00F179A4"/>
    <w:rsid w:val="00F200F6"/>
    <w:rsid w:val="00F21248"/>
    <w:rsid w:val="00F2168E"/>
    <w:rsid w:val="00F23356"/>
    <w:rsid w:val="00F236AD"/>
    <w:rsid w:val="00F24FAA"/>
    <w:rsid w:val="00F25B88"/>
    <w:rsid w:val="00F27198"/>
    <w:rsid w:val="00F31D64"/>
    <w:rsid w:val="00F32302"/>
    <w:rsid w:val="00F32EE3"/>
    <w:rsid w:val="00F33B3E"/>
    <w:rsid w:val="00F3492A"/>
    <w:rsid w:val="00F34D21"/>
    <w:rsid w:val="00F35D50"/>
    <w:rsid w:val="00F37D48"/>
    <w:rsid w:val="00F403B5"/>
    <w:rsid w:val="00F40503"/>
    <w:rsid w:val="00F43E9B"/>
    <w:rsid w:val="00F43F9F"/>
    <w:rsid w:val="00F44727"/>
    <w:rsid w:val="00F45419"/>
    <w:rsid w:val="00F45D3E"/>
    <w:rsid w:val="00F45D5C"/>
    <w:rsid w:val="00F46132"/>
    <w:rsid w:val="00F46C1B"/>
    <w:rsid w:val="00F47A66"/>
    <w:rsid w:val="00F506F7"/>
    <w:rsid w:val="00F5153F"/>
    <w:rsid w:val="00F515C3"/>
    <w:rsid w:val="00F51659"/>
    <w:rsid w:val="00F525EA"/>
    <w:rsid w:val="00F53CBE"/>
    <w:rsid w:val="00F54BF5"/>
    <w:rsid w:val="00F55F8F"/>
    <w:rsid w:val="00F5617A"/>
    <w:rsid w:val="00F5746A"/>
    <w:rsid w:val="00F61D43"/>
    <w:rsid w:val="00F61FAE"/>
    <w:rsid w:val="00F62023"/>
    <w:rsid w:val="00F62F19"/>
    <w:rsid w:val="00F63B7D"/>
    <w:rsid w:val="00F64BA6"/>
    <w:rsid w:val="00F65178"/>
    <w:rsid w:val="00F653A2"/>
    <w:rsid w:val="00F65F46"/>
    <w:rsid w:val="00F66A86"/>
    <w:rsid w:val="00F66DC7"/>
    <w:rsid w:val="00F672D9"/>
    <w:rsid w:val="00F67971"/>
    <w:rsid w:val="00F70761"/>
    <w:rsid w:val="00F709DC"/>
    <w:rsid w:val="00F70BAE"/>
    <w:rsid w:val="00F70FF3"/>
    <w:rsid w:val="00F71D15"/>
    <w:rsid w:val="00F71E0F"/>
    <w:rsid w:val="00F72ECE"/>
    <w:rsid w:val="00F73B20"/>
    <w:rsid w:val="00F75F7A"/>
    <w:rsid w:val="00F772CB"/>
    <w:rsid w:val="00F77448"/>
    <w:rsid w:val="00F80710"/>
    <w:rsid w:val="00F81104"/>
    <w:rsid w:val="00F81D7F"/>
    <w:rsid w:val="00F82BBE"/>
    <w:rsid w:val="00F82C01"/>
    <w:rsid w:val="00F831BD"/>
    <w:rsid w:val="00F8325C"/>
    <w:rsid w:val="00F838D7"/>
    <w:rsid w:val="00F83DA3"/>
    <w:rsid w:val="00F84657"/>
    <w:rsid w:val="00F846D9"/>
    <w:rsid w:val="00F85AF0"/>
    <w:rsid w:val="00F86D7A"/>
    <w:rsid w:val="00F90D39"/>
    <w:rsid w:val="00F90E1E"/>
    <w:rsid w:val="00F90FAB"/>
    <w:rsid w:val="00F9144A"/>
    <w:rsid w:val="00F920B6"/>
    <w:rsid w:val="00F931B5"/>
    <w:rsid w:val="00F934D1"/>
    <w:rsid w:val="00F93648"/>
    <w:rsid w:val="00F9443E"/>
    <w:rsid w:val="00F94AF0"/>
    <w:rsid w:val="00F94D65"/>
    <w:rsid w:val="00F96473"/>
    <w:rsid w:val="00F96927"/>
    <w:rsid w:val="00F9764F"/>
    <w:rsid w:val="00F97BE7"/>
    <w:rsid w:val="00FA0E6E"/>
    <w:rsid w:val="00FA11DB"/>
    <w:rsid w:val="00FA1F4F"/>
    <w:rsid w:val="00FA26C9"/>
    <w:rsid w:val="00FA446A"/>
    <w:rsid w:val="00FA4D8A"/>
    <w:rsid w:val="00FA5303"/>
    <w:rsid w:val="00FA584E"/>
    <w:rsid w:val="00FA6C46"/>
    <w:rsid w:val="00FA6E4D"/>
    <w:rsid w:val="00FB0059"/>
    <w:rsid w:val="00FB07DD"/>
    <w:rsid w:val="00FB146F"/>
    <w:rsid w:val="00FB17D6"/>
    <w:rsid w:val="00FB1FA0"/>
    <w:rsid w:val="00FB24BE"/>
    <w:rsid w:val="00FB280D"/>
    <w:rsid w:val="00FB30E2"/>
    <w:rsid w:val="00FB31E4"/>
    <w:rsid w:val="00FB328D"/>
    <w:rsid w:val="00FB5B76"/>
    <w:rsid w:val="00FB6EA6"/>
    <w:rsid w:val="00FB7C24"/>
    <w:rsid w:val="00FC009A"/>
    <w:rsid w:val="00FC03F2"/>
    <w:rsid w:val="00FC0A9A"/>
    <w:rsid w:val="00FC0AD4"/>
    <w:rsid w:val="00FC122B"/>
    <w:rsid w:val="00FC1956"/>
    <w:rsid w:val="00FC4348"/>
    <w:rsid w:val="00FC4F71"/>
    <w:rsid w:val="00FC5C85"/>
    <w:rsid w:val="00FC67FC"/>
    <w:rsid w:val="00FC70FB"/>
    <w:rsid w:val="00FC79D7"/>
    <w:rsid w:val="00FC7EED"/>
    <w:rsid w:val="00FD03EA"/>
    <w:rsid w:val="00FD08AD"/>
    <w:rsid w:val="00FD09C3"/>
    <w:rsid w:val="00FD0B2D"/>
    <w:rsid w:val="00FD10A0"/>
    <w:rsid w:val="00FD14B1"/>
    <w:rsid w:val="00FD1B43"/>
    <w:rsid w:val="00FD1EBE"/>
    <w:rsid w:val="00FD3CDC"/>
    <w:rsid w:val="00FD430F"/>
    <w:rsid w:val="00FD4C48"/>
    <w:rsid w:val="00FD5DB4"/>
    <w:rsid w:val="00FD5DB7"/>
    <w:rsid w:val="00FD6484"/>
    <w:rsid w:val="00FD66BD"/>
    <w:rsid w:val="00FD6F65"/>
    <w:rsid w:val="00FD7957"/>
    <w:rsid w:val="00FE16F5"/>
    <w:rsid w:val="00FE1EF2"/>
    <w:rsid w:val="00FE202E"/>
    <w:rsid w:val="00FE219A"/>
    <w:rsid w:val="00FE2902"/>
    <w:rsid w:val="00FE39D3"/>
    <w:rsid w:val="00FE5848"/>
    <w:rsid w:val="00FE5C18"/>
    <w:rsid w:val="00FE657A"/>
    <w:rsid w:val="00FE7225"/>
    <w:rsid w:val="00FE7790"/>
    <w:rsid w:val="00FE7D7D"/>
    <w:rsid w:val="00FF008C"/>
    <w:rsid w:val="00FF026F"/>
    <w:rsid w:val="00FF0775"/>
    <w:rsid w:val="00FF08BC"/>
    <w:rsid w:val="00FF1AB9"/>
    <w:rsid w:val="00FF1F8E"/>
    <w:rsid w:val="00FF2F9F"/>
    <w:rsid w:val="00FF301B"/>
    <w:rsid w:val="00FF3E0A"/>
    <w:rsid w:val="00FF55F7"/>
    <w:rsid w:val="00FF7635"/>
    <w:rsid w:val="0121F9F3"/>
    <w:rsid w:val="019093D6"/>
    <w:rsid w:val="01C82996"/>
    <w:rsid w:val="01C90BC5"/>
    <w:rsid w:val="01CAA428"/>
    <w:rsid w:val="020FB138"/>
    <w:rsid w:val="02B96D80"/>
    <w:rsid w:val="02D62B9B"/>
    <w:rsid w:val="02F9E713"/>
    <w:rsid w:val="0318AC56"/>
    <w:rsid w:val="03A542ED"/>
    <w:rsid w:val="042ABED0"/>
    <w:rsid w:val="043A54FD"/>
    <w:rsid w:val="0472AF0A"/>
    <w:rsid w:val="04C615C6"/>
    <w:rsid w:val="0555B59F"/>
    <w:rsid w:val="0557A6DD"/>
    <w:rsid w:val="05E6CE57"/>
    <w:rsid w:val="05E9CF28"/>
    <w:rsid w:val="05FF21EB"/>
    <w:rsid w:val="0728E4A7"/>
    <w:rsid w:val="075863D5"/>
    <w:rsid w:val="076F5659"/>
    <w:rsid w:val="079AE2E9"/>
    <w:rsid w:val="079EE5D9"/>
    <w:rsid w:val="07D09B0F"/>
    <w:rsid w:val="07D2786B"/>
    <w:rsid w:val="083FD46F"/>
    <w:rsid w:val="0883494A"/>
    <w:rsid w:val="08AE29E7"/>
    <w:rsid w:val="08E32174"/>
    <w:rsid w:val="08EB33F7"/>
    <w:rsid w:val="09324551"/>
    <w:rsid w:val="096DFF07"/>
    <w:rsid w:val="09A92FB4"/>
    <w:rsid w:val="0A05D1A6"/>
    <w:rsid w:val="0A17455D"/>
    <w:rsid w:val="0A3176D5"/>
    <w:rsid w:val="0B25AEB9"/>
    <w:rsid w:val="0B8EC0FB"/>
    <w:rsid w:val="0BBE8F2F"/>
    <w:rsid w:val="0BE493BB"/>
    <w:rsid w:val="0CA6F5F7"/>
    <w:rsid w:val="0CD52988"/>
    <w:rsid w:val="0D57DCC0"/>
    <w:rsid w:val="0D5D7893"/>
    <w:rsid w:val="0D902E0C"/>
    <w:rsid w:val="0E2A2A77"/>
    <w:rsid w:val="0E58771E"/>
    <w:rsid w:val="0EF87630"/>
    <w:rsid w:val="0F266187"/>
    <w:rsid w:val="0F3C86B5"/>
    <w:rsid w:val="0F6D7177"/>
    <w:rsid w:val="0F731CFA"/>
    <w:rsid w:val="0F946B2E"/>
    <w:rsid w:val="0FB057C7"/>
    <w:rsid w:val="0FED8AD6"/>
    <w:rsid w:val="103EA7C8"/>
    <w:rsid w:val="1061346A"/>
    <w:rsid w:val="10DD0B1A"/>
    <w:rsid w:val="10EDF071"/>
    <w:rsid w:val="11060B2C"/>
    <w:rsid w:val="11303B8F"/>
    <w:rsid w:val="118D891C"/>
    <w:rsid w:val="11ACD960"/>
    <w:rsid w:val="1248ADF4"/>
    <w:rsid w:val="1270AB67"/>
    <w:rsid w:val="12C27CD3"/>
    <w:rsid w:val="138ED96F"/>
    <w:rsid w:val="13B9D99B"/>
    <w:rsid w:val="1442DAD8"/>
    <w:rsid w:val="1452A639"/>
    <w:rsid w:val="15F657BF"/>
    <w:rsid w:val="169EC0F3"/>
    <w:rsid w:val="16FA1971"/>
    <w:rsid w:val="17092BC9"/>
    <w:rsid w:val="171EE4AF"/>
    <w:rsid w:val="17ACC5A7"/>
    <w:rsid w:val="17FD743D"/>
    <w:rsid w:val="18369C91"/>
    <w:rsid w:val="183CAD84"/>
    <w:rsid w:val="185C5A2E"/>
    <w:rsid w:val="1893DE4A"/>
    <w:rsid w:val="18CFD8EC"/>
    <w:rsid w:val="19417F2A"/>
    <w:rsid w:val="19600942"/>
    <w:rsid w:val="19796375"/>
    <w:rsid w:val="198A8A92"/>
    <w:rsid w:val="19E3CA21"/>
    <w:rsid w:val="19EDBB5D"/>
    <w:rsid w:val="19FF549E"/>
    <w:rsid w:val="1A5DC8BE"/>
    <w:rsid w:val="1A805F2F"/>
    <w:rsid w:val="1AA0B561"/>
    <w:rsid w:val="1AAFF248"/>
    <w:rsid w:val="1AFCD757"/>
    <w:rsid w:val="1B0CEA32"/>
    <w:rsid w:val="1B1AE5D4"/>
    <w:rsid w:val="1BD55B92"/>
    <w:rsid w:val="1BD6B1A2"/>
    <w:rsid w:val="1C4FE697"/>
    <w:rsid w:val="1C523B00"/>
    <w:rsid w:val="1D15543E"/>
    <w:rsid w:val="1D1D0E9C"/>
    <w:rsid w:val="1D48D2ED"/>
    <w:rsid w:val="1D6378C9"/>
    <w:rsid w:val="1D80FAE8"/>
    <w:rsid w:val="1DBBFD5A"/>
    <w:rsid w:val="1DCE6AAD"/>
    <w:rsid w:val="1F72072B"/>
    <w:rsid w:val="1F7B440F"/>
    <w:rsid w:val="1F83636B"/>
    <w:rsid w:val="1FE1EB1A"/>
    <w:rsid w:val="200BD4CE"/>
    <w:rsid w:val="20F7574B"/>
    <w:rsid w:val="212E548C"/>
    <w:rsid w:val="2148D74F"/>
    <w:rsid w:val="2185D7B5"/>
    <w:rsid w:val="21954349"/>
    <w:rsid w:val="21A622AD"/>
    <w:rsid w:val="21AAE9F2"/>
    <w:rsid w:val="21AF099B"/>
    <w:rsid w:val="21C9159B"/>
    <w:rsid w:val="21C917C1"/>
    <w:rsid w:val="2206F6FF"/>
    <w:rsid w:val="225BC184"/>
    <w:rsid w:val="23577113"/>
    <w:rsid w:val="23741F8A"/>
    <w:rsid w:val="23F256E5"/>
    <w:rsid w:val="241298D5"/>
    <w:rsid w:val="2510F766"/>
    <w:rsid w:val="265E1810"/>
    <w:rsid w:val="26A3E4B0"/>
    <w:rsid w:val="26D795E4"/>
    <w:rsid w:val="26EDBA9B"/>
    <w:rsid w:val="273F4FD3"/>
    <w:rsid w:val="279501AF"/>
    <w:rsid w:val="27B914F2"/>
    <w:rsid w:val="28397C48"/>
    <w:rsid w:val="2839BE91"/>
    <w:rsid w:val="28AF53CD"/>
    <w:rsid w:val="28B8CED8"/>
    <w:rsid w:val="295813EE"/>
    <w:rsid w:val="29721AD2"/>
    <w:rsid w:val="29ACF0AA"/>
    <w:rsid w:val="29BCB841"/>
    <w:rsid w:val="29C59D5B"/>
    <w:rsid w:val="29D4B199"/>
    <w:rsid w:val="2A0CCA03"/>
    <w:rsid w:val="2A0DFD57"/>
    <w:rsid w:val="2A4029F5"/>
    <w:rsid w:val="2A79A36C"/>
    <w:rsid w:val="2ADEEAF8"/>
    <w:rsid w:val="2B09FA0A"/>
    <w:rsid w:val="2B2CB9FB"/>
    <w:rsid w:val="2B40DDC0"/>
    <w:rsid w:val="2B9154B9"/>
    <w:rsid w:val="2B98FE0F"/>
    <w:rsid w:val="2B9BE5C6"/>
    <w:rsid w:val="2B9DABD2"/>
    <w:rsid w:val="2BA68E01"/>
    <w:rsid w:val="2C16258D"/>
    <w:rsid w:val="2C617F2C"/>
    <w:rsid w:val="2CC88A5C"/>
    <w:rsid w:val="2CF099AE"/>
    <w:rsid w:val="2DAB4FE1"/>
    <w:rsid w:val="2E2DC073"/>
    <w:rsid w:val="2E7C04B3"/>
    <w:rsid w:val="2EC09B18"/>
    <w:rsid w:val="2EC4249D"/>
    <w:rsid w:val="2EC8EFFC"/>
    <w:rsid w:val="2F8B0241"/>
    <w:rsid w:val="306C3445"/>
    <w:rsid w:val="308DF865"/>
    <w:rsid w:val="31BAEF56"/>
    <w:rsid w:val="31D7E5A8"/>
    <w:rsid w:val="320FF22C"/>
    <w:rsid w:val="32EA8CC2"/>
    <w:rsid w:val="335EE6CC"/>
    <w:rsid w:val="34134625"/>
    <w:rsid w:val="343728FE"/>
    <w:rsid w:val="3444F8B6"/>
    <w:rsid w:val="3465E565"/>
    <w:rsid w:val="34D07513"/>
    <w:rsid w:val="35A0B409"/>
    <w:rsid w:val="35A8906C"/>
    <w:rsid w:val="35F8BBD7"/>
    <w:rsid w:val="3627EE52"/>
    <w:rsid w:val="364A5ECB"/>
    <w:rsid w:val="369F9B50"/>
    <w:rsid w:val="36BB2227"/>
    <w:rsid w:val="37562F4D"/>
    <w:rsid w:val="37A47083"/>
    <w:rsid w:val="37DF2B56"/>
    <w:rsid w:val="37DF459E"/>
    <w:rsid w:val="37E6EE74"/>
    <w:rsid w:val="37E84BC3"/>
    <w:rsid w:val="384D2453"/>
    <w:rsid w:val="3870475B"/>
    <w:rsid w:val="38A17EDC"/>
    <w:rsid w:val="38DC7574"/>
    <w:rsid w:val="398CCD3D"/>
    <w:rsid w:val="3A23236D"/>
    <w:rsid w:val="3A30A550"/>
    <w:rsid w:val="3A4E9986"/>
    <w:rsid w:val="3A8D46FE"/>
    <w:rsid w:val="3AB29495"/>
    <w:rsid w:val="3AD526E9"/>
    <w:rsid w:val="3AFF80FC"/>
    <w:rsid w:val="3B42CC33"/>
    <w:rsid w:val="3B523865"/>
    <w:rsid w:val="3B6E49A6"/>
    <w:rsid w:val="3B7BE7ED"/>
    <w:rsid w:val="3B94909A"/>
    <w:rsid w:val="3C2A026B"/>
    <w:rsid w:val="3C64F072"/>
    <w:rsid w:val="3CCA56B9"/>
    <w:rsid w:val="3D31D494"/>
    <w:rsid w:val="3E546AF6"/>
    <w:rsid w:val="3E66271A"/>
    <w:rsid w:val="3EA28DD9"/>
    <w:rsid w:val="3EA6AC09"/>
    <w:rsid w:val="3EC9BE14"/>
    <w:rsid w:val="3EE4005E"/>
    <w:rsid w:val="3F0E29F0"/>
    <w:rsid w:val="3F294EAB"/>
    <w:rsid w:val="3F2FC2F5"/>
    <w:rsid w:val="3F337912"/>
    <w:rsid w:val="3F447B7D"/>
    <w:rsid w:val="3F4B9766"/>
    <w:rsid w:val="3F58CACD"/>
    <w:rsid w:val="3FF03B57"/>
    <w:rsid w:val="405304B5"/>
    <w:rsid w:val="40B1F26F"/>
    <w:rsid w:val="4106163E"/>
    <w:rsid w:val="4106AAE6"/>
    <w:rsid w:val="419762BB"/>
    <w:rsid w:val="41AFCB67"/>
    <w:rsid w:val="41C166F7"/>
    <w:rsid w:val="41CD5E9A"/>
    <w:rsid w:val="41E749B0"/>
    <w:rsid w:val="420B1138"/>
    <w:rsid w:val="4218C1A6"/>
    <w:rsid w:val="4303E7DC"/>
    <w:rsid w:val="43B0DD56"/>
    <w:rsid w:val="4461D5FE"/>
    <w:rsid w:val="44746029"/>
    <w:rsid w:val="44B19710"/>
    <w:rsid w:val="4511CF5D"/>
    <w:rsid w:val="45137855"/>
    <w:rsid w:val="452C169B"/>
    <w:rsid w:val="45353B01"/>
    <w:rsid w:val="4555C932"/>
    <w:rsid w:val="458D2CFC"/>
    <w:rsid w:val="460C7F12"/>
    <w:rsid w:val="464EA095"/>
    <w:rsid w:val="466E0220"/>
    <w:rsid w:val="4672D985"/>
    <w:rsid w:val="4684DEF7"/>
    <w:rsid w:val="46B81D94"/>
    <w:rsid w:val="46DA7602"/>
    <w:rsid w:val="4756C528"/>
    <w:rsid w:val="477F1ED9"/>
    <w:rsid w:val="4780650A"/>
    <w:rsid w:val="47B94AF0"/>
    <w:rsid w:val="47DD3EBF"/>
    <w:rsid w:val="47EEA694"/>
    <w:rsid w:val="47FB4D3C"/>
    <w:rsid w:val="4866B3F5"/>
    <w:rsid w:val="486BF333"/>
    <w:rsid w:val="488925E4"/>
    <w:rsid w:val="48B3050D"/>
    <w:rsid w:val="48FE4F2F"/>
    <w:rsid w:val="49588583"/>
    <w:rsid w:val="49947BD9"/>
    <w:rsid w:val="49D5339E"/>
    <w:rsid w:val="49ECFA9A"/>
    <w:rsid w:val="49EF6D3F"/>
    <w:rsid w:val="4A8A5D64"/>
    <w:rsid w:val="4A8D2811"/>
    <w:rsid w:val="4A9FB94A"/>
    <w:rsid w:val="4ACDE8AA"/>
    <w:rsid w:val="4ACEF755"/>
    <w:rsid w:val="4B1D7471"/>
    <w:rsid w:val="4B251CA4"/>
    <w:rsid w:val="4B3B286B"/>
    <w:rsid w:val="4B3E60DE"/>
    <w:rsid w:val="4B67AB6F"/>
    <w:rsid w:val="4BB3CFDF"/>
    <w:rsid w:val="4BBCEB5A"/>
    <w:rsid w:val="4BC5E549"/>
    <w:rsid w:val="4BE0377E"/>
    <w:rsid w:val="4C1CBAE3"/>
    <w:rsid w:val="4C1DB702"/>
    <w:rsid w:val="4C3074F7"/>
    <w:rsid w:val="4C553DC7"/>
    <w:rsid w:val="4C9853D9"/>
    <w:rsid w:val="4CBFBFAA"/>
    <w:rsid w:val="4CDA313F"/>
    <w:rsid w:val="4D00AA80"/>
    <w:rsid w:val="4D3AA858"/>
    <w:rsid w:val="4D4CA132"/>
    <w:rsid w:val="4DA3D93C"/>
    <w:rsid w:val="4E1EC40B"/>
    <w:rsid w:val="4E49429E"/>
    <w:rsid w:val="4EA8A4C1"/>
    <w:rsid w:val="4EEA42AC"/>
    <w:rsid w:val="4F11A700"/>
    <w:rsid w:val="4FA44959"/>
    <w:rsid w:val="4FCE84D1"/>
    <w:rsid w:val="5014EFBD"/>
    <w:rsid w:val="505187C6"/>
    <w:rsid w:val="50D1FA68"/>
    <w:rsid w:val="51373BF6"/>
    <w:rsid w:val="515D5539"/>
    <w:rsid w:val="51B19E3F"/>
    <w:rsid w:val="52033CB0"/>
    <w:rsid w:val="52066171"/>
    <w:rsid w:val="523526CD"/>
    <w:rsid w:val="52BC9B29"/>
    <w:rsid w:val="52BE88EB"/>
    <w:rsid w:val="5341DF06"/>
    <w:rsid w:val="543E15F8"/>
    <w:rsid w:val="5462794C"/>
    <w:rsid w:val="55888B55"/>
    <w:rsid w:val="55F67637"/>
    <w:rsid w:val="56CB4334"/>
    <w:rsid w:val="57068F68"/>
    <w:rsid w:val="577C26FC"/>
    <w:rsid w:val="57923DCD"/>
    <w:rsid w:val="57963EC2"/>
    <w:rsid w:val="57AF98F5"/>
    <w:rsid w:val="57B2E2F6"/>
    <w:rsid w:val="57F264D5"/>
    <w:rsid w:val="58B1C674"/>
    <w:rsid w:val="58EE4724"/>
    <w:rsid w:val="58FCFC58"/>
    <w:rsid w:val="599A0E52"/>
    <w:rsid w:val="59DBEA95"/>
    <w:rsid w:val="5A325C99"/>
    <w:rsid w:val="5A69A642"/>
    <w:rsid w:val="5B18BF5F"/>
    <w:rsid w:val="5B2FB11A"/>
    <w:rsid w:val="5B43B115"/>
    <w:rsid w:val="5BC69388"/>
    <w:rsid w:val="5BDE5796"/>
    <w:rsid w:val="5BE31C06"/>
    <w:rsid w:val="5BE61615"/>
    <w:rsid w:val="5BE81ECC"/>
    <w:rsid w:val="5C1A7FD0"/>
    <w:rsid w:val="5C4079D8"/>
    <w:rsid w:val="5C4B25CD"/>
    <w:rsid w:val="5C4E44F2"/>
    <w:rsid w:val="5C4ED381"/>
    <w:rsid w:val="5C557550"/>
    <w:rsid w:val="5C63E8E4"/>
    <w:rsid w:val="5CCEF2B6"/>
    <w:rsid w:val="5CE51B79"/>
    <w:rsid w:val="5CE886A8"/>
    <w:rsid w:val="5D3A9DEF"/>
    <w:rsid w:val="5D975513"/>
    <w:rsid w:val="5DC1B847"/>
    <w:rsid w:val="5DCAD3C2"/>
    <w:rsid w:val="5DDC4003"/>
    <w:rsid w:val="5DEC57E9"/>
    <w:rsid w:val="5E0527CC"/>
    <w:rsid w:val="5E3145D5"/>
    <w:rsid w:val="5E607225"/>
    <w:rsid w:val="5EF0C8C4"/>
    <w:rsid w:val="5F2E9BD2"/>
    <w:rsid w:val="5F6CFEAC"/>
    <w:rsid w:val="5F76A4A9"/>
    <w:rsid w:val="5F87F544"/>
    <w:rsid w:val="602F07C3"/>
    <w:rsid w:val="60596AF7"/>
    <w:rsid w:val="606467BC"/>
    <w:rsid w:val="60AD8425"/>
    <w:rsid w:val="60B9D088"/>
    <w:rsid w:val="61BD2F9E"/>
    <w:rsid w:val="61C01CC5"/>
    <w:rsid w:val="61E84751"/>
    <w:rsid w:val="6226051D"/>
    <w:rsid w:val="6226C8C0"/>
    <w:rsid w:val="6268D923"/>
    <w:rsid w:val="62A49F6E"/>
    <w:rsid w:val="62AE3987"/>
    <w:rsid w:val="62DC6A2F"/>
    <w:rsid w:val="63EF087E"/>
    <w:rsid w:val="6424C835"/>
    <w:rsid w:val="645DE9FB"/>
    <w:rsid w:val="64681948"/>
    <w:rsid w:val="6511F8E8"/>
    <w:rsid w:val="65577BBC"/>
    <w:rsid w:val="65CA5653"/>
    <w:rsid w:val="66505935"/>
    <w:rsid w:val="6683D169"/>
    <w:rsid w:val="6697A68E"/>
    <w:rsid w:val="66AAF807"/>
    <w:rsid w:val="67588DAB"/>
    <w:rsid w:val="67832545"/>
    <w:rsid w:val="67A0C862"/>
    <w:rsid w:val="67BBD890"/>
    <w:rsid w:val="67F8D5FE"/>
    <w:rsid w:val="683292A5"/>
    <w:rsid w:val="684B547F"/>
    <w:rsid w:val="68AAEDF3"/>
    <w:rsid w:val="690A69D3"/>
    <w:rsid w:val="691749A6"/>
    <w:rsid w:val="695BB093"/>
    <w:rsid w:val="699F4E10"/>
    <w:rsid w:val="69E57638"/>
    <w:rsid w:val="6A2AECDF"/>
    <w:rsid w:val="6A362184"/>
    <w:rsid w:val="6A3C27B6"/>
    <w:rsid w:val="6AB2153D"/>
    <w:rsid w:val="6ABDB3B4"/>
    <w:rsid w:val="6B24F2CD"/>
    <w:rsid w:val="6BF5F780"/>
    <w:rsid w:val="6C8CA26F"/>
    <w:rsid w:val="6CA84800"/>
    <w:rsid w:val="6D8629FE"/>
    <w:rsid w:val="6D97619A"/>
    <w:rsid w:val="6DEC0D04"/>
    <w:rsid w:val="6E555475"/>
    <w:rsid w:val="6E9DB190"/>
    <w:rsid w:val="6EB276A7"/>
    <w:rsid w:val="6ED4D65C"/>
    <w:rsid w:val="6EDE3C36"/>
    <w:rsid w:val="6EE2FB18"/>
    <w:rsid w:val="6EEF9F7F"/>
    <w:rsid w:val="6EF541F8"/>
    <w:rsid w:val="6F4132AA"/>
    <w:rsid w:val="6F5400A2"/>
    <w:rsid w:val="6FF72A36"/>
    <w:rsid w:val="7090879D"/>
    <w:rsid w:val="7115AD4B"/>
    <w:rsid w:val="72B053F8"/>
    <w:rsid w:val="73341997"/>
    <w:rsid w:val="7360A692"/>
    <w:rsid w:val="745C96AB"/>
    <w:rsid w:val="74880C19"/>
    <w:rsid w:val="74D28FB3"/>
    <w:rsid w:val="74DAA83B"/>
    <w:rsid w:val="7594F769"/>
    <w:rsid w:val="762BB999"/>
    <w:rsid w:val="763838CD"/>
    <w:rsid w:val="76A9A70B"/>
    <w:rsid w:val="76CCFE90"/>
    <w:rsid w:val="76D23446"/>
    <w:rsid w:val="76D3D069"/>
    <w:rsid w:val="76F91AB3"/>
    <w:rsid w:val="77277FF9"/>
    <w:rsid w:val="776661D8"/>
    <w:rsid w:val="776D8380"/>
    <w:rsid w:val="784D8AD4"/>
    <w:rsid w:val="785958ED"/>
    <w:rsid w:val="7881F74E"/>
    <w:rsid w:val="78B5FB67"/>
    <w:rsid w:val="78DEF0AD"/>
    <w:rsid w:val="7991852A"/>
    <w:rsid w:val="799F2634"/>
    <w:rsid w:val="79F2861D"/>
    <w:rsid w:val="7AC64A80"/>
    <w:rsid w:val="7AF08052"/>
    <w:rsid w:val="7B21090F"/>
    <w:rsid w:val="7B566908"/>
    <w:rsid w:val="7BBE46A8"/>
    <w:rsid w:val="7C6B9445"/>
    <w:rsid w:val="7C71D645"/>
    <w:rsid w:val="7C71F8CC"/>
    <w:rsid w:val="7C7381CB"/>
    <w:rsid w:val="7CD9110C"/>
    <w:rsid w:val="7CF93568"/>
    <w:rsid w:val="7D3C4014"/>
    <w:rsid w:val="7D5D4E81"/>
    <w:rsid w:val="7D5FD9AE"/>
    <w:rsid w:val="7D6529F9"/>
    <w:rsid w:val="7D677694"/>
    <w:rsid w:val="7DEF5BB4"/>
    <w:rsid w:val="7DEF6236"/>
    <w:rsid w:val="7E332A35"/>
    <w:rsid w:val="7E86A924"/>
    <w:rsid w:val="7EC99690"/>
    <w:rsid w:val="7EE3A418"/>
    <w:rsid w:val="7F799184"/>
    <w:rsid w:val="7FBADF6F"/>
    <w:rsid w:val="7FC8DDC5"/>
    <w:rsid w:val="7FCD983B"/>
    <w:rsid w:val="7FEE6E3E"/>
    <w:rsid w:val="7FF21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0374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ind w:hanging="357"/>
      </w:pPr>
    </w:pPrDefault>
  </w:docDefaults>
  <w:latentStyles w:defLockedState="0" w:defUIPriority="99" w:defSemiHidden="0" w:defUnhideWhenUsed="0" w:defQFormat="0" w:count="371">
    <w:lsdException w:name="Normal" w:uiPriority="8"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0B74AE"/>
    <w:pPr>
      <w:spacing w:after="200" w:line="240" w:lineRule="auto"/>
      <w:ind w:firstLine="0"/>
    </w:pPr>
    <w:rPr>
      <w:rFonts w:ascii="Calibri" w:eastAsia="Cambria" w:hAnsi="Calibri" w:cs="Calibri"/>
      <w:color w:val="000000"/>
      <w:szCs w:val="24"/>
      <w:lang w:val="en-AU"/>
    </w:rPr>
  </w:style>
  <w:style w:type="paragraph" w:styleId="Heading1">
    <w:name w:val="heading 1"/>
    <w:aliases w:val="CER Heading 1"/>
    <w:next w:val="Heading2"/>
    <w:link w:val="Heading1Char"/>
    <w:uiPriority w:val="2"/>
    <w:qFormat/>
    <w:rsid w:val="000B74AE"/>
    <w:pPr>
      <w:keepNext/>
      <w:spacing w:before="280" w:after="200" w:line="240" w:lineRule="auto"/>
      <w:ind w:firstLine="0"/>
      <w:outlineLvl w:val="0"/>
    </w:pPr>
    <w:rPr>
      <w:rFonts w:ascii="Calibri" w:eastAsia="Times New Roman" w:hAnsi="Calibri" w:cs="Calibri"/>
      <w:b/>
      <w:bCs/>
      <w:color w:val="005874"/>
      <w:kern w:val="32"/>
      <w:sz w:val="40"/>
      <w:szCs w:val="24"/>
      <w:lang w:val="en-AU"/>
    </w:rPr>
  </w:style>
  <w:style w:type="paragraph" w:styleId="Heading2">
    <w:name w:val="heading 2"/>
    <w:aliases w:val="CER Heading 2"/>
    <w:basedOn w:val="Normal"/>
    <w:next w:val="Normal"/>
    <w:link w:val="Heading2Char"/>
    <w:uiPriority w:val="3"/>
    <w:qFormat/>
    <w:rsid w:val="000B74AE"/>
    <w:pPr>
      <w:keepNext/>
      <w:keepLines/>
      <w:spacing w:before="280"/>
      <w:outlineLvl w:val="1"/>
    </w:pPr>
    <w:rPr>
      <w:rFonts w:eastAsia="Times New Roman"/>
      <w:b/>
      <w:bCs/>
      <w:color w:val="005874"/>
      <w:sz w:val="30"/>
      <w:szCs w:val="26"/>
    </w:rPr>
  </w:style>
  <w:style w:type="paragraph" w:styleId="Heading3">
    <w:name w:val="heading 3"/>
    <w:basedOn w:val="Normal"/>
    <w:next w:val="Normal"/>
    <w:link w:val="Heading3Char"/>
    <w:uiPriority w:val="9"/>
    <w:unhideWhenUsed/>
    <w:qFormat/>
    <w:rsid w:val="00442883"/>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7C08F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46A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R Heading 1 Char"/>
    <w:basedOn w:val="DefaultParagraphFont"/>
    <w:link w:val="Heading1"/>
    <w:uiPriority w:val="2"/>
    <w:rsid w:val="000B74AE"/>
    <w:rPr>
      <w:rFonts w:ascii="Calibri" w:eastAsia="Times New Roman" w:hAnsi="Calibri" w:cs="Calibri"/>
      <w:b/>
      <w:bCs/>
      <w:color w:val="005874"/>
      <w:kern w:val="32"/>
      <w:sz w:val="40"/>
      <w:szCs w:val="24"/>
      <w:lang w:val="en-AU"/>
    </w:rPr>
  </w:style>
  <w:style w:type="character" w:customStyle="1" w:styleId="Heading2Char">
    <w:name w:val="Heading 2 Char"/>
    <w:aliases w:val="CER Heading 2 Char"/>
    <w:basedOn w:val="DefaultParagraphFont"/>
    <w:link w:val="Heading2"/>
    <w:uiPriority w:val="3"/>
    <w:rsid w:val="000B74AE"/>
    <w:rPr>
      <w:rFonts w:ascii="Calibri" w:eastAsia="Times New Roman" w:hAnsi="Calibri" w:cs="Calibri"/>
      <w:b/>
      <w:bCs/>
      <w:color w:val="005874"/>
      <w:sz w:val="30"/>
      <w:szCs w:val="26"/>
      <w:lang w:val="en-AU"/>
    </w:rPr>
  </w:style>
  <w:style w:type="character" w:styleId="Hyperlink">
    <w:name w:val="Hyperlink"/>
    <w:uiPriority w:val="99"/>
    <w:unhideWhenUsed/>
    <w:rsid w:val="000B74AE"/>
    <w:rPr>
      <w:rFonts w:ascii="Calibri" w:hAnsi="Calibri"/>
      <w:color w:val="005874"/>
      <w:sz w:val="22"/>
      <w:u w:val="single"/>
    </w:rPr>
  </w:style>
  <w:style w:type="table" w:styleId="TableGrid">
    <w:name w:val="Table Grid"/>
    <w:basedOn w:val="TableNormal"/>
    <w:rsid w:val="000B74AE"/>
    <w:pPr>
      <w:spacing w:line="240" w:lineRule="auto"/>
      <w:ind w:firstLine="0"/>
    </w:pPr>
    <w:rPr>
      <w:rFonts w:ascii="Cambria" w:eastAsia="Cambria" w:hAnsi="Cambria"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numbering">
    <w:name w:val="CER numbering"/>
    <w:basedOn w:val="Normal"/>
    <w:link w:val="CERnumberingChar"/>
    <w:uiPriority w:val="8"/>
    <w:qFormat/>
    <w:rsid w:val="000B74AE"/>
    <w:pPr>
      <w:numPr>
        <w:numId w:val="2"/>
      </w:numPr>
      <w:spacing w:before="120" w:after="120"/>
    </w:pPr>
    <w:rPr>
      <w:color w:val="auto"/>
    </w:rPr>
  </w:style>
  <w:style w:type="character" w:customStyle="1" w:styleId="CERnumberingChar">
    <w:name w:val="CER numbering Char"/>
    <w:link w:val="CERnumbering"/>
    <w:uiPriority w:val="8"/>
    <w:rsid w:val="000B74AE"/>
    <w:rPr>
      <w:rFonts w:ascii="Calibri" w:eastAsia="Cambria" w:hAnsi="Calibri" w:cs="Calibri"/>
      <w:szCs w:val="24"/>
      <w:lang w:val="en-AU"/>
    </w:rPr>
  </w:style>
  <w:style w:type="paragraph" w:styleId="FootnoteText">
    <w:name w:val="footnote text"/>
    <w:basedOn w:val="Normal"/>
    <w:link w:val="FootnoteTextChar"/>
    <w:uiPriority w:val="99"/>
    <w:unhideWhenUsed/>
    <w:rsid w:val="000B74AE"/>
    <w:pPr>
      <w:spacing w:after="0"/>
    </w:pPr>
    <w:rPr>
      <w:sz w:val="20"/>
      <w:szCs w:val="20"/>
    </w:rPr>
  </w:style>
  <w:style w:type="character" w:customStyle="1" w:styleId="FootnoteTextChar">
    <w:name w:val="Footnote Text Char"/>
    <w:basedOn w:val="DefaultParagraphFont"/>
    <w:link w:val="FootnoteText"/>
    <w:uiPriority w:val="99"/>
    <w:rsid w:val="000B74AE"/>
    <w:rPr>
      <w:rFonts w:ascii="Calibri" w:eastAsia="Cambria" w:hAnsi="Calibri" w:cs="Calibri"/>
      <w:color w:val="000000"/>
      <w:sz w:val="20"/>
      <w:szCs w:val="20"/>
      <w:lang w:val="en-AU"/>
    </w:rPr>
  </w:style>
  <w:style w:type="character" w:styleId="FootnoteReference">
    <w:name w:val="footnote reference"/>
    <w:basedOn w:val="DefaultParagraphFont"/>
    <w:uiPriority w:val="99"/>
    <w:semiHidden/>
    <w:unhideWhenUsed/>
    <w:rsid w:val="000B74AE"/>
    <w:rPr>
      <w:vertAlign w:val="superscript"/>
    </w:rPr>
  </w:style>
  <w:style w:type="paragraph" w:styleId="Caption">
    <w:name w:val="caption"/>
    <w:basedOn w:val="Normal"/>
    <w:next w:val="Normal"/>
    <w:uiPriority w:val="35"/>
    <w:unhideWhenUsed/>
    <w:rsid w:val="000B74AE"/>
    <w:rPr>
      <w:i/>
      <w:iCs/>
      <w:color w:val="44546A" w:themeColor="text2"/>
      <w:sz w:val="18"/>
      <w:szCs w:val="18"/>
    </w:rPr>
  </w:style>
  <w:style w:type="character" w:customStyle="1" w:styleId="Heading3Char">
    <w:name w:val="Heading 3 Char"/>
    <w:basedOn w:val="DefaultParagraphFont"/>
    <w:link w:val="Heading3"/>
    <w:uiPriority w:val="9"/>
    <w:rsid w:val="00442883"/>
    <w:rPr>
      <w:rFonts w:asciiTheme="majorHAnsi" w:eastAsiaTheme="majorEastAsia" w:hAnsiTheme="majorHAnsi" w:cstheme="majorBidi"/>
      <w:color w:val="1F3763" w:themeColor="accent1" w:themeShade="7F"/>
      <w:sz w:val="24"/>
      <w:szCs w:val="24"/>
      <w:lang w:val="en-AU"/>
    </w:rPr>
  </w:style>
  <w:style w:type="paragraph" w:styleId="ListParagraph">
    <w:name w:val="List Paragraph"/>
    <w:basedOn w:val="Normal"/>
    <w:uiPriority w:val="34"/>
    <w:qFormat/>
    <w:rsid w:val="007F27A8"/>
    <w:pPr>
      <w:spacing w:after="0" w:line="276" w:lineRule="auto"/>
      <w:ind w:left="720" w:hanging="357"/>
      <w:contextualSpacing/>
    </w:pPr>
    <w:rPr>
      <w:rFonts w:asciiTheme="minorHAnsi" w:eastAsiaTheme="minorHAnsi" w:hAnsiTheme="minorHAnsi" w:cstheme="minorBidi"/>
      <w:color w:val="auto"/>
      <w:szCs w:val="22"/>
      <w:lang w:val="en-GB"/>
    </w:rPr>
  </w:style>
  <w:style w:type="paragraph" w:styleId="Header">
    <w:name w:val="header"/>
    <w:basedOn w:val="Normal"/>
    <w:link w:val="HeaderChar"/>
    <w:uiPriority w:val="99"/>
    <w:unhideWhenUsed/>
    <w:rsid w:val="00220CA3"/>
    <w:pPr>
      <w:tabs>
        <w:tab w:val="center" w:pos="4513"/>
        <w:tab w:val="right" w:pos="9026"/>
      </w:tabs>
      <w:spacing w:after="0"/>
    </w:pPr>
  </w:style>
  <w:style w:type="character" w:customStyle="1" w:styleId="HeaderChar">
    <w:name w:val="Header Char"/>
    <w:basedOn w:val="DefaultParagraphFont"/>
    <w:link w:val="Header"/>
    <w:uiPriority w:val="99"/>
    <w:rsid w:val="00220CA3"/>
    <w:rPr>
      <w:rFonts w:ascii="Calibri" w:eastAsia="Cambria" w:hAnsi="Calibri" w:cs="Calibri"/>
      <w:color w:val="000000"/>
      <w:szCs w:val="24"/>
      <w:lang w:val="en-AU"/>
    </w:rPr>
  </w:style>
  <w:style w:type="paragraph" w:styleId="Footer">
    <w:name w:val="footer"/>
    <w:basedOn w:val="Normal"/>
    <w:link w:val="FooterChar"/>
    <w:uiPriority w:val="99"/>
    <w:unhideWhenUsed/>
    <w:rsid w:val="00220CA3"/>
    <w:pPr>
      <w:tabs>
        <w:tab w:val="center" w:pos="4513"/>
        <w:tab w:val="right" w:pos="9026"/>
      </w:tabs>
      <w:spacing w:after="0"/>
    </w:pPr>
  </w:style>
  <w:style w:type="character" w:customStyle="1" w:styleId="FooterChar">
    <w:name w:val="Footer Char"/>
    <w:basedOn w:val="DefaultParagraphFont"/>
    <w:link w:val="Footer"/>
    <w:uiPriority w:val="99"/>
    <w:rsid w:val="00220CA3"/>
    <w:rPr>
      <w:rFonts w:ascii="Calibri" w:eastAsia="Cambria" w:hAnsi="Calibri" w:cs="Calibri"/>
      <w:color w:val="000000"/>
      <w:szCs w:val="24"/>
      <w:lang w:val="en-AU"/>
    </w:rPr>
  </w:style>
  <w:style w:type="paragraph" w:customStyle="1" w:styleId="subsection">
    <w:name w:val="subsection"/>
    <w:aliases w:val="ss,Subsection,t_Main"/>
    <w:basedOn w:val="Normal"/>
    <w:link w:val="subsectionChar"/>
    <w:rsid w:val="00B425C4"/>
    <w:pPr>
      <w:tabs>
        <w:tab w:val="right" w:pos="1021"/>
      </w:tabs>
      <w:spacing w:before="180" w:after="0"/>
      <w:ind w:left="1134" w:hanging="1134"/>
    </w:pPr>
    <w:rPr>
      <w:rFonts w:ascii="Times New Roman" w:eastAsia="Times New Roman" w:hAnsi="Times New Roman" w:cs="Times New Roman"/>
      <w:color w:val="auto"/>
      <w:szCs w:val="20"/>
      <w:lang w:eastAsia="en-AU"/>
    </w:rPr>
  </w:style>
  <w:style w:type="character" w:customStyle="1" w:styleId="subsectionChar">
    <w:name w:val="subsection Char"/>
    <w:aliases w:val="ss Char"/>
    <w:basedOn w:val="DefaultParagraphFont"/>
    <w:link w:val="subsection"/>
    <w:locked/>
    <w:rsid w:val="00B425C4"/>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1335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57F"/>
    <w:rPr>
      <w:rFonts w:ascii="Segoe UI" w:eastAsia="Cambria" w:hAnsi="Segoe UI" w:cs="Segoe UI"/>
      <w:color w:val="000000"/>
      <w:sz w:val="18"/>
      <w:szCs w:val="18"/>
      <w:lang w:val="en-AU"/>
    </w:rPr>
  </w:style>
  <w:style w:type="paragraph" w:styleId="TOCHeading">
    <w:name w:val="TOC Heading"/>
    <w:basedOn w:val="Heading1"/>
    <w:next w:val="Normal"/>
    <w:uiPriority w:val="39"/>
    <w:unhideWhenUsed/>
    <w:qFormat/>
    <w:rsid w:val="0066117A"/>
    <w:pPr>
      <w:keepLines/>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66117A"/>
    <w:pPr>
      <w:spacing w:after="100"/>
    </w:pPr>
  </w:style>
  <w:style w:type="paragraph" w:styleId="TOC2">
    <w:name w:val="toc 2"/>
    <w:basedOn w:val="Normal"/>
    <w:next w:val="Normal"/>
    <w:autoRedefine/>
    <w:uiPriority w:val="39"/>
    <w:unhideWhenUsed/>
    <w:rsid w:val="0066117A"/>
    <w:pPr>
      <w:spacing w:after="100"/>
      <w:ind w:left="220"/>
    </w:pPr>
  </w:style>
  <w:style w:type="paragraph" w:styleId="TOC3">
    <w:name w:val="toc 3"/>
    <w:basedOn w:val="Normal"/>
    <w:next w:val="Normal"/>
    <w:autoRedefine/>
    <w:uiPriority w:val="39"/>
    <w:unhideWhenUsed/>
    <w:rsid w:val="0066117A"/>
    <w:pPr>
      <w:spacing w:after="100"/>
      <w:ind w:left="440"/>
    </w:pPr>
  </w:style>
  <w:style w:type="paragraph" w:styleId="CommentText">
    <w:name w:val="annotation text"/>
    <w:basedOn w:val="Normal"/>
    <w:link w:val="CommentTextChar"/>
    <w:uiPriority w:val="99"/>
    <w:semiHidden/>
    <w:unhideWhenUsed/>
    <w:rsid w:val="00E22C06"/>
    <w:rPr>
      <w:sz w:val="20"/>
      <w:szCs w:val="20"/>
    </w:rPr>
  </w:style>
  <w:style w:type="character" w:customStyle="1" w:styleId="CommentTextChar">
    <w:name w:val="Comment Text Char"/>
    <w:basedOn w:val="DefaultParagraphFont"/>
    <w:link w:val="CommentText"/>
    <w:uiPriority w:val="99"/>
    <w:semiHidden/>
    <w:rsid w:val="00E22C06"/>
    <w:rPr>
      <w:rFonts w:ascii="Calibri" w:eastAsia="Cambria" w:hAnsi="Calibri" w:cs="Calibri"/>
      <w:color w:val="000000"/>
      <w:sz w:val="20"/>
      <w:szCs w:val="20"/>
      <w:lang w:val="en-AU"/>
    </w:rPr>
  </w:style>
  <w:style w:type="character" w:styleId="CommentReference">
    <w:name w:val="annotation reference"/>
    <w:basedOn w:val="DefaultParagraphFont"/>
    <w:uiPriority w:val="99"/>
    <w:semiHidden/>
    <w:unhideWhenUsed/>
    <w:rsid w:val="00E22C06"/>
    <w:rPr>
      <w:sz w:val="16"/>
      <w:szCs w:val="16"/>
    </w:rPr>
  </w:style>
  <w:style w:type="character" w:customStyle="1" w:styleId="Heading4Char">
    <w:name w:val="Heading 4 Char"/>
    <w:basedOn w:val="DefaultParagraphFont"/>
    <w:link w:val="Heading4"/>
    <w:uiPriority w:val="9"/>
    <w:rsid w:val="007C08F7"/>
    <w:rPr>
      <w:rFonts w:asciiTheme="majorHAnsi" w:eastAsiaTheme="majorEastAsia" w:hAnsiTheme="majorHAnsi" w:cstheme="majorBidi"/>
      <w:i/>
      <w:iCs/>
      <w:color w:val="2F5496" w:themeColor="accent1" w:themeShade="BF"/>
      <w:szCs w:val="24"/>
      <w:lang w:val="en-AU"/>
    </w:rPr>
  </w:style>
  <w:style w:type="paragraph" w:styleId="CommentSubject">
    <w:name w:val="annotation subject"/>
    <w:basedOn w:val="CommentText"/>
    <w:next w:val="CommentText"/>
    <w:link w:val="CommentSubjectChar"/>
    <w:uiPriority w:val="99"/>
    <w:semiHidden/>
    <w:unhideWhenUsed/>
    <w:rsid w:val="0015241A"/>
    <w:rPr>
      <w:b/>
      <w:bCs/>
    </w:rPr>
  </w:style>
  <w:style w:type="character" w:customStyle="1" w:styleId="CommentSubjectChar">
    <w:name w:val="Comment Subject Char"/>
    <w:basedOn w:val="CommentTextChar"/>
    <w:link w:val="CommentSubject"/>
    <w:uiPriority w:val="99"/>
    <w:semiHidden/>
    <w:rsid w:val="0015241A"/>
    <w:rPr>
      <w:rFonts w:ascii="Calibri" w:eastAsia="Cambria" w:hAnsi="Calibri" w:cs="Calibri"/>
      <w:b/>
      <w:bCs/>
      <w:color w:val="000000"/>
      <w:sz w:val="20"/>
      <w:szCs w:val="20"/>
      <w:lang w:val="en-AU"/>
    </w:rPr>
  </w:style>
  <w:style w:type="paragraph" w:customStyle="1" w:styleId="CERbullets">
    <w:name w:val="CER bullets"/>
    <w:basedOn w:val="Normal"/>
    <w:link w:val="CERbulletsChar"/>
    <w:uiPriority w:val="7"/>
    <w:qFormat/>
    <w:rsid w:val="00BC3989"/>
    <w:pPr>
      <w:numPr>
        <w:numId w:val="35"/>
      </w:numPr>
      <w:spacing w:before="120" w:after="120"/>
    </w:pPr>
    <w:rPr>
      <w:color w:val="auto"/>
    </w:rPr>
  </w:style>
  <w:style w:type="character" w:customStyle="1" w:styleId="CERbulletsChar">
    <w:name w:val="CER bullets Char"/>
    <w:link w:val="CERbullets"/>
    <w:uiPriority w:val="7"/>
    <w:rsid w:val="00BC3989"/>
    <w:rPr>
      <w:rFonts w:ascii="Calibri" w:eastAsia="Cambria" w:hAnsi="Calibri" w:cs="Calibri"/>
      <w:szCs w:val="24"/>
      <w:lang w:val="en-AU"/>
    </w:rPr>
  </w:style>
  <w:style w:type="paragraph" w:styleId="NoSpacing">
    <w:name w:val="No Spacing"/>
    <w:uiPriority w:val="1"/>
    <w:qFormat/>
    <w:rsid w:val="00D46085"/>
    <w:pPr>
      <w:spacing w:line="240" w:lineRule="auto"/>
      <w:ind w:firstLine="0"/>
    </w:pPr>
    <w:rPr>
      <w:rFonts w:ascii="Calibri" w:eastAsia="Cambria" w:hAnsi="Calibri" w:cs="Calibri"/>
      <w:color w:val="000000"/>
      <w:szCs w:val="24"/>
      <w:lang w:val="en-AU"/>
    </w:rPr>
  </w:style>
  <w:style w:type="character" w:customStyle="1" w:styleId="Heading5Char">
    <w:name w:val="Heading 5 Char"/>
    <w:basedOn w:val="DefaultParagraphFont"/>
    <w:link w:val="Heading5"/>
    <w:uiPriority w:val="9"/>
    <w:rsid w:val="00C46AC9"/>
    <w:rPr>
      <w:rFonts w:asciiTheme="majorHAnsi" w:eastAsiaTheme="majorEastAsia" w:hAnsiTheme="majorHAnsi" w:cstheme="majorBidi"/>
      <w:color w:val="2F5496" w:themeColor="accent1" w:themeShade="BF"/>
      <w:szCs w:val="24"/>
      <w:lang w:val="en-AU"/>
    </w:rPr>
  </w:style>
  <w:style w:type="paragraph" w:customStyle="1" w:styleId="paragraphsub">
    <w:name w:val="paragraph(sub)"/>
    <w:aliases w:val="aa,t_Subpara"/>
    <w:basedOn w:val="Normal"/>
    <w:qFormat/>
    <w:rsid w:val="00F61D43"/>
    <w:pPr>
      <w:tabs>
        <w:tab w:val="right" w:pos="1985"/>
      </w:tabs>
      <w:spacing w:before="40" w:after="0"/>
      <w:ind w:left="2098" w:hanging="2098"/>
    </w:pPr>
    <w:rPr>
      <w:rFonts w:ascii="Times New Roman" w:eastAsia="Times New Roman" w:hAnsi="Times New Roman" w:cs="Times New Roman"/>
      <w:color w:val="auto"/>
      <w:szCs w:val="20"/>
      <w:lang w:eastAsia="en-AU"/>
    </w:rPr>
  </w:style>
  <w:style w:type="paragraph" w:customStyle="1" w:styleId="paragraph">
    <w:name w:val="paragraph"/>
    <w:aliases w:val="a,t_Para,Paragraph"/>
    <w:basedOn w:val="Normal"/>
    <w:link w:val="paragraphChar"/>
    <w:qFormat/>
    <w:rsid w:val="00F61D43"/>
    <w:pPr>
      <w:tabs>
        <w:tab w:val="right" w:pos="1531"/>
      </w:tabs>
      <w:spacing w:before="40" w:after="0"/>
      <w:ind w:left="1644" w:hanging="1644"/>
    </w:pPr>
    <w:rPr>
      <w:rFonts w:ascii="Times New Roman" w:eastAsia="Times New Roman" w:hAnsi="Times New Roman" w:cs="Times New Roman"/>
      <w:color w:val="auto"/>
      <w:szCs w:val="20"/>
      <w:lang w:eastAsia="en-AU"/>
    </w:rPr>
  </w:style>
  <w:style w:type="paragraph" w:customStyle="1" w:styleId="subsection2">
    <w:name w:val="subsection2"/>
    <w:aliases w:val="ss2"/>
    <w:basedOn w:val="Normal"/>
    <w:next w:val="subsection"/>
    <w:rsid w:val="00F61D43"/>
    <w:pPr>
      <w:spacing w:before="40" w:after="0"/>
      <w:ind w:left="1134"/>
    </w:pPr>
    <w:rPr>
      <w:rFonts w:ascii="Times New Roman" w:eastAsia="Times New Roman" w:hAnsi="Times New Roman" w:cs="Times New Roman"/>
      <w:color w:val="auto"/>
      <w:szCs w:val="20"/>
      <w:lang w:eastAsia="en-AU"/>
    </w:rPr>
  </w:style>
  <w:style w:type="character" w:customStyle="1" w:styleId="paragraphChar">
    <w:name w:val="paragraph Char"/>
    <w:aliases w:val="a Char"/>
    <w:link w:val="paragraph"/>
    <w:rsid w:val="00F61D43"/>
    <w:rPr>
      <w:rFonts w:ascii="Times New Roman" w:eastAsia="Times New Roman" w:hAnsi="Times New Roman" w:cs="Times New Roman"/>
      <w:szCs w:val="20"/>
      <w:lang w:val="en-AU" w:eastAsia="en-AU"/>
    </w:rPr>
  </w:style>
  <w:style w:type="paragraph" w:customStyle="1" w:styleId="ActHead5">
    <w:name w:val="ActHead 5"/>
    <w:aliases w:val="s,h5_Section"/>
    <w:basedOn w:val="Normal"/>
    <w:next w:val="subsection"/>
    <w:link w:val="ActHead5Char"/>
    <w:uiPriority w:val="99"/>
    <w:qFormat/>
    <w:rsid w:val="00806092"/>
    <w:pPr>
      <w:keepNext/>
      <w:keepLines/>
      <w:spacing w:before="280" w:after="0"/>
      <w:ind w:left="1134" w:hanging="1134"/>
      <w:outlineLvl w:val="4"/>
    </w:pPr>
    <w:rPr>
      <w:rFonts w:ascii="Times New Roman" w:eastAsia="Times New Roman" w:hAnsi="Times New Roman" w:cs="Times New Roman"/>
      <w:b/>
      <w:color w:val="auto"/>
      <w:kern w:val="28"/>
      <w:sz w:val="24"/>
      <w:szCs w:val="20"/>
      <w:lang w:eastAsia="en-AU"/>
    </w:rPr>
  </w:style>
  <w:style w:type="character" w:customStyle="1" w:styleId="CharSectno">
    <w:name w:val="CharSectno"/>
    <w:basedOn w:val="DefaultParagraphFont"/>
    <w:qFormat/>
    <w:rsid w:val="00806092"/>
  </w:style>
  <w:style w:type="character" w:customStyle="1" w:styleId="ActHead5Char">
    <w:name w:val="ActHead 5 Char"/>
    <w:aliases w:val="s Char"/>
    <w:link w:val="ActHead5"/>
    <w:uiPriority w:val="99"/>
    <w:rsid w:val="00806092"/>
    <w:rPr>
      <w:rFonts w:ascii="Times New Roman" w:eastAsia="Times New Roman" w:hAnsi="Times New Roman" w:cs="Times New Roman"/>
      <w:b/>
      <w:kern w:val="28"/>
      <w:sz w:val="24"/>
      <w:szCs w:val="20"/>
      <w:lang w:val="en-AU" w:eastAsia="en-AU"/>
    </w:rPr>
  </w:style>
  <w:style w:type="paragraph" w:styleId="NormalWeb">
    <w:name w:val="Normal (Web)"/>
    <w:basedOn w:val="Normal"/>
    <w:uiPriority w:val="99"/>
    <w:unhideWhenUsed/>
    <w:rsid w:val="004F7E07"/>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UnresolvedMention">
    <w:name w:val="Unresolved Mention"/>
    <w:basedOn w:val="DefaultParagraphFont"/>
    <w:uiPriority w:val="99"/>
    <w:semiHidden/>
    <w:unhideWhenUsed/>
    <w:rsid w:val="005B4D91"/>
    <w:rPr>
      <w:color w:val="605E5C"/>
      <w:shd w:val="clear" w:color="auto" w:fill="E1DFDD"/>
    </w:rPr>
  </w:style>
  <w:style w:type="paragraph" w:styleId="Revision">
    <w:name w:val="Revision"/>
    <w:hidden/>
    <w:uiPriority w:val="99"/>
    <w:semiHidden/>
    <w:rsid w:val="008F45F3"/>
    <w:pPr>
      <w:spacing w:line="240" w:lineRule="auto"/>
      <w:ind w:firstLine="0"/>
    </w:pPr>
    <w:rPr>
      <w:rFonts w:ascii="Calibri" w:eastAsia="Cambria" w:hAnsi="Calibri" w:cs="Calibri"/>
      <w:color w:val="000000"/>
      <w:szCs w:val="24"/>
      <w:lang w:val="en-AU"/>
    </w:rPr>
  </w:style>
  <w:style w:type="character" w:styleId="FollowedHyperlink">
    <w:name w:val="FollowedHyperlink"/>
    <w:basedOn w:val="DefaultParagraphFont"/>
    <w:uiPriority w:val="99"/>
    <w:semiHidden/>
    <w:unhideWhenUsed/>
    <w:rsid w:val="006036CD"/>
    <w:rPr>
      <w:color w:val="954F72" w:themeColor="followedHyperlink"/>
      <w:u w:val="single"/>
    </w:rPr>
  </w:style>
  <w:style w:type="paragraph" w:styleId="EndnoteText">
    <w:name w:val="endnote text"/>
    <w:basedOn w:val="Normal"/>
    <w:link w:val="EndnoteTextChar"/>
    <w:uiPriority w:val="99"/>
    <w:semiHidden/>
    <w:unhideWhenUsed/>
    <w:rsid w:val="0090685C"/>
    <w:pPr>
      <w:spacing w:after="0"/>
    </w:pPr>
    <w:rPr>
      <w:sz w:val="20"/>
      <w:szCs w:val="20"/>
    </w:rPr>
  </w:style>
  <w:style w:type="character" w:customStyle="1" w:styleId="EndnoteTextChar">
    <w:name w:val="Endnote Text Char"/>
    <w:basedOn w:val="DefaultParagraphFont"/>
    <w:link w:val="EndnoteText"/>
    <w:uiPriority w:val="99"/>
    <w:semiHidden/>
    <w:rsid w:val="0090685C"/>
    <w:rPr>
      <w:rFonts w:ascii="Calibri" w:eastAsia="Cambria" w:hAnsi="Calibri" w:cs="Calibri"/>
      <w:color w:val="000000"/>
      <w:sz w:val="20"/>
      <w:szCs w:val="20"/>
      <w:lang w:val="en-AU"/>
    </w:rPr>
  </w:style>
  <w:style w:type="character" w:styleId="EndnoteReference">
    <w:name w:val="endnote reference"/>
    <w:basedOn w:val="DefaultParagraphFont"/>
    <w:uiPriority w:val="99"/>
    <w:semiHidden/>
    <w:unhideWhenUsed/>
    <w:rsid w:val="0090685C"/>
    <w:rPr>
      <w:vertAlign w:val="superscript"/>
    </w:rPr>
  </w:style>
  <w:style w:type="paragraph" w:customStyle="1" w:styleId="ERACbullets">
    <w:name w:val="ERAC bullets"/>
    <w:basedOn w:val="Normal"/>
    <w:link w:val="ERACbulletsChar"/>
    <w:uiPriority w:val="7"/>
    <w:qFormat/>
    <w:rsid w:val="002A1F13"/>
    <w:pPr>
      <w:spacing w:before="120" w:after="120"/>
      <w:ind w:left="360" w:hanging="360"/>
    </w:pPr>
    <w:rPr>
      <w:color w:val="auto"/>
    </w:rPr>
  </w:style>
  <w:style w:type="character" w:customStyle="1" w:styleId="ERACbulletsChar">
    <w:name w:val="ERAC bullets Char"/>
    <w:basedOn w:val="DefaultParagraphFont"/>
    <w:link w:val="ERACbullets"/>
    <w:uiPriority w:val="7"/>
    <w:rsid w:val="008142B6"/>
    <w:rPr>
      <w:rFonts w:ascii="Calibri" w:eastAsia="Cambria" w:hAnsi="Calibri" w:cs="Calibri"/>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20288">
      <w:bodyDiv w:val="1"/>
      <w:marLeft w:val="0"/>
      <w:marRight w:val="0"/>
      <w:marTop w:val="0"/>
      <w:marBottom w:val="0"/>
      <w:divBdr>
        <w:top w:val="none" w:sz="0" w:space="0" w:color="auto"/>
        <w:left w:val="none" w:sz="0" w:space="0" w:color="auto"/>
        <w:bottom w:val="none" w:sz="0" w:space="0" w:color="auto"/>
        <w:right w:val="none" w:sz="0" w:space="0" w:color="auto"/>
      </w:divBdr>
    </w:div>
    <w:div w:id="220795939">
      <w:bodyDiv w:val="1"/>
      <w:marLeft w:val="0"/>
      <w:marRight w:val="0"/>
      <w:marTop w:val="0"/>
      <w:marBottom w:val="0"/>
      <w:divBdr>
        <w:top w:val="none" w:sz="0" w:space="0" w:color="auto"/>
        <w:left w:val="none" w:sz="0" w:space="0" w:color="auto"/>
        <w:bottom w:val="none" w:sz="0" w:space="0" w:color="auto"/>
        <w:right w:val="none" w:sz="0" w:space="0" w:color="auto"/>
      </w:divBdr>
    </w:div>
    <w:div w:id="353847436">
      <w:bodyDiv w:val="1"/>
      <w:marLeft w:val="0"/>
      <w:marRight w:val="0"/>
      <w:marTop w:val="0"/>
      <w:marBottom w:val="0"/>
      <w:divBdr>
        <w:top w:val="none" w:sz="0" w:space="0" w:color="auto"/>
        <w:left w:val="none" w:sz="0" w:space="0" w:color="auto"/>
        <w:bottom w:val="none" w:sz="0" w:space="0" w:color="auto"/>
        <w:right w:val="none" w:sz="0" w:space="0" w:color="auto"/>
      </w:divBdr>
    </w:div>
    <w:div w:id="432628189">
      <w:bodyDiv w:val="1"/>
      <w:marLeft w:val="0"/>
      <w:marRight w:val="0"/>
      <w:marTop w:val="0"/>
      <w:marBottom w:val="0"/>
      <w:divBdr>
        <w:top w:val="none" w:sz="0" w:space="0" w:color="auto"/>
        <w:left w:val="none" w:sz="0" w:space="0" w:color="auto"/>
        <w:bottom w:val="none" w:sz="0" w:space="0" w:color="auto"/>
        <w:right w:val="none" w:sz="0" w:space="0" w:color="auto"/>
      </w:divBdr>
    </w:div>
    <w:div w:id="477112414">
      <w:bodyDiv w:val="1"/>
      <w:marLeft w:val="0"/>
      <w:marRight w:val="0"/>
      <w:marTop w:val="0"/>
      <w:marBottom w:val="0"/>
      <w:divBdr>
        <w:top w:val="none" w:sz="0" w:space="0" w:color="auto"/>
        <w:left w:val="none" w:sz="0" w:space="0" w:color="auto"/>
        <w:bottom w:val="none" w:sz="0" w:space="0" w:color="auto"/>
        <w:right w:val="none" w:sz="0" w:space="0" w:color="auto"/>
      </w:divBdr>
      <w:divsChild>
        <w:div w:id="1265531012">
          <w:marLeft w:val="0"/>
          <w:marRight w:val="0"/>
          <w:marTop w:val="0"/>
          <w:marBottom w:val="0"/>
          <w:divBdr>
            <w:top w:val="none" w:sz="0" w:space="0" w:color="auto"/>
            <w:left w:val="none" w:sz="0" w:space="0" w:color="auto"/>
            <w:bottom w:val="none" w:sz="0" w:space="0" w:color="auto"/>
            <w:right w:val="none" w:sz="0" w:space="0" w:color="auto"/>
          </w:divBdr>
          <w:divsChild>
            <w:div w:id="2005888867">
              <w:marLeft w:val="0"/>
              <w:marRight w:val="0"/>
              <w:marTop w:val="0"/>
              <w:marBottom w:val="0"/>
              <w:divBdr>
                <w:top w:val="none" w:sz="0" w:space="0" w:color="auto"/>
                <w:left w:val="none" w:sz="0" w:space="0" w:color="auto"/>
                <w:bottom w:val="none" w:sz="0" w:space="0" w:color="auto"/>
                <w:right w:val="none" w:sz="0" w:space="0" w:color="auto"/>
              </w:divBdr>
              <w:divsChild>
                <w:div w:id="1091199029">
                  <w:marLeft w:val="0"/>
                  <w:marRight w:val="0"/>
                  <w:marTop w:val="0"/>
                  <w:marBottom w:val="0"/>
                  <w:divBdr>
                    <w:top w:val="none" w:sz="0" w:space="0" w:color="auto"/>
                    <w:left w:val="none" w:sz="0" w:space="0" w:color="auto"/>
                    <w:bottom w:val="none" w:sz="0" w:space="0" w:color="auto"/>
                    <w:right w:val="none" w:sz="0" w:space="0" w:color="auto"/>
                  </w:divBdr>
                  <w:divsChild>
                    <w:div w:id="827790035">
                      <w:marLeft w:val="0"/>
                      <w:marRight w:val="0"/>
                      <w:marTop w:val="0"/>
                      <w:marBottom w:val="0"/>
                      <w:divBdr>
                        <w:top w:val="none" w:sz="0" w:space="0" w:color="auto"/>
                        <w:left w:val="none" w:sz="0" w:space="0" w:color="auto"/>
                        <w:bottom w:val="none" w:sz="0" w:space="0" w:color="auto"/>
                        <w:right w:val="none" w:sz="0" w:space="0" w:color="auto"/>
                      </w:divBdr>
                      <w:divsChild>
                        <w:div w:id="1917353734">
                          <w:marLeft w:val="0"/>
                          <w:marRight w:val="0"/>
                          <w:marTop w:val="0"/>
                          <w:marBottom w:val="0"/>
                          <w:divBdr>
                            <w:top w:val="none" w:sz="0" w:space="0" w:color="auto"/>
                            <w:left w:val="none" w:sz="0" w:space="0" w:color="auto"/>
                            <w:bottom w:val="none" w:sz="0" w:space="0" w:color="auto"/>
                            <w:right w:val="none" w:sz="0" w:space="0" w:color="auto"/>
                          </w:divBdr>
                          <w:divsChild>
                            <w:div w:id="1736850549">
                              <w:marLeft w:val="0"/>
                              <w:marRight w:val="0"/>
                              <w:marTop w:val="0"/>
                              <w:marBottom w:val="0"/>
                              <w:divBdr>
                                <w:top w:val="none" w:sz="0" w:space="0" w:color="auto"/>
                                <w:left w:val="none" w:sz="0" w:space="0" w:color="auto"/>
                                <w:bottom w:val="none" w:sz="0" w:space="0" w:color="auto"/>
                                <w:right w:val="none" w:sz="0" w:space="0" w:color="auto"/>
                              </w:divBdr>
                              <w:divsChild>
                                <w:div w:id="1410032936">
                                  <w:marLeft w:val="0"/>
                                  <w:marRight w:val="0"/>
                                  <w:marTop w:val="0"/>
                                  <w:marBottom w:val="0"/>
                                  <w:divBdr>
                                    <w:top w:val="none" w:sz="0" w:space="0" w:color="auto"/>
                                    <w:left w:val="none" w:sz="0" w:space="0" w:color="auto"/>
                                    <w:bottom w:val="none" w:sz="0" w:space="0" w:color="auto"/>
                                    <w:right w:val="none" w:sz="0" w:space="0" w:color="auto"/>
                                  </w:divBdr>
                                  <w:divsChild>
                                    <w:div w:id="780343603">
                                      <w:marLeft w:val="0"/>
                                      <w:marRight w:val="0"/>
                                      <w:marTop w:val="0"/>
                                      <w:marBottom w:val="0"/>
                                      <w:divBdr>
                                        <w:top w:val="none" w:sz="0" w:space="0" w:color="auto"/>
                                        <w:left w:val="none" w:sz="0" w:space="0" w:color="auto"/>
                                        <w:bottom w:val="none" w:sz="0" w:space="0" w:color="auto"/>
                                        <w:right w:val="none" w:sz="0" w:space="0" w:color="auto"/>
                                      </w:divBdr>
                                      <w:divsChild>
                                        <w:div w:id="559904704">
                                          <w:marLeft w:val="0"/>
                                          <w:marRight w:val="0"/>
                                          <w:marTop w:val="0"/>
                                          <w:marBottom w:val="0"/>
                                          <w:divBdr>
                                            <w:top w:val="none" w:sz="0" w:space="0" w:color="auto"/>
                                            <w:left w:val="none" w:sz="0" w:space="0" w:color="auto"/>
                                            <w:bottom w:val="none" w:sz="0" w:space="0" w:color="auto"/>
                                            <w:right w:val="none" w:sz="0" w:space="0" w:color="auto"/>
                                          </w:divBdr>
                                          <w:divsChild>
                                            <w:div w:id="1058700394">
                                              <w:marLeft w:val="0"/>
                                              <w:marRight w:val="0"/>
                                              <w:marTop w:val="0"/>
                                              <w:marBottom w:val="0"/>
                                              <w:divBdr>
                                                <w:top w:val="none" w:sz="0" w:space="0" w:color="auto"/>
                                                <w:left w:val="none" w:sz="0" w:space="0" w:color="auto"/>
                                                <w:bottom w:val="none" w:sz="0" w:space="0" w:color="auto"/>
                                                <w:right w:val="none" w:sz="0" w:space="0" w:color="auto"/>
                                              </w:divBdr>
                                              <w:divsChild>
                                                <w:div w:id="11264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71687">
      <w:bodyDiv w:val="1"/>
      <w:marLeft w:val="0"/>
      <w:marRight w:val="0"/>
      <w:marTop w:val="0"/>
      <w:marBottom w:val="0"/>
      <w:divBdr>
        <w:top w:val="none" w:sz="0" w:space="0" w:color="auto"/>
        <w:left w:val="none" w:sz="0" w:space="0" w:color="auto"/>
        <w:bottom w:val="none" w:sz="0" w:space="0" w:color="auto"/>
        <w:right w:val="none" w:sz="0" w:space="0" w:color="auto"/>
      </w:divBdr>
      <w:divsChild>
        <w:div w:id="223492881">
          <w:marLeft w:val="0"/>
          <w:marRight w:val="0"/>
          <w:marTop w:val="0"/>
          <w:marBottom w:val="0"/>
          <w:divBdr>
            <w:top w:val="none" w:sz="0" w:space="0" w:color="auto"/>
            <w:left w:val="none" w:sz="0" w:space="0" w:color="auto"/>
            <w:bottom w:val="none" w:sz="0" w:space="0" w:color="auto"/>
            <w:right w:val="none" w:sz="0" w:space="0" w:color="auto"/>
          </w:divBdr>
        </w:div>
      </w:divsChild>
    </w:div>
    <w:div w:id="994797893">
      <w:bodyDiv w:val="1"/>
      <w:marLeft w:val="0"/>
      <w:marRight w:val="0"/>
      <w:marTop w:val="0"/>
      <w:marBottom w:val="0"/>
      <w:divBdr>
        <w:top w:val="none" w:sz="0" w:space="0" w:color="auto"/>
        <w:left w:val="none" w:sz="0" w:space="0" w:color="auto"/>
        <w:bottom w:val="none" w:sz="0" w:space="0" w:color="auto"/>
        <w:right w:val="none" w:sz="0" w:space="0" w:color="auto"/>
      </w:divBdr>
    </w:div>
    <w:div w:id="1157069963">
      <w:bodyDiv w:val="1"/>
      <w:marLeft w:val="0"/>
      <w:marRight w:val="0"/>
      <w:marTop w:val="0"/>
      <w:marBottom w:val="0"/>
      <w:divBdr>
        <w:top w:val="none" w:sz="0" w:space="0" w:color="auto"/>
        <w:left w:val="none" w:sz="0" w:space="0" w:color="auto"/>
        <w:bottom w:val="none" w:sz="0" w:space="0" w:color="auto"/>
        <w:right w:val="none" w:sz="0" w:space="0" w:color="auto"/>
      </w:divBdr>
      <w:divsChild>
        <w:div w:id="943728738">
          <w:marLeft w:val="0"/>
          <w:marRight w:val="0"/>
          <w:marTop w:val="0"/>
          <w:marBottom w:val="0"/>
          <w:divBdr>
            <w:top w:val="none" w:sz="0" w:space="0" w:color="auto"/>
            <w:left w:val="none" w:sz="0" w:space="0" w:color="auto"/>
            <w:bottom w:val="none" w:sz="0" w:space="0" w:color="auto"/>
            <w:right w:val="none" w:sz="0" w:space="0" w:color="auto"/>
          </w:divBdr>
        </w:div>
      </w:divsChild>
    </w:div>
    <w:div w:id="1406417812">
      <w:bodyDiv w:val="1"/>
      <w:marLeft w:val="0"/>
      <w:marRight w:val="0"/>
      <w:marTop w:val="0"/>
      <w:marBottom w:val="0"/>
      <w:divBdr>
        <w:top w:val="none" w:sz="0" w:space="0" w:color="auto"/>
        <w:left w:val="none" w:sz="0" w:space="0" w:color="auto"/>
        <w:bottom w:val="none" w:sz="0" w:space="0" w:color="auto"/>
        <w:right w:val="none" w:sz="0" w:space="0" w:color="auto"/>
      </w:divBdr>
    </w:div>
    <w:div w:id="1558203755">
      <w:bodyDiv w:val="1"/>
      <w:marLeft w:val="0"/>
      <w:marRight w:val="0"/>
      <w:marTop w:val="0"/>
      <w:marBottom w:val="0"/>
      <w:divBdr>
        <w:top w:val="none" w:sz="0" w:space="0" w:color="auto"/>
        <w:left w:val="none" w:sz="0" w:space="0" w:color="auto"/>
        <w:bottom w:val="none" w:sz="0" w:space="0" w:color="auto"/>
        <w:right w:val="none" w:sz="0" w:space="0" w:color="auto"/>
      </w:divBdr>
    </w:div>
    <w:div w:id="1659193266">
      <w:bodyDiv w:val="1"/>
      <w:marLeft w:val="0"/>
      <w:marRight w:val="0"/>
      <w:marTop w:val="0"/>
      <w:marBottom w:val="0"/>
      <w:divBdr>
        <w:top w:val="none" w:sz="0" w:space="0" w:color="auto"/>
        <w:left w:val="none" w:sz="0" w:space="0" w:color="auto"/>
        <w:bottom w:val="none" w:sz="0" w:space="0" w:color="auto"/>
        <w:right w:val="none" w:sz="0" w:space="0" w:color="auto"/>
      </w:divBdr>
    </w:div>
    <w:div w:id="1907522399">
      <w:bodyDiv w:val="1"/>
      <w:marLeft w:val="0"/>
      <w:marRight w:val="0"/>
      <w:marTop w:val="0"/>
      <w:marBottom w:val="0"/>
      <w:divBdr>
        <w:top w:val="none" w:sz="0" w:space="0" w:color="auto"/>
        <w:left w:val="none" w:sz="0" w:space="0" w:color="auto"/>
        <w:bottom w:val="none" w:sz="0" w:space="0" w:color="auto"/>
        <w:right w:val="none" w:sz="0" w:space="0" w:color="auto"/>
      </w:divBdr>
    </w:div>
    <w:div w:id="192145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leanenergyregulator.gov.au/ERF/Want-to-participate-in-the-Emissions-Reduction-Fund/Planning-a-project" TargetMode="External"/><Relationship Id="rId18" Type="http://schemas.openxmlformats.org/officeDocument/2006/relationships/hyperlink" Target="http://www.cleanenergyregulator.gov.au/OSR/C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leanenergyregulator.gov.au/OSR/ANREU/Opening-an-ANREU-accou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leanenergyregulator.gov.au/OSR/C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cleanenergyregulator.gov.au/ERF/Want-to-participate-in-the-Emissions-Reduction-Fund/Making-changes-to-your-proje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leanenergyregulator.gov.au/About/Policies-and-publications/fit-and-proper-person-posture"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ature.com/articles/s41467-018-04423-1" TargetMode="External"/><Relationship Id="rId13" Type="http://schemas.openxmlformats.org/officeDocument/2006/relationships/hyperlink" Target="https://cergovau-my.sharepoint.com/personal/patrick_passey_cer_gov_au/Documents/Desktop/Edi/Client%20Portal%20(cleanenergyregulator.gov.au)" TargetMode="External"/><Relationship Id="rId3" Type="http://schemas.openxmlformats.org/officeDocument/2006/relationships/hyperlink" Target="http://www.cleanenergyregulator.gov.au/ERF/Want-to-participate-in-the-Emissions-Reduction-Fund/Planning-a-project" TargetMode="External"/><Relationship Id="rId7" Type="http://schemas.openxmlformats.org/officeDocument/2006/relationships/hyperlink" Target="https://www.ipcc.ch/report/carbon-dioxide-capture-and-storage/" TargetMode="External"/><Relationship Id="rId12" Type="http://schemas.openxmlformats.org/officeDocument/2006/relationships/hyperlink" Target="http://www.mdpi.com/journal/resources" TargetMode="External"/><Relationship Id="rId2" Type="http://schemas.openxmlformats.org/officeDocument/2006/relationships/hyperlink" Target="https://www.industry.gov.au/data-and-publications/technology-investment-roadmap-first-low-emissions-technology-statement-2020" TargetMode="External"/><Relationship Id="rId1" Type="http://schemas.openxmlformats.org/officeDocument/2006/relationships/hyperlink" Target="http://www.cleanenergyregulator.gov.au/Infohub/Markets/Pages/Buying-ACCUs.aspx" TargetMode="External"/><Relationship Id="rId6" Type="http://schemas.openxmlformats.org/officeDocument/2006/relationships/hyperlink" Target="http://www.cleanenergyregulator.gov.au/ERF/Want-to-participate-in-the-Emissions-Reduction-Fund/Planning-a-project/regulatory-additionality-and-government-programs" TargetMode="External"/><Relationship Id="rId11" Type="http://schemas.openxmlformats.org/officeDocument/2006/relationships/hyperlink" Target="https://natural-gas.centre.uq.edu.au/ccs/about-ccs" TargetMode="External"/><Relationship Id="rId5" Type="http://schemas.openxmlformats.org/officeDocument/2006/relationships/hyperlink" Target="http://www.cleanenergyregulator.gov.au/ERF/Want-to-participate-in-the-Emissions-Reduction-Fund/Planning-a-project/regulatory-additionality-and-government-programs" TargetMode="External"/><Relationship Id="rId15" Type="http://schemas.openxmlformats.org/officeDocument/2006/relationships/hyperlink" Target="http://www.cleanenergyregulator.gov.au/NGER/The-safeguard-mechanism/Managing-excess-emissions" TargetMode="External"/><Relationship Id="rId10" Type="http://schemas.openxmlformats.org/officeDocument/2006/relationships/hyperlink" Target="http://www.ga.gov.au/about/projects/resources/onshore-energy-systems/onshore-co2-storage" TargetMode="External"/><Relationship Id="rId4" Type="http://schemas.openxmlformats.org/officeDocument/2006/relationships/hyperlink" Target="http://www.cleanenergyregulator.gov.au/About/Policies-and-publications/fit-and-proper-person-posture" TargetMode="External"/><Relationship Id="rId9" Type="http://schemas.openxmlformats.org/officeDocument/2006/relationships/hyperlink" Target="https://www.iea.org/reports/ccus-in-clean-energy-transitions" TargetMode="External"/><Relationship Id="rId14" Type="http://schemas.openxmlformats.org/officeDocument/2006/relationships/hyperlink" Target="http://www.cleanenergyregulator.gov.au/OSR/ANREU/Opening-an-ANREU-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55F2-E36F-44F8-B65E-E04BF4FC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6733</Words>
  <Characters>38381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45024</CharactersWithSpaces>
  <SharedDoc>false</SharedDoc>
  <HLinks>
    <vt:vector size="300" baseType="variant">
      <vt:variant>
        <vt:i4>6029382</vt:i4>
      </vt:variant>
      <vt:variant>
        <vt:i4>258</vt:i4>
      </vt:variant>
      <vt:variant>
        <vt:i4>0</vt:i4>
      </vt:variant>
      <vt:variant>
        <vt:i4>5</vt:i4>
      </vt:variant>
      <vt:variant>
        <vt:lpwstr>http://www.cleanenergyregulator.gov.au/OSR/CP</vt:lpwstr>
      </vt:variant>
      <vt:variant>
        <vt:lpwstr/>
      </vt:variant>
      <vt:variant>
        <vt:i4>5570624</vt:i4>
      </vt:variant>
      <vt:variant>
        <vt:i4>252</vt:i4>
      </vt:variant>
      <vt:variant>
        <vt:i4>0</vt:i4>
      </vt:variant>
      <vt:variant>
        <vt:i4>5</vt:i4>
      </vt:variant>
      <vt:variant>
        <vt:lpwstr>http://www.cleanenergyregulator.gov.au/OSR/ANREU/Opening-an-ANREU-account</vt:lpwstr>
      </vt:variant>
      <vt:variant>
        <vt:lpwstr/>
      </vt:variant>
      <vt:variant>
        <vt:i4>6029382</vt:i4>
      </vt:variant>
      <vt:variant>
        <vt:i4>249</vt:i4>
      </vt:variant>
      <vt:variant>
        <vt:i4>0</vt:i4>
      </vt:variant>
      <vt:variant>
        <vt:i4>5</vt:i4>
      </vt:variant>
      <vt:variant>
        <vt:lpwstr>http://www.cleanenergyregulator.gov.au/OSR/CP</vt:lpwstr>
      </vt:variant>
      <vt:variant>
        <vt:lpwstr/>
      </vt:variant>
      <vt:variant>
        <vt:i4>6553649</vt:i4>
      </vt:variant>
      <vt:variant>
        <vt:i4>246</vt:i4>
      </vt:variant>
      <vt:variant>
        <vt:i4>0</vt:i4>
      </vt:variant>
      <vt:variant>
        <vt:i4>5</vt:i4>
      </vt:variant>
      <vt:variant>
        <vt:lpwstr>http://www.cleanenergyregulator.gov.au/ERF/Want-to-participate-in-the-Emissions-Reduction-Fund/Planning-a-project/regulatory-additionality-and-government-programs/regulatory-additionality-for-regulated-entities-with-state-or-territory-emission-reduction-or-offsetting-requirements</vt:lpwstr>
      </vt:variant>
      <vt:variant>
        <vt:lpwstr/>
      </vt:variant>
      <vt:variant>
        <vt:i4>1376343</vt:i4>
      </vt:variant>
      <vt:variant>
        <vt:i4>243</vt:i4>
      </vt:variant>
      <vt:variant>
        <vt:i4>0</vt:i4>
      </vt:variant>
      <vt:variant>
        <vt:i4>5</vt:i4>
      </vt:variant>
      <vt:variant>
        <vt:lpwstr>http://www.cleanenergyregulator.gov.au/About/Policies-and-publications/fit-and-proper-person-posture</vt:lpwstr>
      </vt:variant>
      <vt:variant>
        <vt:lpwstr/>
      </vt:variant>
      <vt:variant>
        <vt:i4>1310730</vt:i4>
      </vt:variant>
      <vt:variant>
        <vt:i4>240</vt:i4>
      </vt:variant>
      <vt:variant>
        <vt:i4>0</vt:i4>
      </vt:variant>
      <vt:variant>
        <vt:i4>5</vt:i4>
      </vt:variant>
      <vt:variant>
        <vt:lpwstr>http://www.cleanenergyregulator.gov.au/ERF/Want-to-participate-in-the-Emissions-Reduction-Fund/Planning-a-project</vt:lpwstr>
      </vt:variant>
      <vt:variant>
        <vt:lpwstr/>
      </vt:variant>
      <vt:variant>
        <vt:i4>1835060</vt:i4>
      </vt:variant>
      <vt:variant>
        <vt:i4>230</vt:i4>
      </vt:variant>
      <vt:variant>
        <vt:i4>0</vt:i4>
      </vt:variant>
      <vt:variant>
        <vt:i4>5</vt:i4>
      </vt:variant>
      <vt:variant>
        <vt:lpwstr/>
      </vt:variant>
      <vt:variant>
        <vt:lpwstr>_Toc57372902</vt:lpwstr>
      </vt:variant>
      <vt:variant>
        <vt:i4>2031668</vt:i4>
      </vt:variant>
      <vt:variant>
        <vt:i4>224</vt:i4>
      </vt:variant>
      <vt:variant>
        <vt:i4>0</vt:i4>
      </vt:variant>
      <vt:variant>
        <vt:i4>5</vt:i4>
      </vt:variant>
      <vt:variant>
        <vt:lpwstr/>
      </vt:variant>
      <vt:variant>
        <vt:lpwstr>_Toc57372901</vt:lpwstr>
      </vt:variant>
      <vt:variant>
        <vt:i4>1966132</vt:i4>
      </vt:variant>
      <vt:variant>
        <vt:i4>218</vt:i4>
      </vt:variant>
      <vt:variant>
        <vt:i4>0</vt:i4>
      </vt:variant>
      <vt:variant>
        <vt:i4>5</vt:i4>
      </vt:variant>
      <vt:variant>
        <vt:lpwstr/>
      </vt:variant>
      <vt:variant>
        <vt:lpwstr>_Toc57372900</vt:lpwstr>
      </vt:variant>
      <vt:variant>
        <vt:i4>1441853</vt:i4>
      </vt:variant>
      <vt:variant>
        <vt:i4>212</vt:i4>
      </vt:variant>
      <vt:variant>
        <vt:i4>0</vt:i4>
      </vt:variant>
      <vt:variant>
        <vt:i4>5</vt:i4>
      </vt:variant>
      <vt:variant>
        <vt:lpwstr/>
      </vt:variant>
      <vt:variant>
        <vt:lpwstr>_Toc57372899</vt:lpwstr>
      </vt:variant>
      <vt:variant>
        <vt:i4>1507389</vt:i4>
      </vt:variant>
      <vt:variant>
        <vt:i4>206</vt:i4>
      </vt:variant>
      <vt:variant>
        <vt:i4>0</vt:i4>
      </vt:variant>
      <vt:variant>
        <vt:i4>5</vt:i4>
      </vt:variant>
      <vt:variant>
        <vt:lpwstr/>
      </vt:variant>
      <vt:variant>
        <vt:lpwstr>_Toc57372898</vt:lpwstr>
      </vt:variant>
      <vt:variant>
        <vt:i4>1572925</vt:i4>
      </vt:variant>
      <vt:variant>
        <vt:i4>200</vt:i4>
      </vt:variant>
      <vt:variant>
        <vt:i4>0</vt:i4>
      </vt:variant>
      <vt:variant>
        <vt:i4>5</vt:i4>
      </vt:variant>
      <vt:variant>
        <vt:lpwstr/>
      </vt:variant>
      <vt:variant>
        <vt:lpwstr>_Toc57372897</vt:lpwstr>
      </vt:variant>
      <vt:variant>
        <vt:i4>1638461</vt:i4>
      </vt:variant>
      <vt:variant>
        <vt:i4>194</vt:i4>
      </vt:variant>
      <vt:variant>
        <vt:i4>0</vt:i4>
      </vt:variant>
      <vt:variant>
        <vt:i4>5</vt:i4>
      </vt:variant>
      <vt:variant>
        <vt:lpwstr/>
      </vt:variant>
      <vt:variant>
        <vt:lpwstr>_Toc57372896</vt:lpwstr>
      </vt:variant>
      <vt:variant>
        <vt:i4>1703997</vt:i4>
      </vt:variant>
      <vt:variant>
        <vt:i4>188</vt:i4>
      </vt:variant>
      <vt:variant>
        <vt:i4>0</vt:i4>
      </vt:variant>
      <vt:variant>
        <vt:i4>5</vt:i4>
      </vt:variant>
      <vt:variant>
        <vt:lpwstr/>
      </vt:variant>
      <vt:variant>
        <vt:lpwstr>_Toc57372895</vt:lpwstr>
      </vt:variant>
      <vt:variant>
        <vt:i4>1769533</vt:i4>
      </vt:variant>
      <vt:variant>
        <vt:i4>182</vt:i4>
      </vt:variant>
      <vt:variant>
        <vt:i4>0</vt:i4>
      </vt:variant>
      <vt:variant>
        <vt:i4>5</vt:i4>
      </vt:variant>
      <vt:variant>
        <vt:lpwstr/>
      </vt:variant>
      <vt:variant>
        <vt:lpwstr>_Toc57372894</vt:lpwstr>
      </vt:variant>
      <vt:variant>
        <vt:i4>1835069</vt:i4>
      </vt:variant>
      <vt:variant>
        <vt:i4>176</vt:i4>
      </vt:variant>
      <vt:variant>
        <vt:i4>0</vt:i4>
      </vt:variant>
      <vt:variant>
        <vt:i4>5</vt:i4>
      </vt:variant>
      <vt:variant>
        <vt:lpwstr/>
      </vt:variant>
      <vt:variant>
        <vt:lpwstr>_Toc57372893</vt:lpwstr>
      </vt:variant>
      <vt:variant>
        <vt:i4>1900605</vt:i4>
      </vt:variant>
      <vt:variant>
        <vt:i4>170</vt:i4>
      </vt:variant>
      <vt:variant>
        <vt:i4>0</vt:i4>
      </vt:variant>
      <vt:variant>
        <vt:i4>5</vt:i4>
      </vt:variant>
      <vt:variant>
        <vt:lpwstr/>
      </vt:variant>
      <vt:variant>
        <vt:lpwstr>_Toc57372892</vt:lpwstr>
      </vt:variant>
      <vt:variant>
        <vt:i4>1966141</vt:i4>
      </vt:variant>
      <vt:variant>
        <vt:i4>164</vt:i4>
      </vt:variant>
      <vt:variant>
        <vt:i4>0</vt:i4>
      </vt:variant>
      <vt:variant>
        <vt:i4>5</vt:i4>
      </vt:variant>
      <vt:variant>
        <vt:lpwstr/>
      </vt:variant>
      <vt:variant>
        <vt:lpwstr>_Toc57372891</vt:lpwstr>
      </vt:variant>
      <vt:variant>
        <vt:i4>2031677</vt:i4>
      </vt:variant>
      <vt:variant>
        <vt:i4>158</vt:i4>
      </vt:variant>
      <vt:variant>
        <vt:i4>0</vt:i4>
      </vt:variant>
      <vt:variant>
        <vt:i4>5</vt:i4>
      </vt:variant>
      <vt:variant>
        <vt:lpwstr/>
      </vt:variant>
      <vt:variant>
        <vt:lpwstr>_Toc57372890</vt:lpwstr>
      </vt:variant>
      <vt:variant>
        <vt:i4>1441852</vt:i4>
      </vt:variant>
      <vt:variant>
        <vt:i4>152</vt:i4>
      </vt:variant>
      <vt:variant>
        <vt:i4>0</vt:i4>
      </vt:variant>
      <vt:variant>
        <vt:i4>5</vt:i4>
      </vt:variant>
      <vt:variant>
        <vt:lpwstr/>
      </vt:variant>
      <vt:variant>
        <vt:lpwstr>_Toc57372889</vt:lpwstr>
      </vt:variant>
      <vt:variant>
        <vt:i4>1507388</vt:i4>
      </vt:variant>
      <vt:variant>
        <vt:i4>146</vt:i4>
      </vt:variant>
      <vt:variant>
        <vt:i4>0</vt:i4>
      </vt:variant>
      <vt:variant>
        <vt:i4>5</vt:i4>
      </vt:variant>
      <vt:variant>
        <vt:lpwstr/>
      </vt:variant>
      <vt:variant>
        <vt:lpwstr>_Toc57372888</vt:lpwstr>
      </vt:variant>
      <vt:variant>
        <vt:i4>1572924</vt:i4>
      </vt:variant>
      <vt:variant>
        <vt:i4>140</vt:i4>
      </vt:variant>
      <vt:variant>
        <vt:i4>0</vt:i4>
      </vt:variant>
      <vt:variant>
        <vt:i4>5</vt:i4>
      </vt:variant>
      <vt:variant>
        <vt:lpwstr/>
      </vt:variant>
      <vt:variant>
        <vt:lpwstr>_Toc57372887</vt:lpwstr>
      </vt:variant>
      <vt:variant>
        <vt:i4>1638460</vt:i4>
      </vt:variant>
      <vt:variant>
        <vt:i4>134</vt:i4>
      </vt:variant>
      <vt:variant>
        <vt:i4>0</vt:i4>
      </vt:variant>
      <vt:variant>
        <vt:i4>5</vt:i4>
      </vt:variant>
      <vt:variant>
        <vt:lpwstr/>
      </vt:variant>
      <vt:variant>
        <vt:lpwstr>_Toc57372886</vt:lpwstr>
      </vt:variant>
      <vt:variant>
        <vt:i4>1703996</vt:i4>
      </vt:variant>
      <vt:variant>
        <vt:i4>128</vt:i4>
      </vt:variant>
      <vt:variant>
        <vt:i4>0</vt:i4>
      </vt:variant>
      <vt:variant>
        <vt:i4>5</vt:i4>
      </vt:variant>
      <vt:variant>
        <vt:lpwstr/>
      </vt:variant>
      <vt:variant>
        <vt:lpwstr>_Toc57372885</vt:lpwstr>
      </vt:variant>
      <vt:variant>
        <vt:i4>1769532</vt:i4>
      </vt:variant>
      <vt:variant>
        <vt:i4>122</vt:i4>
      </vt:variant>
      <vt:variant>
        <vt:i4>0</vt:i4>
      </vt:variant>
      <vt:variant>
        <vt:i4>5</vt:i4>
      </vt:variant>
      <vt:variant>
        <vt:lpwstr/>
      </vt:variant>
      <vt:variant>
        <vt:lpwstr>_Toc57372884</vt:lpwstr>
      </vt:variant>
      <vt:variant>
        <vt:i4>1835068</vt:i4>
      </vt:variant>
      <vt:variant>
        <vt:i4>116</vt:i4>
      </vt:variant>
      <vt:variant>
        <vt:i4>0</vt:i4>
      </vt:variant>
      <vt:variant>
        <vt:i4>5</vt:i4>
      </vt:variant>
      <vt:variant>
        <vt:lpwstr/>
      </vt:variant>
      <vt:variant>
        <vt:lpwstr>_Toc57372883</vt:lpwstr>
      </vt:variant>
      <vt:variant>
        <vt:i4>1900604</vt:i4>
      </vt:variant>
      <vt:variant>
        <vt:i4>110</vt:i4>
      </vt:variant>
      <vt:variant>
        <vt:i4>0</vt:i4>
      </vt:variant>
      <vt:variant>
        <vt:i4>5</vt:i4>
      </vt:variant>
      <vt:variant>
        <vt:lpwstr/>
      </vt:variant>
      <vt:variant>
        <vt:lpwstr>_Toc57372882</vt:lpwstr>
      </vt:variant>
      <vt:variant>
        <vt:i4>1966140</vt:i4>
      </vt:variant>
      <vt:variant>
        <vt:i4>104</vt:i4>
      </vt:variant>
      <vt:variant>
        <vt:i4>0</vt:i4>
      </vt:variant>
      <vt:variant>
        <vt:i4>5</vt:i4>
      </vt:variant>
      <vt:variant>
        <vt:lpwstr/>
      </vt:variant>
      <vt:variant>
        <vt:lpwstr>_Toc57372881</vt:lpwstr>
      </vt:variant>
      <vt:variant>
        <vt:i4>2031676</vt:i4>
      </vt:variant>
      <vt:variant>
        <vt:i4>98</vt:i4>
      </vt:variant>
      <vt:variant>
        <vt:i4>0</vt:i4>
      </vt:variant>
      <vt:variant>
        <vt:i4>5</vt:i4>
      </vt:variant>
      <vt:variant>
        <vt:lpwstr/>
      </vt:variant>
      <vt:variant>
        <vt:lpwstr>_Toc57372880</vt:lpwstr>
      </vt:variant>
      <vt:variant>
        <vt:i4>1441843</vt:i4>
      </vt:variant>
      <vt:variant>
        <vt:i4>92</vt:i4>
      </vt:variant>
      <vt:variant>
        <vt:i4>0</vt:i4>
      </vt:variant>
      <vt:variant>
        <vt:i4>5</vt:i4>
      </vt:variant>
      <vt:variant>
        <vt:lpwstr/>
      </vt:variant>
      <vt:variant>
        <vt:lpwstr>_Toc57372879</vt:lpwstr>
      </vt:variant>
      <vt:variant>
        <vt:i4>1507379</vt:i4>
      </vt:variant>
      <vt:variant>
        <vt:i4>86</vt:i4>
      </vt:variant>
      <vt:variant>
        <vt:i4>0</vt:i4>
      </vt:variant>
      <vt:variant>
        <vt:i4>5</vt:i4>
      </vt:variant>
      <vt:variant>
        <vt:lpwstr/>
      </vt:variant>
      <vt:variant>
        <vt:lpwstr>_Toc57372878</vt:lpwstr>
      </vt:variant>
      <vt:variant>
        <vt:i4>1572915</vt:i4>
      </vt:variant>
      <vt:variant>
        <vt:i4>80</vt:i4>
      </vt:variant>
      <vt:variant>
        <vt:i4>0</vt:i4>
      </vt:variant>
      <vt:variant>
        <vt:i4>5</vt:i4>
      </vt:variant>
      <vt:variant>
        <vt:lpwstr/>
      </vt:variant>
      <vt:variant>
        <vt:lpwstr>_Toc57372877</vt:lpwstr>
      </vt:variant>
      <vt:variant>
        <vt:i4>1638451</vt:i4>
      </vt:variant>
      <vt:variant>
        <vt:i4>74</vt:i4>
      </vt:variant>
      <vt:variant>
        <vt:i4>0</vt:i4>
      </vt:variant>
      <vt:variant>
        <vt:i4>5</vt:i4>
      </vt:variant>
      <vt:variant>
        <vt:lpwstr/>
      </vt:variant>
      <vt:variant>
        <vt:lpwstr>_Toc57372876</vt:lpwstr>
      </vt:variant>
      <vt:variant>
        <vt:i4>1703987</vt:i4>
      </vt:variant>
      <vt:variant>
        <vt:i4>68</vt:i4>
      </vt:variant>
      <vt:variant>
        <vt:i4>0</vt:i4>
      </vt:variant>
      <vt:variant>
        <vt:i4>5</vt:i4>
      </vt:variant>
      <vt:variant>
        <vt:lpwstr/>
      </vt:variant>
      <vt:variant>
        <vt:lpwstr>_Toc57372875</vt:lpwstr>
      </vt:variant>
      <vt:variant>
        <vt:i4>1769523</vt:i4>
      </vt:variant>
      <vt:variant>
        <vt:i4>62</vt:i4>
      </vt:variant>
      <vt:variant>
        <vt:i4>0</vt:i4>
      </vt:variant>
      <vt:variant>
        <vt:i4>5</vt:i4>
      </vt:variant>
      <vt:variant>
        <vt:lpwstr/>
      </vt:variant>
      <vt:variant>
        <vt:lpwstr>_Toc57372874</vt:lpwstr>
      </vt:variant>
      <vt:variant>
        <vt:i4>1835059</vt:i4>
      </vt:variant>
      <vt:variant>
        <vt:i4>56</vt:i4>
      </vt:variant>
      <vt:variant>
        <vt:i4>0</vt:i4>
      </vt:variant>
      <vt:variant>
        <vt:i4>5</vt:i4>
      </vt:variant>
      <vt:variant>
        <vt:lpwstr/>
      </vt:variant>
      <vt:variant>
        <vt:lpwstr>_Toc57372873</vt:lpwstr>
      </vt:variant>
      <vt:variant>
        <vt:i4>1900595</vt:i4>
      </vt:variant>
      <vt:variant>
        <vt:i4>50</vt:i4>
      </vt:variant>
      <vt:variant>
        <vt:i4>0</vt:i4>
      </vt:variant>
      <vt:variant>
        <vt:i4>5</vt:i4>
      </vt:variant>
      <vt:variant>
        <vt:lpwstr/>
      </vt:variant>
      <vt:variant>
        <vt:lpwstr>_Toc57372872</vt:lpwstr>
      </vt:variant>
      <vt:variant>
        <vt:i4>1966131</vt:i4>
      </vt:variant>
      <vt:variant>
        <vt:i4>44</vt:i4>
      </vt:variant>
      <vt:variant>
        <vt:i4>0</vt:i4>
      </vt:variant>
      <vt:variant>
        <vt:i4>5</vt:i4>
      </vt:variant>
      <vt:variant>
        <vt:lpwstr/>
      </vt:variant>
      <vt:variant>
        <vt:lpwstr>_Toc57372871</vt:lpwstr>
      </vt:variant>
      <vt:variant>
        <vt:i4>2031667</vt:i4>
      </vt:variant>
      <vt:variant>
        <vt:i4>38</vt:i4>
      </vt:variant>
      <vt:variant>
        <vt:i4>0</vt:i4>
      </vt:variant>
      <vt:variant>
        <vt:i4>5</vt:i4>
      </vt:variant>
      <vt:variant>
        <vt:lpwstr/>
      </vt:variant>
      <vt:variant>
        <vt:lpwstr>_Toc57372870</vt:lpwstr>
      </vt:variant>
      <vt:variant>
        <vt:i4>1441842</vt:i4>
      </vt:variant>
      <vt:variant>
        <vt:i4>32</vt:i4>
      </vt:variant>
      <vt:variant>
        <vt:i4>0</vt:i4>
      </vt:variant>
      <vt:variant>
        <vt:i4>5</vt:i4>
      </vt:variant>
      <vt:variant>
        <vt:lpwstr/>
      </vt:variant>
      <vt:variant>
        <vt:lpwstr>_Toc57372869</vt:lpwstr>
      </vt:variant>
      <vt:variant>
        <vt:i4>1507378</vt:i4>
      </vt:variant>
      <vt:variant>
        <vt:i4>26</vt:i4>
      </vt:variant>
      <vt:variant>
        <vt:i4>0</vt:i4>
      </vt:variant>
      <vt:variant>
        <vt:i4>5</vt:i4>
      </vt:variant>
      <vt:variant>
        <vt:lpwstr/>
      </vt:variant>
      <vt:variant>
        <vt:lpwstr>_Toc57372868</vt:lpwstr>
      </vt:variant>
      <vt:variant>
        <vt:i4>1572914</vt:i4>
      </vt:variant>
      <vt:variant>
        <vt:i4>20</vt:i4>
      </vt:variant>
      <vt:variant>
        <vt:i4>0</vt:i4>
      </vt:variant>
      <vt:variant>
        <vt:i4>5</vt:i4>
      </vt:variant>
      <vt:variant>
        <vt:lpwstr/>
      </vt:variant>
      <vt:variant>
        <vt:lpwstr>_Toc57372867</vt:lpwstr>
      </vt:variant>
      <vt:variant>
        <vt:i4>1638450</vt:i4>
      </vt:variant>
      <vt:variant>
        <vt:i4>14</vt:i4>
      </vt:variant>
      <vt:variant>
        <vt:i4>0</vt:i4>
      </vt:variant>
      <vt:variant>
        <vt:i4>5</vt:i4>
      </vt:variant>
      <vt:variant>
        <vt:lpwstr/>
      </vt:variant>
      <vt:variant>
        <vt:lpwstr>_Toc57372866</vt:lpwstr>
      </vt:variant>
      <vt:variant>
        <vt:i4>1703986</vt:i4>
      </vt:variant>
      <vt:variant>
        <vt:i4>8</vt:i4>
      </vt:variant>
      <vt:variant>
        <vt:i4>0</vt:i4>
      </vt:variant>
      <vt:variant>
        <vt:i4>5</vt:i4>
      </vt:variant>
      <vt:variant>
        <vt:lpwstr/>
      </vt:variant>
      <vt:variant>
        <vt:lpwstr>_Toc57372865</vt:lpwstr>
      </vt:variant>
      <vt:variant>
        <vt:i4>1769522</vt:i4>
      </vt:variant>
      <vt:variant>
        <vt:i4>2</vt:i4>
      </vt:variant>
      <vt:variant>
        <vt:i4>0</vt:i4>
      </vt:variant>
      <vt:variant>
        <vt:i4>5</vt:i4>
      </vt:variant>
      <vt:variant>
        <vt:lpwstr/>
      </vt:variant>
      <vt:variant>
        <vt:lpwstr>_Toc57372864</vt:lpwstr>
      </vt:variant>
      <vt:variant>
        <vt:i4>5570624</vt:i4>
      </vt:variant>
      <vt:variant>
        <vt:i4>12</vt:i4>
      </vt:variant>
      <vt:variant>
        <vt:i4>0</vt:i4>
      </vt:variant>
      <vt:variant>
        <vt:i4>5</vt:i4>
      </vt:variant>
      <vt:variant>
        <vt:lpwstr>http://www.cleanenergyregulator.gov.au/OSR/ANREU/Opening-an-ANREU-account</vt:lpwstr>
      </vt:variant>
      <vt:variant>
        <vt:lpwstr/>
      </vt:variant>
      <vt:variant>
        <vt:i4>6029382</vt:i4>
      </vt:variant>
      <vt:variant>
        <vt:i4>9</vt:i4>
      </vt:variant>
      <vt:variant>
        <vt:i4>0</vt:i4>
      </vt:variant>
      <vt:variant>
        <vt:i4>5</vt:i4>
      </vt:variant>
      <vt:variant>
        <vt:lpwstr>http://www.cleanenergyregulator.gov.au/OSR/CP</vt:lpwstr>
      </vt:variant>
      <vt:variant>
        <vt:lpwstr/>
      </vt:variant>
      <vt:variant>
        <vt:i4>1376343</vt:i4>
      </vt:variant>
      <vt:variant>
        <vt:i4>6</vt:i4>
      </vt:variant>
      <vt:variant>
        <vt:i4>0</vt:i4>
      </vt:variant>
      <vt:variant>
        <vt:i4>5</vt:i4>
      </vt:variant>
      <vt:variant>
        <vt:lpwstr>http://www.cleanenergyregulator.gov.au/About/Policies-and-publications/fit-and-proper-person-posture</vt:lpwstr>
      </vt:variant>
      <vt:variant>
        <vt:lpwstr/>
      </vt:variant>
      <vt:variant>
        <vt:i4>1310730</vt:i4>
      </vt:variant>
      <vt:variant>
        <vt:i4>3</vt:i4>
      </vt:variant>
      <vt:variant>
        <vt:i4>0</vt:i4>
      </vt:variant>
      <vt:variant>
        <vt:i4>5</vt:i4>
      </vt:variant>
      <vt:variant>
        <vt:lpwstr>http://www.cleanenergyregulator.gov.au/ERF/Want-to-participate-in-the-Emissions-Reduction-Fund/Planning-a-project</vt:lpwstr>
      </vt:variant>
      <vt:variant>
        <vt:lpwstr/>
      </vt:variant>
      <vt:variant>
        <vt:i4>3801203</vt:i4>
      </vt:variant>
      <vt:variant>
        <vt:i4>0</vt:i4>
      </vt:variant>
      <vt:variant>
        <vt:i4>0</vt:i4>
      </vt:variant>
      <vt:variant>
        <vt:i4>5</vt:i4>
      </vt:variant>
      <vt:variant>
        <vt:lpwstr>http://www.cleanenergyregulator.gov.au/ERF/Want-to-participate-in-the-Emissions-Reduction-Fund/Step-2-Contracts-and-auctions/bidding-at-an-auction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2021-07-23T01:58:00Z</dcterms:created>
  <dcterms:modified xsi:type="dcterms:W3CDTF">2021-07-23T01:58:00Z</dcterms:modified>
</cp:coreProperties>
</file>