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47010989" w:displacedByCustomXml="next"/>
    <w:bookmarkStart w:id="2" w:name="_Toc30768715" w:displacedByCustomXml="next"/>
    <w:bookmarkStart w:id="3" w:name="_Toc19289776" w:displacedByCustomXml="next"/>
    <w:bookmarkStart w:id="4" w:name="_Toc19289643" w:displacedByCustomXml="next"/>
    <w:bookmarkStart w:id="5" w:name="_Toc33531164"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1" w:displacedByCustomXml="next"/>
        <w:bookmarkEnd w:id="2" w:displacedByCustomXml="next"/>
        <w:bookmarkEnd w:id="3" w:displacedByCustomXml="next"/>
        <w:bookmarkEnd w:id="4" w:displacedByCustomXml="next"/>
        <w:bookmarkEnd w:id="5" w:displacedByCustomXml="next"/>
        <w:sdt>
          <w:sdtPr>
            <w:alias w:val="Title"/>
            <w:tag w:val=""/>
            <w:id w:val="-856345196"/>
            <w:placeholder>
              <w:docPart w:val="BED5E3C4D07540B384B8D47724F86442"/>
            </w:placeholder>
            <w:dataBinding w:prefixMappings="xmlns:ns0='http://purl.org/dc/elements/1.1/' xmlns:ns1='http://schemas.openxmlformats.org/package/2006/metadata/core-properties' " w:xpath="/ns1:coreProperties[1]/ns0:title[1]" w:storeItemID="{6C3C8BC8-F283-45AE-878A-BAB7291924A1}"/>
            <w:text/>
          </w:sdtPr>
          <w:sdtEndPr/>
          <w:sdtContent>
            <w:p w14:paraId="791D7E37" w14:textId="44334041" w:rsidR="0068286F" w:rsidRPr="00BD1A6E" w:rsidRDefault="00C129B6" w:rsidP="00777E0F">
              <w:pPr>
                <w:pStyle w:val="Title"/>
                <w:pBdr>
                  <w:bottom w:val="single" w:sz="8" w:space="2" w:color="FFFFFF" w:themeColor="background1"/>
                </w:pBdr>
              </w:pPr>
              <w:r>
                <w:t>Country of Origin Labelling for Complementary Medicines: Proposed Information Standard</w:t>
              </w:r>
            </w:p>
          </w:sdtContent>
        </w:sdt>
        <w:p w14:paraId="01AFA55C" w14:textId="2970A388" w:rsidR="00777E0F" w:rsidRDefault="00294E63">
          <w:pPr>
            <w:rPr>
              <w:rFonts w:eastAsiaTheme="minorEastAsia"/>
              <w:color w:val="FFFFFF" w:themeColor="background1"/>
              <w:sz w:val="40"/>
            </w:rPr>
          </w:pPr>
          <w:r w:rsidRPr="00BD1A6E">
            <w:rPr>
              <w:rFonts w:eastAsiaTheme="minorEastAsia"/>
              <w:color w:val="FFFFFF" w:themeColor="background1"/>
              <w:sz w:val="40"/>
            </w:rPr>
            <w:t>Discussion Paper</w:t>
          </w:r>
        </w:p>
        <w:p w14:paraId="7B800454" w14:textId="6991785D" w:rsidR="0068286F" w:rsidRPr="00BD1A6E" w:rsidRDefault="00294E63">
          <w:r w:rsidRPr="00BD1A6E">
            <w:t xml:space="preserve"> </w:t>
          </w:r>
          <w:r w:rsidR="0068286F" w:rsidRPr="00BD1A6E">
            <w:br w:type="page"/>
          </w:r>
        </w:p>
        <w:p w14:paraId="7933108F" w14:textId="77777777" w:rsidR="001D216A" w:rsidRPr="00BD1A6E" w:rsidRDefault="001D216A" w:rsidP="00E3027E">
          <w:pPr>
            <w:pStyle w:val="Heading2"/>
          </w:pPr>
          <w:bookmarkStart w:id="6" w:name="_Toc19023739"/>
          <w:bookmarkStart w:id="7" w:name="_Toc19289644"/>
          <w:bookmarkStart w:id="8" w:name="_Toc19289777"/>
          <w:bookmarkStart w:id="9" w:name="_Toc30768716"/>
          <w:bookmarkStart w:id="10" w:name="_Toc33531165"/>
          <w:bookmarkStart w:id="11" w:name="_Toc47010990"/>
          <w:r w:rsidRPr="00BD1A6E">
            <w:lastRenderedPageBreak/>
            <w:t>Copyright</w:t>
          </w:r>
          <w:bookmarkEnd w:id="6"/>
          <w:bookmarkEnd w:id="7"/>
          <w:bookmarkEnd w:id="8"/>
          <w:bookmarkEnd w:id="9"/>
          <w:bookmarkEnd w:id="10"/>
          <w:bookmarkEnd w:id="11"/>
        </w:p>
        <w:p w14:paraId="370F3C81" w14:textId="77777777" w:rsidR="0068286F" w:rsidRPr="00BD1A6E" w:rsidRDefault="0068286F" w:rsidP="0068286F">
          <w:pPr>
            <w:rPr>
              <w:rStyle w:val="Strong"/>
            </w:rPr>
          </w:pPr>
          <w:r w:rsidRPr="00BD1A6E">
            <w:rPr>
              <w:rStyle w:val="Strong"/>
            </w:rPr>
            <w:t>© Commonwealth of Australia 20</w:t>
          </w:r>
          <w:r w:rsidR="00B501BC" w:rsidRPr="00BD1A6E">
            <w:rPr>
              <w:rStyle w:val="Strong"/>
            </w:rPr>
            <w:t>20</w:t>
          </w:r>
        </w:p>
        <w:p w14:paraId="5E90F2C2" w14:textId="77777777" w:rsidR="0068286F" w:rsidRPr="00BD1A6E" w:rsidRDefault="0068286F" w:rsidP="0068286F">
          <w:pPr>
            <w:rPr>
              <w:rStyle w:val="Strong"/>
            </w:rPr>
          </w:pPr>
          <w:r w:rsidRPr="00BD1A6E">
            <w:rPr>
              <w:rStyle w:val="Strong"/>
            </w:rPr>
            <w:t>Ownership of intellectual property rights</w:t>
          </w:r>
        </w:p>
        <w:p w14:paraId="79BDEAC5" w14:textId="77777777" w:rsidR="0068286F" w:rsidRPr="00BD1A6E" w:rsidRDefault="0068286F" w:rsidP="0068286F">
          <w:r w:rsidRPr="00BD1A6E">
            <w:t>Unless otherwise noted, copyright (and any other intellectual property rights, if any) in this publication is owned by the Commonwealth of Australia.</w:t>
          </w:r>
        </w:p>
        <w:p w14:paraId="05E46FCC" w14:textId="3573EB93" w:rsidR="0068286F" w:rsidRPr="00BD1A6E" w:rsidRDefault="0068286F" w:rsidP="00310CB5">
          <w:pPr>
            <w:rPr>
              <w:rStyle w:val="Strong"/>
            </w:rPr>
          </w:pPr>
          <w:r w:rsidRPr="00BD1A6E">
            <w:rPr>
              <w:rStyle w:val="Strong"/>
            </w:rPr>
            <w:t>Creative Commons licence</w:t>
          </w:r>
        </w:p>
        <w:p w14:paraId="27A18BB3" w14:textId="77777777" w:rsidR="001D216A" w:rsidRPr="00BD1A6E" w:rsidRDefault="001D216A" w:rsidP="0068286F">
          <w:pPr>
            <w:rPr>
              <w:rStyle w:val="Strong"/>
            </w:rPr>
          </w:pPr>
          <w:r w:rsidRPr="00BD1A6E">
            <w:rPr>
              <w:b/>
              <w:noProof/>
              <w:lang w:eastAsia="en-AU"/>
            </w:rPr>
            <w:drawing>
              <wp:inline distT="0" distB="0" distL="0" distR="0" wp14:anchorId="6C8DD316" wp14:editId="17E7EEC7">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7B791A68" w14:textId="77777777" w:rsidR="0068286F" w:rsidRPr="00BD1A6E" w:rsidRDefault="0068286F" w:rsidP="0068286F">
          <w:pPr>
            <w:rPr>
              <w:rStyle w:val="Strong"/>
            </w:rPr>
          </w:pPr>
          <w:r w:rsidRPr="00BD1A6E">
            <w:rPr>
              <w:rStyle w:val="Strong"/>
            </w:rPr>
            <w:t xml:space="preserve">Attribution </w:t>
          </w:r>
        </w:p>
        <w:p w14:paraId="6FF6F373" w14:textId="77777777" w:rsidR="0068286F" w:rsidRPr="00BD1A6E" w:rsidRDefault="0068286F" w:rsidP="0068286F">
          <w:pPr>
            <w:rPr>
              <w:rStyle w:val="Strong"/>
            </w:rPr>
          </w:pPr>
          <w:r w:rsidRPr="00BD1A6E">
            <w:rPr>
              <w:rStyle w:val="Strong"/>
            </w:rPr>
            <w:t>CC BY</w:t>
          </w:r>
        </w:p>
        <w:p w14:paraId="6FE683BA" w14:textId="77777777" w:rsidR="0068286F" w:rsidRPr="00BD1A6E" w:rsidRDefault="0068286F" w:rsidP="0068286F">
          <w:r w:rsidRPr="00BD1A6E">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795867A2" w14:textId="77777777" w:rsidR="0068286F" w:rsidRPr="00BD1A6E" w:rsidRDefault="0068286F" w:rsidP="0068286F">
          <w:r w:rsidRPr="00BD1A6E">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001D216A" w:rsidRPr="00BD1A6E">
              <w:rPr>
                <w:rStyle w:val="Hyperlink"/>
              </w:rPr>
              <w:t>https://creativecommons.org/licenses/by/4.0/</w:t>
            </w:r>
          </w:hyperlink>
        </w:p>
        <w:p w14:paraId="4F8CB5CD" w14:textId="77777777" w:rsidR="0068286F" w:rsidRPr="00BD1A6E" w:rsidRDefault="0068286F" w:rsidP="0068286F">
          <w:r w:rsidRPr="00BD1A6E">
            <w:t xml:space="preserve">The full licence terms are available from </w:t>
          </w:r>
          <w:hyperlink r:id="rId14" w:history="1">
            <w:r w:rsidR="001D216A" w:rsidRPr="00BD1A6E">
              <w:rPr>
                <w:rStyle w:val="Hyperlink"/>
              </w:rPr>
              <w:t>https://creativecommons.org/licenses/by/4.0/legalcode</w:t>
            </w:r>
          </w:hyperlink>
        </w:p>
        <w:p w14:paraId="64274E5D" w14:textId="39A0A8FB" w:rsidR="0068286F" w:rsidRPr="00BD1A6E" w:rsidRDefault="0068286F" w:rsidP="0068286F">
          <w:pPr>
            <w:rPr>
              <w:i/>
            </w:rPr>
          </w:pPr>
          <w:r w:rsidRPr="00BD1A6E">
            <w:t xml:space="preserve">Content contained herein should be attributed as </w:t>
          </w:r>
          <w:r w:rsidR="00FC4350" w:rsidRPr="00BD1A6E">
            <w:rPr>
              <w:i/>
            </w:rPr>
            <w:t xml:space="preserve">Country of Origin Labelling for Complementary Medicines Information Standard Discussion Paper </w:t>
          </w:r>
          <w:r w:rsidR="001D216A" w:rsidRPr="00BD1A6E">
            <w:rPr>
              <w:i/>
            </w:rPr>
            <w:t xml:space="preserve">Australian Government Department of Industry, </w:t>
          </w:r>
          <w:r w:rsidR="005B0DBC" w:rsidRPr="00BD1A6E">
            <w:rPr>
              <w:i/>
            </w:rPr>
            <w:t>Science, Energy and Resources.</w:t>
          </w:r>
        </w:p>
        <w:p w14:paraId="52F63E45" w14:textId="77777777" w:rsidR="0068286F" w:rsidRPr="00BD1A6E" w:rsidRDefault="0068286F" w:rsidP="001D216A">
          <w:pPr>
            <w:pStyle w:val="Heading2"/>
          </w:pPr>
          <w:bookmarkStart w:id="12" w:name="_Toc19023740"/>
          <w:bookmarkStart w:id="13" w:name="_Toc19289645"/>
          <w:bookmarkStart w:id="14" w:name="_Toc19289778"/>
          <w:bookmarkStart w:id="15" w:name="_Toc30768717"/>
          <w:bookmarkStart w:id="16" w:name="_Toc33531166"/>
          <w:bookmarkStart w:id="17" w:name="_Toc47010991"/>
          <w:r w:rsidRPr="00BD1A6E">
            <w:t>Disclaimer</w:t>
          </w:r>
          <w:bookmarkEnd w:id="12"/>
          <w:bookmarkEnd w:id="13"/>
          <w:bookmarkEnd w:id="14"/>
          <w:bookmarkEnd w:id="15"/>
          <w:bookmarkEnd w:id="16"/>
          <w:bookmarkEnd w:id="17"/>
        </w:p>
        <w:p w14:paraId="4BBFB9E7" w14:textId="77777777" w:rsidR="000F2564" w:rsidRPr="00BD1A6E" w:rsidRDefault="0068286F" w:rsidP="0068286F">
          <w:r w:rsidRPr="00BD1A6E">
            <w:t xml:space="preserve">The Australian Government as represented by the Department of Industry, </w:t>
          </w:r>
          <w:r w:rsidR="005B0DBC" w:rsidRPr="00BD1A6E">
            <w:t>Science, Energy and Resources</w:t>
          </w:r>
          <w:r w:rsidRPr="00BD1A6E">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154BAEC8" w14:textId="46028E52" w:rsidR="000F2564" w:rsidRPr="00BD1A6E" w:rsidRDefault="00DF38F2" w:rsidP="000F2564">
          <w:r w:rsidRPr="00BD1A6E">
            <w:t xml:space="preserve">This discussion paper does not cover all aspects of the proposed Information Standard for the complementary medicines sector. The paper seeks feedback on key provisions, to assist in the development and finalisation of labelling requirements for complementary medicine producers who will rely on the planned 2020 legislative and regulatory reforms, to claim Australian origin for their Australian manufactured complementary medicines. </w:t>
          </w:r>
          <w:r w:rsidR="000F2564" w:rsidRPr="00BD1A6E">
            <w:br w:type="page"/>
          </w:r>
        </w:p>
        <w:p w14:paraId="137CFCA9" w14:textId="77777777" w:rsidR="00E3027E" w:rsidRPr="00BD1A6E" w:rsidRDefault="00E3027E" w:rsidP="00E3027E">
          <w:pPr>
            <w:pStyle w:val="Heading1"/>
          </w:pPr>
          <w:bookmarkStart w:id="18" w:name="_Toc19289646"/>
          <w:bookmarkStart w:id="19" w:name="_Toc19289779"/>
          <w:bookmarkStart w:id="20" w:name="_Toc30768718"/>
          <w:bookmarkStart w:id="21" w:name="_Toc33531167"/>
          <w:bookmarkStart w:id="22" w:name="_Toc47010992"/>
          <w:r w:rsidRPr="00BD1A6E">
            <w:lastRenderedPageBreak/>
            <w:t>Contents</w:t>
          </w:r>
          <w:bookmarkEnd w:id="18"/>
          <w:bookmarkEnd w:id="19"/>
          <w:bookmarkEnd w:id="20"/>
          <w:bookmarkEnd w:id="21"/>
          <w:bookmarkEnd w:id="22"/>
        </w:p>
        <w:p w14:paraId="0905C833" w14:textId="77777777" w:rsidR="00BE6326" w:rsidRDefault="00E3027E">
          <w:pPr>
            <w:pStyle w:val="TOC1"/>
            <w:rPr>
              <w:rFonts w:eastAsiaTheme="minorEastAsia"/>
              <w:noProof/>
              <w:lang w:eastAsia="en-AU"/>
            </w:rPr>
          </w:pPr>
          <w:r w:rsidRPr="00BD1A6E">
            <w:fldChar w:fldCharType="begin"/>
          </w:r>
          <w:r w:rsidRPr="00BD1A6E">
            <w:instrText xml:space="preserve"> TOC \o "1-2" \h \z \u </w:instrText>
          </w:r>
          <w:r w:rsidRPr="00BD1A6E">
            <w:fldChar w:fldCharType="separate"/>
          </w:r>
          <w:hyperlink w:anchor="_Toc47010989" w:history="1">
            <w:r w:rsidR="00BE6326" w:rsidRPr="00C144AB">
              <w:rPr>
                <w:rStyle w:val="Hyperlink"/>
                <w:noProof/>
              </w:rPr>
              <w:t xml:space="preserve">Country of Origin Labelling for Complementary Medicines: Proposed Information Standard </w:t>
            </w:r>
            <w:r w:rsidR="00BE6326">
              <w:rPr>
                <w:noProof/>
                <w:webHidden/>
              </w:rPr>
              <w:tab/>
            </w:r>
            <w:r w:rsidR="00BE6326">
              <w:rPr>
                <w:noProof/>
                <w:webHidden/>
              </w:rPr>
              <w:fldChar w:fldCharType="begin"/>
            </w:r>
            <w:r w:rsidR="00BE6326">
              <w:rPr>
                <w:noProof/>
                <w:webHidden/>
              </w:rPr>
              <w:instrText xml:space="preserve"> PAGEREF _Toc47010989 \h </w:instrText>
            </w:r>
            <w:r w:rsidR="00BE6326">
              <w:rPr>
                <w:noProof/>
                <w:webHidden/>
              </w:rPr>
            </w:r>
            <w:r w:rsidR="00BE6326">
              <w:rPr>
                <w:noProof/>
                <w:webHidden/>
              </w:rPr>
              <w:fldChar w:fldCharType="separate"/>
            </w:r>
            <w:r w:rsidR="007B2DE9">
              <w:rPr>
                <w:noProof/>
                <w:webHidden/>
              </w:rPr>
              <w:t>0</w:t>
            </w:r>
            <w:r w:rsidR="00BE6326">
              <w:rPr>
                <w:noProof/>
                <w:webHidden/>
              </w:rPr>
              <w:fldChar w:fldCharType="end"/>
            </w:r>
          </w:hyperlink>
        </w:p>
        <w:p w14:paraId="3DDE08D8" w14:textId="77777777" w:rsidR="00BE6326" w:rsidRDefault="00646441">
          <w:pPr>
            <w:pStyle w:val="TOC2"/>
            <w:tabs>
              <w:tab w:val="right" w:leader="dot" w:pos="9016"/>
            </w:tabs>
            <w:rPr>
              <w:rFonts w:eastAsiaTheme="minorEastAsia"/>
              <w:noProof/>
              <w:lang w:eastAsia="en-AU"/>
            </w:rPr>
          </w:pPr>
          <w:hyperlink w:anchor="_Toc47010990" w:history="1">
            <w:r w:rsidR="00BE6326" w:rsidRPr="00C144AB">
              <w:rPr>
                <w:rStyle w:val="Hyperlink"/>
                <w:noProof/>
              </w:rPr>
              <w:t>Copyright</w:t>
            </w:r>
            <w:r w:rsidR="00BE6326">
              <w:rPr>
                <w:noProof/>
                <w:webHidden/>
              </w:rPr>
              <w:tab/>
            </w:r>
            <w:r w:rsidR="00BE6326">
              <w:rPr>
                <w:noProof/>
                <w:webHidden/>
              </w:rPr>
              <w:fldChar w:fldCharType="begin"/>
            </w:r>
            <w:r w:rsidR="00BE6326">
              <w:rPr>
                <w:noProof/>
                <w:webHidden/>
              </w:rPr>
              <w:instrText xml:space="preserve"> PAGEREF _Toc47010990 \h </w:instrText>
            </w:r>
            <w:r w:rsidR="00BE6326">
              <w:rPr>
                <w:noProof/>
                <w:webHidden/>
              </w:rPr>
            </w:r>
            <w:r w:rsidR="00BE6326">
              <w:rPr>
                <w:noProof/>
                <w:webHidden/>
              </w:rPr>
              <w:fldChar w:fldCharType="separate"/>
            </w:r>
            <w:r w:rsidR="007B2DE9">
              <w:rPr>
                <w:noProof/>
                <w:webHidden/>
              </w:rPr>
              <w:t>1</w:t>
            </w:r>
            <w:r w:rsidR="00BE6326">
              <w:rPr>
                <w:noProof/>
                <w:webHidden/>
              </w:rPr>
              <w:fldChar w:fldCharType="end"/>
            </w:r>
          </w:hyperlink>
        </w:p>
        <w:p w14:paraId="0A0628C7" w14:textId="77777777" w:rsidR="00BE6326" w:rsidRDefault="00646441">
          <w:pPr>
            <w:pStyle w:val="TOC2"/>
            <w:tabs>
              <w:tab w:val="right" w:leader="dot" w:pos="9016"/>
            </w:tabs>
            <w:rPr>
              <w:rFonts w:eastAsiaTheme="minorEastAsia"/>
              <w:noProof/>
              <w:lang w:eastAsia="en-AU"/>
            </w:rPr>
          </w:pPr>
          <w:hyperlink w:anchor="_Toc47010991" w:history="1">
            <w:r w:rsidR="00BE6326" w:rsidRPr="00C144AB">
              <w:rPr>
                <w:rStyle w:val="Hyperlink"/>
                <w:noProof/>
              </w:rPr>
              <w:t>Disclaimer</w:t>
            </w:r>
            <w:r w:rsidR="00BE6326">
              <w:rPr>
                <w:noProof/>
                <w:webHidden/>
              </w:rPr>
              <w:tab/>
            </w:r>
            <w:r w:rsidR="00BE6326">
              <w:rPr>
                <w:noProof/>
                <w:webHidden/>
              </w:rPr>
              <w:fldChar w:fldCharType="begin"/>
            </w:r>
            <w:r w:rsidR="00BE6326">
              <w:rPr>
                <w:noProof/>
                <w:webHidden/>
              </w:rPr>
              <w:instrText xml:space="preserve"> PAGEREF _Toc47010991 \h </w:instrText>
            </w:r>
            <w:r w:rsidR="00BE6326">
              <w:rPr>
                <w:noProof/>
                <w:webHidden/>
              </w:rPr>
            </w:r>
            <w:r w:rsidR="00BE6326">
              <w:rPr>
                <w:noProof/>
                <w:webHidden/>
              </w:rPr>
              <w:fldChar w:fldCharType="separate"/>
            </w:r>
            <w:r w:rsidR="007B2DE9">
              <w:rPr>
                <w:noProof/>
                <w:webHidden/>
              </w:rPr>
              <w:t>1</w:t>
            </w:r>
            <w:r w:rsidR="00BE6326">
              <w:rPr>
                <w:noProof/>
                <w:webHidden/>
              </w:rPr>
              <w:fldChar w:fldCharType="end"/>
            </w:r>
          </w:hyperlink>
        </w:p>
        <w:p w14:paraId="295719C2" w14:textId="77777777" w:rsidR="00BE6326" w:rsidRDefault="00646441">
          <w:pPr>
            <w:pStyle w:val="TOC1"/>
            <w:rPr>
              <w:rFonts w:eastAsiaTheme="minorEastAsia"/>
              <w:noProof/>
              <w:lang w:eastAsia="en-AU"/>
            </w:rPr>
          </w:pPr>
          <w:hyperlink w:anchor="_Toc47010992" w:history="1">
            <w:r w:rsidR="00BE6326" w:rsidRPr="00C144AB">
              <w:rPr>
                <w:rStyle w:val="Hyperlink"/>
                <w:noProof/>
              </w:rPr>
              <w:t>Contents</w:t>
            </w:r>
            <w:r w:rsidR="00BE6326">
              <w:rPr>
                <w:noProof/>
                <w:webHidden/>
              </w:rPr>
              <w:tab/>
            </w:r>
            <w:r w:rsidR="00BE6326">
              <w:rPr>
                <w:noProof/>
                <w:webHidden/>
              </w:rPr>
              <w:fldChar w:fldCharType="begin"/>
            </w:r>
            <w:r w:rsidR="00BE6326">
              <w:rPr>
                <w:noProof/>
                <w:webHidden/>
              </w:rPr>
              <w:instrText xml:space="preserve"> PAGEREF _Toc47010992 \h </w:instrText>
            </w:r>
            <w:r w:rsidR="00BE6326">
              <w:rPr>
                <w:noProof/>
                <w:webHidden/>
              </w:rPr>
            </w:r>
            <w:r w:rsidR="00BE6326">
              <w:rPr>
                <w:noProof/>
                <w:webHidden/>
              </w:rPr>
              <w:fldChar w:fldCharType="separate"/>
            </w:r>
            <w:r w:rsidR="007B2DE9">
              <w:rPr>
                <w:noProof/>
                <w:webHidden/>
              </w:rPr>
              <w:t>2</w:t>
            </w:r>
            <w:r w:rsidR="00BE6326">
              <w:rPr>
                <w:noProof/>
                <w:webHidden/>
              </w:rPr>
              <w:fldChar w:fldCharType="end"/>
            </w:r>
          </w:hyperlink>
        </w:p>
        <w:p w14:paraId="0D83FB8D" w14:textId="77777777" w:rsidR="00BE6326" w:rsidRDefault="00646441">
          <w:pPr>
            <w:pStyle w:val="TOC1"/>
            <w:rPr>
              <w:rFonts w:eastAsiaTheme="minorEastAsia"/>
              <w:noProof/>
              <w:lang w:eastAsia="en-AU"/>
            </w:rPr>
          </w:pPr>
          <w:hyperlink w:anchor="_Toc47010993" w:history="1">
            <w:r w:rsidR="00BE6326" w:rsidRPr="00C144AB">
              <w:rPr>
                <w:rStyle w:val="Hyperlink"/>
                <w:noProof/>
              </w:rPr>
              <w:t>Country of Origin Labelling (CoOL) for Complementary Medicines:  Proposed Information Standard</w:t>
            </w:r>
            <w:r w:rsidR="00BE6326">
              <w:rPr>
                <w:noProof/>
                <w:webHidden/>
              </w:rPr>
              <w:tab/>
            </w:r>
            <w:r w:rsidR="00BE6326">
              <w:rPr>
                <w:noProof/>
                <w:webHidden/>
              </w:rPr>
              <w:fldChar w:fldCharType="begin"/>
            </w:r>
            <w:r w:rsidR="00BE6326">
              <w:rPr>
                <w:noProof/>
                <w:webHidden/>
              </w:rPr>
              <w:instrText xml:space="preserve"> PAGEREF _Toc47010993 \h </w:instrText>
            </w:r>
            <w:r w:rsidR="00BE6326">
              <w:rPr>
                <w:noProof/>
                <w:webHidden/>
              </w:rPr>
            </w:r>
            <w:r w:rsidR="00BE6326">
              <w:rPr>
                <w:noProof/>
                <w:webHidden/>
              </w:rPr>
              <w:fldChar w:fldCharType="separate"/>
            </w:r>
            <w:r w:rsidR="007B2DE9">
              <w:rPr>
                <w:noProof/>
                <w:webHidden/>
              </w:rPr>
              <w:t>3</w:t>
            </w:r>
            <w:r w:rsidR="00BE6326">
              <w:rPr>
                <w:noProof/>
                <w:webHidden/>
              </w:rPr>
              <w:fldChar w:fldCharType="end"/>
            </w:r>
          </w:hyperlink>
        </w:p>
        <w:p w14:paraId="1B55FC0F" w14:textId="77777777" w:rsidR="00BE6326" w:rsidRDefault="00646441">
          <w:pPr>
            <w:pStyle w:val="TOC2"/>
            <w:tabs>
              <w:tab w:val="right" w:leader="dot" w:pos="9016"/>
            </w:tabs>
            <w:rPr>
              <w:rFonts w:eastAsiaTheme="minorEastAsia"/>
              <w:noProof/>
              <w:lang w:eastAsia="en-AU"/>
            </w:rPr>
          </w:pPr>
          <w:hyperlink w:anchor="_Toc47010994" w:history="1">
            <w:r w:rsidR="00BE6326" w:rsidRPr="00C144AB">
              <w:rPr>
                <w:rStyle w:val="Hyperlink"/>
                <w:noProof/>
              </w:rPr>
              <w:t>Background</w:t>
            </w:r>
            <w:r w:rsidR="00BE6326">
              <w:rPr>
                <w:noProof/>
                <w:webHidden/>
              </w:rPr>
              <w:tab/>
            </w:r>
            <w:r w:rsidR="00BE6326">
              <w:rPr>
                <w:noProof/>
                <w:webHidden/>
              </w:rPr>
              <w:fldChar w:fldCharType="begin"/>
            </w:r>
            <w:r w:rsidR="00BE6326">
              <w:rPr>
                <w:noProof/>
                <w:webHidden/>
              </w:rPr>
              <w:instrText xml:space="preserve"> PAGEREF _Toc47010994 \h </w:instrText>
            </w:r>
            <w:r w:rsidR="00BE6326">
              <w:rPr>
                <w:noProof/>
                <w:webHidden/>
              </w:rPr>
            </w:r>
            <w:r w:rsidR="00BE6326">
              <w:rPr>
                <w:noProof/>
                <w:webHidden/>
              </w:rPr>
              <w:fldChar w:fldCharType="separate"/>
            </w:r>
            <w:r w:rsidR="007B2DE9">
              <w:rPr>
                <w:noProof/>
                <w:webHidden/>
              </w:rPr>
              <w:t>3</w:t>
            </w:r>
            <w:r w:rsidR="00BE6326">
              <w:rPr>
                <w:noProof/>
                <w:webHidden/>
              </w:rPr>
              <w:fldChar w:fldCharType="end"/>
            </w:r>
          </w:hyperlink>
        </w:p>
        <w:p w14:paraId="4CB388E4" w14:textId="77777777" w:rsidR="00BE6326" w:rsidRDefault="00646441">
          <w:pPr>
            <w:pStyle w:val="TOC2"/>
            <w:tabs>
              <w:tab w:val="right" w:leader="dot" w:pos="9016"/>
            </w:tabs>
            <w:rPr>
              <w:rFonts w:eastAsiaTheme="minorEastAsia"/>
              <w:noProof/>
              <w:lang w:eastAsia="en-AU"/>
            </w:rPr>
          </w:pPr>
          <w:hyperlink w:anchor="_Toc47010995" w:history="1">
            <w:r w:rsidR="00BE6326" w:rsidRPr="00C144AB">
              <w:rPr>
                <w:rStyle w:val="Hyperlink"/>
                <w:noProof/>
              </w:rPr>
              <w:t>Who is affected</w:t>
            </w:r>
            <w:r w:rsidR="00BE6326">
              <w:rPr>
                <w:noProof/>
                <w:webHidden/>
              </w:rPr>
              <w:tab/>
            </w:r>
            <w:r w:rsidR="00BE6326">
              <w:rPr>
                <w:noProof/>
                <w:webHidden/>
              </w:rPr>
              <w:fldChar w:fldCharType="begin"/>
            </w:r>
            <w:r w:rsidR="00BE6326">
              <w:rPr>
                <w:noProof/>
                <w:webHidden/>
              </w:rPr>
              <w:instrText xml:space="preserve"> PAGEREF _Toc47010995 \h </w:instrText>
            </w:r>
            <w:r w:rsidR="00BE6326">
              <w:rPr>
                <w:noProof/>
                <w:webHidden/>
              </w:rPr>
            </w:r>
            <w:r w:rsidR="00BE6326">
              <w:rPr>
                <w:noProof/>
                <w:webHidden/>
              </w:rPr>
              <w:fldChar w:fldCharType="separate"/>
            </w:r>
            <w:r w:rsidR="007B2DE9">
              <w:rPr>
                <w:noProof/>
                <w:webHidden/>
              </w:rPr>
              <w:t>5</w:t>
            </w:r>
            <w:r w:rsidR="00BE6326">
              <w:rPr>
                <w:noProof/>
                <w:webHidden/>
              </w:rPr>
              <w:fldChar w:fldCharType="end"/>
            </w:r>
          </w:hyperlink>
        </w:p>
        <w:p w14:paraId="1E976A92" w14:textId="77777777" w:rsidR="00BE6326" w:rsidRDefault="00646441">
          <w:pPr>
            <w:pStyle w:val="TOC2"/>
            <w:tabs>
              <w:tab w:val="right" w:leader="dot" w:pos="9016"/>
            </w:tabs>
            <w:rPr>
              <w:rFonts w:eastAsiaTheme="minorEastAsia"/>
              <w:noProof/>
              <w:lang w:eastAsia="en-AU"/>
            </w:rPr>
          </w:pPr>
          <w:hyperlink w:anchor="_Toc47010996" w:history="1">
            <w:r w:rsidR="00BE6326" w:rsidRPr="00C144AB">
              <w:rPr>
                <w:rStyle w:val="Hyperlink"/>
                <w:noProof/>
              </w:rPr>
              <w:t>Discussion points</w:t>
            </w:r>
            <w:r w:rsidR="00BE6326">
              <w:rPr>
                <w:noProof/>
                <w:webHidden/>
              </w:rPr>
              <w:tab/>
            </w:r>
            <w:r w:rsidR="00BE6326">
              <w:rPr>
                <w:noProof/>
                <w:webHidden/>
              </w:rPr>
              <w:fldChar w:fldCharType="begin"/>
            </w:r>
            <w:r w:rsidR="00BE6326">
              <w:rPr>
                <w:noProof/>
                <w:webHidden/>
              </w:rPr>
              <w:instrText xml:space="preserve"> PAGEREF _Toc47010996 \h </w:instrText>
            </w:r>
            <w:r w:rsidR="00BE6326">
              <w:rPr>
                <w:noProof/>
                <w:webHidden/>
              </w:rPr>
            </w:r>
            <w:r w:rsidR="00BE6326">
              <w:rPr>
                <w:noProof/>
                <w:webHidden/>
              </w:rPr>
              <w:fldChar w:fldCharType="separate"/>
            </w:r>
            <w:r w:rsidR="007B2DE9">
              <w:rPr>
                <w:noProof/>
                <w:webHidden/>
              </w:rPr>
              <w:t>5</w:t>
            </w:r>
            <w:r w:rsidR="00BE6326">
              <w:rPr>
                <w:noProof/>
                <w:webHidden/>
              </w:rPr>
              <w:fldChar w:fldCharType="end"/>
            </w:r>
          </w:hyperlink>
        </w:p>
        <w:p w14:paraId="31E0316A" w14:textId="77777777" w:rsidR="00BE6326" w:rsidRDefault="00646441">
          <w:pPr>
            <w:pStyle w:val="TOC2"/>
            <w:tabs>
              <w:tab w:val="right" w:leader="dot" w:pos="9016"/>
            </w:tabs>
            <w:rPr>
              <w:rFonts w:eastAsiaTheme="minorEastAsia"/>
              <w:noProof/>
              <w:lang w:eastAsia="en-AU"/>
            </w:rPr>
          </w:pPr>
          <w:hyperlink w:anchor="_Toc47010997" w:history="1">
            <w:r w:rsidR="00BE6326" w:rsidRPr="00C144AB">
              <w:rPr>
                <w:rStyle w:val="Hyperlink"/>
                <w:noProof/>
              </w:rPr>
              <w:t>Next steps</w:t>
            </w:r>
            <w:r w:rsidR="00BE6326">
              <w:rPr>
                <w:noProof/>
                <w:webHidden/>
              </w:rPr>
              <w:tab/>
            </w:r>
            <w:r w:rsidR="00BE6326">
              <w:rPr>
                <w:noProof/>
                <w:webHidden/>
              </w:rPr>
              <w:fldChar w:fldCharType="begin"/>
            </w:r>
            <w:r w:rsidR="00BE6326">
              <w:rPr>
                <w:noProof/>
                <w:webHidden/>
              </w:rPr>
              <w:instrText xml:space="preserve"> PAGEREF _Toc47010997 \h </w:instrText>
            </w:r>
            <w:r w:rsidR="00BE6326">
              <w:rPr>
                <w:noProof/>
                <w:webHidden/>
              </w:rPr>
            </w:r>
            <w:r w:rsidR="00BE6326">
              <w:rPr>
                <w:noProof/>
                <w:webHidden/>
              </w:rPr>
              <w:fldChar w:fldCharType="separate"/>
            </w:r>
            <w:r w:rsidR="007B2DE9">
              <w:rPr>
                <w:noProof/>
                <w:webHidden/>
              </w:rPr>
              <w:t>5</w:t>
            </w:r>
            <w:r w:rsidR="00BE6326">
              <w:rPr>
                <w:noProof/>
                <w:webHidden/>
              </w:rPr>
              <w:fldChar w:fldCharType="end"/>
            </w:r>
          </w:hyperlink>
        </w:p>
        <w:p w14:paraId="00D48933" w14:textId="77777777" w:rsidR="00BE6326" w:rsidRDefault="00646441">
          <w:pPr>
            <w:pStyle w:val="TOC2"/>
            <w:tabs>
              <w:tab w:val="right" w:leader="dot" w:pos="9016"/>
            </w:tabs>
            <w:rPr>
              <w:rFonts w:eastAsiaTheme="minorEastAsia"/>
              <w:noProof/>
              <w:lang w:eastAsia="en-AU"/>
            </w:rPr>
          </w:pPr>
          <w:hyperlink w:anchor="_Toc47010998" w:history="1">
            <w:r w:rsidR="00BE6326" w:rsidRPr="00C144AB">
              <w:rPr>
                <w:rStyle w:val="Hyperlink"/>
                <w:noProof/>
              </w:rPr>
              <w:t>Proposed Information Standard Provisions</w:t>
            </w:r>
            <w:r w:rsidR="00BE6326">
              <w:rPr>
                <w:noProof/>
                <w:webHidden/>
              </w:rPr>
              <w:tab/>
            </w:r>
            <w:r w:rsidR="00BE6326">
              <w:rPr>
                <w:noProof/>
                <w:webHidden/>
              </w:rPr>
              <w:fldChar w:fldCharType="begin"/>
            </w:r>
            <w:r w:rsidR="00BE6326">
              <w:rPr>
                <w:noProof/>
                <w:webHidden/>
              </w:rPr>
              <w:instrText xml:space="preserve"> PAGEREF _Toc47010998 \h </w:instrText>
            </w:r>
            <w:r w:rsidR="00BE6326">
              <w:rPr>
                <w:noProof/>
                <w:webHidden/>
              </w:rPr>
            </w:r>
            <w:r w:rsidR="00BE6326">
              <w:rPr>
                <w:noProof/>
                <w:webHidden/>
              </w:rPr>
              <w:fldChar w:fldCharType="separate"/>
            </w:r>
            <w:r w:rsidR="007B2DE9">
              <w:rPr>
                <w:noProof/>
                <w:webHidden/>
              </w:rPr>
              <w:t>5</w:t>
            </w:r>
            <w:r w:rsidR="00BE6326">
              <w:rPr>
                <w:noProof/>
                <w:webHidden/>
              </w:rPr>
              <w:fldChar w:fldCharType="end"/>
            </w:r>
          </w:hyperlink>
        </w:p>
        <w:p w14:paraId="74A02D42" w14:textId="77777777" w:rsidR="00BE6326" w:rsidRDefault="00646441">
          <w:pPr>
            <w:pStyle w:val="TOC1"/>
            <w:rPr>
              <w:rFonts w:eastAsiaTheme="minorEastAsia"/>
              <w:noProof/>
              <w:lang w:eastAsia="en-AU"/>
            </w:rPr>
          </w:pPr>
          <w:hyperlink w:anchor="_Toc47010999" w:history="1">
            <w:r w:rsidR="00BE6326" w:rsidRPr="00C144AB">
              <w:rPr>
                <w:rStyle w:val="Hyperlink"/>
                <w:noProof/>
              </w:rPr>
              <w:t>Part 1 – Measurement and reporting of the proportion of Australian ingredients</w:t>
            </w:r>
            <w:r w:rsidR="00BE6326">
              <w:rPr>
                <w:noProof/>
                <w:webHidden/>
              </w:rPr>
              <w:tab/>
            </w:r>
            <w:r w:rsidR="00BE6326">
              <w:rPr>
                <w:noProof/>
                <w:webHidden/>
              </w:rPr>
              <w:fldChar w:fldCharType="begin"/>
            </w:r>
            <w:r w:rsidR="00BE6326">
              <w:rPr>
                <w:noProof/>
                <w:webHidden/>
              </w:rPr>
              <w:instrText xml:space="preserve"> PAGEREF _Toc47010999 \h </w:instrText>
            </w:r>
            <w:r w:rsidR="00BE6326">
              <w:rPr>
                <w:noProof/>
                <w:webHidden/>
              </w:rPr>
            </w:r>
            <w:r w:rsidR="00BE6326">
              <w:rPr>
                <w:noProof/>
                <w:webHidden/>
              </w:rPr>
              <w:fldChar w:fldCharType="separate"/>
            </w:r>
            <w:r w:rsidR="007B2DE9">
              <w:rPr>
                <w:noProof/>
                <w:webHidden/>
              </w:rPr>
              <w:t>6</w:t>
            </w:r>
            <w:r w:rsidR="00BE6326">
              <w:rPr>
                <w:noProof/>
                <w:webHidden/>
              </w:rPr>
              <w:fldChar w:fldCharType="end"/>
            </w:r>
          </w:hyperlink>
        </w:p>
        <w:p w14:paraId="3FF544F9" w14:textId="77777777" w:rsidR="00BE6326" w:rsidRDefault="00646441">
          <w:pPr>
            <w:pStyle w:val="TOC2"/>
            <w:tabs>
              <w:tab w:val="right" w:leader="dot" w:pos="9016"/>
            </w:tabs>
            <w:rPr>
              <w:rFonts w:eastAsiaTheme="minorEastAsia"/>
              <w:noProof/>
              <w:lang w:eastAsia="en-AU"/>
            </w:rPr>
          </w:pPr>
          <w:hyperlink w:anchor="_Toc47011000" w:history="1">
            <w:r w:rsidR="00BE6326" w:rsidRPr="00C144AB">
              <w:rPr>
                <w:rStyle w:val="Hyperlink"/>
                <w:rFonts w:eastAsia="MS PGothic"/>
                <w:i/>
                <w:noProof/>
              </w:rPr>
              <w:t>Measurement of the proportion of Australian ingredients</w:t>
            </w:r>
            <w:r w:rsidR="00BE6326">
              <w:rPr>
                <w:noProof/>
                <w:webHidden/>
              </w:rPr>
              <w:tab/>
            </w:r>
            <w:r w:rsidR="00BE6326">
              <w:rPr>
                <w:noProof/>
                <w:webHidden/>
              </w:rPr>
              <w:fldChar w:fldCharType="begin"/>
            </w:r>
            <w:r w:rsidR="00BE6326">
              <w:rPr>
                <w:noProof/>
                <w:webHidden/>
              </w:rPr>
              <w:instrText xml:space="preserve"> PAGEREF _Toc47011000 \h </w:instrText>
            </w:r>
            <w:r w:rsidR="00BE6326">
              <w:rPr>
                <w:noProof/>
                <w:webHidden/>
              </w:rPr>
            </w:r>
            <w:r w:rsidR="00BE6326">
              <w:rPr>
                <w:noProof/>
                <w:webHidden/>
              </w:rPr>
              <w:fldChar w:fldCharType="separate"/>
            </w:r>
            <w:r w:rsidR="007B2DE9">
              <w:rPr>
                <w:noProof/>
                <w:webHidden/>
              </w:rPr>
              <w:t>6</w:t>
            </w:r>
            <w:r w:rsidR="00BE6326">
              <w:rPr>
                <w:noProof/>
                <w:webHidden/>
              </w:rPr>
              <w:fldChar w:fldCharType="end"/>
            </w:r>
          </w:hyperlink>
        </w:p>
        <w:p w14:paraId="3F63DD8C" w14:textId="77777777" w:rsidR="00BE6326" w:rsidRDefault="00646441">
          <w:pPr>
            <w:pStyle w:val="TOC2"/>
            <w:tabs>
              <w:tab w:val="right" w:leader="dot" w:pos="9016"/>
            </w:tabs>
            <w:rPr>
              <w:rFonts w:eastAsiaTheme="minorEastAsia"/>
              <w:noProof/>
              <w:lang w:eastAsia="en-AU"/>
            </w:rPr>
          </w:pPr>
          <w:hyperlink w:anchor="_Toc47011001" w:history="1">
            <w:r w:rsidR="00BE6326" w:rsidRPr="00C144AB">
              <w:rPr>
                <w:rStyle w:val="Hyperlink"/>
                <w:rFonts w:eastAsia="MS PGothic"/>
                <w:i/>
                <w:noProof/>
              </w:rPr>
              <w:t>Averaging of the proportion of Australian ingredients</w:t>
            </w:r>
            <w:r w:rsidR="00BE6326">
              <w:rPr>
                <w:noProof/>
                <w:webHidden/>
              </w:rPr>
              <w:tab/>
            </w:r>
            <w:r w:rsidR="00BE6326">
              <w:rPr>
                <w:noProof/>
                <w:webHidden/>
              </w:rPr>
              <w:fldChar w:fldCharType="begin"/>
            </w:r>
            <w:r w:rsidR="00BE6326">
              <w:rPr>
                <w:noProof/>
                <w:webHidden/>
              </w:rPr>
              <w:instrText xml:space="preserve"> PAGEREF _Toc47011001 \h </w:instrText>
            </w:r>
            <w:r w:rsidR="00BE6326">
              <w:rPr>
                <w:noProof/>
                <w:webHidden/>
              </w:rPr>
            </w:r>
            <w:r w:rsidR="00BE6326">
              <w:rPr>
                <w:noProof/>
                <w:webHidden/>
              </w:rPr>
              <w:fldChar w:fldCharType="separate"/>
            </w:r>
            <w:r w:rsidR="007B2DE9">
              <w:rPr>
                <w:noProof/>
                <w:webHidden/>
              </w:rPr>
              <w:t>7</w:t>
            </w:r>
            <w:r w:rsidR="00BE6326">
              <w:rPr>
                <w:noProof/>
                <w:webHidden/>
              </w:rPr>
              <w:fldChar w:fldCharType="end"/>
            </w:r>
          </w:hyperlink>
        </w:p>
        <w:p w14:paraId="75371C92" w14:textId="77777777" w:rsidR="00BE6326" w:rsidRDefault="00646441">
          <w:pPr>
            <w:pStyle w:val="TOC2"/>
            <w:tabs>
              <w:tab w:val="right" w:leader="dot" w:pos="9016"/>
            </w:tabs>
            <w:rPr>
              <w:rFonts w:eastAsiaTheme="minorEastAsia"/>
              <w:noProof/>
              <w:lang w:eastAsia="en-AU"/>
            </w:rPr>
          </w:pPr>
          <w:hyperlink w:anchor="_Toc47011002" w:history="1">
            <w:r w:rsidR="00BE6326" w:rsidRPr="00C144AB">
              <w:rPr>
                <w:rStyle w:val="Hyperlink"/>
                <w:rFonts w:eastAsia="MS PGothic"/>
                <w:i/>
                <w:noProof/>
              </w:rPr>
              <w:t>Averaging Australian content</w:t>
            </w:r>
            <w:r w:rsidR="00BE6326" w:rsidRPr="00C144AB">
              <w:rPr>
                <w:rStyle w:val="Hyperlink"/>
                <w:i/>
                <w:noProof/>
                <w:lang w:eastAsia="en-AU"/>
              </w:rPr>
              <w:t>—methods for providing consumers with content information</w:t>
            </w:r>
            <w:r w:rsidR="00BE6326">
              <w:rPr>
                <w:noProof/>
                <w:webHidden/>
              </w:rPr>
              <w:tab/>
            </w:r>
            <w:r w:rsidR="00BE6326">
              <w:rPr>
                <w:noProof/>
                <w:webHidden/>
              </w:rPr>
              <w:fldChar w:fldCharType="begin"/>
            </w:r>
            <w:r w:rsidR="00BE6326">
              <w:rPr>
                <w:noProof/>
                <w:webHidden/>
              </w:rPr>
              <w:instrText xml:space="preserve"> PAGEREF _Toc47011002 \h </w:instrText>
            </w:r>
            <w:r w:rsidR="00BE6326">
              <w:rPr>
                <w:noProof/>
                <w:webHidden/>
              </w:rPr>
            </w:r>
            <w:r w:rsidR="00BE6326">
              <w:rPr>
                <w:noProof/>
                <w:webHidden/>
              </w:rPr>
              <w:fldChar w:fldCharType="separate"/>
            </w:r>
            <w:r w:rsidR="007B2DE9">
              <w:rPr>
                <w:noProof/>
                <w:webHidden/>
              </w:rPr>
              <w:t>7</w:t>
            </w:r>
            <w:r w:rsidR="00BE6326">
              <w:rPr>
                <w:noProof/>
                <w:webHidden/>
              </w:rPr>
              <w:fldChar w:fldCharType="end"/>
            </w:r>
          </w:hyperlink>
        </w:p>
        <w:p w14:paraId="5E500FA3" w14:textId="77777777" w:rsidR="00BE6326" w:rsidRDefault="00646441">
          <w:pPr>
            <w:pStyle w:val="TOC2"/>
            <w:tabs>
              <w:tab w:val="right" w:leader="dot" w:pos="9016"/>
            </w:tabs>
            <w:rPr>
              <w:rFonts w:eastAsiaTheme="minorEastAsia"/>
              <w:noProof/>
              <w:lang w:eastAsia="en-AU"/>
            </w:rPr>
          </w:pPr>
          <w:hyperlink w:anchor="_Toc47011003" w:history="1">
            <w:r w:rsidR="00BE6326" w:rsidRPr="00C144AB">
              <w:rPr>
                <w:rStyle w:val="Hyperlink"/>
                <w:rFonts w:eastAsia="MS PGothic"/>
                <w:i/>
                <w:noProof/>
              </w:rPr>
              <w:t>Accounting</w:t>
            </w:r>
            <w:r w:rsidR="00BE6326" w:rsidRPr="00C144AB">
              <w:rPr>
                <w:rStyle w:val="Hyperlink"/>
                <w:rFonts w:ascii="Arial" w:eastAsia="MS PGothic" w:hAnsi="Arial" w:cs="Times New Roman"/>
                <w:b/>
                <w:bCs/>
                <w:i/>
                <w:noProof/>
              </w:rPr>
              <w:t xml:space="preserve"> </w:t>
            </w:r>
            <w:r w:rsidR="00BE6326" w:rsidRPr="00C144AB">
              <w:rPr>
                <w:rStyle w:val="Hyperlink"/>
                <w:rFonts w:eastAsia="MS PGothic"/>
                <w:i/>
                <w:noProof/>
              </w:rPr>
              <w:t>for water when determining Australian origin and proportion of Australian ingredients</w:t>
            </w:r>
            <w:r w:rsidR="00BE6326">
              <w:rPr>
                <w:noProof/>
                <w:webHidden/>
              </w:rPr>
              <w:tab/>
            </w:r>
            <w:r w:rsidR="00BE6326">
              <w:rPr>
                <w:noProof/>
                <w:webHidden/>
              </w:rPr>
              <w:fldChar w:fldCharType="begin"/>
            </w:r>
            <w:r w:rsidR="00BE6326">
              <w:rPr>
                <w:noProof/>
                <w:webHidden/>
              </w:rPr>
              <w:instrText xml:space="preserve"> PAGEREF _Toc47011003 \h </w:instrText>
            </w:r>
            <w:r w:rsidR="00BE6326">
              <w:rPr>
                <w:noProof/>
                <w:webHidden/>
              </w:rPr>
            </w:r>
            <w:r w:rsidR="00BE6326">
              <w:rPr>
                <w:noProof/>
                <w:webHidden/>
              </w:rPr>
              <w:fldChar w:fldCharType="separate"/>
            </w:r>
            <w:r w:rsidR="007B2DE9">
              <w:rPr>
                <w:noProof/>
                <w:webHidden/>
              </w:rPr>
              <w:t>8</w:t>
            </w:r>
            <w:r w:rsidR="00BE6326">
              <w:rPr>
                <w:noProof/>
                <w:webHidden/>
              </w:rPr>
              <w:fldChar w:fldCharType="end"/>
            </w:r>
          </w:hyperlink>
        </w:p>
        <w:p w14:paraId="4074D122" w14:textId="77777777" w:rsidR="00BE6326" w:rsidRDefault="00646441">
          <w:pPr>
            <w:pStyle w:val="TOC1"/>
            <w:rPr>
              <w:rFonts w:eastAsiaTheme="minorEastAsia"/>
              <w:noProof/>
              <w:lang w:eastAsia="en-AU"/>
            </w:rPr>
          </w:pPr>
          <w:hyperlink w:anchor="_Toc47011004" w:history="1">
            <w:r w:rsidR="00BE6326" w:rsidRPr="00C144AB">
              <w:rPr>
                <w:rStyle w:val="Hyperlink"/>
                <w:noProof/>
              </w:rPr>
              <w:t>Part 2 – Display of the proportion of Australian ingredients</w:t>
            </w:r>
            <w:r w:rsidR="00BE6326">
              <w:rPr>
                <w:noProof/>
                <w:webHidden/>
              </w:rPr>
              <w:tab/>
            </w:r>
            <w:r w:rsidR="00BE6326">
              <w:rPr>
                <w:noProof/>
                <w:webHidden/>
              </w:rPr>
              <w:fldChar w:fldCharType="begin"/>
            </w:r>
            <w:r w:rsidR="00BE6326">
              <w:rPr>
                <w:noProof/>
                <w:webHidden/>
              </w:rPr>
              <w:instrText xml:space="preserve"> PAGEREF _Toc47011004 \h </w:instrText>
            </w:r>
            <w:r w:rsidR="00BE6326">
              <w:rPr>
                <w:noProof/>
                <w:webHidden/>
              </w:rPr>
            </w:r>
            <w:r w:rsidR="00BE6326">
              <w:rPr>
                <w:noProof/>
                <w:webHidden/>
              </w:rPr>
              <w:fldChar w:fldCharType="separate"/>
            </w:r>
            <w:r w:rsidR="007B2DE9">
              <w:rPr>
                <w:noProof/>
                <w:webHidden/>
              </w:rPr>
              <w:t>9</w:t>
            </w:r>
            <w:r w:rsidR="00BE6326">
              <w:rPr>
                <w:noProof/>
                <w:webHidden/>
              </w:rPr>
              <w:fldChar w:fldCharType="end"/>
            </w:r>
          </w:hyperlink>
        </w:p>
        <w:p w14:paraId="5C87D4ED" w14:textId="77777777" w:rsidR="00BE6326" w:rsidRDefault="00646441">
          <w:pPr>
            <w:pStyle w:val="TOC2"/>
            <w:tabs>
              <w:tab w:val="right" w:leader="dot" w:pos="9016"/>
            </w:tabs>
            <w:rPr>
              <w:rFonts w:eastAsiaTheme="minorEastAsia"/>
              <w:noProof/>
              <w:lang w:eastAsia="en-AU"/>
            </w:rPr>
          </w:pPr>
          <w:hyperlink w:anchor="_Toc47011005" w:history="1">
            <w:r w:rsidR="00BE6326" w:rsidRPr="00C144AB">
              <w:rPr>
                <w:rStyle w:val="Hyperlink"/>
                <w:rFonts w:eastAsia="MS PGothic"/>
                <w:i/>
                <w:noProof/>
              </w:rPr>
              <w:t xml:space="preserve">Bar chart to display the </w:t>
            </w:r>
            <w:r w:rsidR="00BE6326" w:rsidRPr="00C144AB">
              <w:rPr>
                <w:rStyle w:val="Hyperlink"/>
                <w:i/>
                <w:noProof/>
              </w:rPr>
              <w:t>proportion</w:t>
            </w:r>
            <w:r w:rsidR="00BE6326" w:rsidRPr="00C144AB">
              <w:rPr>
                <w:rStyle w:val="Hyperlink"/>
                <w:rFonts w:eastAsia="MS PGothic"/>
                <w:i/>
                <w:noProof/>
              </w:rPr>
              <w:t xml:space="preserve"> of Australian ingredients</w:t>
            </w:r>
            <w:r w:rsidR="00BE6326">
              <w:rPr>
                <w:noProof/>
                <w:webHidden/>
              </w:rPr>
              <w:tab/>
            </w:r>
            <w:r w:rsidR="00BE6326">
              <w:rPr>
                <w:noProof/>
                <w:webHidden/>
              </w:rPr>
              <w:fldChar w:fldCharType="begin"/>
            </w:r>
            <w:r w:rsidR="00BE6326">
              <w:rPr>
                <w:noProof/>
                <w:webHidden/>
              </w:rPr>
              <w:instrText xml:space="preserve"> PAGEREF _Toc47011005 \h </w:instrText>
            </w:r>
            <w:r w:rsidR="00BE6326">
              <w:rPr>
                <w:noProof/>
                <w:webHidden/>
              </w:rPr>
            </w:r>
            <w:r w:rsidR="00BE6326">
              <w:rPr>
                <w:noProof/>
                <w:webHidden/>
              </w:rPr>
              <w:fldChar w:fldCharType="separate"/>
            </w:r>
            <w:r w:rsidR="007B2DE9">
              <w:rPr>
                <w:noProof/>
                <w:webHidden/>
              </w:rPr>
              <w:t>9</w:t>
            </w:r>
            <w:r w:rsidR="00BE6326">
              <w:rPr>
                <w:noProof/>
                <w:webHidden/>
              </w:rPr>
              <w:fldChar w:fldCharType="end"/>
            </w:r>
          </w:hyperlink>
        </w:p>
        <w:p w14:paraId="62005E30" w14:textId="77777777" w:rsidR="00BE6326" w:rsidRDefault="00646441">
          <w:pPr>
            <w:pStyle w:val="TOC2"/>
            <w:tabs>
              <w:tab w:val="right" w:leader="dot" w:pos="9016"/>
            </w:tabs>
            <w:rPr>
              <w:rFonts w:eastAsiaTheme="minorEastAsia"/>
              <w:noProof/>
              <w:lang w:eastAsia="en-AU"/>
            </w:rPr>
          </w:pPr>
          <w:hyperlink w:anchor="_Toc47011006" w:history="1">
            <w:r w:rsidR="00BE6326" w:rsidRPr="00C144AB">
              <w:rPr>
                <w:rStyle w:val="Hyperlink"/>
                <w:rFonts w:eastAsia="MS PGothic"/>
                <w:i/>
                <w:noProof/>
              </w:rPr>
              <w:t>Accompanying statement to explain the proportion of Australian ingredients</w:t>
            </w:r>
            <w:r w:rsidR="00BE6326">
              <w:rPr>
                <w:noProof/>
                <w:webHidden/>
              </w:rPr>
              <w:tab/>
            </w:r>
            <w:r w:rsidR="00BE6326">
              <w:rPr>
                <w:noProof/>
                <w:webHidden/>
              </w:rPr>
              <w:fldChar w:fldCharType="begin"/>
            </w:r>
            <w:r w:rsidR="00BE6326">
              <w:rPr>
                <w:noProof/>
                <w:webHidden/>
              </w:rPr>
              <w:instrText xml:space="preserve"> PAGEREF _Toc47011006 \h </w:instrText>
            </w:r>
            <w:r w:rsidR="00BE6326">
              <w:rPr>
                <w:noProof/>
                <w:webHidden/>
              </w:rPr>
            </w:r>
            <w:r w:rsidR="00BE6326">
              <w:rPr>
                <w:noProof/>
                <w:webHidden/>
              </w:rPr>
              <w:fldChar w:fldCharType="separate"/>
            </w:r>
            <w:r w:rsidR="007B2DE9">
              <w:rPr>
                <w:noProof/>
                <w:webHidden/>
              </w:rPr>
              <w:t>11</w:t>
            </w:r>
            <w:r w:rsidR="00BE6326">
              <w:rPr>
                <w:noProof/>
                <w:webHidden/>
              </w:rPr>
              <w:fldChar w:fldCharType="end"/>
            </w:r>
          </w:hyperlink>
        </w:p>
        <w:p w14:paraId="432A4C53" w14:textId="77777777" w:rsidR="00BE6326" w:rsidRDefault="00646441">
          <w:pPr>
            <w:pStyle w:val="TOC2"/>
            <w:tabs>
              <w:tab w:val="right" w:leader="dot" w:pos="9016"/>
            </w:tabs>
            <w:rPr>
              <w:rFonts w:eastAsiaTheme="minorEastAsia"/>
              <w:noProof/>
              <w:lang w:eastAsia="en-AU"/>
            </w:rPr>
          </w:pPr>
          <w:hyperlink w:anchor="_Toc47011007" w:history="1">
            <w:r w:rsidR="00BE6326" w:rsidRPr="00C144AB">
              <w:rPr>
                <w:rStyle w:val="Hyperlink"/>
                <w:rFonts w:eastAsia="MS PGothic"/>
                <w:i/>
                <w:noProof/>
              </w:rPr>
              <w:t>Accompanying statement where an averaging method is used</w:t>
            </w:r>
            <w:r w:rsidR="00BE6326">
              <w:rPr>
                <w:noProof/>
                <w:webHidden/>
              </w:rPr>
              <w:tab/>
            </w:r>
            <w:r w:rsidR="00BE6326">
              <w:rPr>
                <w:noProof/>
                <w:webHidden/>
              </w:rPr>
              <w:fldChar w:fldCharType="begin"/>
            </w:r>
            <w:r w:rsidR="00BE6326">
              <w:rPr>
                <w:noProof/>
                <w:webHidden/>
              </w:rPr>
              <w:instrText xml:space="preserve"> PAGEREF _Toc47011007 \h </w:instrText>
            </w:r>
            <w:r w:rsidR="00BE6326">
              <w:rPr>
                <w:noProof/>
                <w:webHidden/>
              </w:rPr>
            </w:r>
            <w:r w:rsidR="00BE6326">
              <w:rPr>
                <w:noProof/>
                <w:webHidden/>
              </w:rPr>
              <w:fldChar w:fldCharType="separate"/>
            </w:r>
            <w:r w:rsidR="007B2DE9">
              <w:rPr>
                <w:noProof/>
                <w:webHidden/>
              </w:rPr>
              <w:t>12</w:t>
            </w:r>
            <w:r w:rsidR="00BE6326">
              <w:rPr>
                <w:noProof/>
                <w:webHidden/>
              </w:rPr>
              <w:fldChar w:fldCharType="end"/>
            </w:r>
          </w:hyperlink>
        </w:p>
        <w:p w14:paraId="48BEF3C7" w14:textId="77777777" w:rsidR="00BE6326" w:rsidRDefault="00646441">
          <w:pPr>
            <w:pStyle w:val="TOC2"/>
            <w:tabs>
              <w:tab w:val="right" w:leader="dot" w:pos="9016"/>
            </w:tabs>
            <w:rPr>
              <w:rFonts w:eastAsiaTheme="minorEastAsia"/>
              <w:noProof/>
              <w:lang w:eastAsia="en-AU"/>
            </w:rPr>
          </w:pPr>
          <w:hyperlink w:anchor="_Toc47011008" w:history="1">
            <w:r w:rsidR="00BE6326" w:rsidRPr="00C144AB">
              <w:rPr>
                <w:rStyle w:val="Hyperlink"/>
                <w:rFonts w:eastAsia="MS PGothic"/>
                <w:i/>
                <w:noProof/>
              </w:rPr>
              <w:t>Use of the AMAG logo with the bar chart and accompanying statement</w:t>
            </w:r>
            <w:r w:rsidR="00BE6326">
              <w:rPr>
                <w:noProof/>
                <w:webHidden/>
              </w:rPr>
              <w:tab/>
            </w:r>
            <w:r w:rsidR="00BE6326">
              <w:rPr>
                <w:noProof/>
                <w:webHidden/>
              </w:rPr>
              <w:fldChar w:fldCharType="begin"/>
            </w:r>
            <w:r w:rsidR="00BE6326">
              <w:rPr>
                <w:noProof/>
                <w:webHidden/>
              </w:rPr>
              <w:instrText xml:space="preserve"> PAGEREF _Toc47011008 \h </w:instrText>
            </w:r>
            <w:r w:rsidR="00BE6326">
              <w:rPr>
                <w:noProof/>
                <w:webHidden/>
              </w:rPr>
            </w:r>
            <w:r w:rsidR="00BE6326">
              <w:rPr>
                <w:noProof/>
                <w:webHidden/>
              </w:rPr>
              <w:fldChar w:fldCharType="separate"/>
            </w:r>
            <w:r w:rsidR="007B2DE9">
              <w:rPr>
                <w:noProof/>
                <w:webHidden/>
              </w:rPr>
              <w:t>13</w:t>
            </w:r>
            <w:r w:rsidR="00BE6326">
              <w:rPr>
                <w:noProof/>
                <w:webHidden/>
              </w:rPr>
              <w:fldChar w:fldCharType="end"/>
            </w:r>
          </w:hyperlink>
        </w:p>
        <w:p w14:paraId="609AFB26" w14:textId="77777777" w:rsidR="00BE6326" w:rsidRDefault="00646441">
          <w:pPr>
            <w:pStyle w:val="TOC1"/>
            <w:rPr>
              <w:rFonts w:eastAsiaTheme="minorEastAsia"/>
              <w:noProof/>
              <w:lang w:eastAsia="en-AU"/>
            </w:rPr>
          </w:pPr>
          <w:hyperlink w:anchor="_Toc47011009" w:history="1">
            <w:r w:rsidR="00BE6326" w:rsidRPr="00C144AB">
              <w:rPr>
                <w:rStyle w:val="Hyperlink"/>
                <w:noProof/>
              </w:rPr>
              <w:t>Part 3 – Sales for which labelling is and is not required</w:t>
            </w:r>
            <w:r w:rsidR="00BE6326">
              <w:rPr>
                <w:noProof/>
                <w:webHidden/>
              </w:rPr>
              <w:tab/>
            </w:r>
            <w:r w:rsidR="00BE6326">
              <w:rPr>
                <w:noProof/>
                <w:webHidden/>
              </w:rPr>
              <w:fldChar w:fldCharType="begin"/>
            </w:r>
            <w:r w:rsidR="00BE6326">
              <w:rPr>
                <w:noProof/>
                <w:webHidden/>
              </w:rPr>
              <w:instrText xml:space="preserve"> PAGEREF _Toc47011009 \h </w:instrText>
            </w:r>
            <w:r w:rsidR="00BE6326">
              <w:rPr>
                <w:noProof/>
                <w:webHidden/>
              </w:rPr>
            </w:r>
            <w:r w:rsidR="00BE6326">
              <w:rPr>
                <w:noProof/>
                <w:webHidden/>
              </w:rPr>
              <w:fldChar w:fldCharType="separate"/>
            </w:r>
            <w:r w:rsidR="007B2DE9">
              <w:rPr>
                <w:noProof/>
                <w:webHidden/>
              </w:rPr>
              <w:t>14</w:t>
            </w:r>
            <w:r w:rsidR="00BE6326">
              <w:rPr>
                <w:noProof/>
                <w:webHidden/>
              </w:rPr>
              <w:fldChar w:fldCharType="end"/>
            </w:r>
          </w:hyperlink>
        </w:p>
        <w:p w14:paraId="34A1C330" w14:textId="77777777" w:rsidR="00BE6326" w:rsidRDefault="00646441">
          <w:pPr>
            <w:pStyle w:val="TOC1"/>
            <w:rPr>
              <w:rFonts w:eastAsiaTheme="minorEastAsia"/>
              <w:noProof/>
              <w:lang w:eastAsia="en-AU"/>
            </w:rPr>
          </w:pPr>
          <w:hyperlink w:anchor="_Toc47011010" w:history="1">
            <w:r w:rsidR="00BE6326" w:rsidRPr="00C144AB">
              <w:rPr>
                <w:rStyle w:val="Hyperlink"/>
                <w:noProof/>
              </w:rPr>
              <w:t>Part 4 – Legibility requirements, constraints and providing additional information</w:t>
            </w:r>
            <w:r w:rsidR="00BE6326">
              <w:rPr>
                <w:noProof/>
                <w:webHidden/>
              </w:rPr>
              <w:tab/>
            </w:r>
            <w:r w:rsidR="00BE6326">
              <w:rPr>
                <w:noProof/>
                <w:webHidden/>
              </w:rPr>
              <w:fldChar w:fldCharType="begin"/>
            </w:r>
            <w:r w:rsidR="00BE6326">
              <w:rPr>
                <w:noProof/>
                <w:webHidden/>
              </w:rPr>
              <w:instrText xml:space="preserve"> PAGEREF _Toc47011010 \h </w:instrText>
            </w:r>
            <w:r w:rsidR="00BE6326">
              <w:rPr>
                <w:noProof/>
                <w:webHidden/>
              </w:rPr>
            </w:r>
            <w:r w:rsidR="00BE6326">
              <w:rPr>
                <w:noProof/>
                <w:webHidden/>
              </w:rPr>
              <w:fldChar w:fldCharType="separate"/>
            </w:r>
            <w:r w:rsidR="007B2DE9">
              <w:rPr>
                <w:noProof/>
                <w:webHidden/>
              </w:rPr>
              <w:t>15</w:t>
            </w:r>
            <w:r w:rsidR="00BE6326">
              <w:rPr>
                <w:noProof/>
                <w:webHidden/>
              </w:rPr>
              <w:fldChar w:fldCharType="end"/>
            </w:r>
          </w:hyperlink>
        </w:p>
        <w:p w14:paraId="3CC9CEDF" w14:textId="77777777" w:rsidR="00BE6326" w:rsidRDefault="00646441">
          <w:pPr>
            <w:pStyle w:val="TOC1"/>
            <w:rPr>
              <w:rFonts w:eastAsiaTheme="minorEastAsia"/>
              <w:noProof/>
              <w:lang w:eastAsia="en-AU"/>
            </w:rPr>
          </w:pPr>
          <w:hyperlink w:anchor="_Toc47011011" w:history="1">
            <w:r w:rsidR="00BE6326" w:rsidRPr="00C144AB">
              <w:rPr>
                <w:rStyle w:val="Hyperlink"/>
                <w:noProof/>
              </w:rPr>
              <w:t>Part 5 – Labelling for small containers</w:t>
            </w:r>
            <w:r w:rsidR="00BE6326">
              <w:rPr>
                <w:noProof/>
                <w:webHidden/>
              </w:rPr>
              <w:tab/>
            </w:r>
            <w:r w:rsidR="00BE6326">
              <w:rPr>
                <w:noProof/>
                <w:webHidden/>
              </w:rPr>
              <w:fldChar w:fldCharType="begin"/>
            </w:r>
            <w:r w:rsidR="00BE6326">
              <w:rPr>
                <w:noProof/>
                <w:webHidden/>
              </w:rPr>
              <w:instrText xml:space="preserve"> PAGEREF _Toc47011011 \h </w:instrText>
            </w:r>
            <w:r w:rsidR="00BE6326">
              <w:rPr>
                <w:noProof/>
                <w:webHidden/>
              </w:rPr>
            </w:r>
            <w:r w:rsidR="00BE6326">
              <w:rPr>
                <w:noProof/>
                <w:webHidden/>
              </w:rPr>
              <w:fldChar w:fldCharType="separate"/>
            </w:r>
            <w:r w:rsidR="007B2DE9">
              <w:rPr>
                <w:noProof/>
                <w:webHidden/>
              </w:rPr>
              <w:t>16</w:t>
            </w:r>
            <w:r w:rsidR="00BE6326">
              <w:rPr>
                <w:noProof/>
                <w:webHidden/>
              </w:rPr>
              <w:fldChar w:fldCharType="end"/>
            </w:r>
          </w:hyperlink>
        </w:p>
        <w:p w14:paraId="251210F6" w14:textId="77777777" w:rsidR="00BE6326" w:rsidRDefault="00646441">
          <w:pPr>
            <w:pStyle w:val="TOC1"/>
            <w:rPr>
              <w:rFonts w:eastAsiaTheme="minorEastAsia"/>
              <w:noProof/>
              <w:lang w:eastAsia="en-AU"/>
            </w:rPr>
          </w:pPr>
          <w:hyperlink w:anchor="_Toc47011012" w:history="1">
            <w:r w:rsidR="00BE6326" w:rsidRPr="00C144AB">
              <w:rPr>
                <w:rStyle w:val="Hyperlink"/>
                <w:noProof/>
              </w:rPr>
              <w:t>Part 6 – Transition period</w:t>
            </w:r>
            <w:r w:rsidR="00BE6326">
              <w:rPr>
                <w:noProof/>
                <w:webHidden/>
              </w:rPr>
              <w:tab/>
            </w:r>
            <w:r w:rsidR="00BE6326">
              <w:rPr>
                <w:noProof/>
                <w:webHidden/>
              </w:rPr>
              <w:fldChar w:fldCharType="begin"/>
            </w:r>
            <w:r w:rsidR="00BE6326">
              <w:rPr>
                <w:noProof/>
                <w:webHidden/>
              </w:rPr>
              <w:instrText xml:space="preserve"> PAGEREF _Toc47011012 \h </w:instrText>
            </w:r>
            <w:r w:rsidR="00BE6326">
              <w:rPr>
                <w:noProof/>
                <w:webHidden/>
              </w:rPr>
            </w:r>
            <w:r w:rsidR="00BE6326">
              <w:rPr>
                <w:noProof/>
                <w:webHidden/>
              </w:rPr>
              <w:fldChar w:fldCharType="separate"/>
            </w:r>
            <w:r w:rsidR="007B2DE9">
              <w:rPr>
                <w:noProof/>
                <w:webHidden/>
              </w:rPr>
              <w:t>17</w:t>
            </w:r>
            <w:r w:rsidR="00BE6326">
              <w:rPr>
                <w:noProof/>
                <w:webHidden/>
              </w:rPr>
              <w:fldChar w:fldCharType="end"/>
            </w:r>
          </w:hyperlink>
        </w:p>
        <w:p w14:paraId="5935F380" w14:textId="546E0343" w:rsidR="000F2564" w:rsidRPr="00BD1A6E" w:rsidRDefault="00E3027E" w:rsidP="00B251DB">
          <w:r w:rsidRPr="00BD1A6E">
            <w:fldChar w:fldCharType="end"/>
          </w:r>
        </w:p>
      </w:sdtContent>
    </w:sdt>
    <w:p w14:paraId="05CB5137" w14:textId="77777777" w:rsidR="00E3027E" w:rsidRPr="00BD1A6E" w:rsidRDefault="000F2564">
      <w:r w:rsidRPr="00BD1A6E">
        <w:br w:type="page"/>
      </w:r>
    </w:p>
    <w:p w14:paraId="63F76B0B" w14:textId="0F6DDB52" w:rsidR="0070113D" w:rsidRPr="00BD1A6E" w:rsidRDefault="00641FDC" w:rsidP="0070113D">
      <w:pPr>
        <w:pStyle w:val="Heading1"/>
      </w:pPr>
      <w:bookmarkStart w:id="23" w:name="_Toc47010993"/>
      <w:bookmarkStart w:id="24" w:name="_Toc19023741"/>
      <w:r w:rsidRPr="00BD1A6E">
        <w:lastRenderedPageBreak/>
        <w:t>Country of Origin Labelling (CoOL) for Complementary Medicines</w:t>
      </w:r>
      <w:r w:rsidR="00835059" w:rsidRPr="00BD1A6E">
        <w:t>:</w:t>
      </w:r>
      <w:r w:rsidRPr="00BD1A6E">
        <w:t xml:space="preserve"> </w:t>
      </w:r>
      <w:r w:rsidR="00770760" w:rsidRPr="00BD1A6E">
        <w:br/>
      </w:r>
      <w:r w:rsidRPr="00BD1A6E">
        <w:t>Proposed Information Standard</w:t>
      </w:r>
      <w:bookmarkEnd w:id="23"/>
    </w:p>
    <w:p w14:paraId="1D9FFEBD" w14:textId="1DFC5FC5" w:rsidR="007B46EE" w:rsidRPr="00BD1A6E" w:rsidRDefault="007B46EE" w:rsidP="00673DEE">
      <w:pPr>
        <w:pStyle w:val="Heading2"/>
      </w:pPr>
      <w:bookmarkStart w:id="25" w:name="_Toc47010994"/>
      <w:r w:rsidRPr="00BD1A6E">
        <w:t>Background</w:t>
      </w:r>
      <w:bookmarkEnd w:id="25"/>
    </w:p>
    <w:p w14:paraId="0C511DF4" w14:textId="007DBF00" w:rsidR="0070113D" w:rsidRPr="00BD1A6E" w:rsidRDefault="00650805" w:rsidP="007B46EE">
      <w:pPr>
        <w:pStyle w:val="Heading3"/>
      </w:pPr>
      <w:r w:rsidRPr="00BD1A6E">
        <w:t>Operation of existing law</w:t>
      </w:r>
    </w:p>
    <w:p w14:paraId="751DE4B7" w14:textId="29D71B9A" w:rsidR="00650805" w:rsidRPr="00BD1A6E" w:rsidRDefault="00650805" w:rsidP="00650805">
      <w:r w:rsidRPr="00BD1A6E">
        <w:t xml:space="preserve">Australian country of origin labelling (CoOL) is governed by the Australian Consumer Law (ACL) under Schedule 2 of the </w:t>
      </w:r>
      <w:r w:rsidRPr="00BD1A6E">
        <w:rPr>
          <w:i/>
        </w:rPr>
        <w:t>Competition and Consumer Act 2010</w:t>
      </w:r>
      <w:r w:rsidRPr="00BD1A6E">
        <w:t xml:space="preserve"> (the Act).</w:t>
      </w:r>
    </w:p>
    <w:p w14:paraId="16DC32E6" w14:textId="7DB16C59" w:rsidR="00650805" w:rsidRPr="00BD1A6E" w:rsidRDefault="00650805" w:rsidP="00650805">
      <w:r w:rsidRPr="00BD1A6E">
        <w:t xml:space="preserve">The ACL prohibits false or misleading representations about the origin of goods. To provide certainty for businesses, Part 5-3 of the ACL provides </w:t>
      </w:r>
      <w:r w:rsidR="0013513C">
        <w:t>‘</w:t>
      </w:r>
      <w:r w:rsidRPr="00BD1A6E">
        <w:t>safe harbour</w:t>
      </w:r>
      <w:r w:rsidR="0013513C">
        <w:t>’</w:t>
      </w:r>
      <w:r w:rsidR="00BD1A6E" w:rsidRPr="00BD1A6E">
        <w:rPr>
          <w:rStyle w:val="FootnoteReference"/>
        </w:rPr>
        <w:footnoteReference w:id="2"/>
      </w:r>
      <w:r w:rsidRPr="00BD1A6E">
        <w:t xml:space="preserve"> defences for country of origin claims where goods meet certain criteria. If goods satisfy the relevant criteria, the business is deemed not to have engaged in misleading or deceptive conduct or made a false or misleading representation under the ACL.</w:t>
      </w:r>
    </w:p>
    <w:p w14:paraId="1899631F" w14:textId="06ADA479" w:rsidR="00650805" w:rsidRPr="00BD1A6E" w:rsidRDefault="00BD1A6E" w:rsidP="00650805">
      <w:r w:rsidRPr="00BD1A6E">
        <w:t>Manufacturers of g</w:t>
      </w:r>
      <w:r w:rsidR="00650805" w:rsidRPr="00BD1A6E">
        <w:t xml:space="preserve">oods that meet the safe harbour defences for Australian origin claims may </w:t>
      </w:r>
      <w:r w:rsidR="002F7A05" w:rsidRPr="00BD1A6E">
        <w:t xml:space="preserve">make their own claim about Australia origin and/or </w:t>
      </w:r>
      <w:r w:rsidR="00650805" w:rsidRPr="00BD1A6E">
        <w:t>apply to Australian Made Campaign Limited (AMCL) for a licence to use the Australian Made, Australian Grown (AMAG) logo. AMCL is a not-for-profit private company that owns and manages the AMAG logo under a deed with the Australian Government.</w:t>
      </w:r>
      <w:r w:rsidR="002F7A05" w:rsidRPr="00BD1A6E">
        <w:t xml:space="preserve"> AMCL will only license the use of their logo in accordance with the requirem</w:t>
      </w:r>
      <w:r w:rsidRPr="00BD1A6E">
        <w:t>e</w:t>
      </w:r>
      <w:r w:rsidR="002F7A05" w:rsidRPr="00BD1A6E">
        <w:t>nts of the ACL.</w:t>
      </w:r>
    </w:p>
    <w:p w14:paraId="1EF6D536" w14:textId="7DB70498" w:rsidR="0070113D" w:rsidRPr="00BD1A6E" w:rsidRDefault="00650805" w:rsidP="00650805">
      <w:pPr>
        <w:rPr>
          <w:szCs w:val="24"/>
        </w:rPr>
      </w:pPr>
      <w:r w:rsidRPr="00BD1A6E">
        <w:t xml:space="preserve">In practice, complementary medicines </w:t>
      </w:r>
      <w:r w:rsidR="002F7A05" w:rsidRPr="00BD1A6E">
        <w:t xml:space="preserve">and other goods </w:t>
      </w:r>
      <w:r w:rsidRPr="00BD1A6E">
        <w:t>made</w:t>
      </w:r>
      <w:r w:rsidR="002F7A05" w:rsidRPr="00BD1A6E">
        <w:t xml:space="preserve"> in Australia</w:t>
      </w:r>
      <w:r w:rsidRPr="00BD1A6E">
        <w:t xml:space="preserve"> from imported ingredients </w:t>
      </w:r>
      <w:r w:rsidR="002F7A05" w:rsidRPr="00BD1A6E">
        <w:t xml:space="preserve">or components </w:t>
      </w:r>
      <w:r w:rsidRPr="00BD1A6E">
        <w:t xml:space="preserve">must be ‘substantially transformed’ to access a safe harbour defence for an Australian origin claim. The </w:t>
      </w:r>
      <w:r w:rsidR="002F7A05" w:rsidRPr="00BD1A6E">
        <w:t xml:space="preserve">end </w:t>
      </w:r>
      <w:r w:rsidRPr="00BD1A6E">
        <w:t xml:space="preserve">product must be fundamentally different in identity, nature or essential character from its imported ingredients </w:t>
      </w:r>
      <w:r w:rsidR="002F7A05" w:rsidRPr="00BD1A6E">
        <w:t xml:space="preserve">or components </w:t>
      </w:r>
      <w:r w:rsidRPr="00BD1A6E">
        <w:t>to be considered ‘substantially transformed’ and able to make a safe harbour Australian origin claim, enabling lawful use of the AMAG logo under licence from AMCL.</w:t>
      </w:r>
    </w:p>
    <w:p w14:paraId="02F691EB" w14:textId="23B7DD0B" w:rsidR="0070113D" w:rsidRPr="00BD1A6E" w:rsidRDefault="00650805" w:rsidP="007B46EE">
      <w:pPr>
        <w:pStyle w:val="Heading3"/>
      </w:pPr>
      <w:bookmarkStart w:id="26" w:name="_Toc29215197"/>
      <w:r w:rsidRPr="00BD1A6E">
        <w:t>Need for change</w:t>
      </w:r>
      <w:bookmarkEnd w:id="26"/>
    </w:p>
    <w:p w14:paraId="31E76980" w14:textId="1B9BFD59" w:rsidR="00650805" w:rsidRPr="00BD1A6E" w:rsidRDefault="00650805" w:rsidP="00EB6A23">
      <w:r w:rsidRPr="00BD1A6E">
        <w:t>The complementary medicines sector expressed concerns</w:t>
      </w:r>
      <w:r w:rsidR="002F7A05" w:rsidRPr="00BD1A6E">
        <w:t xml:space="preserve"> in 201</w:t>
      </w:r>
      <w:r w:rsidR="00BD1A6E">
        <w:t>8</w:t>
      </w:r>
      <w:r w:rsidRPr="00BD1A6E">
        <w:t xml:space="preserve"> that the </w:t>
      </w:r>
      <w:r w:rsidRPr="00BD1A6E">
        <w:rPr>
          <w:i/>
        </w:rPr>
        <w:t>Competition and Consumer Amendment (Country of Origin) Act 2017</w:t>
      </w:r>
      <w:r w:rsidRPr="00BD1A6E">
        <w:t xml:space="preserve"> altered the test for what constitutes ‘substantially transformed’, and </w:t>
      </w:r>
      <w:r w:rsidR="002F7A05" w:rsidRPr="00BD1A6E">
        <w:t xml:space="preserve">that this </w:t>
      </w:r>
      <w:r w:rsidRPr="00BD1A6E">
        <w:t xml:space="preserve">meant that </w:t>
      </w:r>
      <w:r w:rsidR="002F7A05" w:rsidRPr="00BD1A6E">
        <w:t xml:space="preserve">some, but not all, </w:t>
      </w:r>
      <w:r w:rsidRPr="00BD1A6E">
        <w:t>of their products would no longer have access to a safe harbour defence for an Australian origin claim. This raised a further issue that the sector could not meet the requirements to lawfully use the AMAG logo on those products, and highlighted the need for government intervention.</w:t>
      </w:r>
    </w:p>
    <w:p w14:paraId="15C7118B" w14:textId="4A530C0F" w:rsidR="00650805" w:rsidRPr="00BD1A6E" w:rsidRDefault="00650805" w:rsidP="00EB6A23">
      <w:r w:rsidRPr="00BD1A6E">
        <w:t xml:space="preserve">In </w:t>
      </w:r>
      <w:r w:rsidR="002F7A05" w:rsidRPr="00BD1A6E">
        <w:t>examing policy options to respond to this concern</w:t>
      </w:r>
      <w:r w:rsidRPr="00BD1A6E">
        <w:t>, the Australian Government recognised the importance of providing consumers with country of origin information to make informed purchasing decisions, in line with their personal preferences. Research highlighted the great faith consumers placed in an Australian origin claim and in the widely recognised AMAG logo. The research further indicated that labels featuring an Australian origin claim, together with a bar chart and a statement of the proportion of Australian ingredients, best conveyed this information.</w:t>
      </w:r>
    </w:p>
    <w:p w14:paraId="10F8C443" w14:textId="5953A9E4" w:rsidR="00650805" w:rsidRPr="00BD1A6E" w:rsidRDefault="00650805" w:rsidP="00EB6A23">
      <w:r w:rsidRPr="00BD1A6E">
        <w:lastRenderedPageBreak/>
        <w:t xml:space="preserve">Acting on this need for change, in December 2019 state and territory ministers in the Legislative and Governance Forum on Consumer Affairs (CAF) supported the Government’s proposal to introduce </w:t>
      </w:r>
      <w:r w:rsidR="003E088F" w:rsidRPr="00BD1A6E">
        <w:t xml:space="preserve">interim </w:t>
      </w:r>
      <w:r w:rsidRPr="00BD1A6E">
        <w:t xml:space="preserve">reforms that allow complementary medicines manufactured in Australia, to Therapeutic Goods Administration (TGA) certification, to be claimed as ‘Australian made’. CAF ministers also agreed to </w:t>
      </w:r>
      <w:r w:rsidR="003E088F" w:rsidRPr="00BD1A6E">
        <w:t xml:space="preserve">further reforms to </w:t>
      </w:r>
      <w:r w:rsidRPr="00BD1A6E">
        <w:t>protect consumer interests by requiring complementary medicines to display the proportion of Australian ingredients on the label when the product is claimed to be ‘Australian made’</w:t>
      </w:r>
      <w:r w:rsidR="003E088F" w:rsidRPr="00BD1A6E">
        <w:t>.</w:t>
      </w:r>
    </w:p>
    <w:p w14:paraId="0999DB14" w14:textId="055687DC" w:rsidR="00650805" w:rsidRPr="00BD1A6E" w:rsidRDefault="00650805" w:rsidP="00EB6A23">
      <w:r w:rsidRPr="00BD1A6E">
        <w:t>These changes will provide long term certainty to the complementary medicines sector on their safe harbour defences for Australian origin claims, while responding to consumers’ concerns about ‘Australian made’ claims on complementary medicines manufactured in Australia</w:t>
      </w:r>
      <w:r w:rsidR="00F6511C" w:rsidRPr="00BD1A6E">
        <w:t>. The changes will also</w:t>
      </w:r>
      <w:r w:rsidRPr="00BD1A6E">
        <w:t xml:space="preserve"> fulfil the Government’s undertaking to the states and territories, to deliver these reforms</w:t>
      </w:r>
      <w:r w:rsidR="00F6511C" w:rsidRPr="00BD1A6E">
        <w:t>.</w:t>
      </w:r>
    </w:p>
    <w:p w14:paraId="50888FF1" w14:textId="7F9D4A85" w:rsidR="0070113D" w:rsidRPr="00BD1A6E" w:rsidRDefault="00650805" w:rsidP="007B46EE">
      <w:pPr>
        <w:pStyle w:val="Heading3"/>
      </w:pPr>
      <w:r w:rsidRPr="00BD1A6E">
        <w:t>Proposed reforms</w:t>
      </w:r>
    </w:p>
    <w:p w14:paraId="00D72BAB" w14:textId="77777777" w:rsidR="00650805" w:rsidRPr="00BD1A6E" w:rsidRDefault="00650805" w:rsidP="00EB6A23">
      <w:r w:rsidRPr="00BD1A6E">
        <w:t xml:space="preserve">In June 2020, the Australian Government introduced the Competition and Consumer Amendment (Australian Consumer Law―Country of Origin Representations) Bill 2020 into Federal Parliament. The Bill is the first step towards implementing the proposed reforms for Australian made complementary medicines. </w:t>
      </w:r>
    </w:p>
    <w:p w14:paraId="59B2FDE9" w14:textId="79A982EA" w:rsidR="00650805" w:rsidRPr="00BD1A6E" w:rsidRDefault="00650805" w:rsidP="00EB6A23">
      <w:r w:rsidRPr="00BD1A6E">
        <w:t xml:space="preserve">Following passage of the Bill through Parliament, as a second step the Government will make new regulations through an amendment to the </w:t>
      </w:r>
      <w:r w:rsidRPr="00BD1A6E">
        <w:rPr>
          <w:i/>
        </w:rPr>
        <w:t>Competition and Consumer Regulations 2010</w:t>
      </w:r>
      <w:r w:rsidRPr="00BD1A6E">
        <w:t>. These will replace the 2019 regulations</w:t>
      </w:r>
      <w:r w:rsidR="00BD1A6E">
        <w:rPr>
          <w:rStyle w:val="FootnoteReference"/>
        </w:rPr>
        <w:footnoteReference w:id="3"/>
      </w:r>
      <w:r w:rsidRPr="00BD1A6E">
        <w:t xml:space="preserve"> currently in place and will prescribe one or more processes in the Australian manufacture of complementary medicines that will meet the definition of ‘substantially transformed’ in the Act. Satisfying this definition will enable a complementary medicine manufactured in Australia from imported ingredients to </w:t>
      </w:r>
      <w:r w:rsidR="003E088F" w:rsidRPr="00BD1A6E">
        <w:t xml:space="preserve">continue to </w:t>
      </w:r>
      <w:r w:rsidRPr="00BD1A6E">
        <w:t xml:space="preserve">be claimed as ‘Australian made’ and to apply for licensed use of the AMAG logo. </w:t>
      </w:r>
    </w:p>
    <w:p w14:paraId="42C3B5BA" w14:textId="17B328A2" w:rsidR="00650805" w:rsidRPr="00BD1A6E" w:rsidRDefault="00650805" w:rsidP="00EB6A23">
      <w:r w:rsidRPr="00BD1A6E">
        <w:t>The final step will be the creation of an industry specific Information Standard under section 134 of the ACL, to govern labelling on complementary medicines when an Australian origin claim is made under these 2020 reforms. The labelling requirements are expected to be similar t</w:t>
      </w:r>
      <w:r w:rsidR="00B74827" w:rsidRPr="00BD1A6E">
        <w:t>o those used by the food sector</w:t>
      </w:r>
      <w:r w:rsidRPr="00BD1A6E">
        <w:t xml:space="preserve"> to display the proportion of Australian ingredients on a product. Unlike the food sector, Australian origin claims for the complementary medicines sector are entirely voluntary.</w:t>
      </w:r>
    </w:p>
    <w:p w14:paraId="60256154" w14:textId="10B57E8C" w:rsidR="002C7749" w:rsidRPr="00BD1A6E" w:rsidRDefault="00650805" w:rsidP="00EB6A23">
      <w:r w:rsidRPr="00BD1A6E">
        <w:t xml:space="preserve">Labelling to indicate the proportion of Australian ingredients will only be mandatory for complementary medicines manufacturers </w:t>
      </w:r>
      <w:r w:rsidR="0043769B" w:rsidRPr="00BD1A6E">
        <w:t>who</w:t>
      </w:r>
      <w:r w:rsidRPr="00BD1A6E">
        <w:t xml:space="preserve"> </w:t>
      </w:r>
      <w:r w:rsidR="002C7749" w:rsidRPr="00BD1A6E">
        <w:t xml:space="preserve">choose to </w:t>
      </w:r>
      <w:r w:rsidRPr="00BD1A6E">
        <w:t xml:space="preserve">rely on this proposed 2020 amendment to the ACL, and the subsequent regulations, to establish the Australian origin of their products. </w:t>
      </w:r>
    </w:p>
    <w:p w14:paraId="2206E898" w14:textId="1513ADF5" w:rsidR="0070113D" w:rsidRPr="00BD1A6E" w:rsidRDefault="00650805" w:rsidP="00EB6A23">
      <w:r w:rsidRPr="00BD1A6E">
        <w:t>Complementary medicines that already claim Australian origin under the existing substantial transformation test will not be required to display the proportion of Australian ingredients on the product’s label, but may voluntarily provide this information. Furthermore, the bar chart and statement will not be required on products manufactured exclusively for export</w:t>
      </w:r>
      <w:r w:rsidR="0070113D" w:rsidRPr="00BD1A6E">
        <w:t xml:space="preserve">. </w:t>
      </w:r>
    </w:p>
    <w:p w14:paraId="0C3F7896" w14:textId="77777777" w:rsidR="003F1462" w:rsidRPr="00BD1A6E" w:rsidRDefault="003F1462" w:rsidP="00EB6A23">
      <w:pPr>
        <w:rPr>
          <w:rFonts w:asciiTheme="majorHAnsi" w:eastAsiaTheme="majorEastAsia" w:hAnsiTheme="majorHAnsi" w:cstheme="majorBidi"/>
          <w:color w:val="005677" w:themeColor="text2"/>
          <w:sz w:val="32"/>
          <w:szCs w:val="48"/>
        </w:rPr>
      </w:pPr>
      <w:bookmarkStart w:id="27" w:name="_Toc29215199"/>
      <w:r w:rsidRPr="00BD1A6E">
        <w:br w:type="page"/>
      </w:r>
    </w:p>
    <w:p w14:paraId="7A01C4B1" w14:textId="6B1420BA" w:rsidR="0070113D" w:rsidRPr="00BD1A6E" w:rsidRDefault="00650805" w:rsidP="00191E2C">
      <w:pPr>
        <w:pStyle w:val="Heading2"/>
      </w:pPr>
      <w:bookmarkStart w:id="28" w:name="_Toc47010995"/>
      <w:bookmarkEnd w:id="27"/>
      <w:r w:rsidRPr="00BD1A6E">
        <w:lastRenderedPageBreak/>
        <w:t>Who is affected</w:t>
      </w:r>
      <w:bookmarkEnd w:id="28"/>
    </w:p>
    <w:p w14:paraId="2C10D2E8" w14:textId="77777777" w:rsidR="00650805" w:rsidRPr="00BD1A6E" w:rsidRDefault="00650805" w:rsidP="00650805">
      <w:r w:rsidRPr="00BD1A6E">
        <w:t>The proposed Information Standard imposes labelling requirements on complementary medicines manufacturers who claim Australian origin for their products under these 2020 reforms. These labelling requirements will be new for some in the sector, but familiar to others through their food manufacturing operations.</w:t>
      </w:r>
    </w:p>
    <w:p w14:paraId="30E3AEF7" w14:textId="3D927022" w:rsidR="00FF2844" w:rsidRPr="00BD1A6E" w:rsidRDefault="00650805" w:rsidP="00650805">
      <w:r w:rsidRPr="00BD1A6E">
        <w:t>Labelling will also provide Australian consumers with clear and accessible information on the proportion of Australian ingredients in a complementary medicine, addressing consumers’ concerns over the transparency of Australian origin claims.</w:t>
      </w:r>
      <w:r w:rsidR="00FF2844" w:rsidRPr="00BD1A6E">
        <w:t xml:space="preserve"> </w:t>
      </w:r>
    </w:p>
    <w:p w14:paraId="266D64EF" w14:textId="64B8DEF8" w:rsidR="00650805" w:rsidRPr="00BD1A6E" w:rsidRDefault="00650805" w:rsidP="00191E2C">
      <w:pPr>
        <w:pStyle w:val="Heading2"/>
      </w:pPr>
      <w:bookmarkStart w:id="29" w:name="_Toc47010996"/>
      <w:r w:rsidRPr="00BD1A6E">
        <w:t>Discussion points</w:t>
      </w:r>
      <w:bookmarkEnd w:id="29"/>
    </w:p>
    <w:p w14:paraId="0DB9F826" w14:textId="77777777" w:rsidR="00650805" w:rsidRPr="00BD1A6E" w:rsidRDefault="00650805" w:rsidP="00650805">
      <w:r w:rsidRPr="00BD1A6E">
        <w:t xml:space="preserve">This discussion paper seeks to engage interested parties in an open consultation on specific provisions of the proposed Information Standard. The feedback provided will assist the Australian Government to develop and finalise an Information Standard for the complementary medicines sector. </w:t>
      </w:r>
    </w:p>
    <w:p w14:paraId="32718958" w14:textId="77777777" w:rsidR="00650805" w:rsidRPr="00BD1A6E" w:rsidRDefault="00650805" w:rsidP="00650805">
      <w:r w:rsidRPr="00BD1A6E">
        <w:t>We would appreciate it if you could respond to as many questions as you can so that your views are taken into account in drafting the Information Standard.</w:t>
      </w:r>
    </w:p>
    <w:p w14:paraId="20C4513D" w14:textId="1E88D0B5" w:rsidR="00650805" w:rsidRPr="00BD1A6E" w:rsidRDefault="00650805" w:rsidP="00650805">
      <w:r w:rsidRPr="00BD1A6E">
        <w:t xml:space="preserve">The consultation will not include administrative elements of the proposed Information Standard, or aspects that were agreed between the Commonwealth, state and territory governments in the CAF forum. Broader, related issues may be examined as part of the </w:t>
      </w:r>
      <w:r w:rsidR="00894112" w:rsidRPr="00BD1A6E">
        <w:t>separate</w:t>
      </w:r>
      <w:r w:rsidRPr="00BD1A6E">
        <w:t xml:space="preserve"> </w:t>
      </w:r>
      <w:r w:rsidRPr="00BD1A6E">
        <w:rPr>
          <w:i/>
        </w:rPr>
        <w:t>Evaluation of Country of Origin L</w:t>
      </w:r>
      <w:r w:rsidR="003C3E5B" w:rsidRPr="00BD1A6E">
        <w:rPr>
          <w:i/>
        </w:rPr>
        <w:t>abelling (CoOL) for F</w:t>
      </w:r>
      <w:r w:rsidRPr="00BD1A6E">
        <w:rPr>
          <w:i/>
        </w:rPr>
        <w:t>ood</w:t>
      </w:r>
      <w:r w:rsidRPr="00BD1A6E">
        <w:t xml:space="preserve"> process</w:t>
      </w:r>
      <w:r w:rsidR="00770DCE">
        <w:t xml:space="preserve"> </w:t>
      </w:r>
      <w:hyperlink r:id="rId15" w:history="1">
        <w:r w:rsidR="00770DCE" w:rsidRPr="00831C81">
          <w:rPr>
            <w:rStyle w:val="Hyperlink"/>
          </w:rPr>
          <w:t>https://consult.industry.gov.au/cool-taskforce/evaluation-of-country-of-origin-labelling-for-food/</w:t>
        </w:r>
      </w:hyperlink>
      <w:r w:rsidRPr="00BD1A6E">
        <w:t>.</w:t>
      </w:r>
    </w:p>
    <w:p w14:paraId="5FB0C478" w14:textId="5290DC4E" w:rsidR="00650805" w:rsidRPr="00BD1A6E" w:rsidRDefault="00650805" w:rsidP="00191E2C">
      <w:pPr>
        <w:pStyle w:val="Heading2"/>
      </w:pPr>
      <w:bookmarkStart w:id="30" w:name="_Toc47010997"/>
      <w:r w:rsidRPr="00BD1A6E">
        <w:t>Next steps</w:t>
      </w:r>
      <w:bookmarkEnd w:id="30"/>
    </w:p>
    <w:p w14:paraId="5C1AC87E" w14:textId="7E73B7E8" w:rsidR="004D6712" w:rsidRDefault="004D6712" w:rsidP="00650805">
      <w:r>
        <w:t xml:space="preserve">The consultation will </w:t>
      </w:r>
      <w:r w:rsidRPr="000779BC">
        <w:t xml:space="preserve">close on </w:t>
      </w:r>
      <w:r w:rsidR="00122C12">
        <w:t>24 September</w:t>
      </w:r>
      <w:r w:rsidRPr="000779BC">
        <w:t xml:space="preserve"> 2020. Please</w:t>
      </w:r>
      <w:r>
        <w:t xml:space="preserve"> follow the directions on the Consultation Hub webpage to make a submission and/or answer the questions provided in the document below.</w:t>
      </w:r>
    </w:p>
    <w:p w14:paraId="2F622815" w14:textId="463464C2" w:rsidR="00650805" w:rsidRPr="00BD1A6E" w:rsidRDefault="00650805" w:rsidP="00650805">
      <w:r w:rsidRPr="00BD1A6E">
        <w:t>Once this round of consultation is completed, the proposed Information Standard will be drafted with a view to finalising by the end of 2020.</w:t>
      </w:r>
      <w:r w:rsidR="003E088F" w:rsidRPr="00BD1A6E">
        <w:t xml:space="preserve"> </w:t>
      </w:r>
    </w:p>
    <w:p w14:paraId="466CA00F" w14:textId="484046A6" w:rsidR="00650805" w:rsidRPr="00BD1A6E" w:rsidRDefault="00650805" w:rsidP="00191E2C">
      <w:pPr>
        <w:pStyle w:val="Heading2"/>
      </w:pPr>
      <w:bookmarkStart w:id="31" w:name="_Toc47010998"/>
      <w:r w:rsidRPr="00BD1A6E">
        <w:t>Proposed Information Standard Provisions</w:t>
      </w:r>
      <w:bookmarkEnd w:id="31"/>
    </w:p>
    <w:p w14:paraId="0DDA5BC9" w14:textId="5DA665D0" w:rsidR="00650805" w:rsidRDefault="00650805" w:rsidP="00650805">
      <w:r w:rsidRPr="00BD1A6E">
        <w:t>Responses to the following set of discussion points will inform drafting of the proposed Information Standard. We are seeking your views on issues including measurement of Australian ingredients, the visual requirements of Australian origin claims on labels, the transition arrangements to introduce the labelling laws, and the appropriate level of information disclosure for industry and consumers.</w:t>
      </w:r>
    </w:p>
    <w:p w14:paraId="606A7392" w14:textId="77777777" w:rsidR="00316EA3" w:rsidRPr="00BD1A6E" w:rsidRDefault="00316EA3" w:rsidP="00316EA3">
      <w:r>
        <w:t>If any graphics are required under the Information Standard</w:t>
      </w:r>
      <w:r w:rsidRPr="00BD1A6E">
        <w:t xml:space="preserve"> </w:t>
      </w:r>
      <w:r>
        <w:t xml:space="preserve">they </w:t>
      </w:r>
      <w:r w:rsidRPr="00BD1A6E">
        <w:t>will  be provided free of charge by the Australian Government.</w:t>
      </w:r>
    </w:p>
    <w:p w14:paraId="6EE0925C" w14:textId="77777777" w:rsidR="00316EA3" w:rsidRPr="00BD1A6E" w:rsidRDefault="00316EA3" w:rsidP="00316EA3">
      <w:r w:rsidRPr="00BD1A6E">
        <w:t>AMCL will continue to manage voluntary licensing of the AMAG logo, should a business wish to use this on labelling for complementary medicines.</w:t>
      </w:r>
    </w:p>
    <w:p w14:paraId="34B7A1B3" w14:textId="77777777" w:rsidR="000A0CA0" w:rsidRPr="00BD1A6E" w:rsidRDefault="000A0CA0" w:rsidP="00650805"/>
    <w:p w14:paraId="08A520BF" w14:textId="77777777" w:rsidR="00824545" w:rsidRPr="00BD1A6E" w:rsidRDefault="00824545">
      <w:pPr>
        <w:keepLines w:val="0"/>
        <w:rPr>
          <w:rFonts w:asciiTheme="majorHAnsi" w:eastAsiaTheme="majorEastAsia" w:hAnsiTheme="majorHAnsi" w:cstheme="majorBidi"/>
          <w:color w:val="005677" w:themeColor="text2"/>
          <w:sz w:val="28"/>
          <w:szCs w:val="40"/>
        </w:rPr>
      </w:pPr>
      <w:r w:rsidRPr="00BD1A6E">
        <w:br w:type="page"/>
      </w:r>
    </w:p>
    <w:p w14:paraId="29BC0C87" w14:textId="6363D9BD" w:rsidR="0070113D" w:rsidRPr="00BD1A6E" w:rsidRDefault="00650805" w:rsidP="007B46EE">
      <w:pPr>
        <w:pStyle w:val="Heading1"/>
      </w:pPr>
      <w:bookmarkStart w:id="32" w:name="_Toc47010999"/>
      <w:r w:rsidRPr="00BD1A6E">
        <w:lastRenderedPageBreak/>
        <w:t>Part 1 – Measurement and reporting of the proportion of Australian ingredients</w:t>
      </w:r>
      <w:bookmarkEnd w:id="32"/>
    </w:p>
    <w:p w14:paraId="2E3965DE" w14:textId="691CDE5F" w:rsidR="0070113D" w:rsidRPr="00BD1A6E" w:rsidRDefault="00650805" w:rsidP="00EB6A23">
      <w:r w:rsidRPr="00BD1A6E">
        <w:t>The proposed Information Standard will outline how the complementary medicines sector will:</w:t>
      </w:r>
      <w:r w:rsidR="0070113D" w:rsidRPr="00BD1A6E">
        <w:t xml:space="preserve"> </w:t>
      </w:r>
    </w:p>
    <w:p w14:paraId="031B9B62" w14:textId="4AF03C9D" w:rsidR="00650805" w:rsidRPr="00BD1A6E" w:rsidRDefault="00F23F66" w:rsidP="00EB6A23">
      <w:pPr>
        <w:pStyle w:val="ListParagraph"/>
        <w:numPr>
          <w:ilvl w:val="0"/>
          <w:numId w:val="38"/>
        </w:numPr>
      </w:pPr>
      <w:r w:rsidRPr="00BD1A6E">
        <w:t>m</w:t>
      </w:r>
      <w:r w:rsidR="00650805" w:rsidRPr="00BD1A6E">
        <w:t>easure the proportion of Australian ingredients;</w:t>
      </w:r>
    </w:p>
    <w:p w14:paraId="6B05D2C8" w14:textId="54FB1A51" w:rsidR="002F3CAD" w:rsidRPr="00BD1A6E" w:rsidRDefault="00F23F66" w:rsidP="00EB6A23">
      <w:pPr>
        <w:pStyle w:val="ListParagraph"/>
        <w:numPr>
          <w:ilvl w:val="0"/>
          <w:numId w:val="38"/>
        </w:numPr>
      </w:pPr>
      <w:r w:rsidRPr="00BD1A6E">
        <w:t>a</w:t>
      </w:r>
      <w:r w:rsidR="00650805" w:rsidRPr="00BD1A6E">
        <w:t>ccount for water used in the product intended for consumption; and</w:t>
      </w:r>
      <w:r w:rsidR="0070113D" w:rsidRPr="00BD1A6E">
        <w:t xml:space="preserve"> </w:t>
      </w:r>
    </w:p>
    <w:p w14:paraId="59743A64" w14:textId="215CDA8C" w:rsidR="0070113D" w:rsidRPr="00BD1A6E" w:rsidRDefault="00F23F66" w:rsidP="00EB6A23">
      <w:pPr>
        <w:pStyle w:val="ListParagraph"/>
        <w:numPr>
          <w:ilvl w:val="0"/>
          <w:numId w:val="38"/>
        </w:numPr>
      </w:pPr>
      <w:r w:rsidRPr="00BD1A6E">
        <w:t>u</w:t>
      </w:r>
      <w:r w:rsidR="00650805" w:rsidRPr="00BD1A6E">
        <w:t>se various methods to average ingredient inputs between periods of time.</w:t>
      </w:r>
    </w:p>
    <w:p w14:paraId="5AF0F25B" w14:textId="2D117446" w:rsidR="0070113D" w:rsidRPr="00BD1A6E" w:rsidRDefault="00650805" w:rsidP="00EB6A23">
      <w:r w:rsidRPr="00BD1A6E">
        <w:rPr>
          <w:u w:val="single"/>
        </w:rPr>
        <w:t>Please note:</w:t>
      </w:r>
      <w:r w:rsidR="00F23F66" w:rsidRPr="00BD1A6E">
        <w:t xml:space="preserve"> </w:t>
      </w:r>
      <w:r w:rsidRPr="00BD1A6E">
        <w:t xml:space="preserve">labelling of the sources of imported ingredients </w:t>
      </w:r>
      <w:r w:rsidR="003E088F" w:rsidRPr="00BD1A6E">
        <w:t>is not proposed</w:t>
      </w:r>
      <w:r w:rsidRPr="00BD1A6E">
        <w:t xml:space="preserve"> under this</w:t>
      </w:r>
      <w:r w:rsidR="004A47A6" w:rsidRPr="00BD1A6E">
        <w:t xml:space="preserve"> </w:t>
      </w:r>
      <w:r w:rsidRPr="00BD1A6E">
        <w:t xml:space="preserve"> Information Standard. The only measure </w:t>
      </w:r>
      <w:r w:rsidR="003E088F" w:rsidRPr="00BD1A6E">
        <w:t xml:space="preserve">proposed to be required </w:t>
      </w:r>
      <w:r w:rsidRPr="00BD1A6E">
        <w:t>will be the percentage of Australian ingredient</w:t>
      </w:r>
      <w:r w:rsidR="00F23F66" w:rsidRPr="00BD1A6E">
        <w:t>s in the product</w:t>
      </w:r>
      <w:r w:rsidRPr="00BD1A6E">
        <w:t>.</w:t>
      </w:r>
    </w:p>
    <w:p w14:paraId="03A1D5EF" w14:textId="468758FC" w:rsidR="00650805" w:rsidRPr="00BD1A6E" w:rsidRDefault="00650805" w:rsidP="007B46EE">
      <w:pPr>
        <w:pStyle w:val="Heading2"/>
        <w:rPr>
          <w:rFonts w:eastAsia="MS PGothic"/>
          <w:i/>
        </w:rPr>
      </w:pPr>
      <w:bookmarkStart w:id="33" w:name="_Toc47011000"/>
      <w:r w:rsidRPr="00BD1A6E">
        <w:rPr>
          <w:rFonts w:eastAsia="MS PGothic"/>
          <w:i/>
        </w:rPr>
        <w:t xml:space="preserve">Measurement of the proportion of Australian </w:t>
      </w:r>
      <w:r w:rsidR="00ED154D" w:rsidRPr="00BD1A6E">
        <w:rPr>
          <w:rFonts w:eastAsia="MS PGothic"/>
          <w:i/>
        </w:rPr>
        <w:t>i</w:t>
      </w:r>
      <w:r w:rsidRPr="00BD1A6E">
        <w:rPr>
          <w:rFonts w:eastAsia="MS PGothic"/>
          <w:i/>
        </w:rPr>
        <w:t>ngredients</w:t>
      </w:r>
      <w:bookmarkEnd w:id="33"/>
    </w:p>
    <w:p w14:paraId="385DDD8A" w14:textId="02600087" w:rsidR="00650805" w:rsidRPr="00BD1A6E" w:rsidRDefault="00130CBA" w:rsidP="00E778EE">
      <w:pPr>
        <w:pBdr>
          <w:top w:val="single" w:sz="4" w:space="1" w:color="auto"/>
          <w:bottom w:val="single" w:sz="4" w:space="1" w:color="auto"/>
        </w:pBdr>
        <w:ind w:left="567" w:hanging="567"/>
        <w:rPr>
          <w:b/>
          <w:i/>
          <w:szCs w:val="24"/>
        </w:rPr>
      </w:pPr>
      <w:r w:rsidRPr="00BD1A6E">
        <w:rPr>
          <w:b/>
          <w:i/>
          <w:szCs w:val="24"/>
        </w:rPr>
        <w:t>Proposed</w:t>
      </w:r>
      <w:r w:rsidR="00650805" w:rsidRPr="00BD1A6E">
        <w:rPr>
          <w:b/>
          <w:i/>
          <w:szCs w:val="24"/>
        </w:rPr>
        <w:t xml:space="preserve"> Information Standard Provision</w:t>
      </w:r>
    </w:p>
    <w:p w14:paraId="0408D133" w14:textId="77777777" w:rsidR="00650805" w:rsidRPr="00BD1A6E" w:rsidRDefault="00650805" w:rsidP="00E778EE">
      <w:pPr>
        <w:pBdr>
          <w:top w:val="single" w:sz="4" w:space="1" w:color="auto"/>
          <w:bottom w:val="single" w:sz="4" w:space="1" w:color="auto"/>
        </w:pBdr>
        <w:ind w:left="567" w:hanging="567"/>
        <w:rPr>
          <w:i/>
          <w:szCs w:val="24"/>
        </w:rPr>
      </w:pPr>
      <w:r w:rsidRPr="00BD1A6E">
        <w:rPr>
          <w:i/>
          <w:szCs w:val="24"/>
        </w:rPr>
        <w:t xml:space="preserve"> (1)</w:t>
      </w:r>
      <w:r w:rsidRPr="00BD1A6E">
        <w:rPr>
          <w:i/>
          <w:szCs w:val="24"/>
        </w:rPr>
        <w:tab/>
        <w:t>In this Information Standard, a reference to the proportion by weight of the Australian ingredients of a complementary medicine is a reference to the total ingoing weight of the ingredients from Australia as a proportion of the total ingoing weight of all the ingredients of the complementary medicine, expressed as a percentage.</w:t>
      </w:r>
    </w:p>
    <w:p w14:paraId="15B89F37" w14:textId="614E51BD" w:rsidR="00650805" w:rsidRPr="00BD1A6E" w:rsidRDefault="00650805" w:rsidP="00E778EE">
      <w:pPr>
        <w:pBdr>
          <w:top w:val="single" w:sz="4" w:space="1" w:color="auto"/>
          <w:bottom w:val="single" w:sz="4" w:space="1" w:color="auto"/>
        </w:pBdr>
        <w:ind w:left="567" w:hanging="567"/>
        <w:rPr>
          <w:i/>
          <w:szCs w:val="24"/>
        </w:rPr>
      </w:pPr>
      <w:r w:rsidRPr="00BD1A6E">
        <w:rPr>
          <w:i/>
          <w:szCs w:val="24"/>
        </w:rPr>
        <w:t>(2)</w:t>
      </w:r>
      <w:r w:rsidRPr="00BD1A6E">
        <w:rPr>
          <w:i/>
          <w:szCs w:val="24"/>
        </w:rPr>
        <w:tab/>
        <w:t>To avoid doubt, a substance or ingredient used as a processing aid is not an ingredient for the purposes of subsection (1).</w:t>
      </w:r>
    </w:p>
    <w:p w14:paraId="3DA49E62" w14:textId="77777777" w:rsidR="00650805" w:rsidRPr="00BD1A6E" w:rsidRDefault="00650805" w:rsidP="00650805">
      <w:pPr>
        <w:pStyle w:val="Calloutbox"/>
        <w:pBdr>
          <w:left w:val="single" w:sz="4" w:space="1" w:color="DFF3F3" w:themeColor="accent4" w:themeTint="33"/>
        </w:pBdr>
        <w:rPr>
          <w:b/>
        </w:rPr>
      </w:pPr>
      <w:r w:rsidRPr="00BD1A6E">
        <w:rPr>
          <w:b/>
        </w:rPr>
        <w:t>Consultation Questions</w:t>
      </w:r>
    </w:p>
    <w:p w14:paraId="6F5CF3DC" w14:textId="7A3AB908" w:rsidR="00650805" w:rsidRPr="00BD1A6E" w:rsidRDefault="00650805" w:rsidP="00650805">
      <w:pPr>
        <w:pStyle w:val="Calloutbox"/>
        <w:numPr>
          <w:ilvl w:val="0"/>
          <w:numId w:val="19"/>
        </w:numPr>
        <w:pBdr>
          <w:left w:val="single" w:sz="4" w:space="1" w:color="DFF3F3" w:themeColor="accent4" w:themeTint="33"/>
        </w:pBdr>
        <w:ind w:left="426" w:hanging="426"/>
      </w:pPr>
      <w:r w:rsidRPr="00BD1A6E">
        <w:t xml:space="preserve">Does </w:t>
      </w:r>
      <w:r w:rsidR="00BD2217" w:rsidRPr="00BD1A6E">
        <w:t>this</w:t>
      </w:r>
      <w:r w:rsidRPr="00BD1A6E">
        <w:t xml:space="preserve"> draft provision present any challenges? If so, please illustrate </w:t>
      </w:r>
      <w:r w:rsidR="00BD2217" w:rsidRPr="00BD1A6E">
        <w:t>y</w:t>
      </w:r>
      <w:r w:rsidRPr="00BD1A6E">
        <w:t xml:space="preserve">our response with examples. Include any Australian seasonal </w:t>
      </w:r>
      <w:r w:rsidR="003E088F" w:rsidRPr="00BD1A6E">
        <w:t xml:space="preserve">supply </w:t>
      </w:r>
      <w:r w:rsidRPr="00BD1A6E">
        <w:t xml:space="preserve">challenges that </w:t>
      </w:r>
      <w:r w:rsidR="003E088F" w:rsidRPr="00BD1A6E">
        <w:t xml:space="preserve">may </w:t>
      </w:r>
      <w:r w:rsidRPr="00BD1A6E">
        <w:t>impact the calculation</w:t>
      </w:r>
      <w:r w:rsidR="00BD2217" w:rsidRPr="00BD1A6E">
        <w:t>.</w:t>
      </w:r>
    </w:p>
    <w:p w14:paraId="5C044318" w14:textId="68E3E286" w:rsidR="00650805" w:rsidRPr="00BD1A6E" w:rsidRDefault="00650805" w:rsidP="00650805">
      <w:pPr>
        <w:pStyle w:val="Calloutbox"/>
        <w:numPr>
          <w:ilvl w:val="0"/>
          <w:numId w:val="19"/>
        </w:numPr>
        <w:pBdr>
          <w:left w:val="single" w:sz="4" w:space="1" w:color="DFF3F3" w:themeColor="accent4" w:themeTint="33"/>
        </w:pBdr>
        <w:ind w:left="426" w:hanging="426"/>
      </w:pPr>
      <w:r w:rsidRPr="00BD1A6E">
        <w:t>Does the provision capture the ability to accurately calculate the weight of ingoing Australian and imported ingredients in the product? If not, please illustrate with examples</w:t>
      </w:r>
      <w:r w:rsidR="00BD2217" w:rsidRPr="00BD1A6E">
        <w:t>.</w:t>
      </w:r>
      <w:r w:rsidRPr="00BD1A6E">
        <w:t xml:space="preserve"> </w:t>
      </w:r>
    </w:p>
    <w:p w14:paraId="2A8ED972" w14:textId="09761E8D" w:rsidR="00650805" w:rsidRPr="00BD1A6E" w:rsidRDefault="00650805" w:rsidP="00650805">
      <w:pPr>
        <w:pStyle w:val="Calloutbox"/>
        <w:numPr>
          <w:ilvl w:val="0"/>
          <w:numId w:val="19"/>
        </w:numPr>
        <w:pBdr>
          <w:left w:val="single" w:sz="4" w:space="1" w:color="DFF3F3" w:themeColor="accent4" w:themeTint="33"/>
        </w:pBdr>
        <w:ind w:left="426" w:hanging="426"/>
      </w:pPr>
      <w:r w:rsidRPr="00BD1A6E">
        <w:t xml:space="preserve">Should the ratio of Australian ingredients to imported ingredients be based only on actives, or actives and excipients? Please illustrate with examples. </w:t>
      </w:r>
    </w:p>
    <w:p w14:paraId="50BA1FD8" w14:textId="7B67B846" w:rsidR="00650805" w:rsidRPr="00BD1A6E" w:rsidRDefault="00650805" w:rsidP="00650805">
      <w:pPr>
        <w:pStyle w:val="Calloutbox"/>
        <w:numPr>
          <w:ilvl w:val="0"/>
          <w:numId w:val="19"/>
        </w:numPr>
        <w:pBdr>
          <w:left w:val="single" w:sz="4" w:space="1" w:color="DFF3F3" w:themeColor="accent4" w:themeTint="33"/>
        </w:pBdr>
        <w:ind w:left="426" w:hanging="426"/>
      </w:pPr>
      <w:r w:rsidRPr="00BD1A6E">
        <w:t>Can you suggest an alternative method for calculating the proportion of Australian ingredients?</w:t>
      </w:r>
    </w:p>
    <w:p w14:paraId="32060B08" w14:textId="77777777" w:rsidR="00650805" w:rsidRPr="00BD1A6E" w:rsidRDefault="00650805" w:rsidP="0070113D">
      <w:pPr>
        <w:rPr>
          <w:szCs w:val="24"/>
        </w:rPr>
      </w:pPr>
    </w:p>
    <w:p w14:paraId="2CD2C2EC" w14:textId="77777777" w:rsidR="007B46EE" w:rsidRPr="00BD1A6E" w:rsidRDefault="007B46EE">
      <w:pPr>
        <w:keepLines w:val="0"/>
        <w:rPr>
          <w:rFonts w:asciiTheme="majorHAnsi" w:eastAsia="MS PGothic" w:hAnsiTheme="majorHAnsi" w:cstheme="majorBidi"/>
          <w:i/>
          <w:color w:val="005677" w:themeColor="text2"/>
          <w:sz w:val="32"/>
          <w:szCs w:val="48"/>
        </w:rPr>
      </w:pPr>
      <w:r w:rsidRPr="00BD1A6E">
        <w:rPr>
          <w:rFonts w:eastAsia="MS PGothic"/>
          <w:i/>
        </w:rPr>
        <w:br w:type="page"/>
      </w:r>
    </w:p>
    <w:p w14:paraId="5E4EA512" w14:textId="476669D0" w:rsidR="00C911CF" w:rsidRPr="00BD1A6E" w:rsidRDefault="00C911CF" w:rsidP="007B46EE">
      <w:pPr>
        <w:pStyle w:val="Heading2"/>
        <w:rPr>
          <w:rFonts w:eastAsia="MS PGothic"/>
          <w:i/>
        </w:rPr>
      </w:pPr>
      <w:bookmarkStart w:id="34" w:name="_Toc47011001"/>
      <w:r w:rsidRPr="00BD1A6E">
        <w:rPr>
          <w:rFonts w:eastAsia="MS PGothic"/>
          <w:i/>
        </w:rPr>
        <w:lastRenderedPageBreak/>
        <w:t xml:space="preserve">Averaging of the proportion of Australian </w:t>
      </w:r>
      <w:r w:rsidR="00ED154D" w:rsidRPr="00BD1A6E">
        <w:rPr>
          <w:rFonts w:eastAsia="MS PGothic"/>
          <w:i/>
        </w:rPr>
        <w:t>i</w:t>
      </w:r>
      <w:r w:rsidRPr="00BD1A6E">
        <w:rPr>
          <w:rFonts w:eastAsia="MS PGothic"/>
          <w:i/>
        </w:rPr>
        <w:t>ngredients</w:t>
      </w:r>
      <w:bookmarkEnd w:id="34"/>
    </w:p>
    <w:p w14:paraId="02013AE8" w14:textId="49B075F2" w:rsidR="00C911CF" w:rsidRPr="00BD1A6E" w:rsidRDefault="00C911CF" w:rsidP="00C911CF">
      <w:r w:rsidRPr="00BD1A6E">
        <w:t xml:space="preserve">It is expected that an </w:t>
      </w:r>
      <w:r w:rsidR="00B26F75">
        <w:t xml:space="preserve">option to allow </w:t>
      </w:r>
      <w:r w:rsidRPr="00BD1A6E">
        <w:t xml:space="preserve">averaging </w:t>
      </w:r>
      <w:r w:rsidR="00B26F75">
        <w:t xml:space="preserve">of the proportion of Australian ingredients </w:t>
      </w:r>
      <w:r w:rsidRPr="00BD1A6E">
        <w:t>will reduce compliance costs for business while maintaining sufficient information for consumers to make an informed purchase.</w:t>
      </w:r>
      <w:r w:rsidR="00CF39C9">
        <w:t xml:space="preserve"> Businesses will not be required to use this option.</w:t>
      </w:r>
    </w:p>
    <w:p w14:paraId="0A1F87F2" w14:textId="4D98CDC3" w:rsidR="00C911CF" w:rsidRPr="00BD1A6E" w:rsidRDefault="00130CBA" w:rsidP="00860F45">
      <w:pPr>
        <w:pBdr>
          <w:top w:val="single" w:sz="4" w:space="1" w:color="auto"/>
          <w:bottom w:val="single" w:sz="4" w:space="1" w:color="auto"/>
        </w:pBdr>
        <w:spacing w:line="240" w:lineRule="auto"/>
        <w:ind w:left="709" w:hanging="709"/>
        <w:rPr>
          <w:b/>
          <w:i/>
          <w:szCs w:val="24"/>
        </w:rPr>
      </w:pPr>
      <w:r w:rsidRPr="00BD1A6E">
        <w:rPr>
          <w:b/>
          <w:i/>
          <w:szCs w:val="24"/>
        </w:rPr>
        <w:t>Proposed</w:t>
      </w:r>
      <w:r w:rsidR="00C911CF" w:rsidRPr="00BD1A6E">
        <w:rPr>
          <w:b/>
          <w:i/>
          <w:szCs w:val="24"/>
        </w:rPr>
        <w:t xml:space="preserve"> Information Standard Provision</w:t>
      </w:r>
    </w:p>
    <w:p w14:paraId="4CE85243" w14:textId="43EB66DC" w:rsidR="00C911CF" w:rsidRPr="00BD1A6E" w:rsidRDefault="00C911CF" w:rsidP="004A47A6">
      <w:pPr>
        <w:pBdr>
          <w:top w:val="single" w:sz="4" w:space="1" w:color="auto"/>
          <w:bottom w:val="single" w:sz="4" w:space="1" w:color="auto"/>
        </w:pBdr>
        <w:spacing w:line="240" w:lineRule="auto"/>
        <w:ind w:left="426" w:hanging="426"/>
        <w:rPr>
          <w:i/>
          <w:szCs w:val="24"/>
        </w:rPr>
      </w:pPr>
      <w:r w:rsidRPr="00BD1A6E">
        <w:rPr>
          <w:i/>
          <w:szCs w:val="24"/>
        </w:rPr>
        <w:t>(1)</w:t>
      </w:r>
      <w:r w:rsidRPr="00BD1A6E">
        <w:rPr>
          <w:i/>
          <w:szCs w:val="24"/>
        </w:rPr>
        <w:tab/>
        <w:t>In this Information Standard, a reference to the average proportion by weight of the Australian ingredients of a packaged complementary medicine is a reference to the average determined over a continuous 1, 2 or 3 year period that ends no later than 2 years before the date the labelling is affixed to the package.</w:t>
      </w:r>
    </w:p>
    <w:p w14:paraId="07A8BB4C" w14:textId="77777777" w:rsidR="00C911CF" w:rsidRPr="00BD1A6E" w:rsidRDefault="00C911CF" w:rsidP="004A47A6">
      <w:pPr>
        <w:pBdr>
          <w:top w:val="single" w:sz="4" w:space="1" w:color="auto"/>
          <w:bottom w:val="single" w:sz="4" w:space="1" w:color="auto"/>
        </w:pBdr>
        <w:spacing w:line="240" w:lineRule="auto"/>
        <w:ind w:left="426" w:hanging="426"/>
        <w:rPr>
          <w:i/>
          <w:szCs w:val="24"/>
        </w:rPr>
      </w:pPr>
      <w:r w:rsidRPr="00BD1A6E">
        <w:rPr>
          <w:i/>
          <w:szCs w:val="24"/>
        </w:rPr>
        <w:t>(2)</w:t>
      </w:r>
      <w:r w:rsidRPr="00BD1A6E">
        <w:rPr>
          <w:i/>
          <w:szCs w:val="24"/>
        </w:rPr>
        <w:tab/>
        <w:t>To avoid doubt, a substance or ingredient used as a processing aid is not an ingredient.</w:t>
      </w:r>
    </w:p>
    <w:p w14:paraId="3545ED9E" w14:textId="3DA165FC" w:rsidR="00C911CF" w:rsidRPr="00BD1A6E" w:rsidRDefault="00C911CF" w:rsidP="00860F45">
      <w:pPr>
        <w:pBdr>
          <w:top w:val="single" w:sz="4" w:space="1" w:color="auto"/>
          <w:bottom w:val="single" w:sz="4" w:space="1" w:color="auto"/>
        </w:pBdr>
        <w:spacing w:line="240" w:lineRule="auto"/>
        <w:rPr>
          <w:i/>
          <w:szCs w:val="24"/>
        </w:rPr>
      </w:pPr>
      <w:r w:rsidRPr="00BD1A6E">
        <w:rPr>
          <w:i/>
          <w:szCs w:val="24"/>
        </w:rPr>
        <w:t>If the complementary medicine is made in Australia and the proportion by ingoing weight of Australian ingredients varies over time, the information may be in the form of a mark that includes a statement of the x-month average content of Australian ingredients.</w:t>
      </w:r>
    </w:p>
    <w:p w14:paraId="2AB810A9" w14:textId="77777777" w:rsidR="00C911CF" w:rsidRPr="00BD1A6E" w:rsidRDefault="00C911CF" w:rsidP="00C911CF">
      <w:pPr>
        <w:pStyle w:val="Calloutbox"/>
        <w:pBdr>
          <w:left w:val="single" w:sz="4" w:space="1" w:color="DFF3F3" w:themeColor="accent4" w:themeTint="33"/>
        </w:pBdr>
        <w:rPr>
          <w:b/>
        </w:rPr>
      </w:pPr>
      <w:r w:rsidRPr="00BD1A6E">
        <w:rPr>
          <w:b/>
        </w:rPr>
        <w:t>Consultation Questions</w:t>
      </w:r>
    </w:p>
    <w:p w14:paraId="1753F31B" w14:textId="68467924" w:rsidR="00EC45A8" w:rsidRPr="00BD1A6E" w:rsidRDefault="00C911CF" w:rsidP="00DC75EC">
      <w:pPr>
        <w:pStyle w:val="Calloutbox"/>
        <w:numPr>
          <w:ilvl w:val="0"/>
          <w:numId w:val="19"/>
        </w:numPr>
        <w:pBdr>
          <w:left w:val="single" w:sz="4" w:space="1" w:color="DFF3F3" w:themeColor="accent4" w:themeTint="33"/>
        </w:pBdr>
        <w:ind w:left="426" w:hanging="426"/>
      </w:pPr>
      <w:r w:rsidRPr="00BD1A6E">
        <w:t xml:space="preserve">Does </w:t>
      </w:r>
      <w:r w:rsidR="00BD2217" w:rsidRPr="00BD1A6E">
        <w:t>this</w:t>
      </w:r>
      <w:r w:rsidRPr="00BD1A6E">
        <w:t xml:space="preserve"> draft provision present any challenges? If so, please illustrate </w:t>
      </w:r>
      <w:r w:rsidR="00BD2217" w:rsidRPr="00BD1A6E">
        <w:t>y</w:t>
      </w:r>
      <w:r w:rsidRPr="00BD1A6E">
        <w:t>our response</w:t>
      </w:r>
      <w:r w:rsidR="00BD2217" w:rsidRPr="00BD1A6E">
        <w:t xml:space="preserve"> with examples</w:t>
      </w:r>
      <w:r w:rsidR="00DC75EC" w:rsidRPr="00BD1A6E">
        <w:t>.</w:t>
      </w:r>
      <w:r w:rsidR="00A7025B" w:rsidRPr="00BD1A6E">
        <w:t xml:space="preserve"> </w:t>
      </w:r>
    </w:p>
    <w:p w14:paraId="0AA2169F" w14:textId="73C1CAF9" w:rsidR="00EC45A8" w:rsidRPr="00BD1A6E" w:rsidRDefault="00A7025B" w:rsidP="00DC75EC">
      <w:pPr>
        <w:pStyle w:val="Calloutbox"/>
        <w:numPr>
          <w:ilvl w:val="0"/>
          <w:numId w:val="19"/>
        </w:numPr>
        <w:pBdr>
          <w:left w:val="single" w:sz="4" w:space="1" w:color="DFF3F3" w:themeColor="accent4" w:themeTint="33"/>
        </w:pBdr>
        <w:ind w:left="426" w:hanging="426"/>
      </w:pPr>
      <w:r w:rsidRPr="00BD1A6E">
        <w:t xml:space="preserve">If the provision could be improved, please explain your alternative method. </w:t>
      </w:r>
    </w:p>
    <w:p w14:paraId="7263F164" w14:textId="5684A53B" w:rsidR="00C911CF" w:rsidRPr="00BD1A6E" w:rsidRDefault="00A7025B" w:rsidP="00DC75EC">
      <w:pPr>
        <w:pStyle w:val="Calloutbox"/>
        <w:numPr>
          <w:ilvl w:val="0"/>
          <w:numId w:val="19"/>
        </w:numPr>
        <w:pBdr>
          <w:left w:val="single" w:sz="4" w:space="1" w:color="DFF3F3" w:themeColor="accent4" w:themeTint="33"/>
        </w:pBdr>
        <w:ind w:left="426" w:hanging="426"/>
      </w:pPr>
      <w:r w:rsidRPr="00BD1A6E">
        <w:t xml:space="preserve">Are there any particular circumstances surrounding tracking the average of Australian ingredients over a period of time that </w:t>
      </w:r>
      <w:r w:rsidR="00BD2217" w:rsidRPr="00BD1A6E">
        <w:t>should</w:t>
      </w:r>
      <w:r w:rsidRPr="00BD1A6E">
        <w:t xml:space="preserve"> be taken into consideration given the 1-3 year period of the draft provision? If so, please illustrate </w:t>
      </w:r>
      <w:r w:rsidR="00DC75EC" w:rsidRPr="00BD1A6E">
        <w:t>with examples.</w:t>
      </w:r>
    </w:p>
    <w:p w14:paraId="2EDBC0E9" w14:textId="6CF6FCFE" w:rsidR="00824545" w:rsidRPr="00BD1A6E" w:rsidRDefault="00824545" w:rsidP="007B46EE">
      <w:pPr>
        <w:pStyle w:val="Heading2"/>
        <w:rPr>
          <w:rFonts w:eastAsia="MS PGothic"/>
          <w:i/>
        </w:rPr>
      </w:pPr>
      <w:bookmarkStart w:id="35" w:name="_Toc47011002"/>
      <w:r w:rsidRPr="00BD1A6E">
        <w:rPr>
          <w:rFonts w:eastAsia="MS PGothic"/>
          <w:i/>
        </w:rPr>
        <w:t>Averaging Australian content</w:t>
      </w:r>
      <w:r w:rsidRPr="00BD1A6E">
        <w:rPr>
          <w:i/>
          <w:lang w:eastAsia="en-AU"/>
        </w:rPr>
        <w:t>—methods for providing consumers with content information</w:t>
      </w:r>
      <w:bookmarkEnd w:id="35"/>
    </w:p>
    <w:p w14:paraId="4139B7D8" w14:textId="16E60899" w:rsidR="00C911CF" w:rsidRPr="00BD1A6E" w:rsidRDefault="00824545" w:rsidP="0070113D">
      <w:r w:rsidRPr="00BD1A6E">
        <w:t>If a producer uses an averaging method to measure the proportion of Australian ingredients, consumers will need information on how that averaging was calculated.</w:t>
      </w:r>
    </w:p>
    <w:p w14:paraId="6442D44A" w14:textId="3996BF35" w:rsidR="00824545" w:rsidRPr="00BD1A6E" w:rsidRDefault="00130CBA" w:rsidP="00860F45">
      <w:pPr>
        <w:pBdr>
          <w:top w:val="single" w:sz="4" w:space="1" w:color="auto"/>
        </w:pBdr>
        <w:spacing w:line="240" w:lineRule="auto"/>
        <w:rPr>
          <w:b/>
          <w:i/>
          <w:szCs w:val="24"/>
        </w:rPr>
      </w:pPr>
      <w:r w:rsidRPr="00BD1A6E">
        <w:rPr>
          <w:b/>
          <w:i/>
          <w:szCs w:val="24"/>
        </w:rPr>
        <w:t>Proposed</w:t>
      </w:r>
      <w:r w:rsidR="00824545" w:rsidRPr="00BD1A6E">
        <w:rPr>
          <w:b/>
          <w:i/>
          <w:szCs w:val="24"/>
        </w:rPr>
        <w:t xml:space="preserve"> Information Standard Provision</w:t>
      </w:r>
    </w:p>
    <w:p w14:paraId="72D6F804" w14:textId="77777777" w:rsidR="00824545" w:rsidRPr="00BD1A6E" w:rsidRDefault="00824545" w:rsidP="00860F45">
      <w:pPr>
        <w:spacing w:line="240" w:lineRule="auto"/>
        <w:ind w:left="426" w:hanging="426"/>
        <w:rPr>
          <w:i/>
          <w:szCs w:val="24"/>
        </w:rPr>
      </w:pPr>
      <w:r w:rsidRPr="00BD1A6E">
        <w:rPr>
          <w:i/>
          <w:szCs w:val="24"/>
        </w:rPr>
        <w:t xml:space="preserve"> (1)</w:t>
      </w:r>
      <w:r w:rsidRPr="00BD1A6E">
        <w:rPr>
          <w:i/>
          <w:szCs w:val="24"/>
        </w:rPr>
        <w:tab/>
        <w:t xml:space="preserve">The following are the methods to provide a consumer with information on the Australian content of complementary medicines when averaging information must be available for the consumer: </w:t>
      </w:r>
    </w:p>
    <w:p w14:paraId="3BF5A930" w14:textId="0776D641" w:rsidR="00824545" w:rsidRPr="00BD1A6E" w:rsidRDefault="00824545" w:rsidP="004A47A6">
      <w:pPr>
        <w:spacing w:line="240" w:lineRule="auto"/>
        <w:ind w:left="1276" w:hanging="556"/>
        <w:rPr>
          <w:i/>
          <w:szCs w:val="24"/>
        </w:rPr>
      </w:pPr>
      <w:r w:rsidRPr="00BD1A6E">
        <w:rPr>
          <w:i/>
          <w:szCs w:val="24"/>
        </w:rPr>
        <w:t>(a)</w:t>
      </w:r>
      <w:r w:rsidR="004A47A6" w:rsidRPr="00BD1A6E">
        <w:rPr>
          <w:i/>
          <w:szCs w:val="24"/>
        </w:rPr>
        <w:tab/>
      </w:r>
      <w:r w:rsidRPr="00BD1A6E">
        <w:rPr>
          <w:i/>
          <w:szCs w:val="24"/>
        </w:rPr>
        <w:t>the consumer may use a smartphone app or other software to scan a barcode or similar device;</w:t>
      </w:r>
    </w:p>
    <w:p w14:paraId="5A687A77" w14:textId="750641BE" w:rsidR="00824545" w:rsidRPr="00BD1A6E" w:rsidRDefault="00824545" w:rsidP="004A47A6">
      <w:pPr>
        <w:spacing w:line="240" w:lineRule="auto"/>
        <w:ind w:left="1276" w:hanging="556"/>
        <w:rPr>
          <w:i/>
          <w:szCs w:val="24"/>
        </w:rPr>
      </w:pPr>
      <w:r w:rsidRPr="00BD1A6E">
        <w:rPr>
          <w:i/>
          <w:szCs w:val="24"/>
        </w:rPr>
        <w:t>(b)</w:t>
      </w:r>
      <w:r w:rsidR="004A47A6" w:rsidRPr="00BD1A6E">
        <w:rPr>
          <w:i/>
          <w:szCs w:val="24"/>
        </w:rPr>
        <w:tab/>
      </w:r>
      <w:r w:rsidRPr="00BD1A6E">
        <w:rPr>
          <w:i/>
          <w:szCs w:val="24"/>
        </w:rPr>
        <w:t xml:space="preserve"> the consumer may contact a telephone number for the information by providing an identifier for the labelled food, such as a barcode, batch number, date of manufacture or date mark; or</w:t>
      </w:r>
    </w:p>
    <w:p w14:paraId="752F13E0" w14:textId="0D48016A" w:rsidR="00824545" w:rsidRPr="00BD1A6E" w:rsidRDefault="00824545" w:rsidP="004A47A6">
      <w:pPr>
        <w:spacing w:line="240" w:lineRule="auto"/>
        <w:ind w:left="1276" w:hanging="567"/>
        <w:rPr>
          <w:i/>
          <w:szCs w:val="24"/>
        </w:rPr>
      </w:pPr>
      <w:r w:rsidRPr="00BD1A6E">
        <w:rPr>
          <w:i/>
          <w:szCs w:val="24"/>
        </w:rPr>
        <w:t xml:space="preserve">(c) </w:t>
      </w:r>
      <w:r w:rsidR="004A47A6" w:rsidRPr="00BD1A6E">
        <w:rPr>
          <w:i/>
          <w:szCs w:val="24"/>
        </w:rPr>
        <w:tab/>
      </w:r>
      <w:r w:rsidRPr="00BD1A6E">
        <w:rPr>
          <w:i/>
          <w:szCs w:val="24"/>
        </w:rPr>
        <w:t>the consumer may use a website for the information by providing an identifier for the labelled food, such as a barcode, batch number, date of manufacture or date mark.</w:t>
      </w:r>
    </w:p>
    <w:p w14:paraId="2A1A60C0" w14:textId="77777777" w:rsidR="00824545" w:rsidRPr="00BD1A6E" w:rsidRDefault="00824545" w:rsidP="00860F45">
      <w:pPr>
        <w:spacing w:line="240" w:lineRule="auto"/>
        <w:ind w:left="426" w:hanging="426"/>
        <w:rPr>
          <w:i/>
          <w:szCs w:val="24"/>
        </w:rPr>
      </w:pPr>
      <w:r w:rsidRPr="00BD1A6E">
        <w:rPr>
          <w:i/>
          <w:szCs w:val="24"/>
        </w:rPr>
        <w:t>(2)</w:t>
      </w:r>
      <w:r w:rsidRPr="00BD1A6E">
        <w:rPr>
          <w:i/>
          <w:szCs w:val="24"/>
        </w:rPr>
        <w:tab/>
        <w:t xml:space="preserve">The following are the identifying phrases that may be used in the mark to indicate a method mentioned in subsection (1): </w:t>
      </w:r>
    </w:p>
    <w:p w14:paraId="50FE80A3" w14:textId="28730F52" w:rsidR="00824545" w:rsidRPr="00BD1A6E" w:rsidRDefault="00824545" w:rsidP="004A47A6">
      <w:pPr>
        <w:spacing w:line="240" w:lineRule="auto"/>
        <w:ind w:left="1276" w:hanging="556"/>
        <w:rPr>
          <w:i/>
          <w:szCs w:val="24"/>
        </w:rPr>
      </w:pPr>
      <w:r w:rsidRPr="00BD1A6E">
        <w:rPr>
          <w:i/>
          <w:szCs w:val="24"/>
        </w:rPr>
        <w:t xml:space="preserve">(a) </w:t>
      </w:r>
      <w:r w:rsidR="004A47A6" w:rsidRPr="00BD1A6E">
        <w:rPr>
          <w:i/>
          <w:szCs w:val="24"/>
        </w:rPr>
        <w:tab/>
      </w:r>
      <w:r w:rsidRPr="00BD1A6E">
        <w:rPr>
          <w:i/>
          <w:szCs w:val="24"/>
        </w:rPr>
        <w:t>for an app or software—‘- Scan barcode for details’;</w:t>
      </w:r>
    </w:p>
    <w:p w14:paraId="4E99D3B7" w14:textId="027AD0E8" w:rsidR="00824545" w:rsidRPr="00BD1A6E" w:rsidRDefault="00824545" w:rsidP="004A47A6">
      <w:pPr>
        <w:spacing w:line="240" w:lineRule="auto"/>
        <w:ind w:left="1276" w:hanging="567"/>
        <w:rPr>
          <w:i/>
          <w:szCs w:val="24"/>
        </w:rPr>
      </w:pPr>
      <w:r w:rsidRPr="00BD1A6E">
        <w:rPr>
          <w:i/>
          <w:szCs w:val="24"/>
        </w:rPr>
        <w:t xml:space="preserve">(b) </w:t>
      </w:r>
      <w:r w:rsidR="004A47A6" w:rsidRPr="00BD1A6E">
        <w:rPr>
          <w:i/>
          <w:szCs w:val="24"/>
        </w:rPr>
        <w:tab/>
        <w:t>f</w:t>
      </w:r>
      <w:r w:rsidRPr="00BD1A6E">
        <w:rPr>
          <w:i/>
          <w:szCs w:val="24"/>
        </w:rPr>
        <w:t xml:space="preserve">or a telephone—‘- Call [phone number] for details’ where ‘[phone number]’ is a phone number that may be contacted during business hours; </w:t>
      </w:r>
      <w:r w:rsidR="00757DA3" w:rsidRPr="00BD1A6E">
        <w:rPr>
          <w:i/>
          <w:szCs w:val="24"/>
        </w:rPr>
        <w:t>or</w:t>
      </w:r>
    </w:p>
    <w:p w14:paraId="11E481F1" w14:textId="5AEC215F" w:rsidR="00824545" w:rsidRPr="00BD1A6E" w:rsidRDefault="004A47A6" w:rsidP="00860F45">
      <w:pPr>
        <w:pBdr>
          <w:bottom w:val="single" w:sz="4" w:space="1" w:color="auto"/>
        </w:pBdr>
        <w:spacing w:line="240" w:lineRule="auto"/>
        <w:ind w:firstLine="720"/>
        <w:rPr>
          <w:i/>
          <w:szCs w:val="24"/>
        </w:rPr>
      </w:pPr>
      <w:r w:rsidRPr="00BD1A6E">
        <w:rPr>
          <w:i/>
          <w:szCs w:val="24"/>
        </w:rPr>
        <w:lastRenderedPageBreak/>
        <w:t>(c)</w:t>
      </w:r>
      <w:r w:rsidR="001F39BF">
        <w:rPr>
          <w:i/>
          <w:szCs w:val="24"/>
        </w:rPr>
        <w:tab/>
      </w:r>
      <w:r w:rsidRPr="00BD1A6E">
        <w:rPr>
          <w:i/>
          <w:szCs w:val="24"/>
        </w:rPr>
        <w:t xml:space="preserve"> </w:t>
      </w:r>
      <w:r w:rsidR="00824545" w:rsidRPr="00BD1A6E">
        <w:rPr>
          <w:i/>
          <w:szCs w:val="24"/>
        </w:rPr>
        <w:t>for a website—‘- Visit [website] for details’, where ‘[website]’ is the website address.</w:t>
      </w:r>
    </w:p>
    <w:p w14:paraId="7B83F668" w14:textId="77777777" w:rsidR="00824545" w:rsidRPr="00BD1A6E" w:rsidRDefault="00824545" w:rsidP="00824545">
      <w:pPr>
        <w:pStyle w:val="Calloutbox"/>
        <w:pBdr>
          <w:left w:val="single" w:sz="4" w:space="1" w:color="DFF3F3" w:themeColor="accent4" w:themeTint="33"/>
        </w:pBdr>
        <w:rPr>
          <w:b/>
        </w:rPr>
      </w:pPr>
      <w:r w:rsidRPr="00BD1A6E">
        <w:rPr>
          <w:b/>
        </w:rPr>
        <w:t>Consultation Questions</w:t>
      </w:r>
    </w:p>
    <w:p w14:paraId="411874AA" w14:textId="32593F4B" w:rsidR="00824545" w:rsidRPr="00BD1A6E" w:rsidRDefault="00824545" w:rsidP="00EC45A8">
      <w:pPr>
        <w:pStyle w:val="Calloutbox"/>
        <w:numPr>
          <w:ilvl w:val="0"/>
          <w:numId w:val="19"/>
        </w:numPr>
        <w:pBdr>
          <w:left w:val="single" w:sz="4" w:space="1" w:color="DFF3F3" w:themeColor="accent4" w:themeTint="33"/>
        </w:pBdr>
        <w:ind w:left="426" w:hanging="426"/>
      </w:pPr>
      <w:r w:rsidRPr="00BD1A6E">
        <w:t>Do you have any comments on these possible methods? Can you suggest other methods?</w:t>
      </w:r>
    </w:p>
    <w:p w14:paraId="19162A12" w14:textId="52570C11" w:rsidR="00824545" w:rsidRPr="00BD1A6E" w:rsidRDefault="00824545" w:rsidP="007B46EE">
      <w:pPr>
        <w:pStyle w:val="Heading2"/>
        <w:rPr>
          <w:rFonts w:ascii="Arial" w:eastAsia="MS PGothic" w:hAnsi="Arial" w:cs="Times New Roman"/>
          <w:b/>
          <w:bCs/>
          <w:i/>
          <w:color w:val="005677"/>
        </w:rPr>
      </w:pPr>
      <w:bookmarkStart w:id="36" w:name="_Toc47011003"/>
      <w:r w:rsidRPr="00BD1A6E">
        <w:rPr>
          <w:rFonts w:eastAsia="MS PGothic"/>
          <w:i/>
        </w:rPr>
        <w:t>Accounting</w:t>
      </w:r>
      <w:r w:rsidRPr="00BD1A6E">
        <w:rPr>
          <w:rFonts w:ascii="Arial" w:eastAsia="MS PGothic" w:hAnsi="Arial" w:cs="Times New Roman"/>
          <w:b/>
          <w:bCs/>
          <w:i/>
          <w:color w:val="005677"/>
        </w:rPr>
        <w:t xml:space="preserve"> </w:t>
      </w:r>
      <w:r w:rsidRPr="00BD1A6E">
        <w:rPr>
          <w:rFonts w:eastAsia="MS PGothic"/>
          <w:i/>
        </w:rPr>
        <w:t>for water when determining Australian origin and proportion of Australian ingredients</w:t>
      </w:r>
      <w:bookmarkEnd w:id="36"/>
    </w:p>
    <w:p w14:paraId="0258C4CB" w14:textId="77777777" w:rsidR="00824545" w:rsidRPr="00BD1A6E" w:rsidRDefault="00824545" w:rsidP="00824545">
      <w:r w:rsidRPr="00BD1A6E">
        <w:t xml:space="preserve">Water may be used in the manufacture of a complementary medicine. It may or may not be present in the final product for consumption. </w:t>
      </w:r>
    </w:p>
    <w:p w14:paraId="50C1C13E" w14:textId="4DCCB079" w:rsidR="00824545" w:rsidRPr="00BD1A6E" w:rsidRDefault="00130CBA" w:rsidP="008E28F4">
      <w:pPr>
        <w:pBdr>
          <w:top w:val="single" w:sz="4" w:space="1" w:color="auto"/>
        </w:pBdr>
        <w:rPr>
          <w:b/>
          <w:i/>
        </w:rPr>
      </w:pPr>
      <w:r w:rsidRPr="00BD1A6E">
        <w:rPr>
          <w:b/>
          <w:i/>
        </w:rPr>
        <w:t>Proposed</w:t>
      </w:r>
      <w:r w:rsidR="00824545" w:rsidRPr="00BD1A6E">
        <w:rPr>
          <w:b/>
          <w:i/>
        </w:rPr>
        <w:t xml:space="preserve"> Information Standard Provision </w:t>
      </w:r>
    </w:p>
    <w:p w14:paraId="341F4AF4" w14:textId="77777777" w:rsidR="00824545" w:rsidRPr="00BD1A6E" w:rsidRDefault="00824545" w:rsidP="00057E83">
      <w:pPr>
        <w:ind w:left="426" w:hanging="426"/>
        <w:rPr>
          <w:i/>
        </w:rPr>
      </w:pPr>
      <w:r w:rsidRPr="00BD1A6E">
        <w:rPr>
          <w:i/>
        </w:rPr>
        <w:t>(1)</w:t>
      </w:r>
      <w:r w:rsidRPr="00BD1A6E">
        <w:rPr>
          <w:i/>
        </w:rPr>
        <w:tab/>
        <w:t>Water that reconstitutes dehydrated or concentrated ingredients or other components of a complementary medicine (including complementary medicine additives) is taken to have the country of origin of that ingredient or component.</w:t>
      </w:r>
    </w:p>
    <w:p w14:paraId="2F8B4DE8" w14:textId="77777777" w:rsidR="00824545" w:rsidRPr="00BD1A6E" w:rsidRDefault="00824545" w:rsidP="00057E83">
      <w:pPr>
        <w:ind w:left="426" w:hanging="426"/>
        <w:rPr>
          <w:i/>
        </w:rPr>
      </w:pPr>
      <w:r w:rsidRPr="00BD1A6E">
        <w:rPr>
          <w:i/>
        </w:rPr>
        <w:t>(2)</w:t>
      </w:r>
      <w:r w:rsidRPr="00BD1A6E">
        <w:rPr>
          <w:i/>
        </w:rPr>
        <w:tab/>
        <w:t>Water otherwise added as an ingredient to a complementary medicine is taken to have the country of origin in which it was collected or harvested.</w:t>
      </w:r>
    </w:p>
    <w:p w14:paraId="0E3879E7" w14:textId="77777777" w:rsidR="00824545" w:rsidRPr="00BD1A6E" w:rsidRDefault="00824545" w:rsidP="00057E83">
      <w:pPr>
        <w:ind w:left="426" w:hanging="426"/>
        <w:rPr>
          <w:i/>
        </w:rPr>
      </w:pPr>
      <w:r w:rsidRPr="00BD1A6E">
        <w:rPr>
          <w:i/>
        </w:rPr>
        <w:t>(3)</w:t>
      </w:r>
      <w:r w:rsidRPr="00BD1A6E">
        <w:rPr>
          <w:i/>
        </w:rPr>
        <w:tab/>
        <w:t>Where a liquid packing medium for a complementary medicine is not generally consumed as part of the complementary medicine, water that forms part of the liquid packing medium is not to be counted when determining the proportion by weight of specified ingredients.</w:t>
      </w:r>
    </w:p>
    <w:p w14:paraId="27A9445F" w14:textId="77777777" w:rsidR="00824545" w:rsidRPr="00BD1A6E" w:rsidRDefault="00824545" w:rsidP="00057E83">
      <w:pPr>
        <w:rPr>
          <w:i/>
        </w:rPr>
      </w:pPr>
      <w:r w:rsidRPr="00BD1A6E">
        <w:rPr>
          <w:i/>
        </w:rPr>
        <w:t xml:space="preserve">For this section a liquid packing medium includes, but is not limited to, the following: </w:t>
      </w:r>
    </w:p>
    <w:p w14:paraId="23B0C5DB" w14:textId="77777777" w:rsidR="00824545" w:rsidRPr="00BD1A6E" w:rsidRDefault="00824545" w:rsidP="0057703F">
      <w:pPr>
        <w:ind w:left="1276" w:hanging="556"/>
        <w:rPr>
          <w:i/>
        </w:rPr>
      </w:pPr>
      <w:r w:rsidRPr="00BD1A6E">
        <w:rPr>
          <w:i/>
        </w:rPr>
        <w:t>(a)</w:t>
      </w:r>
      <w:r w:rsidRPr="00BD1A6E">
        <w:rPr>
          <w:i/>
        </w:rPr>
        <w:tab/>
        <w:t>water;</w:t>
      </w:r>
    </w:p>
    <w:p w14:paraId="4FA33820" w14:textId="77777777" w:rsidR="00824545" w:rsidRPr="00BD1A6E" w:rsidRDefault="00824545" w:rsidP="0057703F">
      <w:pPr>
        <w:ind w:left="1276" w:hanging="556"/>
        <w:rPr>
          <w:i/>
        </w:rPr>
      </w:pPr>
      <w:r w:rsidRPr="00BD1A6E">
        <w:rPr>
          <w:i/>
        </w:rPr>
        <w:t>(b)</w:t>
      </w:r>
      <w:r w:rsidRPr="00BD1A6E">
        <w:rPr>
          <w:i/>
        </w:rPr>
        <w:tab/>
        <w:t>aqueous solutions of sugars or salt (for example, brines or syrups).</w:t>
      </w:r>
    </w:p>
    <w:p w14:paraId="24DDFA16" w14:textId="6C9497D5" w:rsidR="00824545" w:rsidRPr="00BD1A6E" w:rsidRDefault="00824545" w:rsidP="008E28F4">
      <w:pPr>
        <w:pBdr>
          <w:bottom w:val="single" w:sz="4" w:space="1" w:color="auto"/>
        </w:pBdr>
        <w:ind w:left="426" w:hanging="426"/>
        <w:rPr>
          <w:i/>
        </w:rPr>
      </w:pPr>
      <w:r w:rsidRPr="00BD1A6E">
        <w:rPr>
          <w:i/>
        </w:rPr>
        <w:t>(4)</w:t>
      </w:r>
      <w:r w:rsidRPr="00BD1A6E">
        <w:rPr>
          <w:i/>
        </w:rPr>
        <w:tab/>
        <w:t>Water used in the production of the complementary medicine that does not form part of the product consumed will not be considered an ingredient in the product, for the purposes of determining the proportion of Australian ingredients.</w:t>
      </w:r>
    </w:p>
    <w:p w14:paraId="038E4CDC" w14:textId="77777777" w:rsidR="00824545" w:rsidRPr="00BD1A6E" w:rsidRDefault="00824545" w:rsidP="00824545">
      <w:pPr>
        <w:pStyle w:val="Calloutbox"/>
        <w:pBdr>
          <w:left w:val="single" w:sz="4" w:space="1" w:color="DFF3F3" w:themeColor="accent4" w:themeTint="33"/>
        </w:pBdr>
        <w:rPr>
          <w:b/>
        </w:rPr>
      </w:pPr>
      <w:r w:rsidRPr="00BD1A6E">
        <w:rPr>
          <w:b/>
        </w:rPr>
        <w:t>Consultation Questions</w:t>
      </w:r>
    </w:p>
    <w:p w14:paraId="7CB4FCCB" w14:textId="6B2D1253" w:rsidR="00824545" w:rsidRPr="00BD1A6E" w:rsidRDefault="00824545" w:rsidP="00824545">
      <w:pPr>
        <w:pStyle w:val="Calloutbox"/>
        <w:numPr>
          <w:ilvl w:val="0"/>
          <w:numId w:val="19"/>
        </w:numPr>
        <w:pBdr>
          <w:left w:val="single" w:sz="4" w:space="1" w:color="DFF3F3" w:themeColor="accent4" w:themeTint="33"/>
        </w:pBdr>
        <w:ind w:left="426" w:hanging="426"/>
      </w:pPr>
      <w:r w:rsidRPr="00BD1A6E">
        <w:t>Does the draft provision raise any concerns? If so, please illustrate your response with examples.</w:t>
      </w:r>
    </w:p>
    <w:p w14:paraId="4652E238" w14:textId="77777777" w:rsidR="00824545" w:rsidRPr="00BD1A6E" w:rsidRDefault="00824545" w:rsidP="00824545">
      <w:pPr>
        <w:pStyle w:val="Calloutbox"/>
        <w:numPr>
          <w:ilvl w:val="0"/>
          <w:numId w:val="19"/>
        </w:numPr>
        <w:pBdr>
          <w:left w:val="single" w:sz="4" w:space="1" w:color="DFF3F3" w:themeColor="accent4" w:themeTint="33"/>
        </w:pBdr>
        <w:ind w:left="426" w:hanging="426"/>
      </w:pPr>
      <w:r w:rsidRPr="00BD1A6E">
        <w:t>Please provide any alternative measure of water in the final consumable product, explaining why that measure is more appropriate.</w:t>
      </w:r>
    </w:p>
    <w:p w14:paraId="74BD5C87" w14:textId="77777777" w:rsidR="00824545" w:rsidRPr="00BD1A6E" w:rsidRDefault="00824545" w:rsidP="00824545">
      <w:pPr>
        <w:pStyle w:val="Calloutbox"/>
        <w:numPr>
          <w:ilvl w:val="0"/>
          <w:numId w:val="19"/>
        </w:numPr>
        <w:pBdr>
          <w:left w:val="single" w:sz="4" w:space="1" w:color="DFF3F3" w:themeColor="accent4" w:themeTint="33"/>
        </w:pBdr>
        <w:ind w:left="426" w:hanging="426"/>
      </w:pPr>
      <w:r w:rsidRPr="00BD1A6E">
        <w:t>Please provide examples of how water is used in the processing/packaging of a final product.</w:t>
      </w:r>
    </w:p>
    <w:p w14:paraId="1F938D3F" w14:textId="77777777" w:rsidR="00824545" w:rsidRPr="00BD1A6E" w:rsidRDefault="00824545" w:rsidP="00824545">
      <w:pPr>
        <w:pStyle w:val="Calloutbox"/>
        <w:numPr>
          <w:ilvl w:val="0"/>
          <w:numId w:val="19"/>
        </w:numPr>
        <w:pBdr>
          <w:left w:val="single" w:sz="4" w:space="1" w:color="DFF3F3" w:themeColor="accent4" w:themeTint="33"/>
        </w:pBdr>
        <w:ind w:left="426" w:hanging="426"/>
      </w:pPr>
      <w:r w:rsidRPr="00BD1A6E">
        <w:t>Please provide examples of how water is used in the final consumable product.</w:t>
      </w:r>
    </w:p>
    <w:p w14:paraId="16544CC2" w14:textId="77777777" w:rsidR="00824545" w:rsidRPr="00BD1A6E" w:rsidRDefault="00824545" w:rsidP="00824545"/>
    <w:p w14:paraId="3B116E8A" w14:textId="790CF430" w:rsidR="00824545" w:rsidRPr="00BD1A6E" w:rsidRDefault="00824545">
      <w:pPr>
        <w:keepLines w:val="0"/>
      </w:pPr>
      <w:r w:rsidRPr="00BD1A6E">
        <w:br w:type="page"/>
      </w:r>
    </w:p>
    <w:p w14:paraId="1BDFF0B6" w14:textId="4A4CE838" w:rsidR="00824545" w:rsidRPr="00BD1A6E" w:rsidRDefault="00824545" w:rsidP="00BF1BD4">
      <w:pPr>
        <w:pStyle w:val="Heading1"/>
      </w:pPr>
      <w:bookmarkStart w:id="37" w:name="_Toc47011004"/>
      <w:r w:rsidRPr="00BD1A6E">
        <w:lastRenderedPageBreak/>
        <w:t>Part 2 – Display of the proportion of Australian ingredients</w:t>
      </w:r>
      <w:bookmarkEnd w:id="37"/>
    </w:p>
    <w:p w14:paraId="7815C9CF" w14:textId="47E1B5AA" w:rsidR="0070113D" w:rsidRPr="00BD1A6E" w:rsidRDefault="00824545" w:rsidP="00BF1BD4">
      <w:r w:rsidRPr="00BD1A6E">
        <w:t>The proposed Information Standard will outline how the complementary medicines sector will</w:t>
      </w:r>
      <w:r w:rsidR="0070113D" w:rsidRPr="00BD1A6E">
        <w:t>:</w:t>
      </w:r>
    </w:p>
    <w:p w14:paraId="157C2C38" w14:textId="462F6DA6" w:rsidR="00824545" w:rsidRPr="00BD1A6E" w:rsidRDefault="00E67191" w:rsidP="00BF1BD4">
      <w:pPr>
        <w:pStyle w:val="ListParagraph"/>
        <w:numPr>
          <w:ilvl w:val="0"/>
          <w:numId w:val="39"/>
        </w:numPr>
      </w:pPr>
      <w:r w:rsidRPr="00BD1A6E">
        <w:t>d</w:t>
      </w:r>
      <w:r w:rsidR="00824545" w:rsidRPr="00BD1A6E">
        <w:t xml:space="preserve">isplay the proportion of Australian ingredients on a product using a bar chart; </w:t>
      </w:r>
    </w:p>
    <w:p w14:paraId="57B91611" w14:textId="545197A3" w:rsidR="00824545" w:rsidRPr="00BD1A6E" w:rsidRDefault="00E67191" w:rsidP="00BF1BD4">
      <w:pPr>
        <w:pStyle w:val="ListParagraph"/>
        <w:numPr>
          <w:ilvl w:val="0"/>
          <w:numId w:val="39"/>
        </w:numPr>
      </w:pPr>
      <w:r w:rsidRPr="00BD1A6E">
        <w:t>i</w:t>
      </w:r>
      <w:r w:rsidR="00824545" w:rsidRPr="00BD1A6E">
        <w:t>nclude a statement to describe the representation made in the bar chart; and</w:t>
      </w:r>
    </w:p>
    <w:p w14:paraId="59DBC7AD" w14:textId="300D064B" w:rsidR="00FA0A0A" w:rsidRPr="00BD1A6E" w:rsidRDefault="00500BEC" w:rsidP="00BF1BD4">
      <w:pPr>
        <w:pStyle w:val="ListParagraph"/>
        <w:numPr>
          <w:ilvl w:val="0"/>
          <w:numId w:val="39"/>
        </w:numPr>
      </w:pPr>
      <w:r w:rsidRPr="00BD1A6E">
        <w:t xml:space="preserve">allow for the application of </w:t>
      </w:r>
      <w:r w:rsidR="00824545" w:rsidRPr="00BD1A6E">
        <w:t xml:space="preserve">the Australian Made, Australian Grown (AMAG) logo, should companies choose to apply for a licence to use the logo. </w:t>
      </w:r>
    </w:p>
    <w:p w14:paraId="4D335C4D" w14:textId="05D75A8D" w:rsidR="00824545" w:rsidRPr="00BD1A6E" w:rsidRDefault="00824545" w:rsidP="006A7B9E">
      <w:pPr>
        <w:pStyle w:val="Heading2"/>
        <w:rPr>
          <w:rFonts w:ascii="Arial" w:eastAsia="MS PGothic" w:hAnsi="Arial" w:cs="Times New Roman"/>
          <w:b/>
          <w:bCs/>
          <w:i/>
          <w:color w:val="005677"/>
        </w:rPr>
      </w:pPr>
      <w:bookmarkStart w:id="38" w:name="_Toc47011005"/>
      <w:r w:rsidRPr="00BD1A6E">
        <w:rPr>
          <w:rFonts w:eastAsia="MS PGothic"/>
          <w:i/>
        </w:rPr>
        <w:t xml:space="preserve">Bar chart to display the </w:t>
      </w:r>
      <w:r w:rsidRPr="00BD1A6E">
        <w:rPr>
          <w:i/>
        </w:rPr>
        <w:t>proportion</w:t>
      </w:r>
      <w:r w:rsidRPr="00BD1A6E">
        <w:rPr>
          <w:rFonts w:eastAsia="MS PGothic"/>
          <w:i/>
        </w:rPr>
        <w:t xml:space="preserve"> of Australian ingredients</w:t>
      </w:r>
      <w:bookmarkEnd w:id="38"/>
    </w:p>
    <w:p w14:paraId="6E24C9A4" w14:textId="07E157C5" w:rsidR="00824545" w:rsidRPr="00BD1A6E" w:rsidRDefault="00824545" w:rsidP="00BF1BD4">
      <w:bookmarkStart w:id="39" w:name="_Toc29215204"/>
      <w:r w:rsidRPr="00BD1A6E">
        <w:t xml:space="preserve">It is expected that the bar chart indicating the proportion of Australian ingredients in a complementary medicine will be visually similar to the bar chart used for food products. </w:t>
      </w:r>
      <w:r w:rsidR="00CE4B29" w:rsidRPr="00BD1A6E">
        <w:tab/>
        <w:t xml:space="preserve">These representations of the bar chart depict equal increments of 20% (in green ruler markings), with a more accurate image of the proportion of Australian ingredients (in gold shading). </w:t>
      </w:r>
    </w:p>
    <w:p w14:paraId="3F449646" w14:textId="08FE3F5F" w:rsidR="00824545" w:rsidRPr="00BD1A6E" w:rsidRDefault="00130CBA" w:rsidP="0097533C">
      <w:pPr>
        <w:pBdr>
          <w:top w:val="single" w:sz="4" w:space="1" w:color="auto"/>
        </w:pBdr>
        <w:rPr>
          <w:b/>
          <w:i/>
        </w:rPr>
      </w:pPr>
      <w:r w:rsidRPr="00BD1A6E">
        <w:rPr>
          <w:b/>
          <w:i/>
        </w:rPr>
        <w:t>Proposed</w:t>
      </w:r>
      <w:r w:rsidR="00824545" w:rsidRPr="00BD1A6E">
        <w:rPr>
          <w:b/>
          <w:i/>
        </w:rPr>
        <w:t xml:space="preserve"> Information Standard Provision</w:t>
      </w:r>
    </w:p>
    <w:p w14:paraId="4AB1E3ED" w14:textId="03DD4C66" w:rsidR="0097533C" w:rsidRDefault="00824545" w:rsidP="0097533C">
      <w:pPr>
        <w:rPr>
          <w:i/>
        </w:rPr>
      </w:pPr>
      <w:r w:rsidRPr="00BD1A6E">
        <w:rPr>
          <w:i/>
        </w:rPr>
        <w:t xml:space="preserve">Reference to the appropriate bar chart for a </w:t>
      </w:r>
      <w:r w:rsidR="00AB3941" w:rsidRPr="00BD1A6E">
        <w:rPr>
          <w:i/>
        </w:rPr>
        <w:t>label</w:t>
      </w:r>
      <w:r w:rsidRPr="00BD1A6E">
        <w:rPr>
          <w:i/>
        </w:rPr>
        <w:t xml:space="preserve"> is a reference to the percentage of Australian ingredients in the bar chart. </w:t>
      </w:r>
      <w:r w:rsidR="0097533C" w:rsidRPr="0097533C">
        <w:rPr>
          <w:i/>
        </w:rPr>
        <w:t>These representations of the bar chart depict equal increments of 20% (in green ruler markings), with increments of 10% of the proportion of Australian ingredients (in gold shading)</w:t>
      </w:r>
      <w:r w:rsidR="0097533C">
        <w:rPr>
          <w:i/>
        </w:rPr>
        <w:t xml:space="preserve"> with the exception of ‘less than 5%’ and </w:t>
      </w:r>
      <w:r w:rsidR="000D4CDA">
        <w:rPr>
          <w:i/>
        </w:rPr>
        <w:t>‘</w:t>
      </w:r>
      <w:r w:rsidR="0097533C">
        <w:rPr>
          <w:i/>
        </w:rPr>
        <w:t>5% to 9%’</w:t>
      </w:r>
      <w:r w:rsidR="0097533C" w:rsidRPr="0097533C">
        <w:rPr>
          <w:i/>
        </w:rPr>
        <w:t>. This style reflects the bar chart used on food products.</w:t>
      </w:r>
    </w:p>
    <w:p w14:paraId="784F33B4" w14:textId="2581E400" w:rsidR="00824545" w:rsidRDefault="00824545" w:rsidP="0097533C">
      <w:pPr>
        <w:rPr>
          <w:i/>
        </w:rPr>
      </w:pPr>
      <w:r w:rsidRPr="00BD1A6E">
        <w:rPr>
          <w:i/>
        </w:rPr>
        <w:t xml:space="preserve">In the following table that represents ‘P%’ in the </w:t>
      </w:r>
      <w:r w:rsidR="00AB3941" w:rsidRPr="00BD1A6E">
        <w:rPr>
          <w:i/>
        </w:rPr>
        <w:t>label</w:t>
      </w:r>
      <w:r w:rsidRPr="00BD1A6E">
        <w:rPr>
          <w:i/>
        </w:rPr>
        <w:t>:</w:t>
      </w:r>
    </w:p>
    <w:p w14:paraId="2A90811E" w14:textId="49CC481F" w:rsidR="007854DD" w:rsidRPr="00BD1A6E" w:rsidRDefault="007854DD" w:rsidP="007854DD">
      <w:pPr>
        <w:jc w:val="center"/>
        <w:rPr>
          <w:i/>
        </w:rPr>
      </w:pPr>
      <w:r w:rsidRPr="007854DD">
        <w:rPr>
          <w:i/>
          <w:noProof/>
          <w:lang w:eastAsia="en-AU"/>
        </w:rPr>
        <w:drawing>
          <wp:inline distT="0" distB="0" distL="0" distR="0" wp14:anchorId="3CF7AB86" wp14:editId="7F832B94">
            <wp:extent cx="3093396" cy="3851494"/>
            <wp:effectExtent l="0" t="0" r="0" b="0"/>
            <wp:docPr id="15" name="Picture 15" descr="12 rulers depicting five percent incriment ranges from zero percent, up through to one hundred percent" title="Examples of bar chart 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9423" cy="3858998"/>
                    </a:xfrm>
                    <a:prstGeom prst="rect">
                      <a:avLst/>
                    </a:prstGeom>
                  </pic:spPr>
                </pic:pic>
              </a:graphicData>
            </a:graphic>
          </wp:inline>
        </w:drawing>
      </w:r>
    </w:p>
    <w:p w14:paraId="624A5F5D" w14:textId="53B4604C" w:rsidR="00824545" w:rsidRPr="00BD1A6E" w:rsidRDefault="00824545" w:rsidP="0097533C">
      <w:pPr>
        <w:pBdr>
          <w:top w:val="single" w:sz="4" w:space="1" w:color="auto"/>
        </w:pBdr>
        <w:jc w:val="center"/>
        <w:rPr>
          <w:i/>
        </w:rPr>
      </w:pPr>
    </w:p>
    <w:p w14:paraId="67EC085C" w14:textId="6A2F33E9" w:rsidR="00824545" w:rsidRPr="00BD1A6E" w:rsidRDefault="00824545" w:rsidP="00824545">
      <w:pPr>
        <w:pStyle w:val="Calloutbox"/>
        <w:pBdr>
          <w:left w:val="single" w:sz="4" w:space="1" w:color="DFF3F3" w:themeColor="accent4" w:themeTint="33"/>
        </w:pBdr>
        <w:rPr>
          <w:b/>
        </w:rPr>
      </w:pPr>
      <w:r w:rsidRPr="00BD1A6E">
        <w:rPr>
          <w:b/>
        </w:rPr>
        <w:lastRenderedPageBreak/>
        <w:t>Consultation Questions</w:t>
      </w:r>
    </w:p>
    <w:p w14:paraId="6D5459EF" w14:textId="3DF0C6ED" w:rsidR="00824545" w:rsidRPr="00BD1A6E" w:rsidRDefault="00824545" w:rsidP="00824545">
      <w:pPr>
        <w:pStyle w:val="Calloutbox"/>
        <w:numPr>
          <w:ilvl w:val="0"/>
          <w:numId w:val="19"/>
        </w:numPr>
        <w:pBdr>
          <w:left w:val="single" w:sz="4" w:space="1" w:color="DFF3F3" w:themeColor="accent4" w:themeTint="33"/>
        </w:pBdr>
        <w:ind w:left="426" w:hanging="426"/>
      </w:pPr>
      <w:r w:rsidRPr="00BD1A6E">
        <w:t xml:space="preserve">Will </w:t>
      </w:r>
      <w:r w:rsidR="00DD232C" w:rsidRPr="00BD1A6E">
        <w:t xml:space="preserve">the </w:t>
      </w:r>
      <w:r w:rsidRPr="00BD1A6E">
        <w:t xml:space="preserve">bar chart representations depicted above be appropriate for the complementary medicines sector? </w:t>
      </w:r>
      <w:r w:rsidR="00DD232C" w:rsidRPr="00BD1A6E">
        <w:t>If</w:t>
      </w:r>
      <w:r w:rsidRPr="00BD1A6E">
        <w:t xml:space="preserve"> not</w:t>
      </w:r>
      <w:r w:rsidR="00DD232C" w:rsidRPr="00BD1A6E">
        <w:t>, please illustrate your response with examples.</w:t>
      </w:r>
    </w:p>
    <w:p w14:paraId="4BDF65DA" w14:textId="6B6AB010" w:rsidR="00824545" w:rsidRPr="00BD1A6E" w:rsidRDefault="00824545" w:rsidP="00824545">
      <w:pPr>
        <w:pStyle w:val="Calloutbox"/>
        <w:numPr>
          <w:ilvl w:val="0"/>
          <w:numId w:val="19"/>
        </w:numPr>
        <w:pBdr>
          <w:left w:val="single" w:sz="4" w:space="1" w:color="DFF3F3" w:themeColor="accent4" w:themeTint="33"/>
        </w:pBdr>
        <w:ind w:left="426" w:hanging="426"/>
      </w:pPr>
      <w:r w:rsidRPr="00BD1A6E">
        <w:t>If the</w:t>
      </w:r>
      <w:r w:rsidR="00DD232C" w:rsidRPr="00BD1A6E">
        <w:t>se</w:t>
      </w:r>
      <w:r w:rsidRPr="00BD1A6E">
        <w:t xml:space="preserve"> representations are not suitable for complementary medicines, what bar chart representations could be used? Please illustrate your response with examples. </w:t>
      </w:r>
    </w:p>
    <w:p w14:paraId="3B1A3B6A" w14:textId="77777777" w:rsidR="00824545" w:rsidRPr="00BD1A6E" w:rsidRDefault="00824545" w:rsidP="00824545"/>
    <w:p w14:paraId="021CDCB3" w14:textId="77777777" w:rsidR="00D576FA" w:rsidRPr="00BD1A6E" w:rsidRDefault="00D576FA">
      <w:pPr>
        <w:keepLines w:val="0"/>
        <w:rPr>
          <w:rFonts w:asciiTheme="majorHAnsi" w:eastAsia="MS PGothic" w:hAnsiTheme="majorHAnsi" w:cstheme="majorBidi"/>
          <w:i/>
          <w:iCs/>
          <w:color w:val="005677" w:themeColor="text2"/>
          <w:sz w:val="28"/>
          <w:szCs w:val="28"/>
        </w:rPr>
      </w:pPr>
      <w:r w:rsidRPr="00BD1A6E">
        <w:rPr>
          <w:rFonts w:asciiTheme="majorHAnsi" w:eastAsia="MS PGothic" w:hAnsiTheme="majorHAnsi" w:cstheme="majorBidi"/>
          <w:i/>
          <w:iCs/>
          <w:color w:val="005677" w:themeColor="text2"/>
          <w:sz w:val="28"/>
          <w:szCs w:val="28"/>
        </w:rPr>
        <w:br w:type="page"/>
      </w:r>
    </w:p>
    <w:p w14:paraId="29DC2996" w14:textId="14790761" w:rsidR="00E9166E" w:rsidRPr="00BD1A6E" w:rsidRDefault="00E9166E" w:rsidP="00BF1BD4">
      <w:pPr>
        <w:pStyle w:val="Heading2"/>
        <w:rPr>
          <w:rFonts w:ascii="Arial" w:eastAsia="MS PGothic" w:hAnsi="Arial" w:cs="Times New Roman"/>
          <w:b/>
          <w:bCs/>
          <w:i/>
          <w:color w:val="005677"/>
        </w:rPr>
      </w:pPr>
      <w:bookmarkStart w:id="40" w:name="_Toc47011006"/>
      <w:r w:rsidRPr="00BD1A6E">
        <w:rPr>
          <w:rFonts w:eastAsia="MS PGothic"/>
          <w:i/>
        </w:rPr>
        <w:lastRenderedPageBreak/>
        <w:t>Accompanying statement to explain the proportion of Australian ingredients</w:t>
      </w:r>
      <w:bookmarkEnd w:id="40"/>
    </w:p>
    <w:p w14:paraId="76B4C84C" w14:textId="77777777" w:rsidR="00E9166E" w:rsidRPr="00BD1A6E" w:rsidRDefault="00E9166E" w:rsidP="00BF1BD4">
      <w:r w:rsidRPr="00BD1A6E">
        <w:t xml:space="preserve">The proposed Information Standard will require a statement to accompany the bar chart. The statement will describe the percentage of Australian ingredients in the product. </w:t>
      </w:r>
    </w:p>
    <w:p w14:paraId="7E3416DC" w14:textId="07F39826" w:rsidR="00E9166E" w:rsidRDefault="00E9166E" w:rsidP="00B25288">
      <w:r w:rsidRPr="00BD1A6E">
        <w:t xml:space="preserve">Key features of the statement include how it </w:t>
      </w:r>
      <w:r w:rsidR="009E2F7B">
        <w:t>could</w:t>
      </w:r>
      <w:r w:rsidR="009E2F7B" w:rsidRPr="00BD1A6E">
        <w:t xml:space="preserve"> </w:t>
      </w:r>
      <w:r w:rsidRPr="00BD1A6E">
        <w:t xml:space="preserve">be placed with the bar chart and contained within a box. </w:t>
      </w:r>
    </w:p>
    <w:p w14:paraId="18D0DABC" w14:textId="77777777" w:rsidR="002A05F7" w:rsidRDefault="00811BCC" w:rsidP="00B25288">
      <w:r>
        <w:t xml:space="preserve">The </w:t>
      </w:r>
      <w:r w:rsidR="00F020BA">
        <w:t xml:space="preserve">proposed </w:t>
      </w:r>
      <w:r>
        <w:t>statement</w:t>
      </w:r>
      <w:r w:rsidR="00F020BA">
        <w:t>s</w:t>
      </w:r>
      <w:r w:rsidR="002A05F7">
        <w:t>:</w:t>
      </w:r>
    </w:p>
    <w:p w14:paraId="6456B6C2" w14:textId="77777777" w:rsidR="002A05F7" w:rsidRDefault="00811BCC" w:rsidP="002A05F7">
      <w:pPr>
        <w:pStyle w:val="ListParagraph"/>
        <w:numPr>
          <w:ilvl w:val="0"/>
          <w:numId w:val="39"/>
        </w:numPr>
      </w:pPr>
      <w:r>
        <w:t>‘Made in Australia from at least % Australian ingredients’ would be used with the range 5% up to 99%</w:t>
      </w:r>
      <w:r w:rsidR="00F020BA">
        <w:t xml:space="preserve">, </w:t>
      </w:r>
    </w:p>
    <w:p w14:paraId="4E26D98A" w14:textId="7A8A6C41" w:rsidR="002A05F7" w:rsidRDefault="00811BCC" w:rsidP="002A05F7">
      <w:pPr>
        <w:pStyle w:val="ListParagraph"/>
        <w:numPr>
          <w:ilvl w:val="0"/>
          <w:numId w:val="39"/>
        </w:numPr>
      </w:pPr>
      <w:r>
        <w:t xml:space="preserve">‘Made in Australia from less than % Australian ingredients would be used with the range 1% to </w:t>
      </w:r>
      <w:r w:rsidR="00F020BA">
        <w:t>4%</w:t>
      </w:r>
      <w:r w:rsidR="002A05F7">
        <w:t>,</w:t>
      </w:r>
      <w:r w:rsidR="00F020BA">
        <w:t xml:space="preserve"> and </w:t>
      </w:r>
    </w:p>
    <w:p w14:paraId="70FD1184" w14:textId="3754AE62" w:rsidR="00811BCC" w:rsidRDefault="00F020BA" w:rsidP="002A05F7">
      <w:pPr>
        <w:pStyle w:val="ListParagraph"/>
        <w:numPr>
          <w:ilvl w:val="0"/>
          <w:numId w:val="39"/>
        </w:numPr>
      </w:pPr>
      <w:r>
        <w:t>‘Made in Australia from % Australian ingredients’ would be used with 0% Australian ingredients.</w:t>
      </w:r>
    </w:p>
    <w:p w14:paraId="05CCB077" w14:textId="7C409C93" w:rsidR="00130CBA" w:rsidRPr="00BD1A6E" w:rsidRDefault="00130CBA" w:rsidP="008F339B">
      <w:pPr>
        <w:pBdr>
          <w:top w:val="single" w:sz="4" w:space="1" w:color="auto"/>
        </w:pBdr>
        <w:rPr>
          <w:b/>
          <w:i/>
        </w:rPr>
      </w:pPr>
      <w:r w:rsidRPr="00BD1A6E">
        <w:rPr>
          <w:b/>
          <w:i/>
        </w:rPr>
        <w:t>Proposed Information Standard Provision</w:t>
      </w:r>
    </w:p>
    <w:p w14:paraId="78662606" w14:textId="416556E3" w:rsidR="00824545" w:rsidRDefault="00A44489" w:rsidP="00B25288">
      <w:pPr>
        <w:pBdr>
          <w:bottom w:val="single" w:sz="4" w:space="1" w:color="auto"/>
        </w:pBdr>
      </w:pPr>
      <w:r w:rsidRPr="00A44489">
        <w:rPr>
          <w:noProof/>
          <w:lang w:eastAsia="en-AU"/>
        </w:rPr>
        <w:drawing>
          <wp:inline distT="0" distB="0" distL="0" distR="0" wp14:anchorId="792389FF" wp14:editId="66613DF7">
            <wp:extent cx="1172584" cy="1996305"/>
            <wp:effectExtent l="0" t="0" r="8890" b="4445"/>
            <wp:docPr id="6" name="Picture 6" descr="Vertical box containing a shaded ruler depicting 30 percent of Australian ingredients, with the words &quot;made in Australia from at least 39 percent Australian ingredients&quot;" title="Accompanying proport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7\ecoman\my pictures\made in Australia from at least 39 P ingredients vertica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9547" cy="2025185"/>
                    </a:xfrm>
                    <a:prstGeom prst="rect">
                      <a:avLst/>
                    </a:prstGeom>
                    <a:noFill/>
                    <a:ln>
                      <a:noFill/>
                    </a:ln>
                  </pic:spPr>
                </pic:pic>
              </a:graphicData>
            </a:graphic>
          </wp:inline>
        </w:drawing>
      </w:r>
      <w:r w:rsidR="001F39BF">
        <w:rPr>
          <w:noProof/>
          <w:lang w:eastAsia="en-AU"/>
        </w:rPr>
        <w:tab/>
      </w:r>
      <w:r w:rsidR="001F39BF" w:rsidRPr="00A44489">
        <w:rPr>
          <w:noProof/>
          <w:lang w:eastAsia="en-AU"/>
        </w:rPr>
        <w:drawing>
          <wp:inline distT="0" distB="0" distL="0" distR="0" wp14:anchorId="43A8DD4B" wp14:editId="0E05F8BA">
            <wp:extent cx="3656222" cy="1008000"/>
            <wp:effectExtent l="0" t="0" r="1905" b="1905"/>
            <wp:docPr id="9" name="Picture 9" descr="Horizontal box containing a shaded ruler depicting 5 percent of Australian ingredients, with the words &quot;made in Australia - ingrediens vary - average p percent Australian ingredients - how to get details&quot;" title="Accompanying proport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protected.ind\User\user07\ecoman\my pictures\average with barchar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6222" cy="1008000"/>
                    </a:xfrm>
                    <a:prstGeom prst="rect">
                      <a:avLst/>
                    </a:prstGeom>
                    <a:noFill/>
                    <a:ln>
                      <a:noFill/>
                    </a:ln>
                  </pic:spPr>
                </pic:pic>
              </a:graphicData>
            </a:graphic>
          </wp:inline>
        </w:drawing>
      </w:r>
    </w:p>
    <w:p w14:paraId="17E06035" w14:textId="04D54DC2" w:rsidR="000E2494" w:rsidRDefault="00811BCC" w:rsidP="00B25288">
      <w:pPr>
        <w:pBdr>
          <w:bottom w:val="single" w:sz="4" w:space="1" w:color="auto"/>
        </w:pBdr>
      </w:pPr>
      <w:r>
        <w:rPr>
          <w:noProof/>
          <w:lang w:eastAsia="en-AU"/>
        </w:rPr>
        <w:drawing>
          <wp:inline distT="0" distB="0" distL="0" distR="0" wp14:anchorId="6E9F6514" wp14:editId="3B9311BC">
            <wp:extent cx="1122243" cy="1914841"/>
            <wp:effectExtent l="0" t="0" r="1905" b="0"/>
            <wp:docPr id="13" name="Picture 13" descr="Vertical box containing an ruler void of any shading depicting zero percent of Australian ingredients, with the words &quot;made in Australia from zero percent Australian ingredients&quot;" title="Accompanying proport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 percen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2243" cy="1914841"/>
                    </a:xfrm>
                    <a:prstGeom prst="rect">
                      <a:avLst/>
                    </a:prstGeom>
                  </pic:spPr>
                </pic:pic>
              </a:graphicData>
            </a:graphic>
          </wp:inline>
        </w:drawing>
      </w:r>
      <w:r w:rsidR="001F39BF">
        <w:tab/>
      </w:r>
      <w:r w:rsidR="00F020BA">
        <w:rPr>
          <w:noProof/>
          <w:lang w:eastAsia="en-AU"/>
        </w:rPr>
        <w:t xml:space="preserve"> </w:t>
      </w:r>
      <w:r>
        <w:rPr>
          <w:noProof/>
          <w:lang w:eastAsia="en-AU"/>
        </w:rPr>
        <w:drawing>
          <wp:inline distT="0" distB="0" distL="0" distR="0" wp14:anchorId="15335EA6" wp14:editId="1623B6E3">
            <wp:extent cx="3323303" cy="931347"/>
            <wp:effectExtent l="0" t="0" r="0" b="2540"/>
            <wp:docPr id="14" name="Picture 14" descr="Horzontal box containing a shaded ruler depicting five percent of Australian ingredients, with the words &quot;made in Australian from less than five percent Australian ingredients&quot;" title="Accompanying proport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de in Australia from less than 5 P ingredient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23303" cy="931347"/>
                    </a:xfrm>
                    <a:prstGeom prst="rect">
                      <a:avLst/>
                    </a:prstGeom>
                  </pic:spPr>
                </pic:pic>
              </a:graphicData>
            </a:graphic>
          </wp:inline>
        </w:drawing>
      </w:r>
    </w:p>
    <w:p w14:paraId="55798861" w14:textId="77777777" w:rsidR="000E2494" w:rsidRPr="00BD1A6E" w:rsidRDefault="000E2494" w:rsidP="00B25288">
      <w:pPr>
        <w:pBdr>
          <w:bottom w:val="single" w:sz="4" w:space="1" w:color="auto"/>
        </w:pBdr>
      </w:pPr>
    </w:p>
    <w:p w14:paraId="48842FC1" w14:textId="77777777" w:rsidR="00A67003" w:rsidRPr="00BD1A6E" w:rsidRDefault="00A67003" w:rsidP="00A67003">
      <w:pPr>
        <w:pStyle w:val="Calloutbox"/>
        <w:pBdr>
          <w:left w:val="single" w:sz="4" w:space="1" w:color="DFF3F3" w:themeColor="accent4" w:themeTint="33"/>
        </w:pBdr>
        <w:rPr>
          <w:b/>
        </w:rPr>
      </w:pPr>
      <w:r w:rsidRPr="00BD1A6E">
        <w:rPr>
          <w:b/>
        </w:rPr>
        <w:t>Consultation Questions</w:t>
      </w:r>
    </w:p>
    <w:p w14:paraId="1228CD57" w14:textId="03E8FD01" w:rsidR="00A67003" w:rsidRPr="00BD1A6E" w:rsidRDefault="00A67003" w:rsidP="00A67003">
      <w:pPr>
        <w:pStyle w:val="Calloutbox"/>
        <w:numPr>
          <w:ilvl w:val="0"/>
          <w:numId w:val="19"/>
        </w:numPr>
        <w:pBdr>
          <w:left w:val="single" w:sz="4" w:space="1" w:color="DFF3F3" w:themeColor="accent4" w:themeTint="33"/>
        </w:pBdr>
        <w:ind w:left="426" w:hanging="426"/>
      </w:pPr>
      <w:r w:rsidRPr="00BD1A6E">
        <w:t xml:space="preserve">Do you anticipate any challenges with the use of </w:t>
      </w:r>
      <w:r w:rsidR="00AC6278">
        <w:t>any</w:t>
      </w:r>
      <w:r w:rsidR="00AC6278" w:rsidRPr="00BD1A6E">
        <w:t xml:space="preserve"> </w:t>
      </w:r>
      <w:r w:rsidR="00500BEC" w:rsidRPr="00BD1A6E">
        <w:t xml:space="preserve">of </w:t>
      </w:r>
      <w:r w:rsidRPr="00BD1A6E">
        <w:t>the statement</w:t>
      </w:r>
      <w:r w:rsidR="00500BEC" w:rsidRPr="00BD1A6E">
        <w:t>s</w:t>
      </w:r>
      <w:r w:rsidRPr="00BD1A6E">
        <w:t xml:space="preserve"> as depicted? If so, please illustrate your response with examples</w:t>
      </w:r>
      <w:r w:rsidR="00DD232C" w:rsidRPr="00BD1A6E">
        <w:t>.</w:t>
      </w:r>
    </w:p>
    <w:p w14:paraId="1414F398" w14:textId="77777777" w:rsidR="00E0296E" w:rsidRPr="00BD1A6E" w:rsidRDefault="00E0296E" w:rsidP="0070113D">
      <w:pPr>
        <w:pStyle w:val="Heading2"/>
      </w:pPr>
    </w:p>
    <w:p w14:paraId="6F6C47F1" w14:textId="77777777" w:rsidR="00D576FA" w:rsidRPr="00BD1A6E" w:rsidRDefault="00D576FA">
      <w:pPr>
        <w:keepLines w:val="0"/>
        <w:rPr>
          <w:rFonts w:asciiTheme="majorHAnsi" w:eastAsia="MS PGothic" w:hAnsiTheme="majorHAnsi" w:cstheme="majorBidi"/>
          <w:i/>
          <w:iCs/>
          <w:color w:val="005677" w:themeColor="text2"/>
          <w:sz w:val="28"/>
          <w:szCs w:val="28"/>
        </w:rPr>
      </w:pPr>
      <w:r w:rsidRPr="00BD1A6E">
        <w:rPr>
          <w:rFonts w:asciiTheme="majorHAnsi" w:eastAsia="MS PGothic" w:hAnsiTheme="majorHAnsi" w:cstheme="majorBidi"/>
          <w:i/>
          <w:iCs/>
          <w:color w:val="005677" w:themeColor="text2"/>
          <w:sz w:val="28"/>
          <w:szCs w:val="28"/>
        </w:rPr>
        <w:br w:type="page"/>
      </w:r>
    </w:p>
    <w:p w14:paraId="4BA2A04F" w14:textId="284B64F1" w:rsidR="00011370" w:rsidRPr="00BD1A6E" w:rsidRDefault="00011370" w:rsidP="00BF1BD4">
      <w:pPr>
        <w:pStyle w:val="Heading2"/>
        <w:rPr>
          <w:rFonts w:eastAsia="MS PGothic"/>
          <w:i/>
        </w:rPr>
      </w:pPr>
      <w:bookmarkStart w:id="41" w:name="_Toc47011007"/>
      <w:r w:rsidRPr="00BD1A6E">
        <w:rPr>
          <w:rFonts w:eastAsia="MS PGothic"/>
          <w:i/>
        </w:rPr>
        <w:lastRenderedPageBreak/>
        <w:t>Accompanying statement where an averaging method is used</w:t>
      </w:r>
      <w:bookmarkEnd w:id="41"/>
    </w:p>
    <w:p w14:paraId="45CAA8D3" w14:textId="2BEC03CB" w:rsidR="00DA04F5" w:rsidRPr="00BD1A6E" w:rsidRDefault="00011370" w:rsidP="00D576FA">
      <w:r w:rsidRPr="00BD1A6E">
        <w:t>When an averaging method is used to represent the proportion of Australian ingredients in an Australian made product, the statement will also explain how consumers can access more information on the averaging method used.</w:t>
      </w:r>
    </w:p>
    <w:p w14:paraId="377E0FF3" w14:textId="28AA8228" w:rsidR="00DA04F5" w:rsidRPr="00BD1A6E" w:rsidRDefault="008277EB" w:rsidP="004A67C3">
      <w:pPr>
        <w:pBdr>
          <w:top w:val="single" w:sz="4" w:space="1" w:color="auto"/>
        </w:pBdr>
        <w:rPr>
          <w:b/>
          <w:i/>
        </w:rPr>
      </w:pPr>
      <w:r w:rsidRPr="00BD1A6E">
        <w:rPr>
          <w:b/>
          <w:i/>
        </w:rPr>
        <w:t xml:space="preserve">Proposed </w:t>
      </w:r>
      <w:r w:rsidR="00DA04F5" w:rsidRPr="00BD1A6E">
        <w:rPr>
          <w:b/>
          <w:i/>
        </w:rPr>
        <w:t>Information Standard Provision</w:t>
      </w:r>
    </w:p>
    <w:p w14:paraId="7A369C5D" w14:textId="77777777" w:rsidR="00DA04F5" w:rsidRPr="00BD1A6E" w:rsidRDefault="00DA04F5" w:rsidP="004A67C3">
      <w:pPr>
        <w:ind w:left="426" w:hanging="426"/>
        <w:rPr>
          <w:i/>
        </w:rPr>
      </w:pPr>
      <w:r w:rsidRPr="00BD1A6E">
        <w:rPr>
          <w:i/>
        </w:rPr>
        <w:t>(1)</w:t>
      </w:r>
      <w:r w:rsidRPr="00BD1A6E">
        <w:rPr>
          <w:i/>
        </w:rPr>
        <w:tab/>
        <w:t xml:space="preserve">The labelling of a complementary medicine complies with this Information Standard if: </w:t>
      </w:r>
    </w:p>
    <w:p w14:paraId="1C1999BE" w14:textId="77777777" w:rsidR="00DA04F5" w:rsidRPr="00BD1A6E" w:rsidRDefault="00DA04F5" w:rsidP="00EF4FF0">
      <w:pPr>
        <w:ind w:left="1276" w:hanging="556"/>
        <w:rPr>
          <w:i/>
        </w:rPr>
      </w:pPr>
      <w:r w:rsidRPr="00BD1A6E">
        <w:rPr>
          <w:i/>
        </w:rPr>
        <w:t>(a)</w:t>
      </w:r>
      <w:r w:rsidRPr="00BD1A6E">
        <w:rPr>
          <w:i/>
        </w:rPr>
        <w:tab/>
        <w:t>the labelling includes:</w:t>
      </w:r>
    </w:p>
    <w:p w14:paraId="1D2BCE8A" w14:textId="2653DCBF" w:rsidR="00DA04F5" w:rsidRPr="00BD1A6E" w:rsidRDefault="004A67C3" w:rsidP="004A67C3">
      <w:pPr>
        <w:ind w:left="709" w:firstLine="720"/>
        <w:rPr>
          <w:i/>
        </w:rPr>
      </w:pPr>
      <w:r w:rsidRPr="00BD1A6E">
        <w:rPr>
          <w:i/>
        </w:rPr>
        <w:t xml:space="preserve">(i) </w:t>
      </w:r>
      <w:r w:rsidR="00DA04F5" w:rsidRPr="00BD1A6E">
        <w:rPr>
          <w:i/>
        </w:rPr>
        <w:t>one of the appropriate marks under this section; and</w:t>
      </w:r>
    </w:p>
    <w:p w14:paraId="349F46AC" w14:textId="39C7C161" w:rsidR="00DA04F5" w:rsidRPr="00BD1A6E" w:rsidRDefault="00DA04F5" w:rsidP="004A67C3">
      <w:pPr>
        <w:ind w:left="1701" w:hanging="272"/>
        <w:rPr>
          <w:i/>
        </w:rPr>
      </w:pPr>
      <w:r w:rsidRPr="00BD1A6E">
        <w:rPr>
          <w:i/>
        </w:rPr>
        <w:t>(ii)</w:t>
      </w:r>
      <w:r w:rsidRPr="00BD1A6E">
        <w:rPr>
          <w:i/>
        </w:rPr>
        <w:tab/>
        <w:t xml:space="preserve">any information, such as a barcode or other device, batch number, lot, date of manufacture or date mark, that is needed to enable a consumer to obtain information by a method; and </w:t>
      </w:r>
    </w:p>
    <w:p w14:paraId="5D66F359" w14:textId="77777777" w:rsidR="00DA04F5" w:rsidRPr="00BD1A6E" w:rsidRDefault="00DA04F5" w:rsidP="00EF4FF0">
      <w:pPr>
        <w:ind w:left="1276" w:hanging="556"/>
        <w:rPr>
          <w:i/>
        </w:rPr>
      </w:pPr>
      <w:r w:rsidRPr="00BD1A6E">
        <w:rPr>
          <w:i/>
        </w:rPr>
        <w:t>(b)</w:t>
      </w:r>
      <w:r w:rsidRPr="00BD1A6E">
        <w:rPr>
          <w:i/>
        </w:rPr>
        <w:tab/>
        <w:t>a consumer who follows the method indicated by the mark is able to find out:</w:t>
      </w:r>
    </w:p>
    <w:p w14:paraId="51928661" w14:textId="0059C4E4" w:rsidR="00DA04F5" w:rsidRPr="00BD1A6E" w:rsidRDefault="00DA04F5" w:rsidP="004A67C3">
      <w:pPr>
        <w:ind w:left="1701" w:hanging="272"/>
        <w:rPr>
          <w:i/>
        </w:rPr>
      </w:pPr>
      <w:r w:rsidRPr="00BD1A6E">
        <w:rPr>
          <w:i/>
        </w:rPr>
        <w:t>(i)</w:t>
      </w:r>
      <w:r w:rsidRPr="00BD1A6E">
        <w:rPr>
          <w:i/>
        </w:rPr>
        <w:tab/>
        <w:t xml:space="preserve">the proportion by weight of Australian ingredients of the complementary medicine in the package; and </w:t>
      </w:r>
    </w:p>
    <w:p w14:paraId="7D3A2A66" w14:textId="6D70C429" w:rsidR="00DA04F5" w:rsidRPr="00BD1A6E" w:rsidRDefault="00DA04F5" w:rsidP="004A67C3">
      <w:pPr>
        <w:ind w:left="1701" w:hanging="283"/>
        <w:rPr>
          <w:i/>
        </w:rPr>
      </w:pPr>
      <w:r w:rsidRPr="00BD1A6E">
        <w:rPr>
          <w:i/>
        </w:rPr>
        <w:t>(ii)</w:t>
      </w:r>
      <w:r w:rsidRPr="00BD1A6E">
        <w:rPr>
          <w:i/>
        </w:rPr>
        <w:tab/>
        <w:t>if the period that was used to calculate the average specified in the mark does not appear on the labelling—that period.</w:t>
      </w:r>
    </w:p>
    <w:p w14:paraId="2A3A053E" w14:textId="3B79923A" w:rsidR="00DA04F5" w:rsidRPr="00BD1A6E" w:rsidRDefault="00DA04F5" w:rsidP="004A67C3">
      <w:pPr>
        <w:ind w:left="426" w:hanging="426"/>
        <w:rPr>
          <w:i/>
        </w:rPr>
      </w:pPr>
      <w:r w:rsidRPr="00BD1A6E">
        <w:rPr>
          <w:i/>
        </w:rPr>
        <w:t>(2)</w:t>
      </w:r>
      <w:r w:rsidRPr="00BD1A6E">
        <w:rPr>
          <w:i/>
        </w:rPr>
        <w:tab/>
        <w:t>If the average proportion by weight of the Australian ingredients of the complementary medicine is not less than 1%, the following are appropriate marks.</w:t>
      </w:r>
    </w:p>
    <w:p w14:paraId="0ABB6FC9" w14:textId="516BC962" w:rsidR="00DA04F5" w:rsidRPr="00BD1A6E" w:rsidRDefault="00AC6278" w:rsidP="004A67C3">
      <w:pPr>
        <w:pBdr>
          <w:bottom w:val="single" w:sz="4" w:space="1" w:color="auto"/>
        </w:pBdr>
        <w:rPr>
          <w:i/>
        </w:rPr>
      </w:pPr>
      <w:r>
        <w:rPr>
          <w:i/>
          <w:noProof/>
          <w:lang w:eastAsia="en-AU"/>
        </w:rPr>
        <w:drawing>
          <wp:inline distT="0" distB="0" distL="0" distR="0" wp14:anchorId="2F19A6CB" wp14:editId="5A475597">
            <wp:extent cx="1298563" cy="2466052"/>
            <wp:effectExtent l="0" t="0" r="0" b="0"/>
            <wp:docPr id="2" name="Picture 2" descr="Vertical box containing a shaded ruler depicting 30 percent of Australian ingredients, with the words &quot;made in Australia - ingrediens vary - average p percent Australian ingredients - how to get details&quot;" title="Accompanying statement where an averaging method i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erage with barchart vertica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98563" cy="2466052"/>
                    </a:xfrm>
                    <a:prstGeom prst="rect">
                      <a:avLst/>
                    </a:prstGeom>
                  </pic:spPr>
                </pic:pic>
              </a:graphicData>
            </a:graphic>
          </wp:inline>
        </w:drawing>
      </w:r>
      <w:r>
        <w:rPr>
          <w:i/>
          <w:noProof/>
          <w:lang w:eastAsia="en-AU"/>
        </w:rPr>
        <w:t xml:space="preserve">   </w:t>
      </w:r>
      <w:r w:rsidR="00F50CF7" w:rsidRPr="00BD1A6E">
        <w:rPr>
          <w:i/>
          <w:noProof/>
          <w:lang w:eastAsia="en-AU"/>
        </w:rPr>
        <w:drawing>
          <wp:inline distT="0" distB="0" distL="0" distR="0" wp14:anchorId="0D3A6FB0" wp14:editId="1F7B16D0">
            <wp:extent cx="3349929" cy="917443"/>
            <wp:effectExtent l="0" t="0" r="3175" b="0"/>
            <wp:docPr id="12" name="Picture 12" descr="Vertical box containing a shaded ruler depicting five percent of Australian ingredients, with the words &quot;made in Australia - ingrediens vary - average p percent Australian ingredients - how to get details&quot;" title="Accompanying statement where an averaging method i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verage with barchar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49929" cy="917443"/>
                    </a:xfrm>
                    <a:prstGeom prst="rect">
                      <a:avLst/>
                    </a:prstGeom>
                  </pic:spPr>
                </pic:pic>
              </a:graphicData>
            </a:graphic>
          </wp:inline>
        </w:drawing>
      </w:r>
    </w:p>
    <w:p w14:paraId="4BA283EE" w14:textId="77777777" w:rsidR="001B59DB" w:rsidRPr="00BD1A6E" w:rsidRDefault="001B59DB" w:rsidP="001B59DB">
      <w:pPr>
        <w:pStyle w:val="Calloutbox"/>
        <w:pBdr>
          <w:left w:val="single" w:sz="4" w:space="1" w:color="DFF3F3" w:themeColor="accent4" w:themeTint="33"/>
        </w:pBdr>
        <w:rPr>
          <w:b/>
        </w:rPr>
      </w:pPr>
      <w:r w:rsidRPr="00BD1A6E">
        <w:rPr>
          <w:b/>
        </w:rPr>
        <w:t>Consultation Questions</w:t>
      </w:r>
    </w:p>
    <w:p w14:paraId="34AC27AA" w14:textId="1C3EC50D" w:rsidR="001B59DB" w:rsidRPr="00BD1A6E" w:rsidRDefault="001B59DB" w:rsidP="001B59DB">
      <w:pPr>
        <w:pStyle w:val="Calloutbox"/>
        <w:numPr>
          <w:ilvl w:val="0"/>
          <w:numId w:val="19"/>
        </w:numPr>
        <w:pBdr>
          <w:left w:val="single" w:sz="4" w:space="1" w:color="DFF3F3" w:themeColor="accent4" w:themeTint="33"/>
        </w:pBdr>
        <w:ind w:left="426" w:hanging="426"/>
      </w:pPr>
      <w:r w:rsidRPr="00BD1A6E">
        <w:t xml:space="preserve">Do you anticipate any challenges with the accompanying statement when an averaging method is used? If so, please illustrate your response with examples. Can you suggest alternative text to </w:t>
      </w:r>
      <w:r w:rsidR="00AC6278">
        <w:t>ensure</w:t>
      </w:r>
      <w:r w:rsidR="00AC6278" w:rsidRPr="00BD1A6E">
        <w:t xml:space="preserve"> </w:t>
      </w:r>
      <w:r w:rsidRPr="00BD1A6E">
        <w:t xml:space="preserve">the consumer </w:t>
      </w:r>
      <w:r w:rsidR="007C08EA">
        <w:t xml:space="preserve">is adequately </w:t>
      </w:r>
      <w:r w:rsidRPr="00BD1A6E">
        <w:t>informed?</w:t>
      </w:r>
    </w:p>
    <w:p w14:paraId="21C1C160" w14:textId="77777777" w:rsidR="00D576FA" w:rsidRPr="00BD1A6E" w:rsidRDefault="00D576FA" w:rsidP="00BF1BD4">
      <w:pPr>
        <w:pStyle w:val="Heading2"/>
        <w:rPr>
          <w:rFonts w:eastAsia="MS PGothic"/>
          <w:i/>
        </w:rPr>
      </w:pPr>
      <w:bookmarkStart w:id="42" w:name="_Toc47011008"/>
      <w:r w:rsidRPr="00BD1A6E">
        <w:rPr>
          <w:rFonts w:eastAsia="MS PGothic"/>
          <w:i/>
        </w:rPr>
        <w:lastRenderedPageBreak/>
        <w:t>Use of the AMAG logo with the bar chart and accompanying statement</w:t>
      </w:r>
      <w:bookmarkEnd w:id="42"/>
    </w:p>
    <w:p w14:paraId="2124318E" w14:textId="77777777" w:rsidR="00D576FA" w:rsidRPr="00BD1A6E" w:rsidRDefault="00D576FA" w:rsidP="00D576FA">
      <w:pPr>
        <w:rPr>
          <w:rFonts w:cstheme="minorHAnsi"/>
        </w:rPr>
      </w:pPr>
      <w:r w:rsidRPr="00BD1A6E">
        <w:t>Unlike Australian food products, Australian made complementary medicines will not be required to use the AMAG logo. However, if the AMAG logo is used on a product, the proposed Information Standard provisions require the co-location of the AMAG logo with the bar chart and accompanying statement. This will require the AMAG logo to be placed in the same box as the bar chart and statement.</w:t>
      </w:r>
    </w:p>
    <w:p w14:paraId="22971AFF" w14:textId="32F4699B" w:rsidR="00D576FA" w:rsidRPr="00BD1A6E" w:rsidRDefault="008277EB" w:rsidP="00D576FA">
      <w:pPr>
        <w:pBdr>
          <w:top w:val="single" w:sz="4" w:space="1" w:color="auto"/>
          <w:bottom w:val="single" w:sz="4" w:space="1" w:color="auto"/>
        </w:pBdr>
        <w:rPr>
          <w:b/>
          <w:i/>
        </w:rPr>
      </w:pPr>
      <w:r w:rsidRPr="00BD1A6E">
        <w:rPr>
          <w:b/>
          <w:i/>
        </w:rPr>
        <w:t>Proposed</w:t>
      </w:r>
      <w:r w:rsidR="00D576FA" w:rsidRPr="00BD1A6E">
        <w:rPr>
          <w:b/>
          <w:i/>
        </w:rPr>
        <w:t xml:space="preserve"> Information Standard Provision </w:t>
      </w:r>
    </w:p>
    <w:p w14:paraId="4C3EC50D" w14:textId="05EDE948" w:rsidR="00D576FA" w:rsidRPr="00BD1A6E" w:rsidRDefault="00D576FA" w:rsidP="00D576FA">
      <w:pPr>
        <w:pBdr>
          <w:top w:val="single" w:sz="4" w:space="1" w:color="auto"/>
          <w:bottom w:val="single" w:sz="4" w:space="1" w:color="auto"/>
        </w:pBdr>
        <w:rPr>
          <w:b/>
          <w:i/>
        </w:rPr>
      </w:pPr>
      <w:r w:rsidRPr="00BD1A6E">
        <w:rPr>
          <w:noProof/>
          <w:lang w:eastAsia="en-AU"/>
        </w:rPr>
        <w:drawing>
          <wp:inline distT="0" distB="0" distL="0" distR="0" wp14:anchorId="081DDA68" wp14:editId="340EE963">
            <wp:extent cx="1431272" cy="3174596"/>
            <wp:effectExtent l="0" t="0" r="0" b="6985"/>
            <wp:docPr id="24" name="Picture 24" descr="Vertical box containing the Australian Made, Australian Grown logo; a green triangle with the outline of a gold kangaroo, a shaded ruler depicting 50 percent of Australian ingredients, with the words &quot;made in Australia from at least p percent Australian ingredients" title="Use of the AMAG logo with the bar chart and accompanying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MAG at least P.png"/>
                    <pic:cNvPicPr/>
                  </pic:nvPicPr>
                  <pic:blipFill>
                    <a:blip r:embed="rId23">
                      <a:extLst>
                        <a:ext uri="{28A0092B-C50C-407E-A947-70E740481C1C}">
                          <a14:useLocalDpi xmlns:a14="http://schemas.microsoft.com/office/drawing/2010/main" val="0"/>
                        </a:ext>
                      </a:extLst>
                    </a:blip>
                    <a:stretch>
                      <a:fillRect/>
                    </a:stretch>
                  </pic:blipFill>
                  <pic:spPr>
                    <a:xfrm>
                      <a:off x="0" y="0"/>
                      <a:ext cx="1431272" cy="3174596"/>
                    </a:xfrm>
                    <a:prstGeom prst="rect">
                      <a:avLst/>
                    </a:prstGeom>
                  </pic:spPr>
                </pic:pic>
              </a:graphicData>
            </a:graphic>
          </wp:inline>
        </w:drawing>
      </w:r>
      <w:r w:rsidR="00AC6278">
        <w:rPr>
          <w:noProof/>
          <w:lang w:eastAsia="en-AU"/>
        </w:rPr>
        <w:t xml:space="preserve">  </w:t>
      </w:r>
      <w:r w:rsidR="00AC6278" w:rsidRPr="00AC6278">
        <w:rPr>
          <w:noProof/>
          <w:lang w:eastAsia="en-AU"/>
        </w:rPr>
        <w:drawing>
          <wp:inline distT="0" distB="0" distL="0" distR="0" wp14:anchorId="131B100E" wp14:editId="033E028D">
            <wp:extent cx="3883875" cy="1148752"/>
            <wp:effectExtent l="0" t="0" r="2540" b="0"/>
            <wp:docPr id="7" name="Picture 7" descr="Horizontal box containing the Australian Made, Australian Grown logo; a green triangle with the outline of a gold kangaroo, a ruler void of any shading depicting 0 percent of Australian ingredients, with the words &quot;made in Australia from 0 percent Australian ingredients&quot;" title="Use of the AMAG logo with the bar chart and accompanying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83875" cy="1148752"/>
                    </a:xfrm>
                    <a:prstGeom prst="rect">
                      <a:avLst/>
                    </a:prstGeom>
                  </pic:spPr>
                </pic:pic>
              </a:graphicData>
            </a:graphic>
          </wp:inline>
        </w:drawing>
      </w:r>
    </w:p>
    <w:p w14:paraId="4493B620" w14:textId="77777777" w:rsidR="00D576FA" w:rsidRPr="00BD1A6E" w:rsidRDefault="00D576FA" w:rsidP="00D576FA">
      <w:pPr>
        <w:pStyle w:val="Calloutbox"/>
        <w:pBdr>
          <w:left w:val="single" w:sz="4" w:space="1" w:color="DFF3F3" w:themeColor="accent4" w:themeTint="33"/>
        </w:pBdr>
        <w:rPr>
          <w:b/>
        </w:rPr>
      </w:pPr>
      <w:r w:rsidRPr="00BD1A6E">
        <w:rPr>
          <w:b/>
        </w:rPr>
        <w:t>Consultation Questions</w:t>
      </w:r>
    </w:p>
    <w:p w14:paraId="71BEC1D0" w14:textId="10F42704" w:rsidR="00D576FA" w:rsidRPr="00BD1A6E" w:rsidRDefault="00D576FA" w:rsidP="00D576FA">
      <w:pPr>
        <w:pStyle w:val="Calloutbox"/>
        <w:numPr>
          <w:ilvl w:val="0"/>
          <w:numId w:val="19"/>
        </w:numPr>
        <w:pBdr>
          <w:left w:val="single" w:sz="4" w:space="1" w:color="DFF3F3" w:themeColor="accent4" w:themeTint="33"/>
        </w:pBdr>
        <w:ind w:left="426" w:hanging="426"/>
      </w:pPr>
      <w:r w:rsidRPr="00BD1A6E">
        <w:t xml:space="preserve">Do you anticipate any challenges in co-locating the AMAG logo (if used) with the bar chart and statement? If so, please outline how the AMAG logo </w:t>
      </w:r>
      <w:r w:rsidR="003B7BAC" w:rsidRPr="00BD1A6E">
        <w:t xml:space="preserve">could </w:t>
      </w:r>
      <w:r w:rsidRPr="00BD1A6E">
        <w:t>be placed on the label.</w:t>
      </w:r>
    </w:p>
    <w:p w14:paraId="03F82A21" w14:textId="77777777" w:rsidR="00D576FA" w:rsidRPr="00BD1A6E" w:rsidRDefault="00D576FA" w:rsidP="00D576FA"/>
    <w:p w14:paraId="6274E85D" w14:textId="77777777" w:rsidR="00D576FA" w:rsidRPr="00BD1A6E" w:rsidRDefault="00D576FA" w:rsidP="00D576FA"/>
    <w:p w14:paraId="1D66113A" w14:textId="77777777" w:rsidR="00160EFB" w:rsidRPr="00BD1A6E" w:rsidRDefault="00160EFB">
      <w:pPr>
        <w:keepLines w:val="0"/>
        <w:rPr>
          <w:rFonts w:asciiTheme="majorHAnsi" w:eastAsiaTheme="majorEastAsia" w:hAnsiTheme="majorHAnsi" w:cstheme="majorBidi"/>
          <w:color w:val="005677" w:themeColor="text2"/>
          <w:sz w:val="32"/>
          <w:szCs w:val="48"/>
        </w:rPr>
      </w:pPr>
      <w:r w:rsidRPr="00BD1A6E">
        <w:br w:type="page"/>
      </w:r>
    </w:p>
    <w:p w14:paraId="3E9D4BF4" w14:textId="2B9EB832" w:rsidR="00160EFB" w:rsidRPr="00BD1A6E" w:rsidRDefault="00BF1BD4" w:rsidP="00BA2147">
      <w:pPr>
        <w:pStyle w:val="Heading1"/>
      </w:pPr>
      <w:bookmarkStart w:id="43" w:name="_Toc47011009"/>
      <w:r w:rsidRPr="00BD1A6E">
        <w:lastRenderedPageBreak/>
        <w:t xml:space="preserve">Part 3 – Sales </w:t>
      </w:r>
      <w:r w:rsidR="00160EFB" w:rsidRPr="00BD1A6E">
        <w:t>for which labelling is and is not required</w:t>
      </w:r>
      <w:bookmarkEnd w:id="43"/>
    </w:p>
    <w:p w14:paraId="77AE5FB7" w14:textId="77777777" w:rsidR="00160EFB" w:rsidRPr="00BD1A6E" w:rsidRDefault="00160EFB" w:rsidP="00160EFB">
      <w:r w:rsidRPr="00BD1A6E">
        <w:t xml:space="preserve">The proposed Information Standard will cover complementary medicines that are suitable for retail sale in Australia. </w:t>
      </w:r>
    </w:p>
    <w:p w14:paraId="6FAF9969" w14:textId="13EC80E9" w:rsidR="00160EFB" w:rsidRPr="00BD1A6E" w:rsidRDefault="00160EFB" w:rsidP="00160EFB">
      <w:r w:rsidRPr="00BD1A6E">
        <w:t xml:space="preserve">It is expected that country of origin labelling will not be required on products that are sold for special medical purposes to hospitals or other medical institutions in Australia. CoOL will also not apply to complementary medicines that are </w:t>
      </w:r>
      <w:r w:rsidR="00500BEC" w:rsidRPr="00BD1A6E">
        <w:t xml:space="preserve">manufactured </w:t>
      </w:r>
      <w:r w:rsidRPr="00BD1A6E">
        <w:t>solely for export.</w:t>
      </w:r>
    </w:p>
    <w:p w14:paraId="6AF6C76E" w14:textId="6AA38A01" w:rsidR="00160EFB" w:rsidRPr="00BD1A6E" w:rsidRDefault="008277EB" w:rsidP="00076E4A">
      <w:pPr>
        <w:pBdr>
          <w:top w:val="single" w:sz="4" w:space="1" w:color="auto"/>
        </w:pBdr>
        <w:rPr>
          <w:b/>
          <w:i/>
        </w:rPr>
      </w:pPr>
      <w:r w:rsidRPr="00BD1A6E">
        <w:rPr>
          <w:b/>
          <w:i/>
        </w:rPr>
        <w:t>Proposed</w:t>
      </w:r>
      <w:r w:rsidR="00160EFB" w:rsidRPr="00BD1A6E">
        <w:rPr>
          <w:b/>
          <w:i/>
        </w:rPr>
        <w:t xml:space="preserve"> Information Standard Provision</w:t>
      </w:r>
    </w:p>
    <w:p w14:paraId="184DC13F" w14:textId="77777777" w:rsidR="00160EFB" w:rsidRPr="00BD1A6E" w:rsidRDefault="00160EFB" w:rsidP="00076E4A">
      <w:pPr>
        <w:ind w:left="426" w:hanging="426"/>
        <w:rPr>
          <w:i/>
        </w:rPr>
      </w:pPr>
      <w:r w:rsidRPr="00BD1A6E">
        <w:rPr>
          <w:i/>
        </w:rPr>
        <w:t>(1)</w:t>
      </w:r>
      <w:r w:rsidRPr="00BD1A6E">
        <w:rPr>
          <w:i/>
        </w:rPr>
        <w:tab/>
        <w:t>This Part applies in relation to a sale of complementary medicine in Australia if:</w:t>
      </w:r>
    </w:p>
    <w:p w14:paraId="79FB5225" w14:textId="77777777" w:rsidR="00160EFB" w:rsidRPr="00BD1A6E" w:rsidRDefault="00160EFB" w:rsidP="00EF4FF0">
      <w:pPr>
        <w:ind w:left="1276" w:hanging="556"/>
        <w:rPr>
          <w:i/>
        </w:rPr>
      </w:pPr>
      <w:r w:rsidRPr="00BD1A6E">
        <w:rPr>
          <w:i/>
        </w:rPr>
        <w:t xml:space="preserve">(a) </w:t>
      </w:r>
      <w:r w:rsidRPr="00BD1A6E">
        <w:rPr>
          <w:i/>
        </w:rPr>
        <w:tab/>
        <w:t>the sale is a retail sale; or</w:t>
      </w:r>
    </w:p>
    <w:p w14:paraId="398B417D" w14:textId="77777777" w:rsidR="00160EFB" w:rsidRPr="00BD1A6E" w:rsidRDefault="00160EFB" w:rsidP="00EF4FF0">
      <w:pPr>
        <w:ind w:left="1276" w:hanging="556"/>
        <w:rPr>
          <w:i/>
        </w:rPr>
      </w:pPr>
      <w:r w:rsidRPr="00BD1A6E">
        <w:rPr>
          <w:i/>
        </w:rPr>
        <w:t>(b)</w:t>
      </w:r>
      <w:r w:rsidRPr="00BD1A6E">
        <w:rPr>
          <w:i/>
        </w:rPr>
        <w:tab/>
        <w:t>the sale is not a retail sale, but the complementary medicine is sold as suitable for retail sale without any further processing, packaging or labelling.</w:t>
      </w:r>
    </w:p>
    <w:p w14:paraId="2E5C2F8E" w14:textId="553FF1AE" w:rsidR="00160EFB" w:rsidRPr="00BD1A6E" w:rsidRDefault="00160EFB" w:rsidP="00076E4A">
      <w:pPr>
        <w:ind w:left="426" w:hanging="426"/>
        <w:rPr>
          <w:i/>
        </w:rPr>
      </w:pPr>
      <w:r w:rsidRPr="00BD1A6E">
        <w:rPr>
          <w:i/>
        </w:rPr>
        <w:t>(2)</w:t>
      </w:r>
      <w:r w:rsidR="00076E4A" w:rsidRPr="00BD1A6E">
        <w:rPr>
          <w:i/>
        </w:rPr>
        <w:tab/>
      </w:r>
      <w:r w:rsidRPr="00BD1A6E">
        <w:rPr>
          <w:i/>
        </w:rPr>
        <w:t xml:space="preserve">However, this Part does not apply to a complementary medicine that: </w:t>
      </w:r>
    </w:p>
    <w:p w14:paraId="5CC7F846" w14:textId="77777777" w:rsidR="00522324" w:rsidRDefault="00160EFB" w:rsidP="00EF4FF0">
      <w:pPr>
        <w:ind w:left="1276" w:hanging="556"/>
        <w:rPr>
          <w:i/>
        </w:rPr>
      </w:pPr>
      <w:r w:rsidRPr="00BD1A6E">
        <w:rPr>
          <w:i/>
        </w:rPr>
        <w:t>(a)</w:t>
      </w:r>
      <w:r w:rsidRPr="00BD1A6E">
        <w:rPr>
          <w:i/>
        </w:rPr>
        <w:tab/>
        <w:t>is sold for consumption</w:t>
      </w:r>
      <w:r w:rsidR="00CE1552" w:rsidRPr="00BD1A6E">
        <w:rPr>
          <w:i/>
        </w:rPr>
        <w:t xml:space="preserve"> </w:t>
      </w:r>
      <w:r w:rsidRPr="00BD1A6E">
        <w:rPr>
          <w:i/>
        </w:rPr>
        <w:t>in a hospital or other medical institution</w:t>
      </w:r>
      <w:r w:rsidR="00522324">
        <w:rPr>
          <w:i/>
        </w:rPr>
        <w:t>;</w:t>
      </w:r>
      <w:r w:rsidR="007246A9">
        <w:rPr>
          <w:i/>
        </w:rPr>
        <w:t xml:space="preserve"> or </w:t>
      </w:r>
    </w:p>
    <w:p w14:paraId="092A5D10" w14:textId="09DA87E1" w:rsidR="00160EFB" w:rsidRPr="00BD1A6E" w:rsidRDefault="00522324" w:rsidP="00EF4FF0">
      <w:pPr>
        <w:ind w:left="1276" w:hanging="556"/>
        <w:rPr>
          <w:i/>
        </w:rPr>
      </w:pPr>
      <w:r>
        <w:rPr>
          <w:i/>
        </w:rPr>
        <w:t>(b)</w:t>
      </w:r>
      <w:r>
        <w:rPr>
          <w:i/>
        </w:rPr>
        <w:tab/>
        <w:t>is sold as a practi</w:t>
      </w:r>
      <w:r w:rsidR="000B2A3B">
        <w:rPr>
          <w:i/>
        </w:rPr>
        <w:t>ti</w:t>
      </w:r>
      <w:r>
        <w:rPr>
          <w:i/>
        </w:rPr>
        <w:t>oner only product, where that product is not on-sold to an end consumer.</w:t>
      </w:r>
    </w:p>
    <w:p w14:paraId="3940EF8D" w14:textId="5EFCB197" w:rsidR="00160EFB" w:rsidRPr="00BD1A6E" w:rsidRDefault="00160EFB" w:rsidP="00076E4A">
      <w:pPr>
        <w:rPr>
          <w:i/>
        </w:rPr>
      </w:pPr>
      <w:r w:rsidRPr="00BD1A6E">
        <w:rPr>
          <w:i/>
        </w:rPr>
        <w:t xml:space="preserve">To be clear: </w:t>
      </w:r>
      <w:r w:rsidR="00CE1552" w:rsidRPr="00BD1A6E">
        <w:rPr>
          <w:i/>
        </w:rPr>
        <w:t xml:space="preserve">A complementary medicine </w:t>
      </w:r>
      <w:r w:rsidRPr="00BD1A6E">
        <w:rPr>
          <w:i/>
        </w:rPr>
        <w:t xml:space="preserve">sold to a hospital or other medical institution </w:t>
      </w:r>
      <w:r w:rsidR="00CE1552" w:rsidRPr="00BD1A6E">
        <w:rPr>
          <w:i/>
        </w:rPr>
        <w:t xml:space="preserve">may </w:t>
      </w:r>
      <w:r w:rsidR="00CE4B29" w:rsidRPr="00BD1A6E">
        <w:rPr>
          <w:i/>
        </w:rPr>
        <w:t>choose to display an</w:t>
      </w:r>
      <w:r w:rsidRPr="00BD1A6E">
        <w:rPr>
          <w:i/>
        </w:rPr>
        <w:t xml:space="preserve"> Australian origin </w:t>
      </w:r>
      <w:r w:rsidR="00CE4B29" w:rsidRPr="00BD1A6E">
        <w:rPr>
          <w:i/>
        </w:rPr>
        <w:t xml:space="preserve">claim </w:t>
      </w:r>
      <w:r w:rsidRPr="00BD1A6E">
        <w:rPr>
          <w:i/>
        </w:rPr>
        <w:t>(assuming the product meets the 2020 safe harbour defences) but is not required to display the bar chart or accompanying statement unless those products are subsequently released into retail sale.</w:t>
      </w:r>
    </w:p>
    <w:p w14:paraId="0B32CBAB" w14:textId="4EA122DA" w:rsidR="00160EFB" w:rsidRPr="00BD1A6E" w:rsidRDefault="00160EFB" w:rsidP="00076E4A">
      <w:pPr>
        <w:rPr>
          <w:i/>
        </w:rPr>
      </w:pPr>
      <w:r w:rsidRPr="00BD1A6E">
        <w:rPr>
          <w:i/>
        </w:rPr>
        <w:t>If complementary medicines, made in Australia, are exported and re-imported without substantial transformation</w:t>
      </w:r>
      <w:r w:rsidR="00500BEC" w:rsidRPr="00BD1A6E">
        <w:rPr>
          <w:i/>
        </w:rPr>
        <w:t xml:space="preserve"> and made available for retail sale </w:t>
      </w:r>
      <w:r w:rsidRPr="00BD1A6E">
        <w:rPr>
          <w:i/>
        </w:rPr>
        <w:t xml:space="preserve"> then those products will be required to display the bar chart and the ‘Made in Australia’ </w:t>
      </w:r>
      <w:r w:rsidR="00CE1552" w:rsidRPr="00BD1A6E">
        <w:rPr>
          <w:i/>
        </w:rPr>
        <w:t xml:space="preserve">accompanying text </w:t>
      </w:r>
      <w:r w:rsidRPr="00BD1A6E">
        <w:rPr>
          <w:i/>
        </w:rPr>
        <w:t>statement.</w:t>
      </w:r>
    </w:p>
    <w:p w14:paraId="7FC7D7F5" w14:textId="1DBA3F74" w:rsidR="00BF1BD4" w:rsidRPr="00BD1A6E" w:rsidRDefault="009761F7" w:rsidP="00076E4A">
      <w:pPr>
        <w:pBdr>
          <w:bottom w:val="single" w:sz="4" w:space="1" w:color="auto"/>
        </w:pBdr>
        <w:rPr>
          <w:i/>
        </w:rPr>
      </w:pPr>
      <w:r>
        <w:rPr>
          <w:noProof/>
          <w:lang w:eastAsia="en-AU"/>
        </w:rPr>
        <w:drawing>
          <wp:inline distT="0" distB="0" distL="0" distR="0" wp14:anchorId="0D2102CF" wp14:editId="7CE2C8F0">
            <wp:extent cx="3294234" cy="912313"/>
            <wp:effectExtent l="0" t="0" r="1905" b="2540"/>
            <wp:docPr id="8" name="Picture 8" descr="Horizontal box containing a shaded ruler depicting 50 percent of Australian ingredients, with the words &quot;made in Australia from at least 58 percent Australian ingredients&quot;" title="Sales for which labelling is and is not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de in Australia from at least 58 P ingredient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94234" cy="912313"/>
                    </a:xfrm>
                    <a:prstGeom prst="rect">
                      <a:avLst/>
                    </a:prstGeom>
                  </pic:spPr>
                </pic:pic>
              </a:graphicData>
            </a:graphic>
          </wp:inline>
        </w:drawing>
      </w:r>
    </w:p>
    <w:p w14:paraId="781CCB1D" w14:textId="4E72FCD9" w:rsidR="00160EFB" w:rsidRPr="00BD1A6E" w:rsidRDefault="00160EFB" w:rsidP="00160EFB">
      <w:pPr>
        <w:pStyle w:val="Calloutbox"/>
        <w:pBdr>
          <w:left w:val="single" w:sz="4" w:space="1" w:color="DFF3F3" w:themeColor="accent4" w:themeTint="33"/>
        </w:pBdr>
      </w:pPr>
      <w:r w:rsidRPr="00BD1A6E">
        <w:rPr>
          <w:b/>
        </w:rPr>
        <w:t>Consultation Questions</w:t>
      </w:r>
    </w:p>
    <w:p w14:paraId="1F15CDC9" w14:textId="166514D8" w:rsidR="00160EFB" w:rsidRPr="00BD1A6E" w:rsidRDefault="00160EFB" w:rsidP="00160EFB">
      <w:pPr>
        <w:pStyle w:val="Calloutbox"/>
        <w:numPr>
          <w:ilvl w:val="0"/>
          <w:numId w:val="19"/>
        </w:numPr>
        <w:pBdr>
          <w:left w:val="single" w:sz="4" w:space="1" w:color="DFF3F3" w:themeColor="accent4" w:themeTint="33"/>
        </w:pBdr>
        <w:ind w:left="426" w:hanging="426"/>
      </w:pPr>
      <w:r w:rsidRPr="00BD1A6E">
        <w:t>Is this provision relevant to the complementary medicines industry?</w:t>
      </w:r>
    </w:p>
    <w:p w14:paraId="1C883C93" w14:textId="77777777" w:rsidR="001F39BF" w:rsidRDefault="00160EFB" w:rsidP="001F39BF">
      <w:pPr>
        <w:pStyle w:val="Calloutbox"/>
        <w:numPr>
          <w:ilvl w:val="0"/>
          <w:numId w:val="19"/>
        </w:numPr>
        <w:pBdr>
          <w:left w:val="single" w:sz="4" w:space="1" w:color="DFF3F3" w:themeColor="accent4" w:themeTint="33"/>
        </w:pBdr>
        <w:ind w:left="426" w:hanging="426"/>
      </w:pPr>
      <w:r w:rsidRPr="00BD1A6E">
        <w:t>Are there any other sales that would not require the bar chart and accompanying statement?</w:t>
      </w:r>
      <w:bookmarkStart w:id="44" w:name="_Toc47011010"/>
      <w:bookmarkEnd w:id="39"/>
    </w:p>
    <w:p w14:paraId="60295AB3" w14:textId="77777777" w:rsidR="001F39BF" w:rsidRDefault="001F39BF">
      <w:pPr>
        <w:keepLines w:val="0"/>
      </w:pPr>
      <w:r>
        <w:br w:type="page"/>
      </w:r>
    </w:p>
    <w:p w14:paraId="0EC459FC" w14:textId="31889783" w:rsidR="00AB3941" w:rsidRPr="00BD1A6E" w:rsidRDefault="001F39BF" w:rsidP="000270B4">
      <w:pPr>
        <w:pStyle w:val="Heading1"/>
      </w:pPr>
      <w:r w:rsidRPr="00BD1A6E">
        <w:lastRenderedPageBreak/>
        <w:t xml:space="preserve"> </w:t>
      </w:r>
      <w:r w:rsidR="00AB3941" w:rsidRPr="00BD1A6E">
        <w:t>Part 4 – Legibility requirements, constraints and providing additional information</w:t>
      </w:r>
      <w:bookmarkEnd w:id="44"/>
    </w:p>
    <w:p w14:paraId="496E9B91" w14:textId="77777777" w:rsidR="001F63CC" w:rsidRPr="00BD1A6E" w:rsidRDefault="001F63CC" w:rsidP="00B25288">
      <w:r w:rsidRPr="00BD1A6E">
        <w:t>Note: Nothing in the Information Standard is intended to prevent additional information on country or region of origin being provided.</w:t>
      </w:r>
    </w:p>
    <w:p w14:paraId="4B33CB9A" w14:textId="1A4864B8" w:rsidR="001F63CC" w:rsidRPr="00BE749D" w:rsidRDefault="008277EB" w:rsidP="00BE749D">
      <w:pPr>
        <w:pBdr>
          <w:top w:val="single" w:sz="4" w:space="1" w:color="auto"/>
        </w:pBdr>
        <w:ind w:left="426" w:hanging="426"/>
        <w:rPr>
          <w:b/>
          <w:i/>
        </w:rPr>
      </w:pPr>
      <w:r w:rsidRPr="00BE749D">
        <w:rPr>
          <w:b/>
          <w:i/>
        </w:rPr>
        <w:t>Proposed</w:t>
      </w:r>
      <w:r w:rsidR="001F63CC" w:rsidRPr="00BE749D">
        <w:rPr>
          <w:b/>
          <w:i/>
        </w:rPr>
        <w:t xml:space="preserve"> Information Standard Provision</w:t>
      </w:r>
    </w:p>
    <w:p w14:paraId="0903B74D" w14:textId="45732951" w:rsidR="001F63CC" w:rsidRPr="00BD1A6E" w:rsidRDefault="00393339" w:rsidP="00BE749D">
      <w:pPr>
        <w:ind w:left="426" w:hanging="426"/>
        <w:rPr>
          <w:i/>
        </w:rPr>
      </w:pPr>
      <w:r w:rsidRPr="00BD1A6E" w:rsidDel="00393339">
        <w:rPr>
          <w:i/>
        </w:rPr>
        <w:t xml:space="preserve"> </w:t>
      </w:r>
      <w:r w:rsidR="001F63CC" w:rsidRPr="00BD1A6E">
        <w:rPr>
          <w:i/>
        </w:rPr>
        <w:t xml:space="preserve">(1) </w:t>
      </w:r>
      <w:r w:rsidR="001F63CC" w:rsidRPr="00BD1A6E">
        <w:rPr>
          <w:i/>
        </w:rPr>
        <w:tab/>
        <w:t xml:space="preserve">If this Information Standard requires a word, statement, expression or design to be contained, written or set out on a label—any words must be in Australian English and any word, statement or expression must, wherever occurring: </w:t>
      </w:r>
    </w:p>
    <w:p w14:paraId="6E9BB0A7" w14:textId="77777777" w:rsidR="001F63CC" w:rsidRPr="00BD1A6E" w:rsidRDefault="001F63CC" w:rsidP="00EF4FF0">
      <w:pPr>
        <w:ind w:left="1276" w:hanging="556"/>
        <w:rPr>
          <w:i/>
        </w:rPr>
      </w:pPr>
      <w:r w:rsidRPr="00BD1A6E">
        <w:rPr>
          <w:i/>
        </w:rPr>
        <w:t>(a)</w:t>
      </w:r>
      <w:r w:rsidRPr="00BD1A6E">
        <w:rPr>
          <w:i/>
        </w:rPr>
        <w:tab/>
        <w:t xml:space="preserve">be legible; and </w:t>
      </w:r>
    </w:p>
    <w:p w14:paraId="268388A4" w14:textId="77777777" w:rsidR="00680B3C" w:rsidRDefault="001F63CC" w:rsidP="00680B3C">
      <w:pPr>
        <w:ind w:left="1276" w:hanging="556"/>
        <w:rPr>
          <w:i/>
        </w:rPr>
      </w:pPr>
      <w:r w:rsidRPr="00BD1A6E">
        <w:rPr>
          <w:i/>
        </w:rPr>
        <w:t xml:space="preserve">(b) </w:t>
      </w:r>
      <w:r w:rsidRPr="00BD1A6E">
        <w:rPr>
          <w:i/>
        </w:rPr>
        <w:tab/>
        <w:t>be prominent so as to contrast distinctly with the background of the label.</w:t>
      </w:r>
    </w:p>
    <w:p w14:paraId="30546676" w14:textId="47DB670A" w:rsidR="00A872D0" w:rsidRDefault="00A872D0" w:rsidP="00BE749D">
      <w:pPr>
        <w:ind w:left="426" w:hanging="426"/>
        <w:rPr>
          <w:i/>
        </w:rPr>
      </w:pPr>
      <w:r>
        <w:rPr>
          <w:i/>
        </w:rPr>
        <w:t>(2</w:t>
      </w:r>
      <w:r w:rsidRPr="00BD1A6E">
        <w:rPr>
          <w:i/>
        </w:rPr>
        <w:t xml:space="preserve">) </w:t>
      </w:r>
      <w:r w:rsidRPr="00BD1A6E">
        <w:rPr>
          <w:i/>
        </w:rPr>
        <w:tab/>
      </w:r>
      <w:r w:rsidR="00636CC4" w:rsidRPr="009E1253">
        <w:rPr>
          <w:i/>
        </w:rPr>
        <w:t xml:space="preserve">The minimum text size to display country of origin information on labels is 2.0 mm. </w:t>
      </w:r>
    </w:p>
    <w:p w14:paraId="21FB8EC3" w14:textId="77777777" w:rsidR="00DF2B78" w:rsidRDefault="00636CC4" w:rsidP="00BE749D">
      <w:pPr>
        <w:ind w:left="426"/>
        <w:rPr>
          <w:i/>
        </w:rPr>
      </w:pPr>
      <w:r w:rsidRPr="009E1253">
        <w:rPr>
          <w:i/>
        </w:rPr>
        <w:t>Taking into consideration the minimum specified text size for country of origin information</w:t>
      </w:r>
      <w:r w:rsidR="00DF2B78">
        <w:rPr>
          <w:i/>
        </w:rPr>
        <w:t>:</w:t>
      </w:r>
    </w:p>
    <w:p w14:paraId="35563E7D" w14:textId="22202BF8" w:rsidR="00E16889" w:rsidRPr="00060FD5" w:rsidRDefault="00E16889" w:rsidP="00E16889">
      <w:pPr>
        <w:pStyle w:val="ListParagraph"/>
        <w:numPr>
          <w:ilvl w:val="0"/>
          <w:numId w:val="40"/>
        </w:numPr>
        <w:ind w:left="1276" w:hanging="556"/>
        <w:rPr>
          <w:i/>
        </w:rPr>
      </w:pPr>
      <w:r>
        <w:rPr>
          <w:i/>
        </w:rPr>
        <w:t>t</w:t>
      </w:r>
      <w:r w:rsidRPr="009E1253">
        <w:rPr>
          <w:i/>
        </w:rPr>
        <w:t>he bar chart height must be equal to the capital letter height of the explanatory text</w:t>
      </w:r>
      <w:r>
        <w:rPr>
          <w:i/>
        </w:rPr>
        <w:t>; and</w:t>
      </w:r>
    </w:p>
    <w:p w14:paraId="57078630" w14:textId="41A2749A" w:rsidR="00A872D0" w:rsidRDefault="00E16889" w:rsidP="00E16889">
      <w:pPr>
        <w:pStyle w:val="ListParagraph"/>
        <w:numPr>
          <w:ilvl w:val="0"/>
          <w:numId w:val="40"/>
        </w:numPr>
        <w:ind w:left="1276" w:hanging="556"/>
        <w:rPr>
          <w:i/>
        </w:rPr>
      </w:pPr>
      <w:r w:rsidRPr="00E16889">
        <w:rPr>
          <w:i/>
        </w:rPr>
        <w:t>the explanatory text size accompanying the bar chart must be at least equal to the text size for listing active ingredients on the product’s label, as required by the TGA</w:t>
      </w:r>
      <w:r w:rsidR="00DF2B78" w:rsidRPr="00E16889">
        <w:rPr>
          <w:i/>
        </w:rPr>
        <w:t>.</w:t>
      </w:r>
    </w:p>
    <w:p w14:paraId="6D849274" w14:textId="30E64BB5" w:rsidR="001F63CC" w:rsidRPr="00BD1A6E" w:rsidRDefault="001F63CC" w:rsidP="001F63CC">
      <w:pPr>
        <w:pStyle w:val="Calloutbox"/>
        <w:pBdr>
          <w:left w:val="single" w:sz="4" w:space="1" w:color="DFF3F3" w:themeColor="accent4" w:themeTint="33"/>
        </w:pBdr>
        <w:rPr>
          <w:b/>
        </w:rPr>
      </w:pPr>
      <w:r w:rsidRPr="00BD1A6E">
        <w:rPr>
          <w:b/>
        </w:rPr>
        <w:t>Consultation Questions</w:t>
      </w:r>
    </w:p>
    <w:p w14:paraId="274948EE" w14:textId="6ED6AECC" w:rsidR="001F63CC" w:rsidRPr="00BD1A6E" w:rsidRDefault="001F63CC" w:rsidP="001F63CC">
      <w:pPr>
        <w:pStyle w:val="Calloutbox"/>
        <w:numPr>
          <w:ilvl w:val="0"/>
          <w:numId w:val="19"/>
        </w:numPr>
        <w:pBdr>
          <w:left w:val="single" w:sz="4" w:space="1" w:color="DFF3F3" w:themeColor="accent4" w:themeTint="33"/>
        </w:pBdr>
        <w:ind w:left="426" w:hanging="426"/>
      </w:pPr>
      <w:r w:rsidRPr="00BD1A6E">
        <w:t>Do you anticipate any challenges with the above general legibility requirements? If so, please outline those challenges.</w:t>
      </w:r>
    </w:p>
    <w:p w14:paraId="417F9167" w14:textId="41E43F4B" w:rsidR="001F63CC" w:rsidRPr="00BD1A6E" w:rsidRDefault="001F63CC" w:rsidP="001F63CC">
      <w:pPr>
        <w:pStyle w:val="Calloutbox"/>
        <w:numPr>
          <w:ilvl w:val="0"/>
          <w:numId w:val="19"/>
        </w:numPr>
        <w:pBdr>
          <w:left w:val="single" w:sz="4" w:space="1" w:color="DFF3F3" w:themeColor="accent4" w:themeTint="33"/>
        </w:pBdr>
        <w:ind w:left="426" w:hanging="426"/>
      </w:pPr>
      <w:r w:rsidRPr="00BD1A6E">
        <w:t xml:space="preserve">How else could legibility be achieved in the depiction of the bar chart and accompanying statement? </w:t>
      </w:r>
    </w:p>
    <w:p w14:paraId="2B69A24D" w14:textId="77777777" w:rsidR="00BD07D3" w:rsidRPr="00BD1A6E" w:rsidRDefault="00BD07D3">
      <w:pPr>
        <w:keepLines w:val="0"/>
        <w:rPr>
          <w:rFonts w:asciiTheme="majorHAnsi" w:eastAsiaTheme="majorEastAsia" w:hAnsiTheme="majorHAnsi" w:cstheme="majorBidi"/>
          <w:color w:val="005677" w:themeColor="text2"/>
          <w:sz w:val="32"/>
          <w:szCs w:val="48"/>
        </w:rPr>
      </w:pPr>
      <w:r w:rsidRPr="00BD1A6E">
        <w:br w:type="page"/>
      </w:r>
    </w:p>
    <w:p w14:paraId="48A8FD05" w14:textId="36E2E214" w:rsidR="00BD07D3" w:rsidRPr="00BD1A6E" w:rsidRDefault="00BD07D3" w:rsidP="00BF1BD4">
      <w:pPr>
        <w:pStyle w:val="Heading1"/>
      </w:pPr>
      <w:bookmarkStart w:id="45" w:name="_Toc47011011"/>
      <w:r w:rsidRPr="00BD1A6E">
        <w:lastRenderedPageBreak/>
        <w:t xml:space="preserve">Part 5 – Labelling for small </w:t>
      </w:r>
      <w:r w:rsidR="00935614">
        <w:t>containers</w:t>
      </w:r>
      <w:bookmarkEnd w:id="45"/>
      <w:r w:rsidR="00935614" w:rsidRPr="00BD1A6E">
        <w:t xml:space="preserve"> </w:t>
      </w:r>
    </w:p>
    <w:p w14:paraId="55917036" w14:textId="77777777" w:rsidR="00BD07D3" w:rsidRPr="00BD1A6E" w:rsidRDefault="00BD07D3" w:rsidP="00BD07D3">
      <w:pPr>
        <w:rPr>
          <w:rFonts w:cstheme="minorHAnsi"/>
        </w:rPr>
      </w:pPr>
      <w:r w:rsidRPr="00BD1A6E">
        <w:rPr>
          <w:rFonts w:cstheme="minorHAnsi"/>
        </w:rPr>
        <w:t xml:space="preserve">In some cases, it may be challenging to fit the required labelling (bar chart and statement) on a small package. </w:t>
      </w:r>
    </w:p>
    <w:p w14:paraId="3CF22590" w14:textId="1BD4823C" w:rsidR="00BD07D3" w:rsidRPr="00BD1A6E" w:rsidRDefault="008277EB" w:rsidP="00BD07D3">
      <w:pPr>
        <w:pBdr>
          <w:top w:val="single" w:sz="4" w:space="1" w:color="auto"/>
          <w:bottom w:val="single" w:sz="4" w:space="1" w:color="auto"/>
        </w:pBdr>
        <w:rPr>
          <w:b/>
          <w:i/>
        </w:rPr>
      </w:pPr>
      <w:r w:rsidRPr="00BD1A6E">
        <w:rPr>
          <w:b/>
          <w:i/>
        </w:rPr>
        <w:t>Proposed</w:t>
      </w:r>
      <w:r w:rsidR="00BD07D3" w:rsidRPr="00BD1A6E">
        <w:rPr>
          <w:b/>
          <w:i/>
        </w:rPr>
        <w:t xml:space="preserve"> Information Standard Provision</w:t>
      </w:r>
    </w:p>
    <w:p w14:paraId="3097C96C" w14:textId="22CE0170" w:rsidR="00BD07D3" w:rsidRPr="00BD1A6E" w:rsidRDefault="00615B4C" w:rsidP="00BF1DDB">
      <w:pPr>
        <w:pBdr>
          <w:top w:val="single" w:sz="4" w:space="1" w:color="auto"/>
          <w:bottom w:val="single" w:sz="4" w:space="1" w:color="auto"/>
        </w:pBdr>
        <w:ind w:left="567" w:hanging="567"/>
        <w:rPr>
          <w:i/>
        </w:rPr>
      </w:pPr>
      <w:r>
        <w:rPr>
          <w:i/>
        </w:rPr>
        <w:t xml:space="preserve"> (1)</w:t>
      </w:r>
      <w:r>
        <w:rPr>
          <w:i/>
        </w:rPr>
        <w:tab/>
        <w:t>In the case of a small</w:t>
      </w:r>
      <w:r w:rsidR="00BD07D3" w:rsidRPr="00BD1A6E">
        <w:rPr>
          <w:i/>
        </w:rPr>
        <w:t xml:space="preserve"> </w:t>
      </w:r>
      <w:r w:rsidR="00972C0B">
        <w:rPr>
          <w:i/>
        </w:rPr>
        <w:t>container</w:t>
      </w:r>
      <w:r>
        <w:rPr>
          <w:i/>
        </w:rPr>
        <w:t>*</w:t>
      </w:r>
      <w:r w:rsidR="00BD07D3" w:rsidRPr="00BD1A6E">
        <w:rPr>
          <w:i/>
        </w:rPr>
        <w:t>, it will be sufficient to include a statement of the proportion of Australian ingredients</w:t>
      </w:r>
      <w:r w:rsidR="00972C0B">
        <w:rPr>
          <w:i/>
        </w:rPr>
        <w:t xml:space="preserve"> only</w:t>
      </w:r>
      <w:r w:rsidR="00BD07D3" w:rsidRPr="00BD1A6E">
        <w:rPr>
          <w:i/>
        </w:rPr>
        <w:t>, in a clearly defined box, without the bar chart or the AMAG logo.</w:t>
      </w:r>
    </w:p>
    <w:p w14:paraId="4A171258" w14:textId="77777777" w:rsidR="00BD07D3" w:rsidRPr="00BD1A6E" w:rsidRDefault="00BD07D3" w:rsidP="00BF1DDB">
      <w:pPr>
        <w:pBdr>
          <w:top w:val="single" w:sz="4" w:space="1" w:color="auto"/>
          <w:bottom w:val="single" w:sz="4" w:space="1" w:color="auto"/>
        </w:pBdr>
        <w:ind w:left="567" w:hanging="567"/>
        <w:rPr>
          <w:i/>
        </w:rPr>
      </w:pPr>
      <w:r w:rsidRPr="00BD1A6E">
        <w:rPr>
          <w:i/>
        </w:rPr>
        <w:t>(2)</w:t>
      </w:r>
      <w:r w:rsidRPr="00BD1A6E">
        <w:rPr>
          <w:i/>
        </w:rPr>
        <w:tab/>
        <w:t>If the AMAG logo is used, then the bar chart and accompanying statement must be used, regardless of the packaging size.</w:t>
      </w:r>
    </w:p>
    <w:p w14:paraId="2D560B0F" w14:textId="51914F19" w:rsidR="001F63CC" w:rsidRPr="00BD1A6E" w:rsidRDefault="00BD07D3" w:rsidP="00BD07D3">
      <w:pPr>
        <w:pBdr>
          <w:top w:val="single" w:sz="4" w:space="1" w:color="auto"/>
          <w:bottom w:val="single" w:sz="4" w:space="1" w:color="auto"/>
        </w:pBdr>
        <w:rPr>
          <w:i/>
        </w:rPr>
      </w:pPr>
      <w:r w:rsidRPr="00BD1A6E">
        <w:rPr>
          <w:i/>
        </w:rPr>
        <w:t>*</w:t>
      </w:r>
      <w:r w:rsidR="00680B3C" w:rsidRPr="00680B3C">
        <w:t xml:space="preserve"> </w:t>
      </w:r>
      <w:r w:rsidR="00680B3C" w:rsidRPr="00680B3C">
        <w:rPr>
          <w:i/>
        </w:rPr>
        <w:t xml:space="preserve">small container means a container that has a capacity less </w:t>
      </w:r>
      <w:r w:rsidR="006E4FED">
        <w:rPr>
          <w:i/>
        </w:rPr>
        <w:t>than or equal to 25 millilitres</w:t>
      </w:r>
    </w:p>
    <w:p w14:paraId="6A3E4EC9" w14:textId="0CCEA0ED" w:rsidR="006E4FED" w:rsidRPr="006E4FED" w:rsidRDefault="006E4FED" w:rsidP="006E4FED">
      <w:pPr>
        <w:pStyle w:val="Calloutbox"/>
        <w:pBdr>
          <w:left w:val="single" w:sz="4" w:space="1" w:color="DFF3F3" w:themeColor="accent4" w:themeTint="33"/>
        </w:pBdr>
        <w:rPr>
          <w:b/>
        </w:rPr>
      </w:pPr>
      <w:r w:rsidRPr="006E4FED">
        <w:rPr>
          <w:b/>
        </w:rPr>
        <w:t>Consultation Questions</w:t>
      </w:r>
    </w:p>
    <w:p w14:paraId="29881EA2" w14:textId="77777777" w:rsidR="00BD07D3" w:rsidRPr="00BD1A6E" w:rsidRDefault="00BD07D3" w:rsidP="00BD07D3">
      <w:pPr>
        <w:pStyle w:val="Calloutbox"/>
        <w:numPr>
          <w:ilvl w:val="0"/>
          <w:numId w:val="19"/>
        </w:numPr>
        <w:pBdr>
          <w:left w:val="single" w:sz="4" w:space="1" w:color="DFF3F3" w:themeColor="accent4" w:themeTint="33"/>
        </w:pBdr>
        <w:ind w:left="426" w:hanging="426"/>
      </w:pPr>
      <w:r w:rsidRPr="00BD1A6E">
        <w:t xml:space="preserve">Do you anticipate any challenges with this approach? If so, please illustrate your response with examples. </w:t>
      </w:r>
    </w:p>
    <w:p w14:paraId="0190C215" w14:textId="77777777" w:rsidR="00BD07D3" w:rsidRPr="00BD1A6E" w:rsidRDefault="00BD07D3" w:rsidP="00BD07D3"/>
    <w:p w14:paraId="1978A2B0" w14:textId="3C1FBFD5" w:rsidR="009D5050" w:rsidRPr="00BD1A6E" w:rsidRDefault="00BD07D3" w:rsidP="00BF1BD4">
      <w:pPr>
        <w:pStyle w:val="Heading1"/>
      </w:pPr>
      <w:bookmarkStart w:id="46" w:name="_Toc47011012"/>
      <w:r w:rsidRPr="00BD1A6E">
        <w:lastRenderedPageBreak/>
        <w:t xml:space="preserve">Part 6 – Transition </w:t>
      </w:r>
      <w:r w:rsidR="00F73909" w:rsidRPr="00BD1A6E">
        <w:t>period</w:t>
      </w:r>
      <w:bookmarkEnd w:id="46"/>
    </w:p>
    <w:p w14:paraId="3BA253F8" w14:textId="02779ED1" w:rsidR="003B4E2D" w:rsidRPr="00BD1A6E" w:rsidRDefault="003B4E2D" w:rsidP="00BD07D3">
      <w:r w:rsidRPr="00BD1A6E">
        <w:t>It is anticipated that</w:t>
      </w:r>
      <w:r w:rsidR="00BD07D3" w:rsidRPr="00BD1A6E">
        <w:t xml:space="preserve"> a 12 month transition period </w:t>
      </w:r>
      <w:r w:rsidRPr="00BD1A6E">
        <w:t xml:space="preserve">will </w:t>
      </w:r>
      <w:r w:rsidR="009F4A01" w:rsidRPr="00BD1A6E">
        <w:t>provide</w:t>
      </w:r>
      <w:r w:rsidRPr="00BD1A6E">
        <w:t xml:space="preserve"> </w:t>
      </w:r>
      <w:r w:rsidR="0043769B" w:rsidRPr="00BD1A6E">
        <w:t>manufacturers</w:t>
      </w:r>
      <w:r w:rsidRPr="00BD1A6E">
        <w:t xml:space="preserve"> </w:t>
      </w:r>
      <w:r w:rsidR="009F4A01" w:rsidRPr="00BD1A6E">
        <w:t xml:space="preserve">with </w:t>
      </w:r>
      <w:r w:rsidRPr="00BD1A6E">
        <w:t>sufficient time to design, commission and apply the new labelling</w:t>
      </w:r>
      <w:r w:rsidR="009F4A01" w:rsidRPr="00BD1A6E">
        <w:t>,</w:t>
      </w:r>
      <w:r w:rsidRPr="00BD1A6E">
        <w:t xml:space="preserve"> </w:t>
      </w:r>
      <w:r w:rsidR="009F4A01" w:rsidRPr="00BD1A6E">
        <w:t>if they choose to rely on the proposed 2020 reforms to establish the Australian origin of their products.</w:t>
      </w:r>
    </w:p>
    <w:p w14:paraId="0F499D86" w14:textId="3084D270" w:rsidR="00353E5E" w:rsidRPr="00BD1A6E" w:rsidRDefault="00BD07D3" w:rsidP="00BD07D3">
      <w:r w:rsidRPr="00BD1A6E">
        <w:t xml:space="preserve">Products labelled correctly under </w:t>
      </w:r>
      <w:r w:rsidR="00E72A09" w:rsidRPr="00BD1A6E">
        <w:t xml:space="preserve">the </w:t>
      </w:r>
      <w:r w:rsidRPr="00BD1A6E">
        <w:t xml:space="preserve">2019 </w:t>
      </w:r>
      <w:r w:rsidR="00E72A09" w:rsidRPr="00BD1A6E">
        <w:t xml:space="preserve">regulations </w:t>
      </w:r>
      <w:r w:rsidRPr="00BD1A6E">
        <w:t>during the relevant transition period would not need to be re</w:t>
      </w:r>
      <w:r w:rsidR="00A23CD7" w:rsidRPr="00BD1A6E">
        <w:t>-</w:t>
      </w:r>
      <w:r w:rsidRPr="00BD1A6E">
        <w:t xml:space="preserve">labelled when that transition period ends. However, any complementary medicines labelled after the relevant transition period would be subject to the </w:t>
      </w:r>
      <w:r w:rsidR="00E72A09" w:rsidRPr="00BD1A6E">
        <w:t>2020 reforms</w:t>
      </w:r>
      <w:r w:rsidRPr="00BD1A6E">
        <w:t>.</w:t>
      </w:r>
    </w:p>
    <w:p w14:paraId="2EE99675" w14:textId="77777777" w:rsidR="004C5E9C" w:rsidRPr="00BD1A6E" w:rsidRDefault="004C5E9C" w:rsidP="004C5E9C">
      <w:pPr>
        <w:pStyle w:val="Calloutbox"/>
        <w:pBdr>
          <w:left w:val="single" w:sz="4" w:space="1" w:color="DFF3F3" w:themeColor="accent4" w:themeTint="33"/>
        </w:pBdr>
        <w:rPr>
          <w:b/>
        </w:rPr>
      </w:pPr>
      <w:bookmarkStart w:id="47" w:name="_Toc29215206"/>
      <w:r w:rsidRPr="00BD1A6E">
        <w:rPr>
          <w:b/>
        </w:rPr>
        <w:t>Consultation Questions</w:t>
      </w:r>
    </w:p>
    <w:p w14:paraId="4E8B6DC7" w14:textId="1EAFCB2A" w:rsidR="00BD1A6E" w:rsidRPr="00BD1A6E" w:rsidRDefault="00BD07D3" w:rsidP="001F58CB">
      <w:pPr>
        <w:pStyle w:val="Calloutbox"/>
        <w:numPr>
          <w:ilvl w:val="0"/>
          <w:numId w:val="19"/>
        </w:numPr>
        <w:pBdr>
          <w:left w:val="single" w:sz="4" w:space="1" w:color="DFF3F3" w:themeColor="accent4" w:themeTint="33"/>
        </w:pBdr>
        <w:ind w:left="426" w:hanging="426"/>
      </w:pPr>
      <w:r w:rsidRPr="00BD1A6E">
        <w:t xml:space="preserve">We </w:t>
      </w:r>
      <w:r w:rsidR="007B2DE9">
        <w:t>invite</w:t>
      </w:r>
      <w:r w:rsidRPr="00BD1A6E">
        <w:t xml:space="preserve"> views on the impact of the proposed transition </w:t>
      </w:r>
      <w:r w:rsidR="00E72A09" w:rsidRPr="00BD1A6E">
        <w:t>arrangements</w:t>
      </w:r>
      <w:r w:rsidRPr="00BD1A6E">
        <w:t>.</w:t>
      </w:r>
      <w:bookmarkEnd w:id="24"/>
      <w:bookmarkEnd w:id="47"/>
    </w:p>
    <w:sectPr w:rsidR="00BD1A6E" w:rsidRPr="00BD1A6E" w:rsidSect="00B25288">
      <w:headerReference w:type="default" r:id="rId26"/>
      <w:footerReference w:type="default" r:id="rId27"/>
      <w:headerReference w:type="first" r:id="rId28"/>
      <w:footerReference w:type="first" r:id="rId29"/>
      <w:pgSz w:w="11906" w:h="16838"/>
      <w:pgMar w:top="1276" w:right="1440" w:bottom="1135" w:left="1440" w:header="851" w:footer="4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DB483" w14:textId="77777777" w:rsidR="00364DE9" w:rsidRDefault="00364DE9" w:rsidP="00B251DB">
      <w:pPr>
        <w:spacing w:after="0" w:line="240" w:lineRule="auto"/>
      </w:pPr>
      <w:r>
        <w:separator/>
      </w:r>
    </w:p>
  </w:endnote>
  <w:endnote w:type="continuationSeparator" w:id="0">
    <w:p w14:paraId="188C6B89" w14:textId="77777777" w:rsidR="00364DE9" w:rsidRDefault="00364DE9" w:rsidP="00B251DB">
      <w:pPr>
        <w:spacing w:after="0" w:line="240" w:lineRule="auto"/>
      </w:pPr>
      <w:r>
        <w:continuationSeparator/>
      </w:r>
    </w:p>
  </w:endnote>
  <w:endnote w:type="continuationNotice" w:id="1">
    <w:p w14:paraId="2D181E51" w14:textId="77777777" w:rsidR="00364DE9" w:rsidRDefault="00364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AEBE5" w14:textId="3740A4B1" w:rsidR="00364DE9" w:rsidRPr="006C2C3F" w:rsidRDefault="00646441" w:rsidP="00B25288">
    <w:pPr>
      <w:pStyle w:val="Footer"/>
      <w:tabs>
        <w:tab w:val="clear" w:pos="4513"/>
        <w:tab w:val="center" w:pos="5529"/>
      </w:tabs>
    </w:pPr>
    <w:sdt>
      <w:sdtPr>
        <w:alias w:val="Title"/>
        <w:tag w:val=""/>
        <w:id w:val="-311942425"/>
        <w:placeholder>
          <w:docPart w:val="BED5E3C4D07540B384B8D47724F86442"/>
        </w:placeholder>
        <w:dataBinding w:prefixMappings="xmlns:ns0='http://purl.org/dc/elements/1.1/' xmlns:ns1='http://schemas.openxmlformats.org/package/2006/metadata/core-properties' " w:xpath="/ns1:coreProperties[1]/ns0:title[1]" w:storeItemID="{6C3C8BC8-F283-45AE-878A-BAB7291924A1}"/>
        <w:text/>
      </w:sdtPr>
      <w:sdtEndPr/>
      <w:sdtContent>
        <w:r w:rsidR="00C129B6">
          <w:t>Country of Origin Labelling for Complementary Medicines: Proposed Information Standard</w:t>
        </w:r>
      </w:sdtContent>
    </w:sdt>
    <w:r w:rsidR="00364DE9">
      <w:tab/>
    </w:r>
    <w:r w:rsidR="00364DE9">
      <w:tab/>
    </w:r>
    <w:sdt>
      <w:sdtPr>
        <w:id w:val="1317918940"/>
        <w:docPartObj>
          <w:docPartGallery w:val="Page Numbers (Bottom of Page)"/>
          <w:docPartUnique/>
        </w:docPartObj>
      </w:sdtPr>
      <w:sdtEndPr>
        <w:rPr>
          <w:noProof/>
        </w:rPr>
      </w:sdtEndPr>
      <w:sdtContent>
        <w:r w:rsidR="00364DE9" w:rsidRPr="006C2C3F">
          <w:fldChar w:fldCharType="begin"/>
        </w:r>
        <w:r w:rsidR="00364DE9" w:rsidRPr="006C2C3F">
          <w:instrText xml:space="preserve"> PAGE   \* MERGEFORMAT </w:instrText>
        </w:r>
        <w:r w:rsidR="00364DE9" w:rsidRPr="006C2C3F">
          <w:fldChar w:fldCharType="separate"/>
        </w:r>
        <w:r>
          <w:rPr>
            <w:noProof/>
          </w:rPr>
          <w:t>1</w:t>
        </w:r>
        <w:r w:rsidR="00364DE9" w:rsidRPr="006C2C3F">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9303" w14:textId="77777777" w:rsidR="00364DE9" w:rsidRPr="00A540AE" w:rsidRDefault="00364DE9">
    <w:pPr>
      <w:pStyle w:val="Footer"/>
      <w:rPr>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D4477" w14:textId="77777777" w:rsidR="00364DE9" w:rsidRDefault="00364DE9" w:rsidP="00B251DB">
      <w:pPr>
        <w:spacing w:after="0" w:line="240" w:lineRule="auto"/>
      </w:pPr>
      <w:r>
        <w:separator/>
      </w:r>
    </w:p>
  </w:footnote>
  <w:footnote w:type="continuationSeparator" w:id="0">
    <w:p w14:paraId="0E27A6AB" w14:textId="77777777" w:rsidR="00364DE9" w:rsidRDefault="00364DE9" w:rsidP="00B251DB">
      <w:pPr>
        <w:spacing w:after="0" w:line="240" w:lineRule="auto"/>
      </w:pPr>
      <w:r>
        <w:continuationSeparator/>
      </w:r>
    </w:p>
  </w:footnote>
  <w:footnote w:type="continuationNotice" w:id="1">
    <w:p w14:paraId="658FB690" w14:textId="77777777" w:rsidR="00364DE9" w:rsidRDefault="00364DE9">
      <w:pPr>
        <w:spacing w:after="0" w:line="240" w:lineRule="auto"/>
      </w:pPr>
    </w:p>
  </w:footnote>
  <w:footnote w:id="2">
    <w:p w14:paraId="10771CDC" w14:textId="446C0F7D" w:rsidR="00364DE9" w:rsidRDefault="00364DE9">
      <w:pPr>
        <w:pStyle w:val="FootnoteText"/>
      </w:pPr>
      <w:r>
        <w:rPr>
          <w:rStyle w:val="FootnoteReference"/>
        </w:rPr>
        <w:footnoteRef/>
      </w:r>
      <w:r>
        <w:t xml:space="preserve"> </w:t>
      </w:r>
      <w:hyperlink r:id="rId1" w:anchor="_Toc45784009" w:history="1">
        <w:r>
          <w:rPr>
            <w:rStyle w:val="Hyperlink"/>
          </w:rPr>
          <w:t>https://www.legislation.gov.au/Details/C2020C00205/Html/Volume_3#_Toc45784009</w:t>
        </w:r>
      </w:hyperlink>
    </w:p>
  </w:footnote>
  <w:footnote w:id="3">
    <w:p w14:paraId="77104B35" w14:textId="5B6782CA" w:rsidR="00364DE9" w:rsidRDefault="00364DE9">
      <w:pPr>
        <w:pStyle w:val="FootnoteText"/>
      </w:pPr>
      <w:r>
        <w:rPr>
          <w:rStyle w:val="FootnoteReference"/>
        </w:rPr>
        <w:footnoteRef/>
      </w:r>
      <w:r>
        <w:t xml:space="preserve"> </w:t>
      </w:r>
      <w:hyperlink r:id="rId2" w:history="1">
        <w:r w:rsidRPr="00C779A1">
          <w:rPr>
            <w:rStyle w:val="Hyperlink"/>
          </w:rPr>
          <w:t>https://www.legislation.gov.au/Details/F2019L01627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2A5EE" w14:textId="2EB6F1C9" w:rsidR="00364DE9" w:rsidRDefault="00364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BCD6E" w14:textId="1EF7E0B3" w:rsidR="00364DE9" w:rsidRDefault="00364DE9">
    <w:pPr>
      <w:pStyle w:val="Header"/>
    </w:pPr>
    <w:r>
      <w:rPr>
        <w:noProof/>
        <w:lang w:eastAsia="en-AU"/>
      </w:rPr>
      <mc:AlternateContent>
        <mc:Choice Requires="wps">
          <w:drawing>
            <wp:anchor distT="0" distB="0" distL="114300" distR="114300" simplePos="0" relativeHeight="251658240" behindDoc="1" locked="0" layoutInCell="1" allowOverlap="1" wp14:anchorId="2071A4BC" wp14:editId="42C97B57">
              <wp:simplePos x="0" y="0"/>
              <wp:positionH relativeFrom="page">
                <wp:align>left</wp:align>
              </wp:positionH>
              <wp:positionV relativeFrom="page">
                <wp:align>top</wp:align>
              </wp:positionV>
              <wp:extent cx="7560000" cy="10692000"/>
              <wp:effectExtent l="0" t="0" r="22225" b="14605"/>
              <wp:wrapNone/>
              <wp:docPr id="1" name="Rectangle 1"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ADD43" id="Rectangle 1" o:spid="_x0000_s1026" alt="Title: Departmental background colour gradient - Description: Departmental background colour gradient"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" fillcolor="#00283e [3205]" strokecolor="#484a4c [1604]" strokeweight="1pt">
              <v:fill color2="#1b9590 [3206]" colors="0 #00283e;33423f #005677;1 #1b9590" focus="100%" type="gradient"/>
              <w10:wrap anchorx="page" anchory="page"/>
            </v:rect>
          </w:pict>
        </mc:Fallback>
      </mc:AlternateContent>
    </w:r>
    <w:r w:rsidRPr="00180BF8">
      <w:rPr>
        <w:noProof/>
        <w:lang w:eastAsia="en-AU"/>
      </w:rPr>
      <w:drawing>
        <wp:inline distT="0" distB="0" distL="0" distR="0" wp14:anchorId="468D978A" wp14:editId="40FB684B">
          <wp:extent cx="2590629" cy="671208"/>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20448" cy="67893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D670F"/>
    <w:multiLevelType w:val="hybridMultilevel"/>
    <w:tmpl w:val="6F849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9D5A2D"/>
    <w:multiLevelType w:val="hybridMultilevel"/>
    <w:tmpl w:val="5D62F6DC"/>
    <w:lvl w:ilvl="0" w:tplc="EC447204">
      <w:start w:val="1"/>
      <w:numFmt w:val="lowerLetter"/>
      <w:lvlText w:val="(%1)"/>
      <w:lvlJc w:val="left"/>
      <w:pPr>
        <w:ind w:left="1280" w:hanging="51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F2762D"/>
    <w:multiLevelType w:val="hybridMultilevel"/>
    <w:tmpl w:val="CF3CD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6D0A6B"/>
    <w:multiLevelType w:val="hybridMultilevel"/>
    <w:tmpl w:val="A8A4356C"/>
    <w:lvl w:ilvl="0" w:tplc="2A08EDBE">
      <w:start w:val="1"/>
      <w:numFmt w:val="decimal"/>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B73682"/>
    <w:multiLevelType w:val="hybridMultilevel"/>
    <w:tmpl w:val="D17AF5D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DC53A74"/>
    <w:multiLevelType w:val="hybridMultilevel"/>
    <w:tmpl w:val="52E0A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440D57"/>
    <w:multiLevelType w:val="hybridMultilevel"/>
    <w:tmpl w:val="1068CF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D31FAA"/>
    <w:multiLevelType w:val="hybridMultilevel"/>
    <w:tmpl w:val="D308511C"/>
    <w:lvl w:ilvl="0" w:tplc="B72EECC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30B9F"/>
    <w:multiLevelType w:val="hybridMultilevel"/>
    <w:tmpl w:val="52D6637E"/>
    <w:lvl w:ilvl="0" w:tplc="9DCE8276">
      <w:start w:val="1"/>
      <w:numFmt w:val="lowerLetter"/>
      <w:pStyle w:val="Casestudydiscussion"/>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CB4C6A"/>
    <w:multiLevelType w:val="hybridMultilevel"/>
    <w:tmpl w:val="623E7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E414F1"/>
    <w:multiLevelType w:val="hybridMultilevel"/>
    <w:tmpl w:val="340AB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F50BFE"/>
    <w:multiLevelType w:val="hybridMultilevel"/>
    <w:tmpl w:val="1C78908A"/>
    <w:lvl w:ilvl="0" w:tplc="B72EECC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186832"/>
    <w:multiLevelType w:val="hybridMultilevel"/>
    <w:tmpl w:val="1C78908A"/>
    <w:lvl w:ilvl="0" w:tplc="B72EECC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D02EF4"/>
    <w:multiLevelType w:val="hybridMultilevel"/>
    <w:tmpl w:val="1F401B32"/>
    <w:lvl w:ilvl="0" w:tplc="0C09000F">
      <w:start w:val="1"/>
      <w:numFmt w:val="decimal"/>
      <w:lvlText w:val="%1."/>
      <w:lvlJc w:val="left"/>
      <w:pPr>
        <w:ind w:left="360" w:hanging="360"/>
      </w:pPr>
    </w:lvl>
    <w:lvl w:ilvl="1" w:tplc="0C090019">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29"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7C4C4426"/>
    <w:multiLevelType w:val="hybridMultilevel"/>
    <w:tmpl w:val="7D7A2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375847"/>
    <w:multiLevelType w:val="hybridMultilevel"/>
    <w:tmpl w:val="C4A46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18"/>
  </w:num>
  <w:num w:numId="4">
    <w:abstractNumId w:val="11"/>
  </w:num>
  <w:num w:numId="5">
    <w:abstractNumId w:val="23"/>
  </w:num>
  <w:num w:numId="6">
    <w:abstractNumId w:val="4"/>
  </w:num>
  <w:num w:numId="7">
    <w:abstractNumId w:val="0"/>
  </w:num>
  <w:num w:numId="8">
    <w:abstractNumId w:val="3"/>
  </w:num>
  <w:num w:numId="9">
    <w:abstractNumId w:val="13"/>
  </w:num>
  <w:num w:numId="10">
    <w:abstractNumId w:val="19"/>
  </w:num>
  <w:num w:numId="11">
    <w:abstractNumId w:val="6"/>
  </w:num>
  <w:num w:numId="12">
    <w:abstractNumId w:val="29"/>
  </w:num>
  <w:num w:numId="13">
    <w:abstractNumId w:val="24"/>
  </w:num>
  <w:num w:numId="14">
    <w:abstractNumId w:val="10"/>
  </w:num>
  <w:num w:numId="15">
    <w:abstractNumId w:val="25"/>
  </w:num>
  <w:num w:numId="16">
    <w:abstractNumId w:val="5"/>
  </w:num>
  <w:num w:numId="17">
    <w:abstractNumId w:val="12"/>
  </w:num>
  <w:num w:numId="18">
    <w:abstractNumId w:val="30"/>
  </w:num>
  <w:num w:numId="19">
    <w:abstractNumId w:val="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4"/>
  </w:num>
  <w:num w:numId="28">
    <w:abstractNumId w:val="28"/>
  </w:num>
  <w:num w:numId="29">
    <w:abstractNumId w:val="31"/>
  </w:num>
  <w:num w:numId="30">
    <w:abstractNumId w:val="15"/>
  </w:num>
  <w:num w:numId="31">
    <w:abstractNumId w:val="1"/>
  </w:num>
  <w:num w:numId="32">
    <w:abstractNumId w:val="16"/>
  </w:num>
  <w:num w:numId="33">
    <w:abstractNumId w:val="27"/>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6"/>
  </w:num>
  <w:num w:numId="37">
    <w:abstractNumId w:val="17"/>
  </w:num>
  <w:num w:numId="38">
    <w:abstractNumId w:val="22"/>
  </w:num>
  <w:num w:numId="39">
    <w:abstractNumId w:val="2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25"/>
    <w:rsid w:val="000004E1"/>
    <w:rsid w:val="00011370"/>
    <w:rsid w:val="00016E34"/>
    <w:rsid w:val="00021EAA"/>
    <w:rsid w:val="00026593"/>
    <w:rsid w:val="000270B4"/>
    <w:rsid w:val="0003109F"/>
    <w:rsid w:val="00032995"/>
    <w:rsid w:val="000552B3"/>
    <w:rsid w:val="00057E83"/>
    <w:rsid w:val="00060E9E"/>
    <w:rsid w:val="000675BA"/>
    <w:rsid w:val="0007067B"/>
    <w:rsid w:val="00076E4A"/>
    <w:rsid w:val="000779BC"/>
    <w:rsid w:val="00081D07"/>
    <w:rsid w:val="00081F48"/>
    <w:rsid w:val="00086DB0"/>
    <w:rsid w:val="000A0BB6"/>
    <w:rsid w:val="000A0CA0"/>
    <w:rsid w:val="000A39A8"/>
    <w:rsid w:val="000A6D65"/>
    <w:rsid w:val="000B22F5"/>
    <w:rsid w:val="000B2A3B"/>
    <w:rsid w:val="000C3494"/>
    <w:rsid w:val="000C3F95"/>
    <w:rsid w:val="000D2F73"/>
    <w:rsid w:val="000D4CDA"/>
    <w:rsid w:val="000E2494"/>
    <w:rsid w:val="000E2F1B"/>
    <w:rsid w:val="000E599A"/>
    <w:rsid w:val="000F2564"/>
    <w:rsid w:val="000F29AD"/>
    <w:rsid w:val="00107393"/>
    <w:rsid w:val="00120CF1"/>
    <w:rsid w:val="00122C12"/>
    <w:rsid w:val="00130CBA"/>
    <w:rsid w:val="0013513C"/>
    <w:rsid w:val="00142395"/>
    <w:rsid w:val="00153C15"/>
    <w:rsid w:val="00160EFB"/>
    <w:rsid w:val="00170878"/>
    <w:rsid w:val="001815A5"/>
    <w:rsid w:val="00191E2C"/>
    <w:rsid w:val="001930B4"/>
    <w:rsid w:val="001B1371"/>
    <w:rsid w:val="001B59DB"/>
    <w:rsid w:val="001D216A"/>
    <w:rsid w:val="001D2E82"/>
    <w:rsid w:val="001D5AC5"/>
    <w:rsid w:val="001D6988"/>
    <w:rsid w:val="001F39BF"/>
    <w:rsid w:val="001F58CB"/>
    <w:rsid w:val="001F5AB1"/>
    <w:rsid w:val="001F63CC"/>
    <w:rsid w:val="00202081"/>
    <w:rsid w:val="00205DF3"/>
    <w:rsid w:val="00212ABF"/>
    <w:rsid w:val="0022083E"/>
    <w:rsid w:val="00222D0B"/>
    <w:rsid w:val="00237CE7"/>
    <w:rsid w:val="00241D3D"/>
    <w:rsid w:val="00254DA8"/>
    <w:rsid w:val="00261480"/>
    <w:rsid w:val="00263885"/>
    <w:rsid w:val="00272B04"/>
    <w:rsid w:val="00277691"/>
    <w:rsid w:val="00294E63"/>
    <w:rsid w:val="002A03D7"/>
    <w:rsid w:val="002A05F7"/>
    <w:rsid w:val="002A0F18"/>
    <w:rsid w:val="002A5046"/>
    <w:rsid w:val="002B5C69"/>
    <w:rsid w:val="002C474E"/>
    <w:rsid w:val="002C7749"/>
    <w:rsid w:val="002D230B"/>
    <w:rsid w:val="002D3C20"/>
    <w:rsid w:val="002D7023"/>
    <w:rsid w:val="002F36CC"/>
    <w:rsid w:val="002F3CAD"/>
    <w:rsid w:val="002F7A05"/>
    <w:rsid w:val="003055DA"/>
    <w:rsid w:val="00310CB5"/>
    <w:rsid w:val="00312A7E"/>
    <w:rsid w:val="00314250"/>
    <w:rsid w:val="00316EA3"/>
    <w:rsid w:val="003255A2"/>
    <w:rsid w:val="0034684B"/>
    <w:rsid w:val="00353E5E"/>
    <w:rsid w:val="00355B65"/>
    <w:rsid w:val="00364DE9"/>
    <w:rsid w:val="003668E9"/>
    <w:rsid w:val="00371193"/>
    <w:rsid w:val="003764FB"/>
    <w:rsid w:val="00393339"/>
    <w:rsid w:val="00395229"/>
    <w:rsid w:val="003B4E2D"/>
    <w:rsid w:val="003B70A9"/>
    <w:rsid w:val="003B7BAC"/>
    <w:rsid w:val="003C3E5B"/>
    <w:rsid w:val="003D38ED"/>
    <w:rsid w:val="003E088F"/>
    <w:rsid w:val="003E1FE6"/>
    <w:rsid w:val="003E2DEC"/>
    <w:rsid w:val="003F1462"/>
    <w:rsid w:val="004209DA"/>
    <w:rsid w:val="0042314F"/>
    <w:rsid w:val="00425968"/>
    <w:rsid w:val="00435DAF"/>
    <w:rsid w:val="00436FF8"/>
    <w:rsid w:val="0043769B"/>
    <w:rsid w:val="0044023E"/>
    <w:rsid w:val="0044480A"/>
    <w:rsid w:val="004632E9"/>
    <w:rsid w:val="0046678C"/>
    <w:rsid w:val="004962F7"/>
    <w:rsid w:val="004A45D0"/>
    <w:rsid w:val="004A47A6"/>
    <w:rsid w:val="004A67C3"/>
    <w:rsid w:val="004B4254"/>
    <w:rsid w:val="004C5E9C"/>
    <w:rsid w:val="004D3B0F"/>
    <w:rsid w:val="004D6712"/>
    <w:rsid w:val="004E0177"/>
    <w:rsid w:val="004E0D2C"/>
    <w:rsid w:val="004E3463"/>
    <w:rsid w:val="004E75D2"/>
    <w:rsid w:val="00500BEC"/>
    <w:rsid w:val="0051430E"/>
    <w:rsid w:val="00516B0E"/>
    <w:rsid w:val="00522324"/>
    <w:rsid w:val="00534042"/>
    <w:rsid w:val="005358F7"/>
    <w:rsid w:val="005407C0"/>
    <w:rsid w:val="00545FE6"/>
    <w:rsid w:val="005529B0"/>
    <w:rsid w:val="00556B97"/>
    <w:rsid w:val="00564FA8"/>
    <w:rsid w:val="0057703F"/>
    <w:rsid w:val="00584B74"/>
    <w:rsid w:val="00597B4D"/>
    <w:rsid w:val="005B0DBC"/>
    <w:rsid w:val="005C08DA"/>
    <w:rsid w:val="005C3CD0"/>
    <w:rsid w:val="005D5511"/>
    <w:rsid w:val="005E3054"/>
    <w:rsid w:val="005E3478"/>
    <w:rsid w:val="005E6E15"/>
    <w:rsid w:val="005E6EFD"/>
    <w:rsid w:val="00603DDF"/>
    <w:rsid w:val="00607188"/>
    <w:rsid w:val="00615B4C"/>
    <w:rsid w:val="0061623F"/>
    <w:rsid w:val="006167C7"/>
    <w:rsid w:val="0063217E"/>
    <w:rsid w:val="00636CC4"/>
    <w:rsid w:val="00641FDC"/>
    <w:rsid w:val="00643416"/>
    <w:rsid w:val="00646441"/>
    <w:rsid w:val="00650805"/>
    <w:rsid w:val="006560B5"/>
    <w:rsid w:val="00671D1D"/>
    <w:rsid w:val="00672E23"/>
    <w:rsid w:val="00673DEE"/>
    <w:rsid w:val="00680B3C"/>
    <w:rsid w:val="0068286F"/>
    <w:rsid w:val="00683A99"/>
    <w:rsid w:val="00691FF1"/>
    <w:rsid w:val="00697567"/>
    <w:rsid w:val="006A4D3A"/>
    <w:rsid w:val="006A623F"/>
    <w:rsid w:val="006A7B9E"/>
    <w:rsid w:val="006C28E5"/>
    <w:rsid w:val="006C2C3F"/>
    <w:rsid w:val="006C4C9C"/>
    <w:rsid w:val="006D04F2"/>
    <w:rsid w:val="006D2221"/>
    <w:rsid w:val="006E1E6A"/>
    <w:rsid w:val="006E4001"/>
    <w:rsid w:val="006E4FED"/>
    <w:rsid w:val="006E53AA"/>
    <w:rsid w:val="006F0DB8"/>
    <w:rsid w:val="006F58A5"/>
    <w:rsid w:val="006F6152"/>
    <w:rsid w:val="0070113D"/>
    <w:rsid w:val="00710A00"/>
    <w:rsid w:val="00711349"/>
    <w:rsid w:val="007234B1"/>
    <w:rsid w:val="00723C5D"/>
    <w:rsid w:val="007246A9"/>
    <w:rsid w:val="00753713"/>
    <w:rsid w:val="00757DA3"/>
    <w:rsid w:val="007631F2"/>
    <w:rsid w:val="00765ED0"/>
    <w:rsid w:val="00770760"/>
    <w:rsid w:val="00770DCE"/>
    <w:rsid w:val="00772215"/>
    <w:rsid w:val="00777E0F"/>
    <w:rsid w:val="007833EE"/>
    <w:rsid w:val="007854DD"/>
    <w:rsid w:val="007937A8"/>
    <w:rsid w:val="007B2DE9"/>
    <w:rsid w:val="007B46EE"/>
    <w:rsid w:val="007B4B4F"/>
    <w:rsid w:val="007B553F"/>
    <w:rsid w:val="007C08EA"/>
    <w:rsid w:val="007C62BB"/>
    <w:rsid w:val="007C772B"/>
    <w:rsid w:val="007D2441"/>
    <w:rsid w:val="007D564B"/>
    <w:rsid w:val="007E0A03"/>
    <w:rsid w:val="007E43E2"/>
    <w:rsid w:val="007E5986"/>
    <w:rsid w:val="007E6E83"/>
    <w:rsid w:val="00806473"/>
    <w:rsid w:val="008102FB"/>
    <w:rsid w:val="00811BCC"/>
    <w:rsid w:val="00813881"/>
    <w:rsid w:val="00815120"/>
    <w:rsid w:val="00824545"/>
    <w:rsid w:val="008277EB"/>
    <w:rsid w:val="00835059"/>
    <w:rsid w:val="00843C98"/>
    <w:rsid w:val="008528FF"/>
    <w:rsid w:val="008532A7"/>
    <w:rsid w:val="00853A7A"/>
    <w:rsid w:val="00860F45"/>
    <w:rsid w:val="008635CF"/>
    <w:rsid w:val="00866336"/>
    <w:rsid w:val="00883825"/>
    <w:rsid w:val="00892B6E"/>
    <w:rsid w:val="00894112"/>
    <w:rsid w:val="008A373C"/>
    <w:rsid w:val="008B5755"/>
    <w:rsid w:val="008B61D2"/>
    <w:rsid w:val="008C3D96"/>
    <w:rsid w:val="008D5AD4"/>
    <w:rsid w:val="008E1C04"/>
    <w:rsid w:val="008E28F4"/>
    <w:rsid w:val="008F0894"/>
    <w:rsid w:val="008F339B"/>
    <w:rsid w:val="008F5640"/>
    <w:rsid w:val="0090312F"/>
    <w:rsid w:val="00903933"/>
    <w:rsid w:val="00910398"/>
    <w:rsid w:val="00935614"/>
    <w:rsid w:val="00960134"/>
    <w:rsid w:val="00961032"/>
    <w:rsid w:val="00972C0B"/>
    <w:rsid w:val="00973A99"/>
    <w:rsid w:val="0097533C"/>
    <w:rsid w:val="009761F7"/>
    <w:rsid w:val="00976EFB"/>
    <w:rsid w:val="0098266B"/>
    <w:rsid w:val="00983893"/>
    <w:rsid w:val="00984BED"/>
    <w:rsid w:val="00992E11"/>
    <w:rsid w:val="009956DF"/>
    <w:rsid w:val="009A43CF"/>
    <w:rsid w:val="009A5032"/>
    <w:rsid w:val="009A549D"/>
    <w:rsid w:val="009D315B"/>
    <w:rsid w:val="009D5050"/>
    <w:rsid w:val="009E1253"/>
    <w:rsid w:val="009E2F7B"/>
    <w:rsid w:val="009F4A01"/>
    <w:rsid w:val="00A06D90"/>
    <w:rsid w:val="00A11610"/>
    <w:rsid w:val="00A1269A"/>
    <w:rsid w:val="00A16A81"/>
    <w:rsid w:val="00A23CD7"/>
    <w:rsid w:val="00A27D11"/>
    <w:rsid w:val="00A3166D"/>
    <w:rsid w:val="00A44489"/>
    <w:rsid w:val="00A52EDF"/>
    <w:rsid w:val="00A52F3D"/>
    <w:rsid w:val="00A540AE"/>
    <w:rsid w:val="00A67003"/>
    <w:rsid w:val="00A7025B"/>
    <w:rsid w:val="00A731BB"/>
    <w:rsid w:val="00A846A9"/>
    <w:rsid w:val="00A872D0"/>
    <w:rsid w:val="00A9177F"/>
    <w:rsid w:val="00A920D9"/>
    <w:rsid w:val="00A94521"/>
    <w:rsid w:val="00AA3A89"/>
    <w:rsid w:val="00AA740C"/>
    <w:rsid w:val="00AB13A1"/>
    <w:rsid w:val="00AB1D25"/>
    <w:rsid w:val="00AB3941"/>
    <w:rsid w:val="00AC6278"/>
    <w:rsid w:val="00AF1423"/>
    <w:rsid w:val="00B031E6"/>
    <w:rsid w:val="00B251DB"/>
    <w:rsid w:val="00B25288"/>
    <w:rsid w:val="00B26C25"/>
    <w:rsid w:val="00B26F75"/>
    <w:rsid w:val="00B35C0C"/>
    <w:rsid w:val="00B3651C"/>
    <w:rsid w:val="00B501BC"/>
    <w:rsid w:val="00B73B21"/>
    <w:rsid w:val="00B74827"/>
    <w:rsid w:val="00B8491C"/>
    <w:rsid w:val="00B93508"/>
    <w:rsid w:val="00B93F31"/>
    <w:rsid w:val="00B9408C"/>
    <w:rsid w:val="00B96BE9"/>
    <w:rsid w:val="00BA2147"/>
    <w:rsid w:val="00BB6EFB"/>
    <w:rsid w:val="00BB7F2F"/>
    <w:rsid w:val="00BD07D3"/>
    <w:rsid w:val="00BD0F8A"/>
    <w:rsid w:val="00BD1A6E"/>
    <w:rsid w:val="00BD2217"/>
    <w:rsid w:val="00BD3D33"/>
    <w:rsid w:val="00BE59EB"/>
    <w:rsid w:val="00BE6326"/>
    <w:rsid w:val="00BE6EEA"/>
    <w:rsid w:val="00BE749D"/>
    <w:rsid w:val="00BF1BD4"/>
    <w:rsid w:val="00BF1DDB"/>
    <w:rsid w:val="00BF378D"/>
    <w:rsid w:val="00C129B6"/>
    <w:rsid w:val="00C1742B"/>
    <w:rsid w:val="00C22408"/>
    <w:rsid w:val="00C25D3E"/>
    <w:rsid w:val="00C4372B"/>
    <w:rsid w:val="00C45AD0"/>
    <w:rsid w:val="00C6437D"/>
    <w:rsid w:val="00C74542"/>
    <w:rsid w:val="00C911CF"/>
    <w:rsid w:val="00C93564"/>
    <w:rsid w:val="00C94DBD"/>
    <w:rsid w:val="00CA14EF"/>
    <w:rsid w:val="00CA1BB9"/>
    <w:rsid w:val="00CA334C"/>
    <w:rsid w:val="00CC008D"/>
    <w:rsid w:val="00CC29D1"/>
    <w:rsid w:val="00CD190F"/>
    <w:rsid w:val="00CE1552"/>
    <w:rsid w:val="00CE1872"/>
    <w:rsid w:val="00CE2E57"/>
    <w:rsid w:val="00CE4B29"/>
    <w:rsid w:val="00CF39C9"/>
    <w:rsid w:val="00D00FE5"/>
    <w:rsid w:val="00D10359"/>
    <w:rsid w:val="00D11396"/>
    <w:rsid w:val="00D220CF"/>
    <w:rsid w:val="00D314E1"/>
    <w:rsid w:val="00D346E7"/>
    <w:rsid w:val="00D36641"/>
    <w:rsid w:val="00D47049"/>
    <w:rsid w:val="00D52D81"/>
    <w:rsid w:val="00D576FA"/>
    <w:rsid w:val="00D74B4F"/>
    <w:rsid w:val="00D77912"/>
    <w:rsid w:val="00D820BD"/>
    <w:rsid w:val="00D841E9"/>
    <w:rsid w:val="00D86D93"/>
    <w:rsid w:val="00D9103C"/>
    <w:rsid w:val="00DA04F5"/>
    <w:rsid w:val="00DA2E89"/>
    <w:rsid w:val="00DB0618"/>
    <w:rsid w:val="00DB6751"/>
    <w:rsid w:val="00DC632D"/>
    <w:rsid w:val="00DC75EC"/>
    <w:rsid w:val="00DD232C"/>
    <w:rsid w:val="00DE0A85"/>
    <w:rsid w:val="00DE6501"/>
    <w:rsid w:val="00DF2B78"/>
    <w:rsid w:val="00DF38F2"/>
    <w:rsid w:val="00E00167"/>
    <w:rsid w:val="00E01D7D"/>
    <w:rsid w:val="00E0296E"/>
    <w:rsid w:val="00E03C11"/>
    <w:rsid w:val="00E1283D"/>
    <w:rsid w:val="00E13A04"/>
    <w:rsid w:val="00E16889"/>
    <w:rsid w:val="00E3027E"/>
    <w:rsid w:val="00E3129F"/>
    <w:rsid w:val="00E37109"/>
    <w:rsid w:val="00E44E17"/>
    <w:rsid w:val="00E622D3"/>
    <w:rsid w:val="00E67191"/>
    <w:rsid w:val="00E7164A"/>
    <w:rsid w:val="00E72A09"/>
    <w:rsid w:val="00E778EE"/>
    <w:rsid w:val="00E9166E"/>
    <w:rsid w:val="00E96DB7"/>
    <w:rsid w:val="00EA70D9"/>
    <w:rsid w:val="00EB2EA1"/>
    <w:rsid w:val="00EB46EA"/>
    <w:rsid w:val="00EB6A23"/>
    <w:rsid w:val="00EC45A8"/>
    <w:rsid w:val="00EC7CAB"/>
    <w:rsid w:val="00ED154D"/>
    <w:rsid w:val="00ED4487"/>
    <w:rsid w:val="00EE22D7"/>
    <w:rsid w:val="00EF2D1B"/>
    <w:rsid w:val="00EF4FF0"/>
    <w:rsid w:val="00F020BA"/>
    <w:rsid w:val="00F05D11"/>
    <w:rsid w:val="00F06DFE"/>
    <w:rsid w:val="00F076CD"/>
    <w:rsid w:val="00F2135B"/>
    <w:rsid w:val="00F21E41"/>
    <w:rsid w:val="00F22371"/>
    <w:rsid w:val="00F22BB9"/>
    <w:rsid w:val="00F23F66"/>
    <w:rsid w:val="00F25379"/>
    <w:rsid w:val="00F31CB3"/>
    <w:rsid w:val="00F50396"/>
    <w:rsid w:val="00F50CF7"/>
    <w:rsid w:val="00F5184A"/>
    <w:rsid w:val="00F525B7"/>
    <w:rsid w:val="00F56756"/>
    <w:rsid w:val="00F6511C"/>
    <w:rsid w:val="00F737AB"/>
    <w:rsid w:val="00F73909"/>
    <w:rsid w:val="00F762F2"/>
    <w:rsid w:val="00F83EB1"/>
    <w:rsid w:val="00F84D61"/>
    <w:rsid w:val="00F92002"/>
    <w:rsid w:val="00FA0A0A"/>
    <w:rsid w:val="00FA724B"/>
    <w:rsid w:val="00FB2676"/>
    <w:rsid w:val="00FC4120"/>
    <w:rsid w:val="00FC4350"/>
    <w:rsid w:val="00FD2642"/>
    <w:rsid w:val="00FD2FBB"/>
    <w:rsid w:val="00FE77D6"/>
    <w:rsid w:val="00FE7DB2"/>
    <w:rsid w:val="00FE7F44"/>
    <w:rsid w:val="00FF2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CDF0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2D0"/>
    <w:pPr>
      <w:keepLines/>
    </w:pPr>
  </w:style>
  <w:style w:type="paragraph" w:styleId="Heading1">
    <w:name w:val="heading 1"/>
    <w:basedOn w:val="Normal"/>
    <w:next w:val="Normal"/>
    <w:link w:val="Heading1Char"/>
    <w:uiPriority w:val="9"/>
    <w:qFormat/>
    <w:rsid w:val="00E96DB7"/>
    <w:pPr>
      <w:keepNext/>
      <w:pageBreakBefore/>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E96DB7"/>
    <w:pPr>
      <w:keepNext/>
      <w:spacing w:before="240" w:after="40"/>
      <w:outlineLvl w:val="1"/>
    </w:pPr>
    <w:rPr>
      <w:rFonts w:asciiTheme="majorHAnsi" w:eastAsiaTheme="majorEastAsia" w:hAnsiTheme="majorHAnsi" w:cstheme="majorBidi"/>
      <w:color w:val="005677" w:themeColor="text2"/>
      <w:sz w:val="32"/>
      <w:szCs w:val="48"/>
    </w:rPr>
  </w:style>
  <w:style w:type="paragraph" w:styleId="Heading3">
    <w:name w:val="heading 3"/>
    <w:basedOn w:val="Normal"/>
    <w:next w:val="Normal"/>
    <w:link w:val="Heading3Char"/>
    <w:uiPriority w:val="9"/>
    <w:unhideWhenUsed/>
    <w:qFormat/>
    <w:rsid w:val="00E96DB7"/>
    <w:pPr>
      <w:keepNext/>
      <w:spacing w:before="40" w:after="0"/>
      <w:outlineLvl w:val="2"/>
    </w:pPr>
    <w:rPr>
      <w:rFonts w:asciiTheme="majorHAnsi" w:eastAsiaTheme="majorEastAsia" w:hAnsiTheme="majorHAnsi" w:cstheme="majorBidi"/>
      <w:color w:val="005677" w:themeColor="text2"/>
      <w:sz w:val="28"/>
      <w:szCs w:val="40"/>
    </w:rPr>
  </w:style>
  <w:style w:type="paragraph" w:styleId="Heading4">
    <w:name w:val="heading 4"/>
    <w:basedOn w:val="Normal"/>
    <w:next w:val="Normal"/>
    <w:link w:val="Heading4Char"/>
    <w:uiPriority w:val="9"/>
    <w:unhideWhenUsed/>
    <w:qFormat/>
    <w:rsid w:val="006E4001"/>
    <w:pPr>
      <w:keepNext/>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96DB7"/>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E96DB7"/>
    <w:rPr>
      <w:rFonts w:asciiTheme="majorHAnsi" w:eastAsiaTheme="majorEastAsia" w:hAnsiTheme="majorHAnsi" w:cstheme="majorBidi"/>
      <w:color w:val="005677" w:themeColor="text2"/>
      <w:sz w:val="32"/>
      <w:szCs w:val="48"/>
    </w:rPr>
  </w:style>
  <w:style w:type="character" w:customStyle="1" w:styleId="Heading3Char">
    <w:name w:val="Heading 3 Char"/>
    <w:basedOn w:val="DefaultParagraphFont"/>
    <w:link w:val="Heading3"/>
    <w:uiPriority w:val="9"/>
    <w:rsid w:val="00E96DB7"/>
    <w:rPr>
      <w:rFonts w:asciiTheme="majorHAnsi" w:eastAsiaTheme="majorEastAsia" w:hAnsiTheme="majorHAnsi" w:cstheme="majorBidi"/>
      <w:color w:val="005677" w:themeColor="text2"/>
      <w:sz w:val="28"/>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aliases w:val="Summary box"/>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paragraph" w:customStyle="1" w:styleId="Pa8">
    <w:name w:val="Pa8"/>
    <w:basedOn w:val="Normal"/>
    <w:next w:val="Normal"/>
    <w:uiPriority w:val="99"/>
    <w:rsid w:val="0070113D"/>
    <w:pPr>
      <w:autoSpaceDE w:val="0"/>
      <w:autoSpaceDN w:val="0"/>
      <w:adjustRightInd w:val="0"/>
      <w:spacing w:after="0" w:line="201" w:lineRule="atLeast"/>
    </w:pPr>
    <w:rPr>
      <w:rFonts w:ascii="Gotham Light" w:hAnsi="Gotham Light"/>
      <w:sz w:val="24"/>
      <w:szCs w:val="24"/>
    </w:rPr>
  </w:style>
  <w:style w:type="character" w:styleId="CommentReference">
    <w:name w:val="annotation reference"/>
    <w:basedOn w:val="DefaultParagraphFont"/>
    <w:unhideWhenUsed/>
    <w:rsid w:val="0070113D"/>
    <w:rPr>
      <w:sz w:val="16"/>
      <w:szCs w:val="16"/>
    </w:rPr>
  </w:style>
  <w:style w:type="paragraph" w:styleId="CommentText">
    <w:name w:val="annotation text"/>
    <w:basedOn w:val="Normal"/>
    <w:link w:val="CommentTextChar"/>
    <w:uiPriority w:val="99"/>
    <w:unhideWhenUsed/>
    <w:rsid w:val="0070113D"/>
    <w:pPr>
      <w:spacing w:line="240" w:lineRule="auto"/>
    </w:pPr>
    <w:rPr>
      <w:sz w:val="20"/>
      <w:szCs w:val="20"/>
    </w:rPr>
  </w:style>
  <w:style w:type="character" w:customStyle="1" w:styleId="CommentTextChar">
    <w:name w:val="Comment Text Char"/>
    <w:basedOn w:val="DefaultParagraphFont"/>
    <w:link w:val="CommentText"/>
    <w:uiPriority w:val="99"/>
    <w:rsid w:val="0070113D"/>
    <w:rPr>
      <w:sz w:val="20"/>
      <w:szCs w:val="20"/>
    </w:rPr>
  </w:style>
  <w:style w:type="paragraph" w:styleId="CommentSubject">
    <w:name w:val="annotation subject"/>
    <w:basedOn w:val="CommentText"/>
    <w:next w:val="CommentText"/>
    <w:link w:val="CommentSubjectChar"/>
    <w:uiPriority w:val="99"/>
    <w:semiHidden/>
    <w:unhideWhenUsed/>
    <w:rsid w:val="00D820BD"/>
    <w:rPr>
      <w:b/>
      <w:bCs/>
    </w:rPr>
  </w:style>
  <w:style w:type="character" w:customStyle="1" w:styleId="CommentSubjectChar">
    <w:name w:val="Comment Subject Char"/>
    <w:basedOn w:val="CommentTextChar"/>
    <w:link w:val="CommentSubject"/>
    <w:uiPriority w:val="99"/>
    <w:semiHidden/>
    <w:rsid w:val="00D820BD"/>
    <w:rPr>
      <w:b/>
      <w:bCs/>
      <w:sz w:val="20"/>
      <w:szCs w:val="20"/>
    </w:rPr>
  </w:style>
  <w:style w:type="numbering" w:customStyle="1" w:styleId="OCEBulletedList">
    <w:name w:val="OCE Bulleted List"/>
    <w:uiPriority w:val="99"/>
    <w:rsid w:val="00F762F2"/>
    <w:pPr>
      <w:numPr>
        <w:numId w:val="27"/>
      </w:numPr>
    </w:pPr>
  </w:style>
  <w:style w:type="paragraph" w:styleId="ListBullet">
    <w:name w:val="List Bullet"/>
    <w:basedOn w:val="BodyText"/>
    <w:uiPriority w:val="4"/>
    <w:qFormat/>
    <w:rsid w:val="00F762F2"/>
    <w:pPr>
      <w:keepLines w:val="0"/>
      <w:numPr>
        <w:numId w:val="27"/>
      </w:numPr>
      <w:spacing w:line="270" w:lineRule="exact"/>
      <w:ind w:left="720" w:hanging="360"/>
      <w:jc w:val="both"/>
    </w:pPr>
    <w:rPr>
      <w:color w:val="595A5B"/>
      <w:sz w:val="20"/>
    </w:rPr>
  </w:style>
  <w:style w:type="paragraph" w:styleId="ListBullet2">
    <w:name w:val="List Bullet 2"/>
    <w:basedOn w:val="ListBullet"/>
    <w:uiPriority w:val="4"/>
    <w:qFormat/>
    <w:rsid w:val="00F762F2"/>
    <w:pPr>
      <w:numPr>
        <w:ilvl w:val="1"/>
      </w:numPr>
      <w:ind w:left="1440" w:hanging="360"/>
    </w:pPr>
  </w:style>
  <w:style w:type="paragraph" w:styleId="ListBullet4">
    <w:name w:val="List Bullet 4"/>
    <w:basedOn w:val="ListBullet3"/>
    <w:rsid w:val="00F762F2"/>
    <w:pPr>
      <w:numPr>
        <w:ilvl w:val="3"/>
      </w:numPr>
      <w:ind w:left="2880" w:hanging="360"/>
    </w:pPr>
  </w:style>
  <w:style w:type="paragraph" w:styleId="ListBullet3">
    <w:name w:val="List Bullet 3"/>
    <w:basedOn w:val="ListBullet2"/>
    <w:uiPriority w:val="4"/>
    <w:qFormat/>
    <w:rsid w:val="00F762F2"/>
    <w:pPr>
      <w:numPr>
        <w:ilvl w:val="2"/>
      </w:numPr>
      <w:ind w:left="2160" w:hanging="360"/>
    </w:pPr>
  </w:style>
  <w:style w:type="paragraph" w:styleId="BodyText">
    <w:name w:val="Body Text"/>
    <w:basedOn w:val="Normal"/>
    <w:link w:val="BodyTextChar"/>
    <w:uiPriority w:val="99"/>
    <w:semiHidden/>
    <w:unhideWhenUsed/>
    <w:rsid w:val="00F762F2"/>
    <w:pPr>
      <w:spacing w:after="120"/>
    </w:pPr>
  </w:style>
  <w:style w:type="character" w:customStyle="1" w:styleId="BodyTextChar">
    <w:name w:val="Body Text Char"/>
    <w:basedOn w:val="DefaultParagraphFont"/>
    <w:link w:val="BodyText"/>
    <w:uiPriority w:val="99"/>
    <w:semiHidden/>
    <w:rsid w:val="00F762F2"/>
  </w:style>
  <w:style w:type="paragraph" w:customStyle="1" w:styleId="Casestudydiscussion">
    <w:name w:val="Case study discussion"/>
    <w:basedOn w:val="Normal"/>
    <w:qFormat/>
    <w:rsid w:val="001B59DB"/>
    <w:pPr>
      <w:keepLines w:val="0"/>
      <w:numPr>
        <w:numId w:val="34"/>
      </w:numPr>
      <w:pBdr>
        <w:top w:val="single" w:sz="4" w:space="4" w:color="auto"/>
        <w:left w:val="single" w:sz="4" w:space="4" w:color="auto"/>
        <w:bottom w:val="single" w:sz="4" w:space="4" w:color="auto"/>
        <w:right w:val="single" w:sz="4" w:space="4" w:color="auto"/>
      </w:pBdr>
      <w:shd w:val="clear" w:color="auto" w:fill="F4E2EE" w:themeFill="accent6" w:themeFillTint="33"/>
      <w:spacing w:after="120" w:line="276" w:lineRule="auto"/>
      <w:mirrorIndents/>
      <w:textboxTightWrap w:val="allLines"/>
    </w:pPr>
    <w:rPr>
      <w:rFonts w:ascii="Arial" w:hAnsi="Arial"/>
      <w:sz w:val="20"/>
    </w:rPr>
  </w:style>
  <w:style w:type="paragraph" w:styleId="FootnoteText">
    <w:name w:val="footnote text"/>
    <w:basedOn w:val="Normal"/>
    <w:link w:val="FootnoteTextChar"/>
    <w:uiPriority w:val="99"/>
    <w:semiHidden/>
    <w:unhideWhenUsed/>
    <w:rsid w:val="00BD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1A6E"/>
    <w:rPr>
      <w:sz w:val="20"/>
      <w:szCs w:val="20"/>
    </w:rPr>
  </w:style>
  <w:style w:type="character" w:styleId="FootnoteReference">
    <w:name w:val="footnote reference"/>
    <w:basedOn w:val="DefaultParagraphFont"/>
    <w:uiPriority w:val="99"/>
    <w:semiHidden/>
    <w:unhideWhenUsed/>
    <w:rsid w:val="00BD1A6E"/>
    <w:rPr>
      <w:vertAlign w:val="superscript"/>
    </w:rPr>
  </w:style>
  <w:style w:type="character" w:styleId="FollowedHyperlink">
    <w:name w:val="FollowedHyperlink"/>
    <w:basedOn w:val="DefaultParagraphFont"/>
    <w:uiPriority w:val="99"/>
    <w:semiHidden/>
    <w:unhideWhenUsed/>
    <w:rsid w:val="00BD1A6E"/>
    <w:rPr>
      <w:color w:val="551A8B" w:themeColor="followedHyperlink"/>
      <w:u w:val="single"/>
    </w:rPr>
  </w:style>
  <w:style w:type="paragraph" w:customStyle="1" w:styleId="paragraph">
    <w:name w:val="paragraph"/>
    <w:aliases w:val="a,t_Para"/>
    <w:basedOn w:val="Normal"/>
    <w:link w:val="paragraphChar"/>
    <w:rsid w:val="0097533C"/>
    <w:pPr>
      <w:keepLines w:val="0"/>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97533C"/>
    <w:rPr>
      <w:rFonts w:ascii="Times New Roman" w:eastAsia="Times New Roman" w:hAnsi="Times New Roman" w:cs="Times New Roman"/>
      <w:szCs w:val="20"/>
      <w:lang w:eastAsia="en-AU"/>
    </w:rPr>
  </w:style>
  <w:style w:type="paragraph" w:styleId="Revision">
    <w:name w:val="Revision"/>
    <w:hidden/>
    <w:uiPriority w:val="99"/>
    <w:semiHidden/>
    <w:rsid w:val="00120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65898156">
      <w:bodyDiv w:val="1"/>
      <w:marLeft w:val="0"/>
      <w:marRight w:val="0"/>
      <w:marTop w:val="0"/>
      <w:marBottom w:val="0"/>
      <w:divBdr>
        <w:top w:val="none" w:sz="0" w:space="0" w:color="auto"/>
        <w:left w:val="none" w:sz="0" w:space="0" w:color="auto"/>
        <w:bottom w:val="none" w:sz="0" w:space="0" w:color="auto"/>
        <w:right w:val="none" w:sz="0" w:space="0" w:color="auto"/>
      </w:divBdr>
    </w:div>
    <w:div w:id="18546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nsult.industry.gov.au/cool-taskforce/evaluation-of-country-of-origin-labelling-for-food/" TargetMode="External"/><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Details/F2019L01627" TargetMode="External"/><Relationship Id="rId1" Type="http://schemas.openxmlformats.org/officeDocument/2006/relationships/hyperlink" Target="https://www.legislation.gov.au/Details/C2020C00205/Html/Volume_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D5E3C4D07540B384B8D47724F86442"/>
        <w:category>
          <w:name w:val="General"/>
          <w:gallery w:val="placeholder"/>
        </w:category>
        <w:types>
          <w:type w:val="bbPlcHdr"/>
        </w:types>
        <w:behaviors>
          <w:behavior w:val="content"/>
        </w:behaviors>
        <w:guid w:val="{B587E48D-8D1F-4403-B968-DDF5992B8246}"/>
      </w:docPartPr>
      <w:docPartBody>
        <w:p w:rsidR="00CD12F8" w:rsidRDefault="00433D0E">
          <w:pPr>
            <w:pStyle w:val="BED5E3C4D07540B384B8D47724F86442"/>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0E"/>
    <w:rsid w:val="000917F3"/>
    <w:rsid w:val="00310868"/>
    <w:rsid w:val="00433D0E"/>
    <w:rsid w:val="00567A53"/>
    <w:rsid w:val="00690409"/>
    <w:rsid w:val="008A5847"/>
    <w:rsid w:val="00C81E4C"/>
    <w:rsid w:val="00CD12F8"/>
    <w:rsid w:val="00E52003"/>
    <w:rsid w:val="00E64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D5E3C4D07540B384B8D47724F86442">
    <w:name w:val="BED5E3C4D07540B384B8D47724F86442"/>
  </w:style>
  <w:style w:type="paragraph" w:customStyle="1" w:styleId="3B3238123FC248A3ABC28EEB95806B9B">
    <w:name w:val="3B3238123FC248A3ABC28EEB95806B9B"/>
    <w:rsid w:val="008A5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 xsi:nil="true"/>
    <pe2555c81638466f9eb614edb9ecde52 xmlns="cdd73b99-b600-467d-8b05-41f33179978b">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TaxCatchAll xmlns="cdd73b99-b600-467d-8b05-41f33179978b">
      <Value>3703</Value>
      <Value>30</Value>
      <Value>1304</Value>
      <Value>2407</Value>
      <Value>8</Value>
      <Value>3764</Value>
      <Value>328</Value>
      <Value>156</Value>
      <Value>2178</Value>
      <Value>1860</Value>
    </TaxCatchAll>
    <g7bcb40ba23249a78edca7d43a67c1c9 xmlns="cdd73b99-b600-467d-8b05-41f33179978b">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n99e4c9942c6404eb103464a00e6097b xmlns="cdd73b99-b600-467d-8b05-41f33179978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cdd73b99-b600-467d-8b05-41f33179978b">
      <Terms xmlns="http://schemas.microsoft.com/office/infopath/2007/PartnerControls">
        <TermInfo xmlns="http://schemas.microsoft.com/office/infopath/2007/PartnerControls">
          <TermName xmlns="http://schemas.microsoft.com/office/infopath/2007/PartnerControls">Country of Origin Labelling</TermName>
          <TermId xmlns="http://schemas.microsoft.com/office/infopath/2007/PartnerControls">6f4c5414-b29d-4dd5-a51c-42842e0a7d3a</TermId>
        </TermInfo>
        <TermInfo xmlns="http://schemas.microsoft.com/office/infopath/2007/PartnerControls">
          <TermName xmlns="http://schemas.microsoft.com/office/infopath/2007/PartnerControls">Discussion Paper</TermName>
          <TermId xmlns="http://schemas.microsoft.com/office/infopath/2007/PartnerControls">720b53c5-5752-4540-9de1-f1d6a5e62d2d</TermId>
        </TermInfo>
        <TermInfo xmlns="http://schemas.microsoft.com/office/infopath/2007/PartnerControls">
          <TermName xmlns="http://schemas.microsoft.com/office/infopath/2007/PartnerControls">complementary healthcare</TermName>
          <TermId xmlns="http://schemas.microsoft.com/office/infopath/2007/PartnerControls">e9f82fda-8136-41e7-9686-5ff35a908a56</TermId>
        </TermInfo>
        <TermInfo xmlns="http://schemas.microsoft.com/office/infopath/2007/PartnerControls">
          <TermName xmlns="http://schemas.microsoft.com/office/infopath/2007/PartnerControls">Complementary Medicines</TermName>
          <TermId xmlns="http://schemas.microsoft.com/office/infopath/2007/PartnerControls">bac454ba-1524-4fa6-b540-c1be9b33024c</TermId>
        </TermInfo>
        <TermInfo xmlns="http://schemas.microsoft.com/office/infopath/2007/PartnerControls">
          <TermName xmlns="http://schemas.microsoft.com/office/infopath/2007/PartnerControls">CoOL</TermName>
          <TermId xmlns="http://schemas.microsoft.com/office/infopath/2007/PartnerControls">cd47a463-b443-467d-9d15-cd071004b6ad</TermId>
        </TermInfo>
        <TermInfo xmlns="http://schemas.microsoft.com/office/infopath/2007/PartnerControls">
          <TermName xmlns="http://schemas.microsoft.com/office/infopath/2007/PartnerControls">Trade Facilitation</TermName>
          <TermId xmlns="http://schemas.microsoft.com/office/infopath/2007/PartnerControls">1ca97d9e-7958-4b17-9627-6b9d8bc82602</TermId>
        </TermInfo>
      </Terms>
    </adb9bed2e36e4a93af574aeb444da63e>
    <DocHub_PDMSNumber xmlns="cdd73b99-b600-467d-8b05-41f33179978b" xsi:nil="true"/>
    <aa25a1a23adf4c92a153145de6afe324 xmlns="cdd73b99-b600-467d-8b05-41f33179978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cdd73b99-b600-467d-8b05-41f33179978b">2P6QMCT253UY-1908455618-1250</_dlc_DocId>
    <_dlc_DocIdUrl xmlns="cdd73b99-b600-467d-8b05-41f33179978b">
      <Url>https://dochub/div/portfoliostrategicpolicy/businessfunctions/policydevelopimplement/coolpolicy/_layouts/15/DocIdRedir.aspx?ID=2P6QMCT253UY-1908455618-1250</Url>
      <Description>2P6QMCT253UY-1908455618-1250</Description>
    </_dlc_DocIdUrl>
    <i72d49f021e64a418c6ba91d320c0f81 xmlns="cdd73b99-b600-467d-8b05-41f33179978b">
      <Terms xmlns="http://schemas.microsoft.com/office/infopath/2007/PartnerControls"/>
    </i72d49f021e64a418c6ba91d320c0f81>
    <a98a7a81caf24f4691bb5111bdc7ce8e xmlns="cdd73b99-b600-467d-8b05-41f33179978b">
      <Terms xmlns="http://schemas.microsoft.com/office/infopath/2007/PartnerControls"/>
    </a98a7a81caf24f4691bb5111bdc7ce8e>
    <ob0a415d961d4345a6f140d686bf0e13 xmlns="cdd73b99-b600-467d-8b05-41f33179978b">
      <Terms xmlns="http://schemas.microsoft.com/office/infopath/2007/PartnerControls"/>
    </ob0a415d961d4345a6f140d686bf0e13>
    <p898e9e56b7a40628655d7751ee56360 xmlns="cdd73b99-b600-467d-8b05-41f33179978b">
      <Terms xmlns="http://schemas.microsoft.com/office/infopath/2007/PartnerControls"/>
    </p898e9e56b7a40628655d7751ee56360>
    <ff10252cae0c48628d4e46b8f2b8e2eb xmlns="cdd73b99-b600-467d-8b05-41f33179978b">
      <Terms xmlns="http://schemas.microsoft.com/office/infopath/2007/PartnerControls"/>
    </ff10252cae0c48628d4e46b8f2b8e2eb>
    <b35e8420b37c40999219b5188df41f0a xmlns="cdd73b99-b600-467d-8b05-41f33179978b">
      <Terms xmlns="http://schemas.microsoft.com/office/infopath/2007/PartnerControls"/>
    </b35e8420b37c40999219b5188df41f0a>
    <g7cee4c3f49f4a8d957fe196d6fcc5b5 xmlns="cdd73b99-b600-467d-8b05-41f33179978b">
      <Terms xmlns="http://schemas.microsoft.com/office/infopath/2007/PartnerControls"/>
    </g7cee4c3f49f4a8d957fe196d6fcc5b5>
    <k04be0aca0e44206a6d1057fb760c8f9 xmlns="cdd73b99-b600-467d-8b05-41f33179978b">
      <Terms xmlns="http://schemas.microsoft.com/office/infopath/2007/PartnerControls"/>
    </k04be0aca0e44206a6d1057fb760c8f9>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70E319C3659614D9D3A7838998B6215" ma:contentTypeVersion="32" ma:contentTypeDescription="Create a new document." ma:contentTypeScope="" ma:versionID="4e8738e1387966e1f08eaf7ec7aade28">
  <xsd:schema xmlns:xsd="http://www.w3.org/2001/XMLSchema" xmlns:xs="http://www.w3.org/2001/XMLSchema" xmlns:p="http://schemas.microsoft.com/office/2006/metadata/properties" xmlns:ns1="http://schemas.microsoft.com/sharepoint/v3" xmlns:ns2="cdd73b99-b600-467d-8b05-41f33179978b" xmlns:ns3="http://schemas.microsoft.com/sharepoint/v4" targetNamespace="http://schemas.microsoft.com/office/2006/metadata/properties" ma:root="true" ma:fieldsID="48f73477ac0bb64f8d90e5e1685186d6" ns1:_="" ns2:_="" ns3:_="">
    <xsd:import namespace="http://schemas.microsoft.com/sharepoint/v3"/>
    <xsd:import namespace="cdd73b99-b600-467d-8b05-41f33179978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898e9e56b7a40628655d7751ee56360" minOccurs="0"/>
                <xsd:element ref="ns2:ob0a415d961d4345a6f140d686bf0e13" minOccurs="0"/>
                <xsd:element ref="ns2:g7cee4c3f49f4a8d957fe196d6fcc5b5" minOccurs="0"/>
                <xsd:element ref="ns2:ff10252cae0c48628d4e46b8f2b8e2eb" minOccurs="0"/>
                <xsd:element ref="ns2:k04be0aca0e44206a6d1057fb760c8f9" minOccurs="0"/>
                <xsd:element ref="ns2:b35e8420b37c40999219b5188df41f0a" minOccurs="0"/>
                <xsd:element ref="ns2:i72d49f021e64a418c6ba91d320c0f81" minOccurs="0"/>
                <xsd:element ref="ns2:DocHub_PDMSNumber" minOccurs="0"/>
                <xsd:element ref="ns2:a98a7a81caf24f4691bb5111bdc7ce8e"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898e9e56b7a40628655d7751ee56360" ma:index="24" nillable="true" ma:taxonomy="true" ma:internalName="p898e9e56b7a40628655d7751ee56360" ma:taxonomyFieldName="DocHub_PortfolioPerspective" ma:displayName="Portfolio Perspective" ma:default="" ma:fieldId="{9898e9e5-6b7a-4062-8655-d7751ee56360}" ma:taxonomyMulti="true" ma:sspId="fb0313f7-9433-48c0-866e-9e0bbee59a50" ma:termSetId="56888205-f02f-4878-8332-d883e44f1d5d" ma:anchorId="00000000-0000-0000-0000-000000000000" ma:open="tru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indexed="true"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8"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f10252cae0c48628d4e46b8f2b8e2eb" ma:index="30" nillable="true" ma:taxonomy="true" ma:internalName="ff10252cae0c48628d4e46b8f2b8e2eb" ma:taxonomyFieldName="DocHub_Policy" ma:displayName="Policy" ma:indexed="true" ma:default="" ma:fieldId="{ff10252c-ae0c-4862-8d4e-46b8f2b8e2eb}" ma:sspId="fb0313f7-9433-48c0-866e-9e0bbee59a50" ma:termSetId="16d81eea-d265-4e7a-b88b-b2f1e70d5d9c" ma:anchorId="00000000-0000-0000-0000-000000000000" ma:open="false" ma:isKeyword="false">
      <xsd:complexType>
        <xsd:sequence>
          <xsd:element ref="pc:Terms" minOccurs="0" maxOccurs="1"/>
        </xsd:sequence>
      </xsd:complexType>
    </xsd:element>
    <xsd:element name="k04be0aca0e44206a6d1057fb760c8f9" ma:index="32" nillable="true" ma:taxonomy="true" ma:internalName="k04be0aca0e44206a6d1057fb760c8f9" ma:taxonomyFieldName="DocHub_PolicyScope" ma:displayName="Policy Scope" ma:indexed="true" ma:default="" ma:fieldId="{404be0ac-a0e4-4206-a6d1-057fb760c8f9}" ma:sspId="fb0313f7-9433-48c0-866e-9e0bbee59a50" ma:termSetId="fa2379d6-0d0d-4dcd-bb9d-a2184aa9771d" ma:anchorId="00000000-0000-0000-0000-000000000000" ma:open="false" ma:isKeyword="false">
      <xsd:complexType>
        <xsd:sequence>
          <xsd:element ref="pc:Terms" minOccurs="0" maxOccurs="1"/>
        </xsd:sequence>
      </xsd:complexType>
    </xsd:element>
    <xsd:element name="b35e8420b37c40999219b5188df41f0a" ma:index="34" nillable="true" ma:taxonomy="true" ma:internalName="b35e8420b37c40999219b5188df41f0a" ma:taxonomyFieldName="DocHub_Theme" ma:displayName="Theme" ma:indexed="true" ma:default="" ma:fieldId="{b35e8420-b37c-4099-9219-b5188df41f0a}" ma:sspId="fb0313f7-9433-48c0-866e-9e0bbee59a50" ma:termSetId="c8a5f374-b12e-4c4a-80d8-51f175841fa2" ma:anchorId="00000000-0000-0000-0000-000000000000" ma:open="false" ma:isKeyword="false">
      <xsd:complexType>
        <xsd:sequence>
          <xsd:element ref="pc:Terms" minOccurs="0" maxOccurs="1"/>
        </xsd:sequence>
      </xsd:complexType>
    </xsd:element>
    <xsd:element name="i72d49f021e64a418c6ba91d320c0f81" ma:index="36" nillable="true" ma:taxonomy="true" ma:internalName="i72d49f021e64a418c6ba91d320c0f81" ma:taxonomyFieldName="DocHub_EconomicTheme" ma:displayName="Economic Theme" ma:indexed="true" ma:default="" ma:fieldId="{272d49f0-21e6-4a41-8c6b-a91d320c0f81}" ma:sspId="fb0313f7-9433-48c0-866e-9e0bbee59a50" ma:termSetId="00a30843-6c47-45d8-b7eb-9fb4be73f751"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dexed="true" ma:internalName="DocHub_PDMSNumber">
      <xsd:simpleType>
        <xsd:restriction base="dms:Text"/>
      </xsd:simpleType>
    </xsd:element>
    <xsd:element name="a98a7a81caf24f4691bb5111bdc7ce8e" ma:index="40" nillable="true" ma:taxonomy="true" ma:internalName="a98a7a81caf24f4691bb5111bdc7ce8e" ma:taxonomyFieldName="DocHub_CoOLSubCategory" ma:displayName="CoOL SubCategory" ma:default="" ma:fieldId="{a98a7a81-caf2-4f46-91bb-5111bdc7ce8e}" ma:sspId="fb0313f7-9433-48c0-866e-9e0bbee59a50" ma:termSetId="907f6529-a48f-41f9-9a3e-635c47ee0d38"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BDDA-2F3D-432B-B77D-472069B4C78F}">
  <ds:schemaRefs>
    <ds:schemaRef ds:uri="http://schemas.microsoft.com/office/2006/documentManagement/types"/>
    <ds:schemaRef ds:uri="http://schemas.microsoft.com/office/2006/metadata/properties"/>
    <ds:schemaRef ds:uri="http://purl.org/dc/elements/1.1/"/>
    <ds:schemaRef ds:uri="http://schemas.microsoft.com/sharepoint/v3"/>
    <ds:schemaRef ds:uri="cdd73b99-b600-467d-8b05-41f33179978b"/>
    <ds:schemaRef ds:uri="http://purl.org/dc/terms/"/>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2A15F2D1-DFEC-48F3-B055-6C5B82C1D23B}">
  <ds:schemaRefs>
    <ds:schemaRef ds:uri="http://schemas.microsoft.com/sharepoint/events"/>
  </ds:schemaRefs>
</ds:datastoreItem>
</file>

<file path=customXml/itemProps3.xml><?xml version="1.0" encoding="utf-8"?>
<ds:datastoreItem xmlns:ds="http://schemas.openxmlformats.org/officeDocument/2006/customXml" ds:itemID="{6A56E203-EA3D-4323-8422-9A721545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956A3-423A-4627-9928-4B022C297AE2}">
  <ds:schemaRefs>
    <ds:schemaRef ds:uri="http://schemas.microsoft.com/sharepoint/v3/contenttype/forms"/>
  </ds:schemaRefs>
</ds:datastoreItem>
</file>

<file path=customXml/itemProps5.xml><?xml version="1.0" encoding="utf-8"?>
<ds:datastoreItem xmlns:ds="http://schemas.openxmlformats.org/officeDocument/2006/customXml" ds:itemID="{2553A61E-0FBA-4B73-B9B7-A64B348B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Country of Origin Labelling for Complementary Medicines: Proposed Information Standard</vt:lpstr>
    </vt:vector>
  </TitlesOfParts>
  <Manager/>
  <Company/>
  <LinksUpToDate>false</LinksUpToDate>
  <CharactersWithSpaces>29826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of Origin Labelling for Complementary Medicines: Proposed Information Standard</dc:title>
  <dc:subject/>
  <dc:creator/>
  <cp:keywords/>
  <dc:description/>
  <cp:lastModifiedBy/>
  <cp:revision>1</cp:revision>
  <dcterms:created xsi:type="dcterms:W3CDTF">2020-08-31T07:04:00Z</dcterms:created>
  <dcterms:modified xsi:type="dcterms:W3CDTF">2020-08-31T07:04:00Z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0x010100C70E319C3659614D9D3A7838998B6215</vt:lpwstr>
  </property>
  <property fmtid="{D5CDD505-2E9C-101B-9397-08002B2CF9AE}" pid="3" name="_dlc_DocIdItemGuid">
    <vt:lpwstr>340e8c88-691f-44a9-a97f-00c6edf9eaad</vt:lpwstr>
  </property>
  <property fmtid="{D5CDD505-2E9C-101B-9397-08002B2CF9AE}" pid="4" name="DocHub_Year">
    <vt:lpwstr>1860;#2020|6a3660c5-15bd-4052-a0a1-6237663b7600</vt:lpwstr>
  </property>
  <property fmtid="{D5CDD505-2E9C-101B-9397-08002B2CF9AE}" pid="5" name="DocHub_DocumentType">
    <vt:lpwstr>8;#Paper|4fd73e9f-ceb6-4d3f-8d1d-e6ca9b922532</vt:lpwstr>
  </property>
  <property fmtid="{D5CDD505-2E9C-101B-9397-08002B2CF9AE}" pid="6" name="DocHub_SecurityClassification">
    <vt:lpwstr>30;#UNCLASSIFIED|6106d03b-a1a0-4e30-9d91-d5e9fb4314f9</vt:lpwstr>
  </property>
  <property fmtid="{D5CDD505-2E9C-101B-9397-08002B2CF9AE}" pid="7" name="DocHub_Keywords">
    <vt:lpwstr>156;#Country of Origin Labelling|6f4c5414-b29d-4dd5-a51c-42842e0a7d3a;#1304;#Discussion Paper|720b53c5-5752-4540-9de1-f1d6a5e62d2d;#3764;#complementary healthcare|e9f82fda-8136-41e7-9686-5ff35a908a56;#3703;#Complementary Medicines|bac454ba-1524-4fa6-b540-</vt:lpwstr>
  </property>
  <property fmtid="{D5CDD505-2E9C-101B-9397-08002B2CF9AE}" pid="8" name="DocHub_BriefingCorrespondenceType">
    <vt:lpwstr/>
  </property>
  <property fmtid="{D5CDD505-2E9C-101B-9397-08002B2CF9AE}" pid="9" name="DocHub_WorkActivity">
    <vt:lpwstr>328;#Legislation and Regulation|6cbc66f5-f4a2-4565-a58b-d5f2d2ac9bd0</vt:lpwstr>
  </property>
  <property fmtid="{D5CDD505-2E9C-101B-9397-08002B2CF9AE}" pid="10" name="DocHub_DepartmentalDivisions">
    <vt:lpwstr/>
  </property>
  <property fmtid="{D5CDD505-2E9C-101B-9397-08002B2CF9AE}" pid="11" name="DocHub_GovernmentEntities">
    <vt:lpwstr/>
  </property>
  <property fmtid="{D5CDD505-2E9C-101B-9397-08002B2CF9AE}" pid="12" name="DocHub_EconomicTheme">
    <vt:lpwstr/>
  </property>
  <property fmtid="{D5CDD505-2E9C-101B-9397-08002B2CF9AE}" pid="13" name="DocHub_PolicyScope">
    <vt:lpwstr/>
  </property>
  <property fmtid="{D5CDD505-2E9C-101B-9397-08002B2CF9AE}" pid="14" name="DocHub_PortfolioPerspective">
    <vt:lpwstr/>
  </property>
  <property fmtid="{D5CDD505-2E9C-101B-9397-08002B2CF9AE}" pid="15" name="DocHub_CoOLSubCategory">
    <vt:lpwstr/>
  </property>
  <property fmtid="{D5CDD505-2E9C-101B-9397-08002B2CF9AE}" pid="16" name="DocHub_Policy">
    <vt:lpwstr/>
  </property>
  <property fmtid="{D5CDD505-2E9C-101B-9397-08002B2CF9AE}" pid="17" name="DocHub_Theme">
    <vt:lpwstr/>
  </property>
</Properties>
</file>