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8333982" w:displacedByCustomXml="next"/>
    <w:bookmarkStart w:id="1" w:name="_Toc57805419" w:displacedByCustomXml="next"/>
    <w:bookmarkStart w:id="2" w:name="_Toc55906418" w:displacedByCustomXml="next"/>
    <w:bookmarkStart w:id="3" w:name="_Toc52467496" w:displacedByCustomXml="next"/>
    <w:bookmarkStart w:id="4" w:name="_Toc50459146" w:displacedByCustomXml="next"/>
    <w:bookmarkStart w:id="5" w:name="_Toc50459486" w:displacedByCustomXml="next"/>
    <w:bookmarkStart w:id="6" w:name="_Toc19289801" w:displacedByCustomXml="next"/>
    <w:bookmarkStart w:id="7" w:name="_Toc50133016" w:displacedByCustomXml="next"/>
    <w:bookmarkStart w:id="8" w:name="_Toc51242044" w:displacedByCustomXml="next"/>
    <w:bookmarkStart w:id="9" w:name="_Toc51840074" w:displacedByCustomXml="next"/>
    <w:bookmarkStart w:id="10" w:name="_Toc52518489" w:displacedByCustomXml="next"/>
    <w:bookmarkStart w:id="11" w:name="_Toc52546759" w:displacedByCustomXml="next"/>
    <w:bookmarkStart w:id="12" w:name="_Toc53071129" w:displacedByCustomXml="next"/>
    <w:bookmarkStart w:id="13" w:name="_Toc54188978" w:displacedByCustomXml="next"/>
    <w:bookmarkStart w:id="14" w:name="_Toc54876690" w:displacedByCustomXml="next"/>
    <w:bookmarkStart w:id="15" w:name="_Toc54885296" w:displacedByCustomXml="next"/>
    <w:bookmarkStart w:id="16" w:name="_Toc56492991" w:displacedByCustomXml="next"/>
    <w:bookmarkStart w:id="17" w:name="_Toc58837071" w:displacedByCustomXml="next"/>
    <w:bookmarkStart w:id="18" w:name="_Toc58842408" w:displacedByCustomXml="next"/>
    <w:bookmarkStart w:id="19" w:name="_Toc58842654" w:displacedByCustomXml="next"/>
    <w:sdt>
      <w:sdtPr>
        <w:rPr>
          <w:rFonts w:asciiTheme="minorHAnsi" w:eastAsiaTheme="minorHAnsi" w:hAnsiTheme="minorHAnsi" w:cstheme="minorBidi"/>
          <w:color w:val="auto"/>
          <w:spacing w:val="0"/>
          <w:kern w:val="0"/>
          <w:sz w:val="22"/>
          <w:szCs w:val="22"/>
        </w:rPr>
        <w:id w:val="-2088995269"/>
        <w:docPartObj>
          <w:docPartGallery w:val="Cover Pages"/>
          <w:docPartUnique/>
        </w:docPartObj>
      </w:sdtPr>
      <w:sdtEndPr>
        <w:rPr>
          <w:rFonts w:cstheme="minorHAnsi"/>
          <w:sz w:val="18"/>
        </w:rPr>
      </w:sdtEndPr>
      <w:sdtContent>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1C9A1523" w14:textId="59EFD19F" w:rsidR="007F0CD8" w:rsidRPr="006C42F6" w:rsidRDefault="00FC34E6" w:rsidP="007F0CD8">
          <w:pPr>
            <w:pStyle w:val="Title"/>
            <w:spacing w:before="4000"/>
            <w:rPr>
              <w:sz w:val="72"/>
            </w:rPr>
          </w:pPr>
          <w:r>
            <w:rPr>
              <w:sz w:val="72"/>
            </w:rPr>
            <w:t>Enhancing Australia’s decommissioning framework</w:t>
          </w:r>
          <w:bookmarkEnd w:id="19"/>
          <w:bookmarkEnd w:id="18"/>
          <w:bookmarkEnd w:id="17"/>
        </w:p>
        <w:p w14:paraId="1C9A1524" w14:textId="77777777" w:rsidR="007F0CD8" w:rsidRPr="006C42F6" w:rsidRDefault="007F0CD8" w:rsidP="007F0CD8">
          <w:pPr>
            <w:pStyle w:val="Subtitle"/>
            <w:rPr>
              <w:sz w:val="40"/>
              <w:szCs w:val="40"/>
            </w:rPr>
          </w:pPr>
          <w:r w:rsidRPr="006C42F6">
            <w:rPr>
              <w:sz w:val="40"/>
              <w:szCs w:val="40"/>
            </w:rPr>
            <w:t>For offshore oil and gas activities</w:t>
          </w:r>
        </w:p>
        <w:p w14:paraId="1C9A1525" w14:textId="77777777" w:rsidR="007F0CD8" w:rsidRDefault="007F0CD8" w:rsidP="007F0CD8">
          <w:pPr>
            <w:pStyle w:val="Subtitle"/>
          </w:pPr>
        </w:p>
        <w:p w14:paraId="1C9A1526" w14:textId="77777777" w:rsidR="007F0CD8" w:rsidRPr="002822FD" w:rsidRDefault="007F0CD8" w:rsidP="002822FD">
          <w:pPr>
            <w:pStyle w:val="Authoranddate"/>
            <w:rPr>
              <w:rFonts w:asciiTheme="minorHAnsi" w:hAnsiTheme="minorHAnsi" w:cstheme="minorHAnsi"/>
            </w:rPr>
          </w:pPr>
          <w:r w:rsidRPr="002822FD">
            <w:rPr>
              <w:rFonts w:asciiTheme="minorHAnsi" w:hAnsiTheme="minorHAnsi" w:cstheme="minorHAnsi"/>
            </w:rPr>
            <w:t>Consultation Paper</w:t>
          </w:r>
        </w:p>
        <w:p w14:paraId="1C9A1527" w14:textId="77777777" w:rsidR="00183A22" w:rsidRDefault="00183A22" w:rsidP="00183A22">
          <w:pPr>
            <w:pStyle w:val="Authoranddate"/>
            <w:rPr>
              <w:rFonts w:asciiTheme="minorHAnsi" w:hAnsiTheme="minorHAnsi" w:cstheme="minorHAnsi"/>
            </w:rPr>
          </w:pPr>
          <w:r>
            <w:rPr>
              <w:rFonts w:asciiTheme="minorHAnsi" w:hAnsiTheme="minorHAnsi" w:cstheme="minorHAnsi"/>
            </w:rPr>
            <w:t>December</w:t>
          </w:r>
          <w:r w:rsidR="00700897" w:rsidRPr="006C42F6">
            <w:rPr>
              <w:rFonts w:asciiTheme="minorHAnsi" w:hAnsiTheme="minorHAnsi" w:cstheme="minorHAnsi"/>
            </w:rPr>
            <w:t xml:space="preserve"> </w:t>
          </w:r>
          <w:r w:rsidR="007F0CD8" w:rsidRPr="006C42F6">
            <w:rPr>
              <w:rFonts w:asciiTheme="minorHAnsi" w:hAnsiTheme="minorHAnsi" w:cstheme="minorHAnsi"/>
            </w:rPr>
            <w:t>2020</w:t>
          </w:r>
        </w:p>
        <w:p w14:paraId="1C9A1528" w14:textId="77777777" w:rsidR="00183A22" w:rsidRDefault="00183A22" w:rsidP="004E2F77">
          <w:pPr>
            <w:spacing w:before="40" w:after="40"/>
            <w:rPr>
              <w:b/>
              <w:color w:val="005677" w:themeColor="text2"/>
              <w:sz w:val="28"/>
            </w:rPr>
            <w:sectPr w:rsidR="00183A22" w:rsidSect="00183A22">
              <w:headerReference w:type="even" r:id="rId9"/>
              <w:headerReference w:type="default" r:id="rId10"/>
              <w:footerReference w:type="even" r:id="rId11"/>
              <w:footerReference w:type="default" r:id="rId12"/>
              <w:headerReference w:type="first" r:id="rId13"/>
              <w:footerReference w:type="first" r:id="rId14"/>
              <w:pgSz w:w="11906" w:h="16838"/>
              <w:pgMar w:top="1276" w:right="1440" w:bottom="1440" w:left="1440" w:header="851" w:footer="454" w:gutter="0"/>
              <w:pgNumType w:start="0"/>
              <w:cols w:space="708"/>
              <w:titlePg/>
              <w:docGrid w:linePitch="360"/>
            </w:sectPr>
          </w:pPr>
          <w:bookmarkStart w:id="20" w:name="_Toc19023739"/>
          <w:bookmarkStart w:id="21" w:name="_Toc19289802"/>
          <w:bookmarkStart w:id="22" w:name="_Toc19289804"/>
        </w:p>
        <w:p w14:paraId="1C9A1529" w14:textId="77777777" w:rsidR="004E2F77" w:rsidRPr="00EB1609" w:rsidRDefault="004E2F77" w:rsidP="004E2F77">
          <w:pPr>
            <w:spacing w:before="40" w:after="40"/>
            <w:rPr>
              <w:b/>
              <w:color w:val="005677" w:themeColor="text2"/>
              <w:sz w:val="28"/>
            </w:rPr>
          </w:pPr>
          <w:r w:rsidRPr="00EB1609">
            <w:rPr>
              <w:b/>
              <w:color w:val="005677" w:themeColor="text2"/>
              <w:sz w:val="28"/>
            </w:rPr>
            <w:lastRenderedPageBreak/>
            <w:t>Copyright</w:t>
          </w:r>
          <w:bookmarkEnd w:id="20"/>
          <w:bookmarkEnd w:id="21"/>
        </w:p>
        <w:p w14:paraId="1C9A152A" w14:textId="77777777" w:rsidR="007F0CD8" w:rsidRPr="006C42F6" w:rsidRDefault="007F0CD8" w:rsidP="007F0CD8">
          <w:pPr>
            <w:rPr>
              <w:rStyle w:val="Strong"/>
            </w:rPr>
          </w:pPr>
          <w:r w:rsidRPr="006C42F6">
            <w:rPr>
              <w:rStyle w:val="Strong"/>
            </w:rPr>
            <w:t>© Commonwealth of Australia 2020</w:t>
          </w:r>
        </w:p>
        <w:p w14:paraId="1C9A152B" w14:textId="77777777" w:rsidR="007F0CD8" w:rsidRPr="006C42F6" w:rsidRDefault="007F0CD8" w:rsidP="007F0CD8">
          <w:pPr>
            <w:rPr>
              <w:rStyle w:val="Strong"/>
            </w:rPr>
          </w:pPr>
          <w:r w:rsidRPr="006C42F6">
            <w:rPr>
              <w:rStyle w:val="Strong"/>
            </w:rPr>
            <w:t>Ownership of intellectual property rights</w:t>
          </w:r>
        </w:p>
        <w:p w14:paraId="1C9A152C" w14:textId="77777777" w:rsidR="007F0CD8" w:rsidRPr="006C42F6" w:rsidRDefault="007F0CD8" w:rsidP="007F0CD8">
          <w:r w:rsidRPr="006C42F6">
            <w:t>Unless otherwise noted, copyright (and any other intellectual property rights, if any) in this publication is owned by the Commonwealth of Australia.</w:t>
          </w:r>
        </w:p>
        <w:p w14:paraId="1C9A152D" w14:textId="77777777" w:rsidR="007F0CD8" w:rsidRPr="006C42F6" w:rsidRDefault="007F0CD8" w:rsidP="007F0CD8">
          <w:pPr>
            <w:rPr>
              <w:rStyle w:val="Strong"/>
            </w:rPr>
          </w:pPr>
          <w:proofErr w:type="gramStart"/>
          <w:r w:rsidRPr="006C42F6">
            <w:rPr>
              <w:rStyle w:val="Strong"/>
            </w:rPr>
            <w:t>Creative Commons</w:t>
          </w:r>
          <w:proofErr w:type="gramEnd"/>
          <w:r w:rsidRPr="006C42F6">
            <w:rPr>
              <w:rStyle w:val="Strong"/>
            </w:rPr>
            <w:t xml:space="preserve"> licence</w:t>
          </w:r>
        </w:p>
        <w:p w14:paraId="1C9A152E" w14:textId="77777777" w:rsidR="007F0CD8" w:rsidRPr="006C42F6" w:rsidRDefault="007F0CD8" w:rsidP="007F0CD8">
          <w:pPr>
            <w:rPr>
              <w:rStyle w:val="Strong"/>
            </w:rPr>
          </w:pPr>
          <w:r w:rsidRPr="006C42F6">
            <w:rPr>
              <w:b/>
              <w:noProof/>
              <w:lang w:eastAsia="en-AU"/>
            </w:rPr>
            <w:drawing>
              <wp:inline distT="0" distB="0" distL="0" distR="0" wp14:anchorId="1C9A15D1" wp14:editId="1C9A15D2">
                <wp:extent cx="1128889" cy="440267"/>
                <wp:effectExtent l="0" t="0" r="0" b="0"/>
                <wp:docPr id="3" name="Picture 3"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1C9A152F" w14:textId="77777777" w:rsidR="007F0CD8" w:rsidRPr="006C42F6" w:rsidRDefault="007F0CD8" w:rsidP="007F0CD8">
          <w:pPr>
            <w:rPr>
              <w:rStyle w:val="Strong"/>
            </w:rPr>
          </w:pPr>
          <w:r w:rsidRPr="006C42F6">
            <w:rPr>
              <w:rStyle w:val="Strong"/>
            </w:rPr>
            <w:t xml:space="preserve">Attribution </w:t>
          </w:r>
        </w:p>
        <w:p w14:paraId="1C9A1530" w14:textId="77777777" w:rsidR="007F0CD8" w:rsidRPr="006C42F6" w:rsidRDefault="007F0CD8" w:rsidP="007F0CD8">
          <w:pPr>
            <w:rPr>
              <w:rStyle w:val="Strong"/>
            </w:rPr>
          </w:pPr>
          <w:r w:rsidRPr="006C42F6">
            <w:rPr>
              <w:rStyle w:val="Strong"/>
            </w:rPr>
            <w:t>CC BY</w:t>
          </w:r>
        </w:p>
        <w:p w14:paraId="1C9A1531" w14:textId="77777777" w:rsidR="007F0CD8" w:rsidRPr="006C42F6" w:rsidRDefault="007F0CD8" w:rsidP="007F0CD8">
          <w:r w:rsidRPr="006C42F6">
            <w:t xml:space="preserve">All material in this publication </w:t>
          </w:r>
          <w:proofErr w:type="gramStart"/>
          <w:r w:rsidRPr="006C42F6">
            <w:t>is licensed</w:t>
          </w:r>
          <w:proofErr w:type="gramEnd"/>
          <w:r w:rsidRPr="006C42F6">
            <w:t xml:space="preserve"> under a Creative Commons Attribution 4.0 International Licence, save for content supplied by third parties, logos, any material protected by trademark or otherwise noted in this publication, and the Commonwealth Coat of Arms.</w:t>
          </w:r>
        </w:p>
        <w:p w14:paraId="1C9A1532" w14:textId="77777777" w:rsidR="007F0CD8" w:rsidRPr="006C42F6" w:rsidRDefault="007F0CD8" w:rsidP="007F0CD8">
          <w:r w:rsidRPr="006C42F6">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6" w:history="1">
            <w:r w:rsidRPr="006C42F6">
              <w:rPr>
                <w:rStyle w:val="Hyperlink"/>
              </w:rPr>
              <w:t>https://creativecommons.org/licenses/by/4.0/</w:t>
            </w:r>
          </w:hyperlink>
        </w:p>
        <w:p w14:paraId="1C9A1533" w14:textId="77777777" w:rsidR="007F0CD8" w:rsidRPr="006C42F6" w:rsidRDefault="007F0CD8" w:rsidP="007F0CD8">
          <w:r w:rsidRPr="006C42F6">
            <w:t xml:space="preserve">The full licence terms are available from </w:t>
          </w:r>
          <w:hyperlink r:id="rId17" w:history="1">
            <w:r w:rsidRPr="006C42F6">
              <w:rPr>
                <w:rStyle w:val="Hyperlink"/>
              </w:rPr>
              <w:t>https://creativecommons.org/licenses/by/4.0/legalcode</w:t>
            </w:r>
          </w:hyperlink>
        </w:p>
        <w:p w14:paraId="1C9A1534" w14:textId="77777777" w:rsidR="007F0CD8" w:rsidRPr="006C42F6" w:rsidRDefault="007F0CD8" w:rsidP="007F0CD8">
          <w:r w:rsidRPr="006C42F6">
            <w:t xml:space="preserve">Content contained herein should be attributed as </w:t>
          </w:r>
          <w:r w:rsidRPr="006C42F6">
            <w:rPr>
              <w:i/>
            </w:rPr>
            <w:t xml:space="preserve">Enhancing </w:t>
          </w:r>
          <w:proofErr w:type="gramStart"/>
          <w:r w:rsidRPr="006C42F6">
            <w:rPr>
              <w:i/>
            </w:rPr>
            <w:t>Australia’s</w:t>
          </w:r>
          <w:proofErr w:type="gramEnd"/>
          <w:r w:rsidRPr="006C42F6">
            <w:rPr>
              <w:i/>
            </w:rPr>
            <w:t xml:space="preserve"> decommissioning framework for oil and gas activities, Australian Government Department of Industry, Science, Energy and Resources</w:t>
          </w:r>
          <w:r w:rsidRPr="006C42F6">
            <w:t>.</w:t>
          </w:r>
        </w:p>
        <w:p w14:paraId="1C9A1535" w14:textId="77777777" w:rsidR="007F0CD8" w:rsidRPr="006C42F6" w:rsidRDefault="007F0CD8" w:rsidP="007F0CD8">
          <w:pPr>
            <w:spacing w:before="40" w:after="40"/>
            <w:rPr>
              <w:b/>
              <w:color w:val="005677" w:themeColor="text2"/>
              <w:sz w:val="28"/>
            </w:rPr>
          </w:pPr>
          <w:r w:rsidRPr="006C42F6">
            <w:rPr>
              <w:b/>
              <w:color w:val="005677" w:themeColor="text2"/>
              <w:sz w:val="28"/>
            </w:rPr>
            <w:t>Disclaimer</w:t>
          </w:r>
        </w:p>
        <w:p w14:paraId="1C9A1536" w14:textId="77777777" w:rsidR="007F0CD8" w:rsidRPr="006C42F6" w:rsidRDefault="007F0CD8" w:rsidP="007F0CD8">
          <w:pPr>
            <w:rPr>
              <w:szCs w:val="20"/>
            </w:rPr>
          </w:pPr>
          <w:r w:rsidRPr="006C42F6">
            <w:rPr>
              <w:szCs w:val="20"/>
            </w:rPr>
            <w:t xml:space="preserve">The Australian Government as represented by the Department of Industry, Science, Energy and Resources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w:t>
          </w:r>
          <w:proofErr w:type="gramStart"/>
          <w:r w:rsidRPr="006C42F6">
            <w:rPr>
              <w:szCs w:val="20"/>
            </w:rPr>
            <w:t>is made</w:t>
          </w:r>
          <w:proofErr w:type="gramEnd"/>
          <w:r w:rsidRPr="006C42F6">
            <w:rPr>
              <w:szCs w:val="20"/>
            </w:rPr>
            <w:t xml:space="preserve"> as to the currency, accuracy, reliability or completeness of the information contained in this publication. The reader should rely on their own inquiries </w:t>
          </w:r>
          <w:proofErr w:type="gramStart"/>
          <w:r w:rsidRPr="006C42F6">
            <w:rPr>
              <w:szCs w:val="20"/>
            </w:rPr>
            <w:t>to independently confirm</w:t>
          </w:r>
          <w:proofErr w:type="gramEnd"/>
          <w:r w:rsidRPr="006C42F6">
            <w:rPr>
              <w:szCs w:val="20"/>
            </w:rPr>
            <w:t xml:space="preserve"> the information and comment on which they intend to act. This publication does not indicate commitment by the Australian Government to a particular course of action.</w:t>
          </w:r>
        </w:p>
        <w:p w14:paraId="1C9A1537" w14:textId="77777777" w:rsidR="007F0CD8" w:rsidRDefault="007F0CD8" w:rsidP="007F0CD8">
          <w:r>
            <w:br w:type="page"/>
          </w:r>
        </w:p>
        <w:p w14:paraId="2605A2BD" w14:textId="77777777" w:rsidR="00EC4015" w:rsidRDefault="004E2F77" w:rsidP="00EC4015">
          <w:pPr>
            <w:pStyle w:val="TOCHeading"/>
            <w:spacing w:before="0" w:after="0"/>
            <w:rPr>
              <w:noProof/>
            </w:rPr>
          </w:pPr>
          <w:bookmarkStart w:id="23" w:name="_Toc50133017"/>
          <w:bookmarkStart w:id="24" w:name="_Toc50459147"/>
          <w:bookmarkStart w:id="25" w:name="_Toc50459487"/>
          <w:bookmarkStart w:id="26" w:name="_Toc51242045"/>
          <w:bookmarkStart w:id="27" w:name="_Toc51840075"/>
          <w:bookmarkStart w:id="28" w:name="_Toc52467497"/>
          <w:bookmarkStart w:id="29" w:name="_Toc52518490"/>
          <w:bookmarkStart w:id="30" w:name="_Toc52546760"/>
          <w:bookmarkStart w:id="31" w:name="_Toc53071130"/>
          <w:bookmarkStart w:id="32" w:name="_Toc54188979"/>
          <w:bookmarkStart w:id="33" w:name="_Toc54876691"/>
          <w:bookmarkStart w:id="34" w:name="_Toc54885297"/>
          <w:r w:rsidRPr="00562466">
            <w:lastRenderedPageBreak/>
            <w:t>Contents</w:t>
          </w:r>
          <w:bookmarkEnd w:id="22"/>
          <w:bookmarkEnd w:id="23"/>
          <w:bookmarkEnd w:id="24"/>
          <w:bookmarkEnd w:id="25"/>
          <w:bookmarkEnd w:id="26"/>
          <w:bookmarkEnd w:id="27"/>
          <w:bookmarkEnd w:id="28"/>
          <w:bookmarkEnd w:id="29"/>
          <w:bookmarkEnd w:id="30"/>
          <w:bookmarkEnd w:id="31"/>
          <w:bookmarkEnd w:id="32"/>
          <w:bookmarkEnd w:id="33"/>
          <w:bookmarkEnd w:id="34"/>
          <w:r w:rsidR="007F0CD8">
            <w:fldChar w:fldCharType="begin"/>
          </w:r>
          <w:r w:rsidR="007F0CD8">
            <w:instrText xml:space="preserve"> TOC \o "1-2" \h \z \u </w:instrText>
          </w:r>
          <w:r w:rsidR="007F0CD8">
            <w:fldChar w:fldCharType="separate"/>
          </w:r>
        </w:p>
        <w:p w14:paraId="72AC7BD2" w14:textId="77777777" w:rsidR="00EC4015" w:rsidRDefault="00EC4015">
          <w:pPr>
            <w:pStyle w:val="TOC1"/>
            <w:rPr>
              <w:rFonts w:eastAsiaTheme="minorEastAsia" w:cstheme="minorBidi"/>
              <w:noProof/>
              <w:lang w:eastAsia="en-AU"/>
            </w:rPr>
          </w:pPr>
          <w:hyperlink w:anchor="_Toc58842655" w:history="1">
            <w:r w:rsidRPr="003B6FC0">
              <w:rPr>
                <w:rStyle w:val="Hyperlink"/>
                <w:noProof/>
              </w:rPr>
              <w:t>Overview</w:t>
            </w:r>
            <w:r>
              <w:rPr>
                <w:noProof/>
                <w:webHidden/>
              </w:rPr>
              <w:tab/>
            </w:r>
            <w:r>
              <w:rPr>
                <w:noProof/>
                <w:webHidden/>
              </w:rPr>
              <w:fldChar w:fldCharType="begin"/>
            </w:r>
            <w:r>
              <w:rPr>
                <w:noProof/>
                <w:webHidden/>
              </w:rPr>
              <w:instrText xml:space="preserve"> PAGEREF _Toc58842655 \h </w:instrText>
            </w:r>
            <w:r>
              <w:rPr>
                <w:noProof/>
                <w:webHidden/>
              </w:rPr>
            </w:r>
            <w:r>
              <w:rPr>
                <w:noProof/>
                <w:webHidden/>
              </w:rPr>
              <w:fldChar w:fldCharType="separate"/>
            </w:r>
            <w:r>
              <w:rPr>
                <w:noProof/>
                <w:webHidden/>
              </w:rPr>
              <w:t>2</w:t>
            </w:r>
            <w:r>
              <w:rPr>
                <w:noProof/>
                <w:webHidden/>
              </w:rPr>
              <w:fldChar w:fldCharType="end"/>
            </w:r>
          </w:hyperlink>
        </w:p>
        <w:p w14:paraId="5E1723F8" w14:textId="77777777" w:rsidR="00EC4015" w:rsidRDefault="00342CB9">
          <w:pPr>
            <w:pStyle w:val="TOC2"/>
            <w:tabs>
              <w:tab w:val="right" w:leader="dot" w:pos="9016"/>
            </w:tabs>
            <w:rPr>
              <w:rFonts w:eastAsiaTheme="minorEastAsia" w:cstheme="minorBidi"/>
              <w:noProof/>
              <w:lang w:eastAsia="en-AU"/>
            </w:rPr>
          </w:pPr>
          <w:hyperlink w:anchor="_Toc58842656" w:history="1">
            <w:r w:rsidR="00EC4015" w:rsidRPr="003B6FC0">
              <w:rPr>
                <w:rStyle w:val="Hyperlink"/>
                <w:noProof/>
              </w:rPr>
              <w:t>Objectives</w:t>
            </w:r>
            <w:r w:rsidR="00EC4015">
              <w:rPr>
                <w:noProof/>
                <w:webHidden/>
              </w:rPr>
              <w:tab/>
            </w:r>
            <w:r w:rsidR="00EC4015">
              <w:rPr>
                <w:noProof/>
                <w:webHidden/>
              </w:rPr>
              <w:fldChar w:fldCharType="begin"/>
            </w:r>
            <w:r w:rsidR="00EC4015">
              <w:rPr>
                <w:noProof/>
                <w:webHidden/>
              </w:rPr>
              <w:instrText xml:space="preserve"> PAGEREF _Toc58842656 \h </w:instrText>
            </w:r>
            <w:r w:rsidR="00EC4015">
              <w:rPr>
                <w:noProof/>
                <w:webHidden/>
              </w:rPr>
            </w:r>
            <w:r w:rsidR="00EC4015">
              <w:rPr>
                <w:noProof/>
                <w:webHidden/>
              </w:rPr>
              <w:fldChar w:fldCharType="separate"/>
            </w:r>
            <w:r w:rsidR="00EC4015">
              <w:rPr>
                <w:noProof/>
                <w:webHidden/>
              </w:rPr>
              <w:t>4</w:t>
            </w:r>
            <w:r w:rsidR="00EC4015">
              <w:rPr>
                <w:noProof/>
                <w:webHidden/>
              </w:rPr>
              <w:fldChar w:fldCharType="end"/>
            </w:r>
          </w:hyperlink>
        </w:p>
        <w:p w14:paraId="38CBC486" w14:textId="77777777" w:rsidR="00EC4015" w:rsidRDefault="00342CB9">
          <w:pPr>
            <w:pStyle w:val="TOC2"/>
            <w:tabs>
              <w:tab w:val="right" w:leader="dot" w:pos="9016"/>
            </w:tabs>
            <w:rPr>
              <w:rFonts w:eastAsiaTheme="minorEastAsia" w:cstheme="minorBidi"/>
              <w:noProof/>
              <w:lang w:eastAsia="en-AU"/>
            </w:rPr>
          </w:pPr>
          <w:hyperlink w:anchor="_Toc58842657" w:history="1">
            <w:r w:rsidR="00EC4015" w:rsidRPr="003B6FC0">
              <w:rPr>
                <w:rStyle w:val="Hyperlink"/>
                <w:noProof/>
              </w:rPr>
              <w:t>The challenge ahead and what an enhanced decommissioning framework will do</w:t>
            </w:r>
            <w:r w:rsidR="00EC4015">
              <w:rPr>
                <w:noProof/>
                <w:webHidden/>
              </w:rPr>
              <w:tab/>
            </w:r>
            <w:r w:rsidR="00EC4015">
              <w:rPr>
                <w:noProof/>
                <w:webHidden/>
              </w:rPr>
              <w:fldChar w:fldCharType="begin"/>
            </w:r>
            <w:r w:rsidR="00EC4015">
              <w:rPr>
                <w:noProof/>
                <w:webHidden/>
              </w:rPr>
              <w:instrText xml:space="preserve"> PAGEREF _Toc58842657 \h </w:instrText>
            </w:r>
            <w:r w:rsidR="00EC4015">
              <w:rPr>
                <w:noProof/>
                <w:webHidden/>
              </w:rPr>
            </w:r>
            <w:r w:rsidR="00EC4015">
              <w:rPr>
                <w:noProof/>
                <w:webHidden/>
              </w:rPr>
              <w:fldChar w:fldCharType="separate"/>
            </w:r>
            <w:r w:rsidR="00EC4015">
              <w:rPr>
                <w:noProof/>
                <w:webHidden/>
              </w:rPr>
              <w:t>5</w:t>
            </w:r>
            <w:r w:rsidR="00EC4015">
              <w:rPr>
                <w:noProof/>
                <w:webHidden/>
              </w:rPr>
              <w:fldChar w:fldCharType="end"/>
            </w:r>
          </w:hyperlink>
        </w:p>
        <w:p w14:paraId="7C3F23F0" w14:textId="77777777" w:rsidR="00EC4015" w:rsidRDefault="00342CB9">
          <w:pPr>
            <w:pStyle w:val="TOC1"/>
            <w:rPr>
              <w:rFonts w:eastAsiaTheme="minorEastAsia" w:cstheme="minorBidi"/>
              <w:noProof/>
              <w:lang w:eastAsia="en-AU"/>
            </w:rPr>
          </w:pPr>
          <w:hyperlink w:anchor="_Toc58842658" w:history="1">
            <w:r w:rsidR="00EC4015" w:rsidRPr="003B6FC0">
              <w:rPr>
                <w:rStyle w:val="Hyperlink"/>
                <w:noProof/>
              </w:rPr>
              <w:t>Financial oversight</w:t>
            </w:r>
            <w:r w:rsidR="00EC4015">
              <w:rPr>
                <w:noProof/>
                <w:webHidden/>
              </w:rPr>
              <w:tab/>
            </w:r>
            <w:r w:rsidR="00EC4015">
              <w:rPr>
                <w:noProof/>
                <w:webHidden/>
              </w:rPr>
              <w:fldChar w:fldCharType="begin"/>
            </w:r>
            <w:r w:rsidR="00EC4015">
              <w:rPr>
                <w:noProof/>
                <w:webHidden/>
              </w:rPr>
              <w:instrText xml:space="preserve"> PAGEREF _Toc58842658 \h </w:instrText>
            </w:r>
            <w:r w:rsidR="00EC4015">
              <w:rPr>
                <w:noProof/>
                <w:webHidden/>
              </w:rPr>
            </w:r>
            <w:r w:rsidR="00EC4015">
              <w:rPr>
                <w:noProof/>
                <w:webHidden/>
              </w:rPr>
              <w:fldChar w:fldCharType="separate"/>
            </w:r>
            <w:r w:rsidR="00EC4015">
              <w:rPr>
                <w:noProof/>
                <w:webHidden/>
              </w:rPr>
              <w:t>7</w:t>
            </w:r>
            <w:r w:rsidR="00EC4015">
              <w:rPr>
                <w:noProof/>
                <w:webHidden/>
              </w:rPr>
              <w:fldChar w:fldCharType="end"/>
            </w:r>
          </w:hyperlink>
        </w:p>
        <w:p w14:paraId="1D52B789" w14:textId="77777777" w:rsidR="00EC4015" w:rsidRDefault="00342CB9">
          <w:pPr>
            <w:pStyle w:val="TOC2"/>
            <w:tabs>
              <w:tab w:val="right" w:leader="dot" w:pos="9016"/>
            </w:tabs>
            <w:rPr>
              <w:rFonts w:eastAsiaTheme="minorEastAsia" w:cstheme="minorBidi"/>
              <w:noProof/>
              <w:lang w:eastAsia="en-AU"/>
            </w:rPr>
          </w:pPr>
          <w:hyperlink w:anchor="_Toc58842659" w:history="1">
            <w:r w:rsidR="00EC4015" w:rsidRPr="003B6FC0">
              <w:rPr>
                <w:rStyle w:val="Hyperlink"/>
                <w:noProof/>
              </w:rPr>
              <w:t>Changes in company control</w:t>
            </w:r>
            <w:r w:rsidR="00EC4015">
              <w:rPr>
                <w:noProof/>
                <w:webHidden/>
              </w:rPr>
              <w:tab/>
            </w:r>
            <w:r w:rsidR="00EC4015">
              <w:rPr>
                <w:noProof/>
                <w:webHidden/>
              </w:rPr>
              <w:fldChar w:fldCharType="begin"/>
            </w:r>
            <w:r w:rsidR="00EC4015">
              <w:rPr>
                <w:noProof/>
                <w:webHidden/>
              </w:rPr>
              <w:instrText xml:space="preserve"> PAGEREF _Toc58842659 \h </w:instrText>
            </w:r>
            <w:r w:rsidR="00EC4015">
              <w:rPr>
                <w:noProof/>
                <w:webHidden/>
              </w:rPr>
            </w:r>
            <w:r w:rsidR="00EC4015">
              <w:rPr>
                <w:noProof/>
                <w:webHidden/>
              </w:rPr>
              <w:fldChar w:fldCharType="separate"/>
            </w:r>
            <w:r w:rsidR="00EC4015">
              <w:rPr>
                <w:noProof/>
                <w:webHidden/>
              </w:rPr>
              <w:t>7</w:t>
            </w:r>
            <w:r w:rsidR="00EC4015">
              <w:rPr>
                <w:noProof/>
                <w:webHidden/>
              </w:rPr>
              <w:fldChar w:fldCharType="end"/>
            </w:r>
          </w:hyperlink>
        </w:p>
        <w:p w14:paraId="0957B44D" w14:textId="77777777" w:rsidR="00EC4015" w:rsidRDefault="00342CB9">
          <w:pPr>
            <w:pStyle w:val="TOC2"/>
            <w:tabs>
              <w:tab w:val="right" w:leader="dot" w:pos="9016"/>
            </w:tabs>
            <w:rPr>
              <w:rFonts w:eastAsiaTheme="minorEastAsia" w:cstheme="minorBidi"/>
              <w:noProof/>
              <w:lang w:eastAsia="en-AU"/>
            </w:rPr>
          </w:pPr>
          <w:hyperlink w:anchor="_Toc58842660" w:history="1">
            <w:r w:rsidR="00EC4015" w:rsidRPr="003B6FC0">
              <w:rPr>
                <w:rStyle w:val="Hyperlink"/>
                <w:noProof/>
              </w:rPr>
              <w:t>Assurance</w:t>
            </w:r>
            <w:r w:rsidR="00EC4015">
              <w:rPr>
                <w:noProof/>
                <w:webHidden/>
              </w:rPr>
              <w:tab/>
            </w:r>
            <w:r w:rsidR="00EC4015">
              <w:rPr>
                <w:noProof/>
                <w:webHidden/>
              </w:rPr>
              <w:fldChar w:fldCharType="begin"/>
            </w:r>
            <w:r w:rsidR="00EC4015">
              <w:rPr>
                <w:noProof/>
                <w:webHidden/>
              </w:rPr>
              <w:instrText xml:space="preserve"> PAGEREF _Toc58842660 \h </w:instrText>
            </w:r>
            <w:r w:rsidR="00EC4015">
              <w:rPr>
                <w:noProof/>
                <w:webHidden/>
              </w:rPr>
            </w:r>
            <w:r w:rsidR="00EC4015">
              <w:rPr>
                <w:noProof/>
                <w:webHidden/>
              </w:rPr>
              <w:fldChar w:fldCharType="separate"/>
            </w:r>
            <w:r w:rsidR="00EC4015">
              <w:rPr>
                <w:noProof/>
                <w:webHidden/>
              </w:rPr>
              <w:t>8</w:t>
            </w:r>
            <w:r w:rsidR="00EC4015">
              <w:rPr>
                <w:noProof/>
                <w:webHidden/>
              </w:rPr>
              <w:fldChar w:fldCharType="end"/>
            </w:r>
          </w:hyperlink>
        </w:p>
        <w:p w14:paraId="04ACA3ED" w14:textId="77777777" w:rsidR="00EC4015" w:rsidRDefault="00342CB9">
          <w:pPr>
            <w:pStyle w:val="TOC1"/>
            <w:rPr>
              <w:rFonts w:eastAsiaTheme="minorEastAsia" w:cstheme="minorBidi"/>
              <w:noProof/>
              <w:lang w:eastAsia="en-AU"/>
            </w:rPr>
          </w:pPr>
          <w:hyperlink w:anchor="_Toc58842661" w:history="1">
            <w:r w:rsidR="00EC4015" w:rsidRPr="003B6FC0">
              <w:rPr>
                <w:rStyle w:val="Hyperlink"/>
                <w:noProof/>
              </w:rPr>
              <w:t>Planning and management</w:t>
            </w:r>
            <w:r w:rsidR="00EC4015">
              <w:rPr>
                <w:noProof/>
                <w:webHidden/>
              </w:rPr>
              <w:tab/>
            </w:r>
            <w:r w:rsidR="00EC4015">
              <w:rPr>
                <w:noProof/>
                <w:webHidden/>
              </w:rPr>
              <w:fldChar w:fldCharType="begin"/>
            </w:r>
            <w:r w:rsidR="00EC4015">
              <w:rPr>
                <w:noProof/>
                <w:webHidden/>
              </w:rPr>
              <w:instrText xml:space="preserve"> PAGEREF _Toc58842661 \h </w:instrText>
            </w:r>
            <w:r w:rsidR="00EC4015">
              <w:rPr>
                <w:noProof/>
                <w:webHidden/>
              </w:rPr>
            </w:r>
            <w:r w:rsidR="00EC4015">
              <w:rPr>
                <w:noProof/>
                <w:webHidden/>
              </w:rPr>
              <w:fldChar w:fldCharType="separate"/>
            </w:r>
            <w:r w:rsidR="00EC4015">
              <w:rPr>
                <w:noProof/>
                <w:webHidden/>
              </w:rPr>
              <w:t>10</w:t>
            </w:r>
            <w:r w:rsidR="00EC4015">
              <w:rPr>
                <w:noProof/>
                <w:webHidden/>
              </w:rPr>
              <w:fldChar w:fldCharType="end"/>
            </w:r>
          </w:hyperlink>
        </w:p>
        <w:p w14:paraId="6E19662E" w14:textId="77777777" w:rsidR="00EC4015" w:rsidRDefault="00342CB9">
          <w:pPr>
            <w:pStyle w:val="TOC2"/>
            <w:tabs>
              <w:tab w:val="right" w:leader="dot" w:pos="9016"/>
            </w:tabs>
            <w:rPr>
              <w:rFonts w:eastAsiaTheme="minorEastAsia" w:cstheme="minorBidi"/>
              <w:noProof/>
              <w:lang w:eastAsia="en-AU"/>
            </w:rPr>
          </w:pPr>
          <w:hyperlink w:anchor="_Toc58842662" w:history="1">
            <w:r w:rsidR="00EC4015" w:rsidRPr="003B6FC0">
              <w:rPr>
                <w:rStyle w:val="Hyperlink"/>
                <w:noProof/>
              </w:rPr>
              <w:t>Decommissioning planning and resource management</w:t>
            </w:r>
            <w:r w:rsidR="00EC4015">
              <w:rPr>
                <w:noProof/>
                <w:webHidden/>
              </w:rPr>
              <w:tab/>
            </w:r>
            <w:r w:rsidR="00EC4015">
              <w:rPr>
                <w:noProof/>
                <w:webHidden/>
              </w:rPr>
              <w:fldChar w:fldCharType="begin"/>
            </w:r>
            <w:r w:rsidR="00EC4015">
              <w:rPr>
                <w:noProof/>
                <w:webHidden/>
              </w:rPr>
              <w:instrText xml:space="preserve"> PAGEREF _Toc58842662 \h </w:instrText>
            </w:r>
            <w:r w:rsidR="00EC4015">
              <w:rPr>
                <w:noProof/>
                <w:webHidden/>
              </w:rPr>
            </w:r>
            <w:r w:rsidR="00EC4015">
              <w:rPr>
                <w:noProof/>
                <w:webHidden/>
              </w:rPr>
              <w:fldChar w:fldCharType="separate"/>
            </w:r>
            <w:r w:rsidR="00EC4015">
              <w:rPr>
                <w:noProof/>
                <w:webHidden/>
              </w:rPr>
              <w:t>10</w:t>
            </w:r>
            <w:r w:rsidR="00EC4015">
              <w:rPr>
                <w:noProof/>
                <w:webHidden/>
              </w:rPr>
              <w:fldChar w:fldCharType="end"/>
            </w:r>
          </w:hyperlink>
        </w:p>
        <w:p w14:paraId="5F71DD8F" w14:textId="77777777" w:rsidR="00EC4015" w:rsidRDefault="00342CB9">
          <w:pPr>
            <w:pStyle w:val="TOC1"/>
            <w:rPr>
              <w:rFonts w:eastAsiaTheme="minorEastAsia" w:cstheme="minorBidi"/>
              <w:noProof/>
              <w:lang w:eastAsia="en-AU"/>
            </w:rPr>
          </w:pPr>
          <w:hyperlink w:anchor="_Toc58842663" w:history="1">
            <w:r w:rsidR="00EC4015" w:rsidRPr="003B6FC0">
              <w:rPr>
                <w:rStyle w:val="Hyperlink"/>
                <w:noProof/>
              </w:rPr>
              <w:t>Accountability and trailing liability</w:t>
            </w:r>
            <w:r w:rsidR="00EC4015">
              <w:rPr>
                <w:noProof/>
                <w:webHidden/>
              </w:rPr>
              <w:tab/>
            </w:r>
            <w:r w:rsidR="00EC4015">
              <w:rPr>
                <w:noProof/>
                <w:webHidden/>
              </w:rPr>
              <w:fldChar w:fldCharType="begin"/>
            </w:r>
            <w:r w:rsidR="00EC4015">
              <w:rPr>
                <w:noProof/>
                <w:webHidden/>
              </w:rPr>
              <w:instrText xml:space="preserve"> PAGEREF _Toc58842663 \h </w:instrText>
            </w:r>
            <w:r w:rsidR="00EC4015">
              <w:rPr>
                <w:noProof/>
                <w:webHidden/>
              </w:rPr>
            </w:r>
            <w:r w:rsidR="00EC4015">
              <w:rPr>
                <w:noProof/>
                <w:webHidden/>
              </w:rPr>
              <w:fldChar w:fldCharType="separate"/>
            </w:r>
            <w:r w:rsidR="00EC4015">
              <w:rPr>
                <w:noProof/>
                <w:webHidden/>
              </w:rPr>
              <w:t>11</w:t>
            </w:r>
            <w:r w:rsidR="00EC4015">
              <w:rPr>
                <w:noProof/>
                <w:webHidden/>
              </w:rPr>
              <w:fldChar w:fldCharType="end"/>
            </w:r>
          </w:hyperlink>
        </w:p>
        <w:p w14:paraId="2E4D91B0" w14:textId="77777777" w:rsidR="00EC4015" w:rsidRDefault="00342CB9">
          <w:pPr>
            <w:pStyle w:val="TOC2"/>
            <w:tabs>
              <w:tab w:val="right" w:leader="dot" w:pos="9016"/>
            </w:tabs>
            <w:rPr>
              <w:rFonts w:eastAsiaTheme="minorEastAsia" w:cstheme="minorBidi"/>
              <w:noProof/>
              <w:lang w:eastAsia="en-AU"/>
            </w:rPr>
          </w:pPr>
          <w:hyperlink w:anchor="_Toc58842664" w:history="1">
            <w:r w:rsidR="00EC4015" w:rsidRPr="003B6FC0">
              <w:rPr>
                <w:rStyle w:val="Hyperlink"/>
                <w:noProof/>
              </w:rPr>
              <w:t>Early and proactive use of directions</w:t>
            </w:r>
            <w:r w:rsidR="00EC4015">
              <w:rPr>
                <w:noProof/>
                <w:webHidden/>
              </w:rPr>
              <w:tab/>
            </w:r>
            <w:r w:rsidR="00EC4015">
              <w:rPr>
                <w:noProof/>
                <w:webHidden/>
              </w:rPr>
              <w:fldChar w:fldCharType="begin"/>
            </w:r>
            <w:r w:rsidR="00EC4015">
              <w:rPr>
                <w:noProof/>
                <w:webHidden/>
              </w:rPr>
              <w:instrText xml:space="preserve"> PAGEREF _Toc58842664 \h </w:instrText>
            </w:r>
            <w:r w:rsidR="00EC4015">
              <w:rPr>
                <w:noProof/>
                <w:webHidden/>
              </w:rPr>
            </w:r>
            <w:r w:rsidR="00EC4015">
              <w:rPr>
                <w:noProof/>
                <w:webHidden/>
              </w:rPr>
              <w:fldChar w:fldCharType="separate"/>
            </w:r>
            <w:r w:rsidR="00EC4015">
              <w:rPr>
                <w:noProof/>
                <w:webHidden/>
              </w:rPr>
              <w:t>11</w:t>
            </w:r>
            <w:r w:rsidR="00EC4015">
              <w:rPr>
                <w:noProof/>
                <w:webHidden/>
              </w:rPr>
              <w:fldChar w:fldCharType="end"/>
            </w:r>
          </w:hyperlink>
        </w:p>
        <w:p w14:paraId="70DAE580" w14:textId="77777777" w:rsidR="00EC4015" w:rsidRDefault="00342CB9">
          <w:pPr>
            <w:pStyle w:val="TOC2"/>
            <w:tabs>
              <w:tab w:val="right" w:leader="dot" w:pos="9016"/>
            </w:tabs>
            <w:rPr>
              <w:rFonts w:eastAsiaTheme="minorEastAsia" w:cstheme="minorBidi"/>
              <w:noProof/>
              <w:lang w:eastAsia="en-AU"/>
            </w:rPr>
          </w:pPr>
          <w:hyperlink w:anchor="_Toc58842665" w:history="1">
            <w:r w:rsidR="00EC4015" w:rsidRPr="003B6FC0">
              <w:rPr>
                <w:rStyle w:val="Hyperlink"/>
                <w:noProof/>
              </w:rPr>
              <w:t>Public comment and transparent reporting</w:t>
            </w:r>
            <w:r w:rsidR="00EC4015">
              <w:rPr>
                <w:noProof/>
                <w:webHidden/>
              </w:rPr>
              <w:tab/>
            </w:r>
            <w:r w:rsidR="00EC4015">
              <w:rPr>
                <w:noProof/>
                <w:webHidden/>
              </w:rPr>
              <w:fldChar w:fldCharType="begin"/>
            </w:r>
            <w:r w:rsidR="00EC4015">
              <w:rPr>
                <w:noProof/>
                <w:webHidden/>
              </w:rPr>
              <w:instrText xml:space="preserve"> PAGEREF _Toc58842665 \h </w:instrText>
            </w:r>
            <w:r w:rsidR="00EC4015">
              <w:rPr>
                <w:noProof/>
                <w:webHidden/>
              </w:rPr>
            </w:r>
            <w:r w:rsidR="00EC4015">
              <w:rPr>
                <w:noProof/>
                <w:webHidden/>
              </w:rPr>
              <w:fldChar w:fldCharType="separate"/>
            </w:r>
            <w:r w:rsidR="00EC4015">
              <w:rPr>
                <w:noProof/>
                <w:webHidden/>
              </w:rPr>
              <w:t>12</w:t>
            </w:r>
            <w:r w:rsidR="00EC4015">
              <w:rPr>
                <w:noProof/>
                <w:webHidden/>
              </w:rPr>
              <w:fldChar w:fldCharType="end"/>
            </w:r>
          </w:hyperlink>
        </w:p>
        <w:p w14:paraId="18A3542B" w14:textId="77777777" w:rsidR="00EC4015" w:rsidRDefault="00342CB9">
          <w:pPr>
            <w:pStyle w:val="TOC2"/>
            <w:tabs>
              <w:tab w:val="right" w:leader="dot" w:pos="9016"/>
            </w:tabs>
            <w:rPr>
              <w:rFonts w:eastAsiaTheme="minorEastAsia" w:cstheme="minorBidi"/>
              <w:noProof/>
              <w:lang w:eastAsia="en-AU"/>
            </w:rPr>
          </w:pPr>
          <w:hyperlink w:anchor="_Toc58842666" w:history="1">
            <w:r w:rsidR="00EC4015" w:rsidRPr="003B6FC0">
              <w:rPr>
                <w:rStyle w:val="Hyperlink"/>
                <w:noProof/>
              </w:rPr>
              <w:t>Trailing liability</w:t>
            </w:r>
            <w:r w:rsidR="00EC4015">
              <w:rPr>
                <w:noProof/>
                <w:webHidden/>
              </w:rPr>
              <w:tab/>
            </w:r>
            <w:r w:rsidR="00EC4015">
              <w:rPr>
                <w:noProof/>
                <w:webHidden/>
              </w:rPr>
              <w:fldChar w:fldCharType="begin"/>
            </w:r>
            <w:r w:rsidR="00EC4015">
              <w:rPr>
                <w:noProof/>
                <w:webHidden/>
              </w:rPr>
              <w:instrText xml:space="preserve"> PAGEREF _Toc58842666 \h </w:instrText>
            </w:r>
            <w:r w:rsidR="00EC4015">
              <w:rPr>
                <w:noProof/>
                <w:webHidden/>
              </w:rPr>
            </w:r>
            <w:r w:rsidR="00EC4015">
              <w:rPr>
                <w:noProof/>
                <w:webHidden/>
              </w:rPr>
              <w:fldChar w:fldCharType="separate"/>
            </w:r>
            <w:r w:rsidR="00EC4015">
              <w:rPr>
                <w:noProof/>
                <w:webHidden/>
              </w:rPr>
              <w:t>12</w:t>
            </w:r>
            <w:r w:rsidR="00EC4015">
              <w:rPr>
                <w:noProof/>
                <w:webHidden/>
              </w:rPr>
              <w:fldChar w:fldCharType="end"/>
            </w:r>
          </w:hyperlink>
        </w:p>
        <w:p w14:paraId="4CE0A20E" w14:textId="77777777" w:rsidR="00EC4015" w:rsidRDefault="00342CB9">
          <w:pPr>
            <w:pStyle w:val="TOC1"/>
            <w:rPr>
              <w:rFonts w:eastAsiaTheme="minorEastAsia" w:cstheme="minorBidi"/>
              <w:noProof/>
              <w:lang w:eastAsia="en-AU"/>
            </w:rPr>
          </w:pPr>
          <w:hyperlink w:anchor="_Toc58842667" w:history="1">
            <w:r w:rsidR="00EC4015" w:rsidRPr="003B6FC0">
              <w:rPr>
                <w:rStyle w:val="Hyperlink"/>
                <w:noProof/>
              </w:rPr>
              <w:t>Appendix 1 – High-level overview of the framework in operation</w:t>
            </w:r>
            <w:r w:rsidR="00EC4015">
              <w:rPr>
                <w:noProof/>
                <w:webHidden/>
              </w:rPr>
              <w:tab/>
            </w:r>
            <w:r w:rsidR="00EC4015">
              <w:rPr>
                <w:noProof/>
                <w:webHidden/>
              </w:rPr>
              <w:fldChar w:fldCharType="begin"/>
            </w:r>
            <w:r w:rsidR="00EC4015">
              <w:rPr>
                <w:noProof/>
                <w:webHidden/>
              </w:rPr>
              <w:instrText xml:space="preserve"> PAGEREF _Toc58842667 \h </w:instrText>
            </w:r>
            <w:r w:rsidR="00EC4015">
              <w:rPr>
                <w:noProof/>
                <w:webHidden/>
              </w:rPr>
            </w:r>
            <w:r w:rsidR="00EC4015">
              <w:rPr>
                <w:noProof/>
                <w:webHidden/>
              </w:rPr>
              <w:fldChar w:fldCharType="separate"/>
            </w:r>
            <w:r w:rsidR="00EC4015">
              <w:rPr>
                <w:noProof/>
                <w:webHidden/>
              </w:rPr>
              <w:t>14</w:t>
            </w:r>
            <w:r w:rsidR="00EC4015">
              <w:rPr>
                <w:noProof/>
                <w:webHidden/>
              </w:rPr>
              <w:fldChar w:fldCharType="end"/>
            </w:r>
          </w:hyperlink>
        </w:p>
        <w:p w14:paraId="1C9A1546" w14:textId="77777777" w:rsidR="007F0CD8" w:rsidRDefault="007F0CD8" w:rsidP="004E2F77">
          <w:pPr>
            <w:spacing w:before="0"/>
            <w:rPr>
              <w:sz w:val="18"/>
            </w:rPr>
          </w:pPr>
          <w:r>
            <w:fldChar w:fldCharType="end"/>
          </w:r>
        </w:p>
      </w:sdtContent>
    </w:sdt>
    <w:p w14:paraId="1C9A1547" w14:textId="77777777" w:rsidR="007F0CD8" w:rsidRDefault="007F0CD8" w:rsidP="007F0CD8">
      <w:r>
        <w:br w:type="page"/>
      </w:r>
    </w:p>
    <w:p w14:paraId="1C9A1548" w14:textId="77777777" w:rsidR="00594089" w:rsidRPr="00183A22" w:rsidRDefault="00594089" w:rsidP="00183A22">
      <w:pPr>
        <w:pStyle w:val="Heading1"/>
      </w:pPr>
      <w:bookmarkStart w:id="35" w:name="_Toc50133018"/>
      <w:bookmarkStart w:id="36" w:name="_Toc50459488"/>
      <w:bookmarkStart w:id="37" w:name="_Toc56441062"/>
      <w:bookmarkStart w:id="38" w:name="_Toc58842655"/>
      <w:bookmarkStart w:id="39" w:name="_Toc19023741"/>
      <w:r w:rsidRPr="00183A22">
        <w:lastRenderedPageBreak/>
        <w:t>Overview</w:t>
      </w:r>
      <w:bookmarkEnd w:id="35"/>
      <w:bookmarkEnd w:id="36"/>
      <w:bookmarkEnd w:id="37"/>
      <w:bookmarkEnd w:id="38"/>
    </w:p>
    <w:p w14:paraId="1C9A1549" w14:textId="77777777" w:rsidR="00594089" w:rsidRDefault="00594089" w:rsidP="00183A22">
      <w:r w:rsidRPr="00E95616">
        <w:t>Australia’s offshore oil and gas industry has</w:t>
      </w:r>
      <w:r>
        <w:t xml:space="preserve"> </w:t>
      </w:r>
      <w:r w:rsidRPr="00E95616">
        <w:t xml:space="preserve">supported Australia’s energy security and economic activity </w:t>
      </w:r>
      <w:r>
        <w:t>for</w:t>
      </w:r>
      <w:r w:rsidRPr="00E95616">
        <w:t xml:space="preserve"> over 50 years</w:t>
      </w:r>
      <w:r>
        <w:t xml:space="preserve">. </w:t>
      </w:r>
      <w:r w:rsidRPr="00E95616">
        <w:t xml:space="preserve">As </w:t>
      </w:r>
      <w:r w:rsidR="00B511F7">
        <w:t xml:space="preserve">Australia’s offshore petroleum </w:t>
      </w:r>
      <w:r w:rsidRPr="00E95616">
        <w:t xml:space="preserve">industry </w:t>
      </w:r>
      <w:r>
        <w:t>continues</w:t>
      </w:r>
      <w:r w:rsidR="00F044DB">
        <w:t xml:space="preserve"> to</w:t>
      </w:r>
      <w:r>
        <w:t xml:space="preserve"> </w:t>
      </w:r>
      <w:r w:rsidRPr="00E95616">
        <w:t>mature</w:t>
      </w:r>
      <w:r>
        <w:t xml:space="preserve">, </w:t>
      </w:r>
      <w:r w:rsidRPr="00E95616">
        <w:t>there will be an increase</w:t>
      </w:r>
      <w:r>
        <w:t xml:space="preserve">d focus on the </w:t>
      </w:r>
      <w:r w:rsidRPr="00E95616">
        <w:t xml:space="preserve">management </w:t>
      </w:r>
      <w:r>
        <w:t>of</w:t>
      </w:r>
      <w:r w:rsidRPr="00E95616">
        <w:t xml:space="preserve"> mid-to-late-life asset</w:t>
      </w:r>
      <w:r>
        <w:t>s. This</w:t>
      </w:r>
      <w:r w:rsidRPr="00E95616">
        <w:t xml:space="preserve"> includ</w:t>
      </w:r>
      <w:r>
        <w:t>es</w:t>
      </w:r>
      <w:r w:rsidRPr="00E95616">
        <w:t xml:space="preserve"> managing declining production while preparing to decommission</w:t>
      </w:r>
      <w:r>
        <w:t xml:space="preserve"> offshore facilities, wells and pipelines</w:t>
      </w:r>
      <w:r w:rsidR="00B511F7">
        <w:t>.</w:t>
      </w:r>
    </w:p>
    <w:p w14:paraId="1C9A154A" w14:textId="77777777" w:rsidR="00432E22" w:rsidRDefault="00432E22" w:rsidP="00432E22">
      <w:pPr>
        <w:keepNext/>
        <w:spacing w:after="0"/>
      </w:pPr>
      <w:r>
        <w:rPr>
          <w:noProof/>
          <w:lang w:eastAsia="en-AU"/>
        </w:rPr>
        <w:drawing>
          <wp:inline distT="0" distB="0" distL="0" distR="0" wp14:anchorId="1C9A15D3" wp14:editId="1759AA73">
            <wp:extent cx="5827460" cy="2415396"/>
            <wp:effectExtent l="0" t="0" r="1905" b="4445"/>
            <wp:docPr id="2" name="Picture 2" descr="Industry and regulator maturation over time" title="Figure 1: Industry and regulator maturat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PTA-Figure_15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2597" cy="2508712"/>
                    </a:xfrm>
                    <a:prstGeom prst="rect">
                      <a:avLst/>
                    </a:prstGeom>
                    <a:noFill/>
                    <a:ln>
                      <a:noFill/>
                    </a:ln>
                  </pic:spPr>
                </pic:pic>
              </a:graphicData>
            </a:graphic>
          </wp:inline>
        </w:drawing>
      </w:r>
    </w:p>
    <w:p w14:paraId="1C9A154B" w14:textId="77777777" w:rsidR="00432E22" w:rsidRPr="00C258CE" w:rsidRDefault="00432E22" w:rsidP="00432E22">
      <w:pPr>
        <w:pStyle w:val="Caption"/>
        <w:spacing w:before="0"/>
      </w:pPr>
      <w:r w:rsidRPr="00C258CE">
        <w:t xml:space="preserve">Figure </w:t>
      </w:r>
      <w:r w:rsidRPr="00C258CE">
        <w:rPr>
          <w:noProof/>
        </w:rPr>
        <w:fldChar w:fldCharType="begin"/>
      </w:r>
      <w:r w:rsidRPr="00C258CE">
        <w:rPr>
          <w:noProof/>
        </w:rPr>
        <w:instrText xml:space="preserve"> SEQ Figure \* ARABIC </w:instrText>
      </w:r>
      <w:r w:rsidRPr="00C258CE">
        <w:rPr>
          <w:noProof/>
        </w:rPr>
        <w:fldChar w:fldCharType="separate"/>
      </w:r>
      <w:r w:rsidR="00EC4015">
        <w:rPr>
          <w:noProof/>
        </w:rPr>
        <w:t>1</w:t>
      </w:r>
      <w:r w:rsidRPr="00C258CE">
        <w:rPr>
          <w:noProof/>
        </w:rPr>
        <w:fldChar w:fldCharType="end"/>
      </w:r>
      <w:r>
        <w:t>: Industry and regulator maturation over time</w:t>
      </w:r>
    </w:p>
    <w:p w14:paraId="1C9A154C" w14:textId="77777777" w:rsidR="00594089" w:rsidRPr="008211C5" w:rsidRDefault="00D57CDC" w:rsidP="00183A22">
      <w:pPr>
        <w:rPr>
          <w:sz w:val="24"/>
          <w:szCs w:val="24"/>
          <w:lang w:val="en" w:eastAsia="en-AU"/>
        </w:rPr>
      </w:pPr>
      <w:r>
        <w:t>There are particular point</w:t>
      </w:r>
      <w:r w:rsidR="00CB6DBC">
        <w:t>s</w:t>
      </w:r>
      <w:r>
        <w:t xml:space="preserve"> in the lifecycle of an industry when policies and regulatory practices need to adapt to changing circumstances. For Australia, that time is now. </w:t>
      </w:r>
      <w:r w:rsidR="00594089">
        <w:t xml:space="preserve">This paper outlines </w:t>
      </w:r>
      <w:r w:rsidR="00B511F7">
        <w:t xml:space="preserve">the department’s proposal for </w:t>
      </w:r>
      <w:r w:rsidR="00594089">
        <w:t xml:space="preserve">an enhanced framework </w:t>
      </w:r>
      <w:r w:rsidR="00594089" w:rsidRPr="00867925">
        <w:t xml:space="preserve">to ensure the </w:t>
      </w:r>
      <w:r w:rsidR="00594089">
        <w:t xml:space="preserve">Australian </w:t>
      </w:r>
      <w:r w:rsidR="00594089" w:rsidRPr="00867925">
        <w:t xml:space="preserve">regime </w:t>
      </w:r>
      <w:r w:rsidR="00594089">
        <w:t>is clear, fit for purpose</w:t>
      </w:r>
      <w:r w:rsidR="00594089" w:rsidRPr="00867925">
        <w:t xml:space="preserve"> </w:t>
      </w:r>
      <w:r w:rsidR="00594089">
        <w:t xml:space="preserve">and </w:t>
      </w:r>
      <w:r w:rsidR="00594089" w:rsidRPr="00867925">
        <w:t>leading practice</w:t>
      </w:r>
      <w:r w:rsidR="00594089">
        <w:t>. This framework will ensure</w:t>
      </w:r>
      <w:r w:rsidR="00594089" w:rsidRPr="00867925">
        <w:t xml:space="preserve"> future decommissioning challenges </w:t>
      </w:r>
      <w:r w:rsidR="00594089">
        <w:t>have</w:t>
      </w:r>
      <w:r w:rsidR="00594089" w:rsidRPr="00867925">
        <w:t xml:space="preserve"> effective regulatory oversight and robust financial safety nets to</w:t>
      </w:r>
      <w:r w:rsidR="00B511F7">
        <w:t xml:space="preserve"> strengthen protections for the environment, the </w:t>
      </w:r>
      <w:r w:rsidR="00594089">
        <w:t xml:space="preserve">industry, the </w:t>
      </w:r>
      <w:r w:rsidR="00594089" w:rsidRPr="00867925">
        <w:t>Aust</w:t>
      </w:r>
      <w:r w:rsidR="00B511F7">
        <w:t>ralian Government</w:t>
      </w:r>
      <w:r w:rsidR="00594089">
        <w:t xml:space="preserve"> and taxpayers.</w:t>
      </w:r>
    </w:p>
    <w:p w14:paraId="1C9A154D" w14:textId="77777777" w:rsidR="00594089" w:rsidRDefault="00594089" w:rsidP="00183A22">
      <w:r w:rsidRPr="00E95616">
        <w:t xml:space="preserve">Decommissioning is a normal, planned activity for the petroleum industry. </w:t>
      </w:r>
      <w:r>
        <w:t>It includes:</w:t>
      </w:r>
    </w:p>
    <w:p w14:paraId="1C9A154E" w14:textId="77777777" w:rsidR="00594089" w:rsidRDefault="00594089" w:rsidP="00183A22">
      <w:pPr>
        <w:pStyle w:val="ListParagraph"/>
        <w:numPr>
          <w:ilvl w:val="0"/>
          <w:numId w:val="34"/>
        </w:numPr>
        <w:spacing w:after="180"/>
      </w:pPr>
      <w:r>
        <w:t>Maintaining and removing property</w:t>
      </w:r>
      <w:r w:rsidR="00F044DB">
        <w:t>,</w:t>
      </w:r>
      <w:r>
        <w:t xml:space="preserve"> equipment, infrastructure, </w:t>
      </w:r>
      <w:r w:rsidRPr="00C81725">
        <w:t>s</w:t>
      </w:r>
      <w:r>
        <w:t>uch as a facility or a pipeline</w:t>
      </w:r>
      <w:r w:rsidRPr="00C81725">
        <w:t xml:space="preserve"> and </w:t>
      </w:r>
      <w:r>
        <w:t>plu</w:t>
      </w:r>
      <w:r w:rsidR="00F044DB">
        <w:t>g</w:t>
      </w:r>
      <w:r>
        <w:t>g</w:t>
      </w:r>
      <w:r w:rsidR="00F044DB">
        <w:t>ing/closing</w:t>
      </w:r>
      <w:r>
        <w:t xml:space="preserve">-off </w:t>
      </w:r>
      <w:r w:rsidR="00B511F7">
        <w:t xml:space="preserve">of </w:t>
      </w:r>
      <w:r w:rsidRPr="00C81725">
        <w:t>wells associated with a petroleum activity</w:t>
      </w:r>
      <w:r>
        <w:t>.</w:t>
      </w:r>
    </w:p>
    <w:p w14:paraId="1C9A154F" w14:textId="77777777" w:rsidR="00594089" w:rsidRDefault="00594089" w:rsidP="00183A22">
      <w:pPr>
        <w:pStyle w:val="ListParagraph"/>
        <w:numPr>
          <w:ilvl w:val="0"/>
          <w:numId w:val="34"/>
        </w:numPr>
        <w:spacing w:after="180"/>
      </w:pPr>
      <w:proofErr w:type="gramStart"/>
      <w:r>
        <w:t>Restoring the environment.</w:t>
      </w:r>
      <w:proofErr w:type="gramEnd"/>
    </w:p>
    <w:p w14:paraId="1C9A1550" w14:textId="77777777" w:rsidR="00594089" w:rsidRPr="002E486D" w:rsidRDefault="00594089" w:rsidP="00183A22">
      <w:r>
        <w:t>As the industry continues to mature,</w:t>
      </w:r>
      <w:r w:rsidRPr="00E95616">
        <w:t xml:space="preserve"> large </w:t>
      </w:r>
      <w:r>
        <w:t>companies</w:t>
      </w:r>
      <w:r w:rsidRPr="00E95616">
        <w:t xml:space="preserve"> </w:t>
      </w:r>
      <w:r>
        <w:t>may move to</w:t>
      </w:r>
      <w:r w:rsidRPr="00E95616">
        <w:t xml:space="preserve"> divest their mature assets to focus on </w:t>
      </w:r>
      <w:r>
        <w:t xml:space="preserve">areas of new </w:t>
      </w:r>
      <w:r w:rsidRPr="00E95616">
        <w:t>production</w:t>
      </w:r>
      <w:r>
        <w:t xml:space="preserve"> potential</w:t>
      </w:r>
      <w:r w:rsidRPr="00E95616">
        <w:t xml:space="preserve">. Australia can expect to see new entrants to the industry—smaller companies or joint ventures who bring a fresh perspective </w:t>
      </w:r>
      <w:r>
        <w:t xml:space="preserve">and </w:t>
      </w:r>
      <w:r w:rsidRPr="00E95616">
        <w:t>a different risk profile. As this transition occurs, government will focus on appropriate stewardship and management of the resource</w:t>
      </w:r>
      <w:r>
        <w:t>,</w:t>
      </w:r>
      <w:r w:rsidRPr="00E95616">
        <w:t xml:space="preserve"> </w:t>
      </w:r>
      <w:r>
        <w:t xml:space="preserve">robust technical and financial capacity of </w:t>
      </w:r>
      <w:r w:rsidRPr="002E486D">
        <w:t>operators and the planning for decommissioning.</w:t>
      </w:r>
    </w:p>
    <w:p w14:paraId="1C9A1551" w14:textId="77777777" w:rsidR="00594089" w:rsidRPr="002E486D" w:rsidRDefault="00594089" w:rsidP="00183A22">
      <w:r w:rsidRPr="002E486D">
        <w:t xml:space="preserve">This paper outlines opportunities to enhance the current </w:t>
      </w:r>
      <w:r>
        <w:t>framework</w:t>
      </w:r>
      <w:r w:rsidRPr="002E486D">
        <w:t xml:space="preserve"> to manage the financial and environmental risks associated with mature assets. These </w:t>
      </w:r>
      <w:proofErr w:type="gramStart"/>
      <w:r w:rsidR="00B67722">
        <w:t>measure</w:t>
      </w:r>
      <w:proofErr w:type="gramEnd"/>
      <w:r w:rsidR="00B67722">
        <w:t xml:space="preserve"> </w:t>
      </w:r>
      <w:r w:rsidRPr="002E486D">
        <w:t xml:space="preserve">include: </w:t>
      </w:r>
    </w:p>
    <w:p w14:paraId="1C9A1552" w14:textId="77777777" w:rsidR="00594089" w:rsidRPr="002E486D" w:rsidRDefault="00022531" w:rsidP="00594089">
      <w:pPr>
        <w:pStyle w:val="ListParagraph"/>
        <w:numPr>
          <w:ilvl w:val="0"/>
          <w:numId w:val="25"/>
        </w:numPr>
        <w:spacing w:after="180"/>
      </w:pPr>
      <w:proofErr w:type="gramStart"/>
      <w:r>
        <w:t>I</w:t>
      </w:r>
      <w:r w:rsidR="00594089" w:rsidRPr="002E486D">
        <w:t>ncreased oversight of changes in company control</w:t>
      </w:r>
      <w:r>
        <w:t>.</w:t>
      </w:r>
      <w:proofErr w:type="gramEnd"/>
    </w:p>
    <w:p w14:paraId="1C9A1553" w14:textId="77777777" w:rsidR="00594089" w:rsidRPr="002E486D" w:rsidRDefault="00022531" w:rsidP="00594089">
      <w:pPr>
        <w:pStyle w:val="ListParagraph"/>
        <w:numPr>
          <w:ilvl w:val="0"/>
          <w:numId w:val="25"/>
        </w:numPr>
        <w:spacing w:after="180"/>
      </w:pPr>
      <w:proofErr w:type="gramStart"/>
      <w:r>
        <w:t>I</w:t>
      </w:r>
      <w:r w:rsidR="00594089">
        <w:t>ncreased oversight of financial assurance, including the use of bonds and securities</w:t>
      </w:r>
      <w:r>
        <w:t>.</w:t>
      </w:r>
      <w:proofErr w:type="gramEnd"/>
    </w:p>
    <w:p w14:paraId="1C9A1554" w14:textId="77777777" w:rsidR="00594089" w:rsidRPr="002E486D" w:rsidRDefault="00022531" w:rsidP="00594089">
      <w:pPr>
        <w:pStyle w:val="ListParagraph"/>
        <w:numPr>
          <w:ilvl w:val="0"/>
          <w:numId w:val="25"/>
        </w:numPr>
        <w:spacing w:after="180"/>
      </w:pPr>
      <w:proofErr w:type="gramStart"/>
      <w:r>
        <w:lastRenderedPageBreak/>
        <w:t>M</w:t>
      </w:r>
      <w:r w:rsidR="00594089" w:rsidRPr="002E486D">
        <w:t>odernising Field Development Plans</w:t>
      </w:r>
      <w:r>
        <w:t>.</w:t>
      </w:r>
      <w:proofErr w:type="gramEnd"/>
    </w:p>
    <w:p w14:paraId="1C9A1555" w14:textId="77777777" w:rsidR="00594089" w:rsidRPr="002E486D" w:rsidRDefault="00022531" w:rsidP="00594089">
      <w:pPr>
        <w:pStyle w:val="ListParagraph"/>
        <w:numPr>
          <w:ilvl w:val="0"/>
          <w:numId w:val="25"/>
        </w:numPr>
        <w:spacing w:after="180"/>
      </w:pPr>
      <w:r>
        <w:t>E</w:t>
      </w:r>
      <w:r w:rsidR="00594089" w:rsidRPr="002E486D">
        <w:t>arly and proactive use of remedial directions powers</w:t>
      </w:r>
      <w:r>
        <w:t>.</w:t>
      </w:r>
    </w:p>
    <w:p w14:paraId="1C9A1556" w14:textId="77777777" w:rsidR="00432E22" w:rsidRDefault="00974249" w:rsidP="00183A22">
      <w:pPr>
        <w:pStyle w:val="ListParagraph"/>
        <w:numPr>
          <w:ilvl w:val="0"/>
          <w:numId w:val="25"/>
        </w:numPr>
        <w:spacing w:after="180"/>
      </w:pPr>
      <w:proofErr w:type="gramStart"/>
      <w:r>
        <w:t>Public comment and transparent reporting.</w:t>
      </w:r>
      <w:proofErr w:type="gramEnd"/>
    </w:p>
    <w:p w14:paraId="1C9A1557" w14:textId="77777777" w:rsidR="00183A22" w:rsidRPr="002E486D" w:rsidRDefault="00022531" w:rsidP="00432E22">
      <w:pPr>
        <w:pStyle w:val="ListParagraph"/>
        <w:numPr>
          <w:ilvl w:val="0"/>
          <w:numId w:val="25"/>
        </w:numPr>
        <w:spacing w:after="180"/>
      </w:pPr>
      <w:proofErr w:type="gramStart"/>
      <w:r>
        <w:t>E</w:t>
      </w:r>
      <w:r w:rsidR="00594089">
        <w:t xml:space="preserve">nhancing </w:t>
      </w:r>
      <w:r w:rsidR="00594089" w:rsidRPr="002E486D">
        <w:t>trailing liability to apply in a</w:t>
      </w:r>
      <w:r w:rsidR="00183A22">
        <w:t xml:space="preserve"> greater range of circumstances</w:t>
      </w:r>
      <w:r>
        <w:t>.</w:t>
      </w:r>
      <w:proofErr w:type="gramEnd"/>
    </w:p>
    <w:p w14:paraId="1C9A1558" w14:textId="77777777" w:rsidR="00594089" w:rsidRDefault="00594089" w:rsidP="00183A22">
      <w:r w:rsidRPr="00867925">
        <w:t xml:space="preserve">Wood Mackenzie </w:t>
      </w:r>
      <w:r w:rsidR="00432E22">
        <w:t>modelled the Australian</w:t>
      </w:r>
      <w:r>
        <w:t xml:space="preserve"> petroleum industry decommissioning liability</w:t>
      </w:r>
      <w:r w:rsidR="00432E22">
        <w:t xml:space="preserve"> (both onshore and offshore)</w:t>
      </w:r>
      <w:r>
        <w:t xml:space="preserve"> to be </w:t>
      </w:r>
      <w:r w:rsidRPr="00867925">
        <w:t xml:space="preserve">more than </w:t>
      </w:r>
      <w:proofErr w:type="spellStart"/>
      <w:proofErr w:type="gramStart"/>
      <w:r w:rsidRPr="00867925">
        <w:t>A$</w:t>
      </w:r>
      <w:proofErr w:type="gramEnd"/>
      <w:r w:rsidRPr="00867925">
        <w:t>60</w:t>
      </w:r>
      <w:proofErr w:type="spellEnd"/>
      <w:r w:rsidRPr="00867925">
        <w:t xml:space="preserve"> billion over the next 30 years</w:t>
      </w:r>
      <w:r>
        <w:t>.</w:t>
      </w:r>
      <w:r>
        <w:rPr>
          <w:rStyle w:val="FootnoteReference"/>
        </w:rPr>
        <w:footnoteReference w:id="2"/>
      </w:r>
      <w:r>
        <w:t xml:space="preserve"> This </w:t>
      </w:r>
      <w:r w:rsidRPr="00867925">
        <w:t xml:space="preserve">figure </w:t>
      </w:r>
      <w:proofErr w:type="gramStart"/>
      <w:r>
        <w:t>i</w:t>
      </w:r>
      <w:r w:rsidRPr="00867925">
        <w:t>s based</w:t>
      </w:r>
      <w:proofErr w:type="gramEnd"/>
      <w:r w:rsidRPr="00867925">
        <w:t xml:space="preserve"> on full removal </w:t>
      </w:r>
      <w:r>
        <w:t xml:space="preserve">of assets </w:t>
      </w:r>
      <w:r w:rsidRPr="00867925">
        <w:t xml:space="preserve">and no extensions to the productive life of </w:t>
      </w:r>
      <w:r>
        <w:t xml:space="preserve">any </w:t>
      </w:r>
      <w:r w:rsidRPr="00867925">
        <w:t>existing infrastructure</w:t>
      </w:r>
      <w:r w:rsidR="00432E22">
        <w:t xml:space="preserve">. </w:t>
      </w:r>
      <w:r w:rsidRPr="00867925">
        <w:t xml:space="preserve">As the industry continues to mature, this liability </w:t>
      </w:r>
      <w:r>
        <w:t>and abandonment expenditure (</w:t>
      </w:r>
      <w:proofErr w:type="spellStart"/>
      <w:r>
        <w:t>ABEX</w:t>
      </w:r>
      <w:proofErr w:type="spellEnd"/>
      <w:r>
        <w:t>)</w:t>
      </w:r>
      <w:r w:rsidRPr="00867925">
        <w:t xml:space="preserve"> will be realised in part. </w:t>
      </w:r>
    </w:p>
    <w:p w14:paraId="1C9A1559" w14:textId="77777777" w:rsidR="00594089" w:rsidRDefault="00594089" w:rsidP="00183A22">
      <w:r>
        <w:t>T</w:t>
      </w:r>
      <w:r w:rsidRPr="00867925">
        <w:t>o ensure regulatory certainty</w:t>
      </w:r>
      <w:r>
        <w:t xml:space="preserve"> for this liability, </w:t>
      </w:r>
      <w:r w:rsidRPr="00867925">
        <w:t xml:space="preserve">the </w:t>
      </w:r>
      <w:r>
        <w:t>D</w:t>
      </w:r>
      <w:r w:rsidRPr="00867925">
        <w:t xml:space="preserve">epartment </w:t>
      </w:r>
      <w:r>
        <w:t xml:space="preserve">of Industry, Science, Energy and Resources </w:t>
      </w:r>
      <w:r w:rsidRPr="00867925">
        <w:t xml:space="preserve">has </w:t>
      </w:r>
      <w:r>
        <w:t>undertaken a review of</w:t>
      </w:r>
      <w:r w:rsidRPr="00867925">
        <w:t xml:space="preserve"> the</w:t>
      </w:r>
      <w:r>
        <w:t xml:space="preserve"> legislative, regulatory and policy requirements for offshore oil and gas </w:t>
      </w:r>
      <w:r w:rsidRPr="00867925">
        <w:t>decommissioning</w:t>
      </w:r>
      <w:r>
        <w:t xml:space="preserve">. This review commenced in October 2018 with a </w:t>
      </w:r>
      <w:hyperlink r:id="rId19" w:history="1">
        <w:r w:rsidRPr="000D4DBE">
          <w:rPr>
            <w:rStyle w:val="Hyperlink"/>
          </w:rPr>
          <w:t>discussion pape</w:t>
        </w:r>
        <w:r w:rsidRPr="000D4DBE">
          <w:rPr>
            <w:rStyle w:val="Hyperlink"/>
          </w:rPr>
          <w:t>r</w:t>
        </w:r>
      </w:hyperlink>
      <w:r>
        <w:t xml:space="preserve"> released for public consultation</w:t>
      </w:r>
      <w:r w:rsidR="00432E22">
        <w:t>,</w:t>
      </w:r>
      <w:r>
        <w:t xml:space="preserve"> with workshops and consulta</w:t>
      </w:r>
      <w:r w:rsidR="00432E22">
        <w:t>tion occurring throughout 2019.</w:t>
      </w:r>
    </w:p>
    <w:p w14:paraId="1C9A155A" w14:textId="77777777" w:rsidR="00594089" w:rsidRPr="00432E22" w:rsidRDefault="00594089" w:rsidP="00183A22">
      <w:r w:rsidRPr="00432E22">
        <w:t>As the review was underway, the Northern Oil and Gas Australia (</w:t>
      </w:r>
      <w:proofErr w:type="spellStart"/>
      <w:r w:rsidRPr="00432E22">
        <w:t>NOGA</w:t>
      </w:r>
      <w:proofErr w:type="spellEnd"/>
      <w:r w:rsidRPr="00432E22">
        <w:t xml:space="preserve">) group of companies </w:t>
      </w:r>
      <w:r w:rsidRPr="00432E22">
        <w:rPr>
          <w:lang w:val="en"/>
        </w:rPr>
        <w:t>entered into voluntary administration in September 2019, followed by liquidation in Febr</w:t>
      </w:r>
      <w:r w:rsidR="00432E22">
        <w:rPr>
          <w:lang w:val="en"/>
        </w:rPr>
        <w:t xml:space="preserve">uary 2020. One of the companies in the </w:t>
      </w:r>
      <w:proofErr w:type="spellStart"/>
      <w:r w:rsidR="00432E22">
        <w:rPr>
          <w:lang w:val="en"/>
        </w:rPr>
        <w:t>NOGA</w:t>
      </w:r>
      <w:proofErr w:type="spellEnd"/>
      <w:r w:rsidR="00432E22">
        <w:rPr>
          <w:lang w:val="en"/>
        </w:rPr>
        <w:t xml:space="preserve"> group </w:t>
      </w:r>
      <w:r w:rsidRPr="00432E22">
        <w:rPr>
          <w:lang w:val="en"/>
        </w:rPr>
        <w:t xml:space="preserve">held two petroleum production titles in the Timor Sea and owned the Northern Endeavour floating production storage and </w:t>
      </w:r>
      <w:r w:rsidRPr="00432E22">
        <w:t>offtake facility. All production has ceased at the facility. The Australian Government is now ensuring its safety and the protection of the marine environment.</w:t>
      </w:r>
    </w:p>
    <w:p w14:paraId="1C9A155B" w14:textId="77777777" w:rsidR="00594089" w:rsidRDefault="00594089" w:rsidP="00183A22">
      <w:r w:rsidRPr="00432E22">
        <w:rPr>
          <w:lang w:val="en"/>
        </w:rPr>
        <w:t>This</w:t>
      </w:r>
      <w:r w:rsidRPr="00432E22" w:rsidDel="00C15EAB">
        <w:rPr>
          <w:lang w:val="en"/>
        </w:rPr>
        <w:t xml:space="preserve"> </w:t>
      </w:r>
      <w:r w:rsidRPr="00432E22">
        <w:rPr>
          <w:lang w:val="en"/>
        </w:rPr>
        <w:t>is an unprecedented event in</w:t>
      </w:r>
      <w:r w:rsidR="00432E22">
        <w:rPr>
          <w:lang w:val="en"/>
        </w:rPr>
        <w:t xml:space="preserve"> Australia’s offshore industry </w:t>
      </w:r>
      <w:r w:rsidRPr="00432E22">
        <w:rPr>
          <w:lang w:val="en"/>
        </w:rPr>
        <w:t xml:space="preserve">and the government is considering how to </w:t>
      </w:r>
      <w:proofErr w:type="spellStart"/>
      <w:r w:rsidRPr="00432E22">
        <w:rPr>
          <w:lang w:val="en"/>
        </w:rPr>
        <w:t>minimi</w:t>
      </w:r>
      <w:r w:rsidR="0032707F">
        <w:rPr>
          <w:lang w:val="en"/>
        </w:rPr>
        <w:t>se</w:t>
      </w:r>
      <w:proofErr w:type="spellEnd"/>
      <w:r w:rsidR="0032707F">
        <w:rPr>
          <w:lang w:val="en"/>
        </w:rPr>
        <w:t xml:space="preserve"> the risk of a similar event </w:t>
      </w:r>
      <w:r w:rsidRPr="00432E22">
        <w:rPr>
          <w:lang w:val="en"/>
        </w:rPr>
        <w:t>occurring. The Minister for Resources, Water and Northern Australia, the Hon Keith Pitt</w:t>
      </w:r>
      <w:r w:rsidR="0032707F">
        <w:rPr>
          <w:lang w:val="en"/>
        </w:rPr>
        <w:t xml:space="preserve"> MP, appointed</w:t>
      </w:r>
      <w:r w:rsidRPr="00432E22">
        <w:rPr>
          <w:lang w:val="en"/>
        </w:rPr>
        <w:t xml:space="preserve"> Steve Walker to review the circumstances that led to the administration</w:t>
      </w:r>
      <w:r w:rsidRPr="00C003DE">
        <w:rPr>
          <w:lang w:val="en"/>
        </w:rPr>
        <w:t xml:space="preserve">. </w:t>
      </w:r>
      <w:r w:rsidR="00B53935">
        <w:rPr>
          <w:lang w:val="en"/>
        </w:rPr>
        <w:t xml:space="preserve">In August 2020, </w:t>
      </w:r>
      <w:hyperlink r:id="rId20" w:history="1">
        <w:r w:rsidR="00B53935">
          <w:rPr>
            <w:rStyle w:val="Hyperlink"/>
          </w:rPr>
          <w:t>t</w:t>
        </w:r>
        <w:r w:rsidRPr="00C003DE">
          <w:rPr>
            <w:rStyle w:val="Hyperlink"/>
          </w:rPr>
          <w:t>he Walke</w:t>
        </w:r>
        <w:r w:rsidRPr="00C003DE">
          <w:rPr>
            <w:rStyle w:val="Hyperlink"/>
          </w:rPr>
          <w:t>r</w:t>
        </w:r>
        <w:r w:rsidRPr="00C003DE">
          <w:rPr>
            <w:rStyle w:val="Hyperlink"/>
          </w:rPr>
          <w:t xml:space="preserve"> Review</w:t>
        </w:r>
      </w:hyperlink>
      <w:r w:rsidRPr="00C003DE">
        <w:t xml:space="preserve"> was released </w:t>
      </w:r>
      <w:r w:rsidR="0032707F" w:rsidRPr="00C003DE">
        <w:t>and</w:t>
      </w:r>
      <w:r w:rsidRPr="00C003DE">
        <w:t xml:space="preserve"> highlighted a number of areas where the framework needs </w:t>
      </w:r>
      <w:r w:rsidR="00C003DE" w:rsidRPr="00C003DE">
        <w:t>enhancing.</w:t>
      </w:r>
    </w:p>
    <w:p w14:paraId="1C9A155C" w14:textId="74290D71" w:rsidR="00594089" w:rsidRDefault="00B511F7" w:rsidP="00183A22">
      <w:r>
        <w:t>Overall, t</w:t>
      </w:r>
      <w:r w:rsidR="00594089">
        <w:t xml:space="preserve">he </w:t>
      </w:r>
      <w:r>
        <w:t xml:space="preserve">departments decommissioning </w:t>
      </w:r>
      <w:r w:rsidR="00594089">
        <w:t>review identified the</w:t>
      </w:r>
      <w:r w:rsidR="00190420">
        <w:t xml:space="preserve"> framework under the</w:t>
      </w:r>
      <w:r w:rsidR="00594089">
        <w:t xml:space="preserve"> </w:t>
      </w:r>
      <w:hyperlink r:id="rId21" w:history="1">
        <w:r w:rsidR="00190420" w:rsidRPr="00342CB9">
          <w:rPr>
            <w:rStyle w:val="Hyperlink"/>
            <w:i/>
          </w:rPr>
          <w:t>Offshore Petroleum and Greenhouse Gas Storage Act 2006</w:t>
        </w:r>
      </w:hyperlink>
      <w:r w:rsidR="00190420" w:rsidRPr="00E95616">
        <w:rPr>
          <w:i/>
        </w:rPr>
        <w:t xml:space="preserve"> </w:t>
      </w:r>
      <w:r w:rsidR="00190420">
        <w:t>(</w:t>
      </w:r>
      <w:r w:rsidR="00190420" w:rsidRPr="00342CB9">
        <w:t>the</w:t>
      </w:r>
      <w:r w:rsidR="00190420" w:rsidRPr="00342CB9">
        <w:t xml:space="preserve"> </w:t>
      </w:r>
      <w:r w:rsidR="00190420" w:rsidRPr="00342CB9">
        <w:t>Act</w:t>
      </w:r>
      <w:r w:rsidR="00190420">
        <w:t xml:space="preserve">) </w:t>
      </w:r>
      <w:r w:rsidR="00594089">
        <w:t>is broad enough to accommodate a maturing industry with a number of current provisions for decommissioning, such as:</w:t>
      </w:r>
    </w:p>
    <w:p w14:paraId="1C9A155D" w14:textId="77777777" w:rsidR="00594089" w:rsidRDefault="00594089" w:rsidP="00183A22">
      <w:pPr>
        <w:pStyle w:val="ListParagraph"/>
        <w:numPr>
          <w:ilvl w:val="0"/>
          <w:numId w:val="35"/>
        </w:numPr>
        <w:spacing w:after="180"/>
      </w:pPr>
      <w:r>
        <w:t>Arrangements for property and equipment, plugging and abandonment of wells and remediation activities prior to title surrender—section 270 of the Act.</w:t>
      </w:r>
    </w:p>
    <w:p w14:paraId="1C9A155E" w14:textId="77777777" w:rsidR="00594089" w:rsidRDefault="00B511F7" w:rsidP="00183A22">
      <w:pPr>
        <w:pStyle w:val="ListParagraph"/>
        <w:numPr>
          <w:ilvl w:val="0"/>
          <w:numId w:val="35"/>
        </w:numPr>
        <w:spacing w:after="180"/>
      </w:pPr>
      <w:r>
        <w:t>Financial assurance—</w:t>
      </w:r>
      <w:r w:rsidR="00594089">
        <w:t>section 571 of the Act.</w:t>
      </w:r>
    </w:p>
    <w:p w14:paraId="1C9A155F" w14:textId="77777777" w:rsidR="00594089" w:rsidRDefault="00594089" w:rsidP="00183A22">
      <w:pPr>
        <w:pStyle w:val="ListParagraph"/>
        <w:numPr>
          <w:ilvl w:val="0"/>
          <w:numId w:val="35"/>
        </w:numPr>
        <w:spacing w:after="180"/>
      </w:pPr>
      <w:r>
        <w:t>Maintenance and removal of property—section 572 of the Act.</w:t>
      </w:r>
    </w:p>
    <w:p w14:paraId="1C9A1560" w14:textId="77777777" w:rsidR="00594089" w:rsidRDefault="00594089" w:rsidP="00183A22">
      <w:pPr>
        <w:pStyle w:val="ListParagraph"/>
        <w:numPr>
          <w:ilvl w:val="0"/>
          <w:numId w:val="35"/>
        </w:numPr>
        <w:spacing w:after="180"/>
      </w:pPr>
      <w:r>
        <w:t>Directions relating to the restoration of the environment—part 6.4 of the Act.</w:t>
      </w:r>
    </w:p>
    <w:p w14:paraId="1C9A1561" w14:textId="367E55D4" w:rsidR="00B511F7" w:rsidRDefault="00594089" w:rsidP="00183A22">
      <w:pPr>
        <w:pStyle w:val="ListParagraph"/>
        <w:numPr>
          <w:ilvl w:val="0"/>
          <w:numId w:val="35"/>
        </w:numPr>
        <w:spacing w:after="180"/>
      </w:pPr>
      <w:r>
        <w:t xml:space="preserve">Regulatory process for the plugging and abandonment of wells—part </w:t>
      </w:r>
      <w:proofErr w:type="gramStart"/>
      <w:r>
        <w:t>5</w:t>
      </w:r>
      <w:proofErr w:type="gramEnd"/>
      <w:r>
        <w:t xml:space="preserve"> of the </w:t>
      </w:r>
      <w:r w:rsidRPr="009675FA">
        <w:t xml:space="preserve">Offshore Petroleum and Greenhouse Gas Storage (Resource Management and Administration) Regulations 2011 </w:t>
      </w:r>
      <w:r>
        <w:t>(</w:t>
      </w:r>
      <w:hyperlink r:id="rId22" w:history="1">
        <w:r w:rsidRPr="00342CB9">
          <w:rPr>
            <w:rStyle w:val="Hyperlink"/>
          </w:rPr>
          <w:t>RMA regulations</w:t>
        </w:r>
      </w:hyperlink>
      <w:r>
        <w:t>).</w:t>
      </w:r>
    </w:p>
    <w:p w14:paraId="1C9A1562" w14:textId="77777777" w:rsidR="00B511F7" w:rsidRDefault="00C003DE" w:rsidP="00B511F7">
      <w:r>
        <w:t xml:space="preserve">However, consistent with the Walker Review, the departments review did identify areas within the framework that need enhancing. </w:t>
      </w:r>
      <w:r w:rsidR="00AC1A67">
        <w:t xml:space="preserve">This paper outlines </w:t>
      </w:r>
      <w:r>
        <w:t xml:space="preserve">a </w:t>
      </w:r>
      <w:r w:rsidR="00B511F7">
        <w:t>high-level framework for decommissioning</w:t>
      </w:r>
      <w:r w:rsidR="00D57CDC">
        <w:t xml:space="preserve"> </w:t>
      </w:r>
      <w:r w:rsidR="00D57CDC">
        <w:lastRenderedPageBreak/>
        <w:t xml:space="preserve">and </w:t>
      </w:r>
      <w:r w:rsidR="00B511F7">
        <w:t>does not replicate the detail of issues</w:t>
      </w:r>
      <w:r w:rsidR="00D57CDC">
        <w:t xml:space="preserve">, most of which </w:t>
      </w:r>
      <w:r w:rsidR="00B511F7">
        <w:t xml:space="preserve">were covered in the department’s </w:t>
      </w:r>
      <w:r w:rsidR="00B511F7" w:rsidRPr="00342CB9">
        <w:t>discussion paper</w:t>
      </w:r>
      <w:r w:rsidR="00B511F7">
        <w:t xml:space="preserve">. We seek your views to inform the implementation of the framework. </w:t>
      </w:r>
    </w:p>
    <w:p w14:paraId="1C9A1563" w14:textId="77777777" w:rsidR="00594089" w:rsidRPr="00183A22" w:rsidRDefault="00594089" w:rsidP="00183A22">
      <w:pPr>
        <w:pStyle w:val="Quote"/>
        <w:rPr>
          <w:color w:val="005677" w:themeColor="text2"/>
        </w:rPr>
      </w:pPr>
      <w:r w:rsidRPr="00946D9D">
        <w:rPr>
          <w:color w:val="005677" w:themeColor="text2"/>
        </w:rPr>
        <w:t xml:space="preserve">Stakeholders should be aware legislative measures </w:t>
      </w:r>
      <w:proofErr w:type="gramStart"/>
      <w:r w:rsidRPr="00946D9D">
        <w:rPr>
          <w:color w:val="005677" w:themeColor="text2"/>
        </w:rPr>
        <w:t xml:space="preserve">are proposed to be </w:t>
      </w:r>
      <w:r w:rsidR="00946D9D" w:rsidRPr="00946D9D">
        <w:rPr>
          <w:color w:val="005677" w:themeColor="text2"/>
        </w:rPr>
        <w:t>backdated</w:t>
      </w:r>
      <w:proofErr w:type="gramEnd"/>
      <w:r w:rsidR="00946D9D" w:rsidRPr="00946D9D">
        <w:rPr>
          <w:color w:val="005677" w:themeColor="text2"/>
        </w:rPr>
        <w:t xml:space="preserve"> to be effective from 14</w:t>
      </w:r>
      <w:r w:rsidRPr="00946D9D">
        <w:rPr>
          <w:color w:val="005677" w:themeColor="text2"/>
        </w:rPr>
        <w:t xml:space="preserve"> </w:t>
      </w:r>
      <w:r w:rsidR="00183A22" w:rsidRPr="00946D9D">
        <w:rPr>
          <w:color w:val="005677" w:themeColor="text2"/>
        </w:rPr>
        <w:t>December</w:t>
      </w:r>
      <w:r w:rsidRPr="00946D9D">
        <w:rPr>
          <w:color w:val="005677" w:themeColor="text2"/>
        </w:rPr>
        <w:t xml:space="preserve"> 2020.</w:t>
      </w:r>
    </w:p>
    <w:p w14:paraId="1C9A1564" w14:textId="6FB1B8C0" w:rsidR="00594089" w:rsidRDefault="00594089" w:rsidP="00183A22">
      <w:bookmarkStart w:id="40" w:name="_Toc50133019"/>
      <w:bookmarkStart w:id="41" w:name="_Toc50459489"/>
      <w:bookmarkStart w:id="42" w:name="_Toc50133020"/>
      <w:bookmarkStart w:id="43" w:name="_Toc50459490"/>
      <w:bookmarkEnd w:id="40"/>
      <w:bookmarkEnd w:id="41"/>
      <w:r>
        <w:t xml:space="preserve">Complementing the framework are research and collaboration efforts by </w:t>
      </w:r>
      <w:hyperlink r:id="rId23" w:history="1">
        <w:r w:rsidRPr="00342CB9">
          <w:rPr>
            <w:rStyle w:val="Hyperlink"/>
          </w:rPr>
          <w:t>National Energy Resources Australia</w:t>
        </w:r>
      </w:hyperlink>
      <w:r w:rsidRPr="00C31C31">
        <w:rPr>
          <w:rStyle w:val="Hyperlink"/>
          <w:rFonts w:cs="Helvetica"/>
          <w:u w:val="none"/>
        </w:rPr>
        <w:t xml:space="preserve"> </w:t>
      </w:r>
      <w:r w:rsidRPr="00342CB9">
        <w:rPr>
          <w:rFonts w:cs="Helvetica"/>
          <w:color w:val="2D2D2D"/>
        </w:rPr>
        <w:t>(N</w:t>
      </w:r>
      <w:r w:rsidRPr="00342CB9">
        <w:rPr>
          <w:rFonts w:cs="Helvetica"/>
          <w:color w:val="2D2D2D"/>
        </w:rPr>
        <w:t>E</w:t>
      </w:r>
      <w:r w:rsidRPr="00342CB9">
        <w:rPr>
          <w:rFonts w:cs="Helvetica"/>
          <w:color w:val="2D2D2D"/>
        </w:rPr>
        <w:t>RA)</w:t>
      </w:r>
      <w:r>
        <w:rPr>
          <w:rFonts w:cs="Helvetica"/>
          <w:color w:val="2D2D2D"/>
        </w:rPr>
        <w:t xml:space="preserve">, Australia’s Industry Growth Centre for the energy resources </w:t>
      </w:r>
      <w:r w:rsidRPr="00C31C31">
        <w:rPr>
          <w:rFonts w:cs="Helvetica"/>
        </w:rPr>
        <w:t>sector. NERA is leading the development of the</w:t>
      </w:r>
      <w:r>
        <w:rPr>
          <w:rFonts w:cs="Helvetica"/>
        </w:rPr>
        <w:t xml:space="preserve"> </w:t>
      </w:r>
      <w:hyperlink r:id="rId24" w:history="1">
        <w:r w:rsidRPr="003042E5">
          <w:rPr>
            <w:rStyle w:val="Hyperlink"/>
            <w:rFonts w:cs="Helvetica"/>
          </w:rPr>
          <w:t>National De</w:t>
        </w:r>
        <w:r w:rsidRPr="003042E5">
          <w:rPr>
            <w:rStyle w:val="Hyperlink"/>
            <w:rFonts w:cs="Helvetica"/>
          </w:rPr>
          <w:t>c</w:t>
        </w:r>
        <w:r w:rsidRPr="003042E5">
          <w:rPr>
            <w:rStyle w:val="Hyperlink"/>
            <w:rFonts w:cs="Helvetica"/>
          </w:rPr>
          <w:t>ommissioning Research Initiative</w:t>
        </w:r>
      </w:hyperlink>
      <w:r>
        <w:rPr>
          <w:rFonts w:cs="Helvetica"/>
        </w:rPr>
        <w:t xml:space="preserve"> </w:t>
      </w:r>
      <w:r>
        <w:rPr>
          <w:rFonts w:cs="Helvetica"/>
          <w:color w:val="2D2D2D"/>
        </w:rPr>
        <w:t xml:space="preserve">and other projects </w:t>
      </w:r>
      <w:r w:rsidRPr="00643524">
        <w:rPr>
          <w:rFonts w:cs="Helvetica"/>
          <w:color w:val="2D2D2D"/>
        </w:rPr>
        <w:t>to improve community, regulatory and industry understanding of the impact of infrastructure on the marine environment</w:t>
      </w:r>
      <w:r>
        <w:rPr>
          <w:rFonts w:cs="Helvetica"/>
          <w:color w:val="2D2D2D"/>
        </w:rPr>
        <w:t xml:space="preserve">. </w:t>
      </w:r>
      <w:r>
        <w:t xml:space="preserve">NERA has also undertaken a comprehensive study of the scale and timing of </w:t>
      </w:r>
      <w:proofErr w:type="gramStart"/>
      <w:r>
        <w:t>Australia’s</w:t>
      </w:r>
      <w:proofErr w:type="gramEnd"/>
      <w:r>
        <w:t xml:space="preserve"> decommissioning task</w:t>
      </w:r>
      <w:r w:rsidR="00B53935">
        <w:t>,</w:t>
      </w:r>
      <w:r>
        <w:t xml:space="preserve"> which is consistent with the Wood Mackenzie </w:t>
      </w:r>
      <w:r w:rsidR="0032707F">
        <w:t>modelling.</w:t>
      </w:r>
    </w:p>
    <w:p w14:paraId="1C9A1565" w14:textId="77777777" w:rsidR="0032707F" w:rsidRDefault="0032707F" w:rsidP="00183A22">
      <w:r>
        <w:t>In 2021, the department will provide the final framework to government for consideration.</w:t>
      </w:r>
    </w:p>
    <w:p w14:paraId="1C9A1567" w14:textId="77777777" w:rsidR="00594089" w:rsidRDefault="00594089" w:rsidP="00594089">
      <w:pPr>
        <w:pStyle w:val="Heading2"/>
      </w:pPr>
      <w:bookmarkStart w:id="44" w:name="_Toc56441063"/>
      <w:bookmarkStart w:id="45" w:name="_Toc58842656"/>
      <w:r>
        <w:t>Objectives</w:t>
      </w:r>
      <w:bookmarkEnd w:id="42"/>
      <w:bookmarkEnd w:id="43"/>
      <w:bookmarkEnd w:id="44"/>
      <w:bookmarkEnd w:id="45"/>
    </w:p>
    <w:p w14:paraId="1C9A1568" w14:textId="0F465D45" w:rsidR="00F21C04" w:rsidRDefault="00EC4015" w:rsidP="00EC4015">
      <w:r>
        <w:rPr>
          <w:noProof/>
          <w:lang w:eastAsia="en-AU"/>
        </w:rPr>
        <w:drawing>
          <wp:inline distT="0" distB="0" distL="0" distR="0" wp14:anchorId="1974C77B" wp14:editId="1D75529F">
            <wp:extent cx="5908876" cy="4322020"/>
            <wp:effectExtent l="0" t="0" r="0" b="2540"/>
            <wp:docPr id="4" name="Picture 4" descr="8 key objectives of the decommissioning review" title="Objectives of the decommission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shore Resources graphic -Objectives (1)"/>
                    <pic:cNvPicPr>
                      <a:picLocks noChangeAspect="1" noChangeArrowheads="1"/>
                    </pic:cNvPicPr>
                  </pic:nvPicPr>
                  <pic:blipFill>
                    <a:blip r:embed="rId25">
                      <a:extLst>
                        <a:ext uri="{28A0092B-C50C-407E-A947-70E740481C1C}">
                          <a14:useLocalDpi xmlns:a14="http://schemas.microsoft.com/office/drawing/2010/main" val="0"/>
                        </a:ext>
                      </a:extLst>
                    </a:blip>
                    <a:srcRect t="10590"/>
                    <a:stretch>
                      <a:fillRect/>
                    </a:stretch>
                  </pic:blipFill>
                  <pic:spPr bwMode="auto">
                    <a:xfrm>
                      <a:off x="0" y="0"/>
                      <a:ext cx="5938148" cy="4343431"/>
                    </a:xfrm>
                    <a:prstGeom prst="rect">
                      <a:avLst/>
                    </a:prstGeom>
                    <a:noFill/>
                    <a:ln>
                      <a:noFill/>
                    </a:ln>
                  </pic:spPr>
                </pic:pic>
              </a:graphicData>
            </a:graphic>
          </wp:inline>
        </w:drawing>
      </w:r>
    </w:p>
    <w:p w14:paraId="55B84830" w14:textId="77777777" w:rsidR="007D747C" w:rsidRDefault="007D747C" w:rsidP="007D747C">
      <w:bookmarkStart w:id="46" w:name="_Toc56441064"/>
      <w:r>
        <w:br w:type="page"/>
      </w:r>
    </w:p>
    <w:p w14:paraId="1C9A1569" w14:textId="213DAA3A" w:rsidR="00594089" w:rsidRDefault="00594089" w:rsidP="00594089">
      <w:pPr>
        <w:pStyle w:val="Heading2"/>
      </w:pPr>
      <w:bookmarkStart w:id="47" w:name="_Toc58842657"/>
      <w:r>
        <w:lastRenderedPageBreak/>
        <w:t>The challenge ahead and what an enhanced decommissioning framework will do</w:t>
      </w:r>
      <w:bookmarkEnd w:id="46"/>
      <w:bookmarkEnd w:id="47"/>
    </w:p>
    <w:p w14:paraId="1C9A156A" w14:textId="77777777" w:rsidR="00594089" w:rsidRDefault="00594089" w:rsidP="00183A22">
      <w:r>
        <w:t>Australia’s offshore</w:t>
      </w:r>
      <w:r w:rsidRPr="00E81C9D">
        <w:t xml:space="preserve"> </w:t>
      </w:r>
      <w:r>
        <w:t xml:space="preserve">oil and gas </w:t>
      </w:r>
      <w:r w:rsidRPr="00E81C9D">
        <w:t>industry has an increasing number of mature assets</w:t>
      </w:r>
      <w:r>
        <w:t xml:space="preserve"> </w:t>
      </w:r>
      <w:r w:rsidR="00183A22">
        <w:t>that</w:t>
      </w:r>
      <w:r>
        <w:t xml:space="preserve"> will require decommissioning over the next decade. The decommissioning framework needs </w:t>
      </w:r>
      <w:r w:rsidR="008D3771">
        <w:t>enhancing</w:t>
      </w:r>
      <w:r w:rsidRPr="00E81C9D">
        <w:t xml:space="preserve"> t</w:t>
      </w:r>
      <w:r>
        <w:t>o manage more effectively the financial</w:t>
      </w:r>
      <w:r w:rsidRPr="00E81C9D">
        <w:t xml:space="preserve"> and environmental risks </w:t>
      </w:r>
      <w:r>
        <w:t xml:space="preserve">associated with mature assets. </w:t>
      </w:r>
      <w:r w:rsidRPr="00E81C9D">
        <w:t xml:space="preserve">While decommissioning is a normal and planned activity, Australia has only </w:t>
      </w:r>
      <w:r>
        <w:t xml:space="preserve">seen </w:t>
      </w:r>
      <w:r w:rsidRPr="00E81C9D">
        <w:t xml:space="preserve">a </w:t>
      </w:r>
      <w:r>
        <w:t xml:space="preserve">relatively </w:t>
      </w:r>
      <w:r w:rsidRPr="00E81C9D">
        <w:t>small amount of decommissioni</w:t>
      </w:r>
      <w:r>
        <w:t>ng activity to date.</w:t>
      </w:r>
    </w:p>
    <w:p w14:paraId="1C9A156B" w14:textId="77777777" w:rsidR="00594089" w:rsidRDefault="00594089" w:rsidP="00183A22">
      <w:r>
        <w:t>Areas identified for enhancement are:</w:t>
      </w:r>
    </w:p>
    <w:p w14:paraId="1C9A156C" w14:textId="77777777" w:rsidR="00594089" w:rsidRDefault="00F92901" w:rsidP="00594089">
      <w:pPr>
        <w:pStyle w:val="ListParagraph"/>
        <w:numPr>
          <w:ilvl w:val="0"/>
          <w:numId w:val="33"/>
        </w:numPr>
      </w:pPr>
      <w:proofErr w:type="gramStart"/>
      <w:r>
        <w:t>F</w:t>
      </w:r>
      <w:r w:rsidR="008D3771">
        <w:t>inancial oversight</w:t>
      </w:r>
      <w:r>
        <w:t>.</w:t>
      </w:r>
      <w:proofErr w:type="gramEnd"/>
    </w:p>
    <w:p w14:paraId="1C9A156D" w14:textId="77777777" w:rsidR="00594089" w:rsidRDefault="00F92901" w:rsidP="00594089">
      <w:pPr>
        <w:pStyle w:val="ListParagraph"/>
        <w:numPr>
          <w:ilvl w:val="0"/>
          <w:numId w:val="33"/>
        </w:numPr>
      </w:pPr>
      <w:proofErr w:type="gramStart"/>
      <w:r>
        <w:t>P</w:t>
      </w:r>
      <w:r w:rsidR="00594089">
        <w:t>lanning</w:t>
      </w:r>
      <w:r w:rsidR="008D3771">
        <w:t xml:space="preserve"> and management</w:t>
      </w:r>
      <w:r>
        <w:t>.</w:t>
      </w:r>
      <w:proofErr w:type="gramEnd"/>
    </w:p>
    <w:p w14:paraId="1C9A156E" w14:textId="77777777" w:rsidR="00183A22" w:rsidRDefault="00F92901" w:rsidP="00183A22">
      <w:pPr>
        <w:pStyle w:val="ListParagraph"/>
        <w:numPr>
          <w:ilvl w:val="0"/>
          <w:numId w:val="33"/>
        </w:numPr>
      </w:pPr>
      <w:proofErr w:type="gramStart"/>
      <w:r>
        <w:t>A</w:t>
      </w:r>
      <w:r w:rsidR="00594089">
        <w:t>ccountability and</w:t>
      </w:r>
      <w:r w:rsidR="00974249">
        <w:t xml:space="preserve"> trailing liability.</w:t>
      </w:r>
      <w:proofErr w:type="gramEnd"/>
    </w:p>
    <w:p w14:paraId="1C9A156F" w14:textId="77777777" w:rsidR="00594089" w:rsidRDefault="00594089" w:rsidP="00594089">
      <w:pPr>
        <w:pStyle w:val="Heading3"/>
      </w:pPr>
      <w:r>
        <w:t>Financial oversight</w:t>
      </w:r>
    </w:p>
    <w:p w14:paraId="1C9A1570" w14:textId="77777777" w:rsidR="00594089" w:rsidRDefault="00594089" w:rsidP="00183A22">
      <w:r>
        <w:t xml:space="preserve">The department’s policy review and the Walker Review both identified the need for more transparency in, and oversight of, commercial transactions that result in any change to ownership and/or control. In addition, enhancements to monitor the ongoing </w:t>
      </w:r>
      <w:r w:rsidRPr="00867925">
        <w:t>financial health of companies</w:t>
      </w:r>
      <w:r>
        <w:t xml:space="preserve"> </w:t>
      </w:r>
      <w:r w:rsidR="00C15153">
        <w:t>is also required.</w:t>
      </w:r>
    </w:p>
    <w:p w14:paraId="1C9A1571" w14:textId="77777777" w:rsidR="00B94757" w:rsidRDefault="00594089" w:rsidP="007D0F69">
      <w:r>
        <w:t xml:space="preserve">The framework proposes to </w:t>
      </w:r>
      <w:r w:rsidR="00A626E7">
        <w:t xml:space="preserve">expand the types of transactions requiring </w:t>
      </w:r>
      <w:r w:rsidR="00C15153">
        <w:t xml:space="preserve">government </w:t>
      </w:r>
      <w:r w:rsidR="00A626E7">
        <w:t>assessment and approval to include any c</w:t>
      </w:r>
      <w:r w:rsidR="00A626E7" w:rsidRPr="00F52178">
        <w:t>hange</w:t>
      </w:r>
      <w:r w:rsidR="00A626E7">
        <w:t xml:space="preserve"> in the ownership </w:t>
      </w:r>
      <w:r w:rsidR="00A626E7" w:rsidRPr="00F52178">
        <w:t>or control of a titleholder entity through a corporate merger, acquisition or takeover</w:t>
      </w:r>
      <w:r w:rsidR="00A626E7">
        <w:t xml:space="preserve">. In doing so, </w:t>
      </w:r>
      <w:r w:rsidR="001A2C83">
        <w:t xml:space="preserve">there </w:t>
      </w:r>
      <w:r w:rsidR="007D0F69">
        <w:t xml:space="preserve">will </w:t>
      </w:r>
      <w:r w:rsidR="001A2C83">
        <w:t xml:space="preserve">be </w:t>
      </w:r>
      <w:r>
        <w:t>increase</w:t>
      </w:r>
      <w:r w:rsidR="001A2C83">
        <w:t>d</w:t>
      </w:r>
      <w:r>
        <w:t xml:space="preserve"> requirements for </w:t>
      </w:r>
      <w:r w:rsidR="007D0F69">
        <w:t>a titleholder to demonstrate its</w:t>
      </w:r>
      <w:r>
        <w:t xml:space="preserve"> tec</w:t>
      </w:r>
      <w:r w:rsidR="007D0F69">
        <w:t>hnical and financial capacity on an ongoing basis</w:t>
      </w:r>
      <w:r w:rsidR="00D57CDC">
        <w:t xml:space="preserve"> and</w:t>
      </w:r>
      <w:r>
        <w:t xml:space="preserve"> at key points </w:t>
      </w:r>
      <w:r w:rsidR="00D57CDC">
        <w:t xml:space="preserve">within the regime </w:t>
      </w:r>
      <w:r>
        <w:t>such as</w:t>
      </w:r>
      <w:r w:rsidR="007D0F69">
        <w:t>,</w:t>
      </w:r>
      <w:r>
        <w:t xml:space="preserve"> progressing from one title </w:t>
      </w:r>
      <w:r w:rsidR="007D0F69">
        <w:t>type to another and renewals.</w:t>
      </w:r>
      <w:r w:rsidR="007D0F69" w:rsidRPr="007D0F69">
        <w:t xml:space="preserve"> </w:t>
      </w:r>
    </w:p>
    <w:p w14:paraId="1C9A1572" w14:textId="77777777" w:rsidR="007D0F69" w:rsidRDefault="007D0F69" w:rsidP="007D0F69">
      <w:r>
        <w:t xml:space="preserve">In addition, </w:t>
      </w:r>
      <w:r w:rsidR="00D57CDC">
        <w:t xml:space="preserve">within the enhanced decommissioning framework, </w:t>
      </w:r>
      <w:r>
        <w:t xml:space="preserve">titleholders </w:t>
      </w:r>
      <w:r w:rsidR="00D57CDC">
        <w:t xml:space="preserve">will </w:t>
      </w:r>
      <w:r w:rsidR="00B94757">
        <w:t>be required t</w:t>
      </w:r>
      <w:r w:rsidR="00D57CDC">
        <w:t xml:space="preserve">o </w:t>
      </w:r>
      <w:r>
        <w:t>provide forms of financial assurance, such as bonds or securities, to demonstrate it can meet i</w:t>
      </w:r>
      <w:r w:rsidR="00F92901">
        <w:t>ts obligations and liabilities</w:t>
      </w:r>
      <w:r w:rsidR="00B94757">
        <w:t xml:space="preserve"> as a project matures</w:t>
      </w:r>
      <w:r w:rsidR="00F92901">
        <w:t>.</w:t>
      </w:r>
    </w:p>
    <w:p w14:paraId="1C9A1573" w14:textId="77777777" w:rsidR="00594089" w:rsidRDefault="00594089" w:rsidP="00183A22">
      <w:r>
        <w:t>International and domestic experience shows that governments expect</w:t>
      </w:r>
      <w:r w:rsidRPr="00867925">
        <w:t xml:space="preserve"> </w:t>
      </w:r>
      <w:r>
        <w:t>stronger</w:t>
      </w:r>
      <w:r w:rsidRPr="00867925">
        <w:t xml:space="preserve"> guaran</w:t>
      </w:r>
      <w:r>
        <w:t>tees that a company can meet the</w:t>
      </w:r>
      <w:r w:rsidRPr="00867925">
        <w:t xml:space="preserve"> </w:t>
      </w:r>
      <w:r>
        <w:t>expenses and liabilities associated with undertaking petroleum activities. This includes decommissioning liabilities and being a safe and responsible titlehol</w:t>
      </w:r>
      <w:r w:rsidR="00D57CDC">
        <w:t>der.</w:t>
      </w:r>
    </w:p>
    <w:p w14:paraId="1C9A1574" w14:textId="77777777" w:rsidR="007D0F69" w:rsidRDefault="00D57CDC" w:rsidP="00183A22">
      <w:r w:rsidRPr="00D57CDC">
        <w:t xml:space="preserve">Refer to page </w:t>
      </w:r>
      <w:r w:rsidRPr="00D57CDC">
        <w:fldChar w:fldCharType="begin"/>
      </w:r>
      <w:r w:rsidRPr="00D57CDC">
        <w:instrText xml:space="preserve"> PAGEREF _Ref58219574 \h </w:instrText>
      </w:r>
      <w:r w:rsidRPr="00D57CDC">
        <w:fldChar w:fldCharType="separate"/>
      </w:r>
      <w:r w:rsidR="00EC4015">
        <w:rPr>
          <w:noProof/>
        </w:rPr>
        <w:t>7</w:t>
      </w:r>
      <w:r w:rsidRPr="00D57CDC">
        <w:fldChar w:fldCharType="end"/>
      </w:r>
      <w:r w:rsidR="007D0F69" w:rsidRPr="00D57CDC">
        <w:t xml:space="preserve"> for discussion.</w:t>
      </w:r>
      <w:r w:rsidR="007D0F69">
        <w:t xml:space="preserve"> </w:t>
      </w:r>
    </w:p>
    <w:p w14:paraId="1C9A1575" w14:textId="77777777" w:rsidR="00594089" w:rsidRDefault="00594089" w:rsidP="00594089">
      <w:pPr>
        <w:pStyle w:val="Heading3"/>
      </w:pPr>
      <w:r>
        <w:t>Planning and m</w:t>
      </w:r>
      <w:r w:rsidRPr="00BC5ACC">
        <w:t>anagement</w:t>
      </w:r>
    </w:p>
    <w:p w14:paraId="1C9A1576" w14:textId="77777777" w:rsidR="00F21C04" w:rsidRDefault="00594089" w:rsidP="00183A22">
      <w:r>
        <w:t xml:space="preserve">The planning for, and management of, decommissioning is an essential part of undertaking any petroleum activity. </w:t>
      </w:r>
      <w:r w:rsidR="00F92901">
        <w:t>Under t</w:t>
      </w:r>
      <w:r>
        <w:t>his framework</w:t>
      </w:r>
      <w:r w:rsidR="00F92901">
        <w:t xml:space="preserve">, the </w:t>
      </w:r>
      <w:r>
        <w:t xml:space="preserve">requirements of </w:t>
      </w:r>
      <w:r w:rsidR="00F92901">
        <w:t>a Field Development Plan will be modernised</w:t>
      </w:r>
      <w:r>
        <w:t xml:space="preserve"> </w:t>
      </w:r>
      <w:r w:rsidR="007D0F69">
        <w:t>to reflect a maturing industry</w:t>
      </w:r>
      <w:r w:rsidR="00B16F97">
        <w:t xml:space="preserve"> and</w:t>
      </w:r>
      <w:r>
        <w:t xml:space="preserve"> </w:t>
      </w:r>
      <w:r w:rsidR="00F92901">
        <w:t xml:space="preserve">to </w:t>
      </w:r>
      <w:r>
        <w:t>include early stag</w:t>
      </w:r>
      <w:r w:rsidR="00F92901">
        <w:t>e planning for decommissioning.</w:t>
      </w:r>
    </w:p>
    <w:p w14:paraId="1C9A1577" w14:textId="77777777" w:rsidR="00F92901" w:rsidRDefault="00594089" w:rsidP="00183A22">
      <w:r>
        <w:rPr>
          <w:lang w:val="en-GB"/>
        </w:rPr>
        <w:t>This will ensure the optimal long-term recovery of petroleum is not at the expense of a titleholder</w:t>
      </w:r>
      <w:r w:rsidR="00652052">
        <w:rPr>
          <w:lang w:val="en-GB"/>
        </w:rPr>
        <w:t>’</w:t>
      </w:r>
      <w:r>
        <w:rPr>
          <w:lang w:val="en-GB"/>
        </w:rPr>
        <w:t>s ability to meet its decommissioning obligations</w:t>
      </w:r>
      <w:r w:rsidR="00B16F97">
        <w:rPr>
          <w:lang w:val="en-GB"/>
        </w:rPr>
        <w:t xml:space="preserve"> and</w:t>
      </w:r>
      <w:r>
        <w:rPr>
          <w:lang w:val="en-GB"/>
        </w:rPr>
        <w:t xml:space="preserve"> will provide a better understanding of how </w:t>
      </w:r>
      <w:r w:rsidR="00B16F97">
        <w:rPr>
          <w:lang w:val="en-GB"/>
        </w:rPr>
        <w:t xml:space="preserve">a </w:t>
      </w:r>
      <w:r>
        <w:rPr>
          <w:lang w:val="en-GB"/>
        </w:rPr>
        <w:t>titleholder will balance the ongoing economic viability of the project.</w:t>
      </w:r>
    </w:p>
    <w:p w14:paraId="1C9A1578" w14:textId="77777777" w:rsidR="00594089" w:rsidRDefault="00594089" w:rsidP="00183A22">
      <w:r>
        <w:lastRenderedPageBreak/>
        <w:t xml:space="preserve">By having greater oversight of the planning activities of companies, </w:t>
      </w:r>
      <w:r w:rsidRPr="00E81C9D">
        <w:t xml:space="preserve">there are opportunities for </w:t>
      </w:r>
      <w:r>
        <w:t xml:space="preserve">broad-scale </w:t>
      </w:r>
      <w:r w:rsidRPr="00E81C9D">
        <w:t>efficiencies and cost reductions</w:t>
      </w:r>
      <w:r w:rsidR="00F92901">
        <w:t xml:space="preserve"> across the industry and the scope to grow new capability in an Australian decommissioning services sector to support the forecast increase of activity over the next 30 years.</w:t>
      </w:r>
    </w:p>
    <w:p w14:paraId="1C9A1579" w14:textId="77777777" w:rsidR="007D0F69" w:rsidRDefault="00D57CDC" w:rsidP="00183A22">
      <w:r w:rsidRPr="00D57CDC">
        <w:t xml:space="preserve">Refer to page </w:t>
      </w:r>
      <w:r w:rsidRPr="00D57CDC">
        <w:fldChar w:fldCharType="begin"/>
      </w:r>
      <w:r w:rsidRPr="00D57CDC">
        <w:instrText xml:space="preserve"> PAGEREF _Ref58219602 \h </w:instrText>
      </w:r>
      <w:r w:rsidRPr="00D57CDC">
        <w:fldChar w:fldCharType="separate"/>
      </w:r>
      <w:r w:rsidR="00EC4015">
        <w:rPr>
          <w:noProof/>
        </w:rPr>
        <w:t>10</w:t>
      </w:r>
      <w:r w:rsidRPr="00D57CDC">
        <w:fldChar w:fldCharType="end"/>
      </w:r>
      <w:r w:rsidR="007D0F69" w:rsidRPr="00D57CDC">
        <w:t xml:space="preserve"> for discussion.</w:t>
      </w:r>
      <w:r w:rsidR="007D0F69">
        <w:t xml:space="preserve"> </w:t>
      </w:r>
    </w:p>
    <w:p w14:paraId="1C9A157A" w14:textId="77777777" w:rsidR="00594089" w:rsidRDefault="00594089" w:rsidP="00594089">
      <w:pPr>
        <w:pStyle w:val="Heading3"/>
      </w:pPr>
      <w:r>
        <w:t>Accountability and trailing liability</w:t>
      </w:r>
    </w:p>
    <w:p w14:paraId="1C9A157B" w14:textId="77777777" w:rsidR="00594089" w:rsidRDefault="00594089" w:rsidP="00183A22">
      <w:r>
        <w:t>It is important the risks and liabilities of petroleum activities remain the responsibility of those who have derived the greatest financia</w:t>
      </w:r>
      <w:r w:rsidR="00F92901">
        <w:t xml:space="preserve">l benefit from the project. Under the </w:t>
      </w:r>
      <w:r>
        <w:t>framework</w:t>
      </w:r>
      <w:r w:rsidR="00F92901">
        <w:t xml:space="preserve">, there will be </w:t>
      </w:r>
      <w:r w:rsidRPr="00EE6CB8">
        <w:t>enhance</w:t>
      </w:r>
      <w:r w:rsidR="00F92901">
        <w:t>d</w:t>
      </w:r>
      <w:r w:rsidRPr="00EE6CB8">
        <w:t xml:space="preserve"> linkages between decommissioning obligations, financial assurance</w:t>
      </w:r>
      <w:r w:rsidR="00F92901">
        <w:t xml:space="preserve"> and</w:t>
      </w:r>
      <w:r w:rsidRPr="00EE6CB8">
        <w:t xml:space="preserve"> environment and safety considerations</w:t>
      </w:r>
      <w:r w:rsidR="00F92901">
        <w:t>,</w:t>
      </w:r>
      <w:r w:rsidRPr="00EE6CB8">
        <w:t xml:space="preserve"> </w:t>
      </w:r>
      <w:r>
        <w:t>by the pro-active use of remedia</w:t>
      </w:r>
      <w:r w:rsidR="00F92901">
        <w:t>l directions under</w:t>
      </w:r>
      <w:r w:rsidR="00EC2A23">
        <w:t xml:space="preserve"> the Act.</w:t>
      </w:r>
    </w:p>
    <w:p w14:paraId="1C9A157C" w14:textId="77777777" w:rsidR="0025301D" w:rsidRDefault="00594089" w:rsidP="00183A22">
      <w:bookmarkStart w:id="48" w:name="_Toc50133023"/>
      <w:bookmarkStart w:id="49" w:name="_Toc50459493"/>
      <w:r>
        <w:t>This review and the Walker Review found the</w:t>
      </w:r>
      <w:r w:rsidRPr="00E81C9D">
        <w:t xml:space="preserve"> limited scope </w:t>
      </w:r>
      <w:r>
        <w:t xml:space="preserve">of the existing trailing liability provisions does not </w:t>
      </w:r>
      <w:r w:rsidRPr="00E81C9D">
        <w:t xml:space="preserve">provide </w:t>
      </w:r>
      <w:r>
        <w:t xml:space="preserve">adequate </w:t>
      </w:r>
      <w:r w:rsidRPr="00E81C9D">
        <w:t xml:space="preserve">protection </w:t>
      </w:r>
      <w:r>
        <w:t>to the taxpayer and is</w:t>
      </w:r>
      <w:r w:rsidRPr="00E81C9D">
        <w:t xml:space="preserve"> out</w:t>
      </w:r>
      <w:r>
        <w:t>-</w:t>
      </w:r>
      <w:r w:rsidRPr="00E81C9D">
        <w:t>of</w:t>
      </w:r>
      <w:r>
        <w:t>-</w:t>
      </w:r>
      <w:r w:rsidRPr="00E81C9D">
        <w:t>step with comparable jurisdictions</w:t>
      </w:r>
      <w:r>
        <w:t>.</w:t>
      </w:r>
      <w:r w:rsidRPr="007350A6">
        <w:t xml:space="preserve"> </w:t>
      </w:r>
      <w:r>
        <w:t>Currently</w:t>
      </w:r>
      <w:r w:rsidR="0025301D">
        <w:t>,</w:t>
      </w:r>
      <w:r>
        <w:t xml:space="preserve"> the ability to ‘call back’ a previous titleholder to remediate the title area or conduct other activities is only available to government </w:t>
      </w:r>
      <w:r w:rsidR="0025301D">
        <w:t xml:space="preserve">when a title has ceased through termination, expiration, revocation, cancellation or has been surrendered (depending on the title). Under this framework, the government’s scope of </w:t>
      </w:r>
      <w:r w:rsidR="00190420">
        <w:t>powers will be broader.</w:t>
      </w:r>
    </w:p>
    <w:p w14:paraId="1C9A157D" w14:textId="77777777" w:rsidR="0025301D" w:rsidRDefault="0025301D" w:rsidP="0025301D">
      <w:r w:rsidRPr="00FF08EB">
        <w:t xml:space="preserve">In addition, it is important </w:t>
      </w:r>
      <w:r w:rsidR="00B94757">
        <w:t xml:space="preserve">that once a decommissioning activity is complete information is publicly available to </w:t>
      </w:r>
      <w:r w:rsidR="00FF08EB" w:rsidRPr="00FF08EB">
        <w:t xml:space="preserve">enable </w:t>
      </w:r>
      <w:r w:rsidR="00B94757">
        <w:t>stakeholders</w:t>
      </w:r>
      <w:r w:rsidRPr="00FF08EB">
        <w:t xml:space="preserve"> to understand how a titleholder has met </w:t>
      </w:r>
      <w:r w:rsidR="00FF08EB" w:rsidRPr="00FF08EB">
        <w:t>its decommissioning obligations</w:t>
      </w:r>
      <w:r w:rsidR="00B94757">
        <w:t xml:space="preserve"> and the environment </w:t>
      </w:r>
      <w:proofErr w:type="gramStart"/>
      <w:r w:rsidR="00B94757">
        <w:t>has been remediated</w:t>
      </w:r>
      <w:proofErr w:type="gramEnd"/>
      <w:r w:rsidR="00FF08EB" w:rsidRPr="00FF08EB">
        <w:t>.</w:t>
      </w:r>
      <w:r w:rsidR="00B94757">
        <w:t xml:space="preserve"> </w:t>
      </w:r>
    </w:p>
    <w:p w14:paraId="1C9A157E" w14:textId="77777777" w:rsidR="0025301D" w:rsidRDefault="00D57CDC" w:rsidP="00183A22">
      <w:r w:rsidRPr="00D57CDC">
        <w:t xml:space="preserve">Refer to page </w:t>
      </w:r>
      <w:r w:rsidRPr="00D57CDC">
        <w:fldChar w:fldCharType="begin"/>
      </w:r>
      <w:r w:rsidRPr="00D57CDC">
        <w:instrText xml:space="preserve"> PAGEREF _Ref58219608 \h </w:instrText>
      </w:r>
      <w:r w:rsidRPr="00D57CDC">
        <w:fldChar w:fldCharType="separate"/>
      </w:r>
      <w:r w:rsidR="00EC4015">
        <w:rPr>
          <w:noProof/>
        </w:rPr>
        <w:t>11</w:t>
      </w:r>
      <w:r w:rsidRPr="00D57CDC">
        <w:fldChar w:fldCharType="end"/>
      </w:r>
      <w:r w:rsidR="007D0F69" w:rsidRPr="00D57CDC">
        <w:t xml:space="preserve"> for discussion.</w:t>
      </w:r>
    </w:p>
    <w:p w14:paraId="1C9A157F" w14:textId="77777777" w:rsidR="00183A22" w:rsidRDefault="00183A22" w:rsidP="00C15153">
      <w:bookmarkStart w:id="50" w:name="_Toc56441065"/>
      <w:bookmarkEnd w:id="48"/>
      <w:bookmarkEnd w:id="49"/>
      <w:r>
        <w:br w:type="page"/>
      </w:r>
    </w:p>
    <w:p w14:paraId="1C9A1580" w14:textId="77777777" w:rsidR="00594089" w:rsidRDefault="00594089" w:rsidP="00594089">
      <w:pPr>
        <w:pStyle w:val="Heading1"/>
      </w:pPr>
      <w:bookmarkStart w:id="51" w:name="_Ref58219574"/>
      <w:bookmarkStart w:id="52" w:name="_Toc58842658"/>
      <w:r w:rsidRPr="00044FB2">
        <w:lastRenderedPageBreak/>
        <w:t>Financial oversight</w:t>
      </w:r>
      <w:bookmarkEnd w:id="50"/>
      <w:bookmarkEnd w:id="51"/>
      <w:bookmarkEnd w:id="52"/>
    </w:p>
    <w:p w14:paraId="1C9A1581" w14:textId="77777777" w:rsidR="00594089" w:rsidRPr="0018463F" w:rsidRDefault="00594089" w:rsidP="00594089">
      <w:pPr>
        <w:pStyle w:val="Heading2"/>
      </w:pPr>
      <w:bookmarkStart w:id="53" w:name="_Toc56441066"/>
      <w:bookmarkStart w:id="54" w:name="_Toc58842659"/>
      <w:r>
        <w:t>Changes in company control</w:t>
      </w:r>
      <w:bookmarkEnd w:id="53"/>
      <w:bookmarkEnd w:id="54"/>
    </w:p>
    <w:p w14:paraId="1C9A1582" w14:textId="77777777" w:rsidR="00692201" w:rsidRDefault="00692201" w:rsidP="00692201">
      <w:r>
        <w:t xml:space="preserve">The department’s policy review and the Walker Review both identified the need for more transparency in, and oversight of, commercial transactions by government that result in any change to ownership and/or control of a </w:t>
      </w:r>
      <w:r w:rsidR="00594089" w:rsidRPr="00F52178">
        <w:t>titleholder entity through a corporate merger, acquisition or takeover</w:t>
      </w:r>
      <w:r>
        <w:t>.</w:t>
      </w:r>
    </w:p>
    <w:p w14:paraId="1C9A1583" w14:textId="77777777" w:rsidR="00F21C04" w:rsidRDefault="00594089" w:rsidP="00692201">
      <w:r>
        <w:t>The</w:t>
      </w:r>
      <w:r w:rsidR="00190420">
        <w:t xml:space="preserve"> Act </w:t>
      </w:r>
      <w:r w:rsidR="00692201">
        <w:t xml:space="preserve">currently </w:t>
      </w:r>
      <w:r>
        <w:t xml:space="preserve">requires a technical and financial assessment </w:t>
      </w:r>
      <w:r w:rsidR="00716A5B">
        <w:t xml:space="preserve">when a title </w:t>
      </w:r>
      <w:proofErr w:type="gramStart"/>
      <w:r w:rsidR="00716A5B">
        <w:t>is transferred</w:t>
      </w:r>
      <w:proofErr w:type="gramEnd"/>
      <w:r w:rsidR="00716A5B">
        <w:t xml:space="preserve"> </w:t>
      </w:r>
      <w:r w:rsidR="00692201">
        <w:t xml:space="preserve">and only </w:t>
      </w:r>
      <w:r>
        <w:t>captures changes in the registered titleholder or the interests of the registered titleholder.</w:t>
      </w:r>
    </w:p>
    <w:p w14:paraId="1C9A1584" w14:textId="77777777" w:rsidR="00594089" w:rsidRDefault="00594089" w:rsidP="00183A22">
      <w:r>
        <w:t>In recent years, there have been occasions where companies have</w:t>
      </w:r>
      <w:r w:rsidDel="004F3BE4">
        <w:t xml:space="preserve"> </w:t>
      </w:r>
      <w:r>
        <w:t>entered or exited Australia’s regime throug</w:t>
      </w:r>
      <w:r w:rsidR="00692201">
        <w:t xml:space="preserve">h a change in company control. For example, </w:t>
      </w:r>
      <w:r>
        <w:t>where a new company</w:t>
      </w:r>
      <w:r w:rsidR="00692201">
        <w:t xml:space="preserve"> </w:t>
      </w:r>
      <w:r w:rsidR="006C6B69">
        <w:t>buys</w:t>
      </w:r>
      <w:r w:rsidR="00692201">
        <w:t xml:space="preserve"> a registered titleholder</w:t>
      </w:r>
      <w:r w:rsidR="006C6B69">
        <w:t>—</w:t>
      </w:r>
      <w:r w:rsidR="00692201">
        <w:t>t</w:t>
      </w:r>
      <w:r>
        <w:t xml:space="preserve">he </w:t>
      </w:r>
      <w:r w:rsidR="00692201">
        <w:t xml:space="preserve">name of the </w:t>
      </w:r>
      <w:r>
        <w:t>registered titleholder remains the same, but the entity controlling the registered titleholder has changed. The Titles Administrator does not currently assess this t</w:t>
      </w:r>
      <w:r w:rsidR="00183A22">
        <w:t>ype of ‘indirect’ transaction.</w:t>
      </w:r>
    </w:p>
    <w:p w14:paraId="1C9A1585" w14:textId="77777777" w:rsidR="00594089" w:rsidRDefault="00594089" w:rsidP="00183A22">
      <w:r>
        <w:t xml:space="preserve">The department proposes to expand the types of transactions requiring </w:t>
      </w:r>
      <w:r w:rsidR="006C6B69">
        <w:t xml:space="preserve">government </w:t>
      </w:r>
      <w:r>
        <w:t>assessment and approval to include any c</w:t>
      </w:r>
      <w:r w:rsidRPr="00F52178">
        <w:t>hange</w:t>
      </w:r>
      <w:r>
        <w:t xml:space="preserve"> in the ownership </w:t>
      </w:r>
      <w:r w:rsidRPr="00F52178">
        <w:t>or control of a titleholder entity</w:t>
      </w:r>
      <w:r w:rsidR="00716A5B">
        <w:t>, such as</w:t>
      </w:r>
      <w:r w:rsidRPr="00F52178">
        <w:t xml:space="preserve"> through a corporate merger, acquisition or takeover</w:t>
      </w:r>
      <w:r>
        <w:t>. This type of control change results in a new entity ultimately controlling the titleholder and may affect the titleholder’s ability to meet its legislative obligations, and therefore should be subject to a government approvals process.</w:t>
      </w:r>
    </w:p>
    <w:p w14:paraId="1C9A1586" w14:textId="77777777" w:rsidR="006C6B69" w:rsidRDefault="00594089" w:rsidP="00183A22">
      <w:r>
        <w:t>The department also proposes to enhance the decision-making criteria the government will use when deciding if a company is financially and technically capable, able to meet its</w:t>
      </w:r>
      <w:r w:rsidR="006C6B69">
        <w:t xml:space="preserve"> </w:t>
      </w:r>
      <w:r>
        <w:t xml:space="preserve">obligations, has a satisfactory history of compliance and is appropriate to enter the regime. A key consideration </w:t>
      </w:r>
      <w:r w:rsidR="00902827">
        <w:t>in determining a</w:t>
      </w:r>
      <w:r w:rsidR="000F5428">
        <w:t>n</w:t>
      </w:r>
      <w:r w:rsidR="00902827">
        <w:t xml:space="preserve"> entities financial capacity</w:t>
      </w:r>
      <w:r>
        <w:t xml:space="preserve"> will </w:t>
      </w:r>
      <w:r w:rsidR="00902827">
        <w:t xml:space="preserve">include </w:t>
      </w:r>
      <w:r>
        <w:t>the remaining rec</w:t>
      </w:r>
      <w:r w:rsidR="006C6B69">
        <w:t>overable value of the resource.</w:t>
      </w:r>
    </w:p>
    <w:p w14:paraId="1C9A1587" w14:textId="77777777" w:rsidR="00594089" w:rsidRDefault="00594089" w:rsidP="00183A22">
      <w:r>
        <w:t>These changes will bring Australia into alignment with comparable international jurisdictions who have greater oversight of control changes, particularly for mature and late-life projects.</w:t>
      </w:r>
    </w:p>
    <w:p w14:paraId="1C9A1588" w14:textId="77777777" w:rsidR="00594089" w:rsidRDefault="00594089" w:rsidP="00594089">
      <w:pPr>
        <w:pStyle w:val="Heading3"/>
      </w:pPr>
      <w:r>
        <w:t>Implementation</w:t>
      </w:r>
    </w:p>
    <w:p w14:paraId="1C9A1589" w14:textId="77777777" w:rsidR="00594089" w:rsidRDefault="00594089" w:rsidP="00594089">
      <w:r>
        <w:t>To achieve this, the department proposes amendments to the Act, the</w:t>
      </w:r>
      <w:r w:rsidR="00062D19">
        <w:t xml:space="preserve"> </w:t>
      </w:r>
      <w:r w:rsidRPr="00190420">
        <w:t>R</w:t>
      </w:r>
      <w:r w:rsidR="00062D19" w:rsidRPr="00190420">
        <w:t>MA</w:t>
      </w:r>
      <w:r w:rsidR="00C953FA" w:rsidRPr="00190420">
        <w:t xml:space="preserve"> </w:t>
      </w:r>
      <w:r w:rsidR="00062D19" w:rsidRPr="00190420">
        <w:t>r</w:t>
      </w:r>
      <w:r w:rsidRPr="00190420">
        <w:t>egulations</w:t>
      </w:r>
      <w:r w:rsidRPr="00C31C31">
        <w:t>,</w:t>
      </w:r>
      <w:r w:rsidR="00062D19">
        <w:t xml:space="preserve"> the </w:t>
      </w:r>
      <w:hyperlink r:id="rId26" w:history="1">
        <w:r w:rsidRPr="005D040F">
          <w:rPr>
            <w:rStyle w:val="Hyperlink"/>
          </w:rPr>
          <w:t>Guideline - Transfers a</w:t>
        </w:r>
        <w:r w:rsidRPr="005D040F">
          <w:rPr>
            <w:rStyle w:val="Hyperlink"/>
          </w:rPr>
          <w:t>n</w:t>
        </w:r>
        <w:r w:rsidRPr="005D040F">
          <w:rPr>
            <w:rStyle w:val="Hyperlink"/>
          </w:rPr>
          <w:t>d Dealings related to Petroleum Titles</w:t>
        </w:r>
      </w:hyperlink>
      <w:r w:rsidR="00062D19">
        <w:t xml:space="preserve"> </w:t>
      </w:r>
      <w:r>
        <w:t>and other relevant guidelines to:</w:t>
      </w:r>
    </w:p>
    <w:p w14:paraId="1C9A158A" w14:textId="77777777" w:rsidR="00594089" w:rsidRPr="00FF08EB" w:rsidRDefault="00594089" w:rsidP="00594089">
      <w:pPr>
        <w:pStyle w:val="ListParagraph"/>
        <w:numPr>
          <w:ilvl w:val="0"/>
          <w:numId w:val="4"/>
        </w:numPr>
        <w:spacing w:before="0" w:after="160" w:line="259" w:lineRule="auto"/>
      </w:pPr>
      <w:r w:rsidRPr="00FF08EB">
        <w:t>Capture changes in ownership or control of a titleholder—Act change.</w:t>
      </w:r>
    </w:p>
    <w:p w14:paraId="1C9A158B" w14:textId="77777777" w:rsidR="00594089" w:rsidRPr="00FF08EB" w:rsidRDefault="00594089" w:rsidP="00594089">
      <w:pPr>
        <w:pStyle w:val="ListParagraph"/>
        <w:numPr>
          <w:ilvl w:val="0"/>
          <w:numId w:val="4"/>
        </w:numPr>
        <w:spacing w:before="0" w:after="160" w:line="259" w:lineRule="auto"/>
      </w:pPr>
      <w:r w:rsidRPr="00FF08EB">
        <w:t>Increase the focus on financial capacity at decision-making points across the regime—Act and guideline change.</w:t>
      </w:r>
    </w:p>
    <w:p w14:paraId="1C9A158C" w14:textId="77777777" w:rsidR="00594089" w:rsidRDefault="00594089" w:rsidP="00594089">
      <w:pPr>
        <w:pStyle w:val="ListParagraph"/>
        <w:numPr>
          <w:ilvl w:val="0"/>
          <w:numId w:val="4"/>
        </w:numPr>
        <w:spacing w:before="0" w:after="160" w:line="259" w:lineRule="auto"/>
      </w:pPr>
      <w:r w:rsidRPr="00FF08EB">
        <w:t>Provide clear decision</w:t>
      </w:r>
      <w:r>
        <w:t>-making criteria to assess a new entity applying to enter the regime—</w:t>
      </w:r>
      <w:r w:rsidR="00902827">
        <w:t>Act</w:t>
      </w:r>
      <w:r>
        <w:t xml:space="preserve"> and guideline change.</w:t>
      </w:r>
    </w:p>
    <w:p w14:paraId="1C9A158D" w14:textId="77777777" w:rsidR="00594089" w:rsidRDefault="00594089" w:rsidP="00594089">
      <w:pPr>
        <w:pStyle w:val="ListParagraph"/>
        <w:numPr>
          <w:ilvl w:val="0"/>
          <w:numId w:val="4"/>
        </w:numPr>
        <w:spacing w:before="0" w:after="160" w:line="259" w:lineRule="auto"/>
      </w:pPr>
      <w:r>
        <w:t>Amend the Annual Title Assessment Report requirements to mandate the consistent collection of financial information from all titleholders—regulation change.</w:t>
      </w:r>
    </w:p>
    <w:p w14:paraId="1C9A158E" w14:textId="77777777" w:rsidR="00594089" w:rsidRPr="00005847" w:rsidRDefault="00594089" w:rsidP="00594089">
      <w:pPr>
        <w:pStyle w:val="Heading2"/>
      </w:pPr>
      <w:bookmarkStart w:id="55" w:name="_Toc56441067"/>
      <w:bookmarkStart w:id="56" w:name="_Toc58842660"/>
      <w:r>
        <w:lastRenderedPageBreak/>
        <w:t>Assurance</w:t>
      </w:r>
      <w:bookmarkEnd w:id="55"/>
      <w:bookmarkEnd w:id="56"/>
    </w:p>
    <w:p w14:paraId="1C9A158F" w14:textId="77777777" w:rsidR="00594089" w:rsidRDefault="00594089" w:rsidP="00062D19">
      <w:r>
        <w:t xml:space="preserve">To reflect the risks of </w:t>
      </w:r>
      <w:r w:rsidRPr="00005847">
        <w:t xml:space="preserve">a maturing asset portfolio, a core element of the framework is </w:t>
      </w:r>
      <w:r>
        <w:t>the enhancement of</w:t>
      </w:r>
      <w:r w:rsidRPr="00005847">
        <w:t xml:space="preserve"> </w:t>
      </w:r>
      <w:r>
        <w:t>the financial assurance requirements.</w:t>
      </w:r>
      <w:r w:rsidRPr="00D74FB0">
        <w:t xml:space="preserve"> </w:t>
      </w:r>
      <w:r>
        <w:t>The department’s policy review and the Walker Review identified the need for a greater level of financi</w:t>
      </w:r>
      <w:r w:rsidR="00B0237E">
        <w:t>al assurance from titleholders.</w:t>
      </w:r>
    </w:p>
    <w:p w14:paraId="1C9A1590" w14:textId="77777777" w:rsidR="00594089" w:rsidRPr="00005847" w:rsidRDefault="00594089" w:rsidP="00062D19">
      <w:r w:rsidRPr="00005847">
        <w:t xml:space="preserve">Section 571 of the Act places a duty on </w:t>
      </w:r>
      <w:r>
        <w:t xml:space="preserve">all </w:t>
      </w:r>
      <w:r w:rsidRPr="00005847">
        <w:t xml:space="preserve">titleholders to have sufficient financial assurance to meet the costs, expenses and liabilities that may arise in connection with carrying out </w:t>
      </w:r>
      <w:r>
        <w:t>a petroleum activity</w:t>
      </w:r>
      <w:r w:rsidRPr="00005847">
        <w:t>. Prior to accept</w:t>
      </w:r>
      <w:r>
        <w:t xml:space="preserve">ing an environment plan, NOPSEMA assesses the level and form of assurance associated with </w:t>
      </w:r>
      <w:r w:rsidR="00FB3CFB">
        <w:t xml:space="preserve">a </w:t>
      </w:r>
      <w:r>
        <w:t xml:space="preserve">proposed petroleum activity </w:t>
      </w:r>
      <w:r w:rsidRPr="00005847">
        <w:t>to</w:t>
      </w:r>
      <w:r>
        <w:t xml:space="preserve"> determine if it is acceptable</w:t>
      </w:r>
      <w:r w:rsidR="00954C8E">
        <w:t xml:space="preserve">—NOPSEMA </w:t>
      </w:r>
      <w:r w:rsidR="00742134">
        <w:t xml:space="preserve">currently </w:t>
      </w:r>
      <w:r w:rsidR="00954C8E">
        <w:t xml:space="preserve">does this consistent with </w:t>
      </w:r>
      <w:r>
        <w:t xml:space="preserve">the </w:t>
      </w:r>
      <w:hyperlink r:id="rId27" w:history="1">
        <w:r w:rsidRPr="00272AF7">
          <w:rPr>
            <w:rStyle w:val="Hyperlink"/>
          </w:rPr>
          <w:t>Explanatory M</w:t>
        </w:r>
        <w:bookmarkStart w:id="57" w:name="_GoBack"/>
        <w:bookmarkEnd w:id="57"/>
        <w:r w:rsidRPr="00272AF7">
          <w:rPr>
            <w:rStyle w:val="Hyperlink"/>
          </w:rPr>
          <w:t>e</w:t>
        </w:r>
        <w:r w:rsidRPr="00272AF7">
          <w:rPr>
            <w:rStyle w:val="Hyperlink"/>
          </w:rPr>
          <w:t>morandum</w:t>
        </w:r>
      </w:hyperlink>
      <w:r>
        <w:t xml:space="preserve"> to the </w:t>
      </w:r>
      <w:r w:rsidRPr="00742134">
        <w:rPr>
          <w:i/>
        </w:rPr>
        <w:t>Offshore Petroleum and Greenhouse Gas Storage Amendment (Compliance Measures No. 2) Act 2013</w:t>
      </w:r>
      <w:r w:rsidRPr="00D24723">
        <w:t>.</w:t>
      </w:r>
    </w:p>
    <w:p w14:paraId="1C9A1591" w14:textId="77777777" w:rsidR="00C953FA" w:rsidRPr="00005847" w:rsidRDefault="00954C8E" w:rsidP="00062D19">
      <w:r w:rsidRPr="00FF08EB">
        <w:t xml:space="preserve">Under an </w:t>
      </w:r>
      <w:r w:rsidR="00594089" w:rsidRPr="00FF08EB">
        <w:t>enhanced framework</w:t>
      </w:r>
      <w:r w:rsidRPr="00FF08EB">
        <w:t xml:space="preserve">, </w:t>
      </w:r>
      <w:r w:rsidR="000F5428" w:rsidRPr="00FF08EB">
        <w:t>NOPSEMA will expand its monitoring and compliance of a titleholder</w:t>
      </w:r>
      <w:r w:rsidR="00FF08EB" w:rsidRPr="00FF08EB">
        <w:t>’s duty under</w:t>
      </w:r>
      <w:r w:rsidR="00FF08EB">
        <w:t xml:space="preserve"> section 571 of the Act</w:t>
      </w:r>
      <w:r w:rsidR="000F5428">
        <w:t xml:space="preserve">. </w:t>
      </w:r>
      <w:r w:rsidR="00C953FA">
        <w:t>Assurance of a company’s</w:t>
      </w:r>
      <w:r w:rsidR="00C953FA" w:rsidRPr="00005847">
        <w:t xml:space="preserve"> financial </w:t>
      </w:r>
      <w:r w:rsidR="00FB3CFB">
        <w:t>health</w:t>
      </w:r>
      <w:r w:rsidR="00C953FA" w:rsidRPr="00005847">
        <w:t xml:space="preserve"> to meet both planned and unplanned expenses, costs and liabilities is a common feature in comparable jurisdictions, especially those managing mature industries.</w:t>
      </w:r>
    </w:p>
    <w:p w14:paraId="1C9A1592" w14:textId="77777777" w:rsidR="00C953FA" w:rsidRDefault="00C953FA" w:rsidP="00062D19">
      <w:r>
        <w:t>Given the potential risks to the safety of workers and the marine environment if a</w:t>
      </w:r>
      <w:r w:rsidRPr="00005847">
        <w:t xml:space="preserve"> </w:t>
      </w:r>
      <w:r>
        <w:t>titleholder does not have a sufficient level of financial capacity and capability</w:t>
      </w:r>
      <w:r w:rsidR="00954C8E">
        <w:t xml:space="preserve">, the department proposes that </w:t>
      </w:r>
      <w:r>
        <w:t>enforcement of this du</w:t>
      </w:r>
      <w:r w:rsidR="00954C8E">
        <w:t xml:space="preserve">ty remain a function of NOPSEMA. The Walker Review proposed this be a function of </w:t>
      </w:r>
      <w:r w:rsidR="00BD063C">
        <w:t>the Titles Administrator</w:t>
      </w:r>
      <w:r>
        <w:t xml:space="preserve"> </w:t>
      </w:r>
      <w:r w:rsidR="00954C8E">
        <w:t>(</w:t>
      </w:r>
      <w:r w:rsidR="00BD063C">
        <w:t>a statutory office holder within the department, supported by departmental employees</w:t>
      </w:r>
      <w:r w:rsidR="00954C8E">
        <w:t xml:space="preserve">) </w:t>
      </w:r>
      <w:r>
        <w:t>and/or the Joint Authority</w:t>
      </w:r>
      <w:r w:rsidR="00954C8E">
        <w:t>.</w:t>
      </w:r>
      <w:r>
        <w:t xml:space="preserve"> As a</w:t>
      </w:r>
      <w:r w:rsidR="00BD063C">
        <w:t xml:space="preserve"> </w:t>
      </w:r>
      <w:r w:rsidR="00954C8E">
        <w:t>corporate Commonwealth entity</w:t>
      </w:r>
      <w:r w:rsidR="00BD063C">
        <w:rPr>
          <w:rStyle w:val="FootnoteReference"/>
        </w:rPr>
        <w:footnoteReference w:id="3"/>
      </w:r>
      <w:r w:rsidR="00954C8E">
        <w:t xml:space="preserve">, </w:t>
      </w:r>
      <w:r>
        <w:t>NOPSEMA has a broad range of monitoring, compliance and enforcement powers that are consistent with this proposal.</w:t>
      </w:r>
    </w:p>
    <w:p w14:paraId="1C9A1593" w14:textId="77777777" w:rsidR="00C953FA" w:rsidRPr="00005847" w:rsidRDefault="00C953FA" w:rsidP="00062D19">
      <w:r>
        <w:t>The policy</w:t>
      </w:r>
      <w:r w:rsidR="003245C7">
        <w:t xml:space="preserve"> objective is for the regulator (NOPSEMA in this case) </w:t>
      </w:r>
      <w:r>
        <w:t xml:space="preserve">to </w:t>
      </w:r>
      <w:proofErr w:type="gramStart"/>
      <w:r>
        <w:t>be assured</w:t>
      </w:r>
      <w:proofErr w:type="gramEnd"/>
      <w:r>
        <w:t xml:space="preserve"> </w:t>
      </w:r>
      <w:r w:rsidRPr="00005847">
        <w:t xml:space="preserve">the </w:t>
      </w:r>
      <w:r>
        <w:t>titleholder</w:t>
      </w:r>
      <w:r w:rsidRPr="00005847">
        <w:t xml:space="preserve"> </w:t>
      </w:r>
      <w:r>
        <w:t xml:space="preserve">has the </w:t>
      </w:r>
      <w:r w:rsidRPr="00005847">
        <w:t>capacity to meet the costs, expenses and liabilities asso</w:t>
      </w:r>
      <w:r>
        <w:t>ciated with undertaking a pet</w:t>
      </w:r>
      <w:r w:rsidR="003245C7">
        <w:t xml:space="preserve">roleum activity. The regulator </w:t>
      </w:r>
      <w:r>
        <w:t>also needs to be s</w:t>
      </w:r>
      <w:r w:rsidRPr="00005847">
        <w:t xml:space="preserve">atisfied </w:t>
      </w:r>
      <w:r>
        <w:t>with</w:t>
      </w:r>
      <w:r w:rsidRPr="00005847">
        <w:t xml:space="preserve"> how a company will undertake its activities and manage the risks to as low as reasonably practicable (</w:t>
      </w:r>
      <w:proofErr w:type="spellStart"/>
      <w:r w:rsidRPr="00005847">
        <w:t>ALARP</w:t>
      </w:r>
      <w:proofErr w:type="spellEnd"/>
      <w:r w:rsidRPr="00005847">
        <w:t>)</w:t>
      </w:r>
      <w:r>
        <w:t>,</w:t>
      </w:r>
      <w:r w:rsidRPr="00005847">
        <w:t xml:space="preserve"> through regulatory </w:t>
      </w:r>
      <w:r>
        <w:t>permissioning documents.</w:t>
      </w:r>
    </w:p>
    <w:p w14:paraId="1C9A1594" w14:textId="77777777" w:rsidR="00C953FA" w:rsidRDefault="00C953FA" w:rsidP="00062D19">
      <w:r>
        <w:t>The department also expects forms of financial assurance</w:t>
      </w:r>
      <w:r w:rsidR="003245C7">
        <w:t xml:space="preserve">, such as bonds and securities </w:t>
      </w:r>
      <w:proofErr w:type="gramStart"/>
      <w:r w:rsidR="003245C7">
        <w:t>will be used</w:t>
      </w:r>
      <w:proofErr w:type="gramEnd"/>
      <w:r w:rsidR="003245C7">
        <w:t xml:space="preserve"> under the enhanced framework</w:t>
      </w:r>
      <w:r>
        <w:t xml:space="preserve">. </w:t>
      </w:r>
      <w:r w:rsidR="000F5428" w:rsidRPr="00FF08EB">
        <w:t xml:space="preserve">Where these tangible forms of assurance </w:t>
      </w:r>
      <w:proofErr w:type="gramStart"/>
      <w:r w:rsidR="000F5428" w:rsidRPr="00FF08EB">
        <w:t>are required</w:t>
      </w:r>
      <w:proofErr w:type="gramEnd"/>
      <w:r w:rsidR="000F5428" w:rsidRPr="00FF08EB">
        <w:t xml:space="preserve"> by NOPSEMA, t</w:t>
      </w:r>
      <w:r w:rsidRPr="00FF08EB">
        <w:t>hese forms of financial assurance should be accessible by government or a third party endorsed by government in the event that decommissioning activities are not undertaken. This is con</w:t>
      </w:r>
      <w:r w:rsidR="003245C7" w:rsidRPr="00FF08EB">
        <w:t>sistent with the Walker Review.</w:t>
      </w:r>
    </w:p>
    <w:p w14:paraId="1C9A1595" w14:textId="77777777" w:rsidR="00C953FA" w:rsidRDefault="003245C7" w:rsidP="00062D19">
      <w:r>
        <w:t>In line with the Act and consistent with government policy</w:t>
      </w:r>
      <w:r w:rsidR="00C953FA">
        <w:t>, NOPSEMA will determine the form of financial assurance required taking into account the nature of the proposed activity, projects, fields and assets, the remaining field life and estimated</w:t>
      </w:r>
      <w:r w:rsidR="00C953FA" w:rsidRPr="00005847">
        <w:t xml:space="preserve"> decommissioning costs</w:t>
      </w:r>
      <w:r w:rsidR="00C953FA">
        <w:t xml:space="preserve">. Both the level and form of assurance </w:t>
      </w:r>
      <w:r w:rsidR="00B53935">
        <w:t xml:space="preserve">is to </w:t>
      </w:r>
      <w:proofErr w:type="gramStart"/>
      <w:r w:rsidR="00B12A16">
        <w:t>be</w:t>
      </w:r>
      <w:r w:rsidR="00C953FA">
        <w:t xml:space="preserve"> reviewed</w:t>
      </w:r>
      <w:proofErr w:type="gramEnd"/>
      <w:r w:rsidR="00C953FA">
        <w:t xml:space="preserve"> on a regular basis to reflect ch</w:t>
      </w:r>
      <w:r>
        <w:t>anging circumstances and costs.</w:t>
      </w:r>
    </w:p>
    <w:p w14:paraId="1C9A1596" w14:textId="77777777" w:rsidR="003245C7" w:rsidRPr="004C7C49" w:rsidRDefault="003245C7" w:rsidP="003245C7">
      <w:pPr>
        <w:rPr>
          <w:rFonts w:eastAsiaTheme="minorEastAsia"/>
        </w:rPr>
      </w:pPr>
      <w:r>
        <w:lastRenderedPageBreak/>
        <w:t xml:space="preserve">Financial assurance </w:t>
      </w:r>
      <w:r w:rsidRPr="002C7168">
        <w:t xml:space="preserve">requirements are common in comparable international and domestic jurisdictions in relation to offshore petroleum or onshore resources activities. </w:t>
      </w:r>
      <w:r w:rsidRPr="002C7168">
        <w:rPr>
          <w:rFonts w:eastAsiaTheme="minorEastAsia"/>
        </w:rPr>
        <w:t>The</w:t>
      </w:r>
      <w:r w:rsidRPr="008612A9">
        <w:rPr>
          <w:rFonts w:eastAsiaTheme="minorEastAsia"/>
        </w:rPr>
        <w:t xml:space="preserve"> UK, Norway, US and Canada either expressly require, or empower an entity to require, security for decom</w:t>
      </w:r>
      <w:r w:rsidRPr="004C7C49">
        <w:rPr>
          <w:rFonts w:eastAsiaTheme="minorEastAsia"/>
        </w:rPr>
        <w:t>missioning</w:t>
      </w:r>
      <w:r w:rsidRPr="004C7C49">
        <w:t xml:space="preserve"> </w:t>
      </w:r>
      <w:r w:rsidRPr="004C7C49">
        <w:rPr>
          <w:rFonts w:eastAsiaTheme="minorEastAsia"/>
        </w:rPr>
        <w:t>offshore petroleum infrastructure. Domestically, Western Australia, Victoria and Queensland all have mining-related financial security requirements.</w:t>
      </w:r>
    </w:p>
    <w:p w14:paraId="1C9A1597" w14:textId="77777777" w:rsidR="003245C7" w:rsidRDefault="003245C7" w:rsidP="003245C7">
      <w:r>
        <w:t>Additionally, w</w:t>
      </w:r>
      <w:r w:rsidRPr="00005847">
        <w:t>hile there is a growing international market for decommis</w:t>
      </w:r>
      <w:r>
        <w:t>sioning insurance policies, an insurance policy may not</w:t>
      </w:r>
      <w:r w:rsidRPr="00005847">
        <w:t xml:space="preserve"> be </w:t>
      </w:r>
      <w:r>
        <w:t xml:space="preserve">an </w:t>
      </w:r>
      <w:r w:rsidRPr="00005847">
        <w:t xml:space="preserve">acceptable </w:t>
      </w:r>
      <w:r>
        <w:t xml:space="preserve">form of financial assurance under the enhanced framework if </w:t>
      </w:r>
      <w:r w:rsidRPr="00005847">
        <w:t>a company can</w:t>
      </w:r>
      <w:r>
        <w:t>not</w:t>
      </w:r>
      <w:r w:rsidRPr="00005847">
        <w:t xml:space="preserve"> demonstrate </w:t>
      </w:r>
      <w:r>
        <w:t xml:space="preserve">that </w:t>
      </w:r>
      <w:r w:rsidRPr="00005847">
        <w:t>the</w:t>
      </w:r>
      <w:r>
        <w:t xml:space="preserve"> insurance</w:t>
      </w:r>
      <w:r w:rsidRPr="00005847">
        <w:t xml:space="preserve"> policy will continue to be in forc</w:t>
      </w:r>
      <w:r>
        <w:t>e</w:t>
      </w:r>
      <w:r w:rsidRPr="00005847">
        <w:t xml:space="preserve"> </w:t>
      </w:r>
      <w:r>
        <w:t>if for example,</w:t>
      </w:r>
      <w:r w:rsidRPr="00005847">
        <w:t xml:space="preserve"> the company </w:t>
      </w:r>
      <w:r>
        <w:t>enters into</w:t>
      </w:r>
      <w:r w:rsidRPr="00005847">
        <w:t xml:space="preserve"> administration. The voluntary administration of the </w:t>
      </w:r>
      <w:proofErr w:type="spellStart"/>
      <w:r w:rsidRPr="00005847">
        <w:t>NOGA</w:t>
      </w:r>
      <w:proofErr w:type="spellEnd"/>
      <w:r w:rsidRPr="00005847">
        <w:t xml:space="preserve"> group of companies highlighted this shortcoming in the use of </w:t>
      </w:r>
      <w:r>
        <w:t xml:space="preserve">these types of </w:t>
      </w:r>
      <w:r w:rsidRPr="00005847">
        <w:t>insurance products</w:t>
      </w:r>
      <w:r>
        <w:t>.</w:t>
      </w:r>
    </w:p>
    <w:p w14:paraId="1C9A1598" w14:textId="77777777" w:rsidR="00C953FA" w:rsidRDefault="003245C7" w:rsidP="00C953FA">
      <w:pPr>
        <w:pStyle w:val="Heading3"/>
      </w:pPr>
      <w:r>
        <w:t>Implementation</w:t>
      </w:r>
    </w:p>
    <w:p w14:paraId="1C9A1599" w14:textId="77777777" w:rsidR="00221CF7" w:rsidRDefault="00C953FA" w:rsidP="00062D19">
      <w:r w:rsidRPr="00005847">
        <w:t>The department considers the existing</w:t>
      </w:r>
      <w:r>
        <w:t xml:space="preserve"> financial assurance</w:t>
      </w:r>
      <w:r w:rsidRPr="00005847">
        <w:t xml:space="preserve"> provisions in section 571 of the Act </w:t>
      </w:r>
      <w:r>
        <w:t>are sufficient to enable adjustments</w:t>
      </w:r>
      <w:r w:rsidR="000F5428">
        <w:t xml:space="preserve"> </w:t>
      </w:r>
      <w:r w:rsidR="00221CF7">
        <w:t xml:space="preserve">to </w:t>
      </w:r>
      <w:r w:rsidR="000F5428">
        <w:t>how NOPSEMA undertakes its compliance and monitoring enforcement of a titleholder’s duty</w:t>
      </w:r>
      <w:r w:rsidR="00221CF7">
        <w:t xml:space="preserve"> under section 571</w:t>
      </w:r>
      <w:r w:rsidR="000F5428">
        <w:t>.</w:t>
      </w:r>
    </w:p>
    <w:p w14:paraId="1C9A159A" w14:textId="77777777" w:rsidR="00C953FA" w:rsidRDefault="00C953FA" w:rsidP="00062D19">
      <w:r>
        <w:t>This will be achieved through changes to the policy and guidance material issued by government</w:t>
      </w:r>
      <w:r w:rsidRPr="00DA1A06">
        <w:t>—with NOPSEMA to reflect this in its material—and a review of the methodology</w:t>
      </w:r>
      <w:r>
        <w:t xml:space="preserve"> used for financial assurance.</w:t>
      </w:r>
    </w:p>
    <w:p w14:paraId="1C9A159B" w14:textId="77777777" w:rsidR="00062D19" w:rsidRDefault="00062D19" w:rsidP="003245C7">
      <w:bookmarkStart w:id="58" w:name="_Toc56441068"/>
      <w:r>
        <w:br w:type="page"/>
      </w:r>
    </w:p>
    <w:p w14:paraId="1C9A159C" w14:textId="77777777" w:rsidR="00594089" w:rsidRDefault="00594089" w:rsidP="00594089">
      <w:pPr>
        <w:pStyle w:val="Heading1"/>
      </w:pPr>
      <w:bookmarkStart w:id="59" w:name="_Ref58219602"/>
      <w:bookmarkStart w:id="60" w:name="_Toc58842661"/>
      <w:r>
        <w:lastRenderedPageBreak/>
        <w:t>Planning and management</w:t>
      </w:r>
      <w:bookmarkEnd w:id="58"/>
      <w:bookmarkEnd w:id="59"/>
      <w:bookmarkEnd w:id="60"/>
    </w:p>
    <w:p w14:paraId="1C9A159D" w14:textId="77777777" w:rsidR="00594089" w:rsidRPr="00E95616" w:rsidRDefault="00594089" w:rsidP="00594089">
      <w:pPr>
        <w:pStyle w:val="Heading2"/>
      </w:pPr>
      <w:bookmarkStart w:id="61" w:name="_Toc56441069"/>
      <w:bookmarkStart w:id="62" w:name="_Toc58842662"/>
      <w:r>
        <w:t>Decommissioning planning and resource management</w:t>
      </w:r>
      <w:bookmarkEnd w:id="61"/>
      <w:bookmarkEnd w:id="62"/>
    </w:p>
    <w:p w14:paraId="1C9A159E" w14:textId="77777777" w:rsidR="00594089" w:rsidRDefault="00594089" w:rsidP="00062D19">
      <w:r>
        <w:t xml:space="preserve">The department’s policy review identified an opportunity to enhance and modernise the requirements and use of a Field Development Plan (FDP) to reflect that </w:t>
      </w:r>
      <w:r w:rsidRPr="00005847">
        <w:t xml:space="preserve">a maturing </w:t>
      </w:r>
      <w:r>
        <w:t>industry requires regulatory tools to adapt and evolve as technology and industry practices do.</w:t>
      </w:r>
    </w:p>
    <w:p w14:paraId="1C9A159F" w14:textId="77777777" w:rsidR="00594089" w:rsidRDefault="00594089" w:rsidP="00062D19">
      <w:r>
        <w:t>A FDP</w:t>
      </w:r>
      <w:r w:rsidRPr="00E95616">
        <w:t xml:space="preserve"> demonstrates </w:t>
      </w:r>
      <w:r>
        <w:t>how the</w:t>
      </w:r>
      <w:r w:rsidRPr="00E95616">
        <w:t xml:space="preserve"> titleholder will develop and manage the field in a manner that is consistent with good oilfield practice and compatible with optimal long-term recovery of petroleum. </w:t>
      </w:r>
      <w:r>
        <w:t xml:space="preserve">Currently, a FDP </w:t>
      </w:r>
      <w:proofErr w:type="gramStart"/>
      <w:r>
        <w:t>is</w:t>
      </w:r>
      <w:r w:rsidRPr="00E95616">
        <w:t xml:space="preserve"> based</w:t>
      </w:r>
      <w:proofErr w:type="gramEnd"/>
      <w:r w:rsidRPr="00E95616">
        <w:t xml:space="preserve"> on information available at the time o</w:t>
      </w:r>
      <w:r>
        <w:t xml:space="preserve">f the application, with minimal change </w:t>
      </w:r>
      <w:r w:rsidR="00F92901">
        <w:t xml:space="preserve">over the life of a project </w:t>
      </w:r>
      <w:r>
        <w:t xml:space="preserve">and no mandatory review points </w:t>
      </w:r>
      <w:r w:rsidRPr="00E95616">
        <w:t>when a field is in a steady state of production.</w:t>
      </w:r>
    </w:p>
    <w:p w14:paraId="1C9A15A0" w14:textId="77777777" w:rsidR="00594089" w:rsidRDefault="00594089" w:rsidP="00062D19">
      <w:r>
        <w:t xml:space="preserve">The department proposes to introduce a mandatory review </w:t>
      </w:r>
      <w:r w:rsidRPr="00FA6CAF">
        <w:t>period</w:t>
      </w:r>
      <w:r w:rsidR="00B12A16">
        <w:t xml:space="preserve">, </w:t>
      </w:r>
      <w:r w:rsidRPr="00FA6CAF">
        <w:t>consistent with other permissioning documents</w:t>
      </w:r>
      <w:r>
        <w:t>,</w:t>
      </w:r>
      <w:r w:rsidRPr="00FA6CAF">
        <w:t xml:space="preserve"> such as an Environment Plan and Safety Case</w:t>
      </w:r>
      <w:r>
        <w:t>.</w:t>
      </w:r>
      <w:r w:rsidRPr="00FA6CAF">
        <w:t xml:space="preserve"> </w:t>
      </w:r>
      <w:r>
        <w:t>T</w:t>
      </w:r>
      <w:r w:rsidRPr="00FA6CAF">
        <w:t>he Joint Authority</w:t>
      </w:r>
      <w:r>
        <w:rPr>
          <w:rStyle w:val="FootnoteReference"/>
        </w:rPr>
        <w:footnoteReference w:id="4"/>
      </w:r>
      <w:r w:rsidRPr="00FA6CAF" w:rsidDel="005E7C87">
        <w:t xml:space="preserve"> </w:t>
      </w:r>
      <w:r>
        <w:t>will retain its ability to</w:t>
      </w:r>
      <w:r w:rsidRPr="00FA6CAF">
        <w:t xml:space="preserve"> </w:t>
      </w:r>
      <w:r>
        <w:t>request</w:t>
      </w:r>
      <w:r w:rsidRPr="00FA6CAF">
        <w:t xml:space="preserve"> </w:t>
      </w:r>
      <w:r>
        <w:t xml:space="preserve">a titleholder to review its FDP, as needed. </w:t>
      </w:r>
      <w:r>
        <w:rPr>
          <w:lang w:val="en-GB"/>
        </w:rPr>
        <w:t>This is to ensure that the ongoing economic viability of the project is reviewed regularly, is balanced against the optimal long-term recovery of petroleum, and not at the expense of a titleholder</w:t>
      </w:r>
      <w:r w:rsidR="00652052">
        <w:rPr>
          <w:lang w:val="en-GB"/>
        </w:rPr>
        <w:t>’</w:t>
      </w:r>
      <w:r>
        <w:rPr>
          <w:lang w:val="en-GB"/>
        </w:rPr>
        <w:t>s ability to meet its decommissioning obligations.</w:t>
      </w:r>
    </w:p>
    <w:p w14:paraId="1C9A15A1" w14:textId="77777777" w:rsidR="009D711C" w:rsidRDefault="00594089" w:rsidP="00062D19">
      <w:r>
        <w:t xml:space="preserve">While an Environment Plan will remain the </w:t>
      </w:r>
      <w:r w:rsidRPr="00FA6CAF">
        <w:t>key permissioning document for undertaking decommissioning activities</w:t>
      </w:r>
      <w:r>
        <w:t>, an enhanced and modernised FDP will encourage a titleholder</w:t>
      </w:r>
      <w:r w:rsidRPr="000D462D">
        <w:t xml:space="preserve"> to</w:t>
      </w:r>
      <w:r>
        <w:t xml:space="preserve"> engage with the Joint Authority and NOPTA earlier and</w:t>
      </w:r>
      <w:r w:rsidRPr="000D462D">
        <w:t xml:space="preserve"> </w:t>
      </w:r>
      <w:r>
        <w:t>to consider and develop decommissioning plans throughout the life of the field. Recognising that field knowledge and technology evolve</w:t>
      </w:r>
      <w:r w:rsidRPr="009D7A7C">
        <w:t xml:space="preserve"> </w:t>
      </w:r>
      <w:r>
        <w:t>over time, the decommissioning planning in an initial FDP is to demonstrate that in developing a field and commissioning infrastructure, the titleholde</w:t>
      </w:r>
      <w:r w:rsidR="00B12A16">
        <w:t xml:space="preserve">r has considered how it will </w:t>
      </w:r>
      <w:r>
        <w:t>remove</w:t>
      </w:r>
      <w:r w:rsidR="00B12A16">
        <w:t xml:space="preserve"> the infrastructure </w:t>
      </w:r>
      <w:r w:rsidR="009D711C">
        <w:t>in the future.</w:t>
      </w:r>
    </w:p>
    <w:p w14:paraId="1C9A15A2" w14:textId="77777777" w:rsidR="00594089" w:rsidRDefault="00594089" w:rsidP="00062D19">
      <w:r>
        <w:t xml:space="preserve">This is </w:t>
      </w:r>
      <w:r w:rsidR="00652052">
        <w:t xml:space="preserve">a </w:t>
      </w:r>
      <w:r w:rsidRPr="00005847">
        <w:t>common feature in comparable jurisdictions, especially those managing mature industries</w:t>
      </w:r>
      <w:r>
        <w:t>.</w:t>
      </w:r>
    </w:p>
    <w:bookmarkEnd w:id="39"/>
    <w:p w14:paraId="1C9A15A3" w14:textId="77777777" w:rsidR="00594089" w:rsidRPr="00611972" w:rsidRDefault="003245C7" w:rsidP="00594089">
      <w:pPr>
        <w:pStyle w:val="Heading3"/>
      </w:pPr>
      <w:r>
        <w:t>Implementation</w:t>
      </w:r>
    </w:p>
    <w:p w14:paraId="1C9A15A4" w14:textId="630F2A64" w:rsidR="0081467C" w:rsidRDefault="00594089" w:rsidP="00062D19">
      <w:r>
        <w:t>The department is</w:t>
      </w:r>
      <w:r w:rsidR="00B12A16">
        <w:t xml:space="preserve"> currently</w:t>
      </w:r>
      <w:r>
        <w:t xml:space="preserve"> reviewing the RMA </w:t>
      </w:r>
      <w:r w:rsidR="00B12A16">
        <w:t xml:space="preserve">Regulations. It will consult, in detail, on the </w:t>
      </w:r>
      <w:r>
        <w:t xml:space="preserve">proposed changes and </w:t>
      </w:r>
      <w:r w:rsidR="00B12A16">
        <w:t xml:space="preserve">will </w:t>
      </w:r>
      <w:r>
        <w:t>consider the need for supporting policy material</w:t>
      </w:r>
      <w:r w:rsidDel="00643524">
        <w:t>.</w:t>
      </w:r>
      <w:r w:rsidR="00BF064C">
        <w:t xml:space="preserve"> Consultation comments received during this process will inform policy development for a revised FDP framework.</w:t>
      </w:r>
    </w:p>
    <w:p w14:paraId="57DA3670" w14:textId="77777777" w:rsidR="0081467C" w:rsidRDefault="0081467C">
      <w:pPr>
        <w:spacing w:before="0" w:after="160" w:line="259" w:lineRule="auto"/>
      </w:pPr>
      <w:r>
        <w:br w:type="page"/>
      </w:r>
    </w:p>
    <w:p w14:paraId="1C9A15A6" w14:textId="3BB4EB4F" w:rsidR="00594089" w:rsidRDefault="0081467C" w:rsidP="00594089">
      <w:pPr>
        <w:pStyle w:val="Heading1"/>
      </w:pPr>
      <w:bookmarkStart w:id="63" w:name="_Toc56441070"/>
      <w:bookmarkStart w:id="64" w:name="_Ref58219608"/>
      <w:bookmarkStart w:id="65" w:name="_Toc58842663"/>
      <w:bookmarkStart w:id="66" w:name="_Toc50133026"/>
      <w:bookmarkStart w:id="67" w:name="_Toc50459496"/>
      <w:r>
        <w:lastRenderedPageBreak/>
        <w:t>A</w:t>
      </w:r>
      <w:r w:rsidR="00594089">
        <w:t>ccountability and trailing liability</w:t>
      </w:r>
      <w:bookmarkEnd w:id="63"/>
      <w:bookmarkEnd w:id="64"/>
      <w:bookmarkEnd w:id="65"/>
    </w:p>
    <w:p w14:paraId="1C9A15A7" w14:textId="77777777" w:rsidR="00594089" w:rsidRDefault="00594089" w:rsidP="00594089">
      <w:pPr>
        <w:pStyle w:val="Heading2"/>
      </w:pPr>
      <w:bookmarkStart w:id="68" w:name="_Toc56441071"/>
      <w:bookmarkStart w:id="69" w:name="_Toc58842664"/>
      <w:r>
        <w:t>Early and proactive use of directions</w:t>
      </w:r>
      <w:bookmarkEnd w:id="66"/>
      <w:bookmarkEnd w:id="67"/>
      <w:bookmarkEnd w:id="68"/>
      <w:bookmarkEnd w:id="69"/>
    </w:p>
    <w:p w14:paraId="1C9A15A8" w14:textId="77777777" w:rsidR="00594089" w:rsidRDefault="00594089" w:rsidP="00B12A16">
      <w:r>
        <w:t xml:space="preserve">The department’s policy review identified an opportunity to enhance how regulatory tools </w:t>
      </w:r>
      <w:proofErr w:type="gramStart"/>
      <w:r w:rsidR="00742134">
        <w:t xml:space="preserve">are used </w:t>
      </w:r>
      <w:r>
        <w:t>to ensure decommissioning obligations are clear and fit for purpose</w:t>
      </w:r>
      <w:proofErr w:type="gramEnd"/>
      <w:r>
        <w:t>.</w:t>
      </w:r>
    </w:p>
    <w:p w14:paraId="1C9A15A9" w14:textId="77777777" w:rsidR="00594089" w:rsidRDefault="00594089" w:rsidP="00B12A16">
      <w:r>
        <w:t xml:space="preserve">Consistent with Australia’s international obligations and recognising the importance of protecting the marine environment, the Act dedicates part 6.4 to ‘Restoration of the Environment’. This part of the Act empowers NOPSEMA and the Responsible Commonwealth </w:t>
      </w:r>
      <w:r w:rsidRPr="00981F24">
        <w:t xml:space="preserve">Minister to issue remedial directions </w:t>
      </w:r>
      <w:r>
        <w:t>to current titleholders, and in limited circumstances, to</w:t>
      </w:r>
      <w:r w:rsidR="00062D19">
        <w:t xml:space="preserve"> an immediate former titleholder</w:t>
      </w:r>
      <w:r>
        <w:t xml:space="preserve"> about</w:t>
      </w:r>
      <w:r w:rsidR="00B53935">
        <w:t xml:space="preserve"> the</w:t>
      </w:r>
      <w:r>
        <w:t>:</w:t>
      </w:r>
    </w:p>
    <w:p w14:paraId="1C9A15AA" w14:textId="77777777" w:rsidR="00594089" w:rsidRDefault="00594089" w:rsidP="00062D19">
      <w:pPr>
        <w:pStyle w:val="ListParagraph"/>
        <w:numPr>
          <w:ilvl w:val="0"/>
          <w:numId w:val="36"/>
        </w:numPr>
      </w:pPr>
      <w:r>
        <w:t>removal of property (NOPSEMA only)</w:t>
      </w:r>
    </w:p>
    <w:p w14:paraId="1C9A15AB" w14:textId="77777777" w:rsidR="00594089" w:rsidRDefault="00594089" w:rsidP="00062D19">
      <w:pPr>
        <w:pStyle w:val="ListParagraph"/>
        <w:numPr>
          <w:ilvl w:val="0"/>
          <w:numId w:val="36"/>
        </w:numPr>
      </w:pPr>
      <w:r>
        <w:t>plugging or closing off wells</w:t>
      </w:r>
    </w:p>
    <w:p w14:paraId="1C9A15AC" w14:textId="77777777" w:rsidR="00594089" w:rsidRDefault="00594089" w:rsidP="00062D19">
      <w:pPr>
        <w:pStyle w:val="ListParagraph"/>
        <w:numPr>
          <w:ilvl w:val="0"/>
          <w:numId w:val="36"/>
        </w:numPr>
      </w:pPr>
      <w:r>
        <w:t>conservation and protection of natural resources</w:t>
      </w:r>
    </w:p>
    <w:p w14:paraId="1C9A15AD" w14:textId="77777777" w:rsidR="00594089" w:rsidRDefault="00594089" w:rsidP="00062D19">
      <w:pPr>
        <w:pStyle w:val="ListParagraph"/>
        <w:numPr>
          <w:ilvl w:val="0"/>
          <w:numId w:val="36"/>
        </w:numPr>
      </w:pPr>
      <w:proofErr w:type="gramStart"/>
      <w:r>
        <w:t>making</w:t>
      </w:r>
      <w:proofErr w:type="gramEnd"/>
      <w:r>
        <w:t xml:space="preserve"> good of damage to the seabed or subsoil.</w:t>
      </w:r>
    </w:p>
    <w:p w14:paraId="1C9A15AE" w14:textId="77777777" w:rsidR="00594089" w:rsidRDefault="00594089" w:rsidP="00B12A16">
      <w:r w:rsidRPr="00FA6CAF">
        <w:t>Addi</w:t>
      </w:r>
      <w:r>
        <w:t>tionally, both NOPSEMA and the M</w:t>
      </w:r>
      <w:r w:rsidRPr="00FA6CAF">
        <w:t xml:space="preserve">inister </w:t>
      </w:r>
      <w:r>
        <w:t>have</w:t>
      </w:r>
      <w:r w:rsidRPr="00FA6CAF">
        <w:t xml:space="preserve"> powers under the Act to take certain actions when a breach of a direction occurs. These actions include the ability to do anything required by the direction, with the </w:t>
      </w:r>
      <w:r>
        <w:t>cost</w:t>
      </w:r>
      <w:r w:rsidRPr="00FA6CAF">
        <w:t xml:space="preserve"> of these actions being a debt due by the </w:t>
      </w:r>
      <w:r>
        <w:t>titleholder to the Commonwealth and possible civil and/or criminal penalties following a b</w:t>
      </w:r>
      <w:r w:rsidRPr="00FA6CAF">
        <w:t>reach</w:t>
      </w:r>
      <w:r>
        <w:t xml:space="preserve"> </w:t>
      </w:r>
      <w:r w:rsidRPr="00FA6CAF">
        <w:t>of a direction</w:t>
      </w:r>
      <w:r>
        <w:t>.</w:t>
      </w:r>
    </w:p>
    <w:p w14:paraId="1C9A15AF" w14:textId="77777777" w:rsidR="00594089" w:rsidRDefault="00594089" w:rsidP="00B12A16">
      <w:r>
        <w:t xml:space="preserve">The </w:t>
      </w:r>
      <w:r w:rsidR="009C5695">
        <w:t>framework will e</w:t>
      </w:r>
      <w:r>
        <w:t>nhance the use of remedial directions by using these powers earlier in a project’s life. The early and proactive use of remedial directions will complement</w:t>
      </w:r>
      <w:r w:rsidRPr="00FA6CAF">
        <w:t xml:space="preserve"> </w:t>
      </w:r>
      <w:r>
        <w:t xml:space="preserve">the duties of a titleholder, </w:t>
      </w:r>
      <w:r w:rsidRPr="00FA6CAF">
        <w:t>under</w:t>
      </w:r>
      <w:r>
        <w:t xml:space="preserve"> section 572 of the Act, to maintain property and remove all </w:t>
      </w:r>
      <w:proofErr w:type="gramStart"/>
      <w:r>
        <w:t>structures,</w:t>
      </w:r>
      <w:proofErr w:type="gramEnd"/>
      <w:r>
        <w:t xml:space="preserve"> equipment and property when it is no longer </w:t>
      </w:r>
      <w:r w:rsidR="009C5695">
        <w:t xml:space="preserve">in use </w:t>
      </w:r>
      <w:r>
        <w:t>or planned to be used.</w:t>
      </w:r>
    </w:p>
    <w:p w14:paraId="1C9A15B0" w14:textId="77777777" w:rsidR="00594089" w:rsidRDefault="009C5695" w:rsidP="00B12A16">
      <w:r>
        <w:t>T</w:t>
      </w:r>
      <w:r w:rsidR="00594089">
        <w:t xml:space="preserve">he ability to </w:t>
      </w:r>
      <w:r>
        <w:t xml:space="preserve">regularly </w:t>
      </w:r>
      <w:r w:rsidR="00594089">
        <w:t>review and amend a remedial direction</w:t>
      </w:r>
      <w:r w:rsidR="008E61D8">
        <w:t xml:space="preserve"> is to </w:t>
      </w:r>
      <w:proofErr w:type="gramStart"/>
      <w:r>
        <w:t>be introduced</w:t>
      </w:r>
      <w:proofErr w:type="gramEnd"/>
      <w:r w:rsidR="00594089">
        <w:t xml:space="preserve"> to remain flexible to changing circumstances. This </w:t>
      </w:r>
      <w:r>
        <w:t xml:space="preserve">review </w:t>
      </w:r>
      <w:r w:rsidR="00594089">
        <w:t>could align with existing pe</w:t>
      </w:r>
      <w:r>
        <w:t>rmissioning documents such as a Field Development Plan,</w:t>
      </w:r>
      <w:r w:rsidR="00594089">
        <w:t xml:space="preserve"> </w:t>
      </w:r>
      <w:r w:rsidR="00594089" w:rsidRPr="00C85EC2">
        <w:t>Environment Plan</w:t>
      </w:r>
      <w:r w:rsidR="00594089">
        <w:t>, Safety Case or Well Operations Management Plan.</w:t>
      </w:r>
    </w:p>
    <w:p w14:paraId="1C9A15B1" w14:textId="77777777" w:rsidR="00594089" w:rsidRDefault="00594089" w:rsidP="00B12A16">
      <w:r w:rsidRPr="009C5695">
        <w:t xml:space="preserve">In addition, the review recognised the need to enable post-decommissioning monitoring activities, and the need for management and monitoring of infrastructure </w:t>
      </w:r>
      <w:r w:rsidR="009C5695" w:rsidRPr="009C5695">
        <w:t>if it has been</w:t>
      </w:r>
      <w:r w:rsidR="009C5695">
        <w:t xml:space="preserve"> or is to be</w:t>
      </w:r>
      <w:r w:rsidR="00B53935">
        <w:t>,</w:t>
      </w:r>
      <w:r w:rsidR="009C5695" w:rsidRPr="009C5695">
        <w:t xml:space="preserve"> re-purposed.</w:t>
      </w:r>
      <w:r w:rsidR="009C5695">
        <w:t xml:space="preserve"> </w:t>
      </w:r>
      <w:r>
        <w:t xml:space="preserve">Recognising the interconnectedness of the titling structure under the Act with that in the </w:t>
      </w:r>
      <w:r w:rsidRPr="00F67678">
        <w:rPr>
          <w:i/>
        </w:rPr>
        <w:t>Petroleum Resource Rent Tax Assessment Act 1987</w:t>
      </w:r>
      <w:r>
        <w:t xml:space="preserve">, the department proposes to explore the use of existing regulatory tools and licences </w:t>
      </w:r>
      <w:r w:rsidRPr="006C08FB">
        <w:t xml:space="preserve">to enable post-decommissioning monitoring, in the first instance, by a </w:t>
      </w:r>
      <w:r>
        <w:t>remedial direction. For example, following the plugging of a well,</w:t>
      </w:r>
      <w:r w:rsidRPr="006C08FB">
        <w:t xml:space="preserve"> a direction could require the </w:t>
      </w:r>
      <w:r>
        <w:t>monitoring of the plugged well to ensure there is no leakage into the marine environment, prior to or after the surrender of a title.</w:t>
      </w:r>
      <w:r w:rsidR="003E1BBE">
        <w:t xml:space="preserve"> </w:t>
      </w:r>
    </w:p>
    <w:p w14:paraId="1C9A15B2" w14:textId="77777777" w:rsidR="00594089" w:rsidRPr="00837026" w:rsidRDefault="003245C7" w:rsidP="00594089">
      <w:pPr>
        <w:pStyle w:val="Heading3"/>
      </w:pPr>
      <w:bookmarkStart w:id="70" w:name="_Toc50133027"/>
      <w:bookmarkStart w:id="71" w:name="_Toc50459497"/>
      <w:r>
        <w:t>Implementation</w:t>
      </w:r>
    </w:p>
    <w:p w14:paraId="1C9A15B3" w14:textId="77777777" w:rsidR="00E70CEB" w:rsidRDefault="009C5695" w:rsidP="009C5695">
      <w:r w:rsidRPr="00005847">
        <w:t>The department considers the existing</w:t>
      </w:r>
      <w:r>
        <w:t xml:space="preserve"> remedial direction</w:t>
      </w:r>
      <w:r w:rsidRPr="00005847">
        <w:t xml:space="preserve"> provisions in the Act </w:t>
      </w:r>
      <w:r>
        <w:t xml:space="preserve">are sufficient to enable the early and proactive use by NOPSEMA and the responsible Commonwealth Minister. </w:t>
      </w:r>
      <w:r w:rsidR="00974249">
        <w:t>The</w:t>
      </w:r>
      <w:r w:rsidR="008E61D8">
        <w:t xml:space="preserve"> </w:t>
      </w:r>
      <w:r w:rsidR="008E61D8">
        <w:lastRenderedPageBreak/>
        <w:t>development of policy documents</w:t>
      </w:r>
      <w:r w:rsidR="00974249">
        <w:t xml:space="preserve"> will support this approach</w:t>
      </w:r>
      <w:r w:rsidR="008E61D8">
        <w:t xml:space="preserve">. If through this consultation process or during implementation the need for legislative change </w:t>
      </w:r>
      <w:proofErr w:type="gramStart"/>
      <w:r w:rsidR="008E61D8">
        <w:t>is identified</w:t>
      </w:r>
      <w:proofErr w:type="gramEnd"/>
      <w:r w:rsidR="008E61D8">
        <w:t xml:space="preserve">, this </w:t>
      </w:r>
      <w:r w:rsidR="00BF064C">
        <w:t xml:space="preserve">also </w:t>
      </w:r>
      <w:r w:rsidR="008E61D8">
        <w:t>will be pursued.</w:t>
      </w:r>
    </w:p>
    <w:p w14:paraId="1C9A15B4" w14:textId="77777777" w:rsidR="00594089" w:rsidRPr="00FF08EB" w:rsidRDefault="00594089" w:rsidP="00594089">
      <w:pPr>
        <w:pStyle w:val="Heading2"/>
      </w:pPr>
      <w:bookmarkStart w:id="72" w:name="_Toc56441072"/>
      <w:bookmarkStart w:id="73" w:name="_Toc58842665"/>
      <w:r w:rsidRPr="00FF08EB">
        <w:t>Public comment and transparent reporting</w:t>
      </w:r>
      <w:bookmarkEnd w:id="72"/>
      <w:bookmarkEnd w:id="73"/>
    </w:p>
    <w:p w14:paraId="1C9A15B6" w14:textId="5010F0A6" w:rsidR="007E1D20" w:rsidRDefault="008D6739" w:rsidP="00062D19">
      <w:r w:rsidRPr="00242221">
        <w:t>The department’s</w:t>
      </w:r>
      <w:r w:rsidR="00FF08EB">
        <w:t xml:space="preserve"> policy </w:t>
      </w:r>
      <w:r w:rsidRPr="00242221">
        <w:t xml:space="preserve">review identified </w:t>
      </w:r>
      <w:r w:rsidR="00FF08EB">
        <w:t>the need</w:t>
      </w:r>
      <w:r w:rsidR="00594089" w:rsidRPr="00242221">
        <w:t xml:space="preserve"> to improve transparency and public engagement </w:t>
      </w:r>
      <w:r w:rsidR="003C736B">
        <w:t>for</w:t>
      </w:r>
      <w:r w:rsidR="00594089" w:rsidRPr="00242221">
        <w:t xml:space="preserve"> petroleum activit</w:t>
      </w:r>
      <w:r w:rsidR="00FF08EB">
        <w:t>ies</w:t>
      </w:r>
      <w:r w:rsidRPr="00242221">
        <w:t xml:space="preserve"> </w:t>
      </w:r>
      <w:r w:rsidR="004766CF" w:rsidRPr="00242221">
        <w:t>in particular</w:t>
      </w:r>
      <w:r w:rsidR="00FF08EB">
        <w:t>,</w:t>
      </w:r>
      <w:r w:rsidRPr="00242221">
        <w:t xml:space="preserve"> decommissioning. </w:t>
      </w:r>
      <w:r w:rsidR="00FF08EB">
        <w:t xml:space="preserve">When decommissioning activities are planned, there is currently no requirement for a public comment period on the proposed activities and once the activities are complete to NOPSEMA’s satisfaction, no </w:t>
      </w:r>
      <w:r w:rsidR="00FF08EB" w:rsidRPr="00242221">
        <w:t xml:space="preserve">mandatory public reporting </w:t>
      </w:r>
      <w:r w:rsidR="00FF08EB">
        <w:t xml:space="preserve">to enable </w:t>
      </w:r>
      <w:r w:rsidR="00FF08EB" w:rsidRPr="00FF08EB">
        <w:t>the community to understand when and how a titleholder met its decommissioning obligations.</w:t>
      </w:r>
      <w:r w:rsidR="007D747C">
        <w:t xml:space="preserve"> </w:t>
      </w:r>
      <w:r w:rsidRPr="00242221">
        <w:t xml:space="preserve">To complement existing </w:t>
      </w:r>
      <w:r w:rsidR="007E1D20">
        <w:t>transparency measures and to provide increased transparenc</w:t>
      </w:r>
      <w:r w:rsidR="003C736B">
        <w:t xml:space="preserve">y, the department proposes </w:t>
      </w:r>
      <w:r w:rsidR="007E1D20">
        <w:t>to introduce:</w:t>
      </w:r>
    </w:p>
    <w:p w14:paraId="1C9A15B7" w14:textId="77777777" w:rsidR="007E1D20" w:rsidRDefault="007E1D20" w:rsidP="007E1D20">
      <w:pPr>
        <w:pStyle w:val="ListParagraph"/>
        <w:numPr>
          <w:ilvl w:val="0"/>
          <w:numId w:val="40"/>
        </w:numPr>
      </w:pPr>
      <w:proofErr w:type="gramStart"/>
      <w:r>
        <w:t>A</w:t>
      </w:r>
      <w:r w:rsidR="006D3970">
        <w:t xml:space="preserve"> public comment period on</w:t>
      </w:r>
      <w:r>
        <w:t xml:space="preserve"> </w:t>
      </w:r>
      <w:r w:rsidR="006D3970">
        <w:t xml:space="preserve">decommissioning </w:t>
      </w:r>
      <w:r>
        <w:t xml:space="preserve">environment </w:t>
      </w:r>
      <w:r w:rsidR="003C736B">
        <w:t xml:space="preserve">plans </w:t>
      </w:r>
      <w:r w:rsidR="006D3970">
        <w:t>that seek NOPSEMA’s acceptance.</w:t>
      </w:r>
      <w:proofErr w:type="gramEnd"/>
    </w:p>
    <w:p w14:paraId="1C9A15B8" w14:textId="77777777" w:rsidR="007E1D20" w:rsidRDefault="007E1D20" w:rsidP="007E1D20">
      <w:pPr>
        <w:pStyle w:val="ListParagraph"/>
        <w:numPr>
          <w:ilvl w:val="0"/>
          <w:numId w:val="40"/>
        </w:numPr>
      </w:pPr>
      <w:r>
        <w:t xml:space="preserve">Public reporting of </w:t>
      </w:r>
      <w:r w:rsidRPr="00242221">
        <w:t>environmental performance once a petroleum activity is underway</w:t>
      </w:r>
      <w:r>
        <w:t>.</w:t>
      </w:r>
    </w:p>
    <w:p w14:paraId="1C9A15B9" w14:textId="77777777" w:rsidR="003C736B" w:rsidRDefault="007E1D20" w:rsidP="00062D19">
      <w:pPr>
        <w:pStyle w:val="ListParagraph"/>
        <w:numPr>
          <w:ilvl w:val="0"/>
          <w:numId w:val="40"/>
        </w:numPr>
      </w:pPr>
      <w:r>
        <w:t>Publication of ‘close-out’ reports once an activity has been complete, to NOPSEMA’s satisfaction.</w:t>
      </w:r>
    </w:p>
    <w:p w14:paraId="1C9A15BA" w14:textId="77777777" w:rsidR="00594089" w:rsidRPr="00242221" w:rsidRDefault="003245C7" w:rsidP="00594089">
      <w:pPr>
        <w:pStyle w:val="Heading3"/>
      </w:pPr>
      <w:r w:rsidRPr="00242221">
        <w:t>Implementation</w:t>
      </w:r>
    </w:p>
    <w:p w14:paraId="1C9A15BB" w14:textId="77777777" w:rsidR="002233F8" w:rsidRDefault="002233F8" w:rsidP="002233F8">
      <w:r>
        <w:t xml:space="preserve">The department is planning to undertake a review of the </w:t>
      </w:r>
      <w:r w:rsidRPr="00242221">
        <w:t>Offshore Petroleum and Greenhouse Gas Storage (Environment) Regulations 2009</w:t>
      </w:r>
      <w:r w:rsidR="003E1BBE">
        <w:t xml:space="preserve"> </w:t>
      </w:r>
      <w:r w:rsidR="005441A0">
        <w:t>within three years</w:t>
      </w:r>
      <w:r>
        <w:t>.</w:t>
      </w:r>
      <w:r w:rsidR="005441A0">
        <w:t xml:space="preserve"> Ahead of this, the department may seek to amend the Regulations to give effect to these measures and </w:t>
      </w:r>
      <w:r>
        <w:t>will consult</w:t>
      </w:r>
      <w:r w:rsidR="005441A0">
        <w:t xml:space="preserve"> </w:t>
      </w:r>
      <w:r>
        <w:t>on the proposed changes</w:t>
      </w:r>
      <w:r w:rsidR="005441A0">
        <w:t xml:space="preserve">. </w:t>
      </w:r>
      <w:r>
        <w:t>Consultation comments received during this process will inform early policy development on these transparency measures.</w:t>
      </w:r>
    </w:p>
    <w:p w14:paraId="1C9A15BC" w14:textId="77777777" w:rsidR="00594089" w:rsidRDefault="00594089" w:rsidP="00594089">
      <w:pPr>
        <w:pStyle w:val="Heading2"/>
      </w:pPr>
      <w:bookmarkStart w:id="74" w:name="_Toc56441073"/>
      <w:bookmarkStart w:id="75" w:name="_Toc58842666"/>
      <w:bookmarkEnd w:id="70"/>
      <w:bookmarkEnd w:id="71"/>
      <w:r>
        <w:t>Trailing liability</w:t>
      </w:r>
      <w:bookmarkEnd w:id="74"/>
      <w:bookmarkEnd w:id="75"/>
    </w:p>
    <w:p w14:paraId="1C9A15BD" w14:textId="77777777" w:rsidR="00594089" w:rsidRDefault="00594089" w:rsidP="00062D19">
      <w:r>
        <w:t xml:space="preserve">The department’s policy review and the Walker Review identified the need to </w:t>
      </w:r>
      <w:r w:rsidR="008B28A4">
        <w:t>enhance</w:t>
      </w:r>
      <w:r>
        <w:t xml:space="preserve"> the existing trailing liability provisions to protect the</w:t>
      </w:r>
      <w:r w:rsidRPr="00770736">
        <w:t xml:space="preserve"> interests of the</w:t>
      </w:r>
      <w:r>
        <w:t xml:space="preserve"> broader community and taxpayers. The </w:t>
      </w:r>
      <w:r w:rsidR="00CF3559">
        <w:t>Walker Review also observed</w:t>
      </w:r>
      <w:r>
        <w:t xml:space="preserve"> the current limited application of trailing liability </w:t>
      </w:r>
      <w:r w:rsidRPr="00770736">
        <w:t xml:space="preserve">is inconsistent with comparable jurisdictions </w:t>
      </w:r>
      <w:r>
        <w:t>that manage a mature industry.</w:t>
      </w:r>
    </w:p>
    <w:p w14:paraId="1C9A15BE" w14:textId="77777777" w:rsidR="00E148EF" w:rsidRDefault="00E148EF" w:rsidP="00062D19">
      <w:r>
        <w:t>There are two k</w:t>
      </w:r>
      <w:r w:rsidR="00594089">
        <w:t>ey policy objective</w:t>
      </w:r>
      <w:r>
        <w:t>s</w:t>
      </w:r>
      <w:r w:rsidR="00594089">
        <w:t xml:space="preserve"> of enhancing</w:t>
      </w:r>
      <w:r w:rsidR="00594089" w:rsidRPr="000B7875">
        <w:t xml:space="preserve"> trailing liability</w:t>
      </w:r>
      <w:r w:rsidR="00FB0AB3">
        <w:t xml:space="preserve"> to </w:t>
      </w:r>
      <w:r w:rsidR="00FB0AB3" w:rsidRPr="000B7875">
        <w:t>reduc</w:t>
      </w:r>
      <w:r w:rsidR="00FB0AB3">
        <w:t>e</w:t>
      </w:r>
      <w:r w:rsidR="00FB0AB3" w:rsidRPr="000B7875">
        <w:t xml:space="preserve"> the risk that existing titleholders may dispose of mature</w:t>
      </w:r>
      <w:r w:rsidR="00FB0AB3">
        <w:t xml:space="preserve"> to </w:t>
      </w:r>
      <w:r w:rsidR="00FB0AB3" w:rsidRPr="000B7875">
        <w:t xml:space="preserve">late-life assets to entities who may not be financially or technically capable of undertaking petroleum activities and fulfilling their </w:t>
      </w:r>
      <w:r w:rsidR="00FB0AB3">
        <w:t>obligations</w:t>
      </w:r>
      <w:r>
        <w:t>:</w:t>
      </w:r>
    </w:p>
    <w:p w14:paraId="1C9A15BF" w14:textId="77777777" w:rsidR="00594089" w:rsidRDefault="00E148EF" w:rsidP="00062D19">
      <w:pPr>
        <w:pStyle w:val="ListParagraph"/>
        <w:numPr>
          <w:ilvl w:val="0"/>
          <w:numId w:val="39"/>
        </w:numPr>
      </w:pPr>
      <w:r>
        <w:t>E</w:t>
      </w:r>
      <w:r w:rsidR="00CF3559">
        <w:t xml:space="preserve">nsure </w:t>
      </w:r>
      <w:r w:rsidR="00594089">
        <w:t>the risks and liabilities of petroleum activities remain the responsibility of those who have derived the greatest finan</w:t>
      </w:r>
      <w:r w:rsidR="00CF3559">
        <w:t>cial benefits from the project.</w:t>
      </w:r>
    </w:p>
    <w:p w14:paraId="1C9A15C0" w14:textId="77777777" w:rsidR="00E148EF" w:rsidRDefault="00E148EF" w:rsidP="00E148EF">
      <w:pPr>
        <w:pStyle w:val="ListParagraph"/>
        <w:numPr>
          <w:ilvl w:val="0"/>
          <w:numId w:val="39"/>
        </w:numPr>
      </w:pPr>
      <w:r>
        <w:t>B</w:t>
      </w:r>
      <w:r w:rsidR="00594089">
        <w:t xml:space="preserve">ring about </w:t>
      </w:r>
      <w:r w:rsidR="00FB0AB3">
        <w:t xml:space="preserve">a </w:t>
      </w:r>
      <w:r w:rsidR="00594089" w:rsidRPr="000B7875">
        <w:t>change in behaviour</w:t>
      </w:r>
      <w:r w:rsidR="00FB0AB3">
        <w:t xml:space="preserve"> and increase the due diligence by companies of who it sells its titles and assets </w:t>
      </w:r>
      <w:proofErr w:type="gramStart"/>
      <w:r w:rsidR="00FB0AB3">
        <w:t>to</w:t>
      </w:r>
      <w:proofErr w:type="gramEnd"/>
      <w:r w:rsidR="00FB0AB3">
        <w:t>.</w:t>
      </w:r>
    </w:p>
    <w:p w14:paraId="1C9A15C1" w14:textId="77777777" w:rsidR="00C120A4" w:rsidRDefault="00C120A4" w:rsidP="00C120A4">
      <w:pPr>
        <w:pStyle w:val="Heading3"/>
      </w:pPr>
      <w:r>
        <w:lastRenderedPageBreak/>
        <w:t>Options</w:t>
      </w:r>
    </w:p>
    <w:p w14:paraId="1C9A15C4" w14:textId="064F120D" w:rsidR="00594089" w:rsidRDefault="00FB0AB3" w:rsidP="007D747C">
      <w:r>
        <w:t>To achieve the key policy objectives the</w:t>
      </w:r>
      <w:r w:rsidR="00594089">
        <w:t xml:space="preserve"> </w:t>
      </w:r>
      <w:r w:rsidR="007D747C">
        <w:t>department</w:t>
      </w:r>
      <w:r w:rsidR="00E340A8">
        <w:t xml:space="preserve"> considered </w:t>
      </w:r>
      <w:r w:rsidR="007D747C">
        <w:t xml:space="preserve">the following </w:t>
      </w:r>
      <w:r w:rsidR="00E340A8">
        <w:t>two legislative options to enhance the existing trailing liability provision</w:t>
      </w:r>
      <w:r w:rsidR="007D747C">
        <w:t>.</w:t>
      </w:r>
    </w:p>
    <w:p w14:paraId="1C9A15C5" w14:textId="77777777" w:rsidR="00594089" w:rsidRPr="00062D19" w:rsidRDefault="00FB0AB3" w:rsidP="00C120A4">
      <w:pPr>
        <w:pStyle w:val="Heading4"/>
      </w:pPr>
      <w:r>
        <w:t>A</w:t>
      </w:r>
      <w:r w:rsidR="00C120A4">
        <w:t xml:space="preserve"> standing obligation</w:t>
      </w:r>
    </w:p>
    <w:p w14:paraId="1C9A15C6" w14:textId="77777777" w:rsidR="00F21C04" w:rsidRDefault="00C120A4" w:rsidP="00062D19">
      <w:r>
        <w:t xml:space="preserve">Creating a </w:t>
      </w:r>
      <w:r w:rsidR="00594089">
        <w:t xml:space="preserve">standing obligation </w:t>
      </w:r>
      <w:r>
        <w:t xml:space="preserve">in the Act </w:t>
      </w:r>
      <w:r w:rsidR="00594089">
        <w:t xml:space="preserve">would </w:t>
      </w:r>
      <w:r w:rsidR="00CE3048">
        <w:t xml:space="preserve">result in </w:t>
      </w:r>
      <w:r w:rsidR="00CE3048">
        <w:rPr>
          <w:rFonts w:cstheme="minorBidi"/>
        </w:rPr>
        <w:t>companies remaining continually liable for decommissioning, despite selling its assets and/or interests in a title.</w:t>
      </w:r>
      <w:r w:rsidR="00CE3048">
        <w:t xml:space="preserve"> </w:t>
      </w:r>
      <w:r w:rsidR="00594089" w:rsidRPr="000B64D3">
        <w:t xml:space="preserve">The result of this option is that </w:t>
      </w:r>
      <w:r w:rsidR="00594089">
        <w:t xml:space="preserve">a </w:t>
      </w:r>
      <w:r w:rsidR="00594089" w:rsidRPr="000B64D3">
        <w:t>compan</w:t>
      </w:r>
      <w:r w:rsidR="00594089">
        <w:t>y</w:t>
      </w:r>
      <w:r w:rsidR="00594089" w:rsidRPr="000B64D3">
        <w:t xml:space="preserve"> will need to account for its liabilities on an ongoing basis, in some form, despite selling its assets to another party</w:t>
      </w:r>
      <w:r w:rsidR="00594089">
        <w:t>.</w:t>
      </w:r>
      <w:r w:rsidR="0020099F">
        <w:t xml:space="preserve"> </w:t>
      </w:r>
      <w:r>
        <w:t>Because of the impact this would have on investment, the preferred option is to expand the existing trailing liability provisions.</w:t>
      </w:r>
    </w:p>
    <w:p w14:paraId="1C9A15C7" w14:textId="77777777" w:rsidR="00594089" w:rsidRPr="00062D19" w:rsidRDefault="00594089" w:rsidP="00C120A4">
      <w:pPr>
        <w:pStyle w:val="Heading4"/>
      </w:pPr>
      <w:r w:rsidRPr="00062D19">
        <w:t>Expand existing provisions</w:t>
      </w:r>
    </w:p>
    <w:p w14:paraId="1C9A15C8" w14:textId="2D41E6BF" w:rsidR="00065880" w:rsidRDefault="00C120A4" w:rsidP="00062D19">
      <w:r>
        <w:t>Currently, the ability to ‘call back’ a previous titleholder to remediate the title area or conduct other activities is only available to government when a title has ceased through termination, expiration, revocation, cancellation or has been surren</w:t>
      </w:r>
      <w:r w:rsidR="007D747C">
        <w:t>dered (depending on the title).</w:t>
      </w:r>
    </w:p>
    <w:p w14:paraId="1C9A15C9" w14:textId="77777777" w:rsidR="00C120A4" w:rsidRPr="00CE3048" w:rsidRDefault="00C120A4" w:rsidP="00062D19">
      <w:pPr>
        <w:rPr>
          <w:rFonts w:cstheme="minorBidi"/>
        </w:rPr>
      </w:pPr>
      <w:r>
        <w:t xml:space="preserve">Under this framework, the existing powers </w:t>
      </w:r>
      <w:proofErr w:type="gramStart"/>
      <w:r>
        <w:t>will be expanded</w:t>
      </w:r>
      <w:proofErr w:type="gramEnd"/>
      <w:r>
        <w:t xml:space="preserve"> to apply in a greater range of circumstances</w:t>
      </w:r>
      <w:r w:rsidR="00CE3048">
        <w:t>—</w:t>
      </w:r>
      <w:r>
        <w:t xml:space="preserve">providing </w:t>
      </w:r>
      <w:r>
        <w:rPr>
          <w:rFonts w:cstheme="minorBidi"/>
        </w:rPr>
        <w:t xml:space="preserve">NOPSEMA and the Responsible Commonwealth Minister with the ability to ‘call back’ any former titleholder, regardless of how its interest in the title ceased. </w:t>
      </w:r>
      <w:r>
        <w:t xml:space="preserve">This includes the ability to call back companies who have been given consent to surrender </w:t>
      </w:r>
      <w:r w:rsidR="00CE3048">
        <w:t xml:space="preserve">the title </w:t>
      </w:r>
      <w:r>
        <w:t>by the Joint Authority or sold their interests via a transfer, dealing or other form of commercial transaction.</w:t>
      </w:r>
    </w:p>
    <w:p w14:paraId="1C9A15CA" w14:textId="77777777" w:rsidR="00CE3048" w:rsidRDefault="00CE3048" w:rsidP="00CE3048">
      <w:r>
        <w:t xml:space="preserve">Recognising the ways in which companies </w:t>
      </w:r>
      <w:r w:rsidRPr="00E81C9D">
        <w:t>are able to structure transactions</w:t>
      </w:r>
      <w:r>
        <w:t xml:space="preserve"> </w:t>
      </w:r>
      <w:r w:rsidRPr="00E81C9D">
        <w:t>to divest assets and titles to limit accountability f</w:t>
      </w:r>
      <w:r>
        <w:t>or decommissioning obligations, under this framework the concept of a ‘related person’ for the purposes of trailing liability</w:t>
      </w:r>
      <w:r w:rsidR="00BF064C">
        <w:t xml:space="preserve"> will be introduced</w:t>
      </w:r>
      <w:r>
        <w:t>. This will enable the government to require a range of entities such, as either a current or former titleholder or a parent company</w:t>
      </w:r>
      <w:r w:rsidR="00BF064C">
        <w:t xml:space="preserve"> of one</w:t>
      </w:r>
      <w:r>
        <w:t>, to undertake</w:t>
      </w:r>
      <w:r w:rsidR="00BF064C">
        <w:t xml:space="preserve"> and/or pay for</w:t>
      </w:r>
      <w:r>
        <w:t xml:space="preserve"> </w:t>
      </w:r>
      <w:r w:rsidR="00BF064C">
        <w:t xml:space="preserve">remedial activities, including </w:t>
      </w:r>
      <w:r>
        <w:t>decommissioning</w:t>
      </w:r>
      <w:r w:rsidR="00BF064C">
        <w:t xml:space="preserve"> in the event the current titleholder does not meets it obligations.</w:t>
      </w:r>
    </w:p>
    <w:p w14:paraId="1C9A15CB" w14:textId="543E07C0" w:rsidR="00065880" w:rsidRDefault="00594089" w:rsidP="00062D19">
      <w:r w:rsidRPr="00770736">
        <w:t>Where all other safeguards have failed</w:t>
      </w:r>
      <w:r>
        <w:t xml:space="preserve"> and </w:t>
      </w:r>
      <w:r w:rsidRPr="00770736">
        <w:t xml:space="preserve">a current titleholder is unable to fulfil </w:t>
      </w:r>
      <w:r>
        <w:t xml:space="preserve">its </w:t>
      </w:r>
      <w:r w:rsidR="00BF064C">
        <w:t>obligations</w:t>
      </w:r>
      <w:r>
        <w:t xml:space="preserve">, the government should have broad-ranging trailing liability powers to ensure those who derived </w:t>
      </w:r>
      <w:r w:rsidR="00CE3048">
        <w:t>the greatest</w:t>
      </w:r>
      <w:r>
        <w:t xml:space="preserve"> benefit from the development of Australia’s resources, throughout the life of a project, are responsible for decommissioning.</w:t>
      </w:r>
    </w:p>
    <w:p w14:paraId="1C9A15CC" w14:textId="77777777" w:rsidR="00594089" w:rsidRDefault="00594089" w:rsidP="00594089">
      <w:pPr>
        <w:pStyle w:val="Heading3"/>
      </w:pPr>
      <w:r w:rsidRPr="00837026">
        <w:t>Implementation</w:t>
      </w:r>
    </w:p>
    <w:p w14:paraId="1C9A15CD" w14:textId="77777777" w:rsidR="00E37BD4" w:rsidRPr="00F21C04" w:rsidRDefault="00BF064C" w:rsidP="00BF064C">
      <w:pPr>
        <w:rPr>
          <w:sz w:val="28"/>
          <w:szCs w:val="28"/>
        </w:rPr>
        <w:sectPr w:rsidR="00E37BD4" w:rsidRPr="00F21C04" w:rsidSect="002233F8">
          <w:headerReference w:type="first" r:id="rId28"/>
          <w:pgSz w:w="11906" w:h="16838"/>
          <w:pgMar w:top="1276" w:right="1440" w:bottom="1440" w:left="1440" w:header="851" w:footer="709" w:gutter="0"/>
          <w:pgNumType w:start="0"/>
          <w:cols w:space="708"/>
          <w:docGrid w:linePitch="360"/>
        </w:sectPr>
      </w:pPr>
      <w:r>
        <w:t xml:space="preserve">To achieve this, the department proposes amendments to the Act to </w:t>
      </w:r>
      <w:r w:rsidR="007650D3">
        <w:t>expand</w:t>
      </w:r>
      <w:r w:rsidR="00594089" w:rsidRPr="008E4402">
        <w:rPr>
          <w:rFonts w:cstheme="minorBidi"/>
        </w:rPr>
        <w:t xml:space="preserve"> the existing trailing </w:t>
      </w:r>
      <w:r w:rsidR="00B67722">
        <w:rPr>
          <w:rFonts w:cstheme="minorBidi"/>
        </w:rPr>
        <w:t xml:space="preserve">liability </w:t>
      </w:r>
      <w:r w:rsidR="00594089" w:rsidRPr="008E4402">
        <w:rPr>
          <w:rFonts w:cstheme="minorBidi"/>
        </w:rPr>
        <w:t>provisions</w:t>
      </w:r>
      <w:r w:rsidR="00281A7F">
        <w:rPr>
          <w:rFonts w:cstheme="minorBidi"/>
        </w:rPr>
        <w:t xml:space="preserve"> </w:t>
      </w:r>
      <w:r w:rsidR="00594089" w:rsidRPr="00B77372">
        <w:rPr>
          <w:rFonts w:cstheme="minorBidi"/>
        </w:rPr>
        <w:t xml:space="preserve">to apply </w:t>
      </w:r>
      <w:r w:rsidR="00594089">
        <w:rPr>
          <w:rFonts w:cstheme="minorBidi"/>
        </w:rPr>
        <w:t>to</w:t>
      </w:r>
      <w:r w:rsidR="00594089" w:rsidRPr="00B77372">
        <w:rPr>
          <w:rFonts w:cstheme="minorBidi"/>
        </w:rPr>
        <w:t xml:space="preserve"> a greater range of circumstances</w:t>
      </w:r>
      <w:r>
        <w:rPr>
          <w:rFonts w:cstheme="minorBidi"/>
        </w:rPr>
        <w:t>.</w:t>
      </w:r>
      <w:r w:rsidR="00B67722">
        <w:rPr>
          <w:rFonts w:cstheme="minorBidi"/>
        </w:rPr>
        <w:t xml:space="preserve"> The department proposes that these provisions will apply to incumbent and future titleholders, rather than apply retrospectively.</w:t>
      </w:r>
      <w:r>
        <w:rPr>
          <w:rFonts w:cstheme="minorBidi"/>
        </w:rPr>
        <w:t xml:space="preserve"> This will result in the </w:t>
      </w:r>
      <w:r w:rsidR="00594089">
        <w:rPr>
          <w:rFonts w:cstheme="minorBidi"/>
        </w:rPr>
        <w:t>ability</w:t>
      </w:r>
      <w:r>
        <w:rPr>
          <w:rFonts w:cstheme="minorBidi"/>
        </w:rPr>
        <w:t xml:space="preserve"> of NOPSEMA and the Responsible Commonwealth Minister</w:t>
      </w:r>
      <w:r w:rsidR="00594089">
        <w:rPr>
          <w:rFonts w:cstheme="minorBidi"/>
        </w:rPr>
        <w:t xml:space="preserve"> to </w:t>
      </w:r>
      <w:r w:rsidR="00594089" w:rsidRPr="00B77372">
        <w:rPr>
          <w:rFonts w:cstheme="minorBidi"/>
        </w:rPr>
        <w:t>issu</w:t>
      </w:r>
      <w:r w:rsidR="00594089">
        <w:rPr>
          <w:rFonts w:cstheme="minorBidi"/>
        </w:rPr>
        <w:t>e</w:t>
      </w:r>
      <w:r w:rsidR="00594089" w:rsidRPr="00B77372">
        <w:rPr>
          <w:rFonts w:cstheme="minorBidi"/>
        </w:rPr>
        <w:t xml:space="preserve"> a remedial direction to </w:t>
      </w:r>
      <w:r w:rsidR="009C59F6">
        <w:rPr>
          <w:rFonts w:cstheme="minorBidi"/>
        </w:rPr>
        <w:t xml:space="preserve">any former holder </w:t>
      </w:r>
      <w:r>
        <w:rPr>
          <w:rFonts w:cstheme="minorBidi"/>
        </w:rPr>
        <w:t>of a title and/</w:t>
      </w:r>
      <w:r w:rsidR="009C59F6">
        <w:rPr>
          <w:rFonts w:cstheme="minorBidi"/>
        </w:rPr>
        <w:t xml:space="preserve">or </w:t>
      </w:r>
      <w:r w:rsidR="00594089">
        <w:rPr>
          <w:rFonts w:cstheme="minorBidi"/>
        </w:rPr>
        <w:t>a ‘</w:t>
      </w:r>
      <w:r w:rsidR="00594089" w:rsidRPr="00B77372">
        <w:rPr>
          <w:rFonts w:cstheme="minorBidi"/>
        </w:rPr>
        <w:t>related person</w:t>
      </w:r>
      <w:r w:rsidR="00594089">
        <w:rPr>
          <w:rFonts w:cstheme="minorBidi"/>
        </w:rPr>
        <w:t xml:space="preserve">’ </w:t>
      </w:r>
      <w:r w:rsidR="00594089" w:rsidRPr="00B77372">
        <w:rPr>
          <w:rFonts w:cstheme="minorBidi"/>
        </w:rPr>
        <w:t xml:space="preserve">as a last resort option available to </w:t>
      </w:r>
      <w:r w:rsidR="00594089">
        <w:t>government when all other safeguards have failed.</w:t>
      </w:r>
      <w:r w:rsidR="00B67722">
        <w:t xml:space="preserve"> </w:t>
      </w:r>
    </w:p>
    <w:p w14:paraId="1C9A15CE" w14:textId="77777777" w:rsidR="007F0CD8" w:rsidRPr="00044FB2" w:rsidRDefault="00447577" w:rsidP="00044FB2">
      <w:pPr>
        <w:pStyle w:val="Heading1"/>
      </w:pPr>
      <w:bookmarkStart w:id="76" w:name="_Toc50133028"/>
      <w:bookmarkStart w:id="77" w:name="_Toc50459498"/>
      <w:bookmarkStart w:id="78" w:name="_Toc58842667"/>
      <w:r>
        <w:lastRenderedPageBreak/>
        <w:t>Appendix 1 – High-</w:t>
      </w:r>
      <w:r w:rsidR="007F0CD8" w:rsidRPr="00044FB2">
        <w:t>level overview of the framework in operation</w:t>
      </w:r>
      <w:bookmarkEnd w:id="76"/>
      <w:bookmarkEnd w:id="77"/>
      <w:bookmarkEnd w:id="78"/>
    </w:p>
    <w:p w14:paraId="1C9A15CF" w14:textId="77777777" w:rsidR="007F0CD8" w:rsidRDefault="0019034E" w:rsidP="0019034E">
      <w:pPr>
        <w:spacing w:before="0" w:after="160" w:line="259" w:lineRule="auto"/>
      </w:pPr>
      <w:r>
        <w:rPr>
          <w:noProof/>
          <w:lang w:eastAsia="en-AU"/>
        </w:rPr>
        <w:drawing>
          <wp:inline distT="0" distB="0" distL="0" distR="0" wp14:anchorId="1C9A15D7" wp14:editId="3B6F6612">
            <wp:extent cx="8106193" cy="4398945"/>
            <wp:effectExtent l="0" t="0" r="0" b="1905"/>
            <wp:docPr id="1" name="Picture 1" descr="High-level overview of the framework in operation" title="Figure 2. High-level overview of the framework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COM 20115 Decomissioning process diagram_4.jpg"/>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8107045" cy="4399408"/>
                    </a:xfrm>
                    <a:prstGeom prst="rect">
                      <a:avLst/>
                    </a:prstGeom>
                    <a:ln>
                      <a:noFill/>
                    </a:ln>
                    <a:extLst>
                      <a:ext uri="{53640926-AAD7-44D8-BBD7-CCE9431645EC}">
                        <a14:shadowObscured xmlns:a14="http://schemas.microsoft.com/office/drawing/2010/main"/>
                      </a:ext>
                    </a:extLst>
                  </pic:spPr>
                </pic:pic>
              </a:graphicData>
            </a:graphic>
          </wp:inline>
        </w:drawing>
      </w:r>
    </w:p>
    <w:p w14:paraId="1C9A15D0" w14:textId="77777777" w:rsidR="007F0CD8" w:rsidRPr="002233F8" w:rsidRDefault="007F0CD8" w:rsidP="002233F8">
      <w:pPr>
        <w:pStyle w:val="Caption"/>
        <w:spacing w:before="0"/>
      </w:pPr>
      <w:r w:rsidRPr="002233F8">
        <w:t xml:space="preserve">Figure 2. </w:t>
      </w:r>
      <w:r w:rsidR="002949D5" w:rsidRPr="002233F8">
        <w:t>High-level</w:t>
      </w:r>
      <w:r w:rsidRPr="002233F8">
        <w:t xml:space="preserve"> overview of the framework in operation</w:t>
      </w:r>
    </w:p>
    <w:sectPr w:rsidR="007F0CD8" w:rsidRPr="002233F8" w:rsidSect="002233F8">
      <w:headerReference w:type="first" r:id="rId30"/>
      <w:pgSz w:w="16838" w:h="11906" w:orient="landscape"/>
      <w:pgMar w:top="1440" w:right="1440" w:bottom="1440" w:left="1276"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A15DC" w14:textId="77777777" w:rsidR="00D079EA" w:rsidRDefault="00D079EA" w:rsidP="00B251DB">
      <w:pPr>
        <w:spacing w:after="0" w:line="240" w:lineRule="auto"/>
      </w:pPr>
      <w:r>
        <w:separator/>
      </w:r>
    </w:p>
  </w:endnote>
  <w:endnote w:type="continuationSeparator" w:id="0">
    <w:p w14:paraId="1C9A15DD" w14:textId="77777777" w:rsidR="00D079EA" w:rsidRDefault="00D079EA" w:rsidP="00B251DB">
      <w:pPr>
        <w:spacing w:after="0" w:line="240" w:lineRule="auto"/>
      </w:pPr>
      <w:r>
        <w:continuationSeparator/>
      </w:r>
    </w:p>
  </w:endnote>
  <w:endnote w:type="continuationNotice" w:id="1">
    <w:p w14:paraId="1C9A15DE" w14:textId="77777777" w:rsidR="00D079EA" w:rsidRDefault="00D079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F5DE2" w14:textId="77777777" w:rsidR="0045115F" w:rsidRDefault="004511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15E0" w14:textId="05F8B260" w:rsidR="00FF08EB" w:rsidRPr="00183A22" w:rsidRDefault="00FF08EB" w:rsidP="00183A22">
    <w:pPr>
      <w:pStyle w:val="Footer"/>
      <w:jc w:val="right"/>
      <w:rPr>
        <w:noProof/>
      </w:rPr>
    </w:pPr>
    <w:r>
      <w:t>Enhancing Australia’s decommissioning framework</w:t>
    </w:r>
    <w:r>
      <w:tab/>
    </w:r>
    <w:sdt>
      <w:sdtPr>
        <w:id w:val="-10449017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42CB9">
          <w:rPr>
            <w:noProof/>
          </w:rPr>
          <w:t>14</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15E2" w14:textId="77777777" w:rsidR="00FF08EB" w:rsidRPr="006C48E8" w:rsidRDefault="00FF08EB" w:rsidP="004E2F77">
    <w:pPr>
      <w:pStyle w:val="Footer"/>
      <w:rPr>
        <w:b/>
        <w:bCs/>
        <w:iCs/>
        <w:color w:val="005677" w:themeColor="text2"/>
        <w:sz w:val="26"/>
        <w:szCs w:val="26"/>
      </w:rPr>
    </w:pPr>
    <w:r w:rsidRPr="00806473">
      <w:rPr>
        <w:bCs/>
        <w:iCs/>
        <w:color w:val="005677" w:themeColor="text2"/>
        <w:sz w:val="26"/>
        <w:szCs w:val="26"/>
      </w:rPr>
      <w:t>Supporting economic growth and job creation for all Australians |</w:t>
    </w:r>
    <w:r w:rsidRPr="00806473">
      <w:rPr>
        <w:b/>
        <w:bCs/>
        <w:iCs/>
        <w:color w:val="005677" w:themeColor="text2"/>
        <w:sz w:val="26"/>
        <w:szCs w:val="26"/>
      </w:rPr>
      <w:t xml:space="preserve"> industry.gov.au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A15D9" w14:textId="77777777" w:rsidR="00D079EA" w:rsidRDefault="00D079EA" w:rsidP="00B251DB">
      <w:pPr>
        <w:spacing w:after="0" w:line="240" w:lineRule="auto"/>
      </w:pPr>
      <w:r>
        <w:separator/>
      </w:r>
    </w:p>
  </w:footnote>
  <w:footnote w:type="continuationSeparator" w:id="0">
    <w:p w14:paraId="1C9A15DA" w14:textId="77777777" w:rsidR="00D079EA" w:rsidRDefault="00D079EA" w:rsidP="00B251DB">
      <w:pPr>
        <w:spacing w:after="0" w:line="240" w:lineRule="auto"/>
      </w:pPr>
      <w:r>
        <w:continuationSeparator/>
      </w:r>
    </w:p>
  </w:footnote>
  <w:footnote w:type="continuationNotice" w:id="1">
    <w:p w14:paraId="1C9A15DB" w14:textId="77777777" w:rsidR="00D079EA" w:rsidRDefault="00D079EA">
      <w:pPr>
        <w:spacing w:before="0" w:after="0" w:line="240" w:lineRule="auto"/>
      </w:pPr>
    </w:p>
  </w:footnote>
  <w:footnote w:id="2">
    <w:p w14:paraId="1C9A15E7" w14:textId="77777777" w:rsidR="00FF08EB" w:rsidRDefault="00FF08EB" w:rsidP="00594089">
      <w:pPr>
        <w:pStyle w:val="FootnoteText"/>
      </w:pPr>
      <w:r>
        <w:rPr>
          <w:rStyle w:val="FootnoteReference"/>
        </w:rPr>
        <w:footnoteRef/>
      </w:r>
      <w:r>
        <w:t xml:space="preserve"> </w:t>
      </w:r>
      <w:r>
        <w:rPr>
          <w:lang w:val="en-US"/>
        </w:rPr>
        <w:t xml:space="preserve">Wood Mackenzie </w:t>
      </w:r>
      <w:r w:rsidRPr="003042E5">
        <w:rPr>
          <w:lang w:val="en-US"/>
        </w:rPr>
        <w:t>Australia Oil and Gas Industry Outlook Report, 9</w:t>
      </w:r>
      <w:r>
        <w:rPr>
          <w:lang w:val="en-US"/>
        </w:rPr>
        <w:t xml:space="preserve"> March 2020</w:t>
      </w:r>
      <w:r w:rsidRPr="00457F65">
        <w:rPr>
          <w:lang w:val="en-US"/>
        </w:rPr>
        <w:t>.</w:t>
      </w:r>
    </w:p>
  </w:footnote>
  <w:footnote w:id="3">
    <w:p w14:paraId="1C9A15E8" w14:textId="77777777" w:rsidR="00FF08EB" w:rsidRDefault="00FF08EB">
      <w:pPr>
        <w:pStyle w:val="FootnoteText"/>
      </w:pPr>
      <w:r>
        <w:rPr>
          <w:rStyle w:val="FootnoteReference"/>
        </w:rPr>
        <w:footnoteRef/>
      </w:r>
      <w:r>
        <w:t xml:space="preserve"> </w:t>
      </w:r>
      <w:r w:rsidRPr="00BD063C">
        <w:t>https://www.finance.gov.au/government/managing-commonwealth-resources/structure-australian-government-public-sector/types-australian-government-bodies</w:t>
      </w:r>
    </w:p>
  </w:footnote>
  <w:footnote w:id="4">
    <w:p w14:paraId="1C9A15E9" w14:textId="77777777" w:rsidR="00FF08EB" w:rsidRDefault="00FF08EB" w:rsidP="00594089">
      <w:pPr>
        <w:pStyle w:val="FootnoteText"/>
      </w:pPr>
      <w:r>
        <w:rPr>
          <w:rStyle w:val="FootnoteReference"/>
        </w:rPr>
        <w:footnoteRef/>
      </w:r>
      <w:r>
        <w:t xml:space="preserve"> </w:t>
      </w:r>
      <w:r w:rsidRPr="009B1092">
        <w:rPr>
          <w:sz w:val="18"/>
        </w:rPr>
        <w:t>The Joint Authority consists of the responsible Commonwealth Minister and</w:t>
      </w:r>
      <w:r>
        <w:rPr>
          <w:sz w:val="18"/>
        </w:rPr>
        <w:t xml:space="preserve"> the</w:t>
      </w:r>
      <w:r w:rsidRPr="009B1092">
        <w:rPr>
          <w:sz w:val="18"/>
        </w:rPr>
        <w:t xml:space="preserve"> relevant state or Northern Territory minister who together, make key petroleum decisions, including those associated with resource management. To inform its decision, the Joint Authority receives technical advice from N</w:t>
      </w:r>
      <w:r>
        <w:rPr>
          <w:sz w:val="18"/>
        </w:rPr>
        <w:t xml:space="preserve">OPTA and policy advice from </w:t>
      </w:r>
      <w:r w:rsidRPr="009B1092">
        <w:rPr>
          <w:sz w:val="18"/>
        </w:rPr>
        <w:t>supporting department</w:t>
      </w:r>
      <w:r>
        <w:rPr>
          <w:sz w:val="18"/>
        </w:rPr>
        <w:t>s</w:t>
      </w:r>
      <w:r w:rsidRPr="009B1092">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44BAE" w14:textId="77777777" w:rsidR="0045115F" w:rsidRDefault="004511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15DF" w14:textId="77777777" w:rsidR="00FF08EB" w:rsidRDefault="00FF08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15E1" w14:textId="77777777" w:rsidR="00FF08EB" w:rsidRDefault="00FF08EB">
    <w:pPr>
      <w:pStyle w:val="Header"/>
    </w:pPr>
    <w:r>
      <w:rPr>
        <w:noProof/>
        <w:lang w:eastAsia="en-AU"/>
      </w:rPr>
      <w:drawing>
        <wp:inline distT="0" distB="0" distL="0" distR="0" wp14:anchorId="1C9A15E5" wp14:editId="1C9A15E6">
          <wp:extent cx="2678403" cy="694800"/>
          <wp:effectExtent l="0" t="0" r="8255" b="0"/>
          <wp:docPr id="8" name="Picture 8" descr="Australian Government | Department of Industry, Science, Energy and Resources logo" title="Australian Government | Department of Industry, Science, Energy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Department of Industry, Science, Energy and Resources logo" title="Australian Government | Department of Industry, Science, Energy and Resources"/>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8403" cy="694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arto="http://schemas.microsoft.com/office/word/2006/arto"/>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15E3" w14:textId="77777777" w:rsidR="00FF08EB" w:rsidRPr="00183A22" w:rsidRDefault="00FF08EB" w:rsidP="00183A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15E4" w14:textId="77777777" w:rsidR="00FF08EB" w:rsidRDefault="00FF0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4F49"/>
    <w:multiLevelType w:val="multilevel"/>
    <w:tmpl w:val="B2DE95AE"/>
    <w:lvl w:ilvl="0">
      <w:start w:val="1"/>
      <w:numFmt w:val="bullet"/>
      <w:pStyle w:val="Bullet"/>
      <w:lvlText w:val=""/>
      <w:lvlJc w:val="left"/>
      <w:pPr>
        <w:tabs>
          <w:tab w:val="num" w:pos="567"/>
        </w:tabs>
        <w:ind w:left="567" w:hanging="567"/>
      </w:pPr>
      <w:rPr>
        <w:rFonts w:ascii="Symbol" w:hAnsi="Symbol" w:hint="default"/>
        <w:color w:val="595959" w:themeColor="text1" w:themeTint="A6"/>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o"/>
      <w:lvlJc w:val="left"/>
      <w:pPr>
        <w:tabs>
          <w:tab w:val="num" w:pos="1701"/>
        </w:tabs>
        <w:ind w:left="1701" w:hanging="567"/>
      </w:pPr>
      <w:rPr>
        <w:rFonts w:ascii="Courier New" w:hAnsi="Courier New" w:cs="Courier New"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55417FE"/>
    <w:multiLevelType w:val="hybridMultilevel"/>
    <w:tmpl w:val="9B5A638C"/>
    <w:lvl w:ilvl="0" w:tplc="918878C4">
      <w:start w:val="1"/>
      <w:numFmt w:val="bullet"/>
      <w:lvlText w:val=""/>
      <w:lvlJc w:val="left"/>
      <w:pPr>
        <w:ind w:left="720" w:hanging="360"/>
      </w:pPr>
      <w:rPr>
        <w:rFonts w:ascii="Symbol" w:hAnsi="Symbol" w:hint="default"/>
        <w:color w:val="00567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D4E94"/>
    <w:multiLevelType w:val="hybridMultilevel"/>
    <w:tmpl w:val="02DC0C2C"/>
    <w:lvl w:ilvl="0" w:tplc="49ACCC24">
      <w:start w:val="1"/>
      <w:numFmt w:val="decimal"/>
      <w:lvlText w:val="%1."/>
      <w:lvlJc w:val="left"/>
      <w:pPr>
        <w:ind w:left="360" w:hanging="360"/>
      </w:pPr>
      <w:rPr>
        <w:rFonts w:hint="default"/>
        <w:b w:val="0"/>
        <w:color w:val="005677" w:themeColor="text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4568FD"/>
    <w:multiLevelType w:val="hybridMultilevel"/>
    <w:tmpl w:val="0C0A37CA"/>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12353E"/>
    <w:multiLevelType w:val="hybridMultilevel"/>
    <w:tmpl w:val="0C0A37CA"/>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E3110FA"/>
    <w:multiLevelType w:val="hybridMultilevel"/>
    <w:tmpl w:val="9A0A0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8E18E9"/>
    <w:multiLevelType w:val="hybridMultilevel"/>
    <w:tmpl w:val="B4BE945E"/>
    <w:lvl w:ilvl="0" w:tplc="918878C4">
      <w:start w:val="1"/>
      <w:numFmt w:val="bullet"/>
      <w:lvlText w:val=""/>
      <w:lvlJc w:val="left"/>
      <w:pPr>
        <w:ind w:left="720" w:hanging="360"/>
      </w:pPr>
      <w:rPr>
        <w:rFonts w:ascii="Symbol" w:hAnsi="Symbol" w:hint="default"/>
        <w:color w:val="005677"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E20A28"/>
    <w:multiLevelType w:val="hybridMultilevel"/>
    <w:tmpl w:val="BDE0C846"/>
    <w:lvl w:ilvl="0" w:tplc="918878C4">
      <w:start w:val="1"/>
      <w:numFmt w:val="bullet"/>
      <w:lvlText w:val=""/>
      <w:lvlJc w:val="left"/>
      <w:pPr>
        <w:ind w:left="766" w:hanging="360"/>
      </w:pPr>
      <w:rPr>
        <w:rFonts w:ascii="Symbol" w:hAnsi="Symbol" w:hint="default"/>
        <w:color w:val="005677" w:themeColor="text2"/>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8" w15:restartNumberingAfterBreak="0">
    <w:nsid w:val="15B4514E"/>
    <w:multiLevelType w:val="hybridMultilevel"/>
    <w:tmpl w:val="B886771A"/>
    <w:lvl w:ilvl="0" w:tplc="918878C4">
      <w:start w:val="1"/>
      <w:numFmt w:val="bullet"/>
      <w:lvlText w:val=""/>
      <w:lvlJc w:val="left"/>
      <w:pPr>
        <w:ind w:left="774" w:hanging="360"/>
      </w:pPr>
      <w:rPr>
        <w:rFonts w:ascii="Symbol" w:hAnsi="Symbol" w:hint="default"/>
        <w:color w:val="005677" w:themeColor="text2"/>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 w15:restartNumberingAfterBreak="0">
    <w:nsid w:val="16A3206C"/>
    <w:multiLevelType w:val="hybridMultilevel"/>
    <w:tmpl w:val="0814357E"/>
    <w:lvl w:ilvl="0" w:tplc="918878C4">
      <w:start w:val="1"/>
      <w:numFmt w:val="bullet"/>
      <w:lvlText w:val=""/>
      <w:lvlJc w:val="left"/>
      <w:pPr>
        <w:ind w:left="774" w:hanging="360"/>
      </w:pPr>
      <w:rPr>
        <w:rFonts w:ascii="Symbol" w:hAnsi="Symbol" w:hint="default"/>
        <w:color w:val="005677" w:themeColor="text2"/>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18AA67B2"/>
    <w:multiLevelType w:val="hybridMultilevel"/>
    <w:tmpl w:val="DD660C4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1" w15:restartNumberingAfterBreak="0">
    <w:nsid w:val="1CDF476D"/>
    <w:multiLevelType w:val="hybridMultilevel"/>
    <w:tmpl w:val="D8164DE0"/>
    <w:lvl w:ilvl="0" w:tplc="918878C4">
      <w:start w:val="1"/>
      <w:numFmt w:val="bullet"/>
      <w:lvlText w:val=""/>
      <w:lvlJc w:val="left"/>
      <w:pPr>
        <w:ind w:left="720" w:hanging="360"/>
      </w:pPr>
      <w:rPr>
        <w:rFonts w:ascii="Symbol" w:hAnsi="Symbol" w:hint="default"/>
        <w:color w:val="00567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335FE"/>
    <w:multiLevelType w:val="hybridMultilevel"/>
    <w:tmpl w:val="3D369F0A"/>
    <w:lvl w:ilvl="0" w:tplc="918878C4">
      <w:start w:val="1"/>
      <w:numFmt w:val="bullet"/>
      <w:lvlText w:val=""/>
      <w:lvlJc w:val="left"/>
      <w:pPr>
        <w:ind w:left="774" w:hanging="360"/>
      </w:pPr>
      <w:rPr>
        <w:rFonts w:ascii="Symbol" w:hAnsi="Symbol" w:hint="default"/>
        <w:color w:val="005677" w:themeColor="text2"/>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2C1139C3"/>
    <w:multiLevelType w:val="hybridMultilevel"/>
    <w:tmpl w:val="6444F398"/>
    <w:lvl w:ilvl="0" w:tplc="918878C4">
      <w:start w:val="1"/>
      <w:numFmt w:val="bullet"/>
      <w:lvlText w:val=""/>
      <w:lvlJc w:val="left"/>
      <w:pPr>
        <w:ind w:left="774" w:hanging="360"/>
      </w:pPr>
      <w:rPr>
        <w:rFonts w:ascii="Symbol" w:hAnsi="Symbol" w:hint="default"/>
        <w:color w:val="005677" w:themeColor="text2"/>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15:restartNumberingAfterBreak="0">
    <w:nsid w:val="2F691456"/>
    <w:multiLevelType w:val="hybridMultilevel"/>
    <w:tmpl w:val="AAB0BF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95CA7"/>
    <w:multiLevelType w:val="hybridMultilevel"/>
    <w:tmpl w:val="59767564"/>
    <w:lvl w:ilvl="0" w:tplc="918878C4">
      <w:start w:val="1"/>
      <w:numFmt w:val="bullet"/>
      <w:lvlText w:val=""/>
      <w:lvlJc w:val="left"/>
      <w:pPr>
        <w:ind w:left="720" w:hanging="360"/>
      </w:pPr>
      <w:rPr>
        <w:rFonts w:ascii="Symbol" w:hAnsi="Symbol" w:hint="default"/>
        <w:color w:val="00567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42524E"/>
    <w:multiLevelType w:val="hybridMultilevel"/>
    <w:tmpl w:val="6170A182"/>
    <w:lvl w:ilvl="0" w:tplc="918878C4">
      <w:start w:val="1"/>
      <w:numFmt w:val="bullet"/>
      <w:lvlText w:val=""/>
      <w:lvlJc w:val="left"/>
      <w:pPr>
        <w:ind w:left="767" w:hanging="360"/>
      </w:pPr>
      <w:rPr>
        <w:rFonts w:ascii="Symbol" w:hAnsi="Symbol" w:hint="default"/>
        <w:color w:val="005677" w:themeColor="text2"/>
      </w:rPr>
    </w:lvl>
    <w:lvl w:ilvl="1" w:tplc="0C090003">
      <w:start w:val="1"/>
      <w:numFmt w:val="bullet"/>
      <w:lvlText w:val="o"/>
      <w:lvlJc w:val="left"/>
      <w:pPr>
        <w:ind w:left="1487" w:hanging="360"/>
      </w:pPr>
      <w:rPr>
        <w:rFonts w:ascii="Courier New" w:hAnsi="Courier New" w:cs="Courier New" w:hint="default"/>
      </w:rPr>
    </w:lvl>
    <w:lvl w:ilvl="2" w:tplc="0C090005">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7" w15:restartNumberingAfterBreak="0">
    <w:nsid w:val="3B422404"/>
    <w:multiLevelType w:val="hybridMultilevel"/>
    <w:tmpl w:val="04126D0A"/>
    <w:lvl w:ilvl="0" w:tplc="7762870E">
      <w:start w:val="1"/>
      <w:numFmt w:val="lowerLetter"/>
      <w:lvlText w:val="%1)"/>
      <w:lvlJc w:val="left"/>
      <w:pPr>
        <w:ind w:left="720" w:hanging="360"/>
      </w:pPr>
      <w:rPr>
        <w:rFonts w:hint="default"/>
        <w:color w:val="005677"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2178C8"/>
    <w:multiLevelType w:val="hybridMultilevel"/>
    <w:tmpl w:val="DDF81B3C"/>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4B062E6"/>
    <w:multiLevelType w:val="hybridMultilevel"/>
    <w:tmpl w:val="B93E1450"/>
    <w:lvl w:ilvl="0" w:tplc="918878C4">
      <w:start w:val="1"/>
      <w:numFmt w:val="bullet"/>
      <w:lvlText w:val=""/>
      <w:lvlJc w:val="left"/>
      <w:pPr>
        <w:ind w:left="720" w:hanging="360"/>
      </w:pPr>
      <w:rPr>
        <w:rFonts w:ascii="Symbol" w:hAnsi="Symbol" w:hint="default"/>
        <w:color w:val="005677" w:themeColor="text2"/>
      </w:rPr>
    </w:lvl>
    <w:lvl w:ilvl="1" w:tplc="938CDE54">
      <w:start w:val="1"/>
      <w:numFmt w:val="bullet"/>
      <w:lvlText w:val="-"/>
      <w:lvlJc w:val="left"/>
      <w:pPr>
        <w:ind w:left="1440" w:hanging="360"/>
      </w:pPr>
      <w:rPr>
        <w:rFonts w:ascii="Courier New" w:hAnsi="Courier New" w:hint="default"/>
        <w:color w:val="005677" w:themeColor="text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313B8F"/>
    <w:multiLevelType w:val="hybridMultilevel"/>
    <w:tmpl w:val="DDF81B3C"/>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02067B"/>
    <w:multiLevelType w:val="hybridMultilevel"/>
    <w:tmpl w:val="A22E4C12"/>
    <w:lvl w:ilvl="0" w:tplc="918878C4">
      <w:start w:val="1"/>
      <w:numFmt w:val="bullet"/>
      <w:lvlText w:val=""/>
      <w:lvlJc w:val="left"/>
      <w:pPr>
        <w:ind w:left="720" w:hanging="360"/>
      </w:pPr>
      <w:rPr>
        <w:rFonts w:ascii="Symbol" w:hAnsi="Symbol" w:hint="default"/>
        <w:color w:val="00567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717D90"/>
    <w:multiLevelType w:val="hybridMultilevel"/>
    <w:tmpl w:val="0C0A37CA"/>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12B2DAF"/>
    <w:multiLevelType w:val="hybridMultilevel"/>
    <w:tmpl w:val="1062BE80"/>
    <w:lvl w:ilvl="0" w:tplc="E394649E">
      <w:start w:val="1"/>
      <w:numFmt w:val="decimal"/>
      <w:lvlText w:val="%1."/>
      <w:lvlJc w:val="left"/>
      <w:pPr>
        <w:ind w:left="360" w:hanging="360"/>
      </w:pPr>
      <w:rPr>
        <w:b/>
        <w:color w:val="C973AF" w:themeColor="accent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AB17F7"/>
    <w:multiLevelType w:val="hybridMultilevel"/>
    <w:tmpl w:val="137CDDEA"/>
    <w:lvl w:ilvl="0" w:tplc="D88E6F14">
      <w:start w:val="1"/>
      <w:numFmt w:val="decimal"/>
      <w:lvlText w:val="%1."/>
      <w:lvlJc w:val="left"/>
      <w:pPr>
        <w:ind w:left="720" w:hanging="360"/>
      </w:pPr>
      <w:rPr>
        <w:rFonts w:hint="default"/>
        <w:color w:val="00567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5D2777"/>
    <w:multiLevelType w:val="hybridMultilevel"/>
    <w:tmpl w:val="5F98B992"/>
    <w:lvl w:ilvl="0" w:tplc="918878C4">
      <w:start w:val="1"/>
      <w:numFmt w:val="bullet"/>
      <w:lvlText w:val=""/>
      <w:lvlJc w:val="left"/>
      <w:pPr>
        <w:ind w:left="720" w:hanging="360"/>
      </w:pPr>
      <w:rPr>
        <w:rFonts w:ascii="Symbol" w:hAnsi="Symbol" w:hint="default"/>
        <w:color w:val="005677"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2F7336"/>
    <w:multiLevelType w:val="hybridMultilevel"/>
    <w:tmpl w:val="DBCCCC9A"/>
    <w:lvl w:ilvl="0" w:tplc="0C09000F">
      <w:start w:val="1"/>
      <w:numFmt w:val="decimal"/>
      <w:lvlText w:val="%1."/>
      <w:lvlJc w:val="left"/>
      <w:pPr>
        <w:ind w:left="720" w:hanging="360"/>
      </w:pPr>
      <w:rPr>
        <w:rFonts w:hint="default"/>
        <w:color w:val="00567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503DA2"/>
    <w:multiLevelType w:val="hybridMultilevel"/>
    <w:tmpl w:val="BCACA284"/>
    <w:lvl w:ilvl="0" w:tplc="918878C4">
      <w:start w:val="1"/>
      <w:numFmt w:val="bullet"/>
      <w:lvlText w:val=""/>
      <w:lvlJc w:val="left"/>
      <w:pPr>
        <w:ind w:left="774" w:hanging="360"/>
      </w:pPr>
      <w:rPr>
        <w:rFonts w:ascii="Symbol" w:hAnsi="Symbol" w:hint="default"/>
        <w:color w:val="005677" w:themeColor="text2"/>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608E73FF"/>
    <w:multiLevelType w:val="hybridMultilevel"/>
    <w:tmpl w:val="562E9364"/>
    <w:lvl w:ilvl="0" w:tplc="918878C4">
      <w:start w:val="1"/>
      <w:numFmt w:val="bullet"/>
      <w:lvlText w:val=""/>
      <w:lvlJc w:val="left"/>
      <w:pPr>
        <w:ind w:left="720" w:hanging="360"/>
      </w:pPr>
      <w:rPr>
        <w:rFonts w:ascii="Symbol" w:hAnsi="Symbol" w:hint="default"/>
        <w:color w:val="005677" w:themeColor="text2"/>
      </w:rPr>
    </w:lvl>
    <w:lvl w:ilvl="1" w:tplc="551685C8">
      <w:start w:val="1"/>
      <w:numFmt w:val="bullet"/>
      <w:lvlText w:val="-"/>
      <w:lvlJc w:val="left"/>
      <w:pPr>
        <w:ind w:left="1440" w:hanging="360"/>
      </w:pPr>
      <w:rPr>
        <w:rFonts w:ascii="Courier New" w:hAnsi="Courier New" w:hint="default"/>
        <w:color w:val="005677" w:themeColor="tex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EF1D17"/>
    <w:multiLevelType w:val="hybridMultilevel"/>
    <w:tmpl w:val="553E9014"/>
    <w:lvl w:ilvl="0" w:tplc="918878C4">
      <w:start w:val="1"/>
      <w:numFmt w:val="bullet"/>
      <w:lvlText w:val=""/>
      <w:lvlJc w:val="left"/>
      <w:pPr>
        <w:ind w:left="774" w:hanging="360"/>
      </w:pPr>
      <w:rPr>
        <w:rFonts w:ascii="Symbol" w:hAnsi="Symbol" w:hint="default"/>
        <w:color w:val="005677" w:themeColor="text2"/>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69E24769"/>
    <w:multiLevelType w:val="hybridMultilevel"/>
    <w:tmpl w:val="9CFE4B24"/>
    <w:lvl w:ilvl="0" w:tplc="918878C4">
      <w:start w:val="1"/>
      <w:numFmt w:val="bullet"/>
      <w:lvlText w:val=""/>
      <w:lvlJc w:val="left"/>
      <w:pPr>
        <w:ind w:left="720" w:hanging="360"/>
      </w:pPr>
      <w:rPr>
        <w:rFonts w:ascii="Symbol" w:hAnsi="Symbol" w:hint="default"/>
        <w:color w:val="00567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AA27D0"/>
    <w:multiLevelType w:val="hybridMultilevel"/>
    <w:tmpl w:val="0952DD58"/>
    <w:lvl w:ilvl="0" w:tplc="918878C4">
      <w:start w:val="1"/>
      <w:numFmt w:val="bullet"/>
      <w:lvlText w:val=""/>
      <w:lvlJc w:val="left"/>
      <w:pPr>
        <w:ind w:left="720" w:hanging="360"/>
      </w:pPr>
      <w:rPr>
        <w:rFonts w:ascii="Symbol" w:hAnsi="Symbol" w:hint="default"/>
        <w:color w:val="005677" w:themeColor="text2"/>
      </w:rPr>
    </w:lvl>
    <w:lvl w:ilvl="1" w:tplc="CBECCEEC">
      <w:start w:val="1"/>
      <w:numFmt w:val="bullet"/>
      <w:lvlText w:val="-"/>
      <w:lvlJc w:val="left"/>
      <w:pPr>
        <w:ind w:left="1440" w:hanging="360"/>
      </w:pPr>
      <w:rPr>
        <w:rFonts w:ascii="Courier New" w:hAnsi="Courier New" w:hint="default"/>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F6F1B"/>
    <w:multiLevelType w:val="hybridMultilevel"/>
    <w:tmpl w:val="0C0A37CA"/>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F235619"/>
    <w:multiLevelType w:val="hybridMultilevel"/>
    <w:tmpl w:val="0C0A37CA"/>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2087016"/>
    <w:multiLevelType w:val="hybridMultilevel"/>
    <w:tmpl w:val="BA0A80BE"/>
    <w:lvl w:ilvl="0" w:tplc="8890768A">
      <w:start w:val="1"/>
      <w:numFmt w:val="decimal"/>
      <w:lvlText w:val="%1."/>
      <w:lvlJc w:val="left"/>
      <w:pPr>
        <w:ind w:left="720" w:hanging="360"/>
      </w:pPr>
      <w:rPr>
        <w:rFonts w:hint="default"/>
        <w:color w:val="005677"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C6B2A"/>
    <w:multiLevelType w:val="hybridMultilevel"/>
    <w:tmpl w:val="DDF81B3C"/>
    <w:lvl w:ilvl="0" w:tplc="41944208">
      <w:start w:val="1"/>
      <w:numFmt w:val="decimal"/>
      <w:lvlText w:val="%1."/>
      <w:lvlJc w:val="left"/>
      <w:pPr>
        <w:ind w:left="360" w:hanging="360"/>
      </w:pPr>
      <w:rPr>
        <w:rFonts w:hint="default"/>
        <w:b/>
        <w:color w:val="C973AF" w:themeColor="accent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A597281"/>
    <w:multiLevelType w:val="hybridMultilevel"/>
    <w:tmpl w:val="2A74335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5"/>
  </w:num>
  <w:num w:numId="2">
    <w:abstractNumId w:val="32"/>
  </w:num>
  <w:num w:numId="3">
    <w:abstractNumId w:val="23"/>
  </w:num>
  <w:num w:numId="4">
    <w:abstractNumId w:val="1"/>
  </w:num>
  <w:num w:numId="5">
    <w:abstractNumId w:val="33"/>
  </w:num>
  <w:num w:numId="6">
    <w:abstractNumId w:val="17"/>
  </w:num>
  <w:num w:numId="7">
    <w:abstractNumId w:val="6"/>
  </w:num>
  <w:num w:numId="8">
    <w:abstractNumId w:val="19"/>
  </w:num>
  <w:num w:numId="9">
    <w:abstractNumId w:val="15"/>
  </w:num>
  <w:num w:numId="10">
    <w:abstractNumId w:val="16"/>
  </w:num>
  <w:num w:numId="11">
    <w:abstractNumId w:val="18"/>
  </w:num>
  <w:num w:numId="12">
    <w:abstractNumId w:val="20"/>
  </w:num>
  <w:num w:numId="13">
    <w:abstractNumId w:val="2"/>
  </w:num>
  <w:num w:numId="14">
    <w:abstractNumId w:val="11"/>
  </w:num>
  <w:num w:numId="15">
    <w:abstractNumId w:val="27"/>
  </w:num>
  <w:num w:numId="16">
    <w:abstractNumId w:val="0"/>
  </w:num>
  <w:num w:numId="17">
    <w:abstractNumId w:val="9"/>
  </w:num>
  <w:num w:numId="18">
    <w:abstractNumId w:val="21"/>
  </w:num>
  <w:num w:numId="19">
    <w:abstractNumId w:val="8"/>
  </w:num>
  <w:num w:numId="20">
    <w:abstractNumId w:val="26"/>
  </w:num>
  <w:num w:numId="21">
    <w:abstractNumId w:val="23"/>
  </w:num>
  <w:num w:numId="22">
    <w:abstractNumId w:val="23"/>
  </w:num>
  <w:num w:numId="23">
    <w:abstractNumId w:val="36"/>
  </w:num>
  <w:num w:numId="24">
    <w:abstractNumId w:val="5"/>
  </w:num>
  <w:num w:numId="25">
    <w:abstractNumId w:val="28"/>
  </w:num>
  <w:num w:numId="2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2"/>
  </w:num>
  <w:num w:numId="29">
    <w:abstractNumId w:val="34"/>
  </w:num>
  <w:num w:numId="30">
    <w:abstractNumId w:val="3"/>
  </w:num>
  <w:num w:numId="31">
    <w:abstractNumId w:val="10"/>
  </w:num>
  <w:num w:numId="32">
    <w:abstractNumId w:val="14"/>
  </w:num>
  <w:num w:numId="33">
    <w:abstractNumId w:val="24"/>
  </w:num>
  <w:num w:numId="34">
    <w:abstractNumId w:val="12"/>
  </w:num>
  <w:num w:numId="35">
    <w:abstractNumId w:val="30"/>
  </w:num>
  <w:num w:numId="36">
    <w:abstractNumId w:val="31"/>
  </w:num>
  <w:num w:numId="37">
    <w:abstractNumId w:val="7"/>
  </w:num>
  <w:num w:numId="38">
    <w:abstractNumId w:val="13"/>
  </w:num>
  <w:num w:numId="39">
    <w:abstractNumId w:val="35"/>
  </w:num>
  <w:num w:numId="40">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hideSpellingErrors/>
  <w:hideGrammaticalErrors/>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 w:vendorID="64" w:dllVersion="131078" w:nlCheck="1" w:checkStyle="1"/>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639"/>
    <w:rsid w:val="000048F9"/>
    <w:rsid w:val="000054B7"/>
    <w:rsid w:val="000055B2"/>
    <w:rsid w:val="00005847"/>
    <w:rsid w:val="000078A6"/>
    <w:rsid w:val="00012D1E"/>
    <w:rsid w:val="00013140"/>
    <w:rsid w:val="00022531"/>
    <w:rsid w:val="000242F4"/>
    <w:rsid w:val="00026573"/>
    <w:rsid w:val="00030E69"/>
    <w:rsid w:val="00031796"/>
    <w:rsid w:val="00031A11"/>
    <w:rsid w:val="00032995"/>
    <w:rsid w:val="0003407A"/>
    <w:rsid w:val="000415E1"/>
    <w:rsid w:val="0004451B"/>
    <w:rsid w:val="00044639"/>
    <w:rsid w:val="00044FB2"/>
    <w:rsid w:val="000461E0"/>
    <w:rsid w:val="00046C20"/>
    <w:rsid w:val="00047257"/>
    <w:rsid w:val="00047BE5"/>
    <w:rsid w:val="00052CCB"/>
    <w:rsid w:val="0005356D"/>
    <w:rsid w:val="000552B3"/>
    <w:rsid w:val="00057079"/>
    <w:rsid w:val="00061F1D"/>
    <w:rsid w:val="00062D19"/>
    <w:rsid w:val="00064A9F"/>
    <w:rsid w:val="00065880"/>
    <w:rsid w:val="00065DB4"/>
    <w:rsid w:val="00067211"/>
    <w:rsid w:val="0007067B"/>
    <w:rsid w:val="00073248"/>
    <w:rsid w:val="000748DA"/>
    <w:rsid w:val="00076028"/>
    <w:rsid w:val="00081858"/>
    <w:rsid w:val="00081D07"/>
    <w:rsid w:val="000860D6"/>
    <w:rsid w:val="0008615D"/>
    <w:rsid w:val="00094E68"/>
    <w:rsid w:val="0009673B"/>
    <w:rsid w:val="000A06D2"/>
    <w:rsid w:val="000A1868"/>
    <w:rsid w:val="000A1F24"/>
    <w:rsid w:val="000A56D7"/>
    <w:rsid w:val="000A717F"/>
    <w:rsid w:val="000B0088"/>
    <w:rsid w:val="000B0D93"/>
    <w:rsid w:val="000B20E8"/>
    <w:rsid w:val="000B2E0B"/>
    <w:rsid w:val="000B3B6F"/>
    <w:rsid w:val="000B434E"/>
    <w:rsid w:val="000B64D3"/>
    <w:rsid w:val="000B6734"/>
    <w:rsid w:val="000C3494"/>
    <w:rsid w:val="000C3C0B"/>
    <w:rsid w:val="000C5953"/>
    <w:rsid w:val="000C6B27"/>
    <w:rsid w:val="000C7640"/>
    <w:rsid w:val="000D2500"/>
    <w:rsid w:val="000D2965"/>
    <w:rsid w:val="000D4971"/>
    <w:rsid w:val="000D4C7F"/>
    <w:rsid w:val="000D6EBB"/>
    <w:rsid w:val="000D7D3B"/>
    <w:rsid w:val="000E12E0"/>
    <w:rsid w:val="000E50BE"/>
    <w:rsid w:val="000E599A"/>
    <w:rsid w:val="000E6B1E"/>
    <w:rsid w:val="000F0593"/>
    <w:rsid w:val="000F1907"/>
    <w:rsid w:val="000F2290"/>
    <w:rsid w:val="000F2564"/>
    <w:rsid w:val="000F3816"/>
    <w:rsid w:val="000F4FE9"/>
    <w:rsid w:val="000F5428"/>
    <w:rsid w:val="000F5904"/>
    <w:rsid w:val="00101638"/>
    <w:rsid w:val="0010349E"/>
    <w:rsid w:val="00104AAC"/>
    <w:rsid w:val="00106D9D"/>
    <w:rsid w:val="00107D5C"/>
    <w:rsid w:val="00110561"/>
    <w:rsid w:val="00111AE0"/>
    <w:rsid w:val="00112E5B"/>
    <w:rsid w:val="001156E3"/>
    <w:rsid w:val="00123395"/>
    <w:rsid w:val="00125F1E"/>
    <w:rsid w:val="001261DA"/>
    <w:rsid w:val="00126F49"/>
    <w:rsid w:val="00131EB8"/>
    <w:rsid w:val="001368BB"/>
    <w:rsid w:val="00136E5E"/>
    <w:rsid w:val="00141DC5"/>
    <w:rsid w:val="00151C8B"/>
    <w:rsid w:val="00153A08"/>
    <w:rsid w:val="00153C15"/>
    <w:rsid w:val="001547F2"/>
    <w:rsid w:val="001554C5"/>
    <w:rsid w:val="00160466"/>
    <w:rsid w:val="00163FD1"/>
    <w:rsid w:val="0016409D"/>
    <w:rsid w:val="00165964"/>
    <w:rsid w:val="00170526"/>
    <w:rsid w:val="00176638"/>
    <w:rsid w:val="0018189D"/>
    <w:rsid w:val="00181CF2"/>
    <w:rsid w:val="00183A22"/>
    <w:rsid w:val="001854D6"/>
    <w:rsid w:val="001877EE"/>
    <w:rsid w:val="0019034E"/>
    <w:rsid w:val="00190420"/>
    <w:rsid w:val="00193573"/>
    <w:rsid w:val="001940E7"/>
    <w:rsid w:val="00195596"/>
    <w:rsid w:val="00196C20"/>
    <w:rsid w:val="001A0F5F"/>
    <w:rsid w:val="001A2C83"/>
    <w:rsid w:val="001A4716"/>
    <w:rsid w:val="001A77B9"/>
    <w:rsid w:val="001B0518"/>
    <w:rsid w:val="001B0EF0"/>
    <w:rsid w:val="001B4EFC"/>
    <w:rsid w:val="001C0069"/>
    <w:rsid w:val="001C2D30"/>
    <w:rsid w:val="001C35D9"/>
    <w:rsid w:val="001C7355"/>
    <w:rsid w:val="001C7AA4"/>
    <w:rsid w:val="001D1143"/>
    <w:rsid w:val="001D216A"/>
    <w:rsid w:val="001D2E82"/>
    <w:rsid w:val="001E1D20"/>
    <w:rsid w:val="001E41EE"/>
    <w:rsid w:val="001E48FF"/>
    <w:rsid w:val="001E54AA"/>
    <w:rsid w:val="001E6631"/>
    <w:rsid w:val="001F1D8B"/>
    <w:rsid w:val="001F3C41"/>
    <w:rsid w:val="001F5AB1"/>
    <w:rsid w:val="0020099F"/>
    <w:rsid w:val="0020179A"/>
    <w:rsid w:val="00203A76"/>
    <w:rsid w:val="002047FE"/>
    <w:rsid w:val="00205DF3"/>
    <w:rsid w:val="00206544"/>
    <w:rsid w:val="00206980"/>
    <w:rsid w:val="00207A0B"/>
    <w:rsid w:val="00211D9A"/>
    <w:rsid w:val="0022083E"/>
    <w:rsid w:val="00220CEC"/>
    <w:rsid w:val="00221C78"/>
    <w:rsid w:val="00221CF7"/>
    <w:rsid w:val="00221D48"/>
    <w:rsid w:val="0022201B"/>
    <w:rsid w:val="002225AA"/>
    <w:rsid w:val="00222D0B"/>
    <w:rsid w:val="002233F8"/>
    <w:rsid w:val="00225F78"/>
    <w:rsid w:val="00230138"/>
    <w:rsid w:val="0023237C"/>
    <w:rsid w:val="00232A5E"/>
    <w:rsid w:val="00232B3D"/>
    <w:rsid w:val="002342C0"/>
    <w:rsid w:val="002344F7"/>
    <w:rsid w:val="002352F4"/>
    <w:rsid w:val="002361B7"/>
    <w:rsid w:val="002365D9"/>
    <w:rsid w:val="00240DFE"/>
    <w:rsid w:val="00241932"/>
    <w:rsid w:val="00241D3D"/>
    <w:rsid w:val="002421E5"/>
    <w:rsid w:val="00242221"/>
    <w:rsid w:val="00242BDC"/>
    <w:rsid w:val="0025218F"/>
    <w:rsid w:val="0025289F"/>
    <w:rsid w:val="00252FA8"/>
    <w:rsid w:val="0025301D"/>
    <w:rsid w:val="00253BEA"/>
    <w:rsid w:val="00254DA8"/>
    <w:rsid w:val="002565AF"/>
    <w:rsid w:val="00260316"/>
    <w:rsid w:val="00261A6B"/>
    <w:rsid w:val="0026327A"/>
    <w:rsid w:val="002638F5"/>
    <w:rsid w:val="00265DC5"/>
    <w:rsid w:val="00266B5D"/>
    <w:rsid w:val="002675A2"/>
    <w:rsid w:val="00272AF7"/>
    <w:rsid w:val="00272B04"/>
    <w:rsid w:val="00272DD2"/>
    <w:rsid w:val="00273151"/>
    <w:rsid w:val="00280FDA"/>
    <w:rsid w:val="00281A7F"/>
    <w:rsid w:val="00281B61"/>
    <w:rsid w:val="0028219D"/>
    <w:rsid w:val="002822AD"/>
    <w:rsid w:val="002822FD"/>
    <w:rsid w:val="002835A0"/>
    <w:rsid w:val="00285AD4"/>
    <w:rsid w:val="00291819"/>
    <w:rsid w:val="00292280"/>
    <w:rsid w:val="00293103"/>
    <w:rsid w:val="00293759"/>
    <w:rsid w:val="002947C0"/>
    <w:rsid w:val="002949D5"/>
    <w:rsid w:val="002A0841"/>
    <w:rsid w:val="002A1A06"/>
    <w:rsid w:val="002B123D"/>
    <w:rsid w:val="002B3F10"/>
    <w:rsid w:val="002B5C69"/>
    <w:rsid w:val="002C4423"/>
    <w:rsid w:val="002C4B78"/>
    <w:rsid w:val="002C7168"/>
    <w:rsid w:val="002D0194"/>
    <w:rsid w:val="002D092A"/>
    <w:rsid w:val="002D0F8A"/>
    <w:rsid w:val="002D230B"/>
    <w:rsid w:val="002D53A1"/>
    <w:rsid w:val="002D752A"/>
    <w:rsid w:val="002E1221"/>
    <w:rsid w:val="002E1966"/>
    <w:rsid w:val="002E3305"/>
    <w:rsid w:val="002E486D"/>
    <w:rsid w:val="002E54F6"/>
    <w:rsid w:val="002F066A"/>
    <w:rsid w:val="002F12AE"/>
    <w:rsid w:val="002F1D83"/>
    <w:rsid w:val="002F5807"/>
    <w:rsid w:val="00300266"/>
    <w:rsid w:val="00301FAF"/>
    <w:rsid w:val="00302BC7"/>
    <w:rsid w:val="00303FF6"/>
    <w:rsid w:val="003042E5"/>
    <w:rsid w:val="00304540"/>
    <w:rsid w:val="00304D32"/>
    <w:rsid w:val="00305523"/>
    <w:rsid w:val="003105FB"/>
    <w:rsid w:val="00312D24"/>
    <w:rsid w:val="0031300D"/>
    <w:rsid w:val="003137E4"/>
    <w:rsid w:val="00313CC7"/>
    <w:rsid w:val="003145A7"/>
    <w:rsid w:val="003245C7"/>
    <w:rsid w:val="0032707F"/>
    <w:rsid w:val="0033039D"/>
    <w:rsid w:val="00330716"/>
    <w:rsid w:val="003334BF"/>
    <w:rsid w:val="00336EBC"/>
    <w:rsid w:val="0033712A"/>
    <w:rsid w:val="00337DA1"/>
    <w:rsid w:val="00340DB0"/>
    <w:rsid w:val="003413CD"/>
    <w:rsid w:val="00342CB9"/>
    <w:rsid w:val="00344098"/>
    <w:rsid w:val="0034554D"/>
    <w:rsid w:val="0034770C"/>
    <w:rsid w:val="00355805"/>
    <w:rsid w:val="00360A33"/>
    <w:rsid w:val="00360F01"/>
    <w:rsid w:val="003619FF"/>
    <w:rsid w:val="00361CE7"/>
    <w:rsid w:val="0036204C"/>
    <w:rsid w:val="00363514"/>
    <w:rsid w:val="00364654"/>
    <w:rsid w:val="00366673"/>
    <w:rsid w:val="003718C9"/>
    <w:rsid w:val="00372BF8"/>
    <w:rsid w:val="0037434E"/>
    <w:rsid w:val="00375BB8"/>
    <w:rsid w:val="00376E75"/>
    <w:rsid w:val="003828DB"/>
    <w:rsid w:val="00383780"/>
    <w:rsid w:val="003853E9"/>
    <w:rsid w:val="0038686E"/>
    <w:rsid w:val="003A0163"/>
    <w:rsid w:val="003A09CF"/>
    <w:rsid w:val="003A145F"/>
    <w:rsid w:val="003A65E3"/>
    <w:rsid w:val="003B0BB0"/>
    <w:rsid w:val="003B6DCF"/>
    <w:rsid w:val="003C05BB"/>
    <w:rsid w:val="003C10D8"/>
    <w:rsid w:val="003C6808"/>
    <w:rsid w:val="003C736B"/>
    <w:rsid w:val="003D08AD"/>
    <w:rsid w:val="003D2521"/>
    <w:rsid w:val="003D38ED"/>
    <w:rsid w:val="003D73BC"/>
    <w:rsid w:val="003E1BBE"/>
    <w:rsid w:val="003E1EBF"/>
    <w:rsid w:val="003E4B21"/>
    <w:rsid w:val="003E58EB"/>
    <w:rsid w:val="003F0871"/>
    <w:rsid w:val="003F19C2"/>
    <w:rsid w:val="003F7B42"/>
    <w:rsid w:val="00400ACF"/>
    <w:rsid w:val="00400B1B"/>
    <w:rsid w:val="00407451"/>
    <w:rsid w:val="00421C01"/>
    <w:rsid w:val="004268C9"/>
    <w:rsid w:val="00427561"/>
    <w:rsid w:val="00432E22"/>
    <w:rsid w:val="00433291"/>
    <w:rsid w:val="00433633"/>
    <w:rsid w:val="00436840"/>
    <w:rsid w:val="0044323E"/>
    <w:rsid w:val="004445DD"/>
    <w:rsid w:val="004446F4"/>
    <w:rsid w:val="0044655F"/>
    <w:rsid w:val="00447577"/>
    <w:rsid w:val="004509DC"/>
    <w:rsid w:val="0045115F"/>
    <w:rsid w:val="004516A3"/>
    <w:rsid w:val="00452870"/>
    <w:rsid w:val="00453620"/>
    <w:rsid w:val="004537A2"/>
    <w:rsid w:val="00455DEF"/>
    <w:rsid w:val="004564E0"/>
    <w:rsid w:val="004605DD"/>
    <w:rsid w:val="004626DF"/>
    <w:rsid w:val="00462E53"/>
    <w:rsid w:val="004632E9"/>
    <w:rsid w:val="00464C53"/>
    <w:rsid w:val="00464FDB"/>
    <w:rsid w:val="004660A5"/>
    <w:rsid w:val="0046678C"/>
    <w:rsid w:val="00466EFA"/>
    <w:rsid w:val="0046720F"/>
    <w:rsid w:val="00467916"/>
    <w:rsid w:val="004735EC"/>
    <w:rsid w:val="00473B95"/>
    <w:rsid w:val="004766CF"/>
    <w:rsid w:val="004776B8"/>
    <w:rsid w:val="00477E0B"/>
    <w:rsid w:val="00481E78"/>
    <w:rsid w:val="00481EFC"/>
    <w:rsid w:val="00482312"/>
    <w:rsid w:val="00482D8A"/>
    <w:rsid w:val="004878C1"/>
    <w:rsid w:val="004916CD"/>
    <w:rsid w:val="0049411E"/>
    <w:rsid w:val="004951BF"/>
    <w:rsid w:val="004962BA"/>
    <w:rsid w:val="00496686"/>
    <w:rsid w:val="00496E3E"/>
    <w:rsid w:val="00496EFC"/>
    <w:rsid w:val="004A1640"/>
    <w:rsid w:val="004B328B"/>
    <w:rsid w:val="004B4254"/>
    <w:rsid w:val="004B5F7F"/>
    <w:rsid w:val="004B6C8D"/>
    <w:rsid w:val="004C00A5"/>
    <w:rsid w:val="004C05FA"/>
    <w:rsid w:val="004C0C46"/>
    <w:rsid w:val="004C25E5"/>
    <w:rsid w:val="004C5114"/>
    <w:rsid w:val="004C6DED"/>
    <w:rsid w:val="004C7C49"/>
    <w:rsid w:val="004D1ECB"/>
    <w:rsid w:val="004D339C"/>
    <w:rsid w:val="004D3B0F"/>
    <w:rsid w:val="004D3E9E"/>
    <w:rsid w:val="004D543D"/>
    <w:rsid w:val="004E2CE9"/>
    <w:rsid w:val="004E2F65"/>
    <w:rsid w:val="004E2F77"/>
    <w:rsid w:val="004E6639"/>
    <w:rsid w:val="004E67D0"/>
    <w:rsid w:val="004E6C8F"/>
    <w:rsid w:val="004F0BA2"/>
    <w:rsid w:val="004F1D0E"/>
    <w:rsid w:val="004F36D8"/>
    <w:rsid w:val="004F3BE4"/>
    <w:rsid w:val="004F560C"/>
    <w:rsid w:val="004F5CBD"/>
    <w:rsid w:val="00503809"/>
    <w:rsid w:val="00504959"/>
    <w:rsid w:val="00505D70"/>
    <w:rsid w:val="00512CF2"/>
    <w:rsid w:val="00514125"/>
    <w:rsid w:val="00516B0E"/>
    <w:rsid w:val="00517DEB"/>
    <w:rsid w:val="0052629F"/>
    <w:rsid w:val="005262A8"/>
    <w:rsid w:val="0052656E"/>
    <w:rsid w:val="00527D45"/>
    <w:rsid w:val="00530B2B"/>
    <w:rsid w:val="0053125F"/>
    <w:rsid w:val="00531EA0"/>
    <w:rsid w:val="00532B14"/>
    <w:rsid w:val="0053349F"/>
    <w:rsid w:val="00534019"/>
    <w:rsid w:val="00534BD3"/>
    <w:rsid w:val="00536528"/>
    <w:rsid w:val="00536A88"/>
    <w:rsid w:val="00537985"/>
    <w:rsid w:val="00540531"/>
    <w:rsid w:val="0054064A"/>
    <w:rsid w:val="00541513"/>
    <w:rsid w:val="005441A0"/>
    <w:rsid w:val="00545D7C"/>
    <w:rsid w:val="00553220"/>
    <w:rsid w:val="00557556"/>
    <w:rsid w:val="005601AB"/>
    <w:rsid w:val="00563E25"/>
    <w:rsid w:val="00565AB6"/>
    <w:rsid w:val="00571FEF"/>
    <w:rsid w:val="005727B6"/>
    <w:rsid w:val="00576489"/>
    <w:rsid w:val="005778A0"/>
    <w:rsid w:val="00580344"/>
    <w:rsid w:val="00582BDD"/>
    <w:rsid w:val="005830F5"/>
    <w:rsid w:val="005836CE"/>
    <w:rsid w:val="00584B74"/>
    <w:rsid w:val="0058528A"/>
    <w:rsid w:val="0058732D"/>
    <w:rsid w:val="00594089"/>
    <w:rsid w:val="00596193"/>
    <w:rsid w:val="005975AF"/>
    <w:rsid w:val="005A2648"/>
    <w:rsid w:val="005A462A"/>
    <w:rsid w:val="005A4CBE"/>
    <w:rsid w:val="005A5108"/>
    <w:rsid w:val="005A7ACC"/>
    <w:rsid w:val="005B2B87"/>
    <w:rsid w:val="005B2DDC"/>
    <w:rsid w:val="005B541A"/>
    <w:rsid w:val="005B6465"/>
    <w:rsid w:val="005B66D2"/>
    <w:rsid w:val="005C3B88"/>
    <w:rsid w:val="005C787E"/>
    <w:rsid w:val="005D040F"/>
    <w:rsid w:val="005D2555"/>
    <w:rsid w:val="005D490A"/>
    <w:rsid w:val="005E2736"/>
    <w:rsid w:val="005E30DE"/>
    <w:rsid w:val="005E4333"/>
    <w:rsid w:val="005E4571"/>
    <w:rsid w:val="005E5D8F"/>
    <w:rsid w:val="005E6A48"/>
    <w:rsid w:val="005E7C87"/>
    <w:rsid w:val="005F2709"/>
    <w:rsid w:val="005F2E63"/>
    <w:rsid w:val="005F7086"/>
    <w:rsid w:val="00603DDF"/>
    <w:rsid w:val="006050E9"/>
    <w:rsid w:val="00606849"/>
    <w:rsid w:val="00607188"/>
    <w:rsid w:val="00611972"/>
    <w:rsid w:val="00612B2A"/>
    <w:rsid w:val="006169AD"/>
    <w:rsid w:val="006223EF"/>
    <w:rsid w:val="00622746"/>
    <w:rsid w:val="00623114"/>
    <w:rsid w:val="00625FB0"/>
    <w:rsid w:val="00627C14"/>
    <w:rsid w:val="00630A22"/>
    <w:rsid w:val="00633B34"/>
    <w:rsid w:val="00635AFB"/>
    <w:rsid w:val="00642789"/>
    <w:rsid w:val="00643524"/>
    <w:rsid w:val="00646366"/>
    <w:rsid w:val="006466C2"/>
    <w:rsid w:val="00650AD0"/>
    <w:rsid w:val="00652052"/>
    <w:rsid w:val="00653D5E"/>
    <w:rsid w:val="00654FFF"/>
    <w:rsid w:val="00656C01"/>
    <w:rsid w:val="00660952"/>
    <w:rsid w:val="006617B7"/>
    <w:rsid w:val="00662C67"/>
    <w:rsid w:val="00670EB8"/>
    <w:rsid w:val="00671D1D"/>
    <w:rsid w:val="00671EBF"/>
    <w:rsid w:val="00672347"/>
    <w:rsid w:val="00672ACF"/>
    <w:rsid w:val="00674FCC"/>
    <w:rsid w:val="00675A0C"/>
    <w:rsid w:val="006813D0"/>
    <w:rsid w:val="0068286F"/>
    <w:rsid w:val="00682A4C"/>
    <w:rsid w:val="00683B1A"/>
    <w:rsid w:val="00684744"/>
    <w:rsid w:val="00686474"/>
    <w:rsid w:val="00690198"/>
    <w:rsid w:val="00691147"/>
    <w:rsid w:val="00692201"/>
    <w:rsid w:val="006970E7"/>
    <w:rsid w:val="006A059A"/>
    <w:rsid w:val="006A2A6C"/>
    <w:rsid w:val="006A4C32"/>
    <w:rsid w:val="006A4D4B"/>
    <w:rsid w:val="006A57DA"/>
    <w:rsid w:val="006B138F"/>
    <w:rsid w:val="006B1AC7"/>
    <w:rsid w:val="006B7751"/>
    <w:rsid w:val="006B7A71"/>
    <w:rsid w:val="006C08FB"/>
    <w:rsid w:val="006C1C5A"/>
    <w:rsid w:val="006C1CBB"/>
    <w:rsid w:val="006C1DD7"/>
    <w:rsid w:val="006C3FDC"/>
    <w:rsid w:val="006C42F6"/>
    <w:rsid w:val="006C4C29"/>
    <w:rsid w:val="006C4C9C"/>
    <w:rsid w:val="006C5288"/>
    <w:rsid w:val="006C5E76"/>
    <w:rsid w:val="006C6B69"/>
    <w:rsid w:val="006C6FAA"/>
    <w:rsid w:val="006C78B2"/>
    <w:rsid w:val="006D01D3"/>
    <w:rsid w:val="006D11DC"/>
    <w:rsid w:val="006D2221"/>
    <w:rsid w:val="006D3970"/>
    <w:rsid w:val="006D561B"/>
    <w:rsid w:val="006D726C"/>
    <w:rsid w:val="006D73C0"/>
    <w:rsid w:val="006D7D2B"/>
    <w:rsid w:val="006E1E6A"/>
    <w:rsid w:val="006E4001"/>
    <w:rsid w:val="006E6F71"/>
    <w:rsid w:val="006E7F4A"/>
    <w:rsid w:val="006F04E8"/>
    <w:rsid w:val="006F0619"/>
    <w:rsid w:val="006F0C7C"/>
    <w:rsid w:val="006F0D57"/>
    <w:rsid w:val="006F51D4"/>
    <w:rsid w:val="006F5408"/>
    <w:rsid w:val="006F58A5"/>
    <w:rsid w:val="00700897"/>
    <w:rsid w:val="007035CA"/>
    <w:rsid w:val="00711349"/>
    <w:rsid w:val="00713B1E"/>
    <w:rsid w:val="0071438B"/>
    <w:rsid w:val="007143C3"/>
    <w:rsid w:val="007144F6"/>
    <w:rsid w:val="00715968"/>
    <w:rsid w:val="00716A5B"/>
    <w:rsid w:val="00721DBC"/>
    <w:rsid w:val="00722344"/>
    <w:rsid w:val="00723C5D"/>
    <w:rsid w:val="00727F54"/>
    <w:rsid w:val="00731A2C"/>
    <w:rsid w:val="00733D1D"/>
    <w:rsid w:val="00734CBC"/>
    <w:rsid w:val="0073667F"/>
    <w:rsid w:val="007372D9"/>
    <w:rsid w:val="007378BC"/>
    <w:rsid w:val="00737AC7"/>
    <w:rsid w:val="00742134"/>
    <w:rsid w:val="00743862"/>
    <w:rsid w:val="00743F9F"/>
    <w:rsid w:val="007447D7"/>
    <w:rsid w:val="00745553"/>
    <w:rsid w:val="0074561C"/>
    <w:rsid w:val="00745AA0"/>
    <w:rsid w:val="00745E3F"/>
    <w:rsid w:val="00752CCC"/>
    <w:rsid w:val="00752EAE"/>
    <w:rsid w:val="00755109"/>
    <w:rsid w:val="00755B98"/>
    <w:rsid w:val="007634C1"/>
    <w:rsid w:val="0076502A"/>
    <w:rsid w:val="007650D3"/>
    <w:rsid w:val="007659EF"/>
    <w:rsid w:val="0076691A"/>
    <w:rsid w:val="00766B67"/>
    <w:rsid w:val="00771403"/>
    <w:rsid w:val="007724DE"/>
    <w:rsid w:val="00774C9B"/>
    <w:rsid w:val="00775C72"/>
    <w:rsid w:val="007774C5"/>
    <w:rsid w:val="00780C75"/>
    <w:rsid w:val="007812BB"/>
    <w:rsid w:val="00781F07"/>
    <w:rsid w:val="00782453"/>
    <w:rsid w:val="00782A81"/>
    <w:rsid w:val="007833EE"/>
    <w:rsid w:val="00783C46"/>
    <w:rsid w:val="007853C1"/>
    <w:rsid w:val="007860D7"/>
    <w:rsid w:val="007920D4"/>
    <w:rsid w:val="00793459"/>
    <w:rsid w:val="00793B6A"/>
    <w:rsid w:val="007A1538"/>
    <w:rsid w:val="007A3167"/>
    <w:rsid w:val="007B553F"/>
    <w:rsid w:val="007B5BEA"/>
    <w:rsid w:val="007B7E6B"/>
    <w:rsid w:val="007C35EB"/>
    <w:rsid w:val="007C6C0F"/>
    <w:rsid w:val="007C7E72"/>
    <w:rsid w:val="007D0F69"/>
    <w:rsid w:val="007D1585"/>
    <w:rsid w:val="007D2C16"/>
    <w:rsid w:val="007D309C"/>
    <w:rsid w:val="007D3647"/>
    <w:rsid w:val="007D747C"/>
    <w:rsid w:val="007E01F7"/>
    <w:rsid w:val="007E0E57"/>
    <w:rsid w:val="007E1D20"/>
    <w:rsid w:val="007E2BA8"/>
    <w:rsid w:val="007E3C80"/>
    <w:rsid w:val="007E5109"/>
    <w:rsid w:val="007F071C"/>
    <w:rsid w:val="007F0804"/>
    <w:rsid w:val="007F0CD8"/>
    <w:rsid w:val="007F3E0B"/>
    <w:rsid w:val="007F52A4"/>
    <w:rsid w:val="007F7AD4"/>
    <w:rsid w:val="008011FF"/>
    <w:rsid w:val="008031C8"/>
    <w:rsid w:val="008040B4"/>
    <w:rsid w:val="0080488E"/>
    <w:rsid w:val="008049E1"/>
    <w:rsid w:val="00806473"/>
    <w:rsid w:val="00806DCB"/>
    <w:rsid w:val="0081017E"/>
    <w:rsid w:val="00811167"/>
    <w:rsid w:val="0081338E"/>
    <w:rsid w:val="0081467C"/>
    <w:rsid w:val="008211C5"/>
    <w:rsid w:val="00821DEB"/>
    <w:rsid w:val="00826353"/>
    <w:rsid w:val="0082735C"/>
    <w:rsid w:val="00834726"/>
    <w:rsid w:val="00836FA9"/>
    <w:rsid w:val="00837026"/>
    <w:rsid w:val="008408BD"/>
    <w:rsid w:val="0084449F"/>
    <w:rsid w:val="00845A6A"/>
    <w:rsid w:val="00850ACF"/>
    <w:rsid w:val="00850E12"/>
    <w:rsid w:val="008520C9"/>
    <w:rsid w:val="00853A7A"/>
    <w:rsid w:val="00855A20"/>
    <w:rsid w:val="0085666A"/>
    <w:rsid w:val="00856C90"/>
    <w:rsid w:val="008612A9"/>
    <w:rsid w:val="00861AB3"/>
    <w:rsid w:val="008650BE"/>
    <w:rsid w:val="0086515A"/>
    <w:rsid w:val="00876E8C"/>
    <w:rsid w:val="0087765D"/>
    <w:rsid w:val="00882BF2"/>
    <w:rsid w:val="008868AE"/>
    <w:rsid w:val="00887A63"/>
    <w:rsid w:val="0089003D"/>
    <w:rsid w:val="00892B6E"/>
    <w:rsid w:val="00894708"/>
    <w:rsid w:val="00894824"/>
    <w:rsid w:val="00897C5F"/>
    <w:rsid w:val="008A0AFA"/>
    <w:rsid w:val="008A2E27"/>
    <w:rsid w:val="008A3428"/>
    <w:rsid w:val="008A52FD"/>
    <w:rsid w:val="008A62D9"/>
    <w:rsid w:val="008A755B"/>
    <w:rsid w:val="008B188F"/>
    <w:rsid w:val="008B28A4"/>
    <w:rsid w:val="008B36A4"/>
    <w:rsid w:val="008B5304"/>
    <w:rsid w:val="008B6D3C"/>
    <w:rsid w:val="008C05FA"/>
    <w:rsid w:val="008C09A6"/>
    <w:rsid w:val="008C2EE6"/>
    <w:rsid w:val="008C2F7A"/>
    <w:rsid w:val="008C3593"/>
    <w:rsid w:val="008C53BF"/>
    <w:rsid w:val="008C67F7"/>
    <w:rsid w:val="008C6BB3"/>
    <w:rsid w:val="008D0F86"/>
    <w:rsid w:val="008D2ED5"/>
    <w:rsid w:val="008D3771"/>
    <w:rsid w:val="008D4B17"/>
    <w:rsid w:val="008D6739"/>
    <w:rsid w:val="008D7028"/>
    <w:rsid w:val="008D7D01"/>
    <w:rsid w:val="008E1793"/>
    <w:rsid w:val="008E4402"/>
    <w:rsid w:val="008E61D8"/>
    <w:rsid w:val="008F1DAB"/>
    <w:rsid w:val="008F20CF"/>
    <w:rsid w:val="008F394E"/>
    <w:rsid w:val="008F3ABD"/>
    <w:rsid w:val="008F41E9"/>
    <w:rsid w:val="009017E6"/>
    <w:rsid w:val="00901C8F"/>
    <w:rsid w:val="00902827"/>
    <w:rsid w:val="009071B4"/>
    <w:rsid w:val="00911AE3"/>
    <w:rsid w:val="00912DE8"/>
    <w:rsid w:val="009155F2"/>
    <w:rsid w:val="00915EC9"/>
    <w:rsid w:val="0091783D"/>
    <w:rsid w:val="00917F05"/>
    <w:rsid w:val="00923C6C"/>
    <w:rsid w:val="009302B3"/>
    <w:rsid w:val="0094297E"/>
    <w:rsid w:val="00946D9D"/>
    <w:rsid w:val="00946F78"/>
    <w:rsid w:val="009476BF"/>
    <w:rsid w:val="00950E27"/>
    <w:rsid w:val="00951362"/>
    <w:rsid w:val="0095137D"/>
    <w:rsid w:val="00952008"/>
    <w:rsid w:val="00954C8E"/>
    <w:rsid w:val="00962596"/>
    <w:rsid w:val="00962FDE"/>
    <w:rsid w:val="0096313A"/>
    <w:rsid w:val="00965128"/>
    <w:rsid w:val="00966103"/>
    <w:rsid w:val="009675FA"/>
    <w:rsid w:val="00971FD5"/>
    <w:rsid w:val="00974249"/>
    <w:rsid w:val="00974927"/>
    <w:rsid w:val="00976DEF"/>
    <w:rsid w:val="00977A41"/>
    <w:rsid w:val="009802D9"/>
    <w:rsid w:val="009824B6"/>
    <w:rsid w:val="00990B53"/>
    <w:rsid w:val="00993C0B"/>
    <w:rsid w:val="00995746"/>
    <w:rsid w:val="009958C3"/>
    <w:rsid w:val="009977C2"/>
    <w:rsid w:val="009A061A"/>
    <w:rsid w:val="009A3174"/>
    <w:rsid w:val="009A549D"/>
    <w:rsid w:val="009A5E73"/>
    <w:rsid w:val="009A5FD2"/>
    <w:rsid w:val="009A6CF9"/>
    <w:rsid w:val="009B1092"/>
    <w:rsid w:val="009B1B1D"/>
    <w:rsid w:val="009B293F"/>
    <w:rsid w:val="009B5DA6"/>
    <w:rsid w:val="009C0AF7"/>
    <w:rsid w:val="009C5695"/>
    <w:rsid w:val="009C59F6"/>
    <w:rsid w:val="009C762B"/>
    <w:rsid w:val="009D18B8"/>
    <w:rsid w:val="009D6E21"/>
    <w:rsid w:val="009D711C"/>
    <w:rsid w:val="009D7A7C"/>
    <w:rsid w:val="009E02D8"/>
    <w:rsid w:val="009E393D"/>
    <w:rsid w:val="009E6836"/>
    <w:rsid w:val="009E7E5C"/>
    <w:rsid w:val="009F1EAE"/>
    <w:rsid w:val="009F459C"/>
    <w:rsid w:val="00A03B71"/>
    <w:rsid w:val="00A0619A"/>
    <w:rsid w:val="00A06E3C"/>
    <w:rsid w:val="00A135FF"/>
    <w:rsid w:val="00A22545"/>
    <w:rsid w:val="00A25437"/>
    <w:rsid w:val="00A267D8"/>
    <w:rsid w:val="00A2732D"/>
    <w:rsid w:val="00A30357"/>
    <w:rsid w:val="00A335A2"/>
    <w:rsid w:val="00A36630"/>
    <w:rsid w:val="00A3665C"/>
    <w:rsid w:val="00A45643"/>
    <w:rsid w:val="00A46393"/>
    <w:rsid w:val="00A50287"/>
    <w:rsid w:val="00A5132F"/>
    <w:rsid w:val="00A52F3D"/>
    <w:rsid w:val="00A626E7"/>
    <w:rsid w:val="00A63AF7"/>
    <w:rsid w:val="00A63B4A"/>
    <w:rsid w:val="00A645CA"/>
    <w:rsid w:val="00A65653"/>
    <w:rsid w:val="00A67CDB"/>
    <w:rsid w:val="00A731BB"/>
    <w:rsid w:val="00A746A6"/>
    <w:rsid w:val="00A757EF"/>
    <w:rsid w:val="00A9121D"/>
    <w:rsid w:val="00A95257"/>
    <w:rsid w:val="00A9634B"/>
    <w:rsid w:val="00AA0012"/>
    <w:rsid w:val="00AA079A"/>
    <w:rsid w:val="00AA2E0B"/>
    <w:rsid w:val="00AA740C"/>
    <w:rsid w:val="00AA7F39"/>
    <w:rsid w:val="00AB541E"/>
    <w:rsid w:val="00AC1A67"/>
    <w:rsid w:val="00AC23C3"/>
    <w:rsid w:val="00AC2625"/>
    <w:rsid w:val="00AC27DD"/>
    <w:rsid w:val="00AC4B81"/>
    <w:rsid w:val="00AC5077"/>
    <w:rsid w:val="00AC521B"/>
    <w:rsid w:val="00AC55F6"/>
    <w:rsid w:val="00AD5DF8"/>
    <w:rsid w:val="00AD5FEC"/>
    <w:rsid w:val="00AD6917"/>
    <w:rsid w:val="00AD7BC6"/>
    <w:rsid w:val="00AE5445"/>
    <w:rsid w:val="00AE6FD1"/>
    <w:rsid w:val="00AF1369"/>
    <w:rsid w:val="00AF1959"/>
    <w:rsid w:val="00AF28F8"/>
    <w:rsid w:val="00AF31C8"/>
    <w:rsid w:val="00AF62A7"/>
    <w:rsid w:val="00AF7BBC"/>
    <w:rsid w:val="00B00966"/>
    <w:rsid w:val="00B0237E"/>
    <w:rsid w:val="00B03B9A"/>
    <w:rsid w:val="00B06016"/>
    <w:rsid w:val="00B0650A"/>
    <w:rsid w:val="00B06749"/>
    <w:rsid w:val="00B06A2D"/>
    <w:rsid w:val="00B07C6C"/>
    <w:rsid w:val="00B11706"/>
    <w:rsid w:val="00B11B3B"/>
    <w:rsid w:val="00B120B1"/>
    <w:rsid w:val="00B12A16"/>
    <w:rsid w:val="00B15FBA"/>
    <w:rsid w:val="00B16F97"/>
    <w:rsid w:val="00B206F0"/>
    <w:rsid w:val="00B2170B"/>
    <w:rsid w:val="00B251DB"/>
    <w:rsid w:val="00B26310"/>
    <w:rsid w:val="00B26C25"/>
    <w:rsid w:val="00B3275E"/>
    <w:rsid w:val="00B331C5"/>
    <w:rsid w:val="00B33C36"/>
    <w:rsid w:val="00B342D9"/>
    <w:rsid w:val="00B356E3"/>
    <w:rsid w:val="00B35C0C"/>
    <w:rsid w:val="00B36B61"/>
    <w:rsid w:val="00B413E4"/>
    <w:rsid w:val="00B433F2"/>
    <w:rsid w:val="00B441F0"/>
    <w:rsid w:val="00B511F7"/>
    <w:rsid w:val="00B51D28"/>
    <w:rsid w:val="00B53935"/>
    <w:rsid w:val="00B63D3F"/>
    <w:rsid w:val="00B64B82"/>
    <w:rsid w:val="00B672ED"/>
    <w:rsid w:val="00B67722"/>
    <w:rsid w:val="00B70B8C"/>
    <w:rsid w:val="00B71BAD"/>
    <w:rsid w:val="00B73868"/>
    <w:rsid w:val="00B758D1"/>
    <w:rsid w:val="00B77372"/>
    <w:rsid w:val="00B82F1F"/>
    <w:rsid w:val="00B83234"/>
    <w:rsid w:val="00B83AAF"/>
    <w:rsid w:val="00B84BA9"/>
    <w:rsid w:val="00B91012"/>
    <w:rsid w:val="00B919C6"/>
    <w:rsid w:val="00B94757"/>
    <w:rsid w:val="00BA0AE9"/>
    <w:rsid w:val="00BA4FC2"/>
    <w:rsid w:val="00BA702D"/>
    <w:rsid w:val="00BA7243"/>
    <w:rsid w:val="00BB002F"/>
    <w:rsid w:val="00BB01CD"/>
    <w:rsid w:val="00BB0632"/>
    <w:rsid w:val="00BB119D"/>
    <w:rsid w:val="00BB71E3"/>
    <w:rsid w:val="00BB7268"/>
    <w:rsid w:val="00BC00A7"/>
    <w:rsid w:val="00BC0A9C"/>
    <w:rsid w:val="00BC0B81"/>
    <w:rsid w:val="00BC5ACC"/>
    <w:rsid w:val="00BC6371"/>
    <w:rsid w:val="00BC753C"/>
    <w:rsid w:val="00BD063C"/>
    <w:rsid w:val="00BD0F8A"/>
    <w:rsid w:val="00BD20F9"/>
    <w:rsid w:val="00BD25F4"/>
    <w:rsid w:val="00BD4D7B"/>
    <w:rsid w:val="00BD5938"/>
    <w:rsid w:val="00BD6DBB"/>
    <w:rsid w:val="00BE0F4E"/>
    <w:rsid w:val="00BE24A1"/>
    <w:rsid w:val="00BE6EEA"/>
    <w:rsid w:val="00BF064C"/>
    <w:rsid w:val="00BF2B37"/>
    <w:rsid w:val="00BF5363"/>
    <w:rsid w:val="00BF545E"/>
    <w:rsid w:val="00BF6CAB"/>
    <w:rsid w:val="00C003DE"/>
    <w:rsid w:val="00C05CB3"/>
    <w:rsid w:val="00C1199E"/>
    <w:rsid w:val="00C120A4"/>
    <w:rsid w:val="00C15153"/>
    <w:rsid w:val="00C15EAB"/>
    <w:rsid w:val="00C161FC"/>
    <w:rsid w:val="00C27458"/>
    <w:rsid w:val="00C27736"/>
    <w:rsid w:val="00C3079A"/>
    <w:rsid w:val="00C31416"/>
    <w:rsid w:val="00C31C31"/>
    <w:rsid w:val="00C328F5"/>
    <w:rsid w:val="00C3713D"/>
    <w:rsid w:val="00C377AB"/>
    <w:rsid w:val="00C4545B"/>
    <w:rsid w:val="00C45FCA"/>
    <w:rsid w:val="00C50FEB"/>
    <w:rsid w:val="00C52B1C"/>
    <w:rsid w:val="00C53620"/>
    <w:rsid w:val="00C570F7"/>
    <w:rsid w:val="00C60CA3"/>
    <w:rsid w:val="00C6197B"/>
    <w:rsid w:val="00C62A03"/>
    <w:rsid w:val="00C6466D"/>
    <w:rsid w:val="00C64F00"/>
    <w:rsid w:val="00C66EC6"/>
    <w:rsid w:val="00C716DA"/>
    <w:rsid w:val="00C71A08"/>
    <w:rsid w:val="00C72E85"/>
    <w:rsid w:val="00C76B20"/>
    <w:rsid w:val="00C777EE"/>
    <w:rsid w:val="00C80821"/>
    <w:rsid w:val="00C81725"/>
    <w:rsid w:val="00C82EC1"/>
    <w:rsid w:val="00C84F53"/>
    <w:rsid w:val="00C85085"/>
    <w:rsid w:val="00C85196"/>
    <w:rsid w:val="00C85EC2"/>
    <w:rsid w:val="00C9468D"/>
    <w:rsid w:val="00C951A5"/>
    <w:rsid w:val="00C953FA"/>
    <w:rsid w:val="00CB31A7"/>
    <w:rsid w:val="00CB6DBC"/>
    <w:rsid w:val="00CB76EE"/>
    <w:rsid w:val="00CC458A"/>
    <w:rsid w:val="00CC4F12"/>
    <w:rsid w:val="00CC622E"/>
    <w:rsid w:val="00CD0126"/>
    <w:rsid w:val="00CD12F8"/>
    <w:rsid w:val="00CD6FFF"/>
    <w:rsid w:val="00CE006F"/>
    <w:rsid w:val="00CE07C9"/>
    <w:rsid w:val="00CE3048"/>
    <w:rsid w:val="00CE374D"/>
    <w:rsid w:val="00CE394D"/>
    <w:rsid w:val="00CE57FB"/>
    <w:rsid w:val="00CF07DB"/>
    <w:rsid w:val="00CF3559"/>
    <w:rsid w:val="00CF4D6C"/>
    <w:rsid w:val="00CF7B16"/>
    <w:rsid w:val="00D03296"/>
    <w:rsid w:val="00D03665"/>
    <w:rsid w:val="00D03F2D"/>
    <w:rsid w:val="00D04A82"/>
    <w:rsid w:val="00D04B3A"/>
    <w:rsid w:val="00D04C2E"/>
    <w:rsid w:val="00D05E3A"/>
    <w:rsid w:val="00D06648"/>
    <w:rsid w:val="00D07531"/>
    <w:rsid w:val="00D079EA"/>
    <w:rsid w:val="00D106D6"/>
    <w:rsid w:val="00D1140F"/>
    <w:rsid w:val="00D14AD3"/>
    <w:rsid w:val="00D161FA"/>
    <w:rsid w:val="00D22098"/>
    <w:rsid w:val="00D220CF"/>
    <w:rsid w:val="00D22904"/>
    <w:rsid w:val="00D24723"/>
    <w:rsid w:val="00D31A91"/>
    <w:rsid w:val="00D34277"/>
    <w:rsid w:val="00D36F41"/>
    <w:rsid w:val="00D42FDC"/>
    <w:rsid w:val="00D46159"/>
    <w:rsid w:val="00D46983"/>
    <w:rsid w:val="00D5053C"/>
    <w:rsid w:val="00D50FE9"/>
    <w:rsid w:val="00D515C6"/>
    <w:rsid w:val="00D555F4"/>
    <w:rsid w:val="00D57CDC"/>
    <w:rsid w:val="00D6155B"/>
    <w:rsid w:val="00D64198"/>
    <w:rsid w:val="00D65573"/>
    <w:rsid w:val="00D6597F"/>
    <w:rsid w:val="00D73B9D"/>
    <w:rsid w:val="00D805CA"/>
    <w:rsid w:val="00D80B6A"/>
    <w:rsid w:val="00D822E8"/>
    <w:rsid w:val="00D82834"/>
    <w:rsid w:val="00D83B40"/>
    <w:rsid w:val="00D83EFE"/>
    <w:rsid w:val="00D841E9"/>
    <w:rsid w:val="00D851C9"/>
    <w:rsid w:val="00D8530A"/>
    <w:rsid w:val="00D86645"/>
    <w:rsid w:val="00D97CEE"/>
    <w:rsid w:val="00DA12F1"/>
    <w:rsid w:val="00DA1A06"/>
    <w:rsid w:val="00DA2F45"/>
    <w:rsid w:val="00DA3578"/>
    <w:rsid w:val="00DA4085"/>
    <w:rsid w:val="00DA5BA8"/>
    <w:rsid w:val="00DB1E42"/>
    <w:rsid w:val="00DB2843"/>
    <w:rsid w:val="00DB66A8"/>
    <w:rsid w:val="00DC0346"/>
    <w:rsid w:val="00DC162C"/>
    <w:rsid w:val="00DC4702"/>
    <w:rsid w:val="00DC48B1"/>
    <w:rsid w:val="00DC50DF"/>
    <w:rsid w:val="00DD74B4"/>
    <w:rsid w:val="00DE1E2B"/>
    <w:rsid w:val="00DE4669"/>
    <w:rsid w:val="00DE6F04"/>
    <w:rsid w:val="00DF451B"/>
    <w:rsid w:val="00DF578E"/>
    <w:rsid w:val="00DF5FFB"/>
    <w:rsid w:val="00DF665D"/>
    <w:rsid w:val="00E01D7D"/>
    <w:rsid w:val="00E03F0B"/>
    <w:rsid w:val="00E148EF"/>
    <w:rsid w:val="00E2056A"/>
    <w:rsid w:val="00E2417E"/>
    <w:rsid w:val="00E242A3"/>
    <w:rsid w:val="00E259C6"/>
    <w:rsid w:val="00E25A81"/>
    <w:rsid w:val="00E26A6D"/>
    <w:rsid w:val="00E3027E"/>
    <w:rsid w:val="00E30D8C"/>
    <w:rsid w:val="00E32429"/>
    <w:rsid w:val="00E340A8"/>
    <w:rsid w:val="00E34A17"/>
    <w:rsid w:val="00E34FB5"/>
    <w:rsid w:val="00E37BD4"/>
    <w:rsid w:val="00E40EDA"/>
    <w:rsid w:val="00E41C5E"/>
    <w:rsid w:val="00E42F0F"/>
    <w:rsid w:val="00E43316"/>
    <w:rsid w:val="00E450B7"/>
    <w:rsid w:val="00E50B94"/>
    <w:rsid w:val="00E54E2E"/>
    <w:rsid w:val="00E55111"/>
    <w:rsid w:val="00E56953"/>
    <w:rsid w:val="00E576F2"/>
    <w:rsid w:val="00E614B0"/>
    <w:rsid w:val="00E62F05"/>
    <w:rsid w:val="00E63383"/>
    <w:rsid w:val="00E63807"/>
    <w:rsid w:val="00E64170"/>
    <w:rsid w:val="00E64512"/>
    <w:rsid w:val="00E67B55"/>
    <w:rsid w:val="00E70CEB"/>
    <w:rsid w:val="00E73A53"/>
    <w:rsid w:val="00E74EB7"/>
    <w:rsid w:val="00E75AD9"/>
    <w:rsid w:val="00E761B8"/>
    <w:rsid w:val="00E77812"/>
    <w:rsid w:val="00E81C9D"/>
    <w:rsid w:val="00E82DF6"/>
    <w:rsid w:val="00E83428"/>
    <w:rsid w:val="00E9387B"/>
    <w:rsid w:val="00E93BD5"/>
    <w:rsid w:val="00E9461E"/>
    <w:rsid w:val="00E95616"/>
    <w:rsid w:val="00E95AE0"/>
    <w:rsid w:val="00E9604D"/>
    <w:rsid w:val="00EA0592"/>
    <w:rsid w:val="00EA0ACF"/>
    <w:rsid w:val="00EA7496"/>
    <w:rsid w:val="00EB1C15"/>
    <w:rsid w:val="00EB64E3"/>
    <w:rsid w:val="00EC00A2"/>
    <w:rsid w:val="00EC0A02"/>
    <w:rsid w:val="00EC2A23"/>
    <w:rsid w:val="00EC31BB"/>
    <w:rsid w:val="00EC4015"/>
    <w:rsid w:val="00EC60E1"/>
    <w:rsid w:val="00ED1E3A"/>
    <w:rsid w:val="00ED7196"/>
    <w:rsid w:val="00ED77E7"/>
    <w:rsid w:val="00EE38D4"/>
    <w:rsid w:val="00EE6CB8"/>
    <w:rsid w:val="00EE74BF"/>
    <w:rsid w:val="00EE7D10"/>
    <w:rsid w:val="00EF0CB9"/>
    <w:rsid w:val="00EF1CBB"/>
    <w:rsid w:val="00EF4CBB"/>
    <w:rsid w:val="00F02A63"/>
    <w:rsid w:val="00F044DB"/>
    <w:rsid w:val="00F065DA"/>
    <w:rsid w:val="00F1024A"/>
    <w:rsid w:val="00F123A3"/>
    <w:rsid w:val="00F133C5"/>
    <w:rsid w:val="00F14926"/>
    <w:rsid w:val="00F16FB0"/>
    <w:rsid w:val="00F20238"/>
    <w:rsid w:val="00F20E2E"/>
    <w:rsid w:val="00F21C04"/>
    <w:rsid w:val="00F22BB9"/>
    <w:rsid w:val="00F239C6"/>
    <w:rsid w:val="00F241D1"/>
    <w:rsid w:val="00F26429"/>
    <w:rsid w:val="00F3002C"/>
    <w:rsid w:val="00F31419"/>
    <w:rsid w:val="00F34D96"/>
    <w:rsid w:val="00F40F83"/>
    <w:rsid w:val="00F416F4"/>
    <w:rsid w:val="00F426CF"/>
    <w:rsid w:val="00F42FA8"/>
    <w:rsid w:val="00F44D17"/>
    <w:rsid w:val="00F46551"/>
    <w:rsid w:val="00F46DD6"/>
    <w:rsid w:val="00F47851"/>
    <w:rsid w:val="00F5059F"/>
    <w:rsid w:val="00F5130A"/>
    <w:rsid w:val="00F51D31"/>
    <w:rsid w:val="00F52294"/>
    <w:rsid w:val="00F53C6B"/>
    <w:rsid w:val="00F53E3B"/>
    <w:rsid w:val="00F53FD8"/>
    <w:rsid w:val="00F55569"/>
    <w:rsid w:val="00F62254"/>
    <w:rsid w:val="00F63372"/>
    <w:rsid w:val="00F63F5A"/>
    <w:rsid w:val="00F6707D"/>
    <w:rsid w:val="00F67678"/>
    <w:rsid w:val="00F722D7"/>
    <w:rsid w:val="00F72B28"/>
    <w:rsid w:val="00F73222"/>
    <w:rsid w:val="00F736CC"/>
    <w:rsid w:val="00F76FE4"/>
    <w:rsid w:val="00F77AF7"/>
    <w:rsid w:val="00F81A6C"/>
    <w:rsid w:val="00F83A39"/>
    <w:rsid w:val="00F846B6"/>
    <w:rsid w:val="00F851DC"/>
    <w:rsid w:val="00F8520C"/>
    <w:rsid w:val="00F85C34"/>
    <w:rsid w:val="00F87A80"/>
    <w:rsid w:val="00F901EA"/>
    <w:rsid w:val="00F92901"/>
    <w:rsid w:val="00F95EC5"/>
    <w:rsid w:val="00F97CED"/>
    <w:rsid w:val="00FA08E0"/>
    <w:rsid w:val="00FA22FC"/>
    <w:rsid w:val="00FA3B83"/>
    <w:rsid w:val="00FA6CAF"/>
    <w:rsid w:val="00FB0AB3"/>
    <w:rsid w:val="00FB0C5B"/>
    <w:rsid w:val="00FB1C66"/>
    <w:rsid w:val="00FB27B2"/>
    <w:rsid w:val="00FB2C38"/>
    <w:rsid w:val="00FB3CFB"/>
    <w:rsid w:val="00FB6A6E"/>
    <w:rsid w:val="00FC2C6C"/>
    <w:rsid w:val="00FC2E6E"/>
    <w:rsid w:val="00FC34E6"/>
    <w:rsid w:val="00FC79FC"/>
    <w:rsid w:val="00FC7A2A"/>
    <w:rsid w:val="00FD0A91"/>
    <w:rsid w:val="00FD151D"/>
    <w:rsid w:val="00FD16DF"/>
    <w:rsid w:val="00FD1791"/>
    <w:rsid w:val="00FD27FF"/>
    <w:rsid w:val="00FD3430"/>
    <w:rsid w:val="00FD466C"/>
    <w:rsid w:val="00FD63BA"/>
    <w:rsid w:val="00FD6ABF"/>
    <w:rsid w:val="00FD7DD2"/>
    <w:rsid w:val="00FE1156"/>
    <w:rsid w:val="00FE79BE"/>
    <w:rsid w:val="00FF014F"/>
    <w:rsid w:val="00FF08EB"/>
    <w:rsid w:val="00FF1F46"/>
    <w:rsid w:val="00FF2672"/>
    <w:rsid w:val="00FF2BC5"/>
    <w:rsid w:val="00FF451E"/>
    <w:rsid w:val="00FF49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C9A15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1FA"/>
    <w:pPr>
      <w:spacing w:before="120" w:after="120" w:line="300" w:lineRule="auto"/>
    </w:pPr>
    <w:rPr>
      <w:rFonts w:cstheme="minorHAnsi"/>
    </w:rPr>
  </w:style>
  <w:style w:type="paragraph" w:styleId="Heading1">
    <w:name w:val="heading 1"/>
    <w:basedOn w:val="Normal"/>
    <w:next w:val="Normal"/>
    <w:link w:val="Heading1Char"/>
    <w:uiPriority w:val="9"/>
    <w:qFormat/>
    <w:rsid w:val="00EC00A2"/>
    <w:pPr>
      <w:keepNext/>
      <w:keepLines/>
      <w:spacing w:before="36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603DDF"/>
    <w:pPr>
      <w:keepNext/>
      <w:keepLines/>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6E4001"/>
    <w:pPr>
      <w:keepNext/>
      <w:keepLines/>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C00A2"/>
    <w:rPr>
      <w:rFonts w:asciiTheme="majorHAnsi" w:eastAsiaTheme="majorEastAsia" w:hAnsiTheme="majorHAnsi" w:cstheme="majorBidi"/>
      <w:color w:val="005677" w:themeColor="text2"/>
      <w:sz w:val="48"/>
      <w:szCs w:val="32"/>
    </w:rPr>
  </w:style>
  <w:style w:type="paragraph" w:styleId="Title">
    <w:name w:val="Title"/>
    <w:basedOn w:val="Normal"/>
    <w:next w:val="Normal"/>
    <w:link w:val="TitleChar"/>
    <w:uiPriority w:val="10"/>
    <w:qFormat/>
    <w:rsid w:val="00EC00A2"/>
    <w:pPr>
      <w:pBdr>
        <w:bottom w:val="single" w:sz="8" w:space="1" w:color="005677" w:themeColor="text2"/>
      </w:pBdr>
      <w:spacing w:before="360" w:line="240" w:lineRule="auto"/>
      <w:contextualSpacing/>
      <w:outlineLvl w:val="0"/>
    </w:pPr>
    <w:rPr>
      <w:rFonts w:asciiTheme="majorHAnsi" w:eastAsiaTheme="majorEastAsia" w:hAnsiTheme="majorHAnsi" w:cstheme="majorBidi"/>
      <w:color w:val="005677" w:themeColor="text2"/>
      <w:spacing w:val="-10"/>
      <w:kern w:val="28"/>
      <w:sz w:val="56"/>
      <w:szCs w:val="7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color w:val="005677" w:themeColor="text2"/>
      <w:spacing w:val="-10"/>
      <w:kern w:val="28"/>
      <w:sz w:val="56"/>
      <w:szCs w:val="72"/>
    </w:rPr>
  </w:style>
  <w:style w:type="paragraph" w:styleId="Subtitle">
    <w:name w:val="Subtitle"/>
    <w:basedOn w:val="Normal"/>
    <w:next w:val="Normal"/>
    <w:link w:val="SubtitleChar"/>
    <w:uiPriority w:val="11"/>
    <w:qFormat/>
    <w:rsid w:val="00EC00A2"/>
    <w:pPr>
      <w:numPr>
        <w:ilvl w:val="1"/>
      </w:numPr>
    </w:pPr>
    <w:rPr>
      <w:rFonts w:eastAsiaTheme="minorEastAsia"/>
      <w:color w:val="58595B" w:themeColor="background2"/>
      <w:sz w:val="32"/>
    </w:rPr>
  </w:style>
  <w:style w:type="character" w:customStyle="1" w:styleId="SubtitleChar">
    <w:name w:val="Subtitle Char"/>
    <w:basedOn w:val="DefaultParagraphFont"/>
    <w:link w:val="Subtitle"/>
    <w:uiPriority w:val="11"/>
    <w:rsid w:val="00EC00A2"/>
    <w:rPr>
      <w:rFonts w:eastAsiaTheme="minorEastAsia"/>
      <w:color w:val="58595B" w:themeColor="background2"/>
      <w:sz w:val="32"/>
    </w:rPr>
  </w:style>
  <w:style w:type="character" w:customStyle="1" w:styleId="Heading2Char">
    <w:name w:val="Heading 2 Char"/>
    <w:basedOn w:val="DefaultParagraphFont"/>
    <w:link w:val="Heading2"/>
    <w:uiPriority w:val="9"/>
    <w:rsid w:val="00603DDF"/>
    <w:rPr>
      <w:rFonts w:asciiTheme="majorHAnsi" w:eastAsiaTheme="majorEastAsia" w:hAnsiTheme="majorHAnsi" w:cstheme="majorBidi"/>
      <w:color w:val="005677" w:themeColor="text2"/>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Paragraph1,List Paragraph11,Recommendation,Numbered paragraph,L,Brief List Paragraph 1,Bullet Point,Bullet point,CV text,Content descriptions,DDM Gen Text,Dot pt,F5 List Paragraph,List Paragraph111,NFP GP Bulleted List,Table text,lp1"/>
    <w:basedOn w:val="Normal"/>
    <w:link w:val="ListParagraphChar"/>
    <w:uiPriority w:val="34"/>
    <w:qFormat/>
    <w:rsid w:val="004632E9"/>
    <w:pPr>
      <w:numPr>
        <w:numId w:val="1"/>
      </w:numPr>
      <w:contextualSpacing/>
    </w:p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0F2564"/>
    <w:pPr>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4776B8"/>
    <w:pPr>
      <w:pBdr>
        <w:top w:val="single" w:sz="4" w:space="6" w:color="F4E2EE" w:themeColor="accent6" w:themeTint="33"/>
        <w:left w:val="single" w:sz="4" w:space="4" w:color="F4E2EE" w:themeColor="accent6" w:themeTint="33"/>
        <w:bottom w:val="single" w:sz="4" w:space="6" w:color="F4E2EE" w:themeColor="accent6" w:themeTint="33"/>
        <w:right w:val="single" w:sz="4" w:space="4" w:color="F4E2EE" w:themeColor="accent6" w:themeTint="33"/>
      </w:pBdr>
      <w:shd w:val="clear" w:color="auto" w:fill="F4E2EE" w:themeFill="accent6" w:themeFillTint="33"/>
      <w:spacing w:before="0" w:after="160" w:line="259" w:lineRule="auto"/>
      <w:ind w:left="360" w:hanging="360"/>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character" w:styleId="CommentReference">
    <w:name w:val="annotation reference"/>
    <w:basedOn w:val="DefaultParagraphFont"/>
    <w:uiPriority w:val="99"/>
    <w:semiHidden/>
    <w:unhideWhenUsed/>
    <w:rsid w:val="00044639"/>
    <w:rPr>
      <w:sz w:val="16"/>
      <w:szCs w:val="16"/>
    </w:rPr>
  </w:style>
  <w:style w:type="paragraph" w:styleId="CommentText">
    <w:name w:val="annotation text"/>
    <w:basedOn w:val="Normal"/>
    <w:link w:val="CommentTextChar"/>
    <w:uiPriority w:val="99"/>
    <w:unhideWhenUsed/>
    <w:rsid w:val="00044639"/>
    <w:pPr>
      <w:spacing w:line="240" w:lineRule="auto"/>
    </w:pPr>
    <w:rPr>
      <w:sz w:val="20"/>
      <w:szCs w:val="20"/>
    </w:rPr>
  </w:style>
  <w:style w:type="character" w:customStyle="1" w:styleId="CommentTextChar">
    <w:name w:val="Comment Text Char"/>
    <w:basedOn w:val="DefaultParagraphFont"/>
    <w:link w:val="CommentText"/>
    <w:uiPriority w:val="99"/>
    <w:rsid w:val="00044639"/>
    <w:rPr>
      <w:rFonts w:cstheme="minorHAnsi"/>
      <w:sz w:val="20"/>
      <w:szCs w:val="20"/>
    </w:rPr>
  </w:style>
  <w:style w:type="character" w:customStyle="1" w:styleId="ListParagraphChar">
    <w:name w:val="List Paragraph Char"/>
    <w:aliases w:val="List Paragraph1 Char,List Paragraph11 Char,Recommendation Char,Numbered paragraph Char,L Char,Brief List Paragraph 1 Char,Bullet Point Char,Bullet point Char,CV text Char,Content descriptions Char,DDM Gen Text Char,Dot pt Char"/>
    <w:link w:val="ListParagraph"/>
    <w:uiPriority w:val="34"/>
    <w:qFormat/>
    <w:locked/>
    <w:rsid w:val="00044639"/>
    <w:rPr>
      <w:rFonts w:cstheme="minorHAnsi"/>
    </w:rPr>
  </w:style>
  <w:style w:type="table" w:customStyle="1" w:styleId="TableGrid11">
    <w:name w:val="Table Grid11"/>
    <w:basedOn w:val="TableNormal"/>
    <w:next w:val="TableGrid"/>
    <w:uiPriority w:val="39"/>
    <w:rsid w:val="00044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anddate">
    <w:name w:val="Author and date"/>
    <w:basedOn w:val="Subtitle"/>
    <w:link w:val="AuthoranddateChar"/>
    <w:qFormat/>
    <w:rsid w:val="00044639"/>
    <w:rPr>
      <w:rFonts w:ascii="Arial" w:hAnsi="Arial" w:cstheme="majorBidi"/>
      <w:spacing w:val="-10"/>
      <w:kern w:val="28"/>
      <w:sz w:val="40"/>
      <w:szCs w:val="40"/>
    </w:rPr>
  </w:style>
  <w:style w:type="character" w:customStyle="1" w:styleId="AuthoranddateChar">
    <w:name w:val="Author and date Char"/>
    <w:basedOn w:val="SubtitleChar"/>
    <w:link w:val="Authoranddate"/>
    <w:rsid w:val="00044639"/>
    <w:rPr>
      <w:rFonts w:ascii="Arial" w:eastAsiaTheme="minorEastAsia" w:hAnsi="Arial" w:cstheme="majorBidi"/>
      <w:color w:val="58595B" w:themeColor="background2"/>
      <w:spacing w:val="-10"/>
      <w:kern w:val="28"/>
      <w:sz w:val="40"/>
      <w:szCs w:val="40"/>
    </w:rPr>
  </w:style>
  <w:style w:type="character" w:styleId="IntenseEmphasis">
    <w:name w:val="Intense Emphasis"/>
    <w:basedOn w:val="DefaultParagraphFont"/>
    <w:uiPriority w:val="21"/>
    <w:qFormat/>
    <w:rsid w:val="00F6707D"/>
    <w:rPr>
      <w:i/>
      <w:iCs/>
      <w:color w:val="939598" w:themeColor="accent1"/>
    </w:rPr>
  </w:style>
  <w:style w:type="character" w:styleId="SubtleReference">
    <w:name w:val="Subtle Reference"/>
    <w:basedOn w:val="DefaultParagraphFont"/>
    <w:uiPriority w:val="31"/>
    <w:qFormat/>
    <w:rsid w:val="00F6707D"/>
    <w:rPr>
      <w:smallCaps/>
      <w:color w:val="5A5A5A" w:themeColor="text1" w:themeTint="A5"/>
    </w:rPr>
  </w:style>
  <w:style w:type="paragraph" w:styleId="CommentSubject">
    <w:name w:val="annotation subject"/>
    <w:basedOn w:val="CommentText"/>
    <w:next w:val="CommentText"/>
    <w:link w:val="CommentSubjectChar"/>
    <w:uiPriority w:val="99"/>
    <w:semiHidden/>
    <w:unhideWhenUsed/>
    <w:rsid w:val="005D040F"/>
    <w:rPr>
      <w:b/>
      <w:bCs/>
    </w:rPr>
  </w:style>
  <w:style w:type="character" w:customStyle="1" w:styleId="CommentSubjectChar">
    <w:name w:val="Comment Subject Char"/>
    <w:basedOn w:val="CommentTextChar"/>
    <w:link w:val="CommentSubject"/>
    <w:uiPriority w:val="99"/>
    <w:semiHidden/>
    <w:rsid w:val="005D040F"/>
    <w:rPr>
      <w:rFonts w:cstheme="minorHAnsi"/>
      <w:b/>
      <w:bCs/>
      <w:sz w:val="20"/>
      <w:szCs w:val="20"/>
    </w:rPr>
  </w:style>
  <w:style w:type="paragraph" w:styleId="Revision">
    <w:name w:val="Revision"/>
    <w:hidden/>
    <w:uiPriority w:val="99"/>
    <w:semiHidden/>
    <w:rsid w:val="005D040F"/>
    <w:pPr>
      <w:spacing w:after="0" w:line="240" w:lineRule="auto"/>
    </w:pPr>
    <w:rPr>
      <w:rFonts w:cstheme="minorHAnsi"/>
    </w:rPr>
  </w:style>
  <w:style w:type="character" w:customStyle="1" w:styleId="treetext1">
    <w:name w:val="treetext1"/>
    <w:basedOn w:val="DefaultParagraphFont"/>
    <w:rsid w:val="00D34277"/>
    <w:rPr>
      <w:b/>
      <w:bCs/>
    </w:rPr>
  </w:style>
  <w:style w:type="paragraph" w:customStyle="1" w:styleId="TableTextform">
    <w:name w:val="TableText form"/>
    <w:basedOn w:val="Normal"/>
    <w:qFormat/>
    <w:rsid w:val="00AC5077"/>
    <w:pPr>
      <w:spacing w:before="40" w:after="240" w:line="240" w:lineRule="auto"/>
    </w:pPr>
    <w:rPr>
      <w:rFonts w:ascii="Arial" w:eastAsiaTheme="majorEastAsia" w:hAnsi="Arial" w:cs="Arial"/>
      <w:bCs/>
      <w:sz w:val="20"/>
      <w:szCs w:val="20"/>
    </w:rPr>
  </w:style>
  <w:style w:type="character" w:styleId="FollowedHyperlink">
    <w:name w:val="FollowedHyperlink"/>
    <w:basedOn w:val="DefaultParagraphFont"/>
    <w:uiPriority w:val="99"/>
    <w:semiHidden/>
    <w:unhideWhenUsed/>
    <w:rsid w:val="000A56D7"/>
    <w:rPr>
      <w:color w:val="551A8B" w:themeColor="followedHyperlink"/>
      <w:u w:val="single"/>
    </w:rPr>
  </w:style>
  <w:style w:type="paragraph" w:styleId="FootnoteText">
    <w:name w:val="footnote text"/>
    <w:basedOn w:val="Normal"/>
    <w:link w:val="FootnoteTextChar"/>
    <w:uiPriority w:val="99"/>
    <w:unhideWhenUsed/>
    <w:rsid w:val="00662C6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662C67"/>
    <w:rPr>
      <w:rFonts w:cstheme="minorHAnsi"/>
      <w:sz w:val="20"/>
      <w:szCs w:val="20"/>
    </w:rPr>
  </w:style>
  <w:style w:type="character" w:styleId="FootnoteReference">
    <w:name w:val="footnote reference"/>
    <w:basedOn w:val="DefaultParagraphFont"/>
    <w:uiPriority w:val="99"/>
    <w:semiHidden/>
    <w:unhideWhenUsed/>
    <w:rsid w:val="00662C67"/>
    <w:rPr>
      <w:vertAlign w:val="superscript"/>
    </w:rPr>
  </w:style>
  <w:style w:type="paragraph" w:customStyle="1" w:styleId="Bullet">
    <w:name w:val="Bullet"/>
    <w:basedOn w:val="Normal"/>
    <w:rsid w:val="00AE6FD1"/>
    <w:pPr>
      <w:numPr>
        <w:numId w:val="16"/>
      </w:numPr>
      <w:spacing w:before="0" w:after="240" w:line="240" w:lineRule="auto"/>
    </w:pPr>
    <w:rPr>
      <w:rFonts w:ascii="Times New Roman" w:eastAsia="Times New Roman" w:hAnsi="Times New Roman" w:cs="Times New Roman"/>
      <w:sz w:val="24"/>
      <w:szCs w:val="24"/>
    </w:rPr>
  </w:style>
  <w:style w:type="paragraph" w:customStyle="1" w:styleId="Dash">
    <w:name w:val="Dash"/>
    <w:basedOn w:val="Normal"/>
    <w:rsid w:val="00AE6FD1"/>
    <w:pPr>
      <w:numPr>
        <w:ilvl w:val="1"/>
        <w:numId w:val="16"/>
      </w:numPr>
      <w:spacing w:before="0" w:after="240" w:line="240" w:lineRule="auto"/>
    </w:pPr>
    <w:rPr>
      <w:rFonts w:ascii="Times New Roman" w:eastAsia="Times New Roman" w:hAnsi="Times New Roman" w:cs="Times New Roman"/>
      <w:sz w:val="24"/>
      <w:szCs w:val="24"/>
    </w:rPr>
  </w:style>
  <w:style w:type="paragraph" w:customStyle="1" w:styleId="DoubleDot">
    <w:name w:val="Double Dot"/>
    <w:basedOn w:val="Normal"/>
    <w:rsid w:val="00AE6FD1"/>
    <w:pPr>
      <w:numPr>
        <w:ilvl w:val="2"/>
        <w:numId w:val="16"/>
      </w:numPr>
      <w:spacing w:before="0" w:after="24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F0C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the-question">
    <w:name w:val="the-question"/>
    <w:basedOn w:val="DefaultParagraphFont"/>
    <w:rsid w:val="006970E7"/>
  </w:style>
  <w:style w:type="character" w:customStyle="1" w:styleId="acopre1">
    <w:name w:val="acopre1"/>
    <w:basedOn w:val="DefaultParagraphFont"/>
    <w:rsid w:val="008B2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260988">
      <w:bodyDiv w:val="1"/>
      <w:marLeft w:val="0"/>
      <w:marRight w:val="0"/>
      <w:marTop w:val="0"/>
      <w:marBottom w:val="0"/>
      <w:divBdr>
        <w:top w:val="none" w:sz="0" w:space="0" w:color="auto"/>
        <w:left w:val="none" w:sz="0" w:space="0" w:color="auto"/>
        <w:bottom w:val="none" w:sz="0" w:space="0" w:color="auto"/>
        <w:right w:val="none" w:sz="0" w:space="0" w:color="auto"/>
      </w:divBdr>
      <w:divsChild>
        <w:div w:id="363597711">
          <w:marLeft w:val="288"/>
          <w:marRight w:val="0"/>
          <w:marTop w:val="0"/>
          <w:marBottom w:val="0"/>
          <w:divBdr>
            <w:top w:val="none" w:sz="0" w:space="0" w:color="auto"/>
            <w:left w:val="none" w:sz="0" w:space="0" w:color="auto"/>
            <w:bottom w:val="none" w:sz="0" w:space="0" w:color="auto"/>
            <w:right w:val="none" w:sz="0" w:space="0" w:color="auto"/>
          </w:divBdr>
        </w:div>
        <w:div w:id="605503827">
          <w:marLeft w:val="288"/>
          <w:marRight w:val="0"/>
          <w:marTop w:val="0"/>
          <w:marBottom w:val="0"/>
          <w:divBdr>
            <w:top w:val="none" w:sz="0" w:space="0" w:color="auto"/>
            <w:left w:val="none" w:sz="0" w:space="0" w:color="auto"/>
            <w:bottom w:val="none" w:sz="0" w:space="0" w:color="auto"/>
            <w:right w:val="none" w:sz="0" w:space="0" w:color="auto"/>
          </w:divBdr>
        </w:div>
        <w:div w:id="1131283006">
          <w:marLeft w:val="288"/>
          <w:marRight w:val="0"/>
          <w:marTop w:val="0"/>
          <w:marBottom w:val="0"/>
          <w:divBdr>
            <w:top w:val="none" w:sz="0" w:space="0" w:color="auto"/>
            <w:left w:val="none" w:sz="0" w:space="0" w:color="auto"/>
            <w:bottom w:val="none" w:sz="0" w:space="0" w:color="auto"/>
            <w:right w:val="none" w:sz="0" w:space="0" w:color="auto"/>
          </w:divBdr>
        </w:div>
        <w:div w:id="1993674877">
          <w:marLeft w:val="288"/>
          <w:marRight w:val="0"/>
          <w:marTop w:val="0"/>
          <w:marBottom w:val="0"/>
          <w:divBdr>
            <w:top w:val="none" w:sz="0" w:space="0" w:color="auto"/>
            <w:left w:val="none" w:sz="0" w:space="0" w:color="auto"/>
            <w:bottom w:val="none" w:sz="0" w:space="0" w:color="auto"/>
            <w:right w:val="none" w:sz="0" w:space="0" w:color="auto"/>
          </w:divBdr>
        </w:div>
      </w:divsChild>
    </w:div>
    <w:div w:id="917863887">
      <w:bodyDiv w:val="1"/>
      <w:marLeft w:val="0"/>
      <w:marRight w:val="0"/>
      <w:marTop w:val="0"/>
      <w:marBottom w:val="0"/>
      <w:divBdr>
        <w:top w:val="none" w:sz="0" w:space="0" w:color="auto"/>
        <w:left w:val="none" w:sz="0" w:space="0" w:color="auto"/>
        <w:bottom w:val="none" w:sz="0" w:space="0" w:color="auto"/>
        <w:right w:val="none" w:sz="0" w:space="0" w:color="auto"/>
      </w:divBdr>
    </w:div>
    <w:div w:id="997727776">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14982838">
      <w:bodyDiv w:val="1"/>
      <w:marLeft w:val="0"/>
      <w:marRight w:val="0"/>
      <w:marTop w:val="0"/>
      <w:marBottom w:val="0"/>
      <w:divBdr>
        <w:top w:val="none" w:sz="0" w:space="0" w:color="auto"/>
        <w:left w:val="none" w:sz="0" w:space="0" w:color="auto"/>
        <w:bottom w:val="none" w:sz="0" w:space="0" w:color="auto"/>
        <w:right w:val="none" w:sz="0" w:space="0" w:color="auto"/>
      </w:divBdr>
    </w:div>
    <w:div w:id="1173686217">
      <w:bodyDiv w:val="1"/>
      <w:marLeft w:val="0"/>
      <w:marRight w:val="0"/>
      <w:marTop w:val="0"/>
      <w:marBottom w:val="0"/>
      <w:divBdr>
        <w:top w:val="none" w:sz="0" w:space="0" w:color="auto"/>
        <w:left w:val="none" w:sz="0" w:space="0" w:color="auto"/>
        <w:bottom w:val="none" w:sz="0" w:space="0" w:color="auto"/>
        <w:right w:val="none" w:sz="0" w:space="0" w:color="auto"/>
      </w:divBdr>
      <w:divsChild>
        <w:div w:id="1121728878">
          <w:marLeft w:val="0"/>
          <w:marRight w:val="0"/>
          <w:marTop w:val="0"/>
          <w:marBottom w:val="0"/>
          <w:divBdr>
            <w:top w:val="none" w:sz="0" w:space="0" w:color="auto"/>
            <w:left w:val="none" w:sz="0" w:space="0" w:color="auto"/>
            <w:bottom w:val="none" w:sz="0" w:space="0" w:color="auto"/>
            <w:right w:val="none" w:sz="0" w:space="0" w:color="auto"/>
          </w:divBdr>
          <w:divsChild>
            <w:div w:id="2001227783">
              <w:marLeft w:val="0"/>
              <w:marRight w:val="0"/>
              <w:marTop w:val="0"/>
              <w:marBottom w:val="0"/>
              <w:divBdr>
                <w:top w:val="none" w:sz="0" w:space="0" w:color="auto"/>
                <w:left w:val="none" w:sz="0" w:space="0" w:color="auto"/>
                <w:bottom w:val="none" w:sz="0" w:space="0" w:color="auto"/>
                <w:right w:val="none" w:sz="0" w:space="0" w:color="auto"/>
              </w:divBdr>
              <w:divsChild>
                <w:div w:id="27800109">
                  <w:marLeft w:val="0"/>
                  <w:marRight w:val="0"/>
                  <w:marTop w:val="0"/>
                  <w:marBottom w:val="0"/>
                  <w:divBdr>
                    <w:top w:val="none" w:sz="0" w:space="0" w:color="auto"/>
                    <w:left w:val="none" w:sz="0" w:space="0" w:color="auto"/>
                    <w:bottom w:val="none" w:sz="0" w:space="0" w:color="auto"/>
                    <w:right w:val="none" w:sz="0" w:space="0" w:color="auto"/>
                  </w:divBdr>
                  <w:divsChild>
                    <w:div w:id="1085036497">
                      <w:marLeft w:val="0"/>
                      <w:marRight w:val="0"/>
                      <w:marTop w:val="0"/>
                      <w:marBottom w:val="0"/>
                      <w:divBdr>
                        <w:top w:val="none" w:sz="0" w:space="0" w:color="auto"/>
                        <w:left w:val="none" w:sz="0" w:space="0" w:color="auto"/>
                        <w:bottom w:val="none" w:sz="0" w:space="0" w:color="auto"/>
                        <w:right w:val="none" w:sz="0" w:space="0" w:color="auto"/>
                      </w:divBdr>
                      <w:divsChild>
                        <w:div w:id="2029789892">
                          <w:marLeft w:val="-225"/>
                          <w:marRight w:val="-225"/>
                          <w:marTop w:val="0"/>
                          <w:marBottom w:val="0"/>
                          <w:divBdr>
                            <w:top w:val="none" w:sz="0" w:space="0" w:color="auto"/>
                            <w:left w:val="none" w:sz="0" w:space="0" w:color="auto"/>
                            <w:bottom w:val="none" w:sz="0" w:space="0" w:color="auto"/>
                            <w:right w:val="none" w:sz="0" w:space="0" w:color="auto"/>
                          </w:divBdr>
                          <w:divsChild>
                            <w:div w:id="575936196">
                              <w:marLeft w:val="0"/>
                              <w:marRight w:val="0"/>
                              <w:marTop w:val="0"/>
                              <w:marBottom w:val="0"/>
                              <w:divBdr>
                                <w:top w:val="none" w:sz="0" w:space="0" w:color="auto"/>
                                <w:left w:val="none" w:sz="0" w:space="0" w:color="auto"/>
                                <w:bottom w:val="none" w:sz="0" w:space="0" w:color="auto"/>
                                <w:right w:val="none" w:sz="0" w:space="0" w:color="auto"/>
                              </w:divBdr>
                              <w:divsChild>
                                <w:div w:id="291132383">
                                  <w:marLeft w:val="0"/>
                                  <w:marRight w:val="0"/>
                                  <w:marTop w:val="0"/>
                                  <w:marBottom w:val="0"/>
                                  <w:divBdr>
                                    <w:top w:val="none" w:sz="0" w:space="0" w:color="auto"/>
                                    <w:left w:val="none" w:sz="0" w:space="0" w:color="auto"/>
                                    <w:bottom w:val="none" w:sz="0" w:space="0" w:color="auto"/>
                                    <w:right w:val="none" w:sz="0" w:space="0" w:color="auto"/>
                                  </w:divBdr>
                                  <w:divsChild>
                                    <w:div w:id="125391504">
                                      <w:marLeft w:val="0"/>
                                      <w:marRight w:val="0"/>
                                      <w:marTop w:val="0"/>
                                      <w:marBottom w:val="0"/>
                                      <w:divBdr>
                                        <w:top w:val="none" w:sz="0" w:space="0" w:color="auto"/>
                                        <w:left w:val="none" w:sz="0" w:space="0" w:color="auto"/>
                                        <w:bottom w:val="none" w:sz="0" w:space="0" w:color="auto"/>
                                        <w:right w:val="none" w:sz="0" w:space="0" w:color="auto"/>
                                      </w:divBdr>
                                      <w:divsChild>
                                        <w:div w:id="1334144662">
                                          <w:marLeft w:val="-225"/>
                                          <w:marRight w:val="-225"/>
                                          <w:marTop w:val="0"/>
                                          <w:marBottom w:val="0"/>
                                          <w:divBdr>
                                            <w:top w:val="none" w:sz="0" w:space="0" w:color="auto"/>
                                            <w:left w:val="none" w:sz="0" w:space="0" w:color="auto"/>
                                            <w:bottom w:val="none" w:sz="0" w:space="0" w:color="auto"/>
                                            <w:right w:val="none" w:sz="0" w:space="0" w:color="auto"/>
                                          </w:divBdr>
                                          <w:divsChild>
                                            <w:div w:id="2141804982">
                                              <w:marLeft w:val="0"/>
                                              <w:marRight w:val="0"/>
                                              <w:marTop w:val="0"/>
                                              <w:marBottom w:val="0"/>
                                              <w:divBdr>
                                                <w:top w:val="none" w:sz="0" w:space="0" w:color="auto"/>
                                                <w:left w:val="none" w:sz="0" w:space="0" w:color="auto"/>
                                                <w:bottom w:val="none" w:sz="0" w:space="0" w:color="auto"/>
                                                <w:right w:val="none" w:sz="0" w:space="0" w:color="auto"/>
                                              </w:divBdr>
                                              <w:divsChild>
                                                <w:div w:id="9624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847931">
      <w:bodyDiv w:val="1"/>
      <w:marLeft w:val="0"/>
      <w:marRight w:val="0"/>
      <w:marTop w:val="0"/>
      <w:marBottom w:val="0"/>
      <w:divBdr>
        <w:top w:val="none" w:sz="0" w:space="0" w:color="auto"/>
        <w:left w:val="none" w:sz="0" w:space="0" w:color="auto"/>
        <w:bottom w:val="none" w:sz="0" w:space="0" w:color="auto"/>
        <w:right w:val="none" w:sz="0" w:space="0" w:color="auto"/>
      </w:divBdr>
    </w:div>
    <w:div w:id="1398936377">
      <w:bodyDiv w:val="1"/>
      <w:marLeft w:val="0"/>
      <w:marRight w:val="0"/>
      <w:marTop w:val="0"/>
      <w:marBottom w:val="0"/>
      <w:divBdr>
        <w:top w:val="none" w:sz="0" w:space="0" w:color="auto"/>
        <w:left w:val="none" w:sz="0" w:space="0" w:color="auto"/>
        <w:bottom w:val="none" w:sz="0" w:space="0" w:color="auto"/>
        <w:right w:val="none" w:sz="0" w:space="0" w:color="auto"/>
      </w:divBdr>
    </w:div>
    <w:div w:id="1600019306">
      <w:bodyDiv w:val="1"/>
      <w:marLeft w:val="0"/>
      <w:marRight w:val="0"/>
      <w:marTop w:val="0"/>
      <w:marBottom w:val="0"/>
      <w:divBdr>
        <w:top w:val="none" w:sz="0" w:space="0" w:color="auto"/>
        <w:left w:val="none" w:sz="0" w:space="0" w:color="auto"/>
        <w:bottom w:val="none" w:sz="0" w:space="0" w:color="auto"/>
        <w:right w:val="none" w:sz="0" w:space="0" w:color="auto"/>
      </w:divBdr>
    </w:div>
    <w:div w:id="1935551511">
      <w:bodyDiv w:val="1"/>
      <w:marLeft w:val="0"/>
      <w:marRight w:val="0"/>
      <w:marTop w:val="0"/>
      <w:marBottom w:val="0"/>
      <w:divBdr>
        <w:top w:val="none" w:sz="0" w:space="0" w:color="auto"/>
        <w:left w:val="none" w:sz="0" w:space="0" w:color="auto"/>
        <w:bottom w:val="none" w:sz="0" w:space="0" w:color="auto"/>
        <w:right w:val="none" w:sz="0" w:space="0" w:color="auto"/>
      </w:divBdr>
    </w:div>
    <w:div w:id="204362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https://www.nopta.gov.au/_documents/guidelines/transfers-and-dealings-guideline.docx" TargetMode="External"/><Relationship Id="rId3" Type="http://schemas.openxmlformats.org/officeDocument/2006/relationships/numbering" Target="numbering.xml"/><Relationship Id="rId21" Type="http://schemas.openxmlformats.org/officeDocument/2006/relationships/hyperlink" Target="https://www.legislation.gov.au/Details/C2020C0034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reativecommons.org/licenses/by/4.0/legalcode"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www.industry.gov.au/data-and-publications/independent-review-into-the-circumstances-leading-to-the-administration-and-liquidation-of-northern-oil-and-gas-australia-noga"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ndriaustralia.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nera.org.au/"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consult.industry.gov.au/offshore-resources-branch/decommissioning-discussion-paper/supporting_documents/Decommissioning%20Discussion%20Paper.pdf"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gov.au/Details/F2020C00990" TargetMode="External"/><Relationship Id="rId27" Type="http://schemas.openxmlformats.org/officeDocument/2006/relationships/hyperlink" Target="https://parlinfo.aph.gov.au/parlInfo/download/legislation/ems/r5011_ems_8e4341e4-fe51-4d93-97f5-eb1a86e47772/upload_pdf/378393.pdf;fileType=application%2Fpdf" TargetMode="External"/><Relationship Id="rId30"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2C89A8D7623F46F88A15EF133A706EA0" version="1.0.0">
  <systemFields>
    <field name="Objective-Id">
      <value order="0">A747819</value>
    </field>
    <field name="Objective-Title">
      <value order="0">Discussion Paper - DISER - Enhancing Australia's decommissioning framework - NOPSEMA proposed edits - September 2020</value>
    </field>
    <field name="Objective-Description">
      <value order="0"/>
    </field>
    <field name="Objective-CreationStamp">
      <value order="0">2020-09-09T00:29:55Z</value>
    </field>
    <field name="Objective-IsApproved">
      <value order="0">false</value>
    </field>
    <field name="Objective-IsPublished">
      <value order="0">true</value>
    </field>
    <field name="Objective-DatePublished">
      <value order="0">2020-09-16T05:52:50Z</value>
    </field>
    <field name="Objective-ModificationStamp">
      <value order="0">2020-09-16T10:59:20Z</value>
    </field>
    <field name="Objective-Owner">
      <value order="0">Owen Wilson</value>
    </field>
    <field name="Objective-Path">
      <value order="0">Objective Global Folder:File Plan:Interagency Co-ordination and Relations:Legislation:Development of Legislative Changes:OPGGS Act - Title Transactions, End of Title and Decommissioning - 2018 onwards</value>
    </field>
    <field name="Objective-Parent">
      <value order="0">OPGGS Act - Title Transactions, End of Title and Decommissioning - 2018 onwards</value>
    </field>
    <field name="Objective-State">
      <value order="0">Published</value>
    </field>
    <field name="Objective-VersionId">
      <value order="0">vA1461918</value>
    </field>
    <field name="Objective-Version">
      <value order="0">4.0</value>
    </field>
    <field name="Objective-VersionNumber">
      <value order="0">12</value>
    </field>
    <field name="Objective-VersionComment">
      <value order="0"/>
    </field>
    <field name="Objective-FileNumber">
      <value order="0">C16083</value>
    </field>
    <field name="Objective-Classification">
      <value order="0">DLM-ONLY</value>
    </field>
    <field name="Objective-Caveats">
      <value order="0"/>
    </field>
  </systemFields>
  <catalogues>
    <catalogue name="Document - Incoming Type Catalogue" type="type" ori="id:cA4">
      <field name="Objective-DLM">
        <value order="0"/>
      </field>
      <field name="Objective-Date Received">
        <value order="0">2020-09-08T15:59:59Z</value>
      </field>
      <field name="Objective-Duty Holders and Organisations">
        <value order="0"/>
      </field>
      <field name="Objective-Facility">
        <value order="0"/>
      </field>
      <field name="Objective-RMS ID">
        <value order="0"/>
      </field>
      <field name="Objective-Monthly Injury Summary ID">
        <value order="0"/>
      </field>
      <field name="Objective-Date of Document">
        <value order="0"/>
      </field>
      <field name="Objective-External Author">
        <value order="0"/>
      </field>
      <field name="Objective-External Reference">
        <value order="0"/>
      </field>
      <field name="Objective-Organisation">
        <value order="0"/>
      </field>
      <field name="Objective-Connect Creator">
        <value order="0"/>
      </field>
      <field name="Objective-Action History">
        <value order="0"/>
      </field>
      <field name="Objective-Approved for External Publication">
        <value order="0">No</value>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2C89A8D7623F46F88A15EF133A706EA0"/>
  </ds:schemaRefs>
</ds:datastoreItem>
</file>

<file path=customXml/itemProps2.xml><?xml version="1.0" encoding="utf-8"?>
<ds:datastoreItem xmlns:ds="http://schemas.openxmlformats.org/officeDocument/2006/customXml" ds:itemID="{8BBB0C31-C364-4024-A2F3-4605F1D7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4820</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2020-12-11T05:24:00Z</dcterms:created>
  <dcterms:modified xsi:type="dcterms:W3CDTF">2020-12-14T01:57:00Z</dcterms:modified>
  <cp:contentStatus/>
</cp:coreProperties>
</file>