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E1C9D" w14:textId="77777777" w:rsidR="00E45EE9" w:rsidRPr="009649AE" w:rsidRDefault="00E45EE9" w:rsidP="009649AE">
      <w:pPr>
        <w:tabs>
          <w:tab w:val="left" w:pos="3280"/>
        </w:tabs>
        <w:spacing w:line="256" w:lineRule="auto"/>
        <w:jc w:val="center"/>
        <w:rPr>
          <w:rFonts w:ascii="Arial" w:hAnsi="Arial" w:cs="Arial"/>
          <w:b/>
          <w:bCs/>
        </w:rPr>
      </w:pPr>
    </w:p>
    <w:tbl>
      <w:tblPr>
        <w:tblStyle w:val="PlainTable2"/>
        <w:tblpPr w:leftFromText="180" w:rightFromText="180" w:vertAnchor="page" w:horzAnchor="margin" w:tblpXSpec="center" w:tblpY="2731"/>
        <w:tblW w:w="10201" w:type="dxa"/>
        <w:tblBorders>
          <w:top w:val="none" w:sz="0" w:space="0" w:color="auto"/>
          <w:bottom w:val="none" w:sz="0" w:space="0" w:color="auto"/>
        </w:tblBorders>
        <w:tblLook w:val="04A0" w:firstRow="1" w:lastRow="0" w:firstColumn="1" w:lastColumn="0" w:noHBand="0" w:noVBand="1"/>
      </w:tblPr>
      <w:tblGrid>
        <w:gridCol w:w="5807"/>
        <w:gridCol w:w="2126"/>
        <w:gridCol w:w="2268"/>
      </w:tblGrid>
      <w:tr w:rsidR="009649AE" w:rsidRPr="009649AE" w14:paraId="4A1E4039" w14:textId="77777777" w:rsidTr="009649A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single" w:sz="4" w:space="0" w:color="auto"/>
            </w:tcBorders>
          </w:tcPr>
          <w:p w14:paraId="135CECFB" w14:textId="0D29791C" w:rsidR="009649AE" w:rsidRPr="009649AE" w:rsidRDefault="009649AE" w:rsidP="009649AE">
            <w:pPr>
              <w:jc w:val="center"/>
              <w:rPr>
                <w:rFonts w:cs="Arial"/>
              </w:rPr>
            </w:pPr>
            <w:r w:rsidRPr="009649AE">
              <w:rPr>
                <w:rFonts w:cs="Arial"/>
              </w:rPr>
              <w:t>Version or changes description</w:t>
            </w:r>
          </w:p>
        </w:tc>
        <w:tc>
          <w:tcPr>
            <w:tcW w:w="2126" w:type="dxa"/>
            <w:tcBorders>
              <w:top w:val="single" w:sz="4" w:space="0" w:color="auto"/>
              <w:left w:val="single" w:sz="4" w:space="0" w:color="auto"/>
              <w:bottom w:val="single" w:sz="4" w:space="0" w:color="auto"/>
              <w:right w:val="single" w:sz="4" w:space="0" w:color="auto"/>
            </w:tcBorders>
          </w:tcPr>
          <w:p w14:paraId="6EFC1101" w14:textId="77777777" w:rsidR="009649AE" w:rsidRPr="009649AE" w:rsidRDefault="009649AE" w:rsidP="009649AE">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9649AE">
              <w:rPr>
                <w:rFonts w:cs="Arial"/>
              </w:rPr>
              <w:t>Reference</w:t>
            </w:r>
          </w:p>
        </w:tc>
        <w:tc>
          <w:tcPr>
            <w:tcW w:w="2268" w:type="dxa"/>
            <w:tcBorders>
              <w:top w:val="single" w:sz="4" w:space="0" w:color="auto"/>
              <w:left w:val="single" w:sz="4" w:space="0" w:color="auto"/>
              <w:bottom w:val="single" w:sz="4" w:space="0" w:color="auto"/>
              <w:right w:val="single" w:sz="4" w:space="0" w:color="auto"/>
            </w:tcBorders>
          </w:tcPr>
          <w:p w14:paraId="57253990" w14:textId="77777777" w:rsidR="009649AE" w:rsidRPr="009649AE" w:rsidRDefault="009649AE" w:rsidP="009649AE">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9649AE">
              <w:rPr>
                <w:rFonts w:cs="Arial"/>
              </w:rPr>
              <w:t>Version number and in-force date</w:t>
            </w:r>
          </w:p>
        </w:tc>
      </w:tr>
      <w:tr w:rsidR="009649AE" w:rsidRPr="009649AE" w14:paraId="6F3A1DB5"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single" w:sz="4" w:space="0" w:color="auto"/>
            </w:tcBorders>
          </w:tcPr>
          <w:p w14:paraId="0592AEAA" w14:textId="77777777" w:rsidR="009649AE" w:rsidRPr="009649AE" w:rsidRDefault="009649AE" w:rsidP="009649AE">
            <w:pPr>
              <w:rPr>
                <w:rFonts w:cs="Arial"/>
                <w:b w:val="0"/>
              </w:rPr>
            </w:pPr>
            <w:r w:rsidRPr="009649AE">
              <w:rPr>
                <w:rFonts w:cs="Arial"/>
                <w:b w:val="0"/>
              </w:rPr>
              <w:t>Original Herd Management Calculator</w:t>
            </w:r>
          </w:p>
        </w:tc>
        <w:tc>
          <w:tcPr>
            <w:tcW w:w="2126" w:type="dxa"/>
            <w:tcBorders>
              <w:top w:val="single" w:sz="4" w:space="0" w:color="auto"/>
              <w:left w:val="single" w:sz="4" w:space="0" w:color="auto"/>
              <w:bottom w:val="single" w:sz="4" w:space="0" w:color="auto"/>
              <w:right w:val="single" w:sz="4" w:space="0" w:color="auto"/>
            </w:tcBorders>
          </w:tcPr>
          <w:p w14:paraId="67436F12"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c>
          <w:tcPr>
            <w:tcW w:w="2268" w:type="dxa"/>
            <w:tcBorders>
              <w:top w:val="single" w:sz="4" w:space="0" w:color="auto"/>
              <w:left w:val="single" w:sz="4" w:space="0" w:color="auto"/>
              <w:bottom w:val="single" w:sz="4" w:space="0" w:color="auto"/>
              <w:right w:val="single" w:sz="4" w:space="0" w:color="auto"/>
            </w:tcBorders>
          </w:tcPr>
          <w:p w14:paraId="2108F20A"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r w:rsidRPr="009649AE">
              <w:rPr>
                <w:rFonts w:cs="Arial"/>
              </w:rPr>
              <w:t>1.0</w:t>
            </w:r>
            <w:r w:rsidRPr="009649AE">
              <w:rPr>
                <w:rFonts w:cs="Arial"/>
              </w:rPr>
              <w:br/>
              <w:t>(9 September 2015)</w:t>
            </w:r>
          </w:p>
        </w:tc>
      </w:tr>
      <w:tr w:rsidR="009649AE" w:rsidRPr="009649AE" w14:paraId="338FE54B" w14:textId="77777777" w:rsidTr="009649AE">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right w:val="single" w:sz="4" w:space="0" w:color="auto"/>
            </w:tcBorders>
          </w:tcPr>
          <w:p w14:paraId="23928BD0" w14:textId="77777777" w:rsidR="009649AE" w:rsidRPr="009649AE" w:rsidRDefault="009649AE" w:rsidP="009649AE">
            <w:pPr>
              <w:rPr>
                <w:rFonts w:cs="Arial"/>
                <w:b w:val="0"/>
              </w:rPr>
            </w:pPr>
            <w:r w:rsidRPr="009649AE">
              <w:rPr>
                <w:rFonts w:cs="Arial"/>
                <w:b w:val="0"/>
              </w:rPr>
              <w:t xml:space="preserve">Minor changes made to guidance material and interface. </w:t>
            </w:r>
          </w:p>
        </w:tc>
        <w:tc>
          <w:tcPr>
            <w:tcW w:w="2126" w:type="dxa"/>
            <w:tcBorders>
              <w:top w:val="single" w:sz="4" w:space="0" w:color="auto"/>
              <w:left w:val="single" w:sz="4" w:space="0" w:color="auto"/>
              <w:bottom w:val="single" w:sz="4" w:space="0" w:color="auto"/>
              <w:right w:val="single" w:sz="4" w:space="0" w:color="auto"/>
            </w:tcBorders>
          </w:tcPr>
          <w:p w14:paraId="480A6322"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c>
          <w:tcPr>
            <w:tcW w:w="2268" w:type="dxa"/>
            <w:tcBorders>
              <w:top w:val="single" w:sz="4" w:space="0" w:color="auto"/>
              <w:left w:val="single" w:sz="4" w:space="0" w:color="auto"/>
              <w:bottom w:val="single" w:sz="4" w:space="0" w:color="auto"/>
              <w:right w:val="single" w:sz="4" w:space="0" w:color="auto"/>
            </w:tcBorders>
          </w:tcPr>
          <w:p w14:paraId="5189EE82"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r w:rsidRPr="009649AE">
              <w:rPr>
                <w:rFonts w:cs="Arial"/>
              </w:rPr>
              <w:t>1.1</w:t>
            </w:r>
            <w:r w:rsidRPr="009649AE">
              <w:rPr>
                <w:rFonts w:cs="Arial"/>
              </w:rPr>
              <w:br/>
              <w:t>(13 November 2015)</w:t>
            </w:r>
          </w:p>
        </w:tc>
      </w:tr>
      <w:tr w:rsidR="009649AE" w:rsidRPr="009649AE" w14:paraId="25F361BA"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none" w:sz="0" w:space="0" w:color="auto"/>
              <w:right w:val="single" w:sz="4" w:space="0" w:color="auto"/>
            </w:tcBorders>
          </w:tcPr>
          <w:p w14:paraId="325C2F96" w14:textId="7D97ADDB" w:rsidR="009649AE" w:rsidRPr="009649AE" w:rsidRDefault="009649AE" w:rsidP="009649AE">
            <w:pPr>
              <w:rPr>
                <w:rFonts w:cs="Arial"/>
                <w:b w:val="0"/>
              </w:rPr>
            </w:pPr>
            <w:r w:rsidRPr="009649AE">
              <w:rPr>
                <w:rFonts w:cs="Arial"/>
                <w:b w:val="0"/>
              </w:rPr>
              <w:t>Updated version of the Herd Management Calculator to account for the 2017 v</w:t>
            </w:r>
            <w:r w:rsidR="00CC0FBA">
              <w:rPr>
                <w:rFonts w:cs="Arial"/>
                <w:b w:val="0"/>
              </w:rPr>
              <w:t>ariation instruments including:</w:t>
            </w:r>
          </w:p>
        </w:tc>
        <w:tc>
          <w:tcPr>
            <w:tcW w:w="2126" w:type="dxa"/>
            <w:tcBorders>
              <w:top w:val="single" w:sz="4" w:space="0" w:color="auto"/>
              <w:left w:val="single" w:sz="4" w:space="0" w:color="auto"/>
              <w:bottom w:val="none" w:sz="0" w:space="0" w:color="auto"/>
              <w:right w:val="single" w:sz="4" w:space="0" w:color="auto"/>
            </w:tcBorders>
          </w:tcPr>
          <w:p w14:paraId="159A4FF5" w14:textId="55EEAAEA"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r w:rsidRPr="009649AE">
              <w:rPr>
                <w:rFonts w:cs="Arial"/>
              </w:rPr>
              <w:t xml:space="preserve">SOW Herd Management calculator changes </w:t>
            </w:r>
          </w:p>
        </w:tc>
        <w:tc>
          <w:tcPr>
            <w:tcW w:w="2268" w:type="dxa"/>
            <w:tcBorders>
              <w:top w:val="single" w:sz="4" w:space="0" w:color="auto"/>
              <w:left w:val="single" w:sz="4" w:space="0" w:color="auto"/>
              <w:bottom w:val="none" w:sz="0" w:space="0" w:color="auto"/>
              <w:right w:val="single" w:sz="4" w:space="0" w:color="auto"/>
            </w:tcBorders>
          </w:tcPr>
          <w:p w14:paraId="5BFA21E6"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r w:rsidRPr="009649AE">
              <w:rPr>
                <w:rFonts w:cs="Arial"/>
              </w:rPr>
              <w:t xml:space="preserve">2.0 </w:t>
            </w:r>
            <w:r w:rsidRPr="009649AE">
              <w:rPr>
                <w:rFonts w:cs="Arial"/>
              </w:rPr>
              <w:br/>
              <w:t>(25 May 2017)</w:t>
            </w:r>
          </w:p>
        </w:tc>
      </w:tr>
      <w:tr w:rsidR="009649AE" w:rsidRPr="009649AE" w14:paraId="25BAFF5C" w14:textId="77777777" w:rsidTr="009649AE">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auto"/>
              <w:right w:val="single" w:sz="4" w:space="0" w:color="auto"/>
            </w:tcBorders>
          </w:tcPr>
          <w:p w14:paraId="04F8E900" w14:textId="77777777" w:rsidR="009649AE" w:rsidRPr="009649AE" w:rsidRDefault="009649AE" w:rsidP="009649AE">
            <w:pPr>
              <w:rPr>
                <w:rFonts w:cs="Arial"/>
                <w:b w:val="0"/>
              </w:rPr>
            </w:pPr>
            <w:r w:rsidRPr="009649AE">
              <w:rPr>
                <w:rFonts w:cs="Arial"/>
                <w:b w:val="0"/>
              </w:rPr>
              <w:t>Provision to select either a Full Data herd or a Limited Data herd on the data entry page.</w:t>
            </w:r>
          </w:p>
        </w:tc>
        <w:tc>
          <w:tcPr>
            <w:tcW w:w="2126" w:type="dxa"/>
            <w:tcBorders>
              <w:left w:val="single" w:sz="4" w:space="0" w:color="auto"/>
              <w:right w:val="single" w:sz="4" w:space="0" w:color="auto"/>
            </w:tcBorders>
          </w:tcPr>
          <w:p w14:paraId="5C0F62F7"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c>
          <w:tcPr>
            <w:tcW w:w="2268" w:type="dxa"/>
            <w:tcBorders>
              <w:left w:val="single" w:sz="4" w:space="0" w:color="auto"/>
              <w:right w:val="single" w:sz="4" w:space="0" w:color="auto"/>
            </w:tcBorders>
          </w:tcPr>
          <w:p w14:paraId="55547FE3"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r>
      <w:tr w:rsidR="009649AE" w:rsidRPr="009649AE" w14:paraId="1FF0E1C9"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single" w:sz="4" w:space="0" w:color="auto"/>
              <w:bottom w:val="none" w:sz="0" w:space="0" w:color="auto"/>
              <w:right w:val="single" w:sz="4" w:space="0" w:color="auto"/>
            </w:tcBorders>
          </w:tcPr>
          <w:p w14:paraId="11E32260" w14:textId="77777777" w:rsidR="009649AE" w:rsidRPr="009649AE" w:rsidRDefault="009649AE" w:rsidP="009649AE">
            <w:pPr>
              <w:rPr>
                <w:rFonts w:cs="Arial"/>
                <w:b w:val="0"/>
              </w:rPr>
            </w:pPr>
            <w:r w:rsidRPr="009649AE">
              <w:rPr>
                <w:rFonts w:cs="Arial"/>
                <w:b w:val="0"/>
              </w:rPr>
              <w:t>Provision for the estimation of a default intensity of liveweight gain (LWG) on the Results page by comparing the estimated intensity based on limited data with the reference intensity based on the weighted average of reference full data herds in the project.</w:t>
            </w:r>
          </w:p>
        </w:tc>
        <w:tc>
          <w:tcPr>
            <w:tcW w:w="2126" w:type="dxa"/>
            <w:tcBorders>
              <w:top w:val="none" w:sz="0" w:space="0" w:color="auto"/>
              <w:left w:val="single" w:sz="4" w:space="0" w:color="auto"/>
              <w:bottom w:val="none" w:sz="0" w:space="0" w:color="auto"/>
              <w:right w:val="single" w:sz="4" w:space="0" w:color="auto"/>
            </w:tcBorders>
          </w:tcPr>
          <w:p w14:paraId="51AA67F5"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c>
          <w:tcPr>
            <w:tcW w:w="2268" w:type="dxa"/>
            <w:tcBorders>
              <w:top w:val="none" w:sz="0" w:space="0" w:color="auto"/>
              <w:left w:val="single" w:sz="4" w:space="0" w:color="auto"/>
              <w:bottom w:val="none" w:sz="0" w:space="0" w:color="auto"/>
              <w:right w:val="single" w:sz="4" w:space="0" w:color="auto"/>
            </w:tcBorders>
          </w:tcPr>
          <w:p w14:paraId="11630CDB"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r>
      <w:tr w:rsidR="009649AE" w:rsidRPr="009649AE" w14:paraId="5E71EF9B" w14:textId="77777777" w:rsidTr="009649AE">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auto"/>
              <w:right w:val="single" w:sz="4" w:space="0" w:color="auto"/>
            </w:tcBorders>
          </w:tcPr>
          <w:p w14:paraId="7712A6A5" w14:textId="77777777" w:rsidR="009649AE" w:rsidRPr="009649AE" w:rsidRDefault="009649AE" w:rsidP="009649AE">
            <w:pPr>
              <w:rPr>
                <w:rFonts w:cs="Arial"/>
                <w:b w:val="0"/>
              </w:rPr>
            </w:pPr>
            <w:r w:rsidRPr="009649AE">
              <w:rPr>
                <w:rFonts w:cs="Arial"/>
                <w:b w:val="0"/>
              </w:rPr>
              <w:t xml:space="preserve">Providing for the entry of data on reference </w:t>
            </w:r>
            <w:proofErr w:type="gramStart"/>
            <w:r w:rsidRPr="009649AE">
              <w:rPr>
                <w:rFonts w:cs="Arial"/>
                <w:b w:val="0"/>
              </w:rPr>
              <w:t>intensity(</w:t>
            </w:r>
            <w:proofErr w:type="spellStart"/>
            <w:proofErr w:type="gramEnd"/>
            <w:r w:rsidRPr="009649AE">
              <w:rPr>
                <w:rFonts w:cs="Arial"/>
                <w:b w:val="0"/>
              </w:rPr>
              <w:t>ies</w:t>
            </w:r>
            <w:proofErr w:type="spellEnd"/>
            <w:r w:rsidRPr="009649AE">
              <w:rPr>
                <w:rFonts w:cs="Arial"/>
                <w:b w:val="0"/>
              </w:rPr>
              <w:t>) from Full Data herds existing in the project.</w:t>
            </w:r>
          </w:p>
        </w:tc>
        <w:tc>
          <w:tcPr>
            <w:tcW w:w="2126" w:type="dxa"/>
            <w:tcBorders>
              <w:left w:val="single" w:sz="4" w:space="0" w:color="auto"/>
              <w:right w:val="single" w:sz="4" w:space="0" w:color="auto"/>
            </w:tcBorders>
          </w:tcPr>
          <w:p w14:paraId="219004D9"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c>
          <w:tcPr>
            <w:tcW w:w="2268" w:type="dxa"/>
            <w:tcBorders>
              <w:left w:val="single" w:sz="4" w:space="0" w:color="auto"/>
              <w:right w:val="single" w:sz="4" w:space="0" w:color="auto"/>
            </w:tcBorders>
          </w:tcPr>
          <w:p w14:paraId="2D16CAE1"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r>
      <w:tr w:rsidR="009649AE" w:rsidRPr="009649AE" w14:paraId="51901FF8"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single" w:sz="4" w:space="0" w:color="auto"/>
              <w:bottom w:val="none" w:sz="0" w:space="0" w:color="auto"/>
              <w:right w:val="single" w:sz="4" w:space="0" w:color="auto"/>
            </w:tcBorders>
          </w:tcPr>
          <w:p w14:paraId="5401ED4A" w14:textId="77777777" w:rsidR="009649AE" w:rsidRPr="009649AE" w:rsidRDefault="009649AE" w:rsidP="009649AE">
            <w:pPr>
              <w:rPr>
                <w:rFonts w:cs="Arial"/>
                <w:b w:val="0"/>
              </w:rPr>
            </w:pPr>
            <w:r w:rsidRPr="009649AE">
              <w:rPr>
                <w:rFonts w:cs="Arial"/>
                <w:b w:val="0"/>
              </w:rPr>
              <w:t>Provision to use the lower of the two intensities in the estimation of the baseline of emissions.</w:t>
            </w:r>
          </w:p>
        </w:tc>
        <w:tc>
          <w:tcPr>
            <w:tcW w:w="2126" w:type="dxa"/>
            <w:tcBorders>
              <w:top w:val="none" w:sz="0" w:space="0" w:color="auto"/>
              <w:left w:val="single" w:sz="4" w:space="0" w:color="auto"/>
              <w:bottom w:val="none" w:sz="0" w:space="0" w:color="auto"/>
              <w:right w:val="single" w:sz="4" w:space="0" w:color="auto"/>
            </w:tcBorders>
          </w:tcPr>
          <w:p w14:paraId="68F923DF"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c>
          <w:tcPr>
            <w:tcW w:w="2268" w:type="dxa"/>
            <w:tcBorders>
              <w:top w:val="none" w:sz="0" w:space="0" w:color="auto"/>
              <w:left w:val="single" w:sz="4" w:space="0" w:color="auto"/>
              <w:bottom w:val="none" w:sz="0" w:space="0" w:color="auto"/>
              <w:right w:val="single" w:sz="4" w:space="0" w:color="auto"/>
            </w:tcBorders>
          </w:tcPr>
          <w:p w14:paraId="38E202BF"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r>
      <w:tr w:rsidR="009649AE" w:rsidRPr="009649AE" w14:paraId="0872414C" w14:textId="77777777" w:rsidTr="009649AE">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auto"/>
              <w:bottom w:val="single" w:sz="4" w:space="0" w:color="auto"/>
              <w:right w:val="single" w:sz="4" w:space="0" w:color="auto"/>
            </w:tcBorders>
          </w:tcPr>
          <w:p w14:paraId="21274AFB" w14:textId="77777777" w:rsidR="009649AE" w:rsidRPr="009649AE" w:rsidRDefault="009649AE" w:rsidP="009649AE">
            <w:pPr>
              <w:rPr>
                <w:rFonts w:cs="Arial"/>
                <w:b w:val="0"/>
              </w:rPr>
            </w:pPr>
            <w:r w:rsidRPr="009649AE">
              <w:rPr>
                <w:rFonts w:cs="Arial"/>
                <w:b w:val="0"/>
              </w:rPr>
              <w:t>Developed a data entry page to allow for entry of a variable number of sample weights to be used in the estimation of target precision of sample size for LWG according to the formulae provided in Section 30 (Sampling Approach) of the Explanatory statement for the Determination.</w:t>
            </w:r>
          </w:p>
        </w:tc>
        <w:tc>
          <w:tcPr>
            <w:tcW w:w="2126" w:type="dxa"/>
            <w:tcBorders>
              <w:left w:val="single" w:sz="4" w:space="0" w:color="auto"/>
              <w:bottom w:val="single" w:sz="4" w:space="0" w:color="auto"/>
              <w:right w:val="single" w:sz="4" w:space="0" w:color="auto"/>
            </w:tcBorders>
          </w:tcPr>
          <w:p w14:paraId="7B744982"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c>
          <w:tcPr>
            <w:tcW w:w="2268" w:type="dxa"/>
            <w:tcBorders>
              <w:left w:val="single" w:sz="4" w:space="0" w:color="auto"/>
              <w:bottom w:val="single" w:sz="4" w:space="0" w:color="auto"/>
              <w:right w:val="single" w:sz="4" w:space="0" w:color="auto"/>
            </w:tcBorders>
          </w:tcPr>
          <w:p w14:paraId="3735079F"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r>
      <w:tr w:rsidR="009649AE" w:rsidRPr="009649AE" w14:paraId="71ADD316"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none" w:sz="0" w:space="0" w:color="auto"/>
              <w:right w:val="single" w:sz="4" w:space="0" w:color="auto"/>
            </w:tcBorders>
          </w:tcPr>
          <w:p w14:paraId="223FAE9E" w14:textId="77777777" w:rsidR="009649AE" w:rsidRPr="009649AE" w:rsidRDefault="009649AE" w:rsidP="009649AE">
            <w:pPr>
              <w:rPr>
                <w:rFonts w:cs="Arial"/>
                <w:b w:val="0"/>
              </w:rPr>
            </w:pPr>
            <w:r w:rsidRPr="009649AE">
              <w:rPr>
                <w:rFonts w:cs="Arial"/>
                <w:b w:val="0"/>
              </w:rPr>
              <w:t>Fixed a problem with the squaring of the t value in the sampling approach identified during testing of v2.0 by a third-party; and</w:t>
            </w:r>
          </w:p>
          <w:p w14:paraId="001AAB1C" w14:textId="77777777" w:rsidR="009649AE" w:rsidRPr="009649AE" w:rsidRDefault="009649AE" w:rsidP="009649AE">
            <w:pPr>
              <w:rPr>
                <w:rFonts w:cs="Arial"/>
                <w:b w:val="0"/>
              </w:rPr>
            </w:pPr>
            <w:r w:rsidRPr="009649AE">
              <w:rPr>
                <w:rFonts w:cs="Arial"/>
                <w:b w:val="0"/>
              </w:rPr>
              <w:t xml:space="preserve">Liveweight of the deaths excluded from estimation of intensity (a measure for productive animals), identified during testing of v2.0 by a third-party. </w:t>
            </w:r>
          </w:p>
        </w:tc>
        <w:tc>
          <w:tcPr>
            <w:tcW w:w="2126" w:type="dxa"/>
            <w:tcBorders>
              <w:top w:val="single" w:sz="4" w:space="0" w:color="auto"/>
              <w:left w:val="single" w:sz="4" w:space="0" w:color="auto"/>
              <w:bottom w:val="none" w:sz="0" w:space="0" w:color="auto"/>
              <w:right w:val="single" w:sz="4" w:space="0" w:color="auto"/>
            </w:tcBorders>
          </w:tcPr>
          <w:p w14:paraId="1A22FE22"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r w:rsidRPr="009649AE">
              <w:rPr>
                <w:rFonts w:cs="Arial"/>
              </w:rPr>
              <w:t>Beef Cattle Herd Management Technical Assessment</w:t>
            </w:r>
          </w:p>
        </w:tc>
        <w:tc>
          <w:tcPr>
            <w:tcW w:w="2268" w:type="dxa"/>
            <w:tcBorders>
              <w:top w:val="single" w:sz="4" w:space="0" w:color="auto"/>
              <w:left w:val="single" w:sz="4" w:space="0" w:color="auto"/>
              <w:bottom w:val="none" w:sz="0" w:space="0" w:color="auto"/>
              <w:right w:val="single" w:sz="4" w:space="0" w:color="auto"/>
            </w:tcBorders>
          </w:tcPr>
          <w:p w14:paraId="4B7C113B"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r w:rsidRPr="009649AE">
              <w:rPr>
                <w:rFonts w:cs="Arial"/>
              </w:rPr>
              <w:t xml:space="preserve">3.0 </w:t>
            </w:r>
            <w:r w:rsidRPr="009649AE">
              <w:rPr>
                <w:rFonts w:cs="Arial"/>
              </w:rPr>
              <w:br/>
              <w:t>(29 November 2017)</w:t>
            </w:r>
          </w:p>
        </w:tc>
      </w:tr>
      <w:tr w:rsidR="009649AE" w:rsidRPr="009649AE" w14:paraId="3F8F47DB" w14:textId="77777777" w:rsidTr="009649AE">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auto"/>
              <w:right w:val="single" w:sz="4" w:space="0" w:color="auto"/>
            </w:tcBorders>
          </w:tcPr>
          <w:p w14:paraId="3487F06C" w14:textId="77777777" w:rsidR="009649AE" w:rsidRPr="009649AE" w:rsidRDefault="009649AE" w:rsidP="009649AE">
            <w:pPr>
              <w:rPr>
                <w:rFonts w:cs="Arial"/>
                <w:b w:val="0"/>
              </w:rPr>
            </w:pPr>
            <w:r w:rsidRPr="009649AE">
              <w:rPr>
                <w:rFonts w:cs="Arial"/>
                <w:b w:val="0"/>
              </w:rPr>
              <w:t xml:space="preserve">Updated the title page to reflect Departmental name and removed some outstanding comments. Numbered release as v3.0 to increase clarity. </w:t>
            </w:r>
          </w:p>
        </w:tc>
        <w:tc>
          <w:tcPr>
            <w:tcW w:w="2126" w:type="dxa"/>
            <w:tcBorders>
              <w:left w:val="single" w:sz="4" w:space="0" w:color="auto"/>
              <w:right w:val="single" w:sz="4" w:space="0" w:color="auto"/>
            </w:tcBorders>
          </w:tcPr>
          <w:p w14:paraId="5E1F3BC5" w14:textId="77777777" w:rsidR="009649AE" w:rsidRPr="009649AE" w:rsidRDefault="009649AE" w:rsidP="009649AE">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2268" w:type="dxa"/>
            <w:tcBorders>
              <w:left w:val="single" w:sz="4" w:space="0" w:color="auto"/>
              <w:right w:val="single" w:sz="4" w:space="0" w:color="auto"/>
            </w:tcBorders>
          </w:tcPr>
          <w:p w14:paraId="6F44DAEA" w14:textId="77777777" w:rsidR="009649AE" w:rsidRPr="009649AE" w:rsidRDefault="009649AE" w:rsidP="009649AE">
            <w:pPr>
              <w:cnfStyle w:val="000000000000" w:firstRow="0" w:lastRow="0" w:firstColumn="0" w:lastColumn="0" w:oddVBand="0" w:evenVBand="0" w:oddHBand="0" w:evenHBand="0" w:firstRowFirstColumn="0" w:firstRowLastColumn="0" w:lastRowFirstColumn="0" w:lastRowLastColumn="0"/>
              <w:rPr>
                <w:rFonts w:cs="Arial"/>
              </w:rPr>
            </w:pPr>
          </w:p>
        </w:tc>
      </w:tr>
      <w:tr w:rsidR="009649AE" w:rsidRPr="009649AE" w14:paraId="585560DD" w14:textId="77777777" w:rsidTr="0096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single" w:sz="4" w:space="0" w:color="auto"/>
              <w:bottom w:val="single" w:sz="4" w:space="0" w:color="auto"/>
              <w:right w:val="single" w:sz="4" w:space="0" w:color="auto"/>
            </w:tcBorders>
          </w:tcPr>
          <w:p w14:paraId="76C47858" w14:textId="77777777" w:rsidR="009649AE" w:rsidRPr="009649AE" w:rsidRDefault="009649AE" w:rsidP="009649AE">
            <w:pPr>
              <w:rPr>
                <w:rFonts w:cs="Arial"/>
                <w:b w:val="0"/>
              </w:rPr>
            </w:pPr>
            <w:r w:rsidRPr="009649AE">
              <w:rPr>
                <w:rFonts w:cs="Arial"/>
                <w:b w:val="0"/>
              </w:rPr>
              <w:t>These changes have only a minor or incidental effect on the calculation of abatement.</w:t>
            </w:r>
          </w:p>
        </w:tc>
        <w:tc>
          <w:tcPr>
            <w:tcW w:w="2126" w:type="dxa"/>
            <w:tcBorders>
              <w:top w:val="none" w:sz="0" w:space="0" w:color="auto"/>
              <w:left w:val="single" w:sz="4" w:space="0" w:color="auto"/>
              <w:bottom w:val="single" w:sz="4" w:space="0" w:color="auto"/>
              <w:right w:val="single" w:sz="4" w:space="0" w:color="auto"/>
            </w:tcBorders>
          </w:tcPr>
          <w:p w14:paraId="6A49B55D" w14:textId="77777777" w:rsidR="009649AE" w:rsidRPr="009649AE" w:rsidRDefault="009649AE" w:rsidP="009649AE">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2268" w:type="dxa"/>
            <w:tcBorders>
              <w:top w:val="none" w:sz="0" w:space="0" w:color="auto"/>
              <w:left w:val="single" w:sz="4" w:space="0" w:color="auto"/>
              <w:bottom w:val="single" w:sz="4" w:space="0" w:color="auto"/>
              <w:right w:val="single" w:sz="4" w:space="0" w:color="auto"/>
            </w:tcBorders>
          </w:tcPr>
          <w:p w14:paraId="28BF921E" w14:textId="77777777" w:rsidR="009649AE" w:rsidRPr="009649AE" w:rsidRDefault="009649AE" w:rsidP="009649AE">
            <w:pPr>
              <w:cnfStyle w:val="000000100000" w:firstRow="0" w:lastRow="0" w:firstColumn="0" w:lastColumn="0" w:oddVBand="0" w:evenVBand="0" w:oddHBand="1" w:evenHBand="0" w:firstRowFirstColumn="0" w:firstRowLastColumn="0" w:lastRowFirstColumn="0" w:lastRowLastColumn="0"/>
              <w:rPr>
                <w:rFonts w:cs="Arial"/>
              </w:rPr>
            </w:pPr>
          </w:p>
        </w:tc>
      </w:tr>
    </w:tbl>
    <w:p w14:paraId="666469BE" w14:textId="2016D169" w:rsidR="009649AE" w:rsidRPr="009649AE" w:rsidRDefault="009649AE" w:rsidP="009649AE">
      <w:pPr>
        <w:tabs>
          <w:tab w:val="left" w:pos="3280"/>
        </w:tabs>
        <w:spacing w:line="256" w:lineRule="auto"/>
        <w:jc w:val="center"/>
        <w:rPr>
          <w:rFonts w:ascii="Arial" w:hAnsi="Arial" w:cs="Arial"/>
          <w:b/>
          <w:sz w:val="24"/>
        </w:rPr>
      </w:pPr>
      <w:bookmarkStart w:id="0" w:name="_GoBack"/>
      <w:r w:rsidRPr="009649AE">
        <w:rPr>
          <w:rFonts w:ascii="Arial" w:hAnsi="Arial" w:cs="Arial"/>
          <w:b/>
          <w:sz w:val="24"/>
        </w:rPr>
        <w:t>Beef Cattle Herd Management Calculator Release Notes</w:t>
      </w:r>
      <w:bookmarkEnd w:id="0"/>
    </w:p>
    <w:p w14:paraId="3D46499D" w14:textId="77777777" w:rsidR="009649AE" w:rsidRDefault="009649AE" w:rsidP="009649AE">
      <w:pPr>
        <w:tabs>
          <w:tab w:val="left" w:pos="3280"/>
        </w:tabs>
        <w:spacing w:line="256" w:lineRule="auto"/>
        <w:jc w:val="center"/>
        <w:rPr>
          <w:rFonts w:ascii="Arial" w:hAnsi="Arial" w:cs="Arial"/>
          <w:b/>
        </w:rPr>
      </w:pPr>
    </w:p>
    <w:p w14:paraId="3BA17D07" w14:textId="77777777" w:rsidR="009649AE" w:rsidRDefault="009649AE" w:rsidP="009649AE">
      <w:pPr>
        <w:tabs>
          <w:tab w:val="left" w:pos="3280"/>
        </w:tabs>
        <w:spacing w:line="256" w:lineRule="auto"/>
        <w:jc w:val="center"/>
        <w:rPr>
          <w:rFonts w:ascii="Arial" w:hAnsi="Arial" w:cs="Arial"/>
          <w:b/>
        </w:rPr>
      </w:pPr>
    </w:p>
    <w:p w14:paraId="2E8C9076" w14:textId="77777777" w:rsidR="009649AE" w:rsidRDefault="009649AE" w:rsidP="009649AE">
      <w:pPr>
        <w:tabs>
          <w:tab w:val="left" w:pos="3280"/>
        </w:tabs>
        <w:spacing w:line="256" w:lineRule="auto"/>
        <w:jc w:val="center"/>
        <w:rPr>
          <w:rFonts w:ascii="Arial" w:hAnsi="Arial" w:cs="Arial"/>
          <w:b/>
        </w:rPr>
      </w:pPr>
    </w:p>
    <w:p w14:paraId="618EBACF" w14:textId="77777777" w:rsidR="009649AE" w:rsidRPr="009649AE" w:rsidRDefault="009649AE" w:rsidP="009649AE">
      <w:pPr>
        <w:tabs>
          <w:tab w:val="left" w:pos="3280"/>
        </w:tabs>
        <w:spacing w:line="256" w:lineRule="auto"/>
        <w:jc w:val="center"/>
        <w:rPr>
          <w:rFonts w:ascii="Arial" w:hAnsi="Arial" w:cs="Arial"/>
          <w:b/>
        </w:rPr>
      </w:pPr>
    </w:p>
    <w:sectPr w:rsidR="009649AE" w:rsidRPr="009649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566B6" w14:textId="77777777" w:rsidR="009649AE" w:rsidRDefault="009649AE" w:rsidP="009649AE">
      <w:pPr>
        <w:spacing w:after="0" w:line="240" w:lineRule="auto"/>
      </w:pPr>
      <w:r>
        <w:separator/>
      </w:r>
    </w:p>
  </w:endnote>
  <w:endnote w:type="continuationSeparator" w:id="0">
    <w:p w14:paraId="56AC3CBD" w14:textId="77777777" w:rsidR="009649AE" w:rsidRDefault="009649AE" w:rsidP="009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EEEC1" w14:textId="77777777" w:rsidR="00552F1B" w:rsidRDefault="00552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E0D5" w14:textId="77777777" w:rsidR="00552F1B" w:rsidRDefault="00552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4920" w14:textId="77777777" w:rsidR="00552F1B" w:rsidRDefault="00552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A40A" w14:textId="77777777" w:rsidR="009649AE" w:rsidRDefault="009649AE" w:rsidP="009649AE">
      <w:pPr>
        <w:spacing w:after="0" w:line="240" w:lineRule="auto"/>
      </w:pPr>
      <w:r>
        <w:separator/>
      </w:r>
    </w:p>
  </w:footnote>
  <w:footnote w:type="continuationSeparator" w:id="0">
    <w:p w14:paraId="166DE0AA" w14:textId="77777777" w:rsidR="009649AE" w:rsidRDefault="009649AE" w:rsidP="00964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EB96" w14:textId="77777777" w:rsidR="00552F1B" w:rsidRDefault="00552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05F4" w14:textId="67452418" w:rsidR="009649AE" w:rsidRDefault="009649AE">
    <w:pPr>
      <w:pStyle w:val="Header"/>
    </w:pPr>
    <w:r>
      <w:rPr>
        <w:noProof/>
        <w:lang w:val="en-AU" w:eastAsia="en-AU"/>
      </w:rPr>
      <w:drawing>
        <wp:inline distT="0" distB="0" distL="0" distR="0" wp14:anchorId="62868834" wp14:editId="5E242AC6">
          <wp:extent cx="3552825" cy="615038"/>
          <wp:effectExtent l="19050" t="0" r="0" b="0"/>
          <wp:docPr id="1" name="Picture 1" descr="C:\Users\A01204.INTERNAL\AppData\Local\Microsoft\Windows\Temporary Internet Files\Content.Outlook\P4FF5QZV\DotEnE-inline_nosafe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204.INTERNAL\AppData\Local\Microsoft\Windows\Temporary Internet Files\Content.Outlook\P4FF5QZV\DotEnE-inline_nosafespace.jpg"/>
                  <pic:cNvPicPr>
                    <a:picLocks noChangeAspect="1" noChangeArrowheads="1"/>
                  </pic:cNvPicPr>
                </pic:nvPicPr>
                <pic:blipFill>
                  <a:blip r:embed="rId1"/>
                  <a:stretch>
                    <a:fillRect/>
                  </a:stretch>
                </pic:blipFill>
                <pic:spPr bwMode="auto">
                  <a:xfrm>
                    <a:off x="0" y="0"/>
                    <a:ext cx="3563348" cy="61686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6F09" w14:textId="77777777" w:rsidR="00552F1B" w:rsidRDefault="00552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61FDD"/>
    <w:multiLevelType w:val="hybridMultilevel"/>
    <w:tmpl w:val="26D6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C8"/>
    <w:rsid w:val="002146BA"/>
    <w:rsid w:val="003D0E07"/>
    <w:rsid w:val="003E7F6F"/>
    <w:rsid w:val="004A3273"/>
    <w:rsid w:val="00552F1B"/>
    <w:rsid w:val="005844D1"/>
    <w:rsid w:val="0070729E"/>
    <w:rsid w:val="007366C8"/>
    <w:rsid w:val="007D0E82"/>
    <w:rsid w:val="009649AE"/>
    <w:rsid w:val="009E0946"/>
    <w:rsid w:val="00B9722E"/>
    <w:rsid w:val="00C872E3"/>
    <w:rsid w:val="00CC0FBA"/>
    <w:rsid w:val="00D0121E"/>
    <w:rsid w:val="00D35D1E"/>
    <w:rsid w:val="00D954DA"/>
    <w:rsid w:val="00DE6186"/>
    <w:rsid w:val="00E33C1D"/>
    <w:rsid w:val="00E45EE9"/>
    <w:rsid w:val="00F60875"/>
    <w:rsid w:val="00F9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83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875"/>
    <w:pPr>
      <w:ind w:left="720"/>
      <w:contextualSpacing/>
    </w:pPr>
  </w:style>
  <w:style w:type="paragraph" w:styleId="Header">
    <w:name w:val="header"/>
    <w:basedOn w:val="Normal"/>
    <w:link w:val="HeaderChar"/>
    <w:uiPriority w:val="99"/>
    <w:unhideWhenUsed/>
    <w:rsid w:val="0096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AE"/>
  </w:style>
  <w:style w:type="paragraph" w:styleId="Footer">
    <w:name w:val="footer"/>
    <w:basedOn w:val="Normal"/>
    <w:link w:val="FooterChar"/>
    <w:uiPriority w:val="99"/>
    <w:unhideWhenUsed/>
    <w:rsid w:val="0096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AE"/>
  </w:style>
  <w:style w:type="table" w:styleId="GridTable1Light-Accent1">
    <w:name w:val="Grid Table 1 Light Accent 1"/>
    <w:basedOn w:val="TableNormal"/>
    <w:uiPriority w:val="46"/>
    <w:rsid w:val="009649A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9649AE"/>
    <w:rPr>
      <w:b/>
      <w:bCs/>
    </w:rPr>
  </w:style>
  <w:style w:type="table" w:styleId="PlainTable2">
    <w:name w:val="Plain Table 2"/>
    <w:basedOn w:val="TableNormal"/>
    <w:uiPriority w:val="42"/>
    <w:rsid w:val="009649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Beef Cattle Herd Management Calculator Release Notes</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Cattle Herd Management Calculator Release Notes</dc:title>
  <dc:subject/>
  <dc:creator/>
  <cp:keywords/>
  <dc:description/>
  <cp:lastModifiedBy/>
  <cp:revision>1</cp:revision>
  <dcterms:created xsi:type="dcterms:W3CDTF">2017-11-24T03:39:00Z</dcterms:created>
  <dcterms:modified xsi:type="dcterms:W3CDTF">2017-11-24T03:39:00Z</dcterms:modified>
</cp:coreProperties>
</file>