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A" w:rsidRPr="00062B9E" w:rsidRDefault="00EA1B4A" w:rsidP="007240FE">
      <w:pPr>
        <w:pStyle w:val="Heading1"/>
        <w:rPr>
          <w:color w:val="005677"/>
          <w:spacing w:val="-10"/>
          <w:kern w:val="28"/>
          <w:sz w:val="56"/>
          <w:szCs w:val="56"/>
        </w:rPr>
      </w:pPr>
      <w:r w:rsidRPr="00062B9E">
        <w:rPr>
          <w:color w:val="005677"/>
          <w:spacing w:val="-10"/>
          <w:kern w:val="28"/>
          <w:sz w:val="56"/>
          <w:szCs w:val="56"/>
        </w:rPr>
        <w:t>2019 Review of the Australian Domestic Gas Security Mechanism (ADGSM)</w:t>
      </w:r>
    </w:p>
    <w:p w:rsidR="007240FE" w:rsidRPr="00BF2B33" w:rsidRDefault="00EA1B4A" w:rsidP="00EA1B4A">
      <w:pPr>
        <w:pStyle w:val="Heading2"/>
        <w:rPr>
          <w:color w:val="auto"/>
        </w:rPr>
      </w:pPr>
      <w:r>
        <w:t>Terms of Reference</w:t>
      </w:r>
    </w:p>
    <w:p w:rsidR="00B0098D" w:rsidRDefault="00B0098D" w:rsidP="00B0098D">
      <w:pPr>
        <w:numPr>
          <w:ilvl w:val="0"/>
          <w:numId w:val="18"/>
        </w:numPr>
        <w:spacing w:after="480"/>
      </w:pPr>
      <w:r>
        <w:t>The effectiveness and efficiency of the ADGSM in ensuring a sufficient supply of natural gas for Australian consumers with minimum disruption to Australia’s liquefi</w:t>
      </w:r>
      <w:r>
        <w:t>ed natural gas export industry;</w:t>
      </w:r>
    </w:p>
    <w:p w:rsidR="00B0098D" w:rsidRDefault="00B0098D" w:rsidP="00B0098D">
      <w:pPr>
        <w:numPr>
          <w:ilvl w:val="0"/>
          <w:numId w:val="18"/>
        </w:numPr>
        <w:spacing w:after="480"/>
      </w:pPr>
      <w:r>
        <w:t>The impact of  the ADGSM on the competiveness of Australia’s liquefied natural gas export industry, Australia’s investment reputation and Australia’s international reputati</w:t>
      </w:r>
      <w:r>
        <w:t>on for quality and reliability;</w:t>
      </w:r>
    </w:p>
    <w:p w:rsidR="00B0098D" w:rsidRDefault="00B0098D" w:rsidP="00B0098D">
      <w:pPr>
        <w:numPr>
          <w:ilvl w:val="0"/>
          <w:numId w:val="18"/>
        </w:numPr>
        <w:spacing w:after="480"/>
      </w:pPr>
      <w:r>
        <w:t xml:space="preserve">The impact of the ADGSM on the Australian domestic gas market, including the development of new and additional gas </w:t>
      </w:r>
      <w:r>
        <w:t>resources and market functions;</w:t>
      </w:r>
    </w:p>
    <w:p w:rsidR="00B0098D" w:rsidRDefault="00B0098D" w:rsidP="00B0098D">
      <w:pPr>
        <w:numPr>
          <w:ilvl w:val="0"/>
          <w:numId w:val="18"/>
        </w:numPr>
        <w:spacing w:after="480"/>
      </w:pPr>
      <w:r>
        <w:t>Whether improvements can be made to the operation of the ADGSM and whether there are appropriate alternative mechanisms to achieve the objectives of the ADGSM;</w:t>
      </w:r>
    </w:p>
    <w:p w:rsidR="00B0098D" w:rsidRDefault="00B0098D" w:rsidP="00B0098D">
      <w:pPr>
        <w:numPr>
          <w:ilvl w:val="0"/>
          <w:numId w:val="18"/>
        </w:numPr>
        <w:spacing w:after="480"/>
      </w:pPr>
      <w:r>
        <w:t>Whether the ADGSM should be amended or repealed before 1 January 2023 and the timing of an</w:t>
      </w:r>
      <w:r>
        <w:t>y such amendment or repeal; and</w:t>
      </w:r>
    </w:p>
    <w:p w:rsidR="00EA1B4A" w:rsidRDefault="00B0098D" w:rsidP="00B0098D">
      <w:pPr>
        <w:numPr>
          <w:ilvl w:val="0"/>
          <w:numId w:val="18"/>
        </w:numPr>
        <w:spacing w:after="480"/>
      </w:pPr>
      <w:r>
        <w:t>The review will examine other relevant considerations, including investigating the ongoing appropriateness of the ADGSM’s Total Market Security Obligation arrangements and t</w:t>
      </w:r>
      <w:r>
        <w:t>he ACCC’s Netback Price series.</w:t>
      </w:r>
      <w:bookmarkStart w:id="0" w:name="_GoBack"/>
      <w:bookmarkEnd w:id="0"/>
    </w:p>
    <w:sectPr w:rsidR="00EA1B4A" w:rsidSect="007240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69" w:rsidRDefault="00650269" w:rsidP="007240FE">
      <w:pPr>
        <w:spacing w:before="0" w:after="0" w:line="240" w:lineRule="auto"/>
      </w:pPr>
      <w:r>
        <w:separator/>
      </w:r>
    </w:p>
  </w:endnote>
  <w:endnote w:type="continuationSeparator" w:id="0">
    <w:p w:rsidR="00650269" w:rsidRDefault="00650269" w:rsidP="00724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00" w:rsidRDefault="00DE3D00">
    <w:pPr>
      <w:pStyle w:val="Footer"/>
      <w:jc w:val="right"/>
    </w:pPr>
    <w:r>
      <w:t>Document title goes here</w:t>
    </w:r>
    <w:r>
      <w:tab/>
      <w:t>industry.gov.au</w:t>
    </w:r>
    <w:r>
      <w:tab/>
    </w:r>
    <w:sdt>
      <w:sdtPr>
        <w:id w:val="9029605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98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C2356" w:rsidRDefault="005C2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4A" w:rsidRDefault="00CC55A9" w:rsidP="00CC55A9">
    <w:pPr>
      <w:pStyle w:val="Footer"/>
    </w:pPr>
    <w:r>
      <w:t xml:space="preserve">Read more: </w:t>
    </w:r>
    <w:hyperlink r:id="rId1" w:history="1">
      <w:r w:rsidRPr="005B75F2">
        <w:rPr>
          <w:rStyle w:val="Hyperlink"/>
        </w:rPr>
        <w:t>https://consult.industry.gov.au/resources/australian-domestic-gas-security-mechanism-review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69" w:rsidRDefault="00650269" w:rsidP="007240FE">
      <w:pPr>
        <w:spacing w:before="0" w:after="0" w:line="240" w:lineRule="auto"/>
      </w:pPr>
      <w:r>
        <w:separator/>
      </w:r>
    </w:p>
  </w:footnote>
  <w:footnote w:type="continuationSeparator" w:id="0">
    <w:p w:rsidR="00650269" w:rsidRDefault="00650269" w:rsidP="00724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FE" w:rsidRDefault="007240FE">
    <w:pPr>
      <w:pStyle w:val="Header"/>
    </w:pPr>
  </w:p>
  <w:p w:rsidR="007240FE" w:rsidRDefault="00724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FE" w:rsidRDefault="007240FE" w:rsidP="007240FE">
    <w:pPr>
      <w:pStyle w:val="Header"/>
      <w:spacing w:after="240"/>
    </w:pPr>
    <w:r w:rsidRPr="00180BF8">
      <w:rPr>
        <w:noProof/>
        <w:lang w:eastAsia="en-AU"/>
      </w:rPr>
      <w:drawing>
        <wp:inline distT="0" distB="0" distL="0" distR="0">
          <wp:extent cx="2448560" cy="727710"/>
          <wp:effectExtent l="0" t="0" r="8890" b="0"/>
          <wp:docPr id="2" name="Picture 2" descr="Australian Government | Department of Industry, Innovation and Science logo&#10;" title="Australian Government | Department of Industry, Innovation and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560" cy="727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F8E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E82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644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A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A9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05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803066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  <w:color w:val="005677" w:themeColor="accent1"/>
      </w:rPr>
    </w:lvl>
  </w:abstractNum>
  <w:abstractNum w:abstractNumId="8" w15:restartNumberingAfterBreak="0">
    <w:nsid w:val="FFFFFF88"/>
    <w:multiLevelType w:val="singleLevel"/>
    <w:tmpl w:val="85082DC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F2D2F0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0C2224EB"/>
    <w:multiLevelType w:val="hybridMultilevel"/>
    <w:tmpl w:val="C458DDBA"/>
    <w:lvl w:ilvl="0" w:tplc="262E0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2756"/>
    <w:multiLevelType w:val="hybridMultilevel"/>
    <w:tmpl w:val="85F0EABE"/>
    <w:lvl w:ilvl="0" w:tplc="03B0D28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DAB"/>
    <w:multiLevelType w:val="hybridMultilevel"/>
    <w:tmpl w:val="630C32AA"/>
    <w:lvl w:ilvl="0" w:tplc="68E6D7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5677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005677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5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33A7A"/>
    <w:multiLevelType w:val="hybridMultilevel"/>
    <w:tmpl w:val="278EEE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5677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005677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31271"/>
    <w:multiLevelType w:val="hybridMultilevel"/>
    <w:tmpl w:val="4258B2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C49BA"/>
    <w:multiLevelType w:val="hybridMultilevel"/>
    <w:tmpl w:val="55CE27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9"/>
    <w:rsid w:val="00040232"/>
    <w:rsid w:val="00062B9E"/>
    <w:rsid w:val="00157609"/>
    <w:rsid w:val="001768A9"/>
    <w:rsid w:val="001A09CA"/>
    <w:rsid w:val="00214F5E"/>
    <w:rsid w:val="003F6AD9"/>
    <w:rsid w:val="004C3712"/>
    <w:rsid w:val="004C6042"/>
    <w:rsid w:val="004E13B2"/>
    <w:rsid w:val="00527E00"/>
    <w:rsid w:val="005C2356"/>
    <w:rsid w:val="006302E4"/>
    <w:rsid w:val="00650269"/>
    <w:rsid w:val="00654790"/>
    <w:rsid w:val="007240FE"/>
    <w:rsid w:val="007610DD"/>
    <w:rsid w:val="00AA6A43"/>
    <w:rsid w:val="00AE4CAE"/>
    <w:rsid w:val="00B0098D"/>
    <w:rsid w:val="00B07610"/>
    <w:rsid w:val="00B32E71"/>
    <w:rsid w:val="00B46DBD"/>
    <w:rsid w:val="00BF2B33"/>
    <w:rsid w:val="00CC55A9"/>
    <w:rsid w:val="00DE3D00"/>
    <w:rsid w:val="00EA1B4A"/>
    <w:rsid w:val="00EA46CA"/>
    <w:rsid w:val="00F7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44EB9-5396-473A-AD34-7A3CE8E9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0"/>
    <w:pPr>
      <w:spacing w:before="240" w:after="24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356"/>
    <w:pPr>
      <w:keepNext/>
      <w:keepLines/>
      <w:spacing w:after="0"/>
      <w:outlineLvl w:val="0"/>
    </w:pPr>
    <w:rPr>
      <w:rFonts w:eastAsiaTheme="majorEastAsia" w:cstheme="majorBidi"/>
      <w:color w:val="00283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8A9"/>
    <w:pPr>
      <w:keepNext/>
      <w:keepLines/>
      <w:spacing w:before="40" w:after="0"/>
      <w:outlineLvl w:val="1"/>
    </w:pPr>
    <w:rPr>
      <w:rFonts w:eastAsiaTheme="majorEastAsia" w:cstheme="majorBidi"/>
      <w:color w:val="00283E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8A9"/>
    <w:pPr>
      <w:keepNext/>
      <w:keepLines/>
      <w:spacing w:before="40" w:after="0"/>
      <w:outlineLvl w:val="2"/>
    </w:pPr>
    <w:rPr>
      <w:rFonts w:eastAsiaTheme="majorEastAsia" w:cstheme="majorBidi"/>
      <w:color w:val="00283E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68A9"/>
    <w:pPr>
      <w:keepNext/>
      <w:keepLines/>
      <w:spacing w:before="40" w:after="0"/>
      <w:outlineLvl w:val="3"/>
    </w:pPr>
    <w:rPr>
      <w:rFonts w:eastAsiaTheme="majorEastAsia" w:cstheme="majorBidi"/>
      <w:iCs/>
      <w:color w:val="00283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68A9"/>
    <w:pPr>
      <w:keepNext/>
      <w:keepLines/>
      <w:spacing w:before="40" w:after="0"/>
      <w:outlineLvl w:val="4"/>
    </w:pPr>
    <w:rPr>
      <w:rFonts w:eastAsiaTheme="majorEastAsia" w:cstheme="majorBidi"/>
      <w:b/>
      <w:color w:val="00283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0FE"/>
  </w:style>
  <w:style w:type="paragraph" w:styleId="Footer">
    <w:name w:val="footer"/>
    <w:basedOn w:val="Normal"/>
    <w:link w:val="FooterChar"/>
    <w:uiPriority w:val="99"/>
    <w:unhideWhenUsed/>
    <w:rsid w:val="005C2356"/>
    <w:pPr>
      <w:tabs>
        <w:tab w:val="center" w:pos="4513"/>
        <w:tab w:val="right" w:pos="9026"/>
      </w:tabs>
      <w:spacing w:after="0" w:line="240" w:lineRule="auto"/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2356"/>
    <w:rPr>
      <w:rFonts w:ascii="Arial" w:hAnsi="Arial"/>
      <w:color w:val="58595B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A9"/>
    <w:pPr>
      <w:spacing w:after="0" w:line="240" w:lineRule="auto"/>
      <w:contextualSpacing/>
    </w:pPr>
    <w:rPr>
      <w:rFonts w:eastAsiaTheme="majorEastAsia" w:cstheme="majorBidi"/>
      <w:color w:val="005677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A9"/>
    <w:rPr>
      <w:rFonts w:ascii="Arial" w:eastAsiaTheme="majorEastAsia" w:hAnsi="Arial" w:cstheme="majorBidi"/>
      <w:color w:val="005677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2356"/>
    <w:rPr>
      <w:rFonts w:ascii="Arial" w:eastAsiaTheme="majorEastAsia" w:hAnsi="Arial" w:cstheme="majorBidi"/>
      <w:color w:val="00283E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8A9"/>
    <w:rPr>
      <w:rFonts w:ascii="Arial" w:eastAsiaTheme="majorEastAsia" w:hAnsi="Arial" w:cstheme="majorBidi"/>
      <w:color w:val="00283E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8A9"/>
    <w:rPr>
      <w:rFonts w:ascii="Arial" w:eastAsiaTheme="majorEastAsia" w:hAnsi="Arial" w:cstheme="majorBidi"/>
      <w:color w:val="00283E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68A9"/>
    <w:rPr>
      <w:rFonts w:ascii="Arial" w:eastAsiaTheme="majorEastAsia" w:hAnsi="Arial" w:cstheme="majorBidi"/>
      <w:iCs/>
      <w:color w:val="00283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68A9"/>
    <w:rPr>
      <w:rFonts w:ascii="Arial" w:eastAsiaTheme="majorEastAsia" w:hAnsi="Arial" w:cstheme="majorBidi"/>
      <w:b/>
      <w:color w:val="00283E"/>
    </w:rPr>
  </w:style>
  <w:style w:type="paragraph" w:styleId="ListParagraph">
    <w:name w:val="List Paragraph"/>
    <w:basedOn w:val="Normal"/>
    <w:uiPriority w:val="34"/>
    <w:qFormat/>
    <w:rsid w:val="00527E00"/>
    <w:pPr>
      <w:numPr>
        <w:numId w:val="1"/>
      </w:numPr>
      <w:ind w:left="284" w:hanging="284"/>
      <w:contextualSpacing/>
    </w:pPr>
  </w:style>
  <w:style w:type="paragraph" w:styleId="ListBullet">
    <w:name w:val="List Bullet"/>
    <w:basedOn w:val="ListParagraph"/>
    <w:uiPriority w:val="99"/>
    <w:unhideWhenUsed/>
    <w:rsid w:val="00DE3D00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040232"/>
    <w:pPr>
      <w:numPr>
        <w:numId w:val="4"/>
      </w:numPr>
      <w:spacing w:before="120"/>
      <w:ind w:left="641" w:hanging="357"/>
      <w:contextualSpacing/>
    </w:pPr>
  </w:style>
  <w:style w:type="paragraph" w:styleId="ListNumber">
    <w:name w:val="List Number"/>
    <w:basedOn w:val="ListParagraph"/>
    <w:uiPriority w:val="99"/>
    <w:unhideWhenUsed/>
    <w:rsid w:val="00DE3D00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E4CAE"/>
    <w:pPr>
      <w:pBdr>
        <w:top w:val="single" w:sz="4" w:space="1" w:color="58595B" w:themeColor="text2"/>
        <w:bottom w:val="single" w:sz="4" w:space="1" w:color="58595B" w:themeColor="text2"/>
      </w:pBdr>
      <w:spacing w:before="360" w:after="360" w:line="36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CAE"/>
    <w:rPr>
      <w:rFonts w:ascii="Arial" w:hAnsi="Arial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2356"/>
    <w:rPr>
      <w:color w:val="0070AE" w:themeColor="accent2" w:themeTint="BF"/>
      <w:u w:val="single"/>
    </w:rPr>
  </w:style>
  <w:style w:type="table" w:styleId="TableGrid">
    <w:name w:val="Table Grid"/>
    <w:basedOn w:val="TableNormal"/>
    <w:uiPriority w:val="39"/>
    <w:rsid w:val="005C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54790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6547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E0" w:themeFill="accent5"/>
      </w:tcPr>
    </w:tblStylePr>
    <w:tblStylePr w:type="band1Vert">
      <w:tblPr/>
      <w:tcPr>
        <w:shd w:val="clear" w:color="auto" w:fill="D7EFF2" w:themeFill="accent5" w:themeFillTint="66"/>
      </w:tcPr>
    </w:tblStylePr>
    <w:tblStylePr w:type="band1Horz">
      <w:tblPr/>
      <w:tcPr>
        <w:shd w:val="clear" w:color="auto" w:fill="D7EFF2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B07610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E9FF" w:themeFill="accent1" w:themeFillTint="33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677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677" w:themeFill="accent1"/>
      </w:tcPr>
    </w:tblStylePr>
    <w:tblStylePr w:type="firstCol">
      <w:pPr>
        <w:jc w:val="left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677" w:themeFill="accent1"/>
        <w:vAlign w:val="center"/>
      </w:tcPr>
    </w:tblStylePr>
    <w:tblStylePr w:type="lastCol">
      <w:pPr>
        <w:wordWrap/>
        <w:jc w:val="center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677" w:themeFill="accent1"/>
        <w:vAlign w:val="center"/>
      </w:tcPr>
    </w:tblStylePr>
    <w:tblStylePr w:type="band1Vert">
      <w:tblPr/>
      <w:tcPr>
        <w:shd w:val="clear" w:color="auto" w:fill="62D3FF" w:themeFill="accent1" w:themeFillTint="66"/>
      </w:tcPr>
    </w:tblStylePr>
    <w:tblStylePr w:type="band1Horz">
      <w:pPr>
        <w:jc w:val="center"/>
      </w:pPr>
      <w:tblPr/>
      <w:tcPr>
        <w:shd w:val="clear" w:color="auto" w:fill="62D3FF" w:themeFill="accent1" w:themeFillTint="66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4CAE"/>
    <w:pPr>
      <w:keepNext/>
      <w:spacing w:before="0" w:after="200" w:line="240" w:lineRule="auto"/>
    </w:pPr>
    <w:rPr>
      <w:i/>
      <w:iCs/>
      <w:color w:val="2C2C2D" w:themeColor="text2" w:themeShade="80"/>
      <w:szCs w:val="18"/>
    </w:rPr>
  </w:style>
  <w:style w:type="character" w:styleId="Emphasis">
    <w:name w:val="Emphasis"/>
    <w:basedOn w:val="DefaultParagraphFont"/>
    <w:uiPriority w:val="20"/>
    <w:qFormat/>
    <w:rsid w:val="00DE3D00"/>
    <w:rPr>
      <w:i/>
      <w:iCs/>
    </w:rPr>
  </w:style>
  <w:style w:type="character" w:styleId="Strong">
    <w:name w:val="Strong"/>
    <w:basedOn w:val="DefaultParagraphFont"/>
    <w:uiPriority w:val="22"/>
    <w:qFormat/>
    <w:rsid w:val="00DE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nsult.industry.gov.au/resources/australian-domestic-gas-security-mechanism-re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Document.dotx" TargetMode="External"/></Relationships>
</file>

<file path=word/theme/theme1.xml><?xml version="1.0" encoding="utf-8"?>
<a:theme xmlns:a="http://schemas.openxmlformats.org/drawingml/2006/main" name="Office Theme">
  <a:themeElements>
    <a:clrScheme name="Department">
      <a:dk1>
        <a:sysClr val="windowText" lastClr="000000"/>
      </a:dk1>
      <a:lt1>
        <a:sysClr val="window" lastClr="FFFFFF"/>
      </a:lt1>
      <a:dk2>
        <a:srgbClr val="58595B"/>
      </a:dk2>
      <a:lt2>
        <a:srgbClr val="E7E6E6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11</TotalTime>
  <Pages>1</Pages>
  <Words>169</Words>
  <Characters>954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Industry, Innovation and Science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Francis, Sophie</dc:creator>
  <cp:keywords/>
  <dc:description/>
  <cp:lastModifiedBy>Francis, Sophie</cp:lastModifiedBy>
  <cp:revision>5</cp:revision>
  <cp:lastPrinted>2019-08-06T22:46:00Z</cp:lastPrinted>
  <dcterms:created xsi:type="dcterms:W3CDTF">2019-08-06T22:40:00Z</dcterms:created>
  <dcterms:modified xsi:type="dcterms:W3CDTF">2019-08-07T00:41:00Z</dcterms:modified>
</cp:coreProperties>
</file>