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0FAD7" w14:textId="5A07D736" w:rsidR="00E569F1" w:rsidRPr="00622B16" w:rsidRDefault="00E569F1" w:rsidP="0080304F">
      <w:pPr>
        <w:pStyle w:val="Title"/>
        <w:spacing w:before="9560" w:after="120" w:line="216" w:lineRule="auto"/>
        <w:contextualSpacing w:val="0"/>
        <w:rPr>
          <w:rFonts w:ascii="Arial" w:hAnsi="Arial" w:cs="Arial"/>
          <w:color w:val="FFFFFF" w:themeColor="background1"/>
          <w:sz w:val="24"/>
          <w:szCs w:val="24"/>
          <w:shd w:val="clear" w:color="auto" w:fill="C973AF"/>
          <w:lang w:val="en-US"/>
        </w:rPr>
      </w:pPr>
      <w:bookmarkStart w:id="0" w:name="_Toc22901140"/>
      <w:r w:rsidRPr="00E569F1">
        <w:rPr>
          <w:rFonts w:ascii="Arial" w:hAnsi="Arial" w:cs="Arial"/>
          <w:color w:val="FFFFFF" w:themeColor="background1"/>
          <w:sz w:val="24"/>
          <w:szCs w:val="24"/>
          <w:shd w:val="clear" w:color="auto" w:fill="C973AF"/>
          <w:lang w:val="en-US"/>
        </w:rPr>
        <w:t>DISCUSSION PAPER:</w:t>
      </w:r>
      <w:r w:rsidR="00622B16">
        <w:rPr>
          <w:rFonts w:ascii="Arial" w:hAnsi="Arial" w:cs="Arial"/>
          <w:color w:val="FFFFFF" w:themeColor="background1"/>
          <w:sz w:val="24"/>
          <w:szCs w:val="24"/>
          <w:shd w:val="clear" w:color="auto" w:fill="C973AF"/>
          <w:lang w:val="en-US"/>
        </w:rPr>
        <w:br/>
      </w:r>
      <w:r w:rsidR="00622B16" w:rsidRPr="00622B16">
        <w:rPr>
          <w:rFonts w:ascii="Arial" w:hAnsi="Arial" w:cs="Arial"/>
          <w:color w:val="FFFFFF" w:themeColor="background1"/>
        </w:rPr>
        <w:t xml:space="preserve">THIRD PARTY </w:t>
      </w:r>
      <w:r w:rsidR="00622B16">
        <w:rPr>
          <w:rFonts w:ascii="Arial" w:hAnsi="Arial" w:cs="Arial"/>
          <w:color w:val="FFFFFF" w:themeColor="background1"/>
        </w:rPr>
        <w:br/>
      </w:r>
      <w:r w:rsidR="00622B16" w:rsidRPr="00622B16">
        <w:rPr>
          <w:rFonts w:ascii="Arial" w:hAnsi="Arial" w:cs="Arial"/>
          <w:b/>
          <w:color w:val="FFFFFF" w:themeColor="background1"/>
        </w:rPr>
        <w:t>ARRANGEMENTS</w:t>
      </w:r>
      <w:bookmarkEnd w:id="0"/>
    </w:p>
    <w:p w14:paraId="010B3745" w14:textId="77777777" w:rsidR="00622B16" w:rsidRDefault="00622B16" w:rsidP="00622B16"/>
    <w:p w14:paraId="265406E5" w14:textId="108D038C" w:rsidR="00622B16" w:rsidRPr="00622B16" w:rsidRDefault="00622B16" w:rsidP="00622B16">
      <w:pPr>
        <w:rPr>
          <w:rFonts w:ascii="Arial" w:hAnsi="Arial" w:cs="Arial"/>
          <w:color w:val="FFFFFF" w:themeColor="background1"/>
          <w:sz w:val="24"/>
          <w:szCs w:val="24"/>
        </w:rPr>
      </w:pPr>
      <w:r w:rsidRPr="00622B16">
        <w:rPr>
          <w:rFonts w:ascii="Arial" w:hAnsi="Arial" w:cs="Arial"/>
          <w:color w:val="FFFFFF" w:themeColor="background1"/>
          <w:sz w:val="24"/>
          <w:szCs w:val="24"/>
        </w:rPr>
        <w:t>Measurement Law Review</w:t>
      </w:r>
    </w:p>
    <w:p w14:paraId="009934D8" w14:textId="0CCDCF1E" w:rsidR="00622B16" w:rsidRPr="00622B16" w:rsidRDefault="00622B16" w:rsidP="00622B16">
      <w:pPr>
        <w:rPr>
          <w:rFonts w:ascii="Arial" w:hAnsi="Arial" w:cs="Arial"/>
          <w:color w:val="FFFFFF" w:themeColor="background1"/>
          <w:sz w:val="24"/>
          <w:szCs w:val="24"/>
        </w:rPr>
      </w:pPr>
      <w:r w:rsidRPr="00622B16">
        <w:rPr>
          <w:rFonts w:ascii="Arial" w:hAnsi="Arial" w:cs="Arial"/>
          <w:color w:val="FFFFFF" w:themeColor="background1"/>
          <w:sz w:val="24"/>
          <w:szCs w:val="24"/>
        </w:rPr>
        <w:t>2019</w:t>
      </w:r>
    </w:p>
    <w:p w14:paraId="421DDC56" w14:textId="1E14EF54" w:rsidR="00622B16" w:rsidRDefault="00622B16" w:rsidP="00622B16">
      <w:pPr>
        <w:tabs>
          <w:tab w:val="right" w:pos="9026"/>
        </w:tabs>
        <w:rPr>
          <w:lang w:eastAsia="ja-JP"/>
        </w:rPr>
      </w:pPr>
    </w:p>
    <w:p w14:paraId="242E3665" w14:textId="1BE98D9C" w:rsidR="00622B16" w:rsidRDefault="00622B16" w:rsidP="00622B16">
      <w:pPr>
        <w:tabs>
          <w:tab w:val="right" w:pos="9026"/>
        </w:tabs>
        <w:jc w:val="right"/>
        <w:rPr>
          <w:lang w:eastAsia="ja-JP"/>
        </w:rPr>
      </w:pPr>
    </w:p>
    <w:p w14:paraId="71FFB153" w14:textId="77777777" w:rsidR="004F3C71" w:rsidRDefault="004F3C71">
      <w:pPr>
        <w:rPr>
          <w:lang w:eastAsia="ja-JP"/>
        </w:rPr>
      </w:pPr>
      <w:r>
        <w:rPr>
          <w:lang w:eastAsia="ja-JP"/>
        </w:rPr>
        <w:br w:type="page"/>
      </w:r>
    </w:p>
    <w:p w14:paraId="519F0BD2" w14:textId="77777777" w:rsidR="004F3C71" w:rsidRDefault="004F3C71" w:rsidP="004F3C71">
      <w:pPr>
        <w:pStyle w:val="Heading1"/>
      </w:pPr>
      <w:r>
        <w:lastRenderedPageBreak/>
        <w:t xml:space="preserve">Have your say </w:t>
      </w:r>
    </w:p>
    <w:p w14:paraId="5D955D0A" w14:textId="77777777" w:rsidR="004F3C71" w:rsidRPr="00F3544C" w:rsidRDefault="004F3C71" w:rsidP="004F3C71">
      <w:r w:rsidRPr="00F3544C">
        <w:t xml:space="preserve">The Australian Government is seeking responses to the issues and questions raised in this paper. You can submit your comments via the Department of Industry, Innovation and Science’s Consultation Hub </w:t>
      </w:r>
    </w:p>
    <w:p w14:paraId="461F3C19" w14:textId="77777777" w:rsidR="004F3C71" w:rsidRPr="00F3544C" w:rsidRDefault="00FA367E" w:rsidP="004F3C71">
      <w:hyperlink r:id="rId12" w:history="1">
        <w:r w:rsidR="004F3C71" w:rsidRPr="00F3544C">
          <w:rPr>
            <w:rStyle w:val="Hyperlink"/>
          </w:rPr>
          <w:t>https://consult.industry.gov.au/measurement-law-review/measurement-assurance</w:t>
        </w:r>
      </w:hyperlink>
      <w:r w:rsidR="004F3C71" w:rsidRPr="00F3544C">
        <w:t xml:space="preserve"> </w:t>
      </w:r>
    </w:p>
    <w:p w14:paraId="37516166" w14:textId="77777777" w:rsidR="004F3C71" w:rsidRPr="00F3544C" w:rsidRDefault="004F3C71" w:rsidP="004F3C71">
      <w:r w:rsidRPr="00F3544C">
        <w:t xml:space="preserve">Australia’s measurement laws can be found on the Federal Register of Legislation </w:t>
      </w:r>
      <w:hyperlink r:id="rId13" w:history="1">
        <w:r w:rsidRPr="00F3544C">
          <w:rPr>
            <w:rStyle w:val="Hyperlink"/>
          </w:rPr>
          <w:t>https://www.legislation.gov.au</w:t>
        </w:r>
      </w:hyperlink>
      <w:r w:rsidRPr="00F3544C">
        <w:t xml:space="preserve">. </w:t>
      </w:r>
    </w:p>
    <w:p w14:paraId="4812697C" w14:textId="77777777" w:rsidR="004F3C71" w:rsidRPr="00F3544C" w:rsidRDefault="004F3C71" w:rsidP="004F3C71">
      <w:r w:rsidRPr="00F3544C">
        <w:t xml:space="preserve">Submissions will be considered by the government to help develop options for reform. </w:t>
      </w:r>
    </w:p>
    <w:p w14:paraId="05659550" w14:textId="417B049A" w:rsidR="004F3C71" w:rsidRPr="00F3544C" w:rsidRDefault="004F3C71" w:rsidP="004F3C71">
      <w:r w:rsidRPr="00F3544C">
        <w:t xml:space="preserve">If you have difficulties or questions, please call </w:t>
      </w:r>
      <w:r w:rsidR="00FA367E">
        <w:rPr>
          <w:b/>
        </w:rPr>
        <w:t>1300 686 66</w:t>
      </w:r>
      <w:bookmarkStart w:id="1" w:name="_GoBack"/>
      <w:bookmarkEnd w:id="1"/>
      <w:r w:rsidRPr="00F3544C">
        <w:rPr>
          <w:b/>
        </w:rPr>
        <w:t>4</w:t>
      </w:r>
      <w:r w:rsidRPr="00F3544C">
        <w:t xml:space="preserve"> or email </w:t>
      </w:r>
      <w:hyperlink r:id="rId14" w:history="1">
        <w:r w:rsidRPr="00F3544C">
          <w:rPr>
            <w:rStyle w:val="Hyperlink"/>
          </w:rPr>
          <w:t>measurementlawreview@industry.gov.au</w:t>
        </w:r>
      </w:hyperlink>
      <w:r w:rsidRPr="00F3544C">
        <w:t xml:space="preserve">. </w:t>
      </w:r>
    </w:p>
    <w:p w14:paraId="251DDAAE" w14:textId="77777777" w:rsidR="004F3C71" w:rsidRPr="00F3544C" w:rsidRDefault="004F3C71" w:rsidP="004F3C71">
      <w:r w:rsidRPr="00F3544C">
        <w:t xml:space="preserve">The closing date for submission is </w:t>
      </w:r>
      <w:r w:rsidRPr="00F3544C">
        <w:rPr>
          <w:b/>
        </w:rPr>
        <w:t>23 December 2019</w:t>
      </w:r>
      <w:r w:rsidRPr="00F3544C">
        <w:t xml:space="preserve">. </w:t>
      </w:r>
    </w:p>
    <w:p w14:paraId="055B1D08" w14:textId="77777777" w:rsidR="004F3C71" w:rsidRPr="00F3544C" w:rsidRDefault="004F3C71" w:rsidP="004F3C71">
      <w:r w:rsidRPr="00F3544C">
        <w:t>By making a submission you consent to the submission being made public on the consultation website unless otherwise specified. Submissions should indicate whether any part of the content should not be disclosed to the public.</w:t>
      </w:r>
    </w:p>
    <w:p w14:paraId="69EA4B62" w14:textId="7EB49D33" w:rsidR="00E569F1" w:rsidRDefault="00E569F1" w:rsidP="00622B16">
      <w:pPr>
        <w:tabs>
          <w:tab w:val="right" w:pos="9026"/>
        </w:tabs>
        <w:rPr>
          <w:rFonts w:eastAsiaTheme="majorEastAsia"/>
          <w:spacing w:val="-10"/>
          <w:kern w:val="28"/>
          <w:sz w:val="56"/>
          <w:szCs w:val="56"/>
          <w:lang w:eastAsia="ja-JP"/>
        </w:rPr>
      </w:pPr>
      <w:r w:rsidRPr="00622B16">
        <w:rPr>
          <w:lang w:eastAsia="ja-JP"/>
        </w:rPr>
        <w:br w:type="page"/>
      </w:r>
      <w:r w:rsidR="00622B16">
        <w:rPr>
          <w:lang w:eastAsia="ja-JP"/>
        </w:rPr>
        <w:lastRenderedPageBreak/>
        <w:tab/>
      </w:r>
    </w:p>
    <w:sdt>
      <w:sdtPr>
        <w:rPr>
          <w:rFonts w:asciiTheme="minorHAnsi" w:eastAsiaTheme="minorHAnsi" w:hAnsiTheme="minorHAnsi" w:cstheme="minorBidi"/>
          <w:b/>
          <w:color w:val="auto"/>
          <w:sz w:val="22"/>
          <w:szCs w:val="22"/>
        </w:rPr>
        <w:id w:val="-708875011"/>
        <w:docPartObj>
          <w:docPartGallery w:val="Table of Contents"/>
          <w:docPartUnique/>
        </w:docPartObj>
      </w:sdtPr>
      <w:sdtEndPr>
        <w:rPr>
          <w:b w:val="0"/>
          <w:bCs/>
          <w:noProof/>
        </w:rPr>
      </w:sdtEndPr>
      <w:sdtContent>
        <w:p w14:paraId="57A6C0AA" w14:textId="2FF4AD85" w:rsidR="00A4385D" w:rsidRDefault="00A4385D" w:rsidP="00881BC0">
          <w:pPr>
            <w:pStyle w:val="Heading1"/>
          </w:pPr>
          <w:r>
            <w:t>Contents</w:t>
          </w:r>
          <w:bookmarkStart w:id="2" w:name="_Toc529897215"/>
          <w:bookmarkStart w:id="3" w:name="_Toc530140680"/>
          <w:bookmarkStart w:id="4" w:name="_Toc530412656"/>
        </w:p>
        <w:p w14:paraId="12FFA369" w14:textId="4E17CC82" w:rsidR="00FD7B93" w:rsidRDefault="00394A13" w:rsidP="00CF0AAA">
          <w:pPr>
            <w:pStyle w:val="TOC1"/>
            <w:rPr>
              <w:rFonts w:eastAsiaTheme="minorEastAsia"/>
              <w:noProof/>
              <w:lang w:eastAsia="en-AU"/>
            </w:rPr>
          </w:pPr>
          <w:r>
            <w:rPr>
              <w:noProof/>
            </w:rPr>
            <w:fldChar w:fldCharType="begin"/>
          </w:r>
          <w:r>
            <w:rPr>
              <w:noProof/>
            </w:rPr>
            <w:instrText xml:space="preserve"> TOC \o "1-2" \h \z \u </w:instrText>
          </w:r>
          <w:r>
            <w:rPr>
              <w:noProof/>
            </w:rPr>
            <w:fldChar w:fldCharType="separate"/>
          </w:r>
          <w:hyperlink w:anchor="_Toc22901142" w:history="1">
            <w:r w:rsidR="00FD7B93" w:rsidRPr="00D54B90">
              <w:rPr>
                <w:rStyle w:val="Hyperlink"/>
                <w:rFonts w:ascii="Arial" w:eastAsia="MS PGothic" w:hAnsi="Arial" w:cs="Arial"/>
                <w:noProof/>
              </w:rPr>
              <w:t>1.</w:t>
            </w:r>
            <w:r w:rsidR="00FD7B93">
              <w:rPr>
                <w:rFonts w:eastAsiaTheme="minorEastAsia"/>
                <w:noProof/>
                <w:lang w:eastAsia="en-AU"/>
              </w:rPr>
              <w:tab/>
            </w:r>
            <w:r w:rsidR="00FD7B93" w:rsidRPr="00D54B90">
              <w:rPr>
                <w:rStyle w:val="Hyperlink"/>
                <w:rFonts w:ascii="Arial" w:eastAsia="MS PGothic" w:hAnsi="Arial" w:cs="Arial"/>
                <w:noProof/>
              </w:rPr>
              <w:t>Overview</w:t>
            </w:r>
            <w:r w:rsidR="00FD7B93">
              <w:rPr>
                <w:noProof/>
                <w:webHidden/>
              </w:rPr>
              <w:tab/>
            </w:r>
            <w:r w:rsidR="00FD7B93">
              <w:rPr>
                <w:noProof/>
                <w:webHidden/>
              </w:rPr>
              <w:fldChar w:fldCharType="begin"/>
            </w:r>
            <w:r w:rsidR="00FD7B93">
              <w:rPr>
                <w:noProof/>
                <w:webHidden/>
              </w:rPr>
              <w:instrText xml:space="preserve"> PAGEREF _Toc22901142 \h </w:instrText>
            </w:r>
            <w:r w:rsidR="00FD7B93">
              <w:rPr>
                <w:noProof/>
                <w:webHidden/>
              </w:rPr>
            </w:r>
            <w:r w:rsidR="00FD7B93">
              <w:rPr>
                <w:noProof/>
                <w:webHidden/>
              </w:rPr>
              <w:fldChar w:fldCharType="separate"/>
            </w:r>
            <w:r w:rsidR="004F3C71">
              <w:rPr>
                <w:noProof/>
                <w:webHidden/>
              </w:rPr>
              <w:t>4</w:t>
            </w:r>
            <w:r w:rsidR="00FD7B93">
              <w:rPr>
                <w:noProof/>
                <w:webHidden/>
              </w:rPr>
              <w:fldChar w:fldCharType="end"/>
            </w:r>
          </w:hyperlink>
        </w:p>
        <w:p w14:paraId="742CAEA2" w14:textId="173AA083" w:rsidR="00FD7B93" w:rsidRDefault="00FA367E">
          <w:pPr>
            <w:pStyle w:val="TOC2"/>
            <w:tabs>
              <w:tab w:val="right" w:leader="dot" w:pos="9016"/>
            </w:tabs>
            <w:rPr>
              <w:rFonts w:eastAsiaTheme="minorEastAsia"/>
              <w:noProof/>
              <w:lang w:eastAsia="en-AU"/>
            </w:rPr>
          </w:pPr>
          <w:hyperlink w:anchor="_Toc22901143" w:history="1">
            <w:r w:rsidR="00FD7B93" w:rsidRPr="00D54B90">
              <w:rPr>
                <w:rStyle w:val="Hyperlink"/>
                <w:noProof/>
              </w:rPr>
              <w:t>1.1 The Measurement Law Review (the Review)</w:t>
            </w:r>
            <w:r w:rsidR="00FD7B93">
              <w:rPr>
                <w:noProof/>
                <w:webHidden/>
              </w:rPr>
              <w:tab/>
            </w:r>
            <w:r w:rsidR="00FD7B93">
              <w:rPr>
                <w:noProof/>
                <w:webHidden/>
              </w:rPr>
              <w:fldChar w:fldCharType="begin"/>
            </w:r>
            <w:r w:rsidR="00FD7B93">
              <w:rPr>
                <w:noProof/>
                <w:webHidden/>
              </w:rPr>
              <w:instrText xml:space="preserve"> PAGEREF _Toc22901143 \h </w:instrText>
            </w:r>
            <w:r w:rsidR="00FD7B93">
              <w:rPr>
                <w:noProof/>
                <w:webHidden/>
              </w:rPr>
            </w:r>
            <w:r w:rsidR="00FD7B93">
              <w:rPr>
                <w:noProof/>
                <w:webHidden/>
              </w:rPr>
              <w:fldChar w:fldCharType="separate"/>
            </w:r>
            <w:r w:rsidR="004F3C71">
              <w:rPr>
                <w:noProof/>
                <w:webHidden/>
              </w:rPr>
              <w:t>4</w:t>
            </w:r>
            <w:r w:rsidR="00FD7B93">
              <w:rPr>
                <w:noProof/>
                <w:webHidden/>
              </w:rPr>
              <w:fldChar w:fldCharType="end"/>
            </w:r>
          </w:hyperlink>
        </w:p>
        <w:p w14:paraId="71348598" w14:textId="3F2C883F" w:rsidR="00FD7B93" w:rsidRDefault="00FA367E">
          <w:pPr>
            <w:pStyle w:val="TOC2"/>
            <w:tabs>
              <w:tab w:val="right" w:leader="dot" w:pos="9016"/>
            </w:tabs>
            <w:rPr>
              <w:rFonts w:eastAsiaTheme="minorEastAsia"/>
              <w:noProof/>
              <w:lang w:eastAsia="en-AU"/>
            </w:rPr>
          </w:pPr>
          <w:hyperlink w:anchor="_Toc22901144" w:history="1">
            <w:r w:rsidR="00FD7B93" w:rsidRPr="00D54B90">
              <w:rPr>
                <w:rStyle w:val="Hyperlink"/>
                <w:noProof/>
              </w:rPr>
              <w:t>1.2 This Discussion Paper</w:t>
            </w:r>
            <w:r w:rsidR="00FD7B93">
              <w:rPr>
                <w:noProof/>
                <w:webHidden/>
              </w:rPr>
              <w:tab/>
            </w:r>
            <w:r w:rsidR="00FD7B93">
              <w:rPr>
                <w:noProof/>
                <w:webHidden/>
              </w:rPr>
              <w:fldChar w:fldCharType="begin"/>
            </w:r>
            <w:r w:rsidR="00FD7B93">
              <w:rPr>
                <w:noProof/>
                <w:webHidden/>
              </w:rPr>
              <w:instrText xml:space="preserve"> PAGEREF _Toc22901144 \h </w:instrText>
            </w:r>
            <w:r w:rsidR="00FD7B93">
              <w:rPr>
                <w:noProof/>
                <w:webHidden/>
              </w:rPr>
            </w:r>
            <w:r w:rsidR="00FD7B93">
              <w:rPr>
                <w:noProof/>
                <w:webHidden/>
              </w:rPr>
              <w:fldChar w:fldCharType="separate"/>
            </w:r>
            <w:r w:rsidR="004F3C71">
              <w:rPr>
                <w:noProof/>
                <w:webHidden/>
              </w:rPr>
              <w:t>5</w:t>
            </w:r>
            <w:r w:rsidR="00FD7B93">
              <w:rPr>
                <w:noProof/>
                <w:webHidden/>
              </w:rPr>
              <w:fldChar w:fldCharType="end"/>
            </w:r>
          </w:hyperlink>
        </w:p>
        <w:p w14:paraId="06F60518" w14:textId="2A73BDBE" w:rsidR="00FD7B93" w:rsidRDefault="00FA367E" w:rsidP="00CF0AAA">
          <w:pPr>
            <w:pStyle w:val="TOC1"/>
            <w:rPr>
              <w:rFonts w:eastAsiaTheme="minorEastAsia"/>
              <w:noProof/>
              <w:lang w:eastAsia="en-AU"/>
            </w:rPr>
          </w:pPr>
          <w:hyperlink w:anchor="_Toc22901145" w:history="1">
            <w:r w:rsidR="00FD7B93" w:rsidRPr="00D54B90">
              <w:rPr>
                <w:rStyle w:val="Hyperlink"/>
                <w:rFonts w:ascii="Arial" w:hAnsi="Arial" w:cs="Arial"/>
                <w:noProof/>
              </w:rPr>
              <w:t>2.</w:t>
            </w:r>
            <w:r w:rsidR="00FD7B93">
              <w:rPr>
                <w:rFonts w:eastAsiaTheme="minorEastAsia"/>
                <w:noProof/>
                <w:lang w:eastAsia="en-AU"/>
              </w:rPr>
              <w:tab/>
            </w:r>
            <w:r w:rsidR="00FD7B93" w:rsidRPr="00D54B90">
              <w:rPr>
                <w:rStyle w:val="Hyperlink"/>
                <w:rFonts w:ascii="Arial" w:hAnsi="Arial" w:cs="Arial"/>
                <w:noProof/>
              </w:rPr>
              <w:t>Third parties in Australia’s Measurement Framework</w:t>
            </w:r>
            <w:r w:rsidR="00FD7B93">
              <w:rPr>
                <w:noProof/>
                <w:webHidden/>
              </w:rPr>
              <w:tab/>
            </w:r>
            <w:r w:rsidR="00FD7B93">
              <w:rPr>
                <w:noProof/>
                <w:webHidden/>
              </w:rPr>
              <w:fldChar w:fldCharType="begin"/>
            </w:r>
            <w:r w:rsidR="00FD7B93">
              <w:rPr>
                <w:noProof/>
                <w:webHidden/>
              </w:rPr>
              <w:instrText xml:space="preserve"> PAGEREF _Toc22901145 \h </w:instrText>
            </w:r>
            <w:r w:rsidR="00FD7B93">
              <w:rPr>
                <w:noProof/>
                <w:webHidden/>
              </w:rPr>
            </w:r>
            <w:r w:rsidR="00FD7B93">
              <w:rPr>
                <w:noProof/>
                <w:webHidden/>
              </w:rPr>
              <w:fldChar w:fldCharType="separate"/>
            </w:r>
            <w:r w:rsidR="004F3C71">
              <w:rPr>
                <w:noProof/>
                <w:webHidden/>
              </w:rPr>
              <w:t>6</w:t>
            </w:r>
            <w:r w:rsidR="00FD7B93">
              <w:rPr>
                <w:noProof/>
                <w:webHidden/>
              </w:rPr>
              <w:fldChar w:fldCharType="end"/>
            </w:r>
          </w:hyperlink>
        </w:p>
        <w:p w14:paraId="272E1A59" w14:textId="3542E83B" w:rsidR="00FD7B93" w:rsidRDefault="00FA367E">
          <w:pPr>
            <w:pStyle w:val="TOC2"/>
            <w:tabs>
              <w:tab w:val="right" w:leader="dot" w:pos="9016"/>
            </w:tabs>
            <w:rPr>
              <w:rFonts w:eastAsiaTheme="minorEastAsia"/>
              <w:noProof/>
              <w:lang w:eastAsia="en-AU"/>
            </w:rPr>
          </w:pPr>
          <w:hyperlink w:anchor="_Toc22901146" w:history="1">
            <w:r w:rsidR="00FD7B93" w:rsidRPr="00D54B90">
              <w:rPr>
                <w:rStyle w:val="Hyperlink"/>
                <w:noProof/>
              </w:rPr>
              <w:t>2.1 The Measurement System and the Legislative Framework</w:t>
            </w:r>
            <w:r w:rsidR="00FD7B93">
              <w:rPr>
                <w:noProof/>
                <w:webHidden/>
              </w:rPr>
              <w:tab/>
            </w:r>
            <w:r w:rsidR="00FD7B93">
              <w:rPr>
                <w:noProof/>
                <w:webHidden/>
              </w:rPr>
              <w:fldChar w:fldCharType="begin"/>
            </w:r>
            <w:r w:rsidR="00FD7B93">
              <w:rPr>
                <w:noProof/>
                <w:webHidden/>
              </w:rPr>
              <w:instrText xml:space="preserve"> PAGEREF _Toc22901146 \h </w:instrText>
            </w:r>
            <w:r w:rsidR="00FD7B93">
              <w:rPr>
                <w:noProof/>
                <w:webHidden/>
              </w:rPr>
            </w:r>
            <w:r w:rsidR="00FD7B93">
              <w:rPr>
                <w:noProof/>
                <w:webHidden/>
              </w:rPr>
              <w:fldChar w:fldCharType="separate"/>
            </w:r>
            <w:r w:rsidR="004F3C71">
              <w:rPr>
                <w:noProof/>
                <w:webHidden/>
              </w:rPr>
              <w:t>6</w:t>
            </w:r>
            <w:r w:rsidR="00FD7B93">
              <w:rPr>
                <w:noProof/>
                <w:webHidden/>
              </w:rPr>
              <w:fldChar w:fldCharType="end"/>
            </w:r>
          </w:hyperlink>
        </w:p>
        <w:p w14:paraId="2EB59DC0" w14:textId="62D400D7" w:rsidR="00FD7B93" w:rsidRDefault="00FA367E">
          <w:pPr>
            <w:pStyle w:val="TOC2"/>
            <w:tabs>
              <w:tab w:val="right" w:leader="dot" w:pos="9016"/>
            </w:tabs>
            <w:rPr>
              <w:rFonts w:eastAsiaTheme="minorEastAsia"/>
              <w:noProof/>
              <w:lang w:eastAsia="en-AU"/>
            </w:rPr>
          </w:pPr>
          <w:hyperlink w:anchor="_Toc22901147" w:history="1">
            <w:r w:rsidR="00FD7B93" w:rsidRPr="00D54B90">
              <w:rPr>
                <w:rStyle w:val="Hyperlink"/>
                <w:noProof/>
              </w:rPr>
              <w:t>2.2 Current Third Parties in the Framework</w:t>
            </w:r>
            <w:r w:rsidR="00FD7B93">
              <w:rPr>
                <w:noProof/>
                <w:webHidden/>
              </w:rPr>
              <w:tab/>
            </w:r>
            <w:r w:rsidR="00FD7B93">
              <w:rPr>
                <w:noProof/>
                <w:webHidden/>
              </w:rPr>
              <w:fldChar w:fldCharType="begin"/>
            </w:r>
            <w:r w:rsidR="00FD7B93">
              <w:rPr>
                <w:noProof/>
                <w:webHidden/>
              </w:rPr>
              <w:instrText xml:space="preserve"> PAGEREF _Toc22901147 \h </w:instrText>
            </w:r>
            <w:r w:rsidR="00FD7B93">
              <w:rPr>
                <w:noProof/>
                <w:webHidden/>
              </w:rPr>
            </w:r>
            <w:r w:rsidR="00FD7B93">
              <w:rPr>
                <w:noProof/>
                <w:webHidden/>
              </w:rPr>
              <w:fldChar w:fldCharType="separate"/>
            </w:r>
            <w:r w:rsidR="004F3C71">
              <w:rPr>
                <w:noProof/>
                <w:webHidden/>
              </w:rPr>
              <w:t>6</w:t>
            </w:r>
            <w:r w:rsidR="00FD7B93">
              <w:rPr>
                <w:noProof/>
                <w:webHidden/>
              </w:rPr>
              <w:fldChar w:fldCharType="end"/>
            </w:r>
          </w:hyperlink>
        </w:p>
        <w:p w14:paraId="0871AB4A" w14:textId="7A311709" w:rsidR="00FD7B93" w:rsidRDefault="00FA367E">
          <w:pPr>
            <w:pStyle w:val="TOC2"/>
            <w:tabs>
              <w:tab w:val="right" w:leader="dot" w:pos="9016"/>
            </w:tabs>
            <w:rPr>
              <w:rFonts w:eastAsiaTheme="minorEastAsia"/>
              <w:noProof/>
              <w:lang w:eastAsia="en-AU"/>
            </w:rPr>
          </w:pPr>
          <w:hyperlink w:anchor="_Toc22901148" w:history="1">
            <w:r w:rsidR="00FD7B93" w:rsidRPr="00D54B90">
              <w:rPr>
                <w:rStyle w:val="Hyperlink"/>
                <w:noProof/>
              </w:rPr>
              <w:t>2.3 International Measurement Frameworks</w:t>
            </w:r>
            <w:r w:rsidR="00FD7B93">
              <w:rPr>
                <w:noProof/>
                <w:webHidden/>
              </w:rPr>
              <w:tab/>
            </w:r>
            <w:r w:rsidR="00FD7B93">
              <w:rPr>
                <w:noProof/>
                <w:webHidden/>
              </w:rPr>
              <w:fldChar w:fldCharType="begin"/>
            </w:r>
            <w:r w:rsidR="00FD7B93">
              <w:rPr>
                <w:noProof/>
                <w:webHidden/>
              </w:rPr>
              <w:instrText xml:space="preserve"> PAGEREF _Toc22901148 \h </w:instrText>
            </w:r>
            <w:r w:rsidR="00FD7B93">
              <w:rPr>
                <w:noProof/>
                <w:webHidden/>
              </w:rPr>
            </w:r>
            <w:r w:rsidR="00FD7B93">
              <w:rPr>
                <w:noProof/>
                <w:webHidden/>
              </w:rPr>
              <w:fldChar w:fldCharType="separate"/>
            </w:r>
            <w:r w:rsidR="004F3C71">
              <w:rPr>
                <w:noProof/>
                <w:webHidden/>
              </w:rPr>
              <w:t>7</w:t>
            </w:r>
            <w:r w:rsidR="00FD7B93">
              <w:rPr>
                <w:noProof/>
                <w:webHidden/>
              </w:rPr>
              <w:fldChar w:fldCharType="end"/>
            </w:r>
          </w:hyperlink>
        </w:p>
        <w:p w14:paraId="0BC4F5E0" w14:textId="484DB9CB" w:rsidR="00FD7B93" w:rsidRDefault="00FA367E">
          <w:pPr>
            <w:pStyle w:val="TOC2"/>
            <w:tabs>
              <w:tab w:val="right" w:leader="dot" w:pos="9016"/>
            </w:tabs>
            <w:rPr>
              <w:rFonts w:eastAsiaTheme="minorEastAsia"/>
              <w:noProof/>
              <w:lang w:eastAsia="en-AU"/>
            </w:rPr>
          </w:pPr>
          <w:hyperlink w:anchor="_Toc22901149" w:history="1">
            <w:r w:rsidR="00FD7B93" w:rsidRPr="00D54B90">
              <w:rPr>
                <w:rStyle w:val="Hyperlink"/>
                <w:noProof/>
              </w:rPr>
              <w:t>2.4 Other Australian Entities out of Scope of this Discussion Paper</w:t>
            </w:r>
            <w:r w:rsidR="00FD7B93">
              <w:rPr>
                <w:noProof/>
                <w:webHidden/>
              </w:rPr>
              <w:tab/>
            </w:r>
            <w:r w:rsidR="00FD7B93">
              <w:rPr>
                <w:noProof/>
                <w:webHidden/>
              </w:rPr>
              <w:fldChar w:fldCharType="begin"/>
            </w:r>
            <w:r w:rsidR="00FD7B93">
              <w:rPr>
                <w:noProof/>
                <w:webHidden/>
              </w:rPr>
              <w:instrText xml:space="preserve"> PAGEREF _Toc22901149 \h </w:instrText>
            </w:r>
            <w:r w:rsidR="00FD7B93">
              <w:rPr>
                <w:noProof/>
                <w:webHidden/>
              </w:rPr>
            </w:r>
            <w:r w:rsidR="00FD7B93">
              <w:rPr>
                <w:noProof/>
                <w:webHidden/>
              </w:rPr>
              <w:fldChar w:fldCharType="separate"/>
            </w:r>
            <w:r w:rsidR="004F3C71">
              <w:rPr>
                <w:noProof/>
                <w:webHidden/>
              </w:rPr>
              <w:t>8</w:t>
            </w:r>
            <w:r w:rsidR="00FD7B93">
              <w:rPr>
                <w:noProof/>
                <w:webHidden/>
              </w:rPr>
              <w:fldChar w:fldCharType="end"/>
            </w:r>
          </w:hyperlink>
        </w:p>
        <w:p w14:paraId="1E194A80" w14:textId="68DD6E98" w:rsidR="00FD7B93" w:rsidRDefault="00FA367E" w:rsidP="00CF0AAA">
          <w:pPr>
            <w:pStyle w:val="TOC1"/>
            <w:rPr>
              <w:rFonts w:eastAsiaTheme="minorEastAsia"/>
              <w:noProof/>
              <w:lang w:eastAsia="en-AU"/>
            </w:rPr>
          </w:pPr>
          <w:hyperlink w:anchor="_Toc22901150" w:history="1">
            <w:r w:rsidR="00FD7B93" w:rsidRPr="00D54B90">
              <w:rPr>
                <w:rStyle w:val="Hyperlink"/>
                <w:rFonts w:ascii="Arial" w:hAnsi="Arial" w:cs="Arial"/>
                <w:noProof/>
              </w:rPr>
              <w:t>3.</w:t>
            </w:r>
            <w:r w:rsidR="00FD7B93">
              <w:rPr>
                <w:rFonts w:eastAsiaTheme="minorEastAsia"/>
                <w:noProof/>
                <w:lang w:eastAsia="en-AU"/>
              </w:rPr>
              <w:tab/>
            </w:r>
            <w:r w:rsidR="00FD7B93" w:rsidRPr="00D54B90">
              <w:rPr>
                <w:rStyle w:val="Hyperlink"/>
                <w:rFonts w:ascii="Arial" w:hAnsi="Arial" w:cs="Arial"/>
                <w:noProof/>
              </w:rPr>
              <w:t>Common Issues</w:t>
            </w:r>
            <w:r w:rsidR="00FD7B93">
              <w:rPr>
                <w:noProof/>
                <w:webHidden/>
              </w:rPr>
              <w:tab/>
            </w:r>
            <w:r w:rsidR="00FD7B93">
              <w:rPr>
                <w:noProof/>
                <w:webHidden/>
              </w:rPr>
              <w:fldChar w:fldCharType="begin"/>
            </w:r>
            <w:r w:rsidR="00FD7B93">
              <w:rPr>
                <w:noProof/>
                <w:webHidden/>
              </w:rPr>
              <w:instrText xml:space="preserve"> PAGEREF _Toc22901150 \h </w:instrText>
            </w:r>
            <w:r w:rsidR="00FD7B93">
              <w:rPr>
                <w:noProof/>
                <w:webHidden/>
              </w:rPr>
            </w:r>
            <w:r w:rsidR="00FD7B93">
              <w:rPr>
                <w:noProof/>
                <w:webHidden/>
              </w:rPr>
              <w:fldChar w:fldCharType="separate"/>
            </w:r>
            <w:r w:rsidR="004F3C71">
              <w:rPr>
                <w:noProof/>
                <w:webHidden/>
              </w:rPr>
              <w:t>9</w:t>
            </w:r>
            <w:r w:rsidR="00FD7B93">
              <w:rPr>
                <w:noProof/>
                <w:webHidden/>
              </w:rPr>
              <w:fldChar w:fldCharType="end"/>
            </w:r>
          </w:hyperlink>
        </w:p>
        <w:p w14:paraId="4B4BC5D9" w14:textId="11E8B2DC" w:rsidR="00FD7B93" w:rsidRDefault="00FA367E">
          <w:pPr>
            <w:pStyle w:val="TOC2"/>
            <w:tabs>
              <w:tab w:val="right" w:leader="dot" w:pos="9016"/>
            </w:tabs>
            <w:rPr>
              <w:rFonts w:eastAsiaTheme="minorEastAsia"/>
              <w:noProof/>
              <w:lang w:eastAsia="en-AU"/>
            </w:rPr>
          </w:pPr>
          <w:hyperlink w:anchor="_Toc22901151" w:history="1">
            <w:r w:rsidR="00FD7B93" w:rsidRPr="00D54B90">
              <w:rPr>
                <w:rStyle w:val="Hyperlink"/>
                <w:noProof/>
              </w:rPr>
              <w:t>3.1 Competency</w:t>
            </w:r>
            <w:r w:rsidR="00FD7B93">
              <w:rPr>
                <w:noProof/>
                <w:webHidden/>
              </w:rPr>
              <w:tab/>
            </w:r>
            <w:r w:rsidR="00FD7B93">
              <w:rPr>
                <w:noProof/>
                <w:webHidden/>
              </w:rPr>
              <w:fldChar w:fldCharType="begin"/>
            </w:r>
            <w:r w:rsidR="00FD7B93">
              <w:rPr>
                <w:noProof/>
                <w:webHidden/>
              </w:rPr>
              <w:instrText xml:space="preserve"> PAGEREF _Toc22901151 \h </w:instrText>
            </w:r>
            <w:r w:rsidR="00FD7B93">
              <w:rPr>
                <w:noProof/>
                <w:webHidden/>
              </w:rPr>
            </w:r>
            <w:r w:rsidR="00FD7B93">
              <w:rPr>
                <w:noProof/>
                <w:webHidden/>
              </w:rPr>
              <w:fldChar w:fldCharType="separate"/>
            </w:r>
            <w:r w:rsidR="004F3C71">
              <w:rPr>
                <w:noProof/>
                <w:webHidden/>
              </w:rPr>
              <w:t>9</w:t>
            </w:r>
            <w:r w:rsidR="00FD7B93">
              <w:rPr>
                <w:noProof/>
                <w:webHidden/>
              </w:rPr>
              <w:fldChar w:fldCharType="end"/>
            </w:r>
          </w:hyperlink>
        </w:p>
        <w:p w14:paraId="34F1FC43" w14:textId="27225C25" w:rsidR="00FD7B93" w:rsidRDefault="00FA367E">
          <w:pPr>
            <w:pStyle w:val="TOC2"/>
            <w:tabs>
              <w:tab w:val="right" w:leader="dot" w:pos="9016"/>
            </w:tabs>
            <w:rPr>
              <w:rFonts w:eastAsiaTheme="minorEastAsia"/>
              <w:noProof/>
              <w:lang w:eastAsia="en-AU"/>
            </w:rPr>
          </w:pPr>
          <w:hyperlink w:anchor="_Toc22901152" w:history="1">
            <w:r w:rsidR="00FD7B93" w:rsidRPr="00D54B90">
              <w:rPr>
                <w:rStyle w:val="Hyperlink"/>
                <w:noProof/>
              </w:rPr>
              <w:t>3.2 Prescriptiveness of Legislation</w:t>
            </w:r>
            <w:r w:rsidR="00FD7B93">
              <w:rPr>
                <w:noProof/>
                <w:webHidden/>
              </w:rPr>
              <w:tab/>
            </w:r>
            <w:r w:rsidR="00FD7B93">
              <w:rPr>
                <w:noProof/>
                <w:webHidden/>
              </w:rPr>
              <w:fldChar w:fldCharType="begin"/>
            </w:r>
            <w:r w:rsidR="00FD7B93">
              <w:rPr>
                <w:noProof/>
                <w:webHidden/>
              </w:rPr>
              <w:instrText xml:space="preserve"> PAGEREF _Toc22901152 \h </w:instrText>
            </w:r>
            <w:r w:rsidR="00FD7B93">
              <w:rPr>
                <w:noProof/>
                <w:webHidden/>
              </w:rPr>
            </w:r>
            <w:r w:rsidR="00FD7B93">
              <w:rPr>
                <w:noProof/>
                <w:webHidden/>
              </w:rPr>
              <w:fldChar w:fldCharType="separate"/>
            </w:r>
            <w:r w:rsidR="004F3C71">
              <w:rPr>
                <w:noProof/>
                <w:webHidden/>
              </w:rPr>
              <w:t>10</w:t>
            </w:r>
            <w:r w:rsidR="00FD7B93">
              <w:rPr>
                <w:noProof/>
                <w:webHidden/>
              </w:rPr>
              <w:fldChar w:fldCharType="end"/>
            </w:r>
          </w:hyperlink>
        </w:p>
        <w:p w14:paraId="4267556E" w14:textId="6C35B016" w:rsidR="00FD7B93" w:rsidRDefault="00FA367E">
          <w:pPr>
            <w:pStyle w:val="TOC2"/>
            <w:tabs>
              <w:tab w:val="right" w:leader="dot" w:pos="9016"/>
            </w:tabs>
            <w:rPr>
              <w:rFonts w:eastAsiaTheme="minorEastAsia"/>
              <w:noProof/>
              <w:lang w:eastAsia="en-AU"/>
            </w:rPr>
          </w:pPr>
          <w:hyperlink w:anchor="_Toc22901153" w:history="1">
            <w:r w:rsidR="00FD7B93" w:rsidRPr="00D54B90">
              <w:rPr>
                <w:rStyle w:val="Hyperlink"/>
                <w:noProof/>
              </w:rPr>
              <w:t>3.3 Compliance and Enforcement</w:t>
            </w:r>
            <w:r w:rsidR="00FD7B93">
              <w:rPr>
                <w:noProof/>
                <w:webHidden/>
              </w:rPr>
              <w:tab/>
            </w:r>
            <w:r w:rsidR="00FD7B93">
              <w:rPr>
                <w:noProof/>
                <w:webHidden/>
              </w:rPr>
              <w:fldChar w:fldCharType="begin"/>
            </w:r>
            <w:r w:rsidR="00FD7B93">
              <w:rPr>
                <w:noProof/>
                <w:webHidden/>
              </w:rPr>
              <w:instrText xml:space="preserve"> PAGEREF _Toc22901153 \h </w:instrText>
            </w:r>
            <w:r w:rsidR="00FD7B93">
              <w:rPr>
                <w:noProof/>
                <w:webHidden/>
              </w:rPr>
            </w:r>
            <w:r w:rsidR="00FD7B93">
              <w:rPr>
                <w:noProof/>
                <w:webHidden/>
              </w:rPr>
              <w:fldChar w:fldCharType="separate"/>
            </w:r>
            <w:r w:rsidR="004F3C71">
              <w:rPr>
                <w:noProof/>
                <w:webHidden/>
              </w:rPr>
              <w:t>10</w:t>
            </w:r>
            <w:r w:rsidR="00FD7B93">
              <w:rPr>
                <w:noProof/>
                <w:webHidden/>
              </w:rPr>
              <w:fldChar w:fldCharType="end"/>
            </w:r>
          </w:hyperlink>
        </w:p>
        <w:p w14:paraId="1145348E" w14:textId="62B1221E" w:rsidR="00FD7B93" w:rsidRDefault="00FA367E">
          <w:pPr>
            <w:pStyle w:val="TOC2"/>
            <w:tabs>
              <w:tab w:val="right" w:leader="dot" w:pos="9016"/>
            </w:tabs>
            <w:rPr>
              <w:rFonts w:eastAsiaTheme="minorEastAsia"/>
              <w:noProof/>
              <w:lang w:eastAsia="en-AU"/>
            </w:rPr>
          </w:pPr>
          <w:hyperlink w:anchor="_Toc22901154" w:history="1">
            <w:r w:rsidR="00FD7B93" w:rsidRPr="00D54B90">
              <w:rPr>
                <w:rStyle w:val="Hyperlink"/>
                <w:noProof/>
              </w:rPr>
              <w:t>3.4 Applying a Principles-based Approach</w:t>
            </w:r>
            <w:r w:rsidR="00FD7B93">
              <w:rPr>
                <w:noProof/>
                <w:webHidden/>
              </w:rPr>
              <w:tab/>
            </w:r>
            <w:r w:rsidR="00FD7B93">
              <w:rPr>
                <w:noProof/>
                <w:webHidden/>
              </w:rPr>
              <w:fldChar w:fldCharType="begin"/>
            </w:r>
            <w:r w:rsidR="00FD7B93">
              <w:rPr>
                <w:noProof/>
                <w:webHidden/>
              </w:rPr>
              <w:instrText xml:space="preserve"> PAGEREF _Toc22901154 \h </w:instrText>
            </w:r>
            <w:r w:rsidR="00FD7B93">
              <w:rPr>
                <w:noProof/>
                <w:webHidden/>
              </w:rPr>
            </w:r>
            <w:r w:rsidR="00FD7B93">
              <w:rPr>
                <w:noProof/>
                <w:webHidden/>
              </w:rPr>
              <w:fldChar w:fldCharType="separate"/>
            </w:r>
            <w:r w:rsidR="004F3C71">
              <w:rPr>
                <w:noProof/>
                <w:webHidden/>
              </w:rPr>
              <w:t>11</w:t>
            </w:r>
            <w:r w:rsidR="00FD7B93">
              <w:rPr>
                <w:noProof/>
                <w:webHidden/>
              </w:rPr>
              <w:fldChar w:fldCharType="end"/>
            </w:r>
          </w:hyperlink>
        </w:p>
        <w:p w14:paraId="26FDEC07" w14:textId="4076C8EB" w:rsidR="00FD7B93" w:rsidRDefault="00FA367E" w:rsidP="00CF0AAA">
          <w:pPr>
            <w:pStyle w:val="TOC1"/>
            <w:rPr>
              <w:rFonts w:eastAsiaTheme="minorEastAsia"/>
              <w:noProof/>
              <w:lang w:eastAsia="en-AU"/>
            </w:rPr>
          </w:pPr>
          <w:hyperlink w:anchor="_Toc22901155" w:history="1">
            <w:r w:rsidR="00FD7B93" w:rsidRPr="00D54B90">
              <w:rPr>
                <w:rStyle w:val="Hyperlink"/>
                <w:rFonts w:ascii="Arial" w:hAnsi="Arial" w:cs="Arial"/>
                <w:noProof/>
              </w:rPr>
              <w:t>4.</w:t>
            </w:r>
            <w:r w:rsidR="00FD7B93">
              <w:rPr>
                <w:rFonts w:eastAsiaTheme="minorEastAsia"/>
                <w:noProof/>
                <w:lang w:eastAsia="en-AU"/>
              </w:rPr>
              <w:tab/>
            </w:r>
            <w:r w:rsidR="00FD7B93" w:rsidRPr="00D54B90">
              <w:rPr>
                <w:rStyle w:val="Hyperlink"/>
                <w:rFonts w:ascii="Arial" w:eastAsia="MS PGothic" w:hAnsi="Arial" w:cs="Arial"/>
                <w:noProof/>
              </w:rPr>
              <w:t>Servicing Licensees and Verifiers</w:t>
            </w:r>
            <w:r w:rsidR="00FD7B93">
              <w:rPr>
                <w:noProof/>
                <w:webHidden/>
              </w:rPr>
              <w:tab/>
            </w:r>
            <w:r w:rsidR="00FD7B93">
              <w:rPr>
                <w:noProof/>
                <w:webHidden/>
              </w:rPr>
              <w:fldChar w:fldCharType="begin"/>
            </w:r>
            <w:r w:rsidR="00FD7B93">
              <w:rPr>
                <w:noProof/>
                <w:webHidden/>
              </w:rPr>
              <w:instrText xml:space="preserve"> PAGEREF _Toc22901155 \h </w:instrText>
            </w:r>
            <w:r w:rsidR="00FD7B93">
              <w:rPr>
                <w:noProof/>
                <w:webHidden/>
              </w:rPr>
            </w:r>
            <w:r w:rsidR="00FD7B93">
              <w:rPr>
                <w:noProof/>
                <w:webHidden/>
              </w:rPr>
              <w:fldChar w:fldCharType="separate"/>
            </w:r>
            <w:r w:rsidR="004F3C71">
              <w:rPr>
                <w:noProof/>
                <w:webHidden/>
              </w:rPr>
              <w:t>13</w:t>
            </w:r>
            <w:r w:rsidR="00FD7B93">
              <w:rPr>
                <w:noProof/>
                <w:webHidden/>
              </w:rPr>
              <w:fldChar w:fldCharType="end"/>
            </w:r>
          </w:hyperlink>
        </w:p>
        <w:p w14:paraId="7654841C" w14:textId="2806A80E" w:rsidR="00FD7B93" w:rsidRDefault="00FA367E">
          <w:pPr>
            <w:pStyle w:val="TOC2"/>
            <w:tabs>
              <w:tab w:val="right" w:leader="dot" w:pos="9016"/>
            </w:tabs>
            <w:rPr>
              <w:rFonts w:eastAsiaTheme="minorEastAsia"/>
              <w:noProof/>
              <w:lang w:eastAsia="en-AU"/>
            </w:rPr>
          </w:pPr>
          <w:hyperlink w:anchor="_Toc22901156" w:history="1">
            <w:r w:rsidR="00FD7B93" w:rsidRPr="00D54B90">
              <w:rPr>
                <w:rStyle w:val="Hyperlink"/>
                <w:noProof/>
              </w:rPr>
              <w:t>4.1 Current Arrangements</w:t>
            </w:r>
            <w:r w:rsidR="00FD7B93">
              <w:rPr>
                <w:noProof/>
                <w:webHidden/>
              </w:rPr>
              <w:tab/>
            </w:r>
            <w:r w:rsidR="00FD7B93">
              <w:rPr>
                <w:noProof/>
                <w:webHidden/>
              </w:rPr>
              <w:fldChar w:fldCharType="begin"/>
            </w:r>
            <w:r w:rsidR="00FD7B93">
              <w:rPr>
                <w:noProof/>
                <w:webHidden/>
              </w:rPr>
              <w:instrText xml:space="preserve"> PAGEREF _Toc22901156 \h </w:instrText>
            </w:r>
            <w:r w:rsidR="00FD7B93">
              <w:rPr>
                <w:noProof/>
                <w:webHidden/>
              </w:rPr>
            </w:r>
            <w:r w:rsidR="00FD7B93">
              <w:rPr>
                <w:noProof/>
                <w:webHidden/>
              </w:rPr>
              <w:fldChar w:fldCharType="separate"/>
            </w:r>
            <w:r w:rsidR="004F3C71">
              <w:rPr>
                <w:noProof/>
                <w:webHidden/>
              </w:rPr>
              <w:t>13</w:t>
            </w:r>
            <w:r w:rsidR="00FD7B93">
              <w:rPr>
                <w:noProof/>
                <w:webHidden/>
              </w:rPr>
              <w:fldChar w:fldCharType="end"/>
            </w:r>
          </w:hyperlink>
        </w:p>
        <w:p w14:paraId="235D0F86" w14:textId="2269DBE8" w:rsidR="00FD7B93" w:rsidRDefault="00FA367E" w:rsidP="00CF0AAA">
          <w:pPr>
            <w:pStyle w:val="TOC1"/>
            <w:rPr>
              <w:rFonts w:eastAsiaTheme="minorEastAsia"/>
              <w:noProof/>
              <w:lang w:eastAsia="en-AU"/>
            </w:rPr>
          </w:pPr>
          <w:hyperlink w:anchor="_Toc22901157" w:history="1">
            <w:r w:rsidR="00FD7B93" w:rsidRPr="00D54B90">
              <w:rPr>
                <w:rStyle w:val="Hyperlink"/>
                <w:rFonts w:ascii="Arial" w:eastAsia="MS PGothic" w:hAnsi="Arial" w:cs="Arial"/>
                <w:noProof/>
              </w:rPr>
              <w:t>5.</w:t>
            </w:r>
            <w:r w:rsidR="00FD7B93">
              <w:rPr>
                <w:rFonts w:eastAsiaTheme="minorEastAsia"/>
                <w:noProof/>
                <w:lang w:eastAsia="en-AU"/>
              </w:rPr>
              <w:tab/>
            </w:r>
            <w:r w:rsidR="00FD7B93" w:rsidRPr="00D54B90">
              <w:rPr>
                <w:rStyle w:val="Hyperlink"/>
                <w:rFonts w:ascii="Arial" w:eastAsia="MS PGothic" w:hAnsi="Arial" w:cs="Arial"/>
                <w:noProof/>
              </w:rPr>
              <w:t>Utility Meter Verifiers (UMVs)</w:t>
            </w:r>
            <w:r w:rsidR="00FD7B93">
              <w:rPr>
                <w:noProof/>
                <w:webHidden/>
              </w:rPr>
              <w:tab/>
            </w:r>
            <w:r w:rsidR="00FD7B93">
              <w:rPr>
                <w:noProof/>
                <w:webHidden/>
              </w:rPr>
              <w:fldChar w:fldCharType="begin"/>
            </w:r>
            <w:r w:rsidR="00FD7B93">
              <w:rPr>
                <w:noProof/>
                <w:webHidden/>
              </w:rPr>
              <w:instrText xml:space="preserve"> PAGEREF _Toc22901157 \h </w:instrText>
            </w:r>
            <w:r w:rsidR="00FD7B93">
              <w:rPr>
                <w:noProof/>
                <w:webHidden/>
              </w:rPr>
            </w:r>
            <w:r w:rsidR="00FD7B93">
              <w:rPr>
                <w:noProof/>
                <w:webHidden/>
              </w:rPr>
              <w:fldChar w:fldCharType="separate"/>
            </w:r>
            <w:r w:rsidR="004F3C71">
              <w:rPr>
                <w:noProof/>
                <w:webHidden/>
              </w:rPr>
              <w:t>15</w:t>
            </w:r>
            <w:r w:rsidR="00FD7B93">
              <w:rPr>
                <w:noProof/>
                <w:webHidden/>
              </w:rPr>
              <w:fldChar w:fldCharType="end"/>
            </w:r>
          </w:hyperlink>
        </w:p>
        <w:p w14:paraId="44294A24" w14:textId="52261D4F" w:rsidR="00FD7B93" w:rsidRDefault="00FA367E">
          <w:pPr>
            <w:pStyle w:val="TOC2"/>
            <w:tabs>
              <w:tab w:val="right" w:leader="dot" w:pos="9016"/>
            </w:tabs>
            <w:rPr>
              <w:rFonts w:eastAsiaTheme="minorEastAsia"/>
              <w:noProof/>
              <w:lang w:eastAsia="en-AU"/>
            </w:rPr>
          </w:pPr>
          <w:hyperlink w:anchor="_Toc22901158" w:history="1">
            <w:r w:rsidR="00FD7B93" w:rsidRPr="00D54B90">
              <w:rPr>
                <w:rStyle w:val="Hyperlink"/>
                <w:noProof/>
              </w:rPr>
              <w:t>5.1 Current Arrangements</w:t>
            </w:r>
            <w:r w:rsidR="00FD7B93">
              <w:rPr>
                <w:noProof/>
                <w:webHidden/>
              </w:rPr>
              <w:tab/>
            </w:r>
            <w:r w:rsidR="00FD7B93">
              <w:rPr>
                <w:noProof/>
                <w:webHidden/>
              </w:rPr>
              <w:fldChar w:fldCharType="begin"/>
            </w:r>
            <w:r w:rsidR="00FD7B93">
              <w:rPr>
                <w:noProof/>
                <w:webHidden/>
              </w:rPr>
              <w:instrText xml:space="preserve"> PAGEREF _Toc22901158 \h </w:instrText>
            </w:r>
            <w:r w:rsidR="00FD7B93">
              <w:rPr>
                <w:noProof/>
                <w:webHidden/>
              </w:rPr>
            </w:r>
            <w:r w:rsidR="00FD7B93">
              <w:rPr>
                <w:noProof/>
                <w:webHidden/>
              </w:rPr>
              <w:fldChar w:fldCharType="separate"/>
            </w:r>
            <w:r w:rsidR="004F3C71">
              <w:rPr>
                <w:noProof/>
                <w:webHidden/>
              </w:rPr>
              <w:t>15</w:t>
            </w:r>
            <w:r w:rsidR="00FD7B93">
              <w:rPr>
                <w:noProof/>
                <w:webHidden/>
              </w:rPr>
              <w:fldChar w:fldCharType="end"/>
            </w:r>
          </w:hyperlink>
        </w:p>
        <w:p w14:paraId="7F0E2556" w14:textId="1B3F4B39" w:rsidR="00FD7B93" w:rsidRDefault="00FA367E">
          <w:pPr>
            <w:pStyle w:val="TOC2"/>
            <w:tabs>
              <w:tab w:val="right" w:leader="dot" w:pos="9016"/>
            </w:tabs>
            <w:rPr>
              <w:rFonts w:eastAsiaTheme="minorEastAsia"/>
              <w:noProof/>
              <w:lang w:eastAsia="en-AU"/>
            </w:rPr>
          </w:pPr>
          <w:hyperlink w:anchor="_Toc22901159" w:history="1">
            <w:r w:rsidR="00FD7B93" w:rsidRPr="00D54B90">
              <w:rPr>
                <w:rStyle w:val="Hyperlink"/>
                <w:noProof/>
              </w:rPr>
              <w:t>5.2 Issues</w:t>
            </w:r>
            <w:r w:rsidR="00FD7B93">
              <w:rPr>
                <w:noProof/>
                <w:webHidden/>
              </w:rPr>
              <w:tab/>
            </w:r>
            <w:r w:rsidR="00FD7B93">
              <w:rPr>
                <w:noProof/>
                <w:webHidden/>
              </w:rPr>
              <w:fldChar w:fldCharType="begin"/>
            </w:r>
            <w:r w:rsidR="00FD7B93">
              <w:rPr>
                <w:noProof/>
                <w:webHidden/>
              </w:rPr>
              <w:instrText xml:space="preserve"> PAGEREF _Toc22901159 \h </w:instrText>
            </w:r>
            <w:r w:rsidR="00FD7B93">
              <w:rPr>
                <w:noProof/>
                <w:webHidden/>
              </w:rPr>
            </w:r>
            <w:r w:rsidR="00FD7B93">
              <w:rPr>
                <w:noProof/>
                <w:webHidden/>
              </w:rPr>
              <w:fldChar w:fldCharType="separate"/>
            </w:r>
            <w:r w:rsidR="004F3C71">
              <w:rPr>
                <w:noProof/>
                <w:webHidden/>
              </w:rPr>
              <w:t>16</w:t>
            </w:r>
            <w:r w:rsidR="00FD7B93">
              <w:rPr>
                <w:noProof/>
                <w:webHidden/>
              </w:rPr>
              <w:fldChar w:fldCharType="end"/>
            </w:r>
          </w:hyperlink>
        </w:p>
        <w:p w14:paraId="5CBB4169" w14:textId="66359648" w:rsidR="00FD7B93" w:rsidRDefault="00FA367E" w:rsidP="00CF0AAA">
          <w:pPr>
            <w:pStyle w:val="TOC1"/>
            <w:rPr>
              <w:rFonts w:eastAsiaTheme="minorEastAsia"/>
              <w:noProof/>
              <w:lang w:eastAsia="en-AU"/>
            </w:rPr>
          </w:pPr>
          <w:hyperlink w:anchor="_Toc22901160" w:history="1">
            <w:r w:rsidR="00FD7B93" w:rsidRPr="00D54B90">
              <w:rPr>
                <w:rStyle w:val="Hyperlink"/>
                <w:rFonts w:ascii="Arial" w:eastAsia="MS PGothic" w:hAnsi="Arial" w:cs="Arial"/>
                <w:noProof/>
              </w:rPr>
              <w:t>6.</w:t>
            </w:r>
            <w:r w:rsidR="00FD7B93">
              <w:rPr>
                <w:rFonts w:eastAsiaTheme="minorEastAsia"/>
                <w:noProof/>
                <w:lang w:eastAsia="en-AU"/>
              </w:rPr>
              <w:tab/>
            </w:r>
            <w:r w:rsidR="00FD7B93" w:rsidRPr="00D54B90">
              <w:rPr>
                <w:rStyle w:val="Hyperlink"/>
                <w:rFonts w:ascii="Arial" w:eastAsia="MS PGothic" w:hAnsi="Arial" w:cs="Arial"/>
                <w:noProof/>
              </w:rPr>
              <w:t xml:space="preserve">Public </w:t>
            </w:r>
            <w:r w:rsidR="00FD7B93" w:rsidRPr="00D54B90">
              <w:rPr>
                <w:rStyle w:val="Hyperlink"/>
                <w:rFonts w:ascii="Arial" w:hAnsi="Arial" w:cs="Arial"/>
                <w:noProof/>
              </w:rPr>
              <w:t>Weighbridge</w:t>
            </w:r>
            <w:r w:rsidR="00FD7B93" w:rsidRPr="00D54B90">
              <w:rPr>
                <w:rStyle w:val="Hyperlink"/>
                <w:rFonts w:ascii="Arial" w:eastAsia="MS PGothic" w:hAnsi="Arial" w:cs="Arial"/>
                <w:noProof/>
              </w:rPr>
              <w:t xml:space="preserve"> Licensees and Weighbridge Operators</w:t>
            </w:r>
            <w:r w:rsidR="00FD7B93">
              <w:rPr>
                <w:noProof/>
                <w:webHidden/>
              </w:rPr>
              <w:tab/>
            </w:r>
            <w:r w:rsidR="00FD7B93">
              <w:rPr>
                <w:noProof/>
                <w:webHidden/>
              </w:rPr>
              <w:fldChar w:fldCharType="begin"/>
            </w:r>
            <w:r w:rsidR="00FD7B93">
              <w:rPr>
                <w:noProof/>
                <w:webHidden/>
              </w:rPr>
              <w:instrText xml:space="preserve"> PAGEREF _Toc22901160 \h </w:instrText>
            </w:r>
            <w:r w:rsidR="00FD7B93">
              <w:rPr>
                <w:noProof/>
                <w:webHidden/>
              </w:rPr>
            </w:r>
            <w:r w:rsidR="00FD7B93">
              <w:rPr>
                <w:noProof/>
                <w:webHidden/>
              </w:rPr>
              <w:fldChar w:fldCharType="separate"/>
            </w:r>
            <w:r w:rsidR="004F3C71">
              <w:rPr>
                <w:noProof/>
                <w:webHidden/>
              </w:rPr>
              <w:t>17</w:t>
            </w:r>
            <w:r w:rsidR="00FD7B93">
              <w:rPr>
                <w:noProof/>
                <w:webHidden/>
              </w:rPr>
              <w:fldChar w:fldCharType="end"/>
            </w:r>
          </w:hyperlink>
        </w:p>
        <w:p w14:paraId="16C94C03" w14:textId="30D33A6C" w:rsidR="00FD7B93" w:rsidRDefault="00FA367E">
          <w:pPr>
            <w:pStyle w:val="TOC2"/>
            <w:tabs>
              <w:tab w:val="right" w:leader="dot" w:pos="9016"/>
            </w:tabs>
            <w:rPr>
              <w:rFonts w:eastAsiaTheme="minorEastAsia"/>
              <w:noProof/>
              <w:lang w:eastAsia="en-AU"/>
            </w:rPr>
          </w:pPr>
          <w:hyperlink w:anchor="_Toc22901161" w:history="1">
            <w:r w:rsidR="00FD7B93" w:rsidRPr="00D54B90">
              <w:rPr>
                <w:rStyle w:val="Hyperlink"/>
                <w:noProof/>
              </w:rPr>
              <w:t>6.1 Current Arrangements</w:t>
            </w:r>
            <w:r w:rsidR="00FD7B93">
              <w:rPr>
                <w:noProof/>
                <w:webHidden/>
              </w:rPr>
              <w:tab/>
            </w:r>
            <w:r w:rsidR="00FD7B93">
              <w:rPr>
                <w:noProof/>
                <w:webHidden/>
              </w:rPr>
              <w:fldChar w:fldCharType="begin"/>
            </w:r>
            <w:r w:rsidR="00FD7B93">
              <w:rPr>
                <w:noProof/>
                <w:webHidden/>
              </w:rPr>
              <w:instrText xml:space="preserve"> PAGEREF _Toc22901161 \h </w:instrText>
            </w:r>
            <w:r w:rsidR="00FD7B93">
              <w:rPr>
                <w:noProof/>
                <w:webHidden/>
              </w:rPr>
            </w:r>
            <w:r w:rsidR="00FD7B93">
              <w:rPr>
                <w:noProof/>
                <w:webHidden/>
              </w:rPr>
              <w:fldChar w:fldCharType="separate"/>
            </w:r>
            <w:r w:rsidR="004F3C71">
              <w:rPr>
                <w:noProof/>
                <w:webHidden/>
              </w:rPr>
              <w:t>17</w:t>
            </w:r>
            <w:r w:rsidR="00FD7B93">
              <w:rPr>
                <w:noProof/>
                <w:webHidden/>
              </w:rPr>
              <w:fldChar w:fldCharType="end"/>
            </w:r>
          </w:hyperlink>
        </w:p>
        <w:p w14:paraId="4375D406" w14:textId="32751B26" w:rsidR="00FD7B93" w:rsidRDefault="00FA367E">
          <w:pPr>
            <w:pStyle w:val="TOC2"/>
            <w:tabs>
              <w:tab w:val="right" w:leader="dot" w:pos="9016"/>
            </w:tabs>
            <w:rPr>
              <w:rFonts w:eastAsiaTheme="minorEastAsia"/>
              <w:noProof/>
              <w:lang w:eastAsia="en-AU"/>
            </w:rPr>
          </w:pPr>
          <w:hyperlink w:anchor="_Toc22901162" w:history="1">
            <w:r w:rsidR="00FD7B93" w:rsidRPr="00D54B90">
              <w:rPr>
                <w:rStyle w:val="Hyperlink"/>
                <w:noProof/>
              </w:rPr>
              <w:t>6.2 Issues</w:t>
            </w:r>
            <w:r w:rsidR="00FD7B93">
              <w:rPr>
                <w:noProof/>
                <w:webHidden/>
              </w:rPr>
              <w:tab/>
            </w:r>
            <w:r w:rsidR="00FD7B93">
              <w:rPr>
                <w:noProof/>
                <w:webHidden/>
              </w:rPr>
              <w:fldChar w:fldCharType="begin"/>
            </w:r>
            <w:r w:rsidR="00FD7B93">
              <w:rPr>
                <w:noProof/>
                <w:webHidden/>
              </w:rPr>
              <w:instrText xml:space="preserve"> PAGEREF _Toc22901162 \h </w:instrText>
            </w:r>
            <w:r w:rsidR="00FD7B93">
              <w:rPr>
                <w:noProof/>
                <w:webHidden/>
              </w:rPr>
            </w:r>
            <w:r w:rsidR="00FD7B93">
              <w:rPr>
                <w:noProof/>
                <w:webHidden/>
              </w:rPr>
              <w:fldChar w:fldCharType="separate"/>
            </w:r>
            <w:r w:rsidR="004F3C71">
              <w:rPr>
                <w:noProof/>
                <w:webHidden/>
              </w:rPr>
              <w:t>18</w:t>
            </w:r>
            <w:r w:rsidR="00FD7B93">
              <w:rPr>
                <w:noProof/>
                <w:webHidden/>
              </w:rPr>
              <w:fldChar w:fldCharType="end"/>
            </w:r>
          </w:hyperlink>
        </w:p>
        <w:p w14:paraId="1A53C838" w14:textId="519F5972" w:rsidR="00FD7B93" w:rsidRDefault="00FA367E" w:rsidP="00CF0AAA">
          <w:pPr>
            <w:pStyle w:val="TOC1"/>
            <w:rPr>
              <w:rFonts w:eastAsiaTheme="minorEastAsia"/>
              <w:noProof/>
              <w:lang w:eastAsia="en-AU"/>
            </w:rPr>
          </w:pPr>
          <w:hyperlink w:anchor="_Toc22901163" w:history="1">
            <w:r w:rsidR="00FD7B93" w:rsidRPr="00D54B90">
              <w:rPr>
                <w:rStyle w:val="Hyperlink"/>
                <w:rFonts w:ascii="Arial" w:hAnsi="Arial" w:cs="Arial"/>
                <w:noProof/>
              </w:rPr>
              <w:t>7. Legal Metrology Authorities (LMAs)</w:t>
            </w:r>
            <w:r w:rsidR="00FD7B93">
              <w:rPr>
                <w:noProof/>
                <w:webHidden/>
              </w:rPr>
              <w:tab/>
            </w:r>
            <w:r w:rsidR="00FD7B93">
              <w:rPr>
                <w:noProof/>
                <w:webHidden/>
              </w:rPr>
              <w:fldChar w:fldCharType="begin"/>
            </w:r>
            <w:r w:rsidR="00FD7B93">
              <w:rPr>
                <w:noProof/>
                <w:webHidden/>
              </w:rPr>
              <w:instrText xml:space="preserve"> PAGEREF _Toc22901163 \h </w:instrText>
            </w:r>
            <w:r w:rsidR="00FD7B93">
              <w:rPr>
                <w:noProof/>
                <w:webHidden/>
              </w:rPr>
            </w:r>
            <w:r w:rsidR="00FD7B93">
              <w:rPr>
                <w:noProof/>
                <w:webHidden/>
              </w:rPr>
              <w:fldChar w:fldCharType="separate"/>
            </w:r>
            <w:r w:rsidR="004F3C71">
              <w:rPr>
                <w:noProof/>
                <w:webHidden/>
              </w:rPr>
              <w:t>20</w:t>
            </w:r>
            <w:r w:rsidR="00FD7B93">
              <w:rPr>
                <w:noProof/>
                <w:webHidden/>
              </w:rPr>
              <w:fldChar w:fldCharType="end"/>
            </w:r>
          </w:hyperlink>
        </w:p>
        <w:p w14:paraId="1B34BE40" w14:textId="69373FAE" w:rsidR="00FD7B93" w:rsidRDefault="00FA367E">
          <w:pPr>
            <w:pStyle w:val="TOC2"/>
            <w:tabs>
              <w:tab w:val="right" w:leader="dot" w:pos="9016"/>
            </w:tabs>
            <w:rPr>
              <w:rFonts w:eastAsiaTheme="minorEastAsia"/>
              <w:noProof/>
              <w:lang w:eastAsia="en-AU"/>
            </w:rPr>
          </w:pPr>
          <w:hyperlink w:anchor="_Toc22901164" w:history="1">
            <w:r w:rsidR="00FD7B93" w:rsidRPr="00D54B90">
              <w:rPr>
                <w:rStyle w:val="Hyperlink"/>
                <w:noProof/>
              </w:rPr>
              <w:t>7.1 Current Arrangements</w:t>
            </w:r>
            <w:r w:rsidR="00FD7B93">
              <w:rPr>
                <w:noProof/>
                <w:webHidden/>
              </w:rPr>
              <w:tab/>
            </w:r>
            <w:r w:rsidR="00FD7B93">
              <w:rPr>
                <w:noProof/>
                <w:webHidden/>
              </w:rPr>
              <w:fldChar w:fldCharType="begin"/>
            </w:r>
            <w:r w:rsidR="00FD7B93">
              <w:rPr>
                <w:noProof/>
                <w:webHidden/>
              </w:rPr>
              <w:instrText xml:space="preserve"> PAGEREF _Toc22901164 \h </w:instrText>
            </w:r>
            <w:r w:rsidR="00FD7B93">
              <w:rPr>
                <w:noProof/>
                <w:webHidden/>
              </w:rPr>
            </w:r>
            <w:r w:rsidR="00FD7B93">
              <w:rPr>
                <w:noProof/>
                <w:webHidden/>
              </w:rPr>
              <w:fldChar w:fldCharType="separate"/>
            </w:r>
            <w:r w:rsidR="004F3C71">
              <w:rPr>
                <w:noProof/>
                <w:webHidden/>
              </w:rPr>
              <w:t>20</w:t>
            </w:r>
            <w:r w:rsidR="00FD7B93">
              <w:rPr>
                <w:noProof/>
                <w:webHidden/>
              </w:rPr>
              <w:fldChar w:fldCharType="end"/>
            </w:r>
          </w:hyperlink>
        </w:p>
        <w:p w14:paraId="51734FAD" w14:textId="0792EB2E" w:rsidR="00FD7B93" w:rsidRDefault="00FA367E">
          <w:pPr>
            <w:pStyle w:val="TOC2"/>
            <w:tabs>
              <w:tab w:val="right" w:leader="dot" w:pos="9016"/>
            </w:tabs>
            <w:rPr>
              <w:rFonts w:eastAsiaTheme="minorEastAsia"/>
              <w:noProof/>
              <w:lang w:eastAsia="en-AU"/>
            </w:rPr>
          </w:pPr>
          <w:hyperlink w:anchor="_Toc22901165" w:history="1">
            <w:r w:rsidR="00FD7B93" w:rsidRPr="00D54B90">
              <w:rPr>
                <w:rStyle w:val="Hyperlink"/>
                <w:noProof/>
              </w:rPr>
              <w:t>7.2 Issues</w:t>
            </w:r>
            <w:r w:rsidR="00FD7B93">
              <w:rPr>
                <w:noProof/>
                <w:webHidden/>
              </w:rPr>
              <w:tab/>
            </w:r>
            <w:r w:rsidR="00FD7B93">
              <w:rPr>
                <w:noProof/>
                <w:webHidden/>
              </w:rPr>
              <w:fldChar w:fldCharType="begin"/>
            </w:r>
            <w:r w:rsidR="00FD7B93">
              <w:rPr>
                <w:noProof/>
                <w:webHidden/>
              </w:rPr>
              <w:instrText xml:space="preserve"> PAGEREF _Toc22901165 \h </w:instrText>
            </w:r>
            <w:r w:rsidR="00FD7B93">
              <w:rPr>
                <w:noProof/>
                <w:webHidden/>
              </w:rPr>
            </w:r>
            <w:r w:rsidR="00FD7B93">
              <w:rPr>
                <w:noProof/>
                <w:webHidden/>
              </w:rPr>
              <w:fldChar w:fldCharType="separate"/>
            </w:r>
            <w:r w:rsidR="004F3C71">
              <w:rPr>
                <w:noProof/>
                <w:webHidden/>
              </w:rPr>
              <w:t>21</w:t>
            </w:r>
            <w:r w:rsidR="00FD7B93">
              <w:rPr>
                <w:noProof/>
                <w:webHidden/>
              </w:rPr>
              <w:fldChar w:fldCharType="end"/>
            </w:r>
          </w:hyperlink>
        </w:p>
        <w:p w14:paraId="4FC4830D" w14:textId="2A54E595" w:rsidR="00FD7B93" w:rsidRDefault="00FA367E" w:rsidP="00CF0AAA">
          <w:pPr>
            <w:pStyle w:val="TOC1"/>
            <w:rPr>
              <w:rFonts w:eastAsiaTheme="minorEastAsia"/>
              <w:noProof/>
              <w:lang w:eastAsia="en-AU"/>
            </w:rPr>
          </w:pPr>
          <w:hyperlink w:anchor="_Toc22901166" w:history="1">
            <w:r w:rsidR="00FD7B93" w:rsidRPr="00D54B90">
              <w:rPr>
                <w:rStyle w:val="Hyperlink"/>
                <w:rFonts w:ascii="Arial" w:hAnsi="Arial" w:cs="Arial"/>
                <w:noProof/>
              </w:rPr>
              <w:t>Appendix A: Comparison of Third Party Arrangements</w:t>
            </w:r>
            <w:r w:rsidR="00FD7B93">
              <w:rPr>
                <w:noProof/>
                <w:webHidden/>
              </w:rPr>
              <w:tab/>
            </w:r>
            <w:r w:rsidR="00FD7B93">
              <w:rPr>
                <w:noProof/>
                <w:webHidden/>
              </w:rPr>
              <w:fldChar w:fldCharType="begin"/>
            </w:r>
            <w:r w:rsidR="00FD7B93">
              <w:rPr>
                <w:noProof/>
                <w:webHidden/>
              </w:rPr>
              <w:instrText xml:space="preserve"> PAGEREF _Toc22901166 \h </w:instrText>
            </w:r>
            <w:r w:rsidR="00FD7B93">
              <w:rPr>
                <w:noProof/>
                <w:webHidden/>
              </w:rPr>
            </w:r>
            <w:r w:rsidR="00FD7B93">
              <w:rPr>
                <w:noProof/>
                <w:webHidden/>
              </w:rPr>
              <w:fldChar w:fldCharType="separate"/>
            </w:r>
            <w:r w:rsidR="004F3C71">
              <w:rPr>
                <w:noProof/>
                <w:webHidden/>
              </w:rPr>
              <w:t>22</w:t>
            </w:r>
            <w:r w:rsidR="00FD7B93">
              <w:rPr>
                <w:noProof/>
                <w:webHidden/>
              </w:rPr>
              <w:fldChar w:fldCharType="end"/>
            </w:r>
          </w:hyperlink>
        </w:p>
        <w:p w14:paraId="076D28DB" w14:textId="1557271A" w:rsidR="00A4385D" w:rsidRPr="008A75AA" w:rsidRDefault="00394A13" w:rsidP="00A4385D">
          <w:r>
            <w:rPr>
              <w:b/>
              <w:bCs/>
              <w:noProof/>
            </w:rPr>
            <w:fldChar w:fldCharType="end"/>
          </w:r>
        </w:p>
      </w:sdtContent>
    </w:sdt>
    <w:p w14:paraId="02DF8AB7" w14:textId="77777777" w:rsidR="00F3411F" w:rsidRDefault="00F3411F">
      <w:pPr>
        <w:rPr>
          <w:rFonts w:ascii="Arial" w:eastAsia="MS PGothic" w:hAnsi="Arial" w:cs="Arial"/>
          <w:color w:val="004059"/>
          <w:sz w:val="40"/>
          <w:szCs w:val="40"/>
        </w:rPr>
      </w:pPr>
      <w:bookmarkStart w:id="5" w:name="_Toc19539220"/>
      <w:bookmarkStart w:id="6" w:name="_Toc19539511"/>
      <w:bookmarkStart w:id="7" w:name="_Toc19627765"/>
      <w:bookmarkStart w:id="8" w:name="_Toc19633168"/>
      <w:bookmarkStart w:id="9" w:name="_Toc19884185"/>
      <w:bookmarkStart w:id="10" w:name="_Toc19891376"/>
      <w:bookmarkStart w:id="11" w:name="_Toc19891385"/>
      <w:bookmarkStart w:id="12" w:name="_Toc19891424"/>
      <w:bookmarkStart w:id="13" w:name="_Toc22897255"/>
      <w:bookmarkEnd w:id="2"/>
      <w:bookmarkEnd w:id="3"/>
      <w:bookmarkEnd w:id="4"/>
      <w:r>
        <w:rPr>
          <w:rFonts w:ascii="Arial" w:eastAsia="MS PGothic" w:hAnsi="Arial" w:cs="Arial"/>
          <w:color w:val="004059"/>
          <w:sz w:val="40"/>
          <w:szCs w:val="40"/>
        </w:rPr>
        <w:br w:type="page"/>
      </w:r>
    </w:p>
    <w:p w14:paraId="01C50339" w14:textId="0E8441DE" w:rsidR="00A4385D" w:rsidRPr="00DB1AAC" w:rsidRDefault="00A4385D" w:rsidP="00AC3B97">
      <w:pPr>
        <w:pStyle w:val="Heading1"/>
        <w:numPr>
          <w:ilvl w:val="0"/>
          <w:numId w:val="14"/>
        </w:numPr>
        <w:ind w:left="567" w:hanging="567"/>
        <w:jc w:val="both"/>
        <w:rPr>
          <w:rFonts w:eastAsia="MS PGothic" w:cs="Arial"/>
          <w:color w:val="004059"/>
          <w:sz w:val="40"/>
          <w:szCs w:val="40"/>
        </w:rPr>
      </w:pPr>
      <w:bookmarkStart w:id="14" w:name="_Toc22899665"/>
      <w:bookmarkStart w:id="15" w:name="_Toc22900302"/>
      <w:bookmarkStart w:id="16" w:name="_Toc22901142"/>
      <w:r w:rsidRPr="00DB1AAC">
        <w:rPr>
          <w:rFonts w:eastAsia="MS PGothic" w:cs="Arial"/>
          <w:color w:val="004059"/>
          <w:sz w:val="40"/>
          <w:szCs w:val="40"/>
        </w:rPr>
        <w:lastRenderedPageBreak/>
        <w:t>Overview</w:t>
      </w:r>
      <w:bookmarkEnd w:id="5"/>
      <w:bookmarkEnd w:id="6"/>
      <w:bookmarkEnd w:id="7"/>
      <w:bookmarkEnd w:id="8"/>
      <w:bookmarkEnd w:id="9"/>
      <w:bookmarkEnd w:id="10"/>
      <w:bookmarkEnd w:id="11"/>
      <w:bookmarkEnd w:id="12"/>
      <w:bookmarkEnd w:id="13"/>
      <w:bookmarkEnd w:id="14"/>
      <w:bookmarkEnd w:id="15"/>
      <w:bookmarkEnd w:id="16"/>
    </w:p>
    <w:p w14:paraId="7E1954E1" w14:textId="77777777" w:rsidR="00A4385D" w:rsidRPr="00F14F91" w:rsidRDefault="00A4385D" w:rsidP="00A4385D">
      <w:r w:rsidRPr="00F14F91">
        <w:t>Measurement plays an important role in Australia’s economy. As</w:t>
      </w:r>
      <w:r>
        <w:t xml:space="preserve"> detailed in section 51</w:t>
      </w:r>
      <w:r w:rsidRPr="00F14F91">
        <w:t xml:space="preserve">(xv) of the Constitution, the Australian Government has </w:t>
      </w:r>
      <w:r>
        <w:t>power to legislate in relation to</w:t>
      </w:r>
      <w:r w:rsidRPr="00F14F91">
        <w:t xml:space="preserve"> weights and measures and</w:t>
      </w:r>
      <w:r>
        <w:t xml:space="preserve"> has </w:t>
      </w:r>
      <w:r w:rsidRPr="00F14F91">
        <w:t>enacted legislation to carry out its metrological functions. The objectives of this legislation include establishing and coordinating a uniform national system of measurement, including trade measurement.</w:t>
      </w:r>
    </w:p>
    <w:p w14:paraId="2CDA3E44" w14:textId="77777777" w:rsidR="00A4385D" w:rsidRDefault="00A4385D" w:rsidP="00A4385D">
      <w:r>
        <w:t>A 2015 independent</w:t>
      </w:r>
      <w:r w:rsidRPr="00505332">
        <w:t xml:space="preserve"> </w:t>
      </w:r>
      <w:r>
        <w:t>review of Australia’s legal metrology activities indicated while the national measurement system is working well, the legislation is:</w:t>
      </w:r>
    </w:p>
    <w:p w14:paraId="4B93914B" w14:textId="166F7E38" w:rsidR="00A4385D" w:rsidRPr="006E0F9C" w:rsidRDefault="00A4385D" w:rsidP="00C254F9">
      <w:pPr>
        <w:numPr>
          <w:ilvl w:val="0"/>
          <w:numId w:val="13"/>
        </w:numPr>
        <w:contextualSpacing/>
      </w:pPr>
      <w:r w:rsidRPr="006E0F9C">
        <w:t>very prescriptive and needs to address matters of policy and principle, reduce prescription and remove matters of detail (regulatory processes) into subordinate legislation or guidance material</w:t>
      </w:r>
      <w:r w:rsidR="00281480">
        <w:t>;</w:t>
      </w:r>
    </w:p>
    <w:p w14:paraId="7739B4DF" w14:textId="78EF6820" w:rsidR="00A4385D" w:rsidRDefault="00A4385D" w:rsidP="00C254F9">
      <w:pPr>
        <w:numPr>
          <w:ilvl w:val="0"/>
          <w:numId w:val="13"/>
        </w:numPr>
        <w:contextualSpacing/>
      </w:pPr>
      <w:r w:rsidRPr="006E0F9C">
        <w:t>complicated and needs to enable the public to understand their obligations and the implications of regulatory measurements</w:t>
      </w:r>
      <w:r w:rsidR="00281480">
        <w:t>;</w:t>
      </w:r>
      <w:r w:rsidRPr="006E0F9C">
        <w:t xml:space="preserve"> and</w:t>
      </w:r>
    </w:p>
    <w:p w14:paraId="7BDCCBEA" w14:textId="77777777" w:rsidR="00A4385D" w:rsidRPr="008652AB" w:rsidRDefault="00A4385D" w:rsidP="00C254F9">
      <w:pPr>
        <w:numPr>
          <w:ilvl w:val="0"/>
          <w:numId w:val="13"/>
        </w:numPr>
      </w:pPr>
      <w:r w:rsidRPr="00C7702A">
        <w:t>not easy to understand and needs to be written in plain language to improve clarity and simplicity</w:t>
      </w:r>
      <w:r w:rsidRPr="000D0024">
        <w:t>.</w:t>
      </w:r>
    </w:p>
    <w:p w14:paraId="6087C86A" w14:textId="77777777" w:rsidR="00A4385D" w:rsidRDefault="00A4385D" w:rsidP="00A4385D">
      <w:r w:rsidRPr="00F14F91">
        <w:t xml:space="preserve">The measurement law needs to: better reflect and integrate current policy and principles into the legislation; articulate performance outcomes; and enhance flexibility, </w:t>
      </w:r>
      <w:r>
        <w:t>with consideration given to</w:t>
      </w:r>
      <w:r w:rsidRPr="00F14F91">
        <w:t xml:space="preserve"> the application of a principl</w:t>
      </w:r>
      <w:r>
        <w:t>es-based approach.</w:t>
      </w:r>
    </w:p>
    <w:p w14:paraId="542086D0" w14:textId="52E10C35" w:rsidR="00A4385D" w:rsidRPr="00293DA8" w:rsidRDefault="001445FF" w:rsidP="001445FF">
      <w:pPr>
        <w:pStyle w:val="Heading2"/>
      </w:pPr>
      <w:bookmarkStart w:id="17" w:name="_Toc3461882"/>
      <w:bookmarkStart w:id="18" w:name="_Toc18676877"/>
      <w:bookmarkStart w:id="19" w:name="_Toc18679508"/>
      <w:bookmarkStart w:id="20" w:name="_Toc19539221"/>
      <w:bookmarkStart w:id="21" w:name="_Toc19539512"/>
      <w:bookmarkStart w:id="22" w:name="_Toc19627766"/>
      <w:bookmarkStart w:id="23" w:name="_Toc19633169"/>
      <w:bookmarkStart w:id="24" w:name="_Toc19884186"/>
      <w:bookmarkStart w:id="25" w:name="_Toc19891386"/>
      <w:bookmarkStart w:id="26" w:name="_Toc19891425"/>
      <w:bookmarkStart w:id="27" w:name="_Toc22897256"/>
      <w:bookmarkStart w:id="28" w:name="_Toc22899666"/>
      <w:bookmarkStart w:id="29" w:name="_Toc22900303"/>
      <w:bookmarkStart w:id="30" w:name="_Toc22901143"/>
      <w:r>
        <w:t xml:space="preserve">1.1 </w:t>
      </w:r>
      <w:r w:rsidR="00A4385D" w:rsidRPr="00293DA8">
        <w:t>The Measurement Law Review (the Review)</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7EE0C083" w14:textId="77777777" w:rsidR="00A4385D" w:rsidRPr="00F14F91" w:rsidRDefault="00A4385D" w:rsidP="00A4385D">
      <w:r w:rsidRPr="00F14F91">
        <w:t>The Australian Government is conducting a review of Australia’s measurement laws. The review aims to ensure Australia’s measurement framework can support the economy now and into the future as technology, industry and consumer needs evolve.</w:t>
      </w:r>
    </w:p>
    <w:p w14:paraId="0F465176" w14:textId="77777777" w:rsidR="00A4385D" w:rsidRPr="00F14F91" w:rsidRDefault="00A4385D" w:rsidP="00A4385D">
      <w:r w:rsidRPr="00F14F91">
        <w:t xml:space="preserve">The Review provides an opportunity to consider whether the </w:t>
      </w:r>
      <w:r>
        <w:t xml:space="preserve">current </w:t>
      </w:r>
      <w:r w:rsidRPr="00F14F91">
        <w:t xml:space="preserve">legislation continues to be appropriate, effective and efficient. This paper is not an exhaustive exploration of the topic and you are welcome to raise issues and views not outlined in this paper in your submission. </w:t>
      </w:r>
      <w:r>
        <w:t>Q</w:t>
      </w:r>
      <w:r w:rsidRPr="00F14F91">
        <w:t xml:space="preserve">uestions are provided at the end of each section to prompt feedback. Any calculations of costs or benefits </w:t>
      </w:r>
      <w:r>
        <w:t xml:space="preserve">of the current </w:t>
      </w:r>
      <w:r w:rsidRPr="00F14F91">
        <w:t>regulations</w:t>
      </w:r>
      <w:r>
        <w:t xml:space="preserve"> or in response to identified issues</w:t>
      </w:r>
      <w:r w:rsidRPr="00F14F91">
        <w:t xml:space="preserve"> would be useful to include in your submission.</w:t>
      </w:r>
    </w:p>
    <w:p w14:paraId="17AFD6B0" w14:textId="77777777" w:rsidR="00A4385D" w:rsidRPr="00F14F91" w:rsidRDefault="00A4385D" w:rsidP="00A4385D">
      <w:r w:rsidRPr="00F14F91">
        <w:t xml:space="preserve">The Review </w:t>
      </w:r>
      <w:r>
        <w:t xml:space="preserve">secretariat </w:t>
      </w:r>
      <w:r w:rsidRPr="00F14F91">
        <w:t>would be interested in receiving responses from parties including, but not limited to:</w:t>
      </w:r>
    </w:p>
    <w:p w14:paraId="4FCBE7F7" w14:textId="29577756" w:rsidR="00A4385D" w:rsidRPr="00F14F91" w:rsidRDefault="00A4385D" w:rsidP="00C254F9">
      <w:pPr>
        <w:pStyle w:val="ListParagraph"/>
        <w:numPr>
          <w:ilvl w:val="0"/>
          <w:numId w:val="12"/>
        </w:numPr>
      </w:pPr>
      <w:r>
        <w:t>businesses or individuals</w:t>
      </w:r>
      <w:r w:rsidRPr="0030755B">
        <w:t xml:space="preserve"> involved in making </w:t>
      </w:r>
      <w:r>
        <w:t xml:space="preserve">or relying on </w:t>
      </w:r>
      <w:r w:rsidRPr="0030755B">
        <w:t>measurements under the legislative framework</w:t>
      </w:r>
      <w:r w:rsidR="000102B6">
        <w:t>;</w:t>
      </w:r>
    </w:p>
    <w:p w14:paraId="5C8EDA40" w14:textId="0C3429D3" w:rsidR="00A4385D" w:rsidRPr="00F14F91" w:rsidRDefault="00A4385D" w:rsidP="00C254F9">
      <w:pPr>
        <w:pStyle w:val="ListParagraph"/>
        <w:numPr>
          <w:ilvl w:val="0"/>
          <w:numId w:val="12"/>
        </w:numPr>
      </w:pPr>
      <w:r w:rsidRPr="00F14F91">
        <w:t>providers of physical, chemical and/or biological measurement services</w:t>
      </w:r>
      <w:r w:rsidR="000102B6">
        <w:t>;</w:t>
      </w:r>
    </w:p>
    <w:p w14:paraId="6F57BC30" w14:textId="1B9DDDCF" w:rsidR="00A4385D" w:rsidRDefault="00A4385D" w:rsidP="00C254F9">
      <w:pPr>
        <w:pStyle w:val="ListParagraph"/>
        <w:numPr>
          <w:ilvl w:val="0"/>
          <w:numId w:val="12"/>
        </w:numPr>
      </w:pPr>
      <w:r w:rsidRPr="00F14F91">
        <w:t>providers of measuring instruments</w:t>
      </w:r>
      <w:r w:rsidR="000102B6">
        <w:t>;</w:t>
      </w:r>
    </w:p>
    <w:p w14:paraId="13DB6FB5" w14:textId="634408BC" w:rsidR="00A4385D" w:rsidRPr="00F14F91" w:rsidRDefault="00A4385D" w:rsidP="00C254F9">
      <w:pPr>
        <w:pStyle w:val="ListParagraph"/>
        <w:numPr>
          <w:ilvl w:val="0"/>
          <w:numId w:val="12"/>
        </w:numPr>
      </w:pPr>
      <w:r w:rsidRPr="00F14F91">
        <w:t>innov</w:t>
      </w:r>
      <w:r>
        <w:t>ators of measurement technology</w:t>
      </w:r>
      <w:r w:rsidR="000102B6">
        <w:t>;</w:t>
      </w:r>
    </w:p>
    <w:p w14:paraId="64592661" w14:textId="5B900707" w:rsidR="00A4385D" w:rsidRPr="00F14F91" w:rsidRDefault="00A4385D" w:rsidP="00C254F9">
      <w:pPr>
        <w:pStyle w:val="ListParagraph"/>
        <w:numPr>
          <w:ilvl w:val="0"/>
          <w:numId w:val="12"/>
        </w:numPr>
      </w:pPr>
      <w:r w:rsidRPr="00F14F91">
        <w:t>jurisdictional agencies whose regul</w:t>
      </w:r>
      <w:r>
        <w:t>ations call up measurement laws</w:t>
      </w:r>
      <w:r w:rsidR="000102B6">
        <w:t>;</w:t>
      </w:r>
      <w:r>
        <w:t xml:space="preserve"> and</w:t>
      </w:r>
    </w:p>
    <w:p w14:paraId="4B2236D9" w14:textId="415453E1" w:rsidR="00A4385D" w:rsidRDefault="00A4385D" w:rsidP="00C254F9">
      <w:pPr>
        <w:pStyle w:val="ListParagraph"/>
        <w:numPr>
          <w:ilvl w:val="0"/>
          <w:numId w:val="12"/>
        </w:numPr>
      </w:pPr>
      <w:r w:rsidRPr="00F14F91">
        <w:t xml:space="preserve">consumers and the general public who </w:t>
      </w:r>
      <w:r>
        <w:t>rely on or are impacted by</w:t>
      </w:r>
      <w:r w:rsidRPr="00F14F91">
        <w:t xml:space="preserve"> measurement in their daily lives.</w:t>
      </w:r>
    </w:p>
    <w:p w14:paraId="0E2002CD" w14:textId="1434A909" w:rsidR="00C14144" w:rsidRPr="00F14F91" w:rsidRDefault="00A4385D" w:rsidP="00A4385D">
      <w:pPr>
        <w:rPr>
          <w:rStyle w:val="Hyperlink"/>
          <w:color w:val="70AD47" w:themeColor="accent6"/>
          <w:sz w:val="20"/>
          <w:szCs w:val="20"/>
          <w:lang w:val="en-GB"/>
        </w:rPr>
      </w:pPr>
      <w:r w:rsidRPr="00F14F91">
        <w:t xml:space="preserve">For more information on the Review, please </w:t>
      </w:r>
      <w:r w:rsidRPr="00AF0B9F">
        <w:t xml:space="preserve">visit </w:t>
      </w:r>
      <w:hyperlink r:id="rId15" w:tooltip="Measurement Law Review website link" w:history="1">
        <w:r w:rsidRPr="00AF0B9F">
          <w:rPr>
            <w:rStyle w:val="Hyperlink"/>
            <w:lang w:val="en-GB"/>
          </w:rPr>
          <w:t>www.industry.gov.au/measurement-law-review</w:t>
        </w:r>
      </w:hyperlink>
      <w:r>
        <w:rPr>
          <w:rStyle w:val="Hyperlink"/>
          <w:color w:val="70AD47" w:themeColor="accent6"/>
          <w:sz w:val="20"/>
          <w:szCs w:val="20"/>
          <w:lang w:val="en-GB"/>
        </w:rPr>
        <w:t xml:space="preserve"> </w:t>
      </w:r>
    </w:p>
    <w:p w14:paraId="5F85C520" w14:textId="77777777" w:rsidR="0001666B" w:rsidRDefault="0001666B" w:rsidP="00BB4439">
      <w:pPr>
        <w:rPr>
          <w:color w:val="000000" w:themeColor="text1"/>
        </w:rPr>
      </w:pPr>
    </w:p>
    <w:p w14:paraId="035F0EBF" w14:textId="21C68A55" w:rsidR="000533C0" w:rsidRDefault="00051EA7" w:rsidP="00774A42">
      <w:pPr>
        <w:pStyle w:val="Heading2"/>
      </w:pPr>
      <w:bookmarkStart w:id="31" w:name="_Toc22897257"/>
      <w:bookmarkStart w:id="32" w:name="_Toc22899667"/>
      <w:bookmarkStart w:id="33" w:name="_Toc22900304"/>
      <w:bookmarkStart w:id="34" w:name="_Toc22901144"/>
      <w:r>
        <w:lastRenderedPageBreak/>
        <w:t>1.2 This Discussion Paper</w:t>
      </w:r>
      <w:bookmarkEnd w:id="31"/>
      <w:bookmarkEnd w:id="32"/>
      <w:bookmarkEnd w:id="33"/>
      <w:bookmarkEnd w:id="34"/>
    </w:p>
    <w:p w14:paraId="43E3F32E" w14:textId="1F3C9C3D" w:rsidR="00A4385D" w:rsidRPr="00B060BB" w:rsidRDefault="00A4385D" w:rsidP="00AC3B97">
      <w:pPr>
        <w:keepNext/>
        <w:keepLines/>
        <w:pBdr>
          <w:top w:val="single" w:sz="4" w:space="4" w:color="5B9BD5" w:themeColor="accent1"/>
          <w:left w:val="single" w:sz="4" w:space="4" w:color="5B9BD5" w:themeColor="accent1"/>
          <w:bottom w:val="single" w:sz="4" w:space="4" w:color="5B9BD5" w:themeColor="accent1"/>
          <w:right w:val="single" w:sz="4" w:space="4" w:color="5B9BD5" w:themeColor="accent1"/>
        </w:pBdr>
        <w:shd w:val="clear" w:color="auto" w:fill="DEEAF6" w:themeFill="accent1" w:themeFillTint="33"/>
        <w:ind w:left="142" w:right="95"/>
        <w:jc w:val="both"/>
        <w:rPr>
          <w:color w:val="000000" w:themeColor="text1"/>
        </w:rPr>
      </w:pPr>
      <w:r w:rsidRPr="00B060BB">
        <w:rPr>
          <w:color w:val="000000" w:themeColor="text1"/>
        </w:rPr>
        <w:t>This paper outlines the current leg</w:t>
      </w:r>
      <w:r w:rsidR="000533C0">
        <w:rPr>
          <w:color w:val="000000" w:themeColor="text1"/>
        </w:rPr>
        <w:t>islated</w:t>
      </w:r>
      <w:r w:rsidRPr="00B060BB">
        <w:rPr>
          <w:color w:val="000000" w:themeColor="text1"/>
        </w:rPr>
        <w:t xml:space="preserve"> framework that provides the basis for authoris</w:t>
      </w:r>
      <w:r w:rsidR="008F7914">
        <w:rPr>
          <w:color w:val="000000" w:themeColor="text1"/>
        </w:rPr>
        <w:t>ing</w:t>
      </w:r>
      <w:r w:rsidRPr="00B060BB">
        <w:rPr>
          <w:color w:val="000000" w:themeColor="text1"/>
        </w:rPr>
        <w:t xml:space="preserve"> third parties to </w:t>
      </w:r>
      <w:r w:rsidR="008F7914">
        <w:rPr>
          <w:color w:val="000000" w:themeColor="text1"/>
        </w:rPr>
        <w:t xml:space="preserve">exercise specific functions in </w:t>
      </w:r>
      <w:r w:rsidRPr="00B060BB">
        <w:rPr>
          <w:color w:val="000000" w:themeColor="text1"/>
        </w:rPr>
        <w:t>the regulati</w:t>
      </w:r>
      <w:r w:rsidR="00EA623C">
        <w:rPr>
          <w:color w:val="000000" w:themeColor="text1"/>
        </w:rPr>
        <w:t>on of measurement in Australia.</w:t>
      </w:r>
      <w:r w:rsidRPr="00B060BB">
        <w:rPr>
          <w:color w:val="000000" w:themeColor="text1"/>
        </w:rPr>
        <w:t xml:space="preserve"> It considers the </w:t>
      </w:r>
      <w:r w:rsidR="00A40FFF">
        <w:rPr>
          <w:color w:val="000000" w:themeColor="text1"/>
        </w:rPr>
        <w:t xml:space="preserve">appropriateness of </w:t>
      </w:r>
      <w:r w:rsidRPr="00B060BB">
        <w:rPr>
          <w:color w:val="000000" w:themeColor="text1"/>
        </w:rPr>
        <w:t>current third party arrangements</w:t>
      </w:r>
      <w:r w:rsidR="00C14144">
        <w:rPr>
          <w:color w:val="000000" w:themeColor="text1"/>
        </w:rPr>
        <w:t xml:space="preserve">, </w:t>
      </w:r>
      <w:r w:rsidRPr="00B060BB">
        <w:rPr>
          <w:color w:val="000000" w:themeColor="text1"/>
        </w:rPr>
        <w:t xml:space="preserve">seeks input on the benefits and challenges associated with introducing more flexible options </w:t>
      </w:r>
      <w:r w:rsidR="00A40FFF">
        <w:rPr>
          <w:color w:val="000000" w:themeColor="text1"/>
        </w:rPr>
        <w:t xml:space="preserve">and </w:t>
      </w:r>
      <w:r w:rsidR="00C14144">
        <w:rPr>
          <w:color w:val="000000" w:themeColor="text1"/>
        </w:rPr>
        <w:t xml:space="preserve">appropriate auditing arrangements. </w:t>
      </w:r>
      <w:r>
        <w:rPr>
          <w:color w:val="000000" w:themeColor="text1"/>
        </w:rPr>
        <w:t>Stakeholders are</w:t>
      </w:r>
      <w:r w:rsidR="00C42625">
        <w:rPr>
          <w:color w:val="000000" w:themeColor="text1"/>
        </w:rPr>
        <w:t xml:space="preserve"> also</w:t>
      </w:r>
      <w:r>
        <w:rPr>
          <w:color w:val="000000" w:themeColor="text1"/>
        </w:rPr>
        <w:t xml:space="preserve"> encouraged </w:t>
      </w:r>
      <w:r w:rsidR="001D3EBE">
        <w:rPr>
          <w:color w:val="000000" w:themeColor="text1"/>
        </w:rPr>
        <w:t xml:space="preserve">to </w:t>
      </w:r>
      <w:r>
        <w:rPr>
          <w:color w:val="000000" w:themeColor="text1"/>
        </w:rPr>
        <w:t xml:space="preserve">read Discussion </w:t>
      </w:r>
      <w:r w:rsidR="00542FB9">
        <w:rPr>
          <w:color w:val="000000" w:themeColor="text1"/>
        </w:rPr>
        <w:t>P</w:t>
      </w:r>
      <w:r>
        <w:rPr>
          <w:color w:val="000000" w:themeColor="text1"/>
        </w:rPr>
        <w:t>aper 6 for more information regarding general compliance and enforcement arrangements.</w:t>
      </w:r>
    </w:p>
    <w:p w14:paraId="1AF5081A" w14:textId="77777777" w:rsidR="00A4385D" w:rsidRPr="009C0211" w:rsidRDefault="00A4385D" w:rsidP="00A4385D">
      <w:r w:rsidRPr="009C0211">
        <w:t xml:space="preserve">This discussion paper on </w:t>
      </w:r>
      <w:r w:rsidRPr="00D243F4">
        <w:rPr>
          <w:i/>
        </w:rPr>
        <w:t>Third Parties</w:t>
      </w:r>
      <w:r>
        <w:t xml:space="preserve"> </w:t>
      </w:r>
      <w:r w:rsidRPr="009C0211">
        <w:t xml:space="preserve">will refer to: </w:t>
      </w:r>
    </w:p>
    <w:p w14:paraId="45447F7F" w14:textId="77777777" w:rsidR="00A4385D" w:rsidRPr="009C0211" w:rsidRDefault="00A4385D" w:rsidP="00A4385D">
      <w:pPr>
        <w:pStyle w:val="Intros"/>
        <w:numPr>
          <w:ilvl w:val="0"/>
          <w:numId w:val="1"/>
        </w:numPr>
        <w:spacing w:after="0"/>
        <w:rPr>
          <w:b w:val="0"/>
          <w:color w:val="auto"/>
          <w:sz w:val="22"/>
          <w:szCs w:val="22"/>
          <w:lang w:val="en-AU"/>
        </w:rPr>
      </w:pPr>
      <w:r w:rsidRPr="009C0211">
        <w:rPr>
          <w:b w:val="0"/>
          <w:color w:val="auto"/>
          <w:sz w:val="22"/>
          <w:szCs w:val="22"/>
          <w:lang w:val="en-AU"/>
        </w:rPr>
        <w:t>The</w:t>
      </w:r>
      <w:r w:rsidRPr="009C0211">
        <w:rPr>
          <w:b w:val="0"/>
          <w:i/>
          <w:color w:val="auto"/>
          <w:sz w:val="22"/>
          <w:szCs w:val="22"/>
          <w:lang w:val="en-AU"/>
        </w:rPr>
        <w:t xml:space="preserve"> National Measurement Act </w:t>
      </w:r>
      <w:r w:rsidRPr="008A75AA">
        <w:rPr>
          <w:b w:val="0"/>
          <w:i/>
          <w:color w:val="auto"/>
          <w:sz w:val="22"/>
          <w:szCs w:val="22"/>
          <w:lang w:val="en-AU"/>
        </w:rPr>
        <w:t>1960</w:t>
      </w:r>
      <w:r w:rsidRPr="008A75AA">
        <w:rPr>
          <w:b w:val="0"/>
          <w:color w:val="auto"/>
          <w:sz w:val="22"/>
          <w:szCs w:val="22"/>
          <w:lang w:val="en-AU"/>
        </w:rPr>
        <w:t xml:space="preserve"> (the Act):</w:t>
      </w:r>
      <w:r w:rsidRPr="009C0211">
        <w:rPr>
          <w:b w:val="0"/>
          <w:color w:val="auto"/>
          <w:sz w:val="22"/>
          <w:szCs w:val="22"/>
          <w:lang w:val="en-AU"/>
        </w:rPr>
        <w:t xml:space="preserve"> Part</w:t>
      </w:r>
      <w:r>
        <w:rPr>
          <w:b w:val="0"/>
          <w:color w:val="auto"/>
          <w:sz w:val="22"/>
          <w:szCs w:val="22"/>
          <w:lang w:val="en-AU"/>
        </w:rPr>
        <w:t xml:space="preserve"> X Servicing Licensees; Part XI Public Weighbridges;</w:t>
      </w:r>
      <w:r w:rsidRPr="009C0211">
        <w:rPr>
          <w:b w:val="0"/>
          <w:color w:val="auto"/>
          <w:sz w:val="22"/>
          <w:szCs w:val="22"/>
          <w:lang w:val="en-AU"/>
        </w:rPr>
        <w:t xml:space="preserve"> Part XII - Disciplinary action against servicing licensees and public weighbridge licensees</w:t>
      </w:r>
      <w:r>
        <w:rPr>
          <w:b w:val="0"/>
          <w:color w:val="auto"/>
          <w:sz w:val="22"/>
          <w:szCs w:val="22"/>
          <w:lang w:val="en-AU"/>
        </w:rPr>
        <w:t>; Part XIII Utility meter verifiers</w:t>
      </w:r>
    </w:p>
    <w:p w14:paraId="6FDC11DC" w14:textId="77777777" w:rsidR="00A4385D" w:rsidRPr="009C0211" w:rsidRDefault="00A4385D" w:rsidP="00A4385D">
      <w:pPr>
        <w:pStyle w:val="Intros"/>
        <w:numPr>
          <w:ilvl w:val="0"/>
          <w:numId w:val="1"/>
        </w:numPr>
        <w:spacing w:after="0"/>
        <w:rPr>
          <w:b w:val="0"/>
          <w:color w:val="auto"/>
          <w:sz w:val="22"/>
          <w:szCs w:val="22"/>
          <w:lang w:val="en-AU"/>
        </w:rPr>
      </w:pPr>
      <w:r w:rsidRPr="009C0211">
        <w:rPr>
          <w:b w:val="0"/>
          <w:color w:val="auto"/>
          <w:sz w:val="22"/>
          <w:szCs w:val="22"/>
          <w:lang w:val="en-AU"/>
        </w:rPr>
        <w:t xml:space="preserve">The </w:t>
      </w:r>
      <w:r w:rsidRPr="009C0211">
        <w:rPr>
          <w:b w:val="0"/>
          <w:i/>
          <w:color w:val="auto"/>
          <w:sz w:val="22"/>
          <w:szCs w:val="22"/>
          <w:lang w:val="en-AU"/>
        </w:rPr>
        <w:t xml:space="preserve">National Measurement Regulations </w:t>
      </w:r>
      <w:r w:rsidRPr="008A75AA">
        <w:rPr>
          <w:b w:val="0"/>
          <w:i/>
          <w:color w:val="auto"/>
          <w:sz w:val="22"/>
          <w:szCs w:val="22"/>
          <w:lang w:val="en-AU"/>
        </w:rPr>
        <w:t>1999</w:t>
      </w:r>
      <w:r w:rsidRPr="008A75AA">
        <w:rPr>
          <w:b w:val="0"/>
          <w:color w:val="auto"/>
          <w:sz w:val="22"/>
          <w:szCs w:val="22"/>
          <w:lang w:val="en-AU"/>
        </w:rPr>
        <w:t xml:space="preserve"> (NMR):</w:t>
      </w:r>
      <w:r w:rsidRPr="009C0211">
        <w:rPr>
          <w:b w:val="0"/>
          <w:color w:val="auto"/>
          <w:sz w:val="22"/>
          <w:szCs w:val="22"/>
          <w:lang w:val="en-AU"/>
        </w:rPr>
        <w:t xml:space="preserve"> Part 7, Division 2 – Appointment of authorities.</w:t>
      </w:r>
    </w:p>
    <w:p w14:paraId="047FC128" w14:textId="54074236" w:rsidR="00124F79" w:rsidRDefault="00A4385D" w:rsidP="00124F79">
      <w:pPr>
        <w:pStyle w:val="Intros"/>
        <w:numPr>
          <w:ilvl w:val="0"/>
          <w:numId w:val="1"/>
        </w:numPr>
        <w:rPr>
          <w:b w:val="0"/>
          <w:color w:val="auto"/>
          <w:sz w:val="22"/>
          <w:szCs w:val="22"/>
          <w:lang w:val="en-AU"/>
        </w:rPr>
      </w:pPr>
      <w:r w:rsidRPr="009C0211">
        <w:rPr>
          <w:b w:val="0"/>
          <w:color w:val="auto"/>
          <w:sz w:val="22"/>
          <w:szCs w:val="22"/>
          <w:lang w:val="en-AU"/>
        </w:rPr>
        <w:t xml:space="preserve">The </w:t>
      </w:r>
      <w:r w:rsidRPr="009C0211">
        <w:rPr>
          <w:b w:val="0"/>
          <w:i/>
          <w:color w:val="auto"/>
          <w:sz w:val="22"/>
          <w:szCs w:val="22"/>
          <w:lang w:val="en-AU"/>
        </w:rPr>
        <w:t xml:space="preserve">National Trade Measurement Regulations </w:t>
      </w:r>
      <w:r w:rsidRPr="008A75AA">
        <w:rPr>
          <w:b w:val="0"/>
          <w:i/>
          <w:color w:val="auto"/>
          <w:sz w:val="22"/>
          <w:szCs w:val="22"/>
          <w:lang w:val="en-AU"/>
        </w:rPr>
        <w:t>2009</w:t>
      </w:r>
      <w:r w:rsidRPr="008A75AA">
        <w:rPr>
          <w:b w:val="0"/>
          <w:color w:val="auto"/>
          <w:sz w:val="22"/>
          <w:szCs w:val="22"/>
          <w:lang w:val="en-AU"/>
        </w:rPr>
        <w:t xml:space="preserve"> (NTMR): Part</w:t>
      </w:r>
      <w:r w:rsidRPr="009C0211">
        <w:rPr>
          <w:b w:val="0"/>
          <w:color w:val="auto"/>
          <w:sz w:val="22"/>
          <w:szCs w:val="22"/>
          <w:lang w:val="en-AU"/>
        </w:rPr>
        <w:t xml:space="preserve"> </w:t>
      </w:r>
      <w:r>
        <w:rPr>
          <w:b w:val="0"/>
          <w:color w:val="auto"/>
          <w:sz w:val="22"/>
          <w:szCs w:val="22"/>
          <w:lang w:val="en-AU"/>
        </w:rPr>
        <w:t xml:space="preserve">2, Division 2.4 Servicing Licensees, Part 3 – Weighbridges used for trade, Schedule 1 Maximum permissible errors. </w:t>
      </w:r>
    </w:p>
    <w:tbl>
      <w:tblPr>
        <w:tblStyle w:val="TableGrid"/>
        <w:tblW w:w="0" w:type="auto"/>
        <w:tblLook w:val="04A0" w:firstRow="1" w:lastRow="0" w:firstColumn="1" w:lastColumn="0" w:noHBand="0" w:noVBand="1"/>
        <w:tblCaption w:val="Information on the papers structure"/>
        <w:tblDescription w:val="Provide background regarding the third parties under the measurement framework (Chapter 2), outline issues common to all third parties (Chapter 3). Consider each type of third party and raise questions specific to those particular third parties, Servicing Licensees (Chapter 4), Utility Meter Verifiers (Chapter 5), Pubic Weighbridge Licensees (Chapter 6), Legal Metrology Authorities (Chapter 7)&#10;"/>
      </w:tblPr>
      <w:tblGrid>
        <w:gridCol w:w="9016"/>
      </w:tblGrid>
      <w:tr w:rsidR="00017220" w14:paraId="315CDF0B" w14:textId="77777777" w:rsidTr="005A7883">
        <w:trPr>
          <w:tblHeader/>
        </w:trPr>
        <w:tc>
          <w:tcPr>
            <w:tcW w:w="9016" w:type="dxa"/>
          </w:tcPr>
          <w:p w14:paraId="4ED52049" w14:textId="19116F77" w:rsidR="00017220" w:rsidRPr="009B388F" w:rsidRDefault="00017220" w:rsidP="00017220">
            <w:pPr>
              <w:pStyle w:val="Intros"/>
              <w:spacing w:after="0"/>
              <w:rPr>
                <w:b w:val="0"/>
                <w:color w:val="auto"/>
                <w:sz w:val="22"/>
                <w:szCs w:val="22"/>
                <w:lang w:val="en-AU"/>
              </w:rPr>
            </w:pPr>
            <w:r w:rsidRPr="00017220">
              <w:rPr>
                <w:b w:val="0"/>
                <w:color w:val="auto"/>
                <w:sz w:val="22"/>
                <w:szCs w:val="22"/>
                <w:lang w:val="en-AU"/>
              </w:rPr>
              <w:t xml:space="preserve">For additional information on all discussion papers, please refer to the </w:t>
            </w:r>
            <w:hyperlink r:id="rId16" w:history="1">
              <w:r w:rsidR="009B388F" w:rsidRPr="009B388F">
                <w:rPr>
                  <w:rStyle w:val="Hyperlink"/>
                  <w:b w:val="0"/>
                  <w:i/>
                  <w:sz w:val="22"/>
                  <w:szCs w:val="22"/>
                </w:rPr>
                <w:t>Guide to the Discussion Papers</w:t>
              </w:r>
              <w:r w:rsidR="009B388F" w:rsidRPr="009B388F">
                <w:rPr>
                  <w:rStyle w:val="Hyperlink"/>
                  <w:b w:val="0"/>
                  <w:sz w:val="22"/>
                  <w:szCs w:val="22"/>
                </w:rPr>
                <w:t>.</w:t>
              </w:r>
            </w:hyperlink>
          </w:p>
          <w:p w14:paraId="6144603E" w14:textId="77777777" w:rsidR="00017220" w:rsidRPr="00017220" w:rsidRDefault="00017220" w:rsidP="00017220">
            <w:pPr>
              <w:pStyle w:val="Intros"/>
              <w:spacing w:after="0"/>
              <w:rPr>
                <w:b w:val="0"/>
                <w:color w:val="auto"/>
                <w:sz w:val="22"/>
                <w:szCs w:val="22"/>
                <w:lang w:val="en-AU"/>
              </w:rPr>
            </w:pPr>
            <w:r w:rsidRPr="00017220">
              <w:rPr>
                <w:b w:val="0"/>
                <w:color w:val="auto"/>
                <w:sz w:val="22"/>
                <w:szCs w:val="22"/>
                <w:lang w:val="en-AU"/>
              </w:rPr>
              <w:t>This paper is structured to:</w:t>
            </w:r>
          </w:p>
          <w:p w14:paraId="6FFEAC51" w14:textId="77777777" w:rsidR="00017220" w:rsidRDefault="00017220" w:rsidP="00017220">
            <w:pPr>
              <w:pStyle w:val="Intros"/>
              <w:spacing w:after="0"/>
              <w:ind w:left="596" w:hanging="283"/>
              <w:rPr>
                <w:b w:val="0"/>
                <w:color w:val="auto"/>
                <w:sz w:val="22"/>
                <w:szCs w:val="22"/>
                <w:lang w:val="en-AU"/>
              </w:rPr>
            </w:pPr>
            <w:r w:rsidRPr="00017220">
              <w:rPr>
                <w:b w:val="0"/>
                <w:color w:val="auto"/>
                <w:sz w:val="22"/>
                <w:szCs w:val="22"/>
                <w:lang w:val="en-AU"/>
              </w:rPr>
              <w:t>•</w:t>
            </w:r>
            <w:r w:rsidRPr="00017220">
              <w:rPr>
                <w:b w:val="0"/>
                <w:color w:val="auto"/>
                <w:sz w:val="22"/>
                <w:szCs w:val="22"/>
                <w:lang w:val="en-AU"/>
              </w:rPr>
              <w:tab/>
              <w:t>Provide background regarding the third parties under the measurement framework (Chapter 2)</w:t>
            </w:r>
          </w:p>
          <w:p w14:paraId="19ADBF98" w14:textId="77777777" w:rsidR="00017220" w:rsidRDefault="00017220" w:rsidP="00017220">
            <w:pPr>
              <w:pStyle w:val="Intros"/>
              <w:numPr>
                <w:ilvl w:val="0"/>
                <w:numId w:val="30"/>
              </w:numPr>
              <w:spacing w:after="0"/>
              <w:ind w:left="596" w:hanging="283"/>
              <w:rPr>
                <w:b w:val="0"/>
                <w:color w:val="auto"/>
                <w:sz w:val="22"/>
                <w:szCs w:val="22"/>
                <w:lang w:val="en-AU"/>
              </w:rPr>
            </w:pPr>
            <w:r w:rsidRPr="00017220">
              <w:rPr>
                <w:b w:val="0"/>
                <w:color w:val="auto"/>
                <w:sz w:val="22"/>
                <w:szCs w:val="22"/>
                <w:lang w:val="en-AU"/>
              </w:rPr>
              <w:t>Outline issues common t</w:t>
            </w:r>
            <w:r>
              <w:rPr>
                <w:b w:val="0"/>
                <w:color w:val="auto"/>
                <w:sz w:val="22"/>
                <w:szCs w:val="22"/>
                <w:lang w:val="en-AU"/>
              </w:rPr>
              <w:t>o all third parties (Chapter 3)</w:t>
            </w:r>
          </w:p>
          <w:p w14:paraId="6C30E405" w14:textId="399BE8C9" w:rsidR="00017220" w:rsidRPr="00017220" w:rsidRDefault="00017220" w:rsidP="00017220">
            <w:pPr>
              <w:pStyle w:val="Intros"/>
              <w:numPr>
                <w:ilvl w:val="0"/>
                <w:numId w:val="30"/>
              </w:numPr>
              <w:spacing w:after="0"/>
              <w:ind w:left="596" w:hanging="283"/>
              <w:rPr>
                <w:b w:val="0"/>
                <w:color w:val="auto"/>
                <w:sz w:val="22"/>
                <w:szCs w:val="22"/>
                <w:lang w:val="en-AU"/>
              </w:rPr>
            </w:pPr>
            <w:r w:rsidRPr="00017220">
              <w:rPr>
                <w:b w:val="0"/>
                <w:color w:val="auto"/>
                <w:sz w:val="22"/>
                <w:szCs w:val="22"/>
                <w:lang w:val="en-AU"/>
              </w:rPr>
              <w:t>Consider each type of third party and raise questions specific to those particular third parties:</w:t>
            </w:r>
          </w:p>
          <w:p w14:paraId="7D753618" w14:textId="3BEEBEFF" w:rsidR="00017220" w:rsidRDefault="00017220" w:rsidP="00017220">
            <w:pPr>
              <w:pStyle w:val="Intros"/>
              <w:numPr>
                <w:ilvl w:val="0"/>
                <w:numId w:val="31"/>
              </w:numPr>
              <w:spacing w:after="0"/>
              <w:rPr>
                <w:b w:val="0"/>
                <w:color w:val="auto"/>
                <w:sz w:val="22"/>
                <w:szCs w:val="22"/>
                <w:lang w:val="en-AU"/>
              </w:rPr>
            </w:pPr>
            <w:r w:rsidRPr="00017220">
              <w:rPr>
                <w:b w:val="0"/>
                <w:color w:val="auto"/>
                <w:sz w:val="22"/>
                <w:szCs w:val="22"/>
                <w:lang w:val="en-AU"/>
              </w:rPr>
              <w:t>Servicing Licensees (Chapter 4)</w:t>
            </w:r>
          </w:p>
          <w:p w14:paraId="67B6C077" w14:textId="3D3B87B1" w:rsidR="00017220" w:rsidRDefault="00017220" w:rsidP="00017220">
            <w:pPr>
              <w:pStyle w:val="Intros"/>
              <w:numPr>
                <w:ilvl w:val="0"/>
                <w:numId w:val="31"/>
              </w:numPr>
              <w:spacing w:after="0"/>
              <w:rPr>
                <w:b w:val="0"/>
                <w:color w:val="auto"/>
                <w:sz w:val="22"/>
                <w:szCs w:val="22"/>
                <w:lang w:val="en-AU"/>
              </w:rPr>
            </w:pPr>
            <w:r w:rsidRPr="00017220">
              <w:rPr>
                <w:b w:val="0"/>
                <w:color w:val="auto"/>
                <w:sz w:val="22"/>
                <w:szCs w:val="22"/>
                <w:lang w:val="en-AU"/>
              </w:rPr>
              <w:t>Util</w:t>
            </w:r>
            <w:r>
              <w:rPr>
                <w:b w:val="0"/>
                <w:color w:val="auto"/>
                <w:sz w:val="22"/>
                <w:szCs w:val="22"/>
                <w:lang w:val="en-AU"/>
              </w:rPr>
              <w:t>ity Meter Verifiers (Chapter 5)</w:t>
            </w:r>
          </w:p>
          <w:p w14:paraId="7574C04C" w14:textId="77777777" w:rsidR="00017220" w:rsidRDefault="00017220" w:rsidP="00017220">
            <w:pPr>
              <w:pStyle w:val="Intros"/>
              <w:numPr>
                <w:ilvl w:val="0"/>
                <w:numId w:val="31"/>
              </w:numPr>
              <w:tabs>
                <w:tab w:val="left" w:pos="720"/>
                <w:tab w:val="left" w:pos="1440"/>
                <w:tab w:val="left" w:pos="2160"/>
                <w:tab w:val="left" w:pos="2880"/>
                <w:tab w:val="left" w:pos="3600"/>
                <w:tab w:val="left" w:pos="4320"/>
              </w:tabs>
              <w:spacing w:after="0"/>
              <w:rPr>
                <w:b w:val="0"/>
                <w:color w:val="auto"/>
                <w:sz w:val="22"/>
                <w:szCs w:val="22"/>
                <w:lang w:val="en-AU"/>
              </w:rPr>
            </w:pPr>
            <w:r w:rsidRPr="00017220">
              <w:rPr>
                <w:b w:val="0"/>
                <w:color w:val="auto"/>
                <w:sz w:val="22"/>
                <w:szCs w:val="22"/>
                <w:lang w:val="en-AU"/>
              </w:rPr>
              <w:t>Pubic We</w:t>
            </w:r>
            <w:r>
              <w:rPr>
                <w:b w:val="0"/>
                <w:color w:val="auto"/>
                <w:sz w:val="22"/>
                <w:szCs w:val="22"/>
                <w:lang w:val="en-AU"/>
              </w:rPr>
              <w:t>ighbridge Licensees (Chapter 6)</w:t>
            </w:r>
          </w:p>
          <w:p w14:paraId="18CE19A8" w14:textId="1B022B15" w:rsidR="00017220" w:rsidRPr="00017220" w:rsidRDefault="00017220" w:rsidP="00017220">
            <w:pPr>
              <w:pStyle w:val="Intros"/>
              <w:numPr>
                <w:ilvl w:val="0"/>
                <w:numId w:val="31"/>
              </w:numPr>
              <w:tabs>
                <w:tab w:val="left" w:pos="720"/>
                <w:tab w:val="left" w:pos="1440"/>
                <w:tab w:val="left" w:pos="2160"/>
                <w:tab w:val="left" w:pos="2880"/>
                <w:tab w:val="left" w:pos="3600"/>
                <w:tab w:val="left" w:pos="4320"/>
              </w:tabs>
              <w:spacing w:after="0"/>
              <w:rPr>
                <w:b w:val="0"/>
                <w:color w:val="auto"/>
                <w:sz w:val="22"/>
                <w:szCs w:val="22"/>
                <w:lang w:val="en-AU"/>
              </w:rPr>
            </w:pPr>
            <w:r w:rsidRPr="00017220">
              <w:rPr>
                <w:b w:val="0"/>
                <w:color w:val="auto"/>
                <w:sz w:val="22"/>
                <w:szCs w:val="22"/>
                <w:lang w:val="en-AU"/>
              </w:rPr>
              <w:t>Legal Metrology Authorities (Chapter 7)</w:t>
            </w:r>
            <w:r w:rsidRPr="00017220">
              <w:rPr>
                <w:b w:val="0"/>
                <w:color w:val="auto"/>
                <w:sz w:val="22"/>
                <w:szCs w:val="22"/>
                <w:lang w:val="en-AU"/>
              </w:rPr>
              <w:tab/>
            </w:r>
            <w:r w:rsidRPr="00017220">
              <w:rPr>
                <w:b w:val="0"/>
                <w:color w:val="auto"/>
                <w:sz w:val="22"/>
                <w:szCs w:val="22"/>
                <w:lang w:val="en-AU"/>
              </w:rPr>
              <w:tab/>
            </w:r>
          </w:p>
          <w:p w14:paraId="03D58506" w14:textId="35BAEF4A" w:rsidR="00017220" w:rsidRDefault="00017220" w:rsidP="00017220">
            <w:pPr>
              <w:pStyle w:val="Intros"/>
              <w:rPr>
                <w:b w:val="0"/>
                <w:color w:val="auto"/>
                <w:sz w:val="22"/>
                <w:szCs w:val="22"/>
                <w:lang w:val="en-AU"/>
              </w:rPr>
            </w:pPr>
            <w:r w:rsidRPr="00017220">
              <w:rPr>
                <w:b w:val="0"/>
                <w:color w:val="auto"/>
                <w:sz w:val="22"/>
                <w:szCs w:val="22"/>
                <w:lang w:val="en-AU"/>
              </w:rPr>
              <w:t>While stakeholders are encouraged to read the whole paper, they may find sections discussing individual types of third parties more relevant to their specific needs.</w:t>
            </w:r>
          </w:p>
        </w:tc>
      </w:tr>
    </w:tbl>
    <w:p w14:paraId="7639912D" w14:textId="77777777" w:rsidR="00017220" w:rsidRDefault="00017220" w:rsidP="00241C37"/>
    <w:p w14:paraId="62DE653D" w14:textId="77777777" w:rsidR="00170603" w:rsidRDefault="00170603" w:rsidP="00170603">
      <w:pPr>
        <w:rPr>
          <w:rFonts w:asciiTheme="majorHAnsi" w:eastAsiaTheme="majorEastAsia" w:hAnsiTheme="majorHAnsi" w:cstheme="majorBidi"/>
          <w:color w:val="2E74B5" w:themeColor="accent1" w:themeShade="BF"/>
          <w:sz w:val="32"/>
          <w:szCs w:val="32"/>
        </w:rPr>
      </w:pPr>
      <w:r>
        <w:br w:type="page"/>
      </w:r>
    </w:p>
    <w:p w14:paraId="69724DD5" w14:textId="198372F8" w:rsidR="00A4385D" w:rsidRPr="00DB1AAC" w:rsidRDefault="00A4385D" w:rsidP="00C254F9">
      <w:pPr>
        <w:pStyle w:val="Heading1"/>
        <w:numPr>
          <w:ilvl w:val="0"/>
          <w:numId w:val="14"/>
        </w:numPr>
        <w:ind w:left="360"/>
        <w:rPr>
          <w:rFonts w:cs="Arial"/>
          <w:color w:val="004059"/>
          <w:sz w:val="40"/>
          <w:szCs w:val="40"/>
        </w:rPr>
      </w:pPr>
      <w:bookmarkStart w:id="35" w:name="_Toc19539222"/>
      <w:bookmarkStart w:id="36" w:name="_Toc19539513"/>
      <w:bookmarkStart w:id="37" w:name="_Toc19627768"/>
      <w:bookmarkStart w:id="38" w:name="_Toc19633170"/>
      <w:bookmarkStart w:id="39" w:name="_Toc19884188"/>
      <w:bookmarkStart w:id="40" w:name="_Toc19891377"/>
      <w:bookmarkStart w:id="41" w:name="_Toc19891387"/>
      <w:bookmarkStart w:id="42" w:name="_Toc19891426"/>
      <w:bookmarkStart w:id="43" w:name="_Toc22897258"/>
      <w:bookmarkStart w:id="44" w:name="_Toc22899668"/>
      <w:bookmarkStart w:id="45" w:name="_Toc22900305"/>
      <w:bookmarkStart w:id="46" w:name="_Toc22901145"/>
      <w:r w:rsidRPr="00DB1AAC">
        <w:rPr>
          <w:rFonts w:cs="Arial"/>
          <w:color w:val="004059"/>
          <w:sz w:val="40"/>
          <w:szCs w:val="40"/>
        </w:rPr>
        <w:lastRenderedPageBreak/>
        <w:t xml:space="preserve">Third parties </w:t>
      </w:r>
      <w:r w:rsidR="00984723" w:rsidRPr="00DB1AAC">
        <w:rPr>
          <w:rFonts w:cs="Arial"/>
          <w:color w:val="004059"/>
          <w:sz w:val="40"/>
          <w:szCs w:val="40"/>
        </w:rPr>
        <w:t>in</w:t>
      </w:r>
      <w:r w:rsidR="007B356B" w:rsidRPr="00DB1AAC">
        <w:rPr>
          <w:rFonts w:cs="Arial"/>
          <w:color w:val="004059"/>
          <w:sz w:val="40"/>
          <w:szCs w:val="40"/>
        </w:rPr>
        <w:t xml:space="preserve"> Australia’s Measurement F</w:t>
      </w:r>
      <w:r w:rsidRPr="00DB1AAC">
        <w:rPr>
          <w:rFonts w:cs="Arial"/>
          <w:color w:val="004059"/>
          <w:sz w:val="40"/>
          <w:szCs w:val="40"/>
        </w:rPr>
        <w:t>ramework</w:t>
      </w:r>
      <w:bookmarkEnd w:id="35"/>
      <w:bookmarkEnd w:id="36"/>
      <w:bookmarkEnd w:id="37"/>
      <w:bookmarkEnd w:id="38"/>
      <w:bookmarkEnd w:id="39"/>
      <w:bookmarkEnd w:id="40"/>
      <w:bookmarkEnd w:id="41"/>
      <w:bookmarkEnd w:id="42"/>
      <w:bookmarkEnd w:id="43"/>
      <w:bookmarkEnd w:id="44"/>
      <w:bookmarkEnd w:id="45"/>
      <w:bookmarkEnd w:id="46"/>
    </w:p>
    <w:p w14:paraId="6120DA64" w14:textId="1E9E2DEA" w:rsidR="00A4385D" w:rsidRPr="00887BCC" w:rsidRDefault="001445FF" w:rsidP="001445FF">
      <w:pPr>
        <w:pStyle w:val="Heading2"/>
      </w:pPr>
      <w:bookmarkStart w:id="47" w:name="_Toc19539223"/>
      <w:bookmarkStart w:id="48" w:name="_Toc19539514"/>
      <w:bookmarkStart w:id="49" w:name="_Toc19627769"/>
      <w:bookmarkStart w:id="50" w:name="_Toc19633171"/>
      <w:bookmarkStart w:id="51" w:name="_Toc19884189"/>
      <w:bookmarkStart w:id="52" w:name="_Toc19891388"/>
      <w:bookmarkStart w:id="53" w:name="_Toc19891427"/>
      <w:bookmarkStart w:id="54" w:name="_Toc22897259"/>
      <w:bookmarkStart w:id="55" w:name="_Toc22899669"/>
      <w:bookmarkStart w:id="56" w:name="_Toc22900306"/>
      <w:bookmarkStart w:id="57" w:name="_Toc22901146"/>
      <w:r>
        <w:t xml:space="preserve">2.1 </w:t>
      </w:r>
      <w:r w:rsidR="00A4385D">
        <w:t xml:space="preserve">The </w:t>
      </w:r>
      <w:r w:rsidR="00A4385D" w:rsidRPr="00887BCC">
        <w:t xml:space="preserve">Measurement System and </w:t>
      </w:r>
      <w:r w:rsidR="00A4385D">
        <w:t xml:space="preserve">the </w:t>
      </w:r>
      <w:r w:rsidR="00A4385D" w:rsidRPr="00887BCC">
        <w:t>Legislative Framework</w:t>
      </w:r>
      <w:bookmarkEnd w:id="47"/>
      <w:bookmarkEnd w:id="48"/>
      <w:bookmarkEnd w:id="49"/>
      <w:bookmarkEnd w:id="50"/>
      <w:bookmarkEnd w:id="51"/>
      <w:bookmarkEnd w:id="52"/>
      <w:bookmarkEnd w:id="53"/>
      <w:bookmarkEnd w:id="54"/>
      <w:bookmarkEnd w:id="55"/>
      <w:bookmarkEnd w:id="56"/>
      <w:bookmarkEnd w:id="57"/>
    </w:p>
    <w:p w14:paraId="44670B64" w14:textId="5ACC6B09" w:rsidR="00A4385D" w:rsidRPr="00B90FA3" w:rsidRDefault="00A4385D" w:rsidP="00A4385D">
      <w:r w:rsidRPr="00385606">
        <w:rPr>
          <w:color w:val="000000" w:themeColor="text1"/>
        </w:rPr>
        <w:t xml:space="preserve">Australia has a national measurement system which ensures that measurements </w:t>
      </w:r>
      <w:r w:rsidR="00725A03">
        <w:rPr>
          <w:color w:val="000000" w:themeColor="text1"/>
        </w:rPr>
        <w:t>of physical, chemical or biological quantities</w:t>
      </w:r>
      <w:r w:rsidR="00725A03" w:rsidRPr="00385606">
        <w:rPr>
          <w:color w:val="000000" w:themeColor="text1"/>
        </w:rPr>
        <w:t xml:space="preserve"> </w:t>
      </w:r>
      <w:r w:rsidRPr="00385606">
        <w:rPr>
          <w:color w:val="000000" w:themeColor="text1"/>
        </w:rPr>
        <w:t>can be made on a consistent basis throughout the country.</w:t>
      </w:r>
      <w:r>
        <w:rPr>
          <w:rStyle w:val="FootnoteReference"/>
          <w:color w:val="000000" w:themeColor="text1"/>
        </w:rPr>
        <w:footnoteReference w:id="2"/>
      </w:r>
      <w:r w:rsidR="0099404A">
        <w:rPr>
          <w:color w:val="000000" w:themeColor="text1"/>
        </w:rPr>
        <w:t xml:space="preserve"> </w:t>
      </w:r>
      <w:r w:rsidRPr="00385606">
        <w:rPr>
          <w:color w:val="000000" w:themeColor="text1"/>
        </w:rPr>
        <w:t>This system en</w:t>
      </w:r>
      <w:r w:rsidR="00AB2038">
        <w:rPr>
          <w:color w:val="000000" w:themeColor="text1"/>
        </w:rPr>
        <w:t>sures</w:t>
      </w:r>
      <w:r w:rsidRPr="00385606">
        <w:rPr>
          <w:color w:val="000000" w:themeColor="text1"/>
        </w:rPr>
        <w:t xml:space="preserve"> practical measurements made by industry and the community </w:t>
      </w:r>
      <w:r w:rsidR="00F53B0C">
        <w:rPr>
          <w:color w:val="000000" w:themeColor="text1"/>
        </w:rPr>
        <w:t>are</w:t>
      </w:r>
      <w:r w:rsidR="00C42625">
        <w:rPr>
          <w:color w:val="000000" w:themeColor="text1"/>
        </w:rPr>
        <w:t xml:space="preserve"> </w:t>
      </w:r>
      <w:r w:rsidR="001D3EBE">
        <w:rPr>
          <w:color w:val="000000" w:themeColor="text1"/>
        </w:rPr>
        <w:t>linked</w:t>
      </w:r>
      <w:r w:rsidR="001D3EBE" w:rsidRPr="00385606">
        <w:rPr>
          <w:color w:val="000000" w:themeColor="text1"/>
        </w:rPr>
        <w:t xml:space="preserve"> </w:t>
      </w:r>
      <w:r w:rsidRPr="00385606">
        <w:rPr>
          <w:color w:val="000000" w:themeColor="text1"/>
        </w:rPr>
        <w:t>to the International System of Units</w:t>
      </w:r>
      <w:r w:rsidR="00DA7436">
        <w:rPr>
          <w:color w:val="000000" w:themeColor="text1"/>
        </w:rPr>
        <w:t xml:space="preserve"> (SI)</w:t>
      </w:r>
      <w:r w:rsidR="00331502">
        <w:rPr>
          <w:color w:val="000000" w:themeColor="text1"/>
        </w:rPr>
        <w:t>.</w:t>
      </w:r>
      <w:r w:rsidR="007B2195">
        <w:rPr>
          <w:color w:val="000000" w:themeColor="text1"/>
        </w:rPr>
        <w:t xml:space="preserve"> </w:t>
      </w:r>
      <w:r w:rsidR="0088693D">
        <w:rPr>
          <w:color w:val="000000" w:themeColor="text1"/>
        </w:rPr>
        <w:t>The Au</w:t>
      </w:r>
      <w:r w:rsidR="00EC6D7A">
        <w:rPr>
          <w:color w:val="000000" w:themeColor="text1"/>
        </w:rPr>
        <w:t>stralian Government’s National M</w:t>
      </w:r>
      <w:r w:rsidR="0088693D">
        <w:rPr>
          <w:color w:val="000000" w:themeColor="text1"/>
        </w:rPr>
        <w:t>easurement Institute (</w:t>
      </w:r>
      <w:r w:rsidR="00C42625">
        <w:t>NMI</w:t>
      </w:r>
      <w:r w:rsidR="0088693D">
        <w:t>)</w:t>
      </w:r>
      <w:r w:rsidR="00C42625">
        <w:t xml:space="preserve"> </w:t>
      </w:r>
      <w:r w:rsidR="000102B6">
        <w:t xml:space="preserve">manages this system </w:t>
      </w:r>
      <w:r w:rsidR="00C42625">
        <w:t>to ensure Australia’s reputation as a trusted source of reliable measurement is maintained domestically and internationally. This supports trade, science and innovation in Australia</w:t>
      </w:r>
      <w:r w:rsidR="000102B6">
        <w:t>,</w:t>
      </w:r>
      <w:r w:rsidR="00C42625">
        <w:t xml:space="preserve"> thereby promoting economic growth.</w:t>
      </w:r>
      <w:r w:rsidR="00C42625" w:rsidDel="00C42625">
        <w:rPr>
          <w:color w:val="000000" w:themeColor="text1"/>
        </w:rPr>
        <w:t xml:space="preserve"> </w:t>
      </w:r>
    </w:p>
    <w:p w14:paraId="402CC5BB" w14:textId="46981B39" w:rsidR="00A4385D" w:rsidRPr="00E1297C" w:rsidRDefault="00A4385D" w:rsidP="00A4385D">
      <w:pPr>
        <w:rPr>
          <w:color w:val="000000" w:themeColor="text1"/>
        </w:rPr>
      </w:pPr>
      <w:r>
        <w:rPr>
          <w:color w:val="000000" w:themeColor="text1"/>
        </w:rPr>
        <w:t xml:space="preserve">Key elements of </w:t>
      </w:r>
      <w:r w:rsidRPr="00E1297C">
        <w:rPr>
          <w:color w:val="000000" w:themeColor="text1"/>
        </w:rPr>
        <w:t xml:space="preserve">Australia’s measurement system </w:t>
      </w:r>
      <w:r w:rsidR="00984723">
        <w:rPr>
          <w:color w:val="000000" w:themeColor="text1"/>
        </w:rPr>
        <w:t>are</w:t>
      </w:r>
      <w:r w:rsidRPr="00E1297C">
        <w:rPr>
          <w:color w:val="000000" w:themeColor="text1"/>
        </w:rPr>
        <w:t xml:space="preserve"> legislat</w:t>
      </w:r>
      <w:r w:rsidR="00984723">
        <w:rPr>
          <w:color w:val="000000" w:themeColor="text1"/>
        </w:rPr>
        <w:t>ed</w:t>
      </w:r>
      <w:r w:rsidRPr="00E1297C">
        <w:rPr>
          <w:color w:val="000000" w:themeColor="text1"/>
        </w:rPr>
        <w:t xml:space="preserve"> (the measurement framework</w:t>
      </w:r>
      <w:r w:rsidR="0098248D">
        <w:rPr>
          <w:color w:val="000000" w:themeColor="text1"/>
        </w:rPr>
        <w:t xml:space="preserve">) </w:t>
      </w:r>
      <w:r w:rsidR="00984723">
        <w:rPr>
          <w:color w:val="000000" w:themeColor="text1"/>
        </w:rPr>
        <w:t xml:space="preserve">and </w:t>
      </w:r>
      <w:r>
        <w:rPr>
          <w:color w:val="000000" w:themeColor="text1"/>
        </w:rPr>
        <w:t xml:space="preserve">include mechanisms </w:t>
      </w:r>
      <w:r w:rsidR="00984723">
        <w:rPr>
          <w:color w:val="000000" w:themeColor="text1"/>
        </w:rPr>
        <w:t>to</w:t>
      </w:r>
      <w:r>
        <w:rPr>
          <w:color w:val="000000" w:themeColor="text1"/>
        </w:rPr>
        <w:t xml:space="preserve"> ensure traceable measurement</w:t>
      </w:r>
      <w:r w:rsidR="00167847">
        <w:rPr>
          <w:rStyle w:val="FootnoteReference"/>
          <w:color w:val="000000" w:themeColor="text1"/>
        </w:rPr>
        <w:footnoteReference w:id="3"/>
      </w:r>
      <w:r>
        <w:rPr>
          <w:color w:val="000000" w:themeColor="text1"/>
        </w:rPr>
        <w:t xml:space="preserve"> and the regulatory control of measurement used for trade and legal purposes</w:t>
      </w:r>
      <w:r w:rsidR="00984723">
        <w:rPr>
          <w:color w:val="000000" w:themeColor="text1"/>
        </w:rPr>
        <w:t>. The framework is</w:t>
      </w:r>
      <w:r>
        <w:rPr>
          <w:color w:val="000000" w:themeColor="text1"/>
        </w:rPr>
        <w:t xml:space="preserve"> provided in</w:t>
      </w:r>
      <w:r w:rsidRPr="00E1297C">
        <w:rPr>
          <w:color w:val="000000" w:themeColor="text1"/>
        </w:rPr>
        <w:t>:</w:t>
      </w:r>
    </w:p>
    <w:p w14:paraId="10AA7EF0" w14:textId="739B6BF6" w:rsidR="00A4385D" w:rsidRDefault="00A4385D" w:rsidP="00C254F9">
      <w:pPr>
        <w:pStyle w:val="ListParagraph"/>
        <w:numPr>
          <w:ilvl w:val="0"/>
          <w:numId w:val="11"/>
        </w:numPr>
        <w:ind w:left="360"/>
        <w:jc w:val="both"/>
        <w:rPr>
          <w:color w:val="000000" w:themeColor="text1"/>
        </w:rPr>
      </w:pPr>
      <w:r w:rsidRPr="00E1297C">
        <w:rPr>
          <w:color w:val="000000" w:themeColor="text1"/>
        </w:rPr>
        <w:t xml:space="preserve">the primary </w:t>
      </w:r>
      <w:r>
        <w:rPr>
          <w:color w:val="000000" w:themeColor="text1"/>
        </w:rPr>
        <w:t>legislation</w:t>
      </w:r>
      <w:r w:rsidRPr="00E1297C">
        <w:rPr>
          <w:color w:val="000000" w:themeColor="text1"/>
        </w:rPr>
        <w:t xml:space="preserve"> </w:t>
      </w:r>
      <w:r w:rsidR="000332E2">
        <w:rPr>
          <w:color w:val="000000" w:themeColor="text1"/>
        </w:rPr>
        <w:t>–</w:t>
      </w:r>
      <w:r w:rsidRPr="00E1297C">
        <w:rPr>
          <w:color w:val="000000" w:themeColor="text1"/>
        </w:rPr>
        <w:t xml:space="preserve"> </w:t>
      </w:r>
      <w:r w:rsidR="00984723">
        <w:rPr>
          <w:color w:val="000000" w:themeColor="text1"/>
        </w:rPr>
        <w:t>the</w:t>
      </w:r>
      <w:r w:rsidRPr="00E1297C">
        <w:rPr>
          <w:color w:val="000000" w:themeColor="text1"/>
        </w:rPr>
        <w:t xml:space="preserve"> </w:t>
      </w:r>
      <w:r w:rsidR="003977DD">
        <w:rPr>
          <w:color w:val="000000" w:themeColor="text1"/>
        </w:rPr>
        <w:t>Act</w:t>
      </w:r>
      <w:r>
        <w:rPr>
          <w:color w:val="000000" w:themeColor="text1"/>
        </w:rPr>
        <w:t>;</w:t>
      </w:r>
    </w:p>
    <w:p w14:paraId="77D47528" w14:textId="2C89B959" w:rsidR="00A4385D" w:rsidRPr="00E1297C" w:rsidRDefault="00A4385D" w:rsidP="00C254F9">
      <w:pPr>
        <w:pStyle w:val="ListParagraph"/>
        <w:numPr>
          <w:ilvl w:val="0"/>
          <w:numId w:val="11"/>
        </w:numPr>
        <w:ind w:left="360"/>
        <w:jc w:val="both"/>
        <w:rPr>
          <w:color w:val="000000" w:themeColor="text1"/>
        </w:rPr>
      </w:pPr>
      <w:r>
        <w:rPr>
          <w:color w:val="000000" w:themeColor="text1"/>
        </w:rPr>
        <w:t>the subordinate regulations</w:t>
      </w:r>
      <w:r w:rsidRPr="00E1297C">
        <w:rPr>
          <w:color w:val="000000" w:themeColor="text1"/>
        </w:rPr>
        <w:t xml:space="preserve"> </w:t>
      </w:r>
      <w:r w:rsidR="000332E2">
        <w:rPr>
          <w:color w:val="000000" w:themeColor="text1"/>
        </w:rPr>
        <w:t>–</w:t>
      </w:r>
      <w:r w:rsidR="00C42625">
        <w:rPr>
          <w:color w:val="000000" w:themeColor="text1"/>
        </w:rPr>
        <w:t xml:space="preserve"> </w:t>
      </w:r>
      <w:r w:rsidRPr="00E1297C">
        <w:rPr>
          <w:color w:val="000000" w:themeColor="text1"/>
        </w:rPr>
        <w:t>NMR and</w:t>
      </w:r>
      <w:r w:rsidRPr="00E1297C">
        <w:rPr>
          <w:i/>
          <w:color w:val="000000" w:themeColor="text1"/>
        </w:rPr>
        <w:t xml:space="preserve"> </w:t>
      </w:r>
      <w:r w:rsidRPr="00E1297C">
        <w:rPr>
          <w:color w:val="000000" w:themeColor="text1"/>
        </w:rPr>
        <w:t>NTMR; and</w:t>
      </w:r>
    </w:p>
    <w:p w14:paraId="2C9F73AC" w14:textId="63B26EE9" w:rsidR="00A4385D" w:rsidRDefault="00A4385D" w:rsidP="00C254F9">
      <w:pPr>
        <w:pStyle w:val="ListParagraph"/>
        <w:numPr>
          <w:ilvl w:val="0"/>
          <w:numId w:val="11"/>
        </w:numPr>
        <w:ind w:left="360"/>
        <w:rPr>
          <w:color w:val="000000" w:themeColor="text1"/>
        </w:rPr>
      </w:pPr>
      <w:r>
        <w:rPr>
          <w:color w:val="000000" w:themeColor="text1"/>
        </w:rPr>
        <w:t xml:space="preserve">other </w:t>
      </w:r>
      <w:r w:rsidRPr="00E1297C">
        <w:rPr>
          <w:color w:val="000000" w:themeColor="text1"/>
        </w:rPr>
        <w:t>legislative instruments made under powers in the legislation</w:t>
      </w:r>
      <w:r w:rsidR="0098248D">
        <w:rPr>
          <w:color w:val="000000" w:themeColor="text1"/>
        </w:rPr>
        <w:t xml:space="preserve"> </w:t>
      </w:r>
      <w:r w:rsidR="004B0DB3">
        <w:rPr>
          <w:color w:val="000000" w:themeColor="text1"/>
        </w:rPr>
        <w:t xml:space="preserve">including </w:t>
      </w:r>
      <w:r>
        <w:rPr>
          <w:color w:val="000000" w:themeColor="text1"/>
        </w:rPr>
        <w:t xml:space="preserve">determinations, </w:t>
      </w:r>
      <w:r w:rsidR="0098248D">
        <w:rPr>
          <w:color w:val="000000" w:themeColor="text1"/>
        </w:rPr>
        <w:t xml:space="preserve">testing </w:t>
      </w:r>
      <w:r>
        <w:rPr>
          <w:color w:val="000000" w:themeColor="text1"/>
        </w:rPr>
        <w:t>standards and guidelines.</w:t>
      </w:r>
    </w:p>
    <w:p w14:paraId="3F5ECAD4" w14:textId="67B55324" w:rsidR="00A4385D" w:rsidRPr="00AB76B8" w:rsidRDefault="001445FF" w:rsidP="001445FF">
      <w:pPr>
        <w:pStyle w:val="Heading2"/>
      </w:pPr>
      <w:bookmarkStart w:id="58" w:name="_Toc19627770"/>
      <w:bookmarkStart w:id="59" w:name="_Toc19633172"/>
      <w:bookmarkStart w:id="60" w:name="_Toc19884190"/>
      <w:bookmarkStart w:id="61" w:name="_Toc19891389"/>
      <w:bookmarkStart w:id="62" w:name="_Toc19891428"/>
      <w:bookmarkStart w:id="63" w:name="_Toc22897260"/>
      <w:bookmarkStart w:id="64" w:name="_Toc22899670"/>
      <w:bookmarkStart w:id="65" w:name="_Toc22900307"/>
      <w:bookmarkStart w:id="66" w:name="_Toc22901147"/>
      <w:r>
        <w:t xml:space="preserve">2.2 </w:t>
      </w:r>
      <w:r w:rsidR="00A4385D" w:rsidRPr="00887BCC">
        <w:t xml:space="preserve">Current </w:t>
      </w:r>
      <w:r w:rsidR="00A13F70">
        <w:t>T</w:t>
      </w:r>
      <w:r w:rsidR="00A4385D" w:rsidRPr="00887BCC">
        <w:t xml:space="preserve">hird </w:t>
      </w:r>
      <w:r w:rsidR="00A13F70">
        <w:t>P</w:t>
      </w:r>
      <w:r w:rsidR="00A4385D" w:rsidRPr="00887BCC">
        <w:t>arties</w:t>
      </w:r>
      <w:r w:rsidR="00A13F70">
        <w:t xml:space="preserve"> in the F</w:t>
      </w:r>
      <w:r w:rsidR="00984723">
        <w:t>ramework</w:t>
      </w:r>
      <w:bookmarkEnd w:id="58"/>
      <w:bookmarkEnd w:id="59"/>
      <w:bookmarkEnd w:id="60"/>
      <w:bookmarkEnd w:id="61"/>
      <w:bookmarkEnd w:id="62"/>
      <w:bookmarkEnd w:id="63"/>
      <w:bookmarkEnd w:id="64"/>
      <w:bookmarkEnd w:id="65"/>
      <w:bookmarkEnd w:id="66"/>
    </w:p>
    <w:p w14:paraId="3297FD8F" w14:textId="67A07848" w:rsidR="00A4385D" w:rsidRPr="00B90FA3" w:rsidRDefault="00A4385D" w:rsidP="00A4385D">
      <w:r>
        <w:rPr>
          <w:color w:val="000000" w:themeColor="text1"/>
        </w:rPr>
        <w:t>T</w:t>
      </w:r>
      <w:r w:rsidRPr="00E1297C">
        <w:rPr>
          <w:color w:val="000000" w:themeColor="text1"/>
        </w:rPr>
        <w:t xml:space="preserve">hird parties are entities </w:t>
      </w:r>
      <w:r w:rsidR="0098248D">
        <w:rPr>
          <w:color w:val="000000" w:themeColor="text1"/>
        </w:rPr>
        <w:t xml:space="preserve">licensed or appointed </w:t>
      </w:r>
      <w:r w:rsidRPr="00E1297C">
        <w:rPr>
          <w:color w:val="000000" w:themeColor="text1"/>
        </w:rPr>
        <w:t xml:space="preserve">under the measurement legislation to perform a particular domestic function necessary to </w:t>
      </w:r>
      <w:r w:rsidRPr="00B90FA3">
        <w:t xml:space="preserve">maintain confidence in </w:t>
      </w:r>
      <w:r w:rsidR="009D6CA2">
        <w:t xml:space="preserve">the accuracy of a </w:t>
      </w:r>
      <w:r w:rsidRPr="00B90FA3">
        <w:t>measurement</w:t>
      </w:r>
      <w:r>
        <w:t xml:space="preserve"> used for trade or legal purposes.</w:t>
      </w:r>
      <w:r w:rsidRPr="00B90FA3">
        <w:t xml:space="preserve"> </w:t>
      </w:r>
      <w:r w:rsidR="00FA6538" w:rsidRPr="00B90FA3">
        <w:t>These</w:t>
      </w:r>
      <w:r w:rsidRPr="00B90FA3">
        <w:t xml:space="preserve"> functions </w:t>
      </w:r>
      <w:r w:rsidR="00984723">
        <w:t>are</w:t>
      </w:r>
      <w:r w:rsidR="00760DE7">
        <w:t xml:space="preserve"> often</w:t>
      </w:r>
      <w:r w:rsidRPr="00B90FA3">
        <w:t xml:space="preserve"> performed by entities already engaged in performing measurement activities, such as supplying, calibrating or servicing measuring instruments.</w:t>
      </w:r>
    </w:p>
    <w:p w14:paraId="0BE728ED" w14:textId="77777777" w:rsidR="00A4385D" w:rsidRPr="00E1297C" w:rsidRDefault="00A4385D" w:rsidP="00A4385D">
      <w:pPr>
        <w:jc w:val="both"/>
        <w:rPr>
          <w:color w:val="000000" w:themeColor="text1"/>
        </w:rPr>
      </w:pPr>
      <w:r w:rsidRPr="00E1297C">
        <w:rPr>
          <w:color w:val="000000" w:themeColor="text1"/>
        </w:rPr>
        <w:t xml:space="preserve">The different kinds of third parties </w:t>
      </w:r>
      <w:r>
        <w:rPr>
          <w:color w:val="000000" w:themeColor="text1"/>
        </w:rPr>
        <w:t xml:space="preserve">specified </w:t>
      </w:r>
      <w:r w:rsidRPr="00E1297C">
        <w:rPr>
          <w:color w:val="000000" w:themeColor="text1"/>
        </w:rPr>
        <w:t xml:space="preserve">under Australia’s measurement </w:t>
      </w:r>
      <w:r>
        <w:rPr>
          <w:color w:val="000000" w:themeColor="text1"/>
        </w:rPr>
        <w:t xml:space="preserve">framework </w:t>
      </w:r>
      <w:r w:rsidRPr="00E1297C">
        <w:rPr>
          <w:color w:val="000000" w:themeColor="text1"/>
        </w:rPr>
        <w:t>are:</w:t>
      </w:r>
    </w:p>
    <w:p w14:paraId="3E19B4A2" w14:textId="2FE0A08E" w:rsidR="00A4385D" w:rsidRPr="00E1297C" w:rsidRDefault="00A4385D" w:rsidP="00C254F9">
      <w:pPr>
        <w:pStyle w:val="ListParagraph"/>
        <w:numPr>
          <w:ilvl w:val="0"/>
          <w:numId w:val="3"/>
        </w:numPr>
        <w:ind w:left="360"/>
        <w:jc w:val="both"/>
        <w:rPr>
          <w:color w:val="000000" w:themeColor="text1"/>
        </w:rPr>
      </w:pPr>
      <w:r>
        <w:rPr>
          <w:b/>
          <w:color w:val="000000" w:themeColor="text1"/>
        </w:rPr>
        <w:t xml:space="preserve">Servicing </w:t>
      </w:r>
      <w:r w:rsidR="00843A80">
        <w:rPr>
          <w:b/>
          <w:color w:val="000000" w:themeColor="text1"/>
        </w:rPr>
        <w:t>l</w:t>
      </w:r>
      <w:r w:rsidRPr="00E1297C">
        <w:rPr>
          <w:b/>
          <w:color w:val="000000" w:themeColor="text1"/>
        </w:rPr>
        <w:t>icensees</w:t>
      </w:r>
      <w:r w:rsidRPr="00E1297C">
        <w:rPr>
          <w:color w:val="000000" w:themeColor="text1"/>
        </w:rPr>
        <w:t xml:space="preserve"> who support the trade measurement system by testing and verifying </w:t>
      </w:r>
      <w:r w:rsidR="00C42625">
        <w:t>measuring instruments used for trade</w:t>
      </w:r>
      <w:r w:rsidRPr="00E1297C">
        <w:rPr>
          <w:color w:val="000000" w:themeColor="text1"/>
        </w:rPr>
        <w:t>;</w:t>
      </w:r>
    </w:p>
    <w:p w14:paraId="7B338EF4" w14:textId="77777777" w:rsidR="00A4385D" w:rsidRPr="00E1297C" w:rsidRDefault="00A4385D" w:rsidP="00C254F9">
      <w:pPr>
        <w:pStyle w:val="ListParagraph"/>
        <w:numPr>
          <w:ilvl w:val="0"/>
          <w:numId w:val="3"/>
        </w:numPr>
        <w:ind w:left="360"/>
        <w:jc w:val="both"/>
        <w:rPr>
          <w:color w:val="000000" w:themeColor="text1"/>
        </w:rPr>
      </w:pPr>
      <w:r w:rsidRPr="00E1297C">
        <w:rPr>
          <w:b/>
          <w:color w:val="000000" w:themeColor="text1"/>
        </w:rPr>
        <w:t>Utility meter verifiers</w:t>
      </w:r>
      <w:r w:rsidRPr="00E1297C">
        <w:rPr>
          <w:color w:val="000000" w:themeColor="text1"/>
        </w:rPr>
        <w:t xml:space="preserve"> (UMVs) who test and verify utility meters;</w:t>
      </w:r>
    </w:p>
    <w:p w14:paraId="04001A42" w14:textId="5F9DB093" w:rsidR="00A4385D" w:rsidRDefault="00A4385D" w:rsidP="00C254F9">
      <w:pPr>
        <w:pStyle w:val="ListParagraph"/>
        <w:numPr>
          <w:ilvl w:val="0"/>
          <w:numId w:val="3"/>
        </w:numPr>
        <w:ind w:left="360"/>
        <w:rPr>
          <w:color w:val="000000" w:themeColor="text1"/>
        </w:rPr>
      </w:pPr>
      <w:r w:rsidRPr="00B90FA3">
        <w:rPr>
          <w:b/>
          <w:color w:val="000000" w:themeColor="text1"/>
        </w:rPr>
        <w:t>Public weighbridge</w:t>
      </w:r>
      <w:r>
        <w:rPr>
          <w:b/>
          <w:color w:val="000000" w:themeColor="text1"/>
        </w:rPr>
        <w:t xml:space="preserve"> licensees</w:t>
      </w:r>
      <w:r w:rsidR="00F82ABC">
        <w:rPr>
          <w:color w:val="000000" w:themeColor="text1"/>
        </w:rPr>
        <w:t xml:space="preserve"> </w:t>
      </w:r>
      <w:r w:rsidR="00984723">
        <w:rPr>
          <w:color w:val="000000" w:themeColor="text1"/>
        </w:rPr>
        <w:t xml:space="preserve">who make </w:t>
      </w:r>
      <w:r w:rsidRPr="00E1297C">
        <w:rPr>
          <w:color w:val="000000" w:themeColor="text1"/>
        </w:rPr>
        <w:t>weighbridge</w:t>
      </w:r>
      <w:r>
        <w:rPr>
          <w:color w:val="000000" w:themeColor="text1"/>
        </w:rPr>
        <w:t>s</w:t>
      </w:r>
      <w:r w:rsidR="00984723">
        <w:rPr>
          <w:color w:val="000000" w:themeColor="text1"/>
        </w:rPr>
        <w:t xml:space="preserve"> available for </w:t>
      </w:r>
      <w:r w:rsidR="004B0DB3">
        <w:rPr>
          <w:color w:val="000000" w:themeColor="text1"/>
        </w:rPr>
        <w:t xml:space="preserve">public </w:t>
      </w:r>
      <w:r w:rsidR="00984723">
        <w:rPr>
          <w:color w:val="000000" w:themeColor="text1"/>
        </w:rPr>
        <w:t>use</w:t>
      </w:r>
      <w:r>
        <w:rPr>
          <w:color w:val="000000" w:themeColor="text1"/>
        </w:rPr>
        <w:t>; and</w:t>
      </w:r>
    </w:p>
    <w:p w14:paraId="12FC13F2" w14:textId="7CBBB7B9" w:rsidR="00A4385D" w:rsidRDefault="00A4385D" w:rsidP="00C254F9">
      <w:pPr>
        <w:pStyle w:val="ListParagraph"/>
        <w:numPr>
          <w:ilvl w:val="0"/>
          <w:numId w:val="3"/>
        </w:numPr>
        <w:ind w:left="360"/>
        <w:jc w:val="both"/>
        <w:rPr>
          <w:color w:val="000000" w:themeColor="text1"/>
        </w:rPr>
      </w:pPr>
      <w:r w:rsidRPr="00E1297C">
        <w:rPr>
          <w:b/>
          <w:color w:val="000000" w:themeColor="text1"/>
        </w:rPr>
        <w:t>Legal metrology authorities</w:t>
      </w:r>
      <w:r w:rsidRPr="00E1297C">
        <w:rPr>
          <w:color w:val="000000" w:themeColor="text1"/>
        </w:rPr>
        <w:t xml:space="preserve"> (LMAs) who </w:t>
      </w:r>
      <w:r w:rsidR="00C42625">
        <w:rPr>
          <w:color w:val="000000" w:themeColor="text1"/>
        </w:rPr>
        <w:t>comprise</w:t>
      </w:r>
      <w:r w:rsidR="000102B6">
        <w:rPr>
          <w:color w:val="000000" w:themeColor="text1"/>
        </w:rPr>
        <w:t xml:space="preserve"> of the following</w:t>
      </w:r>
      <w:r>
        <w:rPr>
          <w:color w:val="000000" w:themeColor="text1"/>
        </w:rPr>
        <w:t>:</w:t>
      </w:r>
    </w:p>
    <w:p w14:paraId="6B95E6B4" w14:textId="741DE7B3" w:rsidR="00A4385D" w:rsidRDefault="00843A80" w:rsidP="00C254F9">
      <w:pPr>
        <w:pStyle w:val="ListParagraph"/>
        <w:numPr>
          <w:ilvl w:val="1"/>
          <w:numId w:val="3"/>
        </w:numPr>
        <w:ind w:left="720"/>
        <w:jc w:val="both"/>
        <w:rPr>
          <w:color w:val="000000" w:themeColor="text1"/>
        </w:rPr>
      </w:pPr>
      <w:r>
        <w:rPr>
          <w:b/>
          <w:color w:val="000000" w:themeColor="text1"/>
        </w:rPr>
        <w:t>Verifying a</w:t>
      </w:r>
      <w:r w:rsidR="00A4385D" w:rsidRPr="00B90FA3">
        <w:rPr>
          <w:b/>
          <w:color w:val="000000" w:themeColor="text1"/>
        </w:rPr>
        <w:t>uthorities</w:t>
      </w:r>
      <w:r w:rsidR="00A4385D">
        <w:rPr>
          <w:color w:val="000000" w:themeColor="text1"/>
        </w:rPr>
        <w:t xml:space="preserve"> who verify standards of measurement and artefacts</w:t>
      </w:r>
      <w:r w:rsidR="00EB2253">
        <w:rPr>
          <w:color w:val="000000" w:themeColor="text1"/>
        </w:rPr>
        <w:t>;</w:t>
      </w:r>
    </w:p>
    <w:p w14:paraId="70C085A4" w14:textId="4933FF4F" w:rsidR="00A4385D" w:rsidRDefault="00843A80" w:rsidP="00C254F9">
      <w:pPr>
        <w:pStyle w:val="ListParagraph"/>
        <w:numPr>
          <w:ilvl w:val="1"/>
          <w:numId w:val="3"/>
        </w:numPr>
        <w:ind w:left="720"/>
        <w:jc w:val="both"/>
        <w:rPr>
          <w:color w:val="000000" w:themeColor="text1"/>
        </w:rPr>
      </w:pPr>
      <w:r>
        <w:rPr>
          <w:b/>
          <w:color w:val="000000" w:themeColor="text1"/>
        </w:rPr>
        <w:t>Certifying a</w:t>
      </w:r>
      <w:r w:rsidR="00A4385D" w:rsidRPr="00B90FA3">
        <w:rPr>
          <w:b/>
          <w:color w:val="000000" w:themeColor="text1"/>
        </w:rPr>
        <w:t>uthorities</w:t>
      </w:r>
      <w:r w:rsidR="00A4385D">
        <w:rPr>
          <w:color w:val="000000" w:themeColor="text1"/>
        </w:rPr>
        <w:t xml:space="preserve"> who certify measuring instruments </w:t>
      </w:r>
      <w:r w:rsidR="0096004B">
        <w:rPr>
          <w:color w:val="000000" w:themeColor="text1"/>
        </w:rPr>
        <w:t>or</w:t>
      </w:r>
      <w:r w:rsidR="00A4385D">
        <w:rPr>
          <w:color w:val="000000" w:themeColor="text1"/>
        </w:rPr>
        <w:t xml:space="preserve"> certify reference materials</w:t>
      </w:r>
      <w:r w:rsidR="00EB2253">
        <w:rPr>
          <w:color w:val="000000" w:themeColor="text1"/>
        </w:rPr>
        <w:t>; and</w:t>
      </w:r>
    </w:p>
    <w:p w14:paraId="24D3E754" w14:textId="14A32729" w:rsidR="00A4385D" w:rsidRPr="00B90FA3" w:rsidRDefault="00221BE0" w:rsidP="00C254F9">
      <w:pPr>
        <w:pStyle w:val="ListParagraph"/>
        <w:numPr>
          <w:ilvl w:val="1"/>
          <w:numId w:val="3"/>
        </w:numPr>
        <w:ind w:left="720"/>
        <w:jc w:val="both"/>
        <w:rPr>
          <w:color w:val="000000" w:themeColor="text1"/>
        </w:rPr>
      </w:pPr>
      <w:r>
        <w:rPr>
          <w:b/>
          <w:color w:val="000000" w:themeColor="text1"/>
        </w:rPr>
        <w:t xml:space="preserve">Approving </w:t>
      </w:r>
      <w:r w:rsidR="00843A80">
        <w:rPr>
          <w:b/>
          <w:color w:val="000000" w:themeColor="text1"/>
        </w:rPr>
        <w:t>a</w:t>
      </w:r>
      <w:r w:rsidR="00A4385D" w:rsidRPr="00B90FA3">
        <w:rPr>
          <w:b/>
          <w:color w:val="000000" w:themeColor="text1"/>
        </w:rPr>
        <w:t>uthorities</w:t>
      </w:r>
      <w:r w:rsidR="00A4385D">
        <w:rPr>
          <w:color w:val="000000" w:themeColor="text1"/>
        </w:rPr>
        <w:t xml:space="preserve"> who examine measuring instruments</w:t>
      </w:r>
      <w:r w:rsidR="003E6808">
        <w:rPr>
          <w:color w:val="000000" w:themeColor="text1"/>
        </w:rPr>
        <w:t xml:space="preserve"> and </w:t>
      </w:r>
      <w:r w:rsidR="00A4385D">
        <w:rPr>
          <w:color w:val="000000" w:themeColor="text1"/>
        </w:rPr>
        <w:t>approve patterns of measuring instruments.</w:t>
      </w:r>
    </w:p>
    <w:p w14:paraId="11DC4B7F" w14:textId="3D80FE17" w:rsidR="00426E2A" w:rsidRPr="00E1297C" w:rsidRDefault="00A4385D" w:rsidP="007B27E6">
      <w:pPr>
        <w:rPr>
          <w:color w:val="000000" w:themeColor="text1"/>
        </w:rPr>
      </w:pPr>
      <w:r>
        <w:rPr>
          <w:color w:val="000000" w:themeColor="text1"/>
        </w:rPr>
        <w:lastRenderedPageBreak/>
        <w:t>T</w:t>
      </w:r>
      <w:r w:rsidRPr="00E1297C">
        <w:rPr>
          <w:color w:val="000000" w:themeColor="text1"/>
        </w:rPr>
        <w:t>he legislation sets out</w:t>
      </w:r>
      <w:r>
        <w:rPr>
          <w:color w:val="000000" w:themeColor="text1"/>
        </w:rPr>
        <w:t xml:space="preserve"> a process </w:t>
      </w:r>
      <w:r w:rsidR="002A6316">
        <w:rPr>
          <w:color w:val="000000" w:themeColor="text1"/>
        </w:rPr>
        <w:t xml:space="preserve">for </w:t>
      </w:r>
      <w:r>
        <w:rPr>
          <w:color w:val="000000" w:themeColor="text1"/>
        </w:rPr>
        <w:t xml:space="preserve">appointment, conditions of appointment, </w:t>
      </w:r>
      <w:r w:rsidR="000102B6">
        <w:rPr>
          <w:color w:val="000000" w:themeColor="text1"/>
        </w:rPr>
        <w:t xml:space="preserve">and </w:t>
      </w:r>
      <w:r>
        <w:rPr>
          <w:color w:val="000000" w:themeColor="text1"/>
        </w:rPr>
        <w:t>grounds for cancellation or varying appointment. R</w:t>
      </w:r>
      <w:r w:rsidRPr="00E1297C">
        <w:rPr>
          <w:color w:val="000000" w:themeColor="text1"/>
        </w:rPr>
        <w:t xml:space="preserve">equirements for each type of authorised third party </w:t>
      </w:r>
      <w:r>
        <w:rPr>
          <w:color w:val="000000" w:themeColor="text1"/>
        </w:rPr>
        <w:t>are discussed later in th</w:t>
      </w:r>
      <w:r w:rsidR="00FA6538">
        <w:rPr>
          <w:color w:val="000000" w:themeColor="text1"/>
        </w:rPr>
        <w:t>is</w:t>
      </w:r>
      <w:r w:rsidR="007B27E6">
        <w:rPr>
          <w:color w:val="000000" w:themeColor="text1"/>
        </w:rPr>
        <w:t xml:space="preserve"> paper.</w:t>
      </w:r>
    </w:p>
    <w:p w14:paraId="6EAFC60E" w14:textId="41286E95" w:rsidR="00A4385D" w:rsidRPr="00887BCC" w:rsidRDefault="001445FF" w:rsidP="001445FF">
      <w:pPr>
        <w:pStyle w:val="Heading2"/>
      </w:pPr>
      <w:bookmarkStart w:id="67" w:name="_Toc19539224"/>
      <w:bookmarkStart w:id="68" w:name="_Toc19539515"/>
      <w:bookmarkStart w:id="69" w:name="_Toc19627771"/>
      <w:bookmarkStart w:id="70" w:name="_Toc19633173"/>
      <w:bookmarkStart w:id="71" w:name="_Toc19884191"/>
      <w:bookmarkStart w:id="72" w:name="_Toc19891390"/>
      <w:bookmarkStart w:id="73" w:name="_Toc19891429"/>
      <w:bookmarkStart w:id="74" w:name="_Toc22897261"/>
      <w:bookmarkStart w:id="75" w:name="_Toc22899671"/>
      <w:bookmarkStart w:id="76" w:name="_Toc22900308"/>
      <w:bookmarkStart w:id="77" w:name="_Toc22901148"/>
      <w:r>
        <w:t xml:space="preserve">2.3 </w:t>
      </w:r>
      <w:r w:rsidR="00A4385D" w:rsidRPr="00887BCC">
        <w:t xml:space="preserve">International Measurement </w:t>
      </w:r>
      <w:bookmarkEnd w:id="67"/>
      <w:bookmarkEnd w:id="68"/>
      <w:bookmarkEnd w:id="69"/>
      <w:bookmarkEnd w:id="70"/>
      <w:bookmarkEnd w:id="71"/>
      <w:bookmarkEnd w:id="72"/>
      <w:bookmarkEnd w:id="73"/>
      <w:r w:rsidR="00A14788">
        <w:t>Frameworks</w:t>
      </w:r>
      <w:bookmarkEnd w:id="74"/>
      <w:bookmarkEnd w:id="75"/>
      <w:bookmarkEnd w:id="76"/>
      <w:bookmarkEnd w:id="77"/>
    </w:p>
    <w:p w14:paraId="54552613" w14:textId="3B9EB42D" w:rsidR="00984723" w:rsidRDefault="00A4385D" w:rsidP="00984723">
      <w:pPr>
        <w:rPr>
          <w:rStyle w:val="CommentReference"/>
          <w:color w:val="000000" w:themeColor="text1"/>
          <w:sz w:val="22"/>
          <w:szCs w:val="22"/>
        </w:rPr>
      </w:pPr>
      <w:r>
        <w:rPr>
          <w:rFonts w:cstheme="minorHAnsi"/>
          <w:color w:val="000000" w:themeColor="text1"/>
        </w:rPr>
        <w:t xml:space="preserve">Australia’s measurement </w:t>
      </w:r>
      <w:r w:rsidR="00A14788">
        <w:rPr>
          <w:rFonts w:cstheme="minorHAnsi"/>
          <w:color w:val="000000" w:themeColor="text1"/>
        </w:rPr>
        <w:t xml:space="preserve">system </w:t>
      </w:r>
      <w:r>
        <w:rPr>
          <w:color w:val="000000" w:themeColor="text1"/>
        </w:rPr>
        <w:t xml:space="preserve">is linked to a number of international arrangements that promote and coordinate global </w:t>
      </w:r>
      <w:r w:rsidR="00146384">
        <w:rPr>
          <w:color w:val="000000" w:themeColor="text1"/>
        </w:rPr>
        <w:t xml:space="preserve">recognition and acceptance </w:t>
      </w:r>
      <w:r>
        <w:rPr>
          <w:color w:val="000000" w:themeColor="text1"/>
        </w:rPr>
        <w:t xml:space="preserve">of </w:t>
      </w:r>
      <w:r w:rsidR="00146384">
        <w:rPr>
          <w:color w:val="000000" w:themeColor="text1"/>
        </w:rPr>
        <w:t xml:space="preserve">national </w:t>
      </w:r>
      <w:r>
        <w:rPr>
          <w:color w:val="000000" w:themeColor="text1"/>
        </w:rPr>
        <w:t>measurement</w:t>
      </w:r>
      <w:r w:rsidR="00146384">
        <w:rPr>
          <w:color w:val="000000" w:themeColor="text1"/>
        </w:rPr>
        <w:t xml:space="preserve"> systems</w:t>
      </w:r>
      <w:r>
        <w:rPr>
          <w:color w:val="000000" w:themeColor="text1"/>
        </w:rPr>
        <w:t>.</w:t>
      </w:r>
      <w:r w:rsidRPr="00EA22C8">
        <w:rPr>
          <w:color w:val="000000" w:themeColor="text1"/>
        </w:rPr>
        <w:t xml:space="preserve"> </w:t>
      </w:r>
      <w:r w:rsidR="00984723" w:rsidRPr="00E1297C">
        <w:rPr>
          <w:rStyle w:val="CommentReference"/>
          <w:color w:val="000000" w:themeColor="text1"/>
          <w:sz w:val="22"/>
          <w:szCs w:val="22"/>
        </w:rPr>
        <w:t xml:space="preserve">Australia has responsibilities as a signatory to the two inter-governmental treaties </w:t>
      </w:r>
      <w:r w:rsidR="00984723">
        <w:rPr>
          <w:rStyle w:val="CommentReference"/>
          <w:color w:val="000000" w:themeColor="text1"/>
          <w:sz w:val="22"/>
          <w:szCs w:val="22"/>
        </w:rPr>
        <w:t>o</w:t>
      </w:r>
      <w:r w:rsidR="00984723" w:rsidRPr="00E1297C">
        <w:rPr>
          <w:rStyle w:val="CommentReference"/>
          <w:color w:val="000000" w:themeColor="text1"/>
          <w:sz w:val="22"/>
          <w:szCs w:val="22"/>
        </w:rPr>
        <w:t xml:space="preserve">n measurement, the </w:t>
      </w:r>
      <w:hyperlink r:id="rId17" w:history="1">
        <w:r w:rsidR="00984723" w:rsidRPr="001C2F96">
          <w:rPr>
            <w:rStyle w:val="Hyperlink"/>
          </w:rPr>
          <w:t>Metre Convention</w:t>
        </w:r>
      </w:hyperlink>
      <w:r w:rsidR="00984723" w:rsidRPr="00E1297C">
        <w:rPr>
          <w:rStyle w:val="CommentReference"/>
          <w:color w:val="000000" w:themeColor="text1"/>
          <w:sz w:val="22"/>
          <w:szCs w:val="22"/>
        </w:rPr>
        <w:t xml:space="preserve"> and the </w:t>
      </w:r>
      <w:hyperlink r:id="rId18" w:history="1">
        <w:r w:rsidR="00984723" w:rsidRPr="001C2F96">
          <w:rPr>
            <w:rStyle w:val="Hyperlink"/>
          </w:rPr>
          <w:t>Convention Establishing an International Organisation of Legal Metrology</w:t>
        </w:r>
      </w:hyperlink>
      <w:r w:rsidR="0084412A">
        <w:rPr>
          <w:rStyle w:val="Hyperlink"/>
        </w:rPr>
        <w:t>:</w:t>
      </w:r>
      <w:r w:rsidR="00984723" w:rsidRPr="00E1297C">
        <w:rPr>
          <w:rStyle w:val="CommentReference"/>
          <w:color w:val="000000" w:themeColor="text1"/>
          <w:sz w:val="22"/>
          <w:szCs w:val="22"/>
        </w:rPr>
        <w:t xml:space="preserve"> </w:t>
      </w:r>
      <w:r w:rsidR="00984723">
        <w:rPr>
          <w:rStyle w:val="CommentReference"/>
          <w:color w:val="000000" w:themeColor="text1"/>
          <w:sz w:val="22"/>
          <w:szCs w:val="22"/>
        </w:rPr>
        <w:t xml:space="preserve"> </w:t>
      </w:r>
    </w:p>
    <w:p w14:paraId="0CF1A582" w14:textId="10EACB0D" w:rsidR="0084412A" w:rsidRPr="00B90FA3" w:rsidRDefault="0084412A" w:rsidP="00C254F9">
      <w:pPr>
        <w:pStyle w:val="ListParagraph"/>
        <w:numPr>
          <w:ilvl w:val="0"/>
          <w:numId w:val="15"/>
        </w:numPr>
        <w:rPr>
          <w:rFonts w:cstheme="minorHAnsi"/>
          <w:color w:val="000000" w:themeColor="text1"/>
        </w:rPr>
      </w:pPr>
      <w:r>
        <w:rPr>
          <w:rFonts w:cstheme="minorHAnsi"/>
        </w:rPr>
        <w:t>The governance structures under the Metre Convention are responsible for “ensuring the propagation and improvement of the International System of Units” and “promoting world-wide uniformity in units of measurement”, among other matters.</w:t>
      </w:r>
      <w:r>
        <w:rPr>
          <w:rStyle w:val="FootnoteReference"/>
          <w:rFonts w:cstheme="minorHAnsi"/>
        </w:rPr>
        <w:footnoteReference w:id="4"/>
      </w:r>
      <w:r w:rsidRPr="00B90FA3">
        <w:rPr>
          <w:rFonts w:cstheme="minorHAnsi"/>
        </w:rPr>
        <w:t xml:space="preserve"> Under the </w:t>
      </w:r>
      <w:r>
        <w:rPr>
          <w:rFonts w:cstheme="minorHAnsi"/>
        </w:rPr>
        <w:t>Metre Treaty</w:t>
      </w:r>
      <w:r w:rsidRPr="00B90FA3">
        <w:rPr>
          <w:rFonts w:cstheme="minorHAnsi"/>
        </w:rPr>
        <w:t xml:space="preserve">, the International Committee for Weights and Measures (CIPM) </w:t>
      </w:r>
      <w:r>
        <w:rPr>
          <w:rFonts w:cstheme="minorHAnsi"/>
        </w:rPr>
        <w:t>has established the global CIPM Mutual Recognition Arrangement (MRA), providing the basis for</w:t>
      </w:r>
      <w:r w:rsidRPr="00BC4D62">
        <w:rPr>
          <w:rFonts w:cstheme="minorHAnsi"/>
        </w:rPr>
        <w:t xml:space="preserve"> international </w:t>
      </w:r>
      <w:r>
        <w:rPr>
          <w:rFonts w:cstheme="minorHAnsi"/>
        </w:rPr>
        <w:t xml:space="preserve">recognition of national </w:t>
      </w:r>
      <w:hyperlink r:id="rId19" w:history="1">
        <w:r w:rsidRPr="00314565">
          <w:rPr>
            <w:rStyle w:val="Hyperlink"/>
            <w:rFonts w:cstheme="minorHAnsi"/>
          </w:rPr>
          <w:t>measurement standards and calibration and measurement certificates issued by</w:t>
        </w:r>
      </w:hyperlink>
      <w:r>
        <w:rPr>
          <w:rStyle w:val="Hyperlink"/>
          <w:rFonts w:cstheme="minorHAnsi"/>
        </w:rPr>
        <w:t xml:space="preserve"> </w:t>
      </w:r>
      <w:r>
        <w:rPr>
          <w:rFonts w:cstheme="minorHAnsi"/>
        </w:rPr>
        <w:t xml:space="preserve">signatory </w:t>
      </w:r>
      <w:r w:rsidRPr="00BC4D62">
        <w:rPr>
          <w:rFonts w:cstheme="minorHAnsi"/>
        </w:rPr>
        <w:t>institutes.</w:t>
      </w:r>
      <w:r w:rsidR="00DA7436">
        <w:rPr>
          <w:rStyle w:val="FootnoteReference"/>
          <w:rFonts w:cstheme="minorHAnsi"/>
        </w:rPr>
        <w:footnoteReference w:id="5"/>
      </w:r>
      <w:r>
        <w:rPr>
          <w:rFonts w:cstheme="minorHAnsi"/>
        </w:rPr>
        <w:t xml:space="preserve"> </w:t>
      </w:r>
    </w:p>
    <w:p w14:paraId="2D671969" w14:textId="02AC3133" w:rsidR="0084412A" w:rsidRPr="00E9241F" w:rsidRDefault="0084412A" w:rsidP="00C254F9">
      <w:pPr>
        <w:pStyle w:val="ListParagraph"/>
        <w:numPr>
          <w:ilvl w:val="0"/>
          <w:numId w:val="15"/>
        </w:numPr>
        <w:rPr>
          <w:color w:val="000000" w:themeColor="text1"/>
        </w:rPr>
      </w:pPr>
      <w:r w:rsidRPr="007A7329">
        <w:rPr>
          <w:rFonts w:eastAsia="Times New Roman" w:cstheme="minorHAnsi"/>
          <w:szCs w:val="20"/>
          <w:lang w:eastAsia="en-AU"/>
        </w:rPr>
        <w:t xml:space="preserve">The </w:t>
      </w:r>
      <w:hyperlink r:id="rId20" w:history="1">
        <w:r w:rsidRPr="007A7329">
          <w:rPr>
            <w:rStyle w:val="Hyperlink"/>
            <w:rFonts w:cstheme="minorHAnsi"/>
            <w:szCs w:val="20"/>
          </w:rPr>
          <w:t>International Organization of Legal Metrology</w:t>
        </w:r>
      </w:hyperlink>
      <w:r w:rsidRPr="007A7329">
        <w:rPr>
          <w:rFonts w:eastAsia="Times New Roman" w:cstheme="minorHAnsi"/>
          <w:szCs w:val="20"/>
          <w:lang w:eastAsia="en-AU"/>
        </w:rPr>
        <w:t xml:space="preserve"> (OIML) </w:t>
      </w:r>
      <w:r>
        <w:rPr>
          <w:rFonts w:eastAsia="Times New Roman" w:cstheme="minorHAnsi"/>
          <w:szCs w:val="20"/>
          <w:lang w:eastAsia="en-AU"/>
        </w:rPr>
        <w:t xml:space="preserve">works towards harmonisation of regulatory frameworks, </w:t>
      </w:r>
      <w:r w:rsidR="000102B6">
        <w:rPr>
          <w:rFonts w:eastAsia="Times New Roman" w:cstheme="minorHAnsi"/>
          <w:szCs w:val="20"/>
          <w:lang w:eastAsia="en-AU"/>
        </w:rPr>
        <w:t xml:space="preserve">and </w:t>
      </w:r>
      <w:r>
        <w:rPr>
          <w:rFonts w:eastAsia="Times New Roman" w:cstheme="minorHAnsi"/>
          <w:szCs w:val="20"/>
          <w:lang w:eastAsia="en-AU"/>
        </w:rPr>
        <w:t>developing</w:t>
      </w:r>
      <w:r w:rsidRPr="007A7329">
        <w:rPr>
          <w:rFonts w:eastAsia="Times New Roman" w:cstheme="minorHAnsi"/>
          <w:szCs w:val="20"/>
          <w:lang w:eastAsia="en-AU"/>
        </w:rPr>
        <w:t xml:space="preserve"> model regulations, standards and related documents for use by legal metrology authorities and industry. </w:t>
      </w:r>
      <w:r>
        <w:rPr>
          <w:rFonts w:eastAsia="Times New Roman" w:cstheme="minorHAnsi"/>
          <w:szCs w:val="20"/>
          <w:lang w:eastAsia="en-AU"/>
        </w:rPr>
        <w:t xml:space="preserve">The global framework for </w:t>
      </w:r>
      <w:r w:rsidR="000332E2">
        <w:rPr>
          <w:rFonts w:eastAsia="Times New Roman" w:cstheme="minorHAnsi"/>
          <w:szCs w:val="20"/>
          <w:lang w:eastAsia="en-AU"/>
        </w:rPr>
        <w:t xml:space="preserve">type approval requirements is </w:t>
      </w:r>
      <w:r>
        <w:rPr>
          <w:rFonts w:eastAsia="Times New Roman" w:cstheme="minorHAnsi"/>
          <w:szCs w:val="20"/>
          <w:lang w:eastAsia="en-AU"/>
        </w:rPr>
        <w:t>established under the OIML Convention is the OIML Certification System (CS).</w:t>
      </w:r>
      <w:r>
        <w:rPr>
          <w:rStyle w:val="FootnoteReference"/>
          <w:rFonts w:eastAsia="Times New Roman" w:cstheme="minorHAnsi"/>
          <w:szCs w:val="20"/>
          <w:lang w:eastAsia="en-AU"/>
        </w:rPr>
        <w:footnoteReference w:id="6"/>
      </w:r>
      <w:r>
        <w:rPr>
          <w:rStyle w:val="FootnoteReference"/>
          <w:rFonts w:eastAsia="Times New Roman" w:cstheme="minorHAnsi"/>
          <w:szCs w:val="20"/>
          <w:lang w:eastAsia="en-AU"/>
        </w:rPr>
        <w:t xml:space="preserve">, </w:t>
      </w:r>
      <w:r>
        <w:rPr>
          <w:rStyle w:val="FootnoteReference"/>
          <w:rFonts w:eastAsia="Times New Roman" w:cstheme="minorHAnsi"/>
          <w:szCs w:val="20"/>
          <w:lang w:eastAsia="en-AU"/>
        </w:rPr>
        <w:footnoteReference w:id="7"/>
      </w:r>
    </w:p>
    <w:p w14:paraId="7BEF1FDE" w14:textId="22E827A1" w:rsidR="00984723" w:rsidRDefault="00825EA0" w:rsidP="00984723">
      <w:pPr>
        <w:rPr>
          <w:rFonts w:cstheme="minorHAnsi"/>
          <w:color w:val="000000" w:themeColor="text1"/>
        </w:rPr>
      </w:pPr>
      <w:r>
        <w:rPr>
          <w:rStyle w:val="CommentReference"/>
          <w:color w:val="000000" w:themeColor="text1"/>
          <w:sz w:val="22"/>
          <w:szCs w:val="22"/>
        </w:rPr>
        <w:t>The CIPM MRA and OIML-CS support the reduction of t</w:t>
      </w:r>
      <w:r w:rsidR="00413C1A">
        <w:rPr>
          <w:rStyle w:val="CommentReference"/>
          <w:color w:val="000000" w:themeColor="text1"/>
          <w:sz w:val="22"/>
          <w:szCs w:val="22"/>
        </w:rPr>
        <w:t>echnical barriers to trade</w:t>
      </w:r>
      <w:r w:rsidR="000102B6">
        <w:rPr>
          <w:rStyle w:val="CommentReference"/>
          <w:color w:val="000000" w:themeColor="text1"/>
          <w:sz w:val="22"/>
          <w:szCs w:val="22"/>
        </w:rPr>
        <w:t>,</w:t>
      </w:r>
      <w:r w:rsidR="00413C1A">
        <w:rPr>
          <w:rStyle w:val="CommentReference"/>
          <w:color w:val="000000" w:themeColor="text1"/>
          <w:sz w:val="22"/>
          <w:szCs w:val="22"/>
        </w:rPr>
        <w:t xml:space="preserve"> </w:t>
      </w:r>
      <w:r>
        <w:rPr>
          <w:rStyle w:val="CommentReference"/>
          <w:color w:val="000000" w:themeColor="text1"/>
          <w:sz w:val="22"/>
          <w:szCs w:val="22"/>
        </w:rPr>
        <w:t xml:space="preserve">and NMI’s </w:t>
      </w:r>
      <w:r w:rsidR="0088693D">
        <w:rPr>
          <w:rStyle w:val="CommentReference"/>
          <w:color w:val="000000" w:themeColor="text1"/>
          <w:sz w:val="22"/>
          <w:szCs w:val="22"/>
        </w:rPr>
        <w:t xml:space="preserve">effective </w:t>
      </w:r>
      <w:r>
        <w:rPr>
          <w:rStyle w:val="CommentReference"/>
          <w:color w:val="000000" w:themeColor="text1"/>
          <w:sz w:val="22"/>
          <w:szCs w:val="22"/>
        </w:rPr>
        <w:t xml:space="preserve">participation in global frameworks and </w:t>
      </w:r>
      <w:r w:rsidR="000332E2">
        <w:rPr>
          <w:rStyle w:val="CommentReference"/>
          <w:color w:val="000000" w:themeColor="text1"/>
          <w:sz w:val="22"/>
          <w:szCs w:val="22"/>
        </w:rPr>
        <w:t xml:space="preserve">in </w:t>
      </w:r>
      <w:r>
        <w:rPr>
          <w:rStyle w:val="CommentReference"/>
          <w:color w:val="000000" w:themeColor="text1"/>
          <w:sz w:val="22"/>
          <w:szCs w:val="22"/>
        </w:rPr>
        <w:t>Asia</w:t>
      </w:r>
      <w:r w:rsidR="000332E2">
        <w:rPr>
          <w:rStyle w:val="CommentReference"/>
          <w:color w:val="000000" w:themeColor="text1"/>
          <w:sz w:val="22"/>
          <w:szCs w:val="22"/>
        </w:rPr>
        <w:t>-</w:t>
      </w:r>
      <w:r>
        <w:rPr>
          <w:rStyle w:val="CommentReference"/>
          <w:color w:val="000000" w:themeColor="text1"/>
          <w:sz w:val="22"/>
          <w:szCs w:val="22"/>
        </w:rPr>
        <w:t>Pacific forums ensures</w:t>
      </w:r>
      <w:r w:rsidR="00C42625" w:rsidRPr="00C42625">
        <w:rPr>
          <w:rStyle w:val="CommentReference"/>
          <w:color w:val="000000" w:themeColor="text1"/>
          <w:sz w:val="22"/>
          <w:szCs w:val="22"/>
        </w:rPr>
        <w:t xml:space="preserve"> international </w:t>
      </w:r>
      <w:r>
        <w:rPr>
          <w:rStyle w:val="CommentReference"/>
          <w:color w:val="000000" w:themeColor="text1"/>
          <w:sz w:val="22"/>
          <w:szCs w:val="22"/>
        </w:rPr>
        <w:t>recogni</w:t>
      </w:r>
      <w:r w:rsidR="00FF73D8">
        <w:rPr>
          <w:rStyle w:val="CommentReference"/>
          <w:color w:val="000000" w:themeColor="text1"/>
          <w:sz w:val="22"/>
          <w:szCs w:val="22"/>
        </w:rPr>
        <w:t>tion and acceptance of Australi</w:t>
      </w:r>
      <w:r>
        <w:rPr>
          <w:rStyle w:val="CommentReference"/>
          <w:color w:val="000000" w:themeColor="text1"/>
          <w:sz w:val="22"/>
          <w:szCs w:val="22"/>
        </w:rPr>
        <w:t xml:space="preserve">a’s </w:t>
      </w:r>
      <w:r w:rsidR="00FF73D8">
        <w:rPr>
          <w:rStyle w:val="CommentReference"/>
          <w:color w:val="000000" w:themeColor="text1"/>
          <w:sz w:val="22"/>
          <w:szCs w:val="22"/>
        </w:rPr>
        <w:t xml:space="preserve">measurement </w:t>
      </w:r>
      <w:r w:rsidR="00C42625" w:rsidRPr="00C42625">
        <w:rPr>
          <w:rStyle w:val="CommentReference"/>
          <w:color w:val="000000" w:themeColor="text1"/>
          <w:sz w:val="22"/>
          <w:szCs w:val="22"/>
        </w:rPr>
        <w:t>system</w:t>
      </w:r>
      <w:r w:rsidR="00FF73D8">
        <w:rPr>
          <w:rStyle w:val="CommentReference"/>
          <w:color w:val="000000" w:themeColor="text1"/>
          <w:sz w:val="22"/>
          <w:szCs w:val="22"/>
        </w:rPr>
        <w:t xml:space="preserve">. It also underpins competitiveness of Australian business and industry participating in </w:t>
      </w:r>
      <w:r w:rsidR="00657EA8">
        <w:rPr>
          <w:rStyle w:val="CommentReference"/>
          <w:color w:val="000000" w:themeColor="text1"/>
          <w:sz w:val="22"/>
          <w:szCs w:val="22"/>
        </w:rPr>
        <w:t>global</w:t>
      </w:r>
      <w:r w:rsidR="00FF73D8">
        <w:rPr>
          <w:rStyle w:val="CommentReference"/>
          <w:color w:val="000000" w:themeColor="text1"/>
          <w:sz w:val="22"/>
          <w:szCs w:val="22"/>
        </w:rPr>
        <w:t xml:space="preserve"> markets</w:t>
      </w:r>
      <w:r w:rsidR="00910667">
        <w:rPr>
          <w:rStyle w:val="CommentReference"/>
          <w:color w:val="000000" w:themeColor="text1"/>
          <w:sz w:val="22"/>
          <w:szCs w:val="22"/>
        </w:rPr>
        <w:t>.</w:t>
      </w:r>
      <w:r w:rsidR="00984723" w:rsidRPr="00E1297C">
        <w:rPr>
          <w:rStyle w:val="CommentReference"/>
          <w:color w:val="000000" w:themeColor="text1"/>
          <w:sz w:val="22"/>
          <w:szCs w:val="22"/>
        </w:rPr>
        <w:t xml:space="preserve"> </w:t>
      </w:r>
      <w:r w:rsidR="00984723">
        <w:rPr>
          <w:rStyle w:val="CommentReference"/>
          <w:color w:val="000000" w:themeColor="text1"/>
          <w:sz w:val="22"/>
          <w:szCs w:val="22"/>
        </w:rPr>
        <w:t xml:space="preserve"> </w:t>
      </w:r>
    </w:p>
    <w:p w14:paraId="2FE84F7F" w14:textId="25A51AC7" w:rsidR="00A4385D" w:rsidRDefault="00A4385D" w:rsidP="00B2393E">
      <w:pPr>
        <w:rPr>
          <w:rFonts w:cstheme="minorHAnsi"/>
          <w:color w:val="000000" w:themeColor="text1"/>
        </w:rPr>
      </w:pPr>
      <w:r>
        <w:rPr>
          <w:rFonts w:cstheme="minorHAnsi"/>
          <w:color w:val="000000" w:themeColor="text1"/>
        </w:rPr>
        <w:t>T</w:t>
      </w:r>
      <w:r w:rsidRPr="00E1297C">
        <w:rPr>
          <w:color w:val="000000" w:themeColor="text1"/>
        </w:rPr>
        <w:t xml:space="preserve">hird parties </w:t>
      </w:r>
      <w:r w:rsidR="00FF73D8">
        <w:rPr>
          <w:color w:val="000000" w:themeColor="text1"/>
        </w:rPr>
        <w:t xml:space="preserve">that are part of the national measurement system </w:t>
      </w:r>
      <w:r w:rsidRPr="00E1297C">
        <w:rPr>
          <w:color w:val="000000" w:themeColor="text1"/>
        </w:rPr>
        <w:t xml:space="preserve">deliver </w:t>
      </w:r>
      <w:r w:rsidR="00C42625">
        <w:rPr>
          <w:color w:val="000000" w:themeColor="text1"/>
        </w:rPr>
        <w:t xml:space="preserve">measurement </w:t>
      </w:r>
      <w:r w:rsidRPr="00E1297C">
        <w:rPr>
          <w:color w:val="000000" w:themeColor="text1"/>
        </w:rPr>
        <w:t>services</w:t>
      </w:r>
      <w:r w:rsidR="00910667">
        <w:rPr>
          <w:color w:val="000000" w:themeColor="text1"/>
        </w:rPr>
        <w:t xml:space="preserve"> </w:t>
      </w:r>
      <w:r w:rsidR="005C64C1">
        <w:rPr>
          <w:color w:val="000000" w:themeColor="text1"/>
        </w:rPr>
        <w:t xml:space="preserve">in Australia </w:t>
      </w:r>
      <w:r w:rsidR="00910667">
        <w:rPr>
          <w:color w:val="000000" w:themeColor="text1"/>
        </w:rPr>
        <w:t xml:space="preserve">that are </w:t>
      </w:r>
      <w:r w:rsidR="00FF73D8">
        <w:rPr>
          <w:color w:val="000000" w:themeColor="text1"/>
        </w:rPr>
        <w:t>supported by these international</w:t>
      </w:r>
      <w:r w:rsidR="00174B40">
        <w:rPr>
          <w:color w:val="000000" w:themeColor="text1"/>
        </w:rPr>
        <w:t xml:space="preserve"> arrangements</w:t>
      </w:r>
      <w:r>
        <w:rPr>
          <w:color w:val="000000" w:themeColor="text1"/>
        </w:rPr>
        <w:t xml:space="preserve">. </w:t>
      </w:r>
      <w:r>
        <w:rPr>
          <w:rFonts w:cstheme="minorHAnsi"/>
          <w:color w:val="000000" w:themeColor="text1"/>
        </w:rPr>
        <w:t>Examples of how these linkages impact on Australia’s third parties include:</w:t>
      </w:r>
    </w:p>
    <w:p w14:paraId="7E3E8516" w14:textId="539622FA" w:rsidR="00A4385D" w:rsidRPr="00E9241F" w:rsidRDefault="001C2F96" w:rsidP="00C254F9">
      <w:pPr>
        <w:pStyle w:val="ListParagraph"/>
        <w:numPr>
          <w:ilvl w:val="0"/>
          <w:numId w:val="16"/>
        </w:numPr>
        <w:rPr>
          <w:rFonts w:eastAsia="Times New Roman" w:cstheme="minorHAnsi"/>
          <w:szCs w:val="20"/>
          <w:lang w:eastAsia="en-AU"/>
        </w:rPr>
      </w:pPr>
      <w:r w:rsidRPr="007B1DCB">
        <w:rPr>
          <w:rFonts w:eastAsia="Times New Roman" w:cstheme="minorHAnsi"/>
          <w:b/>
          <w:i/>
          <w:szCs w:val="20"/>
          <w:lang w:eastAsia="en-AU"/>
        </w:rPr>
        <w:t>National Instrument Test Procedures</w:t>
      </w:r>
      <w:r w:rsidRPr="007B1DCB">
        <w:rPr>
          <w:rFonts w:eastAsia="Times New Roman" w:cstheme="minorHAnsi"/>
          <w:b/>
          <w:szCs w:val="20"/>
          <w:lang w:eastAsia="en-AU"/>
        </w:rPr>
        <w:t xml:space="preserve"> </w:t>
      </w:r>
      <w:r>
        <w:rPr>
          <w:rFonts w:eastAsia="Times New Roman" w:cstheme="minorHAnsi"/>
          <w:szCs w:val="20"/>
          <w:lang w:eastAsia="en-AU"/>
        </w:rPr>
        <w:t>(NITPs):</w:t>
      </w:r>
      <w:r w:rsidRPr="00E9241F">
        <w:rPr>
          <w:rFonts w:eastAsia="Times New Roman" w:cstheme="minorHAnsi"/>
          <w:szCs w:val="20"/>
          <w:lang w:eastAsia="en-AU"/>
        </w:rPr>
        <w:t xml:space="preserve"> </w:t>
      </w:r>
      <w:r w:rsidR="00A4385D" w:rsidRPr="00E9241F">
        <w:rPr>
          <w:rFonts w:eastAsia="Times New Roman" w:cstheme="minorHAnsi"/>
          <w:szCs w:val="20"/>
          <w:lang w:eastAsia="en-AU"/>
        </w:rPr>
        <w:t>the relevant Australia</w:t>
      </w:r>
      <w:r>
        <w:rPr>
          <w:rFonts w:eastAsia="Times New Roman" w:cstheme="minorHAnsi"/>
          <w:szCs w:val="20"/>
          <w:lang w:eastAsia="en-AU"/>
        </w:rPr>
        <w:t xml:space="preserve">n NITPs </w:t>
      </w:r>
      <w:r w:rsidR="00413C1A">
        <w:rPr>
          <w:rFonts w:eastAsia="Times New Roman" w:cstheme="minorHAnsi"/>
          <w:szCs w:val="20"/>
          <w:lang w:eastAsia="en-AU"/>
        </w:rPr>
        <w:t xml:space="preserve">are followed </w:t>
      </w:r>
      <w:r w:rsidR="00A4385D" w:rsidRPr="00E9241F">
        <w:rPr>
          <w:rFonts w:eastAsia="Times New Roman" w:cstheme="minorHAnsi"/>
          <w:szCs w:val="20"/>
          <w:lang w:eastAsia="en-AU"/>
        </w:rPr>
        <w:t xml:space="preserve">when testing a measuring instrument for verification. The NITPs are derived from international requirements (as set out in the </w:t>
      </w:r>
      <w:r w:rsidR="0074005C">
        <w:rPr>
          <w:rFonts w:eastAsia="Times New Roman" w:cstheme="minorHAnsi"/>
          <w:szCs w:val="20"/>
          <w:lang w:eastAsia="en-AU"/>
        </w:rPr>
        <w:t xml:space="preserve">OIML </w:t>
      </w:r>
      <w:r w:rsidR="00A4385D" w:rsidRPr="00E9241F">
        <w:rPr>
          <w:rFonts w:eastAsia="Times New Roman" w:cstheme="minorHAnsi"/>
          <w:szCs w:val="20"/>
          <w:lang w:eastAsia="en-AU"/>
        </w:rPr>
        <w:t xml:space="preserve">‘R’ documents) to help ensure individual instruments operate within acceptable limits of error and are of an approved type. </w:t>
      </w:r>
    </w:p>
    <w:p w14:paraId="3F84A7E9" w14:textId="6D8EE902" w:rsidR="00A4385D" w:rsidRDefault="001C2F96" w:rsidP="00C254F9">
      <w:pPr>
        <w:pStyle w:val="ListParagraph"/>
        <w:numPr>
          <w:ilvl w:val="0"/>
          <w:numId w:val="16"/>
        </w:numPr>
        <w:rPr>
          <w:rFonts w:eastAsia="Times New Roman" w:cstheme="minorHAnsi"/>
          <w:szCs w:val="20"/>
          <w:lang w:eastAsia="en-AU"/>
        </w:rPr>
      </w:pPr>
      <w:r w:rsidRPr="007B1DCB">
        <w:rPr>
          <w:rFonts w:eastAsia="Times New Roman" w:cstheme="minorHAnsi"/>
          <w:b/>
          <w:i/>
          <w:szCs w:val="20"/>
          <w:lang w:eastAsia="en-AU"/>
        </w:rPr>
        <w:t xml:space="preserve">Laboratory </w:t>
      </w:r>
      <w:r w:rsidR="00F86C8E">
        <w:rPr>
          <w:rFonts w:eastAsia="Times New Roman" w:cstheme="minorHAnsi"/>
          <w:b/>
          <w:i/>
          <w:szCs w:val="20"/>
          <w:lang w:eastAsia="en-AU"/>
        </w:rPr>
        <w:t>practice</w:t>
      </w:r>
      <w:r>
        <w:rPr>
          <w:rFonts w:eastAsia="Times New Roman" w:cstheme="minorHAnsi"/>
          <w:szCs w:val="20"/>
          <w:lang w:eastAsia="en-AU"/>
        </w:rPr>
        <w:t xml:space="preserve">: </w:t>
      </w:r>
      <w:r w:rsidR="00A4385D" w:rsidRPr="00E9241F">
        <w:rPr>
          <w:rFonts w:eastAsia="Times New Roman" w:cstheme="minorHAnsi"/>
          <w:szCs w:val="20"/>
          <w:lang w:eastAsia="en-AU"/>
        </w:rPr>
        <w:t xml:space="preserve">Internationally consistent laboratory </w:t>
      </w:r>
      <w:r w:rsidR="00C42625">
        <w:rPr>
          <w:rFonts w:eastAsia="Times New Roman" w:cstheme="minorHAnsi"/>
          <w:szCs w:val="20"/>
          <w:lang w:eastAsia="en-AU"/>
        </w:rPr>
        <w:t xml:space="preserve">practice </w:t>
      </w:r>
      <w:r w:rsidR="00F86C8E">
        <w:rPr>
          <w:rFonts w:eastAsia="Times New Roman" w:cstheme="minorHAnsi"/>
          <w:szCs w:val="20"/>
          <w:lang w:eastAsia="en-AU"/>
        </w:rPr>
        <w:t>is</w:t>
      </w:r>
      <w:r w:rsidR="00F86C8E" w:rsidRPr="00E9241F">
        <w:rPr>
          <w:rFonts w:eastAsia="Times New Roman" w:cstheme="minorHAnsi"/>
          <w:szCs w:val="20"/>
          <w:lang w:eastAsia="en-AU"/>
        </w:rPr>
        <w:t xml:space="preserve"> </w:t>
      </w:r>
      <w:r w:rsidR="00A4385D" w:rsidRPr="00E9241F">
        <w:rPr>
          <w:rFonts w:eastAsia="Times New Roman" w:cstheme="minorHAnsi"/>
          <w:szCs w:val="20"/>
          <w:lang w:eastAsia="en-AU"/>
        </w:rPr>
        <w:t>established by the International Laboratory Accreditation Cooperation (ILAC) and the Asia-Pacific A</w:t>
      </w:r>
      <w:r w:rsidR="00571E86">
        <w:rPr>
          <w:rFonts w:eastAsia="Times New Roman" w:cstheme="minorHAnsi"/>
          <w:szCs w:val="20"/>
          <w:lang w:eastAsia="en-AU"/>
        </w:rPr>
        <w:t xml:space="preserve">ccreditation </w:t>
      </w:r>
      <w:r w:rsidR="00571E86">
        <w:rPr>
          <w:rFonts w:eastAsia="Times New Roman" w:cstheme="minorHAnsi"/>
          <w:szCs w:val="20"/>
          <w:lang w:eastAsia="en-AU"/>
        </w:rPr>
        <w:lastRenderedPageBreak/>
        <w:t>Cooperation (APAC)</w:t>
      </w:r>
      <w:r w:rsidR="00A4385D" w:rsidRPr="00E9241F">
        <w:rPr>
          <w:rFonts w:eastAsia="Times New Roman" w:cstheme="minorHAnsi"/>
          <w:szCs w:val="20"/>
          <w:lang w:eastAsia="en-AU"/>
        </w:rPr>
        <w:t xml:space="preserve">. LMAs and UMVs </w:t>
      </w:r>
      <w:r w:rsidR="00413C1A">
        <w:rPr>
          <w:rFonts w:eastAsia="Times New Roman" w:cstheme="minorHAnsi"/>
          <w:szCs w:val="20"/>
          <w:lang w:eastAsia="en-AU"/>
        </w:rPr>
        <w:t>are</w:t>
      </w:r>
      <w:r w:rsidR="00A4385D" w:rsidRPr="00E9241F">
        <w:rPr>
          <w:rFonts w:eastAsia="Times New Roman" w:cstheme="minorHAnsi"/>
          <w:szCs w:val="20"/>
          <w:lang w:eastAsia="en-AU"/>
        </w:rPr>
        <w:t xml:space="preserve"> typically </w:t>
      </w:r>
      <w:r w:rsidR="00A4385D" w:rsidRPr="00007080">
        <w:rPr>
          <w:rFonts w:eastAsia="Times New Roman" w:cstheme="minorHAnsi"/>
          <w:lang w:eastAsia="en-AU"/>
        </w:rPr>
        <w:t xml:space="preserve">accredited by </w:t>
      </w:r>
      <w:r w:rsidR="00571E86" w:rsidRPr="00007080">
        <w:rPr>
          <w:rFonts w:eastAsia="Times New Roman" w:cstheme="minorHAnsi"/>
          <w:lang w:eastAsia="en-AU"/>
        </w:rPr>
        <w:t xml:space="preserve">the </w:t>
      </w:r>
      <w:r w:rsidR="00571E86" w:rsidRPr="00007080">
        <w:rPr>
          <w:rFonts w:cstheme="minorHAnsi"/>
          <w:color w:val="000000"/>
        </w:rPr>
        <w:t>National Association of Testing Authorities (</w:t>
      </w:r>
      <w:r w:rsidR="00A4385D" w:rsidRPr="00007080">
        <w:rPr>
          <w:rFonts w:eastAsia="Times New Roman" w:cstheme="minorHAnsi"/>
          <w:lang w:eastAsia="en-AU"/>
        </w:rPr>
        <w:t>N</w:t>
      </w:r>
      <w:r w:rsidR="00A4385D" w:rsidRPr="00E9241F">
        <w:rPr>
          <w:rFonts w:eastAsia="Times New Roman" w:cstheme="minorHAnsi"/>
          <w:szCs w:val="20"/>
          <w:lang w:eastAsia="en-AU"/>
        </w:rPr>
        <w:t>ATA</w:t>
      </w:r>
      <w:r w:rsidR="00571E86">
        <w:rPr>
          <w:rFonts w:eastAsia="Times New Roman" w:cstheme="minorHAnsi"/>
          <w:szCs w:val="20"/>
          <w:lang w:eastAsia="en-AU"/>
        </w:rPr>
        <w:t>)</w:t>
      </w:r>
      <w:r w:rsidR="00A4385D" w:rsidRPr="00E9241F">
        <w:rPr>
          <w:rFonts w:eastAsia="Times New Roman" w:cstheme="minorHAnsi"/>
          <w:szCs w:val="20"/>
          <w:lang w:eastAsia="en-AU"/>
        </w:rPr>
        <w:t xml:space="preserve"> to AS</w:t>
      </w:r>
      <w:r w:rsidR="003E6808">
        <w:rPr>
          <w:rFonts w:eastAsia="Times New Roman" w:cstheme="minorHAnsi"/>
          <w:szCs w:val="20"/>
          <w:lang w:eastAsia="en-AU"/>
        </w:rPr>
        <w:t> </w:t>
      </w:r>
      <w:r w:rsidR="00A4385D" w:rsidRPr="00E9241F">
        <w:rPr>
          <w:rFonts w:eastAsia="Times New Roman" w:cstheme="minorHAnsi"/>
          <w:szCs w:val="20"/>
          <w:lang w:eastAsia="en-AU"/>
        </w:rPr>
        <w:t>ISO/IEC 17025.</w:t>
      </w:r>
      <w:r w:rsidR="002010D0">
        <w:rPr>
          <w:rStyle w:val="FootnoteReference"/>
          <w:rFonts w:eastAsia="Times New Roman" w:cstheme="minorHAnsi"/>
          <w:szCs w:val="20"/>
          <w:lang w:eastAsia="en-AU"/>
        </w:rPr>
        <w:footnoteReference w:id="8"/>
      </w:r>
    </w:p>
    <w:p w14:paraId="5F2A667E" w14:textId="6EE00DA5" w:rsidR="00A4385D" w:rsidRPr="004E61D6" w:rsidRDefault="001C2F96" w:rsidP="00C254F9">
      <w:pPr>
        <w:pStyle w:val="ListParagraph"/>
        <w:numPr>
          <w:ilvl w:val="0"/>
          <w:numId w:val="16"/>
        </w:numPr>
        <w:rPr>
          <w:color w:val="000000" w:themeColor="text1"/>
        </w:rPr>
      </w:pPr>
      <w:r w:rsidRPr="007B1DCB">
        <w:rPr>
          <w:b/>
          <w:i/>
          <w:color w:val="000000" w:themeColor="text1"/>
        </w:rPr>
        <w:t xml:space="preserve">Instruments </w:t>
      </w:r>
      <w:r w:rsidR="00413C1A">
        <w:rPr>
          <w:b/>
          <w:i/>
          <w:color w:val="000000" w:themeColor="text1"/>
        </w:rPr>
        <w:t>m</w:t>
      </w:r>
      <w:r w:rsidRPr="007B1DCB">
        <w:rPr>
          <w:b/>
          <w:i/>
          <w:color w:val="000000" w:themeColor="text1"/>
        </w:rPr>
        <w:t xml:space="preserve">anufactured </w:t>
      </w:r>
      <w:r w:rsidR="00413C1A">
        <w:rPr>
          <w:b/>
          <w:i/>
          <w:color w:val="000000" w:themeColor="text1"/>
        </w:rPr>
        <w:t>o</w:t>
      </w:r>
      <w:r w:rsidRPr="007B1DCB">
        <w:rPr>
          <w:b/>
          <w:i/>
          <w:color w:val="000000" w:themeColor="text1"/>
        </w:rPr>
        <w:t>verseas</w:t>
      </w:r>
      <w:r>
        <w:rPr>
          <w:color w:val="000000" w:themeColor="text1"/>
        </w:rPr>
        <w:t xml:space="preserve">: </w:t>
      </w:r>
      <w:r w:rsidR="005C64C1">
        <w:rPr>
          <w:color w:val="000000" w:themeColor="text1"/>
        </w:rPr>
        <w:t xml:space="preserve">Before </w:t>
      </w:r>
      <w:r w:rsidR="00413C1A" w:rsidRPr="004E61D6">
        <w:rPr>
          <w:color w:val="000000" w:themeColor="text1"/>
        </w:rPr>
        <w:t>testing</w:t>
      </w:r>
      <w:r w:rsidR="00413C1A" w:rsidRPr="00413C1A">
        <w:rPr>
          <w:color w:val="000000" w:themeColor="text1"/>
        </w:rPr>
        <w:t xml:space="preserve"> </w:t>
      </w:r>
      <w:r w:rsidR="005C64C1">
        <w:rPr>
          <w:color w:val="000000" w:themeColor="text1"/>
        </w:rPr>
        <w:t>and verifying</w:t>
      </w:r>
      <w:r w:rsidR="0074005C">
        <w:rPr>
          <w:color w:val="000000" w:themeColor="text1"/>
        </w:rPr>
        <w:t xml:space="preserve"> a</w:t>
      </w:r>
      <w:r w:rsidR="005C64C1">
        <w:rPr>
          <w:color w:val="000000" w:themeColor="text1"/>
        </w:rPr>
        <w:t xml:space="preserve"> </w:t>
      </w:r>
      <w:r w:rsidR="00413C1A" w:rsidRPr="004E61D6">
        <w:rPr>
          <w:color w:val="000000" w:themeColor="text1"/>
        </w:rPr>
        <w:t>trade measuring instrument</w:t>
      </w:r>
      <w:r w:rsidR="00413C1A">
        <w:rPr>
          <w:color w:val="000000" w:themeColor="text1"/>
        </w:rPr>
        <w:t xml:space="preserve"> manufactured overseas, </w:t>
      </w:r>
      <w:r w:rsidR="0074005C">
        <w:rPr>
          <w:color w:val="000000" w:themeColor="text1"/>
        </w:rPr>
        <w:t xml:space="preserve">a </w:t>
      </w:r>
      <w:r w:rsidR="00413C1A">
        <w:rPr>
          <w:color w:val="000000" w:themeColor="text1"/>
        </w:rPr>
        <w:t>third part</w:t>
      </w:r>
      <w:r w:rsidR="0074005C">
        <w:rPr>
          <w:color w:val="000000" w:themeColor="text1"/>
        </w:rPr>
        <w:t>y will</w:t>
      </w:r>
      <w:r w:rsidR="00413C1A">
        <w:rPr>
          <w:color w:val="000000" w:themeColor="text1"/>
        </w:rPr>
        <w:t xml:space="preserve"> </w:t>
      </w:r>
      <w:r w:rsidR="005C64C1">
        <w:rPr>
          <w:color w:val="000000" w:themeColor="text1"/>
        </w:rPr>
        <w:t xml:space="preserve">need to be satisfied the </w:t>
      </w:r>
      <w:r w:rsidR="00413C1A">
        <w:rPr>
          <w:color w:val="000000" w:themeColor="text1"/>
        </w:rPr>
        <w:t>instrument</w:t>
      </w:r>
      <w:r w:rsidR="00EF718F">
        <w:rPr>
          <w:color w:val="000000" w:themeColor="text1"/>
        </w:rPr>
        <w:t xml:space="preserve"> </w:t>
      </w:r>
      <w:r w:rsidR="005C64C1">
        <w:rPr>
          <w:color w:val="000000" w:themeColor="text1"/>
        </w:rPr>
        <w:t>holds Australian p</w:t>
      </w:r>
      <w:r w:rsidR="00EF718F">
        <w:rPr>
          <w:color w:val="000000" w:themeColor="text1"/>
        </w:rPr>
        <w:t xml:space="preserve">attern approval </w:t>
      </w:r>
      <w:r w:rsidR="005C64C1">
        <w:rPr>
          <w:color w:val="000000" w:themeColor="text1"/>
        </w:rPr>
        <w:t>certification</w:t>
      </w:r>
      <w:r w:rsidR="0074005C">
        <w:rPr>
          <w:color w:val="000000" w:themeColor="text1"/>
        </w:rPr>
        <w:t xml:space="preserve"> and is therefore aligned with </w:t>
      </w:r>
      <w:r w:rsidR="0074005C" w:rsidRPr="004E61D6">
        <w:rPr>
          <w:color w:val="000000" w:themeColor="text1"/>
        </w:rPr>
        <w:t xml:space="preserve">internationally agreed </w:t>
      </w:r>
      <w:r w:rsidR="0074005C">
        <w:rPr>
          <w:color w:val="000000" w:themeColor="text1"/>
        </w:rPr>
        <w:t xml:space="preserve">type approval </w:t>
      </w:r>
      <w:r w:rsidR="0074005C" w:rsidRPr="004E61D6">
        <w:rPr>
          <w:color w:val="000000" w:themeColor="text1"/>
        </w:rPr>
        <w:t>requirements</w:t>
      </w:r>
      <w:r w:rsidR="005C64C1">
        <w:rPr>
          <w:color w:val="000000" w:themeColor="text1"/>
        </w:rPr>
        <w:t>.</w:t>
      </w:r>
      <w:r w:rsidR="00843E9F">
        <w:rPr>
          <w:rStyle w:val="FootnoteReference"/>
          <w:color w:val="000000" w:themeColor="text1"/>
        </w:rPr>
        <w:footnoteReference w:id="9"/>
      </w:r>
    </w:p>
    <w:p w14:paraId="78AAC93C" w14:textId="42C3A7F7" w:rsidR="00A4385D" w:rsidRPr="00887BCC" w:rsidRDefault="001445FF" w:rsidP="001445FF">
      <w:pPr>
        <w:pStyle w:val="Heading2"/>
      </w:pPr>
      <w:bookmarkStart w:id="78" w:name="_Toc19539225"/>
      <w:bookmarkStart w:id="79" w:name="_Toc19539516"/>
      <w:bookmarkStart w:id="80" w:name="_Toc19627772"/>
      <w:bookmarkStart w:id="81" w:name="_Toc19633174"/>
      <w:bookmarkStart w:id="82" w:name="_Toc19884192"/>
      <w:bookmarkStart w:id="83" w:name="_Toc19891391"/>
      <w:bookmarkStart w:id="84" w:name="_Toc19891430"/>
      <w:bookmarkStart w:id="85" w:name="_Toc22897262"/>
      <w:bookmarkStart w:id="86" w:name="_Toc22899672"/>
      <w:bookmarkStart w:id="87" w:name="_Toc22900309"/>
      <w:bookmarkStart w:id="88" w:name="_Toc22901149"/>
      <w:r>
        <w:t xml:space="preserve">2.4 </w:t>
      </w:r>
      <w:r w:rsidR="00436169">
        <w:t>Other Australian Entities out of Scope of this D</w:t>
      </w:r>
      <w:r w:rsidR="00A4385D" w:rsidRPr="00887BCC">
        <w:t>i</w:t>
      </w:r>
      <w:r w:rsidR="00436169">
        <w:t>scussion P</w:t>
      </w:r>
      <w:r w:rsidR="00A4385D" w:rsidRPr="00887BCC">
        <w:t>aper</w:t>
      </w:r>
      <w:bookmarkEnd w:id="78"/>
      <w:bookmarkEnd w:id="79"/>
      <w:bookmarkEnd w:id="80"/>
      <w:bookmarkEnd w:id="81"/>
      <w:bookmarkEnd w:id="82"/>
      <w:bookmarkEnd w:id="83"/>
      <w:bookmarkEnd w:id="84"/>
      <w:bookmarkEnd w:id="85"/>
      <w:bookmarkEnd w:id="86"/>
      <w:bookmarkEnd w:id="87"/>
      <w:bookmarkEnd w:id="88"/>
    </w:p>
    <w:p w14:paraId="4AF6FE5A" w14:textId="64532C03" w:rsidR="00A4385D" w:rsidRPr="00E1297C" w:rsidRDefault="00A4385D" w:rsidP="00A4385D">
      <w:pPr>
        <w:jc w:val="both"/>
        <w:rPr>
          <w:color w:val="000000" w:themeColor="text1"/>
        </w:rPr>
      </w:pPr>
      <w:r>
        <w:rPr>
          <w:color w:val="000000" w:themeColor="text1"/>
        </w:rPr>
        <w:t>There are a number of o</w:t>
      </w:r>
      <w:r w:rsidRPr="00E1297C">
        <w:rPr>
          <w:color w:val="000000" w:themeColor="text1"/>
        </w:rPr>
        <w:t xml:space="preserve">ther </w:t>
      </w:r>
      <w:r>
        <w:rPr>
          <w:color w:val="000000" w:themeColor="text1"/>
        </w:rPr>
        <w:t xml:space="preserve">Australian </w:t>
      </w:r>
      <w:r w:rsidRPr="00E1297C">
        <w:rPr>
          <w:color w:val="000000" w:themeColor="text1"/>
        </w:rPr>
        <w:t>bodies</w:t>
      </w:r>
      <w:r>
        <w:rPr>
          <w:color w:val="000000" w:themeColor="text1"/>
        </w:rPr>
        <w:t xml:space="preserve"> that</w:t>
      </w:r>
      <w:r w:rsidRPr="00E1297C">
        <w:rPr>
          <w:color w:val="000000" w:themeColor="text1"/>
        </w:rPr>
        <w:t xml:space="preserve"> play a significant role in </w:t>
      </w:r>
      <w:r>
        <w:rPr>
          <w:color w:val="000000" w:themeColor="text1"/>
        </w:rPr>
        <w:t>Australia’s</w:t>
      </w:r>
      <w:r w:rsidRPr="00E1297C">
        <w:rPr>
          <w:color w:val="000000" w:themeColor="text1"/>
        </w:rPr>
        <w:t xml:space="preserve"> measurement system </w:t>
      </w:r>
      <w:r w:rsidR="00281FBC">
        <w:rPr>
          <w:color w:val="000000" w:themeColor="text1"/>
        </w:rPr>
        <w:t>but</w:t>
      </w:r>
      <w:r w:rsidRPr="00E1297C">
        <w:rPr>
          <w:color w:val="000000" w:themeColor="text1"/>
        </w:rPr>
        <w:t xml:space="preserve"> are not in the scope of this paper</w:t>
      </w:r>
      <w:r>
        <w:rPr>
          <w:color w:val="000000" w:themeColor="text1"/>
        </w:rPr>
        <w:t>. These include</w:t>
      </w:r>
      <w:r w:rsidRPr="00E1297C">
        <w:rPr>
          <w:color w:val="000000" w:themeColor="text1"/>
        </w:rPr>
        <w:t>:</w:t>
      </w:r>
    </w:p>
    <w:p w14:paraId="0088B0C5" w14:textId="3A81A61B" w:rsidR="00A4385D" w:rsidRPr="00E1297C" w:rsidRDefault="00067E72" w:rsidP="00C254F9">
      <w:pPr>
        <w:pStyle w:val="ListParagraph"/>
        <w:numPr>
          <w:ilvl w:val="0"/>
          <w:numId w:val="9"/>
        </w:numPr>
        <w:ind w:left="360"/>
        <w:rPr>
          <w:color w:val="000000" w:themeColor="text1"/>
        </w:rPr>
      </w:pPr>
      <w:r>
        <w:rPr>
          <w:color w:val="000000" w:themeColor="text1"/>
        </w:rPr>
        <w:t>E</w:t>
      </w:r>
      <w:r w:rsidR="00A4385D" w:rsidRPr="00E1297C">
        <w:rPr>
          <w:color w:val="000000" w:themeColor="text1"/>
        </w:rPr>
        <w:t>ntities</w:t>
      </w:r>
      <w:r w:rsidR="00A4385D" w:rsidRPr="00E1297C" w:rsidDel="00DC21E5">
        <w:rPr>
          <w:color w:val="000000" w:themeColor="text1"/>
        </w:rPr>
        <w:t xml:space="preserve"> </w:t>
      </w:r>
      <w:r w:rsidR="00A4385D" w:rsidRPr="00E1297C">
        <w:rPr>
          <w:color w:val="000000" w:themeColor="text1"/>
        </w:rPr>
        <w:t>authorised to maintain standards for the Chief Metrologist</w:t>
      </w:r>
      <w:r w:rsidR="00281FBC">
        <w:rPr>
          <w:color w:val="000000" w:themeColor="text1"/>
        </w:rPr>
        <w:t>:</w:t>
      </w:r>
      <w:r w:rsidR="00A4385D" w:rsidRPr="00DC21E5">
        <w:rPr>
          <w:color w:val="000000" w:themeColor="text1"/>
        </w:rPr>
        <w:t xml:space="preserve"> </w:t>
      </w:r>
      <w:r w:rsidR="00A4385D">
        <w:rPr>
          <w:color w:val="000000" w:themeColor="text1"/>
        </w:rPr>
        <w:t xml:space="preserve">the </w:t>
      </w:r>
      <w:r w:rsidR="00A4385D" w:rsidRPr="00DC21E5">
        <w:rPr>
          <w:color w:val="000000" w:themeColor="text1"/>
        </w:rPr>
        <w:t xml:space="preserve">Australian Radiation Protection and Nuclear Safety Agency </w:t>
      </w:r>
      <w:r w:rsidR="00A4385D">
        <w:rPr>
          <w:color w:val="000000" w:themeColor="text1"/>
        </w:rPr>
        <w:t>(</w:t>
      </w:r>
      <w:r w:rsidR="00A4385D" w:rsidRPr="00E1297C">
        <w:rPr>
          <w:color w:val="000000" w:themeColor="text1"/>
        </w:rPr>
        <w:t>ARPANSA</w:t>
      </w:r>
      <w:r w:rsidR="00A4385D">
        <w:rPr>
          <w:color w:val="000000" w:themeColor="text1"/>
        </w:rPr>
        <w:t>)</w:t>
      </w:r>
      <w:r w:rsidR="00A4385D" w:rsidRPr="00E1297C">
        <w:rPr>
          <w:color w:val="000000" w:themeColor="text1"/>
        </w:rPr>
        <w:t xml:space="preserve"> and </w:t>
      </w:r>
      <w:r w:rsidR="00A4385D" w:rsidRPr="00DC21E5">
        <w:rPr>
          <w:color w:val="000000" w:themeColor="text1"/>
        </w:rPr>
        <w:t xml:space="preserve">Australian Nuclear Science and Technology Organisation </w:t>
      </w:r>
      <w:r w:rsidR="00A4385D">
        <w:rPr>
          <w:color w:val="000000" w:themeColor="text1"/>
        </w:rPr>
        <w:t>(</w:t>
      </w:r>
      <w:r w:rsidR="00A4385D" w:rsidRPr="00E1297C">
        <w:rPr>
          <w:color w:val="000000" w:themeColor="text1"/>
        </w:rPr>
        <w:t>ANSTO</w:t>
      </w:r>
      <w:r w:rsidR="00A4385D">
        <w:rPr>
          <w:color w:val="000000" w:themeColor="text1"/>
        </w:rPr>
        <w:t>)</w:t>
      </w:r>
      <w:r>
        <w:rPr>
          <w:color w:val="000000" w:themeColor="text1"/>
        </w:rPr>
        <w:t>.</w:t>
      </w:r>
    </w:p>
    <w:p w14:paraId="57F91ADB" w14:textId="7ECD0107" w:rsidR="00A4385D" w:rsidRPr="00C576D4" w:rsidRDefault="00A4385D" w:rsidP="00C254F9">
      <w:pPr>
        <w:pStyle w:val="ListParagraph"/>
        <w:numPr>
          <w:ilvl w:val="0"/>
          <w:numId w:val="9"/>
        </w:numPr>
        <w:ind w:left="360"/>
      </w:pPr>
      <w:r w:rsidRPr="008D6AE9">
        <w:rPr>
          <w:color w:val="000000" w:themeColor="text1"/>
        </w:rPr>
        <w:t xml:space="preserve">Organisations </w:t>
      </w:r>
      <w:r w:rsidR="00910667">
        <w:rPr>
          <w:color w:val="000000" w:themeColor="text1"/>
        </w:rPr>
        <w:t xml:space="preserve">forming </w:t>
      </w:r>
      <w:r w:rsidRPr="008D6AE9">
        <w:rPr>
          <w:color w:val="000000" w:themeColor="text1"/>
        </w:rPr>
        <w:t xml:space="preserve">part of the </w:t>
      </w:r>
      <w:r w:rsidR="00910667">
        <w:rPr>
          <w:color w:val="000000" w:themeColor="text1"/>
        </w:rPr>
        <w:t>T</w:t>
      </w:r>
      <w:r w:rsidRPr="008D6AE9">
        <w:rPr>
          <w:color w:val="000000" w:themeColor="text1"/>
        </w:rPr>
        <w:t xml:space="preserve">echnical </w:t>
      </w:r>
      <w:r w:rsidR="00910667">
        <w:rPr>
          <w:color w:val="000000" w:themeColor="text1"/>
        </w:rPr>
        <w:t>I</w:t>
      </w:r>
      <w:r w:rsidRPr="008D6AE9">
        <w:rPr>
          <w:color w:val="000000" w:themeColor="text1"/>
        </w:rPr>
        <w:t xml:space="preserve">nfrastructure </w:t>
      </w:r>
      <w:r w:rsidR="00910667">
        <w:rPr>
          <w:color w:val="000000" w:themeColor="text1"/>
        </w:rPr>
        <w:t>A</w:t>
      </w:r>
      <w:r w:rsidRPr="008D6AE9">
        <w:rPr>
          <w:color w:val="000000" w:themeColor="text1"/>
        </w:rPr>
        <w:t>lliance of Australia</w:t>
      </w:r>
      <w:r w:rsidR="00EF718F">
        <w:rPr>
          <w:color w:val="000000" w:themeColor="text1"/>
        </w:rPr>
        <w:t>, along with NMI</w:t>
      </w:r>
      <w:r w:rsidR="00281FBC">
        <w:rPr>
          <w:color w:val="000000" w:themeColor="text1"/>
        </w:rPr>
        <w:t xml:space="preserve">: </w:t>
      </w:r>
      <w:r w:rsidRPr="008D6AE9">
        <w:rPr>
          <w:color w:val="000000" w:themeColor="text1"/>
        </w:rPr>
        <w:t xml:space="preserve">Standards Australia, </w:t>
      </w:r>
      <w:r w:rsidR="006E3CD1" w:rsidRPr="008D6AE9">
        <w:rPr>
          <w:color w:val="000000" w:themeColor="text1"/>
        </w:rPr>
        <w:t xml:space="preserve">the </w:t>
      </w:r>
      <w:r w:rsidR="00067E72" w:rsidRPr="008D6AE9">
        <w:rPr>
          <w:color w:val="000000" w:themeColor="text1"/>
        </w:rPr>
        <w:t>Joint Accreditation System of Australia and New Zealand (JAS-ANZ)</w:t>
      </w:r>
      <w:r w:rsidR="00AF58A9" w:rsidRPr="008D6AE9">
        <w:rPr>
          <w:color w:val="000000" w:themeColor="text1"/>
        </w:rPr>
        <w:t xml:space="preserve">, and </w:t>
      </w:r>
      <w:r w:rsidRPr="008D6AE9">
        <w:rPr>
          <w:color w:val="000000" w:themeColor="text1"/>
        </w:rPr>
        <w:t xml:space="preserve">NATA. </w:t>
      </w:r>
      <w:r w:rsidR="00067E72" w:rsidRPr="008D6AE9">
        <w:rPr>
          <w:color w:val="000000" w:themeColor="text1"/>
        </w:rPr>
        <w:t xml:space="preserve">These organisations </w:t>
      </w:r>
      <w:r w:rsidR="005C64C1">
        <w:rPr>
          <w:color w:val="000000" w:themeColor="text1"/>
        </w:rPr>
        <w:t xml:space="preserve">have </w:t>
      </w:r>
      <w:r w:rsidR="00067E72" w:rsidRPr="008D6AE9">
        <w:rPr>
          <w:color w:val="000000" w:themeColor="text1"/>
        </w:rPr>
        <w:t>adopt</w:t>
      </w:r>
      <w:r w:rsidR="005C64C1">
        <w:rPr>
          <w:color w:val="000000" w:themeColor="text1"/>
        </w:rPr>
        <w:t>ed</w:t>
      </w:r>
      <w:r w:rsidRPr="008D6AE9">
        <w:rPr>
          <w:color w:val="000000" w:themeColor="text1"/>
        </w:rPr>
        <w:t xml:space="preserve"> </w:t>
      </w:r>
      <w:r w:rsidR="005C64C1">
        <w:rPr>
          <w:color w:val="000000" w:themeColor="text1"/>
        </w:rPr>
        <w:t xml:space="preserve">established </w:t>
      </w:r>
      <w:r w:rsidRPr="008D6AE9">
        <w:rPr>
          <w:color w:val="000000" w:themeColor="text1"/>
        </w:rPr>
        <w:t>international arrangements for</w:t>
      </w:r>
      <w:r w:rsidR="00A70A77">
        <w:rPr>
          <w:color w:val="000000" w:themeColor="text1"/>
        </w:rPr>
        <w:t xml:space="preserve"> </w:t>
      </w:r>
      <w:r w:rsidRPr="00E90EA0">
        <w:rPr>
          <w:color w:val="000000" w:themeColor="text1"/>
        </w:rPr>
        <w:t>standards development</w:t>
      </w:r>
      <w:r w:rsidR="000332E2">
        <w:rPr>
          <w:color w:val="000000" w:themeColor="text1"/>
        </w:rPr>
        <w:t>,</w:t>
      </w:r>
      <w:r w:rsidRPr="00E90EA0">
        <w:rPr>
          <w:color w:val="000000" w:themeColor="text1"/>
        </w:rPr>
        <w:t xml:space="preserve"> and</w:t>
      </w:r>
      <w:r w:rsidR="00A70A77">
        <w:rPr>
          <w:color w:val="000000" w:themeColor="text1"/>
        </w:rPr>
        <w:t xml:space="preserve"> </w:t>
      </w:r>
      <w:r w:rsidR="005C64C1">
        <w:t xml:space="preserve">the assessment and </w:t>
      </w:r>
      <w:r>
        <w:t>accreditation of laboratories</w:t>
      </w:r>
      <w:r w:rsidR="00A70A77">
        <w:t>,</w:t>
      </w:r>
      <w:r w:rsidR="005C64C1">
        <w:t xml:space="preserve"> </w:t>
      </w:r>
      <w:r>
        <w:t>testing facilities</w:t>
      </w:r>
      <w:r w:rsidR="00A70A77" w:rsidRPr="00A70A77">
        <w:t xml:space="preserve"> </w:t>
      </w:r>
      <w:r w:rsidR="00A70A77">
        <w:t>and conformity assessment bodies.</w:t>
      </w:r>
    </w:p>
    <w:p w14:paraId="2EEF5D67" w14:textId="65FD11AC" w:rsidR="009104B2" w:rsidRPr="00293DA8" w:rsidRDefault="009104B2" w:rsidP="009104B2">
      <w:pPr>
        <w:pStyle w:val="Heading3"/>
      </w:pPr>
      <w:bookmarkStart w:id="89" w:name="_Toc19884193"/>
      <w:bookmarkStart w:id="90" w:name="_Toc19891392"/>
      <w:bookmarkStart w:id="91" w:name="_Toc19891431"/>
      <w:r w:rsidRPr="00293DA8">
        <w:t>Questions</w:t>
      </w:r>
      <w:bookmarkEnd w:id="89"/>
      <w:bookmarkEnd w:id="90"/>
      <w:bookmarkEnd w:id="91"/>
    </w:p>
    <w:p w14:paraId="3B542F90" w14:textId="795E9BF4" w:rsidR="00A67968" w:rsidRDefault="009104B2" w:rsidP="00A67968">
      <w:pPr>
        <w:pStyle w:val="ListParagraph"/>
        <w:numPr>
          <w:ilvl w:val="2"/>
          <w:numId w:val="14"/>
        </w:numPr>
        <w:jc w:val="both"/>
        <w:rPr>
          <w:color w:val="000000" w:themeColor="text1"/>
        </w:rPr>
      </w:pPr>
      <w:r w:rsidRPr="00A67968">
        <w:rPr>
          <w:color w:val="000000" w:themeColor="text1"/>
        </w:rPr>
        <w:t xml:space="preserve">Are there other </w:t>
      </w:r>
      <w:r w:rsidR="00A70A77" w:rsidRPr="00A67968">
        <w:rPr>
          <w:color w:val="000000" w:themeColor="text1"/>
        </w:rPr>
        <w:t xml:space="preserve">functions within </w:t>
      </w:r>
      <w:r w:rsidRPr="00A67968">
        <w:rPr>
          <w:color w:val="000000" w:themeColor="text1"/>
        </w:rPr>
        <w:t xml:space="preserve">the measurement system which could be implemented via third party arrangements? </w:t>
      </w:r>
      <w:r w:rsidR="00EF718F" w:rsidRPr="00A67968">
        <w:rPr>
          <w:color w:val="000000" w:themeColor="text1"/>
        </w:rPr>
        <w:t>If so, which areas?</w:t>
      </w:r>
    </w:p>
    <w:p w14:paraId="40468D86" w14:textId="4ED84A8F" w:rsidR="00A67968" w:rsidRDefault="005A221A" w:rsidP="00A67968">
      <w:pPr>
        <w:pStyle w:val="ListParagraph"/>
        <w:numPr>
          <w:ilvl w:val="2"/>
          <w:numId w:val="14"/>
        </w:numPr>
        <w:jc w:val="both"/>
        <w:rPr>
          <w:color w:val="000000" w:themeColor="text1"/>
        </w:rPr>
      </w:pPr>
      <w:r w:rsidRPr="00A67968">
        <w:rPr>
          <w:color w:val="000000" w:themeColor="text1"/>
        </w:rPr>
        <w:t>Do the current third party arrangements add value to the metrological system? Do they impose unnecessary regulatory burden?</w:t>
      </w:r>
    </w:p>
    <w:p w14:paraId="2B5C05EB" w14:textId="09FFDB8C" w:rsidR="009104B2" w:rsidRPr="00A67968" w:rsidRDefault="009104B2" w:rsidP="00A67968">
      <w:pPr>
        <w:pStyle w:val="ListParagraph"/>
        <w:numPr>
          <w:ilvl w:val="2"/>
          <w:numId w:val="14"/>
        </w:numPr>
        <w:jc w:val="both"/>
        <w:rPr>
          <w:color w:val="000000" w:themeColor="text1"/>
        </w:rPr>
      </w:pPr>
      <w:r w:rsidRPr="00A67968">
        <w:rPr>
          <w:color w:val="000000" w:themeColor="text1"/>
        </w:rPr>
        <w:t xml:space="preserve">Are there </w:t>
      </w:r>
      <w:r w:rsidR="00A70A77" w:rsidRPr="00A67968">
        <w:rPr>
          <w:color w:val="000000" w:themeColor="text1"/>
        </w:rPr>
        <w:t xml:space="preserve">functions within </w:t>
      </w:r>
      <w:r w:rsidRPr="00A67968">
        <w:rPr>
          <w:color w:val="000000" w:themeColor="text1"/>
        </w:rPr>
        <w:t>the measurement system currently implemented by third party arrangements which should be implemented by the Australian Government</w:t>
      </w:r>
      <w:r w:rsidR="000102B6" w:rsidRPr="00A67968">
        <w:rPr>
          <w:color w:val="000000" w:themeColor="text1"/>
        </w:rPr>
        <w:t xml:space="preserve"> instead</w:t>
      </w:r>
      <w:r w:rsidRPr="00A67968">
        <w:rPr>
          <w:color w:val="000000" w:themeColor="text1"/>
        </w:rPr>
        <w:t>? If so, which areas</w:t>
      </w:r>
      <w:r w:rsidR="00E90EA0" w:rsidRPr="00A67968">
        <w:rPr>
          <w:color w:val="000000" w:themeColor="text1"/>
        </w:rPr>
        <w:t xml:space="preserve"> and why</w:t>
      </w:r>
      <w:r w:rsidRPr="00A67968">
        <w:rPr>
          <w:color w:val="000000" w:themeColor="text1"/>
        </w:rPr>
        <w:t>?</w:t>
      </w:r>
    </w:p>
    <w:p w14:paraId="0F9330D8" w14:textId="77777777" w:rsidR="009104B2" w:rsidRDefault="009104B2"/>
    <w:p w14:paraId="390FD57C" w14:textId="77777777" w:rsidR="00713D4D" w:rsidRDefault="00713D4D">
      <w:r>
        <w:br w:type="page"/>
      </w:r>
    </w:p>
    <w:p w14:paraId="0A882D83" w14:textId="53E24F44" w:rsidR="00A4385D" w:rsidRPr="00DB1AAC" w:rsidRDefault="00AE3C0F" w:rsidP="00C254F9">
      <w:pPr>
        <w:pStyle w:val="Heading1"/>
        <w:numPr>
          <w:ilvl w:val="0"/>
          <w:numId w:val="14"/>
        </w:numPr>
        <w:ind w:left="360"/>
        <w:rPr>
          <w:rFonts w:cs="Arial"/>
          <w:color w:val="004059"/>
          <w:sz w:val="40"/>
          <w:szCs w:val="40"/>
        </w:rPr>
      </w:pPr>
      <w:bookmarkStart w:id="92" w:name="_Toc19884194"/>
      <w:bookmarkStart w:id="93" w:name="_Toc19891378"/>
      <w:bookmarkStart w:id="94" w:name="_Toc19891393"/>
      <w:bookmarkStart w:id="95" w:name="_Toc19891432"/>
      <w:bookmarkStart w:id="96" w:name="_Toc22897263"/>
      <w:bookmarkStart w:id="97" w:name="_Toc22899673"/>
      <w:bookmarkStart w:id="98" w:name="_Toc22900310"/>
      <w:bookmarkStart w:id="99" w:name="_Toc22901150"/>
      <w:r w:rsidRPr="00DB1AAC">
        <w:rPr>
          <w:rFonts w:cs="Arial"/>
          <w:color w:val="004059"/>
          <w:sz w:val="40"/>
          <w:szCs w:val="40"/>
        </w:rPr>
        <w:lastRenderedPageBreak/>
        <w:t>Co</w:t>
      </w:r>
      <w:r w:rsidR="00713D4D" w:rsidRPr="00DB1AAC">
        <w:rPr>
          <w:rFonts w:cs="Arial"/>
          <w:color w:val="004059"/>
          <w:sz w:val="40"/>
          <w:szCs w:val="40"/>
        </w:rPr>
        <w:t>mmon Issues</w:t>
      </w:r>
      <w:bookmarkEnd w:id="92"/>
      <w:bookmarkEnd w:id="93"/>
      <w:bookmarkEnd w:id="94"/>
      <w:bookmarkEnd w:id="95"/>
      <w:bookmarkEnd w:id="96"/>
      <w:bookmarkEnd w:id="97"/>
      <w:bookmarkEnd w:id="98"/>
      <w:bookmarkEnd w:id="99"/>
    </w:p>
    <w:p w14:paraId="46C5C701" w14:textId="43379B26" w:rsidR="006F2FDF" w:rsidRPr="00523A6B" w:rsidRDefault="006F2FDF" w:rsidP="00AC3B97">
      <w:pPr>
        <w:shd w:val="clear" w:color="auto" w:fill="DEEAF6" w:themeFill="accent1" w:themeFillTint="33"/>
        <w:spacing w:after="120"/>
        <w:rPr>
          <w:i/>
        </w:rPr>
      </w:pPr>
      <w:r w:rsidRPr="00523A6B">
        <w:rPr>
          <w:i/>
        </w:rPr>
        <w:t xml:space="preserve">This chapter outlines </w:t>
      </w:r>
      <w:r w:rsidR="003663D2" w:rsidRPr="00523A6B">
        <w:rPr>
          <w:i/>
        </w:rPr>
        <w:t xml:space="preserve">common issues </w:t>
      </w:r>
      <w:r w:rsidR="008B3720">
        <w:rPr>
          <w:i/>
        </w:rPr>
        <w:t xml:space="preserve">and points for consideration </w:t>
      </w:r>
      <w:r w:rsidR="003663D2" w:rsidRPr="00523A6B">
        <w:rPr>
          <w:i/>
        </w:rPr>
        <w:t xml:space="preserve">relating to third parties. Readers </w:t>
      </w:r>
      <w:r w:rsidR="00543C21" w:rsidRPr="00523A6B">
        <w:rPr>
          <w:i/>
        </w:rPr>
        <w:t>are invited to</w:t>
      </w:r>
      <w:r w:rsidR="002247B4" w:rsidRPr="00523A6B">
        <w:rPr>
          <w:i/>
        </w:rPr>
        <w:t xml:space="preserve"> </w:t>
      </w:r>
      <w:r w:rsidR="003663D2" w:rsidRPr="00523A6B">
        <w:rPr>
          <w:i/>
        </w:rPr>
        <w:t xml:space="preserve">share their views regarding these common issues </w:t>
      </w:r>
      <w:r w:rsidR="00AC2097" w:rsidRPr="00523A6B">
        <w:rPr>
          <w:i/>
        </w:rPr>
        <w:t>and any suggestions for potential future arrangements</w:t>
      </w:r>
      <w:r w:rsidR="00AC2097" w:rsidRPr="00523A6B" w:rsidDel="00AC2097">
        <w:rPr>
          <w:i/>
        </w:rPr>
        <w:t xml:space="preserve"> </w:t>
      </w:r>
      <w:r w:rsidR="00AC2097" w:rsidRPr="00523A6B">
        <w:rPr>
          <w:i/>
        </w:rPr>
        <w:t xml:space="preserve">in response to the questions </w:t>
      </w:r>
      <w:r w:rsidR="00220AB0">
        <w:rPr>
          <w:i/>
        </w:rPr>
        <w:t xml:space="preserve">on </w:t>
      </w:r>
      <w:r w:rsidR="00220AB0" w:rsidRPr="00523A6B">
        <w:rPr>
          <w:i/>
        </w:rPr>
        <w:t xml:space="preserve">specific </w:t>
      </w:r>
      <w:r w:rsidR="00220AB0">
        <w:rPr>
          <w:i/>
        </w:rPr>
        <w:t xml:space="preserve">third parties </w:t>
      </w:r>
      <w:r w:rsidR="00AC2097" w:rsidRPr="00523A6B">
        <w:rPr>
          <w:i/>
        </w:rPr>
        <w:t>found at the end of Chapters 4 through 7.</w:t>
      </w:r>
    </w:p>
    <w:p w14:paraId="65EF5FC0" w14:textId="6DD0EFF7" w:rsidR="00AE3C0F" w:rsidRDefault="00116087" w:rsidP="00204BE0">
      <w:r>
        <w:t>C</w:t>
      </w:r>
      <w:r w:rsidR="00AE3C0F">
        <w:t>urrent regulatory arrangements treat third parties differently according to:</w:t>
      </w:r>
    </w:p>
    <w:p w14:paraId="2B3939AB" w14:textId="6F954F82" w:rsidR="00AE3C0F" w:rsidRPr="008D6AE9" w:rsidRDefault="005805BF" w:rsidP="00C254F9">
      <w:pPr>
        <w:pStyle w:val="ListParagraph"/>
        <w:numPr>
          <w:ilvl w:val="0"/>
          <w:numId w:val="17"/>
        </w:numPr>
        <w:jc w:val="both"/>
      </w:pPr>
      <w:r>
        <w:t>t</w:t>
      </w:r>
      <w:r w:rsidR="00AE3C0F">
        <w:t xml:space="preserve">heir role in </w:t>
      </w:r>
      <w:r w:rsidR="00AE3C0F">
        <w:rPr>
          <w:color w:val="000000" w:themeColor="text1"/>
        </w:rPr>
        <w:t>ensuring</w:t>
      </w:r>
      <w:r w:rsidR="00AE3C0F" w:rsidRPr="00385606">
        <w:rPr>
          <w:color w:val="000000" w:themeColor="text1"/>
        </w:rPr>
        <w:t xml:space="preserve"> practical measurements made by industry and the community are </w:t>
      </w:r>
      <w:r w:rsidR="00AE3C0F">
        <w:rPr>
          <w:color w:val="000000" w:themeColor="text1"/>
        </w:rPr>
        <w:t>traceable back</w:t>
      </w:r>
      <w:r w:rsidR="00AE3C0F" w:rsidRPr="00385606">
        <w:rPr>
          <w:color w:val="000000" w:themeColor="text1"/>
        </w:rPr>
        <w:t xml:space="preserve"> to the </w:t>
      </w:r>
      <w:r>
        <w:rPr>
          <w:color w:val="000000" w:themeColor="text1"/>
        </w:rPr>
        <w:t>SI</w:t>
      </w:r>
      <w:r w:rsidR="00AE3C0F" w:rsidRPr="00385606">
        <w:rPr>
          <w:color w:val="000000" w:themeColor="text1"/>
        </w:rPr>
        <w:t xml:space="preserve"> Units</w:t>
      </w:r>
      <w:r w:rsidR="00AE3C0F">
        <w:rPr>
          <w:color w:val="000000" w:themeColor="text1"/>
        </w:rPr>
        <w:t>;</w:t>
      </w:r>
    </w:p>
    <w:p w14:paraId="4D6624B2" w14:textId="5C18528B" w:rsidR="00AE3C0F" w:rsidRDefault="005805BF" w:rsidP="00C254F9">
      <w:pPr>
        <w:pStyle w:val="ListParagraph"/>
        <w:numPr>
          <w:ilvl w:val="0"/>
          <w:numId w:val="17"/>
        </w:numPr>
        <w:jc w:val="both"/>
      </w:pPr>
      <w:r>
        <w:t xml:space="preserve">varying requirements for demonstrating </w:t>
      </w:r>
      <w:r w:rsidR="00AE3C0F">
        <w:t>competence;</w:t>
      </w:r>
    </w:p>
    <w:p w14:paraId="629A96C1" w14:textId="19CFBAC3" w:rsidR="00AE3C0F" w:rsidRDefault="005805BF" w:rsidP="00C254F9">
      <w:pPr>
        <w:pStyle w:val="ListParagraph"/>
        <w:numPr>
          <w:ilvl w:val="0"/>
          <w:numId w:val="17"/>
        </w:numPr>
        <w:jc w:val="both"/>
      </w:pPr>
      <w:r>
        <w:t>t</w:t>
      </w:r>
      <w:r w:rsidR="00AE3C0F">
        <w:t xml:space="preserve">he </w:t>
      </w:r>
      <w:r>
        <w:t xml:space="preserve">nature of </w:t>
      </w:r>
      <w:r w:rsidR="00AE3C0F">
        <w:t>conditions imposed</w:t>
      </w:r>
      <w:r>
        <w:t xml:space="preserve"> on a licence or appointment</w:t>
      </w:r>
      <w:r w:rsidR="00AE3C0F">
        <w:t xml:space="preserve">; </w:t>
      </w:r>
    </w:p>
    <w:p w14:paraId="5F965F00" w14:textId="78B413D4" w:rsidR="00AE3C0F" w:rsidRDefault="005805BF" w:rsidP="00C254F9">
      <w:pPr>
        <w:pStyle w:val="ListParagraph"/>
        <w:numPr>
          <w:ilvl w:val="0"/>
          <w:numId w:val="17"/>
        </w:numPr>
        <w:jc w:val="both"/>
      </w:pPr>
      <w:r>
        <w:t>t</w:t>
      </w:r>
      <w:r w:rsidR="00AE3C0F">
        <w:t xml:space="preserve">he prescribed </w:t>
      </w:r>
      <w:r w:rsidR="000332E2">
        <w:t xml:space="preserve">matters </w:t>
      </w:r>
      <w:r w:rsidR="00AE3C0F">
        <w:t>to be complied with; and</w:t>
      </w:r>
    </w:p>
    <w:p w14:paraId="26C76AA1" w14:textId="42333432" w:rsidR="00AE3C0F" w:rsidRDefault="005805BF" w:rsidP="00C254F9">
      <w:pPr>
        <w:pStyle w:val="ListParagraph"/>
        <w:numPr>
          <w:ilvl w:val="0"/>
          <w:numId w:val="17"/>
        </w:numPr>
        <w:jc w:val="both"/>
      </w:pPr>
      <w:r>
        <w:t>e</w:t>
      </w:r>
      <w:r w:rsidR="00AE3C0F">
        <w:t xml:space="preserve">nforcement </w:t>
      </w:r>
      <w:r>
        <w:t>arrangements to address non-compliance</w:t>
      </w:r>
      <w:r w:rsidR="00AE3C0F">
        <w:t>.</w:t>
      </w:r>
    </w:p>
    <w:p w14:paraId="422C4552" w14:textId="4C6BD315" w:rsidR="00A4385D" w:rsidRDefault="00A4385D" w:rsidP="008D6AE9">
      <w:pPr>
        <w:keepNext/>
        <w:jc w:val="both"/>
        <w:rPr>
          <w:color w:val="000000" w:themeColor="text1"/>
        </w:rPr>
      </w:pPr>
      <w:r>
        <w:rPr>
          <w:color w:val="000000" w:themeColor="text1"/>
        </w:rPr>
        <w:t>The</w:t>
      </w:r>
      <w:r w:rsidR="00E324A8">
        <w:rPr>
          <w:color w:val="000000" w:themeColor="text1"/>
        </w:rPr>
        <w:t xml:space="preserve">se differences </w:t>
      </w:r>
      <w:r w:rsidR="00204BE0">
        <w:rPr>
          <w:color w:val="000000" w:themeColor="text1"/>
        </w:rPr>
        <w:t xml:space="preserve">are </w:t>
      </w:r>
      <w:r w:rsidR="002247B4">
        <w:rPr>
          <w:color w:val="000000" w:themeColor="text1"/>
        </w:rPr>
        <w:t xml:space="preserve">further </w:t>
      </w:r>
      <w:r w:rsidR="00E675EE">
        <w:rPr>
          <w:color w:val="000000" w:themeColor="text1"/>
        </w:rPr>
        <w:t>summarised in Appendix A.</w:t>
      </w:r>
      <w:r w:rsidR="00E324A8">
        <w:rPr>
          <w:color w:val="000000" w:themeColor="text1"/>
        </w:rPr>
        <w:t xml:space="preserve"> </w:t>
      </w:r>
      <w:r w:rsidR="00AE3C0F">
        <w:rPr>
          <w:color w:val="000000" w:themeColor="text1"/>
        </w:rPr>
        <w:t xml:space="preserve"> </w:t>
      </w:r>
    </w:p>
    <w:p w14:paraId="0EDBD3BE" w14:textId="4727288A" w:rsidR="00A4385D" w:rsidRPr="00887BCC" w:rsidRDefault="001445FF" w:rsidP="001445FF">
      <w:pPr>
        <w:pStyle w:val="Heading2"/>
      </w:pPr>
      <w:bookmarkStart w:id="100" w:name="_Toc19539228"/>
      <w:bookmarkStart w:id="101" w:name="_Toc19539519"/>
      <w:bookmarkStart w:id="102" w:name="_Toc19627774"/>
      <w:bookmarkStart w:id="103" w:name="_Toc19633177"/>
      <w:bookmarkStart w:id="104" w:name="_Toc19884195"/>
      <w:bookmarkStart w:id="105" w:name="_Toc19891394"/>
      <w:bookmarkStart w:id="106" w:name="_Toc19891433"/>
      <w:bookmarkStart w:id="107" w:name="_Toc22897264"/>
      <w:bookmarkStart w:id="108" w:name="_Toc22899674"/>
      <w:bookmarkStart w:id="109" w:name="_Toc22900311"/>
      <w:bookmarkStart w:id="110" w:name="_Toc22901151"/>
      <w:r>
        <w:t xml:space="preserve">3.1 </w:t>
      </w:r>
      <w:r w:rsidR="00A4385D" w:rsidRPr="00887BCC">
        <w:t>Competency</w:t>
      </w:r>
      <w:bookmarkEnd w:id="100"/>
      <w:bookmarkEnd w:id="101"/>
      <w:bookmarkEnd w:id="102"/>
      <w:bookmarkEnd w:id="103"/>
      <w:bookmarkEnd w:id="104"/>
      <w:bookmarkEnd w:id="105"/>
      <w:bookmarkEnd w:id="106"/>
      <w:bookmarkEnd w:id="107"/>
      <w:bookmarkEnd w:id="108"/>
      <w:bookmarkEnd w:id="109"/>
      <w:bookmarkEnd w:id="110"/>
    </w:p>
    <w:p w14:paraId="134FECF9" w14:textId="743C403E" w:rsidR="00713D4D" w:rsidRDefault="00713D4D" w:rsidP="00713D4D">
      <w:pPr>
        <w:rPr>
          <w:color w:val="000000" w:themeColor="text1"/>
        </w:rPr>
      </w:pPr>
      <w:r>
        <w:t>The Act and regulations establish that competenc</w:t>
      </w:r>
      <w:r w:rsidR="00C91220">
        <w:t>y</w:t>
      </w:r>
      <w:r>
        <w:t xml:space="preserve"> can be demonstrated through different mechanisms</w:t>
      </w:r>
      <w:r w:rsidR="000102B6">
        <w:t>. These include</w:t>
      </w:r>
      <w:r>
        <w:t xml:space="preserve"> the opinion of the Chief Metrologist, a relevant statement of attainment,</w:t>
      </w:r>
      <w:r w:rsidR="00406438">
        <w:rPr>
          <w:rStyle w:val="FootnoteReference"/>
        </w:rPr>
        <w:footnoteReference w:id="10"/>
      </w:r>
      <w:r>
        <w:t xml:space="preserve"> or a relevant NATA accreditation. The competenc</w:t>
      </w:r>
      <w:r w:rsidR="00C91220">
        <w:t>y</w:t>
      </w:r>
      <w:r>
        <w:t xml:space="preserve"> of third parties provide</w:t>
      </w:r>
      <w:r w:rsidR="00C91220">
        <w:t>s</w:t>
      </w:r>
      <w:r>
        <w:t xml:space="preserve"> confidence in their ability to </w:t>
      </w:r>
      <w:r w:rsidR="007070E1">
        <w:t xml:space="preserve">perform </w:t>
      </w:r>
      <w:r>
        <w:t>measurement function</w:t>
      </w:r>
      <w:r w:rsidR="007070E1">
        <w:t>s</w:t>
      </w:r>
      <w:r>
        <w:t xml:space="preserve"> and to ensure </w:t>
      </w:r>
      <w:r w:rsidR="00830C72">
        <w:t xml:space="preserve">Australia’s measurement system is aligned </w:t>
      </w:r>
      <w:r>
        <w:t xml:space="preserve">with </w:t>
      </w:r>
      <w:r>
        <w:rPr>
          <w:color w:val="000000" w:themeColor="text1"/>
        </w:rPr>
        <w:t xml:space="preserve">global expectations.  </w:t>
      </w:r>
    </w:p>
    <w:p w14:paraId="52E4648A" w14:textId="35A587CE" w:rsidR="00907A1D" w:rsidRDefault="00713D4D" w:rsidP="00713D4D">
      <w:pPr>
        <w:spacing w:after="120"/>
        <w:rPr>
          <w:color w:val="000000" w:themeColor="text1"/>
        </w:rPr>
      </w:pPr>
      <w:r>
        <w:rPr>
          <w:color w:val="000000" w:themeColor="text1"/>
        </w:rPr>
        <w:t>Competency requirements</w:t>
      </w:r>
      <w:r w:rsidR="00207077">
        <w:rPr>
          <w:color w:val="000000" w:themeColor="text1"/>
        </w:rPr>
        <w:t xml:space="preserve"> </w:t>
      </w:r>
      <w:r w:rsidR="00F53B0C">
        <w:rPr>
          <w:color w:val="000000" w:themeColor="text1"/>
        </w:rPr>
        <w:t xml:space="preserve">for third parties and their employees </w:t>
      </w:r>
      <w:r>
        <w:rPr>
          <w:color w:val="000000" w:themeColor="text1"/>
        </w:rPr>
        <w:t>differ</w:t>
      </w:r>
      <w:r w:rsidR="00907A1D">
        <w:rPr>
          <w:color w:val="000000" w:themeColor="text1"/>
        </w:rPr>
        <w:t>:</w:t>
      </w:r>
    </w:p>
    <w:p w14:paraId="65FE3A71" w14:textId="34C7018D" w:rsidR="00736493" w:rsidRPr="00EB04D4" w:rsidRDefault="00736493" w:rsidP="00C254F9">
      <w:pPr>
        <w:pStyle w:val="ListParagraph"/>
        <w:numPr>
          <w:ilvl w:val="0"/>
          <w:numId w:val="19"/>
        </w:numPr>
        <w:spacing w:after="120"/>
      </w:pPr>
      <w:r>
        <w:rPr>
          <w:color w:val="000000" w:themeColor="text1"/>
        </w:rPr>
        <w:t xml:space="preserve">Verifiers </w:t>
      </w:r>
      <w:r w:rsidR="00EF718F">
        <w:rPr>
          <w:color w:val="000000" w:themeColor="text1"/>
        </w:rPr>
        <w:t>nominated</w:t>
      </w:r>
      <w:r>
        <w:rPr>
          <w:color w:val="000000" w:themeColor="text1"/>
        </w:rPr>
        <w:t xml:space="preserve"> under a </w:t>
      </w:r>
      <w:r w:rsidR="00DD0E6C">
        <w:rPr>
          <w:b/>
          <w:color w:val="000000" w:themeColor="text1"/>
        </w:rPr>
        <w:t>servicing l</w:t>
      </w:r>
      <w:r w:rsidRPr="00FD1DF5">
        <w:rPr>
          <w:b/>
          <w:color w:val="000000" w:themeColor="text1"/>
        </w:rPr>
        <w:t>icence</w:t>
      </w:r>
      <w:r>
        <w:rPr>
          <w:color w:val="000000" w:themeColor="text1"/>
        </w:rPr>
        <w:t xml:space="preserve"> require a statement of attainment</w:t>
      </w:r>
      <w:r>
        <w:rPr>
          <w:rStyle w:val="FootnoteReference"/>
          <w:color w:val="000000" w:themeColor="text1"/>
        </w:rPr>
        <w:footnoteReference w:id="11"/>
      </w:r>
    </w:p>
    <w:p w14:paraId="177AA596" w14:textId="43E3671C" w:rsidR="00736493" w:rsidRDefault="00736493" w:rsidP="00C254F9">
      <w:pPr>
        <w:pStyle w:val="ListParagraph"/>
        <w:numPr>
          <w:ilvl w:val="0"/>
          <w:numId w:val="19"/>
        </w:numPr>
        <w:spacing w:after="120"/>
      </w:pPr>
      <w:r w:rsidRPr="00FD1DF5">
        <w:rPr>
          <w:b/>
        </w:rPr>
        <w:t>Public weighbridge</w:t>
      </w:r>
      <w:r w:rsidR="003647B2">
        <w:rPr>
          <w:b/>
        </w:rPr>
        <w:t xml:space="preserve"> licences</w:t>
      </w:r>
      <w:r>
        <w:t xml:space="preserve"> </w:t>
      </w:r>
      <w:r w:rsidR="00E517D1">
        <w:t xml:space="preserve">require </w:t>
      </w:r>
      <w:r>
        <w:t>hav</w:t>
      </w:r>
      <w:r w:rsidR="003647B2">
        <w:t>ing</w:t>
      </w:r>
      <w:r>
        <w:t xml:space="preserve"> at least one operator with a statement of attainment</w:t>
      </w:r>
      <w:r>
        <w:rPr>
          <w:rStyle w:val="FootnoteReference"/>
        </w:rPr>
        <w:footnoteReference w:id="12"/>
      </w:r>
    </w:p>
    <w:p w14:paraId="26ADA674" w14:textId="46C00619" w:rsidR="00406438" w:rsidRDefault="00406438" w:rsidP="00C254F9">
      <w:pPr>
        <w:pStyle w:val="ListParagraph"/>
        <w:numPr>
          <w:ilvl w:val="0"/>
          <w:numId w:val="19"/>
        </w:numPr>
        <w:spacing w:after="120"/>
      </w:pPr>
      <w:r>
        <w:t xml:space="preserve">Applicants to become a </w:t>
      </w:r>
      <w:r w:rsidR="00DD0E6C">
        <w:rPr>
          <w:b/>
        </w:rPr>
        <w:t>u</w:t>
      </w:r>
      <w:r w:rsidR="00EF718F">
        <w:rPr>
          <w:b/>
        </w:rPr>
        <w:t xml:space="preserve">tility </w:t>
      </w:r>
      <w:r w:rsidR="00DD0E6C">
        <w:rPr>
          <w:b/>
        </w:rPr>
        <w:t>m</w:t>
      </w:r>
      <w:r w:rsidR="00EF718F">
        <w:rPr>
          <w:b/>
        </w:rPr>
        <w:t xml:space="preserve">eter </w:t>
      </w:r>
      <w:r w:rsidR="00DD0E6C">
        <w:rPr>
          <w:b/>
        </w:rPr>
        <w:t>v</w:t>
      </w:r>
      <w:r w:rsidR="00EF718F">
        <w:rPr>
          <w:b/>
        </w:rPr>
        <w:t>erifier</w:t>
      </w:r>
      <w:r>
        <w:t xml:space="preserve"> can demonstrate </w:t>
      </w:r>
      <w:r w:rsidR="00F966C6">
        <w:t>the</w:t>
      </w:r>
      <w:r w:rsidR="009B7BEB">
        <w:t xml:space="preserve">y are </w:t>
      </w:r>
      <w:r>
        <w:t>competen</w:t>
      </w:r>
      <w:r w:rsidR="009B7BEB">
        <w:t>t</w:t>
      </w:r>
      <w:r>
        <w:t xml:space="preserve"> by holding NATA accreditation</w:t>
      </w:r>
      <w:r>
        <w:rPr>
          <w:rStyle w:val="FootnoteReference"/>
        </w:rPr>
        <w:footnoteReference w:id="13"/>
      </w:r>
      <w:r w:rsidRPr="00406438">
        <w:t xml:space="preserve"> </w:t>
      </w:r>
    </w:p>
    <w:p w14:paraId="0C641261" w14:textId="5B221385" w:rsidR="00406438" w:rsidRDefault="00406438" w:rsidP="00C254F9">
      <w:pPr>
        <w:pStyle w:val="ListParagraph"/>
        <w:numPr>
          <w:ilvl w:val="0"/>
          <w:numId w:val="19"/>
        </w:numPr>
        <w:spacing w:after="120"/>
      </w:pPr>
      <w:r>
        <w:t>Applicants to become</w:t>
      </w:r>
      <w:r w:rsidR="0027308E">
        <w:t xml:space="preserve"> a</w:t>
      </w:r>
      <w:r>
        <w:t xml:space="preserve"> </w:t>
      </w:r>
      <w:r w:rsidR="00DD0E6C">
        <w:rPr>
          <w:b/>
        </w:rPr>
        <w:t>v</w:t>
      </w:r>
      <w:r w:rsidRPr="00FD1DF5">
        <w:rPr>
          <w:b/>
        </w:rPr>
        <w:t xml:space="preserve">erifying </w:t>
      </w:r>
      <w:r w:rsidR="00DD0E6C">
        <w:rPr>
          <w:b/>
        </w:rPr>
        <w:t>a</w:t>
      </w:r>
      <w:r w:rsidRPr="00FD1DF5">
        <w:rPr>
          <w:b/>
        </w:rPr>
        <w:t>uthority</w:t>
      </w:r>
      <w:r>
        <w:t xml:space="preserve"> or </w:t>
      </w:r>
      <w:r w:rsidR="00DD0E6C">
        <w:rPr>
          <w:b/>
        </w:rPr>
        <w:t>c</w:t>
      </w:r>
      <w:r w:rsidRPr="00FD1DF5">
        <w:rPr>
          <w:b/>
        </w:rPr>
        <w:t xml:space="preserve">ertifying </w:t>
      </w:r>
      <w:r w:rsidR="00DD0E6C">
        <w:rPr>
          <w:b/>
        </w:rPr>
        <w:t>a</w:t>
      </w:r>
      <w:r w:rsidRPr="00FD1DF5">
        <w:rPr>
          <w:b/>
        </w:rPr>
        <w:t>uthority</w:t>
      </w:r>
      <w:r>
        <w:t xml:space="preserve"> can demonstrate competence by holding NATA accreditation or demonstrat</w:t>
      </w:r>
      <w:r w:rsidR="003647B2">
        <w:t>e</w:t>
      </w:r>
      <w:r>
        <w:t xml:space="preserve"> capability to the Chief Metrologist</w:t>
      </w:r>
      <w:r w:rsidR="00EE04A8">
        <w:t>’s</w:t>
      </w:r>
      <w:r>
        <w:t xml:space="preserve"> satisfaction</w:t>
      </w:r>
      <w:r>
        <w:rPr>
          <w:rStyle w:val="FootnoteReference"/>
        </w:rPr>
        <w:footnoteReference w:id="14"/>
      </w:r>
    </w:p>
    <w:p w14:paraId="20FE8DBE" w14:textId="479A9E7F" w:rsidR="00406438" w:rsidRDefault="00406438" w:rsidP="00C254F9">
      <w:pPr>
        <w:pStyle w:val="ListParagraph"/>
        <w:numPr>
          <w:ilvl w:val="0"/>
          <w:numId w:val="19"/>
        </w:numPr>
        <w:spacing w:after="120"/>
      </w:pPr>
      <w:r w:rsidRPr="00FD1DF5">
        <w:rPr>
          <w:b/>
        </w:rPr>
        <w:t xml:space="preserve">Approving </w:t>
      </w:r>
      <w:r w:rsidR="00DD0E6C">
        <w:rPr>
          <w:b/>
        </w:rPr>
        <w:t>a</w:t>
      </w:r>
      <w:r w:rsidRPr="00327C7C">
        <w:rPr>
          <w:b/>
        </w:rPr>
        <w:t>uthorities</w:t>
      </w:r>
      <w:r>
        <w:t xml:space="preserve"> </w:t>
      </w:r>
      <w:r w:rsidR="003F74FF">
        <w:t>must be competent to perform certain functions.</w:t>
      </w:r>
      <w:r w:rsidR="003F74FF">
        <w:rPr>
          <w:rStyle w:val="FootnoteReference"/>
        </w:rPr>
        <w:footnoteReference w:id="15"/>
      </w:r>
    </w:p>
    <w:p w14:paraId="5518D8FA" w14:textId="77777777" w:rsidR="00AC3B97" w:rsidRDefault="00AC3B97">
      <w:pPr>
        <w:rPr>
          <w:b/>
          <w:i/>
        </w:rPr>
      </w:pPr>
      <w:r>
        <w:rPr>
          <w:b/>
          <w:i/>
        </w:rPr>
        <w:br w:type="page"/>
      </w:r>
    </w:p>
    <w:p w14:paraId="2773C961" w14:textId="45270F12" w:rsidR="00713D4D" w:rsidRPr="00204BE0" w:rsidRDefault="007A38FC" w:rsidP="00AC3B97">
      <w:pPr>
        <w:shd w:val="clear" w:color="auto" w:fill="DEEAF6" w:themeFill="accent1" w:themeFillTint="33"/>
        <w:spacing w:after="120"/>
        <w:rPr>
          <w:i/>
        </w:rPr>
      </w:pPr>
      <w:r w:rsidRPr="00327C7C">
        <w:rPr>
          <w:b/>
          <w:i/>
        </w:rPr>
        <w:lastRenderedPageBreak/>
        <w:t>Points</w:t>
      </w:r>
      <w:r w:rsidR="00CB5DC4">
        <w:rPr>
          <w:b/>
          <w:i/>
        </w:rPr>
        <w:t xml:space="preserve"> for consideration</w:t>
      </w:r>
      <w:r w:rsidRPr="00327C7C">
        <w:rPr>
          <w:b/>
          <w:i/>
        </w:rPr>
        <w:t>:</w:t>
      </w:r>
      <w:r>
        <w:rPr>
          <w:i/>
        </w:rPr>
        <w:t xml:space="preserve"> </w:t>
      </w:r>
      <w:r w:rsidR="005A221A">
        <w:rPr>
          <w:i/>
        </w:rPr>
        <w:t xml:space="preserve">Should an individual’s competency to conduct a third party activity be confirmed </w:t>
      </w:r>
      <w:r w:rsidR="000102B6">
        <w:rPr>
          <w:i/>
        </w:rPr>
        <w:t>before</w:t>
      </w:r>
      <w:r w:rsidR="005A221A">
        <w:rPr>
          <w:i/>
        </w:rPr>
        <w:t xml:space="preserve"> that person </w:t>
      </w:r>
      <w:r w:rsidR="000102B6">
        <w:rPr>
          <w:i/>
        </w:rPr>
        <w:t xml:space="preserve">is </w:t>
      </w:r>
      <w:r w:rsidR="005A221A">
        <w:rPr>
          <w:i/>
        </w:rPr>
        <w:t>appointed or</w:t>
      </w:r>
      <w:r w:rsidR="00EA623C">
        <w:rPr>
          <w:i/>
        </w:rPr>
        <w:t xml:space="preserve"> licensed to be a third party? </w:t>
      </w:r>
      <w:r w:rsidR="00713D4D" w:rsidRPr="00204BE0">
        <w:rPr>
          <w:i/>
        </w:rPr>
        <w:t xml:space="preserve">Are </w:t>
      </w:r>
      <w:r w:rsidR="00BC0EA3">
        <w:rPr>
          <w:i/>
        </w:rPr>
        <w:t xml:space="preserve">the current </w:t>
      </w:r>
      <w:r w:rsidR="00204BE0" w:rsidRPr="00204BE0">
        <w:rPr>
          <w:i/>
        </w:rPr>
        <w:t xml:space="preserve">competency </w:t>
      </w:r>
      <w:r w:rsidR="00713D4D" w:rsidRPr="00204BE0">
        <w:rPr>
          <w:i/>
        </w:rPr>
        <w:t>requirements appropriate</w:t>
      </w:r>
      <w:r w:rsidR="00C601F5">
        <w:rPr>
          <w:i/>
        </w:rPr>
        <w:t xml:space="preserve"> to support confidence in the measurement system</w:t>
      </w:r>
      <w:r w:rsidR="00713D4D" w:rsidRPr="00204BE0">
        <w:rPr>
          <w:i/>
        </w:rPr>
        <w:t xml:space="preserve">, </w:t>
      </w:r>
      <w:r w:rsidR="00BC0EA3">
        <w:rPr>
          <w:i/>
        </w:rPr>
        <w:t xml:space="preserve">both </w:t>
      </w:r>
      <w:r w:rsidR="00713D4D" w:rsidRPr="00204BE0">
        <w:rPr>
          <w:i/>
        </w:rPr>
        <w:t xml:space="preserve">as a </w:t>
      </w:r>
      <w:r w:rsidR="00540673" w:rsidRPr="00204BE0">
        <w:rPr>
          <w:i/>
        </w:rPr>
        <w:t xml:space="preserve">precondition </w:t>
      </w:r>
      <w:r w:rsidR="00BC0EA3">
        <w:rPr>
          <w:i/>
        </w:rPr>
        <w:t>and</w:t>
      </w:r>
      <w:r w:rsidR="00540673" w:rsidRPr="00204BE0">
        <w:rPr>
          <w:i/>
        </w:rPr>
        <w:t xml:space="preserve"> as an ongoing </w:t>
      </w:r>
      <w:r w:rsidR="00713D4D" w:rsidRPr="00204BE0">
        <w:rPr>
          <w:i/>
        </w:rPr>
        <w:t>condition to a licence</w:t>
      </w:r>
      <w:r w:rsidR="003660E2">
        <w:rPr>
          <w:i/>
        </w:rPr>
        <w:t xml:space="preserve"> or appointment</w:t>
      </w:r>
      <w:r w:rsidR="00713D4D" w:rsidRPr="00204BE0">
        <w:rPr>
          <w:i/>
        </w:rPr>
        <w:t xml:space="preserve">? </w:t>
      </w:r>
      <w:r w:rsidR="00204BE0" w:rsidRPr="00204BE0">
        <w:rPr>
          <w:i/>
        </w:rPr>
        <w:t>Is the r</w:t>
      </w:r>
      <w:r w:rsidR="00EA623C">
        <w:rPr>
          <w:i/>
        </w:rPr>
        <w:t xml:space="preserve">equired competency burdensome? </w:t>
      </w:r>
      <w:r w:rsidR="00C1315A" w:rsidRPr="008753D3">
        <w:rPr>
          <w:i/>
        </w:rPr>
        <w:t>Can you suggest an alt</w:t>
      </w:r>
      <w:r w:rsidR="00C1315A" w:rsidRPr="00C1315A">
        <w:rPr>
          <w:i/>
        </w:rPr>
        <w:t>ernative mechanism?</w:t>
      </w:r>
    </w:p>
    <w:p w14:paraId="10472291" w14:textId="5A8C93FC" w:rsidR="00A4385D" w:rsidRPr="00887BCC" w:rsidRDefault="001445FF" w:rsidP="001445FF">
      <w:pPr>
        <w:pStyle w:val="Heading2"/>
      </w:pPr>
      <w:bookmarkStart w:id="111" w:name="_Toc19891395"/>
      <w:bookmarkStart w:id="112" w:name="_Toc19884196"/>
      <w:bookmarkStart w:id="113" w:name="_Toc19891434"/>
      <w:bookmarkStart w:id="114" w:name="_Toc22897265"/>
      <w:bookmarkStart w:id="115" w:name="_Toc22899675"/>
      <w:bookmarkStart w:id="116" w:name="_Toc22900312"/>
      <w:bookmarkStart w:id="117" w:name="_Toc22901152"/>
      <w:r>
        <w:t xml:space="preserve">3.2 </w:t>
      </w:r>
      <w:r w:rsidR="00736493">
        <w:t>Prescripti</w:t>
      </w:r>
      <w:r w:rsidR="00436169">
        <w:t>veness of L</w:t>
      </w:r>
      <w:r w:rsidR="002247B4">
        <w:t>egislation</w:t>
      </w:r>
      <w:bookmarkEnd w:id="111"/>
      <w:bookmarkEnd w:id="112"/>
      <w:bookmarkEnd w:id="113"/>
      <w:bookmarkEnd w:id="114"/>
      <w:bookmarkEnd w:id="115"/>
      <w:bookmarkEnd w:id="116"/>
      <w:bookmarkEnd w:id="117"/>
    </w:p>
    <w:p w14:paraId="3F54B563" w14:textId="4841C80E" w:rsidR="00A4385D" w:rsidRDefault="00A4385D" w:rsidP="00204BE0">
      <w:pPr>
        <w:rPr>
          <w:color w:val="000000" w:themeColor="text1"/>
        </w:rPr>
      </w:pPr>
      <w:r w:rsidRPr="00E1297C">
        <w:rPr>
          <w:color w:val="000000" w:themeColor="text1"/>
        </w:rPr>
        <w:t xml:space="preserve">The Review has been </w:t>
      </w:r>
      <w:r>
        <w:rPr>
          <w:color w:val="000000" w:themeColor="text1"/>
        </w:rPr>
        <w:t xml:space="preserve">tasked with developing options and making recommendations </w:t>
      </w:r>
      <w:r w:rsidR="00427CF6">
        <w:rPr>
          <w:color w:val="000000" w:themeColor="text1"/>
        </w:rPr>
        <w:t xml:space="preserve">for </w:t>
      </w:r>
      <w:r>
        <w:rPr>
          <w:color w:val="000000" w:themeColor="text1"/>
        </w:rPr>
        <w:t xml:space="preserve">a </w:t>
      </w:r>
      <w:r w:rsidRPr="004672DC">
        <w:rPr>
          <w:color w:val="000000" w:themeColor="text1"/>
        </w:rPr>
        <w:t xml:space="preserve">principles-based </w:t>
      </w:r>
      <w:r>
        <w:rPr>
          <w:color w:val="000000" w:themeColor="text1"/>
        </w:rPr>
        <w:t xml:space="preserve">approach to regulation </w:t>
      </w:r>
      <w:r w:rsidRPr="004672DC">
        <w:rPr>
          <w:color w:val="000000" w:themeColor="text1"/>
        </w:rPr>
        <w:t xml:space="preserve">to minimise </w:t>
      </w:r>
      <w:r>
        <w:rPr>
          <w:color w:val="000000" w:themeColor="text1"/>
        </w:rPr>
        <w:t>the</w:t>
      </w:r>
      <w:r w:rsidR="00204BE0">
        <w:rPr>
          <w:color w:val="000000" w:themeColor="text1"/>
        </w:rPr>
        <w:t xml:space="preserve"> regulatory</w:t>
      </w:r>
      <w:r>
        <w:rPr>
          <w:color w:val="000000" w:themeColor="text1"/>
        </w:rPr>
        <w:t xml:space="preserve"> </w:t>
      </w:r>
      <w:r w:rsidRPr="004672DC">
        <w:rPr>
          <w:color w:val="000000" w:themeColor="text1"/>
        </w:rPr>
        <w:t>burden on business</w:t>
      </w:r>
      <w:r>
        <w:rPr>
          <w:color w:val="000000" w:themeColor="text1"/>
        </w:rPr>
        <w:t>es.</w:t>
      </w:r>
      <w:r>
        <w:rPr>
          <w:rStyle w:val="FootnoteReference"/>
          <w:color w:val="000000" w:themeColor="text1"/>
        </w:rPr>
        <w:footnoteReference w:id="16"/>
      </w:r>
      <w:r>
        <w:rPr>
          <w:color w:val="000000" w:themeColor="text1"/>
        </w:rPr>
        <w:t xml:space="preserve"> </w:t>
      </w:r>
      <w:r w:rsidRPr="00E1297C">
        <w:rPr>
          <w:color w:val="000000" w:themeColor="text1"/>
        </w:rPr>
        <w:t>Th</w:t>
      </w:r>
      <w:r>
        <w:rPr>
          <w:color w:val="000000" w:themeColor="text1"/>
        </w:rPr>
        <w:t xml:space="preserve">is </w:t>
      </w:r>
      <w:r w:rsidR="00083D62">
        <w:rPr>
          <w:color w:val="000000" w:themeColor="text1"/>
        </w:rPr>
        <w:t>requires</w:t>
      </w:r>
      <w:r>
        <w:rPr>
          <w:color w:val="000000" w:themeColor="text1"/>
        </w:rPr>
        <w:t xml:space="preserve"> assessing th</w:t>
      </w:r>
      <w:r w:rsidRPr="00E1297C">
        <w:rPr>
          <w:color w:val="000000" w:themeColor="text1"/>
        </w:rPr>
        <w:t xml:space="preserve">e </w:t>
      </w:r>
      <w:r w:rsidR="00736493">
        <w:rPr>
          <w:b/>
          <w:i/>
          <w:color w:val="000000" w:themeColor="text1"/>
        </w:rPr>
        <w:t xml:space="preserve">areas </w:t>
      </w:r>
      <w:r w:rsidR="000102B6">
        <w:rPr>
          <w:b/>
          <w:i/>
          <w:color w:val="000000" w:themeColor="text1"/>
        </w:rPr>
        <w:t xml:space="preserve">that currently use </w:t>
      </w:r>
      <w:r w:rsidR="00736493">
        <w:rPr>
          <w:b/>
          <w:i/>
          <w:color w:val="000000" w:themeColor="text1"/>
        </w:rPr>
        <w:t xml:space="preserve">a </w:t>
      </w:r>
      <w:r w:rsidRPr="00416487">
        <w:rPr>
          <w:b/>
          <w:i/>
          <w:color w:val="000000" w:themeColor="text1"/>
        </w:rPr>
        <w:t>prescriptive approach</w:t>
      </w:r>
      <w:r w:rsidRPr="00E1297C">
        <w:rPr>
          <w:color w:val="000000" w:themeColor="text1"/>
        </w:rPr>
        <w:t xml:space="preserve"> </w:t>
      </w:r>
      <w:r>
        <w:rPr>
          <w:color w:val="000000" w:themeColor="text1"/>
        </w:rPr>
        <w:t>to determine whether prescripti</w:t>
      </w:r>
      <w:r w:rsidR="00204BE0">
        <w:rPr>
          <w:color w:val="000000" w:themeColor="text1"/>
        </w:rPr>
        <w:t>ve</w:t>
      </w:r>
      <w:r>
        <w:rPr>
          <w:color w:val="000000" w:themeColor="text1"/>
        </w:rPr>
        <w:t xml:space="preserve"> regulation</w:t>
      </w:r>
      <w:r w:rsidR="00204BE0">
        <w:rPr>
          <w:color w:val="000000" w:themeColor="text1"/>
        </w:rPr>
        <w:t>s</w:t>
      </w:r>
      <w:r>
        <w:rPr>
          <w:color w:val="000000" w:themeColor="text1"/>
        </w:rPr>
        <w:t xml:space="preserve"> </w:t>
      </w:r>
      <w:r w:rsidR="00187481">
        <w:rPr>
          <w:color w:val="000000" w:themeColor="text1"/>
        </w:rPr>
        <w:t xml:space="preserve">(such as </w:t>
      </w:r>
      <w:r w:rsidR="0081291E">
        <w:rPr>
          <w:color w:val="000000" w:themeColor="text1"/>
        </w:rPr>
        <w:t xml:space="preserve">weighbridge </w:t>
      </w:r>
      <w:r w:rsidR="00187481">
        <w:rPr>
          <w:color w:val="000000" w:themeColor="text1"/>
        </w:rPr>
        <w:t xml:space="preserve">requirements </w:t>
      </w:r>
      <w:r w:rsidR="0081291E">
        <w:rPr>
          <w:color w:val="000000" w:themeColor="text1"/>
        </w:rPr>
        <w:t xml:space="preserve">relating to </w:t>
      </w:r>
      <w:r w:rsidR="00187481">
        <w:rPr>
          <w:color w:val="000000" w:themeColor="text1"/>
        </w:rPr>
        <w:t>pits and platforms, cleanliness</w:t>
      </w:r>
      <w:r w:rsidR="0081291E">
        <w:rPr>
          <w:color w:val="000000" w:themeColor="text1"/>
        </w:rPr>
        <w:t xml:space="preserve"> and</w:t>
      </w:r>
      <w:r w:rsidR="00187481">
        <w:rPr>
          <w:color w:val="000000" w:themeColor="text1"/>
        </w:rPr>
        <w:t xml:space="preserve"> </w:t>
      </w:r>
      <w:r w:rsidR="0081291E">
        <w:rPr>
          <w:color w:val="000000" w:themeColor="text1"/>
        </w:rPr>
        <w:t xml:space="preserve">weighbridge </w:t>
      </w:r>
      <w:r w:rsidR="00187481">
        <w:rPr>
          <w:color w:val="000000" w:themeColor="text1"/>
        </w:rPr>
        <w:t>tickets</w:t>
      </w:r>
      <w:r w:rsidR="003A778B">
        <w:rPr>
          <w:color w:val="000000" w:themeColor="text1"/>
        </w:rPr>
        <w:t>, and various licence conditions</w:t>
      </w:r>
      <w:r w:rsidR="00187481">
        <w:rPr>
          <w:color w:val="000000" w:themeColor="text1"/>
        </w:rPr>
        <w:t xml:space="preserve">) </w:t>
      </w:r>
      <w:r>
        <w:rPr>
          <w:color w:val="000000" w:themeColor="text1"/>
        </w:rPr>
        <w:t xml:space="preserve">or formal procedures </w:t>
      </w:r>
      <w:r w:rsidR="00736493">
        <w:rPr>
          <w:color w:val="000000" w:themeColor="text1"/>
        </w:rPr>
        <w:t>(such as NITPs)</w:t>
      </w:r>
      <w:r w:rsidR="0082414E">
        <w:rPr>
          <w:rStyle w:val="FootnoteReference"/>
          <w:color w:val="000000" w:themeColor="text1"/>
        </w:rPr>
        <w:footnoteReference w:id="17"/>
      </w:r>
      <w:r w:rsidR="00736493">
        <w:rPr>
          <w:color w:val="000000" w:themeColor="text1"/>
        </w:rPr>
        <w:t xml:space="preserve"> </w:t>
      </w:r>
      <w:r w:rsidR="00204BE0">
        <w:rPr>
          <w:color w:val="000000" w:themeColor="text1"/>
        </w:rPr>
        <w:t>are</w:t>
      </w:r>
      <w:r>
        <w:rPr>
          <w:color w:val="000000" w:themeColor="text1"/>
        </w:rPr>
        <w:t xml:space="preserve"> effective and appropriate. </w:t>
      </w:r>
      <w:r w:rsidR="00427CF6">
        <w:rPr>
          <w:color w:val="000000" w:themeColor="text1"/>
        </w:rPr>
        <w:t>A</w:t>
      </w:r>
      <w:r>
        <w:rPr>
          <w:color w:val="000000" w:themeColor="text1"/>
        </w:rPr>
        <w:t xml:space="preserve"> prescriptive approach can impose a compliance burden by requiring </w:t>
      </w:r>
      <w:r w:rsidR="00B24360">
        <w:rPr>
          <w:color w:val="000000" w:themeColor="text1"/>
        </w:rPr>
        <w:t xml:space="preserve">third parties </w:t>
      </w:r>
      <w:r>
        <w:rPr>
          <w:color w:val="000000" w:themeColor="text1"/>
        </w:rPr>
        <w:t xml:space="preserve">to interact with different levels of regulation and </w:t>
      </w:r>
      <w:r w:rsidR="00404CAA">
        <w:rPr>
          <w:color w:val="000000" w:themeColor="text1"/>
        </w:rPr>
        <w:t xml:space="preserve">to </w:t>
      </w:r>
      <w:r>
        <w:rPr>
          <w:color w:val="000000" w:themeColor="text1"/>
        </w:rPr>
        <w:t>administer a wide range of potentially complex regulatory matters.</w:t>
      </w:r>
      <w:r w:rsidR="004D530C">
        <w:rPr>
          <w:color w:val="000000" w:themeColor="text1"/>
        </w:rPr>
        <w:t xml:space="preserve"> </w:t>
      </w:r>
    </w:p>
    <w:p w14:paraId="1E38E89D" w14:textId="606A47F5" w:rsidR="008F78DE" w:rsidRDefault="008F78DE" w:rsidP="00204BE0">
      <w:pPr>
        <w:rPr>
          <w:b/>
          <w:color w:val="000000" w:themeColor="text1"/>
        </w:rPr>
      </w:pPr>
      <w:r>
        <w:rPr>
          <w:b/>
          <w:color w:val="000000" w:themeColor="text1"/>
        </w:rPr>
        <w:t xml:space="preserve">Current </w:t>
      </w:r>
      <w:r w:rsidRPr="000E2394">
        <w:rPr>
          <w:b/>
          <w:color w:val="000000" w:themeColor="text1"/>
        </w:rPr>
        <w:t>Level of Prescriptiveness</w:t>
      </w:r>
      <w:r>
        <w:rPr>
          <w:b/>
          <w:color w:val="000000" w:themeColor="text1"/>
        </w:rPr>
        <w:t xml:space="preserve"> Under </w:t>
      </w:r>
      <w:r w:rsidR="0053327C">
        <w:rPr>
          <w:b/>
          <w:color w:val="000000" w:themeColor="text1"/>
        </w:rPr>
        <w:t>the</w:t>
      </w:r>
      <w:r>
        <w:rPr>
          <w:b/>
          <w:color w:val="000000" w:themeColor="text1"/>
        </w:rPr>
        <w:t xml:space="preserve"> Measurement Framework</w:t>
      </w:r>
      <w:r>
        <w:rPr>
          <w:rStyle w:val="FootnoteReference"/>
          <w:b/>
          <w:color w:val="000000" w:themeColor="text1"/>
        </w:rPr>
        <w:footnoteReference w:id="18"/>
      </w:r>
    </w:p>
    <w:p w14:paraId="54F1C7A8" w14:textId="7AF45316" w:rsidR="008F78DE" w:rsidRPr="008F78DE" w:rsidRDefault="008F78DE" w:rsidP="008F78DE">
      <w:pPr>
        <w:rPr>
          <w:color w:val="000000" w:themeColor="text1"/>
        </w:rPr>
      </w:pPr>
      <w:r>
        <w:rPr>
          <w:noProof/>
          <w:color w:val="000000" w:themeColor="text1"/>
          <w:lang w:eastAsia="en-AU"/>
        </w:rPr>
        <w:drawing>
          <wp:inline distT="0" distB="0" distL="0" distR="0" wp14:anchorId="7D091D41" wp14:editId="0052CE09">
            <wp:extent cx="5731408" cy="918845"/>
            <wp:effectExtent l="0" t="0" r="3175" b="0"/>
            <wp:docPr id="1" name="Picture 1" descr="The current level of prescriptiveness under the measurement framework is described. High for public weighbridge licensees and servicing licensees, medium for utility meter verifiers and low for legal metrology authorities." title="Current Level of Prescriptiveness Under Measure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ic 5 Third Party Arrangements Figure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408" cy="918845"/>
                    </a:xfrm>
                    <a:prstGeom prst="rect">
                      <a:avLst/>
                    </a:prstGeom>
                  </pic:spPr>
                </pic:pic>
              </a:graphicData>
            </a:graphic>
          </wp:inline>
        </w:drawing>
      </w:r>
    </w:p>
    <w:p w14:paraId="5819AF4D" w14:textId="21B0F9BC" w:rsidR="00E62F18" w:rsidRPr="00327C7C" w:rsidRDefault="003A778B" w:rsidP="00327C7C">
      <w:pPr>
        <w:jc w:val="center"/>
        <w:rPr>
          <w:i/>
          <w:color w:val="000000" w:themeColor="text1"/>
        </w:rPr>
      </w:pPr>
      <w:r w:rsidRPr="00327C7C">
        <w:rPr>
          <w:i/>
          <w:color w:val="000000" w:themeColor="text1"/>
        </w:rPr>
        <w:t>Figure 1: NMI’s assessment of the existing level of prescription for each type of third party</w:t>
      </w:r>
    </w:p>
    <w:p w14:paraId="7AAA4010" w14:textId="12F34AA5" w:rsidR="000E2394" w:rsidRPr="00204BE0" w:rsidRDefault="00CB5DC4" w:rsidP="00AC3B97">
      <w:pPr>
        <w:shd w:val="clear" w:color="auto" w:fill="DEEAF6" w:themeFill="accent1" w:themeFillTint="33"/>
        <w:rPr>
          <w:i/>
          <w:color w:val="000000" w:themeColor="text1"/>
        </w:rPr>
      </w:pPr>
      <w:r>
        <w:rPr>
          <w:b/>
          <w:i/>
        </w:rPr>
        <w:t>Points for c</w:t>
      </w:r>
      <w:r w:rsidR="003A778B" w:rsidRPr="007244EC">
        <w:rPr>
          <w:b/>
          <w:i/>
        </w:rPr>
        <w:t>onsideration:</w:t>
      </w:r>
      <w:r w:rsidR="003A778B">
        <w:rPr>
          <w:i/>
        </w:rPr>
        <w:t xml:space="preserve"> </w:t>
      </w:r>
      <w:r w:rsidR="00204BE0" w:rsidRPr="00204BE0">
        <w:rPr>
          <w:i/>
          <w:color w:val="000000" w:themeColor="text1"/>
        </w:rPr>
        <w:t>Is a</w:t>
      </w:r>
      <w:r w:rsidR="000E2394" w:rsidRPr="00204BE0">
        <w:rPr>
          <w:i/>
          <w:color w:val="000000" w:themeColor="text1"/>
        </w:rPr>
        <w:t xml:space="preserve"> prescribed approach necessary to </w:t>
      </w:r>
      <w:r w:rsidR="003660E2">
        <w:rPr>
          <w:i/>
          <w:color w:val="000000" w:themeColor="text1"/>
        </w:rPr>
        <w:t>ensure confidence in</w:t>
      </w:r>
      <w:r w:rsidR="000E2394" w:rsidRPr="00204BE0">
        <w:rPr>
          <w:i/>
          <w:color w:val="000000" w:themeColor="text1"/>
        </w:rPr>
        <w:t xml:space="preserve"> testing, verification or</w:t>
      </w:r>
      <w:r w:rsidR="00204BE0" w:rsidRPr="00204BE0">
        <w:rPr>
          <w:i/>
          <w:color w:val="000000" w:themeColor="text1"/>
        </w:rPr>
        <w:t xml:space="preserve"> certification</w:t>
      </w:r>
      <w:r w:rsidR="004B0ACD">
        <w:rPr>
          <w:i/>
          <w:color w:val="000000" w:themeColor="text1"/>
        </w:rPr>
        <w:t xml:space="preserve"> by third parties</w:t>
      </w:r>
      <w:r w:rsidR="00204BE0" w:rsidRPr="00204BE0">
        <w:rPr>
          <w:i/>
          <w:color w:val="000000" w:themeColor="text1"/>
        </w:rPr>
        <w:t>?</w:t>
      </w:r>
      <w:r w:rsidR="000E2394" w:rsidRPr="00204BE0">
        <w:rPr>
          <w:i/>
          <w:color w:val="000000" w:themeColor="text1"/>
        </w:rPr>
        <w:t xml:space="preserve"> What need</w:t>
      </w:r>
      <w:r w:rsidR="00C91220">
        <w:rPr>
          <w:i/>
          <w:color w:val="000000" w:themeColor="text1"/>
        </w:rPr>
        <w:t>s</w:t>
      </w:r>
      <w:r w:rsidR="000E2394" w:rsidRPr="00204BE0">
        <w:rPr>
          <w:i/>
          <w:color w:val="000000" w:themeColor="text1"/>
        </w:rPr>
        <w:t xml:space="preserve"> to continue being prescribed</w:t>
      </w:r>
      <w:r w:rsidR="002247B4">
        <w:rPr>
          <w:i/>
          <w:color w:val="000000" w:themeColor="text1"/>
        </w:rPr>
        <w:t xml:space="preserve"> and w</w:t>
      </w:r>
      <w:r w:rsidR="000E2394" w:rsidRPr="00204BE0">
        <w:rPr>
          <w:i/>
          <w:color w:val="000000" w:themeColor="text1"/>
        </w:rPr>
        <w:t xml:space="preserve">hat </w:t>
      </w:r>
      <w:r w:rsidR="002247B4">
        <w:rPr>
          <w:i/>
          <w:color w:val="000000" w:themeColor="text1"/>
        </w:rPr>
        <w:t>do</w:t>
      </w:r>
      <w:r w:rsidR="00C91220">
        <w:rPr>
          <w:i/>
          <w:color w:val="000000" w:themeColor="text1"/>
        </w:rPr>
        <w:t>es</w:t>
      </w:r>
      <w:r w:rsidR="00187481">
        <w:rPr>
          <w:i/>
          <w:color w:val="000000" w:themeColor="text1"/>
        </w:rPr>
        <w:t xml:space="preserve"> not</w:t>
      </w:r>
      <w:r w:rsidR="002247B4">
        <w:rPr>
          <w:i/>
          <w:color w:val="000000" w:themeColor="text1"/>
        </w:rPr>
        <w:t>?</w:t>
      </w:r>
      <w:r w:rsidR="00EA623C">
        <w:rPr>
          <w:i/>
          <w:color w:val="000000" w:themeColor="text1"/>
        </w:rPr>
        <w:t xml:space="preserve"> </w:t>
      </w:r>
      <w:r w:rsidR="00B07671">
        <w:rPr>
          <w:i/>
          <w:color w:val="000000" w:themeColor="text1"/>
        </w:rPr>
        <w:t>What areas of the measurement framework impose the greatest burden for your business?</w:t>
      </w:r>
    </w:p>
    <w:p w14:paraId="40DE6C0A" w14:textId="5CA1CBD0" w:rsidR="00006529" w:rsidRPr="0091308A" w:rsidRDefault="001445FF" w:rsidP="001445FF">
      <w:pPr>
        <w:pStyle w:val="Heading2"/>
      </w:pPr>
      <w:bookmarkStart w:id="118" w:name="_Toc19884197"/>
      <w:bookmarkStart w:id="119" w:name="_Toc19891396"/>
      <w:bookmarkStart w:id="120" w:name="_Toc19891435"/>
      <w:bookmarkStart w:id="121" w:name="_Toc22897266"/>
      <w:bookmarkStart w:id="122" w:name="_Toc22899676"/>
      <w:bookmarkStart w:id="123" w:name="_Toc22900313"/>
      <w:bookmarkStart w:id="124" w:name="_Toc22901153"/>
      <w:bookmarkStart w:id="125" w:name="_Toc19627776"/>
      <w:bookmarkStart w:id="126" w:name="_Toc19633179"/>
      <w:r>
        <w:t xml:space="preserve">3.3 </w:t>
      </w:r>
      <w:r w:rsidR="00006529" w:rsidRPr="0091308A">
        <w:t xml:space="preserve">Compliance </w:t>
      </w:r>
      <w:r w:rsidR="00006529">
        <w:t>and Enforcement</w:t>
      </w:r>
      <w:bookmarkEnd w:id="118"/>
      <w:bookmarkEnd w:id="119"/>
      <w:bookmarkEnd w:id="120"/>
      <w:bookmarkEnd w:id="121"/>
      <w:bookmarkEnd w:id="122"/>
      <w:bookmarkEnd w:id="123"/>
      <w:bookmarkEnd w:id="124"/>
      <w:r w:rsidR="00006529">
        <w:t xml:space="preserve"> </w:t>
      </w:r>
    </w:p>
    <w:p w14:paraId="3934D20F" w14:textId="04E24478" w:rsidR="00006529" w:rsidRDefault="00006529" w:rsidP="00006529">
      <w:r>
        <w:rPr>
          <w:color w:val="000000" w:themeColor="text1"/>
        </w:rPr>
        <w:t>NMI undertakes a range of</w:t>
      </w:r>
      <w:r w:rsidRPr="00E1297C">
        <w:rPr>
          <w:color w:val="000000" w:themeColor="text1"/>
        </w:rPr>
        <w:t xml:space="preserve"> targeted compliance </w:t>
      </w:r>
      <w:r>
        <w:rPr>
          <w:color w:val="000000" w:themeColor="text1"/>
        </w:rPr>
        <w:t xml:space="preserve">activities to monitor </w:t>
      </w:r>
      <w:r w:rsidR="00404CAA">
        <w:rPr>
          <w:color w:val="000000" w:themeColor="text1"/>
        </w:rPr>
        <w:t>and</w:t>
      </w:r>
      <w:r>
        <w:rPr>
          <w:color w:val="000000" w:themeColor="text1"/>
        </w:rPr>
        <w:t xml:space="preserve"> audit </w:t>
      </w:r>
      <w:r w:rsidR="00A362A7">
        <w:rPr>
          <w:color w:val="000000" w:themeColor="text1"/>
        </w:rPr>
        <w:t xml:space="preserve">the </w:t>
      </w:r>
      <w:r>
        <w:rPr>
          <w:color w:val="000000" w:themeColor="text1"/>
        </w:rPr>
        <w:t>compliance performance of third parties.</w:t>
      </w:r>
      <w:r w:rsidRPr="00E1297C">
        <w:rPr>
          <w:color w:val="000000" w:themeColor="text1"/>
        </w:rPr>
        <w:t xml:space="preserve"> </w:t>
      </w:r>
      <w:r w:rsidR="0025038B">
        <w:rPr>
          <w:color w:val="000000" w:themeColor="text1"/>
        </w:rPr>
        <w:t>The framework explicitly enables the use of</w:t>
      </w:r>
      <w:r>
        <w:rPr>
          <w:color w:val="000000" w:themeColor="text1"/>
        </w:rPr>
        <w:t xml:space="preserve"> </w:t>
      </w:r>
      <w:r w:rsidR="00686CD8">
        <w:rPr>
          <w:color w:val="000000" w:themeColor="text1"/>
        </w:rPr>
        <w:t>t</w:t>
      </w:r>
      <w:r>
        <w:rPr>
          <w:color w:val="000000" w:themeColor="text1"/>
        </w:rPr>
        <w:t xml:space="preserve">rade </w:t>
      </w:r>
      <w:r w:rsidR="00686CD8">
        <w:rPr>
          <w:color w:val="000000" w:themeColor="text1"/>
        </w:rPr>
        <w:t>m</w:t>
      </w:r>
      <w:r>
        <w:rPr>
          <w:color w:val="000000" w:themeColor="text1"/>
        </w:rPr>
        <w:t xml:space="preserve">easurement </w:t>
      </w:r>
      <w:r w:rsidR="00686CD8">
        <w:rPr>
          <w:color w:val="000000" w:themeColor="text1"/>
        </w:rPr>
        <w:t>i</w:t>
      </w:r>
      <w:r w:rsidRPr="00E1297C">
        <w:rPr>
          <w:color w:val="000000" w:themeColor="text1"/>
        </w:rPr>
        <w:t>nspectors</w:t>
      </w:r>
      <w:r>
        <w:rPr>
          <w:rStyle w:val="FootnoteReference"/>
          <w:color w:val="000000" w:themeColor="text1"/>
        </w:rPr>
        <w:footnoteReference w:id="19"/>
      </w:r>
      <w:r w:rsidR="0025038B">
        <w:rPr>
          <w:color w:val="000000" w:themeColor="text1"/>
        </w:rPr>
        <w:t xml:space="preserve"> </w:t>
      </w:r>
      <w:r w:rsidR="00C31BE3">
        <w:rPr>
          <w:color w:val="000000" w:themeColor="text1"/>
        </w:rPr>
        <w:t xml:space="preserve">to </w:t>
      </w:r>
      <w:r w:rsidR="00C1315A">
        <w:rPr>
          <w:color w:val="000000" w:themeColor="text1"/>
        </w:rPr>
        <w:t>monitor</w:t>
      </w:r>
      <w:r w:rsidR="00C31BE3">
        <w:rPr>
          <w:color w:val="000000" w:themeColor="text1"/>
        </w:rPr>
        <w:t xml:space="preserve"> compliance </w:t>
      </w:r>
      <w:r w:rsidR="00C1315A">
        <w:rPr>
          <w:color w:val="000000" w:themeColor="text1"/>
        </w:rPr>
        <w:t>o</w:t>
      </w:r>
      <w:r w:rsidR="00C31BE3">
        <w:rPr>
          <w:color w:val="000000" w:themeColor="text1"/>
        </w:rPr>
        <w:t xml:space="preserve">f </w:t>
      </w:r>
      <w:r w:rsidR="0025038B">
        <w:rPr>
          <w:color w:val="000000" w:themeColor="text1"/>
        </w:rPr>
        <w:t>some third parties</w:t>
      </w:r>
      <w:r>
        <w:rPr>
          <w:color w:val="000000" w:themeColor="text1"/>
        </w:rPr>
        <w:t xml:space="preserve">. </w:t>
      </w:r>
      <w:r>
        <w:t xml:space="preserve">Prior to </w:t>
      </w:r>
      <w:r w:rsidR="00C1315A">
        <w:t>initiating</w:t>
      </w:r>
      <w:r>
        <w:t xml:space="preserve"> enforcement action, </w:t>
      </w:r>
      <w:r w:rsidR="003A778B">
        <w:t xml:space="preserve">NMI uses </w:t>
      </w:r>
      <w:r>
        <w:t xml:space="preserve">a range of strategies </w:t>
      </w:r>
      <w:r w:rsidR="0025038B">
        <w:t>as</w:t>
      </w:r>
      <w:r>
        <w:t xml:space="preserve"> detail</w:t>
      </w:r>
      <w:r w:rsidR="0025038B">
        <w:t>ed</w:t>
      </w:r>
      <w:r>
        <w:t xml:space="preserve"> in </w:t>
      </w:r>
      <w:hyperlink r:id="rId22" w:history="1">
        <w:r w:rsidRPr="003D4CBC">
          <w:rPr>
            <w:rStyle w:val="Hyperlink"/>
            <w:i/>
          </w:rPr>
          <w:t>Discussion Paper 6</w:t>
        </w:r>
        <w:r w:rsidR="003660E2" w:rsidRPr="003D4CBC">
          <w:rPr>
            <w:rStyle w:val="Hyperlink"/>
            <w:i/>
          </w:rPr>
          <w:t>: Compliance Arrangements</w:t>
        </w:r>
      </w:hyperlink>
      <w:r>
        <w:t xml:space="preserve">. </w:t>
      </w:r>
    </w:p>
    <w:p w14:paraId="2FE3866A" w14:textId="224BD58A" w:rsidR="00006529" w:rsidRDefault="00486DF4" w:rsidP="00006529">
      <w:pPr>
        <w:rPr>
          <w:color w:val="000000" w:themeColor="text1"/>
        </w:rPr>
      </w:pPr>
      <w:r>
        <w:t>Current</w:t>
      </w:r>
      <w:r w:rsidR="00006529">
        <w:t xml:space="preserve"> compliance actions can involve </w:t>
      </w:r>
      <w:r w:rsidR="00D410CC">
        <w:t xml:space="preserve">gathering </w:t>
      </w:r>
      <w:r w:rsidR="00006529">
        <w:t xml:space="preserve">and analysing information </w:t>
      </w:r>
      <w:r w:rsidR="00D410CC">
        <w:t xml:space="preserve">relevant to </w:t>
      </w:r>
      <w:r w:rsidR="00006529">
        <w:t xml:space="preserve">the regulatory performance of servicing licensees and public weighbridge licensees and </w:t>
      </w:r>
      <w:r w:rsidR="000102B6">
        <w:t xml:space="preserve">using this information to </w:t>
      </w:r>
      <w:r w:rsidR="00006529">
        <w:t>assess</w:t>
      </w:r>
      <w:r w:rsidR="000102B6">
        <w:t xml:space="preserve"> </w:t>
      </w:r>
      <w:r w:rsidR="00006529">
        <w:t xml:space="preserve">compliance risks </w:t>
      </w:r>
      <w:r w:rsidR="000102B6">
        <w:t xml:space="preserve">and </w:t>
      </w:r>
      <w:r w:rsidR="00006529">
        <w:t xml:space="preserve">potential regulatory breaches. </w:t>
      </w:r>
      <w:r w:rsidR="00A362A7">
        <w:t xml:space="preserve">At present </w:t>
      </w:r>
      <w:r w:rsidR="00006529">
        <w:t>UMV and LMA compliance is dealt with on a case by case basis</w:t>
      </w:r>
      <w:r>
        <w:t xml:space="preserve"> and i</w:t>
      </w:r>
      <w:r w:rsidR="00006529">
        <w:t xml:space="preserve">dentified alleged breaches may be escalated for consideration of enforcement action where appropriate. </w:t>
      </w:r>
    </w:p>
    <w:tbl>
      <w:tblPr>
        <w:tblStyle w:val="TableGrid"/>
        <w:tblW w:w="0" w:type="auto"/>
        <w:tblLayout w:type="fixed"/>
        <w:tblLook w:val="0480" w:firstRow="0" w:lastRow="0" w:firstColumn="1" w:lastColumn="0" w:noHBand="0" w:noVBand="1"/>
        <w:tblCaption w:val="Examples of available administrative compliance and enforcement options "/>
        <w:tblDescription w:val="Examples of low, medium and high administrative compliance and enforcement options for licencess, utility meter verifiers and legal metrology authorities."/>
      </w:tblPr>
      <w:tblGrid>
        <w:gridCol w:w="1555"/>
        <w:gridCol w:w="2551"/>
        <w:gridCol w:w="2410"/>
        <w:gridCol w:w="2500"/>
      </w:tblGrid>
      <w:tr w:rsidR="00D410CC" w14:paraId="387C609C" w14:textId="77777777" w:rsidTr="005A7883">
        <w:trPr>
          <w:trHeight w:val="327"/>
          <w:tblHeader/>
        </w:trPr>
        <w:tc>
          <w:tcPr>
            <w:tcW w:w="9016" w:type="dxa"/>
            <w:gridSpan w:val="4"/>
          </w:tcPr>
          <w:p w14:paraId="7C17CF65" w14:textId="78D310AE" w:rsidR="00D410CC" w:rsidRPr="002833DD" w:rsidRDefault="00D410CC" w:rsidP="003E64DE">
            <w:pPr>
              <w:keepNext/>
              <w:keepLines/>
              <w:jc w:val="center"/>
              <w:rPr>
                <w:b/>
                <w:color w:val="000000" w:themeColor="text1"/>
                <w:sz w:val="20"/>
                <w:szCs w:val="20"/>
              </w:rPr>
            </w:pPr>
            <w:r w:rsidRPr="002833DD">
              <w:rPr>
                <w:b/>
                <w:color w:val="000000" w:themeColor="text1"/>
                <w:sz w:val="20"/>
                <w:szCs w:val="20"/>
              </w:rPr>
              <w:lastRenderedPageBreak/>
              <w:t>Example</w:t>
            </w:r>
            <w:r w:rsidR="00EF718F">
              <w:rPr>
                <w:b/>
                <w:color w:val="000000" w:themeColor="text1"/>
                <w:sz w:val="20"/>
                <w:szCs w:val="20"/>
              </w:rPr>
              <w:t>s</w:t>
            </w:r>
            <w:r w:rsidRPr="002833DD">
              <w:rPr>
                <w:b/>
                <w:color w:val="000000" w:themeColor="text1"/>
                <w:sz w:val="20"/>
                <w:szCs w:val="20"/>
              </w:rPr>
              <w:t xml:space="preserve"> of available </w:t>
            </w:r>
            <w:r w:rsidR="00C81FEF">
              <w:rPr>
                <w:b/>
                <w:color w:val="000000" w:themeColor="text1"/>
                <w:sz w:val="20"/>
                <w:szCs w:val="20"/>
              </w:rPr>
              <w:t xml:space="preserve">administrative </w:t>
            </w:r>
            <w:r w:rsidRPr="002833DD">
              <w:rPr>
                <w:b/>
                <w:color w:val="000000" w:themeColor="text1"/>
                <w:sz w:val="20"/>
                <w:szCs w:val="20"/>
              </w:rPr>
              <w:t xml:space="preserve">compliance and enforcement options </w:t>
            </w:r>
          </w:p>
        </w:tc>
      </w:tr>
      <w:tr w:rsidR="00D410CC" w14:paraId="25F67FD4" w14:textId="77777777" w:rsidTr="005A7883">
        <w:trPr>
          <w:tblHeader/>
        </w:trPr>
        <w:tc>
          <w:tcPr>
            <w:tcW w:w="1555" w:type="dxa"/>
          </w:tcPr>
          <w:p w14:paraId="16931186" w14:textId="4F44A07B" w:rsidR="00D410CC" w:rsidRPr="002833DD" w:rsidRDefault="00A851DF" w:rsidP="003E64DE">
            <w:pPr>
              <w:keepNext/>
              <w:keepLines/>
              <w:rPr>
                <w:b/>
                <w:color w:val="000000" w:themeColor="text1"/>
                <w:sz w:val="20"/>
                <w:szCs w:val="20"/>
              </w:rPr>
            </w:pPr>
            <w:r>
              <w:rPr>
                <w:b/>
                <w:color w:val="000000" w:themeColor="text1"/>
                <w:sz w:val="20"/>
                <w:szCs w:val="20"/>
              </w:rPr>
              <w:t>Compliance Risk</w:t>
            </w:r>
          </w:p>
        </w:tc>
        <w:tc>
          <w:tcPr>
            <w:tcW w:w="2551" w:type="dxa"/>
          </w:tcPr>
          <w:p w14:paraId="2313F4C8" w14:textId="6D7A8383" w:rsidR="00D410CC" w:rsidRPr="002833DD" w:rsidRDefault="00D410CC" w:rsidP="003E64DE">
            <w:pPr>
              <w:keepNext/>
              <w:keepLines/>
              <w:rPr>
                <w:b/>
                <w:color w:val="000000" w:themeColor="text1"/>
                <w:sz w:val="20"/>
                <w:szCs w:val="20"/>
              </w:rPr>
            </w:pPr>
            <w:r w:rsidRPr="002833DD">
              <w:rPr>
                <w:b/>
                <w:color w:val="000000" w:themeColor="text1"/>
                <w:sz w:val="20"/>
                <w:szCs w:val="20"/>
              </w:rPr>
              <w:t>Licensees</w:t>
            </w:r>
            <w:r w:rsidR="00EB04D4" w:rsidRPr="002833DD">
              <w:rPr>
                <w:rStyle w:val="FootnoteReference"/>
                <w:b/>
                <w:color w:val="000000" w:themeColor="text1"/>
                <w:sz w:val="20"/>
                <w:szCs w:val="20"/>
              </w:rPr>
              <w:footnoteReference w:id="20"/>
            </w:r>
          </w:p>
        </w:tc>
        <w:tc>
          <w:tcPr>
            <w:tcW w:w="2410" w:type="dxa"/>
          </w:tcPr>
          <w:p w14:paraId="13C2E785" w14:textId="380B2041" w:rsidR="00D410CC" w:rsidRPr="002833DD" w:rsidRDefault="00D410CC" w:rsidP="003E64DE">
            <w:pPr>
              <w:keepNext/>
              <w:keepLines/>
              <w:rPr>
                <w:b/>
                <w:color w:val="000000" w:themeColor="text1"/>
                <w:sz w:val="20"/>
                <w:szCs w:val="20"/>
              </w:rPr>
            </w:pPr>
            <w:r w:rsidRPr="002833DD">
              <w:rPr>
                <w:b/>
                <w:color w:val="000000" w:themeColor="text1"/>
                <w:sz w:val="20"/>
                <w:szCs w:val="20"/>
              </w:rPr>
              <w:t>UMVs</w:t>
            </w:r>
            <w:r w:rsidRPr="002833DD">
              <w:rPr>
                <w:rStyle w:val="FootnoteReference"/>
                <w:b/>
                <w:color w:val="000000" w:themeColor="text1"/>
                <w:sz w:val="20"/>
                <w:szCs w:val="20"/>
              </w:rPr>
              <w:footnoteReference w:id="21"/>
            </w:r>
          </w:p>
        </w:tc>
        <w:tc>
          <w:tcPr>
            <w:tcW w:w="2500" w:type="dxa"/>
          </w:tcPr>
          <w:p w14:paraId="4FA271D9" w14:textId="0F09D6D8" w:rsidR="00D410CC" w:rsidRPr="002833DD" w:rsidRDefault="00D410CC" w:rsidP="003E64DE">
            <w:pPr>
              <w:keepNext/>
              <w:keepLines/>
              <w:rPr>
                <w:b/>
                <w:color w:val="000000" w:themeColor="text1"/>
                <w:sz w:val="20"/>
                <w:szCs w:val="20"/>
              </w:rPr>
            </w:pPr>
            <w:r w:rsidRPr="002833DD">
              <w:rPr>
                <w:b/>
                <w:color w:val="000000" w:themeColor="text1"/>
                <w:sz w:val="20"/>
                <w:szCs w:val="20"/>
              </w:rPr>
              <w:t>LMAs</w:t>
            </w:r>
            <w:r w:rsidR="006D18D9" w:rsidRPr="002833DD">
              <w:rPr>
                <w:rStyle w:val="FootnoteReference"/>
                <w:b/>
                <w:color w:val="000000" w:themeColor="text1"/>
                <w:sz w:val="20"/>
                <w:szCs w:val="20"/>
              </w:rPr>
              <w:footnoteReference w:id="22"/>
            </w:r>
          </w:p>
        </w:tc>
      </w:tr>
      <w:tr w:rsidR="00D410CC" w14:paraId="265C781F" w14:textId="77777777" w:rsidTr="005A7883">
        <w:tc>
          <w:tcPr>
            <w:tcW w:w="1555" w:type="dxa"/>
          </w:tcPr>
          <w:p w14:paraId="7C92B45D" w14:textId="37D5C3DF" w:rsidR="00D410CC" w:rsidRPr="002833DD" w:rsidRDefault="00D410CC" w:rsidP="003E64DE">
            <w:pPr>
              <w:keepNext/>
              <w:keepLines/>
              <w:rPr>
                <w:b/>
                <w:color w:val="000000" w:themeColor="text1"/>
                <w:sz w:val="20"/>
                <w:szCs w:val="20"/>
              </w:rPr>
            </w:pPr>
            <w:r w:rsidRPr="002833DD">
              <w:rPr>
                <w:b/>
                <w:color w:val="000000" w:themeColor="text1"/>
                <w:sz w:val="20"/>
                <w:szCs w:val="20"/>
              </w:rPr>
              <w:t xml:space="preserve">Low </w:t>
            </w:r>
          </w:p>
        </w:tc>
        <w:tc>
          <w:tcPr>
            <w:tcW w:w="2551" w:type="dxa"/>
          </w:tcPr>
          <w:p w14:paraId="7A5942FE" w14:textId="77777777" w:rsidR="00C254F9" w:rsidRDefault="00D410CC" w:rsidP="00C254F9">
            <w:pPr>
              <w:pStyle w:val="ListParagraph"/>
              <w:keepNext/>
              <w:keepLines/>
              <w:numPr>
                <w:ilvl w:val="0"/>
                <w:numId w:val="24"/>
              </w:numPr>
              <w:ind w:left="317" w:hanging="284"/>
              <w:rPr>
                <w:color w:val="000000" w:themeColor="text1"/>
                <w:sz w:val="20"/>
                <w:szCs w:val="20"/>
              </w:rPr>
            </w:pPr>
            <w:r w:rsidRPr="00C254F9">
              <w:rPr>
                <w:color w:val="000000" w:themeColor="text1"/>
                <w:sz w:val="20"/>
                <w:szCs w:val="20"/>
              </w:rPr>
              <w:t>Communication about non-compliance</w:t>
            </w:r>
          </w:p>
          <w:p w14:paraId="231E5783" w14:textId="4D6BFF63" w:rsidR="00D410CC" w:rsidRPr="00C254F9" w:rsidRDefault="00D410CC" w:rsidP="00C254F9">
            <w:pPr>
              <w:pStyle w:val="ListParagraph"/>
              <w:keepNext/>
              <w:keepLines/>
              <w:numPr>
                <w:ilvl w:val="0"/>
                <w:numId w:val="24"/>
              </w:numPr>
              <w:ind w:left="317" w:hanging="284"/>
              <w:rPr>
                <w:color w:val="000000" w:themeColor="text1"/>
                <w:sz w:val="20"/>
                <w:szCs w:val="20"/>
              </w:rPr>
            </w:pPr>
            <w:r w:rsidRPr="00C254F9">
              <w:rPr>
                <w:color w:val="000000" w:themeColor="text1"/>
                <w:sz w:val="20"/>
                <w:szCs w:val="20"/>
              </w:rPr>
              <w:t>Warnings</w:t>
            </w:r>
          </w:p>
        </w:tc>
        <w:tc>
          <w:tcPr>
            <w:tcW w:w="2410" w:type="dxa"/>
          </w:tcPr>
          <w:p w14:paraId="6598FBA2" w14:textId="77777777" w:rsidR="00C254F9" w:rsidRDefault="00D410CC" w:rsidP="00C254F9">
            <w:pPr>
              <w:pStyle w:val="ListParagraph"/>
              <w:keepNext/>
              <w:keepLines/>
              <w:numPr>
                <w:ilvl w:val="0"/>
                <w:numId w:val="24"/>
              </w:numPr>
              <w:ind w:left="317" w:hanging="283"/>
              <w:rPr>
                <w:color w:val="000000" w:themeColor="text1"/>
                <w:sz w:val="20"/>
                <w:szCs w:val="20"/>
              </w:rPr>
            </w:pPr>
            <w:r w:rsidRPr="00C254F9">
              <w:rPr>
                <w:color w:val="000000" w:themeColor="text1"/>
                <w:sz w:val="20"/>
                <w:szCs w:val="20"/>
              </w:rPr>
              <w:t>Communication about non-compliance</w:t>
            </w:r>
          </w:p>
          <w:p w14:paraId="6A02D6DD" w14:textId="38FA68DE" w:rsidR="00D410CC" w:rsidRPr="00C254F9" w:rsidRDefault="00D410CC" w:rsidP="00C254F9">
            <w:pPr>
              <w:pStyle w:val="ListParagraph"/>
              <w:keepNext/>
              <w:keepLines/>
              <w:numPr>
                <w:ilvl w:val="0"/>
                <w:numId w:val="24"/>
              </w:numPr>
              <w:ind w:left="317" w:hanging="283"/>
              <w:rPr>
                <w:color w:val="000000" w:themeColor="text1"/>
                <w:sz w:val="20"/>
                <w:szCs w:val="20"/>
              </w:rPr>
            </w:pPr>
            <w:r w:rsidRPr="00C254F9">
              <w:rPr>
                <w:color w:val="000000" w:themeColor="text1"/>
                <w:sz w:val="20"/>
                <w:szCs w:val="20"/>
              </w:rPr>
              <w:t>Warnings</w:t>
            </w:r>
          </w:p>
        </w:tc>
        <w:tc>
          <w:tcPr>
            <w:tcW w:w="2500" w:type="dxa"/>
          </w:tcPr>
          <w:p w14:paraId="0AED58CA" w14:textId="77777777" w:rsidR="00C254F9" w:rsidRDefault="00D410CC" w:rsidP="00C254F9">
            <w:pPr>
              <w:pStyle w:val="ListParagraph"/>
              <w:keepNext/>
              <w:keepLines/>
              <w:numPr>
                <w:ilvl w:val="0"/>
                <w:numId w:val="24"/>
              </w:numPr>
              <w:ind w:left="317" w:hanging="283"/>
              <w:rPr>
                <w:color w:val="000000" w:themeColor="text1"/>
                <w:sz w:val="20"/>
                <w:szCs w:val="20"/>
              </w:rPr>
            </w:pPr>
            <w:r w:rsidRPr="00C254F9">
              <w:rPr>
                <w:color w:val="000000" w:themeColor="text1"/>
                <w:sz w:val="20"/>
                <w:szCs w:val="20"/>
              </w:rPr>
              <w:t>Communication about non-compliance</w:t>
            </w:r>
          </w:p>
          <w:p w14:paraId="5E0FFCA7" w14:textId="4E7405C3" w:rsidR="00D410CC" w:rsidRPr="00C254F9" w:rsidRDefault="00D410CC" w:rsidP="00C254F9">
            <w:pPr>
              <w:pStyle w:val="ListParagraph"/>
              <w:keepNext/>
              <w:keepLines/>
              <w:numPr>
                <w:ilvl w:val="0"/>
                <w:numId w:val="24"/>
              </w:numPr>
              <w:ind w:left="317" w:hanging="283"/>
              <w:rPr>
                <w:color w:val="000000" w:themeColor="text1"/>
                <w:sz w:val="20"/>
                <w:szCs w:val="20"/>
              </w:rPr>
            </w:pPr>
            <w:r w:rsidRPr="00C254F9">
              <w:rPr>
                <w:color w:val="000000" w:themeColor="text1"/>
                <w:sz w:val="20"/>
                <w:szCs w:val="20"/>
              </w:rPr>
              <w:t>Warnings</w:t>
            </w:r>
          </w:p>
        </w:tc>
      </w:tr>
      <w:tr w:rsidR="00D410CC" w14:paraId="2F4FF18F" w14:textId="77777777" w:rsidTr="005A7883">
        <w:tc>
          <w:tcPr>
            <w:tcW w:w="1555" w:type="dxa"/>
          </w:tcPr>
          <w:p w14:paraId="6D98B998" w14:textId="28F2BFF6" w:rsidR="00D410CC" w:rsidRPr="002833DD" w:rsidRDefault="00D410CC" w:rsidP="00006529">
            <w:pPr>
              <w:rPr>
                <w:b/>
                <w:color w:val="000000" w:themeColor="text1"/>
                <w:sz w:val="20"/>
                <w:szCs w:val="20"/>
              </w:rPr>
            </w:pPr>
            <w:r w:rsidRPr="002833DD">
              <w:rPr>
                <w:b/>
                <w:color w:val="000000" w:themeColor="text1"/>
                <w:sz w:val="20"/>
                <w:szCs w:val="20"/>
              </w:rPr>
              <w:t>Medium</w:t>
            </w:r>
          </w:p>
        </w:tc>
        <w:tc>
          <w:tcPr>
            <w:tcW w:w="2551" w:type="dxa"/>
          </w:tcPr>
          <w:p w14:paraId="0009B28F" w14:textId="77777777" w:rsidR="00C254F9" w:rsidRDefault="00C254F9" w:rsidP="00C254F9">
            <w:pPr>
              <w:pStyle w:val="ListParagraph"/>
              <w:keepNext/>
              <w:keepLines/>
              <w:numPr>
                <w:ilvl w:val="0"/>
                <w:numId w:val="25"/>
              </w:numPr>
              <w:ind w:left="317" w:hanging="284"/>
              <w:rPr>
                <w:color w:val="000000" w:themeColor="text1"/>
                <w:sz w:val="20"/>
                <w:szCs w:val="20"/>
              </w:rPr>
            </w:pPr>
            <w:r>
              <w:rPr>
                <w:color w:val="000000" w:themeColor="text1"/>
                <w:sz w:val="20"/>
                <w:szCs w:val="20"/>
              </w:rPr>
              <w:t>Infringement Notices</w:t>
            </w:r>
          </w:p>
          <w:p w14:paraId="46B264DB" w14:textId="77777777" w:rsidR="00C254F9" w:rsidRDefault="00D410CC" w:rsidP="00C254F9">
            <w:pPr>
              <w:pStyle w:val="ListParagraph"/>
              <w:keepNext/>
              <w:keepLines/>
              <w:numPr>
                <w:ilvl w:val="0"/>
                <w:numId w:val="25"/>
              </w:numPr>
              <w:ind w:left="317" w:hanging="284"/>
              <w:rPr>
                <w:color w:val="000000" w:themeColor="text1"/>
                <w:sz w:val="20"/>
                <w:szCs w:val="20"/>
              </w:rPr>
            </w:pPr>
            <w:r w:rsidRPr="00C254F9">
              <w:rPr>
                <w:color w:val="000000" w:themeColor="text1"/>
                <w:sz w:val="20"/>
                <w:szCs w:val="20"/>
              </w:rPr>
              <w:t>Imposition of licence conditions</w:t>
            </w:r>
          </w:p>
          <w:p w14:paraId="1714F2E8" w14:textId="44D3FAFA" w:rsidR="00D410CC" w:rsidRPr="00C254F9" w:rsidRDefault="00D410CC" w:rsidP="00C254F9">
            <w:pPr>
              <w:pStyle w:val="ListParagraph"/>
              <w:keepNext/>
              <w:keepLines/>
              <w:numPr>
                <w:ilvl w:val="0"/>
                <w:numId w:val="25"/>
              </w:numPr>
              <w:ind w:left="317" w:hanging="284"/>
              <w:rPr>
                <w:color w:val="000000" w:themeColor="text1"/>
                <w:sz w:val="20"/>
                <w:szCs w:val="20"/>
              </w:rPr>
            </w:pPr>
            <w:r w:rsidRPr="00C254F9">
              <w:rPr>
                <w:color w:val="000000" w:themeColor="text1"/>
                <w:sz w:val="20"/>
                <w:szCs w:val="20"/>
              </w:rPr>
              <w:t>Reprimand</w:t>
            </w:r>
          </w:p>
        </w:tc>
        <w:tc>
          <w:tcPr>
            <w:tcW w:w="2410" w:type="dxa"/>
          </w:tcPr>
          <w:p w14:paraId="7F141025" w14:textId="77777777" w:rsidR="00C254F9" w:rsidRDefault="00D410CC" w:rsidP="00C254F9">
            <w:pPr>
              <w:pStyle w:val="ListParagraph"/>
              <w:keepNext/>
              <w:keepLines/>
              <w:numPr>
                <w:ilvl w:val="0"/>
                <w:numId w:val="25"/>
              </w:numPr>
              <w:ind w:left="317" w:hanging="283"/>
              <w:rPr>
                <w:color w:val="000000" w:themeColor="text1"/>
                <w:sz w:val="20"/>
                <w:szCs w:val="20"/>
              </w:rPr>
            </w:pPr>
            <w:r w:rsidRPr="00C254F9">
              <w:rPr>
                <w:color w:val="000000" w:themeColor="text1"/>
                <w:sz w:val="20"/>
                <w:szCs w:val="20"/>
              </w:rPr>
              <w:t xml:space="preserve">Imposing or varying appointment conditions </w:t>
            </w:r>
          </w:p>
          <w:p w14:paraId="6F5094CE" w14:textId="3FBC4F5B" w:rsidR="00D410CC" w:rsidRPr="00C254F9" w:rsidRDefault="00D410CC" w:rsidP="00C254F9">
            <w:pPr>
              <w:pStyle w:val="ListParagraph"/>
              <w:keepNext/>
              <w:keepLines/>
              <w:numPr>
                <w:ilvl w:val="0"/>
                <w:numId w:val="25"/>
              </w:numPr>
              <w:ind w:left="317" w:hanging="283"/>
              <w:rPr>
                <w:color w:val="000000" w:themeColor="text1"/>
                <w:sz w:val="20"/>
                <w:szCs w:val="20"/>
              </w:rPr>
            </w:pPr>
            <w:r w:rsidRPr="00C254F9">
              <w:rPr>
                <w:color w:val="000000" w:themeColor="text1"/>
                <w:sz w:val="20"/>
                <w:szCs w:val="20"/>
              </w:rPr>
              <w:t>Reprimand</w:t>
            </w:r>
          </w:p>
        </w:tc>
        <w:tc>
          <w:tcPr>
            <w:tcW w:w="2500" w:type="dxa"/>
          </w:tcPr>
          <w:p w14:paraId="19B77D55" w14:textId="0783DAE3" w:rsidR="00D410CC" w:rsidRPr="00C254F9" w:rsidRDefault="00D410CC" w:rsidP="00C254F9">
            <w:pPr>
              <w:pStyle w:val="ListParagraph"/>
              <w:keepNext/>
              <w:keepLines/>
              <w:numPr>
                <w:ilvl w:val="0"/>
                <w:numId w:val="25"/>
              </w:numPr>
              <w:ind w:left="317" w:hanging="283"/>
              <w:rPr>
                <w:b/>
                <w:color w:val="000000" w:themeColor="text1"/>
                <w:sz w:val="20"/>
                <w:szCs w:val="20"/>
              </w:rPr>
            </w:pPr>
            <w:r w:rsidRPr="00C254F9">
              <w:rPr>
                <w:color w:val="000000" w:themeColor="text1"/>
                <w:sz w:val="20"/>
                <w:szCs w:val="20"/>
              </w:rPr>
              <w:t>Imposing or varying appointment conditions</w:t>
            </w:r>
          </w:p>
        </w:tc>
      </w:tr>
      <w:tr w:rsidR="00D410CC" w14:paraId="2613991A" w14:textId="77777777" w:rsidTr="005A7883">
        <w:tc>
          <w:tcPr>
            <w:tcW w:w="1555" w:type="dxa"/>
          </w:tcPr>
          <w:p w14:paraId="447914DA" w14:textId="0F13BD31" w:rsidR="00D410CC" w:rsidRPr="002833DD" w:rsidRDefault="00D410CC" w:rsidP="00DD2CFF">
            <w:pPr>
              <w:rPr>
                <w:b/>
                <w:color w:val="000000" w:themeColor="text1"/>
                <w:sz w:val="20"/>
                <w:szCs w:val="20"/>
              </w:rPr>
            </w:pPr>
            <w:r w:rsidRPr="002833DD">
              <w:rPr>
                <w:b/>
                <w:color w:val="000000" w:themeColor="text1"/>
                <w:sz w:val="20"/>
                <w:szCs w:val="20"/>
              </w:rPr>
              <w:t xml:space="preserve">High </w:t>
            </w:r>
          </w:p>
        </w:tc>
        <w:tc>
          <w:tcPr>
            <w:tcW w:w="2551" w:type="dxa"/>
          </w:tcPr>
          <w:p w14:paraId="26A9DDC5" w14:textId="77777777" w:rsidR="00C254F9" w:rsidRDefault="00D410CC" w:rsidP="00C254F9">
            <w:pPr>
              <w:pStyle w:val="ListParagraph"/>
              <w:keepNext/>
              <w:keepLines/>
              <w:numPr>
                <w:ilvl w:val="0"/>
                <w:numId w:val="27"/>
              </w:numPr>
              <w:ind w:left="317" w:hanging="284"/>
              <w:rPr>
                <w:color w:val="000000" w:themeColor="text1"/>
                <w:sz w:val="20"/>
                <w:szCs w:val="20"/>
              </w:rPr>
            </w:pPr>
            <w:r w:rsidRPr="00C254F9">
              <w:rPr>
                <w:color w:val="000000" w:themeColor="text1"/>
                <w:sz w:val="20"/>
                <w:szCs w:val="20"/>
              </w:rPr>
              <w:t>Cancelling licence</w:t>
            </w:r>
          </w:p>
          <w:p w14:paraId="2EECC9B2" w14:textId="77777777" w:rsidR="00C254F9" w:rsidRDefault="00D410CC" w:rsidP="00C254F9">
            <w:pPr>
              <w:pStyle w:val="ListParagraph"/>
              <w:keepNext/>
              <w:keepLines/>
              <w:numPr>
                <w:ilvl w:val="0"/>
                <w:numId w:val="27"/>
              </w:numPr>
              <w:ind w:left="317" w:hanging="284"/>
              <w:rPr>
                <w:color w:val="000000" w:themeColor="text1"/>
                <w:sz w:val="20"/>
                <w:szCs w:val="20"/>
              </w:rPr>
            </w:pPr>
            <w:r w:rsidRPr="00C254F9">
              <w:rPr>
                <w:color w:val="000000" w:themeColor="text1"/>
                <w:sz w:val="20"/>
                <w:szCs w:val="20"/>
              </w:rPr>
              <w:t>Enforceable undertakings</w:t>
            </w:r>
          </w:p>
          <w:p w14:paraId="7421D5FE" w14:textId="4D0278FF" w:rsidR="00D410CC" w:rsidRPr="00C254F9" w:rsidRDefault="00D410CC" w:rsidP="00C254F9">
            <w:pPr>
              <w:pStyle w:val="ListParagraph"/>
              <w:keepNext/>
              <w:keepLines/>
              <w:numPr>
                <w:ilvl w:val="0"/>
                <w:numId w:val="27"/>
              </w:numPr>
              <w:ind w:left="317" w:hanging="284"/>
              <w:rPr>
                <w:color w:val="000000" w:themeColor="text1"/>
                <w:sz w:val="20"/>
                <w:szCs w:val="20"/>
              </w:rPr>
            </w:pPr>
            <w:r w:rsidRPr="00C254F9">
              <w:rPr>
                <w:color w:val="000000" w:themeColor="text1"/>
                <w:sz w:val="20"/>
                <w:szCs w:val="20"/>
              </w:rPr>
              <w:t xml:space="preserve">Publishing details of enforcement action </w:t>
            </w:r>
          </w:p>
        </w:tc>
        <w:tc>
          <w:tcPr>
            <w:tcW w:w="2410" w:type="dxa"/>
          </w:tcPr>
          <w:p w14:paraId="725AEDA4" w14:textId="166E4BFC" w:rsidR="00D410CC" w:rsidRPr="00C254F9" w:rsidRDefault="00D410CC" w:rsidP="00C254F9">
            <w:pPr>
              <w:pStyle w:val="ListParagraph"/>
              <w:keepNext/>
              <w:keepLines/>
              <w:numPr>
                <w:ilvl w:val="0"/>
                <w:numId w:val="26"/>
              </w:numPr>
              <w:ind w:left="317" w:hanging="283"/>
              <w:rPr>
                <w:color w:val="000000" w:themeColor="text1"/>
                <w:sz w:val="20"/>
                <w:szCs w:val="20"/>
              </w:rPr>
            </w:pPr>
            <w:r w:rsidRPr="00C254F9">
              <w:rPr>
                <w:color w:val="000000" w:themeColor="text1"/>
                <w:sz w:val="20"/>
                <w:szCs w:val="20"/>
              </w:rPr>
              <w:t>Suspending or revoking appointment</w:t>
            </w:r>
          </w:p>
        </w:tc>
        <w:tc>
          <w:tcPr>
            <w:tcW w:w="2500" w:type="dxa"/>
          </w:tcPr>
          <w:p w14:paraId="731DC305" w14:textId="77777777" w:rsidR="00D410CC" w:rsidRPr="00C254F9" w:rsidRDefault="00D410CC" w:rsidP="00C254F9">
            <w:pPr>
              <w:pStyle w:val="ListParagraph"/>
              <w:keepNext/>
              <w:keepLines/>
              <w:numPr>
                <w:ilvl w:val="0"/>
                <w:numId w:val="26"/>
              </w:numPr>
              <w:ind w:left="317" w:hanging="317"/>
              <w:rPr>
                <w:color w:val="000000" w:themeColor="text1"/>
                <w:sz w:val="20"/>
                <w:szCs w:val="20"/>
              </w:rPr>
            </w:pPr>
            <w:r w:rsidRPr="00C254F9">
              <w:rPr>
                <w:color w:val="000000" w:themeColor="text1"/>
                <w:sz w:val="20"/>
                <w:szCs w:val="20"/>
              </w:rPr>
              <w:t>Cancellation of appointment</w:t>
            </w:r>
          </w:p>
          <w:p w14:paraId="511B7991" w14:textId="1094D1C8" w:rsidR="00D410CC" w:rsidRPr="002833DD" w:rsidRDefault="00D410CC" w:rsidP="003E64DE">
            <w:pPr>
              <w:keepNext/>
              <w:keepLines/>
              <w:rPr>
                <w:b/>
                <w:color w:val="000000" w:themeColor="text1"/>
                <w:sz w:val="20"/>
                <w:szCs w:val="20"/>
              </w:rPr>
            </w:pPr>
          </w:p>
        </w:tc>
      </w:tr>
    </w:tbl>
    <w:p w14:paraId="0D1D37FF" w14:textId="412AA1E0" w:rsidR="003660E2" w:rsidRPr="003660E2" w:rsidRDefault="00C31BE3" w:rsidP="00AC3B97">
      <w:pPr>
        <w:shd w:val="clear" w:color="auto" w:fill="DEEAF6" w:themeFill="accent1" w:themeFillTint="33"/>
        <w:spacing w:before="120"/>
        <w:rPr>
          <w:i/>
          <w:color w:val="000000" w:themeColor="text1"/>
        </w:rPr>
      </w:pPr>
      <w:r w:rsidRPr="00C31BE3">
        <w:rPr>
          <w:b/>
          <w:i/>
          <w:color w:val="000000" w:themeColor="text1"/>
        </w:rPr>
        <w:t>Consideration</w:t>
      </w:r>
      <w:r w:rsidRPr="00327C7C">
        <w:rPr>
          <w:b/>
          <w:i/>
          <w:color w:val="000000" w:themeColor="text1"/>
        </w:rPr>
        <w:t xml:space="preserve"> Points:</w:t>
      </w:r>
      <w:r>
        <w:rPr>
          <w:i/>
          <w:color w:val="000000" w:themeColor="text1"/>
        </w:rPr>
        <w:t xml:space="preserve"> </w:t>
      </w:r>
      <w:r w:rsidR="00006529" w:rsidRPr="003660E2">
        <w:rPr>
          <w:i/>
          <w:color w:val="000000" w:themeColor="text1"/>
        </w:rPr>
        <w:t xml:space="preserve">Are the current compliance and enforcement arrangements </w:t>
      </w:r>
      <w:r w:rsidR="0081291E">
        <w:rPr>
          <w:i/>
          <w:color w:val="000000" w:themeColor="text1"/>
        </w:rPr>
        <w:t xml:space="preserve">for third parties </w:t>
      </w:r>
      <w:r w:rsidR="00006529" w:rsidRPr="003660E2">
        <w:rPr>
          <w:i/>
          <w:color w:val="000000" w:themeColor="text1"/>
        </w:rPr>
        <w:t>appropriate and effe</w:t>
      </w:r>
      <w:r w:rsidR="00EA623C">
        <w:rPr>
          <w:i/>
          <w:color w:val="000000" w:themeColor="text1"/>
        </w:rPr>
        <w:t xml:space="preserve">ctive? </w:t>
      </w:r>
      <w:r w:rsidR="00006529" w:rsidRPr="003660E2">
        <w:rPr>
          <w:i/>
          <w:color w:val="000000" w:themeColor="text1"/>
        </w:rPr>
        <w:t xml:space="preserve">What </w:t>
      </w:r>
      <w:r w:rsidR="00B21FDD">
        <w:rPr>
          <w:i/>
          <w:color w:val="000000" w:themeColor="text1"/>
        </w:rPr>
        <w:t>alternative</w:t>
      </w:r>
      <w:r w:rsidR="00006529" w:rsidRPr="003660E2">
        <w:rPr>
          <w:i/>
          <w:color w:val="000000" w:themeColor="text1"/>
        </w:rPr>
        <w:t xml:space="preserve"> administrative </w:t>
      </w:r>
      <w:r w:rsidR="003E64DE">
        <w:rPr>
          <w:i/>
          <w:color w:val="000000" w:themeColor="text1"/>
        </w:rPr>
        <w:t xml:space="preserve">or legislative </w:t>
      </w:r>
      <w:r w:rsidR="00006529" w:rsidRPr="003660E2">
        <w:rPr>
          <w:i/>
          <w:color w:val="000000" w:themeColor="text1"/>
        </w:rPr>
        <w:t xml:space="preserve">options </w:t>
      </w:r>
      <w:r w:rsidR="00B21FDD">
        <w:rPr>
          <w:i/>
          <w:color w:val="000000" w:themeColor="text1"/>
        </w:rPr>
        <w:t xml:space="preserve">might </w:t>
      </w:r>
      <w:r w:rsidR="00006529" w:rsidRPr="003660E2">
        <w:rPr>
          <w:i/>
          <w:color w:val="000000" w:themeColor="text1"/>
        </w:rPr>
        <w:t xml:space="preserve">be </w:t>
      </w:r>
      <w:r w:rsidR="003E64DE">
        <w:rPr>
          <w:i/>
          <w:color w:val="000000" w:themeColor="text1"/>
        </w:rPr>
        <w:t>considered</w:t>
      </w:r>
      <w:r w:rsidR="003E64DE" w:rsidRPr="003660E2">
        <w:rPr>
          <w:i/>
          <w:color w:val="000000" w:themeColor="text1"/>
        </w:rPr>
        <w:t xml:space="preserve"> </w:t>
      </w:r>
      <w:r w:rsidR="00006529" w:rsidRPr="003660E2">
        <w:rPr>
          <w:i/>
          <w:color w:val="000000" w:themeColor="text1"/>
        </w:rPr>
        <w:t xml:space="preserve">to </w:t>
      </w:r>
      <w:r w:rsidR="003E64DE">
        <w:rPr>
          <w:i/>
          <w:color w:val="000000" w:themeColor="text1"/>
        </w:rPr>
        <w:t xml:space="preserve">encourage </w:t>
      </w:r>
      <w:r w:rsidR="00006529" w:rsidRPr="003660E2">
        <w:rPr>
          <w:i/>
          <w:color w:val="000000" w:themeColor="text1"/>
        </w:rPr>
        <w:t>third part</w:t>
      </w:r>
      <w:r w:rsidR="00B21FDD">
        <w:rPr>
          <w:i/>
          <w:color w:val="000000" w:themeColor="text1"/>
        </w:rPr>
        <w:t>y</w:t>
      </w:r>
      <w:r w:rsidR="00006529" w:rsidRPr="003660E2">
        <w:rPr>
          <w:i/>
          <w:color w:val="000000" w:themeColor="text1"/>
        </w:rPr>
        <w:t xml:space="preserve"> compl</w:t>
      </w:r>
      <w:r w:rsidR="00B21FDD">
        <w:rPr>
          <w:i/>
          <w:color w:val="000000" w:themeColor="text1"/>
        </w:rPr>
        <w:t>iance</w:t>
      </w:r>
      <w:r w:rsidR="00006529" w:rsidRPr="003660E2">
        <w:rPr>
          <w:i/>
          <w:color w:val="000000" w:themeColor="text1"/>
        </w:rPr>
        <w:t xml:space="preserve"> with their obligations un</w:t>
      </w:r>
      <w:r w:rsidR="00EA623C">
        <w:rPr>
          <w:i/>
          <w:color w:val="000000" w:themeColor="text1"/>
        </w:rPr>
        <w:t xml:space="preserve">der the measurement framework? </w:t>
      </w:r>
      <w:r w:rsidR="00D778E0">
        <w:rPr>
          <w:i/>
          <w:color w:val="000000" w:themeColor="text1"/>
        </w:rPr>
        <w:t>What sort of rights of review should be available for</w:t>
      </w:r>
      <w:r w:rsidR="00A851DF">
        <w:rPr>
          <w:i/>
          <w:color w:val="000000" w:themeColor="text1"/>
        </w:rPr>
        <w:t xml:space="preserve"> compliance and </w:t>
      </w:r>
      <w:r w:rsidR="00D778E0">
        <w:rPr>
          <w:i/>
          <w:color w:val="000000" w:themeColor="text1"/>
        </w:rPr>
        <w:t>enforcement action</w:t>
      </w:r>
      <w:r w:rsidR="006C1844">
        <w:rPr>
          <w:i/>
          <w:color w:val="000000" w:themeColor="text1"/>
        </w:rPr>
        <w:t xml:space="preserve"> against third parties</w:t>
      </w:r>
      <w:r w:rsidR="00A851DF">
        <w:rPr>
          <w:i/>
          <w:color w:val="000000" w:themeColor="text1"/>
        </w:rPr>
        <w:t>?</w:t>
      </w:r>
    </w:p>
    <w:p w14:paraId="3F2D7CB8" w14:textId="25F052E5" w:rsidR="00A4385D" w:rsidRPr="00887BCC" w:rsidRDefault="001445FF" w:rsidP="001445FF">
      <w:pPr>
        <w:pStyle w:val="Heading2"/>
      </w:pPr>
      <w:bookmarkStart w:id="127" w:name="_Toc19884198"/>
      <w:bookmarkStart w:id="128" w:name="_Toc19891397"/>
      <w:bookmarkStart w:id="129" w:name="_Toc19891436"/>
      <w:bookmarkStart w:id="130" w:name="_Toc22897267"/>
      <w:bookmarkStart w:id="131" w:name="_Toc22899677"/>
      <w:bookmarkStart w:id="132" w:name="_Toc22900314"/>
      <w:bookmarkStart w:id="133" w:name="_Toc22901154"/>
      <w:r>
        <w:t xml:space="preserve">3.4 </w:t>
      </w:r>
      <w:r w:rsidR="003660E2">
        <w:t>Applying a P</w:t>
      </w:r>
      <w:r w:rsidR="00A4385D" w:rsidRPr="00887BCC">
        <w:t>rinciple</w:t>
      </w:r>
      <w:r w:rsidR="003660E2">
        <w:t>s</w:t>
      </w:r>
      <w:r w:rsidR="00EF718F">
        <w:t>-</w:t>
      </w:r>
      <w:r w:rsidR="00CB5DC4">
        <w:t>b</w:t>
      </w:r>
      <w:r w:rsidR="00A4385D" w:rsidRPr="00887BCC">
        <w:t>ased</w:t>
      </w:r>
      <w:r w:rsidR="003A0CEA">
        <w:t xml:space="preserve"> </w:t>
      </w:r>
      <w:r w:rsidR="003660E2">
        <w:t>A</w:t>
      </w:r>
      <w:r w:rsidR="00A4385D" w:rsidRPr="00887BCC">
        <w:t>pproach</w:t>
      </w:r>
      <w:bookmarkEnd w:id="125"/>
      <w:bookmarkEnd w:id="126"/>
      <w:bookmarkEnd w:id="127"/>
      <w:bookmarkEnd w:id="128"/>
      <w:bookmarkEnd w:id="129"/>
      <w:bookmarkEnd w:id="130"/>
      <w:bookmarkEnd w:id="131"/>
      <w:bookmarkEnd w:id="132"/>
      <w:bookmarkEnd w:id="133"/>
    </w:p>
    <w:p w14:paraId="255B5E70" w14:textId="41523BFB" w:rsidR="00081E29" w:rsidRPr="00A8248A" w:rsidRDefault="00EF718F" w:rsidP="000572F7">
      <w:pPr>
        <w:rPr>
          <w:color w:val="000000" w:themeColor="text1"/>
        </w:rPr>
      </w:pPr>
      <w:r>
        <w:t>The Review aims to make the legislation more principles-based to provide increased flexibility and reduce the regulatory burden on third parties.</w:t>
      </w:r>
      <w:r w:rsidR="00AA469A">
        <w:rPr>
          <w:color w:val="000000" w:themeColor="text1"/>
        </w:rPr>
        <w:t xml:space="preserve"> </w:t>
      </w:r>
      <w:r w:rsidR="00F74242">
        <w:rPr>
          <w:color w:val="000000" w:themeColor="text1"/>
        </w:rPr>
        <w:t>This</w:t>
      </w:r>
      <w:r w:rsidR="00AA469A">
        <w:rPr>
          <w:i/>
          <w:color w:val="000000" w:themeColor="text1"/>
        </w:rPr>
        <w:t xml:space="preserve"> </w:t>
      </w:r>
      <w:r w:rsidR="00256FC1">
        <w:rPr>
          <w:color w:val="000000" w:themeColor="text1"/>
        </w:rPr>
        <w:t>would</w:t>
      </w:r>
      <w:r w:rsidR="00AA469A">
        <w:rPr>
          <w:color w:val="000000" w:themeColor="text1"/>
        </w:rPr>
        <w:t xml:space="preserve"> </w:t>
      </w:r>
      <w:r w:rsidR="00AA469A" w:rsidRPr="00F9123E">
        <w:rPr>
          <w:color w:val="000000" w:themeColor="text1"/>
        </w:rPr>
        <w:t xml:space="preserve">involve </w:t>
      </w:r>
      <w:r w:rsidR="00AA469A">
        <w:rPr>
          <w:color w:val="000000" w:themeColor="text1"/>
        </w:rPr>
        <w:t>setting obligations and giving third parties responsibility for interpreting and deciding how these obligations can be met.</w:t>
      </w:r>
      <w:r w:rsidR="00A4385D">
        <w:rPr>
          <w:i/>
          <w:color w:val="000000" w:themeColor="text1"/>
        </w:rPr>
        <w:t xml:space="preserve"> </w:t>
      </w:r>
      <w:r w:rsidR="004D530C">
        <w:rPr>
          <w:color w:val="000000" w:themeColor="text1"/>
        </w:rPr>
        <w:t xml:space="preserve">This may mean more attention and investment is needed in establishing appropriate in-house </w:t>
      </w:r>
      <w:r w:rsidR="00E62F18">
        <w:rPr>
          <w:color w:val="000000" w:themeColor="text1"/>
        </w:rPr>
        <w:t>arrangeme</w:t>
      </w:r>
      <w:r w:rsidR="004D530C">
        <w:rPr>
          <w:color w:val="000000" w:themeColor="text1"/>
        </w:rPr>
        <w:t>n</w:t>
      </w:r>
      <w:r w:rsidR="00E62F18">
        <w:rPr>
          <w:color w:val="000000" w:themeColor="text1"/>
        </w:rPr>
        <w:t>t</w:t>
      </w:r>
      <w:r w:rsidR="004D530C">
        <w:rPr>
          <w:color w:val="000000" w:themeColor="text1"/>
        </w:rPr>
        <w:t>s such as quality management systems t</w:t>
      </w:r>
      <w:r w:rsidR="000332E2">
        <w:rPr>
          <w:color w:val="000000" w:themeColor="text1"/>
        </w:rPr>
        <w:t>o</w:t>
      </w:r>
      <w:r w:rsidR="004D530C">
        <w:rPr>
          <w:color w:val="000000" w:themeColor="text1"/>
        </w:rPr>
        <w:t xml:space="preserve"> support a principles-based approach. </w:t>
      </w:r>
    </w:p>
    <w:p w14:paraId="67360913" w14:textId="1144B0D4" w:rsidR="00081E29" w:rsidRDefault="003A0CEA" w:rsidP="00C060C8">
      <w:pPr>
        <w:rPr>
          <w:color w:val="000000" w:themeColor="text1"/>
        </w:rPr>
      </w:pPr>
      <w:r>
        <w:rPr>
          <w:color w:val="000000" w:themeColor="text1"/>
        </w:rPr>
        <w:t xml:space="preserve">The current </w:t>
      </w:r>
      <w:r w:rsidR="00A851DF">
        <w:rPr>
          <w:color w:val="000000" w:themeColor="text1"/>
        </w:rPr>
        <w:t xml:space="preserve">legislative </w:t>
      </w:r>
      <w:r>
        <w:rPr>
          <w:color w:val="000000" w:themeColor="text1"/>
        </w:rPr>
        <w:t xml:space="preserve">arrangements </w:t>
      </w:r>
      <w:r w:rsidR="00A8248A">
        <w:rPr>
          <w:color w:val="000000" w:themeColor="text1"/>
        </w:rPr>
        <w:t>set out</w:t>
      </w:r>
      <w:r>
        <w:rPr>
          <w:color w:val="000000" w:themeColor="text1"/>
        </w:rPr>
        <w:t xml:space="preserve"> </w:t>
      </w:r>
      <w:r w:rsidR="007C7C8E">
        <w:rPr>
          <w:color w:val="000000" w:themeColor="text1"/>
        </w:rPr>
        <w:t xml:space="preserve">requirements for </w:t>
      </w:r>
      <w:r>
        <w:rPr>
          <w:color w:val="000000" w:themeColor="text1"/>
        </w:rPr>
        <w:t xml:space="preserve">how </w:t>
      </w:r>
      <w:r w:rsidR="000102B6">
        <w:rPr>
          <w:color w:val="000000" w:themeColor="text1"/>
        </w:rPr>
        <w:t xml:space="preserve">to achieve </w:t>
      </w:r>
      <w:r w:rsidR="00C060C8">
        <w:rPr>
          <w:color w:val="000000" w:themeColor="text1"/>
        </w:rPr>
        <w:t>traceable measurement</w:t>
      </w:r>
      <w:r w:rsidR="007C7C8E">
        <w:rPr>
          <w:color w:val="000000" w:themeColor="text1"/>
        </w:rPr>
        <w:t>.</w:t>
      </w:r>
      <w:r w:rsidR="007C7C8E">
        <w:rPr>
          <w:rStyle w:val="FootnoteReference"/>
          <w:color w:val="000000" w:themeColor="text1"/>
        </w:rPr>
        <w:footnoteReference w:id="23"/>
      </w:r>
      <w:r w:rsidR="007C7C8E">
        <w:rPr>
          <w:color w:val="000000" w:themeColor="text1"/>
        </w:rPr>
        <w:t xml:space="preserve"> </w:t>
      </w:r>
      <w:r w:rsidRPr="009B030C">
        <w:rPr>
          <w:color w:val="000000" w:themeColor="text1"/>
        </w:rPr>
        <w:t xml:space="preserve">A </w:t>
      </w:r>
      <w:r w:rsidR="009B030C" w:rsidRPr="00C060C8">
        <w:rPr>
          <w:color w:val="000000" w:themeColor="text1"/>
        </w:rPr>
        <w:t>principles-based</w:t>
      </w:r>
      <w:r w:rsidRPr="009B030C">
        <w:rPr>
          <w:color w:val="000000" w:themeColor="text1"/>
        </w:rPr>
        <w:t xml:space="preserve"> </w:t>
      </w:r>
      <w:r w:rsidR="00581B9D" w:rsidRPr="009B030C">
        <w:rPr>
          <w:color w:val="000000" w:themeColor="text1"/>
        </w:rPr>
        <w:t>approach</w:t>
      </w:r>
      <w:r w:rsidR="00581B9D">
        <w:rPr>
          <w:color w:val="000000" w:themeColor="text1"/>
        </w:rPr>
        <w:t xml:space="preserve"> </w:t>
      </w:r>
      <w:r w:rsidR="007730BA">
        <w:rPr>
          <w:color w:val="000000" w:themeColor="text1"/>
        </w:rPr>
        <w:t xml:space="preserve">might </w:t>
      </w:r>
      <w:r w:rsidR="00C060C8">
        <w:rPr>
          <w:color w:val="000000" w:themeColor="text1"/>
        </w:rPr>
        <w:t xml:space="preserve">require outcomes to be achieved, but </w:t>
      </w:r>
      <w:r w:rsidR="000102B6">
        <w:rPr>
          <w:color w:val="000000" w:themeColor="text1"/>
        </w:rPr>
        <w:t xml:space="preserve">would </w:t>
      </w:r>
      <w:r w:rsidR="00581B9D">
        <w:rPr>
          <w:color w:val="000000" w:themeColor="text1"/>
        </w:rPr>
        <w:t xml:space="preserve">allow </w:t>
      </w:r>
      <w:r w:rsidR="00581B9D">
        <w:t xml:space="preserve">flexibility </w:t>
      </w:r>
      <w:r w:rsidR="00C060C8">
        <w:t>regarding</w:t>
      </w:r>
      <w:r w:rsidR="00533294">
        <w:t xml:space="preserve"> the pathway used</w:t>
      </w:r>
      <w:r w:rsidR="00B94E03">
        <w:t xml:space="preserve">. For example, </w:t>
      </w:r>
      <w:r w:rsidR="00C060C8">
        <w:t xml:space="preserve">a principle is that results must be </w:t>
      </w:r>
      <w:r w:rsidR="00167847">
        <w:t>traceable</w:t>
      </w:r>
      <w:r w:rsidR="00C060C8">
        <w:t xml:space="preserve"> and </w:t>
      </w:r>
      <w:r w:rsidR="00C14C67">
        <w:t xml:space="preserve">sufficiently accurate </w:t>
      </w:r>
      <w:r w:rsidR="007C7C8E">
        <w:t xml:space="preserve">then </w:t>
      </w:r>
      <w:r w:rsidR="00C14C67">
        <w:t xml:space="preserve">a business could comply with this requirement </w:t>
      </w:r>
      <w:r w:rsidR="00C060C8">
        <w:t>by</w:t>
      </w:r>
      <w:r w:rsidR="00B85C18">
        <w:t xml:space="preserve"> either</w:t>
      </w:r>
      <w:r>
        <w:rPr>
          <w:color w:val="000000" w:themeColor="text1"/>
        </w:rPr>
        <w:t>:</w:t>
      </w:r>
    </w:p>
    <w:p w14:paraId="62716952" w14:textId="1B90EA8A" w:rsidR="003E1528" w:rsidRPr="00132CE1" w:rsidRDefault="00B85C18" w:rsidP="00C254F9">
      <w:pPr>
        <w:pStyle w:val="ListParagraph"/>
        <w:numPr>
          <w:ilvl w:val="0"/>
          <w:numId w:val="21"/>
        </w:numPr>
        <w:rPr>
          <w:color w:val="000000" w:themeColor="text1"/>
        </w:rPr>
      </w:pPr>
      <w:r>
        <w:rPr>
          <w:color w:val="000000" w:themeColor="text1"/>
        </w:rPr>
        <w:t>u</w:t>
      </w:r>
      <w:r w:rsidR="0082414E">
        <w:rPr>
          <w:color w:val="000000" w:themeColor="text1"/>
        </w:rPr>
        <w:t xml:space="preserve">sing </w:t>
      </w:r>
      <w:r w:rsidR="003E1528">
        <w:t xml:space="preserve">procedures </w:t>
      </w:r>
      <w:r w:rsidR="0082414E">
        <w:t xml:space="preserve">specified </w:t>
      </w:r>
      <w:r w:rsidR="003E1528">
        <w:t>by the Chief Metrologist;</w:t>
      </w:r>
      <w:r w:rsidR="0082414E">
        <w:rPr>
          <w:rStyle w:val="FootnoteReference"/>
          <w:color w:val="000000" w:themeColor="text1"/>
        </w:rPr>
        <w:footnoteReference w:id="24"/>
      </w:r>
      <w:r w:rsidR="0082414E">
        <w:rPr>
          <w:color w:val="000000" w:themeColor="text1"/>
        </w:rPr>
        <w:t xml:space="preserve"> </w:t>
      </w:r>
      <w:r w:rsidR="003E1528">
        <w:t>or</w:t>
      </w:r>
    </w:p>
    <w:p w14:paraId="2717AB8A" w14:textId="52E315D0" w:rsidR="003A0CEA" w:rsidRDefault="00B85C18" w:rsidP="00C254F9">
      <w:pPr>
        <w:pStyle w:val="ListParagraph"/>
        <w:numPr>
          <w:ilvl w:val="0"/>
          <w:numId w:val="21"/>
        </w:numPr>
        <w:rPr>
          <w:color w:val="000000" w:themeColor="text1"/>
        </w:rPr>
      </w:pPr>
      <w:r>
        <w:t>u</w:t>
      </w:r>
      <w:r w:rsidR="003E1528">
        <w:t xml:space="preserve">sing an alternative </w:t>
      </w:r>
      <w:r w:rsidR="00132CE1">
        <w:t xml:space="preserve">procedure </w:t>
      </w:r>
      <w:r w:rsidR="003E1528">
        <w:t>to achieve the same outcome</w:t>
      </w:r>
      <w:r w:rsidR="003E1528">
        <w:rPr>
          <w:color w:val="000000" w:themeColor="text1"/>
        </w:rPr>
        <w:t>.</w:t>
      </w:r>
      <w:r w:rsidR="0082414E" w:rsidDel="0082414E">
        <w:rPr>
          <w:rStyle w:val="FootnoteReference"/>
          <w:color w:val="000000" w:themeColor="text1"/>
        </w:rPr>
        <w:t xml:space="preserve"> </w:t>
      </w:r>
    </w:p>
    <w:p w14:paraId="1D58E72F" w14:textId="054BE6F3" w:rsidR="005E5C7E" w:rsidRDefault="005E5C7E" w:rsidP="005E5C7E">
      <w:pPr>
        <w:rPr>
          <w:color w:val="000000" w:themeColor="text1"/>
        </w:rPr>
      </w:pPr>
      <w:r>
        <w:rPr>
          <w:color w:val="000000" w:themeColor="text1"/>
        </w:rPr>
        <w:t>The latter option would still involve third parties using appropriate s</w:t>
      </w:r>
      <w:r w:rsidR="00906865">
        <w:rPr>
          <w:color w:val="000000" w:themeColor="text1"/>
        </w:rPr>
        <w:t>tandards of measurement</w:t>
      </w:r>
      <w:r>
        <w:rPr>
          <w:color w:val="000000" w:themeColor="text1"/>
        </w:rPr>
        <w:t>, procedures and methods that ensure the outcome of accurate and reliable measurement</w:t>
      </w:r>
      <w:r w:rsidR="0088693D">
        <w:rPr>
          <w:color w:val="000000" w:themeColor="text1"/>
        </w:rPr>
        <w:t>, b</w:t>
      </w:r>
      <w:r>
        <w:rPr>
          <w:color w:val="000000" w:themeColor="text1"/>
        </w:rPr>
        <w:t xml:space="preserve">ut there would be a greater degree of flexibility </w:t>
      </w:r>
      <w:r w:rsidR="000332E2">
        <w:rPr>
          <w:color w:val="000000" w:themeColor="text1"/>
        </w:rPr>
        <w:t>with</w:t>
      </w:r>
      <w:r w:rsidR="00220AB0">
        <w:rPr>
          <w:color w:val="000000" w:themeColor="text1"/>
        </w:rPr>
        <w:t xml:space="preserve"> </w:t>
      </w:r>
      <w:r>
        <w:rPr>
          <w:color w:val="000000" w:themeColor="text1"/>
        </w:rPr>
        <w:t>the method used.</w:t>
      </w:r>
      <w:r w:rsidR="00C14C67">
        <w:rPr>
          <w:color w:val="000000" w:themeColor="text1"/>
        </w:rPr>
        <w:t xml:space="preserve"> </w:t>
      </w:r>
    </w:p>
    <w:p w14:paraId="1BE4DC69" w14:textId="632AFBB3" w:rsidR="00581B9D" w:rsidRDefault="00AA469A" w:rsidP="00AA469A">
      <w:pPr>
        <w:rPr>
          <w:color w:val="000000" w:themeColor="text1"/>
        </w:rPr>
      </w:pPr>
      <w:r>
        <w:rPr>
          <w:color w:val="000000" w:themeColor="text1"/>
        </w:rPr>
        <w:lastRenderedPageBreak/>
        <w:t xml:space="preserve">A </w:t>
      </w:r>
      <w:r w:rsidRPr="005E5C7E">
        <w:rPr>
          <w:color w:val="000000" w:themeColor="text1"/>
        </w:rPr>
        <w:t xml:space="preserve">‘mix’ of </w:t>
      </w:r>
      <w:r w:rsidR="009B030C" w:rsidRPr="005E5C7E">
        <w:rPr>
          <w:color w:val="000000" w:themeColor="text1"/>
        </w:rPr>
        <w:t xml:space="preserve">principles-based </w:t>
      </w:r>
      <w:r w:rsidR="00CE394D">
        <w:rPr>
          <w:color w:val="000000" w:themeColor="text1"/>
        </w:rPr>
        <w:t>approaches</w:t>
      </w:r>
      <w:r w:rsidRPr="005E5C7E">
        <w:rPr>
          <w:color w:val="000000" w:themeColor="text1"/>
        </w:rPr>
        <w:t xml:space="preserve"> and regulatory prescription</w:t>
      </w:r>
      <w:r>
        <w:rPr>
          <w:color w:val="000000" w:themeColor="text1"/>
        </w:rPr>
        <w:t xml:space="preserve"> might </w:t>
      </w:r>
      <w:r w:rsidR="00BF798B">
        <w:rPr>
          <w:color w:val="000000" w:themeColor="text1"/>
        </w:rPr>
        <w:t xml:space="preserve">also </w:t>
      </w:r>
      <w:r w:rsidR="00A342D2">
        <w:rPr>
          <w:color w:val="000000" w:themeColor="text1"/>
        </w:rPr>
        <w:t>be appropriate</w:t>
      </w:r>
      <w:r w:rsidRPr="00E1297C">
        <w:rPr>
          <w:color w:val="000000" w:themeColor="text1"/>
        </w:rPr>
        <w:t xml:space="preserve">, depending on regulatory </w:t>
      </w:r>
      <w:r>
        <w:rPr>
          <w:color w:val="000000" w:themeColor="text1"/>
        </w:rPr>
        <w:t xml:space="preserve">and policy </w:t>
      </w:r>
      <w:r w:rsidRPr="00E1297C">
        <w:rPr>
          <w:color w:val="000000" w:themeColor="text1"/>
        </w:rPr>
        <w:t>objective</w:t>
      </w:r>
      <w:r>
        <w:rPr>
          <w:color w:val="000000" w:themeColor="text1"/>
        </w:rPr>
        <w:t>s</w:t>
      </w:r>
      <w:r w:rsidR="000102B6">
        <w:rPr>
          <w:color w:val="000000" w:themeColor="text1"/>
        </w:rPr>
        <w:t>,</w:t>
      </w:r>
      <w:r w:rsidRPr="00E1297C">
        <w:rPr>
          <w:color w:val="000000" w:themeColor="text1"/>
        </w:rPr>
        <w:t xml:space="preserve"> and assessment of risk factors</w:t>
      </w:r>
      <w:r>
        <w:rPr>
          <w:color w:val="000000" w:themeColor="text1"/>
        </w:rPr>
        <w:t>.</w:t>
      </w:r>
      <w:r w:rsidR="009508BA">
        <w:rPr>
          <w:color w:val="000000" w:themeColor="text1"/>
        </w:rPr>
        <w:t xml:space="preserve"> </w:t>
      </w:r>
      <w:r w:rsidR="005E5C7E">
        <w:rPr>
          <w:color w:val="000000" w:themeColor="text1"/>
        </w:rPr>
        <w:t xml:space="preserve">Additionally, to facilitate a </w:t>
      </w:r>
      <w:r w:rsidR="005E5C7E" w:rsidRPr="004B16C0">
        <w:rPr>
          <w:color w:val="000000" w:themeColor="text1"/>
        </w:rPr>
        <w:t xml:space="preserve">principles-based </w:t>
      </w:r>
      <w:r w:rsidR="005E5C7E">
        <w:rPr>
          <w:color w:val="000000" w:themeColor="text1"/>
        </w:rPr>
        <w:t xml:space="preserve">approach and </w:t>
      </w:r>
      <w:r w:rsidR="005E5C7E" w:rsidRPr="00E1297C">
        <w:rPr>
          <w:color w:val="000000" w:themeColor="text1"/>
        </w:rPr>
        <w:t>retain overall confidence in the measurement system</w:t>
      </w:r>
      <w:r w:rsidR="005E5C7E">
        <w:rPr>
          <w:color w:val="000000" w:themeColor="text1"/>
        </w:rPr>
        <w:t xml:space="preserve">, a greater emphasis on monitoring </w:t>
      </w:r>
      <w:r w:rsidR="00D6721D">
        <w:rPr>
          <w:color w:val="000000" w:themeColor="text1"/>
        </w:rPr>
        <w:t xml:space="preserve">both </w:t>
      </w:r>
      <w:r w:rsidR="005E5C7E" w:rsidRPr="005E5C7E">
        <w:rPr>
          <w:color w:val="000000" w:themeColor="text1"/>
        </w:rPr>
        <w:t>quality management system</w:t>
      </w:r>
      <w:r w:rsidR="005E5C7E">
        <w:rPr>
          <w:color w:val="000000" w:themeColor="text1"/>
        </w:rPr>
        <w:t>s</w:t>
      </w:r>
      <w:r w:rsidR="005E5C7E" w:rsidRPr="005E5C7E">
        <w:rPr>
          <w:color w:val="000000" w:themeColor="text1"/>
        </w:rPr>
        <w:t xml:space="preserve"> </w:t>
      </w:r>
      <w:r w:rsidR="00D6721D">
        <w:rPr>
          <w:color w:val="000000" w:themeColor="text1"/>
        </w:rPr>
        <w:t xml:space="preserve">and results </w:t>
      </w:r>
      <w:r w:rsidR="005E5C7E" w:rsidRPr="005E5C7E">
        <w:rPr>
          <w:color w:val="000000" w:themeColor="text1"/>
        </w:rPr>
        <w:t xml:space="preserve">may be </w:t>
      </w:r>
      <w:r w:rsidR="005E5C7E">
        <w:rPr>
          <w:color w:val="000000" w:themeColor="text1"/>
        </w:rPr>
        <w:t>necessary</w:t>
      </w:r>
      <w:r w:rsidR="005E5C7E" w:rsidRPr="00E1297C">
        <w:rPr>
          <w:color w:val="000000" w:themeColor="text1"/>
        </w:rPr>
        <w:t>.</w:t>
      </w:r>
    </w:p>
    <w:p w14:paraId="375F9FED" w14:textId="6F7CDC40" w:rsidR="0002215E" w:rsidRDefault="009508BA" w:rsidP="00AA469A">
      <w:r>
        <w:rPr>
          <w:color w:val="000000" w:themeColor="text1"/>
        </w:rPr>
        <w:t>E</w:t>
      </w:r>
      <w:r w:rsidR="00DE60C6">
        <w:rPr>
          <w:color w:val="000000" w:themeColor="text1"/>
        </w:rPr>
        <w:t xml:space="preserve">ven where certain activities warrant prescription, it may be possible to adopt a more </w:t>
      </w:r>
      <w:r w:rsidR="009332A2">
        <w:rPr>
          <w:color w:val="000000" w:themeColor="text1"/>
        </w:rPr>
        <w:t xml:space="preserve">flexible </w:t>
      </w:r>
      <w:r w:rsidR="00DE60C6">
        <w:rPr>
          <w:color w:val="000000" w:themeColor="text1"/>
        </w:rPr>
        <w:t>approach</w:t>
      </w:r>
      <w:r>
        <w:rPr>
          <w:color w:val="000000" w:themeColor="text1"/>
        </w:rPr>
        <w:t xml:space="preserve"> for achieving this</w:t>
      </w:r>
      <w:r w:rsidR="004B16C0">
        <w:rPr>
          <w:color w:val="000000" w:themeColor="text1"/>
        </w:rPr>
        <w:t xml:space="preserve"> </w:t>
      </w:r>
      <w:r w:rsidR="00D6721D">
        <w:rPr>
          <w:color w:val="000000" w:themeColor="text1"/>
        </w:rPr>
        <w:t>prescription</w:t>
      </w:r>
      <w:r w:rsidR="00BF798B">
        <w:rPr>
          <w:color w:val="000000" w:themeColor="text1"/>
        </w:rPr>
        <w:t>.</w:t>
      </w:r>
      <w:r>
        <w:rPr>
          <w:i/>
          <w:color w:val="000000" w:themeColor="text1"/>
        </w:rPr>
        <w:t xml:space="preserve"> </w:t>
      </w:r>
      <w:r>
        <w:t xml:space="preserve">Examples of </w:t>
      </w:r>
      <w:r w:rsidR="004B16C0">
        <w:t xml:space="preserve">prescriptive arrangements with </w:t>
      </w:r>
      <w:r w:rsidR="009332A2">
        <w:t xml:space="preserve">flexible </w:t>
      </w:r>
      <w:r w:rsidR="004B16C0">
        <w:t>application</w:t>
      </w:r>
      <w:r>
        <w:t xml:space="preserve"> </w:t>
      </w:r>
      <w:r w:rsidR="0002215E">
        <w:t>include:</w:t>
      </w:r>
    </w:p>
    <w:p w14:paraId="39D4045F" w14:textId="77777777" w:rsidR="00ED1AD8" w:rsidRDefault="00ED1AD8" w:rsidP="00C254F9">
      <w:pPr>
        <w:pStyle w:val="ListParagraph"/>
        <w:numPr>
          <w:ilvl w:val="0"/>
          <w:numId w:val="20"/>
        </w:numPr>
      </w:pPr>
      <w:r>
        <w:t xml:space="preserve">general pattern approval certificates (for example, </w:t>
      </w:r>
      <w:hyperlink r:id="rId23" w:history="1">
        <w:r w:rsidRPr="00DE60C6">
          <w:rPr>
            <w:rStyle w:val="Hyperlink"/>
          </w:rPr>
          <w:t>for vehicle tanks</w:t>
        </w:r>
      </w:hyperlink>
      <w:r>
        <w:t>);</w:t>
      </w:r>
    </w:p>
    <w:p w14:paraId="5EDD432E" w14:textId="7E6C1C91" w:rsidR="00A4385D" w:rsidRDefault="00FA367E" w:rsidP="00C254F9">
      <w:pPr>
        <w:pStyle w:val="ListParagraph"/>
        <w:numPr>
          <w:ilvl w:val="0"/>
          <w:numId w:val="20"/>
        </w:numPr>
      </w:pPr>
      <w:hyperlink r:id="rId24" w:history="1">
        <w:r w:rsidR="009508BA" w:rsidRPr="00DE60C6">
          <w:rPr>
            <w:rStyle w:val="Hyperlink"/>
          </w:rPr>
          <w:t>NITP-0</w:t>
        </w:r>
      </w:hyperlink>
      <w:r w:rsidR="009508BA">
        <w:t xml:space="preserve"> which provides ‘general’ test procedures for measuring instruments and can be followed in the absence of a specific NITP for a particular instrument</w:t>
      </w:r>
      <w:r w:rsidR="00CA5546">
        <w:t>;</w:t>
      </w:r>
      <w:r w:rsidR="009508BA">
        <w:t xml:space="preserve"> and</w:t>
      </w:r>
    </w:p>
    <w:p w14:paraId="064D54E7" w14:textId="19440542" w:rsidR="0002215E" w:rsidRPr="00ED1AD8" w:rsidRDefault="0002215E" w:rsidP="00C254F9">
      <w:pPr>
        <w:pStyle w:val="ListParagraph"/>
        <w:numPr>
          <w:ilvl w:val="0"/>
          <w:numId w:val="20"/>
        </w:numPr>
        <w:jc w:val="both"/>
        <w:rPr>
          <w:rStyle w:val="Hyperlink"/>
          <w:color w:val="1F4E79" w:themeColor="accent1" w:themeShade="80"/>
        </w:rPr>
      </w:pPr>
      <w:r w:rsidRPr="00375CD3">
        <w:rPr>
          <w:color w:val="000000" w:themeColor="text1"/>
        </w:rPr>
        <w:t>general</w:t>
      </w:r>
      <w:r w:rsidRPr="00EC48E0">
        <w:rPr>
          <w:color w:val="000000" w:themeColor="text1"/>
        </w:rPr>
        <w:t xml:space="preserve"> licences </w:t>
      </w:r>
      <w:r w:rsidR="00ED1AD8" w:rsidRPr="00375CD3">
        <w:rPr>
          <w:color w:val="000000" w:themeColor="text1"/>
        </w:rPr>
        <w:t>used</w:t>
      </w:r>
      <w:r w:rsidR="00ED1AD8" w:rsidRPr="00EC48E0">
        <w:rPr>
          <w:color w:val="000000" w:themeColor="text1"/>
        </w:rPr>
        <w:t xml:space="preserve"> </w:t>
      </w:r>
      <w:r w:rsidR="00ED1AD8" w:rsidRPr="009B78C5">
        <w:rPr>
          <w:color w:val="000000" w:themeColor="text1"/>
        </w:rPr>
        <w:t xml:space="preserve">in other legislation </w:t>
      </w:r>
      <w:r w:rsidR="00ED1AD8" w:rsidRPr="00EC48E0">
        <w:rPr>
          <w:color w:val="000000" w:themeColor="text1"/>
        </w:rPr>
        <w:t>to authoris</w:t>
      </w:r>
      <w:r w:rsidR="00ED1AD8" w:rsidRPr="008D2CF8">
        <w:rPr>
          <w:color w:val="000000" w:themeColor="text1"/>
        </w:rPr>
        <w:t>e certain types of activity, including</w:t>
      </w:r>
      <w:r w:rsidRPr="008D2CF8">
        <w:rPr>
          <w:color w:val="000000" w:themeColor="text1"/>
        </w:rPr>
        <w:t>:</w:t>
      </w:r>
    </w:p>
    <w:p w14:paraId="7DC7B85E" w14:textId="3B3876E2" w:rsidR="00132CE1" w:rsidRPr="00BF49A2" w:rsidRDefault="0002215E" w:rsidP="00C254F9">
      <w:pPr>
        <w:pStyle w:val="ListParagraph"/>
        <w:numPr>
          <w:ilvl w:val="1"/>
          <w:numId w:val="20"/>
        </w:numPr>
        <w:jc w:val="both"/>
        <w:rPr>
          <w:rStyle w:val="Hyperlink"/>
          <w:color w:val="1F4E79" w:themeColor="accent1" w:themeShade="80"/>
          <w:u w:val="none"/>
        </w:rPr>
      </w:pPr>
      <w:r w:rsidRPr="001511AE">
        <w:rPr>
          <w:color w:val="000000" w:themeColor="text1"/>
        </w:rPr>
        <w:t>in the</w:t>
      </w:r>
      <w:r w:rsidR="00132CE1" w:rsidRPr="001511AE">
        <w:rPr>
          <w:color w:val="000000" w:themeColor="text1"/>
        </w:rPr>
        <w:t xml:space="preserve"> United States for certain</w:t>
      </w:r>
      <w:r w:rsidR="00132CE1">
        <w:rPr>
          <w:rStyle w:val="Hyperlink"/>
          <w:color w:val="1F4E79" w:themeColor="accent1" w:themeShade="80"/>
        </w:rPr>
        <w:t xml:space="preserve"> </w:t>
      </w:r>
      <w:hyperlink r:id="rId25" w:history="1">
        <w:r w:rsidR="00B27112" w:rsidRPr="00A6214D">
          <w:rPr>
            <w:rStyle w:val="Hyperlink"/>
          </w:rPr>
          <w:t>export</w:t>
        </w:r>
        <w:r w:rsidR="00132CE1" w:rsidRPr="00B27112">
          <w:rPr>
            <w:rStyle w:val="Hyperlink"/>
          </w:rPr>
          <w:t xml:space="preserve"> licences</w:t>
        </w:r>
      </w:hyperlink>
      <w:r w:rsidR="00B27112">
        <w:rPr>
          <w:rStyle w:val="Hyperlink"/>
          <w:color w:val="1F4E79" w:themeColor="accent1" w:themeShade="80"/>
        </w:rPr>
        <w:t>;</w:t>
      </w:r>
      <w:r w:rsidR="00132CE1">
        <w:rPr>
          <w:rStyle w:val="Hyperlink"/>
          <w:color w:val="1F4E79" w:themeColor="accent1" w:themeShade="80"/>
        </w:rPr>
        <w:t xml:space="preserve"> </w:t>
      </w:r>
    </w:p>
    <w:p w14:paraId="5FBECE80" w14:textId="06EA190B" w:rsidR="0002215E" w:rsidRPr="001511AE" w:rsidRDefault="00076ED3" w:rsidP="00C254F9">
      <w:pPr>
        <w:pStyle w:val="ListParagraph"/>
        <w:numPr>
          <w:ilvl w:val="1"/>
          <w:numId w:val="20"/>
        </w:numPr>
        <w:jc w:val="both"/>
        <w:rPr>
          <w:color w:val="000000" w:themeColor="text1"/>
        </w:rPr>
      </w:pPr>
      <w:r>
        <w:rPr>
          <w:color w:val="000000" w:themeColor="text1"/>
        </w:rPr>
        <w:t>i</w:t>
      </w:r>
      <w:r w:rsidR="00132CE1" w:rsidRPr="001511AE">
        <w:rPr>
          <w:color w:val="000000" w:themeColor="text1"/>
        </w:rPr>
        <w:t>n the United Kingdom</w:t>
      </w:r>
      <w:r w:rsidR="00813B8D" w:rsidRPr="001511AE">
        <w:rPr>
          <w:color w:val="000000" w:themeColor="text1"/>
        </w:rPr>
        <w:t xml:space="preserve"> for a range of ‘low risk’ activities relating to </w:t>
      </w:r>
      <w:hyperlink r:id="rId26" w:history="1">
        <w:r w:rsidR="00813B8D" w:rsidRPr="001511AE">
          <w:rPr>
            <w:rStyle w:val="Hyperlink"/>
          </w:rPr>
          <w:t>wildlife management</w:t>
        </w:r>
      </w:hyperlink>
      <w:r w:rsidR="00EA623C">
        <w:rPr>
          <w:color w:val="000000" w:themeColor="text1"/>
        </w:rPr>
        <w:t xml:space="preserve">; </w:t>
      </w:r>
      <w:r w:rsidR="00CA5546" w:rsidRPr="001511AE">
        <w:rPr>
          <w:color w:val="000000" w:themeColor="text1"/>
        </w:rPr>
        <w:t xml:space="preserve">and </w:t>
      </w:r>
    </w:p>
    <w:p w14:paraId="3604E143" w14:textId="3422518A" w:rsidR="0002215E" w:rsidRPr="009F1393" w:rsidRDefault="0002215E" w:rsidP="00C254F9">
      <w:pPr>
        <w:pStyle w:val="ListParagraph"/>
        <w:numPr>
          <w:ilvl w:val="1"/>
          <w:numId w:val="20"/>
        </w:numPr>
        <w:jc w:val="both"/>
        <w:rPr>
          <w:color w:val="000000" w:themeColor="text1"/>
        </w:rPr>
      </w:pPr>
      <w:r w:rsidRPr="00F9123E">
        <w:rPr>
          <w:color w:val="000000" w:themeColor="text1"/>
        </w:rPr>
        <w:t xml:space="preserve">in Australia to </w:t>
      </w:r>
      <w:hyperlink r:id="rId27" w:history="1">
        <w:r w:rsidRPr="00F9123E">
          <w:rPr>
            <w:rStyle w:val="Hyperlink"/>
            <w:color w:val="000000" w:themeColor="text1"/>
            <w:u w:val="none"/>
          </w:rPr>
          <w:t>regulate use of the radiofrequency spectrum</w:t>
        </w:r>
      </w:hyperlink>
      <w:r w:rsidRPr="00F9123E">
        <w:rPr>
          <w:color w:val="000000" w:themeColor="text1"/>
        </w:rPr>
        <w:t xml:space="preserve"> for </w:t>
      </w:r>
      <w:r w:rsidRPr="009F1393">
        <w:rPr>
          <w:color w:val="000000" w:themeColor="text1"/>
        </w:rPr>
        <w:t xml:space="preserve">devices such as </w:t>
      </w:r>
      <w:hyperlink r:id="rId28" w:history="1">
        <w:r w:rsidRPr="009F1393">
          <w:rPr>
            <w:rStyle w:val="Hyperlink"/>
            <w:color w:val="1F4E79" w:themeColor="accent1" w:themeShade="80"/>
          </w:rPr>
          <w:t>low interference potential devices (LIPDs)</w:t>
        </w:r>
      </w:hyperlink>
      <w:r w:rsidRPr="009F1393">
        <w:rPr>
          <w:color w:val="000000" w:themeColor="text1"/>
        </w:rPr>
        <w:t xml:space="preserve"> or </w:t>
      </w:r>
      <w:hyperlink r:id="rId29" w:history="1">
        <w:r w:rsidRPr="009F1393">
          <w:rPr>
            <w:rStyle w:val="Hyperlink"/>
            <w:color w:val="1F4E79" w:themeColor="accent1" w:themeShade="80"/>
          </w:rPr>
          <w:t>citizen band radios</w:t>
        </w:r>
      </w:hyperlink>
      <w:r w:rsidR="002C47F0">
        <w:rPr>
          <w:rStyle w:val="Hyperlink"/>
          <w:color w:val="1F4E79" w:themeColor="accent1" w:themeShade="80"/>
        </w:rPr>
        <w:t>,</w:t>
      </w:r>
      <w:r w:rsidR="002C47F0" w:rsidRPr="001511AE">
        <w:rPr>
          <w:color w:val="000000" w:themeColor="text1"/>
        </w:rPr>
        <w:t xml:space="preserve"> </w:t>
      </w:r>
      <w:r w:rsidR="00813B8D" w:rsidRPr="001511AE">
        <w:rPr>
          <w:color w:val="000000" w:themeColor="text1"/>
        </w:rPr>
        <w:t xml:space="preserve">use of </w:t>
      </w:r>
      <w:hyperlink r:id="rId30" w:history="1">
        <w:r w:rsidR="00813B8D" w:rsidRPr="00813B8D">
          <w:rPr>
            <w:rStyle w:val="Hyperlink"/>
          </w:rPr>
          <w:t>Victorian Crown land for various private purposes such as grazing animals</w:t>
        </w:r>
      </w:hyperlink>
      <w:r w:rsidR="002C47F0" w:rsidRPr="001511AE">
        <w:rPr>
          <w:color w:val="000000" w:themeColor="text1"/>
        </w:rPr>
        <w:t xml:space="preserve"> and </w:t>
      </w:r>
      <w:r w:rsidR="00C44F08" w:rsidRPr="001511AE">
        <w:rPr>
          <w:color w:val="000000" w:themeColor="text1"/>
        </w:rPr>
        <w:t xml:space="preserve">at </w:t>
      </w:r>
      <w:r w:rsidR="00B27112" w:rsidRPr="001511AE">
        <w:rPr>
          <w:color w:val="000000" w:themeColor="text1"/>
        </w:rPr>
        <w:t xml:space="preserve">the Commonwealth level for </w:t>
      </w:r>
      <w:hyperlink r:id="rId31" w:history="1">
        <w:r w:rsidR="00B27112" w:rsidRPr="00A6214D">
          <w:rPr>
            <w:rStyle w:val="Hyperlink"/>
          </w:rPr>
          <w:t>ships to engage in coastal trading</w:t>
        </w:r>
      </w:hyperlink>
      <w:r>
        <w:rPr>
          <w:color w:val="000000" w:themeColor="text1"/>
        </w:rPr>
        <w:t>.</w:t>
      </w:r>
    </w:p>
    <w:p w14:paraId="696725FF" w14:textId="6612AB3A" w:rsidR="00AA469A" w:rsidRPr="00F74242" w:rsidRDefault="00A91D0B" w:rsidP="00AC3B97">
      <w:pPr>
        <w:shd w:val="clear" w:color="auto" w:fill="DEEAF6" w:themeFill="accent1" w:themeFillTint="33"/>
        <w:spacing w:before="120"/>
        <w:rPr>
          <w:i/>
          <w:color w:val="000000" w:themeColor="text1"/>
        </w:rPr>
      </w:pPr>
      <w:r>
        <w:rPr>
          <w:b/>
          <w:i/>
          <w:color w:val="000000" w:themeColor="text1"/>
        </w:rPr>
        <w:t>Points for c</w:t>
      </w:r>
      <w:r w:rsidR="00891D01" w:rsidRPr="007244EC">
        <w:rPr>
          <w:b/>
          <w:i/>
          <w:color w:val="000000" w:themeColor="text1"/>
        </w:rPr>
        <w:t>onsideration:</w:t>
      </w:r>
      <w:r w:rsidR="00891D01">
        <w:rPr>
          <w:i/>
          <w:color w:val="000000" w:themeColor="text1"/>
        </w:rPr>
        <w:t xml:space="preserve"> </w:t>
      </w:r>
      <w:r w:rsidR="00BB2C96" w:rsidRPr="00327C7C">
        <w:rPr>
          <w:i/>
          <w:color w:val="000000" w:themeColor="text1"/>
        </w:rPr>
        <w:t xml:space="preserve">Where might there be a benefit </w:t>
      </w:r>
      <w:r w:rsidR="009332A2" w:rsidRPr="00327C7C">
        <w:rPr>
          <w:i/>
        </w:rPr>
        <w:t xml:space="preserve">in using </w:t>
      </w:r>
      <w:r w:rsidR="00BB2C96" w:rsidRPr="00F2597D">
        <w:rPr>
          <w:i/>
        </w:rPr>
        <w:t>a principle</w:t>
      </w:r>
      <w:r>
        <w:rPr>
          <w:i/>
        </w:rPr>
        <w:t>s</w:t>
      </w:r>
      <w:r w:rsidR="00EA623C">
        <w:rPr>
          <w:i/>
        </w:rPr>
        <w:t xml:space="preserve">-based approach?  </w:t>
      </w:r>
      <w:r w:rsidR="00BB2C96" w:rsidRPr="00F2597D">
        <w:rPr>
          <w:i/>
        </w:rPr>
        <w:t>What</w:t>
      </w:r>
      <w:r w:rsidR="009332A2" w:rsidRPr="00F2597D">
        <w:rPr>
          <w:i/>
        </w:rPr>
        <w:t xml:space="preserve"> guidance materials or other</w:t>
      </w:r>
      <w:r w:rsidR="00BB2C96" w:rsidRPr="00F2597D">
        <w:rPr>
          <w:i/>
        </w:rPr>
        <w:t xml:space="preserve"> support might be required to enable third parties to comply with </w:t>
      </w:r>
      <w:r w:rsidRPr="00F2597D">
        <w:rPr>
          <w:i/>
        </w:rPr>
        <w:t>principl</w:t>
      </w:r>
      <w:r>
        <w:rPr>
          <w:i/>
        </w:rPr>
        <w:t>e</w:t>
      </w:r>
      <w:r w:rsidRPr="00F2597D">
        <w:rPr>
          <w:i/>
        </w:rPr>
        <w:t>s</w:t>
      </w:r>
      <w:r w:rsidR="00BB2C96" w:rsidRPr="00F2597D">
        <w:rPr>
          <w:i/>
        </w:rPr>
        <w:t>-based requirements?</w:t>
      </w:r>
      <w:r w:rsidR="009332A2" w:rsidRPr="00891D01">
        <w:rPr>
          <w:i/>
          <w:color w:val="000000" w:themeColor="text1"/>
        </w:rPr>
        <w:t xml:space="preserve"> </w:t>
      </w:r>
      <w:r w:rsidR="009508BA" w:rsidRPr="00891D01">
        <w:rPr>
          <w:i/>
          <w:color w:val="000000" w:themeColor="text1"/>
        </w:rPr>
        <w:t xml:space="preserve">Where </w:t>
      </w:r>
      <w:r w:rsidR="00BB2C96" w:rsidRPr="00891D01">
        <w:rPr>
          <w:i/>
          <w:color w:val="000000" w:themeColor="text1"/>
        </w:rPr>
        <w:t>i</w:t>
      </w:r>
      <w:r w:rsidR="00BB2C96">
        <w:rPr>
          <w:i/>
          <w:color w:val="000000" w:themeColor="text1"/>
        </w:rPr>
        <w:t xml:space="preserve">s </w:t>
      </w:r>
      <w:r w:rsidR="009508BA">
        <w:rPr>
          <w:i/>
          <w:color w:val="000000" w:themeColor="text1"/>
        </w:rPr>
        <w:t xml:space="preserve">there a need </w:t>
      </w:r>
      <w:r w:rsidR="00BF798B">
        <w:rPr>
          <w:i/>
          <w:color w:val="000000" w:themeColor="text1"/>
        </w:rPr>
        <w:t xml:space="preserve">to retain </w:t>
      </w:r>
      <w:r w:rsidR="009508BA">
        <w:rPr>
          <w:i/>
          <w:color w:val="000000" w:themeColor="text1"/>
        </w:rPr>
        <w:t xml:space="preserve">prescriptive requirements, </w:t>
      </w:r>
      <w:r w:rsidR="004B16C0">
        <w:rPr>
          <w:i/>
          <w:color w:val="000000" w:themeColor="text1"/>
        </w:rPr>
        <w:t xml:space="preserve">and where can these be made </w:t>
      </w:r>
      <w:r w:rsidR="009508BA">
        <w:rPr>
          <w:i/>
          <w:color w:val="000000" w:themeColor="text1"/>
        </w:rPr>
        <w:t>more general in nature</w:t>
      </w:r>
      <w:r w:rsidR="00DE60C6">
        <w:rPr>
          <w:i/>
          <w:color w:val="000000" w:themeColor="text1"/>
        </w:rPr>
        <w:t>?</w:t>
      </w:r>
    </w:p>
    <w:p w14:paraId="138377FE" w14:textId="77777777" w:rsidR="00A4385D" w:rsidRPr="00E1297C" w:rsidRDefault="00A4385D" w:rsidP="00A4385D">
      <w:pPr>
        <w:rPr>
          <w:rFonts w:asciiTheme="majorHAnsi" w:eastAsia="MS PGothic" w:hAnsiTheme="majorHAnsi" w:cstheme="majorBidi"/>
          <w:b/>
          <w:color w:val="000000" w:themeColor="text1"/>
          <w:sz w:val="32"/>
          <w:szCs w:val="32"/>
        </w:rPr>
      </w:pPr>
      <w:r w:rsidRPr="00E1297C">
        <w:rPr>
          <w:rFonts w:eastAsia="MS PGothic"/>
          <w:b/>
          <w:color w:val="000000" w:themeColor="text1"/>
        </w:rPr>
        <w:br w:type="page"/>
      </w:r>
    </w:p>
    <w:p w14:paraId="2E9D2910" w14:textId="293DE128" w:rsidR="00A4385D" w:rsidRPr="00DB1AAC" w:rsidDel="005C7CAD" w:rsidRDefault="003A4473" w:rsidP="00C254F9">
      <w:pPr>
        <w:pStyle w:val="Heading1"/>
        <w:numPr>
          <w:ilvl w:val="0"/>
          <w:numId w:val="14"/>
        </w:numPr>
        <w:ind w:left="360"/>
        <w:rPr>
          <w:rFonts w:cs="Arial"/>
          <w:color w:val="004059"/>
          <w:sz w:val="40"/>
          <w:szCs w:val="40"/>
        </w:rPr>
      </w:pPr>
      <w:bookmarkStart w:id="134" w:name="_Toc19632997"/>
      <w:bookmarkStart w:id="135" w:name="_Toc19633186"/>
      <w:bookmarkStart w:id="136" w:name="_Toc19635820"/>
      <w:bookmarkStart w:id="137" w:name="_Toc19652836"/>
      <w:bookmarkStart w:id="138" w:name="_Toc19780456"/>
      <w:bookmarkStart w:id="139" w:name="_Toc19633187"/>
      <w:bookmarkStart w:id="140" w:name="_Toc19884199"/>
      <w:bookmarkStart w:id="141" w:name="_Toc19891379"/>
      <w:bookmarkStart w:id="142" w:name="_Toc19891398"/>
      <w:bookmarkStart w:id="143" w:name="_Toc19891437"/>
      <w:bookmarkStart w:id="144" w:name="_Toc22897268"/>
      <w:bookmarkStart w:id="145" w:name="_Toc22899678"/>
      <w:bookmarkStart w:id="146" w:name="_Toc22900315"/>
      <w:bookmarkStart w:id="147" w:name="_Toc22901155"/>
      <w:bookmarkStart w:id="148" w:name="_Toc19539236"/>
      <w:bookmarkStart w:id="149" w:name="_Toc19539527"/>
      <w:bookmarkStart w:id="150" w:name="_Toc19627784"/>
      <w:bookmarkEnd w:id="134"/>
      <w:bookmarkEnd w:id="135"/>
      <w:bookmarkEnd w:id="136"/>
      <w:bookmarkEnd w:id="137"/>
      <w:bookmarkEnd w:id="138"/>
      <w:r w:rsidRPr="00DB1AAC">
        <w:rPr>
          <w:rFonts w:eastAsia="MS PGothic" w:cs="Arial"/>
          <w:color w:val="004059"/>
          <w:sz w:val="40"/>
          <w:szCs w:val="40"/>
        </w:rPr>
        <w:lastRenderedPageBreak/>
        <w:t>Servicing Licensees and Verifiers</w:t>
      </w:r>
      <w:bookmarkEnd w:id="139"/>
      <w:bookmarkEnd w:id="140"/>
      <w:bookmarkEnd w:id="141"/>
      <w:bookmarkEnd w:id="142"/>
      <w:bookmarkEnd w:id="143"/>
      <w:bookmarkEnd w:id="144"/>
      <w:bookmarkEnd w:id="145"/>
      <w:bookmarkEnd w:id="146"/>
      <w:bookmarkEnd w:id="147"/>
      <w:r w:rsidRPr="00DB1AAC" w:rsidDel="00504423">
        <w:rPr>
          <w:rFonts w:cs="Arial"/>
          <w:color w:val="004059"/>
          <w:sz w:val="40"/>
          <w:szCs w:val="40"/>
        </w:rPr>
        <w:t xml:space="preserve"> </w:t>
      </w:r>
      <w:bookmarkEnd w:id="148"/>
      <w:bookmarkEnd w:id="149"/>
      <w:bookmarkEnd w:id="150"/>
    </w:p>
    <w:p w14:paraId="5E3D1776" w14:textId="1DC6E74E" w:rsidR="00A4385D" w:rsidRPr="00E1297C" w:rsidRDefault="00F020EA" w:rsidP="00AC3B97">
      <w:pPr>
        <w:shd w:val="clear" w:color="auto" w:fill="DEEAF6" w:themeFill="accent1" w:themeFillTint="33"/>
        <w:rPr>
          <w:color w:val="000000" w:themeColor="text1"/>
        </w:rPr>
      </w:pPr>
      <w:r>
        <w:rPr>
          <w:color w:val="000000" w:themeColor="text1"/>
        </w:rPr>
        <w:t xml:space="preserve">The Act enables granting a </w:t>
      </w:r>
      <w:r w:rsidR="00674622" w:rsidRPr="00097808">
        <w:rPr>
          <w:b/>
          <w:color w:val="000000" w:themeColor="text1"/>
        </w:rPr>
        <w:t>s</w:t>
      </w:r>
      <w:r w:rsidR="00A4385D" w:rsidRPr="00097808">
        <w:rPr>
          <w:b/>
          <w:color w:val="000000" w:themeColor="text1"/>
        </w:rPr>
        <w:t>ervicing</w:t>
      </w:r>
      <w:r w:rsidR="00674622" w:rsidRPr="00097808">
        <w:rPr>
          <w:b/>
          <w:color w:val="000000" w:themeColor="text1"/>
        </w:rPr>
        <w:t xml:space="preserve"> l</w:t>
      </w:r>
      <w:r w:rsidR="00A4385D" w:rsidRPr="00097808">
        <w:rPr>
          <w:b/>
          <w:color w:val="000000" w:themeColor="text1"/>
        </w:rPr>
        <w:t>ice</w:t>
      </w:r>
      <w:r w:rsidRPr="00097808">
        <w:rPr>
          <w:b/>
          <w:color w:val="000000" w:themeColor="text1"/>
        </w:rPr>
        <w:t>nce</w:t>
      </w:r>
      <w:r w:rsidR="00A4385D" w:rsidRPr="00E1297C">
        <w:rPr>
          <w:color w:val="000000" w:themeColor="text1"/>
        </w:rPr>
        <w:t xml:space="preserve"> </w:t>
      </w:r>
      <w:r>
        <w:rPr>
          <w:color w:val="000000" w:themeColor="text1"/>
        </w:rPr>
        <w:t>to</w:t>
      </w:r>
      <w:r w:rsidR="00A4385D">
        <w:rPr>
          <w:color w:val="000000" w:themeColor="text1"/>
        </w:rPr>
        <w:t xml:space="preserve"> </w:t>
      </w:r>
      <w:r w:rsidR="00A4385D" w:rsidRPr="00E1297C">
        <w:rPr>
          <w:color w:val="000000" w:themeColor="text1"/>
        </w:rPr>
        <w:t xml:space="preserve">test and </w:t>
      </w:r>
      <w:r w:rsidR="00C41890">
        <w:rPr>
          <w:color w:val="000000" w:themeColor="text1"/>
        </w:rPr>
        <w:t>verif</w:t>
      </w:r>
      <w:r w:rsidR="007E4764">
        <w:rPr>
          <w:color w:val="000000" w:themeColor="text1"/>
        </w:rPr>
        <w:t>y</w:t>
      </w:r>
      <w:r w:rsidR="009D6CA2" w:rsidRPr="00E1297C">
        <w:rPr>
          <w:color w:val="000000" w:themeColor="text1"/>
        </w:rPr>
        <w:t xml:space="preserve"> </w:t>
      </w:r>
      <w:r w:rsidR="00A4385D" w:rsidRPr="00E1297C">
        <w:rPr>
          <w:color w:val="000000" w:themeColor="text1"/>
        </w:rPr>
        <w:t xml:space="preserve">measuring instruments </w:t>
      </w:r>
      <w:r w:rsidR="006E41C9">
        <w:rPr>
          <w:color w:val="000000" w:themeColor="text1"/>
        </w:rPr>
        <w:t>(excluding utility meters)</w:t>
      </w:r>
      <w:r w:rsidR="00B94E03">
        <w:rPr>
          <w:color w:val="000000" w:themeColor="text1"/>
        </w:rPr>
        <w:t xml:space="preserve"> before </w:t>
      </w:r>
      <w:r w:rsidR="00A4385D" w:rsidRPr="00E1297C">
        <w:rPr>
          <w:color w:val="000000" w:themeColor="text1"/>
        </w:rPr>
        <w:t>use for trade</w:t>
      </w:r>
      <w:r>
        <w:rPr>
          <w:color w:val="000000" w:themeColor="text1"/>
        </w:rPr>
        <w:t>,</w:t>
      </w:r>
      <w:r w:rsidR="00674622">
        <w:rPr>
          <w:color w:val="000000" w:themeColor="text1"/>
        </w:rPr>
        <w:t xml:space="preserve"> thereby ensuring</w:t>
      </w:r>
      <w:r w:rsidR="005577E2">
        <w:rPr>
          <w:color w:val="000000" w:themeColor="text1"/>
        </w:rPr>
        <w:t xml:space="preserve"> that </w:t>
      </w:r>
      <w:r>
        <w:rPr>
          <w:color w:val="000000" w:themeColor="text1"/>
        </w:rPr>
        <w:t xml:space="preserve">measuring </w:t>
      </w:r>
      <w:r w:rsidR="005577E2">
        <w:rPr>
          <w:color w:val="000000" w:themeColor="text1"/>
        </w:rPr>
        <w:t>instruments</w:t>
      </w:r>
      <w:r w:rsidR="006E41C9">
        <w:rPr>
          <w:color w:val="000000" w:themeColor="text1"/>
        </w:rPr>
        <w:t xml:space="preserve"> </w:t>
      </w:r>
      <w:r w:rsidR="00B42946">
        <w:rPr>
          <w:color w:val="000000" w:themeColor="text1"/>
        </w:rPr>
        <w:t>operate accurately</w:t>
      </w:r>
      <w:r w:rsidR="006E41C9">
        <w:rPr>
          <w:color w:val="000000" w:themeColor="text1"/>
        </w:rPr>
        <w:t>.</w:t>
      </w:r>
      <w:r w:rsidR="00D3003B">
        <w:rPr>
          <w:rStyle w:val="FootnoteReference"/>
          <w:color w:val="000000" w:themeColor="text1"/>
        </w:rPr>
        <w:footnoteReference w:id="25"/>
      </w:r>
      <w:r w:rsidR="00A4385D" w:rsidRPr="00E1297C" w:rsidDel="006E41C9">
        <w:rPr>
          <w:color w:val="000000" w:themeColor="text1"/>
        </w:rPr>
        <w:t xml:space="preserve"> </w:t>
      </w:r>
      <w:r w:rsidR="00BB2C96">
        <w:t xml:space="preserve">In order to verify a measuring instrument used for trade under a servicing licensee, the servicing licensee must nominate a verifier </w:t>
      </w:r>
      <w:r w:rsidR="00DD0E6C">
        <w:t xml:space="preserve">to conduct verifications. </w:t>
      </w:r>
      <w:r w:rsidR="00211FA7">
        <w:t xml:space="preserve">This verifier must have </w:t>
      </w:r>
      <w:r w:rsidR="00BB2C96">
        <w:t>the relevant</w:t>
      </w:r>
      <w:r w:rsidR="00211FA7">
        <w:t xml:space="preserve"> </w:t>
      </w:r>
      <w:r w:rsidR="00F53B0C">
        <w:t>competency</w:t>
      </w:r>
      <w:r w:rsidR="00211FA7">
        <w:t xml:space="preserve"> to do so</w:t>
      </w:r>
      <w:r w:rsidR="00F53B0C">
        <w:t>, which can be demonstrated by a</w:t>
      </w:r>
      <w:r w:rsidR="00BB2C96">
        <w:t xml:space="preserve"> statement of attainment. Whether they are a sole trader or company</w:t>
      </w:r>
      <w:r w:rsidR="00076ED3">
        <w:t>,</w:t>
      </w:r>
      <w:r w:rsidR="00BB2C96">
        <w:t xml:space="preserve"> a verifier must still be nominated under a servicing licensee to perform verifications</w:t>
      </w:r>
      <w:r w:rsidR="00CE394D">
        <w:rPr>
          <w:color w:val="000000" w:themeColor="text1"/>
        </w:rPr>
        <w:t>.</w:t>
      </w:r>
      <w:r w:rsidR="00A4385D" w:rsidRPr="00E1297C">
        <w:rPr>
          <w:rStyle w:val="FootnoteReference"/>
          <w:color w:val="000000" w:themeColor="text1"/>
        </w:rPr>
        <w:footnoteReference w:id="26"/>
      </w:r>
      <w:r w:rsidR="00A4385D" w:rsidRPr="00E1297C">
        <w:rPr>
          <w:color w:val="000000" w:themeColor="text1"/>
        </w:rPr>
        <w:t xml:space="preserve"> </w:t>
      </w:r>
    </w:p>
    <w:p w14:paraId="6AFCD5A3" w14:textId="65D13381" w:rsidR="00A4385D" w:rsidRPr="00293DA8" w:rsidRDefault="005130CA" w:rsidP="005130CA">
      <w:pPr>
        <w:pStyle w:val="Heading2"/>
      </w:pPr>
      <w:bookmarkStart w:id="151" w:name="_Toc19633188"/>
      <w:bookmarkStart w:id="152" w:name="_Toc19884200"/>
      <w:bookmarkStart w:id="153" w:name="_Toc19891399"/>
      <w:bookmarkStart w:id="154" w:name="_Toc19891438"/>
      <w:bookmarkStart w:id="155" w:name="_Toc22897269"/>
      <w:bookmarkStart w:id="156" w:name="_Toc22899679"/>
      <w:bookmarkStart w:id="157" w:name="_Toc22900316"/>
      <w:bookmarkStart w:id="158" w:name="_Toc22901156"/>
      <w:r>
        <w:t xml:space="preserve">4.1 </w:t>
      </w:r>
      <w:r w:rsidR="00FE7824">
        <w:t>Current Arrangements</w:t>
      </w:r>
      <w:bookmarkEnd w:id="151"/>
      <w:bookmarkEnd w:id="152"/>
      <w:bookmarkEnd w:id="153"/>
      <w:bookmarkEnd w:id="154"/>
      <w:bookmarkEnd w:id="155"/>
      <w:bookmarkEnd w:id="156"/>
      <w:bookmarkEnd w:id="157"/>
      <w:bookmarkEnd w:id="158"/>
    </w:p>
    <w:p w14:paraId="003858DA" w14:textId="5A47B7D3" w:rsidR="00306CC2" w:rsidRDefault="006A2F0E" w:rsidP="00A00179">
      <w:pPr>
        <w:pStyle w:val="Subtitle"/>
      </w:pPr>
      <w:r>
        <w:t>Granting of licence</w:t>
      </w:r>
    </w:p>
    <w:p w14:paraId="0900D9F9" w14:textId="67EE8A42" w:rsidR="00BB2C96" w:rsidRDefault="00BB2C96" w:rsidP="007A7E41">
      <w:pPr>
        <w:pStyle w:val="CommentText"/>
        <w:spacing w:after="0"/>
        <w:rPr>
          <w:color w:val="000000" w:themeColor="text1"/>
          <w:sz w:val="22"/>
          <w:szCs w:val="22"/>
        </w:rPr>
      </w:pPr>
      <w:r w:rsidRPr="00BB2C96">
        <w:rPr>
          <w:color w:val="000000" w:themeColor="text1"/>
          <w:sz w:val="22"/>
          <w:szCs w:val="22"/>
        </w:rPr>
        <w:t xml:space="preserve">NMI grants licences to businesses or individuals on application to verify measuring instruments. The licence is granted following an assessment of the application along with the information accompanying it. NMI </w:t>
      </w:r>
      <w:r w:rsidR="00590097">
        <w:rPr>
          <w:color w:val="000000" w:themeColor="text1"/>
          <w:sz w:val="22"/>
          <w:szCs w:val="22"/>
        </w:rPr>
        <w:t>can</w:t>
      </w:r>
      <w:r w:rsidRPr="00BB2C96">
        <w:rPr>
          <w:color w:val="000000" w:themeColor="text1"/>
          <w:sz w:val="22"/>
          <w:szCs w:val="22"/>
        </w:rPr>
        <w:t xml:space="preserve"> refuse an application based on the conditions set out in the legislation. </w:t>
      </w:r>
    </w:p>
    <w:p w14:paraId="4883626A" w14:textId="77777777" w:rsidR="00AB2038" w:rsidRDefault="00AB2038" w:rsidP="007A7E41">
      <w:pPr>
        <w:pStyle w:val="CommentText"/>
        <w:spacing w:after="0"/>
        <w:rPr>
          <w:color w:val="000000" w:themeColor="text1"/>
          <w:sz w:val="22"/>
          <w:szCs w:val="22"/>
        </w:rPr>
      </w:pPr>
    </w:p>
    <w:p w14:paraId="4DB55752" w14:textId="00B6D5CA" w:rsidR="00674622" w:rsidRPr="00E1297C" w:rsidRDefault="00674622" w:rsidP="007A7E41">
      <w:pPr>
        <w:pStyle w:val="CommentText"/>
        <w:spacing w:after="0"/>
        <w:rPr>
          <w:color w:val="000000" w:themeColor="text1"/>
          <w:sz w:val="22"/>
          <w:szCs w:val="22"/>
        </w:rPr>
      </w:pPr>
      <w:r w:rsidRPr="00E1297C">
        <w:rPr>
          <w:color w:val="000000" w:themeColor="text1"/>
          <w:sz w:val="22"/>
          <w:szCs w:val="22"/>
        </w:rPr>
        <w:t>Once appointed, servicing licensees have various obligations they need to comply with, including:</w:t>
      </w:r>
    </w:p>
    <w:p w14:paraId="40E3BD48" w14:textId="77777777" w:rsidR="00674622" w:rsidRDefault="00674622" w:rsidP="00C254F9">
      <w:pPr>
        <w:pStyle w:val="ListParagraph"/>
        <w:numPr>
          <w:ilvl w:val="0"/>
          <w:numId w:val="18"/>
        </w:numPr>
      </w:pPr>
      <w:r w:rsidRPr="00E1297C">
        <w:rPr>
          <w:color w:val="000000" w:themeColor="text1"/>
        </w:rPr>
        <w:t>ensuring verification functions are performed as required by the legislation; and</w:t>
      </w:r>
      <w:r w:rsidRPr="00126374">
        <w:rPr>
          <w:color w:val="000000" w:themeColor="text1"/>
        </w:rPr>
        <w:t xml:space="preserve"> </w:t>
      </w:r>
    </w:p>
    <w:p w14:paraId="699B97F3" w14:textId="396E054E" w:rsidR="006A2F0E" w:rsidRPr="006A2F0E" w:rsidRDefault="00674622" w:rsidP="00C254F9">
      <w:pPr>
        <w:pStyle w:val="ListParagraph"/>
        <w:numPr>
          <w:ilvl w:val="0"/>
          <w:numId w:val="18"/>
        </w:numPr>
      </w:pPr>
      <w:r w:rsidRPr="00097808">
        <w:rPr>
          <w:color w:val="000000" w:themeColor="text1"/>
        </w:rPr>
        <w:t>complying with conditions under the licence, including those requirements that relate to the performance of the licensee’s functions</w:t>
      </w:r>
      <w:r w:rsidR="00BC5BD8">
        <w:rPr>
          <w:color w:val="000000" w:themeColor="text1"/>
        </w:rPr>
        <w:t xml:space="preserve"> and reporting obligations</w:t>
      </w:r>
      <w:r w:rsidRPr="00097808">
        <w:rPr>
          <w:color w:val="000000" w:themeColor="text1"/>
        </w:rPr>
        <w:t>.</w:t>
      </w:r>
    </w:p>
    <w:p w14:paraId="3DF5B197" w14:textId="5628B683" w:rsidR="000F129D" w:rsidRDefault="00A4385D" w:rsidP="00097808">
      <w:pPr>
        <w:pStyle w:val="CommentText"/>
        <w:rPr>
          <w:color w:val="000000" w:themeColor="text1"/>
          <w:sz w:val="22"/>
          <w:szCs w:val="22"/>
        </w:rPr>
      </w:pPr>
      <w:r w:rsidRPr="00E1297C">
        <w:rPr>
          <w:color w:val="000000" w:themeColor="text1"/>
          <w:sz w:val="22"/>
          <w:szCs w:val="22"/>
        </w:rPr>
        <w:t>The circumstances in which a servicing licence must be refused are set out in section 18NC of the Act</w:t>
      </w:r>
      <w:r w:rsidR="00FE7824">
        <w:rPr>
          <w:color w:val="000000" w:themeColor="text1"/>
          <w:sz w:val="22"/>
          <w:szCs w:val="22"/>
        </w:rPr>
        <w:t xml:space="preserve">. This </w:t>
      </w:r>
      <w:r>
        <w:rPr>
          <w:color w:val="000000" w:themeColor="text1"/>
          <w:sz w:val="22"/>
          <w:szCs w:val="22"/>
        </w:rPr>
        <w:t>include</w:t>
      </w:r>
      <w:r w:rsidR="00FE7824">
        <w:rPr>
          <w:color w:val="000000" w:themeColor="text1"/>
          <w:sz w:val="22"/>
          <w:szCs w:val="22"/>
        </w:rPr>
        <w:t>s</w:t>
      </w:r>
      <w:r>
        <w:rPr>
          <w:color w:val="000000" w:themeColor="text1"/>
          <w:sz w:val="22"/>
          <w:szCs w:val="22"/>
        </w:rPr>
        <w:t xml:space="preserve"> where</w:t>
      </w:r>
      <w:r w:rsidR="00FE7824">
        <w:rPr>
          <w:color w:val="000000" w:themeColor="text1"/>
          <w:sz w:val="22"/>
          <w:szCs w:val="22"/>
        </w:rPr>
        <w:t xml:space="preserve"> </w:t>
      </w:r>
      <w:r w:rsidRPr="00861D31">
        <w:rPr>
          <w:color w:val="000000" w:themeColor="text1"/>
          <w:sz w:val="22"/>
          <w:szCs w:val="22"/>
        </w:rPr>
        <w:t>neither the applicant nor any employee of the applicant has the competencies appropriate to perform the functions and duties of a verifier</w:t>
      </w:r>
      <w:r w:rsidR="00FE7824">
        <w:rPr>
          <w:color w:val="000000" w:themeColor="text1"/>
          <w:sz w:val="22"/>
          <w:szCs w:val="22"/>
        </w:rPr>
        <w:t xml:space="preserve"> (s 18NC(1)(d)). </w:t>
      </w:r>
    </w:p>
    <w:p w14:paraId="66356407" w14:textId="77777777" w:rsidR="00306CC2" w:rsidRPr="00306CC2" w:rsidRDefault="00306CC2" w:rsidP="00A00179">
      <w:pPr>
        <w:pStyle w:val="Subtitle"/>
      </w:pPr>
      <w:r w:rsidRPr="00A00179">
        <w:t>Per</w:t>
      </w:r>
      <w:r w:rsidRPr="00306CC2">
        <w:t>formance</w:t>
      </w:r>
    </w:p>
    <w:p w14:paraId="15178FDB" w14:textId="003B8AE8" w:rsidR="002B5F20" w:rsidRPr="002D3D6B" w:rsidRDefault="00F46DA5" w:rsidP="00AB1DB4">
      <w:pPr>
        <w:pStyle w:val="CommentText"/>
        <w:rPr>
          <w:color w:val="000000" w:themeColor="text1"/>
          <w:sz w:val="22"/>
          <w:szCs w:val="22"/>
        </w:rPr>
      </w:pPr>
      <w:r>
        <w:rPr>
          <w:color w:val="000000" w:themeColor="text1"/>
          <w:sz w:val="22"/>
          <w:szCs w:val="22"/>
        </w:rPr>
        <w:t xml:space="preserve">There are general conditions imposed on all </w:t>
      </w:r>
      <w:r w:rsidR="00371A79">
        <w:rPr>
          <w:color w:val="000000" w:themeColor="text1"/>
          <w:sz w:val="22"/>
          <w:szCs w:val="22"/>
        </w:rPr>
        <w:t xml:space="preserve">servicing </w:t>
      </w:r>
      <w:r>
        <w:rPr>
          <w:color w:val="000000" w:themeColor="text1"/>
          <w:sz w:val="22"/>
          <w:szCs w:val="22"/>
        </w:rPr>
        <w:t xml:space="preserve">licensees (s 18NH) and additional conditions can also be </w:t>
      </w:r>
      <w:r w:rsidR="00A75CD4">
        <w:rPr>
          <w:color w:val="000000" w:themeColor="text1"/>
          <w:sz w:val="22"/>
          <w:szCs w:val="22"/>
        </w:rPr>
        <w:t>added</w:t>
      </w:r>
      <w:r>
        <w:rPr>
          <w:color w:val="000000" w:themeColor="text1"/>
          <w:sz w:val="22"/>
          <w:szCs w:val="22"/>
        </w:rPr>
        <w:t xml:space="preserve"> (s 18NG). </w:t>
      </w:r>
      <w:r w:rsidR="007E7C15">
        <w:rPr>
          <w:color w:val="000000" w:themeColor="text1"/>
          <w:sz w:val="22"/>
          <w:szCs w:val="22"/>
        </w:rPr>
        <w:t xml:space="preserve">One key general </w:t>
      </w:r>
      <w:r>
        <w:rPr>
          <w:color w:val="000000" w:themeColor="text1"/>
          <w:sz w:val="22"/>
          <w:szCs w:val="22"/>
        </w:rPr>
        <w:t>condition re</w:t>
      </w:r>
      <w:r w:rsidR="0081291E">
        <w:rPr>
          <w:color w:val="000000" w:themeColor="text1"/>
          <w:sz w:val="22"/>
          <w:szCs w:val="22"/>
        </w:rPr>
        <w:t xml:space="preserve">quires </w:t>
      </w:r>
      <w:r>
        <w:rPr>
          <w:color w:val="000000" w:themeColor="text1"/>
          <w:sz w:val="22"/>
          <w:szCs w:val="22"/>
        </w:rPr>
        <w:t>individual</w:t>
      </w:r>
      <w:r w:rsidR="0081291E">
        <w:rPr>
          <w:color w:val="000000" w:themeColor="text1"/>
          <w:sz w:val="22"/>
          <w:szCs w:val="22"/>
        </w:rPr>
        <w:t>s</w:t>
      </w:r>
      <w:r>
        <w:rPr>
          <w:color w:val="000000" w:themeColor="text1"/>
          <w:sz w:val="22"/>
          <w:szCs w:val="22"/>
        </w:rPr>
        <w:t xml:space="preserve"> who verif</w:t>
      </w:r>
      <w:r w:rsidR="0081291E">
        <w:rPr>
          <w:color w:val="000000" w:themeColor="text1"/>
          <w:sz w:val="22"/>
          <w:szCs w:val="22"/>
        </w:rPr>
        <w:t>y</w:t>
      </w:r>
      <w:r>
        <w:rPr>
          <w:color w:val="000000" w:themeColor="text1"/>
          <w:sz w:val="22"/>
          <w:szCs w:val="22"/>
        </w:rPr>
        <w:t xml:space="preserve"> </w:t>
      </w:r>
      <w:r w:rsidR="00B94E03">
        <w:rPr>
          <w:color w:val="000000" w:themeColor="text1"/>
          <w:sz w:val="22"/>
          <w:szCs w:val="22"/>
        </w:rPr>
        <w:t>a measuring instrument</w:t>
      </w:r>
      <w:r w:rsidR="002B5F20" w:rsidRPr="002D3D6B">
        <w:rPr>
          <w:color w:val="000000" w:themeColor="text1"/>
          <w:sz w:val="22"/>
          <w:szCs w:val="22"/>
        </w:rPr>
        <w:t xml:space="preserve"> </w:t>
      </w:r>
      <w:r w:rsidR="00076ED3">
        <w:rPr>
          <w:color w:val="000000" w:themeColor="text1"/>
          <w:sz w:val="22"/>
          <w:szCs w:val="22"/>
        </w:rPr>
        <w:t xml:space="preserve">to </w:t>
      </w:r>
      <w:r w:rsidR="002B5F20" w:rsidRPr="002D3D6B">
        <w:rPr>
          <w:color w:val="000000" w:themeColor="text1"/>
          <w:sz w:val="22"/>
          <w:szCs w:val="22"/>
        </w:rPr>
        <w:t xml:space="preserve">hold a relevant statement of attainment (issued by a registered training organisation) to verify </w:t>
      </w:r>
      <w:r w:rsidR="0081291E">
        <w:rPr>
          <w:color w:val="000000" w:themeColor="text1"/>
          <w:sz w:val="22"/>
          <w:szCs w:val="22"/>
        </w:rPr>
        <w:t xml:space="preserve">that </w:t>
      </w:r>
      <w:r w:rsidR="002B5F20" w:rsidRPr="002D3D6B">
        <w:rPr>
          <w:color w:val="000000" w:themeColor="text1"/>
          <w:sz w:val="22"/>
          <w:szCs w:val="22"/>
        </w:rPr>
        <w:t xml:space="preserve">class of measuring instrument (NTMR regulation 2.43(9A)). </w:t>
      </w:r>
    </w:p>
    <w:p w14:paraId="0E370FD7" w14:textId="479935EF" w:rsidR="00F24DBD" w:rsidRPr="00F24DBD" w:rsidRDefault="00021528" w:rsidP="00A506CA">
      <w:pPr>
        <w:rPr>
          <w:color w:val="000000" w:themeColor="text1"/>
          <w:lang w:val="en-US"/>
        </w:rPr>
      </w:pPr>
      <w:r>
        <w:rPr>
          <w:color w:val="000000" w:themeColor="text1"/>
        </w:rPr>
        <w:t xml:space="preserve">Servicing licensees </w:t>
      </w:r>
      <w:r w:rsidRPr="00021528">
        <w:rPr>
          <w:color w:val="000000" w:themeColor="text1"/>
        </w:rPr>
        <w:t xml:space="preserve">verify measuring instruments by using approved test procedures (for instance, NITPs) to ensure accuracy and reliability of the measurements made using the instrument. </w:t>
      </w:r>
      <w:r>
        <w:rPr>
          <w:color w:val="000000" w:themeColor="text1"/>
        </w:rPr>
        <w:t xml:space="preserve">They </w:t>
      </w:r>
      <w:r w:rsidR="00F2708E">
        <w:rPr>
          <w:color w:val="000000" w:themeColor="text1"/>
        </w:rPr>
        <w:t xml:space="preserve">are required </w:t>
      </w:r>
      <w:r w:rsidR="00F36ABD" w:rsidRPr="00F24DBD">
        <w:rPr>
          <w:color w:val="000000" w:themeColor="text1"/>
        </w:rPr>
        <w:t xml:space="preserve">to </w:t>
      </w:r>
      <w:r w:rsidR="000B2E65">
        <w:rPr>
          <w:color w:val="000000" w:themeColor="text1"/>
        </w:rPr>
        <w:t>provide</w:t>
      </w:r>
      <w:r w:rsidR="000F564E" w:rsidRPr="00F24DBD">
        <w:rPr>
          <w:color w:val="000000" w:themeColor="text1"/>
        </w:rPr>
        <w:t xml:space="preserve"> </w:t>
      </w:r>
      <w:r w:rsidR="00F36ABD" w:rsidRPr="00F24DBD">
        <w:rPr>
          <w:color w:val="000000" w:themeColor="text1"/>
        </w:rPr>
        <w:t>certified reference standards</w:t>
      </w:r>
      <w:r w:rsidR="00B42946">
        <w:rPr>
          <w:color w:val="000000" w:themeColor="text1"/>
        </w:rPr>
        <w:t xml:space="preserve"> of measurement</w:t>
      </w:r>
      <w:r w:rsidR="00F36ABD" w:rsidRPr="00F24DBD">
        <w:rPr>
          <w:color w:val="000000" w:themeColor="text1"/>
        </w:rPr>
        <w:t xml:space="preserve"> that verifiers under their licence </w:t>
      </w:r>
      <w:r w:rsidR="00B42946">
        <w:rPr>
          <w:color w:val="000000" w:themeColor="text1"/>
        </w:rPr>
        <w:t>can use</w:t>
      </w:r>
      <w:r w:rsidR="00F36ABD" w:rsidRPr="00F24DBD">
        <w:rPr>
          <w:color w:val="000000" w:themeColor="text1"/>
        </w:rPr>
        <w:t xml:space="preserve"> </w:t>
      </w:r>
      <w:r w:rsidR="00B42946">
        <w:rPr>
          <w:color w:val="000000" w:themeColor="text1"/>
        </w:rPr>
        <w:t>to test and</w:t>
      </w:r>
      <w:r w:rsidR="00AB1DB4">
        <w:rPr>
          <w:color w:val="000000" w:themeColor="text1"/>
        </w:rPr>
        <w:t xml:space="preserve"> verify</w:t>
      </w:r>
      <w:r w:rsidR="00F36ABD" w:rsidRPr="00F24DBD">
        <w:rPr>
          <w:color w:val="000000" w:themeColor="text1"/>
        </w:rPr>
        <w:t xml:space="preserve"> </w:t>
      </w:r>
      <w:r w:rsidR="006E41C9">
        <w:rPr>
          <w:color w:val="000000" w:themeColor="text1"/>
        </w:rPr>
        <w:t xml:space="preserve">measuring </w:t>
      </w:r>
      <w:r w:rsidR="00F36ABD" w:rsidRPr="00F24DBD">
        <w:rPr>
          <w:color w:val="000000" w:themeColor="text1"/>
        </w:rPr>
        <w:t>instruments in accordance with NITPs.</w:t>
      </w:r>
      <w:r w:rsidR="00F36ABD">
        <w:rPr>
          <w:rStyle w:val="FootnoteReference"/>
          <w:color w:val="000000" w:themeColor="text1"/>
        </w:rPr>
        <w:footnoteReference w:id="27"/>
      </w:r>
      <w:r w:rsidR="00A75CD4">
        <w:rPr>
          <w:color w:val="000000" w:themeColor="text1"/>
        </w:rPr>
        <w:t xml:space="preserve"> To </w:t>
      </w:r>
      <w:r w:rsidR="00A506CA">
        <w:rPr>
          <w:color w:val="000000" w:themeColor="text1"/>
        </w:rPr>
        <w:t>operate accurately</w:t>
      </w:r>
      <w:r w:rsidR="00A75CD4">
        <w:rPr>
          <w:color w:val="000000" w:themeColor="text1"/>
        </w:rPr>
        <w:t xml:space="preserve">, </w:t>
      </w:r>
      <w:r w:rsidR="00A75CD4">
        <w:rPr>
          <w:color w:val="000000" w:themeColor="text1"/>
        </w:rPr>
        <w:lastRenderedPageBreak/>
        <w:t xml:space="preserve">measuring </w:t>
      </w:r>
      <w:r w:rsidR="006E41C9">
        <w:rPr>
          <w:color w:val="000000" w:themeColor="text1"/>
        </w:rPr>
        <w:t>instruments</w:t>
      </w:r>
      <w:r w:rsidR="00B42946">
        <w:rPr>
          <w:color w:val="000000" w:themeColor="text1"/>
        </w:rPr>
        <w:t xml:space="preserve"> need to</w:t>
      </w:r>
      <w:r w:rsidR="00B42946" w:rsidRPr="00BF0D27">
        <w:rPr>
          <w:color w:val="000000" w:themeColor="text1"/>
        </w:rPr>
        <w:t xml:space="preserve"> satisfy </w:t>
      </w:r>
      <w:r w:rsidR="003D4FAC">
        <w:rPr>
          <w:color w:val="000000" w:themeColor="text1"/>
        </w:rPr>
        <w:t xml:space="preserve">the </w:t>
      </w:r>
      <w:r w:rsidR="003D4FAC">
        <w:rPr>
          <w:rFonts w:ascii="Segoe UI" w:hAnsi="Segoe UI" w:cs="Segoe UI"/>
          <w:color w:val="000000"/>
          <w:sz w:val="20"/>
          <w:szCs w:val="20"/>
        </w:rPr>
        <w:t>Maximum Permissible Error (</w:t>
      </w:r>
      <w:r w:rsidR="00A342D2">
        <w:rPr>
          <w:color w:val="000000" w:themeColor="text1"/>
        </w:rPr>
        <w:t>MPE</w:t>
      </w:r>
      <w:r w:rsidR="003D4FAC">
        <w:rPr>
          <w:color w:val="000000" w:themeColor="text1"/>
        </w:rPr>
        <w:t>)</w:t>
      </w:r>
      <w:r w:rsidR="00B42946" w:rsidRPr="00E1297C">
        <w:rPr>
          <w:rStyle w:val="FootnoteReference"/>
          <w:color w:val="000000" w:themeColor="text1"/>
        </w:rPr>
        <w:footnoteReference w:id="28"/>
      </w:r>
      <w:r w:rsidR="00B42946" w:rsidRPr="00BF0D27">
        <w:rPr>
          <w:color w:val="000000" w:themeColor="text1"/>
        </w:rPr>
        <w:t xml:space="preserve"> requirements</w:t>
      </w:r>
      <w:r w:rsidR="00B42946">
        <w:rPr>
          <w:color w:val="000000" w:themeColor="text1"/>
        </w:rPr>
        <w:t xml:space="preserve">. </w:t>
      </w:r>
      <w:r w:rsidR="00A342D2">
        <w:t>An instrument that passes all verification tests has a verification mark applied to it.</w:t>
      </w:r>
      <w:r w:rsidR="00F24DBD">
        <w:rPr>
          <w:rStyle w:val="FootnoteReference"/>
          <w:color w:val="000000" w:themeColor="text1"/>
        </w:rPr>
        <w:footnoteReference w:id="29"/>
      </w:r>
    </w:p>
    <w:p w14:paraId="4C9FFF8B" w14:textId="77777777" w:rsidR="00A62A10" w:rsidRDefault="00A62A10" w:rsidP="00A00179">
      <w:pPr>
        <w:pStyle w:val="Subtitle"/>
        <w:keepNext/>
      </w:pPr>
      <w:bookmarkStart w:id="159" w:name="_Toc19539241"/>
      <w:bookmarkStart w:id="160" w:name="_Toc19539532"/>
      <w:bookmarkStart w:id="161" w:name="_Toc19627789"/>
      <w:bookmarkStart w:id="162" w:name="_Toc19633191"/>
      <w:r>
        <w:t>Compliance</w:t>
      </w:r>
    </w:p>
    <w:bookmarkEnd w:id="159"/>
    <w:bookmarkEnd w:id="160"/>
    <w:bookmarkEnd w:id="161"/>
    <w:bookmarkEnd w:id="162"/>
    <w:p w14:paraId="663B2F00" w14:textId="02695269" w:rsidR="006E41C9" w:rsidRDefault="00D2574E">
      <w:pPr>
        <w:rPr>
          <w:color w:val="000000" w:themeColor="text1"/>
        </w:rPr>
      </w:pPr>
      <w:r>
        <w:rPr>
          <w:color w:val="000000" w:themeColor="text1"/>
        </w:rPr>
        <w:t>Servicing licensees are required to submit information</w:t>
      </w:r>
      <w:r w:rsidR="006E41C9">
        <w:rPr>
          <w:color w:val="000000" w:themeColor="text1"/>
        </w:rPr>
        <w:t xml:space="preserve"> on</w:t>
      </w:r>
      <w:r w:rsidDel="006E41C9">
        <w:rPr>
          <w:color w:val="000000" w:themeColor="text1"/>
        </w:rPr>
        <w:t xml:space="preserve"> </w:t>
      </w:r>
      <w:r w:rsidR="006E41C9">
        <w:rPr>
          <w:color w:val="000000" w:themeColor="text1"/>
        </w:rPr>
        <w:t xml:space="preserve">each </w:t>
      </w:r>
      <w:r w:rsidR="00A75CD4">
        <w:rPr>
          <w:color w:val="000000" w:themeColor="text1"/>
        </w:rPr>
        <w:t xml:space="preserve">completed </w:t>
      </w:r>
      <w:r>
        <w:rPr>
          <w:color w:val="000000" w:themeColor="text1"/>
        </w:rPr>
        <w:t xml:space="preserve">verification via </w:t>
      </w:r>
      <w:r w:rsidR="00335326">
        <w:rPr>
          <w:color w:val="000000" w:themeColor="text1"/>
        </w:rPr>
        <w:t xml:space="preserve">a </w:t>
      </w:r>
      <w:r>
        <w:rPr>
          <w:color w:val="000000" w:themeColor="text1"/>
        </w:rPr>
        <w:t>Form 6</w:t>
      </w:r>
      <w:r w:rsidR="00076ED3" w:rsidRPr="00076ED3">
        <w:rPr>
          <w:color w:val="000000" w:themeColor="text1"/>
        </w:rPr>
        <w:t xml:space="preserve"> </w:t>
      </w:r>
      <w:r w:rsidR="00076ED3">
        <w:rPr>
          <w:color w:val="000000" w:themeColor="text1"/>
        </w:rPr>
        <w:t>to NMI</w:t>
      </w:r>
      <w:r w:rsidR="007140A4">
        <w:rPr>
          <w:color w:val="000000" w:themeColor="text1"/>
        </w:rPr>
        <w:t>.</w:t>
      </w:r>
      <w:r>
        <w:rPr>
          <w:rStyle w:val="FootnoteReference"/>
          <w:color w:val="000000" w:themeColor="text1"/>
        </w:rPr>
        <w:footnoteReference w:id="30"/>
      </w:r>
      <w:r w:rsidR="006E41C9">
        <w:rPr>
          <w:color w:val="000000" w:themeColor="text1"/>
        </w:rPr>
        <w:t xml:space="preserve"> </w:t>
      </w:r>
      <w:r w:rsidR="00E61B2E">
        <w:rPr>
          <w:color w:val="000000" w:themeColor="text1"/>
        </w:rPr>
        <w:t xml:space="preserve">Data contained in </w:t>
      </w:r>
      <w:r w:rsidR="00B321A4">
        <w:rPr>
          <w:color w:val="000000" w:themeColor="text1"/>
        </w:rPr>
        <w:t xml:space="preserve">Form 6 </w:t>
      </w:r>
      <w:r w:rsidR="007140A4">
        <w:rPr>
          <w:color w:val="000000" w:themeColor="text1"/>
        </w:rPr>
        <w:t xml:space="preserve">reports </w:t>
      </w:r>
      <w:r w:rsidR="00B321A4">
        <w:rPr>
          <w:color w:val="000000" w:themeColor="text1"/>
        </w:rPr>
        <w:t xml:space="preserve">is </w:t>
      </w:r>
      <w:r w:rsidR="00E61B2E">
        <w:rPr>
          <w:color w:val="000000" w:themeColor="text1"/>
        </w:rPr>
        <w:t xml:space="preserve">processed and </w:t>
      </w:r>
      <w:r w:rsidR="00B321A4" w:rsidRPr="00B321A4">
        <w:rPr>
          <w:color w:val="000000" w:themeColor="text1"/>
        </w:rPr>
        <w:t xml:space="preserve">analysed to identify potential non-compliance </w:t>
      </w:r>
      <w:r w:rsidR="00E61B2E">
        <w:rPr>
          <w:color w:val="000000" w:themeColor="text1"/>
        </w:rPr>
        <w:t xml:space="preserve">for </w:t>
      </w:r>
      <w:r w:rsidR="00B321A4" w:rsidRPr="00B321A4">
        <w:rPr>
          <w:color w:val="000000" w:themeColor="text1"/>
        </w:rPr>
        <w:t>appropriate action</w:t>
      </w:r>
      <w:r>
        <w:rPr>
          <w:color w:val="000000" w:themeColor="text1"/>
        </w:rPr>
        <w:t>.</w:t>
      </w:r>
      <w:r w:rsidR="00470BAA">
        <w:rPr>
          <w:rStyle w:val="FootnoteReference"/>
          <w:color w:val="000000" w:themeColor="text1"/>
        </w:rPr>
        <w:footnoteReference w:id="31"/>
      </w:r>
      <w:r w:rsidR="00470BAA">
        <w:rPr>
          <w:color w:val="000000" w:themeColor="text1"/>
        </w:rPr>
        <w:t xml:space="preserve"> </w:t>
      </w:r>
    </w:p>
    <w:p w14:paraId="667B4BCC" w14:textId="46AD71B9" w:rsidR="00F24DBD" w:rsidRPr="00E1297C" w:rsidDel="006E41C9" w:rsidRDefault="00F24DBD">
      <w:pPr>
        <w:jc w:val="both"/>
        <w:rPr>
          <w:color w:val="000000" w:themeColor="text1"/>
        </w:rPr>
      </w:pPr>
      <w:r w:rsidRPr="00E1297C">
        <w:rPr>
          <w:color w:val="000000" w:themeColor="text1"/>
        </w:rPr>
        <w:t>NMI currently uses an escalating risk assessment framework to inform decisions on appropriate compliance and enforcement actions</w:t>
      </w:r>
      <w:r w:rsidR="006E41C9">
        <w:rPr>
          <w:color w:val="000000" w:themeColor="text1"/>
        </w:rPr>
        <w:t>.</w:t>
      </w:r>
      <w:r w:rsidR="00DD0E6C">
        <w:rPr>
          <w:color w:val="000000" w:themeColor="text1"/>
        </w:rPr>
        <w:t xml:space="preserve"> </w:t>
      </w:r>
      <w:r w:rsidRPr="00E1297C">
        <w:rPr>
          <w:color w:val="000000" w:themeColor="text1"/>
        </w:rPr>
        <w:t xml:space="preserve">A servicing licensee will be subject to enforcement action if a non-compliance is considered substantial or there have been a number of alleged breaches (or an increase in the </w:t>
      </w:r>
      <w:r>
        <w:rPr>
          <w:color w:val="000000" w:themeColor="text1"/>
        </w:rPr>
        <w:t xml:space="preserve">licensee’s </w:t>
      </w:r>
      <w:r w:rsidRPr="00E1297C">
        <w:rPr>
          <w:color w:val="000000" w:themeColor="text1"/>
        </w:rPr>
        <w:t>risk rating).</w:t>
      </w:r>
      <w:r>
        <w:rPr>
          <w:color w:val="000000" w:themeColor="text1"/>
        </w:rPr>
        <w:t xml:space="preserve"> </w:t>
      </w:r>
      <w:r w:rsidRPr="00E1297C" w:rsidDel="006E41C9">
        <w:rPr>
          <w:color w:val="000000" w:themeColor="text1"/>
        </w:rPr>
        <w:t>Actions that have been taken against servicing licensees for non-compliance include</w:t>
      </w:r>
      <w:r w:rsidDel="006E41C9">
        <w:rPr>
          <w:color w:val="000000" w:themeColor="text1"/>
        </w:rPr>
        <w:t xml:space="preserve"> </w:t>
      </w:r>
      <w:r w:rsidRPr="00E1297C" w:rsidDel="006E41C9">
        <w:rPr>
          <w:color w:val="000000" w:themeColor="text1"/>
        </w:rPr>
        <w:t>direct communication about specific non-compliance issues</w:t>
      </w:r>
      <w:r w:rsidDel="006E41C9">
        <w:rPr>
          <w:color w:val="000000" w:themeColor="text1"/>
        </w:rPr>
        <w:t xml:space="preserve">, </w:t>
      </w:r>
      <w:r w:rsidRPr="00E1297C" w:rsidDel="006E41C9">
        <w:rPr>
          <w:color w:val="000000" w:themeColor="text1"/>
        </w:rPr>
        <w:t>warnings</w:t>
      </w:r>
      <w:r w:rsidDel="006E41C9">
        <w:rPr>
          <w:color w:val="000000" w:themeColor="text1"/>
        </w:rPr>
        <w:t xml:space="preserve">, </w:t>
      </w:r>
      <w:r w:rsidRPr="00E1297C" w:rsidDel="006E41C9">
        <w:rPr>
          <w:color w:val="000000" w:themeColor="text1"/>
        </w:rPr>
        <w:t>infringement notices</w:t>
      </w:r>
      <w:r w:rsidR="0081291E">
        <w:rPr>
          <w:color w:val="000000" w:themeColor="text1"/>
        </w:rPr>
        <w:t xml:space="preserve"> with associated fines</w:t>
      </w:r>
      <w:r w:rsidDel="006E41C9">
        <w:rPr>
          <w:color w:val="000000" w:themeColor="text1"/>
        </w:rPr>
        <w:t>,</w:t>
      </w:r>
      <w:r w:rsidRPr="00E1297C" w:rsidDel="006E41C9">
        <w:rPr>
          <w:color w:val="000000" w:themeColor="text1"/>
        </w:rPr>
        <w:t xml:space="preserve"> and disciplinary action for more serious breaches.</w:t>
      </w:r>
    </w:p>
    <w:p w14:paraId="4320F421" w14:textId="6FE85834" w:rsidR="00A4385D" w:rsidRPr="00E1297C" w:rsidRDefault="00F53B0C" w:rsidP="002512E6">
      <w:pPr>
        <w:rPr>
          <w:color w:val="000000" w:themeColor="text1"/>
        </w:rPr>
      </w:pPr>
      <w:r>
        <w:rPr>
          <w:color w:val="000000" w:themeColor="text1"/>
        </w:rPr>
        <w:t>T</w:t>
      </w:r>
      <w:r w:rsidR="007E2CA1">
        <w:rPr>
          <w:color w:val="000000" w:themeColor="text1"/>
        </w:rPr>
        <w:t>he type of d</w:t>
      </w:r>
      <w:r w:rsidR="00F24DBD">
        <w:rPr>
          <w:color w:val="000000" w:themeColor="text1"/>
        </w:rPr>
        <w:t>isciplinary action</w:t>
      </w:r>
      <w:r w:rsidR="007E2CA1">
        <w:rPr>
          <w:color w:val="000000" w:themeColor="text1"/>
        </w:rPr>
        <w:t>s</w:t>
      </w:r>
      <w:r w:rsidR="00687F26">
        <w:rPr>
          <w:color w:val="000000" w:themeColor="text1"/>
        </w:rPr>
        <w:t xml:space="preserve"> </w:t>
      </w:r>
      <w:r w:rsidR="007E2CA1">
        <w:rPr>
          <w:color w:val="000000" w:themeColor="text1"/>
        </w:rPr>
        <w:t xml:space="preserve">that </w:t>
      </w:r>
      <w:r w:rsidR="00F24DBD">
        <w:rPr>
          <w:color w:val="000000" w:themeColor="text1"/>
        </w:rPr>
        <w:t xml:space="preserve">can </w:t>
      </w:r>
      <w:r w:rsidR="007E2CA1">
        <w:rPr>
          <w:color w:val="000000" w:themeColor="text1"/>
        </w:rPr>
        <w:t xml:space="preserve">be taken </w:t>
      </w:r>
      <w:r w:rsidR="00F24DBD">
        <w:rPr>
          <w:color w:val="000000" w:themeColor="text1"/>
        </w:rPr>
        <w:t>include</w:t>
      </w:r>
      <w:r w:rsidR="00365C55">
        <w:rPr>
          <w:color w:val="000000" w:themeColor="text1"/>
        </w:rPr>
        <w:t>: issuing an official</w:t>
      </w:r>
      <w:r w:rsidR="00F24DBD">
        <w:rPr>
          <w:color w:val="000000" w:themeColor="text1"/>
        </w:rPr>
        <w:t xml:space="preserve"> </w:t>
      </w:r>
      <w:r w:rsidR="00A4385D" w:rsidRPr="00E1297C">
        <w:rPr>
          <w:color w:val="000000" w:themeColor="text1"/>
        </w:rPr>
        <w:t>reprimand</w:t>
      </w:r>
      <w:r w:rsidR="00076ED3">
        <w:rPr>
          <w:color w:val="000000" w:themeColor="text1"/>
        </w:rPr>
        <w:t>;</w:t>
      </w:r>
      <w:r w:rsidR="00A4385D" w:rsidRPr="00E1297C">
        <w:rPr>
          <w:color w:val="000000" w:themeColor="text1"/>
        </w:rPr>
        <w:t xml:space="preserve"> imposing a condition on the licence</w:t>
      </w:r>
      <w:r w:rsidR="00365C55">
        <w:rPr>
          <w:color w:val="000000" w:themeColor="text1"/>
        </w:rPr>
        <w:t>;</w:t>
      </w:r>
      <w:r w:rsidR="00A4385D" w:rsidRPr="00E1297C">
        <w:rPr>
          <w:color w:val="000000" w:themeColor="text1"/>
        </w:rPr>
        <w:t xml:space="preserve"> suspending the licence</w:t>
      </w:r>
      <w:r w:rsidR="00365C55">
        <w:rPr>
          <w:color w:val="000000" w:themeColor="text1"/>
        </w:rPr>
        <w:t>;</w:t>
      </w:r>
      <w:r w:rsidR="00A4385D" w:rsidRPr="00E1297C">
        <w:rPr>
          <w:color w:val="000000" w:themeColor="text1"/>
        </w:rPr>
        <w:t xml:space="preserve"> cancelling the licence</w:t>
      </w:r>
      <w:r w:rsidR="00365C55">
        <w:rPr>
          <w:color w:val="000000" w:themeColor="text1"/>
        </w:rPr>
        <w:t>;</w:t>
      </w:r>
      <w:r w:rsidR="00A4385D" w:rsidRPr="00E1297C">
        <w:rPr>
          <w:color w:val="000000" w:themeColor="text1"/>
        </w:rPr>
        <w:t xml:space="preserve"> accepting an enforceable undertaking from the licensee</w:t>
      </w:r>
      <w:r w:rsidR="00365C55">
        <w:rPr>
          <w:color w:val="000000" w:themeColor="text1"/>
        </w:rPr>
        <w:t>; and</w:t>
      </w:r>
      <w:r w:rsidR="00A4385D" w:rsidRPr="00E1297C">
        <w:rPr>
          <w:color w:val="000000" w:themeColor="text1"/>
        </w:rPr>
        <w:t xml:space="preserve"> publicising information about a particular disciplinary action</w:t>
      </w:r>
      <w:r w:rsidR="00F24DBD">
        <w:rPr>
          <w:color w:val="000000" w:themeColor="text1"/>
        </w:rPr>
        <w:t xml:space="preserve"> (ss 18QC - 18QF)</w:t>
      </w:r>
      <w:r w:rsidR="00A4385D" w:rsidRPr="00E1297C">
        <w:rPr>
          <w:color w:val="000000" w:themeColor="text1"/>
        </w:rPr>
        <w:t>. The legislation contains grounds for disciplinary action</w:t>
      </w:r>
      <w:r w:rsidR="00A62A10">
        <w:rPr>
          <w:color w:val="000000" w:themeColor="text1"/>
        </w:rPr>
        <w:t xml:space="preserve"> (s 18 QA)</w:t>
      </w:r>
      <w:r w:rsidR="00A4385D" w:rsidRPr="00E1297C">
        <w:rPr>
          <w:color w:val="000000" w:themeColor="text1"/>
        </w:rPr>
        <w:t>, including breach of a licence condition</w:t>
      </w:r>
      <w:r w:rsidR="004A44B6">
        <w:rPr>
          <w:color w:val="000000" w:themeColor="text1"/>
        </w:rPr>
        <w:t>.</w:t>
      </w:r>
      <w:r w:rsidR="00A4385D" w:rsidRPr="00E1297C">
        <w:rPr>
          <w:rStyle w:val="FootnoteReference"/>
          <w:color w:val="000000" w:themeColor="text1"/>
        </w:rPr>
        <w:footnoteReference w:id="32"/>
      </w:r>
      <w:r w:rsidR="00A4385D" w:rsidRPr="00E1297C">
        <w:rPr>
          <w:color w:val="000000" w:themeColor="text1"/>
        </w:rPr>
        <w:t xml:space="preserve"> </w:t>
      </w:r>
      <w:r w:rsidR="00F24DBD">
        <w:rPr>
          <w:color w:val="000000" w:themeColor="text1"/>
        </w:rPr>
        <w:t>A breach of conditions is also a strict liability criminal offence (s 18NO).</w:t>
      </w:r>
      <w:r w:rsidR="00A62A10">
        <w:rPr>
          <w:color w:val="000000" w:themeColor="text1"/>
        </w:rPr>
        <w:t xml:space="preserve"> </w:t>
      </w:r>
    </w:p>
    <w:p w14:paraId="288A8C99" w14:textId="77777777" w:rsidR="00A4385D" w:rsidRPr="00293DA8" w:rsidRDefault="00A4385D" w:rsidP="00A4385D">
      <w:pPr>
        <w:pStyle w:val="Heading3"/>
      </w:pPr>
      <w:bookmarkStart w:id="163" w:name="_Toc19539243"/>
      <w:bookmarkStart w:id="164" w:name="_Toc19539534"/>
      <w:bookmarkStart w:id="165" w:name="_Toc19627791"/>
      <w:bookmarkStart w:id="166" w:name="_Toc19633194"/>
      <w:bookmarkStart w:id="167" w:name="_Toc19884201"/>
      <w:bookmarkStart w:id="168" w:name="_Toc19891400"/>
      <w:bookmarkStart w:id="169" w:name="_Toc19891439"/>
      <w:r w:rsidRPr="00293DA8">
        <w:t>Questions</w:t>
      </w:r>
      <w:bookmarkEnd w:id="163"/>
      <w:bookmarkEnd w:id="164"/>
      <w:bookmarkEnd w:id="165"/>
      <w:bookmarkEnd w:id="166"/>
      <w:bookmarkEnd w:id="167"/>
      <w:bookmarkEnd w:id="168"/>
      <w:bookmarkEnd w:id="169"/>
    </w:p>
    <w:p w14:paraId="2BBDA8A9" w14:textId="296741A5" w:rsidR="00A67968" w:rsidRDefault="00BC5BD8" w:rsidP="00A67968">
      <w:pPr>
        <w:pStyle w:val="ListParagraph"/>
        <w:numPr>
          <w:ilvl w:val="2"/>
          <w:numId w:val="28"/>
        </w:numPr>
        <w:rPr>
          <w:color w:val="000000" w:themeColor="text1"/>
        </w:rPr>
      </w:pPr>
      <w:r w:rsidRPr="00A67968">
        <w:rPr>
          <w:color w:val="000000" w:themeColor="text1"/>
        </w:rPr>
        <w:t xml:space="preserve">Should we </w:t>
      </w:r>
      <w:r w:rsidR="006F05A2" w:rsidRPr="00A67968">
        <w:rPr>
          <w:color w:val="000000" w:themeColor="text1"/>
        </w:rPr>
        <w:t xml:space="preserve">continue to have </w:t>
      </w:r>
      <w:r w:rsidRPr="00A67968">
        <w:rPr>
          <w:color w:val="000000" w:themeColor="text1"/>
        </w:rPr>
        <w:t xml:space="preserve">a servicing </w:t>
      </w:r>
      <w:r w:rsidR="006F05A2" w:rsidRPr="00A67968">
        <w:rPr>
          <w:color w:val="000000" w:themeColor="text1"/>
        </w:rPr>
        <w:t>licensee</w:t>
      </w:r>
      <w:r w:rsidR="00EA623C">
        <w:rPr>
          <w:color w:val="000000" w:themeColor="text1"/>
        </w:rPr>
        <w:t xml:space="preserve"> system? Why or why not? </w:t>
      </w:r>
      <w:r w:rsidRPr="00A67968">
        <w:rPr>
          <w:color w:val="000000" w:themeColor="text1"/>
        </w:rPr>
        <w:t>What is the value to business</w:t>
      </w:r>
      <w:r w:rsidR="005E5AF4" w:rsidRPr="00A67968">
        <w:rPr>
          <w:color w:val="000000" w:themeColor="text1"/>
        </w:rPr>
        <w:t>es</w:t>
      </w:r>
      <w:r w:rsidRPr="00A67968">
        <w:rPr>
          <w:color w:val="000000" w:themeColor="text1"/>
        </w:rPr>
        <w:t xml:space="preserve"> and </w:t>
      </w:r>
      <w:r w:rsidR="005E5AF4" w:rsidRPr="00A67968">
        <w:rPr>
          <w:color w:val="000000" w:themeColor="text1"/>
        </w:rPr>
        <w:t xml:space="preserve">to </w:t>
      </w:r>
      <w:r w:rsidRPr="00A67968">
        <w:rPr>
          <w:color w:val="000000" w:themeColor="text1"/>
        </w:rPr>
        <w:t>the community?</w:t>
      </w:r>
    </w:p>
    <w:p w14:paraId="49682421" w14:textId="4705C216" w:rsidR="00A67968" w:rsidRDefault="00BC5BD8" w:rsidP="00A67968">
      <w:pPr>
        <w:pStyle w:val="ListParagraph"/>
        <w:numPr>
          <w:ilvl w:val="2"/>
          <w:numId w:val="28"/>
        </w:numPr>
        <w:rPr>
          <w:color w:val="000000" w:themeColor="text1"/>
        </w:rPr>
      </w:pPr>
      <w:r w:rsidRPr="00A67968">
        <w:rPr>
          <w:color w:val="000000" w:themeColor="text1"/>
        </w:rPr>
        <w:t>Should the current</w:t>
      </w:r>
      <w:r w:rsidR="00B9288E" w:rsidRPr="00A67968">
        <w:rPr>
          <w:color w:val="000000" w:themeColor="text1"/>
        </w:rPr>
        <w:t xml:space="preserve"> </w:t>
      </w:r>
      <w:r w:rsidR="007E2CA1" w:rsidRPr="00A67968">
        <w:rPr>
          <w:color w:val="000000" w:themeColor="text1"/>
        </w:rPr>
        <w:t xml:space="preserve">arrangements </w:t>
      </w:r>
      <w:r w:rsidR="00B9288E" w:rsidRPr="00A67968">
        <w:rPr>
          <w:color w:val="000000" w:themeColor="text1"/>
        </w:rPr>
        <w:t>for granting a servicing license</w:t>
      </w:r>
      <w:r w:rsidR="00EA623C">
        <w:rPr>
          <w:color w:val="000000" w:themeColor="text1"/>
        </w:rPr>
        <w:t xml:space="preserve"> continue? </w:t>
      </w:r>
      <w:r w:rsidR="007B1A5A" w:rsidRPr="00A67968">
        <w:rPr>
          <w:color w:val="000000" w:themeColor="text1"/>
        </w:rPr>
        <w:t xml:space="preserve">How can the process of licensing be </w:t>
      </w:r>
      <w:r w:rsidR="00A342D2" w:rsidRPr="00A67968">
        <w:rPr>
          <w:color w:val="000000" w:themeColor="text1"/>
        </w:rPr>
        <w:t xml:space="preserve">streamlined or </w:t>
      </w:r>
      <w:r w:rsidR="007B1A5A" w:rsidRPr="00A67968">
        <w:rPr>
          <w:color w:val="000000" w:themeColor="text1"/>
        </w:rPr>
        <w:t>improved? How appropriate and efficient a</w:t>
      </w:r>
      <w:r w:rsidR="007140A4" w:rsidRPr="00A67968">
        <w:rPr>
          <w:color w:val="000000" w:themeColor="text1"/>
        </w:rPr>
        <w:t xml:space="preserve">re the current </w:t>
      </w:r>
      <w:r w:rsidR="00B9288E" w:rsidRPr="00A67968">
        <w:rPr>
          <w:color w:val="000000" w:themeColor="text1"/>
        </w:rPr>
        <w:t xml:space="preserve">licensing </w:t>
      </w:r>
      <w:r w:rsidR="007140A4" w:rsidRPr="00A67968">
        <w:rPr>
          <w:color w:val="000000" w:themeColor="text1"/>
        </w:rPr>
        <w:t>requirements?</w:t>
      </w:r>
      <w:r w:rsidR="007B1A5A" w:rsidRPr="00A67968">
        <w:rPr>
          <w:color w:val="000000" w:themeColor="text1"/>
        </w:rPr>
        <w:t xml:space="preserve"> </w:t>
      </w:r>
    </w:p>
    <w:p w14:paraId="1EEFF6C9" w14:textId="59225A3B" w:rsidR="00A67968" w:rsidRDefault="007B1A5A" w:rsidP="00A67968">
      <w:pPr>
        <w:pStyle w:val="ListParagraph"/>
        <w:numPr>
          <w:ilvl w:val="2"/>
          <w:numId w:val="28"/>
        </w:numPr>
        <w:rPr>
          <w:color w:val="000000" w:themeColor="text1"/>
        </w:rPr>
      </w:pPr>
      <w:r w:rsidRPr="00A67968">
        <w:rPr>
          <w:color w:val="000000" w:themeColor="text1"/>
        </w:rPr>
        <w:t xml:space="preserve">How can ongoing competency of verifiers be ensured and facilitated? Is the </w:t>
      </w:r>
      <w:r w:rsidR="00081ADA" w:rsidRPr="00A67968">
        <w:rPr>
          <w:color w:val="000000" w:themeColor="text1"/>
        </w:rPr>
        <w:t xml:space="preserve">required </w:t>
      </w:r>
      <w:r w:rsidRPr="00A67968">
        <w:rPr>
          <w:color w:val="000000" w:themeColor="text1"/>
        </w:rPr>
        <w:t xml:space="preserve">level of competency </w:t>
      </w:r>
      <w:r w:rsidR="00081ADA" w:rsidRPr="00A67968">
        <w:rPr>
          <w:color w:val="000000" w:themeColor="text1"/>
        </w:rPr>
        <w:t>appropriate</w:t>
      </w:r>
      <w:r w:rsidR="00DD0E6C">
        <w:rPr>
          <w:color w:val="000000" w:themeColor="text1"/>
        </w:rPr>
        <w:t xml:space="preserve">? </w:t>
      </w:r>
      <w:r w:rsidRPr="00A67968">
        <w:rPr>
          <w:color w:val="000000" w:themeColor="text1"/>
        </w:rPr>
        <w:t xml:space="preserve">What alternatives </w:t>
      </w:r>
      <w:r w:rsidR="00F22690" w:rsidRPr="00A67968">
        <w:rPr>
          <w:color w:val="000000" w:themeColor="text1"/>
        </w:rPr>
        <w:t xml:space="preserve">might </w:t>
      </w:r>
      <w:r w:rsidRPr="00A67968">
        <w:rPr>
          <w:color w:val="000000" w:themeColor="text1"/>
        </w:rPr>
        <w:t>be considered to a</w:t>
      </w:r>
      <w:r w:rsidR="00A342D2" w:rsidRPr="00A67968">
        <w:rPr>
          <w:color w:val="000000" w:themeColor="text1"/>
        </w:rPr>
        <w:t>n RTO-issued</w:t>
      </w:r>
      <w:r w:rsidRPr="00A67968">
        <w:rPr>
          <w:color w:val="000000" w:themeColor="text1"/>
        </w:rPr>
        <w:t xml:space="preserve"> statement of attainment? </w:t>
      </w:r>
    </w:p>
    <w:p w14:paraId="52DD50F0" w14:textId="77777777" w:rsidR="00A67968" w:rsidRDefault="007B1A5A" w:rsidP="00A67968">
      <w:pPr>
        <w:pStyle w:val="ListParagraph"/>
        <w:numPr>
          <w:ilvl w:val="2"/>
          <w:numId w:val="28"/>
        </w:numPr>
        <w:rPr>
          <w:color w:val="000000" w:themeColor="text1"/>
        </w:rPr>
      </w:pPr>
      <w:r w:rsidRPr="00A67968">
        <w:rPr>
          <w:color w:val="000000" w:themeColor="text1"/>
        </w:rPr>
        <w:t xml:space="preserve">How important is the servicing licence to your business? What percentage of your business </w:t>
      </w:r>
      <w:r w:rsidR="00A342D2" w:rsidRPr="00A67968">
        <w:rPr>
          <w:color w:val="000000" w:themeColor="text1"/>
        </w:rPr>
        <w:t xml:space="preserve">activity </w:t>
      </w:r>
      <w:r w:rsidRPr="00A67968">
        <w:rPr>
          <w:color w:val="000000" w:themeColor="text1"/>
        </w:rPr>
        <w:t>involves carrying out verifications under the licence?</w:t>
      </w:r>
    </w:p>
    <w:p w14:paraId="1DD14DC2" w14:textId="1F4BD6CC" w:rsidR="00A4385D" w:rsidRPr="00A67968" w:rsidRDefault="00B9288E" w:rsidP="00A67968">
      <w:pPr>
        <w:pStyle w:val="ListParagraph"/>
        <w:numPr>
          <w:ilvl w:val="2"/>
          <w:numId w:val="28"/>
        </w:numPr>
        <w:rPr>
          <w:color w:val="000000" w:themeColor="text1"/>
        </w:rPr>
      </w:pPr>
      <w:r w:rsidRPr="00A67968">
        <w:rPr>
          <w:color w:val="000000" w:themeColor="text1"/>
        </w:rPr>
        <w:t>How appropriate and efficient are the c</w:t>
      </w:r>
      <w:r w:rsidR="00EA623C">
        <w:rPr>
          <w:color w:val="000000" w:themeColor="text1"/>
        </w:rPr>
        <w:t xml:space="preserve">urrent reporting requirements? </w:t>
      </w:r>
      <w:r w:rsidR="00A4385D" w:rsidRPr="00A67968">
        <w:rPr>
          <w:color w:val="000000" w:themeColor="text1"/>
        </w:rPr>
        <w:t>What is the appropriate level of ongoing monitoring and auditing of verifiers and licensees?</w:t>
      </w:r>
      <w:r w:rsidR="00365C55" w:rsidRPr="00A67968">
        <w:rPr>
          <w:color w:val="000000" w:themeColor="text1"/>
        </w:rPr>
        <w:t xml:space="preserve"> Are the current compliance and enforcement options effective?</w:t>
      </w:r>
    </w:p>
    <w:p w14:paraId="4504C0BA" w14:textId="506CEB4F" w:rsidR="00A4385D" w:rsidRPr="0082608E" w:rsidDel="005C7CAD" w:rsidRDefault="00A4385D" w:rsidP="00AC3B97">
      <w:pPr>
        <w:pStyle w:val="Heading1"/>
        <w:numPr>
          <w:ilvl w:val="0"/>
          <w:numId w:val="14"/>
        </w:numPr>
        <w:ind w:left="567" w:hanging="567"/>
        <w:rPr>
          <w:rFonts w:eastAsia="MS PGothic" w:cs="Arial"/>
          <w:color w:val="004059"/>
          <w:sz w:val="40"/>
          <w:szCs w:val="40"/>
        </w:rPr>
      </w:pPr>
      <w:bookmarkStart w:id="170" w:name="_Toc19539244"/>
      <w:bookmarkStart w:id="171" w:name="_Toc19539535"/>
      <w:bookmarkStart w:id="172" w:name="_Toc19627792"/>
      <w:bookmarkStart w:id="173" w:name="_Toc19633195"/>
      <w:bookmarkStart w:id="174" w:name="_Toc19884202"/>
      <w:bookmarkStart w:id="175" w:name="_Toc19891380"/>
      <w:bookmarkStart w:id="176" w:name="_Toc19891401"/>
      <w:bookmarkStart w:id="177" w:name="_Toc19891440"/>
      <w:bookmarkStart w:id="178" w:name="_Toc22897270"/>
      <w:bookmarkStart w:id="179" w:name="_Toc22899680"/>
      <w:bookmarkStart w:id="180" w:name="_Toc22900317"/>
      <w:bookmarkStart w:id="181" w:name="_Toc22901157"/>
      <w:r w:rsidRPr="0082608E">
        <w:rPr>
          <w:rFonts w:eastAsia="MS PGothic" w:cs="Arial"/>
          <w:color w:val="004059"/>
          <w:sz w:val="40"/>
          <w:szCs w:val="40"/>
        </w:rPr>
        <w:lastRenderedPageBreak/>
        <w:t>Utility Meter Verifiers (UMVs)</w:t>
      </w:r>
      <w:bookmarkEnd w:id="170"/>
      <w:bookmarkEnd w:id="171"/>
      <w:bookmarkEnd w:id="172"/>
      <w:bookmarkEnd w:id="173"/>
      <w:bookmarkEnd w:id="174"/>
      <w:bookmarkEnd w:id="175"/>
      <w:bookmarkEnd w:id="176"/>
      <w:bookmarkEnd w:id="177"/>
      <w:bookmarkEnd w:id="178"/>
      <w:bookmarkEnd w:id="179"/>
      <w:bookmarkEnd w:id="180"/>
      <w:bookmarkEnd w:id="181"/>
    </w:p>
    <w:p w14:paraId="75912958" w14:textId="3844C95E" w:rsidR="00FD76DA" w:rsidRDefault="00687F26" w:rsidP="00686CD8">
      <w:pPr>
        <w:shd w:val="clear" w:color="auto" w:fill="DEEAF6" w:themeFill="accent1" w:themeFillTint="33"/>
        <w:rPr>
          <w:color w:val="000000" w:themeColor="text1"/>
        </w:rPr>
      </w:pPr>
      <w:r>
        <w:rPr>
          <w:color w:val="000000" w:themeColor="text1"/>
        </w:rPr>
        <w:t xml:space="preserve">The Act enables the </w:t>
      </w:r>
      <w:r w:rsidRPr="00D6597C">
        <w:rPr>
          <w:b/>
          <w:color w:val="000000" w:themeColor="text1"/>
        </w:rPr>
        <w:t>appointment of utility meter verifiers</w:t>
      </w:r>
      <w:r>
        <w:rPr>
          <w:b/>
          <w:color w:val="000000" w:themeColor="text1"/>
        </w:rPr>
        <w:t xml:space="preserve"> </w:t>
      </w:r>
      <w:r>
        <w:rPr>
          <w:color w:val="000000" w:themeColor="text1"/>
        </w:rPr>
        <w:t xml:space="preserve">to test and verify electricity, water and gas utility meters used for trade (section 18GI). This is necessary because </w:t>
      </w:r>
      <w:r w:rsidR="00C50215">
        <w:rPr>
          <w:color w:val="000000" w:themeColor="text1"/>
        </w:rPr>
        <w:t>w</w:t>
      </w:r>
      <w:r w:rsidR="00045BC8">
        <w:rPr>
          <w:color w:val="000000" w:themeColor="text1"/>
        </w:rPr>
        <w:t>hile c</w:t>
      </w:r>
      <w:r w:rsidR="00216261">
        <w:rPr>
          <w:color w:val="000000" w:themeColor="text1"/>
        </w:rPr>
        <w:t xml:space="preserve">ertain </w:t>
      </w:r>
      <w:r w:rsidR="00D6597C">
        <w:rPr>
          <w:color w:val="000000" w:themeColor="text1"/>
        </w:rPr>
        <w:t>classes</w:t>
      </w:r>
      <w:r w:rsidR="00D3003B">
        <w:rPr>
          <w:color w:val="000000" w:themeColor="text1"/>
        </w:rPr>
        <w:t xml:space="preserve"> of utility meter</w:t>
      </w:r>
      <w:r w:rsidR="00216261">
        <w:rPr>
          <w:color w:val="000000" w:themeColor="text1"/>
        </w:rPr>
        <w:t xml:space="preserve"> are exempt</w:t>
      </w:r>
      <w:r w:rsidR="00310F85">
        <w:rPr>
          <w:rStyle w:val="FootnoteReference"/>
          <w:color w:val="000000" w:themeColor="text1"/>
        </w:rPr>
        <w:footnoteReference w:id="33"/>
      </w:r>
      <w:r w:rsidR="00216261">
        <w:rPr>
          <w:color w:val="000000" w:themeColor="text1"/>
        </w:rPr>
        <w:t xml:space="preserve"> from the operation of the Act</w:t>
      </w:r>
      <w:r w:rsidR="00045BC8">
        <w:rPr>
          <w:color w:val="000000" w:themeColor="text1"/>
        </w:rPr>
        <w:t>,</w:t>
      </w:r>
      <w:r w:rsidR="00D3003B">
        <w:rPr>
          <w:rStyle w:val="FootnoteReference"/>
          <w:color w:val="000000" w:themeColor="text1"/>
        </w:rPr>
        <w:footnoteReference w:id="34"/>
      </w:r>
      <w:r w:rsidR="00D3003B">
        <w:rPr>
          <w:color w:val="000000" w:themeColor="text1"/>
        </w:rPr>
        <w:t xml:space="preserve"> </w:t>
      </w:r>
      <w:r w:rsidR="00045BC8">
        <w:rPr>
          <w:color w:val="000000" w:themeColor="text1"/>
        </w:rPr>
        <w:t>t</w:t>
      </w:r>
      <w:r w:rsidR="00FA15CE">
        <w:rPr>
          <w:color w:val="000000" w:themeColor="text1"/>
        </w:rPr>
        <w:t>hose utility meters which are not exempt must be pattern approved and verified before they can</w:t>
      </w:r>
      <w:r w:rsidR="00DD0E6C">
        <w:rPr>
          <w:color w:val="000000" w:themeColor="text1"/>
        </w:rPr>
        <w:t xml:space="preserve"> be used for trade (sections</w:t>
      </w:r>
      <w:r w:rsidR="00FA15CE">
        <w:rPr>
          <w:color w:val="000000" w:themeColor="text1"/>
        </w:rPr>
        <w:t xml:space="preserve"> 18GA and 18GG). </w:t>
      </w:r>
    </w:p>
    <w:p w14:paraId="1A57B445" w14:textId="25B1CAD6" w:rsidR="00D3003B" w:rsidRPr="00293DA8" w:rsidRDefault="005130CA" w:rsidP="005130CA">
      <w:pPr>
        <w:pStyle w:val="Heading2"/>
      </w:pPr>
      <w:bookmarkStart w:id="182" w:name="_Toc19884203"/>
      <w:bookmarkStart w:id="183" w:name="_Toc19891402"/>
      <w:bookmarkStart w:id="184" w:name="_Toc19891441"/>
      <w:bookmarkStart w:id="185" w:name="_Toc22897271"/>
      <w:bookmarkStart w:id="186" w:name="_Toc22899681"/>
      <w:bookmarkStart w:id="187" w:name="_Toc22900318"/>
      <w:bookmarkStart w:id="188" w:name="_Toc22901158"/>
      <w:r>
        <w:t xml:space="preserve">5.1 </w:t>
      </w:r>
      <w:r w:rsidR="00D3003B">
        <w:t>Current Arrangements</w:t>
      </w:r>
      <w:bookmarkEnd w:id="182"/>
      <w:bookmarkEnd w:id="183"/>
      <w:bookmarkEnd w:id="184"/>
      <w:bookmarkEnd w:id="185"/>
      <w:bookmarkEnd w:id="186"/>
      <w:bookmarkEnd w:id="187"/>
      <w:bookmarkEnd w:id="188"/>
    </w:p>
    <w:p w14:paraId="1F035DA6" w14:textId="77777777" w:rsidR="00D3003B" w:rsidRDefault="00D3003B" w:rsidP="00D3003B">
      <w:pPr>
        <w:pStyle w:val="Subtitle"/>
      </w:pPr>
      <w:r>
        <w:t>Appointment</w:t>
      </w:r>
    </w:p>
    <w:p w14:paraId="12ECB9C8" w14:textId="21D04D98" w:rsidR="00047DC7" w:rsidRDefault="00045BC8" w:rsidP="00D92F69">
      <w:pPr>
        <w:rPr>
          <w:color w:val="000000" w:themeColor="text1"/>
        </w:rPr>
      </w:pPr>
      <w:r w:rsidRPr="00045BC8">
        <w:rPr>
          <w:color w:val="000000" w:themeColor="text1"/>
        </w:rPr>
        <w:t xml:space="preserve">NMI appoints UMVs to </w:t>
      </w:r>
      <w:r w:rsidR="007E2CA1">
        <w:rPr>
          <w:color w:val="000000" w:themeColor="text1"/>
        </w:rPr>
        <w:t>verify</w:t>
      </w:r>
      <w:r>
        <w:rPr>
          <w:color w:val="000000" w:themeColor="text1"/>
        </w:rPr>
        <w:t xml:space="preserve"> particular class</w:t>
      </w:r>
      <w:r w:rsidR="007E2CA1">
        <w:rPr>
          <w:color w:val="000000" w:themeColor="text1"/>
        </w:rPr>
        <w:t>es</w:t>
      </w:r>
      <w:r>
        <w:rPr>
          <w:color w:val="000000" w:themeColor="text1"/>
        </w:rPr>
        <w:t xml:space="preserve"> of </w:t>
      </w:r>
      <w:r w:rsidRPr="00045BC8">
        <w:rPr>
          <w:color w:val="000000" w:themeColor="text1"/>
        </w:rPr>
        <w:t>utility meters</w:t>
      </w:r>
      <w:r w:rsidR="00023E1B">
        <w:rPr>
          <w:color w:val="000000" w:themeColor="text1"/>
        </w:rPr>
        <w:t xml:space="preserve">. A UMV can only be appointed to a particular class of utility meter when </w:t>
      </w:r>
      <w:r w:rsidR="00023E1B" w:rsidRPr="00023E1B">
        <w:rPr>
          <w:color w:val="000000" w:themeColor="text1"/>
        </w:rPr>
        <w:t>the</w:t>
      </w:r>
      <w:r w:rsidR="00023E1B">
        <w:rPr>
          <w:color w:val="000000" w:themeColor="text1"/>
        </w:rPr>
        <w:t>y</w:t>
      </w:r>
      <w:r w:rsidR="00023E1B" w:rsidRPr="00023E1B">
        <w:rPr>
          <w:color w:val="000000" w:themeColor="text1"/>
        </w:rPr>
        <w:t xml:space="preserve"> or one of their employees is competent to test that class of utility meter</w:t>
      </w:r>
      <w:r w:rsidR="00023E1B">
        <w:rPr>
          <w:color w:val="000000" w:themeColor="text1"/>
        </w:rPr>
        <w:t>.</w:t>
      </w:r>
      <w:r w:rsidR="00023E1B">
        <w:rPr>
          <w:rStyle w:val="FootnoteReference"/>
          <w:color w:val="000000" w:themeColor="text1"/>
        </w:rPr>
        <w:footnoteReference w:id="35"/>
      </w:r>
      <w:r w:rsidRPr="00045BC8">
        <w:rPr>
          <w:color w:val="000000" w:themeColor="text1"/>
        </w:rPr>
        <w:t xml:space="preserve"> </w:t>
      </w:r>
      <w:r w:rsidR="00023E1B" w:rsidRPr="00023E1B">
        <w:rPr>
          <w:color w:val="000000" w:themeColor="text1"/>
        </w:rPr>
        <w:t xml:space="preserve">UMVs are </w:t>
      </w:r>
      <w:r w:rsidR="00023E1B">
        <w:rPr>
          <w:color w:val="000000" w:themeColor="text1"/>
        </w:rPr>
        <w:t xml:space="preserve">typically </w:t>
      </w:r>
      <w:r w:rsidR="00023E1B" w:rsidRPr="00023E1B">
        <w:rPr>
          <w:color w:val="000000" w:themeColor="text1"/>
        </w:rPr>
        <w:t>appointed based on their ISO/IEC 17025 accreditation (by NATA)</w:t>
      </w:r>
      <w:r w:rsidR="00D92F69">
        <w:rPr>
          <w:color w:val="000000" w:themeColor="text1"/>
        </w:rPr>
        <w:t>.</w:t>
      </w:r>
      <w:r w:rsidR="00023E1B">
        <w:rPr>
          <w:rStyle w:val="FootnoteReference"/>
          <w:color w:val="000000" w:themeColor="text1"/>
        </w:rPr>
        <w:footnoteReference w:id="36"/>
      </w:r>
      <w:r w:rsidR="00023E1B" w:rsidRPr="00023E1B">
        <w:rPr>
          <w:color w:val="000000" w:themeColor="text1"/>
        </w:rPr>
        <w:t xml:space="preserve"> </w:t>
      </w:r>
      <w:r w:rsidR="00D92F69">
        <w:rPr>
          <w:color w:val="000000" w:themeColor="text1"/>
        </w:rPr>
        <w:t>Documents relating to an applicant’s</w:t>
      </w:r>
      <w:r w:rsidR="00023E1B" w:rsidRPr="00023E1B">
        <w:rPr>
          <w:color w:val="000000" w:themeColor="text1"/>
        </w:rPr>
        <w:t xml:space="preserve"> quality management system and traceability of the</w:t>
      </w:r>
      <w:r w:rsidR="00D92F69">
        <w:rPr>
          <w:color w:val="000000" w:themeColor="text1"/>
        </w:rPr>
        <w:t>ir</w:t>
      </w:r>
      <w:r w:rsidR="00023E1B" w:rsidRPr="00023E1B">
        <w:rPr>
          <w:color w:val="000000" w:themeColor="text1"/>
        </w:rPr>
        <w:t xml:space="preserve"> reference standards of measurement</w:t>
      </w:r>
      <w:r w:rsidR="00D92F69">
        <w:rPr>
          <w:color w:val="000000" w:themeColor="text1"/>
        </w:rPr>
        <w:t xml:space="preserve"> are also provided as part of the application process</w:t>
      </w:r>
      <w:r w:rsidR="00023E1B" w:rsidRPr="00023E1B">
        <w:rPr>
          <w:color w:val="000000" w:themeColor="text1"/>
        </w:rPr>
        <w:t>.</w:t>
      </w:r>
      <w:r w:rsidR="00023E1B">
        <w:rPr>
          <w:color w:val="000000" w:themeColor="text1"/>
        </w:rPr>
        <w:t xml:space="preserve"> </w:t>
      </w:r>
      <w:bookmarkStart w:id="189" w:name="_Toc19539246"/>
      <w:bookmarkStart w:id="190" w:name="_Toc19539537"/>
      <w:bookmarkStart w:id="191" w:name="_Toc19627794"/>
      <w:bookmarkStart w:id="192" w:name="_Toc19633197"/>
    </w:p>
    <w:p w14:paraId="4943B302" w14:textId="77777777" w:rsidR="00DA0538" w:rsidRDefault="00DA0538" w:rsidP="00DB543B">
      <w:pPr>
        <w:pStyle w:val="Subtitle"/>
      </w:pPr>
      <w:r>
        <w:t>Performance</w:t>
      </w:r>
    </w:p>
    <w:p w14:paraId="64765C89" w14:textId="340A9422" w:rsidR="00F12B21" w:rsidRPr="003919E2" w:rsidRDefault="00DE4F4A" w:rsidP="00F12B21">
      <w:pPr>
        <w:rPr>
          <w:rFonts w:cstheme="minorHAnsi"/>
        </w:rPr>
      </w:pPr>
      <w:r>
        <w:t>As a part of their appointment, UMVs are subjected to a range of conditions.</w:t>
      </w:r>
      <w:r>
        <w:rPr>
          <w:rStyle w:val="FootnoteReference"/>
        </w:rPr>
        <w:footnoteReference w:id="37"/>
      </w:r>
      <w:r w:rsidR="00047DC7">
        <w:t xml:space="preserve"> </w:t>
      </w:r>
      <w:r w:rsidR="0013287D">
        <w:t xml:space="preserve">A key </w:t>
      </w:r>
      <w:r w:rsidR="00047DC7">
        <w:t>condition</w:t>
      </w:r>
      <w:r w:rsidR="000D7F25">
        <w:t xml:space="preserve"> for a UMV</w:t>
      </w:r>
      <w:r w:rsidR="00047DC7">
        <w:t xml:space="preserve"> is </w:t>
      </w:r>
      <w:r w:rsidR="0077285B">
        <w:t>having</w:t>
      </w:r>
      <w:r w:rsidR="00047DC7">
        <w:t xml:space="preserve"> the </w:t>
      </w:r>
      <w:r w:rsidR="00047DC7" w:rsidRPr="00CA0A6A">
        <w:rPr>
          <w:b/>
        </w:rPr>
        <w:t>competence</w:t>
      </w:r>
      <w:r w:rsidR="00047DC7">
        <w:t xml:space="preserve"> to </w:t>
      </w:r>
      <w:r w:rsidR="00F53B0C">
        <w:t xml:space="preserve">test and </w:t>
      </w:r>
      <w:r w:rsidR="00047DC7">
        <w:t>verify a specific class of utility meter – either as an individual ‘</w:t>
      </w:r>
      <w:r w:rsidR="00047DC7" w:rsidRPr="00CA0A6A">
        <w:rPr>
          <w:i/>
        </w:rPr>
        <w:t>personally undertaking the verification</w:t>
      </w:r>
      <w:r w:rsidR="00047DC7">
        <w:t>’ or as a business ‘</w:t>
      </w:r>
      <w:r w:rsidR="00047DC7" w:rsidRPr="008F3CC4">
        <w:rPr>
          <w:i/>
        </w:rPr>
        <w:t>employing persons to undertake the verification</w:t>
      </w:r>
      <w:r w:rsidR="00047DC7">
        <w:t>’.</w:t>
      </w:r>
      <w:r w:rsidR="002010D0" w:rsidRPr="0001666B">
        <w:rPr>
          <w:rStyle w:val="FootnoteReference"/>
        </w:rPr>
        <w:footnoteReference w:id="38"/>
      </w:r>
      <w:r w:rsidR="004B16C0" w:rsidRPr="0001666B">
        <w:rPr>
          <w:rStyle w:val="FootnoteReference"/>
        </w:rPr>
        <w:t xml:space="preserve"> </w:t>
      </w:r>
      <w:r w:rsidR="00F12B21" w:rsidRPr="003919E2">
        <w:rPr>
          <w:rFonts w:cstheme="minorHAnsi"/>
        </w:rPr>
        <w:t xml:space="preserve">UMVs </w:t>
      </w:r>
      <w:r w:rsidR="00085805">
        <w:rPr>
          <w:rFonts w:cstheme="minorHAnsi"/>
        </w:rPr>
        <w:t xml:space="preserve">typically </w:t>
      </w:r>
      <w:r>
        <w:rPr>
          <w:rFonts w:cstheme="minorHAnsi"/>
        </w:rPr>
        <w:t>hold</w:t>
      </w:r>
      <w:r w:rsidR="00F12B21" w:rsidRPr="003919E2">
        <w:rPr>
          <w:rFonts w:cstheme="minorHAnsi"/>
        </w:rPr>
        <w:t xml:space="preserve"> NATA accreditation</w:t>
      </w:r>
      <w:r w:rsidR="00F12B21">
        <w:rPr>
          <w:rFonts w:cstheme="minorHAnsi"/>
        </w:rPr>
        <w:t xml:space="preserve"> to</w:t>
      </w:r>
      <w:r w:rsidR="00F12B21" w:rsidRPr="003919E2">
        <w:rPr>
          <w:rFonts w:cstheme="minorHAnsi"/>
        </w:rPr>
        <w:t xml:space="preserve"> ISO/IEC 17025.</w:t>
      </w:r>
      <w:r w:rsidR="00F12B21" w:rsidRPr="00F12B21">
        <w:rPr>
          <w:rStyle w:val="FootnoteReference"/>
          <w:rFonts w:cstheme="minorHAnsi"/>
          <w:color w:val="333333"/>
          <w:lang w:val="en"/>
        </w:rPr>
        <w:footnoteReference w:id="39"/>
      </w:r>
      <w:r w:rsidR="00F12B21" w:rsidRPr="003919E2">
        <w:rPr>
          <w:rFonts w:cstheme="minorHAnsi"/>
        </w:rPr>
        <w:t xml:space="preserve"> </w:t>
      </w:r>
      <w:r w:rsidR="00E87621">
        <w:rPr>
          <w:rFonts w:cstheme="minorHAnsi"/>
          <w:color w:val="333333"/>
          <w:lang w:val="en"/>
        </w:rPr>
        <w:t>Th</w:t>
      </w:r>
      <w:r w:rsidR="00085805">
        <w:rPr>
          <w:rFonts w:cstheme="minorHAnsi"/>
          <w:color w:val="333333"/>
          <w:lang w:val="en"/>
        </w:rPr>
        <w:t>is</w:t>
      </w:r>
      <w:r w:rsidR="00E87621">
        <w:rPr>
          <w:rFonts w:cstheme="minorHAnsi"/>
          <w:color w:val="333333"/>
          <w:lang w:val="en"/>
        </w:rPr>
        <w:t xml:space="preserve"> standard</w:t>
      </w:r>
      <w:r w:rsidR="00E87621" w:rsidRPr="009706FC">
        <w:rPr>
          <w:rFonts w:cstheme="minorHAnsi"/>
          <w:color w:val="333333"/>
          <w:lang w:val="en"/>
        </w:rPr>
        <w:t xml:space="preserve"> </w:t>
      </w:r>
      <w:r w:rsidR="00085805">
        <w:rPr>
          <w:rFonts w:cstheme="minorHAnsi"/>
          <w:lang w:val="en"/>
        </w:rPr>
        <w:t>requires</w:t>
      </w:r>
      <w:r w:rsidR="00E87621" w:rsidRPr="009706FC">
        <w:rPr>
          <w:rFonts w:cstheme="minorHAnsi"/>
          <w:lang w:val="en"/>
        </w:rPr>
        <w:t xml:space="preserve"> that the laboratory have available the personnel, facilities, equipment, systems and support services necessary to manage and perform its activities. </w:t>
      </w:r>
      <w:r w:rsidR="00E87621">
        <w:rPr>
          <w:rFonts w:cstheme="minorHAnsi"/>
        </w:rPr>
        <w:t>Although t</w:t>
      </w:r>
      <w:r w:rsidR="00F12B21" w:rsidRPr="003919E2">
        <w:rPr>
          <w:rFonts w:cstheme="minorHAnsi"/>
          <w:lang w:val="en"/>
        </w:rPr>
        <w:t>h</w:t>
      </w:r>
      <w:r w:rsidR="00F12B21">
        <w:rPr>
          <w:rFonts w:cstheme="minorHAnsi"/>
          <w:lang w:val="en"/>
        </w:rPr>
        <w:t>is</w:t>
      </w:r>
      <w:r w:rsidR="00F12B21" w:rsidRPr="003919E2">
        <w:rPr>
          <w:rFonts w:cstheme="minorHAnsi"/>
          <w:lang w:val="en"/>
        </w:rPr>
        <w:t xml:space="preserve"> standard leaves the determination of what constitutes competent personnel to </w:t>
      </w:r>
      <w:r w:rsidR="00577DDB" w:rsidRPr="00577DDB">
        <w:rPr>
          <w:rFonts w:cstheme="minorHAnsi"/>
          <w:lang w:val="en"/>
        </w:rPr>
        <w:t>test a class of utility meter</w:t>
      </w:r>
      <w:r w:rsidR="00577DDB">
        <w:rPr>
          <w:rFonts w:cstheme="minorHAnsi"/>
          <w:lang w:val="en"/>
        </w:rPr>
        <w:t xml:space="preserve"> </w:t>
      </w:r>
      <w:r w:rsidR="00F12B21" w:rsidRPr="003919E2">
        <w:rPr>
          <w:rFonts w:cstheme="minorHAnsi"/>
          <w:lang w:val="en"/>
        </w:rPr>
        <w:t>to the laboratory management</w:t>
      </w:r>
      <w:r w:rsidR="0037712D">
        <w:rPr>
          <w:rFonts w:cstheme="minorHAnsi"/>
          <w:lang w:val="en"/>
        </w:rPr>
        <w:t xml:space="preserve"> in accordance with the NATA accredited quality system</w:t>
      </w:r>
      <w:r w:rsidR="00E87621">
        <w:rPr>
          <w:rFonts w:cstheme="minorHAnsi"/>
          <w:lang w:val="en"/>
        </w:rPr>
        <w:t xml:space="preserve">, confidence is created through the requirement to </w:t>
      </w:r>
      <w:r w:rsidR="00E87621">
        <w:rPr>
          <w:rFonts w:cstheme="minorHAnsi"/>
        </w:rPr>
        <w:t>have</w:t>
      </w:r>
      <w:r w:rsidR="00F12B21" w:rsidRPr="008A6AA1">
        <w:rPr>
          <w:rFonts w:cstheme="minorHAnsi"/>
        </w:rPr>
        <w:t xml:space="preserve"> procedures and retain records for: determining competenc</w:t>
      </w:r>
      <w:r w:rsidR="007E2CA1">
        <w:rPr>
          <w:rFonts w:cstheme="minorHAnsi"/>
        </w:rPr>
        <w:t>y</w:t>
      </w:r>
      <w:r w:rsidR="00F12B21" w:rsidRPr="008A6AA1">
        <w:rPr>
          <w:rFonts w:cstheme="minorHAnsi"/>
        </w:rPr>
        <w:t xml:space="preserve"> requirements</w:t>
      </w:r>
      <w:r w:rsidR="0099404A">
        <w:rPr>
          <w:rFonts w:cstheme="minorHAnsi"/>
        </w:rPr>
        <w:t>;</w:t>
      </w:r>
      <w:r w:rsidR="00F12B21" w:rsidRPr="008A6AA1">
        <w:rPr>
          <w:rFonts w:cstheme="minorHAnsi"/>
        </w:rPr>
        <w:t xml:space="preserve"> selection</w:t>
      </w:r>
      <w:r w:rsidR="0099404A">
        <w:rPr>
          <w:rFonts w:cstheme="minorHAnsi"/>
        </w:rPr>
        <w:t>,</w:t>
      </w:r>
      <w:r w:rsidR="00F12B21" w:rsidRPr="008A6AA1">
        <w:rPr>
          <w:rFonts w:cstheme="minorHAnsi"/>
        </w:rPr>
        <w:t xml:space="preserve"> training and supervision of personnel</w:t>
      </w:r>
      <w:r w:rsidR="00076ED3">
        <w:rPr>
          <w:rFonts w:cstheme="minorHAnsi"/>
        </w:rPr>
        <w:t>;</w:t>
      </w:r>
      <w:r w:rsidR="00F12B21" w:rsidRPr="008A6AA1">
        <w:rPr>
          <w:rFonts w:cstheme="minorHAnsi"/>
        </w:rPr>
        <w:t xml:space="preserve"> authori</w:t>
      </w:r>
      <w:r w:rsidR="0013287D">
        <w:rPr>
          <w:rFonts w:cstheme="minorHAnsi"/>
        </w:rPr>
        <w:t>s</w:t>
      </w:r>
      <w:r w:rsidR="00F12B21" w:rsidRPr="008A6AA1">
        <w:rPr>
          <w:rFonts w:cstheme="minorHAnsi"/>
        </w:rPr>
        <w:t>ation of personnel to perform specific activities</w:t>
      </w:r>
      <w:r w:rsidR="00076ED3">
        <w:rPr>
          <w:rFonts w:cstheme="minorHAnsi"/>
        </w:rPr>
        <w:t>;</w:t>
      </w:r>
      <w:r w:rsidR="00F12B21" w:rsidRPr="008A6AA1">
        <w:rPr>
          <w:rFonts w:cstheme="minorHAnsi"/>
        </w:rPr>
        <w:t xml:space="preserve"> and the monitoring of their competence.</w:t>
      </w:r>
      <w:r w:rsidR="00F12B21" w:rsidRPr="008A6AA1">
        <w:rPr>
          <w:rStyle w:val="FootnoteReference"/>
          <w:rFonts w:cstheme="minorHAnsi"/>
        </w:rPr>
        <w:footnoteReference w:id="40"/>
      </w:r>
      <w:r w:rsidR="00F12B21" w:rsidRPr="008A6AA1">
        <w:rPr>
          <w:rFonts w:cstheme="minorHAnsi"/>
        </w:rPr>
        <w:t xml:space="preserve">  </w:t>
      </w:r>
    </w:p>
    <w:bookmarkEnd w:id="189"/>
    <w:bookmarkEnd w:id="190"/>
    <w:bookmarkEnd w:id="191"/>
    <w:bookmarkEnd w:id="192"/>
    <w:p w14:paraId="3FD985B5" w14:textId="0B54691B" w:rsidR="000D7F25" w:rsidRDefault="00A4385D" w:rsidP="000D7F25">
      <w:pPr>
        <w:autoSpaceDE w:val="0"/>
        <w:autoSpaceDN w:val="0"/>
        <w:adjustRightInd w:val="0"/>
        <w:spacing w:after="120" w:line="240" w:lineRule="auto"/>
        <w:rPr>
          <w:color w:val="000000" w:themeColor="text1"/>
        </w:rPr>
      </w:pPr>
      <w:r w:rsidRPr="00E1297C">
        <w:rPr>
          <w:color w:val="000000" w:themeColor="text1"/>
        </w:rPr>
        <w:lastRenderedPageBreak/>
        <w:t xml:space="preserve">UMVs </w:t>
      </w:r>
      <w:r w:rsidR="008948E3">
        <w:rPr>
          <w:color w:val="000000" w:themeColor="text1"/>
        </w:rPr>
        <w:t xml:space="preserve">must </w:t>
      </w:r>
      <w:r w:rsidR="002010D0" w:rsidRPr="002010D0">
        <w:rPr>
          <w:color w:val="000000" w:themeColor="text1"/>
        </w:rPr>
        <w:t xml:space="preserve">maintain reference standards of measurement </w:t>
      </w:r>
      <w:r w:rsidR="00042A50">
        <w:rPr>
          <w:color w:val="000000" w:themeColor="text1"/>
        </w:rPr>
        <w:t xml:space="preserve">and </w:t>
      </w:r>
      <w:r w:rsidR="002010D0" w:rsidRPr="002010D0">
        <w:rPr>
          <w:color w:val="000000" w:themeColor="text1"/>
        </w:rPr>
        <w:t>participat</w:t>
      </w:r>
      <w:r w:rsidR="00DE4F4A">
        <w:rPr>
          <w:color w:val="000000" w:themeColor="text1"/>
        </w:rPr>
        <w:t>e</w:t>
      </w:r>
      <w:r w:rsidR="002010D0" w:rsidRPr="002010D0">
        <w:rPr>
          <w:color w:val="000000" w:themeColor="text1"/>
        </w:rPr>
        <w:t xml:space="preserve"> </w:t>
      </w:r>
      <w:r w:rsidR="002010D0">
        <w:rPr>
          <w:color w:val="000000" w:themeColor="text1"/>
        </w:rPr>
        <w:t xml:space="preserve">in </w:t>
      </w:r>
      <w:r w:rsidR="005F429D">
        <w:rPr>
          <w:color w:val="000000" w:themeColor="text1"/>
        </w:rPr>
        <w:t xml:space="preserve">required </w:t>
      </w:r>
      <w:r w:rsidR="002010D0">
        <w:rPr>
          <w:color w:val="000000" w:themeColor="text1"/>
        </w:rPr>
        <w:t>utility meter verification</w:t>
      </w:r>
      <w:r w:rsidR="002010D0" w:rsidRPr="002010D0">
        <w:rPr>
          <w:color w:val="000000" w:themeColor="text1"/>
        </w:rPr>
        <w:t xml:space="preserve"> training</w:t>
      </w:r>
      <w:r w:rsidR="00042A50">
        <w:rPr>
          <w:color w:val="000000" w:themeColor="text1"/>
        </w:rPr>
        <w:t xml:space="preserve"> </w:t>
      </w:r>
      <w:r w:rsidR="00E87621">
        <w:rPr>
          <w:color w:val="000000" w:themeColor="text1"/>
        </w:rPr>
        <w:t>if</w:t>
      </w:r>
      <w:r w:rsidR="002010D0" w:rsidRPr="002010D0">
        <w:rPr>
          <w:color w:val="000000" w:themeColor="text1"/>
        </w:rPr>
        <w:t xml:space="preserve"> required.</w:t>
      </w:r>
      <w:r w:rsidR="000D7F25" w:rsidRPr="000D7F25">
        <w:rPr>
          <w:color w:val="000000" w:themeColor="text1"/>
        </w:rPr>
        <w:t xml:space="preserve"> </w:t>
      </w:r>
      <w:r w:rsidR="000D7F25" w:rsidRPr="00E1297C">
        <w:rPr>
          <w:color w:val="000000" w:themeColor="text1"/>
        </w:rPr>
        <w:t xml:space="preserve">UMVs demonstrate traceability through </w:t>
      </w:r>
      <w:r w:rsidR="000D7F25">
        <w:rPr>
          <w:color w:val="000000" w:themeColor="text1"/>
        </w:rPr>
        <w:t xml:space="preserve">following </w:t>
      </w:r>
      <w:hyperlink r:id="rId32" w:history="1">
        <w:r w:rsidR="000D7F25" w:rsidRPr="00F77DA5">
          <w:rPr>
            <w:rStyle w:val="Hyperlink"/>
          </w:rPr>
          <w:t>NITP 14</w:t>
        </w:r>
      </w:hyperlink>
      <w:r w:rsidR="000D7F25" w:rsidRPr="00A06781">
        <w:rPr>
          <w:color w:val="000000" w:themeColor="text1"/>
        </w:rPr>
        <w:t xml:space="preserve"> w</w:t>
      </w:r>
      <w:r w:rsidR="000D7F25" w:rsidRPr="00CF6C6C">
        <w:rPr>
          <w:color w:val="000000" w:themeColor="text1"/>
        </w:rPr>
        <w:t>hen performing a verification</w:t>
      </w:r>
      <w:r w:rsidR="000D7F25">
        <w:rPr>
          <w:color w:val="000000" w:themeColor="text1"/>
        </w:rPr>
        <w:t xml:space="preserve"> and </w:t>
      </w:r>
      <w:r w:rsidR="000D7F25" w:rsidRPr="00E1297C">
        <w:rPr>
          <w:color w:val="000000" w:themeColor="text1"/>
        </w:rPr>
        <w:t>us</w:t>
      </w:r>
      <w:r w:rsidR="0077285B">
        <w:rPr>
          <w:color w:val="000000" w:themeColor="text1"/>
        </w:rPr>
        <w:t xml:space="preserve">ing </w:t>
      </w:r>
      <w:r w:rsidR="000D7F25" w:rsidRPr="00E1297C">
        <w:rPr>
          <w:color w:val="000000" w:themeColor="text1"/>
        </w:rPr>
        <w:t xml:space="preserve">certified standards </w:t>
      </w:r>
      <w:r w:rsidR="000D7F25">
        <w:rPr>
          <w:color w:val="000000" w:themeColor="text1"/>
        </w:rPr>
        <w:t>(</w:t>
      </w:r>
      <w:r w:rsidR="000D7F25" w:rsidRPr="00E1297C">
        <w:rPr>
          <w:color w:val="000000" w:themeColor="text1"/>
        </w:rPr>
        <w:t xml:space="preserve">provided by NMI or </w:t>
      </w:r>
      <w:r w:rsidR="000D7F25" w:rsidRPr="00E1297C" w:rsidDel="00E87621">
        <w:rPr>
          <w:color w:val="000000" w:themeColor="text1"/>
        </w:rPr>
        <w:t>a</w:t>
      </w:r>
      <w:r w:rsidR="000D7F25" w:rsidDel="00E87621">
        <w:rPr>
          <w:color w:val="000000" w:themeColor="text1"/>
        </w:rPr>
        <w:t xml:space="preserve"> </w:t>
      </w:r>
      <w:r w:rsidR="000D7F25">
        <w:rPr>
          <w:color w:val="000000" w:themeColor="text1"/>
        </w:rPr>
        <w:t>relevant</w:t>
      </w:r>
      <w:r w:rsidR="000D7F25" w:rsidRPr="00E1297C">
        <w:rPr>
          <w:color w:val="000000" w:themeColor="text1"/>
        </w:rPr>
        <w:t xml:space="preserve"> authority</w:t>
      </w:r>
      <w:r w:rsidR="00E87621">
        <w:rPr>
          <w:color w:val="000000" w:themeColor="text1"/>
        </w:rPr>
        <w:t>).</w:t>
      </w:r>
    </w:p>
    <w:p w14:paraId="1C03E014" w14:textId="77777777" w:rsidR="00A4385D" w:rsidRPr="00AB76B8" w:rsidRDefault="00A4385D" w:rsidP="000D7F25">
      <w:pPr>
        <w:pStyle w:val="Subtitle"/>
      </w:pPr>
      <w:bookmarkStart w:id="193" w:name="_Toc19539251"/>
      <w:bookmarkStart w:id="194" w:name="_Toc19539542"/>
      <w:bookmarkStart w:id="195" w:name="_Toc19627799"/>
      <w:bookmarkStart w:id="196" w:name="_Toc19633202"/>
      <w:r w:rsidRPr="00AB76B8">
        <w:t>Compliance and enforcement</w:t>
      </w:r>
      <w:bookmarkEnd w:id="193"/>
      <w:bookmarkEnd w:id="194"/>
      <w:bookmarkEnd w:id="195"/>
      <w:bookmarkEnd w:id="196"/>
    </w:p>
    <w:p w14:paraId="264AAD77" w14:textId="1DED3201" w:rsidR="00042A50" w:rsidRDefault="00B321A4" w:rsidP="00A077C4">
      <w:pPr>
        <w:rPr>
          <w:color w:val="000000" w:themeColor="text1"/>
        </w:rPr>
      </w:pPr>
      <w:r w:rsidRPr="00B321A4">
        <w:rPr>
          <w:color w:val="000000" w:themeColor="text1"/>
        </w:rPr>
        <w:t>NMI does not currently require UMVs to submit verification data. However, NMI can request verification information from a UMV as required or can impose submission of verification data as a condition on a UMV’s appointment.</w:t>
      </w:r>
      <w:r w:rsidR="00042A50">
        <w:rPr>
          <w:rStyle w:val="FootnoteReference"/>
          <w:color w:val="000000" w:themeColor="text1"/>
        </w:rPr>
        <w:footnoteReference w:id="41"/>
      </w:r>
      <w:r w:rsidR="00042A50">
        <w:rPr>
          <w:color w:val="000000" w:themeColor="text1"/>
        </w:rPr>
        <w:t xml:space="preserve"> </w:t>
      </w:r>
      <w:r w:rsidR="000D7F25">
        <w:rPr>
          <w:color w:val="000000" w:themeColor="text1"/>
        </w:rPr>
        <w:t>A</w:t>
      </w:r>
      <w:r w:rsidR="00042A50">
        <w:rPr>
          <w:color w:val="000000" w:themeColor="text1"/>
        </w:rPr>
        <w:t>lso, a</w:t>
      </w:r>
      <w:r w:rsidR="00E12BA8">
        <w:rPr>
          <w:color w:val="000000" w:themeColor="text1"/>
        </w:rPr>
        <w:t xml:space="preserve"> trade measurement inspector may enter the business premises of a UMV to </w:t>
      </w:r>
      <w:r w:rsidR="00316E90">
        <w:rPr>
          <w:color w:val="000000" w:themeColor="text1"/>
        </w:rPr>
        <w:t xml:space="preserve">check </w:t>
      </w:r>
      <w:r w:rsidR="0077285B">
        <w:rPr>
          <w:color w:val="000000" w:themeColor="text1"/>
        </w:rPr>
        <w:t xml:space="preserve">their </w:t>
      </w:r>
      <w:r w:rsidR="00316E90">
        <w:rPr>
          <w:color w:val="000000" w:themeColor="text1"/>
        </w:rPr>
        <w:t xml:space="preserve">compliance with </w:t>
      </w:r>
      <w:r w:rsidR="00E12BA8">
        <w:rPr>
          <w:color w:val="000000" w:themeColor="text1"/>
        </w:rPr>
        <w:t>condition</w:t>
      </w:r>
      <w:r w:rsidR="000D7F25">
        <w:rPr>
          <w:color w:val="000000" w:themeColor="text1"/>
        </w:rPr>
        <w:t>s</w:t>
      </w:r>
      <w:r w:rsidR="00E12BA8">
        <w:rPr>
          <w:color w:val="000000" w:themeColor="text1"/>
        </w:rPr>
        <w:t xml:space="preserve"> of appointment.</w:t>
      </w:r>
      <w:r w:rsidR="00316E90">
        <w:rPr>
          <w:rStyle w:val="FootnoteReference"/>
          <w:color w:val="000000" w:themeColor="text1"/>
        </w:rPr>
        <w:footnoteReference w:id="42"/>
      </w:r>
      <w:r w:rsidR="00042A50">
        <w:rPr>
          <w:rStyle w:val="FootnoteReference"/>
          <w:color w:val="000000" w:themeColor="text1"/>
        </w:rPr>
        <w:t xml:space="preserve"> </w:t>
      </w:r>
    </w:p>
    <w:p w14:paraId="5168EED9" w14:textId="4414DD6F" w:rsidR="00E12BA8" w:rsidRDefault="00042A50" w:rsidP="00A077C4">
      <w:pPr>
        <w:rPr>
          <w:color w:val="000000" w:themeColor="text1"/>
        </w:rPr>
      </w:pPr>
      <w:r w:rsidRPr="00B321A4">
        <w:rPr>
          <w:color w:val="000000" w:themeColor="text1"/>
        </w:rPr>
        <w:t xml:space="preserve">If a UMV breaches the conditions of appointment, NMI can take </w:t>
      </w:r>
      <w:r>
        <w:rPr>
          <w:color w:val="000000" w:themeColor="text1"/>
        </w:rPr>
        <w:t xml:space="preserve">administrative </w:t>
      </w:r>
      <w:r w:rsidRPr="00B321A4">
        <w:rPr>
          <w:color w:val="000000" w:themeColor="text1"/>
        </w:rPr>
        <w:t xml:space="preserve">disciplinary action against the UMV, </w:t>
      </w:r>
      <w:r w:rsidR="007E2CA1">
        <w:rPr>
          <w:color w:val="000000" w:themeColor="text1"/>
        </w:rPr>
        <w:t xml:space="preserve">which can </w:t>
      </w:r>
      <w:r w:rsidRPr="00B321A4">
        <w:rPr>
          <w:color w:val="000000" w:themeColor="text1"/>
        </w:rPr>
        <w:t>rang</w:t>
      </w:r>
      <w:r w:rsidR="007E2CA1">
        <w:rPr>
          <w:color w:val="000000" w:themeColor="text1"/>
        </w:rPr>
        <w:t>e</w:t>
      </w:r>
      <w:r w:rsidRPr="00B321A4">
        <w:rPr>
          <w:color w:val="000000" w:themeColor="text1"/>
        </w:rPr>
        <w:t xml:space="preserve"> from </w:t>
      </w:r>
      <w:r w:rsidR="007E2CA1">
        <w:rPr>
          <w:color w:val="000000" w:themeColor="text1"/>
        </w:rPr>
        <w:t xml:space="preserve">a </w:t>
      </w:r>
      <w:r w:rsidRPr="00B321A4">
        <w:rPr>
          <w:color w:val="000000" w:themeColor="text1"/>
        </w:rPr>
        <w:t>reprimand to revoking or suspending the appointment</w:t>
      </w:r>
      <w:r w:rsidR="00FD061C">
        <w:rPr>
          <w:color w:val="000000" w:themeColor="text1"/>
        </w:rPr>
        <w:t xml:space="preserve"> (section 18RG). </w:t>
      </w:r>
      <w:r w:rsidR="00F727FB">
        <w:t xml:space="preserve">Prior to taking disciplinary action, the UMV must be provided with </w:t>
      </w:r>
      <w:r w:rsidR="00E12BA8">
        <w:t xml:space="preserve">a </w:t>
      </w:r>
      <w:r w:rsidR="00F727FB">
        <w:t>notice</w:t>
      </w:r>
      <w:r w:rsidR="00E12BA8">
        <w:t xml:space="preserve"> setting out </w:t>
      </w:r>
      <w:r w:rsidR="00F727FB">
        <w:t xml:space="preserve">a statement of reasons regarding the alleged breach and an opportunity to comment </w:t>
      </w:r>
      <w:r w:rsidR="00E12BA8">
        <w:t>(</w:t>
      </w:r>
      <w:r w:rsidR="00D42D87">
        <w:rPr>
          <w:color w:val="000000" w:themeColor="text1"/>
        </w:rPr>
        <w:t>sections</w:t>
      </w:r>
      <w:r w:rsidR="00E12BA8">
        <w:t xml:space="preserve"> 18RD – 18RF).</w:t>
      </w:r>
      <w:r w:rsidR="00F727FB">
        <w:t xml:space="preserve"> </w:t>
      </w:r>
      <w:r w:rsidR="00316E90">
        <w:t xml:space="preserve"> </w:t>
      </w:r>
    </w:p>
    <w:p w14:paraId="17B5C99E" w14:textId="5E1613D2" w:rsidR="00E31EE4" w:rsidRDefault="00436169" w:rsidP="00436169">
      <w:pPr>
        <w:pStyle w:val="Heading2"/>
      </w:pPr>
      <w:bookmarkStart w:id="197" w:name="_Toc19884204"/>
      <w:bookmarkStart w:id="198" w:name="_Toc19891403"/>
      <w:bookmarkStart w:id="199" w:name="_Toc19891442"/>
      <w:bookmarkStart w:id="200" w:name="_Toc22897272"/>
      <w:bookmarkStart w:id="201" w:name="_Toc22899682"/>
      <w:bookmarkStart w:id="202" w:name="_Toc22900319"/>
      <w:bookmarkStart w:id="203" w:name="_Toc22901159"/>
      <w:r>
        <w:t xml:space="preserve">5.2 </w:t>
      </w:r>
      <w:r w:rsidR="00E31EE4">
        <w:t>Issues</w:t>
      </w:r>
      <w:bookmarkEnd w:id="197"/>
      <w:bookmarkEnd w:id="198"/>
      <w:bookmarkEnd w:id="199"/>
      <w:bookmarkEnd w:id="200"/>
      <w:bookmarkEnd w:id="201"/>
      <w:bookmarkEnd w:id="202"/>
      <w:bookmarkEnd w:id="203"/>
    </w:p>
    <w:p w14:paraId="2BC745E1" w14:textId="3C63A650" w:rsidR="00E31EE4" w:rsidRDefault="00A077C4" w:rsidP="00983BC3">
      <w:pPr>
        <w:pStyle w:val="Subtitle"/>
      </w:pPr>
      <w:r>
        <w:t xml:space="preserve">Is </w:t>
      </w:r>
      <w:r w:rsidR="00D6721D">
        <w:t>there</w:t>
      </w:r>
      <w:r>
        <w:t xml:space="preserve"> a n</w:t>
      </w:r>
      <w:r w:rsidR="00E87621">
        <w:t>eed for a separate category</w:t>
      </w:r>
      <w:r w:rsidR="0005507E">
        <w:t xml:space="preserve"> of verifier</w:t>
      </w:r>
    </w:p>
    <w:p w14:paraId="310B9067" w14:textId="5EC4FBAF" w:rsidR="00E87621" w:rsidRPr="003919E2" w:rsidRDefault="00E87621" w:rsidP="00097C66">
      <w:r>
        <w:t xml:space="preserve">UMVs are verifiers of measuring instruments used for trade – in this case utility meters. </w:t>
      </w:r>
      <w:r w:rsidR="005102F9">
        <w:t xml:space="preserve">They provide the verification required before a specific instrument </w:t>
      </w:r>
      <w:r w:rsidR="00BB5854">
        <w:t>can be</w:t>
      </w:r>
      <w:r w:rsidR="005102F9">
        <w:t xml:space="preserve"> used for the first time, or as may be periodically required.</w:t>
      </w:r>
      <w:r w:rsidR="0005507E">
        <w:t xml:space="preserve"> </w:t>
      </w:r>
      <w:r w:rsidR="00091B64">
        <w:t>While t</w:t>
      </w:r>
      <w:r w:rsidR="00404198">
        <w:t xml:space="preserve">his is </w:t>
      </w:r>
      <w:r w:rsidR="00286735">
        <w:t>similar to</w:t>
      </w:r>
      <w:r w:rsidR="00404198">
        <w:t xml:space="preserve"> the role that servicing licensees perform, </w:t>
      </w:r>
      <w:r w:rsidR="00091B64">
        <w:t xml:space="preserve">different arrangements apply. As outlined in Appendix A, these differences include the requirements which need to be satisfied to become appointed/licensed, ongoing conditions and compliance and enforcement options. </w:t>
      </w:r>
    </w:p>
    <w:p w14:paraId="67F1BFE2" w14:textId="77777777" w:rsidR="00A4385D" w:rsidRPr="00293DA8" w:rsidDel="005C7CAD" w:rsidRDefault="00A4385D" w:rsidP="00A4385D">
      <w:pPr>
        <w:pStyle w:val="Heading3"/>
      </w:pPr>
      <w:bookmarkStart w:id="204" w:name="_Toc19539253"/>
      <w:bookmarkStart w:id="205" w:name="_Toc19539544"/>
      <w:bookmarkStart w:id="206" w:name="_Toc19627801"/>
      <w:bookmarkStart w:id="207" w:name="_Toc19633204"/>
      <w:bookmarkStart w:id="208" w:name="_Toc19884205"/>
      <w:bookmarkStart w:id="209" w:name="_Toc19891404"/>
      <w:bookmarkStart w:id="210" w:name="_Toc19891443"/>
      <w:r w:rsidRPr="00293DA8">
        <w:t>Questions</w:t>
      </w:r>
      <w:bookmarkEnd w:id="204"/>
      <w:bookmarkEnd w:id="205"/>
      <w:bookmarkEnd w:id="206"/>
      <w:bookmarkEnd w:id="207"/>
      <w:bookmarkEnd w:id="208"/>
      <w:bookmarkEnd w:id="209"/>
      <w:bookmarkEnd w:id="210"/>
    </w:p>
    <w:p w14:paraId="520C467E" w14:textId="77777777" w:rsidR="004D6F23" w:rsidRDefault="006F05A2" w:rsidP="004D6F23">
      <w:pPr>
        <w:pStyle w:val="ListParagraph"/>
        <w:numPr>
          <w:ilvl w:val="2"/>
          <w:numId w:val="29"/>
        </w:numPr>
        <w:rPr>
          <w:color w:val="000000" w:themeColor="text1"/>
        </w:rPr>
      </w:pPr>
      <w:r w:rsidRPr="004D6F23">
        <w:rPr>
          <w:color w:val="000000" w:themeColor="text1"/>
        </w:rPr>
        <w:t>Should the current system for UMVs be maintained and why</w:t>
      </w:r>
      <w:r w:rsidR="005E5AF4" w:rsidRPr="004D6F23">
        <w:rPr>
          <w:color w:val="000000" w:themeColor="text1"/>
        </w:rPr>
        <w:t xml:space="preserve">? What is the value </w:t>
      </w:r>
      <w:r w:rsidR="007E2CA1" w:rsidRPr="004D6F23">
        <w:rPr>
          <w:color w:val="000000" w:themeColor="text1"/>
        </w:rPr>
        <w:t xml:space="preserve">UMVs </w:t>
      </w:r>
      <w:r w:rsidR="00D6295B" w:rsidRPr="004D6F23">
        <w:rPr>
          <w:color w:val="000000" w:themeColor="text1"/>
        </w:rPr>
        <w:t>provide</w:t>
      </w:r>
      <w:r w:rsidR="007E2CA1" w:rsidRPr="004D6F23">
        <w:rPr>
          <w:color w:val="000000" w:themeColor="text1"/>
        </w:rPr>
        <w:t xml:space="preserve"> </w:t>
      </w:r>
      <w:r w:rsidR="005E5AF4" w:rsidRPr="004D6F23">
        <w:rPr>
          <w:color w:val="000000" w:themeColor="text1"/>
        </w:rPr>
        <w:t>to businesses and to the community?</w:t>
      </w:r>
    </w:p>
    <w:p w14:paraId="72292C0C" w14:textId="595FBFD8" w:rsidR="004D6F23" w:rsidRDefault="003311D4" w:rsidP="004D6F23">
      <w:pPr>
        <w:pStyle w:val="ListParagraph"/>
        <w:numPr>
          <w:ilvl w:val="2"/>
          <w:numId w:val="29"/>
        </w:numPr>
        <w:rPr>
          <w:color w:val="000000" w:themeColor="text1"/>
        </w:rPr>
      </w:pPr>
      <w:r w:rsidRPr="004D6F23">
        <w:rPr>
          <w:color w:val="000000" w:themeColor="text1"/>
        </w:rPr>
        <w:t>How different is a UMV to a verifier of a trade measuring instrument under a Servic</w:t>
      </w:r>
      <w:r w:rsidR="007E2CA1" w:rsidRPr="004D6F23">
        <w:rPr>
          <w:color w:val="000000" w:themeColor="text1"/>
        </w:rPr>
        <w:t>ing</w:t>
      </w:r>
      <w:r w:rsidR="00EA623C">
        <w:rPr>
          <w:color w:val="000000" w:themeColor="text1"/>
        </w:rPr>
        <w:t xml:space="preserve"> Licence? </w:t>
      </w:r>
      <w:r w:rsidRPr="004D6F23">
        <w:rPr>
          <w:color w:val="000000" w:themeColor="text1"/>
        </w:rPr>
        <w:t>Do utility meters need to be verified by a se</w:t>
      </w:r>
      <w:r w:rsidR="00EA623C">
        <w:rPr>
          <w:color w:val="000000" w:themeColor="text1"/>
        </w:rPr>
        <w:t>parate category of third party?</w:t>
      </w:r>
      <w:r w:rsidRPr="004D6F23">
        <w:rPr>
          <w:color w:val="000000" w:themeColor="text1"/>
        </w:rPr>
        <w:t xml:space="preserve"> If so, why?</w:t>
      </w:r>
    </w:p>
    <w:p w14:paraId="4C5D12EF" w14:textId="77777777" w:rsidR="004D6F23" w:rsidRDefault="005102F9" w:rsidP="004D6F23">
      <w:pPr>
        <w:pStyle w:val="ListParagraph"/>
        <w:numPr>
          <w:ilvl w:val="2"/>
          <w:numId w:val="29"/>
        </w:numPr>
        <w:rPr>
          <w:color w:val="000000" w:themeColor="text1"/>
        </w:rPr>
      </w:pPr>
      <w:r w:rsidRPr="004D6F23">
        <w:rPr>
          <w:color w:val="000000" w:themeColor="text1"/>
        </w:rPr>
        <w:t>How can the process of appointment</w:t>
      </w:r>
      <w:r w:rsidR="00204867" w:rsidRPr="004D6F23">
        <w:rPr>
          <w:color w:val="000000" w:themeColor="text1"/>
        </w:rPr>
        <w:t xml:space="preserve"> for UMVs</w:t>
      </w:r>
      <w:r w:rsidRPr="004D6F23">
        <w:rPr>
          <w:color w:val="000000" w:themeColor="text1"/>
        </w:rPr>
        <w:t xml:space="preserve"> be improved? How appropriate</w:t>
      </w:r>
      <w:r w:rsidR="0005507E" w:rsidRPr="004D6F23">
        <w:rPr>
          <w:color w:val="000000" w:themeColor="text1"/>
        </w:rPr>
        <w:t>, effective</w:t>
      </w:r>
      <w:r w:rsidRPr="004D6F23">
        <w:rPr>
          <w:color w:val="000000" w:themeColor="text1"/>
        </w:rPr>
        <w:t xml:space="preserve"> and efficient are the current </w:t>
      </w:r>
      <w:r w:rsidR="00A4385D" w:rsidRPr="004D6F23">
        <w:rPr>
          <w:color w:val="000000" w:themeColor="text1"/>
        </w:rPr>
        <w:t>requirements</w:t>
      </w:r>
      <w:r w:rsidR="00404198" w:rsidRPr="004D6F23">
        <w:rPr>
          <w:color w:val="000000" w:themeColor="text1"/>
        </w:rPr>
        <w:t xml:space="preserve"> </w:t>
      </w:r>
      <w:r w:rsidR="007D595F" w:rsidRPr="004D6F23">
        <w:rPr>
          <w:color w:val="000000" w:themeColor="text1"/>
        </w:rPr>
        <w:t>and conditions</w:t>
      </w:r>
      <w:r w:rsidRPr="004D6F23">
        <w:rPr>
          <w:color w:val="000000" w:themeColor="text1"/>
        </w:rPr>
        <w:t xml:space="preserve"> </w:t>
      </w:r>
      <w:r w:rsidR="00A4385D" w:rsidRPr="004D6F23">
        <w:rPr>
          <w:color w:val="000000" w:themeColor="text1"/>
        </w:rPr>
        <w:t xml:space="preserve">for appointment </w:t>
      </w:r>
      <w:r w:rsidRPr="004D6F23">
        <w:rPr>
          <w:color w:val="000000" w:themeColor="text1"/>
        </w:rPr>
        <w:t xml:space="preserve">as a UMV? </w:t>
      </w:r>
    </w:p>
    <w:p w14:paraId="20BED384" w14:textId="77777777" w:rsidR="004D6F23" w:rsidRDefault="007D595F" w:rsidP="004D6F23">
      <w:pPr>
        <w:pStyle w:val="ListParagraph"/>
        <w:numPr>
          <w:ilvl w:val="2"/>
          <w:numId w:val="29"/>
        </w:numPr>
        <w:rPr>
          <w:color w:val="000000" w:themeColor="text1"/>
        </w:rPr>
      </w:pPr>
      <w:r w:rsidRPr="004D6F23">
        <w:rPr>
          <w:color w:val="000000" w:themeColor="text1"/>
        </w:rPr>
        <w:t xml:space="preserve">What </w:t>
      </w:r>
      <w:r w:rsidR="0005507E" w:rsidRPr="004D6F23">
        <w:rPr>
          <w:color w:val="000000" w:themeColor="text1"/>
        </w:rPr>
        <w:t>is the appropriate level of</w:t>
      </w:r>
      <w:r w:rsidRPr="004D6F23">
        <w:rPr>
          <w:color w:val="000000" w:themeColor="text1"/>
        </w:rPr>
        <w:t xml:space="preserve"> </w:t>
      </w:r>
      <w:r w:rsidR="005102F9" w:rsidRPr="004D6F23">
        <w:rPr>
          <w:color w:val="000000" w:themeColor="text1"/>
        </w:rPr>
        <w:t xml:space="preserve">competency </w:t>
      </w:r>
      <w:r w:rsidR="0005507E" w:rsidRPr="004D6F23">
        <w:rPr>
          <w:color w:val="000000" w:themeColor="text1"/>
        </w:rPr>
        <w:t xml:space="preserve">that should be </w:t>
      </w:r>
      <w:r w:rsidRPr="004D6F23">
        <w:rPr>
          <w:color w:val="000000" w:themeColor="text1"/>
        </w:rPr>
        <w:t xml:space="preserve">required for </w:t>
      </w:r>
      <w:r w:rsidR="0005507E" w:rsidRPr="004D6F23">
        <w:rPr>
          <w:color w:val="000000" w:themeColor="text1"/>
        </w:rPr>
        <w:t xml:space="preserve">a </w:t>
      </w:r>
      <w:r w:rsidRPr="004D6F23">
        <w:rPr>
          <w:color w:val="000000" w:themeColor="text1"/>
        </w:rPr>
        <w:t>UMV</w:t>
      </w:r>
      <w:r w:rsidR="005102F9" w:rsidRPr="004D6F23">
        <w:rPr>
          <w:color w:val="000000" w:themeColor="text1"/>
        </w:rPr>
        <w:t xml:space="preserve">? </w:t>
      </w:r>
      <w:r w:rsidR="0005507E" w:rsidRPr="004D6F23">
        <w:rPr>
          <w:color w:val="000000" w:themeColor="text1"/>
        </w:rPr>
        <w:t>Is the current accreditation requirement appropriate, effective and efficient?</w:t>
      </w:r>
    </w:p>
    <w:p w14:paraId="617CED6F" w14:textId="53C53CF4" w:rsidR="005102F9" w:rsidRPr="004D6F23" w:rsidRDefault="005102F9" w:rsidP="004D6F23">
      <w:pPr>
        <w:pStyle w:val="ListParagraph"/>
        <w:numPr>
          <w:ilvl w:val="2"/>
          <w:numId w:val="29"/>
        </w:numPr>
        <w:rPr>
          <w:color w:val="000000" w:themeColor="text1"/>
        </w:rPr>
      </w:pPr>
      <w:r w:rsidRPr="004D6F23">
        <w:rPr>
          <w:color w:val="000000" w:themeColor="text1"/>
        </w:rPr>
        <w:t xml:space="preserve">What is the appropriate </w:t>
      </w:r>
      <w:r w:rsidR="0005507E" w:rsidRPr="004D6F23">
        <w:rPr>
          <w:color w:val="000000" w:themeColor="text1"/>
        </w:rPr>
        <w:t>form</w:t>
      </w:r>
      <w:r w:rsidRPr="004D6F23">
        <w:rPr>
          <w:color w:val="000000" w:themeColor="text1"/>
        </w:rPr>
        <w:t xml:space="preserve"> of ongoing monitoring and auditing of</w:t>
      </w:r>
      <w:r w:rsidR="007D595F" w:rsidRPr="004D6F23">
        <w:rPr>
          <w:color w:val="000000" w:themeColor="text1"/>
        </w:rPr>
        <w:t xml:space="preserve"> a UMV</w:t>
      </w:r>
      <w:r w:rsidRPr="004D6F23">
        <w:rPr>
          <w:color w:val="000000" w:themeColor="text1"/>
        </w:rPr>
        <w:t>?</w:t>
      </w:r>
      <w:r w:rsidR="0005507E" w:rsidRPr="004D6F23">
        <w:rPr>
          <w:color w:val="000000" w:themeColor="text1"/>
        </w:rPr>
        <w:t xml:space="preserve"> </w:t>
      </w:r>
    </w:p>
    <w:p w14:paraId="469EAEA3" w14:textId="4B850F97" w:rsidR="00A4385D" w:rsidRPr="00E1297C" w:rsidRDefault="00A4385D" w:rsidP="00097C66">
      <w:pPr>
        <w:pStyle w:val="ListParagraph"/>
        <w:ind w:left="360"/>
        <w:jc w:val="both"/>
        <w:rPr>
          <w:color w:val="000000" w:themeColor="text1"/>
        </w:rPr>
      </w:pPr>
      <w:r w:rsidRPr="00E1297C">
        <w:rPr>
          <w:rFonts w:eastAsia="MS PGothic"/>
        </w:rPr>
        <w:br w:type="page"/>
      </w:r>
    </w:p>
    <w:p w14:paraId="509E6D65" w14:textId="0B7E0664" w:rsidR="00A4385D" w:rsidRPr="0082608E" w:rsidDel="005C7CAD" w:rsidRDefault="00A4385D" w:rsidP="00AC3B97">
      <w:pPr>
        <w:pStyle w:val="Heading1"/>
        <w:numPr>
          <w:ilvl w:val="0"/>
          <w:numId w:val="14"/>
        </w:numPr>
        <w:ind w:left="567" w:hanging="567"/>
        <w:rPr>
          <w:rFonts w:eastAsia="MS PGothic" w:cs="Arial"/>
          <w:color w:val="004059"/>
          <w:sz w:val="40"/>
          <w:szCs w:val="40"/>
        </w:rPr>
      </w:pPr>
      <w:bookmarkStart w:id="211" w:name="_Toc19539254"/>
      <w:bookmarkStart w:id="212" w:name="_Toc19539545"/>
      <w:bookmarkStart w:id="213" w:name="_Toc19627802"/>
      <w:bookmarkStart w:id="214" w:name="_Toc19633205"/>
      <w:bookmarkStart w:id="215" w:name="_Toc19884206"/>
      <w:bookmarkStart w:id="216" w:name="_Toc19891381"/>
      <w:bookmarkStart w:id="217" w:name="_Toc19891405"/>
      <w:bookmarkStart w:id="218" w:name="_Toc19891444"/>
      <w:bookmarkStart w:id="219" w:name="_Toc22897273"/>
      <w:bookmarkStart w:id="220" w:name="_Toc22899683"/>
      <w:bookmarkStart w:id="221" w:name="_Toc22900320"/>
      <w:bookmarkStart w:id="222" w:name="_Toc22901160"/>
      <w:r w:rsidRPr="0082608E">
        <w:rPr>
          <w:rFonts w:eastAsia="MS PGothic" w:cs="Arial"/>
          <w:color w:val="004059"/>
          <w:sz w:val="40"/>
          <w:szCs w:val="40"/>
        </w:rPr>
        <w:lastRenderedPageBreak/>
        <w:t xml:space="preserve">Public </w:t>
      </w:r>
      <w:r w:rsidRPr="0082608E">
        <w:rPr>
          <w:rFonts w:cs="Arial"/>
          <w:color w:val="004059"/>
          <w:sz w:val="40"/>
          <w:szCs w:val="40"/>
        </w:rPr>
        <w:t>Weighbridge</w:t>
      </w:r>
      <w:r w:rsidRPr="0082608E">
        <w:rPr>
          <w:rFonts w:eastAsia="MS PGothic" w:cs="Arial"/>
          <w:color w:val="004059"/>
          <w:sz w:val="40"/>
          <w:szCs w:val="40"/>
        </w:rPr>
        <w:t xml:space="preserve"> Licensees and Weighbridge Operators</w:t>
      </w:r>
      <w:bookmarkEnd w:id="211"/>
      <w:bookmarkEnd w:id="212"/>
      <w:bookmarkEnd w:id="213"/>
      <w:bookmarkEnd w:id="214"/>
      <w:bookmarkEnd w:id="215"/>
      <w:bookmarkEnd w:id="216"/>
      <w:bookmarkEnd w:id="217"/>
      <w:bookmarkEnd w:id="218"/>
      <w:bookmarkEnd w:id="219"/>
      <w:bookmarkEnd w:id="220"/>
      <w:bookmarkEnd w:id="221"/>
      <w:bookmarkEnd w:id="222"/>
    </w:p>
    <w:p w14:paraId="28FD9D75" w14:textId="018EC9E8" w:rsidR="00597465" w:rsidRDefault="00597465" w:rsidP="00597465">
      <w:pPr>
        <w:shd w:val="clear" w:color="auto" w:fill="DEEAF6" w:themeFill="accent1" w:themeFillTint="33"/>
        <w:spacing w:before="120" w:after="0" w:line="240" w:lineRule="auto"/>
        <w:rPr>
          <w:color w:val="000000" w:themeColor="text1"/>
        </w:rPr>
      </w:pPr>
      <w:r>
        <w:rPr>
          <w:color w:val="000000" w:themeColor="text1"/>
        </w:rPr>
        <w:t xml:space="preserve">The Act enables granting a </w:t>
      </w:r>
      <w:r w:rsidRPr="00097808">
        <w:rPr>
          <w:b/>
          <w:color w:val="000000" w:themeColor="text1"/>
        </w:rPr>
        <w:t>licence</w:t>
      </w:r>
      <w:r w:rsidRPr="007A7E41">
        <w:rPr>
          <w:b/>
          <w:color w:val="000000" w:themeColor="text1"/>
        </w:rPr>
        <w:t xml:space="preserve"> to operate a public weighbridge</w:t>
      </w:r>
      <w:r w:rsidR="00E06478" w:rsidRPr="00E06478">
        <w:rPr>
          <w:color w:val="000000" w:themeColor="text1"/>
        </w:rPr>
        <w:t xml:space="preserve">. </w:t>
      </w:r>
      <w:r w:rsidR="004B7076">
        <w:rPr>
          <w:color w:val="000000" w:themeColor="text1"/>
        </w:rPr>
        <w:t>When members of the public use a public weighbridge they can have confidence the weighing outcome is supported by requirements of the national measurement syste</w:t>
      </w:r>
      <w:r w:rsidR="00045BC8">
        <w:rPr>
          <w:color w:val="000000" w:themeColor="text1"/>
        </w:rPr>
        <w:t>m.</w:t>
      </w:r>
      <w:r w:rsidR="004B7076">
        <w:rPr>
          <w:color w:val="000000" w:themeColor="text1"/>
        </w:rPr>
        <w:t xml:space="preserve"> </w:t>
      </w:r>
      <w:r w:rsidR="00E06478" w:rsidRPr="00E06478">
        <w:rPr>
          <w:color w:val="000000" w:themeColor="text1"/>
        </w:rPr>
        <w:t>This</w:t>
      </w:r>
      <w:r w:rsidRPr="00597465">
        <w:t xml:space="preserve"> </w:t>
      </w:r>
      <w:r w:rsidR="00833DD8">
        <w:t>makes</w:t>
      </w:r>
      <w:r w:rsidR="004B7076">
        <w:t xml:space="preserve"> reliable</w:t>
      </w:r>
      <w:r w:rsidR="00833DD8">
        <w:t xml:space="preserve"> and </w:t>
      </w:r>
      <w:r>
        <w:t xml:space="preserve">independent </w:t>
      </w:r>
      <w:r w:rsidR="00833DD8" w:rsidRPr="0088693D">
        <w:rPr>
          <w:rFonts w:eastAsia="Times New Roman" w:cs="Times New Roman"/>
        </w:rPr>
        <w:t>weighing</w:t>
      </w:r>
      <w:r w:rsidR="00833DD8">
        <w:rPr>
          <w:rFonts w:eastAsia="Times New Roman" w:cs="Times New Roman"/>
        </w:rPr>
        <w:t xml:space="preserve"> of</w:t>
      </w:r>
      <w:r w:rsidR="00943718">
        <w:rPr>
          <w:rFonts w:eastAsia="Times New Roman" w:cs="Times New Roman"/>
        </w:rPr>
        <w:t xml:space="preserve"> heavy loads</w:t>
      </w:r>
      <w:r w:rsidR="00833DD8" w:rsidRPr="0088693D">
        <w:rPr>
          <w:rFonts w:eastAsia="Times New Roman" w:cs="Times New Roman"/>
        </w:rPr>
        <w:t xml:space="preserve"> accessible to communities across Australia</w:t>
      </w:r>
      <w:r>
        <w:t>.</w:t>
      </w:r>
      <w:r>
        <w:rPr>
          <w:color w:val="000000" w:themeColor="text1"/>
        </w:rPr>
        <w:t xml:space="preserve"> </w:t>
      </w:r>
    </w:p>
    <w:p w14:paraId="5FE13947" w14:textId="7D59CF55" w:rsidR="001F11FB" w:rsidRDefault="001F11FB" w:rsidP="001F11FB">
      <w:pPr>
        <w:spacing w:before="120" w:after="0" w:line="240" w:lineRule="auto"/>
      </w:pPr>
      <w:r>
        <w:t xml:space="preserve">A </w:t>
      </w:r>
      <w:r w:rsidRPr="003C5D34">
        <w:t>weighbridge</w:t>
      </w:r>
      <w:r w:rsidRPr="001F11FB">
        <w:t xml:space="preserve"> is</w:t>
      </w:r>
      <w:r w:rsidRPr="001F11FB">
        <w:rPr>
          <w:rFonts w:eastAsia="Times New Roman" w:cs="Times New Roman"/>
        </w:rPr>
        <w:t xml:space="preserve"> </w:t>
      </w:r>
      <w:r w:rsidRPr="003C5D34">
        <w:rPr>
          <w:rFonts w:eastAsia="Times New Roman" w:cs="Times New Roman"/>
        </w:rPr>
        <w:t xml:space="preserve">a measuring instrument that </w:t>
      </w:r>
      <w:r w:rsidR="00833DD8">
        <w:rPr>
          <w:rFonts w:eastAsia="Times New Roman" w:cs="Times New Roman"/>
        </w:rPr>
        <w:t xml:space="preserve">has </w:t>
      </w:r>
      <w:r w:rsidRPr="003C5D34">
        <w:rPr>
          <w:rFonts w:eastAsia="Times New Roman" w:cs="Times New Roman"/>
        </w:rPr>
        <w:t>a capacity of 3 tonnes or mo</w:t>
      </w:r>
      <w:r w:rsidRPr="001F11FB">
        <w:rPr>
          <w:rFonts w:eastAsia="Times New Roman" w:cs="Times New Roman"/>
        </w:rPr>
        <w:t xml:space="preserve">re and has one or more platforms capable of determining the mass of </w:t>
      </w:r>
      <w:r w:rsidR="00B321A4">
        <w:rPr>
          <w:rFonts w:eastAsia="Times New Roman" w:cs="Times New Roman"/>
        </w:rPr>
        <w:t>a</w:t>
      </w:r>
      <w:r w:rsidR="00204867">
        <w:rPr>
          <w:rFonts w:eastAsia="Times New Roman" w:cs="Times New Roman"/>
        </w:rPr>
        <w:t xml:space="preserve"> </w:t>
      </w:r>
      <w:r w:rsidRPr="001F11FB">
        <w:rPr>
          <w:rFonts w:eastAsia="Times New Roman" w:cs="Times New Roman"/>
        </w:rPr>
        <w:t>vehicle or of livestock.</w:t>
      </w:r>
      <w:r w:rsidRPr="0001666B">
        <w:rPr>
          <w:rStyle w:val="FootnoteReference"/>
          <w:rFonts w:eastAsia="Times New Roman" w:cs="Times New Roman"/>
        </w:rPr>
        <w:footnoteReference w:id="43"/>
      </w:r>
      <w:r w:rsidRPr="00A07017">
        <w:t xml:space="preserve"> </w:t>
      </w:r>
      <w:r w:rsidR="00E06478">
        <w:t xml:space="preserve">They are often used to weigh </w:t>
      </w:r>
      <w:r w:rsidR="00E06478" w:rsidRPr="00515D25">
        <w:t>goods such as farm produce, agricultural products, scrap metal and landscape materials</w:t>
      </w:r>
      <w:r w:rsidR="00E06478">
        <w:t>.</w:t>
      </w:r>
      <w:r w:rsidR="00E06478" w:rsidRPr="00515D25">
        <w:t xml:space="preserve"> </w:t>
      </w:r>
      <w:r>
        <w:t xml:space="preserve">Where a weighbridge is </w:t>
      </w:r>
      <w:r w:rsidR="00CF687D">
        <w:t>made available</w:t>
      </w:r>
      <w:r>
        <w:t xml:space="preserve"> as a public weighbridge,</w:t>
      </w:r>
      <w:r w:rsidR="00DB02EF">
        <w:rPr>
          <w:rStyle w:val="FootnoteReference"/>
        </w:rPr>
        <w:footnoteReference w:id="44"/>
      </w:r>
      <w:r>
        <w:t xml:space="preserve"> then they are subject to additional </w:t>
      </w:r>
      <w:r w:rsidR="00DB02EF">
        <w:t>requirements</w:t>
      </w:r>
      <w:r>
        <w:t xml:space="preserve"> under Part XI of the Act</w:t>
      </w:r>
      <w:r w:rsidR="00FD061C">
        <w:t xml:space="preserve">. </w:t>
      </w:r>
      <w:r w:rsidR="00DB02EF">
        <w:t xml:space="preserve">It is an offence to make a weighbridge </w:t>
      </w:r>
      <w:r w:rsidR="00597465">
        <w:t xml:space="preserve">available as a public weighbridge </w:t>
      </w:r>
      <w:r w:rsidR="00DB02EF">
        <w:t xml:space="preserve">without a </w:t>
      </w:r>
      <w:r w:rsidR="007E2CA1">
        <w:t xml:space="preserve">public weighbridge </w:t>
      </w:r>
      <w:r w:rsidR="00DB02EF">
        <w:t>licence.</w:t>
      </w:r>
      <w:r w:rsidR="00DB02EF">
        <w:rPr>
          <w:rStyle w:val="FootnoteReference"/>
        </w:rPr>
        <w:footnoteReference w:id="45"/>
      </w:r>
      <w:r w:rsidR="00DB02EF">
        <w:t xml:space="preserve"> </w:t>
      </w:r>
    </w:p>
    <w:p w14:paraId="55F36385" w14:textId="77777777" w:rsidR="00A4385D" w:rsidRPr="002912DB" w:rsidRDefault="00A4385D" w:rsidP="00A4385D">
      <w:pPr>
        <w:pStyle w:val="ListParagraph"/>
        <w:spacing w:after="0"/>
        <w:jc w:val="both"/>
        <w:rPr>
          <w:color w:val="000000" w:themeColor="text1"/>
          <w:sz w:val="8"/>
        </w:rPr>
      </w:pPr>
    </w:p>
    <w:p w14:paraId="23419E8F" w14:textId="30BF2798" w:rsidR="00A4385D" w:rsidRPr="001722F7" w:rsidRDefault="005130CA" w:rsidP="005130CA">
      <w:pPr>
        <w:pStyle w:val="Heading2"/>
      </w:pPr>
      <w:bookmarkStart w:id="223" w:name="_Toc19884207"/>
      <w:bookmarkStart w:id="224" w:name="_Toc19891406"/>
      <w:bookmarkStart w:id="225" w:name="_Toc19891445"/>
      <w:bookmarkStart w:id="226" w:name="_Toc22897274"/>
      <w:bookmarkStart w:id="227" w:name="_Toc22899684"/>
      <w:bookmarkStart w:id="228" w:name="_Toc22900321"/>
      <w:bookmarkStart w:id="229" w:name="_Toc22901161"/>
      <w:r>
        <w:t xml:space="preserve">6.1 </w:t>
      </w:r>
      <w:r w:rsidR="00CF687D">
        <w:t>Current Arrangements</w:t>
      </w:r>
      <w:bookmarkEnd w:id="223"/>
      <w:bookmarkEnd w:id="224"/>
      <w:bookmarkEnd w:id="225"/>
      <w:bookmarkEnd w:id="226"/>
      <w:bookmarkEnd w:id="227"/>
      <w:bookmarkEnd w:id="228"/>
      <w:bookmarkEnd w:id="229"/>
      <w:r w:rsidR="00CF687D" w:rsidRPr="001722F7">
        <w:t xml:space="preserve"> </w:t>
      </w:r>
    </w:p>
    <w:p w14:paraId="543726C3" w14:textId="1B630157" w:rsidR="00393690" w:rsidRDefault="00EE4CAA" w:rsidP="00393690">
      <w:pPr>
        <w:pStyle w:val="Subtitle"/>
      </w:pPr>
      <w:r>
        <w:t>Granting of licence</w:t>
      </w:r>
    </w:p>
    <w:p w14:paraId="0D010895" w14:textId="5FC99860" w:rsidR="009E727A" w:rsidRDefault="00B321A4" w:rsidP="00D6597C">
      <w:pPr>
        <w:pStyle w:val="CommentText"/>
        <w:rPr>
          <w:color w:val="000000" w:themeColor="text1"/>
          <w:sz w:val="22"/>
          <w:szCs w:val="22"/>
        </w:rPr>
      </w:pPr>
      <w:r w:rsidRPr="00B321A4">
        <w:rPr>
          <w:color w:val="000000" w:themeColor="text1"/>
          <w:sz w:val="22"/>
          <w:szCs w:val="22"/>
        </w:rPr>
        <w:t>NMI grants licences to third parties to operate public weighbridges.</w:t>
      </w:r>
      <w:r w:rsidR="00FD061C">
        <w:rPr>
          <w:color w:val="000000" w:themeColor="text1"/>
          <w:sz w:val="22"/>
          <w:szCs w:val="22"/>
        </w:rPr>
        <w:t xml:space="preserve"> </w:t>
      </w:r>
      <w:r w:rsidRPr="00B321A4">
        <w:rPr>
          <w:color w:val="000000" w:themeColor="text1"/>
          <w:sz w:val="22"/>
          <w:szCs w:val="22"/>
        </w:rPr>
        <w:t xml:space="preserve">The licence is granted following an assessment of the application along with the information accompanying it. NMI </w:t>
      </w:r>
      <w:r w:rsidR="00590097">
        <w:rPr>
          <w:color w:val="000000" w:themeColor="text1"/>
          <w:sz w:val="22"/>
          <w:szCs w:val="22"/>
        </w:rPr>
        <w:t>can</w:t>
      </w:r>
      <w:r w:rsidRPr="00B321A4">
        <w:rPr>
          <w:color w:val="000000" w:themeColor="text1"/>
          <w:sz w:val="22"/>
          <w:szCs w:val="22"/>
        </w:rPr>
        <w:t xml:space="preserve"> refuse an application based on the conditions set out in the legislation</w:t>
      </w:r>
      <w:r w:rsidR="00C37E51">
        <w:rPr>
          <w:color w:val="000000" w:themeColor="text1"/>
          <w:sz w:val="22"/>
          <w:szCs w:val="22"/>
        </w:rPr>
        <w:t>.</w:t>
      </w:r>
      <w:r w:rsidR="00DB02EF">
        <w:rPr>
          <w:color w:val="000000" w:themeColor="text1"/>
          <w:sz w:val="22"/>
          <w:szCs w:val="22"/>
        </w:rPr>
        <w:t xml:space="preserve"> </w:t>
      </w:r>
    </w:p>
    <w:p w14:paraId="49255750" w14:textId="7BB2EEC7" w:rsidR="00393690" w:rsidRPr="00E1297C" w:rsidRDefault="00393690" w:rsidP="00D6597C">
      <w:pPr>
        <w:pStyle w:val="CommentText"/>
        <w:rPr>
          <w:color w:val="000000" w:themeColor="text1"/>
          <w:sz w:val="22"/>
          <w:szCs w:val="22"/>
        </w:rPr>
      </w:pPr>
      <w:r w:rsidRPr="00E1297C">
        <w:rPr>
          <w:color w:val="000000" w:themeColor="text1"/>
          <w:sz w:val="22"/>
          <w:szCs w:val="22"/>
        </w:rPr>
        <w:t xml:space="preserve">Once </w:t>
      </w:r>
      <w:r w:rsidR="00FC59DC">
        <w:rPr>
          <w:color w:val="000000" w:themeColor="text1"/>
          <w:sz w:val="22"/>
          <w:szCs w:val="22"/>
        </w:rPr>
        <w:t>granted a licence</w:t>
      </w:r>
      <w:r w:rsidRPr="00E1297C">
        <w:rPr>
          <w:color w:val="000000" w:themeColor="text1"/>
          <w:sz w:val="22"/>
          <w:szCs w:val="22"/>
        </w:rPr>
        <w:t xml:space="preserve">, </w:t>
      </w:r>
      <w:r>
        <w:rPr>
          <w:color w:val="000000" w:themeColor="text1"/>
          <w:sz w:val="22"/>
          <w:szCs w:val="22"/>
        </w:rPr>
        <w:t xml:space="preserve">public weighbridge </w:t>
      </w:r>
      <w:r w:rsidRPr="00E1297C">
        <w:rPr>
          <w:color w:val="000000" w:themeColor="text1"/>
          <w:sz w:val="22"/>
          <w:szCs w:val="22"/>
        </w:rPr>
        <w:t>licensees have obligations to comply with, including:</w:t>
      </w:r>
    </w:p>
    <w:p w14:paraId="0E4D56BC" w14:textId="5E9F5A18" w:rsidR="008675F8" w:rsidRDefault="00393690" w:rsidP="00C254F9">
      <w:pPr>
        <w:pStyle w:val="ListParagraph"/>
        <w:numPr>
          <w:ilvl w:val="0"/>
          <w:numId w:val="2"/>
        </w:numPr>
        <w:spacing w:after="0"/>
        <w:ind w:left="360"/>
        <w:jc w:val="both"/>
        <w:rPr>
          <w:color w:val="000000" w:themeColor="text1"/>
        </w:rPr>
      </w:pPr>
      <w:r w:rsidRPr="005E08BA">
        <w:rPr>
          <w:color w:val="000000" w:themeColor="text1"/>
        </w:rPr>
        <w:t>ensuring the weighbridge is operated in accordance with requirements in the legislation</w:t>
      </w:r>
      <w:r w:rsidR="008675F8">
        <w:rPr>
          <w:color w:val="000000" w:themeColor="text1"/>
        </w:rPr>
        <w:t xml:space="preserve">; </w:t>
      </w:r>
      <w:r w:rsidR="005E08BA">
        <w:rPr>
          <w:color w:val="000000" w:themeColor="text1"/>
        </w:rPr>
        <w:t xml:space="preserve">and </w:t>
      </w:r>
    </w:p>
    <w:p w14:paraId="0BD0393B" w14:textId="601A4C7C" w:rsidR="00393690" w:rsidRPr="00D35027" w:rsidRDefault="005E08BA" w:rsidP="00C254F9">
      <w:pPr>
        <w:pStyle w:val="ListParagraph"/>
        <w:numPr>
          <w:ilvl w:val="0"/>
          <w:numId w:val="2"/>
        </w:numPr>
        <w:spacing w:after="0"/>
        <w:ind w:left="360"/>
        <w:jc w:val="both"/>
        <w:rPr>
          <w:color w:val="000000" w:themeColor="text1"/>
        </w:rPr>
      </w:pPr>
      <w:r>
        <w:rPr>
          <w:color w:val="000000" w:themeColor="text1"/>
        </w:rPr>
        <w:t xml:space="preserve">complying with </w:t>
      </w:r>
      <w:r w:rsidRPr="00E1297C">
        <w:rPr>
          <w:color w:val="000000" w:themeColor="text1"/>
        </w:rPr>
        <w:t>conditions under the licence</w:t>
      </w:r>
      <w:r>
        <w:rPr>
          <w:color w:val="000000" w:themeColor="text1"/>
        </w:rPr>
        <w:t>, which includes general conditions on all public weighbridge licensees</w:t>
      </w:r>
      <w:r>
        <w:rPr>
          <w:rStyle w:val="FootnoteReference"/>
          <w:color w:val="000000" w:themeColor="text1"/>
        </w:rPr>
        <w:footnoteReference w:id="46"/>
      </w:r>
      <w:r>
        <w:rPr>
          <w:color w:val="000000" w:themeColor="text1"/>
        </w:rPr>
        <w:t xml:space="preserve"> and additional conditions that can also be imposed</w:t>
      </w:r>
      <w:r w:rsidR="007B384B">
        <w:rPr>
          <w:color w:val="000000" w:themeColor="text1"/>
        </w:rPr>
        <w:t>.</w:t>
      </w:r>
      <w:r>
        <w:rPr>
          <w:rStyle w:val="FootnoteReference"/>
          <w:color w:val="000000" w:themeColor="text1"/>
        </w:rPr>
        <w:footnoteReference w:id="47"/>
      </w:r>
      <w:r>
        <w:rPr>
          <w:color w:val="000000" w:themeColor="text1"/>
        </w:rPr>
        <w:t xml:space="preserve"> </w:t>
      </w:r>
    </w:p>
    <w:p w14:paraId="2F7C5E1E" w14:textId="2B808709" w:rsidR="008675F8" w:rsidRDefault="008675F8" w:rsidP="005E08BA">
      <w:pPr>
        <w:pStyle w:val="ListParagraph"/>
        <w:spacing w:after="0"/>
        <w:jc w:val="both"/>
        <w:rPr>
          <w:color w:val="000000" w:themeColor="text1"/>
        </w:rPr>
      </w:pPr>
    </w:p>
    <w:p w14:paraId="337E477C" w14:textId="6BF52495" w:rsidR="008675F8" w:rsidRDefault="008675F8" w:rsidP="008675F8">
      <w:pPr>
        <w:pStyle w:val="CommentText"/>
        <w:rPr>
          <w:color w:val="000000" w:themeColor="text1"/>
          <w:sz w:val="22"/>
          <w:szCs w:val="22"/>
        </w:rPr>
      </w:pPr>
      <w:r w:rsidRPr="00E1297C">
        <w:rPr>
          <w:color w:val="000000" w:themeColor="text1"/>
          <w:sz w:val="22"/>
          <w:szCs w:val="22"/>
        </w:rPr>
        <w:t xml:space="preserve">The circumstances in which a </w:t>
      </w:r>
      <w:r w:rsidR="004803EF">
        <w:rPr>
          <w:color w:val="000000" w:themeColor="text1"/>
          <w:sz w:val="22"/>
          <w:szCs w:val="22"/>
        </w:rPr>
        <w:t>public weighbridge</w:t>
      </w:r>
      <w:r w:rsidRPr="00E1297C">
        <w:rPr>
          <w:color w:val="000000" w:themeColor="text1"/>
          <w:sz w:val="22"/>
          <w:szCs w:val="22"/>
        </w:rPr>
        <w:t xml:space="preserve"> licence must be re</w:t>
      </w:r>
      <w:r w:rsidR="00C37E51">
        <w:rPr>
          <w:color w:val="000000" w:themeColor="text1"/>
          <w:sz w:val="22"/>
          <w:szCs w:val="22"/>
        </w:rPr>
        <w:t>fused are set out in section 18P</w:t>
      </w:r>
      <w:r w:rsidRPr="00E1297C">
        <w:rPr>
          <w:color w:val="000000" w:themeColor="text1"/>
          <w:sz w:val="22"/>
          <w:szCs w:val="22"/>
        </w:rPr>
        <w:t>C of the Act</w:t>
      </w:r>
      <w:r>
        <w:rPr>
          <w:color w:val="000000" w:themeColor="text1"/>
          <w:sz w:val="22"/>
          <w:szCs w:val="22"/>
        </w:rPr>
        <w:t xml:space="preserve">. This includes where </w:t>
      </w:r>
      <w:r w:rsidR="00C37E51">
        <w:rPr>
          <w:color w:val="000000" w:themeColor="text1"/>
          <w:sz w:val="22"/>
          <w:szCs w:val="22"/>
        </w:rPr>
        <w:t>the weighbridge is not suitable as a public weighbridge</w:t>
      </w:r>
      <w:r w:rsidR="00C37E51">
        <w:rPr>
          <w:rStyle w:val="FootnoteReference"/>
          <w:color w:val="000000" w:themeColor="text1"/>
          <w:sz w:val="22"/>
          <w:szCs w:val="22"/>
        </w:rPr>
        <w:footnoteReference w:id="48"/>
      </w:r>
      <w:r w:rsidR="00C37E51">
        <w:rPr>
          <w:color w:val="000000" w:themeColor="text1"/>
          <w:sz w:val="22"/>
          <w:szCs w:val="22"/>
        </w:rPr>
        <w:t xml:space="preserve"> and where no one is competent to operate the weighbridge under the licence.</w:t>
      </w:r>
      <w:r w:rsidR="00C37E51">
        <w:rPr>
          <w:rStyle w:val="FootnoteReference"/>
          <w:color w:val="000000" w:themeColor="text1"/>
          <w:sz w:val="22"/>
          <w:szCs w:val="22"/>
        </w:rPr>
        <w:footnoteReference w:id="49"/>
      </w:r>
      <w:r w:rsidR="00C37E51">
        <w:rPr>
          <w:color w:val="000000" w:themeColor="text1"/>
          <w:sz w:val="22"/>
          <w:szCs w:val="22"/>
        </w:rPr>
        <w:t xml:space="preserve">  </w:t>
      </w:r>
    </w:p>
    <w:p w14:paraId="64F0B67F" w14:textId="4B5FE0EF" w:rsidR="00FC59DC" w:rsidRPr="00065E63" w:rsidRDefault="00FC59DC" w:rsidP="008675F8">
      <w:pPr>
        <w:pStyle w:val="Subtitle"/>
        <w:numPr>
          <w:ilvl w:val="0"/>
          <w:numId w:val="0"/>
        </w:numPr>
      </w:pPr>
      <w:r w:rsidRPr="00065E63">
        <w:t>Performance</w:t>
      </w:r>
    </w:p>
    <w:p w14:paraId="0E039F30" w14:textId="36896BC7" w:rsidR="00A4385D" w:rsidRPr="00E1297C" w:rsidRDefault="00C2773C" w:rsidP="00B321A4">
      <w:pPr>
        <w:rPr>
          <w:color w:val="000000" w:themeColor="text1"/>
        </w:rPr>
      </w:pPr>
      <w:r>
        <w:rPr>
          <w:color w:val="000000" w:themeColor="text1"/>
        </w:rPr>
        <w:t>P</w:t>
      </w:r>
      <w:r w:rsidRPr="00E1297C">
        <w:rPr>
          <w:color w:val="000000" w:themeColor="text1"/>
        </w:rPr>
        <w:t xml:space="preserve">ublic weighbridges are the only measuring instrument under the </w:t>
      </w:r>
      <w:r>
        <w:rPr>
          <w:color w:val="000000" w:themeColor="text1"/>
        </w:rPr>
        <w:t>measurement framework</w:t>
      </w:r>
      <w:r w:rsidRPr="00E1297C">
        <w:rPr>
          <w:color w:val="000000" w:themeColor="text1"/>
        </w:rPr>
        <w:t xml:space="preserve"> that</w:t>
      </w:r>
      <w:r>
        <w:rPr>
          <w:color w:val="000000" w:themeColor="text1"/>
        </w:rPr>
        <w:t xml:space="preserve"> currently</w:t>
      </w:r>
      <w:r w:rsidRPr="00E1297C">
        <w:rPr>
          <w:color w:val="000000" w:themeColor="text1"/>
        </w:rPr>
        <w:t xml:space="preserve"> require an appropriately qualified operator.</w:t>
      </w:r>
      <w:r>
        <w:rPr>
          <w:color w:val="000000" w:themeColor="text1"/>
        </w:rPr>
        <w:t xml:space="preserve"> </w:t>
      </w:r>
      <w:r w:rsidR="00AF22DF">
        <w:rPr>
          <w:color w:val="000000" w:themeColor="text1"/>
        </w:rPr>
        <w:t xml:space="preserve">One general condition </w:t>
      </w:r>
      <w:r>
        <w:rPr>
          <w:color w:val="000000" w:themeColor="text1"/>
        </w:rPr>
        <w:t xml:space="preserve">for the licence </w:t>
      </w:r>
      <w:r w:rsidR="00AF22DF">
        <w:rPr>
          <w:color w:val="000000" w:themeColor="text1"/>
        </w:rPr>
        <w:t>is that the licensee, an employee</w:t>
      </w:r>
      <w:r w:rsidR="00076ED3">
        <w:rPr>
          <w:color w:val="000000" w:themeColor="text1"/>
        </w:rPr>
        <w:t>,</w:t>
      </w:r>
      <w:r w:rsidR="00AF22DF">
        <w:rPr>
          <w:color w:val="000000" w:themeColor="text1"/>
        </w:rPr>
        <w:t xml:space="preserve"> or </w:t>
      </w:r>
      <w:r w:rsidR="0021025D">
        <w:rPr>
          <w:color w:val="000000" w:themeColor="text1"/>
        </w:rPr>
        <w:t xml:space="preserve">an </w:t>
      </w:r>
      <w:r w:rsidR="005E08BA">
        <w:rPr>
          <w:color w:val="000000" w:themeColor="text1"/>
        </w:rPr>
        <w:t>operator</w:t>
      </w:r>
      <w:r w:rsidR="00AF22DF">
        <w:rPr>
          <w:color w:val="000000" w:themeColor="text1"/>
        </w:rPr>
        <w:t xml:space="preserve"> </w:t>
      </w:r>
      <w:r w:rsidR="00F53B0C">
        <w:rPr>
          <w:color w:val="000000" w:themeColor="text1"/>
        </w:rPr>
        <w:t xml:space="preserve">contracted with </w:t>
      </w:r>
      <w:r w:rsidR="00AF22DF">
        <w:rPr>
          <w:color w:val="000000" w:themeColor="text1"/>
        </w:rPr>
        <w:t xml:space="preserve">the licensee must have </w:t>
      </w:r>
      <w:r w:rsidR="003D72D9">
        <w:rPr>
          <w:color w:val="000000" w:themeColor="text1"/>
        </w:rPr>
        <w:t xml:space="preserve">a statement of attainment </w:t>
      </w:r>
      <w:r w:rsidR="00AF22DF">
        <w:rPr>
          <w:color w:val="000000" w:themeColor="text1"/>
        </w:rPr>
        <w:t>to demonstrate</w:t>
      </w:r>
      <w:r w:rsidR="003D72D9" w:rsidRPr="008E1DAB">
        <w:rPr>
          <w:color w:val="000000" w:themeColor="text1"/>
        </w:rPr>
        <w:t xml:space="preserve"> </w:t>
      </w:r>
      <w:r w:rsidR="00F53B0C">
        <w:rPr>
          <w:color w:val="000000" w:themeColor="text1"/>
        </w:rPr>
        <w:t xml:space="preserve">the person is </w:t>
      </w:r>
      <w:r w:rsidR="00AF22DF">
        <w:rPr>
          <w:color w:val="000000" w:themeColor="text1"/>
        </w:rPr>
        <w:t>competen</w:t>
      </w:r>
      <w:r w:rsidR="00F53B0C">
        <w:rPr>
          <w:color w:val="000000" w:themeColor="text1"/>
        </w:rPr>
        <w:t>t</w:t>
      </w:r>
      <w:r w:rsidR="00AF22DF">
        <w:rPr>
          <w:color w:val="000000" w:themeColor="text1"/>
        </w:rPr>
        <w:t xml:space="preserve"> to operate a </w:t>
      </w:r>
      <w:r w:rsidR="003D72D9" w:rsidRPr="008E1DAB">
        <w:rPr>
          <w:color w:val="000000" w:themeColor="text1"/>
        </w:rPr>
        <w:t>weighbridge</w:t>
      </w:r>
      <w:r w:rsidR="003D72D9">
        <w:rPr>
          <w:color w:val="000000" w:themeColor="text1"/>
        </w:rPr>
        <w:t xml:space="preserve"> (NTMR regulation 3.62(g)</w:t>
      </w:r>
      <w:r w:rsidR="00D6597C">
        <w:rPr>
          <w:color w:val="000000" w:themeColor="text1"/>
        </w:rPr>
        <w:t>)</w:t>
      </w:r>
      <w:r w:rsidR="003D72D9">
        <w:rPr>
          <w:color w:val="000000" w:themeColor="text1"/>
        </w:rPr>
        <w:t xml:space="preserve">.  </w:t>
      </w:r>
    </w:p>
    <w:p w14:paraId="133F8AE2" w14:textId="50F890AD" w:rsidR="00D6597C" w:rsidRDefault="00C2773C" w:rsidP="00D6597C">
      <w:pPr>
        <w:rPr>
          <w:color w:val="000000" w:themeColor="text1"/>
        </w:rPr>
      </w:pPr>
      <w:bookmarkStart w:id="230" w:name="_Toc19539258"/>
      <w:bookmarkStart w:id="231" w:name="_Toc19539549"/>
      <w:bookmarkStart w:id="232" w:name="_Toc19627806"/>
      <w:bookmarkStart w:id="233" w:name="_Toc19633209"/>
      <w:r>
        <w:rPr>
          <w:color w:val="000000" w:themeColor="text1"/>
        </w:rPr>
        <w:lastRenderedPageBreak/>
        <w:t xml:space="preserve">Public weighbridges are also the </w:t>
      </w:r>
      <w:r w:rsidRPr="00E1297C">
        <w:rPr>
          <w:color w:val="000000" w:themeColor="text1"/>
        </w:rPr>
        <w:t>only measur</w:t>
      </w:r>
      <w:r w:rsidR="00B321A4">
        <w:rPr>
          <w:color w:val="000000" w:themeColor="text1"/>
        </w:rPr>
        <w:t>ing</w:t>
      </w:r>
      <w:r w:rsidRPr="00E1297C">
        <w:rPr>
          <w:color w:val="000000" w:themeColor="text1"/>
        </w:rPr>
        <w:t xml:space="preserve"> instrument </w:t>
      </w:r>
      <w:r>
        <w:rPr>
          <w:color w:val="000000" w:themeColor="text1"/>
        </w:rPr>
        <w:t>with</w:t>
      </w:r>
      <w:r w:rsidRPr="00E1297C">
        <w:rPr>
          <w:color w:val="000000" w:themeColor="text1"/>
        </w:rPr>
        <w:t xml:space="preserve"> a mandatory reverification period (every twelve months)</w:t>
      </w:r>
      <w:r>
        <w:rPr>
          <w:color w:val="000000" w:themeColor="text1"/>
        </w:rPr>
        <w:t>.</w:t>
      </w:r>
      <w:r>
        <w:rPr>
          <w:rStyle w:val="FootnoteReference"/>
          <w:color w:val="000000" w:themeColor="text1"/>
        </w:rPr>
        <w:footnoteReference w:id="50"/>
      </w:r>
      <w:r>
        <w:rPr>
          <w:color w:val="000000" w:themeColor="text1"/>
        </w:rPr>
        <w:t xml:space="preserve"> R</w:t>
      </w:r>
      <w:r w:rsidR="00BD4BFE">
        <w:rPr>
          <w:color w:val="000000" w:themeColor="text1"/>
        </w:rPr>
        <w:t xml:space="preserve">everification helps </w:t>
      </w:r>
      <w:r>
        <w:rPr>
          <w:color w:val="000000" w:themeColor="text1"/>
        </w:rPr>
        <w:t>maintain on-going</w:t>
      </w:r>
      <w:r w:rsidR="00BD4BFE">
        <w:rPr>
          <w:color w:val="000000" w:themeColor="text1"/>
        </w:rPr>
        <w:t xml:space="preserve"> confidence in the accuracy of public weighbridges</w:t>
      </w:r>
      <w:r w:rsidR="00076ED3">
        <w:rPr>
          <w:color w:val="000000" w:themeColor="text1"/>
        </w:rPr>
        <w:t>,</w:t>
      </w:r>
      <w:r w:rsidR="00BD4BFE">
        <w:rPr>
          <w:color w:val="000000" w:themeColor="text1"/>
        </w:rPr>
        <w:t xml:space="preserve"> as they </w:t>
      </w:r>
      <w:r w:rsidR="00BD4BFE" w:rsidRPr="00585E80">
        <w:rPr>
          <w:color w:val="000000" w:themeColor="text1"/>
        </w:rPr>
        <w:t xml:space="preserve">are subject to a range of </w:t>
      </w:r>
      <w:r>
        <w:rPr>
          <w:color w:val="000000" w:themeColor="text1"/>
        </w:rPr>
        <w:t xml:space="preserve">treatments that </w:t>
      </w:r>
      <w:r w:rsidR="00BD4BFE" w:rsidRPr="00585E80">
        <w:rPr>
          <w:color w:val="000000" w:themeColor="text1"/>
        </w:rPr>
        <w:t>affect their accuracy and reliability</w:t>
      </w:r>
      <w:r w:rsidR="00BD4BFE">
        <w:rPr>
          <w:color w:val="000000" w:themeColor="text1"/>
        </w:rPr>
        <w:t>.</w:t>
      </w:r>
      <w:r w:rsidR="00BD4BFE" w:rsidRPr="00E1297C">
        <w:rPr>
          <w:color w:val="000000" w:themeColor="text1"/>
        </w:rPr>
        <w:t xml:space="preserve"> </w:t>
      </w:r>
      <w:r w:rsidR="00BD4BFE">
        <w:rPr>
          <w:color w:val="000000" w:themeColor="text1"/>
        </w:rPr>
        <w:t>The verifications are performed by servicing licensees who follow the relevant NITP to ensure</w:t>
      </w:r>
      <w:r>
        <w:rPr>
          <w:color w:val="000000" w:themeColor="text1"/>
        </w:rPr>
        <w:t xml:space="preserve"> the use of</w:t>
      </w:r>
      <w:r w:rsidR="00BD4BFE">
        <w:rPr>
          <w:color w:val="000000" w:themeColor="text1"/>
        </w:rPr>
        <w:t xml:space="preserve"> </w:t>
      </w:r>
      <w:r>
        <w:rPr>
          <w:color w:val="000000" w:themeColor="text1"/>
        </w:rPr>
        <w:t>traceable reference standards and compliance with accuracy</w:t>
      </w:r>
      <w:r w:rsidR="00BD4BFE">
        <w:rPr>
          <w:color w:val="000000" w:themeColor="text1"/>
        </w:rPr>
        <w:t xml:space="preserve"> requirements.</w:t>
      </w:r>
      <w:r w:rsidR="00782458">
        <w:rPr>
          <w:rStyle w:val="FootnoteReference"/>
          <w:color w:val="000000" w:themeColor="text1"/>
        </w:rPr>
        <w:footnoteReference w:id="51"/>
      </w:r>
      <w:r w:rsidR="00D6597C">
        <w:rPr>
          <w:color w:val="000000" w:themeColor="text1"/>
        </w:rPr>
        <w:t xml:space="preserve"> </w:t>
      </w:r>
    </w:p>
    <w:p w14:paraId="0153F7B7" w14:textId="6C9C0820" w:rsidR="009C642C" w:rsidRPr="00A239A4" w:rsidRDefault="009C642C" w:rsidP="00D6597C">
      <w:pPr>
        <w:pStyle w:val="Subtitle"/>
      </w:pPr>
      <w:r w:rsidRPr="00A239A4">
        <w:t xml:space="preserve">Compliance and </w:t>
      </w:r>
      <w:r w:rsidR="00790FD0">
        <w:t>E</w:t>
      </w:r>
      <w:r w:rsidRPr="00A239A4">
        <w:t>nforcement</w:t>
      </w:r>
    </w:p>
    <w:p w14:paraId="3E924318" w14:textId="0BDB70FF" w:rsidR="001D1F4F" w:rsidRDefault="00BA4B7D" w:rsidP="00B321A4">
      <w:pPr>
        <w:rPr>
          <w:color w:val="000000" w:themeColor="text1"/>
        </w:rPr>
      </w:pPr>
      <w:r w:rsidRPr="00BA4B7D">
        <w:rPr>
          <w:color w:val="000000" w:themeColor="text1"/>
        </w:rPr>
        <w:t xml:space="preserve">NMI tests public weighbridges and carries out audits to assess the performance and compliance of the instrument, public weighbridge licensees and operators. </w:t>
      </w:r>
      <w:r w:rsidR="00782458" w:rsidRPr="00782458">
        <w:rPr>
          <w:color w:val="000000" w:themeColor="text1"/>
        </w:rPr>
        <w:t>Where a</w:t>
      </w:r>
      <w:r w:rsidR="0035762A">
        <w:rPr>
          <w:color w:val="000000" w:themeColor="text1"/>
        </w:rPr>
        <w:t xml:space="preserve"> weighbridge used for trade is </w:t>
      </w:r>
      <w:r w:rsidR="00782458" w:rsidRPr="00782458">
        <w:rPr>
          <w:color w:val="000000" w:themeColor="text1"/>
        </w:rPr>
        <w:t>found to be inaccurate</w:t>
      </w:r>
      <w:r w:rsidR="002912DB">
        <w:rPr>
          <w:color w:val="000000" w:themeColor="text1"/>
        </w:rPr>
        <w:t>,</w:t>
      </w:r>
      <w:r w:rsidR="00782458" w:rsidRPr="00782458">
        <w:rPr>
          <w:color w:val="000000" w:themeColor="text1"/>
        </w:rPr>
        <w:t xml:space="preserve"> a trade measurement officer </w:t>
      </w:r>
      <w:r w:rsidR="0035762A">
        <w:rPr>
          <w:color w:val="000000" w:themeColor="text1"/>
        </w:rPr>
        <w:t>follow</w:t>
      </w:r>
      <w:r w:rsidR="002912DB">
        <w:rPr>
          <w:color w:val="000000" w:themeColor="text1"/>
        </w:rPr>
        <w:t>s</w:t>
      </w:r>
      <w:r w:rsidR="0035762A">
        <w:rPr>
          <w:color w:val="000000" w:themeColor="text1"/>
        </w:rPr>
        <w:t xml:space="preserve"> the compliance arrangements for instruments used in trade</w:t>
      </w:r>
      <w:r w:rsidR="002912DB">
        <w:rPr>
          <w:color w:val="000000" w:themeColor="text1"/>
        </w:rPr>
        <w:t xml:space="preserve"> (</w:t>
      </w:r>
      <w:r w:rsidR="00FC59DC">
        <w:rPr>
          <w:color w:val="000000" w:themeColor="text1"/>
        </w:rPr>
        <w:t xml:space="preserve">refer to </w:t>
      </w:r>
      <w:hyperlink r:id="rId33" w:history="1">
        <w:r w:rsidR="00E06478" w:rsidRPr="00943718">
          <w:rPr>
            <w:rStyle w:val="Hyperlink"/>
            <w:i/>
          </w:rPr>
          <w:t xml:space="preserve">Discussion Paper 6: </w:t>
        </w:r>
        <w:r w:rsidR="002912DB" w:rsidRPr="00943718">
          <w:rPr>
            <w:rStyle w:val="Hyperlink"/>
            <w:i/>
          </w:rPr>
          <w:t>Compliance Arrangements</w:t>
        </w:r>
      </w:hyperlink>
      <w:r w:rsidR="002912DB">
        <w:rPr>
          <w:color w:val="000000" w:themeColor="text1"/>
        </w:rPr>
        <w:t>)</w:t>
      </w:r>
      <w:r w:rsidR="00E06478">
        <w:rPr>
          <w:color w:val="000000" w:themeColor="text1"/>
        </w:rPr>
        <w:t xml:space="preserve">. The officer will </w:t>
      </w:r>
      <w:r w:rsidR="009A7FD9">
        <w:rPr>
          <w:color w:val="000000" w:themeColor="text1"/>
        </w:rPr>
        <w:t>remove</w:t>
      </w:r>
      <w:r w:rsidR="002912DB">
        <w:rPr>
          <w:color w:val="000000" w:themeColor="text1"/>
        </w:rPr>
        <w:t xml:space="preserve"> the verification mark,</w:t>
      </w:r>
      <w:r w:rsidR="004C483E">
        <w:rPr>
          <w:color w:val="000000" w:themeColor="text1"/>
        </w:rPr>
        <w:t xml:space="preserve"> </w:t>
      </w:r>
      <w:r w:rsidR="004C483E" w:rsidRPr="00E06478">
        <w:rPr>
          <w:color w:val="000000" w:themeColor="text1"/>
        </w:rPr>
        <w:t>communicat</w:t>
      </w:r>
      <w:r w:rsidR="009A7FD9">
        <w:rPr>
          <w:color w:val="000000" w:themeColor="text1"/>
        </w:rPr>
        <w:t>e</w:t>
      </w:r>
      <w:r w:rsidR="004C483E" w:rsidRPr="00E06478">
        <w:rPr>
          <w:color w:val="000000" w:themeColor="text1"/>
        </w:rPr>
        <w:t xml:space="preserve"> specific non-compliance issues, </w:t>
      </w:r>
      <w:r w:rsidR="004247E6">
        <w:rPr>
          <w:color w:val="000000" w:themeColor="text1"/>
        </w:rPr>
        <w:t xml:space="preserve">and as appropriate </w:t>
      </w:r>
      <w:r w:rsidR="009A7FD9">
        <w:rPr>
          <w:color w:val="000000" w:themeColor="text1"/>
        </w:rPr>
        <w:t xml:space="preserve">give </w:t>
      </w:r>
      <w:r w:rsidR="002912DB">
        <w:rPr>
          <w:color w:val="000000" w:themeColor="text1"/>
        </w:rPr>
        <w:t xml:space="preserve">a notice to remedy, </w:t>
      </w:r>
      <w:r w:rsidR="00A002F3" w:rsidRPr="00A002F3">
        <w:rPr>
          <w:color w:val="000000" w:themeColor="text1"/>
        </w:rPr>
        <w:t>or a non-compliance notice. More serious non-compliance may also attract additional regulatory responses including l</w:t>
      </w:r>
      <w:r w:rsidR="00A002F3">
        <w:rPr>
          <w:color w:val="000000" w:themeColor="text1"/>
        </w:rPr>
        <w:t>etters of warning, issuance of</w:t>
      </w:r>
      <w:r w:rsidR="00A002F3" w:rsidRPr="00A002F3">
        <w:rPr>
          <w:color w:val="000000" w:themeColor="text1"/>
        </w:rPr>
        <w:t xml:space="preserve"> warning, </w:t>
      </w:r>
      <w:r w:rsidR="004C483E" w:rsidRPr="00E06478">
        <w:rPr>
          <w:color w:val="000000" w:themeColor="text1"/>
        </w:rPr>
        <w:t>infringement notice</w:t>
      </w:r>
      <w:r w:rsidR="00A002F3">
        <w:rPr>
          <w:color w:val="000000" w:themeColor="text1"/>
        </w:rPr>
        <w:t>s or prosecution referral</w:t>
      </w:r>
      <w:r w:rsidR="0035762A">
        <w:rPr>
          <w:color w:val="000000" w:themeColor="text1"/>
        </w:rPr>
        <w:t>.</w:t>
      </w:r>
      <w:r w:rsidR="00782458" w:rsidRPr="00782458">
        <w:rPr>
          <w:color w:val="000000" w:themeColor="text1"/>
        </w:rPr>
        <w:t xml:space="preserve"> </w:t>
      </w:r>
      <w:r w:rsidR="002912DB">
        <w:rPr>
          <w:rFonts w:eastAsia="Times New Roman" w:cs="Times New Roman"/>
        </w:rPr>
        <w:t xml:space="preserve">Servicing licensees </w:t>
      </w:r>
      <w:r w:rsidR="002912DB" w:rsidRPr="002912DB">
        <w:rPr>
          <w:rFonts w:eastAsia="Times New Roman" w:cs="Times New Roman"/>
        </w:rPr>
        <w:t xml:space="preserve">are </w:t>
      </w:r>
      <w:r w:rsidR="0021025D">
        <w:rPr>
          <w:rFonts w:eastAsia="Times New Roman" w:cs="Times New Roman"/>
        </w:rPr>
        <w:t xml:space="preserve">used </w:t>
      </w:r>
      <w:r w:rsidR="002912DB" w:rsidRPr="002912DB">
        <w:rPr>
          <w:rFonts w:eastAsia="Times New Roman" w:cs="Times New Roman"/>
        </w:rPr>
        <w:t xml:space="preserve">to </w:t>
      </w:r>
      <w:r w:rsidR="0021025D">
        <w:rPr>
          <w:rFonts w:eastAsia="Times New Roman" w:cs="Times New Roman"/>
        </w:rPr>
        <w:t xml:space="preserve">verify and </w:t>
      </w:r>
      <w:r w:rsidR="002912DB">
        <w:rPr>
          <w:rFonts w:eastAsia="Times New Roman" w:cs="Times New Roman"/>
        </w:rPr>
        <w:t>reverify weighbridges</w:t>
      </w:r>
      <w:r w:rsidR="002912DB" w:rsidRPr="002912DB">
        <w:rPr>
          <w:rFonts w:eastAsia="Times New Roman" w:cs="Times New Roman"/>
        </w:rPr>
        <w:t>.</w:t>
      </w:r>
    </w:p>
    <w:p w14:paraId="6ED6251D" w14:textId="7C8A92C4" w:rsidR="00B209D2" w:rsidRDefault="009A7FD9" w:rsidP="00B321A4">
      <w:pPr>
        <w:rPr>
          <w:color w:val="000000" w:themeColor="text1"/>
        </w:rPr>
      </w:pPr>
      <w:r>
        <w:rPr>
          <w:color w:val="000000" w:themeColor="text1"/>
        </w:rPr>
        <w:t>D</w:t>
      </w:r>
      <w:r w:rsidR="00DC4005">
        <w:rPr>
          <w:color w:val="000000" w:themeColor="text1"/>
        </w:rPr>
        <w:t xml:space="preserve">isciplinary actions which can be taken include </w:t>
      </w:r>
      <w:r w:rsidR="00DC4005" w:rsidRPr="00E1297C">
        <w:rPr>
          <w:color w:val="000000" w:themeColor="text1"/>
        </w:rPr>
        <w:t>reprimanding the licensee, imposing a condition on the licence, suspending the licence, cancelling the licence, accepting an enforceable undertaking from the licensee, or publicising information about a particular disciplinary action</w:t>
      </w:r>
      <w:r w:rsidR="00DC4005">
        <w:rPr>
          <w:color w:val="000000" w:themeColor="text1"/>
        </w:rPr>
        <w:t xml:space="preserve"> (s</w:t>
      </w:r>
      <w:r w:rsidR="00586B1C">
        <w:rPr>
          <w:color w:val="000000" w:themeColor="text1"/>
        </w:rPr>
        <w:t>ection</w:t>
      </w:r>
      <w:r w:rsidR="00DC4005">
        <w:rPr>
          <w:color w:val="000000" w:themeColor="text1"/>
        </w:rPr>
        <w:t>s 18QC - 18QF)</w:t>
      </w:r>
      <w:r w:rsidR="00DC4005" w:rsidRPr="00E1297C">
        <w:rPr>
          <w:color w:val="000000" w:themeColor="text1"/>
        </w:rPr>
        <w:t xml:space="preserve">. </w:t>
      </w:r>
      <w:r w:rsidR="00B209D2" w:rsidRPr="00E1297C">
        <w:rPr>
          <w:color w:val="000000" w:themeColor="text1"/>
        </w:rPr>
        <w:t>The legislation contains grounds for disciplinary action</w:t>
      </w:r>
      <w:r w:rsidR="00B209D2">
        <w:rPr>
          <w:color w:val="000000" w:themeColor="text1"/>
        </w:rPr>
        <w:t xml:space="preserve"> (s 18 QA)</w:t>
      </w:r>
      <w:r w:rsidR="00B209D2" w:rsidRPr="00E1297C">
        <w:rPr>
          <w:color w:val="000000" w:themeColor="text1"/>
        </w:rPr>
        <w:t>, including</w:t>
      </w:r>
      <w:r w:rsidR="0088693D">
        <w:rPr>
          <w:color w:val="000000" w:themeColor="text1"/>
        </w:rPr>
        <w:t xml:space="preserve"> for</w:t>
      </w:r>
      <w:r w:rsidR="00B209D2" w:rsidRPr="00E1297C">
        <w:rPr>
          <w:color w:val="000000" w:themeColor="text1"/>
        </w:rPr>
        <w:t xml:space="preserve"> breach</w:t>
      </w:r>
      <w:r w:rsidR="0088693D">
        <w:rPr>
          <w:color w:val="000000" w:themeColor="text1"/>
        </w:rPr>
        <w:t>ing</w:t>
      </w:r>
      <w:r w:rsidR="00B209D2" w:rsidRPr="00E1297C">
        <w:rPr>
          <w:color w:val="000000" w:themeColor="text1"/>
        </w:rPr>
        <w:t xml:space="preserve"> a licence condition</w:t>
      </w:r>
      <w:r w:rsidR="0088693D">
        <w:rPr>
          <w:color w:val="000000" w:themeColor="text1"/>
        </w:rPr>
        <w:t>,</w:t>
      </w:r>
      <w:r w:rsidR="00B209D2" w:rsidRPr="00E1297C">
        <w:rPr>
          <w:color w:val="000000" w:themeColor="text1"/>
        </w:rPr>
        <w:t xml:space="preserve"> </w:t>
      </w:r>
      <w:r w:rsidR="00EC6D7A">
        <w:rPr>
          <w:color w:val="000000" w:themeColor="text1"/>
        </w:rPr>
        <w:t>w</w:t>
      </w:r>
      <w:r w:rsidR="0088693D">
        <w:rPr>
          <w:color w:val="000000" w:themeColor="text1"/>
        </w:rPr>
        <w:t xml:space="preserve">hich is </w:t>
      </w:r>
      <w:r w:rsidR="00B209D2">
        <w:rPr>
          <w:color w:val="000000" w:themeColor="text1"/>
        </w:rPr>
        <w:t>a strict liability criminal offence (s 18</w:t>
      </w:r>
      <w:r w:rsidR="00DC4005">
        <w:rPr>
          <w:color w:val="000000" w:themeColor="text1"/>
        </w:rPr>
        <w:t>PU</w:t>
      </w:r>
      <w:r w:rsidR="00B209D2">
        <w:rPr>
          <w:color w:val="000000" w:themeColor="text1"/>
        </w:rPr>
        <w:t xml:space="preserve">). </w:t>
      </w:r>
    </w:p>
    <w:p w14:paraId="43A90412" w14:textId="305EC05F" w:rsidR="00BD4BFE" w:rsidRDefault="005130CA" w:rsidP="005130CA">
      <w:pPr>
        <w:pStyle w:val="Heading2"/>
        <w:rPr>
          <w:color w:val="000000" w:themeColor="text1"/>
        </w:rPr>
      </w:pPr>
      <w:bookmarkStart w:id="234" w:name="_Toc19884208"/>
      <w:bookmarkStart w:id="235" w:name="_Toc19891407"/>
      <w:bookmarkStart w:id="236" w:name="_Toc19891446"/>
      <w:bookmarkStart w:id="237" w:name="_Toc22897275"/>
      <w:bookmarkStart w:id="238" w:name="_Toc22899685"/>
      <w:bookmarkStart w:id="239" w:name="_Toc22900322"/>
      <w:bookmarkStart w:id="240" w:name="_Toc22901162"/>
      <w:bookmarkStart w:id="241" w:name="_Toc19539259"/>
      <w:bookmarkStart w:id="242" w:name="_Toc19539550"/>
      <w:bookmarkStart w:id="243" w:name="_Toc19627807"/>
      <w:bookmarkStart w:id="244" w:name="_Toc19633210"/>
      <w:bookmarkEnd w:id="230"/>
      <w:bookmarkEnd w:id="231"/>
      <w:bookmarkEnd w:id="232"/>
      <w:bookmarkEnd w:id="233"/>
      <w:r>
        <w:t xml:space="preserve">6.2 </w:t>
      </w:r>
      <w:r w:rsidR="00BD4BFE" w:rsidRPr="00956672">
        <w:t>Issues</w:t>
      </w:r>
      <w:bookmarkEnd w:id="234"/>
      <w:bookmarkEnd w:id="235"/>
      <w:bookmarkEnd w:id="236"/>
      <w:bookmarkEnd w:id="237"/>
      <w:bookmarkEnd w:id="238"/>
      <w:bookmarkEnd w:id="239"/>
      <w:bookmarkEnd w:id="240"/>
    </w:p>
    <w:bookmarkEnd w:id="241"/>
    <w:bookmarkEnd w:id="242"/>
    <w:bookmarkEnd w:id="243"/>
    <w:bookmarkEnd w:id="244"/>
    <w:p w14:paraId="7F289CF5" w14:textId="1B836E56" w:rsidR="00A4385D" w:rsidRPr="00BD4BFE" w:rsidRDefault="00BD4BFE">
      <w:pPr>
        <w:pStyle w:val="Subtitle"/>
      </w:pPr>
      <w:r>
        <w:t>Prescriptive requirements</w:t>
      </w:r>
    </w:p>
    <w:p w14:paraId="7E466D22" w14:textId="6DF22E16" w:rsidR="00586B1C" w:rsidRDefault="003D4A6A" w:rsidP="00B321A4">
      <w:pPr>
        <w:spacing w:after="120" w:line="240" w:lineRule="auto"/>
        <w:rPr>
          <w:color w:val="000000" w:themeColor="text1"/>
        </w:rPr>
      </w:pPr>
      <w:r w:rsidRPr="00540DA2">
        <w:rPr>
          <w:color w:val="000000" w:themeColor="text1"/>
        </w:rPr>
        <w:t xml:space="preserve">The current arrangements for </w:t>
      </w:r>
      <w:r w:rsidR="004247E6" w:rsidRPr="00540DA2">
        <w:rPr>
          <w:color w:val="000000" w:themeColor="text1"/>
        </w:rPr>
        <w:t xml:space="preserve">public weighbridges </w:t>
      </w:r>
      <w:r w:rsidR="0088693D">
        <w:rPr>
          <w:color w:val="000000" w:themeColor="text1"/>
        </w:rPr>
        <w:t xml:space="preserve">are derived </w:t>
      </w:r>
      <w:r w:rsidR="00B321A4">
        <w:rPr>
          <w:color w:val="000000" w:themeColor="text1"/>
        </w:rPr>
        <w:t>from</w:t>
      </w:r>
      <w:r w:rsidRPr="00540DA2">
        <w:rPr>
          <w:color w:val="000000" w:themeColor="text1"/>
        </w:rPr>
        <w:t xml:space="preserve"> requirements that existed in some </w:t>
      </w:r>
      <w:r w:rsidR="0088693D">
        <w:rPr>
          <w:color w:val="000000" w:themeColor="text1"/>
        </w:rPr>
        <w:t>s</w:t>
      </w:r>
      <w:r w:rsidRPr="00540DA2">
        <w:rPr>
          <w:color w:val="000000" w:themeColor="text1"/>
        </w:rPr>
        <w:t>tates prior to</w:t>
      </w:r>
      <w:r>
        <w:rPr>
          <w:color w:val="000000" w:themeColor="text1"/>
        </w:rPr>
        <w:t xml:space="preserve"> </w:t>
      </w:r>
      <w:r w:rsidR="00BA4B7D">
        <w:rPr>
          <w:color w:val="000000" w:themeColor="text1"/>
        </w:rPr>
        <w:t xml:space="preserve">the creation of the national </w:t>
      </w:r>
      <w:r w:rsidRPr="00540DA2">
        <w:rPr>
          <w:color w:val="000000" w:themeColor="text1"/>
        </w:rPr>
        <w:t xml:space="preserve">trade measurement system </w:t>
      </w:r>
      <w:r w:rsidR="0088693D">
        <w:rPr>
          <w:color w:val="000000" w:themeColor="text1"/>
        </w:rPr>
        <w:t xml:space="preserve">in 2010 </w:t>
      </w:r>
      <w:r w:rsidRPr="00540DA2">
        <w:rPr>
          <w:color w:val="000000" w:themeColor="text1"/>
        </w:rPr>
        <w:t xml:space="preserve">and reflect the complexity of public weighbridge operation </w:t>
      </w:r>
      <w:r>
        <w:rPr>
          <w:color w:val="000000" w:themeColor="text1"/>
        </w:rPr>
        <w:t>at that time</w:t>
      </w:r>
      <w:r w:rsidRPr="00540DA2">
        <w:rPr>
          <w:color w:val="000000" w:themeColor="text1"/>
        </w:rPr>
        <w:t>.</w:t>
      </w:r>
      <w:r>
        <w:rPr>
          <w:color w:val="000000" w:themeColor="text1"/>
        </w:rPr>
        <w:t xml:space="preserve"> </w:t>
      </w:r>
      <w:r w:rsidR="00A4385D" w:rsidRPr="00E1297C">
        <w:rPr>
          <w:color w:val="000000" w:themeColor="text1"/>
        </w:rPr>
        <w:t>As well as reverification and competency requirements</w:t>
      </w:r>
      <w:r w:rsidR="004247E6">
        <w:rPr>
          <w:color w:val="000000" w:themeColor="text1"/>
        </w:rPr>
        <w:t>,</w:t>
      </w:r>
      <w:r w:rsidR="00A4385D" w:rsidRPr="00E1297C">
        <w:rPr>
          <w:color w:val="000000" w:themeColor="text1"/>
        </w:rPr>
        <w:t xml:space="preserve"> public weighbridge licensees and operators need to comply with a number of prescriptive requirements set out in Divisions 3.1 and 3.2 of the </w:t>
      </w:r>
      <w:r w:rsidR="00A4385D">
        <w:rPr>
          <w:rStyle w:val="Hyperlink"/>
          <w:i/>
          <w:color w:val="000000" w:themeColor="text1"/>
          <w:u w:val="none"/>
        </w:rPr>
        <w:fldChar w:fldCharType="begin"/>
      </w:r>
      <w:r w:rsidR="00A4385D">
        <w:rPr>
          <w:rStyle w:val="Hyperlink"/>
          <w:i/>
          <w:color w:val="000000" w:themeColor="text1"/>
          <w:u w:val="none"/>
        </w:rPr>
        <w:fldChar w:fldCharType="separate"/>
      </w:r>
      <w:r w:rsidR="00A4385D">
        <w:rPr>
          <w:rStyle w:val="Hyperlink"/>
          <w:i/>
          <w:color w:val="000000" w:themeColor="text1"/>
          <w:u w:val="none"/>
        </w:rPr>
        <w:t>NTMR</w:t>
      </w:r>
      <w:r w:rsidR="00A4385D">
        <w:rPr>
          <w:rStyle w:val="Hyperlink"/>
          <w:i/>
          <w:color w:val="000000" w:themeColor="text1"/>
          <w:u w:val="none"/>
        </w:rPr>
        <w:fldChar w:fldCharType="end"/>
      </w:r>
      <w:r w:rsidR="00A4385D">
        <w:rPr>
          <w:color w:val="000000" w:themeColor="text1"/>
        </w:rPr>
        <w:t>NTMR.</w:t>
      </w:r>
      <w:r w:rsidR="00A4385D" w:rsidRPr="00E1297C">
        <w:rPr>
          <w:color w:val="000000" w:themeColor="text1"/>
        </w:rPr>
        <w:t xml:space="preserve"> </w:t>
      </w:r>
    </w:p>
    <w:p w14:paraId="541A4EE6" w14:textId="6ED5BE10" w:rsidR="00A4385D" w:rsidRPr="00E1297C" w:rsidRDefault="00FC59DC" w:rsidP="00B321A4">
      <w:pPr>
        <w:spacing w:after="120" w:line="240" w:lineRule="auto"/>
        <w:rPr>
          <w:color w:val="000000" w:themeColor="text1"/>
        </w:rPr>
      </w:pPr>
      <w:r>
        <w:rPr>
          <w:color w:val="000000" w:themeColor="text1"/>
        </w:rPr>
        <w:t>Some e</w:t>
      </w:r>
      <w:r w:rsidR="00A4385D" w:rsidRPr="00E1297C">
        <w:rPr>
          <w:color w:val="000000" w:themeColor="text1"/>
        </w:rPr>
        <w:t>xample</w:t>
      </w:r>
      <w:r w:rsidR="00A4385D">
        <w:rPr>
          <w:color w:val="000000" w:themeColor="text1"/>
        </w:rPr>
        <w:t>s</w:t>
      </w:r>
      <w:r w:rsidR="00A4385D" w:rsidRPr="00E1297C">
        <w:rPr>
          <w:color w:val="000000" w:themeColor="text1"/>
        </w:rPr>
        <w:t xml:space="preserve"> of</w:t>
      </w:r>
      <w:r w:rsidR="003D4A6A">
        <w:rPr>
          <w:color w:val="000000" w:themeColor="text1"/>
        </w:rPr>
        <w:t xml:space="preserve"> these </w:t>
      </w:r>
      <w:r w:rsidR="00A4385D" w:rsidRPr="00E1297C">
        <w:rPr>
          <w:color w:val="000000" w:themeColor="text1"/>
        </w:rPr>
        <w:t>prescriptive requirements include:</w:t>
      </w:r>
    </w:p>
    <w:p w14:paraId="1051BCFA" w14:textId="0E08D08F" w:rsidR="00A4385D" w:rsidRPr="00586B1C" w:rsidRDefault="00A4385D" w:rsidP="00C254F9">
      <w:pPr>
        <w:pStyle w:val="ListParagraph"/>
        <w:numPr>
          <w:ilvl w:val="0"/>
          <w:numId w:val="23"/>
        </w:numPr>
        <w:spacing w:after="120" w:line="240" w:lineRule="auto"/>
        <w:ind w:left="360"/>
        <w:rPr>
          <w:color w:val="000000" w:themeColor="text1"/>
        </w:rPr>
      </w:pPr>
      <w:r w:rsidRPr="00586B1C">
        <w:rPr>
          <w:color w:val="000000" w:themeColor="text1"/>
        </w:rPr>
        <w:t>Rules regarding weighbridge pit dimensions and features (regulation 3.6)</w:t>
      </w:r>
      <w:r w:rsidR="009F53EF">
        <w:rPr>
          <w:color w:val="000000" w:themeColor="text1"/>
        </w:rPr>
        <w:t>;</w:t>
      </w:r>
    </w:p>
    <w:p w14:paraId="2ACB7A1E" w14:textId="1A9CD7BF" w:rsidR="00A4385D" w:rsidRPr="00586B1C" w:rsidRDefault="00A4385D" w:rsidP="00C254F9">
      <w:pPr>
        <w:pStyle w:val="ListParagraph"/>
        <w:numPr>
          <w:ilvl w:val="0"/>
          <w:numId w:val="23"/>
        </w:numPr>
        <w:spacing w:after="120" w:line="240" w:lineRule="auto"/>
        <w:ind w:left="360"/>
        <w:rPr>
          <w:color w:val="000000" w:themeColor="text1"/>
        </w:rPr>
      </w:pPr>
      <w:r w:rsidRPr="00586B1C">
        <w:rPr>
          <w:color w:val="000000" w:themeColor="text1"/>
        </w:rPr>
        <w:t>Requirements for electrical or electronic devices (regulation 3.8(a)(iii))</w:t>
      </w:r>
      <w:r w:rsidR="009F53EF">
        <w:rPr>
          <w:color w:val="000000" w:themeColor="text1"/>
        </w:rPr>
        <w:t>;</w:t>
      </w:r>
    </w:p>
    <w:p w14:paraId="5B18ACAF" w14:textId="63C196F1" w:rsidR="00A4385D" w:rsidRPr="00586B1C" w:rsidRDefault="00A4385D" w:rsidP="00C254F9">
      <w:pPr>
        <w:pStyle w:val="ListParagraph"/>
        <w:numPr>
          <w:ilvl w:val="0"/>
          <w:numId w:val="23"/>
        </w:numPr>
        <w:spacing w:after="120" w:line="240" w:lineRule="auto"/>
        <w:ind w:left="360"/>
        <w:rPr>
          <w:color w:val="000000" w:themeColor="text1"/>
        </w:rPr>
      </w:pPr>
      <w:r w:rsidRPr="00586B1C">
        <w:rPr>
          <w:color w:val="000000" w:themeColor="text1"/>
        </w:rPr>
        <w:t>Requirements for public weighbr</w:t>
      </w:r>
      <w:r w:rsidR="00943718">
        <w:rPr>
          <w:color w:val="000000" w:themeColor="text1"/>
        </w:rPr>
        <w:t>idge signage (regulation 3.19</w:t>
      </w:r>
      <w:r w:rsidRPr="00586B1C">
        <w:rPr>
          <w:color w:val="000000" w:themeColor="text1"/>
        </w:rPr>
        <w:t>)</w:t>
      </w:r>
      <w:r w:rsidR="009F53EF">
        <w:rPr>
          <w:color w:val="000000" w:themeColor="text1"/>
        </w:rPr>
        <w:t>; and</w:t>
      </w:r>
    </w:p>
    <w:p w14:paraId="5CA5A2F8" w14:textId="693138A3" w:rsidR="00A4385D" w:rsidRPr="00586B1C" w:rsidRDefault="00A4385D" w:rsidP="00C254F9">
      <w:pPr>
        <w:pStyle w:val="ListParagraph"/>
        <w:numPr>
          <w:ilvl w:val="0"/>
          <w:numId w:val="23"/>
        </w:numPr>
        <w:spacing w:after="120" w:line="240" w:lineRule="auto"/>
        <w:ind w:left="360"/>
        <w:rPr>
          <w:color w:val="000000" w:themeColor="text1"/>
        </w:rPr>
      </w:pPr>
      <w:r w:rsidRPr="00586B1C">
        <w:rPr>
          <w:color w:val="000000" w:themeColor="text1"/>
        </w:rPr>
        <w:t xml:space="preserve">Rules regarding what information measurement tickets can contain </w:t>
      </w:r>
      <w:r w:rsidR="003D4A6A" w:rsidRPr="00586B1C">
        <w:rPr>
          <w:color w:val="000000" w:themeColor="text1"/>
        </w:rPr>
        <w:t>and how they are to be issued (regulation 3.43)</w:t>
      </w:r>
      <w:r w:rsidRPr="00586B1C">
        <w:rPr>
          <w:color w:val="000000" w:themeColor="text1"/>
        </w:rPr>
        <w:t>.</w:t>
      </w:r>
    </w:p>
    <w:p w14:paraId="72130C29" w14:textId="77777777" w:rsidR="00956672" w:rsidRPr="00956672" w:rsidRDefault="00956672">
      <w:pPr>
        <w:pStyle w:val="Subtitle"/>
      </w:pPr>
      <w:r w:rsidRPr="00956672">
        <w:t>New technology and weighbridges</w:t>
      </w:r>
    </w:p>
    <w:p w14:paraId="5969E56D" w14:textId="2FF4F580" w:rsidR="00A4385D" w:rsidRDefault="00956672" w:rsidP="00B8120B">
      <w:pPr>
        <w:pStyle w:val="CommentText"/>
        <w:rPr>
          <w:color w:val="000000" w:themeColor="text1"/>
          <w:sz w:val="22"/>
          <w:szCs w:val="22"/>
        </w:rPr>
      </w:pPr>
      <w:r w:rsidRPr="00956672">
        <w:rPr>
          <w:color w:val="000000" w:themeColor="text1"/>
          <w:sz w:val="22"/>
          <w:szCs w:val="22"/>
        </w:rPr>
        <w:t xml:space="preserve">Increased presence of electronics and automation of the weighing/ticketing process </w:t>
      </w:r>
      <w:r w:rsidR="00C91220">
        <w:rPr>
          <w:color w:val="000000" w:themeColor="text1"/>
          <w:sz w:val="22"/>
          <w:szCs w:val="22"/>
        </w:rPr>
        <w:t xml:space="preserve">has in most installations </w:t>
      </w:r>
      <w:r w:rsidRPr="00956672">
        <w:rPr>
          <w:color w:val="000000" w:themeColor="text1"/>
          <w:sz w:val="22"/>
          <w:szCs w:val="22"/>
        </w:rPr>
        <w:t>replace</w:t>
      </w:r>
      <w:r w:rsidR="00C91220">
        <w:rPr>
          <w:color w:val="000000" w:themeColor="text1"/>
          <w:sz w:val="22"/>
          <w:szCs w:val="22"/>
        </w:rPr>
        <w:t>d</w:t>
      </w:r>
      <w:r w:rsidRPr="00956672">
        <w:rPr>
          <w:color w:val="000000" w:themeColor="text1"/>
          <w:sz w:val="22"/>
          <w:szCs w:val="22"/>
        </w:rPr>
        <w:t xml:space="preserve"> the conventional mechanical weighbridge, e.g. advanced weighing systems using load cells and digital indicators and </w:t>
      </w:r>
      <w:r w:rsidR="00171F48">
        <w:rPr>
          <w:color w:val="000000" w:themeColor="text1"/>
          <w:sz w:val="22"/>
          <w:szCs w:val="22"/>
        </w:rPr>
        <w:t xml:space="preserve">computerised </w:t>
      </w:r>
      <w:r w:rsidRPr="00956672">
        <w:rPr>
          <w:color w:val="000000" w:themeColor="text1"/>
          <w:sz w:val="22"/>
          <w:szCs w:val="22"/>
        </w:rPr>
        <w:t xml:space="preserve">ticketing. </w:t>
      </w:r>
      <w:r w:rsidR="007E61CF">
        <w:rPr>
          <w:color w:val="000000" w:themeColor="text1"/>
          <w:sz w:val="22"/>
          <w:szCs w:val="22"/>
        </w:rPr>
        <w:t xml:space="preserve">There are also now </w:t>
      </w:r>
      <w:r w:rsidR="007E61CF" w:rsidRPr="0021025D">
        <w:rPr>
          <w:color w:val="000000" w:themeColor="text1"/>
          <w:sz w:val="22"/>
          <w:szCs w:val="22"/>
        </w:rPr>
        <w:t>fully automated weighing systems capable of issuing tickets</w:t>
      </w:r>
      <w:r w:rsidR="007E61CF">
        <w:rPr>
          <w:color w:val="000000" w:themeColor="text1"/>
          <w:sz w:val="22"/>
          <w:szCs w:val="22"/>
        </w:rPr>
        <w:t xml:space="preserve"> with </w:t>
      </w:r>
      <w:r w:rsidR="007E61CF" w:rsidRPr="00592E12">
        <w:rPr>
          <w:color w:val="000000" w:themeColor="text1"/>
          <w:sz w:val="22"/>
          <w:szCs w:val="22"/>
        </w:rPr>
        <w:t>remote monitoring and management</w:t>
      </w:r>
      <w:r w:rsidR="0021025D">
        <w:rPr>
          <w:color w:val="000000" w:themeColor="text1"/>
          <w:sz w:val="22"/>
          <w:szCs w:val="22"/>
        </w:rPr>
        <w:t>,</w:t>
      </w:r>
      <w:r w:rsidR="007E61CF">
        <w:rPr>
          <w:color w:val="000000" w:themeColor="text1"/>
          <w:sz w:val="22"/>
          <w:szCs w:val="22"/>
        </w:rPr>
        <w:t xml:space="preserve"> removing </w:t>
      </w:r>
      <w:r w:rsidR="007E61CF" w:rsidRPr="0021025D">
        <w:rPr>
          <w:color w:val="000000" w:themeColor="text1"/>
          <w:sz w:val="22"/>
          <w:szCs w:val="22"/>
        </w:rPr>
        <w:t>the need for an operator to be physically on site</w:t>
      </w:r>
      <w:r w:rsidR="007E61CF">
        <w:rPr>
          <w:color w:val="000000" w:themeColor="text1"/>
          <w:sz w:val="22"/>
          <w:szCs w:val="22"/>
        </w:rPr>
        <w:t xml:space="preserve">. </w:t>
      </w:r>
      <w:r w:rsidR="00F84C14">
        <w:rPr>
          <w:color w:val="000000" w:themeColor="text1"/>
          <w:sz w:val="22"/>
          <w:szCs w:val="22"/>
        </w:rPr>
        <w:t xml:space="preserve">To the extent that these changes </w:t>
      </w:r>
      <w:r w:rsidR="00B8120B">
        <w:rPr>
          <w:color w:val="000000" w:themeColor="text1"/>
          <w:sz w:val="22"/>
          <w:szCs w:val="22"/>
        </w:rPr>
        <w:t>make weighing simpler</w:t>
      </w:r>
      <w:r w:rsidR="00F84C14">
        <w:rPr>
          <w:color w:val="000000" w:themeColor="text1"/>
          <w:sz w:val="22"/>
          <w:szCs w:val="22"/>
        </w:rPr>
        <w:t xml:space="preserve">, </w:t>
      </w:r>
      <w:r w:rsidR="007E61CF">
        <w:rPr>
          <w:color w:val="000000" w:themeColor="text1"/>
          <w:sz w:val="22"/>
          <w:szCs w:val="22"/>
        </w:rPr>
        <w:t xml:space="preserve">or change the way that weighbridges are operated, then </w:t>
      </w:r>
      <w:r w:rsidR="00F84C14">
        <w:rPr>
          <w:color w:val="000000" w:themeColor="text1"/>
          <w:sz w:val="22"/>
          <w:szCs w:val="22"/>
        </w:rPr>
        <w:t>c</w:t>
      </w:r>
      <w:r w:rsidR="00A4385D">
        <w:rPr>
          <w:color w:val="000000" w:themeColor="text1"/>
          <w:sz w:val="22"/>
          <w:szCs w:val="22"/>
        </w:rPr>
        <w:t>onsideration</w:t>
      </w:r>
      <w:r w:rsidR="00A4385D" w:rsidDel="00F84C14">
        <w:rPr>
          <w:color w:val="000000" w:themeColor="text1"/>
          <w:sz w:val="22"/>
          <w:szCs w:val="22"/>
        </w:rPr>
        <w:t xml:space="preserve"> </w:t>
      </w:r>
      <w:r w:rsidR="00F84C14">
        <w:rPr>
          <w:color w:val="000000" w:themeColor="text1"/>
          <w:sz w:val="22"/>
          <w:szCs w:val="22"/>
        </w:rPr>
        <w:t xml:space="preserve">should </w:t>
      </w:r>
      <w:r w:rsidR="00A4385D">
        <w:rPr>
          <w:color w:val="000000" w:themeColor="text1"/>
          <w:sz w:val="22"/>
          <w:szCs w:val="22"/>
        </w:rPr>
        <w:t>be given</w:t>
      </w:r>
      <w:r w:rsidR="00A4385D" w:rsidDel="00F84C14">
        <w:rPr>
          <w:color w:val="000000" w:themeColor="text1"/>
          <w:sz w:val="22"/>
          <w:szCs w:val="22"/>
        </w:rPr>
        <w:t xml:space="preserve"> </w:t>
      </w:r>
      <w:r w:rsidR="00A4385D">
        <w:rPr>
          <w:color w:val="000000" w:themeColor="text1"/>
          <w:sz w:val="22"/>
          <w:szCs w:val="22"/>
        </w:rPr>
        <w:t xml:space="preserve">to whether the </w:t>
      </w:r>
      <w:r w:rsidR="00F84C14">
        <w:rPr>
          <w:color w:val="000000" w:themeColor="text1"/>
          <w:sz w:val="22"/>
          <w:szCs w:val="22"/>
        </w:rPr>
        <w:t xml:space="preserve">current </w:t>
      </w:r>
      <w:r w:rsidR="00A4385D">
        <w:rPr>
          <w:color w:val="000000" w:themeColor="text1"/>
          <w:sz w:val="22"/>
          <w:szCs w:val="22"/>
        </w:rPr>
        <w:t xml:space="preserve">level of prescriptive regulation continues to be appropriate.  </w:t>
      </w:r>
    </w:p>
    <w:p w14:paraId="06B956C8" w14:textId="11A8D0BB" w:rsidR="00A4385D" w:rsidRPr="00AB76B8" w:rsidRDefault="00A4385D" w:rsidP="00A4385D">
      <w:pPr>
        <w:pStyle w:val="Heading3"/>
      </w:pPr>
      <w:bookmarkStart w:id="245" w:name="_Toc19539264"/>
      <w:bookmarkStart w:id="246" w:name="_Toc19539555"/>
      <w:bookmarkStart w:id="247" w:name="_Toc19627810"/>
      <w:bookmarkStart w:id="248" w:name="_Toc19633213"/>
      <w:bookmarkStart w:id="249" w:name="_Toc19884209"/>
      <w:bookmarkStart w:id="250" w:name="_Toc19891408"/>
      <w:bookmarkStart w:id="251" w:name="_Toc19891447"/>
      <w:r w:rsidRPr="00AB76B8">
        <w:lastRenderedPageBreak/>
        <w:t>Questions</w:t>
      </w:r>
      <w:bookmarkEnd w:id="245"/>
      <w:bookmarkEnd w:id="246"/>
      <w:bookmarkEnd w:id="247"/>
      <w:bookmarkEnd w:id="248"/>
      <w:bookmarkEnd w:id="249"/>
      <w:bookmarkEnd w:id="250"/>
      <w:bookmarkEnd w:id="251"/>
    </w:p>
    <w:p w14:paraId="33C667DE" w14:textId="77777777" w:rsidR="00BB469A" w:rsidRPr="00BB469A" w:rsidRDefault="00AB5B01" w:rsidP="00BB469A">
      <w:pPr>
        <w:pStyle w:val="ListParagraph"/>
        <w:numPr>
          <w:ilvl w:val="2"/>
          <w:numId w:val="32"/>
        </w:numPr>
        <w:jc w:val="both"/>
        <w:rPr>
          <w:color w:val="000000" w:themeColor="text1"/>
        </w:rPr>
      </w:pPr>
      <w:r w:rsidRPr="00BB469A">
        <w:rPr>
          <w:rFonts w:eastAsia="Times New Roman" w:cs="Times New Roman"/>
        </w:rPr>
        <w:t xml:space="preserve">Has the need for public weighings changed? </w:t>
      </w:r>
      <w:r w:rsidR="007E61CF" w:rsidRPr="00BB469A">
        <w:rPr>
          <w:rFonts w:eastAsia="Times New Roman" w:cs="Times New Roman"/>
        </w:rPr>
        <w:t xml:space="preserve">Should public weighbridges continue to be licensed? </w:t>
      </w:r>
      <w:r w:rsidR="006F05A2" w:rsidRPr="00BB469A">
        <w:rPr>
          <w:rFonts w:eastAsia="Times New Roman" w:cs="Times New Roman"/>
        </w:rPr>
        <w:t>Is there a need to treat ‘public weighbridges’ differently to other weighbridges? Does this differing treatment create a disincentive for operators to provide access to a weighbridge as a public service?</w:t>
      </w:r>
      <w:r w:rsidR="007E61CF" w:rsidRPr="00BB469A">
        <w:rPr>
          <w:rFonts w:eastAsia="Times New Roman" w:cs="Times New Roman"/>
        </w:rPr>
        <w:t xml:space="preserve">  </w:t>
      </w:r>
    </w:p>
    <w:p w14:paraId="43ED5805" w14:textId="5D8B7E19" w:rsidR="00572071" w:rsidRPr="00BB469A" w:rsidRDefault="007E61CF" w:rsidP="00BB469A">
      <w:pPr>
        <w:pStyle w:val="ListParagraph"/>
        <w:numPr>
          <w:ilvl w:val="2"/>
          <w:numId w:val="32"/>
        </w:numPr>
        <w:jc w:val="both"/>
        <w:rPr>
          <w:color w:val="000000" w:themeColor="text1"/>
        </w:rPr>
      </w:pPr>
      <w:r w:rsidRPr="00BB469A">
        <w:rPr>
          <w:rFonts w:eastAsia="Times New Roman" w:cs="Times New Roman"/>
        </w:rPr>
        <w:t xml:space="preserve">Should </w:t>
      </w:r>
      <w:r w:rsidR="00720DB2" w:rsidRPr="00BB469A">
        <w:rPr>
          <w:rFonts w:eastAsia="Times New Roman" w:cs="Times New Roman"/>
        </w:rPr>
        <w:t>public weighbridges have a reverification period? If so, how o</w:t>
      </w:r>
      <w:r w:rsidR="00AB0787" w:rsidRPr="00BB469A">
        <w:rPr>
          <w:rFonts w:eastAsia="Times New Roman" w:cs="Times New Roman"/>
        </w:rPr>
        <w:t xml:space="preserve">ften should they be reverified, </w:t>
      </w:r>
      <w:r w:rsidR="00720DB2" w:rsidRPr="00BB469A">
        <w:rPr>
          <w:rFonts w:eastAsia="Times New Roman" w:cs="Times New Roman"/>
        </w:rPr>
        <w:t xml:space="preserve">noting the current requirement is every 12 months? Should </w:t>
      </w:r>
      <w:r w:rsidRPr="00BB469A">
        <w:rPr>
          <w:rFonts w:eastAsia="Times New Roman" w:cs="Times New Roman"/>
        </w:rPr>
        <w:t xml:space="preserve">a more flexible approach be taken?  </w:t>
      </w:r>
    </w:p>
    <w:p w14:paraId="119364DE" w14:textId="77777777" w:rsidR="00572071" w:rsidRDefault="00BF5B7F" w:rsidP="00BB469A">
      <w:pPr>
        <w:pStyle w:val="ListParagraph"/>
        <w:numPr>
          <w:ilvl w:val="2"/>
          <w:numId w:val="32"/>
        </w:numPr>
        <w:jc w:val="both"/>
        <w:rPr>
          <w:color w:val="000000" w:themeColor="text1"/>
        </w:rPr>
      </w:pPr>
      <w:r w:rsidRPr="00572071">
        <w:rPr>
          <w:color w:val="000000" w:themeColor="text1"/>
        </w:rPr>
        <w:t>How can the licensing and reporting requirements of licensees be streamlined and improved?</w:t>
      </w:r>
    </w:p>
    <w:p w14:paraId="0B94F936" w14:textId="68199FBD" w:rsidR="00BB469A" w:rsidRDefault="00BF5B7F" w:rsidP="00BB469A">
      <w:pPr>
        <w:pStyle w:val="ListParagraph"/>
        <w:numPr>
          <w:ilvl w:val="2"/>
          <w:numId w:val="32"/>
        </w:numPr>
        <w:jc w:val="both"/>
        <w:rPr>
          <w:color w:val="000000" w:themeColor="text1"/>
        </w:rPr>
      </w:pPr>
      <w:r w:rsidRPr="00572071">
        <w:rPr>
          <w:color w:val="000000" w:themeColor="text1"/>
        </w:rPr>
        <w:t>Which requirements are the most importa</w:t>
      </w:r>
      <w:r w:rsidR="00FD061C">
        <w:rPr>
          <w:color w:val="000000" w:themeColor="text1"/>
        </w:rPr>
        <w:t xml:space="preserve">nt for licensees and operators? </w:t>
      </w:r>
      <w:r w:rsidR="00FC59DC" w:rsidRPr="00572071">
        <w:rPr>
          <w:color w:val="000000" w:themeColor="text1"/>
        </w:rPr>
        <w:t>Wh</w:t>
      </w:r>
      <w:r w:rsidRPr="00572071">
        <w:rPr>
          <w:color w:val="000000" w:themeColor="text1"/>
        </w:rPr>
        <w:t>ich</w:t>
      </w:r>
      <w:r w:rsidR="00FC59DC" w:rsidRPr="00572071">
        <w:rPr>
          <w:color w:val="000000" w:themeColor="text1"/>
        </w:rPr>
        <w:t xml:space="preserve"> requirements are burdensome</w:t>
      </w:r>
      <w:r w:rsidRPr="00572071">
        <w:rPr>
          <w:color w:val="000000" w:themeColor="text1"/>
        </w:rPr>
        <w:t>, can be made less prescriptive</w:t>
      </w:r>
      <w:r w:rsidR="00FC59DC" w:rsidRPr="00572071">
        <w:rPr>
          <w:color w:val="000000" w:themeColor="text1"/>
        </w:rPr>
        <w:t xml:space="preserve"> </w:t>
      </w:r>
      <w:r w:rsidR="007E2CA1" w:rsidRPr="00572071">
        <w:rPr>
          <w:color w:val="000000" w:themeColor="text1"/>
        </w:rPr>
        <w:t xml:space="preserve">or </w:t>
      </w:r>
      <w:r w:rsidR="00FC59DC" w:rsidRPr="00572071">
        <w:rPr>
          <w:color w:val="000000" w:themeColor="text1"/>
        </w:rPr>
        <w:t>do not contribute to accuracy of the weighbridge?</w:t>
      </w:r>
      <w:r w:rsidRPr="00572071">
        <w:rPr>
          <w:color w:val="000000" w:themeColor="text1"/>
        </w:rPr>
        <w:t xml:space="preserve"> Which</w:t>
      </w:r>
      <w:r w:rsidR="00FC59DC" w:rsidRPr="00572071">
        <w:rPr>
          <w:color w:val="000000" w:themeColor="text1"/>
        </w:rPr>
        <w:t xml:space="preserve"> requirements could be removed, reduced or changed?</w:t>
      </w:r>
    </w:p>
    <w:p w14:paraId="413BB464" w14:textId="40BE1DEA" w:rsidR="00EE01B1" w:rsidRPr="00BB469A" w:rsidRDefault="00EE01B1" w:rsidP="00BB469A">
      <w:pPr>
        <w:pStyle w:val="ListParagraph"/>
        <w:numPr>
          <w:ilvl w:val="2"/>
          <w:numId w:val="32"/>
        </w:numPr>
        <w:jc w:val="both"/>
        <w:rPr>
          <w:color w:val="000000" w:themeColor="text1"/>
        </w:rPr>
      </w:pPr>
      <w:r w:rsidRPr="00BB469A">
        <w:rPr>
          <w:color w:val="000000" w:themeColor="text1"/>
        </w:rPr>
        <w:t>How can ongoing competency of weighbridge operators be ensured and facilitated?</w:t>
      </w:r>
      <w:r w:rsidR="001A24CD" w:rsidRPr="00BB469A">
        <w:rPr>
          <w:color w:val="000000" w:themeColor="text1"/>
        </w:rPr>
        <w:t xml:space="preserve"> </w:t>
      </w:r>
      <w:r w:rsidRPr="00BB469A">
        <w:rPr>
          <w:color w:val="000000" w:themeColor="text1"/>
        </w:rPr>
        <w:t xml:space="preserve">Is the </w:t>
      </w:r>
      <w:r w:rsidR="008532BC" w:rsidRPr="00BB469A">
        <w:rPr>
          <w:color w:val="000000" w:themeColor="text1"/>
        </w:rPr>
        <w:t xml:space="preserve">currently </w:t>
      </w:r>
      <w:r w:rsidRPr="00BB469A">
        <w:rPr>
          <w:color w:val="000000" w:themeColor="text1"/>
        </w:rPr>
        <w:t>required le</w:t>
      </w:r>
      <w:r w:rsidR="00F037F3">
        <w:rPr>
          <w:color w:val="000000" w:themeColor="text1"/>
        </w:rPr>
        <w:t xml:space="preserve">vel of competency appropriate? </w:t>
      </w:r>
      <w:r w:rsidRPr="00BB469A">
        <w:rPr>
          <w:color w:val="000000" w:themeColor="text1"/>
        </w:rPr>
        <w:t xml:space="preserve">What alternatives might be considered to an RTO-issued statement of attainment? </w:t>
      </w:r>
    </w:p>
    <w:p w14:paraId="18D57569" w14:textId="77777777" w:rsidR="00EE01B1" w:rsidRPr="008532BC" w:rsidRDefault="00EE01B1" w:rsidP="008532BC">
      <w:pPr>
        <w:jc w:val="both"/>
        <w:rPr>
          <w:color w:val="000000" w:themeColor="text1"/>
        </w:rPr>
      </w:pPr>
    </w:p>
    <w:p w14:paraId="01D4A906" w14:textId="76F008D4" w:rsidR="00A4385D" w:rsidRPr="00BF5B7F" w:rsidRDefault="00A4385D" w:rsidP="00BB469A">
      <w:pPr>
        <w:pStyle w:val="ListParagraph"/>
        <w:numPr>
          <w:ilvl w:val="0"/>
          <w:numId w:val="32"/>
        </w:numPr>
        <w:ind w:left="360"/>
        <w:jc w:val="both"/>
        <w:rPr>
          <w:color w:val="000000" w:themeColor="text1"/>
        </w:rPr>
      </w:pPr>
      <w:r w:rsidRPr="00BF5B7F">
        <w:rPr>
          <w:rFonts w:eastAsia="MS PGothic"/>
          <w:b/>
          <w:color w:val="000000" w:themeColor="text1"/>
        </w:rPr>
        <w:br w:type="page"/>
      </w:r>
    </w:p>
    <w:p w14:paraId="5664F0DE" w14:textId="28DB93EA" w:rsidR="00A4385D" w:rsidRPr="00DB1AAC" w:rsidRDefault="00572071" w:rsidP="00572071">
      <w:pPr>
        <w:pStyle w:val="Heading1"/>
        <w:rPr>
          <w:rFonts w:cs="Arial"/>
          <w:color w:val="004059"/>
          <w:sz w:val="40"/>
          <w:szCs w:val="40"/>
        </w:rPr>
      </w:pPr>
      <w:bookmarkStart w:id="252" w:name="_Toc19539265"/>
      <w:bookmarkStart w:id="253" w:name="_Toc19539556"/>
      <w:bookmarkStart w:id="254" w:name="_Toc19627811"/>
      <w:bookmarkStart w:id="255" w:name="_Toc19633214"/>
      <w:bookmarkStart w:id="256" w:name="_Toc19884210"/>
      <w:bookmarkStart w:id="257" w:name="_Toc19891382"/>
      <w:bookmarkStart w:id="258" w:name="_Toc19891409"/>
      <w:bookmarkStart w:id="259" w:name="_Toc19891448"/>
      <w:bookmarkStart w:id="260" w:name="_Toc22897276"/>
      <w:bookmarkStart w:id="261" w:name="_Toc22899686"/>
      <w:bookmarkStart w:id="262" w:name="_Toc22900323"/>
      <w:bookmarkStart w:id="263" w:name="_Toc22901163"/>
      <w:r w:rsidRPr="00DB1AAC">
        <w:rPr>
          <w:rFonts w:cs="Arial"/>
          <w:color w:val="004059"/>
          <w:sz w:val="40"/>
          <w:szCs w:val="40"/>
        </w:rPr>
        <w:lastRenderedPageBreak/>
        <w:t>7</w:t>
      </w:r>
      <w:r w:rsidR="00DB1AAC" w:rsidRPr="00DB1AAC">
        <w:rPr>
          <w:rFonts w:cs="Arial"/>
          <w:color w:val="004059"/>
          <w:sz w:val="40"/>
          <w:szCs w:val="40"/>
        </w:rPr>
        <w:t>.</w:t>
      </w:r>
      <w:r w:rsidRPr="00DB1AAC">
        <w:rPr>
          <w:rFonts w:cs="Arial"/>
          <w:color w:val="004059"/>
          <w:sz w:val="40"/>
          <w:szCs w:val="40"/>
        </w:rPr>
        <w:t xml:space="preserve"> </w:t>
      </w:r>
      <w:r w:rsidR="00A4385D" w:rsidRPr="00DB1AAC">
        <w:rPr>
          <w:rFonts w:cs="Arial"/>
          <w:color w:val="004059"/>
          <w:sz w:val="40"/>
          <w:szCs w:val="40"/>
        </w:rPr>
        <w:t>Legal Metrology Authorities (LMAs)</w:t>
      </w:r>
      <w:bookmarkEnd w:id="252"/>
      <w:bookmarkEnd w:id="253"/>
      <w:bookmarkEnd w:id="254"/>
      <w:bookmarkEnd w:id="255"/>
      <w:bookmarkEnd w:id="256"/>
      <w:bookmarkEnd w:id="257"/>
      <w:bookmarkEnd w:id="258"/>
      <w:bookmarkEnd w:id="259"/>
      <w:bookmarkEnd w:id="260"/>
      <w:bookmarkEnd w:id="261"/>
      <w:bookmarkEnd w:id="262"/>
      <w:bookmarkEnd w:id="263"/>
    </w:p>
    <w:p w14:paraId="12BC15F0" w14:textId="76D7BF42" w:rsidR="008B402D" w:rsidRDefault="00FF28D5" w:rsidP="00E06478">
      <w:pPr>
        <w:shd w:val="clear" w:color="auto" w:fill="DEEAF6" w:themeFill="accent1" w:themeFillTint="33"/>
        <w:rPr>
          <w:color w:val="000000" w:themeColor="text1"/>
        </w:rPr>
      </w:pPr>
      <w:r>
        <w:rPr>
          <w:color w:val="000000" w:themeColor="text1"/>
        </w:rPr>
        <w:t xml:space="preserve">Part 7 of the NMR </w:t>
      </w:r>
      <w:r w:rsidR="00E5557A">
        <w:rPr>
          <w:color w:val="000000" w:themeColor="text1"/>
        </w:rPr>
        <w:t>enable</w:t>
      </w:r>
      <w:r>
        <w:rPr>
          <w:color w:val="000000" w:themeColor="text1"/>
        </w:rPr>
        <w:t>s</w:t>
      </w:r>
      <w:r w:rsidR="00E5557A">
        <w:rPr>
          <w:color w:val="000000" w:themeColor="text1"/>
        </w:rPr>
        <w:t xml:space="preserve"> the Chief Metrologist to </w:t>
      </w:r>
      <w:r w:rsidR="00E5557A" w:rsidRPr="00820F3D">
        <w:rPr>
          <w:b/>
          <w:color w:val="000000" w:themeColor="text1"/>
        </w:rPr>
        <w:t xml:space="preserve">appoint </w:t>
      </w:r>
      <w:r w:rsidR="00CE38A3">
        <w:rPr>
          <w:b/>
          <w:color w:val="000000" w:themeColor="text1"/>
        </w:rPr>
        <w:t>LMAs</w:t>
      </w:r>
      <w:r w:rsidR="00CE38A3">
        <w:rPr>
          <w:color w:val="000000" w:themeColor="text1"/>
        </w:rPr>
        <w:t xml:space="preserve"> </w:t>
      </w:r>
      <w:r w:rsidR="009616BE">
        <w:rPr>
          <w:color w:val="000000" w:themeColor="text1"/>
        </w:rPr>
        <w:t xml:space="preserve">to </w:t>
      </w:r>
      <w:r w:rsidR="008B402D">
        <w:rPr>
          <w:color w:val="000000" w:themeColor="text1"/>
        </w:rPr>
        <w:t xml:space="preserve">exercise specific legal metrology functions that sustain the maintenance of traceability and confidence in measurement. </w:t>
      </w:r>
    </w:p>
    <w:p w14:paraId="33258EEC" w14:textId="3D46A6C7" w:rsidR="00AE16D9" w:rsidRPr="00AE16D9" w:rsidRDefault="00CE38A3" w:rsidP="00AE16D9">
      <w:pPr>
        <w:jc w:val="both"/>
        <w:rPr>
          <w:color w:val="000000" w:themeColor="text1"/>
        </w:rPr>
      </w:pPr>
      <w:r>
        <w:rPr>
          <w:color w:val="000000" w:themeColor="text1"/>
        </w:rPr>
        <w:t xml:space="preserve">There are three broad types of </w:t>
      </w:r>
      <w:r w:rsidR="00AE16D9" w:rsidRPr="00AE16D9">
        <w:rPr>
          <w:color w:val="000000" w:themeColor="text1"/>
        </w:rPr>
        <w:t>LMA</w:t>
      </w:r>
      <w:r>
        <w:rPr>
          <w:color w:val="000000" w:themeColor="text1"/>
        </w:rPr>
        <w:t xml:space="preserve">: </w:t>
      </w:r>
      <w:r w:rsidR="00AE16D9" w:rsidRPr="00AE16D9">
        <w:rPr>
          <w:color w:val="000000" w:themeColor="text1"/>
        </w:rPr>
        <w:t xml:space="preserve">  </w:t>
      </w:r>
    </w:p>
    <w:p w14:paraId="42E8C8A1" w14:textId="7DE67108" w:rsidR="00AE16D9" w:rsidRPr="00586B1C" w:rsidRDefault="00AE16D9" w:rsidP="00C254F9">
      <w:pPr>
        <w:pStyle w:val="ListParagraph"/>
        <w:numPr>
          <w:ilvl w:val="0"/>
          <w:numId w:val="22"/>
        </w:numPr>
        <w:ind w:left="360"/>
        <w:jc w:val="both"/>
        <w:rPr>
          <w:color w:val="000000" w:themeColor="text1"/>
        </w:rPr>
      </w:pPr>
      <w:r w:rsidRPr="00AB5B01">
        <w:rPr>
          <w:b/>
          <w:color w:val="000000" w:themeColor="text1"/>
        </w:rPr>
        <w:t>Verifying authorit</w:t>
      </w:r>
      <w:r w:rsidR="00CE38A3" w:rsidRPr="00AB5B01">
        <w:rPr>
          <w:b/>
          <w:color w:val="000000" w:themeColor="text1"/>
        </w:rPr>
        <w:t>ies</w:t>
      </w:r>
      <w:r w:rsidRPr="00586B1C">
        <w:rPr>
          <w:color w:val="000000" w:themeColor="text1"/>
        </w:rPr>
        <w:t xml:space="preserve"> – verifiers of certain standards of measurement</w:t>
      </w:r>
      <w:r w:rsidR="00146048">
        <w:rPr>
          <w:color w:val="000000" w:themeColor="text1"/>
        </w:rPr>
        <w:t xml:space="preserve"> and physical </w:t>
      </w:r>
      <w:r w:rsidR="00CE38A3">
        <w:rPr>
          <w:color w:val="000000" w:themeColor="text1"/>
        </w:rPr>
        <w:t xml:space="preserve">quantifies of </w:t>
      </w:r>
      <w:r w:rsidR="00146048">
        <w:rPr>
          <w:color w:val="000000" w:themeColor="text1"/>
        </w:rPr>
        <w:t>artefacts</w:t>
      </w:r>
      <w:r w:rsidR="00146048">
        <w:rPr>
          <w:rStyle w:val="FootnoteReference"/>
          <w:color w:val="000000" w:themeColor="text1"/>
        </w:rPr>
        <w:footnoteReference w:id="52"/>
      </w:r>
      <w:r w:rsidR="008B470F" w:rsidRPr="00A27B99">
        <w:rPr>
          <w:color w:val="000000" w:themeColor="text1"/>
          <w:vertAlign w:val="superscript"/>
        </w:rPr>
        <w:t>,</w:t>
      </w:r>
      <w:r w:rsidR="00146048" w:rsidRPr="00E1297C">
        <w:rPr>
          <w:rStyle w:val="FootnoteReference"/>
          <w:color w:val="000000" w:themeColor="text1"/>
        </w:rPr>
        <w:footnoteReference w:id="53"/>
      </w:r>
    </w:p>
    <w:p w14:paraId="0C1F5D90" w14:textId="0C8B2C68" w:rsidR="00AE16D9" w:rsidRDefault="00AE16D9" w:rsidP="00C254F9">
      <w:pPr>
        <w:pStyle w:val="ListParagraph"/>
        <w:numPr>
          <w:ilvl w:val="0"/>
          <w:numId w:val="22"/>
        </w:numPr>
        <w:ind w:left="360"/>
        <w:jc w:val="both"/>
        <w:rPr>
          <w:color w:val="000000" w:themeColor="text1"/>
        </w:rPr>
      </w:pPr>
      <w:r w:rsidRPr="00AB5B01">
        <w:rPr>
          <w:b/>
          <w:color w:val="000000" w:themeColor="text1"/>
        </w:rPr>
        <w:t>Certifying authorit</w:t>
      </w:r>
      <w:r w:rsidR="00CE38A3" w:rsidRPr="00AB5B01">
        <w:rPr>
          <w:b/>
          <w:color w:val="000000" w:themeColor="text1"/>
        </w:rPr>
        <w:t>ies</w:t>
      </w:r>
      <w:r w:rsidRPr="00586B1C">
        <w:rPr>
          <w:color w:val="000000" w:themeColor="text1"/>
        </w:rPr>
        <w:t xml:space="preserve"> – certifiers of certain reference materials and measuring instruments</w:t>
      </w:r>
      <w:r w:rsidR="00FF28D5">
        <w:rPr>
          <w:rStyle w:val="FootnoteReference"/>
          <w:color w:val="000000" w:themeColor="text1"/>
        </w:rPr>
        <w:footnoteReference w:id="54"/>
      </w:r>
      <w:r w:rsidR="008B470F" w:rsidRPr="00A27B99">
        <w:rPr>
          <w:color w:val="000000" w:themeColor="text1"/>
          <w:vertAlign w:val="superscript"/>
        </w:rPr>
        <w:t>,</w:t>
      </w:r>
      <w:r w:rsidR="00FF28D5" w:rsidRPr="00E1297C">
        <w:rPr>
          <w:rStyle w:val="FootnoteReference"/>
          <w:color w:val="000000" w:themeColor="text1"/>
        </w:rPr>
        <w:footnoteReference w:id="55"/>
      </w:r>
    </w:p>
    <w:p w14:paraId="18D1946C" w14:textId="16002E8C" w:rsidR="00FF28D5" w:rsidRDefault="00FF28D5" w:rsidP="00C254F9">
      <w:pPr>
        <w:pStyle w:val="ListParagraph"/>
        <w:numPr>
          <w:ilvl w:val="0"/>
          <w:numId w:val="22"/>
        </w:numPr>
        <w:ind w:left="360"/>
        <w:jc w:val="both"/>
        <w:rPr>
          <w:color w:val="000000" w:themeColor="text1"/>
        </w:rPr>
      </w:pPr>
      <w:r w:rsidRPr="00AB5B01">
        <w:rPr>
          <w:b/>
          <w:color w:val="000000" w:themeColor="text1"/>
        </w:rPr>
        <w:t>Approving authorit</w:t>
      </w:r>
      <w:r w:rsidR="00CE38A3" w:rsidRPr="00AB5B01">
        <w:rPr>
          <w:b/>
          <w:color w:val="000000" w:themeColor="text1"/>
        </w:rPr>
        <w:t>ies</w:t>
      </w:r>
      <w:r w:rsidRPr="00FF28D5">
        <w:rPr>
          <w:color w:val="000000" w:themeColor="text1"/>
        </w:rPr>
        <w:t xml:space="preserve"> – </w:t>
      </w:r>
      <w:r w:rsidR="005259DD">
        <w:rPr>
          <w:color w:val="000000" w:themeColor="text1"/>
        </w:rPr>
        <w:t>e</w:t>
      </w:r>
      <w:r w:rsidRPr="00FF28D5">
        <w:rPr>
          <w:color w:val="000000" w:themeColor="text1"/>
        </w:rPr>
        <w:t>xaminers, approvers or certifiers of patterns of measuring</w:t>
      </w:r>
      <w:r w:rsidRPr="00E1297C">
        <w:rPr>
          <w:rStyle w:val="FootnoteReference"/>
          <w:color w:val="000000" w:themeColor="text1"/>
        </w:rPr>
        <w:footnoteReference w:id="56"/>
      </w:r>
    </w:p>
    <w:p w14:paraId="6227AB01" w14:textId="77777777" w:rsidR="00B71B03" w:rsidRPr="00E1297C" w:rsidRDefault="00B71B03">
      <w:pPr>
        <w:pStyle w:val="ListParagraph"/>
        <w:spacing w:after="0"/>
        <w:ind w:left="360"/>
        <w:jc w:val="both"/>
        <w:rPr>
          <w:color w:val="000000" w:themeColor="text1"/>
        </w:rPr>
      </w:pPr>
    </w:p>
    <w:p w14:paraId="0D0AC532" w14:textId="59B6B5C9" w:rsidR="00590263" w:rsidRDefault="00590263" w:rsidP="00E06478">
      <w:pPr>
        <w:rPr>
          <w:color w:val="000000" w:themeColor="text1"/>
        </w:rPr>
      </w:pPr>
      <w:r w:rsidRPr="00E1297C">
        <w:rPr>
          <w:color w:val="000000" w:themeColor="text1"/>
        </w:rPr>
        <w:t xml:space="preserve">LMAs often operate as part of a business or scientific facility delivering a range of services within a robust quality assurance framework.  </w:t>
      </w:r>
    </w:p>
    <w:p w14:paraId="215F44C3" w14:textId="3E06C14C" w:rsidR="00AB7107" w:rsidRPr="001722F7" w:rsidRDefault="005130CA" w:rsidP="005130CA">
      <w:pPr>
        <w:pStyle w:val="Heading2"/>
      </w:pPr>
      <w:bookmarkStart w:id="264" w:name="_Toc19884211"/>
      <w:bookmarkStart w:id="265" w:name="_Toc19891410"/>
      <w:bookmarkStart w:id="266" w:name="_Toc19891449"/>
      <w:bookmarkStart w:id="267" w:name="_Toc22897277"/>
      <w:bookmarkStart w:id="268" w:name="_Toc22899687"/>
      <w:bookmarkStart w:id="269" w:name="_Toc22900324"/>
      <w:bookmarkStart w:id="270" w:name="_Toc22901164"/>
      <w:r>
        <w:t xml:space="preserve">7.1 </w:t>
      </w:r>
      <w:r w:rsidR="00AB7107">
        <w:t>Current Arrangements</w:t>
      </w:r>
      <w:bookmarkEnd w:id="264"/>
      <w:bookmarkEnd w:id="265"/>
      <w:bookmarkEnd w:id="266"/>
      <w:bookmarkEnd w:id="267"/>
      <w:bookmarkEnd w:id="268"/>
      <w:bookmarkEnd w:id="269"/>
      <w:bookmarkEnd w:id="270"/>
      <w:r w:rsidR="00AB7107" w:rsidRPr="001722F7">
        <w:t xml:space="preserve"> </w:t>
      </w:r>
    </w:p>
    <w:p w14:paraId="3705C74F" w14:textId="41AC0C07" w:rsidR="007C6F2C" w:rsidRDefault="007C6F2C" w:rsidP="00DB543B">
      <w:pPr>
        <w:pStyle w:val="Subtitle"/>
      </w:pPr>
      <w:r>
        <w:t>Appointment</w:t>
      </w:r>
    </w:p>
    <w:p w14:paraId="109A13A8" w14:textId="7FFCA43A" w:rsidR="007C6F2C" w:rsidRDefault="00FF28D5" w:rsidP="00D27090">
      <w:r w:rsidRPr="00FF28D5">
        <w:t xml:space="preserve">Generally, the Chief Metrologist appoints </w:t>
      </w:r>
      <w:hyperlink r:id="rId34" w:history="1">
        <w:r w:rsidRPr="008B470F">
          <w:rPr>
            <w:rStyle w:val="Hyperlink"/>
          </w:rPr>
          <w:t>verifying</w:t>
        </w:r>
      </w:hyperlink>
      <w:r w:rsidRPr="008B470F">
        <w:t xml:space="preserve"> and </w:t>
      </w:r>
      <w:hyperlink r:id="rId35" w:history="1">
        <w:r w:rsidRPr="008B470F">
          <w:rPr>
            <w:rStyle w:val="Hyperlink"/>
          </w:rPr>
          <w:t>certifying</w:t>
        </w:r>
      </w:hyperlink>
      <w:r w:rsidRPr="008B470F">
        <w:t xml:space="preserve"> authorit</w:t>
      </w:r>
      <w:r w:rsidR="00E557FA" w:rsidRPr="008B470F">
        <w:t>ies</w:t>
      </w:r>
      <w:r w:rsidRPr="00FF28D5">
        <w:t xml:space="preserve"> based on the applicant holding an appropriate NATA accreditation relevant to the functions of the appointment.</w:t>
      </w:r>
      <w:r>
        <w:rPr>
          <w:rStyle w:val="FootnoteReference"/>
        </w:rPr>
        <w:footnoteReference w:id="57"/>
      </w:r>
      <w:r w:rsidRPr="00FF28D5">
        <w:t xml:space="preserve"> The legislation also allows the Chief Metrologist to appoint a verifying or certifying authority if the Chief Metrologist is satisfied as to the competency of the applicant to carry out their function as an LMA.</w:t>
      </w:r>
      <w:r>
        <w:rPr>
          <w:rStyle w:val="FootnoteReference"/>
        </w:rPr>
        <w:footnoteReference w:id="58"/>
      </w:r>
      <w:r>
        <w:t xml:space="preserve"> </w:t>
      </w:r>
    </w:p>
    <w:p w14:paraId="72FC1EF2" w14:textId="6A3F2172" w:rsidR="007C6F2C" w:rsidRPr="00DB543B" w:rsidRDefault="005F429D">
      <w:pPr>
        <w:jc w:val="both"/>
        <w:rPr>
          <w:color w:val="000000" w:themeColor="text1"/>
        </w:rPr>
      </w:pPr>
      <w:r>
        <w:t xml:space="preserve">In contrast, NATA accreditation is not a specified pathway for </w:t>
      </w:r>
      <w:r w:rsidRPr="00FD061C">
        <w:t xml:space="preserve">appointment of </w:t>
      </w:r>
      <w:hyperlink r:id="rId36" w:history="1">
        <w:r w:rsidRPr="00FD061C">
          <w:rPr>
            <w:rStyle w:val="Hyperlink"/>
          </w:rPr>
          <w:t>approving</w:t>
        </w:r>
      </w:hyperlink>
      <w:r w:rsidRPr="00FD061C">
        <w:rPr>
          <w:rStyle w:val="Hyperlink"/>
          <w:color w:val="auto"/>
          <w:u w:val="none"/>
        </w:rPr>
        <w:t xml:space="preserve"> authorities</w:t>
      </w:r>
      <w:r w:rsidRPr="00FD061C">
        <w:t xml:space="preserve"> </w:t>
      </w:r>
      <w:r>
        <w:t xml:space="preserve">and the appointment is based on </w:t>
      </w:r>
      <w:r w:rsidR="006C56AB">
        <w:t xml:space="preserve">the </w:t>
      </w:r>
      <w:r>
        <w:t>Chief Metrologist being satisfied of the applicant’s competencies to carry out their role as an approving authority.</w:t>
      </w:r>
      <w:r>
        <w:rPr>
          <w:rStyle w:val="FootnoteReference"/>
        </w:rPr>
        <w:footnoteReference w:id="59"/>
      </w:r>
      <w:r w:rsidDel="005F429D">
        <w:rPr>
          <w:rStyle w:val="FootnoteReference"/>
          <w:color w:val="000000" w:themeColor="text1"/>
        </w:rPr>
        <w:t xml:space="preserve"> </w:t>
      </w:r>
    </w:p>
    <w:p w14:paraId="03C5D44F" w14:textId="10D9063D" w:rsidR="007C6F2C" w:rsidRPr="00DB543B" w:rsidRDefault="00590263" w:rsidP="00D27090">
      <w:pPr>
        <w:pStyle w:val="Subtitle"/>
      </w:pPr>
      <w:r>
        <w:t>Performance</w:t>
      </w:r>
    </w:p>
    <w:p w14:paraId="77A22B22" w14:textId="523345DB" w:rsidR="00590263" w:rsidRPr="00906616" w:rsidRDefault="00590263" w:rsidP="00590263">
      <w:r>
        <w:t>Appointment as an LMA is subject to a number of conditions</w:t>
      </w:r>
      <w:r w:rsidR="00706AF8">
        <w:t>,</w:t>
      </w:r>
      <w:r w:rsidR="00AE16D9" w:rsidRPr="00AE16D9">
        <w:t xml:space="preserve"> as specified in the legislation and the instrument of appointment</w:t>
      </w:r>
      <w:r w:rsidR="00706AF8">
        <w:t xml:space="preserve"> including</w:t>
      </w:r>
      <w:r>
        <w:t xml:space="preserve"> participation in </w:t>
      </w:r>
      <w:r w:rsidR="005F429D">
        <w:t>required LMA training and</w:t>
      </w:r>
      <w:r>
        <w:t xml:space="preserve"> compliance with the Act and regulations.</w:t>
      </w:r>
      <w:r w:rsidR="00706AF8">
        <w:rPr>
          <w:rStyle w:val="FootnoteReference"/>
        </w:rPr>
        <w:footnoteReference w:id="60"/>
      </w:r>
      <w:r>
        <w:t xml:space="preserve"> </w:t>
      </w:r>
      <w:r w:rsidR="008B402D">
        <w:t>T</w:t>
      </w:r>
      <w:r w:rsidR="00706AF8">
        <w:t>he NMR outline</w:t>
      </w:r>
      <w:r w:rsidR="003E5856">
        <w:t>s</w:t>
      </w:r>
      <w:r w:rsidR="00706AF8">
        <w:t xml:space="preserve"> procedural requirements </w:t>
      </w:r>
      <w:r w:rsidR="00AE16D9">
        <w:t xml:space="preserve">for </w:t>
      </w:r>
      <w:r w:rsidR="00706AF8">
        <w:t xml:space="preserve">the process of certification, verification and </w:t>
      </w:r>
      <w:r w:rsidR="007228F3">
        <w:t xml:space="preserve">pattern </w:t>
      </w:r>
      <w:r w:rsidR="00706AF8">
        <w:t xml:space="preserve">approval.  </w:t>
      </w:r>
    </w:p>
    <w:p w14:paraId="2C51CE6A" w14:textId="4711A783" w:rsidR="00706AF8" w:rsidRDefault="009613BC" w:rsidP="007769DF">
      <w:pPr>
        <w:rPr>
          <w:color w:val="000000" w:themeColor="text1"/>
        </w:rPr>
      </w:pPr>
      <w:r>
        <w:rPr>
          <w:color w:val="000000" w:themeColor="text1"/>
        </w:rPr>
        <w:t xml:space="preserve">Verifying and </w:t>
      </w:r>
      <w:r w:rsidR="00AE16D9">
        <w:rPr>
          <w:color w:val="000000" w:themeColor="text1"/>
        </w:rPr>
        <w:t>c</w:t>
      </w:r>
      <w:r>
        <w:rPr>
          <w:color w:val="000000" w:themeColor="text1"/>
        </w:rPr>
        <w:t xml:space="preserve">ertifying </w:t>
      </w:r>
      <w:r w:rsidR="00AE16D9">
        <w:rPr>
          <w:color w:val="000000" w:themeColor="text1"/>
        </w:rPr>
        <w:t>a</w:t>
      </w:r>
      <w:r>
        <w:rPr>
          <w:color w:val="000000" w:themeColor="text1"/>
        </w:rPr>
        <w:t xml:space="preserve">uthorities </w:t>
      </w:r>
      <w:r w:rsidR="00706AF8">
        <w:rPr>
          <w:color w:val="000000" w:themeColor="text1"/>
        </w:rPr>
        <w:t>comply with the requirements for metrological traceability</w:t>
      </w:r>
      <w:r w:rsidR="007769DF">
        <w:rPr>
          <w:color w:val="000000" w:themeColor="text1"/>
        </w:rPr>
        <w:t xml:space="preserve">, </w:t>
      </w:r>
      <w:r w:rsidR="005F429D">
        <w:rPr>
          <w:color w:val="000000" w:themeColor="text1"/>
        </w:rPr>
        <w:t>required under</w:t>
      </w:r>
      <w:r>
        <w:rPr>
          <w:color w:val="000000" w:themeColor="text1"/>
        </w:rPr>
        <w:t xml:space="preserve"> NATA accreditation</w:t>
      </w:r>
      <w:r w:rsidR="007769DF">
        <w:rPr>
          <w:color w:val="000000" w:themeColor="text1"/>
        </w:rPr>
        <w:t xml:space="preserve"> to ISO 17025 and also </w:t>
      </w:r>
      <w:r w:rsidR="00480037">
        <w:rPr>
          <w:color w:val="000000" w:themeColor="text1"/>
        </w:rPr>
        <w:t xml:space="preserve">legal traceability </w:t>
      </w:r>
      <w:r w:rsidR="005D57A4">
        <w:rPr>
          <w:color w:val="000000" w:themeColor="text1"/>
        </w:rPr>
        <w:t>requirement</w:t>
      </w:r>
      <w:r w:rsidR="00480037">
        <w:rPr>
          <w:color w:val="000000" w:themeColor="text1"/>
        </w:rPr>
        <w:t>s</w:t>
      </w:r>
      <w:r w:rsidR="005D57A4">
        <w:rPr>
          <w:color w:val="000000" w:themeColor="text1"/>
        </w:rPr>
        <w:t xml:space="preserve"> </w:t>
      </w:r>
      <w:r w:rsidR="007769DF">
        <w:rPr>
          <w:color w:val="000000" w:themeColor="text1"/>
        </w:rPr>
        <w:t xml:space="preserve">under the </w:t>
      </w:r>
      <w:r w:rsidR="007769DF">
        <w:rPr>
          <w:color w:val="000000" w:themeColor="text1"/>
        </w:rPr>
        <w:lastRenderedPageBreak/>
        <w:t>Act</w:t>
      </w:r>
      <w:r w:rsidR="00706AF8" w:rsidRPr="00E1297C">
        <w:rPr>
          <w:color w:val="000000" w:themeColor="text1"/>
        </w:rPr>
        <w:t>.</w:t>
      </w:r>
      <w:r w:rsidR="007769DF">
        <w:rPr>
          <w:rStyle w:val="FootnoteReference"/>
          <w:color w:val="000000" w:themeColor="text1"/>
        </w:rPr>
        <w:footnoteReference w:id="61"/>
      </w:r>
      <w:r w:rsidR="00706AF8" w:rsidRPr="00E1297C">
        <w:rPr>
          <w:color w:val="000000" w:themeColor="text1"/>
        </w:rPr>
        <w:t xml:space="preserve"> </w:t>
      </w:r>
      <w:r w:rsidR="00480037">
        <w:rPr>
          <w:color w:val="000000" w:themeColor="text1"/>
        </w:rPr>
        <w:t xml:space="preserve">In doing so, they </w:t>
      </w:r>
      <w:r w:rsidR="00F8753C">
        <w:rPr>
          <w:color w:val="000000" w:themeColor="text1"/>
        </w:rPr>
        <w:t xml:space="preserve">enable traceability for other third parties </w:t>
      </w:r>
      <w:r w:rsidR="003E5856">
        <w:rPr>
          <w:color w:val="000000" w:themeColor="text1"/>
        </w:rPr>
        <w:t>and industry</w:t>
      </w:r>
      <w:r w:rsidR="00F8753C">
        <w:rPr>
          <w:color w:val="000000" w:themeColor="text1"/>
        </w:rPr>
        <w:t xml:space="preserve"> </w:t>
      </w:r>
      <w:r w:rsidR="003E5856">
        <w:rPr>
          <w:color w:val="000000" w:themeColor="text1"/>
        </w:rPr>
        <w:t xml:space="preserve">sectors </w:t>
      </w:r>
      <w:r w:rsidR="008E3ED9">
        <w:rPr>
          <w:color w:val="000000" w:themeColor="text1"/>
        </w:rPr>
        <w:t xml:space="preserve">at large </w:t>
      </w:r>
      <w:r w:rsidR="00F8753C">
        <w:rPr>
          <w:color w:val="000000" w:themeColor="text1"/>
        </w:rPr>
        <w:t xml:space="preserve">by </w:t>
      </w:r>
      <w:r w:rsidR="003066E7" w:rsidRPr="004E4EB1">
        <w:rPr>
          <w:color w:val="000000" w:themeColor="text1"/>
        </w:rPr>
        <w:t>verif</w:t>
      </w:r>
      <w:r w:rsidR="008E3ED9">
        <w:rPr>
          <w:color w:val="000000" w:themeColor="text1"/>
        </w:rPr>
        <w:t>ying</w:t>
      </w:r>
      <w:r w:rsidR="003066E7" w:rsidRPr="004E4EB1">
        <w:rPr>
          <w:color w:val="000000" w:themeColor="text1"/>
        </w:rPr>
        <w:t xml:space="preserve"> </w:t>
      </w:r>
      <w:r w:rsidR="003E5856">
        <w:rPr>
          <w:color w:val="000000" w:themeColor="text1"/>
        </w:rPr>
        <w:t xml:space="preserve">reference </w:t>
      </w:r>
      <w:r w:rsidR="003066E7" w:rsidRPr="004E4EB1">
        <w:rPr>
          <w:color w:val="000000" w:themeColor="text1"/>
        </w:rPr>
        <w:t xml:space="preserve">standards </w:t>
      </w:r>
      <w:r w:rsidR="003E5856">
        <w:rPr>
          <w:color w:val="000000" w:themeColor="text1"/>
        </w:rPr>
        <w:t xml:space="preserve">of measurement, </w:t>
      </w:r>
      <w:r w:rsidR="003066E7" w:rsidRPr="004E4EB1">
        <w:rPr>
          <w:color w:val="000000" w:themeColor="text1"/>
        </w:rPr>
        <w:t>certif</w:t>
      </w:r>
      <w:r w:rsidR="003E5856">
        <w:rPr>
          <w:color w:val="000000" w:themeColor="text1"/>
        </w:rPr>
        <w:t>ying</w:t>
      </w:r>
      <w:r w:rsidR="003066E7" w:rsidRPr="004E4EB1">
        <w:rPr>
          <w:color w:val="000000" w:themeColor="text1"/>
        </w:rPr>
        <w:t xml:space="preserve"> measuring instruments and reference materials</w:t>
      </w:r>
      <w:r w:rsidR="003E5856">
        <w:rPr>
          <w:color w:val="000000" w:themeColor="text1"/>
        </w:rPr>
        <w:t xml:space="preserve"> (</w:t>
      </w:r>
      <w:r w:rsidR="003066E7" w:rsidRPr="004E4EB1">
        <w:rPr>
          <w:color w:val="000000" w:themeColor="text1"/>
        </w:rPr>
        <w:t>NMR 13, 34</w:t>
      </w:r>
      <w:r w:rsidR="00AE16D9">
        <w:rPr>
          <w:color w:val="000000" w:themeColor="text1"/>
        </w:rPr>
        <w:t>C</w:t>
      </w:r>
      <w:r w:rsidR="003066E7" w:rsidRPr="004E4EB1">
        <w:rPr>
          <w:color w:val="000000" w:themeColor="text1"/>
        </w:rPr>
        <w:t>, 37 and 48</w:t>
      </w:r>
      <w:r w:rsidR="003E5856">
        <w:rPr>
          <w:color w:val="000000" w:themeColor="text1"/>
        </w:rPr>
        <w:t>)</w:t>
      </w:r>
      <w:r w:rsidR="003066E7" w:rsidRPr="004E4EB1">
        <w:rPr>
          <w:color w:val="000000" w:themeColor="text1"/>
        </w:rPr>
        <w:t>.</w:t>
      </w:r>
      <w:r w:rsidR="008E3ED9">
        <w:rPr>
          <w:color w:val="000000" w:themeColor="text1"/>
        </w:rPr>
        <w:t xml:space="preserve"> Authorities must have </w:t>
      </w:r>
      <w:r w:rsidR="002A788F">
        <w:rPr>
          <w:color w:val="000000" w:themeColor="text1"/>
        </w:rPr>
        <w:t>appropriate</w:t>
      </w:r>
      <w:r w:rsidR="008E3ED9">
        <w:rPr>
          <w:color w:val="000000" w:themeColor="text1"/>
        </w:rPr>
        <w:t xml:space="preserve"> certificates for their reference standards, as issued by </w:t>
      </w:r>
      <w:r w:rsidR="008B402D">
        <w:rPr>
          <w:color w:val="000000" w:themeColor="text1"/>
        </w:rPr>
        <w:t>v</w:t>
      </w:r>
      <w:r w:rsidR="008E3ED9">
        <w:rPr>
          <w:color w:val="000000" w:themeColor="text1"/>
        </w:rPr>
        <w:t xml:space="preserve">erifying </w:t>
      </w:r>
      <w:r w:rsidR="008B402D">
        <w:rPr>
          <w:color w:val="000000" w:themeColor="text1"/>
        </w:rPr>
        <w:t>a</w:t>
      </w:r>
      <w:r w:rsidR="008E3ED9">
        <w:rPr>
          <w:color w:val="000000" w:themeColor="text1"/>
        </w:rPr>
        <w:t>uthorities or the NMI.</w:t>
      </w:r>
      <w:r w:rsidR="00231989">
        <w:rPr>
          <w:rStyle w:val="FootnoteReference"/>
          <w:color w:val="000000" w:themeColor="text1"/>
        </w:rPr>
        <w:footnoteReference w:id="62"/>
      </w:r>
      <w:r w:rsidR="008E3ED9">
        <w:rPr>
          <w:color w:val="000000" w:themeColor="text1"/>
        </w:rPr>
        <w:t xml:space="preserve"> The</w:t>
      </w:r>
      <w:r w:rsidR="008B402D">
        <w:rPr>
          <w:color w:val="000000" w:themeColor="text1"/>
        </w:rPr>
        <w:t>se</w:t>
      </w:r>
      <w:r w:rsidR="008E3ED9">
        <w:rPr>
          <w:color w:val="000000" w:themeColor="text1"/>
        </w:rPr>
        <w:t xml:space="preserve"> certificates are particularly important when measurement needs to be defensible </w:t>
      </w:r>
      <w:r w:rsidR="008B402D">
        <w:rPr>
          <w:color w:val="000000" w:themeColor="text1"/>
        </w:rPr>
        <w:t>in accordance with</w:t>
      </w:r>
      <w:r w:rsidR="008E3ED9">
        <w:rPr>
          <w:color w:val="000000" w:themeColor="text1"/>
        </w:rPr>
        <w:t xml:space="preserve"> section 10 of the Act.</w:t>
      </w:r>
    </w:p>
    <w:p w14:paraId="286E04A7" w14:textId="3B95D2D4" w:rsidR="00A4385D" w:rsidRPr="00AB76B8" w:rsidRDefault="007228F3" w:rsidP="00322787">
      <w:pPr>
        <w:pStyle w:val="Subtitle"/>
      </w:pPr>
      <w:bookmarkStart w:id="271" w:name="_Toc19539273"/>
      <w:bookmarkStart w:id="272" w:name="_Toc19539564"/>
      <w:bookmarkStart w:id="273" w:name="_Toc19627817"/>
      <w:bookmarkStart w:id="274" w:name="_Toc19633220"/>
      <w:r w:rsidRPr="00AB76B8">
        <w:t xml:space="preserve">Compliance </w:t>
      </w:r>
      <w:r>
        <w:t>and enforcement</w:t>
      </w:r>
      <w:bookmarkEnd w:id="271"/>
      <w:bookmarkEnd w:id="272"/>
      <w:bookmarkEnd w:id="273"/>
      <w:bookmarkEnd w:id="274"/>
    </w:p>
    <w:p w14:paraId="171F175E" w14:textId="0B542289" w:rsidR="008B402D" w:rsidRDefault="002F2192" w:rsidP="007769DF">
      <w:pPr>
        <w:rPr>
          <w:color w:val="000000" w:themeColor="text1"/>
        </w:rPr>
      </w:pPr>
      <w:r>
        <w:rPr>
          <w:color w:val="000000" w:themeColor="text1"/>
        </w:rPr>
        <w:t xml:space="preserve">There is no general requirement for LMAs to report </w:t>
      </w:r>
      <w:r w:rsidR="003E5856">
        <w:rPr>
          <w:color w:val="000000" w:themeColor="text1"/>
        </w:rPr>
        <w:t>on</w:t>
      </w:r>
      <w:r>
        <w:rPr>
          <w:color w:val="000000" w:themeColor="text1"/>
        </w:rPr>
        <w:t xml:space="preserve"> the performance of their functions, unless specifically required to by the Chief Metrologist</w:t>
      </w:r>
      <w:r>
        <w:rPr>
          <w:rStyle w:val="FootnoteReference"/>
          <w:color w:val="000000" w:themeColor="text1"/>
        </w:rPr>
        <w:footnoteReference w:id="63"/>
      </w:r>
      <w:r>
        <w:rPr>
          <w:color w:val="000000" w:themeColor="text1"/>
        </w:rPr>
        <w:t xml:space="preserve"> or </w:t>
      </w:r>
      <w:r w:rsidR="003E5856">
        <w:rPr>
          <w:color w:val="000000" w:themeColor="text1"/>
        </w:rPr>
        <w:t xml:space="preserve">by </w:t>
      </w:r>
      <w:r>
        <w:rPr>
          <w:color w:val="000000" w:themeColor="text1"/>
        </w:rPr>
        <w:t>a specific condition imposed under their appointment.</w:t>
      </w:r>
      <w:r>
        <w:rPr>
          <w:rStyle w:val="FootnoteReference"/>
          <w:color w:val="000000" w:themeColor="text1"/>
        </w:rPr>
        <w:footnoteReference w:id="64"/>
      </w:r>
      <w:r>
        <w:rPr>
          <w:color w:val="000000" w:themeColor="text1"/>
        </w:rPr>
        <w:t xml:space="preserve"> </w:t>
      </w:r>
      <w:r w:rsidR="007228F3">
        <w:rPr>
          <w:color w:val="000000" w:themeColor="text1"/>
        </w:rPr>
        <w:t>The appointment of an LMA may be vari</w:t>
      </w:r>
      <w:r w:rsidR="003E5856">
        <w:rPr>
          <w:color w:val="000000" w:themeColor="text1"/>
        </w:rPr>
        <w:t>ed</w:t>
      </w:r>
      <w:r w:rsidR="007228F3">
        <w:rPr>
          <w:color w:val="000000" w:themeColor="text1"/>
        </w:rPr>
        <w:t xml:space="preserve"> or cancelled where that LMA has failed to comply with a condition of their appointment, or the authority does not have appropriate facilities or staff to perform their appointed functions.</w:t>
      </w:r>
      <w:r w:rsidR="007228F3">
        <w:rPr>
          <w:rStyle w:val="FootnoteReference"/>
          <w:color w:val="000000" w:themeColor="text1"/>
        </w:rPr>
        <w:footnoteReference w:id="65"/>
      </w:r>
      <w:r w:rsidR="007228F3">
        <w:rPr>
          <w:color w:val="000000" w:themeColor="text1"/>
        </w:rPr>
        <w:t xml:space="preserve">  </w:t>
      </w:r>
    </w:p>
    <w:p w14:paraId="4736CC93" w14:textId="0B702317" w:rsidR="003E5856" w:rsidRPr="00E1297C" w:rsidRDefault="003E5856" w:rsidP="007769DF">
      <w:pPr>
        <w:rPr>
          <w:color w:val="000000" w:themeColor="text1"/>
        </w:rPr>
      </w:pPr>
      <w:r>
        <w:rPr>
          <w:color w:val="000000" w:themeColor="text1"/>
        </w:rPr>
        <w:t>The Act does not explicitly indicate how LMAs may be monitored for compliance of conditions.</w:t>
      </w:r>
    </w:p>
    <w:p w14:paraId="1401031E" w14:textId="243250B6" w:rsidR="00AB7107" w:rsidRDefault="005130CA" w:rsidP="005130CA">
      <w:pPr>
        <w:pStyle w:val="Heading2"/>
        <w:rPr>
          <w:color w:val="000000" w:themeColor="text1"/>
        </w:rPr>
      </w:pPr>
      <w:bookmarkStart w:id="275" w:name="_Toc19884212"/>
      <w:bookmarkStart w:id="276" w:name="_Toc19891411"/>
      <w:bookmarkStart w:id="277" w:name="_Toc19891450"/>
      <w:bookmarkStart w:id="278" w:name="_Toc22897278"/>
      <w:bookmarkStart w:id="279" w:name="_Toc22899688"/>
      <w:bookmarkStart w:id="280" w:name="_Toc22900325"/>
      <w:bookmarkStart w:id="281" w:name="_Toc22901165"/>
      <w:r>
        <w:t xml:space="preserve">7.2 </w:t>
      </w:r>
      <w:r w:rsidR="00AB7107" w:rsidRPr="00956672">
        <w:t>Issues</w:t>
      </w:r>
      <w:bookmarkEnd w:id="275"/>
      <w:bookmarkEnd w:id="276"/>
      <w:bookmarkEnd w:id="277"/>
      <w:bookmarkEnd w:id="278"/>
      <w:bookmarkEnd w:id="279"/>
      <w:bookmarkEnd w:id="280"/>
      <w:bookmarkEnd w:id="281"/>
    </w:p>
    <w:p w14:paraId="05E15C43" w14:textId="15D39A13" w:rsidR="00AB7107" w:rsidRPr="00BD4BFE" w:rsidRDefault="00AB7107" w:rsidP="00AB7107">
      <w:pPr>
        <w:pStyle w:val="Subtitle"/>
      </w:pPr>
      <w:r>
        <w:t xml:space="preserve">Limited </w:t>
      </w:r>
      <w:r w:rsidR="00986FB9">
        <w:t>functions</w:t>
      </w:r>
      <w:r w:rsidR="0033626C">
        <w:t xml:space="preserve"> of approving a</w:t>
      </w:r>
      <w:r>
        <w:t>uthorities</w:t>
      </w:r>
    </w:p>
    <w:p w14:paraId="74A80C28" w14:textId="2F7220B9" w:rsidR="00AB7107" w:rsidRDefault="00AB7107" w:rsidP="005A7883">
      <w:pPr>
        <w:rPr>
          <w:color w:val="000000" w:themeColor="text1"/>
        </w:rPr>
      </w:pPr>
      <w:r w:rsidRPr="007769DF">
        <w:rPr>
          <w:color w:val="000000" w:themeColor="text1"/>
        </w:rPr>
        <w:t>Approving authorities</w:t>
      </w:r>
      <w:r w:rsidRPr="00E1297C">
        <w:rPr>
          <w:color w:val="000000" w:themeColor="text1"/>
        </w:rPr>
        <w:t xml:space="preserve"> have in practice been </w:t>
      </w:r>
      <w:r w:rsidR="005259DD">
        <w:rPr>
          <w:color w:val="000000" w:themeColor="text1"/>
        </w:rPr>
        <w:t>appointed</w:t>
      </w:r>
      <w:r w:rsidR="005259DD" w:rsidRPr="00E1297C">
        <w:rPr>
          <w:color w:val="000000" w:themeColor="text1"/>
        </w:rPr>
        <w:t xml:space="preserve"> </w:t>
      </w:r>
      <w:r w:rsidRPr="00E1297C">
        <w:rPr>
          <w:color w:val="000000" w:themeColor="text1"/>
        </w:rPr>
        <w:t>to examin</w:t>
      </w:r>
      <w:r w:rsidR="005259DD">
        <w:rPr>
          <w:color w:val="000000" w:themeColor="text1"/>
        </w:rPr>
        <w:t xml:space="preserve">e </w:t>
      </w:r>
      <w:r w:rsidRPr="00E1297C">
        <w:rPr>
          <w:color w:val="000000" w:themeColor="text1"/>
        </w:rPr>
        <w:t>measuring instruments and patterns of measuring instruments</w:t>
      </w:r>
      <w:r w:rsidR="00480037">
        <w:rPr>
          <w:color w:val="000000" w:themeColor="text1"/>
        </w:rPr>
        <w:t xml:space="preserve">, rather than to </w:t>
      </w:r>
      <w:r w:rsidR="005259DD">
        <w:rPr>
          <w:color w:val="000000" w:themeColor="text1"/>
        </w:rPr>
        <w:t>approve patterns or issue certificates of approval</w:t>
      </w:r>
      <w:r w:rsidRPr="00E1297C">
        <w:rPr>
          <w:color w:val="000000" w:themeColor="text1"/>
        </w:rPr>
        <w:t>.  The results of an examination or testing activity are sent to NMI for review and the issue of a certificate where appropriate.</w:t>
      </w:r>
      <w:r w:rsidR="00FE7A09">
        <w:rPr>
          <w:rStyle w:val="FootnoteReference"/>
          <w:color w:val="000000" w:themeColor="text1"/>
        </w:rPr>
        <w:footnoteReference w:id="66"/>
      </w:r>
      <w:r w:rsidR="00986FB9">
        <w:rPr>
          <w:color w:val="000000" w:themeColor="text1"/>
        </w:rPr>
        <w:t xml:space="preserve"> </w:t>
      </w:r>
    </w:p>
    <w:p w14:paraId="223D9D36" w14:textId="77777777" w:rsidR="00A4385D" w:rsidRPr="00A239A4" w:rsidRDefault="00A4385D" w:rsidP="00A4385D">
      <w:pPr>
        <w:pStyle w:val="Heading3"/>
      </w:pPr>
      <w:bookmarkStart w:id="282" w:name="_Toc19539275"/>
      <w:bookmarkStart w:id="283" w:name="_Toc19539566"/>
      <w:bookmarkStart w:id="284" w:name="_Toc19627819"/>
      <w:bookmarkStart w:id="285" w:name="_Toc19633222"/>
      <w:bookmarkStart w:id="286" w:name="_Toc19884213"/>
      <w:bookmarkStart w:id="287" w:name="_Toc19891412"/>
      <w:bookmarkStart w:id="288" w:name="_Toc19891451"/>
      <w:r w:rsidRPr="00AB76B8">
        <w:t>Question</w:t>
      </w:r>
      <w:r w:rsidRPr="00A239A4">
        <w:t>s</w:t>
      </w:r>
      <w:bookmarkEnd w:id="282"/>
      <w:bookmarkEnd w:id="283"/>
      <w:bookmarkEnd w:id="284"/>
      <w:bookmarkEnd w:id="285"/>
      <w:bookmarkEnd w:id="286"/>
      <w:bookmarkEnd w:id="287"/>
      <w:bookmarkEnd w:id="288"/>
    </w:p>
    <w:p w14:paraId="2430C77D" w14:textId="4BE0EB60" w:rsidR="006F05A2" w:rsidRPr="00572071" w:rsidRDefault="006F05A2" w:rsidP="00BB469A">
      <w:pPr>
        <w:pStyle w:val="ListParagraph"/>
        <w:numPr>
          <w:ilvl w:val="2"/>
          <w:numId w:val="32"/>
        </w:numPr>
        <w:jc w:val="both"/>
        <w:rPr>
          <w:color w:val="000000" w:themeColor="text1"/>
        </w:rPr>
      </w:pPr>
      <w:r w:rsidRPr="00572071">
        <w:rPr>
          <w:color w:val="000000" w:themeColor="text1"/>
        </w:rPr>
        <w:t>Should the Chief Metrol</w:t>
      </w:r>
      <w:r w:rsidR="00F037F3">
        <w:rPr>
          <w:color w:val="000000" w:themeColor="text1"/>
        </w:rPr>
        <w:t>ogist continue to appoint LMAs?</w:t>
      </w:r>
      <w:r w:rsidRPr="00572071">
        <w:rPr>
          <w:color w:val="000000" w:themeColor="text1"/>
        </w:rPr>
        <w:t xml:space="preserve"> What value does appointment of LMAs provide to businesses and the community?</w:t>
      </w:r>
    </w:p>
    <w:p w14:paraId="789537EE" w14:textId="77777777" w:rsidR="00572071" w:rsidRDefault="00EB5258" w:rsidP="00BB469A">
      <w:pPr>
        <w:pStyle w:val="ListParagraph"/>
        <w:numPr>
          <w:ilvl w:val="2"/>
          <w:numId w:val="32"/>
        </w:numPr>
        <w:jc w:val="both"/>
        <w:rPr>
          <w:color w:val="000000" w:themeColor="text1"/>
        </w:rPr>
      </w:pPr>
      <w:r w:rsidRPr="00572071">
        <w:rPr>
          <w:color w:val="000000" w:themeColor="text1"/>
        </w:rPr>
        <w:t xml:space="preserve">How appropriate are the current appointment and competency requirements for </w:t>
      </w:r>
      <w:r w:rsidR="007822EA" w:rsidRPr="00572071">
        <w:rPr>
          <w:color w:val="000000" w:themeColor="text1"/>
        </w:rPr>
        <w:t>LMAs</w:t>
      </w:r>
      <w:r w:rsidRPr="00572071">
        <w:rPr>
          <w:color w:val="000000" w:themeColor="text1"/>
        </w:rPr>
        <w:t xml:space="preserve">? </w:t>
      </w:r>
      <w:r w:rsidR="005259DD" w:rsidRPr="00572071">
        <w:rPr>
          <w:color w:val="000000" w:themeColor="text1"/>
        </w:rPr>
        <w:t xml:space="preserve">Should certifying authorities for reference materials </w:t>
      </w:r>
      <w:r w:rsidR="00590097" w:rsidRPr="00572071">
        <w:rPr>
          <w:color w:val="000000" w:themeColor="text1"/>
        </w:rPr>
        <w:t xml:space="preserve">be required to hold </w:t>
      </w:r>
      <w:r w:rsidR="005259DD" w:rsidRPr="00572071">
        <w:rPr>
          <w:color w:val="000000" w:themeColor="text1"/>
        </w:rPr>
        <w:t>accreditation to ISO 17034</w:t>
      </w:r>
      <w:r w:rsidR="00AB5B01" w:rsidRPr="00572071">
        <w:rPr>
          <w:color w:val="000000" w:themeColor="text1"/>
        </w:rPr>
        <w:t xml:space="preserve"> as well as or instead of ISO 17025</w:t>
      </w:r>
      <w:r w:rsidR="005259DD" w:rsidRPr="00572071">
        <w:rPr>
          <w:color w:val="000000" w:themeColor="text1"/>
        </w:rPr>
        <w:t>?</w:t>
      </w:r>
      <w:r w:rsidR="005259DD">
        <w:rPr>
          <w:rStyle w:val="FootnoteReference"/>
          <w:color w:val="000000" w:themeColor="text1"/>
        </w:rPr>
        <w:footnoteReference w:id="67"/>
      </w:r>
    </w:p>
    <w:p w14:paraId="007C5E65" w14:textId="77777777" w:rsidR="00572071" w:rsidRDefault="00986FB9" w:rsidP="00BB469A">
      <w:pPr>
        <w:pStyle w:val="ListParagraph"/>
        <w:numPr>
          <w:ilvl w:val="2"/>
          <w:numId w:val="32"/>
        </w:numPr>
        <w:jc w:val="both"/>
        <w:rPr>
          <w:color w:val="000000" w:themeColor="text1"/>
        </w:rPr>
      </w:pPr>
      <w:r w:rsidRPr="00572071">
        <w:rPr>
          <w:color w:val="000000" w:themeColor="text1"/>
        </w:rPr>
        <w:t>If there was a general condition to report to NMI</w:t>
      </w:r>
      <w:r w:rsidR="00703359" w:rsidRPr="00572071">
        <w:rPr>
          <w:color w:val="000000" w:themeColor="text1"/>
        </w:rPr>
        <w:t xml:space="preserve"> on the performance of activities undertaken under the </w:t>
      </w:r>
      <w:r w:rsidR="005259DD" w:rsidRPr="00572071">
        <w:rPr>
          <w:color w:val="000000" w:themeColor="text1"/>
        </w:rPr>
        <w:t>appointment</w:t>
      </w:r>
      <w:r w:rsidRPr="00572071">
        <w:rPr>
          <w:color w:val="000000" w:themeColor="text1"/>
        </w:rPr>
        <w:t>, what are the main barriers for LMAs and how could these barriers be overcome?</w:t>
      </w:r>
    </w:p>
    <w:p w14:paraId="0F963109" w14:textId="77777777" w:rsidR="00572071" w:rsidRDefault="00986FB9" w:rsidP="00BB469A">
      <w:pPr>
        <w:pStyle w:val="ListParagraph"/>
        <w:numPr>
          <w:ilvl w:val="2"/>
          <w:numId w:val="32"/>
        </w:numPr>
        <w:jc w:val="both"/>
        <w:rPr>
          <w:color w:val="000000" w:themeColor="text1"/>
        </w:rPr>
      </w:pPr>
      <w:r w:rsidRPr="00572071">
        <w:rPr>
          <w:color w:val="000000" w:themeColor="text1"/>
        </w:rPr>
        <w:t>What is an appropriate, effective and efficient way to monitor or audit the performance of LMAs?</w:t>
      </w:r>
    </w:p>
    <w:p w14:paraId="746AA502" w14:textId="0FE3EB48" w:rsidR="004B0DB3" w:rsidRPr="00572071" w:rsidRDefault="004B0DB3" w:rsidP="00BB469A">
      <w:pPr>
        <w:pStyle w:val="ListParagraph"/>
        <w:numPr>
          <w:ilvl w:val="2"/>
          <w:numId w:val="32"/>
        </w:numPr>
        <w:jc w:val="both"/>
        <w:rPr>
          <w:color w:val="000000" w:themeColor="text1"/>
        </w:rPr>
      </w:pPr>
      <w:r w:rsidRPr="00572071">
        <w:rPr>
          <w:color w:val="000000" w:themeColor="text1"/>
        </w:rPr>
        <w:t>How important is the appointment as an LMA to your business? What percentage of your business involves carrying out LMA functions?</w:t>
      </w:r>
    </w:p>
    <w:p w14:paraId="1FE154AA" w14:textId="0C8825CE" w:rsidR="003E5CBF" w:rsidRDefault="003E5CBF" w:rsidP="00C254F9">
      <w:pPr>
        <w:pStyle w:val="ListParagraph"/>
        <w:numPr>
          <w:ilvl w:val="0"/>
          <w:numId w:val="6"/>
        </w:numPr>
        <w:ind w:left="360"/>
        <w:jc w:val="both"/>
        <w:rPr>
          <w:color w:val="000000" w:themeColor="text1"/>
        </w:rPr>
        <w:sectPr w:rsidR="003E5CBF" w:rsidSect="00E569F1">
          <w:footerReference w:type="default" r:id="rId37"/>
          <w:headerReference w:type="first" r:id="rId38"/>
          <w:pgSz w:w="11906" w:h="16838"/>
          <w:pgMar w:top="1440" w:right="1440" w:bottom="1440" w:left="1440" w:header="708" w:footer="708" w:gutter="0"/>
          <w:cols w:space="708"/>
          <w:titlePg/>
          <w:docGrid w:linePitch="360"/>
        </w:sectPr>
      </w:pPr>
    </w:p>
    <w:p w14:paraId="1C41442D" w14:textId="449EF571" w:rsidR="00184CBB" w:rsidRPr="00DB1AAC" w:rsidRDefault="00293683" w:rsidP="00262264">
      <w:pPr>
        <w:pStyle w:val="Heading1"/>
        <w:spacing w:before="0"/>
        <w:rPr>
          <w:rFonts w:cs="Arial"/>
          <w:color w:val="004059"/>
          <w:sz w:val="40"/>
          <w:szCs w:val="40"/>
        </w:rPr>
      </w:pPr>
      <w:bookmarkStart w:id="289" w:name="_Toc19884214"/>
      <w:bookmarkStart w:id="290" w:name="_Toc19891383"/>
      <w:bookmarkStart w:id="291" w:name="_Toc19891413"/>
      <w:bookmarkStart w:id="292" w:name="_Toc19891452"/>
      <w:bookmarkStart w:id="293" w:name="_Toc22897279"/>
      <w:bookmarkStart w:id="294" w:name="_Toc22899689"/>
      <w:bookmarkStart w:id="295" w:name="_Toc22900326"/>
      <w:bookmarkStart w:id="296" w:name="_Toc22901166"/>
      <w:r w:rsidRPr="00DB1AAC">
        <w:rPr>
          <w:rFonts w:cs="Arial"/>
          <w:color w:val="004059"/>
          <w:sz w:val="40"/>
          <w:szCs w:val="40"/>
        </w:rPr>
        <w:lastRenderedPageBreak/>
        <w:t>Appendix A: Comparison of Third Party Arrangements</w:t>
      </w:r>
      <w:bookmarkEnd w:id="289"/>
      <w:bookmarkEnd w:id="290"/>
      <w:bookmarkEnd w:id="291"/>
      <w:bookmarkEnd w:id="292"/>
      <w:bookmarkEnd w:id="293"/>
      <w:bookmarkEnd w:id="294"/>
      <w:bookmarkEnd w:id="295"/>
      <w:bookmarkEnd w:id="296"/>
    </w:p>
    <w:tbl>
      <w:tblPr>
        <w:tblStyle w:val="TableGrid"/>
        <w:tblpPr w:leftFromText="181" w:rightFromText="181" w:vertAnchor="page" w:horzAnchor="margin" w:tblpXSpec="center" w:tblpY="1810"/>
        <w:tblW w:w="15257" w:type="dxa"/>
        <w:tblLayout w:type="fixed"/>
        <w:tblLook w:val="04A0" w:firstRow="1" w:lastRow="0" w:firstColumn="1" w:lastColumn="0" w:noHBand="0" w:noVBand="1"/>
        <w:tblCaption w:val="Appendix A, a comparison of Third Party Arrangements "/>
        <w:tblDescription w:val="A comparison of Third Party Arrangements between servicing licencees, utility meter verifyers, public weighbridge licencess and legal metrology authorities."/>
      </w:tblPr>
      <w:tblGrid>
        <w:gridCol w:w="1271"/>
        <w:gridCol w:w="2410"/>
        <w:gridCol w:w="3260"/>
        <w:gridCol w:w="3119"/>
        <w:gridCol w:w="2693"/>
        <w:gridCol w:w="2504"/>
      </w:tblGrid>
      <w:tr w:rsidR="00897768" w:rsidRPr="009576CE" w14:paraId="44AB7DA1" w14:textId="77777777" w:rsidTr="00C21F44">
        <w:trPr>
          <w:cantSplit/>
          <w:trHeight w:val="270"/>
          <w:tblHeader/>
        </w:trPr>
        <w:tc>
          <w:tcPr>
            <w:tcW w:w="1271" w:type="dxa"/>
            <w:shd w:val="pct10" w:color="auto" w:fill="auto"/>
            <w:vAlign w:val="center"/>
          </w:tcPr>
          <w:p w14:paraId="1C4969BB" w14:textId="77777777" w:rsidR="00897768" w:rsidRPr="009576CE" w:rsidRDefault="00897768" w:rsidP="009576CE">
            <w:pPr>
              <w:keepNext/>
              <w:keepLines/>
              <w:spacing w:afterLines="20" w:after="48"/>
              <w:rPr>
                <w:b/>
                <w:sz w:val="16"/>
                <w:szCs w:val="16"/>
              </w:rPr>
            </w:pPr>
            <w:r w:rsidRPr="009576CE">
              <w:rPr>
                <w:b/>
                <w:sz w:val="16"/>
                <w:szCs w:val="16"/>
              </w:rPr>
              <w:t>Requirement</w:t>
            </w:r>
          </w:p>
        </w:tc>
        <w:tc>
          <w:tcPr>
            <w:tcW w:w="13986" w:type="dxa"/>
            <w:gridSpan w:val="5"/>
            <w:shd w:val="pct10" w:color="auto" w:fill="auto"/>
            <w:vAlign w:val="center"/>
          </w:tcPr>
          <w:p w14:paraId="4769E60E" w14:textId="77777777" w:rsidR="00897768" w:rsidRPr="009576CE" w:rsidRDefault="00897768" w:rsidP="009576CE">
            <w:pPr>
              <w:keepNext/>
              <w:keepLines/>
              <w:spacing w:afterLines="20" w:after="48"/>
              <w:jc w:val="center"/>
              <w:rPr>
                <w:b/>
                <w:sz w:val="16"/>
                <w:szCs w:val="16"/>
              </w:rPr>
            </w:pPr>
            <w:r w:rsidRPr="009576CE">
              <w:rPr>
                <w:b/>
                <w:sz w:val="16"/>
                <w:szCs w:val="16"/>
              </w:rPr>
              <w:t>Third Party</w:t>
            </w:r>
          </w:p>
        </w:tc>
      </w:tr>
      <w:tr w:rsidR="00897768" w:rsidRPr="009576CE" w14:paraId="3EAA2D43" w14:textId="77777777" w:rsidTr="00C21F44">
        <w:trPr>
          <w:cantSplit/>
          <w:trHeight w:val="274"/>
        </w:trPr>
        <w:tc>
          <w:tcPr>
            <w:tcW w:w="1271" w:type="dxa"/>
          </w:tcPr>
          <w:p w14:paraId="01FF5B77" w14:textId="77777777" w:rsidR="00897768" w:rsidRPr="009576CE" w:rsidRDefault="00897768" w:rsidP="009576CE">
            <w:pPr>
              <w:keepNext/>
              <w:keepLines/>
              <w:spacing w:afterLines="20" w:after="48"/>
              <w:rPr>
                <w:b/>
                <w:sz w:val="16"/>
                <w:szCs w:val="16"/>
              </w:rPr>
            </w:pPr>
          </w:p>
        </w:tc>
        <w:tc>
          <w:tcPr>
            <w:tcW w:w="2410" w:type="dxa"/>
          </w:tcPr>
          <w:p w14:paraId="3C648CC4" w14:textId="77777777" w:rsidR="00897768" w:rsidRPr="009576CE" w:rsidRDefault="00897768" w:rsidP="009576CE">
            <w:pPr>
              <w:keepNext/>
              <w:keepLines/>
              <w:spacing w:afterLines="20" w:after="48"/>
              <w:rPr>
                <w:b/>
                <w:sz w:val="16"/>
                <w:szCs w:val="16"/>
              </w:rPr>
            </w:pPr>
            <w:r w:rsidRPr="009576CE">
              <w:rPr>
                <w:b/>
                <w:sz w:val="16"/>
                <w:szCs w:val="16"/>
              </w:rPr>
              <w:t>Servicing licensee</w:t>
            </w:r>
          </w:p>
        </w:tc>
        <w:tc>
          <w:tcPr>
            <w:tcW w:w="3260" w:type="dxa"/>
          </w:tcPr>
          <w:p w14:paraId="78791F4E" w14:textId="77777777" w:rsidR="00897768" w:rsidRPr="009576CE" w:rsidRDefault="00897768" w:rsidP="009576CE">
            <w:pPr>
              <w:keepNext/>
              <w:keepLines/>
              <w:spacing w:afterLines="20" w:after="48"/>
              <w:rPr>
                <w:b/>
                <w:sz w:val="16"/>
                <w:szCs w:val="16"/>
              </w:rPr>
            </w:pPr>
            <w:r w:rsidRPr="009576CE">
              <w:rPr>
                <w:b/>
                <w:sz w:val="16"/>
                <w:szCs w:val="16"/>
              </w:rPr>
              <w:t>UMV</w:t>
            </w:r>
          </w:p>
        </w:tc>
        <w:tc>
          <w:tcPr>
            <w:tcW w:w="3119" w:type="dxa"/>
          </w:tcPr>
          <w:p w14:paraId="59B2FDF4" w14:textId="77777777" w:rsidR="00897768" w:rsidRPr="009576CE" w:rsidRDefault="00897768" w:rsidP="009576CE">
            <w:pPr>
              <w:keepNext/>
              <w:keepLines/>
              <w:spacing w:afterLines="20" w:after="48"/>
              <w:rPr>
                <w:b/>
                <w:sz w:val="16"/>
                <w:szCs w:val="16"/>
              </w:rPr>
            </w:pPr>
            <w:r w:rsidRPr="009576CE">
              <w:rPr>
                <w:b/>
                <w:sz w:val="16"/>
                <w:szCs w:val="16"/>
              </w:rPr>
              <w:t>Public weighbridge licensees</w:t>
            </w:r>
          </w:p>
        </w:tc>
        <w:tc>
          <w:tcPr>
            <w:tcW w:w="2693" w:type="dxa"/>
          </w:tcPr>
          <w:p w14:paraId="42C554FA" w14:textId="0E505E10" w:rsidR="00897768" w:rsidRPr="009576CE" w:rsidRDefault="006C56AB" w:rsidP="009576CE">
            <w:pPr>
              <w:keepNext/>
              <w:keepLines/>
              <w:spacing w:afterLines="20" w:after="48"/>
              <w:rPr>
                <w:b/>
                <w:sz w:val="16"/>
                <w:szCs w:val="16"/>
              </w:rPr>
            </w:pPr>
            <w:r>
              <w:rPr>
                <w:b/>
                <w:sz w:val="16"/>
                <w:szCs w:val="16"/>
              </w:rPr>
              <w:t>LMA (v</w:t>
            </w:r>
            <w:r w:rsidR="00897768" w:rsidRPr="009576CE">
              <w:rPr>
                <w:b/>
                <w:sz w:val="16"/>
                <w:szCs w:val="16"/>
              </w:rPr>
              <w:t>erifying or certifying authority)</w:t>
            </w:r>
          </w:p>
        </w:tc>
        <w:tc>
          <w:tcPr>
            <w:tcW w:w="2504" w:type="dxa"/>
          </w:tcPr>
          <w:p w14:paraId="2759E4C5" w14:textId="77777777" w:rsidR="00897768" w:rsidRPr="009576CE" w:rsidRDefault="00897768" w:rsidP="009576CE">
            <w:pPr>
              <w:keepNext/>
              <w:keepLines/>
              <w:spacing w:afterLines="20" w:after="48"/>
              <w:rPr>
                <w:b/>
                <w:sz w:val="16"/>
                <w:szCs w:val="16"/>
              </w:rPr>
            </w:pPr>
            <w:r w:rsidRPr="009576CE">
              <w:rPr>
                <w:b/>
                <w:sz w:val="16"/>
                <w:szCs w:val="16"/>
              </w:rPr>
              <w:t xml:space="preserve">LMA (approving authority) </w:t>
            </w:r>
          </w:p>
        </w:tc>
      </w:tr>
      <w:tr w:rsidR="00897768" w:rsidRPr="009576CE" w14:paraId="7C05ED5D" w14:textId="77777777" w:rsidTr="00C21F44">
        <w:trPr>
          <w:cantSplit/>
          <w:trHeight w:val="695"/>
        </w:trPr>
        <w:tc>
          <w:tcPr>
            <w:tcW w:w="1271" w:type="dxa"/>
          </w:tcPr>
          <w:p w14:paraId="2197390F" w14:textId="56C87ADF" w:rsidR="00897768" w:rsidRPr="009576CE" w:rsidRDefault="00EB5258" w:rsidP="009576CE">
            <w:pPr>
              <w:keepNext/>
              <w:keepLines/>
              <w:spacing w:afterLines="20" w:after="48"/>
              <w:rPr>
                <w:b/>
                <w:sz w:val="16"/>
                <w:szCs w:val="16"/>
              </w:rPr>
            </w:pPr>
            <w:r w:rsidRPr="009576CE">
              <w:rPr>
                <w:b/>
                <w:sz w:val="16"/>
                <w:szCs w:val="16"/>
              </w:rPr>
              <w:t>C</w:t>
            </w:r>
            <w:r w:rsidR="00897768" w:rsidRPr="009576CE">
              <w:rPr>
                <w:b/>
                <w:sz w:val="16"/>
                <w:szCs w:val="16"/>
              </w:rPr>
              <w:t>ompetency requirement</w:t>
            </w:r>
            <w:r w:rsidRPr="009576CE">
              <w:rPr>
                <w:b/>
                <w:sz w:val="16"/>
                <w:szCs w:val="16"/>
              </w:rPr>
              <w:t>s</w:t>
            </w:r>
          </w:p>
        </w:tc>
        <w:tc>
          <w:tcPr>
            <w:tcW w:w="2410" w:type="dxa"/>
          </w:tcPr>
          <w:p w14:paraId="0572225A" w14:textId="07604DC1" w:rsidR="00897768" w:rsidRPr="009576CE" w:rsidRDefault="00897768" w:rsidP="009576CE">
            <w:pPr>
              <w:keepNext/>
              <w:keepLines/>
              <w:spacing w:afterLines="20" w:after="48"/>
              <w:rPr>
                <w:sz w:val="16"/>
                <w:szCs w:val="16"/>
              </w:rPr>
            </w:pPr>
            <w:r w:rsidRPr="009576CE">
              <w:rPr>
                <w:i/>
                <w:sz w:val="16"/>
                <w:szCs w:val="16"/>
              </w:rPr>
              <w:t>Statement of Attainment</w:t>
            </w:r>
            <w:r w:rsidRPr="009576CE">
              <w:rPr>
                <w:sz w:val="16"/>
                <w:szCs w:val="16"/>
              </w:rPr>
              <w:t xml:space="preserve"> </w:t>
            </w:r>
            <w:r w:rsidR="00092AC7" w:rsidRPr="009576CE">
              <w:rPr>
                <w:sz w:val="16"/>
                <w:szCs w:val="16"/>
              </w:rPr>
              <w:t>from a</w:t>
            </w:r>
            <w:r w:rsidR="00EB5258" w:rsidRPr="009576CE">
              <w:rPr>
                <w:sz w:val="16"/>
                <w:szCs w:val="16"/>
              </w:rPr>
              <w:t>n</w:t>
            </w:r>
            <w:r w:rsidR="00092AC7" w:rsidRPr="009576CE">
              <w:rPr>
                <w:sz w:val="16"/>
                <w:szCs w:val="16"/>
              </w:rPr>
              <w:t xml:space="preserve"> RTO. </w:t>
            </w:r>
            <w:r w:rsidRPr="009576CE">
              <w:rPr>
                <w:sz w:val="16"/>
                <w:szCs w:val="16"/>
              </w:rPr>
              <w:t>NTMR 2.43(9A).</w:t>
            </w:r>
          </w:p>
        </w:tc>
        <w:tc>
          <w:tcPr>
            <w:tcW w:w="3260" w:type="dxa"/>
          </w:tcPr>
          <w:p w14:paraId="069C7DF6" w14:textId="61C9CB8E" w:rsidR="00091B64" w:rsidRPr="009576CE" w:rsidRDefault="00897768" w:rsidP="009576CE">
            <w:pPr>
              <w:keepNext/>
              <w:keepLines/>
              <w:spacing w:afterLines="20" w:after="48"/>
              <w:rPr>
                <w:sz w:val="16"/>
                <w:szCs w:val="16"/>
              </w:rPr>
            </w:pPr>
            <w:r w:rsidRPr="009576CE">
              <w:rPr>
                <w:i/>
                <w:sz w:val="16"/>
                <w:szCs w:val="16"/>
              </w:rPr>
              <w:t>Competency to verify</w:t>
            </w:r>
            <w:r w:rsidRPr="009576CE">
              <w:rPr>
                <w:sz w:val="16"/>
                <w:szCs w:val="16"/>
              </w:rPr>
              <w:t xml:space="preserve"> (</w:t>
            </w:r>
            <w:r w:rsidR="00091B64" w:rsidRPr="009576CE">
              <w:rPr>
                <w:sz w:val="16"/>
                <w:szCs w:val="16"/>
              </w:rPr>
              <w:t xml:space="preserve">usually </w:t>
            </w:r>
            <w:r w:rsidRPr="009576CE">
              <w:rPr>
                <w:sz w:val="16"/>
                <w:szCs w:val="16"/>
              </w:rPr>
              <w:t>via NATA accreditation)</w:t>
            </w:r>
            <w:r w:rsidR="00BA41EE" w:rsidRPr="009576CE">
              <w:rPr>
                <w:sz w:val="16"/>
                <w:szCs w:val="16"/>
              </w:rPr>
              <w:t>:</w:t>
            </w:r>
            <w:r w:rsidR="006C56AB">
              <w:rPr>
                <w:sz w:val="16"/>
                <w:szCs w:val="16"/>
              </w:rPr>
              <w:t xml:space="preserve"> Act s</w:t>
            </w:r>
            <w:r w:rsidR="00091B64" w:rsidRPr="009576CE">
              <w:rPr>
                <w:sz w:val="16"/>
                <w:szCs w:val="16"/>
              </w:rPr>
              <w:t> </w:t>
            </w:r>
            <w:r w:rsidRPr="009576CE">
              <w:rPr>
                <w:sz w:val="16"/>
                <w:szCs w:val="16"/>
              </w:rPr>
              <w:t>18RB(a), 18RB(</w:t>
            </w:r>
            <w:r w:rsidR="00BA41EE" w:rsidRPr="009576CE">
              <w:rPr>
                <w:sz w:val="16"/>
                <w:szCs w:val="16"/>
              </w:rPr>
              <w:t>aa</w:t>
            </w:r>
            <w:r w:rsidRPr="009576CE">
              <w:rPr>
                <w:sz w:val="16"/>
                <w:szCs w:val="16"/>
              </w:rPr>
              <w:t>) and 18RCA.</w:t>
            </w:r>
          </w:p>
        </w:tc>
        <w:tc>
          <w:tcPr>
            <w:tcW w:w="3119" w:type="dxa"/>
          </w:tcPr>
          <w:p w14:paraId="1BDB3D69" w14:textId="0E5C73F7" w:rsidR="00897768" w:rsidRPr="009576CE" w:rsidRDefault="00897768" w:rsidP="009576CE">
            <w:pPr>
              <w:keepNext/>
              <w:keepLines/>
              <w:spacing w:afterLines="20" w:after="48"/>
              <w:rPr>
                <w:sz w:val="16"/>
                <w:szCs w:val="16"/>
              </w:rPr>
            </w:pPr>
            <w:r w:rsidRPr="009576CE">
              <w:rPr>
                <w:i/>
                <w:sz w:val="16"/>
                <w:szCs w:val="16"/>
              </w:rPr>
              <w:t>Statement of Attainment</w:t>
            </w:r>
            <w:r w:rsidRPr="009576CE">
              <w:rPr>
                <w:sz w:val="16"/>
                <w:szCs w:val="16"/>
              </w:rPr>
              <w:t xml:space="preserve"> </w:t>
            </w:r>
            <w:r w:rsidR="00201857" w:rsidRPr="009576CE">
              <w:rPr>
                <w:sz w:val="16"/>
                <w:szCs w:val="16"/>
              </w:rPr>
              <w:t>from an RTO:</w:t>
            </w:r>
            <w:r w:rsidR="00201857" w:rsidRPr="009576CE" w:rsidDel="00092AC7">
              <w:rPr>
                <w:sz w:val="16"/>
                <w:szCs w:val="16"/>
              </w:rPr>
              <w:t xml:space="preserve"> </w:t>
            </w:r>
            <w:r w:rsidR="00201857" w:rsidRPr="009576CE">
              <w:rPr>
                <w:sz w:val="16"/>
                <w:szCs w:val="16"/>
              </w:rPr>
              <w:t xml:space="preserve"> NTMR 3.62(g)</w:t>
            </w:r>
            <w:r w:rsidRPr="009576CE">
              <w:rPr>
                <w:sz w:val="16"/>
                <w:szCs w:val="16"/>
              </w:rPr>
              <w:t>.</w:t>
            </w:r>
          </w:p>
        </w:tc>
        <w:tc>
          <w:tcPr>
            <w:tcW w:w="2693" w:type="dxa"/>
          </w:tcPr>
          <w:p w14:paraId="44CFAF79" w14:textId="04219A99" w:rsidR="00897768" w:rsidRPr="009576CE" w:rsidRDefault="00897768" w:rsidP="009576CE">
            <w:pPr>
              <w:keepNext/>
              <w:keepLines/>
              <w:spacing w:afterLines="20" w:after="48"/>
              <w:rPr>
                <w:sz w:val="16"/>
                <w:szCs w:val="16"/>
              </w:rPr>
            </w:pPr>
            <w:r w:rsidRPr="009576CE">
              <w:rPr>
                <w:sz w:val="16"/>
                <w:szCs w:val="16"/>
              </w:rPr>
              <w:t>Either capability to verify or certify, or holds NATA accreditation</w:t>
            </w:r>
            <w:r w:rsidR="002C4693" w:rsidRPr="009576CE">
              <w:rPr>
                <w:sz w:val="16"/>
                <w:szCs w:val="16"/>
              </w:rPr>
              <w:t>:</w:t>
            </w:r>
            <w:r w:rsidRPr="009576CE">
              <w:rPr>
                <w:sz w:val="16"/>
                <w:szCs w:val="16"/>
              </w:rPr>
              <w:t xml:space="preserve"> NM</w:t>
            </w:r>
            <w:r w:rsidR="002C4693" w:rsidRPr="009576CE">
              <w:rPr>
                <w:sz w:val="16"/>
                <w:szCs w:val="16"/>
              </w:rPr>
              <w:t>R</w:t>
            </w:r>
            <w:r w:rsidRPr="009576CE">
              <w:rPr>
                <w:sz w:val="16"/>
                <w:szCs w:val="16"/>
              </w:rPr>
              <w:t xml:space="preserve"> 73.</w:t>
            </w:r>
          </w:p>
        </w:tc>
        <w:tc>
          <w:tcPr>
            <w:tcW w:w="2504" w:type="dxa"/>
          </w:tcPr>
          <w:p w14:paraId="6E8B95FD" w14:textId="7BC9D2F9" w:rsidR="00897768" w:rsidRPr="009576CE" w:rsidRDefault="00897768" w:rsidP="009576CE">
            <w:pPr>
              <w:keepNext/>
              <w:keepLines/>
              <w:spacing w:afterLines="20" w:after="48"/>
              <w:rPr>
                <w:sz w:val="16"/>
                <w:szCs w:val="16"/>
              </w:rPr>
            </w:pPr>
            <w:r w:rsidRPr="009576CE">
              <w:rPr>
                <w:sz w:val="16"/>
                <w:szCs w:val="16"/>
              </w:rPr>
              <w:t>Competen</w:t>
            </w:r>
            <w:r w:rsidR="00092AC7" w:rsidRPr="009576CE">
              <w:rPr>
                <w:sz w:val="16"/>
                <w:szCs w:val="16"/>
              </w:rPr>
              <w:t>t</w:t>
            </w:r>
            <w:r w:rsidRPr="009576CE">
              <w:rPr>
                <w:sz w:val="16"/>
                <w:szCs w:val="16"/>
              </w:rPr>
              <w:t xml:space="preserve"> to carry out the specified functions</w:t>
            </w:r>
            <w:r w:rsidR="002C4693" w:rsidRPr="009576CE">
              <w:rPr>
                <w:sz w:val="16"/>
                <w:szCs w:val="16"/>
              </w:rPr>
              <w:t>:</w:t>
            </w:r>
            <w:r w:rsidRPr="009576CE">
              <w:rPr>
                <w:sz w:val="16"/>
                <w:szCs w:val="16"/>
              </w:rPr>
              <w:t xml:space="preserve"> NM</w:t>
            </w:r>
            <w:r w:rsidR="002C4693" w:rsidRPr="009576CE">
              <w:rPr>
                <w:sz w:val="16"/>
                <w:szCs w:val="16"/>
              </w:rPr>
              <w:t>R</w:t>
            </w:r>
            <w:r w:rsidRPr="009576CE">
              <w:rPr>
                <w:sz w:val="16"/>
                <w:szCs w:val="16"/>
              </w:rPr>
              <w:t>76</w:t>
            </w:r>
            <w:r w:rsidR="00652EC0" w:rsidRPr="009576CE">
              <w:rPr>
                <w:sz w:val="16"/>
                <w:szCs w:val="16"/>
              </w:rPr>
              <w:t>.</w:t>
            </w:r>
          </w:p>
        </w:tc>
      </w:tr>
      <w:tr w:rsidR="00897768" w:rsidRPr="009576CE" w14:paraId="3070F5ED" w14:textId="77777777" w:rsidTr="00C21F44">
        <w:trPr>
          <w:cantSplit/>
          <w:trHeight w:val="2560"/>
        </w:trPr>
        <w:tc>
          <w:tcPr>
            <w:tcW w:w="1271" w:type="dxa"/>
          </w:tcPr>
          <w:p w14:paraId="0A6FFCB4" w14:textId="77777777" w:rsidR="00897768" w:rsidRPr="009576CE" w:rsidRDefault="00897768" w:rsidP="009576CE">
            <w:pPr>
              <w:keepNext/>
              <w:keepLines/>
              <w:spacing w:afterLines="20" w:after="48"/>
              <w:rPr>
                <w:b/>
                <w:sz w:val="16"/>
                <w:szCs w:val="16"/>
              </w:rPr>
            </w:pPr>
            <w:r w:rsidRPr="009576CE">
              <w:rPr>
                <w:b/>
                <w:sz w:val="16"/>
                <w:szCs w:val="16"/>
              </w:rPr>
              <w:t>Conditions of appointment</w:t>
            </w:r>
          </w:p>
        </w:tc>
        <w:tc>
          <w:tcPr>
            <w:tcW w:w="2410" w:type="dxa"/>
          </w:tcPr>
          <w:p w14:paraId="583F658F" w14:textId="7D7663E1" w:rsidR="00201857" w:rsidRPr="009576CE" w:rsidRDefault="00201857" w:rsidP="009576CE">
            <w:pPr>
              <w:keepNext/>
              <w:keepLines/>
              <w:spacing w:afterLines="20" w:after="48"/>
              <w:rPr>
                <w:sz w:val="16"/>
                <w:szCs w:val="16"/>
              </w:rPr>
            </w:pPr>
            <w:r w:rsidRPr="009576CE">
              <w:rPr>
                <w:sz w:val="16"/>
                <w:szCs w:val="16"/>
              </w:rPr>
              <w:t xml:space="preserve">General conditions under s 18NH of the Act and NTMR 2.43 cover verification processes, </w:t>
            </w:r>
            <w:r w:rsidR="007B384B" w:rsidRPr="009576CE">
              <w:rPr>
                <w:sz w:val="16"/>
                <w:szCs w:val="16"/>
              </w:rPr>
              <w:t xml:space="preserve">standards of reference </w:t>
            </w:r>
            <w:r w:rsidRPr="009576CE">
              <w:rPr>
                <w:sz w:val="16"/>
                <w:szCs w:val="16"/>
              </w:rPr>
              <w:t xml:space="preserve">and competency </w:t>
            </w:r>
            <w:r w:rsidR="007B384B" w:rsidRPr="009576CE">
              <w:rPr>
                <w:sz w:val="16"/>
                <w:szCs w:val="16"/>
              </w:rPr>
              <w:t xml:space="preserve">requirements </w:t>
            </w:r>
            <w:r w:rsidRPr="009576CE">
              <w:rPr>
                <w:sz w:val="16"/>
                <w:szCs w:val="16"/>
              </w:rPr>
              <w:t xml:space="preserve">and reporting </w:t>
            </w:r>
            <w:r w:rsidR="007B384B" w:rsidRPr="009576CE">
              <w:rPr>
                <w:sz w:val="16"/>
                <w:szCs w:val="16"/>
              </w:rPr>
              <w:t>(following verification)</w:t>
            </w:r>
            <w:r w:rsidR="00AB5B01" w:rsidRPr="009576CE">
              <w:rPr>
                <w:sz w:val="16"/>
                <w:szCs w:val="16"/>
              </w:rPr>
              <w:t>.</w:t>
            </w:r>
          </w:p>
          <w:p w14:paraId="053E38DF" w14:textId="1A655F69" w:rsidR="00201857" w:rsidRPr="009576CE" w:rsidRDefault="00201857" w:rsidP="009576CE">
            <w:pPr>
              <w:keepNext/>
              <w:keepLines/>
              <w:spacing w:afterLines="20" w:after="48"/>
              <w:rPr>
                <w:sz w:val="16"/>
                <w:szCs w:val="16"/>
              </w:rPr>
            </w:pPr>
            <w:r w:rsidRPr="009576CE">
              <w:rPr>
                <w:sz w:val="16"/>
                <w:szCs w:val="16"/>
              </w:rPr>
              <w:t>Additional conditions may be imposed on licences: s 18NG</w:t>
            </w:r>
            <w:r w:rsidR="00652EC0" w:rsidRPr="009576CE">
              <w:rPr>
                <w:sz w:val="16"/>
                <w:szCs w:val="16"/>
              </w:rPr>
              <w:t>.</w:t>
            </w:r>
          </w:p>
        </w:tc>
        <w:tc>
          <w:tcPr>
            <w:tcW w:w="3260" w:type="dxa"/>
          </w:tcPr>
          <w:p w14:paraId="2A900750" w14:textId="30310FA7" w:rsidR="007B384B" w:rsidRPr="009576CE" w:rsidRDefault="00201857" w:rsidP="009576CE">
            <w:pPr>
              <w:keepNext/>
              <w:keepLines/>
              <w:spacing w:afterLines="20" w:after="48"/>
              <w:rPr>
                <w:sz w:val="16"/>
                <w:szCs w:val="16"/>
              </w:rPr>
            </w:pPr>
            <w:r w:rsidRPr="009576CE">
              <w:rPr>
                <w:sz w:val="16"/>
                <w:szCs w:val="16"/>
              </w:rPr>
              <w:t>General conditions under s 18RB of the Act cover verification processes</w:t>
            </w:r>
            <w:r w:rsidR="007B384B" w:rsidRPr="009576CE">
              <w:rPr>
                <w:sz w:val="16"/>
                <w:szCs w:val="16"/>
              </w:rPr>
              <w:t>, standards of reference, competency requirements and reporting (when required to)</w:t>
            </w:r>
            <w:r w:rsidR="00AB5B01" w:rsidRPr="009576CE">
              <w:rPr>
                <w:sz w:val="16"/>
                <w:szCs w:val="16"/>
              </w:rPr>
              <w:t>.</w:t>
            </w:r>
          </w:p>
          <w:p w14:paraId="3F186E52" w14:textId="3E0A04FA" w:rsidR="007B384B" w:rsidRPr="009576CE" w:rsidRDefault="007B384B" w:rsidP="009576CE">
            <w:pPr>
              <w:keepNext/>
              <w:keepLines/>
              <w:spacing w:afterLines="20" w:after="48"/>
              <w:rPr>
                <w:sz w:val="16"/>
                <w:szCs w:val="16"/>
              </w:rPr>
            </w:pPr>
            <w:r w:rsidRPr="009576CE">
              <w:rPr>
                <w:sz w:val="16"/>
                <w:szCs w:val="16"/>
              </w:rPr>
              <w:t xml:space="preserve">Additional conditions may be imposed on </w:t>
            </w:r>
            <w:r w:rsidR="00320FEC" w:rsidRPr="009576CE">
              <w:rPr>
                <w:sz w:val="16"/>
                <w:szCs w:val="16"/>
              </w:rPr>
              <w:t>appointments</w:t>
            </w:r>
            <w:r w:rsidRPr="009576CE">
              <w:rPr>
                <w:sz w:val="16"/>
                <w:szCs w:val="16"/>
              </w:rPr>
              <w:t>: s 18RA(3)</w:t>
            </w:r>
            <w:r w:rsidR="00652EC0" w:rsidRPr="009576CE">
              <w:rPr>
                <w:sz w:val="16"/>
                <w:szCs w:val="16"/>
              </w:rPr>
              <w:t>.</w:t>
            </w:r>
          </w:p>
        </w:tc>
        <w:tc>
          <w:tcPr>
            <w:tcW w:w="3119" w:type="dxa"/>
          </w:tcPr>
          <w:p w14:paraId="293FA791" w14:textId="036DE484" w:rsidR="007B384B" w:rsidRPr="009576CE" w:rsidRDefault="007B384B" w:rsidP="009576CE">
            <w:pPr>
              <w:keepNext/>
              <w:keepLines/>
              <w:spacing w:afterLines="20" w:after="48"/>
              <w:rPr>
                <w:sz w:val="16"/>
                <w:szCs w:val="16"/>
              </w:rPr>
            </w:pPr>
            <w:r w:rsidRPr="009576CE">
              <w:rPr>
                <w:sz w:val="16"/>
                <w:szCs w:val="16"/>
              </w:rPr>
              <w:t xml:space="preserve">General conditions under s 18PH of the Act and NTMR 3.62 cover </w:t>
            </w:r>
            <w:r w:rsidR="00E355F3" w:rsidRPr="009576CE">
              <w:rPr>
                <w:sz w:val="16"/>
                <w:szCs w:val="16"/>
              </w:rPr>
              <w:t>competency requirements and certain operating requirements.</w:t>
            </w:r>
            <w:r w:rsidR="006C56AB">
              <w:rPr>
                <w:sz w:val="16"/>
                <w:szCs w:val="16"/>
              </w:rPr>
              <w:t xml:space="preserve"> </w:t>
            </w:r>
            <w:r w:rsidR="00E355F3" w:rsidRPr="009576CE">
              <w:rPr>
                <w:sz w:val="16"/>
                <w:szCs w:val="16"/>
              </w:rPr>
              <w:t>Part 3 of the NTMR imposes various additional operating requirements for weighbridges.</w:t>
            </w:r>
          </w:p>
          <w:p w14:paraId="274D192E" w14:textId="08AF9D5C" w:rsidR="007B384B" w:rsidRPr="009576CE" w:rsidRDefault="007B384B" w:rsidP="009576CE">
            <w:pPr>
              <w:keepNext/>
              <w:keepLines/>
              <w:spacing w:afterLines="20" w:after="48"/>
              <w:rPr>
                <w:sz w:val="16"/>
                <w:szCs w:val="16"/>
              </w:rPr>
            </w:pPr>
            <w:r w:rsidRPr="009576CE">
              <w:rPr>
                <w:sz w:val="16"/>
                <w:szCs w:val="16"/>
              </w:rPr>
              <w:t>Additional conditions may be imposed on licences: s 18PG</w:t>
            </w:r>
            <w:r w:rsidR="00652EC0" w:rsidRPr="009576CE">
              <w:rPr>
                <w:sz w:val="16"/>
                <w:szCs w:val="16"/>
              </w:rPr>
              <w:t>.</w:t>
            </w:r>
          </w:p>
        </w:tc>
        <w:tc>
          <w:tcPr>
            <w:tcW w:w="2693" w:type="dxa"/>
          </w:tcPr>
          <w:p w14:paraId="6E84D432" w14:textId="4CB034C8" w:rsidR="00E355F3" w:rsidRPr="009576CE" w:rsidRDefault="00E355F3" w:rsidP="009576CE">
            <w:pPr>
              <w:keepNext/>
              <w:keepLines/>
              <w:spacing w:afterLines="20" w:after="48"/>
              <w:rPr>
                <w:sz w:val="16"/>
                <w:szCs w:val="16"/>
              </w:rPr>
            </w:pPr>
            <w:r w:rsidRPr="009576CE">
              <w:rPr>
                <w:sz w:val="16"/>
                <w:szCs w:val="16"/>
              </w:rPr>
              <w:t>General conditions under NMR 77 cover participating in mandatory LMA training, reporting (when required to) and complying with certain determinations regarding accuracy calculation</w:t>
            </w:r>
            <w:r w:rsidR="00320FEC" w:rsidRPr="009576CE">
              <w:rPr>
                <w:sz w:val="16"/>
                <w:szCs w:val="16"/>
              </w:rPr>
              <w:t xml:space="preserve"> and property values</w:t>
            </w:r>
            <w:r w:rsidRPr="009576CE">
              <w:rPr>
                <w:sz w:val="16"/>
                <w:szCs w:val="16"/>
              </w:rPr>
              <w:t>.</w:t>
            </w:r>
          </w:p>
          <w:p w14:paraId="4BC20DF1" w14:textId="22077DFA" w:rsidR="00E355F3" w:rsidRPr="009576CE" w:rsidRDefault="00E355F3" w:rsidP="009576CE">
            <w:pPr>
              <w:keepNext/>
              <w:keepLines/>
              <w:spacing w:afterLines="20" w:after="48"/>
              <w:rPr>
                <w:sz w:val="16"/>
                <w:szCs w:val="16"/>
              </w:rPr>
            </w:pPr>
            <w:r w:rsidRPr="009576CE">
              <w:rPr>
                <w:sz w:val="16"/>
                <w:szCs w:val="16"/>
              </w:rPr>
              <w:t xml:space="preserve">Additional conditions may be imposed on </w:t>
            </w:r>
            <w:r w:rsidR="00320FEC" w:rsidRPr="009576CE">
              <w:rPr>
                <w:sz w:val="16"/>
                <w:szCs w:val="16"/>
              </w:rPr>
              <w:t>appointments</w:t>
            </w:r>
            <w:r w:rsidRPr="009576CE">
              <w:rPr>
                <w:sz w:val="16"/>
                <w:szCs w:val="16"/>
              </w:rPr>
              <w:t xml:space="preserve">: </w:t>
            </w:r>
            <w:r w:rsidR="00320FEC" w:rsidRPr="009576CE">
              <w:rPr>
                <w:sz w:val="16"/>
                <w:szCs w:val="16"/>
              </w:rPr>
              <w:t>NMR 73(2)(b)</w:t>
            </w:r>
            <w:r w:rsidR="00652EC0" w:rsidRPr="009576CE">
              <w:rPr>
                <w:sz w:val="16"/>
                <w:szCs w:val="16"/>
              </w:rPr>
              <w:t>.</w:t>
            </w:r>
          </w:p>
        </w:tc>
        <w:tc>
          <w:tcPr>
            <w:tcW w:w="2504" w:type="dxa"/>
          </w:tcPr>
          <w:p w14:paraId="39DEB865" w14:textId="46F76FD2" w:rsidR="00320FEC" w:rsidRPr="009576CE" w:rsidRDefault="00320FEC" w:rsidP="009576CE">
            <w:pPr>
              <w:keepNext/>
              <w:keepLines/>
              <w:spacing w:afterLines="20" w:after="48"/>
              <w:rPr>
                <w:sz w:val="16"/>
                <w:szCs w:val="16"/>
              </w:rPr>
            </w:pPr>
            <w:r w:rsidRPr="009576CE">
              <w:rPr>
                <w:sz w:val="16"/>
                <w:szCs w:val="16"/>
              </w:rPr>
              <w:t>General conditions under NMR 77 cover participating in mandatory LMA training, and reporting (when required to).</w:t>
            </w:r>
          </w:p>
          <w:p w14:paraId="6E9DA287" w14:textId="73721CDA" w:rsidR="00897768" w:rsidRPr="009576CE" w:rsidRDefault="00320FEC" w:rsidP="009576CE">
            <w:pPr>
              <w:keepNext/>
              <w:keepLines/>
              <w:spacing w:afterLines="20" w:after="48"/>
              <w:rPr>
                <w:sz w:val="16"/>
                <w:szCs w:val="16"/>
              </w:rPr>
            </w:pPr>
            <w:r w:rsidRPr="009576CE">
              <w:rPr>
                <w:sz w:val="16"/>
                <w:szCs w:val="16"/>
              </w:rPr>
              <w:t xml:space="preserve">Additional conditions may be imposed on appointments: NMR </w:t>
            </w:r>
            <w:r w:rsidR="00652EC0" w:rsidRPr="009576CE">
              <w:rPr>
                <w:sz w:val="16"/>
                <w:szCs w:val="16"/>
              </w:rPr>
              <w:t>77(1)(d).</w:t>
            </w:r>
          </w:p>
        </w:tc>
      </w:tr>
      <w:tr w:rsidR="00897768" w:rsidRPr="009576CE" w14:paraId="30E8A3DE" w14:textId="77777777" w:rsidTr="00C21F44">
        <w:trPr>
          <w:cantSplit/>
          <w:trHeight w:val="1597"/>
        </w:trPr>
        <w:tc>
          <w:tcPr>
            <w:tcW w:w="1271" w:type="dxa"/>
          </w:tcPr>
          <w:p w14:paraId="789759B0" w14:textId="1EE6FE9F" w:rsidR="00897768" w:rsidRPr="009576CE" w:rsidRDefault="00897768" w:rsidP="009576CE">
            <w:pPr>
              <w:keepNext/>
              <w:keepLines/>
              <w:spacing w:afterLines="20" w:after="48"/>
              <w:rPr>
                <w:b/>
                <w:sz w:val="16"/>
                <w:szCs w:val="16"/>
              </w:rPr>
            </w:pPr>
            <w:r w:rsidRPr="009576CE">
              <w:rPr>
                <w:b/>
                <w:sz w:val="16"/>
                <w:szCs w:val="16"/>
              </w:rPr>
              <w:t xml:space="preserve">Traceability </w:t>
            </w:r>
          </w:p>
        </w:tc>
        <w:tc>
          <w:tcPr>
            <w:tcW w:w="2410" w:type="dxa"/>
          </w:tcPr>
          <w:p w14:paraId="6158B7E9" w14:textId="52762B3B" w:rsidR="00897768" w:rsidRPr="009576CE" w:rsidRDefault="00897768" w:rsidP="009576CE">
            <w:pPr>
              <w:keepNext/>
              <w:keepLines/>
              <w:spacing w:afterLines="20" w:after="48"/>
              <w:rPr>
                <w:sz w:val="16"/>
                <w:szCs w:val="16"/>
              </w:rPr>
            </w:pPr>
            <w:r w:rsidRPr="009576CE">
              <w:rPr>
                <w:sz w:val="16"/>
                <w:szCs w:val="16"/>
              </w:rPr>
              <w:t xml:space="preserve">Measuring instrument verifications </w:t>
            </w:r>
            <w:r w:rsidR="00F84135" w:rsidRPr="009576CE">
              <w:rPr>
                <w:sz w:val="16"/>
                <w:szCs w:val="16"/>
              </w:rPr>
              <w:t xml:space="preserve">to be </w:t>
            </w:r>
            <w:r w:rsidRPr="009576CE">
              <w:rPr>
                <w:sz w:val="16"/>
                <w:szCs w:val="16"/>
              </w:rPr>
              <w:t>in accordance with relevant NITPs</w:t>
            </w:r>
            <w:r w:rsidR="00F84135" w:rsidRPr="009576CE">
              <w:rPr>
                <w:sz w:val="16"/>
                <w:szCs w:val="16"/>
              </w:rPr>
              <w:t xml:space="preserve">: Act s 18GG </w:t>
            </w:r>
            <w:r w:rsidRPr="009576CE">
              <w:rPr>
                <w:sz w:val="16"/>
                <w:szCs w:val="16"/>
              </w:rPr>
              <w:t>and</w:t>
            </w:r>
            <w:r w:rsidR="00F84135" w:rsidRPr="009576CE">
              <w:rPr>
                <w:sz w:val="16"/>
                <w:szCs w:val="16"/>
              </w:rPr>
              <w:t xml:space="preserve"> NTMR 2.43(18)</w:t>
            </w:r>
            <w:r w:rsidR="00652EC0" w:rsidRPr="009576CE">
              <w:rPr>
                <w:sz w:val="16"/>
                <w:szCs w:val="16"/>
              </w:rPr>
              <w:t>.</w:t>
            </w:r>
          </w:p>
        </w:tc>
        <w:tc>
          <w:tcPr>
            <w:tcW w:w="3260" w:type="dxa"/>
          </w:tcPr>
          <w:p w14:paraId="0C3FA819" w14:textId="467E1C51" w:rsidR="00897768" w:rsidRPr="009576CE" w:rsidRDefault="00BA41EE" w:rsidP="009576CE">
            <w:pPr>
              <w:keepNext/>
              <w:keepLines/>
              <w:spacing w:afterLines="20" w:after="48"/>
              <w:rPr>
                <w:sz w:val="16"/>
                <w:szCs w:val="16"/>
              </w:rPr>
            </w:pPr>
            <w:r w:rsidRPr="009576CE">
              <w:rPr>
                <w:sz w:val="16"/>
                <w:szCs w:val="16"/>
              </w:rPr>
              <w:t>Measuring instrument verifications to be in accordance with relevant NITP 14: Act s 18GG</w:t>
            </w:r>
            <w:r w:rsidR="000F3379">
              <w:rPr>
                <w:sz w:val="16"/>
                <w:szCs w:val="16"/>
              </w:rPr>
              <w:t>.</w:t>
            </w:r>
          </w:p>
        </w:tc>
        <w:tc>
          <w:tcPr>
            <w:tcW w:w="3119" w:type="dxa"/>
          </w:tcPr>
          <w:p w14:paraId="5660CDBE" w14:textId="5434927C" w:rsidR="00897768" w:rsidRPr="009576CE" w:rsidRDefault="00AB5E6C" w:rsidP="009576CE">
            <w:pPr>
              <w:keepNext/>
              <w:keepLines/>
              <w:spacing w:afterLines="20" w:after="48"/>
              <w:rPr>
                <w:sz w:val="16"/>
                <w:szCs w:val="16"/>
              </w:rPr>
            </w:pPr>
            <w:r w:rsidRPr="009576CE">
              <w:rPr>
                <w:sz w:val="16"/>
                <w:szCs w:val="16"/>
              </w:rPr>
              <w:t>Mandatory reverification every 1</w:t>
            </w:r>
            <w:r w:rsidR="00652EC0" w:rsidRPr="009576CE">
              <w:rPr>
                <w:sz w:val="16"/>
                <w:szCs w:val="16"/>
              </w:rPr>
              <w:t xml:space="preserve">2 months by servicing licensee, </w:t>
            </w:r>
            <w:r w:rsidRPr="009576CE">
              <w:rPr>
                <w:sz w:val="16"/>
                <w:szCs w:val="16"/>
              </w:rPr>
              <w:t>instrument verifications to be in accordance with relevant NITPs: Act s 18GG and NTMR r 2.43(18) and 3.61</w:t>
            </w:r>
            <w:r w:rsidR="00652EC0" w:rsidRPr="009576CE">
              <w:rPr>
                <w:sz w:val="16"/>
                <w:szCs w:val="16"/>
              </w:rPr>
              <w:t>.</w:t>
            </w:r>
          </w:p>
        </w:tc>
        <w:tc>
          <w:tcPr>
            <w:tcW w:w="2693" w:type="dxa"/>
          </w:tcPr>
          <w:p w14:paraId="5AC1C2DF" w14:textId="1478A582" w:rsidR="00897768" w:rsidRPr="009576CE" w:rsidRDefault="00F8753C" w:rsidP="009576CE">
            <w:pPr>
              <w:keepNext/>
              <w:keepLines/>
              <w:spacing w:afterLines="20" w:after="48"/>
              <w:rPr>
                <w:sz w:val="16"/>
                <w:szCs w:val="16"/>
              </w:rPr>
            </w:pPr>
            <w:r w:rsidRPr="009576CE">
              <w:rPr>
                <w:sz w:val="16"/>
                <w:szCs w:val="16"/>
              </w:rPr>
              <w:t xml:space="preserve">Traceability </w:t>
            </w:r>
            <w:r w:rsidR="007C355D" w:rsidRPr="009576CE">
              <w:rPr>
                <w:sz w:val="16"/>
                <w:szCs w:val="16"/>
              </w:rPr>
              <w:t>for</w:t>
            </w:r>
            <w:r w:rsidRPr="009576CE">
              <w:rPr>
                <w:sz w:val="16"/>
                <w:szCs w:val="16"/>
              </w:rPr>
              <w:t xml:space="preserve"> </w:t>
            </w:r>
            <w:r w:rsidR="006552C4" w:rsidRPr="009576CE">
              <w:rPr>
                <w:sz w:val="16"/>
                <w:szCs w:val="16"/>
              </w:rPr>
              <w:t xml:space="preserve">verifying and certifying authorities </w:t>
            </w:r>
            <w:r w:rsidRPr="009576CE">
              <w:rPr>
                <w:sz w:val="16"/>
                <w:szCs w:val="16"/>
              </w:rPr>
              <w:t>t</w:t>
            </w:r>
            <w:r w:rsidR="00897768" w:rsidRPr="009576CE">
              <w:rPr>
                <w:sz w:val="16"/>
                <w:szCs w:val="16"/>
              </w:rPr>
              <w:t>hrough QMS as assessed and accredited by NATA</w:t>
            </w:r>
            <w:r w:rsidR="00652EC0" w:rsidRPr="009576CE">
              <w:rPr>
                <w:sz w:val="16"/>
                <w:szCs w:val="16"/>
              </w:rPr>
              <w:t>.</w:t>
            </w:r>
          </w:p>
          <w:p w14:paraId="2F7B047F" w14:textId="30A4013E" w:rsidR="006552C4" w:rsidRPr="009576CE" w:rsidRDefault="006552C4" w:rsidP="009576CE">
            <w:pPr>
              <w:keepNext/>
              <w:keepLines/>
              <w:spacing w:afterLines="20" w:after="48"/>
              <w:rPr>
                <w:sz w:val="16"/>
                <w:szCs w:val="16"/>
              </w:rPr>
            </w:pPr>
          </w:p>
          <w:p w14:paraId="565DC9F0" w14:textId="125DBE49" w:rsidR="00897768" w:rsidRPr="009576CE" w:rsidRDefault="00897768" w:rsidP="009576CE">
            <w:pPr>
              <w:keepNext/>
              <w:keepLines/>
              <w:spacing w:afterLines="20" w:after="48"/>
              <w:rPr>
                <w:sz w:val="16"/>
                <w:szCs w:val="16"/>
              </w:rPr>
            </w:pPr>
          </w:p>
        </w:tc>
        <w:tc>
          <w:tcPr>
            <w:tcW w:w="2504" w:type="dxa"/>
          </w:tcPr>
          <w:p w14:paraId="42B18FDB" w14:textId="16AFE005" w:rsidR="00897768" w:rsidRPr="009576CE" w:rsidRDefault="00063C2A" w:rsidP="009576CE">
            <w:pPr>
              <w:keepNext/>
              <w:keepLines/>
              <w:spacing w:afterLines="20" w:after="48"/>
              <w:rPr>
                <w:sz w:val="16"/>
                <w:szCs w:val="16"/>
              </w:rPr>
            </w:pPr>
            <w:r w:rsidRPr="009576CE">
              <w:rPr>
                <w:sz w:val="16"/>
                <w:szCs w:val="16"/>
              </w:rPr>
              <w:t>Where</w:t>
            </w:r>
            <w:r w:rsidR="00897768" w:rsidRPr="009576CE">
              <w:rPr>
                <w:sz w:val="16"/>
                <w:szCs w:val="16"/>
              </w:rPr>
              <w:t xml:space="preserve"> an approving authority </w:t>
            </w:r>
            <w:r w:rsidRPr="009576CE">
              <w:rPr>
                <w:sz w:val="16"/>
                <w:szCs w:val="16"/>
              </w:rPr>
              <w:t xml:space="preserve">approves </w:t>
            </w:r>
            <w:r w:rsidR="00897768" w:rsidRPr="009576CE">
              <w:rPr>
                <w:sz w:val="16"/>
                <w:szCs w:val="16"/>
              </w:rPr>
              <w:t>the pattern of a measuring instrument</w:t>
            </w:r>
            <w:r w:rsidR="007C355D" w:rsidRPr="009576CE">
              <w:rPr>
                <w:sz w:val="16"/>
                <w:szCs w:val="16"/>
              </w:rPr>
              <w:t xml:space="preserve"> </w:t>
            </w:r>
            <w:r w:rsidRPr="009576CE">
              <w:rPr>
                <w:sz w:val="16"/>
                <w:szCs w:val="16"/>
              </w:rPr>
              <w:t>under NMR 60(1)(b),</w:t>
            </w:r>
            <w:r w:rsidR="007C355D" w:rsidRPr="009576CE">
              <w:rPr>
                <w:sz w:val="16"/>
                <w:szCs w:val="16"/>
              </w:rPr>
              <w:t xml:space="preserve"> </w:t>
            </w:r>
            <w:r w:rsidR="00D6721D" w:rsidRPr="009576CE">
              <w:rPr>
                <w:sz w:val="16"/>
                <w:szCs w:val="16"/>
              </w:rPr>
              <w:t>the certificate</w:t>
            </w:r>
            <w:r w:rsidR="00630234" w:rsidRPr="009576CE">
              <w:rPr>
                <w:sz w:val="16"/>
                <w:szCs w:val="16"/>
              </w:rPr>
              <w:t xml:space="preserve"> of approval will ordinarily specify the NITP used during the certification.</w:t>
            </w:r>
          </w:p>
        </w:tc>
      </w:tr>
      <w:tr w:rsidR="00897768" w:rsidRPr="009576CE" w14:paraId="165EF52A" w14:textId="77777777" w:rsidTr="00C21F44">
        <w:trPr>
          <w:cantSplit/>
          <w:trHeight w:val="681"/>
        </w:trPr>
        <w:tc>
          <w:tcPr>
            <w:tcW w:w="1271" w:type="dxa"/>
          </w:tcPr>
          <w:p w14:paraId="67E35749" w14:textId="77777777" w:rsidR="00897768" w:rsidRPr="009576CE" w:rsidRDefault="00897768" w:rsidP="009576CE">
            <w:pPr>
              <w:keepNext/>
              <w:keepLines/>
              <w:spacing w:afterLines="20" w:after="48"/>
              <w:rPr>
                <w:b/>
                <w:sz w:val="16"/>
                <w:szCs w:val="16"/>
              </w:rPr>
            </w:pPr>
            <w:r w:rsidRPr="009576CE">
              <w:rPr>
                <w:b/>
                <w:sz w:val="16"/>
                <w:szCs w:val="16"/>
              </w:rPr>
              <w:t>Compliance</w:t>
            </w:r>
          </w:p>
        </w:tc>
        <w:tc>
          <w:tcPr>
            <w:tcW w:w="2410" w:type="dxa"/>
          </w:tcPr>
          <w:p w14:paraId="0D45B4FB" w14:textId="1F222C82" w:rsidR="00897768" w:rsidRPr="009576CE" w:rsidRDefault="00897768" w:rsidP="009576CE">
            <w:pPr>
              <w:keepNext/>
              <w:keepLines/>
              <w:spacing w:afterLines="20" w:after="48"/>
              <w:rPr>
                <w:sz w:val="16"/>
                <w:szCs w:val="16"/>
              </w:rPr>
            </w:pPr>
            <w:r w:rsidRPr="009576CE">
              <w:rPr>
                <w:sz w:val="16"/>
                <w:szCs w:val="16"/>
              </w:rPr>
              <w:t>Form 6 data submission,</w:t>
            </w:r>
            <w:r w:rsidR="00D6721D" w:rsidRPr="009576CE">
              <w:rPr>
                <w:sz w:val="16"/>
                <w:szCs w:val="16"/>
              </w:rPr>
              <w:t xml:space="preserve"> inspector data collection and </w:t>
            </w:r>
            <w:r w:rsidRPr="009576CE">
              <w:rPr>
                <w:sz w:val="16"/>
                <w:szCs w:val="16"/>
              </w:rPr>
              <w:t>established risk-based program</w:t>
            </w:r>
            <w:r w:rsidR="00A84B04" w:rsidRPr="009576CE">
              <w:rPr>
                <w:sz w:val="16"/>
                <w:szCs w:val="16"/>
              </w:rPr>
              <w:t>.</w:t>
            </w:r>
          </w:p>
          <w:p w14:paraId="17986AFB" w14:textId="235E5863" w:rsidR="00A84B04" w:rsidRPr="009576CE" w:rsidRDefault="00A84B04" w:rsidP="009576CE">
            <w:pPr>
              <w:keepNext/>
              <w:keepLines/>
              <w:spacing w:afterLines="20" w:after="48"/>
              <w:rPr>
                <w:sz w:val="16"/>
                <w:szCs w:val="16"/>
              </w:rPr>
            </w:pPr>
            <w:r w:rsidRPr="009576CE">
              <w:rPr>
                <w:sz w:val="16"/>
                <w:szCs w:val="16"/>
              </w:rPr>
              <w:t xml:space="preserve">Communication about specific non-compliance issues, warnings, infringement notices.  </w:t>
            </w:r>
          </w:p>
        </w:tc>
        <w:tc>
          <w:tcPr>
            <w:tcW w:w="3260" w:type="dxa"/>
          </w:tcPr>
          <w:p w14:paraId="4D4CE265" w14:textId="505ED70C" w:rsidR="00897768" w:rsidRPr="009576CE" w:rsidRDefault="00896EC6" w:rsidP="006C56AB">
            <w:pPr>
              <w:keepNext/>
              <w:keepLines/>
              <w:spacing w:afterLines="20" w:after="48"/>
              <w:rPr>
                <w:sz w:val="16"/>
                <w:szCs w:val="16"/>
              </w:rPr>
            </w:pPr>
            <w:r w:rsidRPr="009576CE">
              <w:rPr>
                <w:sz w:val="16"/>
                <w:szCs w:val="16"/>
              </w:rPr>
              <w:t xml:space="preserve">Generally, NMI does not impose any </w:t>
            </w:r>
            <w:r w:rsidR="00897768" w:rsidRPr="009576CE">
              <w:rPr>
                <w:sz w:val="16"/>
                <w:szCs w:val="16"/>
              </w:rPr>
              <w:t>general requirement</w:t>
            </w:r>
            <w:r w:rsidRPr="009576CE">
              <w:rPr>
                <w:sz w:val="16"/>
                <w:szCs w:val="16"/>
              </w:rPr>
              <w:t>s on UMVs</w:t>
            </w:r>
            <w:r w:rsidR="00897768" w:rsidRPr="009576CE">
              <w:rPr>
                <w:sz w:val="16"/>
                <w:szCs w:val="16"/>
              </w:rPr>
              <w:t xml:space="preserve"> </w:t>
            </w:r>
            <w:r w:rsidR="00A342D2" w:rsidRPr="009576CE">
              <w:rPr>
                <w:sz w:val="16"/>
                <w:szCs w:val="16"/>
              </w:rPr>
              <w:t xml:space="preserve">under the Act </w:t>
            </w:r>
            <w:r w:rsidR="00897768" w:rsidRPr="009576CE">
              <w:rPr>
                <w:sz w:val="16"/>
                <w:szCs w:val="16"/>
              </w:rPr>
              <w:t>to submit data following verification unless specifically required</w:t>
            </w:r>
            <w:r w:rsidRPr="009576CE">
              <w:rPr>
                <w:sz w:val="16"/>
                <w:szCs w:val="16"/>
              </w:rPr>
              <w:t>.</w:t>
            </w:r>
            <w:r w:rsidR="00897768" w:rsidRPr="009576CE">
              <w:rPr>
                <w:sz w:val="16"/>
                <w:szCs w:val="16"/>
              </w:rPr>
              <w:t xml:space="preserve"> </w:t>
            </w:r>
          </w:p>
        </w:tc>
        <w:tc>
          <w:tcPr>
            <w:tcW w:w="3119" w:type="dxa"/>
          </w:tcPr>
          <w:p w14:paraId="428EFC08" w14:textId="5CB9A771" w:rsidR="00092AC7" w:rsidRPr="009576CE" w:rsidRDefault="00092AC7" w:rsidP="009576CE">
            <w:pPr>
              <w:keepNext/>
              <w:keepLines/>
              <w:spacing w:afterLines="20" w:after="48"/>
              <w:rPr>
                <w:sz w:val="16"/>
                <w:szCs w:val="16"/>
              </w:rPr>
            </w:pPr>
            <w:r w:rsidRPr="009576CE">
              <w:rPr>
                <w:sz w:val="16"/>
                <w:szCs w:val="16"/>
              </w:rPr>
              <w:t xml:space="preserve">Audits carried out by NMI to </w:t>
            </w:r>
            <w:r w:rsidR="00897768" w:rsidRPr="009576CE">
              <w:rPr>
                <w:sz w:val="16"/>
                <w:szCs w:val="16"/>
              </w:rPr>
              <w:t xml:space="preserve">assess compliance of </w:t>
            </w:r>
            <w:r w:rsidRPr="009576CE">
              <w:rPr>
                <w:sz w:val="16"/>
                <w:szCs w:val="16"/>
              </w:rPr>
              <w:t>licensees</w:t>
            </w:r>
            <w:r w:rsidR="00897768" w:rsidRPr="009576CE">
              <w:rPr>
                <w:sz w:val="16"/>
                <w:szCs w:val="16"/>
              </w:rPr>
              <w:t xml:space="preserve"> and operators, including performing physical inspections.</w:t>
            </w:r>
            <w:r w:rsidR="00A84B04" w:rsidRPr="009576CE">
              <w:rPr>
                <w:sz w:val="16"/>
                <w:szCs w:val="16"/>
              </w:rPr>
              <w:t xml:space="preserve">  </w:t>
            </w:r>
            <w:r w:rsidR="007822EA" w:rsidRPr="009576CE">
              <w:rPr>
                <w:sz w:val="16"/>
                <w:szCs w:val="16"/>
              </w:rPr>
              <w:t xml:space="preserve"> </w:t>
            </w:r>
          </w:p>
          <w:p w14:paraId="199613E9" w14:textId="0267869E" w:rsidR="00897768" w:rsidRPr="009576CE" w:rsidRDefault="00A84B04" w:rsidP="009576CE">
            <w:pPr>
              <w:keepNext/>
              <w:keepLines/>
              <w:spacing w:afterLines="20" w:after="48"/>
              <w:rPr>
                <w:sz w:val="16"/>
                <w:szCs w:val="16"/>
              </w:rPr>
            </w:pPr>
            <w:r w:rsidRPr="009576CE">
              <w:rPr>
                <w:sz w:val="16"/>
                <w:szCs w:val="16"/>
              </w:rPr>
              <w:t>Compliance arrangements for instruments used in trade, including communication about specific non-compliance issues, warnings, and infringement notices.</w:t>
            </w:r>
          </w:p>
        </w:tc>
        <w:tc>
          <w:tcPr>
            <w:tcW w:w="2693" w:type="dxa"/>
          </w:tcPr>
          <w:p w14:paraId="2D86959B" w14:textId="28E62841" w:rsidR="00897768" w:rsidRPr="009576CE" w:rsidRDefault="00897768" w:rsidP="006C56AB">
            <w:pPr>
              <w:keepNext/>
              <w:keepLines/>
              <w:spacing w:afterLines="20" w:after="48"/>
              <w:rPr>
                <w:sz w:val="16"/>
                <w:szCs w:val="16"/>
              </w:rPr>
            </w:pPr>
            <w:r w:rsidRPr="009576CE">
              <w:rPr>
                <w:sz w:val="16"/>
                <w:szCs w:val="16"/>
              </w:rPr>
              <w:t>There is no general requirement for LMAs to report following the performance of their functions, unless specifically required</w:t>
            </w:r>
            <w:r w:rsidR="00092AC7" w:rsidRPr="009576CE">
              <w:rPr>
                <w:sz w:val="16"/>
                <w:szCs w:val="16"/>
              </w:rPr>
              <w:t xml:space="preserve"> by NMI</w:t>
            </w:r>
            <w:r w:rsidR="006C56AB">
              <w:rPr>
                <w:sz w:val="16"/>
                <w:szCs w:val="16"/>
              </w:rPr>
              <w:t>.</w:t>
            </w:r>
          </w:p>
        </w:tc>
        <w:tc>
          <w:tcPr>
            <w:tcW w:w="2504" w:type="dxa"/>
          </w:tcPr>
          <w:p w14:paraId="1F262B7C" w14:textId="7484988E" w:rsidR="00897768" w:rsidRPr="009576CE" w:rsidRDefault="00897768" w:rsidP="006C56AB">
            <w:pPr>
              <w:keepNext/>
              <w:keepLines/>
              <w:spacing w:afterLines="20" w:after="48"/>
              <w:rPr>
                <w:sz w:val="16"/>
                <w:szCs w:val="16"/>
              </w:rPr>
            </w:pPr>
            <w:r w:rsidRPr="009576CE">
              <w:rPr>
                <w:sz w:val="16"/>
                <w:szCs w:val="16"/>
              </w:rPr>
              <w:t>There is no general requirement for LMAs to report following the performance of their</w:t>
            </w:r>
            <w:r w:rsidR="006C56AB">
              <w:rPr>
                <w:sz w:val="16"/>
                <w:szCs w:val="16"/>
              </w:rPr>
              <w:t xml:space="preserve"> functions, unless specifically required by NMI</w:t>
            </w:r>
            <w:r w:rsidR="00AB5B01" w:rsidRPr="009576CE">
              <w:rPr>
                <w:sz w:val="16"/>
                <w:szCs w:val="16"/>
              </w:rPr>
              <w:t>.</w:t>
            </w:r>
          </w:p>
        </w:tc>
      </w:tr>
      <w:tr w:rsidR="00897768" w:rsidRPr="009576CE" w14:paraId="1CB4CEE8" w14:textId="77777777" w:rsidTr="00C21F44">
        <w:trPr>
          <w:cantSplit/>
          <w:trHeight w:val="564"/>
        </w:trPr>
        <w:tc>
          <w:tcPr>
            <w:tcW w:w="1271" w:type="dxa"/>
            <w:tcBorders>
              <w:bottom w:val="single" w:sz="4" w:space="0" w:color="auto"/>
            </w:tcBorders>
          </w:tcPr>
          <w:p w14:paraId="53EFF9D0" w14:textId="463CBE53" w:rsidR="00897768" w:rsidRPr="009576CE" w:rsidRDefault="00897768" w:rsidP="009576CE">
            <w:pPr>
              <w:keepLines/>
              <w:spacing w:afterLines="20" w:after="48"/>
              <w:rPr>
                <w:b/>
                <w:sz w:val="16"/>
                <w:szCs w:val="16"/>
              </w:rPr>
            </w:pPr>
            <w:r w:rsidRPr="009576CE">
              <w:rPr>
                <w:b/>
                <w:sz w:val="16"/>
                <w:szCs w:val="16"/>
              </w:rPr>
              <w:t>Enforcement</w:t>
            </w:r>
          </w:p>
          <w:p w14:paraId="384F8B30" w14:textId="6C2FE264" w:rsidR="00897768" w:rsidRPr="009576CE" w:rsidRDefault="00897768" w:rsidP="009576CE">
            <w:pPr>
              <w:keepLines/>
              <w:spacing w:afterLines="20" w:after="48"/>
              <w:rPr>
                <w:b/>
                <w:sz w:val="16"/>
                <w:szCs w:val="16"/>
              </w:rPr>
            </w:pPr>
            <w:r w:rsidRPr="009576CE">
              <w:rPr>
                <w:b/>
                <w:sz w:val="16"/>
                <w:szCs w:val="16"/>
              </w:rPr>
              <w:t>Options</w:t>
            </w:r>
          </w:p>
        </w:tc>
        <w:tc>
          <w:tcPr>
            <w:tcW w:w="2410" w:type="dxa"/>
          </w:tcPr>
          <w:p w14:paraId="5E9B761F" w14:textId="282487A1" w:rsidR="00897768" w:rsidRPr="009576CE" w:rsidRDefault="005C1BED" w:rsidP="009576CE">
            <w:pPr>
              <w:keepLines/>
              <w:spacing w:afterLines="20" w:after="48"/>
              <w:rPr>
                <w:sz w:val="16"/>
                <w:szCs w:val="16"/>
              </w:rPr>
            </w:pPr>
            <w:r w:rsidRPr="009576CE">
              <w:rPr>
                <w:sz w:val="16"/>
                <w:szCs w:val="16"/>
              </w:rPr>
              <w:t xml:space="preserve">Disciplinary action may be taken for more serious breaches under part XII of the Act. </w:t>
            </w:r>
          </w:p>
        </w:tc>
        <w:tc>
          <w:tcPr>
            <w:tcW w:w="3260" w:type="dxa"/>
          </w:tcPr>
          <w:p w14:paraId="0D0F5A42" w14:textId="0B59CA69" w:rsidR="00897768" w:rsidRPr="009576CE" w:rsidRDefault="00C455AC" w:rsidP="009576CE">
            <w:pPr>
              <w:keepLines/>
              <w:spacing w:afterLines="20" w:after="48"/>
              <w:rPr>
                <w:sz w:val="16"/>
                <w:szCs w:val="16"/>
              </w:rPr>
            </w:pPr>
            <w:r w:rsidRPr="009576CE">
              <w:rPr>
                <w:sz w:val="16"/>
                <w:szCs w:val="16"/>
              </w:rPr>
              <w:t>Disciplinary action may be taken under part XII</w:t>
            </w:r>
            <w:r w:rsidR="00091B64" w:rsidRPr="009576CE">
              <w:rPr>
                <w:sz w:val="16"/>
                <w:szCs w:val="16"/>
              </w:rPr>
              <w:t>I</w:t>
            </w:r>
            <w:r w:rsidRPr="009576CE">
              <w:rPr>
                <w:sz w:val="16"/>
                <w:szCs w:val="16"/>
              </w:rPr>
              <w:t xml:space="preserve"> of the Act for breach of licence condition. </w:t>
            </w:r>
          </w:p>
        </w:tc>
        <w:tc>
          <w:tcPr>
            <w:tcW w:w="3119" w:type="dxa"/>
          </w:tcPr>
          <w:p w14:paraId="21064509" w14:textId="0EB6D046" w:rsidR="00897768" w:rsidRPr="009576CE" w:rsidRDefault="004C483E" w:rsidP="009576CE">
            <w:pPr>
              <w:keepLines/>
              <w:spacing w:afterLines="20" w:after="48"/>
              <w:rPr>
                <w:sz w:val="16"/>
                <w:szCs w:val="16"/>
              </w:rPr>
            </w:pPr>
            <w:r w:rsidRPr="009576CE">
              <w:rPr>
                <w:sz w:val="16"/>
                <w:szCs w:val="16"/>
              </w:rPr>
              <w:t>Disciplinary action may be taken for more serious breaches under part XII of the Act.</w:t>
            </w:r>
          </w:p>
        </w:tc>
        <w:tc>
          <w:tcPr>
            <w:tcW w:w="2693" w:type="dxa"/>
          </w:tcPr>
          <w:p w14:paraId="08932072" w14:textId="53E5AD4A" w:rsidR="00897768" w:rsidRPr="009576CE" w:rsidRDefault="00897768" w:rsidP="009576CE">
            <w:pPr>
              <w:keepLines/>
              <w:spacing w:afterLines="20" w:after="48"/>
              <w:rPr>
                <w:sz w:val="16"/>
                <w:szCs w:val="16"/>
              </w:rPr>
            </w:pPr>
            <w:r w:rsidRPr="009576CE">
              <w:rPr>
                <w:sz w:val="16"/>
                <w:szCs w:val="16"/>
              </w:rPr>
              <w:t>Cancellation of appointment</w:t>
            </w:r>
            <w:r w:rsidR="00084EAA" w:rsidRPr="009576CE">
              <w:rPr>
                <w:sz w:val="16"/>
                <w:szCs w:val="16"/>
              </w:rPr>
              <w:t xml:space="preserve"> for breach of condition, or if LMA lacks appropriate standards, facilities or competent staff to perform functions: NMR 79</w:t>
            </w:r>
            <w:r w:rsidR="000F3379">
              <w:rPr>
                <w:sz w:val="16"/>
                <w:szCs w:val="16"/>
              </w:rPr>
              <w:t>.</w:t>
            </w:r>
          </w:p>
        </w:tc>
        <w:tc>
          <w:tcPr>
            <w:tcW w:w="2504" w:type="dxa"/>
          </w:tcPr>
          <w:p w14:paraId="0F507568" w14:textId="6DC5BE49" w:rsidR="00897768" w:rsidRPr="009576CE" w:rsidRDefault="00897768" w:rsidP="009576CE">
            <w:pPr>
              <w:keepLines/>
              <w:spacing w:afterLines="20" w:after="48"/>
              <w:rPr>
                <w:sz w:val="16"/>
                <w:szCs w:val="16"/>
              </w:rPr>
            </w:pPr>
            <w:r w:rsidRPr="009576CE">
              <w:rPr>
                <w:sz w:val="16"/>
                <w:szCs w:val="16"/>
              </w:rPr>
              <w:t>Cancellation of appointment</w:t>
            </w:r>
            <w:r w:rsidR="00084EAA" w:rsidRPr="009576CE">
              <w:rPr>
                <w:sz w:val="16"/>
                <w:szCs w:val="16"/>
              </w:rPr>
              <w:t xml:space="preserve"> for breach of condition, or if LMA lacks appropriate standards, facilities or competent staff to perform functions: NMR 79</w:t>
            </w:r>
            <w:r w:rsidR="000F3379">
              <w:rPr>
                <w:sz w:val="16"/>
                <w:szCs w:val="16"/>
              </w:rPr>
              <w:t>.</w:t>
            </w:r>
          </w:p>
        </w:tc>
      </w:tr>
    </w:tbl>
    <w:p w14:paraId="20AE4364" w14:textId="77777777" w:rsidR="00AB3106" w:rsidRDefault="00AB3106">
      <w:pPr>
        <w:sectPr w:rsidR="00AB3106" w:rsidSect="004B16C0">
          <w:headerReference w:type="default" r:id="rId39"/>
          <w:pgSz w:w="16838" w:h="11906" w:orient="landscape"/>
          <w:pgMar w:top="851" w:right="1440" w:bottom="1440" w:left="1440" w:header="425" w:footer="709" w:gutter="0"/>
          <w:cols w:space="708"/>
          <w:docGrid w:linePitch="360"/>
        </w:sectPr>
      </w:pPr>
    </w:p>
    <w:p w14:paraId="090BCC15" w14:textId="77777777" w:rsidR="00AB3106" w:rsidRDefault="00AB3106" w:rsidP="00AB3106">
      <w:pPr>
        <w:pStyle w:val="Heading1"/>
      </w:pPr>
      <w:r>
        <w:lastRenderedPageBreak/>
        <w:t>Contact</w:t>
      </w:r>
    </w:p>
    <w:p w14:paraId="24A0F794" w14:textId="77777777" w:rsidR="00AB3106" w:rsidRPr="00994C0F" w:rsidRDefault="00AB3106" w:rsidP="00AB3106">
      <w:pPr>
        <w:rPr>
          <w:rFonts w:cstheme="minorHAnsi"/>
        </w:rPr>
      </w:pPr>
      <w:r w:rsidRPr="00994C0F">
        <w:rPr>
          <w:rFonts w:cstheme="minorHAnsi"/>
          <w:b/>
        </w:rPr>
        <w:t>Phone</w:t>
      </w:r>
      <w:r w:rsidRPr="00994C0F">
        <w:rPr>
          <w:rFonts w:cstheme="minorHAnsi"/>
        </w:rPr>
        <w:t>: 1300 686 664</w:t>
      </w:r>
    </w:p>
    <w:p w14:paraId="4E46BA36" w14:textId="77777777" w:rsidR="00AB3106" w:rsidRPr="00994C0F" w:rsidRDefault="00AB3106" w:rsidP="00AB3106">
      <w:pPr>
        <w:rPr>
          <w:rFonts w:cstheme="minorHAnsi"/>
        </w:rPr>
      </w:pPr>
      <w:r w:rsidRPr="00994C0F">
        <w:rPr>
          <w:rFonts w:cstheme="minorHAnsi"/>
          <w:b/>
        </w:rPr>
        <w:t>Email</w:t>
      </w:r>
      <w:r w:rsidRPr="00994C0F">
        <w:rPr>
          <w:rFonts w:cstheme="minorHAnsi"/>
        </w:rPr>
        <w:t xml:space="preserve">: </w:t>
      </w:r>
      <w:hyperlink r:id="rId40" w:history="1">
        <w:r w:rsidRPr="00994C0F">
          <w:rPr>
            <w:rStyle w:val="Hyperlink"/>
            <w:rFonts w:cstheme="minorHAnsi"/>
          </w:rPr>
          <w:t>measurementlawreview@industry.gov.au</w:t>
        </w:r>
      </w:hyperlink>
    </w:p>
    <w:p w14:paraId="0A629478" w14:textId="77777777" w:rsidR="00AB3106" w:rsidRDefault="00AB3106" w:rsidP="00AB3106">
      <w:pPr>
        <w:rPr>
          <w:rFonts w:cstheme="minorHAnsi"/>
        </w:rPr>
      </w:pPr>
      <w:r w:rsidRPr="00994C0F">
        <w:rPr>
          <w:rFonts w:cstheme="minorHAnsi"/>
          <w:b/>
        </w:rPr>
        <w:t>Web</w:t>
      </w:r>
      <w:r w:rsidRPr="00994C0F">
        <w:rPr>
          <w:rFonts w:cstheme="minorHAnsi"/>
        </w:rPr>
        <w:t xml:space="preserve">: </w:t>
      </w:r>
      <w:hyperlink r:id="rId41" w:history="1">
        <w:r w:rsidRPr="00B57FE5">
          <w:rPr>
            <w:rStyle w:val="Hyperlink"/>
            <w:rFonts w:cstheme="minorHAnsi"/>
          </w:rPr>
          <w:t>https://industry.gov.au/measurement-law-review</w:t>
        </w:r>
      </w:hyperlink>
    </w:p>
    <w:p w14:paraId="02E673D3" w14:textId="77777777" w:rsidR="00AB3106" w:rsidRDefault="00AB3106" w:rsidP="00AB3106">
      <w:pPr>
        <w:rPr>
          <w:rStyle w:val="Hyperlink"/>
          <w:rFonts w:cstheme="minorHAnsi"/>
          <w:color w:val="auto"/>
        </w:rPr>
      </w:pPr>
      <w:r w:rsidRPr="00994C0F">
        <w:rPr>
          <w:rStyle w:val="Hyperlink"/>
          <w:rFonts w:cstheme="minorHAnsi"/>
          <w:b/>
          <w:color w:val="auto"/>
          <w:u w:val="none"/>
        </w:rPr>
        <w:t>Consultation Hub</w:t>
      </w:r>
      <w:r w:rsidRPr="00994C0F">
        <w:rPr>
          <w:rStyle w:val="Hyperlink"/>
          <w:rFonts w:cstheme="minorHAnsi"/>
          <w:color w:val="auto"/>
          <w:u w:val="none"/>
        </w:rPr>
        <w:t xml:space="preserve">: </w:t>
      </w:r>
      <w:hyperlink r:id="rId42" w:history="1">
        <w:r w:rsidRPr="00B57FE5">
          <w:rPr>
            <w:rStyle w:val="Hyperlink"/>
            <w:rFonts w:cstheme="minorHAnsi"/>
          </w:rPr>
          <w:t>https://consult.industry.gov.au/measurement-law-review/measurement-assurance</w:t>
        </w:r>
      </w:hyperlink>
    </w:p>
    <w:p w14:paraId="76E88B89" w14:textId="6BC3FBF1" w:rsidR="00E90DBF" w:rsidRPr="00A4385D" w:rsidRDefault="00E90DBF" w:rsidP="009576CE"/>
    <w:sectPr w:rsidR="00E90DBF" w:rsidRPr="00A4385D" w:rsidSect="00AB3106">
      <w:pgSz w:w="11906" w:h="16838"/>
      <w:pgMar w:top="1440" w:right="1440" w:bottom="1440" w:left="851"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B42A9C" w14:textId="77777777" w:rsidR="00333E80" w:rsidRDefault="00333E80" w:rsidP="00AF0062">
      <w:pPr>
        <w:spacing w:after="0" w:line="240" w:lineRule="auto"/>
      </w:pPr>
      <w:r>
        <w:separator/>
      </w:r>
    </w:p>
  </w:endnote>
  <w:endnote w:type="continuationSeparator" w:id="0">
    <w:p w14:paraId="02EA06F8" w14:textId="77777777" w:rsidR="00333E80" w:rsidRDefault="00333E80" w:rsidP="00AF0062">
      <w:pPr>
        <w:spacing w:after="0" w:line="240" w:lineRule="auto"/>
      </w:pPr>
      <w:r>
        <w:continuationSeparator/>
      </w:r>
    </w:p>
  </w:endnote>
  <w:endnote w:type="continuationNotice" w:id="1">
    <w:p w14:paraId="6D09EAE8" w14:textId="77777777" w:rsidR="00333E80" w:rsidRDefault="00333E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063059"/>
      <w:docPartObj>
        <w:docPartGallery w:val="Page Numbers (Bottom of Page)"/>
        <w:docPartUnique/>
      </w:docPartObj>
    </w:sdtPr>
    <w:sdtEndPr>
      <w:rPr>
        <w:noProof/>
      </w:rPr>
    </w:sdtEndPr>
    <w:sdtContent>
      <w:p w14:paraId="26213860" w14:textId="77777777" w:rsidR="00333E80" w:rsidRDefault="00333E80">
        <w:pPr>
          <w:pStyle w:val="Footer"/>
          <w:jc w:val="right"/>
        </w:pPr>
        <w:r>
          <w:fldChar w:fldCharType="begin"/>
        </w:r>
        <w:r>
          <w:instrText xml:space="preserve"> PAGE   \* MERGEFORMAT </w:instrText>
        </w:r>
        <w:r>
          <w:fldChar w:fldCharType="separate"/>
        </w:r>
        <w:r w:rsidR="00FA367E">
          <w:rPr>
            <w:noProof/>
          </w:rPr>
          <w:t>2</w:t>
        </w:r>
        <w:r>
          <w:rPr>
            <w:noProof/>
          </w:rPr>
          <w:fldChar w:fldCharType="end"/>
        </w:r>
      </w:p>
    </w:sdtContent>
  </w:sdt>
  <w:p w14:paraId="637C7B76" w14:textId="77777777" w:rsidR="00333E80" w:rsidRDefault="00333E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350449" w14:textId="77777777" w:rsidR="00333E80" w:rsidRDefault="00333E80" w:rsidP="00AF0062">
      <w:pPr>
        <w:spacing w:after="0" w:line="240" w:lineRule="auto"/>
      </w:pPr>
      <w:r>
        <w:separator/>
      </w:r>
    </w:p>
  </w:footnote>
  <w:footnote w:type="continuationSeparator" w:id="0">
    <w:p w14:paraId="166B0641" w14:textId="77777777" w:rsidR="00333E80" w:rsidRDefault="00333E80" w:rsidP="00AF0062">
      <w:pPr>
        <w:spacing w:after="0" w:line="240" w:lineRule="auto"/>
      </w:pPr>
      <w:r>
        <w:continuationSeparator/>
      </w:r>
    </w:p>
  </w:footnote>
  <w:footnote w:type="continuationNotice" w:id="1">
    <w:p w14:paraId="5F16DFA7" w14:textId="77777777" w:rsidR="00333E80" w:rsidRDefault="00333E80">
      <w:pPr>
        <w:spacing w:after="0" w:line="240" w:lineRule="auto"/>
      </w:pPr>
    </w:p>
  </w:footnote>
  <w:footnote w:id="2">
    <w:p w14:paraId="703D9403" w14:textId="77777777" w:rsidR="00333E80" w:rsidRDefault="00333E80" w:rsidP="00A4385D">
      <w:pPr>
        <w:pStyle w:val="FootnoteText"/>
      </w:pPr>
      <w:r>
        <w:rPr>
          <w:rStyle w:val="FootnoteReference"/>
        </w:rPr>
        <w:footnoteRef/>
      </w:r>
      <w:r>
        <w:t xml:space="preserve"> More information regarding how this occurs can be found in previous discussion papers available at: </w:t>
      </w:r>
      <w:hyperlink r:id="rId1" w:history="1">
        <w:r w:rsidRPr="0073589C">
          <w:rPr>
            <w:rStyle w:val="Hyperlink"/>
          </w:rPr>
          <w:t>https://www.industry.gov.au/data-and-publications/measurement-law-review</w:t>
        </w:r>
      </w:hyperlink>
    </w:p>
  </w:footnote>
  <w:footnote w:id="3">
    <w:p w14:paraId="545941A2" w14:textId="68F21FFF" w:rsidR="00333E80" w:rsidRDefault="00333E80">
      <w:pPr>
        <w:pStyle w:val="FootnoteText"/>
        <w:rPr>
          <w:i/>
        </w:rPr>
      </w:pPr>
      <w:r>
        <w:rPr>
          <w:rStyle w:val="FootnoteReference"/>
        </w:rPr>
        <w:footnoteRef/>
      </w:r>
      <w:r>
        <w:t xml:space="preserve"> For more information regarding traceability, see </w:t>
      </w:r>
      <w:hyperlink r:id="rId2" w:history="1">
        <w:r w:rsidRPr="00167847">
          <w:rPr>
            <w:rStyle w:val="Hyperlink"/>
            <w:i/>
          </w:rPr>
          <w:t>Discussion Paper 2: Traceable Measurement</w:t>
        </w:r>
      </w:hyperlink>
      <w:r w:rsidRPr="00DA7436">
        <w:t xml:space="preserve"> and</w:t>
      </w:r>
      <w:r w:rsidRPr="00146384">
        <w:rPr>
          <w:i/>
        </w:rPr>
        <w:t xml:space="preserve">  </w:t>
      </w:r>
      <w:hyperlink r:id="rId3" w:history="1">
        <w:r w:rsidRPr="0052268A">
          <w:rPr>
            <w:rStyle w:val="Hyperlink"/>
            <w:i/>
          </w:rPr>
          <w:t>https://www.bipm.org/en/bipm-services/calibrations/traceability.html</w:t>
        </w:r>
      </w:hyperlink>
    </w:p>
    <w:p w14:paraId="613EBEDC" w14:textId="77777777" w:rsidR="00333E80" w:rsidRDefault="00333E80">
      <w:pPr>
        <w:pStyle w:val="FootnoteText"/>
      </w:pPr>
    </w:p>
  </w:footnote>
  <w:footnote w:id="4">
    <w:p w14:paraId="1A659664" w14:textId="32BD53AF" w:rsidR="00333E80" w:rsidRDefault="00333E80" w:rsidP="0084412A">
      <w:pPr>
        <w:pStyle w:val="FootnoteText"/>
      </w:pPr>
      <w:r>
        <w:rPr>
          <w:rStyle w:val="FootnoteReference"/>
        </w:rPr>
        <w:footnoteRef/>
      </w:r>
      <w:r>
        <w:t xml:space="preserve"> </w:t>
      </w:r>
      <w:hyperlink r:id="rId4" w:history="1">
        <w:r w:rsidRPr="00EC78A4">
          <w:rPr>
            <w:rStyle w:val="Hyperlink"/>
          </w:rPr>
          <w:t>www.bipm.org</w:t>
        </w:r>
      </w:hyperlink>
      <w:r>
        <w:t xml:space="preserve"> </w:t>
      </w:r>
    </w:p>
  </w:footnote>
  <w:footnote w:id="5">
    <w:p w14:paraId="3E57D070" w14:textId="0F3D781F" w:rsidR="00333E80" w:rsidRDefault="00333E80">
      <w:pPr>
        <w:pStyle w:val="FootnoteText"/>
      </w:pPr>
      <w:r>
        <w:rPr>
          <w:rStyle w:val="FootnoteReference"/>
        </w:rPr>
        <w:footnoteRef/>
      </w:r>
      <w:r>
        <w:t xml:space="preserve"> </w:t>
      </w:r>
      <w:r w:rsidRPr="00DA7436">
        <w:t>NMI was an inaugural signatory of the CIPM MRA, established in 1999.</w:t>
      </w:r>
    </w:p>
  </w:footnote>
  <w:footnote w:id="6">
    <w:p w14:paraId="46472915" w14:textId="0176E7AF" w:rsidR="00333E80" w:rsidRDefault="00333E80" w:rsidP="0084412A">
      <w:pPr>
        <w:pStyle w:val="FootnoteText"/>
      </w:pPr>
      <w:r>
        <w:rPr>
          <w:rStyle w:val="FootnoteReference"/>
        </w:rPr>
        <w:footnoteRef/>
      </w:r>
      <w:r>
        <w:t xml:space="preserve"> </w:t>
      </w:r>
      <w:r w:rsidRPr="00B90FA3">
        <w:rPr>
          <w:rFonts w:cstheme="minorHAnsi"/>
        </w:rPr>
        <w:t>The OIML is an “international standard-setting body” in the sense of the World Trade Organization's Technical Barriers to Trade Agreement.</w:t>
      </w:r>
      <w:r w:rsidRPr="00883576">
        <w:rPr>
          <w:color w:val="000000" w:themeColor="text1"/>
        </w:rPr>
        <w:t xml:space="preserve"> </w:t>
      </w:r>
      <w:r>
        <w:rPr>
          <w:color w:val="000000" w:themeColor="text1"/>
        </w:rPr>
        <w:t>The OIML</w:t>
      </w:r>
      <w:r w:rsidRPr="00883576">
        <w:rPr>
          <w:color w:val="000000" w:themeColor="text1"/>
        </w:rPr>
        <w:t>-CS and International Recommendations (‘R’ documents) specify requirements and methods for evaluating the design of measuring equipment for type approval.</w:t>
      </w:r>
      <w:r w:rsidRPr="007A7329">
        <w:t xml:space="preserve"> </w:t>
      </w:r>
      <w:r>
        <w:t xml:space="preserve">See: </w:t>
      </w:r>
      <w:hyperlink r:id="rId5" w:history="1">
        <w:r w:rsidRPr="00C874BF">
          <w:rPr>
            <w:rStyle w:val="Hyperlink"/>
          </w:rPr>
          <w:t>https://www.oiml.org/en/about/legal-metrology/trade</w:t>
        </w:r>
      </w:hyperlink>
    </w:p>
  </w:footnote>
  <w:footnote w:id="7">
    <w:p w14:paraId="32FFF1A8" w14:textId="77777777" w:rsidR="00333E80" w:rsidRDefault="00333E80" w:rsidP="0084412A">
      <w:pPr>
        <w:pStyle w:val="FootnoteText"/>
      </w:pPr>
      <w:r>
        <w:rPr>
          <w:rStyle w:val="FootnoteReference"/>
        </w:rPr>
        <w:footnoteRef/>
      </w:r>
      <w:r>
        <w:t xml:space="preserve"> OIML and the International Bureau of Weights and Measures (BIPM; also established under the Metre Treaty) work closely with the International Laboratory Accreditation Cooperation (ILAC) and the </w:t>
      </w:r>
      <w:r w:rsidRPr="00951FF8">
        <w:t>International Organization for Standardization</w:t>
      </w:r>
      <w:r>
        <w:t xml:space="preserve"> (</w:t>
      </w:r>
      <w:r w:rsidRPr="00951FF8">
        <w:t>ISO)</w:t>
      </w:r>
      <w:r>
        <w:t xml:space="preserve">. See the joint declaration regarding the importance of international consistency and comparability of measurements: </w:t>
      </w:r>
      <w:hyperlink r:id="rId6" w:history="1">
        <w:r w:rsidRPr="00B9107F">
          <w:rPr>
            <w:rStyle w:val="Hyperlink"/>
            <w:rFonts w:eastAsia="Times New Roman" w:cstheme="minorHAnsi"/>
            <w:i/>
            <w:iCs/>
            <w:lang w:eastAsia="en-AU"/>
          </w:rPr>
          <w:t>BIPM</w:t>
        </w:r>
        <w:r>
          <w:rPr>
            <w:rStyle w:val="Hyperlink"/>
            <w:rFonts w:eastAsia="Times New Roman" w:cstheme="minorHAnsi"/>
            <w:i/>
            <w:iCs/>
            <w:lang w:eastAsia="en-AU"/>
          </w:rPr>
          <w:t>-</w:t>
        </w:r>
        <w:r w:rsidRPr="00B9107F">
          <w:rPr>
            <w:rStyle w:val="Hyperlink"/>
            <w:rFonts w:eastAsia="Times New Roman" w:cstheme="minorHAnsi"/>
            <w:i/>
            <w:iCs/>
            <w:lang w:eastAsia="en-AU"/>
          </w:rPr>
          <w:t>OIML</w:t>
        </w:r>
        <w:r>
          <w:rPr>
            <w:rStyle w:val="Hyperlink"/>
            <w:rFonts w:eastAsia="Times New Roman" w:cstheme="minorHAnsi"/>
            <w:i/>
            <w:iCs/>
            <w:lang w:eastAsia="en-AU"/>
          </w:rPr>
          <w:t>-</w:t>
        </w:r>
        <w:r w:rsidRPr="00B9107F">
          <w:rPr>
            <w:rStyle w:val="Hyperlink"/>
            <w:rFonts w:eastAsia="Times New Roman" w:cstheme="minorHAnsi"/>
            <w:i/>
            <w:iCs/>
            <w:lang w:eastAsia="en-AU"/>
          </w:rPr>
          <w:t xml:space="preserve">ILAC </w:t>
        </w:r>
        <w:r>
          <w:rPr>
            <w:rStyle w:val="Hyperlink"/>
            <w:rFonts w:eastAsia="Times New Roman" w:cstheme="minorHAnsi"/>
            <w:i/>
            <w:iCs/>
            <w:lang w:eastAsia="en-AU"/>
          </w:rPr>
          <w:t>-</w:t>
        </w:r>
        <w:r w:rsidRPr="00B9107F">
          <w:rPr>
            <w:rStyle w:val="Hyperlink"/>
            <w:rFonts w:eastAsia="Times New Roman" w:cstheme="minorHAnsi"/>
            <w:i/>
            <w:iCs/>
            <w:lang w:eastAsia="en-AU"/>
          </w:rPr>
          <w:t xml:space="preserve">ISO </w:t>
        </w:r>
        <w:r>
          <w:rPr>
            <w:rStyle w:val="Hyperlink"/>
            <w:rFonts w:eastAsia="Times New Roman" w:cstheme="minorHAnsi"/>
            <w:i/>
            <w:iCs/>
            <w:lang w:eastAsia="en-AU"/>
          </w:rPr>
          <w:t>Joint D</w:t>
        </w:r>
        <w:r w:rsidRPr="00B9107F">
          <w:rPr>
            <w:rStyle w:val="Hyperlink"/>
            <w:rFonts w:eastAsia="Times New Roman" w:cstheme="minorHAnsi"/>
            <w:i/>
            <w:iCs/>
            <w:lang w:eastAsia="en-AU"/>
          </w:rPr>
          <w:t xml:space="preserve">eclaration on </w:t>
        </w:r>
        <w:r>
          <w:rPr>
            <w:rStyle w:val="Hyperlink"/>
            <w:rFonts w:eastAsia="Times New Roman" w:cstheme="minorHAnsi"/>
            <w:i/>
            <w:iCs/>
            <w:lang w:eastAsia="en-AU"/>
          </w:rPr>
          <w:t>M</w:t>
        </w:r>
        <w:r w:rsidRPr="00B9107F">
          <w:rPr>
            <w:rStyle w:val="Hyperlink"/>
            <w:rFonts w:eastAsia="Times New Roman" w:cstheme="minorHAnsi"/>
            <w:i/>
            <w:iCs/>
            <w:lang w:eastAsia="en-AU"/>
          </w:rPr>
          <w:t xml:space="preserve">etrological </w:t>
        </w:r>
        <w:r>
          <w:rPr>
            <w:rStyle w:val="Hyperlink"/>
            <w:rFonts w:eastAsia="Times New Roman" w:cstheme="minorHAnsi"/>
            <w:i/>
            <w:iCs/>
            <w:lang w:eastAsia="en-AU"/>
          </w:rPr>
          <w:t>T</w:t>
        </w:r>
        <w:r w:rsidRPr="00B9107F">
          <w:rPr>
            <w:rStyle w:val="Hyperlink"/>
            <w:rFonts w:eastAsia="Times New Roman" w:cstheme="minorHAnsi"/>
            <w:i/>
            <w:iCs/>
            <w:lang w:eastAsia="en-AU"/>
          </w:rPr>
          <w:t>raceability</w:t>
        </w:r>
      </w:hyperlink>
    </w:p>
  </w:footnote>
  <w:footnote w:id="8">
    <w:p w14:paraId="76E1A995" w14:textId="2765A94A" w:rsidR="00333E80" w:rsidRDefault="00333E80">
      <w:pPr>
        <w:pStyle w:val="FootnoteText"/>
      </w:pPr>
      <w:r>
        <w:rPr>
          <w:rStyle w:val="FootnoteReference"/>
        </w:rPr>
        <w:footnoteRef/>
      </w:r>
      <w:r>
        <w:t xml:space="preserve"> </w:t>
      </w:r>
      <w:hyperlink r:id="rId7" w:history="1">
        <w:r w:rsidRPr="002010D0">
          <w:rPr>
            <w:rStyle w:val="Hyperlink"/>
            <w:i/>
          </w:rPr>
          <w:t>ISO/IEC 17025 General requirements for the competence of testing and calibration laboratories</w:t>
        </w:r>
      </w:hyperlink>
    </w:p>
  </w:footnote>
  <w:footnote w:id="9">
    <w:p w14:paraId="26C37372" w14:textId="2535287D" w:rsidR="00333E80" w:rsidRDefault="00333E80">
      <w:pPr>
        <w:pStyle w:val="FootnoteText"/>
      </w:pPr>
      <w:r>
        <w:rPr>
          <w:rStyle w:val="FootnoteReference"/>
        </w:rPr>
        <w:footnoteRef/>
      </w:r>
      <w:r>
        <w:t xml:space="preserve"> </w:t>
      </w:r>
      <w:r w:rsidRPr="00744734">
        <w:t xml:space="preserve">Australia’s pattern approval processes provide confidence that instruments designed for trade use are appropriately fit for Australian conditions. Australia’s pattern approval requirements are where practicable for national interests, consistent with specifications published by </w:t>
      </w:r>
      <w:r>
        <w:t>OIML</w:t>
      </w:r>
      <w:r w:rsidRPr="00744734">
        <w:t>.</w:t>
      </w:r>
    </w:p>
  </w:footnote>
  <w:footnote w:id="10">
    <w:p w14:paraId="452035A7" w14:textId="2C259061" w:rsidR="00333E80" w:rsidRDefault="00333E80">
      <w:pPr>
        <w:pStyle w:val="FootnoteText"/>
      </w:pPr>
      <w:r>
        <w:rPr>
          <w:rStyle w:val="FootnoteReference"/>
        </w:rPr>
        <w:footnoteRef/>
      </w:r>
      <w:r>
        <w:t xml:space="preserve"> </w:t>
      </w:r>
      <w:r w:rsidRPr="00CF45FC">
        <w:t xml:space="preserve">Statements of attainment </w:t>
      </w:r>
      <w:r>
        <w:t xml:space="preserve">are </w:t>
      </w:r>
      <w:r w:rsidRPr="00CF45FC">
        <w:t xml:space="preserve">issued by </w:t>
      </w:r>
      <w:r>
        <w:t>a r</w:t>
      </w:r>
      <w:r w:rsidRPr="00CF45FC">
        <w:t xml:space="preserve">egistered </w:t>
      </w:r>
      <w:r>
        <w:t>t</w:t>
      </w:r>
      <w:r w:rsidRPr="00CF45FC">
        <w:t xml:space="preserve">raining </w:t>
      </w:r>
      <w:r>
        <w:t>o</w:t>
      </w:r>
      <w:r w:rsidRPr="00CF45FC">
        <w:t xml:space="preserve">rganisation (RTO). NMI is </w:t>
      </w:r>
      <w:r>
        <w:t xml:space="preserve">an RTO </w:t>
      </w:r>
      <w:r w:rsidRPr="00CF45FC">
        <w:t xml:space="preserve">registered by the Australian Skills Quality Authority </w:t>
      </w:r>
      <w:r>
        <w:t xml:space="preserve">(ASQA) </w:t>
      </w:r>
      <w:r w:rsidRPr="00CF45FC">
        <w:t xml:space="preserve">under the Australian Quality Training Framework </w:t>
      </w:r>
      <w:r>
        <w:t>(AQTF)</w:t>
      </w:r>
      <w:r w:rsidRPr="000B2D30">
        <w:rPr>
          <w:szCs w:val="22"/>
        </w:rPr>
        <w:t>.</w:t>
      </w:r>
    </w:p>
  </w:footnote>
  <w:footnote w:id="11">
    <w:p w14:paraId="26C40562" w14:textId="05D81244" w:rsidR="00333E80" w:rsidRDefault="00333E80">
      <w:pPr>
        <w:pStyle w:val="FootnoteText"/>
      </w:pPr>
      <w:r>
        <w:rPr>
          <w:rStyle w:val="FootnoteReference"/>
        </w:rPr>
        <w:footnoteRef/>
      </w:r>
      <w:r>
        <w:t xml:space="preserve"> Licence conditions require that verifiers must have a statement of attainment for a subclass of instrument before verifying an instrument of that class (NTMR r 2.43(9A).</w:t>
      </w:r>
    </w:p>
  </w:footnote>
  <w:footnote w:id="12">
    <w:p w14:paraId="01EEC506" w14:textId="354C334D" w:rsidR="00333E80" w:rsidRDefault="00333E80">
      <w:pPr>
        <w:pStyle w:val="FootnoteText"/>
      </w:pPr>
      <w:r>
        <w:rPr>
          <w:rStyle w:val="FootnoteReference"/>
        </w:rPr>
        <w:footnoteRef/>
      </w:r>
      <w:r>
        <w:t xml:space="preserve"> This is a condition imposed on public weighbridge licensees NTMR r 3.62(g).</w:t>
      </w:r>
    </w:p>
  </w:footnote>
  <w:footnote w:id="13">
    <w:p w14:paraId="4701DE1E" w14:textId="0736CE15" w:rsidR="00333E80" w:rsidRDefault="00333E80" w:rsidP="00406438">
      <w:pPr>
        <w:pStyle w:val="FootnoteText"/>
      </w:pPr>
      <w:r>
        <w:rPr>
          <w:rStyle w:val="FootnoteReference"/>
        </w:rPr>
        <w:footnoteRef/>
      </w:r>
      <w:r>
        <w:t xml:space="preserve"> Section 18RCA of the Act.</w:t>
      </w:r>
    </w:p>
  </w:footnote>
  <w:footnote w:id="14">
    <w:p w14:paraId="7621DBB1" w14:textId="4C9B6360" w:rsidR="00333E80" w:rsidRDefault="00333E80" w:rsidP="00406438">
      <w:pPr>
        <w:pStyle w:val="FootnoteText"/>
      </w:pPr>
      <w:r>
        <w:rPr>
          <w:rStyle w:val="FootnoteReference"/>
        </w:rPr>
        <w:footnoteRef/>
      </w:r>
      <w:r>
        <w:t xml:space="preserve"> Regulation 73(1) of the NMR.</w:t>
      </w:r>
    </w:p>
  </w:footnote>
  <w:footnote w:id="15">
    <w:p w14:paraId="0A3F07BE" w14:textId="1E0C1E10" w:rsidR="00333E80" w:rsidRDefault="00333E80">
      <w:pPr>
        <w:pStyle w:val="FootnoteText"/>
      </w:pPr>
      <w:r>
        <w:rPr>
          <w:rStyle w:val="FootnoteReference"/>
        </w:rPr>
        <w:footnoteRef/>
      </w:r>
      <w:r>
        <w:t xml:space="preserve"> Regulation 76(1) of the NMR.</w:t>
      </w:r>
    </w:p>
  </w:footnote>
  <w:footnote w:id="16">
    <w:p w14:paraId="7E2DDA75" w14:textId="77777777" w:rsidR="00333E80" w:rsidRDefault="00333E80" w:rsidP="00A4385D">
      <w:pPr>
        <w:pStyle w:val="FootnoteText"/>
      </w:pPr>
      <w:r>
        <w:rPr>
          <w:rStyle w:val="FootnoteReference"/>
        </w:rPr>
        <w:footnoteRef/>
      </w:r>
      <w:r>
        <w:t xml:space="preserve"> The full Terms of Reference for the Review can be found here: </w:t>
      </w:r>
      <w:hyperlink r:id="rId8" w:history="1">
        <w:r w:rsidRPr="00BF0953">
          <w:rPr>
            <w:rStyle w:val="Hyperlink"/>
          </w:rPr>
          <w:t>https://www.industry.gov.au/data-and-publications/measurement-law-review</w:t>
        </w:r>
      </w:hyperlink>
      <w:r>
        <w:t xml:space="preserve"> </w:t>
      </w:r>
    </w:p>
  </w:footnote>
  <w:footnote w:id="17">
    <w:p w14:paraId="29206A9F" w14:textId="1AA8826C" w:rsidR="00333E80" w:rsidRDefault="00333E80" w:rsidP="00361B01">
      <w:pPr>
        <w:pStyle w:val="FootnoteText"/>
      </w:pPr>
      <w:r>
        <w:rPr>
          <w:rStyle w:val="FootnoteReference"/>
        </w:rPr>
        <w:footnoteRef/>
      </w:r>
      <w:r>
        <w:t xml:space="preserve"> NMI </w:t>
      </w:r>
      <w:hyperlink r:id="rId9" w:history="1">
        <w:r w:rsidRPr="00C04915">
          <w:rPr>
            <w:rStyle w:val="Hyperlink"/>
            <w:rFonts w:eastAsia="Times New Roman" w:cs="Times New Roman"/>
          </w:rPr>
          <w:t>consulted industry in 2015 on the effectiveness and use of NITPs</w:t>
        </w:r>
      </w:hyperlink>
      <w:r>
        <w:rPr>
          <w:rFonts w:eastAsia="Times New Roman" w:cs="Times New Roman"/>
        </w:rPr>
        <w:t xml:space="preserve">. </w:t>
      </w:r>
      <w:r w:rsidRPr="00C04915">
        <w:rPr>
          <w:rFonts w:eastAsia="Times New Roman" w:cs="Times New Roman"/>
        </w:rPr>
        <w:t>The majority of submissions, including those from non-servicing licensees, d</w:t>
      </w:r>
      <w:r>
        <w:rPr>
          <w:rFonts w:eastAsia="Times New Roman" w:cs="Times New Roman"/>
        </w:rPr>
        <w:t>id</w:t>
      </w:r>
      <w:r w:rsidRPr="00C04915">
        <w:rPr>
          <w:rFonts w:eastAsia="Times New Roman" w:cs="Times New Roman"/>
        </w:rPr>
        <w:t xml:space="preserve"> not support the proposed deregulation of National Instrument Test Procedures</w:t>
      </w:r>
      <w:r>
        <w:rPr>
          <w:rFonts w:eastAsia="Times New Roman" w:cs="Times New Roman"/>
        </w:rPr>
        <w:t>.</w:t>
      </w:r>
    </w:p>
  </w:footnote>
  <w:footnote w:id="18">
    <w:p w14:paraId="5C878B84" w14:textId="45D5E4FF" w:rsidR="00333E80" w:rsidRDefault="00333E80" w:rsidP="008F78DE">
      <w:pPr>
        <w:pStyle w:val="FootnoteText"/>
      </w:pPr>
      <w:r>
        <w:rPr>
          <w:rStyle w:val="FootnoteReference"/>
        </w:rPr>
        <w:footnoteRef/>
      </w:r>
      <w:r>
        <w:t xml:space="preserve"> This assessment considers a number of substantive obligations applying to each type of third party</w:t>
      </w:r>
      <w:r w:rsidRPr="00C11D8D">
        <w:t xml:space="preserve"> </w:t>
      </w:r>
      <w:r>
        <w:t xml:space="preserve">under the measurement framework and also the number of conditions that must be satisfied under the framework before an appointment is granted or a licence is issued. </w:t>
      </w:r>
    </w:p>
  </w:footnote>
  <w:footnote w:id="19">
    <w:p w14:paraId="3E00B1C0" w14:textId="4DA0234E" w:rsidR="00333E80" w:rsidRDefault="00333E80" w:rsidP="00006529">
      <w:pPr>
        <w:pStyle w:val="FootnoteText"/>
      </w:pPr>
      <w:r>
        <w:rPr>
          <w:rStyle w:val="FootnoteReference"/>
        </w:rPr>
        <w:footnoteRef/>
      </w:r>
      <w:r>
        <w:t xml:space="preserve"> </w:t>
      </w:r>
      <w:r>
        <w:rPr>
          <w:color w:val="000000" w:themeColor="text1"/>
        </w:rPr>
        <w:t xml:space="preserve">Act s 18ME – </w:t>
      </w:r>
      <w:r w:rsidRPr="00A5372A">
        <w:t>Monitoring</w:t>
      </w:r>
      <w:r>
        <w:rPr>
          <w:color w:val="000000" w:themeColor="text1"/>
        </w:rPr>
        <w:t xml:space="preserve"> powers of inspectors.</w:t>
      </w:r>
    </w:p>
  </w:footnote>
  <w:footnote w:id="20">
    <w:p w14:paraId="10142D1B" w14:textId="6ADA134B" w:rsidR="00333E80" w:rsidRDefault="00333E80">
      <w:pPr>
        <w:pStyle w:val="FootnoteText"/>
      </w:pPr>
      <w:r>
        <w:rPr>
          <w:rStyle w:val="FootnoteReference"/>
        </w:rPr>
        <w:footnoteRef/>
      </w:r>
      <w:r>
        <w:t xml:space="preserve"> Disciplinary action requirements for servicing licensees and public weighbridge licensees are provided by Part XII of the Act. Infringement notices are provided for under s 18LF of the Act and are discussed in </w:t>
      </w:r>
      <w:hyperlink r:id="rId10" w:history="1">
        <w:r w:rsidRPr="00B94E03">
          <w:rPr>
            <w:rStyle w:val="Hyperlink"/>
            <w:i/>
          </w:rPr>
          <w:t>Discussion Paper 6: Compliance Arrangements</w:t>
        </w:r>
      </w:hyperlink>
      <w:r>
        <w:rPr>
          <w:i/>
          <w:color w:val="000000" w:themeColor="text1"/>
        </w:rPr>
        <w:t>.</w:t>
      </w:r>
    </w:p>
  </w:footnote>
  <w:footnote w:id="21">
    <w:p w14:paraId="1DE12ED7" w14:textId="3FABE141" w:rsidR="00333E80" w:rsidRDefault="00333E80">
      <w:pPr>
        <w:pStyle w:val="FootnoteText"/>
      </w:pPr>
      <w:r>
        <w:rPr>
          <w:rStyle w:val="FootnoteReference"/>
        </w:rPr>
        <w:footnoteRef/>
      </w:r>
      <w:r>
        <w:t xml:space="preserve"> Legislative compliance actions for UMVs are provided by section 18RG of the Act.</w:t>
      </w:r>
    </w:p>
  </w:footnote>
  <w:footnote w:id="22">
    <w:p w14:paraId="39DAED41" w14:textId="5D26534D" w:rsidR="00333E80" w:rsidRDefault="00333E80">
      <w:pPr>
        <w:pStyle w:val="FootnoteText"/>
      </w:pPr>
      <w:r>
        <w:rPr>
          <w:rStyle w:val="FootnoteReference"/>
        </w:rPr>
        <w:footnoteRef/>
      </w:r>
      <w:r>
        <w:t xml:space="preserve"> Grounds for varying or cancelling an appointment for authorities are provided in regulation 79 of the NMR.  </w:t>
      </w:r>
    </w:p>
  </w:footnote>
  <w:footnote w:id="23">
    <w:p w14:paraId="23489B07" w14:textId="2E1700FA" w:rsidR="00333E80" w:rsidRDefault="00333E80" w:rsidP="007C7C8E">
      <w:pPr>
        <w:pStyle w:val="FootnoteText"/>
      </w:pPr>
      <w:r>
        <w:rPr>
          <w:rStyle w:val="FootnoteReference"/>
        </w:rPr>
        <w:footnoteRef/>
      </w:r>
      <w:r>
        <w:t xml:space="preserve"> The requirements which support traceable measurement are found in different parts of the legislation. This includes section 10 of the Act which requires that measurements be made in accordance with appropriate standards of measurement, certified reference material or certified measuring instruments. Section 18GG(2) of the Act enables the </w:t>
      </w:r>
      <w:r>
        <w:rPr>
          <w:color w:val="000000" w:themeColor="text1"/>
        </w:rPr>
        <w:t xml:space="preserve">Chief Metrologist to make NITPs </w:t>
      </w:r>
      <w:r>
        <w:t>which must be used when verifying instruments.</w:t>
      </w:r>
    </w:p>
  </w:footnote>
  <w:footnote w:id="24">
    <w:p w14:paraId="2CA05E6B" w14:textId="7A9271E6" w:rsidR="00333E80" w:rsidRDefault="00333E80" w:rsidP="0082414E">
      <w:pPr>
        <w:pStyle w:val="FootnoteText"/>
      </w:pPr>
      <w:r>
        <w:rPr>
          <w:rStyle w:val="FootnoteReference"/>
        </w:rPr>
        <w:footnoteRef/>
      </w:r>
      <w:r>
        <w:t xml:space="preserve"> This could take the form of </w:t>
      </w:r>
      <w:r>
        <w:rPr>
          <w:color w:val="000000" w:themeColor="text1"/>
        </w:rPr>
        <w:t xml:space="preserve">detailed </w:t>
      </w:r>
      <w:r w:rsidRPr="00E1297C">
        <w:rPr>
          <w:color w:val="000000" w:themeColor="text1"/>
        </w:rPr>
        <w:t xml:space="preserve">guidance or </w:t>
      </w:r>
      <w:r>
        <w:rPr>
          <w:color w:val="000000" w:themeColor="text1"/>
        </w:rPr>
        <w:t xml:space="preserve">policy </w:t>
      </w:r>
      <w:r w:rsidRPr="00E1297C">
        <w:rPr>
          <w:color w:val="000000" w:themeColor="text1"/>
        </w:rPr>
        <w:t xml:space="preserve">requirements </w:t>
      </w:r>
      <w:r>
        <w:rPr>
          <w:color w:val="000000" w:themeColor="text1"/>
        </w:rPr>
        <w:t>that may be adopted</w:t>
      </w:r>
      <w:r w:rsidRPr="00E1297C">
        <w:rPr>
          <w:color w:val="000000" w:themeColor="text1"/>
        </w:rPr>
        <w:t xml:space="preserve"> as </w:t>
      </w:r>
      <w:r>
        <w:rPr>
          <w:color w:val="000000" w:themeColor="text1"/>
        </w:rPr>
        <w:t>a default for compliance, or where appropriate, a legislative mechanism for deeming compliance.</w:t>
      </w:r>
    </w:p>
  </w:footnote>
  <w:footnote w:id="25">
    <w:p w14:paraId="33E4FFF1" w14:textId="3D3088B8" w:rsidR="00333E80" w:rsidRDefault="00333E80">
      <w:pPr>
        <w:pStyle w:val="FootnoteText"/>
      </w:pPr>
      <w:r>
        <w:rPr>
          <w:rStyle w:val="FootnoteReference"/>
        </w:rPr>
        <w:footnoteRef/>
      </w:r>
      <w:r>
        <w:t xml:space="preserve"> M</w:t>
      </w:r>
      <w:r w:rsidRPr="00D73E8B">
        <w:t>easuring</w:t>
      </w:r>
      <w:r>
        <w:t xml:space="preserve"> instruments used for trade must be pattern approved and verified before first use </w:t>
      </w:r>
      <w:r w:rsidRPr="00D73E8B">
        <w:t>(s 18GA).</w:t>
      </w:r>
      <w:r>
        <w:t xml:space="preserve"> For more information, please refer to </w:t>
      </w:r>
      <w:r w:rsidRPr="00A506CA">
        <w:rPr>
          <w:i/>
        </w:rPr>
        <w:t>Measuring Instruments Discussion Paper</w:t>
      </w:r>
      <w:r>
        <w:t xml:space="preserve">, available at: </w:t>
      </w:r>
      <w:hyperlink r:id="rId11" w:history="1">
        <w:r w:rsidRPr="00885AFB">
          <w:rPr>
            <w:rStyle w:val="Hyperlink"/>
          </w:rPr>
          <w:t>https://www.industry.gov.au/data-and-publications/measurement-law-review</w:t>
        </w:r>
      </w:hyperlink>
      <w:r>
        <w:t xml:space="preserve"> </w:t>
      </w:r>
    </w:p>
  </w:footnote>
  <w:footnote w:id="26">
    <w:p w14:paraId="68A0C430" w14:textId="2BB79C6A" w:rsidR="00333E80" w:rsidRPr="00A506CA" w:rsidRDefault="00333E80" w:rsidP="00A4385D">
      <w:pPr>
        <w:pStyle w:val="FootnoteText"/>
      </w:pPr>
      <w:r w:rsidRPr="00A506CA">
        <w:rPr>
          <w:rStyle w:val="FootnoteReference"/>
        </w:rPr>
        <w:footnoteRef/>
      </w:r>
      <w:r>
        <w:t xml:space="preserve"> </w:t>
      </w:r>
      <w:r w:rsidRPr="00415C4D">
        <w:t>Sections 18GA and 18GH(1)(c) of the Act</w:t>
      </w:r>
      <w:r>
        <w:t>.</w:t>
      </w:r>
    </w:p>
  </w:footnote>
  <w:footnote w:id="27">
    <w:p w14:paraId="53DC6E0B" w14:textId="4C4E8571" w:rsidR="00333E80" w:rsidRDefault="00333E80" w:rsidP="00F36ABD">
      <w:pPr>
        <w:pStyle w:val="FootnoteText"/>
      </w:pPr>
      <w:r>
        <w:rPr>
          <w:rStyle w:val="FootnoteReference"/>
        </w:rPr>
        <w:footnoteRef/>
      </w:r>
      <w:r>
        <w:t xml:space="preserve"> </w:t>
      </w:r>
      <w:r w:rsidRPr="00D73E8B">
        <w:t>Under reg</w:t>
      </w:r>
      <w:r>
        <w:t>ulation</w:t>
      </w:r>
      <w:r w:rsidRPr="00D73E8B">
        <w:t xml:space="preserve"> 2.43(18) of the NTMR, servicing licensees and their employees (verifiers) are required to test instruments in accordance wit</w:t>
      </w:r>
      <w:r>
        <w:t xml:space="preserve">h the NITP prior to verifying. </w:t>
      </w:r>
      <w:r w:rsidRPr="00085805">
        <w:t>Section 18GG of NM Act provides that a measuring instrument is verified when tested in accordance with the NITPs.</w:t>
      </w:r>
      <w:r w:rsidRPr="00D73E8B">
        <w:t xml:space="preserve"> </w:t>
      </w:r>
      <w:r w:rsidRPr="00085805">
        <w:t>Each NITP sets out the reference standards to be used for testing measuring instruments for verification</w:t>
      </w:r>
      <w:r>
        <w:t xml:space="preserve">. Section 18NH(I) of the Act imposes </w:t>
      </w:r>
      <w:r w:rsidRPr="00BD29C5">
        <w:t>a condition that servicing licensees must</w:t>
      </w:r>
      <w:r w:rsidRPr="005577E2">
        <w:rPr>
          <w:i/>
        </w:rPr>
        <w:t xml:space="preserve"> </w:t>
      </w:r>
      <w:r>
        <w:rPr>
          <w:i/>
        </w:rPr>
        <w:t>‘</w:t>
      </w:r>
      <w:r w:rsidRPr="005577E2">
        <w:rPr>
          <w:i/>
        </w:rPr>
        <w:t>provide such classes and denominations</w:t>
      </w:r>
      <w:r>
        <w:rPr>
          <w:i/>
        </w:rPr>
        <w:t>, as</w:t>
      </w:r>
      <w:r w:rsidRPr="005577E2">
        <w:rPr>
          <w:i/>
        </w:rPr>
        <w:t xml:space="preserve"> are determined by the Secretary, of reference standards of measurement as are necessary for the exercise of the powers or the performance of the functions of the servicing licensee</w:t>
      </w:r>
      <w:r>
        <w:rPr>
          <w:i/>
        </w:rPr>
        <w:t>.’</w:t>
      </w:r>
      <w:r>
        <w:t xml:space="preserve"> </w:t>
      </w:r>
    </w:p>
  </w:footnote>
  <w:footnote w:id="28">
    <w:p w14:paraId="3A218FDD" w14:textId="77777777" w:rsidR="00333E80" w:rsidRDefault="00333E80" w:rsidP="00B42946">
      <w:pPr>
        <w:pStyle w:val="FootnoteText"/>
      </w:pPr>
      <w:r>
        <w:rPr>
          <w:rStyle w:val="FootnoteReference"/>
        </w:rPr>
        <w:footnoteRef/>
      </w:r>
      <w:r>
        <w:t xml:space="preserve"> Maximum permissible error (MPE) is defined in regulation 1.4 of the NTMR. Schedule 1 of the NTMR sets out MPE requirements for various applications under the measurement system.</w:t>
      </w:r>
    </w:p>
  </w:footnote>
  <w:footnote w:id="29">
    <w:p w14:paraId="6BD125DC" w14:textId="5D9A9297" w:rsidR="00333E80" w:rsidRDefault="00333E80" w:rsidP="00F24DBD">
      <w:pPr>
        <w:pStyle w:val="FootnoteText"/>
      </w:pPr>
      <w:r>
        <w:rPr>
          <w:rStyle w:val="FootnoteReference"/>
        </w:rPr>
        <w:footnoteRef/>
      </w:r>
      <w:r>
        <w:t xml:space="preserve"> Section 18GJ of the Act provides for a register of verification marks. NMI issues each servicing licensee and each verifier employed by a licensee a verification mark to use when marking verified measuring instruments.  These marks are used by servicing licensees, individual verifiers, and trade measurement inspectors to identify who has verified a particular instrument.</w:t>
      </w:r>
    </w:p>
  </w:footnote>
  <w:footnote w:id="30">
    <w:p w14:paraId="36CF8F70" w14:textId="77777777" w:rsidR="00333E80" w:rsidRDefault="00333E80" w:rsidP="00D2574E">
      <w:pPr>
        <w:pStyle w:val="FootnoteText"/>
      </w:pPr>
      <w:r>
        <w:rPr>
          <w:rStyle w:val="FootnoteReference"/>
        </w:rPr>
        <w:footnoteRef/>
      </w:r>
      <w:r>
        <w:t xml:space="preserve"> </w:t>
      </w:r>
      <w:r>
        <w:rPr>
          <w:color w:val="000000" w:themeColor="text1"/>
        </w:rPr>
        <w:t>Regulation 2.43(16) of the NTMR.</w:t>
      </w:r>
    </w:p>
  </w:footnote>
  <w:footnote w:id="31">
    <w:p w14:paraId="13895A74" w14:textId="22F2BC39" w:rsidR="00333E80" w:rsidRDefault="00333E80">
      <w:pPr>
        <w:pStyle w:val="FootnoteText"/>
      </w:pPr>
      <w:r>
        <w:rPr>
          <w:rStyle w:val="FootnoteReference"/>
        </w:rPr>
        <w:footnoteRef/>
      </w:r>
      <w:r>
        <w:t xml:space="preserve"> Section 18ME of the Act provides trade measurement inspectors with monitoring powers over servicing licensees, public weighbridge licensees and utility meter verifiers.</w:t>
      </w:r>
    </w:p>
  </w:footnote>
  <w:footnote w:id="32">
    <w:p w14:paraId="53D88177" w14:textId="4CD2B492" w:rsidR="00333E80" w:rsidRDefault="00333E80" w:rsidP="00A4385D">
      <w:pPr>
        <w:pStyle w:val="FootnoteText"/>
      </w:pPr>
      <w:r>
        <w:rPr>
          <w:rStyle w:val="FootnoteReference"/>
        </w:rPr>
        <w:footnoteRef/>
      </w:r>
      <w:r>
        <w:t xml:space="preserve"> Part XII of the Act provides for disciplinary action to be taken against servicing licensees and public weighbridge licensees and sets out the circumstances or grounds when disciplinary action can be taken (section 18QA), the type of disciplinary action that can be taken (section 18QC) and the other administrative arrangements and compliance options.  </w:t>
      </w:r>
    </w:p>
  </w:footnote>
  <w:footnote w:id="33">
    <w:p w14:paraId="4B780CF8" w14:textId="690758DB" w:rsidR="00333E80" w:rsidRDefault="00333E80" w:rsidP="00310F85">
      <w:pPr>
        <w:pStyle w:val="FootnoteText"/>
      </w:pPr>
      <w:r>
        <w:rPr>
          <w:rStyle w:val="FootnoteReference"/>
        </w:rPr>
        <w:footnoteRef/>
      </w:r>
      <w:r>
        <w:t xml:space="preserve"> Refer to Section 4A of the Act and regulation 5.6 of the NTMR. T</w:t>
      </w:r>
      <w:r w:rsidRPr="00FF7AAC">
        <w:t xml:space="preserve">he </w:t>
      </w:r>
      <w:r>
        <w:t xml:space="preserve">regulations prescribe </w:t>
      </w:r>
      <w:r w:rsidRPr="00FF7AAC">
        <w:t>an exemption for gas meters</w:t>
      </w:r>
      <w:r>
        <w:t>, and certain capacities of electricity and water meters</w:t>
      </w:r>
      <w:r w:rsidRPr="00FF7AAC">
        <w:t xml:space="preserve"> from Part XIII of the Act under regulation 5.6(a) of the NTMR</w:t>
      </w:r>
      <w:r>
        <w:t xml:space="preserve">.  </w:t>
      </w:r>
    </w:p>
  </w:footnote>
  <w:footnote w:id="34">
    <w:p w14:paraId="422F2438" w14:textId="3E7FD9CE" w:rsidR="00333E80" w:rsidRPr="00750C52" w:rsidRDefault="00333E80" w:rsidP="00A077C4">
      <w:pPr>
        <w:pStyle w:val="FootnoteText"/>
        <w:rPr>
          <w:rFonts w:cstheme="minorHAnsi"/>
          <w:i/>
          <w:szCs w:val="18"/>
        </w:rPr>
      </w:pPr>
      <w:r>
        <w:rPr>
          <w:rStyle w:val="FootnoteReference"/>
        </w:rPr>
        <w:footnoteRef/>
      </w:r>
      <w:r>
        <w:t xml:space="preserve"> </w:t>
      </w:r>
      <w:r w:rsidRPr="009369C8">
        <w:t xml:space="preserve">The exemptions were first put in place to allow time for appropriate infrastructure to be developed (pattern approval requirements, NITPs, verifiers, appropriate reference standards, </w:t>
      </w:r>
      <w:r>
        <w:t xml:space="preserve">and verifying authorities. More information regarding the history behind these can be found in the </w:t>
      </w:r>
      <w:hyperlink r:id="rId12" w:history="1">
        <w:r w:rsidRPr="009A480D">
          <w:rPr>
            <w:rStyle w:val="Hyperlink"/>
          </w:rPr>
          <w:t>explanatory memoranda</w:t>
        </w:r>
      </w:hyperlink>
      <w:r>
        <w:t xml:space="preserve"> and </w:t>
      </w:r>
      <w:hyperlink r:id="rId13" w:history="1">
        <w:r w:rsidRPr="00DF7D19">
          <w:rPr>
            <w:rStyle w:val="Hyperlink"/>
          </w:rPr>
          <w:t>second reading speech</w:t>
        </w:r>
      </w:hyperlink>
      <w:r>
        <w:t xml:space="preserve"> to what became the </w:t>
      </w:r>
      <w:r w:rsidRPr="00D92D33">
        <w:rPr>
          <w:rFonts w:cstheme="minorHAnsi"/>
          <w:i/>
        </w:rPr>
        <w:t>National Measurement Amen</w:t>
      </w:r>
      <w:r>
        <w:rPr>
          <w:rFonts w:cstheme="minorHAnsi"/>
          <w:i/>
        </w:rPr>
        <w:t>dment (Utility Meters) Act 1999,</w:t>
      </w:r>
      <w:r>
        <w:t xml:space="preserve"> which introduced s 4A of the Act.  </w:t>
      </w:r>
    </w:p>
  </w:footnote>
  <w:footnote w:id="35">
    <w:p w14:paraId="78386C6F" w14:textId="784B5EEA" w:rsidR="00333E80" w:rsidRDefault="00333E80">
      <w:pPr>
        <w:pStyle w:val="FootnoteText"/>
      </w:pPr>
      <w:r>
        <w:rPr>
          <w:rStyle w:val="FootnoteReference"/>
        </w:rPr>
        <w:footnoteRef/>
      </w:r>
      <w:r>
        <w:t xml:space="preserve"> This is required by section 18RA. </w:t>
      </w:r>
    </w:p>
  </w:footnote>
  <w:footnote w:id="36">
    <w:p w14:paraId="6363AF62" w14:textId="2CAF54B8" w:rsidR="00333E80" w:rsidRDefault="00333E80">
      <w:pPr>
        <w:pStyle w:val="FootnoteText"/>
      </w:pPr>
      <w:r>
        <w:rPr>
          <w:rStyle w:val="FootnoteReference"/>
        </w:rPr>
        <w:footnoteRef/>
      </w:r>
      <w:r>
        <w:t xml:space="preserve"> </w:t>
      </w:r>
      <w:r>
        <w:rPr>
          <w:color w:val="000000" w:themeColor="text1"/>
        </w:rPr>
        <w:t>A person who is accredited by NATA to test a class of utility meter is taken to be competent to test that class of utility meter (section</w:t>
      </w:r>
      <w:r w:rsidDel="00D42D87">
        <w:rPr>
          <w:color w:val="000000" w:themeColor="text1"/>
        </w:rPr>
        <w:t xml:space="preserve"> </w:t>
      </w:r>
      <w:r>
        <w:rPr>
          <w:color w:val="000000" w:themeColor="text1"/>
        </w:rPr>
        <w:t>18RCA)</w:t>
      </w:r>
    </w:p>
  </w:footnote>
  <w:footnote w:id="37">
    <w:p w14:paraId="37E03935" w14:textId="21987956" w:rsidR="00333E80" w:rsidRDefault="00333E80">
      <w:pPr>
        <w:pStyle w:val="FootnoteText"/>
      </w:pPr>
      <w:r>
        <w:rPr>
          <w:rStyle w:val="FootnoteReference"/>
        </w:rPr>
        <w:footnoteRef/>
      </w:r>
      <w:r>
        <w:t xml:space="preserve"> These include the general conditions specified in section 18RB and specific conditions which may be applied to their appointment under </w:t>
      </w:r>
      <w:r>
        <w:rPr>
          <w:color w:val="000000" w:themeColor="text1"/>
        </w:rPr>
        <w:t>section</w:t>
      </w:r>
      <w:r>
        <w:t xml:space="preserve"> 18RA.</w:t>
      </w:r>
    </w:p>
  </w:footnote>
  <w:footnote w:id="38">
    <w:p w14:paraId="5FC6784C" w14:textId="0E480FA5" w:rsidR="00333E80" w:rsidRDefault="00333E80" w:rsidP="002010D0">
      <w:pPr>
        <w:pStyle w:val="FootnoteText"/>
      </w:pPr>
      <w:r>
        <w:rPr>
          <w:rStyle w:val="FootnoteReference"/>
        </w:rPr>
        <w:footnoteRef/>
      </w:r>
      <w:r>
        <w:t>Section 18RB(a) and (aa) of the Act</w:t>
      </w:r>
    </w:p>
  </w:footnote>
  <w:footnote w:id="39">
    <w:p w14:paraId="2BC8ED3B" w14:textId="0E86BB4E" w:rsidR="00333E80" w:rsidRDefault="00333E80" w:rsidP="00F12B21">
      <w:pPr>
        <w:pStyle w:val="FootnoteText"/>
      </w:pPr>
      <w:r>
        <w:rPr>
          <w:rStyle w:val="FootnoteReference"/>
        </w:rPr>
        <w:footnoteRef/>
      </w:r>
      <w:r>
        <w:t xml:space="preserve"> ISO/IEC 17025:2017-11 (E), General requirements for the competence of testing and calibration laboratories: </w:t>
      </w:r>
      <w:hyperlink r:id="rId14" w:history="1">
        <w:r w:rsidRPr="00103D3B">
          <w:rPr>
            <w:rStyle w:val="Hyperlink"/>
          </w:rPr>
          <w:t>https://www.iso.org/ISO-IEC-17025-testing-and-calibration-laboratories.html</w:t>
        </w:r>
      </w:hyperlink>
      <w:r>
        <w:rPr>
          <w:rStyle w:val="Hyperlink"/>
        </w:rPr>
        <w:t xml:space="preserve"> </w:t>
      </w:r>
      <w:r>
        <w:t xml:space="preserve"> </w:t>
      </w:r>
    </w:p>
  </w:footnote>
  <w:footnote w:id="40">
    <w:p w14:paraId="1E753177" w14:textId="5216A943" w:rsidR="00333E80" w:rsidRDefault="00333E80" w:rsidP="00F12B21">
      <w:pPr>
        <w:pStyle w:val="FootnoteText"/>
      </w:pPr>
      <w:r>
        <w:rPr>
          <w:rStyle w:val="FootnoteReference"/>
        </w:rPr>
        <w:footnoteRef/>
      </w:r>
      <w:r>
        <w:t xml:space="preserve"> Refer to ISO 17025, Section 6 Resource Requirements, 6.2 Personnel.</w:t>
      </w:r>
    </w:p>
  </w:footnote>
  <w:footnote w:id="41">
    <w:p w14:paraId="26FD7A4B" w14:textId="6BE74CC1" w:rsidR="00333E80" w:rsidRDefault="00333E80">
      <w:pPr>
        <w:pStyle w:val="FootnoteText"/>
      </w:pPr>
      <w:r>
        <w:rPr>
          <w:rStyle w:val="FootnoteReference"/>
        </w:rPr>
        <w:footnoteRef/>
      </w:r>
      <w:r>
        <w:t xml:space="preserve"> Section 18RB(g).</w:t>
      </w:r>
    </w:p>
  </w:footnote>
  <w:footnote w:id="42">
    <w:p w14:paraId="41723663" w14:textId="74B3337E" w:rsidR="00333E80" w:rsidRDefault="00333E80" w:rsidP="00316E90">
      <w:pPr>
        <w:pStyle w:val="FootnoteText"/>
      </w:pPr>
      <w:r>
        <w:rPr>
          <w:rStyle w:val="FootnoteReference"/>
        </w:rPr>
        <w:footnoteRef/>
      </w:r>
      <w:r>
        <w:t xml:space="preserve"> </w:t>
      </w:r>
      <w:r>
        <w:rPr>
          <w:color w:val="000000" w:themeColor="text1"/>
        </w:rPr>
        <w:t>Section 18ME of the Act.</w:t>
      </w:r>
    </w:p>
  </w:footnote>
  <w:footnote w:id="43">
    <w:p w14:paraId="5E5F3075" w14:textId="2D939C19" w:rsidR="00333E80" w:rsidRDefault="00333E80" w:rsidP="001F11FB">
      <w:pPr>
        <w:pStyle w:val="FootnoteText"/>
      </w:pPr>
      <w:r>
        <w:rPr>
          <w:rStyle w:val="FootnoteReference"/>
        </w:rPr>
        <w:footnoteRef/>
      </w:r>
      <w:r>
        <w:t xml:space="preserve"> Section</w:t>
      </w:r>
      <w:r>
        <w:rPr>
          <w:rFonts w:eastAsia="Times New Roman" w:cs="Times New Roman"/>
        </w:rPr>
        <w:t xml:space="preserve"> 3 of the Act.</w:t>
      </w:r>
    </w:p>
  </w:footnote>
  <w:footnote w:id="44">
    <w:p w14:paraId="60718C21" w14:textId="6235ABF1" w:rsidR="00333E80" w:rsidRDefault="00333E80" w:rsidP="00DB02EF">
      <w:pPr>
        <w:pStyle w:val="FootnoteText"/>
      </w:pPr>
      <w:r>
        <w:rPr>
          <w:rStyle w:val="FootnoteReference"/>
        </w:rPr>
        <w:footnoteRef/>
      </w:r>
      <w:r>
        <w:t xml:space="preserve"> Section 3A of the Act defines when a weighbridge </w:t>
      </w:r>
      <w:r w:rsidRPr="005465B2">
        <w:t>is ‘</w:t>
      </w:r>
      <w:r w:rsidRPr="005465B2">
        <w:rPr>
          <w:rFonts w:ascii="Helvetica Neue" w:hAnsi="Helvetica Neue"/>
          <w:bCs/>
          <w:i/>
          <w:iCs/>
          <w:sz w:val="19"/>
          <w:szCs w:val="19"/>
        </w:rPr>
        <w:t>made available as a public weighbridge’.</w:t>
      </w:r>
    </w:p>
  </w:footnote>
  <w:footnote w:id="45">
    <w:p w14:paraId="5C04C452" w14:textId="1A25162D" w:rsidR="00333E80" w:rsidRDefault="00333E80">
      <w:pPr>
        <w:pStyle w:val="FootnoteText"/>
      </w:pPr>
      <w:r>
        <w:rPr>
          <w:rStyle w:val="FootnoteReference"/>
        </w:rPr>
        <w:footnoteRef/>
      </w:r>
      <w:r>
        <w:t xml:space="preserve"> Section 18PT of the Act.</w:t>
      </w:r>
    </w:p>
  </w:footnote>
  <w:footnote w:id="46">
    <w:p w14:paraId="715507E6" w14:textId="77777777" w:rsidR="00333E80" w:rsidRDefault="00333E80" w:rsidP="005E08BA">
      <w:pPr>
        <w:pStyle w:val="FootnoteText"/>
      </w:pPr>
      <w:r>
        <w:rPr>
          <w:rStyle w:val="FootnoteReference"/>
        </w:rPr>
        <w:footnoteRef/>
      </w:r>
      <w:r>
        <w:t xml:space="preserve"> Refer to Section 18PH of the Act and regulation 3.62 of the NTMR.</w:t>
      </w:r>
    </w:p>
  </w:footnote>
  <w:footnote w:id="47">
    <w:p w14:paraId="661CF1AC" w14:textId="77777777" w:rsidR="00333E80" w:rsidRDefault="00333E80" w:rsidP="005E08BA">
      <w:pPr>
        <w:pStyle w:val="FootnoteText"/>
      </w:pPr>
      <w:r>
        <w:rPr>
          <w:rStyle w:val="FootnoteReference"/>
        </w:rPr>
        <w:footnoteRef/>
      </w:r>
      <w:r>
        <w:t xml:space="preserve"> Section</w:t>
      </w:r>
      <w:r w:rsidRPr="00371A79">
        <w:t xml:space="preserve"> 18PG</w:t>
      </w:r>
      <w:r>
        <w:t xml:space="preserve"> of the Act.</w:t>
      </w:r>
    </w:p>
  </w:footnote>
  <w:footnote w:id="48">
    <w:p w14:paraId="0847810E" w14:textId="754F55CA" w:rsidR="00333E80" w:rsidRDefault="00333E80" w:rsidP="00C37E51">
      <w:pPr>
        <w:pStyle w:val="FootnoteText"/>
      </w:pPr>
      <w:r>
        <w:rPr>
          <w:rStyle w:val="FootnoteReference"/>
        </w:rPr>
        <w:footnoteRef/>
      </w:r>
      <w:r>
        <w:t xml:space="preserve"> Section 18PC(1)(g) of the Act. This includes the physical requirements applying to weighbridges used in trade as outlined in Division 3.1 of Part 3 of the NTMR. </w:t>
      </w:r>
    </w:p>
  </w:footnote>
  <w:footnote w:id="49">
    <w:p w14:paraId="3A2E982E" w14:textId="001D551C" w:rsidR="00333E80" w:rsidRDefault="00333E80" w:rsidP="00C37E51">
      <w:pPr>
        <w:pStyle w:val="FootnoteText"/>
      </w:pPr>
      <w:r>
        <w:rPr>
          <w:rStyle w:val="FootnoteReference"/>
        </w:rPr>
        <w:footnoteRef/>
      </w:r>
      <w:r>
        <w:t xml:space="preserve"> Section</w:t>
      </w:r>
      <w:r w:rsidRPr="003C5D34">
        <w:t xml:space="preserve"> 18PC(1)</w:t>
      </w:r>
      <w:r w:rsidRPr="00134BBF">
        <w:t>(d)</w:t>
      </w:r>
      <w:r>
        <w:t xml:space="preserve"> of the Act does not define what ‘</w:t>
      </w:r>
      <w:r w:rsidRPr="003C5D34">
        <w:t xml:space="preserve">competent to operate a public weighbridge’ means, </w:t>
      </w:r>
      <w:r>
        <w:t xml:space="preserve">but </w:t>
      </w:r>
      <w:r w:rsidRPr="003C5D34">
        <w:t xml:space="preserve">regulation 3.62(g) makes it clear that a statement of attainment </w:t>
      </w:r>
      <w:r>
        <w:t xml:space="preserve">issued by an RTO </w:t>
      </w:r>
      <w:r w:rsidRPr="003C5D34">
        <w:t xml:space="preserve">can demonstrate </w:t>
      </w:r>
      <w:r>
        <w:t>this competence</w:t>
      </w:r>
      <w:r w:rsidRPr="003C5D34">
        <w:t>.</w:t>
      </w:r>
    </w:p>
  </w:footnote>
  <w:footnote w:id="50">
    <w:p w14:paraId="704059E5" w14:textId="77777777" w:rsidR="00333E80" w:rsidRDefault="00333E80" w:rsidP="00C2773C">
      <w:pPr>
        <w:pStyle w:val="FootnoteText"/>
      </w:pPr>
      <w:r>
        <w:rPr>
          <w:rStyle w:val="FootnoteReference"/>
        </w:rPr>
        <w:footnoteRef/>
      </w:r>
      <w:r>
        <w:t xml:space="preserve"> Regulation 3.61 of the NTMR.</w:t>
      </w:r>
    </w:p>
  </w:footnote>
  <w:footnote w:id="51">
    <w:p w14:paraId="5845DD37" w14:textId="0BECCEC4" w:rsidR="00333E80" w:rsidRDefault="00333E80" w:rsidP="00782458">
      <w:pPr>
        <w:pStyle w:val="FootnoteText"/>
      </w:pPr>
      <w:r>
        <w:rPr>
          <w:rStyle w:val="FootnoteReference"/>
        </w:rPr>
        <w:footnoteRef/>
      </w:r>
      <w:r>
        <w:t xml:space="preserve"> Use of NITPs by verifiers is a condition imposed on all servicing licences under regulation 2.43(18).  </w:t>
      </w:r>
    </w:p>
  </w:footnote>
  <w:footnote w:id="52">
    <w:p w14:paraId="638EBDCD" w14:textId="77777777" w:rsidR="00333E80" w:rsidRDefault="00333E80" w:rsidP="00146048">
      <w:pPr>
        <w:pStyle w:val="FootnoteText"/>
      </w:pPr>
      <w:r>
        <w:rPr>
          <w:rStyle w:val="FootnoteReference"/>
        </w:rPr>
        <w:footnoteRef/>
      </w:r>
      <w:r>
        <w:t xml:space="preserve"> Regulation 3 of the NMR defines ‘</w:t>
      </w:r>
      <w:r w:rsidRPr="00104CE1">
        <w:t>artefact</w:t>
      </w:r>
      <w:r>
        <w:t xml:space="preserve">’ </w:t>
      </w:r>
      <w:r w:rsidRPr="00104CE1">
        <w:t xml:space="preserve">to mean </w:t>
      </w:r>
      <w:r>
        <w:t>‘</w:t>
      </w:r>
      <w:r w:rsidRPr="00104CE1">
        <w:rPr>
          <w:i/>
        </w:rPr>
        <w:t>a physical object that is not a standard of measurement</w:t>
      </w:r>
      <w:r>
        <w:t>’.</w:t>
      </w:r>
    </w:p>
  </w:footnote>
  <w:footnote w:id="53">
    <w:p w14:paraId="761450E3" w14:textId="77777777" w:rsidR="00333E80" w:rsidRDefault="00333E80" w:rsidP="00146048">
      <w:pPr>
        <w:pStyle w:val="FootnoteText"/>
      </w:pPr>
      <w:r>
        <w:rPr>
          <w:rStyle w:val="FootnoteReference"/>
        </w:rPr>
        <w:footnoteRef/>
      </w:r>
      <w:r>
        <w:t xml:space="preserve"> Regulations 73 and 74 of the NMR.</w:t>
      </w:r>
    </w:p>
  </w:footnote>
  <w:footnote w:id="54">
    <w:p w14:paraId="1D2EEF7D" w14:textId="77777777" w:rsidR="00333E80" w:rsidRDefault="00333E80" w:rsidP="00FF28D5">
      <w:pPr>
        <w:pStyle w:val="FootnoteText"/>
      </w:pPr>
      <w:r>
        <w:rPr>
          <w:rStyle w:val="FootnoteReference"/>
        </w:rPr>
        <w:footnoteRef/>
      </w:r>
      <w:r>
        <w:t xml:space="preserve"> Section 3 of the Act defines ‘</w:t>
      </w:r>
      <w:r w:rsidRPr="00104CE1">
        <w:t>reference material</w:t>
      </w:r>
      <w:r>
        <w:t>’</w:t>
      </w:r>
      <w:r w:rsidRPr="00104CE1">
        <w:t xml:space="preserve"> to mean </w:t>
      </w:r>
      <w:r>
        <w:t>‘</w:t>
      </w:r>
      <w:r w:rsidRPr="00104CE1">
        <w:rPr>
          <w:i/>
        </w:rPr>
        <w:t>a material whose properties are used for the calibration of measuring instruments, the assessment of a measuring method or for assigning values to materials</w:t>
      </w:r>
      <w:r w:rsidRPr="00104CE1">
        <w:t>.</w:t>
      </w:r>
      <w:r w:rsidRPr="00104CE1">
        <w:rPr>
          <w:rFonts w:hint="eastAsia"/>
        </w:rPr>
        <w:t>’</w:t>
      </w:r>
    </w:p>
  </w:footnote>
  <w:footnote w:id="55">
    <w:p w14:paraId="26DF6AB3" w14:textId="77777777" w:rsidR="00333E80" w:rsidRDefault="00333E80" w:rsidP="00FF28D5">
      <w:pPr>
        <w:pStyle w:val="FootnoteText"/>
      </w:pPr>
      <w:r>
        <w:rPr>
          <w:rStyle w:val="FootnoteReference"/>
        </w:rPr>
        <w:footnoteRef/>
      </w:r>
      <w:r>
        <w:t xml:space="preserve"> Regulation 73 and 75 of the NMR.</w:t>
      </w:r>
    </w:p>
  </w:footnote>
  <w:footnote w:id="56">
    <w:p w14:paraId="3B37A92F" w14:textId="77777777" w:rsidR="00333E80" w:rsidRDefault="00333E80" w:rsidP="00FF28D5">
      <w:pPr>
        <w:pStyle w:val="FootnoteText"/>
      </w:pPr>
      <w:r>
        <w:rPr>
          <w:rStyle w:val="FootnoteReference"/>
        </w:rPr>
        <w:footnoteRef/>
      </w:r>
      <w:r>
        <w:t xml:space="preserve"> Regulation 76 of the NMR.</w:t>
      </w:r>
    </w:p>
  </w:footnote>
  <w:footnote w:id="57">
    <w:p w14:paraId="054AED36" w14:textId="2DD57402" w:rsidR="00333E80" w:rsidRDefault="00333E80">
      <w:pPr>
        <w:pStyle w:val="FootnoteText"/>
      </w:pPr>
      <w:r>
        <w:rPr>
          <w:rStyle w:val="FootnoteReference"/>
        </w:rPr>
        <w:footnoteRef/>
      </w:r>
      <w:r>
        <w:t xml:space="preserve"> Regulation 73 (1)(a) of the NMR.</w:t>
      </w:r>
    </w:p>
  </w:footnote>
  <w:footnote w:id="58">
    <w:p w14:paraId="7CCAA39C" w14:textId="69C3661A" w:rsidR="00333E80" w:rsidRDefault="00333E80">
      <w:pPr>
        <w:pStyle w:val="FootnoteText"/>
      </w:pPr>
      <w:r>
        <w:rPr>
          <w:rStyle w:val="FootnoteReference"/>
        </w:rPr>
        <w:footnoteRef/>
      </w:r>
      <w:r>
        <w:t xml:space="preserve"> Regulation 73(1)(b) of the NMR.</w:t>
      </w:r>
    </w:p>
  </w:footnote>
  <w:footnote w:id="59">
    <w:p w14:paraId="7C44D6AF" w14:textId="49169E87" w:rsidR="00333E80" w:rsidRDefault="00333E80">
      <w:pPr>
        <w:pStyle w:val="FootnoteText"/>
      </w:pPr>
      <w:r>
        <w:rPr>
          <w:rStyle w:val="FootnoteReference"/>
        </w:rPr>
        <w:footnoteRef/>
      </w:r>
      <w:r>
        <w:t xml:space="preserve"> Regulation 76 of the NMR.</w:t>
      </w:r>
    </w:p>
  </w:footnote>
  <w:footnote w:id="60">
    <w:p w14:paraId="3BF76186" w14:textId="21F52BE2" w:rsidR="00333E80" w:rsidRDefault="00333E80">
      <w:pPr>
        <w:pStyle w:val="FootnoteText"/>
      </w:pPr>
      <w:r>
        <w:rPr>
          <w:rStyle w:val="FootnoteReference"/>
        </w:rPr>
        <w:footnoteRef/>
      </w:r>
      <w:r>
        <w:t xml:space="preserve"> Regulation 77 of the NMR.</w:t>
      </w:r>
    </w:p>
  </w:footnote>
  <w:footnote w:id="61">
    <w:p w14:paraId="72305C68" w14:textId="4CBC74C9" w:rsidR="00333E80" w:rsidRDefault="00333E80">
      <w:pPr>
        <w:pStyle w:val="FootnoteText"/>
      </w:pPr>
      <w:r>
        <w:rPr>
          <w:rStyle w:val="FootnoteReference"/>
        </w:rPr>
        <w:footnoteRef/>
      </w:r>
      <w:r>
        <w:t xml:space="preserve"> For example, in order to verify an instrument under 18GK of the Act, s 18GL requires that the standard of measurement used be compliant with section 10.  </w:t>
      </w:r>
    </w:p>
  </w:footnote>
  <w:footnote w:id="62">
    <w:p w14:paraId="4671A9E6" w14:textId="6F77E661" w:rsidR="00333E80" w:rsidRDefault="00333E80">
      <w:pPr>
        <w:pStyle w:val="FootnoteText"/>
      </w:pPr>
      <w:r>
        <w:rPr>
          <w:rStyle w:val="FootnoteReference"/>
        </w:rPr>
        <w:footnoteRef/>
      </w:r>
      <w:r>
        <w:t xml:space="preserve"> Under s 3 of the NM Act, a ‘reference standard of measurement’ must have been verified in accordance with the regulations.  For example, under regulation 13 of the NMR.</w:t>
      </w:r>
    </w:p>
  </w:footnote>
  <w:footnote w:id="63">
    <w:p w14:paraId="75C72F55" w14:textId="12D56AEB" w:rsidR="00333E80" w:rsidRDefault="00333E80">
      <w:pPr>
        <w:pStyle w:val="FootnoteText"/>
      </w:pPr>
      <w:r>
        <w:rPr>
          <w:rStyle w:val="FootnoteReference"/>
        </w:rPr>
        <w:footnoteRef/>
      </w:r>
      <w:r>
        <w:t xml:space="preserve"> Regulation 77(1)(c) of the NMR.</w:t>
      </w:r>
    </w:p>
  </w:footnote>
  <w:footnote w:id="64">
    <w:p w14:paraId="628F1B63" w14:textId="633D635E" w:rsidR="00333E80" w:rsidRDefault="00333E80">
      <w:pPr>
        <w:pStyle w:val="FootnoteText"/>
      </w:pPr>
      <w:r>
        <w:rPr>
          <w:rStyle w:val="FootnoteReference"/>
        </w:rPr>
        <w:footnoteRef/>
      </w:r>
      <w:r>
        <w:t xml:space="preserve"> Under regulation 73(2)(b) or 76(3)(c) of the NMR.</w:t>
      </w:r>
    </w:p>
  </w:footnote>
  <w:footnote w:id="65">
    <w:p w14:paraId="6125AC7E" w14:textId="21F7B277" w:rsidR="00333E80" w:rsidRDefault="00333E80">
      <w:pPr>
        <w:pStyle w:val="FootnoteText"/>
      </w:pPr>
      <w:r>
        <w:rPr>
          <w:rStyle w:val="FootnoteReference"/>
        </w:rPr>
        <w:footnoteRef/>
      </w:r>
      <w:r>
        <w:t xml:space="preserve"> Regulation 79 of the NMR.</w:t>
      </w:r>
    </w:p>
  </w:footnote>
  <w:footnote w:id="66">
    <w:p w14:paraId="02724AF6" w14:textId="4CA8216C" w:rsidR="00333E80" w:rsidRDefault="00333E80">
      <w:pPr>
        <w:pStyle w:val="FootnoteText"/>
      </w:pPr>
      <w:r>
        <w:rPr>
          <w:rStyle w:val="FootnoteReference"/>
        </w:rPr>
        <w:footnoteRef/>
      </w:r>
      <w:r>
        <w:t xml:space="preserve"> </w:t>
      </w:r>
      <w:r w:rsidRPr="00FE7A09">
        <w:t>An examination by an Approving Authority is requested by a manufacturer (or other applicant), and the Authority will send the results to the applicant. The manufacturer is then able to supply the examination results to NMI as part of an application for pattern approval.</w:t>
      </w:r>
    </w:p>
  </w:footnote>
  <w:footnote w:id="67">
    <w:p w14:paraId="528A614B" w14:textId="5D3FAED0" w:rsidR="00333E80" w:rsidRDefault="00333E80">
      <w:pPr>
        <w:pStyle w:val="FootnoteText"/>
      </w:pPr>
      <w:r>
        <w:rPr>
          <w:rStyle w:val="FootnoteReference"/>
        </w:rPr>
        <w:footnoteRef/>
      </w:r>
      <w:r>
        <w:t xml:space="preserve"> </w:t>
      </w:r>
      <w:hyperlink r:id="rId15" w:history="1">
        <w:r w:rsidRPr="005259DD">
          <w:rPr>
            <w:rStyle w:val="Hyperlink"/>
          </w:rPr>
          <w:t>ISO/EC 17034</w:t>
        </w:r>
      </w:hyperlink>
      <w:r>
        <w:t xml:space="preserve"> provides general requirements for the competence of reference material producers.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E13CD" w14:textId="48C6731A" w:rsidR="00333E80" w:rsidRDefault="00333E80">
    <w:pPr>
      <w:pStyle w:val="Header"/>
    </w:pPr>
    <w:r>
      <w:rPr>
        <w:rFonts w:eastAsiaTheme="majorEastAsia"/>
        <w:noProof/>
        <w:spacing w:val="-10"/>
        <w:kern w:val="28"/>
        <w:sz w:val="56"/>
        <w:szCs w:val="56"/>
        <w:lang w:eastAsia="en-AU"/>
      </w:rPr>
      <w:drawing>
        <wp:anchor distT="0" distB="0" distL="114300" distR="114300" simplePos="0" relativeHeight="251658240" behindDoc="1" locked="0" layoutInCell="1" allowOverlap="1" wp14:anchorId="003A9221" wp14:editId="0433E053">
          <wp:simplePos x="0" y="0"/>
          <wp:positionH relativeFrom="page">
            <wp:align>right</wp:align>
          </wp:positionH>
          <wp:positionV relativeFrom="paragraph">
            <wp:posOffset>-440055</wp:posOffset>
          </wp:positionV>
          <wp:extent cx="7560000" cy="10695901"/>
          <wp:effectExtent l="0" t="0" r="3175" b="0"/>
          <wp:wrapNone/>
          <wp:docPr id="2" name="Picture 2" descr="Australian Government | Department of Industry, Innovation and Science" title="Australian Government | Department of Industry, Innovation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COM 18474 Australias Measurement Laws Discussion Paper Topic 5 6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90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8850C" w14:textId="77777777" w:rsidR="00333E80" w:rsidRDefault="00333E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9275A"/>
    <w:multiLevelType w:val="hybridMultilevel"/>
    <w:tmpl w:val="EF16C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F5755D"/>
    <w:multiLevelType w:val="hybridMultilevel"/>
    <w:tmpl w:val="85BE44A0"/>
    <w:lvl w:ilvl="0" w:tplc="8A626020">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EB7D61"/>
    <w:multiLevelType w:val="hybridMultilevel"/>
    <w:tmpl w:val="B032FD0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 w15:restartNumberingAfterBreak="0">
    <w:nsid w:val="10541B2E"/>
    <w:multiLevelType w:val="hybridMultilevel"/>
    <w:tmpl w:val="D9CACF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6E73BB"/>
    <w:multiLevelType w:val="hybridMultilevel"/>
    <w:tmpl w:val="D9CACF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9E3CE5"/>
    <w:multiLevelType w:val="multilevel"/>
    <w:tmpl w:val="D0E45CEE"/>
    <w:lvl w:ilvl="0">
      <w:start w:val="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64C0540"/>
    <w:multiLevelType w:val="multilevel"/>
    <w:tmpl w:val="18D87210"/>
    <w:lvl w:ilvl="0">
      <w:start w:val="6"/>
      <w:numFmt w:val="decimal"/>
      <w:lvlText w:val="%1"/>
      <w:lvlJc w:val="left"/>
      <w:pPr>
        <w:ind w:left="444" w:hanging="444"/>
      </w:pPr>
      <w:rPr>
        <w:rFonts w:hint="default"/>
        <w:color w:val="auto"/>
      </w:rPr>
    </w:lvl>
    <w:lvl w:ilvl="1">
      <w:start w:val="2"/>
      <w:numFmt w:val="decimal"/>
      <w:lvlText w:val="%1.%2"/>
      <w:lvlJc w:val="left"/>
      <w:pPr>
        <w:ind w:left="444" w:hanging="444"/>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7" w15:restartNumberingAfterBreak="0">
    <w:nsid w:val="18E94E99"/>
    <w:multiLevelType w:val="hybridMultilevel"/>
    <w:tmpl w:val="ECE24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EA6E59"/>
    <w:multiLevelType w:val="hybridMultilevel"/>
    <w:tmpl w:val="289EAA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002AA3"/>
    <w:multiLevelType w:val="hybridMultilevel"/>
    <w:tmpl w:val="F43EB6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7B1DAE"/>
    <w:multiLevelType w:val="hybridMultilevel"/>
    <w:tmpl w:val="7CF42C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92ECD5E">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DE7F34"/>
    <w:multiLevelType w:val="hybridMultilevel"/>
    <w:tmpl w:val="34A4EF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400FFA"/>
    <w:multiLevelType w:val="hybridMultilevel"/>
    <w:tmpl w:val="C0DE8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D00D8C"/>
    <w:multiLevelType w:val="hybridMultilevel"/>
    <w:tmpl w:val="DCD80D86"/>
    <w:lvl w:ilvl="0" w:tplc="0C090003">
      <w:start w:val="1"/>
      <w:numFmt w:val="bullet"/>
      <w:lvlText w:val="o"/>
      <w:lvlJc w:val="left"/>
      <w:pPr>
        <w:ind w:left="1033" w:hanging="360"/>
      </w:pPr>
      <w:rPr>
        <w:rFonts w:ascii="Courier New" w:hAnsi="Courier New" w:cs="Courier New" w:hint="default"/>
      </w:rPr>
    </w:lvl>
    <w:lvl w:ilvl="1" w:tplc="0C090003" w:tentative="1">
      <w:start w:val="1"/>
      <w:numFmt w:val="bullet"/>
      <w:lvlText w:val="o"/>
      <w:lvlJc w:val="left"/>
      <w:pPr>
        <w:ind w:left="1753" w:hanging="360"/>
      </w:pPr>
      <w:rPr>
        <w:rFonts w:ascii="Courier New" w:hAnsi="Courier New" w:cs="Courier New" w:hint="default"/>
      </w:rPr>
    </w:lvl>
    <w:lvl w:ilvl="2" w:tplc="0C090005" w:tentative="1">
      <w:start w:val="1"/>
      <w:numFmt w:val="bullet"/>
      <w:lvlText w:val=""/>
      <w:lvlJc w:val="left"/>
      <w:pPr>
        <w:ind w:left="2473" w:hanging="360"/>
      </w:pPr>
      <w:rPr>
        <w:rFonts w:ascii="Wingdings" w:hAnsi="Wingdings" w:hint="default"/>
      </w:rPr>
    </w:lvl>
    <w:lvl w:ilvl="3" w:tplc="0C090001" w:tentative="1">
      <w:start w:val="1"/>
      <w:numFmt w:val="bullet"/>
      <w:lvlText w:val=""/>
      <w:lvlJc w:val="left"/>
      <w:pPr>
        <w:ind w:left="3193" w:hanging="360"/>
      </w:pPr>
      <w:rPr>
        <w:rFonts w:ascii="Symbol" w:hAnsi="Symbol" w:hint="default"/>
      </w:rPr>
    </w:lvl>
    <w:lvl w:ilvl="4" w:tplc="0C090003" w:tentative="1">
      <w:start w:val="1"/>
      <w:numFmt w:val="bullet"/>
      <w:lvlText w:val="o"/>
      <w:lvlJc w:val="left"/>
      <w:pPr>
        <w:ind w:left="3913" w:hanging="360"/>
      </w:pPr>
      <w:rPr>
        <w:rFonts w:ascii="Courier New" w:hAnsi="Courier New" w:cs="Courier New" w:hint="default"/>
      </w:rPr>
    </w:lvl>
    <w:lvl w:ilvl="5" w:tplc="0C090005" w:tentative="1">
      <w:start w:val="1"/>
      <w:numFmt w:val="bullet"/>
      <w:lvlText w:val=""/>
      <w:lvlJc w:val="left"/>
      <w:pPr>
        <w:ind w:left="4633" w:hanging="360"/>
      </w:pPr>
      <w:rPr>
        <w:rFonts w:ascii="Wingdings" w:hAnsi="Wingdings" w:hint="default"/>
      </w:rPr>
    </w:lvl>
    <w:lvl w:ilvl="6" w:tplc="0C090001" w:tentative="1">
      <w:start w:val="1"/>
      <w:numFmt w:val="bullet"/>
      <w:lvlText w:val=""/>
      <w:lvlJc w:val="left"/>
      <w:pPr>
        <w:ind w:left="5353" w:hanging="360"/>
      </w:pPr>
      <w:rPr>
        <w:rFonts w:ascii="Symbol" w:hAnsi="Symbol" w:hint="default"/>
      </w:rPr>
    </w:lvl>
    <w:lvl w:ilvl="7" w:tplc="0C090003" w:tentative="1">
      <w:start w:val="1"/>
      <w:numFmt w:val="bullet"/>
      <w:lvlText w:val="o"/>
      <w:lvlJc w:val="left"/>
      <w:pPr>
        <w:ind w:left="6073" w:hanging="360"/>
      </w:pPr>
      <w:rPr>
        <w:rFonts w:ascii="Courier New" w:hAnsi="Courier New" w:cs="Courier New" w:hint="default"/>
      </w:rPr>
    </w:lvl>
    <w:lvl w:ilvl="8" w:tplc="0C090005" w:tentative="1">
      <w:start w:val="1"/>
      <w:numFmt w:val="bullet"/>
      <w:lvlText w:val=""/>
      <w:lvlJc w:val="left"/>
      <w:pPr>
        <w:ind w:left="6793" w:hanging="360"/>
      </w:pPr>
      <w:rPr>
        <w:rFonts w:ascii="Wingdings" w:hAnsi="Wingdings" w:hint="default"/>
      </w:rPr>
    </w:lvl>
  </w:abstractNum>
  <w:abstractNum w:abstractNumId="14" w15:restartNumberingAfterBreak="0">
    <w:nsid w:val="30B2662C"/>
    <w:multiLevelType w:val="hybridMultilevel"/>
    <w:tmpl w:val="D4CAC1D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592ECD5E">
      <w:numFmt w:val="bullet"/>
      <w:lvlText w:val="-"/>
      <w:lvlJc w:val="left"/>
      <w:pPr>
        <w:ind w:left="2160" w:hanging="360"/>
      </w:pPr>
      <w:rPr>
        <w:rFonts w:ascii="Calibri" w:eastAsiaTheme="minorHAnsi"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3C6462"/>
    <w:multiLevelType w:val="hybridMultilevel"/>
    <w:tmpl w:val="5CDCE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9E43D1"/>
    <w:multiLevelType w:val="hybridMultilevel"/>
    <w:tmpl w:val="DF24F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6E6E98"/>
    <w:multiLevelType w:val="hybridMultilevel"/>
    <w:tmpl w:val="D9CACF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33055B7"/>
    <w:multiLevelType w:val="hybridMultilevel"/>
    <w:tmpl w:val="5B729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224B63"/>
    <w:multiLevelType w:val="hybridMultilevel"/>
    <w:tmpl w:val="D24EB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757538"/>
    <w:multiLevelType w:val="hybridMultilevel"/>
    <w:tmpl w:val="4D74A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6413F4"/>
    <w:multiLevelType w:val="hybridMultilevel"/>
    <w:tmpl w:val="48461E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B77516"/>
    <w:multiLevelType w:val="multilevel"/>
    <w:tmpl w:val="7EA03716"/>
    <w:lvl w:ilvl="0">
      <w:start w:val="1"/>
      <w:numFmt w:val="decimal"/>
      <w:lvlText w:val="%1."/>
      <w:lvlJc w:val="left"/>
      <w:pPr>
        <w:ind w:left="720" w:hanging="360"/>
      </w:pPr>
      <w:rPr>
        <w:rFonts w:hint="default"/>
      </w:rPr>
    </w:lvl>
    <w:lvl w:ilvl="1">
      <w:start w:val="4"/>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40D3690"/>
    <w:multiLevelType w:val="hybridMultilevel"/>
    <w:tmpl w:val="C0366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827225"/>
    <w:multiLevelType w:val="hybridMultilevel"/>
    <w:tmpl w:val="6B066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5E7E19"/>
    <w:multiLevelType w:val="hybridMultilevel"/>
    <w:tmpl w:val="4D94B0A8"/>
    <w:lvl w:ilvl="0" w:tplc="0C090011">
      <w:start w:val="1"/>
      <w:numFmt w:val="decimal"/>
      <w:lvlText w:val="%1)"/>
      <w:lvlJc w:val="left"/>
      <w:pPr>
        <w:ind w:left="720" w:hanging="360"/>
      </w:pPr>
      <w:rPr>
        <w:rFonts w:hint="default"/>
        <w:color w:val="auto"/>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AB20412"/>
    <w:multiLevelType w:val="hybridMultilevel"/>
    <w:tmpl w:val="8C96B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3B3AE2"/>
    <w:multiLevelType w:val="multilevel"/>
    <w:tmpl w:val="7B8874A0"/>
    <w:lvl w:ilvl="0">
      <w:start w:val="5"/>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481564A"/>
    <w:multiLevelType w:val="hybridMultilevel"/>
    <w:tmpl w:val="D9CACF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4F35139"/>
    <w:multiLevelType w:val="hybridMultilevel"/>
    <w:tmpl w:val="0BB8E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53B2430"/>
    <w:multiLevelType w:val="hybridMultilevel"/>
    <w:tmpl w:val="EE7A758E"/>
    <w:lvl w:ilvl="0" w:tplc="6492C688">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660B99"/>
    <w:multiLevelType w:val="hybridMultilevel"/>
    <w:tmpl w:val="2D880B4A"/>
    <w:lvl w:ilvl="0" w:tplc="0C090001">
      <w:start w:val="1"/>
      <w:numFmt w:val="bullet"/>
      <w:lvlText w:val=""/>
      <w:lvlJc w:val="left"/>
      <w:pPr>
        <w:ind w:left="1033" w:hanging="360"/>
      </w:pPr>
      <w:rPr>
        <w:rFonts w:ascii="Symbol" w:hAnsi="Symbol" w:hint="default"/>
      </w:rPr>
    </w:lvl>
    <w:lvl w:ilvl="1" w:tplc="0C090003" w:tentative="1">
      <w:start w:val="1"/>
      <w:numFmt w:val="bullet"/>
      <w:lvlText w:val="o"/>
      <w:lvlJc w:val="left"/>
      <w:pPr>
        <w:ind w:left="1753" w:hanging="360"/>
      </w:pPr>
      <w:rPr>
        <w:rFonts w:ascii="Courier New" w:hAnsi="Courier New" w:cs="Courier New" w:hint="default"/>
      </w:rPr>
    </w:lvl>
    <w:lvl w:ilvl="2" w:tplc="0C090005" w:tentative="1">
      <w:start w:val="1"/>
      <w:numFmt w:val="bullet"/>
      <w:lvlText w:val=""/>
      <w:lvlJc w:val="left"/>
      <w:pPr>
        <w:ind w:left="2473" w:hanging="360"/>
      </w:pPr>
      <w:rPr>
        <w:rFonts w:ascii="Wingdings" w:hAnsi="Wingdings" w:hint="default"/>
      </w:rPr>
    </w:lvl>
    <w:lvl w:ilvl="3" w:tplc="0C090001" w:tentative="1">
      <w:start w:val="1"/>
      <w:numFmt w:val="bullet"/>
      <w:lvlText w:val=""/>
      <w:lvlJc w:val="left"/>
      <w:pPr>
        <w:ind w:left="3193" w:hanging="360"/>
      </w:pPr>
      <w:rPr>
        <w:rFonts w:ascii="Symbol" w:hAnsi="Symbol" w:hint="default"/>
      </w:rPr>
    </w:lvl>
    <w:lvl w:ilvl="4" w:tplc="0C090003" w:tentative="1">
      <w:start w:val="1"/>
      <w:numFmt w:val="bullet"/>
      <w:lvlText w:val="o"/>
      <w:lvlJc w:val="left"/>
      <w:pPr>
        <w:ind w:left="3913" w:hanging="360"/>
      </w:pPr>
      <w:rPr>
        <w:rFonts w:ascii="Courier New" w:hAnsi="Courier New" w:cs="Courier New" w:hint="default"/>
      </w:rPr>
    </w:lvl>
    <w:lvl w:ilvl="5" w:tplc="0C090005" w:tentative="1">
      <w:start w:val="1"/>
      <w:numFmt w:val="bullet"/>
      <w:lvlText w:val=""/>
      <w:lvlJc w:val="left"/>
      <w:pPr>
        <w:ind w:left="4633" w:hanging="360"/>
      </w:pPr>
      <w:rPr>
        <w:rFonts w:ascii="Wingdings" w:hAnsi="Wingdings" w:hint="default"/>
      </w:rPr>
    </w:lvl>
    <w:lvl w:ilvl="6" w:tplc="0C090001" w:tentative="1">
      <w:start w:val="1"/>
      <w:numFmt w:val="bullet"/>
      <w:lvlText w:val=""/>
      <w:lvlJc w:val="left"/>
      <w:pPr>
        <w:ind w:left="5353" w:hanging="360"/>
      </w:pPr>
      <w:rPr>
        <w:rFonts w:ascii="Symbol" w:hAnsi="Symbol" w:hint="default"/>
      </w:rPr>
    </w:lvl>
    <w:lvl w:ilvl="7" w:tplc="0C090003" w:tentative="1">
      <w:start w:val="1"/>
      <w:numFmt w:val="bullet"/>
      <w:lvlText w:val="o"/>
      <w:lvlJc w:val="left"/>
      <w:pPr>
        <w:ind w:left="6073" w:hanging="360"/>
      </w:pPr>
      <w:rPr>
        <w:rFonts w:ascii="Courier New" w:hAnsi="Courier New" w:cs="Courier New" w:hint="default"/>
      </w:rPr>
    </w:lvl>
    <w:lvl w:ilvl="8" w:tplc="0C090005" w:tentative="1">
      <w:start w:val="1"/>
      <w:numFmt w:val="bullet"/>
      <w:lvlText w:val=""/>
      <w:lvlJc w:val="left"/>
      <w:pPr>
        <w:ind w:left="6793" w:hanging="360"/>
      </w:pPr>
      <w:rPr>
        <w:rFonts w:ascii="Wingdings" w:hAnsi="Wingdings" w:hint="default"/>
      </w:rPr>
    </w:lvl>
  </w:abstractNum>
  <w:num w:numId="1">
    <w:abstractNumId w:val="12"/>
  </w:num>
  <w:num w:numId="2">
    <w:abstractNumId w:val="0"/>
  </w:num>
  <w:num w:numId="3">
    <w:abstractNumId w:val="9"/>
  </w:num>
  <w:num w:numId="4">
    <w:abstractNumId w:val="11"/>
  </w:num>
  <w:num w:numId="5">
    <w:abstractNumId w:val="3"/>
  </w:num>
  <w:num w:numId="6">
    <w:abstractNumId w:val="28"/>
  </w:num>
  <w:num w:numId="7">
    <w:abstractNumId w:val="4"/>
  </w:num>
  <w:num w:numId="8">
    <w:abstractNumId w:val="17"/>
  </w:num>
  <w:num w:numId="9">
    <w:abstractNumId w:val="19"/>
  </w:num>
  <w:num w:numId="10">
    <w:abstractNumId w:val="10"/>
  </w:num>
  <w:num w:numId="11">
    <w:abstractNumId w:val="2"/>
  </w:num>
  <w:num w:numId="12">
    <w:abstractNumId w:val="16"/>
  </w:num>
  <w:num w:numId="13">
    <w:abstractNumId w:val="20"/>
  </w:num>
  <w:num w:numId="14">
    <w:abstractNumId w:val="22"/>
  </w:num>
  <w:num w:numId="15">
    <w:abstractNumId w:val="25"/>
  </w:num>
  <w:num w:numId="16">
    <w:abstractNumId w:val="1"/>
  </w:num>
  <w:num w:numId="17">
    <w:abstractNumId w:val="26"/>
  </w:num>
  <w:num w:numId="18">
    <w:abstractNumId w:val="30"/>
  </w:num>
  <w:num w:numId="19">
    <w:abstractNumId w:val="24"/>
  </w:num>
  <w:num w:numId="20">
    <w:abstractNumId w:val="8"/>
  </w:num>
  <w:num w:numId="21">
    <w:abstractNumId w:val="14"/>
  </w:num>
  <w:num w:numId="22">
    <w:abstractNumId w:val="21"/>
  </w:num>
  <w:num w:numId="23">
    <w:abstractNumId w:val="7"/>
  </w:num>
  <w:num w:numId="24">
    <w:abstractNumId w:val="29"/>
  </w:num>
  <w:num w:numId="25">
    <w:abstractNumId w:val="18"/>
  </w:num>
  <w:num w:numId="26">
    <w:abstractNumId w:val="15"/>
  </w:num>
  <w:num w:numId="27">
    <w:abstractNumId w:val="23"/>
  </w:num>
  <w:num w:numId="28">
    <w:abstractNumId w:val="5"/>
  </w:num>
  <w:num w:numId="29">
    <w:abstractNumId w:val="27"/>
  </w:num>
  <w:num w:numId="30">
    <w:abstractNumId w:val="31"/>
  </w:num>
  <w:num w:numId="31">
    <w:abstractNumId w:val="13"/>
  </w:num>
  <w:num w:numId="32">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714"/>
    <w:rsid w:val="00000DEF"/>
    <w:rsid w:val="0000261C"/>
    <w:rsid w:val="00003FD3"/>
    <w:rsid w:val="0000442E"/>
    <w:rsid w:val="00005797"/>
    <w:rsid w:val="00005887"/>
    <w:rsid w:val="00005DB3"/>
    <w:rsid w:val="00006529"/>
    <w:rsid w:val="000065F6"/>
    <w:rsid w:val="00007080"/>
    <w:rsid w:val="000102B6"/>
    <w:rsid w:val="0001096D"/>
    <w:rsid w:val="000117CD"/>
    <w:rsid w:val="00011D8D"/>
    <w:rsid w:val="0001295F"/>
    <w:rsid w:val="000162F3"/>
    <w:rsid w:val="0001666B"/>
    <w:rsid w:val="00017220"/>
    <w:rsid w:val="00017283"/>
    <w:rsid w:val="00017770"/>
    <w:rsid w:val="00017D54"/>
    <w:rsid w:val="00020243"/>
    <w:rsid w:val="0002033C"/>
    <w:rsid w:val="00020E4E"/>
    <w:rsid w:val="000211FE"/>
    <w:rsid w:val="00021528"/>
    <w:rsid w:val="0002215E"/>
    <w:rsid w:val="00022371"/>
    <w:rsid w:val="0002260B"/>
    <w:rsid w:val="00022C86"/>
    <w:rsid w:val="00022D1F"/>
    <w:rsid w:val="000236ED"/>
    <w:rsid w:val="00023E1B"/>
    <w:rsid w:val="00023F9D"/>
    <w:rsid w:val="00026414"/>
    <w:rsid w:val="000266AE"/>
    <w:rsid w:val="0002681F"/>
    <w:rsid w:val="00027E9B"/>
    <w:rsid w:val="00027F48"/>
    <w:rsid w:val="00030212"/>
    <w:rsid w:val="00030D9A"/>
    <w:rsid w:val="000320DC"/>
    <w:rsid w:val="000322E5"/>
    <w:rsid w:val="00032783"/>
    <w:rsid w:val="00033271"/>
    <w:rsid w:val="000332E2"/>
    <w:rsid w:val="0003387F"/>
    <w:rsid w:val="00034D1F"/>
    <w:rsid w:val="000361F5"/>
    <w:rsid w:val="000366C5"/>
    <w:rsid w:val="000367C7"/>
    <w:rsid w:val="00040017"/>
    <w:rsid w:val="00042609"/>
    <w:rsid w:val="00042A50"/>
    <w:rsid w:val="00043897"/>
    <w:rsid w:val="00044DB0"/>
    <w:rsid w:val="000451EE"/>
    <w:rsid w:val="00045245"/>
    <w:rsid w:val="00045BC8"/>
    <w:rsid w:val="000469A1"/>
    <w:rsid w:val="0004735C"/>
    <w:rsid w:val="000475D4"/>
    <w:rsid w:val="00047DC7"/>
    <w:rsid w:val="0005033F"/>
    <w:rsid w:val="00051EA7"/>
    <w:rsid w:val="000533C0"/>
    <w:rsid w:val="00053D15"/>
    <w:rsid w:val="00053D37"/>
    <w:rsid w:val="0005402C"/>
    <w:rsid w:val="0005507E"/>
    <w:rsid w:val="000550D9"/>
    <w:rsid w:val="0005578B"/>
    <w:rsid w:val="00055A8C"/>
    <w:rsid w:val="00056B4D"/>
    <w:rsid w:val="00056D0D"/>
    <w:rsid w:val="000572F7"/>
    <w:rsid w:val="000601A6"/>
    <w:rsid w:val="000638CF"/>
    <w:rsid w:val="00063C2A"/>
    <w:rsid w:val="00064048"/>
    <w:rsid w:val="00064F7E"/>
    <w:rsid w:val="00065A7A"/>
    <w:rsid w:val="00065DD7"/>
    <w:rsid w:val="00065E47"/>
    <w:rsid w:val="00065F0C"/>
    <w:rsid w:val="00066594"/>
    <w:rsid w:val="0006667A"/>
    <w:rsid w:val="00067E72"/>
    <w:rsid w:val="000701D3"/>
    <w:rsid w:val="00070556"/>
    <w:rsid w:val="000715AE"/>
    <w:rsid w:val="00071D9F"/>
    <w:rsid w:val="0007239C"/>
    <w:rsid w:val="000723D2"/>
    <w:rsid w:val="000729E0"/>
    <w:rsid w:val="00073093"/>
    <w:rsid w:val="0007656A"/>
    <w:rsid w:val="00076926"/>
    <w:rsid w:val="000769BD"/>
    <w:rsid w:val="00076ED3"/>
    <w:rsid w:val="000811D7"/>
    <w:rsid w:val="00081764"/>
    <w:rsid w:val="00081ADA"/>
    <w:rsid w:val="00081E29"/>
    <w:rsid w:val="00082535"/>
    <w:rsid w:val="00083D62"/>
    <w:rsid w:val="00083DD5"/>
    <w:rsid w:val="00084283"/>
    <w:rsid w:val="00084EAA"/>
    <w:rsid w:val="00085805"/>
    <w:rsid w:val="00086266"/>
    <w:rsid w:val="000863C3"/>
    <w:rsid w:val="00091508"/>
    <w:rsid w:val="00091B64"/>
    <w:rsid w:val="00092AC7"/>
    <w:rsid w:val="000936CD"/>
    <w:rsid w:val="00093EC7"/>
    <w:rsid w:val="000945EB"/>
    <w:rsid w:val="000951BF"/>
    <w:rsid w:val="0009605E"/>
    <w:rsid w:val="00096B34"/>
    <w:rsid w:val="00097725"/>
    <w:rsid w:val="00097808"/>
    <w:rsid w:val="00097A0C"/>
    <w:rsid w:val="00097A93"/>
    <w:rsid w:val="00097C66"/>
    <w:rsid w:val="00097DBC"/>
    <w:rsid w:val="000A00EF"/>
    <w:rsid w:val="000A0440"/>
    <w:rsid w:val="000A0936"/>
    <w:rsid w:val="000A2F01"/>
    <w:rsid w:val="000A46E9"/>
    <w:rsid w:val="000A4CD0"/>
    <w:rsid w:val="000A4F6F"/>
    <w:rsid w:val="000B20B0"/>
    <w:rsid w:val="000B23B1"/>
    <w:rsid w:val="000B2CA9"/>
    <w:rsid w:val="000B2DBB"/>
    <w:rsid w:val="000B2E65"/>
    <w:rsid w:val="000B47E2"/>
    <w:rsid w:val="000B4F26"/>
    <w:rsid w:val="000B7549"/>
    <w:rsid w:val="000C164A"/>
    <w:rsid w:val="000C1746"/>
    <w:rsid w:val="000C2842"/>
    <w:rsid w:val="000C2E64"/>
    <w:rsid w:val="000C5A7E"/>
    <w:rsid w:val="000C74E0"/>
    <w:rsid w:val="000D092D"/>
    <w:rsid w:val="000D283B"/>
    <w:rsid w:val="000D4159"/>
    <w:rsid w:val="000D6196"/>
    <w:rsid w:val="000D6468"/>
    <w:rsid w:val="000D66ED"/>
    <w:rsid w:val="000D6E13"/>
    <w:rsid w:val="000D7B89"/>
    <w:rsid w:val="000D7F25"/>
    <w:rsid w:val="000E0877"/>
    <w:rsid w:val="000E0E1A"/>
    <w:rsid w:val="000E0FC5"/>
    <w:rsid w:val="000E1EEA"/>
    <w:rsid w:val="000E2394"/>
    <w:rsid w:val="000E325C"/>
    <w:rsid w:val="000E3485"/>
    <w:rsid w:val="000E3C63"/>
    <w:rsid w:val="000E466E"/>
    <w:rsid w:val="000E5DAA"/>
    <w:rsid w:val="000E7318"/>
    <w:rsid w:val="000E755B"/>
    <w:rsid w:val="000E76D0"/>
    <w:rsid w:val="000E7E51"/>
    <w:rsid w:val="000F06E1"/>
    <w:rsid w:val="000F0FC8"/>
    <w:rsid w:val="000F129D"/>
    <w:rsid w:val="000F2AAA"/>
    <w:rsid w:val="000F3379"/>
    <w:rsid w:val="000F3548"/>
    <w:rsid w:val="000F3B68"/>
    <w:rsid w:val="000F4718"/>
    <w:rsid w:val="000F55C6"/>
    <w:rsid w:val="000F564E"/>
    <w:rsid w:val="000F5D99"/>
    <w:rsid w:val="000F6382"/>
    <w:rsid w:val="000F63E7"/>
    <w:rsid w:val="000F71FF"/>
    <w:rsid w:val="000F766B"/>
    <w:rsid w:val="000F7761"/>
    <w:rsid w:val="00100F4B"/>
    <w:rsid w:val="00101241"/>
    <w:rsid w:val="001018DF"/>
    <w:rsid w:val="0010202F"/>
    <w:rsid w:val="0010210B"/>
    <w:rsid w:val="00102913"/>
    <w:rsid w:val="00102F64"/>
    <w:rsid w:val="00104B14"/>
    <w:rsid w:val="00104CE1"/>
    <w:rsid w:val="00104E37"/>
    <w:rsid w:val="00105653"/>
    <w:rsid w:val="00105E9D"/>
    <w:rsid w:val="0010794E"/>
    <w:rsid w:val="00107A7B"/>
    <w:rsid w:val="00110BC8"/>
    <w:rsid w:val="00112D38"/>
    <w:rsid w:val="001137E9"/>
    <w:rsid w:val="001143A0"/>
    <w:rsid w:val="00114F9E"/>
    <w:rsid w:val="00116087"/>
    <w:rsid w:val="00116A46"/>
    <w:rsid w:val="00116C60"/>
    <w:rsid w:val="00120200"/>
    <w:rsid w:val="00120811"/>
    <w:rsid w:val="00120AA5"/>
    <w:rsid w:val="00121102"/>
    <w:rsid w:val="001214A8"/>
    <w:rsid w:val="00123860"/>
    <w:rsid w:val="00124C53"/>
    <w:rsid w:val="00124F79"/>
    <w:rsid w:val="00125677"/>
    <w:rsid w:val="00125DBC"/>
    <w:rsid w:val="00126BC0"/>
    <w:rsid w:val="0012709C"/>
    <w:rsid w:val="0012794E"/>
    <w:rsid w:val="0013060A"/>
    <w:rsid w:val="0013091F"/>
    <w:rsid w:val="00130ADC"/>
    <w:rsid w:val="00131BEF"/>
    <w:rsid w:val="00131BFA"/>
    <w:rsid w:val="0013287D"/>
    <w:rsid w:val="00132CE1"/>
    <w:rsid w:val="00133823"/>
    <w:rsid w:val="00134BBF"/>
    <w:rsid w:val="00134CE7"/>
    <w:rsid w:val="00134E23"/>
    <w:rsid w:val="00135378"/>
    <w:rsid w:val="00135BA8"/>
    <w:rsid w:val="00135D78"/>
    <w:rsid w:val="00135E7B"/>
    <w:rsid w:val="001374D8"/>
    <w:rsid w:val="0013758D"/>
    <w:rsid w:val="001376DA"/>
    <w:rsid w:val="00137812"/>
    <w:rsid w:val="00137F74"/>
    <w:rsid w:val="0014012F"/>
    <w:rsid w:val="001419D5"/>
    <w:rsid w:val="00141EA6"/>
    <w:rsid w:val="00142182"/>
    <w:rsid w:val="001445FF"/>
    <w:rsid w:val="001449C1"/>
    <w:rsid w:val="00144FC4"/>
    <w:rsid w:val="00145353"/>
    <w:rsid w:val="001459AB"/>
    <w:rsid w:val="00145FA0"/>
    <w:rsid w:val="00146048"/>
    <w:rsid w:val="00146384"/>
    <w:rsid w:val="00146E4F"/>
    <w:rsid w:val="00147769"/>
    <w:rsid w:val="00150B09"/>
    <w:rsid w:val="001511AE"/>
    <w:rsid w:val="00151B9F"/>
    <w:rsid w:val="00151E48"/>
    <w:rsid w:val="00152E80"/>
    <w:rsid w:val="001554CA"/>
    <w:rsid w:val="00155839"/>
    <w:rsid w:val="00157E06"/>
    <w:rsid w:val="0016123F"/>
    <w:rsid w:val="0016393D"/>
    <w:rsid w:val="001642CB"/>
    <w:rsid w:val="00164574"/>
    <w:rsid w:val="00164AF9"/>
    <w:rsid w:val="00164F9B"/>
    <w:rsid w:val="00166201"/>
    <w:rsid w:val="00167847"/>
    <w:rsid w:val="00167A3A"/>
    <w:rsid w:val="00170039"/>
    <w:rsid w:val="00170603"/>
    <w:rsid w:val="00171F48"/>
    <w:rsid w:val="001722F7"/>
    <w:rsid w:val="00173B78"/>
    <w:rsid w:val="00174B40"/>
    <w:rsid w:val="001756F9"/>
    <w:rsid w:val="0017728D"/>
    <w:rsid w:val="001772CE"/>
    <w:rsid w:val="0017736C"/>
    <w:rsid w:val="0018080F"/>
    <w:rsid w:val="00184019"/>
    <w:rsid w:val="00184CBB"/>
    <w:rsid w:val="00187481"/>
    <w:rsid w:val="001903A9"/>
    <w:rsid w:val="00192E06"/>
    <w:rsid w:val="00192FF0"/>
    <w:rsid w:val="0019331B"/>
    <w:rsid w:val="001939A0"/>
    <w:rsid w:val="00193A41"/>
    <w:rsid w:val="00193A83"/>
    <w:rsid w:val="00193E69"/>
    <w:rsid w:val="00194E36"/>
    <w:rsid w:val="00195C63"/>
    <w:rsid w:val="001971CA"/>
    <w:rsid w:val="00197EF6"/>
    <w:rsid w:val="00197F88"/>
    <w:rsid w:val="001A1525"/>
    <w:rsid w:val="001A18D7"/>
    <w:rsid w:val="001A212A"/>
    <w:rsid w:val="001A24CD"/>
    <w:rsid w:val="001A2DB9"/>
    <w:rsid w:val="001A3C18"/>
    <w:rsid w:val="001A4B76"/>
    <w:rsid w:val="001A721F"/>
    <w:rsid w:val="001B02A2"/>
    <w:rsid w:val="001B05FF"/>
    <w:rsid w:val="001B09A2"/>
    <w:rsid w:val="001B1B35"/>
    <w:rsid w:val="001B1E24"/>
    <w:rsid w:val="001B2526"/>
    <w:rsid w:val="001B2EAD"/>
    <w:rsid w:val="001B4731"/>
    <w:rsid w:val="001B513A"/>
    <w:rsid w:val="001B566E"/>
    <w:rsid w:val="001B6193"/>
    <w:rsid w:val="001B6654"/>
    <w:rsid w:val="001B7744"/>
    <w:rsid w:val="001B7C70"/>
    <w:rsid w:val="001C15B1"/>
    <w:rsid w:val="001C2053"/>
    <w:rsid w:val="001C217A"/>
    <w:rsid w:val="001C2AF3"/>
    <w:rsid w:val="001C2B27"/>
    <w:rsid w:val="001C2B51"/>
    <w:rsid w:val="001C2F96"/>
    <w:rsid w:val="001C350B"/>
    <w:rsid w:val="001C3B71"/>
    <w:rsid w:val="001C4BA4"/>
    <w:rsid w:val="001C5015"/>
    <w:rsid w:val="001C6FC3"/>
    <w:rsid w:val="001C7613"/>
    <w:rsid w:val="001D0150"/>
    <w:rsid w:val="001D1F4F"/>
    <w:rsid w:val="001D2F1A"/>
    <w:rsid w:val="001D3264"/>
    <w:rsid w:val="001D355A"/>
    <w:rsid w:val="001D3B3D"/>
    <w:rsid w:val="001D3DDA"/>
    <w:rsid w:val="001D3EBE"/>
    <w:rsid w:val="001D56AB"/>
    <w:rsid w:val="001E0F0F"/>
    <w:rsid w:val="001E3514"/>
    <w:rsid w:val="001E40BF"/>
    <w:rsid w:val="001E4995"/>
    <w:rsid w:val="001E5B9D"/>
    <w:rsid w:val="001E5C26"/>
    <w:rsid w:val="001F07D6"/>
    <w:rsid w:val="001F11FB"/>
    <w:rsid w:val="001F1832"/>
    <w:rsid w:val="001F3066"/>
    <w:rsid w:val="001F4E09"/>
    <w:rsid w:val="001F583C"/>
    <w:rsid w:val="001F6179"/>
    <w:rsid w:val="001F6E08"/>
    <w:rsid w:val="001F7F38"/>
    <w:rsid w:val="00200589"/>
    <w:rsid w:val="002010D0"/>
    <w:rsid w:val="00201857"/>
    <w:rsid w:val="00201A61"/>
    <w:rsid w:val="0020278A"/>
    <w:rsid w:val="00202E6D"/>
    <w:rsid w:val="0020379D"/>
    <w:rsid w:val="00204733"/>
    <w:rsid w:val="00204867"/>
    <w:rsid w:val="00204B67"/>
    <w:rsid w:val="00204BE0"/>
    <w:rsid w:val="00204CFF"/>
    <w:rsid w:val="00206079"/>
    <w:rsid w:val="002063B3"/>
    <w:rsid w:val="00207077"/>
    <w:rsid w:val="0021025D"/>
    <w:rsid w:val="00210DAC"/>
    <w:rsid w:val="002110F8"/>
    <w:rsid w:val="0021152D"/>
    <w:rsid w:val="00211FA7"/>
    <w:rsid w:val="002141A8"/>
    <w:rsid w:val="002149EB"/>
    <w:rsid w:val="00214BB0"/>
    <w:rsid w:val="00215E21"/>
    <w:rsid w:val="00216261"/>
    <w:rsid w:val="00216C67"/>
    <w:rsid w:val="00217178"/>
    <w:rsid w:val="002171E2"/>
    <w:rsid w:val="00220AB0"/>
    <w:rsid w:val="00221BE0"/>
    <w:rsid w:val="0022300D"/>
    <w:rsid w:val="0022306F"/>
    <w:rsid w:val="00223E9C"/>
    <w:rsid w:val="002247B4"/>
    <w:rsid w:val="002247FE"/>
    <w:rsid w:val="0022625B"/>
    <w:rsid w:val="00227512"/>
    <w:rsid w:val="00227E1A"/>
    <w:rsid w:val="002301C1"/>
    <w:rsid w:val="002308BF"/>
    <w:rsid w:val="00231989"/>
    <w:rsid w:val="00231BF8"/>
    <w:rsid w:val="00232D19"/>
    <w:rsid w:val="0023459B"/>
    <w:rsid w:val="00234F33"/>
    <w:rsid w:val="00235073"/>
    <w:rsid w:val="0023574D"/>
    <w:rsid w:val="00240839"/>
    <w:rsid w:val="0024131A"/>
    <w:rsid w:val="002413E1"/>
    <w:rsid w:val="00241C37"/>
    <w:rsid w:val="00241E00"/>
    <w:rsid w:val="00246271"/>
    <w:rsid w:val="002471BB"/>
    <w:rsid w:val="0024741B"/>
    <w:rsid w:val="00247423"/>
    <w:rsid w:val="002477B5"/>
    <w:rsid w:val="0025038B"/>
    <w:rsid w:val="002512E6"/>
    <w:rsid w:val="00251F15"/>
    <w:rsid w:val="0025232B"/>
    <w:rsid w:val="00253077"/>
    <w:rsid w:val="0025362A"/>
    <w:rsid w:val="0025377C"/>
    <w:rsid w:val="00253919"/>
    <w:rsid w:val="00253ED3"/>
    <w:rsid w:val="0025571F"/>
    <w:rsid w:val="0025699A"/>
    <w:rsid w:val="00256C8C"/>
    <w:rsid w:val="00256F3A"/>
    <w:rsid w:val="00256FC1"/>
    <w:rsid w:val="002605AD"/>
    <w:rsid w:val="00260756"/>
    <w:rsid w:val="0026104D"/>
    <w:rsid w:val="0026120A"/>
    <w:rsid w:val="002615C1"/>
    <w:rsid w:val="00261870"/>
    <w:rsid w:val="00261F06"/>
    <w:rsid w:val="00262264"/>
    <w:rsid w:val="00262339"/>
    <w:rsid w:val="002627F2"/>
    <w:rsid w:val="00263728"/>
    <w:rsid w:val="00264366"/>
    <w:rsid w:val="00264632"/>
    <w:rsid w:val="0026499C"/>
    <w:rsid w:val="0026569D"/>
    <w:rsid w:val="002665A2"/>
    <w:rsid w:val="00266DBF"/>
    <w:rsid w:val="00270B41"/>
    <w:rsid w:val="002725B6"/>
    <w:rsid w:val="0027308E"/>
    <w:rsid w:val="00275DDF"/>
    <w:rsid w:val="00277714"/>
    <w:rsid w:val="00280121"/>
    <w:rsid w:val="00281480"/>
    <w:rsid w:val="00281FBC"/>
    <w:rsid w:val="00282B21"/>
    <w:rsid w:val="00282CC9"/>
    <w:rsid w:val="00282FA6"/>
    <w:rsid w:val="002833DD"/>
    <w:rsid w:val="002835CA"/>
    <w:rsid w:val="00284696"/>
    <w:rsid w:val="00285025"/>
    <w:rsid w:val="002850FF"/>
    <w:rsid w:val="00286735"/>
    <w:rsid w:val="00291042"/>
    <w:rsid w:val="002912DB"/>
    <w:rsid w:val="00291776"/>
    <w:rsid w:val="002918D5"/>
    <w:rsid w:val="00293683"/>
    <w:rsid w:val="002942C0"/>
    <w:rsid w:val="00294BE9"/>
    <w:rsid w:val="00295D49"/>
    <w:rsid w:val="00295ED2"/>
    <w:rsid w:val="00296D6C"/>
    <w:rsid w:val="00296EB2"/>
    <w:rsid w:val="002A3864"/>
    <w:rsid w:val="002A48FD"/>
    <w:rsid w:val="002A4EEF"/>
    <w:rsid w:val="002A58F7"/>
    <w:rsid w:val="002A5D72"/>
    <w:rsid w:val="002A6316"/>
    <w:rsid w:val="002A65AB"/>
    <w:rsid w:val="002A6D45"/>
    <w:rsid w:val="002A76F8"/>
    <w:rsid w:val="002A7724"/>
    <w:rsid w:val="002A785A"/>
    <w:rsid w:val="002A788F"/>
    <w:rsid w:val="002A7A5C"/>
    <w:rsid w:val="002A7E73"/>
    <w:rsid w:val="002B1654"/>
    <w:rsid w:val="002B171F"/>
    <w:rsid w:val="002B188F"/>
    <w:rsid w:val="002B20C9"/>
    <w:rsid w:val="002B36EB"/>
    <w:rsid w:val="002B3A7F"/>
    <w:rsid w:val="002B3C2B"/>
    <w:rsid w:val="002B4AD1"/>
    <w:rsid w:val="002B50D4"/>
    <w:rsid w:val="002B5F20"/>
    <w:rsid w:val="002B61F0"/>
    <w:rsid w:val="002B67B4"/>
    <w:rsid w:val="002C01F7"/>
    <w:rsid w:val="002C0574"/>
    <w:rsid w:val="002C0640"/>
    <w:rsid w:val="002C103C"/>
    <w:rsid w:val="002C3BB2"/>
    <w:rsid w:val="002C4429"/>
    <w:rsid w:val="002C459F"/>
    <w:rsid w:val="002C4693"/>
    <w:rsid w:val="002C47F0"/>
    <w:rsid w:val="002C49A0"/>
    <w:rsid w:val="002C5609"/>
    <w:rsid w:val="002D043B"/>
    <w:rsid w:val="002D1069"/>
    <w:rsid w:val="002D1305"/>
    <w:rsid w:val="002D17C1"/>
    <w:rsid w:val="002D1C34"/>
    <w:rsid w:val="002D3677"/>
    <w:rsid w:val="002D3D6B"/>
    <w:rsid w:val="002D40DB"/>
    <w:rsid w:val="002D45B7"/>
    <w:rsid w:val="002D4D90"/>
    <w:rsid w:val="002D6773"/>
    <w:rsid w:val="002E0148"/>
    <w:rsid w:val="002E0978"/>
    <w:rsid w:val="002E0C3C"/>
    <w:rsid w:val="002E2BBC"/>
    <w:rsid w:val="002E327A"/>
    <w:rsid w:val="002E4D43"/>
    <w:rsid w:val="002E5F03"/>
    <w:rsid w:val="002E6AD8"/>
    <w:rsid w:val="002E6C0A"/>
    <w:rsid w:val="002E6EC4"/>
    <w:rsid w:val="002E739C"/>
    <w:rsid w:val="002F02FD"/>
    <w:rsid w:val="002F03C0"/>
    <w:rsid w:val="002F112F"/>
    <w:rsid w:val="002F2192"/>
    <w:rsid w:val="002F2773"/>
    <w:rsid w:val="002F47B5"/>
    <w:rsid w:val="002F5006"/>
    <w:rsid w:val="002F623E"/>
    <w:rsid w:val="002F6CDD"/>
    <w:rsid w:val="00302064"/>
    <w:rsid w:val="003031E8"/>
    <w:rsid w:val="00304386"/>
    <w:rsid w:val="003065A4"/>
    <w:rsid w:val="003066E7"/>
    <w:rsid w:val="00306CC2"/>
    <w:rsid w:val="003078DA"/>
    <w:rsid w:val="00307926"/>
    <w:rsid w:val="00307FAE"/>
    <w:rsid w:val="00310F85"/>
    <w:rsid w:val="0031121C"/>
    <w:rsid w:val="00314565"/>
    <w:rsid w:val="0031551D"/>
    <w:rsid w:val="00316925"/>
    <w:rsid w:val="00316D54"/>
    <w:rsid w:val="00316E90"/>
    <w:rsid w:val="00317FF2"/>
    <w:rsid w:val="00320062"/>
    <w:rsid w:val="00320FEC"/>
    <w:rsid w:val="00322787"/>
    <w:rsid w:val="00322C77"/>
    <w:rsid w:val="00324054"/>
    <w:rsid w:val="0032540E"/>
    <w:rsid w:val="003258DB"/>
    <w:rsid w:val="003273F6"/>
    <w:rsid w:val="00327708"/>
    <w:rsid w:val="00327AEF"/>
    <w:rsid w:val="00327C7C"/>
    <w:rsid w:val="003305E9"/>
    <w:rsid w:val="00330823"/>
    <w:rsid w:val="00331108"/>
    <w:rsid w:val="003311D4"/>
    <w:rsid w:val="00331502"/>
    <w:rsid w:val="003317C4"/>
    <w:rsid w:val="0033215E"/>
    <w:rsid w:val="00332840"/>
    <w:rsid w:val="00333778"/>
    <w:rsid w:val="00333E80"/>
    <w:rsid w:val="00335326"/>
    <w:rsid w:val="00335DC5"/>
    <w:rsid w:val="0033626C"/>
    <w:rsid w:val="0033636A"/>
    <w:rsid w:val="00336518"/>
    <w:rsid w:val="00336A7E"/>
    <w:rsid w:val="003372AB"/>
    <w:rsid w:val="003375CD"/>
    <w:rsid w:val="00337BFC"/>
    <w:rsid w:val="00342A8F"/>
    <w:rsid w:val="00342DFE"/>
    <w:rsid w:val="003433D7"/>
    <w:rsid w:val="00344272"/>
    <w:rsid w:val="0034571C"/>
    <w:rsid w:val="00345964"/>
    <w:rsid w:val="00346C1F"/>
    <w:rsid w:val="00347142"/>
    <w:rsid w:val="0034746F"/>
    <w:rsid w:val="0034796C"/>
    <w:rsid w:val="0035040C"/>
    <w:rsid w:val="00351A35"/>
    <w:rsid w:val="00351B41"/>
    <w:rsid w:val="00353672"/>
    <w:rsid w:val="00353BD8"/>
    <w:rsid w:val="003542AF"/>
    <w:rsid w:val="003547AA"/>
    <w:rsid w:val="00355113"/>
    <w:rsid w:val="003551A4"/>
    <w:rsid w:val="00355AD7"/>
    <w:rsid w:val="0035762A"/>
    <w:rsid w:val="0036013F"/>
    <w:rsid w:val="00360D20"/>
    <w:rsid w:val="00361381"/>
    <w:rsid w:val="003617B1"/>
    <w:rsid w:val="00361B01"/>
    <w:rsid w:val="0036203E"/>
    <w:rsid w:val="00362D6D"/>
    <w:rsid w:val="00363AE8"/>
    <w:rsid w:val="00364514"/>
    <w:rsid w:val="003647B2"/>
    <w:rsid w:val="0036495C"/>
    <w:rsid w:val="003659C2"/>
    <w:rsid w:val="00365C55"/>
    <w:rsid w:val="003660E2"/>
    <w:rsid w:val="003663D2"/>
    <w:rsid w:val="00366C29"/>
    <w:rsid w:val="00366F42"/>
    <w:rsid w:val="00370DB4"/>
    <w:rsid w:val="00371A79"/>
    <w:rsid w:val="0037344E"/>
    <w:rsid w:val="0037356E"/>
    <w:rsid w:val="0037460F"/>
    <w:rsid w:val="0037585D"/>
    <w:rsid w:val="00375CD3"/>
    <w:rsid w:val="00376724"/>
    <w:rsid w:val="0037712D"/>
    <w:rsid w:val="003806E6"/>
    <w:rsid w:val="003824C7"/>
    <w:rsid w:val="003838BD"/>
    <w:rsid w:val="00383BC3"/>
    <w:rsid w:val="00383FD3"/>
    <w:rsid w:val="003850D9"/>
    <w:rsid w:val="00385191"/>
    <w:rsid w:val="00386A18"/>
    <w:rsid w:val="00386B2D"/>
    <w:rsid w:val="00390274"/>
    <w:rsid w:val="00390A42"/>
    <w:rsid w:val="0039140E"/>
    <w:rsid w:val="003919E2"/>
    <w:rsid w:val="00392080"/>
    <w:rsid w:val="00393690"/>
    <w:rsid w:val="00393845"/>
    <w:rsid w:val="00393A21"/>
    <w:rsid w:val="00393E64"/>
    <w:rsid w:val="00393EEA"/>
    <w:rsid w:val="00394A13"/>
    <w:rsid w:val="00394ACB"/>
    <w:rsid w:val="003977DD"/>
    <w:rsid w:val="003A0421"/>
    <w:rsid w:val="003A08E9"/>
    <w:rsid w:val="003A0CEA"/>
    <w:rsid w:val="003A2981"/>
    <w:rsid w:val="003A4473"/>
    <w:rsid w:val="003A4663"/>
    <w:rsid w:val="003A4743"/>
    <w:rsid w:val="003A48BE"/>
    <w:rsid w:val="003A4EE5"/>
    <w:rsid w:val="003A778B"/>
    <w:rsid w:val="003B08B2"/>
    <w:rsid w:val="003B0C7D"/>
    <w:rsid w:val="003B2270"/>
    <w:rsid w:val="003B5552"/>
    <w:rsid w:val="003B7547"/>
    <w:rsid w:val="003B7B0D"/>
    <w:rsid w:val="003C0F82"/>
    <w:rsid w:val="003C14C6"/>
    <w:rsid w:val="003C19B0"/>
    <w:rsid w:val="003C1FF7"/>
    <w:rsid w:val="003C21CB"/>
    <w:rsid w:val="003C2C98"/>
    <w:rsid w:val="003C3049"/>
    <w:rsid w:val="003C451E"/>
    <w:rsid w:val="003C5436"/>
    <w:rsid w:val="003C5D34"/>
    <w:rsid w:val="003C637A"/>
    <w:rsid w:val="003C7B67"/>
    <w:rsid w:val="003D00C7"/>
    <w:rsid w:val="003D04D8"/>
    <w:rsid w:val="003D3968"/>
    <w:rsid w:val="003D4422"/>
    <w:rsid w:val="003D4A6A"/>
    <w:rsid w:val="003D4CBC"/>
    <w:rsid w:val="003D4FAC"/>
    <w:rsid w:val="003D580B"/>
    <w:rsid w:val="003D695B"/>
    <w:rsid w:val="003D6FFC"/>
    <w:rsid w:val="003D72D9"/>
    <w:rsid w:val="003D7925"/>
    <w:rsid w:val="003E0F8C"/>
    <w:rsid w:val="003E1528"/>
    <w:rsid w:val="003E30B1"/>
    <w:rsid w:val="003E4BE8"/>
    <w:rsid w:val="003E52C9"/>
    <w:rsid w:val="003E5856"/>
    <w:rsid w:val="003E5CBF"/>
    <w:rsid w:val="003E64DE"/>
    <w:rsid w:val="003E6808"/>
    <w:rsid w:val="003E6E68"/>
    <w:rsid w:val="003E7712"/>
    <w:rsid w:val="003E778F"/>
    <w:rsid w:val="003F0A62"/>
    <w:rsid w:val="003F2605"/>
    <w:rsid w:val="003F3E2D"/>
    <w:rsid w:val="003F520A"/>
    <w:rsid w:val="003F692E"/>
    <w:rsid w:val="003F74FF"/>
    <w:rsid w:val="004002F0"/>
    <w:rsid w:val="00400F29"/>
    <w:rsid w:val="00401F4A"/>
    <w:rsid w:val="004023FB"/>
    <w:rsid w:val="004024A7"/>
    <w:rsid w:val="00403B65"/>
    <w:rsid w:val="00404198"/>
    <w:rsid w:val="00404CAA"/>
    <w:rsid w:val="00406438"/>
    <w:rsid w:val="00406AC4"/>
    <w:rsid w:val="00406CB3"/>
    <w:rsid w:val="00407A25"/>
    <w:rsid w:val="00407A82"/>
    <w:rsid w:val="004104F4"/>
    <w:rsid w:val="00411A89"/>
    <w:rsid w:val="00412E65"/>
    <w:rsid w:val="00413C1A"/>
    <w:rsid w:val="00415C4D"/>
    <w:rsid w:val="0041640E"/>
    <w:rsid w:val="00416487"/>
    <w:rsid w:val="00416EF6"/>
    <w:rsid w:val="004204A9"/>
    <w:rsid w:val="004217AC"/>
    <w:rsid w:val="00421820"/>
    <w:rsid w:val="00421D31"/>
    <w:rsid w:val="00421FCC"/>
    <w:rsid w:val="00423222"/>
    <w:rsid w:val="004244B4"/>
    <w:rsid w:val="004247E6"/>
    <w:rsid w:val="00424AE9"/>
    <w:rsid w:val="00424EC5"/>
    <w:rsid w:val="00426130"/>
    <w:rsid w:val="0042672F"/>
    <w:rsid w:val="00426E2A"/>
    <w:rsid w:val="00426F9C"/>
    <w:rsid w:val="00427B2F"/>
    <w:rsid w:val="00427CF6"/>
    <w:rsid w:val="00427E21"/>
    <w:rsid w:val="0043010E"/>
    <w:rsid w:val="004305F6"/>
    <w:rsid w:val="00432CC2"/>
    <w:rsid w:val="00434E3E"/>
    <w:rsid w:val="0043587C"/>
    <w:rsid w:val="00436169"/>
    <w:rsid w:val="0043657F"/>
    <w:rsid w:val="00436DC5"/>
    <w:rsid w:val="00437766"/>
    <w:rsid w:val="00440DCE"/>
    <w:rsid w:val="0044136D"/>
    <w:rsid w:val="00441F81"/>
    <w:rsid w:val="00445B13"/>
    <w:rsid w:val="004505F4"/>
    <w:rsid w:val="004506FB"/>
    <w:rsid w:val="0045216C"/>
    <w:rsid w:val="00453D47"/>
    <w:rsid w:val="004542E2"/>
    <w:rsid w:val="004543AF"/>
    <w:rsid w:val="00454C0F"/>
    <w:rsid w:val="00454F14"/>
    <w:rsid w:val="00455712"/>
    <w:rsid w:val="004573DA"/>
    <w:rsid w:val="00460091"/>
    <w:rsid w:val="004612AB"/>
    <w:rsid w:val="00462969"/>
    <w:rsid w:val="00463737"/>
    <w:rsid w:val="0046377E"/>
    <w:rsid w:val="00463E9E"/>
    <w:rsid w:val="00465AAA"/>
    <w:rsid w:val="00466972"/>
    <w:rsid w:val="004672DC"/>
    <w:rsid w:val="00467ADF"/>
    <w:rsid w:val="00467F33"/>
    <w:rsid w:val="00470BAA"/>
    <w:rsid w:val="004712D5"/>
    <w:rsid w:val="00471479"/>
    <w:rsid w:val="00474F5D"/>
    <w:rsid w:val="00477823"/>
    <w:rsid w:val="00480037"/>
    <w:rsid w:val="004803EF"/>
    <w:rsid w:val="00481E1F"/>
    <w:rsid w:val="0048223E"/>
    <w:rsid w:val="0048658A"/>
    <w:rsid w:val="00486DF4"/>
    <w:rsid w:val="00486F26"/>
    <w:rsid w:val="004871A7"/>
    <w:rsid w:val="00490D3C"/>
    <w:rsid w:val="00493110"/>
    <w:rsid w:val="0049322C"/>
    <w:rsid w:val="00493DB1"/>
    <w:rsid w:val="0049435C"/>
    <w:rsid w:val="00494876"/>
    <w:rsid w:val="00495C09"/>
    <w:rsid w:val="00496C05"/>
    <w:rsid w:val="00496DD1"/>
    <w:rsid w:val="0049700C"/>
    <w:rsid w:val="00497083"/>
    <w:rsid w:val="004A0223"/>
    <w:rsid w:val="004A0E99"/>
    <w:rsid w:val="004A1245"/>
    <w:rsid w:val="004A2A26"/>
    <w:rsid w:val="004A44B6"/>
    <w:rsid w:val="004A470D"/>
    <w:rsid w:val="004A484B"/>
    <w:rsid w:val="004A53AF"/>
    <w:rsid w:val="004A61A3"/>
    <w:rsid w:val="004A7BD1"/>
    <w:rsid w:val="004B0ACD"/>
    <w:rsid w:val="004B0DB3"/>
    <w:rsid w:val="004B16C0"/>
    <w:rsid w:val="004B16DC"/>
    <w:rsid w:val="004B4BE9"/>
    <w:rsid w:val="004B666B"/>
    <w:rsid w:val="004B7076"/>
    <w:rsid w:val="004B7598"/>
    <w:rsid w:val="004B7F32"/>
    <w:rsid w:val="004C0147"/>
    <w:rsid w:val="004C0FC6"/>
    <w:rsid w:val="004C17B9"/>
    <w:rsid w:val="004C207E"/>
    <w:rsid w:val="004C3292"/>
    <w:rsid w:val="004C3AC5"/>
    <w:rsid w:val="004C4119"/>
    <w:rsid w:val="004C4128"/>
    <w:rsid w:val="004C42FF"/>
    <w:rsid w:val="004C483E"/>
    <w:rsid w:val="004C4E21"/>
    <w:rsid w:val="004C634E"/>
    <w:rsid w:val="004C7BC3"/>
    <w:rsid w:val="004C7C1D"/>
    <w:rsid w:val="004D0BFA"/>
    <w:rsid w:val="004D3C91"/>
    <w:rsid w:val="004D530C"/>
    <w:rsid w:val="004D6F23"/>
    <w:rsid w:val="004E0B5A"/>
    <w:rsid w:val="004E1F45"/>
    <w:rsid w:val="004E2C9F"/>
    <w:rsid w:val="004E3FED"/>
    <w:rsid w:val="004E476C"/>
    <w:rsid w:val="004E4E1A"/>
    <w:rsid w:val="004E4EB1"/>
    <w:rsid w:val="004E79C7"/>
    <w:rsid w:val="004F0660"/>
    <w:rsid w:val="004F0DCC"/>
    <w:rsid w:val="004F1B37"/>
    <w:rsid w:val="004F23FB"/>
    <w:rsid w:val="004F3C71"/>
    <w:rsid w:val="004F491B"/>
    <w:rsid w:val="004F4C92"/>
    <w:rsid w:val="004F5043"/>
    <w:rsid w:val="004F5178"/>
    <w:rsid w:val="004F72A7"/>
    <w:rsid w:val="004F7ABB"/>
    <w:rsid w:val="0050196D"/>
    <w:rsid w:val="00503631"/>
    <w:rsid w:val="00503D23"/>
    <w:rsid w:val="00504423"/>
    <w:rsid w:val="005059EF"/>
    <w:rsid w:val="00505C8A"/>
    <w:rsid w:val="00506478"/>
    <w:rsid w:val="005102F9"/>
    <w:rsid w:val="005109E4"/>
    <w:rsid w:val="00510E74"/>
    <w:rsid w:val="00512833"/>
    <w:rsid w:val="005130CA"/>
    <w:rsid w:val="00515AF3"/>
    <w:rsid w:val="0051627D"/>
    <w:rsid w:val="0051710F"/>
    <w:rsid w:val="00521584"/>
    <w:rsid w:val="005218AF"/>
    <w:rsid w:val="005219B9"/>
    <w:rsid w:val="00522865"/>
    <w:rsid w:val="00523A6B"/>
    <w:rsid w:val="00523BAC"/>
    <w:rsid w:val="005259DD"/>
    <w:rsid w:val="00525C9C"/>
    <w:rsid w:val="005279B1"/>
    <w:rsid w:val="00527F58"/>
    <w:rsid w:val="005302AD"/>
    <w:rsid w:val="00531490"/>
    <w:rsid w:val="00531539"/>
    <w:rsid w:val="0053327C"/>
    <w:rsid w:val="00533294"/>
    <w:rsid w:val="00534956"/>
    <w:rsid w:val="005349C1"/>
    <w:rsid w:val="0053629E"/>
    <w:rsid w:val="005363FC"/>
    <w:rsid w:val="005372F5"/>
    <w:rsid w:val="00540673"/>
    <w:rsid w:val="005406C8"/>
    <w:rsid w:val="00540749"/>
    <w:rsid w:val="00540860"/>
    <w:rsid w:val="00540E55"/>
    <w:rsid w:val="00542FB9"/>
    <w:rsid w:val="00543C21"/>
    <w:rsid w:val="0054443B"/>
    <w:rsid w:val="00544621"/>
    <w:rsid w:val="0054666F"/>
    <w:rsid w:val="00546FAA"/>
    <w:rsid w:val="0054791D"/>
    <w:rsid w:val="0055052A"/>
    <w:rsid w:val="0055194D"/>
    <w:rsid w:val="00551D6E"/>
    <w:rsid w:val="0055226E"/>
    <w:rsid w:val="00552443"/>
    <w:rsid w:val="00552513"/>
    <w:rsid w:val="00554404"/>
    <w:rsid w:val="0055598A"/>
    <w:rsid w:val="00556C0A"/>
    <w:rsid w:val="00556E3A"/>
    <w:rsid w:val="005577E2"/>
    <w:rsid w:val="00560CB2"/>
    <w:rsid w:val="005661BA"/>
    <w:rsid w:val="0056624D"/>
    <w:rsid w:val="00566C02"/>
    <w:rsid w:val="0056723C"/>
    <w:rsid w:val="00567261"/>
    <w:rsid w:val="0057177C"/>
    <w:rsid w:val="00571E86"/>
    <w:rsid w:val="00572071"/>
    <w:rsid w:val="00572CAA"/>
    <w:rsid w:val="00572F28"/>
    <w:rsid w:val="00573A6E"/>
    <w:rsid w:val="00574D55"/>
    <w:rsid w:val="005753D9"/>
    <w:rsid w:val="00576660"/>
    <w:rsid w:val="00577980"/>
    <w:rsid w:val="005779BA"/>
    <w:rsid w:val="00577DDB"/>
    <w:rsid w:val="00580283"/>
    <w:rsid w:val="005805BF"/>
    <w:rsid w:val="0058132E"/>
    <w:rsid w:val="00581B9D"/>
    <w:rsid w:val="0058485D"/>
    <w:rsid w:val="00584D21"/>
    <w:rsid w:val="00585801"/>
    <w:rsid w:val="00585E80"/>
    <w:rsid w:val="00585EF0"/>
    <w:rsid w:val="00586768"/>
    <w:rsid w:val="00586B1C"/>
    <w:rsid w:val="00590097"/>
    <w:rsid w:val="00590263"/>
    <w:rsid w:val="005908FD"/>
    <w:rsid w:val="00590EAA"/>
    <w:rsid w:val="005916E2"/>
    <w:rsid w:val="00591C0A"/>
    <w:rsid w:val="00591DB2"/>
    <w:rsid w:val="00591E1B"/>
    <w:rsid w:val="0059274B"/>
    <w:rsid w:val="005928D4"/>
    <w:rsid w:val="00593305"/>
    <w:rsid w:val="0059339D"/>
    <w:rsid w:val="005936C6"/>
    <w:rsid w:val="00593A98"/>
    <w:rsid w:val="00594C24"/>
    <w:rsid w:val="00595E3A"/>
    <w:rsid w:val="00595E42"/>
    <w:rsid w:val="00596589"/>
    <w:rsid w:val="00596B0B"/>
    <w:rsid w:val="00596F16"/>
    <w:rsid w:val="00597096"/>
    <w:rsid w:val="00597465"/>
    <w:rsid w:val="005979E0"/>
    <w:rsid w:val="00597B78"/>
    <w:rsid w:val="005A158D"/>
    <w:rsid w:val="005A221A"/>
    <w:rsid w:val="005A2459"/>
    <w:rsid w:val="005A2AF2"/>
    <w:rsid w:val="005A3F26"/>
    <w:rsid w:val="005A40F1"/>
    <w:rsid w:val="005A42A0"/>
    <w:rsid w:val="005A4C1E"/>
    <w:rsid w:val="005A4E40"/>
    <w:rsid w:val="005A6E1D"/>
    <w:rsid w:val="005A7883"/>
    <w:rsid w:val="005A78E4"/>
    <w:rsid w:val="005B187A"/>
    <w:rsid w:val="005B1C6A"/>
    <w:rsid w:val="005B2174"/>
    <w:rsid w:val="005B3361"/>
    <w:rsid w:val="005B4190"/>
    <w:rsid w:val="005B6CE8"/>
    <w:rsid w:val="005B7DFC"/>
    <w:rsid w:val="005C067C"/>
    <w:rsid w:val="005C1BED"/>
    <w:rsid w:val="005C22FE"/>
    <w:rsid w:val="005C356D"/>
    <w:rsid w:val="005C3783"/>
    <w:rsid w:val="005C5793"/>
    <w:rsid w:val="005C5933"/>
    <w:rsid w:val="005C64C1"/>
    <w:rsid w:val="005C67AA"/>
    <w:rsid w:val="005C6B97"/>
    <w:rsid w:val="005C75F8"/>
    <w:rsid w:val="005D0A1E"/>
    <w:rsid w:val="005D1764"/>
    <w:rsid w:val="005D266A"/>
    <w:rsid w:val="005D4557"/>
    <w:rsid w:val="005D57A4"/>
    <w:rsid w:val="005D58B9"/>
    <w:rsid w:val="005E00B1"/>
    <w:rsid w:val="005E08BA"/>
    <w:rsid w:val="005E0E76"/>
    <w:rsid w:val="005E119D"/>
    <w:rsid w:val="005E1207"/>
    <w:rsid w:val="005E13A4"/>
    <w:rsid w:val="005E1D62"/>
    <w:rsid w:val="005E33F1"/>
    <w:rsid w:val="005E39B9"/>
    <w:rsid w:val="005E466F"/>
    <w:rsid w:val="005E47E5"/>
    <w:rsid w:val="005E5AF4"/>
    <w:rsid w:val="005E5C7E"/>
    <w:rsid w:val="005E5CDC"/>
    <w:rsid w:val="005E5E5A"/>
    <w:rsid w:val="005E6C52"/>
    <w:rsid w:val="005E7095"/>
    <w:rsid w:val="005E720D"/>
    <w:rsid w:val="005E7ADE"/>
    <w:rsid w:val="005F0017"/>
    <w:rsid w:val="005F1577"/>
    <w:rsid w:val="005F18B0"/>
    <w:rsid w:val="005F1AD1"/>
    <w:rsid w:val="005F3E0E"/>
    <w:rsid w:val="005F429D"/>
    <w:rsid w:val="005F68E7"/>
    <w:rsid w:val="00600D13"/>
    <w:rsid w:val="0060188F"/>
    <w:rsid w:val="006029CE"/>
    <w:rsid w:val="00602A15"/>
    <w:rsid w:val="00603315"/>
    <w:rsid w:val="00603F09"/>
    <w:rsid w:val="00604613"/>
    <w:rsid w:val="006051EF"/>
    <w:rsid w:val="00605C4D"/>
    <w:rsid w:val="00607346"/>
    <w:rsid w:val="00610307"/>
    <w:rsid w:val="006128D1"/>
    <w:rsid w:val="006129E1"/>
    <w:rsid w:val="00613387"/>
    <w:rsid w:val="00613FF9"/>
    <w:rsid w:val="00614A12"/>
    <w:rsid w:val="006156CC"/>
    <w:rsid w:val="00616AA7"/>
    <w:rsid w:val="00617E10"/>
    <w:rsid w:val="006212D7"/>
    <w:rsid w:val="00622B16"/>
    <w:rsid w:val="00622DD1"/>
    <w:rsid w:val="00623CAD"/>
    <w:rsid w:val="00626FB1"/>
    <w:rsid w:val="00627400"/>
    <w:rsid w:val="00630234"/>
    <w:rsid w:val="00630685"/>
    <w:rsid w:val="00631BEF"/>
    <w:rsid w:val="0063293B"/>
    <w:rsid w:val="00632C50"/>
    <w:rsid w:val="00633088"/>
    <w:rsid w:val="006361AD"/>
    <w:rsid w:val="00642090"/>
    <w:rsid w:val="00642CBB"/>
    <w:rsid w:val="00643E2D"/>
    <w:rsid w:val="006458D9"/>
    <w:rsid w:val="00646B12"/>
    <w:rsid w:val="00646C12"/>
    <w:rsid w:val="00647CD1"/>
    <w:rsid w:val="00647EEB"/>
    <w:rsid w:val="00651039"/>
    <w:rsid w:val="00651904"/>
    <w:rsid w:val="00652EC0"/>
    <w:rsid w:val="00653081"/>
    <w:rsid w:val="006531B1"/>
    <w:rsid w:val="00653CD2"/>
    <w:rsid w:val="006551B2"/>
    <w:rsid w:val="006552C4"/>
    <w:rsid w:val="006562BE"/>
    <w:rsid w:val="0065739D"/>
    <w:rsid w:val="00657EA8"/>
    <w:rsid w:val="00660FD5"/>
    <w:rsid w:val="00662E34"/>
    <w:rsid w:val="00663EAB"/>
    <w:rsid w:val="0066513A"/>
    <w:rsid w:val="00665C31"/>
    <w:rsid w:val="00666579"/>
    <w:rsid w:val="00667095"/>
    <w:rsid w:val="006672EC"/>
    <w:rsid w:val="00667FFD"/>
    <w:rsid w:val="00670C31"/>
    <w:rsid w:val="00672B97"/>
    <w:rsid w:val="00673D4C"/>
    <w:rsid w:val="00673F5E"/>
    <w:rsid w:val="00673FC1"/>
    <w:rsid w:val="006740BF"/>
    <w:rsid w:val="00674105"/>
    <w:rsid w:val="006744B2"/>
    <w:rsid w:val="00674622"/>
    <w:rsid w:val="006746C6"/>
    <w:rsid w:val="00675179"/>
    <w:rsid w:val="00675231"/>
    <w:rsid w:val="00676042"/>
    <w:rsid w:val="0067617E"/>
    <w:rsid w:val="006763A4"/>
    <w:rsid w:val="006764DB"/>
    <w:rsid w:val="0067703C"/>
    <w:rsid w:val="0067729C"/>
    <w:rsid w:val="00680F43"/>
    <w:rsid w:val="0068123C"/>
    <w:rsid w:val="0068154C"/>
    <w:rsid w:val="00682B67"/>
    <w:rsid w:val="006833A9"/>
    <w:rsid w:val="006858EC"/>
    <w:rsid w:val="00686C09"/>
    <w:rsid w:val="00686CD8"/>
    <w:rsid w:val="006871EF"/>
    <w:rsid w:val="006877E4"/>
    <w:rsid w:val="00687F26"/>
    <w:rsid w:val="00691EAD"/>
    <w:rsid w:val="00692A7C"/>
    <w:rsid w:val="006934A4"/>
    <w:rsid w:val="00694457"/>
    <w:rsid w:val="006945AE"/>
    <w:rsid w:val="00694F3F"/>
    <w:rsid w:val="00696829"/>
    <w:rsid w:val="00697731"/>
    <w:rsid w:val="0069786E"/>
    <w:rsid w:val="006A0217"/>
    <w:rsid w:val="006A1D26"/>
    <w:rsid w:val="006A22FB"/>
    <w:rsid w:val="006A276D"/>
    <w:rsid w:val="006A2F0E"/>
    <w:rsid w:val="006A35C0"/>
    <w:rsid w:val="006A3807"/>
    <w:rsid w:val="006A4F65"/>
    <w:rsid w:val="006A5B18"/>
    <w:rsid w:val="006A779A"/>
    <w:rsid w:val="006A7E1B"/>
    <w:rsid w:val="006B1941"/>
    <w:rsid w:val="006B1A16"/>
    <w:rsid w:val="006B22A1"/>
    <w:rsid w:val="006B25AD"/>
    <w:rsid w:val="006B35F5"/>
    <w:rsid w:val="006B3628"/>
    <w:rsid w:val="006B39E3"/>
    <w:rsid w:val="006B42C7"/>
    <w:rsid w:val="006B5CAC"/>
    <w:rsid w:val="006B5CFD"/>
    <w:rsid w:val="006B78C7"/>
    <w:rsid w:val="006B7AF5"/>
    <w:rsid w:val="006C0A36"/>
    <w:rsid w:val="006C1844"/>
    <w:rsid w:val="006C21F5"/>
    <w:rsid w:val="006C286F"/>
    <w:rsid w:val="006C4142"/>
    <w:rsid w:val="006C4D47"/>
    <w:rsid w:val="006C53DA"/>
    <w:rsid w:val="006C55E8"/>
    <w:rsid w:val="006C56AB"/>
    <w:rsid w:val="006C5DDF"/>
    <w:rsid w:val="006D02AA"/>
    <w:rsid w:val="006D036A"/>
    <w:rsid w:val="006D1146"/>
    <w:rsid w:val="006D18C6"/>
    <w:rsid w:val="006D18D9"/>
    <w:rsid w:val="006D2E05"/>
    <w:rsid w:val="006D55CB"/>
    <w:rsid w:val="006D5D46"/>
    <w:rsid w:val="006D5E25"/>
    <w:rsid w:val="006D7079"/>
    <w:rsid w:val="006E01AD"/>
    <w:rsid w:val="006E020A"/>
    <w:rsid w:val="006E0F25"/>
    <w:rsid w:val="006E1A81"/>
    <w:rsid w:val="006E2ACF"/>
    <w:rsid w:val="006E3AE9"/>
    <w:rsid w:val="006E3CD1"/>
    <w:rsid w:val="006E3D9E"/>
    <w:rsid w:val="006E400E"/>
    <w:rsid w:val="006E41C9"/>
    <w:rsid w:val="006E4308"/>
    <w:rsid w:val="006E45F1"/>
    <w:rsid w:val="006E4A8B"/>
    <w:rsid w:val="006E5426"/>
    <w:rsid w:val="006E6294"/>
    <w:rsid w:val="006E6D13"/>
    <w:rsid w:val="006F0120"/>
    <w:rsid w:val="006F05A2"/>
    <w:rsid w:val="006F25DA"/>
    <w:rsid w:val="006F2FDF"/>
    <w:rsid w:val="006F3106"/>
    <w:rsid w:val="006F3749"/>
    <w:rsid w:val="006F4C70"/>
    <w:rsid w:val="006F654C"/>
    <w:rsid w:val="007000DD"/>
    <w:rsid w:val="00700EFC"/>
    <w:rsid w:val="00702413"/>
    <w:rsid w:val="00702C43"/>
    <w:rsid w:val="00702EEF"/>
    <w:rsid w:val="00703359"/>
    <w:rsid w:val="0070367C"/>
    <w:rsid w:val="0070394D"/>
    <w:rsid w:val="00703995"/>
    <w:rsid w:val="00704F50"/>
    <w:rsid w:val="00705AEF"/>
    <w:rsid w:val="00705F6F"/>
    <w:rsid w:val="00706765"/>
    <w:rsid w:val="0070691F"/>
    <w:rsid w:val="00706AF8"/>
    <w:rsid w:val="007070E1"/>
    <w:rsid w:val="00707425"/>
    <w:rsid w:val="00707472"/>
    <w:rsid w:val="00710528"/>
    <w:rsid w:val="00710E46"/>
    <w:rsid w:val="007111F4"/>
    <w:rsid w:val="0071282C"/>
    <w:rsid w:val="00713D4D"/>
    <w:rsid w:val="007140A4"/>
    <w:rsid w:val="00716BBC"/>
    <w:rsid w:val="00720DB2"/>
    <w:rsid w:val="00720FB7"/>
    <w:rsid w:val="00721620"/>
    <w:rsid w:val="007228F3"/>
    <w:rsid w:val="00723B74"/>
    <w:rsid w:val="0072465A"/>
    <w:rsid w:val="007257E9"/>
    <w:rsid w:val="00725A03"/>
    <w:rsid w:val="00726ACD"/>
    <w:rsid w:val="007273C3"/>
    <w:rsid w:val="00731EC2"/>
    <w:rsid w:val="007326B2"/>
    <w:rsid w:val="00734601"/>
    <w:rsid w:val="007355F5"/>
    <w:rsid w:val="00735858"/>
    <w:rsid w:val="00735A17"/>
    <w:rsid w:val="00735FD1"/>
    <w:rsid w:val="00736493"/>
    <w:rsid w:val="007366D4"/>
    <w:rsid w:val="0073696D"/>
    <w:rsid w:val="0074003E"/>
    <w:rsid w:val="0074005C"/>
    <w:rsid w:val="00740825"/>
    <w:rsid w:val="007414B2"/>
    <w:rsid w:val="00742F56"/>
    <w:rsid w:val="00742F82"/>
    <w:rsid w:val="00744734"/>
    <w:rsid w:val="00744F8A"/>
    <w:rsid w:val="00745D71"/>
    <w:rsid w:val="00750668"/>
    <w:rsid w:val="00750989"/>
    <w:rsid w:val="00750C52"/>
    <w:rsid w:val="00751DFA"/>
    <w:rsid w:val="007544FD"/>
    <w:rsid w:val="00756161"/>
    <w:rsid w:val="00756E67"/>
    <w:rsid w:val="00757587"/>
    <w:rsid w:val="00760DE7"/>
    <w:rsid w:val="007611D2"/>
    <w:rsid w:val="007617CE"/>
    <w:rsid w:val="007623B0"/>
    <w:rsid w:val="007625A5"/>
    <w:rsid w:val="00762ACB"/>
    <w:rsid w:val="00763EE6"/>
    <w:rsid w:val="00766BC2"/>
    <w:rsid w:val="00767937"/>
    <w:rsid w:val="00771511"/>
    <w:rsid w:val="00772820"/>
    <w:rsid w:val="0077285B"/>
    <w:rsid w:val="007730BA"/>
    <w:rsid w:val="00773F3E"/>
    <w:rsid w:val="00773F69"/>
    <w:rsid w:val="00774A42"/>
    <w:rsid w:val="007769DF"/>
    <w:rsid w:val="007776D3"/>
    <w:rsid w:val="00777BF7"/>
    <w:rsid w:val="00780330"/>
    <w:rsid w:val="007814AC"/>
    <w:rsid w:val="00781A75"/>
    <w:rsid w:val="00781F49"/>
    <w:rsid w:val="0078201D"/>
    <w:rsid w:val="007822EA"/>
    <w:rsid w:val="00782458"/>
    <w:rsid w:val="00783060"/>
    <w:rsid w:val="00783428"/>
    <w:rsid w:val="00784D51"/>
    <w:rsid w:val="0078707E"/>
    <w:rsid w:val="00787701"/>
    <w:rsid w:val="007905A4"/>
    <w:rsid w:val="00790FD0"/>
    <w:rsid w:val="00791D53"/>
    <w:rsid w:val="00791ED0"/>
    <w:rsid w:val="007921BB"/>
    <w:rsid w:val="00792B8D"/>
    <w:rsid w:val="00792BD3"/>
    <w:rsid w:val="00792BEC"/>
    <w:rsid w:val="00792CD4"/>
    <w:rsid w:val="0079316E"/>
    <w:rsid w:val="0079644E"/>
    <w:rsid w:val="00796B5D"/>
    <w:rsid w:val="00796C89"/>
    <w:rsid w:val="00797CB7"/>
    <w:rsid w:val="007A18B9"/>
    <w:rsid w:val="007A1D3C"/>
    <w:rsid w:val="007A38FC"/>
    <w:rsid w:val="007A4659"/>
    <w:rsid w:val="007A475C"/>
    <w:rsid w:val="007A550E"/>
    <w:rsid w:val="007A70C4"/>
    <w:rsid w:val="007A7E41"/>
    <w:rsid w:val="007B1A5A"/>
    <w:rsid w:val="007B1DCB"/>
    <w:rsid w:val="007B1FAE"/>
    <w:rsid w:val="007B2195"/>
    <w:rsid w:val="007B27E6"/>
    <w:rsid w:val="007B3376"/>
    <w:rsid w:val="007B356B"/>
    <w:rsid w:val="007B384B"/>
    <w:rsid w:val="007B38BA"/>
    <w:rsid w:val="007B3C5D"/>
    <w:rsid w:val="007B619E"/>
    <w:rsid w:val="007B69BA"/>
    <w:rsid w:val="007B7E1D"/>
    <w:rsid w:val="007C2BE3"/>
    <w:rsid w:val="007C355D"/>
    <w:rsid w:val="007C385D"/>
    <w:rsid w:val="007C407C"/>
    <w:rsid w:val="007C52E2"/>
    <w:rsid w:val="007C6F2C"/>
    <w:rsid w:val="007C7A59"/>
    <w:rsid w:val="007C7C8E"/>
    <w:rsid w:val="007D0425"/>
    <w:rsid w:val="007D21DB"/>
    <w:rsid w:val="007D29CD"/>
    <w:rsid w:val="007D31AF"/>
    <w:rsid w:val="007D4D5B"/>
    <w:rsid w:val="007D5303"/>
    <w:rsid w:val="007D595F"/>
    <w:rsid w:val="007D6B0A"/>
    <w:rsid w:val="007D6DFB"/>
    <w:rsid w:val="007D6F9B"/>
    <w:rsid w:val="007D7F7B"/>
    <w:rsid w:val="007E0412"/>
    <w:rsid w:val="007E0D44"/>
    <w:rsid w:val="007E1B51"/>
    <w:rsid w:val="007E1D23"/>
    <w:rsid w:val="007E224A"/>
    <w:rsid w:val="007E2BB7"/>
    <w:rsid w:val="007E2CA1"/>
    <w:rsid w:val="007E328A"/>
    <w:rsid w:val="007E3C47"/>
    <w:rsid w:val="007E3E45"/>
    <w:rsid w:val="007E42C6"/>
    <w:rsid w:val="007E4764"/>
    <w:rsid w:val="007E61CF"/>
    <w:rsid w:val="007E6745"/>
    <w:rsid w:val="007E6804"/>
    <w:rsid w:val="007E7004"/>
    <w:rsid w:val="007E742C"/>
    <w:rsid w:val="007E753D"/>
    <w:rsid w:val="007E7AA4"/>
    <w:rsid w:val="007E7C15"/>
    <w:rsid w:val="007E7D5B"/>
    <w:rsid w:val="007F05AC"/>
    <w:rsid w:val="007F0766"/>
    <w:rsid w:val="007F0E66"/>
    <w:rsid w:val="007F1C26"/>
    <w:rsid w:val="007F2A29"/>
    <w:rsid w:val="007F2CC2"/>
    <w:rsid w:val="007F2FF3"/>
    <w:rsid w:val="007F3785"/>
    <w:rsid w:val="007F3A87"/>
    <w:rsid w:val="007F3B8A"/>
    <w:rsid w:val="007F58DF"/>
    <w:rsid w:val="007F6A7E"/>
    <w:rsid w:val="007F6DA2"/>
    <w:rsid w:val="007F6FEC"/>
    <w:rsid w:val="007F7937"/>
    <w:rsid w:val="007F7ECD"/>
    <w:rsid w:val="008001D0"/>
    <w:rsid w:val="008002C9"/>
    <w:rsid w:val="00800583"/>
    <w:rsid w:val="008005BC"/>
    <w:rsid w:val="00801CD6"/>
    <w:rsid w:val="008022C2"/>
    <w:rsid w:val="0080304F"/>
    <w:rsid w:val="008039BF"/>
    <w:rsid w:val="008042ED"/>
    <w:rsid w:val="0080517B"/>
    <w:rsid w:val="00807401"/>
    <w:rsid w:val="00807F39"/>
    <w:rsid w:val="0081136A"/>
    <w:rsid w:val="0081291E"/>
    <w:rsid w:val="008138AD"/>
    <w:rsid w:val="00813B8D"/>
    <w:rsid w:val="008143ED"/>
    <w:rsid w:val="00816A96"/>
    <w:rsid w:val="008204AD"/>
    <w:rsid w:val="00820B41"/>
    <w:rsid w:val="00820C9F"/>
    <w:rsid w:val="00820F3D"/>
    <w:rsid w:val="008210ED"/>
    <w:rsid w:val="0082145D"/>
    <w:rsid w:val="0082260C"/>
    <w:rsid w:val="008238C5"/>
    <w:rsid w:val="00823F85"/>
    <w:rsid w:val="0082414E"/>
    <w:rsid w:val="00825EA0"/>
    <w:rsid w:val="0082608E"/>
    <w:rsid w:val="00826172"/>
    <w:rsid w:val="00826B99"/>
    <w:rsid w:val="008277CE"/>
    <w:rsid w:val="008300DB"/>
    <w:rsid w:val="00830960"/>
    <w:rsid w:val="00830C72"/>
    <w:rsid w:val="00831649"/>
    <w:rsid w:val="00832277"/>
    <w:rsid w:val="0083238F"/>
    <w:rsid w:val="00832464"/>
    <w:rsid w:val="00832D1B"/>
    <w:rsid w:val="00833DD8"/>
    <w:rsid w:val="00833DF0"/>
    <w:rsid w:val="00833E45"/>
    <w:rsid w:val="00833F5C"/>
    <w:rsid w:val="00835A77"/>
    <w:rsid w:val="00835BC3"/>
    <w:rsid w:val="00835D86"/>
    <w:rsid w:val="00836A84"/>
    <w:rsid w:val="00836D33"/>
    <w:rsid w:val="0084019B"/>
    <w:rsid w:val="00841048"/>
    <w:rsid w:val="00841858"/>
    <w:rsid w:val="00842C63"/>
    <w:rsid w:val="0084384E"/>
    <w:rsid w:val="00843A80"/>
    <w:rsid w:val="00843C84"/>
    <w:rsid w:val="00843E9F"/>
    <w:rsid w:val="0084412A"/>
    <w:rsid w:val="008464AC"/>
    <w:rsid w:val="008474B8"/>
    <w:rsid w:val="00847692"/>
    <w:rsid w:val="008514FA"/>
    <w:rsid w:val="00851DAE"/>
    <w:rsid w:val="00851EFF"/>
    <w:rsid w:val="00852949"/>
    <w:rsid w:val="008532BC"/>
    <w:rsid w:val="008541A6"/>
    <w:rsid w:val="0085465A"/>
    <w:rsid w:val="00854F3E"/>
    <w:rsid w:val="00855CDD"/>
    <w:rsid w:val="00855CE8"/>
    <w:rsid w:val="0086003E"/>
    <w:rsid w:val="008619CA"/>
    <w:rsid w:val="00861B88"/>
    <w:rsid w:val="00861D31"/>
    <w:rsid w:val="008635EF"/>
    <w:rsid w:val="00863EBB"/>
    <w:rsid w:val="00864A44"/>
    <w:rsid w:val="00864AC5"/>
    <w:rsid w:val="00865208"/>
    <w:rsid w:val="00865A40"/>
    <w:rsid w:val="00867315"/>
    <w:rsid w:val="008675F8"/>
    <w:rsid w:val="00871075"/>
    <w:rsid w:val="008714B2"/>
    <w:rsid w:val="00871804"/>
    <w:rsid w:val="00874D8C"/>
    <w:rsid w:val="008753D3"/>
    <w:rsid w:val="008755D5"/>
    <w:rsid w:val="008757B3"/>
    <w:rsid w:val="00875A90"/>
    <w:rsid w:val="00876524"/>
    <w:rsid w:val="00876611"/>
    <w:rsid w:val="00876F8C"/>
    <w:rsid w:val="00877312"/>
    <w:rsid w:val="008774D2"/>
    <w:rsid w:val="00880F11"/>
    <w:rsid w:val="00881658"/>
    <w:rsid w:val="00881BC0"/>
    <w:rsid w:val="00882951"/>
    <w:rsid w:val="008829F7"/>
    <w:rsid w:val="00882E6E"/>
    <w:rsid w:val="00882EBF"/>
    <w:rsid w:val="00883576"/>
    <w:rsid w:val="00885903"/>
    <w:rsid w:val="0088693D"/>
    <w:rsid w:val="00886E05"/>
    <w:rsid w:val="0089004B"/>
    <w:rsid w:val="00891D01"/>
    <w:rsid w:val="00891E2F"/>
    <w:rsid w:val="00892950"/>
    <w:rsid w:val="00892B2A"/>
    <w:rsid w:val="00893764"/>
    <w:rsid w:val="008948E3"/>
    <w:rsid w:val="008969F2"/>
    <w:rsid w:val="00896CA4"/>
    <w:rsid w:val="00896EC6"/>
    <w:rsid w:val="0089761D"/>
    <w:rsid w:val="00897768"/>
    <w:rsid w:val="008A142A"/>
    <w:rsid w:val="008A17AC"/>
    <w:rsid w:val="008A1D22"/>
    <w:rsid w:val="008A2910"/>
    <w:rsid w:val="008A5E75"/>
    <w:rsid w:val="008A75AA"/>
    <w:rsid w:val="008A7AD3"/>
    <w:rsid w:val="008B021C"/>
    <w:rsid w:val="008B0255"/>
    <w:rsid w:val="008B077A"/>
    <w:rsid w:val="008B1C93"/>
    <w:rsid w:val="008B2EA1"/>
    <w:rsid w:val="008B3720"/>
    <w:rsid w:val="008B3806"/>
    <w:rsid w:val="008B390D"/>
    <w:rsid w:val="008B402D"/>
    <w:rsid w:val="008B470F"/>
    <w:rsid w:val="008B4CC3"/>
    <w:rsid w:val="008B4F09"/>
    <w:rsid w:val="008C13B9"/>
    <w:rsid w:val="008C232B"/>
    <w:rsid w:val="008C234A"/>
    <w:rsid w:val="008C2719"/>
    <w:rsid w:val="008C2F39"/>
    <w:rsid w:val="008C580D"/>
    <w:rsid w:val="008C5F13"/>
    <w:rsid w:val="008C6E4B"/>
    <w:rsid w:val="008C74D5"/>
    <w:rsid w:val="008D2CF8"/>
    <w:rsid w:val="008D3E15"/>
    <w:rsid w:val="008D3F15"/>
    <w:rsid w:val="008D42F2"/>
    <w:rsid w:val="008D4307"/>
    <w:rsid w:val="008D4324"/>
    <w:rsid w:val="008D50BB"/>
    <w:rsid w:val="008D6734"/>
    <w:rsid w:val="008D6AE9"/>
    <w:rsid w:val="008E0120"/>
    <w:rsid w:val="008E025B"/>
    <w:rsid w:val="008E1852"/>
    <w:rsid w:val="008E1C49"/>
    <w:rsid w:val="008E1DAB"/>
    <w:rsid w:val="008E2B44"/>
    <w:rsid w:val="008E2E30"/>
    <w:rsid w:val="008E2ECF"/>
    <w:rsid w:val="008E2EED"/>
    <w:rsid w:val="008E3005"/>
    <w:rsid w:val="008E3ED9"/>
    <w:rsid w:val="008E4BD6"/>
    <w:rsid w:val="008E5406"/>
    <w:rsid w:val="008E5DA5"/>
    <w:rsid w:val="008E5F48"/>
    <w:rsid w:val="008F0D38"/>
    <w:rsid w:val="008F171E"/>
    <w:rsid w:val="008F1C79"/>
    <w:rsid w:val="008F2BF7"/>
    <w:rsid w:val="008F2DFB"/>
    <w:rsid w:val="008F4562"/>
    <w:rsid w:val="008F52DE"/>
    <w:rsid w:val="008F6642"/>
    <w:rsid w:val="008F727A"/>
    <w:rsid w:val="008F78DE"/>
    <w:rsid w:val="008F7914"/>
    <w:rsid w:val="009008F0"/>
    <w:rsid w:val="009045FE"/>
    <w:rsid w:val="00905570"/>
    <w:rsid w:val="0090571F"/>
    <w:rsid w:val="00905A0F"/>
    <w:rsid w:val="00905F0E"/>
    <w:rsid w:val="00906865"/>
    <w:rsid w:val="00906C9C"/>
    <w:rsid w:val="00906DF7"/>
    <w:rsid w:val="00907A1D"/>
    <w:rsid w:val="009104B2"/>
    <w:rsid w:val="00910667"/>
    <w:rsid w:val="009107B2"/>
    <w:rsid w:val="00910EE4"/>
    <w:rsid w:val="00913595"/>
    <w:rsid w:val="00914EBD"/>
    <w:rsid w:val="009155C1"/>
    <w:rsid w:val="009158AB"/>
    <w:rsid w:val="0091596E"/>
    <w:rsid w:val="00917827"/>
    <w:rsid w:val="009218B9"/>
    <w:rsid w:val="009218DE"/>
    <w:rsid w:val="009219BC"/>
    <w:rsid w:val="00921AAD"/>
    <w:rsid w:val="00921EF4"/>
    <w:rsid w:val="009235B5"/>
    <w:rsid w:val="00924294"/>
    <w:rsid w:val="00925B40"/>
    <w:rsid w:val="009308C3"/>
    <w:rsid w:val="009313BE"/>
    <w:rsid w:val="00931B65"/>
    <w:rsid w:val="009332A2"/>
    <w:rsid w:val="00934180"/>
    <w:rsid w:val="00934320"/>
    <w:rsid w:val="00934D6E"/>
    <w:rsid w:val="009369C8"/>
    <w:rsid w:val="00936E87"/>
    <w:rsid w:val="00937BCF"/>
    <w:rsid w:val="00940E4F"/>
    <w:rsid w:val="00941716"/>
    <w:rsid w:val="00943718"/>
    <w:rsid w:val="009448CC"/>
    <w:rsid w:val="00945A82"/>
    <w:rsid w:val="00945D1F"/>
    <w:rsid w:val="0094682F"/>
    <w:rsid w:val="00946F88"/>
    <w:rsid w:val="009508BA"/>
    <w:rsid w:val="00951DBF"/>
    <w:rsid w:val="00952238"/>
    <w:rsid w:val="00952449"/>
    <w:rsid w:val="009544FD"/>
    <w:rsid w:val="00955149"/>
    <w:rsid w:val="0095517E"/>
    <w:rsid w:val="00955B38"/>
    <w:rsid w:val="00956672"/>
    <w:rsid w:val="00956A8A"/>
    <w:rsid w:val="009576CE"/>
    <w:rsid w:val="009579F5"/>
    <w:rsid w:val="00957F8C"/>
    <w:rsid w:val="0096004B"/>
    <w:rsid w:val="009613BC"/>
    <w:rsid w:val="009616BE"/>
    <w:rsid w:val="00961B58"/>
    <w:rsid w:val="009625DF"/>
    <w:rsid w:val="00963221"/>
    <w:rsid w:val="009647F1"/>
    <w:rsid w:val="0096668A"/>
    <w:rsid w:val="00966C93"/>
    <w:rsid w:val="00966D85"/>
    <w:rsid w:val="00967ED3"/>
    <w:rsid w:val="00970711"/>
    <w:rsid w:val="009729B1"/>
    <w:rsid w:val="009730BE"/>
    <w:rsid w:val="00973536"/>
    <w:rsid w:val="00977520"/>
    <w:rsid w:val="0098136A"/>
    <w:rsid w:val="00981426"/>
    <w:rsid w:val="0098167C"/>
    <w:rsid w:val="0098248D"/>
    <w:rsid w:val="00983024"/>
    <w:rsid w:val="009838B4"/>
    <w:rsid w:val="00983BC3"/>
    <w:rsid w:val="00984009"/>
    <w:rsid w:val="00984723"/>
    <w:rsid w:val="00986FB9"/>
    <w:rsid w:val="00987408"/>
    <w:rsid w:val="009878F8"/>
    <w:rsid w:val="0099200D"/>
    <w:rsid w:val="00992B39"/>
    <w:rsid w:val="00993927"/>
    <w:rsid w:val="0099404A"/>
    <w:rsid w:val="00994AD7"/>
    <w:rsid w:val="00994AF7"/>
    <w:rsid w:val="009950D1"/>
    <w:rsid w:val="00995253"/>
    <w:rsid w:val="009973BE"/>
    <w:rsid w:val="009A08AA"/>
    <w:rsid w:val="009A08DC"/>
    <w:rsid w:val="009A0B45"/>
    <w:rsid w:val="009A0F1B"/>
    <w:rsid w:val="009A26D9"/>
    <w:rsid w:val="009A2E9F"/>
    <w:rsid w:val="009A386B"/>
    <w:rsid w:val="009A3A8E"/>
    <w:rsid w:val="009A68DB"/>
    <w:rsid w:val="009A7FD9"/>
    <w:rsid w:val="009B030C"/>
    <w:rsid w:val="009B0812"/>
    <w:rsid w:val="009B0BAC"/>
    <w:rsid w:val="009B1861"/>
    <w:rsid w:val="009B1BF0"/>
    <w:rsid w:val="009B2AAF"/>
    <w:rsid w:val="009B3441"/>
    <w:rsid w:val="009B388F"/>
    <w:rsid w:val="009B42FE"/>
    <w:rsid w:val="009B6E01"/>
    <w:rsid w:val="009B7479"/>
    <w:rsid w:val="009B761C"/>
    <w:rsid w:val="009B7BEB"/>
    <w:rsid w:val="009B7E1C"/>
    <w:rsid w:val="009C06C7"/>
    <w:rsid w:val="009C2C20"/>
    <w:rsid w:val="009C3769"/>
    <w:rsid w:val="009C4527"/>
    <w:rsid w:val="009C5587"/>
    <w:rsid w:val="009C56BE"/>
    <w:rsid w:val="009C63AE"/>
    <w:rsid w:val="009C642C"/>
    <w:rsid w:val="009D26A4"/>
    <w:rsid w:val="009D300E"/>
    <w:rsid w:val="009D48DC"/>
    <w:rsid w:val="009D5E54"/>
    <w:rsid w:val="009D61FA"/>
    <w:rsid w:val="009D6921"/>
    <w:rsid w:val="009D6ABE"/>
    <w:rsid w:val="009D6CA2"/>
    <w:rsid w:val="009E0F33"/>
    <w:rsid w:val="009E2267"/>
    <w:rsid w:val="009E3937"/>
    <w:rsid w:val="009E4CF2"/>
    <w:rsid w:val="009E725B"/>
    <w:rsid w:val="009E727A"/>
    <w:rsid w:val="009E76DE"/>
    <w:rsid w:val="009F53EF"/>
    <w:rsid w:val="009F642D"/>
    <w:rsid w:val="009F67FA"/>
    <w:rsid w:val="009F7272"/>
    <w:rsid w:val="009F7E47"/>
    <w:rsid w:val="009F7FCF"/>
    <w:rsid w:val="00A000C0"/>
    <w:rsid w:val="00A00163"/>
    <w:rsid w:val="00A00179"/>
    <w:rsid w:val="00A002F3"/>
    <w:rsid w:val="00A00490"/>
    <w:rsid w:val="00A00C84"/>
    <w:rsid w:val="00A00F65"/>
    <w:rsid w:val="00A02017"/>
    <w:rsid w:val="00A0395D"/>
    <w:rsid w:val="00A041EC"/>
    <w:rsid w:val="00A0424A"/>
    <w:rsid w:val="00A042D7"/>
    <w:rsid w:val="00A05782"/>
    <w:rsid w:val="00A06781"/>
    <w:rsid w:val="00A069CE"/>
    <w:rsid w:val="00A06F9D"/>
    <w:rsid w:val="00A07017"/>
    <w:rsid w:val="00A077C4"/>
    <w:rsid w:val="00A07FCD"/>
    <w:rsid w:val="00A07FFC"/>
    <w:rsid w:val="00A10A83"/>
    <w:rsid w:val="00A10F9D"/>
    <w:rsid w:val="00A11B3A"/>
    <w:rsid w:val="00A138D7"/>
    <w:rsid w:val="00A13CE5"/>
    <w:rsid w:val="00A13F70"/>
    <w:rsid w:val="00A14788"/>
    <w:rsid w:val="00A1527E"/>
    <w:rsid w:val="00A16B58"/>
    <w:rsid w:val="00A16BEA"/>
    <w:rsid w:val="00A176E6"/>
    <w:rsid w:val="00A2024A"/>
    <w:rsid w:val="00A21C28"/>
    <w:rsid w:val="00A23306"/>
    <w:rsid w:val="00A239A4"/>
    <w:rsid w:val="00A24541"/>
    <w:rsid w:val="00A24575"/>
    <w:rsid w:val="00A24C2E"/>
    <w:rsid w:val="00A25782"/>
    <w:rsid w:val="00A26F28"/>
    <w:rsid w:val="00A27B99"/>
    <w:rsid w:val="00A27D8B"/>
    <w:rsid w:val="00A30392"/>
    <w:rsid w:val="00A30AED"/>
    <w:rsid w:val="00A30E2A"/>
    <w:rsid w:val="00A32822"/>
    <w:rsid w:val="00A33B30"/>
    <w:rsid w:val="00A342D2"/>
    <w:rsid w:val="00A343F7"/>
    <w:rsid w:val="00A3466F"/>
    <w:rsid w:val="00A34711"/>
    <w:rsid w:val="00A34B3B"/>
    <w:rsid w:val="00A362A7"/>
    <w:rsid w:val="00A36F0A"/>
    <w:rsid w:val="00A3733B"/>
    <w:rsid w:val="00A40FFF"/>
    <w:rsid w:val="00A42407"/>
    <w:rsid w:val="00A42BF2"/>
    <w:rsid w:val="00A4385D"/>
    <w:rsid w:val="00A44221"/>
    <w:rsid w:val="00A44B5A"/>
    <w:rsid w:val="00A44F5E"/>
    <w:rsid w:val="00A45AF9"/>
    <w:rsid w:val="00A46022"/>
    <w:rsid w:val="00A46802"/>
    <w:rsid w:val="00A4779D"/>
    <w:rsid w:val="00A50164"/>
    <w:rsid w:val="00A506CA"/>
    <w:rsid w:val="00A5105D"/>
    <w:rsid w:val="00A518C9"/>
    <w:rsid w:val="00A51C6F"/>
    <w:rsid w:val="00A52C50"/>
    <w:rsid w:val="00A53340"/>
    <w:rsid w:val="00A5372A"/>
    <w:rsid w:val="00A53B42"/>
    <w:rsid w:val="00A5411E"/>
    <w:rsid w:val="00A54D68"/>
    <w:rsid w:val="00A5605D"/>
    <w:rsid w:val="00A56D31"/>
    <w:rsid w:val="00A5731F"/>
    <w:rsid w:val="00A605F3"/>
    <w:rsid w:val="00A60E03"/>
    <w:rsid w:val="00A6214D"/>
    <w:rsid w:val="00A62870"/>
    <w:rsid w:val="00A62A10"/>
    <w:rsid w:val="00A631E9"/>
    <w:rsid w:val="00A657DC"/>
    <w:rsid w:val="00A66453"/>
    <w:rsid w:val="00A67968"/>
    <w:rsid w:val="00A70A77"/>
    <w:rsid w:val="00A73A4D"/>
    <w:rsid w:val="00A73AFB"/>
    <w:rsid w:val="00A74415"/>
    <w:rsid w:val="00A75AF2"/>
    <w:rsid w:val="00A75CD4"/>
    <w:rsid w:val="00A76BA6"/>
    <w:rsid w:val="00A76F39"/>
    <w:rsid w:val="00A770C4"/>
    <w:rsid w:val="00A7743B"/>
    <w:rsid w:val="00A77AB2"/>
    <w:rsid w:val="00A80B7E"/>
    <w:rsid w:val="00A8174E"/>
    <w:rsid w:val="00A81F7C"/>
    <w:rsid w:val="00A8248A"/>
    <w:rsid w:val="00A82EBF"/>
    <w:rsid w:val="00A835FC"/>
    <w:rsid w:val="00A84816"/>
    <w:rsid w:val="00A84B04"/>
    <w:rsid w:val="00A84F2E"/>
    <w:rsid w:val="00A84F75"/>
    <w:rsid w:val="00A851DF"/>
    <w:rsid w:val="00A91D0B"/>
    <w:rsid w:val="00A92E70"/>
    <w:rsid w:val="00A94314"/>
    <w:rsid w:val="00A94B3E"/>
    <w:rsid w:val="00A95F9B"/>
    <w:rsid w:val="00A9604E"/>
    <w:rsid w:val="00AA013A"/>
    <w:rsid w:val="00AA04D5"/>
    <w:rsid w:val="00AA25FA"/>
    <w:rsid w:val="00AA3190"/>
    <w:rsid w:val="00AA469A"/>
    <w:rsid w:val="00AA51A8"/>
    <w:rsid w:val="00AA5F58"/>
    <w:rsid w:val="00AA6DBF"/>
    <w:rsid w:val="00AA705C"/>
    <w:rsid w:val="00AA7990"/>
    <w:rsid w:val="00AA7B1A"/>
    <w:rsid w:val="00AA7C69"/>
    <w:rsid w:val="00AB002B"/>
    <w:rsid w:val="00AB0787"/>
    <w:rsid w:val="00AB1DB4"/>
    <w:rsid w:val="00AB2038"/>
    <w:rsid w:val="00AB2D35"/>
    <w:rsid w:val="00AB2F29"/>
    <w:rsid w:val="00AB3106"/>
    <w:rsid w:val="00AB3D96"/>
    <w:rsid w:val="00AB5B01"/>
    <w:rsid w:val="00AB5E6C"/>
    <w:rsid w:val="00AB7107"/>
    <w:rsid w:val="00AB73C6"/>
    <w:rsid w:val="00AC0BA6"/>
    <w:rsid w:val="00AC1B67"/>
    <w:rsid w:val="00AC2097"/>
    <w:rsid w:val="00AC2292"/>
    <w:rsid w:val="00AC2A54"/>
    <w:rsid w:val="00AC2D08"/>
    <w:rsid w:val="00AC3B97"/>
    <w:rsid w:val="00AC53C9"/>
    <w:rsid w:val="00AC57F3"/>
    <w:rsid w:val="00AC6A82"/>
    <w:rsid w:val="00AC7202"/>
    <w:rsid w:val="00AC73BF"/>
    <w:rsid w:val="00AD0550"/>
    <w:rsid w:val="00AD25EF"/>
    <w:rsid w:val="00AD3E61"/>
    <w:rsid w:val="00AD3F2A"/>
    <w:rsid w:val="00AD42CD"/>
    <w:rsid w:val="00AD44A2"/>
    <w:rsid w:val="00AD4CC2"/>
    <w:rsid w:val="00AD4CC8"/>
    <w:rsid w:val="00AD4EB8"/>
    <w:rsid w:val="00AD57D3"/>
    <w:rsid w:val="00AD7201"/>
    <w:rsid w:val="00AE04DA"/>
    <w:rsid w:val="00AE16D9"/>
    <w:rsid w:val="00AE2851"/>
    <w:rsid w:val="00AE346B"/>
    <w:rsid w:val="00AE3C0F"/>
    <w:rsid w:val="00AE4487"/>
    <w:rsid w:val="00AE47BC"/>
    <w:rsid w:val="00AE5E4A"/>
    <w:rsid w:val="00AE635E"/>
    <w:rsid w:val="00AE6FD0"/>
    <w:rsid w:val="00AF0062"/>
    <w:rsid w:val="00AF0566"/>
    <w:rsid w:val="00AF072F"/>
    <w:rsid w:val="00AF0841"/>
    <w:rsid w:val="00AF1399"/>
    <w:rsid w:val="00AF22DF"/>
    <w:rsid w:val="00AF4FDE"/>
    <w:rsid w:val="00AF58A9"/>
    <w:rsid w:val="00AF5A4A"/>
    <w:rsid w:val="00AF5F4C"/>
    <w:rsid w:val="00AF69CB"/>
    <w:rsid w:val="00B021E0"/>
    <w:rsid w:val="00B0222A"/>
    <w:rsid w:val="00B02CA3"/>
    <w:rsid w:val="00B033DD"/>
    <w:rsid w:val="00B03948"/>
    <w:rsid w:val="00B03E5A"/>
    <w:rsid w:val="00B060BB"/>
    <w:rsid w:val="00B0644F"/>
    <w:rsid w:val="00B069C8"/>
    <w:rsid w:val="00B07671"/>
    <w:rsid w:val="00B107C8"/>
    <w:rsid w:val="00B1143C"/>
    <w:rsid w:val="00B11FD1"/>
    <w:rsid w:val="00B1340B"/>
    <w:rsid w:val="00B136EE"/>
    <w:rsid w:val="00B1513D"/>
    <w:rsid w:val="00B16097"/>
    <w:rsid w:val="00B161FD"/>
    <w:rsid w:val="00B17136"/>
    <w:rsid w:val="00B17899"/>
    <w:rsid w:val="00B205B5"/>
    <w:rsid w:val="00B20784"/>
    <w:rsid w:val="00B2082E"/>
    <w:rsid w:val="00B209D2"/>
    <w:rsid w:val="00B20B95"/>
    <w:rsid w:val="00B21FDA"/>
    <w:rsid w:val="00B21FDD"/>
    <w:rsid w:val="00B22287"/>
    <w:rsid w:val="00B23635"/>
    <w:rsid w:val="00B2393E"/>
    <w:rsid w:val="00B242E5"/>
    <w:rsid w:val="00B24360"/>
    <w:rsid w:val="00B24498"/>
    <w:rsid w:val="00B248B2"/>
    <w:rsid w:val="00B253F6"/>
    <w:rsid w:val="00B27112"/>
    <w:rsid w:val="00B30978"/>
    <w:rsid w:val="00B321A4"/>
    <w:rsid w:val="00B331A5"/>
    <w:rsid w:val="00B33D3C"/>
    <w:rsid w:val="00B34DD9"/>
    <w:rsid w:val="00B350AB"/>
    <w:rsid w:val="00B36941"/>
    <w:rsid w:val="00B37195"/>
    <w:rsid w:val="00B372D0"/>
    <w:rsid w:val="00B373DF"/>
    <w:rsid w:val="00B37504"/>
    <w:rsid w:val="00B377B2"/>
    <w:rsid w:val="00B37CED"/>
    <w:rsid w:val="00B4009F"/>
    <w:rsid w:val="00B4134D"/>
    <w:rsid w:val="00B4151F"/>
    <w:rsid w:val="00B42946"/>
    <w:rsid w:val="00B4416B"/>
    <w:rsid w:val="00B50479"/>
    <w:rsid w:val="00B504C0"/>
    <w:rsid w:val="00B50752"/>
    <w:rsid w:val="00B52AD9"/>
    <w:rsid w:val="00B53B30"/>
    <w:rsid w:val="00B56083"/>
    <w:rsid w:val="00B567CC"/>
    <w:rsid w:val="00B56C65"/>
    <w:rsid w:val="00B56E7F"/>
    <w:rsid w:val="00B605CD"/>
    <w:rsid w:val="00B60BE3"/>
    <w:rsid w:val="00B60CB4"/>
    <w:rsid w:val="00B61A07"/>
    <w:rsid w:val="00B63057"/>
    <w:rsid w:val="00B637DC"/>
    <w:rsid w:val="00B638F8"/>
    <w:rsid w:val="00B64665"/>
    <w:rsid w:val="00B64A91"/>
    <w:rsid w:val="00B66552"/>
    <w:rsid w:val="00B66593"/>
    <w:rsid w:val="00B67328"/>
    <w:rsid w:val="00B70B1A"/>
    <w:rsid w:val="00B71B03"/>
    <w:rsid w:val="00B72470"/>
    <w:rsid w:val="00B738B8"/>
    <w:rsid w:val="00B74ECF"/>
    <w:rsid w:val="00B765E9"/>
    <w:rsid w:val="00B8120B"/>
    <w:rsid w:val="00B85C18"/>
    <w:rsid w:val="00B86DEC"/>
    <w:rsid w:val="00B913DB"/>
    <w:rsid w:val="00B9288E"/>
    <w:rsid w:val="00B93EA9"/>
    <w:rsid w:val="00B94E03"/>
    <w:rsid w:val="00B951CB"/>
    <w:rsid w:val="00B9560C"/>
    <w:rsid w:val="00B96449"/>
    <w:rsid w:val="00B96B4F"/>
    <w:rsid w:val="00B9720A"/>
    <w:rsid w:val="00BA081D"/>
    <w:rsid w:val="00BA11A2"/>
    <w:rsid w:val="00BA41EE"/>
    <w:rsid w:val="00BA4B7D"/>
    <w:rsid w:val="00BA4FBD"/>
    <w:rsid w:val="00BA60E5"/>
    <w:rsid w:val="00BA64F4"/>
    <w:rsid w:val="00BA6EE3"/>
    <w:rsid w:val="00BA7141"/>
    <w:rsid w:val="00BB12F4"/>
    <w:rsid w:val="00BB2C96"/>
    <w:rsid w:val="00BB3C80"/>
    <w:rsid w:val="00BB4439"/>
    <w:rsid w:val="00BB469A"/>
    <w:rsid w:val="00BB5854"/>
    <w:rsid w:val="00BB5BDB"/>
    <w:rsid w:val="00BB66CF"/>
    <w:rsid w:val="00BB6C16"/>
    <w:rsid w:val="00BC0D0C"/>
    <w:rsid w:val="00BC0EA3"/>
    <w:rsid w:val="00BC14D0"/>
    <w:rsid w:val="00BC18A1"/>
    <w:rsid w:val="00BC2024"/>
    <w:rsid w:val="00BC2311"/>
    <w:rsid w:val="00BC2EB9"/>
    <w:rsid w:val="00BC34D3"/>
    <w:rsid w:val="00BC3D8D"/>
    <w:rsid w:val="00BC3E6D"/>
    <w:rsid w:val="00BC45EB"/>
    <w:rsid w:val="00BC4CCD"/>
    <w:rsid w:val="00BC5BD8"/>
    <w:rsid w:val="00BD025F"/>
    <w:rsid w:val="00BD261A"/>
    <w:rsid w:val="00BD29C5"/>
    <w:rsid w:val="00BD2B9F"/>
    <w:rsid w:val="00BD2F1A"/>
    <w:rsid w:val="00BD4BFE"/>
    <w:rsid w:val="00BD5F29"/>
    <w:rsid w:val="00BD712A"/>
    <w:rsid w:val="00BE0ACE"/>
    <w:rsid w:val="00BE0E11"/>
    <w:rsid w:val="00BE25E9"/>
    <w:rsid w:val="00BE4387"/>
    <w:rsid w:val="00BE4FE8"/>
    <w:rsid w:val="00BE6732"/>
    <w:rsid w:val="00BE6DA4"/>
    <w:rsid w:val="00BF0036"/>
    <w:rsid w:val="00BF011B"/>
    <w:rsid w:val="00BF0D27"/>
    <w:rsid w:val="00BF22B1"/>
    <w:rsid w:val="00BF26FF"/>
    <w:rsid w:val="00BF49A2"/>
    <w:rsid w:val="00BF5B7F"/>
    <w:rsid w:val="00BF5C98"/>
    <w:rsid w:val="00BF6686"/>
    <w:rsid w:val="00BF798B"/>
    <w:rsid w:val="00BF7A00"/>
    <w:rsid w:val="00C02D2A"/>
    <w:rsid w:val="00C02FF4"/>
    <w:rsid w:val="00C032FB"/>
    <w:rsid w:val="00C039E3"/>
    <w:rsid w:val="00C03ECE"/>
    <w:rsid w:val="00C046CE"/>
    <w:rsid w:val="00C047B0"/>
    <w:rsid w:val="00C04915"/>
    <w:rsid w:val="00C060C8"/>
    <w:rsid w:val="00C06F62"/>
    <w:rsid w:val="00C079FA"/>
    <w:rsid w:val="00C10060"/>
    <w:rsid w:val="00C1027C"/>
    <w:rsid w:val="00C10B5F"/>
    <w:rsid w:val="00C10E6F"/>
    <w:rsid w:val="00C111DA"/>
    <w:rsid w:val="00C116EE"/>
    <w:rsid w:val="00C11CF1"/>
    <w:rsid w:val="00C11D8D"/>
    <w:rsid w:val="00C121A6"/>
    <w:rsid w:val="00C1315A"/>
    <w:rsid w:val="00C13846"/>
    <w:rsid w:val="00C13BC6"/>
    <w:rsid w:val="00C13D46"/>
    <w:rsid w:val="00C13F08"/>
    <w:rsid w:val="00C14144"/>
    <w:rsid w:val="00C14AD2"/>
    <w:rsid w:val="00C14C67"/>
    <w:rsid w:val="00C1582A"/>
    <w:rsid w:val="00C17167"/>
    <w:rsid w:val="00C17BB8"/>
    <w:rsid w:val="00C2008F"/>
    <w:rsid w:val="00C20373"/>
    <w:rsid w:val="00C20A14"/>
    <w:rsid w:val="00C21A83"/>
    <w:rsid w:val="00C21F44"/>
    <w:rsid w:val="00C2221C"/>
    <w:rsid w:val="00C2259F"/>
    <w:rsid w:val="00C227F3"/>
    <w:rsid w:val="00C24417"/>
    <w:rsid w:val="00C254F9"/>
    <w:rsid w:val="00C25F82"/>
    <w:rsid w:val="00C26B48"/>
    <w:rsid w:val="00C270ED"/>
    <w:rsid w:val="00C2773C"/>
    <w:rsid w:val="00C30297"/>
    <w:rsid w:val="00C31652"/>
    <w:rsid w:val="00C31BE3"/>
    <w:rsid w:val="00C31BE8"/>
    <w:rsid w:val="00C3218E"/>
    <w:rsid w:val="00C32193"/>
    <w:rsid w:val="00C32F9B"/>
    <w:rsid w:val="00C33239"/>
    <w:rsid w:val="00C33D6B"/>
    <w:rsid w:val="00C35105"/>
    <w:rsid w:val="00C365A1"/>
    <w:rsid w:val="00C36E65"/>
    <w:rsid w:val="00C36EF3"/>
    <w:rsid w:val="00C36FA8"/>
    <w:rsid w:val="00C37E51"/>
    <w:rsid w:val="00C40308"/>
    <w:rsid w:val="00C40660"/>
    <w:rsid w:val="00C413C4"/>
    <w:rsid w:val="00C41890"/>
    <w:rsid w:val="00C42625"/>
    <w:rsid w:val="00C42753"/>
    <w:rsid w:val="00C427D9"/>
    <w:rsid w:val="00C4368F"/>
    <w:rsid w:val="00C44C3A"/>
    <w:rsid w:val="00C44F08"/>
    <w:rsid w:val="00C45319"/>
    <w:rsid w:val="00C455AC"/>
    <w:rsid w:val="00C45C8D"/>
    <w:rsid w:val="00C461FB"/>
    <w:rsid w:val="00C473DF"/>
    <w:rsid w:val="00C4742D"/>
    <w:rsid w:val="00C478EC"/>
    <w:rsid w:val="00C50198"/>
    <w:rsid w:val="00C50215"/>
    <w:rsid w:val="00C50CF6"/>
    <w:rsid w:val="00C517BD"/>
    <w:rsid w:val="00C52F84"/>
    <w:rsid w:val="00C534B8"/>
    <w:rsid w:val="00C5359B"/>
    <w:rsid w:val="00C53790"/>
    <w:rsid w:val="00C54CBC"/>
    <w:rsid w:val="00C601F5"/>
    <w:rsid w:val="00C61786"/>
    <w:rsid w:val="00C61BFF"/>
    <w:rsid w:val="00C62532"/>
    <w:rsid w:val="00C63A3D"/>
    <w:rsid w:val="00C65502"/>
    <w:rsid w:val="00C668B7"/>
    <w:rsid w:val="00C67AF5"/>
    <w:rsid w:val="00C70652"/>
    <w:rsid w:val="00C711A8"/>
    <w:rsid w:val="00C716FF"/>
    <w:rsid w:val="00C71D37"/>
    <w:rsid w:val="00C72EC8"/>
    <w:rsid w:val="00C75033"/>
    <w:rsid w:val="00C765C5"/>
    <w:rsid w:val="00C81FEF"/>
    <w:rsid w:val="00C82E16"/>
    <w:rsid w:val="00C84414"/>
    <w:rsid w:val="00C85D42"/>
    <w:rsid w:val="00C873B7"/>
    <w:rsid w:val="00C90B64"/>
    <w:rsid w:val="00C90F5F"/>
    <w:rsid w:val="00C91220"/>
    <w:rsid w:val="00C93BE0"/>
    <w:rsid w:val="00C958CA"/>
    <w:rsid w:val="00C968C7"/>
    <w:rsid w:val="00CA08B9"/>
    <w:rsid w:val="00CA0D11"/>
    <w:rsid w:val="00CA0D66"/>
    <w:rsid w:val="00CA31EA"/>
    <w:rsid w:val="00CA5546"/>
    <w:rsid w:val="00CA5B0E"/>
    <w:rsid w:val="00CA5E2E"/>
    <w:rsid w:val="00CA62C9"/>
    <w:rsid w:val="00CA69A1"/>
    <w:rsid w:val="00CB06B3"/>
    <w:rsid w:val="00CB0DFA"/>
    <w:rsid w:val="00CB1AA4"/>
    <w:rsid w:val="00CB263F"/>
    <w:rsid w:val="00CB307D"/>
    <w:rsid w:val="00CB39BF"/>
    <w:rsid w:val="00CB43BD"/>
    <w:rsid w:val="00CB4827"/>
    <w:rsid w:val="00CB5DC4"/>
    <w:rsid w:val="00CB5EA3"/>
    <w:rsid w:val="00CB5FFE"/>
    <w:rsid w:val="00CC0AAC"/>
    <w:rsid w:val="00CC1972"/>
    <w:rsid w:val="00CC1C95"/>
    <w:rsid w:val="00CC2CD8"/>
    <w:rsid w:val="00CC3BFD"/>
    <w:rsid w:val="00CC4162"/>
    <w:rsid w:val="00CC4B79"/>
    <w:rsid w:val="00CC7AD5"/>
    <w:rsid w:val="00CD000C"/>
    <w:rsid w:val="00CD102E"/>
    <w:rsid w:val="00CD11DD"/>
    <w:rsid w:val="00CD2B82"/>
    <w:rsid w:val="00CD2CDB"/>
    <w:rsid w:val="00CD30C7"/>
    <w:rsid w:val="00CD3477"/>
    <w:rsid w:val="00CD4DA3"/>
    <w:rsid w:val="00CE09DF"/>
    <w:rsid w:val="00CE0A86"/>
    <w:rsid w:val="00CE0CA7"/>
    <w:rsid w:val="00CE38A3"/>
    <w:rsid w:val="00CE394D"/>
    <w:rsid w:val="00CE40E2"/>
    <w:rsid w:val="00CE498B"/>
    <w:rsid w:val="00CE71E9"/>
    <w:rsid w:val="00CE747B"/>
    <w:rsid w:val="00CE7AC5"/>
    <w:rsid w:val="00CF01E4"/>
    <w:rsid w:val="00CF0693"/>
    <w:rsid w:val="00CF0AAA"/>
    <w:rsid w:val="00CF19DE"/>
    <w:rsid w:val="00CF214F"/>
    <w:rsid w:val="00CF32DD"/>
    <w:rsid w:val="00CF40DC"/>
    <w:rsid w:val="00CF4170"/>
    <w:rsid w:val="00CF41C2"/>
    <w:rsid w:val="00CF45FC"/>
    <w:rsid w:val="00CF479C"/>
    <w:rsid w:val="00CF4BC7"/>
    <w:rsid w:val="00CF51E2"/>
    <w:rsid w:val="00CF6573"/>
    <w:rsid w:val="00CF687D"/>
    <w:rsid w:val="00CF6C6C"/>
    <w:rsid w:val="00CF73C3"/>
    <w:rsid w:val="00D007E9"/>
    <w:rsid w:val="00D00D5E"/>
    <w:rsid w:val="00D01786"/>
    <w:rsid w:val="00D018D0"/>
    <w:rsid w:val="00D02E39"/>
    <w:rsid w:val="00D040D9"/>
    <w:rsid w:val="00D043ED"/>
    <w:rsid w:val="00D05208"/>
    <w:rsid w:val="00D05E3F"/>
    <w:rsid w:val="00D0718B"/>
    <w:rsid w:val="00D1057B"/>
    <w:rsid w:val="00D11B10"/>
    <w:rsid w:val="00D1229F"/>
    <w:rsid w:val="00D127E5"/>
    <w:rsid w:val="00D129F6"/>
    <w:rsid w:val="00D15ED8"/>
    <w:rsid w:val="00D16AE5"/>
    <w:rsid w:val="00D17224"/>
    <w:rsid w:val="00D17264"/>
    <w:rsid w:val="00D20BC1"/>
    <w:rsid w:val="00D21835"/>
    <w:rsid w:val="00D230F5"/>
    <w:rsid w:val="00D2329D"/>
    <w:rsid w:val="00D23870"/>
    <w:rsid w:val="00D24079"/>
    <w:rsid w:val="00D2574E"/>
    <w:rsid w:val="00D2647E"/>
    <w:rsid w:val="00D27090"/>
    <w:rsid w:val="00D27BD6"/>
    <w:rsid w:val="00D3003B"/>
    <w:rsid w:val="00D30EE5"/>
    <w:rsid w:val="00D30F01"/>
    <w:rsid w:val="00D3101F"/>
    <w:rsid w:val="00D31BFC"/>
    <w:rsid w:val="00D3380B"/>
    <w:rsid w:val="00D33CEA"/>
    <w:rsid w:val="00D35027"/>
    <w:rsid w:val="00D374C5"/>
    <w:rsid w:val="00D410CC"/>
    <w:rsid w:val="00D42D87"/>
    <w:rsid w:val="00D4349E"/>
    <w:rsid w:val="00D437AD"/>
    <w:rsid w:val="00D445D0"/>
    <w:rsid w:val="00D45A81"/>
    <w:rsid w:val="00D504B6"/>
    <w:rsid w:val="00D505D3"/>
    <w:rsid w:val="00D506ED"/>
    <w:rsid w:val="00D50C35"/>
    <w:rsid w:val="00D5234F"/>
    <w:rsid w:val="00D53034"/>
    <w:rsid w:val="00D531A2"/>
    <w:rsid w:val="00D53831"/>
    <w:rsid w:val="00D54A4A"/>
    <w:rsid w:val="00D55738"/>
    <w:rsid w:val="00D558FF"/>
    <w:rsid w:val="00D55DD1"/>
    <w:rsid w:val="00D56031"/>
    <w:rsid w:val="00D57811"/>
    <w:rsid w:val="00D60475"/>
    <w:rsid w:val="00D614B8"/>
    <w:rsid w:val="00D6295B"/>
    <w:rsid w:val="00D62AFB"/>
    <w:rsid w:val="00D62B43"/>
    <w:rsid w:val="00D6392A"/>
    <w:rsid w:val="00D65861"/>
    <w:rsid w:val="00D6597C"/>
    <w:rsid w:val="00D6721D"/>
    <w:rsid w:val="00D712A9"/>
    <w:rsid w:val="00D71C8E"/>
    <w:rsid w:val="00D72270"/>
    <w:rsid w:val="00D7233B"/>
    <w:rsid w:val="00D7238D"/>
    <w:rsid w:val="00D72529"/>
    <w:rsid w:val="00D7319D"/>
    <w:rsid w:val="00D73B10"/>
    <w:rsid w:val="00D73C62"/>
    <w:rsid w:val="00D73E8B"/>
    <w:rsid w:val="00D743C6"/>
    <w:rsid w:val="00D778E0"/>
    <w:rsid w:val="00D77D4D"/>
    <w:rsid w:val="00D802BE"/>
    <w:rsid w:val="00D80678"/>
    <w:rsid w:val="00D80785"/>
    <w:rsid w:val="00D80DF7"/>
    <w:rsid w:val="00D81161"/>
    <w:rsid w:val="00D81A17"/>
    <w:rsid w:val="00D81E4C"/>
    <w:rsid w:val="00D82338"/>
    <w:rsid w:val="00D84554"/>
    <w:rsid w:val="00D864BA"/>
    <w:rsid w:val="00D87739"/>
    <w:rsid w:val="00D9015B"/>
    <w:rsid w:val="00D90961"/>
    <w:rsid w:val="00D9287E"/>
    <w:rsid w:val="00D92F69"/>
    <w:rsid w:val="00D9373E"/>
    <w:rsid w:val="00D93E2A"/>
    <w:rsid w:val="00D94AA9"/>
    <w:rsid w:val="00D94F62"/>
    <w:rsid w:val="00D95192"/>
    <w:rsid w:val="00D952D9"/>
    <w:rsid w:val="00D9650A"/>
    <w:rsid w:val="00DA0538"/>
    <w:rsid w:val="00DA18F3"/>
    <w:rsid w:val="00DA2436"/>
    <w:rsid w:val="00DA2607"/>
    <w:rsid w:val="00DA36FF"/>
    <w:rsid w:val="00DA37E7"/>
    <w:rsid w:val="00DA4C12"/>
    <w:rsid w:val="00DA552B"/>
    <w:rsid w:val="00DA5819"/>
    <w:rsid w:val="00DA658D"/>
    <w:rsid w:val="00DA7436"/>
    <w:rsid w:val="00DA779B"/>
    <w:rsid w:val="00DA7AF9"/>
    <w:rsid w:val="00DA7FA3"/>
    <w:rsid w:val="00DB02EF"/>
    <w:rsid w:val="00DB1AAC"/>
    <w:rsid w:val="00DB1C68"/>
    <w:rsid w:val="00DB41BD"/>
    <w:rsid w:val="00DB49DC"/>
    <w:rsid w:val="00DB5411"/>
    <w:rsid w:val="00DB543B"/>
    <w:rsid w:val="00DB6482"/>
    <w:rsid w:val="00DB6F42"/>
    <w:rsid w:val="00DB7018"/>
    <w:rsid w:val="00DC04B7"/>
    <w:rsid w:val="00DC064D"/>
    <w:rsid w:val="00DC0E24"/>
    <w:rsid w:val="00DC1182"/>
    <w:rsid w:val="00DC1B7A"/>
    <w:rsid w:val="00DC1E57"/>
    <w:rsid w:val="00DC2172"/>
    <w:rsid w:val="00DC21E5"/>
    <w:rsid w:val="00DC25FD"/>
    <w:rsid w:val="00DC29B0"/>
    <w:rsid w:val="00DC3162"/>
    <w:rsid w:val="00DC4005"/>
    <w:rsid w:val="00DC52F4"/>
    <w:rsid w:val="00DC5A3D"/>
    <w:rsid w:val="00DC644D"/>
    <w:rsid w:val="00DC73FF"/>
    <w:rsid w:val="00DD0131"/>
    <w:rsid w:val="00DD020A"/>
    <w:rsid w:val="00DD0E6C"/>
    <w:rsid w:val="00DD289E"/>
    <w:rsid w:val="00DD2CFF"/>
    <w:rsid w:val="00DD37ED"/>
    <w:rsid w:val="00DD5C05"/>
    <w:rsid w:val="00DD6BF7"/>
    <w:rsid w:val="00DD7DD6"/>
    <w:rsid w:val="00DE11E6"/>
    <w:rsid w:val="00DE1F36"/>
    <w:rsid w:val="00DE4E7A"/>
    <w:rsid w:val="00DE4F0A"/>
    <w:rsid w:val="00DE4F4A"/>
    <w:rsid w:val="00DE5839"/>
    <w:rsid w:val="00DE60C6"/>
    <w:rsid w:val="00DE64FD"/>
    <w:rsid w:val="00DF09D5"/>
    <w:rsid w:val="00DF1CE3"/>
    <w:rsid w:val="00DF1F47"/>
    <w:rsid w:val="00DF3D24"/>
    <w:rsid w:val="00DF44B8"/>
    <w:rsid w:val="00DF48DB"/>
    <w:rsid w:val="00DF516D"/>
    <w:rsid w:val="00DF5618"/>
    <w:rsid w:val="00DF5D32"/>
    <w:rsid w:val="00DF5E51"/>
    <w:rsid w:val="00DF7245"/>
    <w:rsid w:val="00DF7AE7"/>
    <w:rsid w:val="00DF7D19"/>
    <w:rsid w:val="00E0050F"/>
    <w:rsid w:val="00E00664"/>
    <w:rsid w:val="00E00CAC"/>
    <w:rsid w:val="00E025E8"/>
    <w:rsid w:val="00E03DCB"/>
    <w:rsid w:val="00E04A63"/>
    <w:rsid w:val="00E04F87"/>
    <w:rsid w:val="00E06478"/>
    <w:rsid w:val="00E06CB0"/>
    <w:rsid w:val="00E07B37"/>
    <w:rsid w:val="00E07DBA"/>
    <w:rsid w:val="00E10B8D"/>
    <w:rsid w:val="00E1280F"/>
    <w:rsid w:val="00E1297C"/>
    <w:rsid w:val="00E12BA8"/>
    <w:rsid w:val="00E13453"/>
    <w:rsid w:val="00E13AC9"/>
    <w:rsid w:val="00E1487F"/>
    <w:rsid w:val="00E15B22"/>
    <w:rsid w:val="00E1736B"/>
    <w:rsid w:val="00E17527"/>
    <w:rsid w:val="00E17AA1"/>
    <w:rsid w:val="00E21115"/>
    <w:rsid w:val="00E21663"/>
    <w:rsid w:val="00E21D39"/>
    <w:rsid w:val="00E2331F"/>
    <w:rsid w:val="00E257F7"/>
    <w:rsid w:val="00E2736D"/>
    <w:rsid w:val="00E31EE4"/>
    <w:rsid w:val="00E324A8"/>
    <w:rsid w:val="00E327F0"/>
    <w:rsid w:val="00E33943"/>
    <w:rsid w:val="00E33BEE"/>
    <w:rsid w:val="00E343A9"/>
    <w:rsid w:val="00E34632"/>
    <w:rsid w:val="00E35194"/>
    <w:rsid w:val="00E3555C"/>
    <w:rsid w:val="00E355F3"/>
    <w:rsid w:val="00E36309"/>
    <w:rsid w:val="00E37F57"/>
    <w:rsid w:val="00E40180"/>
    <w:rsid w:val="00E40789"/>
    <w:rsid w:val="00E415B0"/>
    <w:rsid w:val="00E42DE5"/>
    <w:rsid w:val="00E4373A"/>
    <w:rsid w:val="00E438BD"/>
    <w:rsid w:val="00E43CD1"/>
    <w:rsid w:val="00E43EF1"/>
    <w:rsid w:val="00E45007"/>
    <w:rsid w:val="00E46EA8"/>
    <w:rsid w:val="00E50229"/>
    <w:rsid w:val="00E5037D"/>
    <w:rsid w:val="00E50DF4"/>
    <w:rsid w:val="00E51215"/>
    <w:rsid w:val="00E517D1"/>
    <w:rsid w:val="00E521D0"/>
    <w:rsid w:val="00E53999"/>
    <w:rsid w:val="00E53C03"/>
    <w:rsid w:val="00E542C8"/>
    <w:rsid w:val="00E5557A"/>
    <w:rsid w:val="00E557FA"/>
    <w:rsid w:val="00E55A2F"/>
    <w:rsid w:val="00E569F1"/>
    <w:rsid w:val="00E56FCD"/>
    <w:rsid w:val="00E60592"/>
    <w:rsid w:val="00E6080D"/>
    <w:rsid w:val="00E60F55"/>
    <w:rsid w:val="00E6125B"/>
    <w:rsid w:val="00E619B9"/>
    <w:rsid w:val="00E61B2E"/>
    <w:rsid w:val="00E62B9C"/>
    <w:rsid w:val="00E62F18"/>
    <w:rsid w:val="00E63F35"/>
    <w:rsid w:val="00E64F0B"/>
    <w:rsid w:val="00E658FF"/>
    <w:rsid w:val="00E65B9E"/>
    <w:rsid w:val="00E67327"/>
    <w:rsid w:val="00E673C3"/>
    <w:rsid w:val="00E675D5"/>
    <w:rsid w:val="00E675EE"/>
    <w:rsid w:val="00E67729"/>
    <w:rsid w:val="00E67AFA"/>
    <w:rsid w:val="00E709B9"/>
    <w:rsid w:val="00E716FE"/>
    <w:rsid w:val="00E71CDB"/>
    <w:rsid w:val="00E7335B"/>
    <w:rsid w:val="00E769D6"/>
    <w:rsid w:val="00E77B8F"/>
    <w:rsid w:val="00E77C21"/>
    <w:rsid w:val="00E83025"/>
    <w:rsid w:val="00E834A4"/>
    <w:rsid w:val="00E83A8B"/>
    <w:rsid w:val="00E8419A"/>
    <w:rsid w:val="00E843DC"/>
    <w:rsid w:val="00E84A1A"/>
    <w:rsid w:val="00E85D6F"/>
    <w:rsid w:val="00E85E22"/>
    <w:rsid w:val="00E87621"/>
    <w:rsid w:val="00E8764A"/>
    <w:rsid w:val="00E90DBF"/>
    <w:rsid w:val="00E90EA0"/>
    <w:rsid w:val="00E93122"/>
    <w:rsid w:val="00E93529"/>
    <w:rsid w:val="00E9548E"/>
    <w:rsid w:val="00E97292"/>
    <w:rsid w:val="00E97DF0"/>
    <w:rsid w:val="00EA0355"/>
    <w:rsid w:val="00EA05FC"/>
    <w:rsid w:val="00EA22C8"/>
    <w:rsid w:val="00EA2CED"/>
    <w:rsid w:val="00EA459F"/>
    <w:rsid w:val="00EA537C"/>
    <w:rsid w:val="00EA5461"/>
    <w:rsid w:val="00EA5D6D"/>
    <w:rsid w:val="00EA623C"/>
    <w:rsid w:val="00EA6636"/>
    <w:rsid w:val="00EA7ED2"/>
    <w:rsid w:val="00EB04D4"/>
    <w:rsid w:val="00EB07A5"/>
    <w:rsid w:val="00EB0AE0"/>
    <w:rsid w:val="00EB0E5D"/>
    <w:rsid w:val="00EB2253"/>
    <w:rsid w:val="00EB245F"/>
    <w:rsid w:val="00EB2B05"/>
    <w:rsid w:val="00EB303C"/>
    <w:rsid w:val="00EB4523"/>
    <w:rsid w:val="00EB46F0"/>
    <w:rsid w:val="00EB5258"/>
    <w:rsid w:val="00EB536B"/>
    <w:rsid w:val="00EB6765"/>
    <w:rsid w:val="00EB7696"/>
    <w:rsid w:val="00EB7FBE"/>
    <w:rsid w:val="00EC0890"/>
    <w:rsid w:val="00EC2D1E"/>
    <w:rsid w:val="00EC36BB"/>
    <w:rsid w:val="00EC48E0"/>
    <w:rsid w:val="00EC6D7A"/>
    <w:rsid w:val="00ED00BC"/>
    <w:rsid w:val="00ED0C18"/>
    <w:rsid w:val="00ED158E"/>
    <w:rsid w:val="00ED1822"/>
    <w:rsid w:val="00ED1AD8"/>
    <w:rsid w:val="00ED25BE"/>
    <w:rsid w:val="00ED26F6"/>
    <w:rsid w:val="00ED3129"/>
    <w:rsid w:val="00ED3824"/>
    <w:rsid w:val="00ED4FE8"/>
    <w:rsid w:val="00ED6DBF"/>
    <w:rsid w:val="00ED7100"/>
    <w:rsid w:val="00ED7D6B"/>
    <w:rsid w:val="00ED7F6B"/>
    <w:rsid w:val="00EE01B1"/>
    <w:rsid w:val="00EE04A8"/>
    <w:rsid w:val="00EE17DB"/>
    <w:rsid w:val="00EE1A73"/>
    <w:rsid w:val="00EE1B89"/>
    <w:rsid w:val="00EE2FC8"/>
    <w:rsid w:val="00EE2FE5"/>
    <w:rsid w:val="00EE3923"/>
    <w:rsid w:val="00EE3E19"/>
    <w:rsid w:val="00EE4B13"/>
    <w:rsid w:val="00EE4CAA"/>
    <w:rsid w:val="00EE5433"/>
    <w:rsid w:val="00EF07C9"/>
    <w:rsid w:val="00EF1947"/>
    <w:rsid w:val="00EF346F"/>
    <w:rsid w:val="00EF3A56"/>
    <w:rsid w:val="00EF3AD0"/>
    <w:rsid w:val="00EF5396"/>
    <w:rsid w:val="00EF62BF"/>
    <w:rsid w:val="00EF64AF"/>
    <w:rsid w:val="00EF6A14"/>
    <w:rsid w:val="00EF718F"/>
    <w:rsid w:val="00EF7211"/>
    <w:rsid w:val="00EF7A5A"/>
    <w:rsid w:val="00F012CA"/>
    <w:rsid w:val="00F016E2"/>
    <w:rsid w:val="00F020EA"/>
    <w:rsid w:val="00F021EE"/>
    <w:rsid w:val="00F02235"/>
    <w:rsid w:val="00F02642"/>
    <w:rsid w:val="00F03084"/>
    <w:rsid w:val="00F03740"/>
    <w:rsid w:val="00F037F3"/>
    <w:rsid w:val="00F03B05"/>
    <w:rsid w:val="00F03BCC"/>
    <w:rsid w:val="00F03C11"/>
    <w:rsid w:val="00F04DF7"/>
    <w:rsid w:val="00F04EFD"/>
    <w:rsid w:val="00F0542F"/>
    <w:rsid w:val="00F07505"/>
    <w:rsid w:val="00F077F9"/>
    <w:rsid w:val="00F078A2"/>
    <w:rsid w:val="00F079B7"/>
    <w:rsid w:val="00F109F6"/>
    <w:rsid w:val="00F1288B"/>
    <w:rsid w:val="00F12B21"/>
    <w:rsid w:val="00F13C85"/>
    <w:rsid w:val="00F13C8D"/>
    <w:rsid w:val="00F1437D"/>
    <w:rsid w:val="00F14402"/>
    <w:rsid w:val="00F162BA"/>
    <w:rsid w:val="00F1703F"/>
    <w:rsid w:val="00F1788D"/>
    <w:rsid w:val="00F2197B"/>
    <w:rsid w:val="00F22690"/>
    <w:rsid w:val="00F24DBD"/>
    <w:rsid w:val="00F2597D"/>
    <w:rsid w:val="00F26185"/>
    <w:rsid w:val="00F26D55"/>
    <w:rsid w:val="00F2708E"/>
    <w:rsid w:val="00F30377"/>
    <w:rsid w:val="00F3054A"/>
    <w:rsid w:val="00F308EA"/>
    <w:rsid w:val="00F30F77"/>
    <w:rsid w:val="00F32B4D"/>
    <w:rsid w:val="00F33247"/>
    <w:rsid w:val="00F3411F"/>
    <w:rsid w:val="00F35E63"/>
    <w:rsid w:val="00F35FC7"/>
    <w:rsid w:val="00F36AA6"/>
    <w:rsid w:val="00F36ABD"/>
    <w:rsid w:val="00F372A2"/>
    <w:rsid w:val="00F40FE5"/>
    <w:rsid w:val="00F41B92"/>
    <w:rsid w:val="00F42AB4"/>
    <w:rsid w:val="00F42D7C"/>
    <w:rsid w:val="00F42E4C"/>
    <w:rsid w:val="00F44215"/>
    <w:rsid w:val="00F45322"/>
    <w:rsid w:val="00F461E3"/>
    <w:rsid w:val="00F46DA5"/>
    <w:rsid w:val="00F47782"/>
    <w:rsid w:val="00F47F6F"/>
    <w:rsid w:val="00F532B5"/>
    <w:rsid w:val="00F53B0C"/>
    <w:rsid w:val="00F54A74"/>
    <w:rsid w:val="00F56D8A"/>
    <w:rsid w:val="00F602B2"/>
    <w:rsid w:val="00F602B7"/>
    <w:rsid w:val="00F607E7"/>
    <w:rsid w:val="00F6106D"/>
    <w:rsid w:val="00F6117E"/>
    <w:rsid w:val="00F62859"/>
    <w:rsid w:val="00F63F15"/>
    <w:rsid w:val="00F65056"/>
    <w:rsid w:val="00F65465"/>
    <w:rsid w:val="00F65526"/>
    <w:rsid w:val="00F65CF2"/>
    <w:rsid w:val="00F669AE"/>
    <w:rsid w:val="00F66D75"/>
    <w:rsid w:val="00F705BB"/>
    <w:rsid w:val="00F7087B"/>
    <w:rsid w:val="00F709FA"/>
    <w:rsid w:val="00F727FB"/>
    <w:rsid w:val="00F72E21"/>
    <w:rsid w:val="00F73BEE"/>
    <w:rsid w:val="00F74242"/>
    <w:rsid w:val="00F74E0F"/>
    <w:rsid w:val="00F767FB"/>
    <w:rsid w:val="00F76B69"/>
    <w:rsid w:val="00F76F03"/>
    <w:rsid w:val="00F779C7"/>
    <w:rsid w:val="00F77DA5"/>
    <w:rsid w:val="00F8093F"/>
    <w:rsid w:val="00F80A62"/>
    <w:rsid w:val="00F8179F"/>
    <w:rsid w:val="00F81BC4"/>
    <w:rsid w:val="00F81C48"/>
    <w:rsid w:val="00F82079"/>
    <w:rsid w:val="00F82647"/>
    <w:rsid w:val="00F82ABC"/>
    <w:rsid w:val="00F84135"/>
    <w:rsid w:val="00F84C14"/>
    <w:rsid w:val="00F85511"/>
    <w:rsid w:val="00F8618F"/>
    <w:rsid w:val="00F86C8E"/>
    <w:rsid w:val="00F8753C"/>
    <w:rsid w:val="00F9008D"/>
    <w:rsid w:val="00F9123E"/>
    <w:rsid w:val="00F9468C"/>
    <w:rsid w:val="00F948AC"/>
    <w:rsid w:val="00F9627F"/>
    <w:rsid w:val="00F966C6"/>
    <w:rsid w:val="00FA15CE"/>
    <w:rsid w:val="00FA20D4"/>
    <w:rsid w:val="00FA28E8"/>
    <w:rsid w:val="00FA367E"/>
    <w:rsid w:val="00FA3AC3"/>
    <w:rsid w:val="00FA4886"/>
    <w:rsid w:val="00FA579E"/>
    <w:rsid w:val="00FA5DF8"/>
    <w:rsid w:val="00FA63E8"/>
    <w:rsid w:val="00FA64F0"/>
    <w:rsid w:val="00FA6538"/>
    <w:rsid w:val="00FA727C"/>
    <w:rsid w:val="00FA7324"/>
    <w:rsid w:val="00FB0535"/>
    <w:rsid w:val="00FB070F"/>
    <w:rsid w:val="00FB1623"/>
    <w:rsid w:val="00FB1AEF"/>
    <w:rsid w:val="00FB3CFA"/>
    <w:rsid w:val="00FB4FBC"/>
    <w:rsid w:val="00FB53CB"/>
    <w:rsid w:val="00FB65F7"/>
    <w:rsid w:val="00FB725C"/>
    <w:rsid w:val="00FB74E3"/>
    <w:rsid w:val="00FC12D8"/>
    <w:rsid w:val="00FC2996"/>
    <w:rsid w:val="00FC4021"/>
    <w:rsid w:val="00FC4969"/>
    <w:rsid w:val="00FC59DC"/>
    <w:rsid w:val="00FC5D5C"/>
    <w:rsid w:val="00FC5FE4"/>
    <w:rsid w:val="00FC630C"/>
    <w:rsid w:val="00FD061C"/>
    <w:rsid w:val="00FD0F6F"/>
    <w:rsid w:val="00FD1404"/>
    <w:rsid w:val="00FD1DF5"/>
    <w:rsid w:val="00FD32F3"/>
    <w:rsid w:val="00FD4294"/>
    <w:rsid w:val="00FD569F"/>
    <w:rsid w:val="00FD578C"/>
    <w:rsid w:val="00FD76DA"/>
    <w:rsid w:val="00FD7B93"/>
    <w:rsid w:val="00FE0F17"/>
    <w:rsid w:val="00FE1C6E"/>
    <w:rsid w:val="00FE2208"/>
    <w:rsid w:val="00FE3615"/>
    <w:rsid w:val="00FE3E74"/>
    <w:rsid w:val="00FE43E8"/>
    <w:rsid w:val="00FE54EB"/>
    <w:rsid w:val="00FE6F79"/>
    <w:rsid w:val="00FE7824"/>
    <w:rsid w:val="00FE7A09"/>
    <w:rsid w:val="00FF016A"/>
    <w:rsid w:val="00FF0C2F"/>
    <w:rsid w:val="00FF1A65"/>
    <w:rsid w:val="00FF1FAE"/>
    <w:rsid w:val="00FF205E"/>
    <w:rsid w:val="00FF28D5"/>
    <w:rsid w:val="00FF589F"/>
    <w:rsid w:val="00FF6A82"/>
    <w:rsid w:val="00FF73D8"/>
    <w:rsid w:val="00FF7A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FB635CC"/>
  <w15:chartTrackingRefBased/>
  <w15:docId w15:val="{150D5811-BD6C-42DA-BEE4-98E4C8D77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85D"/>
  </w:style>
  <w:style w:type="paragraph" w:styleId="Heading1">
    <w:name w:val="heading 1"/>
    <w:basedOn w:val="Normal"/>
    <w:next w:val="Normal"/>
    <w:link w:val="Heading1Char"/>
    <w:uiPriority w:val="9"/>
    <w:qFormat/>
    <w:rsid w:val="00CF0AAA"/>
    <w:pPr>
      <w:keepNext/>
      <w:keepLines/>
      <w:spacing w:before="240" w:after="240"/>
      <w:outlineLvl w:val="0"/>
    </w:pPr>
    <w:rPr>
      <w:rFonts w:ascii="Arial" w:eastAsiaTheme="majorEastAsia" w:hAnsi="Arial" w:cstheme="majorBidi"/>
      <w:color w:val="2E74B5" w:themeColor="accent1" w:themeShade="BF"/>
      <w:sz w:val="36"/>
      <w:szCs w:val="32"/>
    </w:rPr>
  </w:style>
  <w:style w:type="paragraph" w:styleId="Heading2">
    <w:name w:val="heading 2"/>
    <w:basedOn w:val="Normal"/>
    <w:next w:val="Normal"/>
    <w:link w:val="Heading2Char"/>
    <w:uiPriority w:val="9"/>
    <w:unhideWhenUsed/>
    <w:qFormat/>
    <w:rsid w:val="00AC3B97"/>
    <w:pPr>
      <w:keepNext/>
      <w:keepLines/>
      <w:spacing w:before="40" w:after="120"/>
      <w:outlineLvl w:val="1"/>
    </w:pPr>
    <w:rPr>
      <w:rFonts w:ascii="Arial" w:eastAsiaTheme="majorEastAsia" w:hAnsi="Arial" w:cstheme="majorBidi"/>
      <w:b/>
      <w:color w:val="2E74B5" w:themeColor="accent1" w:themeShade="BF"/>
      <w:sz w:val="28"/>
      <w:szCs w:val="26"/>
    </w:rPr>
  </w:style>
  <w:style w:type="paragraph" w:styleId="Heading3">
    <w:name w:val="heading 3"/>
    <w:basedOn w:val="Normal"/>
    <w:next w:val="Normal"/>
    <w:link w:val="Heading3Char"/>
    <w:uiPriority w:val="9"/>
    <w:unhideWhenUsed/>
    <w:qFormat/>
    <w:rsid w:val="00AC3B97"/>
    <w:pPr>
      <w:keepNext/>
      <w:keepLines/>
      <w:spacing w:before="40" w:after="120"/>
      <w:outlineLvl w:val="2"/>
    </w:pPr>
    <w:rPr>
      <w:rFonts w:asciiTheme="majorHAnsi" w:eastAsiaTheme="majorEastAsia" w:hAnsiTheme="majorHAnsi" w:cstheme="majorBidi"/>
      <w:b/>
      <w:color w:val="1F4D78" w:themeColor="accent1" w:themeShade="7F"/>
      <w:sz w:val="24"/>
      <w:szCs w:val="24"/>
    </w:rPr>
  </w:style>
  <w:style w:type="paragraph" w:styleId="Heading4">
    <w:name w:val="heading 4"/>
    <w:basedOn w:val="Normal"/>
    <w:next w:val="Normal"/>
    <w:link w:val="Heading4Char"/>
    <w:uiPriority w:val="9"/>
    <w:unhideWhenUsed/>
    <w:qFormat/>
    <w:rsid w:val="0027771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3B97"/>
    <w:rPr>
      <w:rFonts w:ascii="Arial" w:eastAsiaTheme="majorEastAsia" w:hAnsi="Arial" w:cstheme="majorBidi"/>
      <w:b/>
      <w:color w:val="2E74B5" w:themeColor="accent1" w:themeShade="BF"/>
      <w:sz w:val="28"/>
      <w:szCs w:val="26"/>
    </w:rPr>
  </w:style>
  <w:style w:type="character" w:customStyle="1" w:styleId="Heading3Char">
    <w:name w:val="Heading 3 Char"/>
    <w:basedOn w:val="DefaultParagraphFont"/>
    <w:link w:val="Heading3"/>
    <w:uiPriority w:val="9"/>
    <w:rsid w:val="00AC3B97"/>
    <w:rPr>
      <w:rFonts w:asciiTheme="majorHAnsi" w:eastAsiaTheme="majorEastAsia" w:hAnsiTheme="majorHAnsi" w:cstheme="majorBidi"/>
      <w:b/>
      <w:color w:val="1F4D78" w:themeColor="accent1" w:themeShade="7F"/>
      <w:sz w:val="24"/>
      <w:szCs w:val="24"/>
    </w:rPr>
  </w:style>
  <w:style w:type="character" w:customStyle="1" w:styleId="Heading4Char">
    <w:name w:val="Heading 4 Char"/>
    <w:basedOn w:val="DefaultParagraphFont"/>
    <w:link w:val="Heading4"/>
    <w:uiPriority w:val="9"/>
    <w:rsid w:val="00277714"/>
    <w:rPr>
      <w:rFonts w:asciiTheme="majorHAnsi" w:eastAsiaTheme="majorEastAsia" w:hAnsiTheme="majorHAnsi" w:cstheme="majorBidi"/>
      <w:i/>
      <w:iCs/>
      <w:color w:val="2E74B5" w:themeColor="accent1" w:themeShade="BF"/>
    </w:rPr>
  </w:style>
  <w:style w:type="paragraph" w:customStyle="1" w:styleId="Intros">
    <w:name w:val="Intros"/>
    <w:basedOn w:val="Normal"/>
    <w:qFormat/>
    <w:rsid w:val="00277714"/>
    <w:pPr>
      <w:spacing w:after="120" w:line="276" w:lineRule="auto"/>
    </w:pPr>
    <w:rPr>
      <w:b/>
      <w:color w:val="808080" w:themeColor="background1" w:themeShade="80"/>
      <w:sz w:val="24"/>
      <w:szCs w:val="24"/>
      <w:lang w:val="en-GB"/>
    </w:rPr>
  </w:style>
  <w:style w:type="character" w:styleId="Hyperlink">
    <w:name w:val="Hyperlink"/>
    <w:basedOn w:val="DefaultParagraphFont"/>
    <w:uiPriority w:val="99"/>
    <w:unhideWhenUsed/>
    <w:rsid w:val="00277714"/>
    <w:rPr>
      <w:color w:val="0563C1" w:themeColor="hyperlink"/>
      <w:u w:val="single"/>
    </w:rPr>
  </w:style>
  <w:style w:type="paragraph" w:styleId="ListParagraph">
    <w:name w:val="List Paragraph"/>
    <w:aliases w:val="List Paragraph1,List Paragraph11,List Paragraph2,Recommendation,Bullet 1,CV text,Dot pt,F5 List Paragraph,Indicator Text,L,List Paragraph Char Char Char,List Paragraph111,MAIN CONTENT,Normal numbered,Numbered Para 1,bullet point list,列出段落"/>
    <w:basedOn w:val="Normal"/>
    <w:link w:val="ListParagraphChar"/>
    <w:uiPriority w:val="34"/>
    <w:qFormat/>
    <w:rsid w:val="00277714"/>
    <w:pPr>
      <w:ind w:left="720"/>
      <w:contextualSpacing/>
    </w:pPr>
  </w:style>
  <w:style w:type="character" w:customStyle="1" w:styleId="ListParagraphChar">
    <w:name w:val="List Paragraph Char"/>
    <w:aliases w:val="List Paragraph1 Char,List Paragraph11 Char,List Paragraph2 Char,Recommendation Char,Bullet 1 Char,CV text Char,Dot pt Char,F5 List Paragraph Char,Indicator Text Char,L Char,List Paragraph Char Char Char Char,List Paragraph111 Char"/>
    <w:basedOn w:val="DefaultParagraphFont"/>
    <w:link w:val="ListParagraph"/>
    <w:uiPriority w:val="34"/>
    <w:locked/>
    <w:rsid w:val="00277714"/>
  </w:style>
  <w:style w:type="character" w:customStyle="1" w:styleId="Heading1Char">
    <w:name w:val="Heading 1 Char"/>
    <w:basedOn w:val="DefaultParagraphFont"/>
    <w:link w:val="Heading1"/>
    <w:uiPriority w:val="9"/>
    <w:rsid w:val="00CF0AAA"/>
    <w:rPr>
      <w:rFonts w:ascii="Arial" w:eastAsiaTheme="majorEastAsia" w:hAnsi="Arial" w:cstheme="majorBidi"/>
      <w:color w:val="2E74B5" w:themeColor="accent1" w:themeShade="BF"/>
      <w:sz w:val="36"/>
      <w:szCs w:val="32"/>
    </w:rPr>
  </w:style>
  <w:style w:type="paragraph" w:styleId="TOCHeading">
    <w:name w:val="TOC Heading"/>
    <w:basedOn w:val="Heading1"/>
    <w:next w:val="Normal"/>
    <w:uiPriority w:val="39"/>
    <w:unhideWhenUsed/>
    <w:qFormat/>
    <w:rsid w:val="00277714"/>
    <w:pPr>
      <w:outlineLvl w:val="9"/>
    </w:pPr>
    <w:rPr>
      <w:lang w:val="en-US"/>
    </w:rPr>
  </w:style>
  <w:style w:type="paragraph" w:styleId="TOC1">
    <w:name w:val="toc 1"/>
    <w:basedOn w:val="Normal"/>
    <w:next w:val="Normal"/>
    <w:autoRedefine/>
    <w:uiPriority w:val="39"/>
    <w:unhideWhenUsed/>
    <w:rsid w:val="00CF0AAA"/>
    <w:pPr>
      <w:tabs>
        <w:tab w:val="left" w:pos="440"/>
        <w:tab w:val="right" w:leader="dot" w:pos="9016"/>
      </w:tabs>
      <w:spacing w:after="100"/>
    </w:pPr>
  </w:style>
  <w:style w:type="paragraph" w:customStyle="1" w:styleId="Default">
    <w:name w:val="Default"/>
    <w:rsid w:val="00277714"/>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DC5A3D"/>
    <w:pPr>
      <w:spacing w:after="0" w:line="240" w:lineRule="auto"/>
      <w:contextualSpacing/>
      <w:outlineLvl w:val="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A3D"/>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rsid w:val="00993927"/>
    <w:pPr>
      <w:spacing w:after="100"/>
      <w:ind w:left="220"/>
    </w:pPr>
  </w:style>
  <w:style w:type="paragraph" w:styleId="TOC3">
    <w:name w:val="toc 3"/>
    <w:basedOn w:val="Normal"/>
    <w:next w:val="Normal"/>
    <w:autoRedefine/>
    <w:uiPriority w:val="39"/>
    <w:unhideWhenUsed/>
    <w:rsid w:val="00993927"/>
    <w:pPr>
      <w:spacing w:after="100"/>
      <w:ind w:left="440"/>
    </w:pPr>
  </w:style>
  <w:style w:type="paragraph" w:styleId="FootnoteText">
    <w:name w:val="footnote text"/>
    <w:basedOn w:val="Normal"/>
    <w:link w:val="FootnoteTextChar"/>
    <w:uiPriority w:val="99"/>
    <w:unhideWhenUsed/>
    <w:rsid w:val="00AF0062"/>
    <w:pPr>
      <w:spacing w:after="0" w:line="240" w:lineRule="auto"/>
    </w:pPr>
    <w:rPr>
      <w:sz w:val="20"/>
      <w:szCs w:val="20"/>
    </w:rPr>
  </w:style>
  <w:style w:type="character" w:customStyle="1" w:styleId="FootnoteTextChar">
    <w:name w:val="Footnote Text Char"/>
    <w:basedOn w:val="DefaultParagraphFont"/>
    <w:link w:val="FootnoteText"/>
    <w:uiPriority w:val="99"/>
    <w:rsid w:val="00AF0062"/>
    <w:rPr>
      <w:sz w:val="20"/>
      <w:szCs w:val="20"/>
    </w:rPr>
  </w:style>
  <w:style w:type="character" w:styleId="FootnoteReference">
    <w:name w:val="footnote reference"/>
    <w:basedOn w:val="DefaultParagraphFont"/>
    <w:uiPriority w:val="99"/>
    <w:semiHidden/>
    <w:unhideWhenUsed/>
    <w:rsid w:val="00AF0062"/>
    <w:rPr>
      <w:vertAlign w:val="superscript"/>
    </w:rPr>
  </w:style>
  <w:style w:type="character" w:styleId="CommentReference">
    <w:name w:val="annotation reference"/>
    <w:basedOn w:val="DefaultParagraphFont"/>
    <w:uiPriority w:val="99"/>
    <w:semiHidden/>
    <w:unhideWhenUsed/>
    <w:rsid w:val="003E6E68"/>
    <w:rPr>
      <w:sz w:val="16"/>
      <w:szCs w:val="16"/>
    </w:rPr>
  </w:style>
  <w:style w:type="paragraph" w:styleId="CommentText">
    <w:name w:val="annotation text"/>
    <w:basedOn w:val="Normal"/>
    <w:link w:val="CommentTextChar"/>
    <w:uiPriority w:val="99"/>
    <w:unhideWhenUsed/>
    <w:rsid w:val="003E6E68"/>
    <w:pPr>
      <w:spacing w:line="240" w:lineRule="auto"/>
    </w:pPr>
    <w:rPr>
      <w:sz w:val="20"/>
      <w:szCs w:val="20"/>
    </w:rPr>
  </w:style>
  <w:style w:type="character" w:customStyle="1" w:styleId="CommentTextChar">
    <w:name w:val="Comment Text Char"/>
    <w:basedOn w:val="DefaultParagraphFont"/>
    <w:link w:val="CommentText"/>
    <w:uiPriority w:val="99"/>
    <w:rsid w:val="003E6E68"/>
    <w:rPr>
      <w:sz w:val="20"/>
      <w:szCs w:val="20"/>
    </w:rPr>
  </w:style>
  <w:style w:type="paragraph" w:styleId="CommentSubject">
    <w:name w:val="annotation subject"/>
    <w:basedOn w:val="CommentText"/>
    <w:next w:val="CommentText"/>
    <w:link w:val="CommentSubjectChar"/>
    <w:uiPriority w:val="99"/>
    <w:semiHidden/>
    <w:unhideWhenUsed/>
    <w:rsid w:val="003E6E68"/>
    <w:rPr>
      <w:b/>
      <w:bCs/>
    </w:rPr>
  </w:style>
  <w:style w:type="character" w:customStyle="1" w:styleId="CommentSubjectChar">
    <w:name w:val="Comment Subject Char"/>
    <w:basedOn w:val="CommentTextChar"/>
    <w:link w:val="CommentSubject"/>
    <w:uiPriority w:val="99"/>
    <w:semiHidden/>
    <w:rsid w:val="003E6E68"/>
    <w:rPr>
      <w:b/>
      <w:bCs/>
      <w:sz w:val="20"/>
      <w:szCs w:val="20"/>
    </w:rPr>
  </w:style>
  <w:style w:type="paragraph" w:styleId="BalloonText">
    <w:name w:val="Balloon Text"/>
    <w:basedOn w:val="Normal"/>
    <w:link w:val="BalloonTextChar"/>
    <w:uiPriority w:val="99"/>
    <w:semiHidden/>
    <w:unhideWhenUsed/>
    <w:rsid w:val="003E6E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E68"/>
    <w:rPr>
      <w:rFonts w:ascii="Segoe UI" w:hAnsi="Segoe UI" w:cs="Segoe UI"/>
      <w:sz w:val="18"/>
      <w:szCs w:val="18"/>
    </w:rPr>
  </w:style>
  <w:style w:type="character" w:styleId="FollowedHyperlink">
    <w:name w:val="FollowedHyperlink"/>
    <w:basedOn w:val="DefaultParagraphFont"/>
    <w:uiPriority w:val="99"/>
    <w:semiHidden/>
    <w:unhideWhenUsed/>
    <w:rsid w:val="00D90961"/>
    <w:rPr>
      <w:color w:val="954F72" w:themeColor="followedHyperlink"/>
      <w:u w:val="single"/>
    </w:rPr>
  </w:style>
  <w:style w:type="paragraph" w:styleId="Header">
    <w:name w:val="header"/>
    <w:basedOn w:val="Normal"/>
    <w:link w:val="HeaderChar"/>
    <w:uiPriority w:val="99"/>
    <w:unhideWhenUsed/>
    <w:rsid w:val="003645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514"/>
  </w:style>
  <w:style w:type="paragraph" w:styleId="Footer">
    <w:name w:val="footer"/>
    <w:basedOn w:val="Normal"/>
    <w:link w:val="FooterChar"/>
    <w:uiPriority w:val="99"/>
    <w:unhideWhenUsed/>
    <w:rsid w:val="003645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514"/>
  </w:style>
  <w:style w:type="paragraph" w:styleId="EndnoteText">
    <w:name w:val="endnote text"/>
    <w:basedOn w:val="Normal"/>
    <w:link w:val="EndnoteTextChar"/>
    <w:uiPriority w:val="99"/>
    <w:semiHidden/>
    <w:unhideWhenUsed/>
    <w:rsid w:val="001D3DD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3DDA"/>
    <w:rPr>
      <w:sz w:val="20"/>
      <w:szCs w:val="20"/>
    </w:rPr>
  </w:style>
  <w:style w:type="character" w:styleId="EndnoteReference">
    <w:name w:val="endnote reference"/>
    <w:basedOn w:val="DefaultParagraphFont"/>
    <w:uiPriority w:val="99"/>
    <w:semiHidden/>
    <w:unhideWhenUsed/>
    <w:rsid w:val="001D3DDA"/>
    <w:rPr>
      <w:vertAlign w:val="superscript"/>
    </w:rPr>
  </w:style>
  <w:style w:type="paragraph" w:styleId="Revision">
    <w:name w:val="Revision"/>
    <w:hidden/>
    <w:uiPriority w:val="99"/>
    <w:semiHidden/>
    <w:rsid w:val="00DA7FA3"/>
    <w:pPr>
      <w:spacing w:after="0" w:line="240" w:lineRule="auto"/>
    </w:pPr>
  </w:style>
  <w:style w:type="paragraph" w:styleId="NoSpacing">
    <w:name w:val="No Spacing"/>
    <w:uiPriority w:val="1"/>
    <w:qFormat/>
    <w:rsid w:val="00893764"/>
    <w:pPr>
      <w:spacing w:after="0" w:line="240" w:lineRule="auto"/>
    </w:pPr>
  </w:style>
  <w:style w:type="paragraph" w:customStyle="1" w:styleId="paragraphsub">
    <w:name w:val="paragraphsub"/>
    <w:basedOn w:val="Normal"/>
    <w:rsid w:val="00261F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261F0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910EE4"/>
    <w:pPr>
      <w:spacing w:after="107" w:line="240" w:lineRule="auto"/>
    </w:pPr>
    <w:rPr>
      <w:rFonts w:ascii="Times New Roman" w:eastAsia="Times New Roman" w:hAnsi="Times New Roman" w:cs="Times New Roman"/>
      <w:lang w:eastAsia="en-AU"/>
    </w:rPr>
  </w:style>
  <w:style w:type="table" w:styleId="TableGrid">
    <w:name w:val="Table Grid"/>
    <w:basedOn w:val="TableNormal"/>
    <w:uiPriority w:val="39"/>
    <w:rsid w:val="00A43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C3B97"/>
    <w:pPr>
      <w:numPr>
        <w:ilvl w:val="1"/>
      </w:numPr>
    </w:pPr>
    <w:rPr>
      <w:rFonts w:eastAsiaTheme="minorEastAsia"/>
      <w:b/>
    </w:rPr>
  </w:style>
  <w:style w:type="character" w:customStyle="1" w:styleId="SubtitleChar">
    <w:name w:val="Subtitle Char"/>
    <w:basedOn w:val="DefaultParagraphFont"/>
    <w:link w:val="Subtitle"/>
    <w:uiPriority w:val="11"/>
    <w:rsid w:val="00AC3B97"/>
    <w:rPr>
      <w:rFonts w:eastAsiaTheme="minorEastAsia"/>
      <w:b/>
    </w:rPr>
  </w:style>
  <w:style w:type="paragraph" w:customStyle="1" w:styleId="Calloutbox">
    <w:name w:val="Call out box"/>
    <w:basedOn w:val="Normal"/>
    <w:qFormat/>
    <w:rsid w:val="00833F5C"/>
    <w:pPr>
      <w:pBdr>
        <w:top w:val="single" w:sz="4" w:space="6" w:color="FFF2CC" w:themeColor="accent4" w:themeTint="33"/>
        <w:left w:val="single" w:sz="4" w:space="4" w:color="FFF2CC" w:themeColor="accent4" w:themeTint="33"/>
        <w:bottom w:val="single" w:sz="4" w:space="6" w:color="FFF2CC" w:themeColor="accent4" w:themeTint="33"/>
        <w:right w:val="single" w:sz="4" w:space="4" w:color="FFF2CC" w:themeColor="accent4" w:themeTint="33"/>
      </w:pBdr>
      <w:shd w:val="clear" w:color="auto" w:fill="FFF2CC" w:themeFill="accent4" w:themeFillTint="3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060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41">
          <w:marLeft w:val="0"/>
          <w:marRight w:val="0"/>
          <w:marTop w:val="0"/>
          <w:marBottom w:val="0"/>
          <w:divBdr>
            <w:top w:val="none" w:sz="0" w:space="0" w:color="auto"/>
            <w:left w:val="none" w:sz="0" w:space="0" w:color="auto"/>
            <w:bottom w:val="none" w:sz="0" w:space="0" w:color="auto"/>
            <w:right w:val="none" w:sz="0" w:space="0" w:color="auto"/>
          </w:divBdr>
          <w:divsChild>
            <w:div w:id="1522355886">
              <w:marLeft w:val="0"/>
              <w:marRight w:val="0"/>
              <w:marTop w:val="0"/>
              <w:marBottom w:val="0"/>
              <w:divBdr>
                <w:top w:val="none" w:sz="0" w:space="0" w:color="auto"/>
                <w:left w:val="none" w:sz="0" w:space="0" w:color="auto"/>
                <w:bottom w:val="none" w:sz="0" w:space="0" w:color="auto"/>
                <w:right w:val="none" w:sz="0" w:space="0" w:color="auto"/>
              </w:divBdr>
              <w:divsChild>
                <w:div w:id="1557547592">
                  <w:marLeft w:val="0"/>
                  <w:marRight w:val="0"/>
                  <w:marTop w:val="0"/>
                  <w:marBottom w:val="0"/>
                  <w:divBdr>
                    <w:top w:val="none" w:sz="0" w:space="0" w:color="auto"/>
                    <w:left w:val="none" w:sz="0" w:space="0" w:color="auto"/>
                    <w:bottom w:val="none" w:sz="0" w:space="0" w:color="auto"/>
                    <w:right w:val="none" w:sz="0" w:space="0" w:color="auto"/>
                  </w:divBdr>
                  <w:divsChild>
                    <w:div w:id="340276814">
                      <w:marLeft w:val="0"/>
                      <w:marRight w:val="0"/>
                      <w:marTop w:val="0"/>
                      <w:marBottom w:val="0"/>
                      <w:divBdr>
                        <w:top w:val="none" w:sz="0" w:space="0" w:color="auto"/>
                        <w:left w:val="none" w:sz="0" w:space="0" w:color="auto"/>
                        <w:bottom w:val="none" w:sz="0" w:space="0" w:color="auto"/>
                        <w:right w:val="none" w:sz="0" w:space="0" w:color="auto"/>
                      </w:divBdr>
                      <w:divsChild>
                        <w:div w:id="1609386590">
                          <w:marLeft w:val="0"/>
                          <w:marRight w:val="0"/>
                          <w:marTop w:val="0"/>
                          <w:marBottom w:val="0"/>
                          <w:divBdr>
                            <w:top w:val="none" w:sz="0" w:space="0" w:color="auto"/>
                            <w:left w:val="none" w:sz="0" w:space="0" w:color="auto"/>
                            <w:bottom w:val="none" w:sz="0" w:space="0" w:color="auto"/>
                            <w:right w:val="none" w:sz="0" w:space="0" w:color="auto"/>
                          </w:divBdr>
                          <w:divsChild>
                            <w:div w:id="74792209">
                              <w:marLeft w:val="0"/>
                              <w:marRight w:val="0"/>
                              <w:marTop w:val="0"/>
                              <w:marBottom w:val="0"/>
                              <w:divBdr>
                                <w:top w:val="none" w:sz="0" w:space="0" w:color="auto"/>
                                <w:left w:val="none" w:sz="0" w:space="0" w:color="auto"/>
                                <w:bottom w:val="none" w:sz="0" w:space="0" w:color="auto"/>
                                <w:right w:val="none" w:sz="0" w:space="0" w:color="auto"/>
                              </w:divBdr>
                              <w:divsChild>
                                <w:div w:id="1220552557">
                                  <w:marLeft w:val="0"/>
                                  <w:marRight w:val="0"/>
                                  <w:marTop w:val="0"/>
                                  <w:marBottom w:val="0"/>
                                  <w:divBdr>
                                    <w:top w:val="none" w:sz="0" w:space="0" w:color="auto"/>
                                    <w:left w:val="none" w:sz="0" w:space="0" w:color="auto"/>
                                    <w:bottom w:val="none" w:sz="0" w:space="0" w:color="auto"/>
                                    <w:right w:val="none" w:sz="0" w:space="0" w:color="auto"/>
                                  </w:divBdr>
                                  <w:divsChild>
                                    <w:div w:id="1275288721">
                                      <w:marLeft w:val="0"/>
                                      <w:marRight w:val="0"/>
                                      <w:marTop w:val="0"/>
                                      <w:marBottom w:val="0"/>
                                      <w:divBdr>
                                        <w:top w:val="none" w:sz="0" w:space="0" w:color="auto"/>
                                        <w:left w:val="none" w:sz="0" w:space="0" w:color="auto"/>
                                        <w:bottom w:val="none" w:sz="0" w:space="0" w:color="auto"/>
                                        <w:right w:val="none" w:sz="0" w:space="0" w:color="auto"/>
                                      </w:divBdr>
                                      <w:divsChild>
                                        <w:div w:id="343827705">
                                          <w:marLeft w:val="0"/>
                                          <w:marRight w:val="0"/>
                                          <w:marTop w:val="0"/>
                                          <w:marBottom w:val="0"/>
                                          <w:divBdr>
                                            <w:top w:val="none" w:sz="0" w:space="0" w:color="auto"/>
                                            <w:left w:val="none" w:sz="0" w:space="0" w:color="auto"/>
                                            <w:bottom w:val="none" w:sz="0" w:space="0" w:color="auto"/>
                                            <w:right w:val="none" w:sz="0" w:space="0" w:color="auto"/>
                                          </w:divBdr>
                                          <w:divsChild>
                                            <w:div w:id="1537084287">
                                              <w:marLeft w:val="0"/>
                                              <w:marRight w:val="0"/>
                                              <w:marTop w:val="0"/>
                                              <w:marBottom w:val="0"/>
                                              <w:divBdr>
                                                <w:top w:val="none" w:sz="0" w:space="0" w:color="auto"/>
                                                <w:left w:val="none" w:sz="0" w:space="0" w:color="auto"/>
                                                <w:bottom w:val="none" w:sz="0" w:space="0" w:color="auto"/>
                                                <w:right w:val="none" w:sz="0" w:space="0" w:color="auto"/>
                                              </w:divBdr>
                                              <w:divsChild>
                                                <w:div w:id="68886909">
                                                  <w:marLeft w:val="0"/>
                                                  <w:marRight w:val="0"/>
                                                  <w:marTop w:val="0"/>
                                                  <w:marBottom w:val="0"/>
                                                  <w:divBdr>
                                                    <w:top w:val="none" w:sz="0" w:space="0" w:color="auto"/>
                                                    <w:left w:val="none" w:sz="0" w:space="0" w:color="auto"/>
                                                    <w:bottom w:val="none" w:sz="0" w:space="0" w:color="auto"/>
                                                    <w:right w:val="none" w:sz="0" w:space="0" w:color="auto"/>
                                                  </w:divBdr>
                                                  <w:divsChild>
                                                    <w:div w:id="450246543">
                                                      <w:marLeft w:val="0"/>
                                                      <w:marRight w:val="0"/>
                                                      <w:marTop w:val="0"/>
                                                      <w:marBottom w:val="0"/>
                                                      <w:divBdr>
                                                        <w:top w:val="none" w:sz="0" w:space="0" w:color="auto"/>
                                                        <w:left w:val="none" w:sz="0" w:space="0" w:color="auto"/>
                                                        <w:bottom w:val="none" w:sz="0" w:space="0" w:color="auto"/>
                                                        <w:right w:val="none" w:sz="0" w:space="0" w:color="auto"/>
                                                      </w:divBdr>
                                                      <w:divsChild>
                                                        <w:div w:id="431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260191">
      <w:bodyDiv w:val="1"/>
      <w:marLeft w:val="0"/>
      <w:marRight w:val="0"/>
      <w:marTop w:val="0"/>
      <w:marBottom w:val="0"/>
      <w:divBdr>
        <w:top w:val="none" w:sz="0" w:space="0" w:color="auto"/>
        <w:left w:val="none" w:sz="0" w:space="0" w:color="auto"/>
        <w:bottom w:val="none" w:sz="0" w:space="0" w:color="auto"/>
        <w:right w:val="none" w:sz="0" w:space="0" w:color="auto"/>
      </w:divBdr>
      <w:divsChild>
        <w:div w:id="1570773868">
          <w:marLeft w:val="0"/>
          <w:marRight w:val="0"/>
          <w:marTop w:val="0"/>
          <w:marBottom w:val="0"/>
          <w:divBdr>
            <w:top w:val="none" w:sz="0" w:space="0" w:color="auto"/>
            <w:left w:val="none" w:sz="0" w:space="0" w:color="auto"/>
            <w:bottom w:val="none" w:sz="0" w:space="0" w:color="auto"/>
            <w:right w:val="none" w:sz="0" w:space="0" w:color="auto"/>
          </w:divBdr>
          <w:divsChild>
            <w:div w:id="1602831671">
              <w:marLeft w:val="0"/>
              <w:marRight w:val="0"/>
              <w:marTop w:val="0"/>
              <w:marBottom w:val="0"/>
              <w:divBdr>
                <w:top w:val="none" w:sz="0" w:space="0" w:color="auto"/>
                <w:left w:val="none" w:sz="0" w:space="0" w:color="auto"/>
                <w:bottom w:val="none" w:sz="0" w:space="0" w:color="auto"/>
                <w:right w:val="none" w:sz="0" w:space="0" w:color="auto"/>
              </w:divBdr>
              <w:divsChild>
                <w:div w:id="677198127">
                  <w:marLeft w:val="0"/>
                  <w:marRight w:val="0"/>
                  <w:marTop w:val="0"/>
                  <w:marBottom w:val="0"/>
                  <w:divBdr>
                    <w:top w:val="none" w:sz="0" w:space="0" w:color="auto"/>
                    <w:left w:val="none" w:sz="0" w:space="0" w:color="auto"/>
                    <w:bottom w:val="none" w:sz="0" w:space="0" w:color="auto"/>
                    <w:right w:val="none" w:sz="0" w:space="0" w:color="auto"/>
                  </w:divBdr>
                  <w:divsChild>
                    <w:div w:id="184441686">
                      <w:marLeft w:val="0"/>
                      <w:marRight w:val="0"/>
                      <w:marTop w:val="0"/>
                      <w:marBottom w:val="0"/>
                      <w:divBdr>
                        <w:top w:val="none" w:sz="0" w:space="0" w:color="auto"/>
                        <w:left w:val="none" w:sz="0" w:space="0" w:color="auto"/>
                        <w:bottom w:val="none" w:sz="0" w:space="0" w:color="auto"/>
                        <w:right w:val="none" w:sz="0" w:space="0" w:color="auto"/>
                      </w:divBdr>
                      <w:divsChild>
                        <w:div w:id="225991490">
                          <w:marLeft w:val="0"/>
                          <w:marRight w:val="0"/>
                          <w:marTop w:val="0"/>
                          <w:marBottom w:val="0"/>
                          <w:divBdr>
                            <w:top w:val="none" w:sz="0" w:space="0" w:color="auto"/>
                            <w:left w:val="none" w:sz="0" w:space="0" w:color="auto"/>
                            <w:bottom w:val="none" w:sz="0" w:space="0" w:color="auto"/>
                            <w:right w:val="none" w:sz="0" w:space="0" w:color="auto"/>
                          </w:divBdr>
                          <w:divsChild>
                            <w:div w:id="109125604">
                              <w:marLeft w:val="0"/>
                              <w:marRight w:val="0"/>
                              <w:marTop w:val="0"/>
                              <w:marBottom w:val="0"/>
                              <w:divBdr>
                                <w:top w:val="none" w:sz="0" w:space="0" w:color="auto"/>
                                <w:left w:val="none" w:sz="0" w:space="0" w:color="auto"/>
                                <w:bottom w:val="none" w:sz="0" w:space="0" w:color="auto"/>
                                <w:right w:val="none" w:sz="0" w:space="0" w:color="auto"/>
                              </w:divBdr>
                              <w:divsChild>
                                <w:div w:id="1765032755">
                                  <w:marLeft w:val="0"/>
                                  <w:marRight w:val="0"/>
                                  <w:marTop w:val="0"/>
                                  <w:marBottom w:val="0"/>
                                  <w:divBdr>
                                    <w:top w:val="none" w:sz="0" w:space="0" w:color="auto"/>
                                    <w:left w:val="none" w:sz="0" w:space="0" w:color="auto"/>
                                    <w:bottom w:val="none" w:sz="0" w:space="0" w:color="auto"/>
                                    <w:right w:val="none" w:sz="0" w:space="0" w:color="auto"/>
                                  </w:divBdr>
                                  <w:divsChild>
                                    <w:div w:id="1288008454">
                                      <w:marLeft w:val="0"/>
                                      <w:marRight w:val="0"/>
                                      <w:marTop w:val="0"/>
                                      <w:marBottom w:val="0"/>
                                      <w:divBdr>
                                        <w:top w:val="none" w:sz="0" w:space="0" w:color="auto"/>
                                        <w:left w:val="none" w:sz="0" w:space="0" w:color="auto"/>
                                        <w:bottom w:val="none" w:sz="0" w:space="0" w:color="auto"/>
                                        <w:right w:val="none" w:sz="0" w:space="0" w:color="auto"/>
                                      </w:divBdr>
                                      <w:divsChild>
                                        <w:div w:id="25065179">
                                          <w:marLeft w:val="0"/>
                                          <w:marRight w:val="0"/>
                                          <w:marTop w:val="0"/>
                                          <w:marBottom w:val="0"/>
                                          <w:divBdr>
                                            <w:top w:val="none" w:sz="0" w:space="0" w:color="auto"/>
                                            <w:left w:val="none" w:sz="0" w:space="0" w:color="auto"/>
                                            <w:bottom w:val="none" w:sz="0" w:space="0" w:color="auto"/>
                                            <w:right w:val="none" w:sz="0" w:space="0" w:color="auto"/>
                                          </w:divBdr>
                                          <w:divsChild>
                                            <w:div w:id="1735884572">
                                              <w:marLeft w:val="0"/>
                                              <w:marRight w:val="0"/>
                                              <w:marTop w:val="0"/>
                                              <w:marBottom w:val="0"/>
                                              <w:divBdr>
                                                <w:top w:val="none" w:sz="0" w:space="0" w:color="auto"/>
                                                <w:left w:val="none" w:sz="0" w:space="0" w:color="auto"/>
                                                <w:bottom w:val="none" w:sz="0" w:space="0" w:color="auto"/>
                                                <w:right w:val="none" w:sz="0" w:space="0" w:color="auto"/>
                                              </w:divBdr>
                                              <w:divsChild>
                                                <w:div w:id="1475483585">
                                                  <w:marLeft w:val="0"/>
                                                  <w:marRight w:val="0"/>
                                                  <w:marTop w:val="0"/>
                                                  <w:marBottom w:val="0"/>
                                                  <w:divBdr>
                                                    <w:top w:val="none" w:sz="0" w:space="0" w:color="auto"/>
                                                    <w:left w:val="none" w:sz="0" w:space="0" w:color="auto"/>
                                                    <w:bottom w:val="none" w:sz="0" w:space="0" w:color="auto"/>
                                                    <w:right w:val="none" w:sz="0" w:space="0" w:color="auto"/>
                                                  </w:divBdr>
                                                  <w:divsChild>
                                                    <w:div w:id="483619206">
                                                      <w:marLeft w:val="0"/>
                                                      <w:marRight w:val="0"/>
                                                      <w:marTop w:val="0"/>
                                                      <w:marBottom w:val="0"/>
                                                      <w:divBdr>
                                                        <w:top w:val="none" w:sz="0" w:space="0" w:color="auto"/>
                                                        <w:left w:val="none" w:sz="0" w:space="0" w:color="auto"/>
                                                        <w:bottom w:val="none" w:sz="0" w:space="0" w:color="auto"/>
                                                        <w:right w:val="none" w:sz="0" w:space="0" w:color="auto"/>
                                                      </w:divBdr>
                                                      <w:divsChild>
                                                        <w:div w:id="6383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0041919">
      <w:bodyDiv w:val="1"/>
      <w:marLeft w:val="0"/>
      <w:marRight w:val="0"/>
      <w:marTop w:val="0"/>
      <w:marBottom w:val="0"/>
      <w:divBdr>
        <w:top w:val="none" w:sz="0" w:space="0" w:color="auto"/>
        <w:left w:val="none" w:sz="0" w:space="0" w:color="auto"/>
        <w:bottom w:val="none" w:sz="0" w:space="0" w:color="auto"/>
        <w:right w:val="none" w:sz="0" w:space="0" w:color="auto"/>
      </w:divBdr>
    </w:div>
    <w:div w:id="468791840">
      <w:bodyDiv w:val="1"/>
      <w:marLeft w:val="0"/>
      <w:marRight w:val="0"/>
      <w:marTop w:val="0"/>
      <w:marBottom w:val="0"/>
      <w:divBdr>
        <w:top w:val="none" w:sz="0" w:space="0" w:color="auto"/>
        <w:left w:val="none" w:sz="0" w:space="0" w:color="auto"/>
        <w:bottom w:val="none" w:sz="0" w:space="0" w:color="auto"/>
        <w:right w:val="none" w:sz="0" w:space="0" w:color="auto"/>
      </w:divBdr>
      <w:divsChild>
        <w:div w:id="1725643244">
          <w:marLeft w:val="0"/>
          <w:marRight w:val="0"/>
          <w:marTop w:val="0"/>
          <w:marBottom w:val="0"/>
          <w:divBdr>
            <w:top w:val="none" w:sz="0" w:space="0" w:color="auto"/>
            <w:left w:val="none" w:sz="0" w:space="0" w:color="auto"/>
            <w:bottom w:val="none" w:sz="0" w:space="0" w:color="auto"/>
            <w:right w:val="none" w:sz="0" w:space="0" w:color="auto"/>
          </w:divBdr>
          <w:divsChild>
            <w:div w:id="554702305">
              <w:marLeft w:val="0"/>
              <w:marRight w:val="0"/>
              <w:marTop w:val="0"/>
              <w:marBottom w:val="0"/>
              <w:divBdr>
                <w:top w:val="none" w:sz="0" w:space="0" w:color="auto"/>
                <w:left w:val="none" w:sz="0" w:space="0" w:color="auto"/>
                <w:bottom w:val="none" w:sz="0" w:space="0" w:color="auto"/>
                <w:right w:val="none" w:sz="0" w:space="0" w:color="auto"/>
              </w:divBdr>
              <w:divsChild>
                <w:div w:id="624433905">
                  <w:marLeft w:val="0"/>
                  <w:marRight w:val="0"/>
                  <w:marTop w:val="0"/>
                  <w:marBottom w:val="0"/>
                  <w:divBdr>
                    <w:top w:val="none" w:sz="0" w:space="0" w:color="auto"/>
                    <w:left w:val="none" w:sz="0" w:space="0" w:color="auto"/>
                    <w:bottom w:val="none" w:sz="0" w:space="0" w:color="auto"/>
                    <w:right w:val="none" w:sz="0" w:space="0" w:color="auto"/>
                  </w:divBdr>
                  <w:divsChild>
                    <w:div w:id="1918441781">
                      <w:marLeft w:val="0"/>
                      <w:marRight w:val="0"/>
                      <w:marTop w:val="0"/>
                      <w:marBottom w:val="0"/>
                      <w:divBdr>
                        <w:top w:val="none" w:sz="0" w:space="0" w:color="auto"/>
                        <w:left w:val="none" w:sz="0" w:space="0" w:color="auto"/>
                        <w:bottom w:val="none" w:sz="0" w:space="0" w:color="auto"/>
                        <w:right w:val="none" w:sz="0" w:space="0" w:color="auto"/>
                      </w:divBdr>
                      <w:divsChild>
                        <w:div w:id="1039746810">
                          <w:marLeft w:val="-225"/>
                          <w:marRight w:val="-225"/>
                          <w:marTop w:val="0"/>
                          <w:marBottom w:val="0"/>
                          <w:divBdr>
                            <w:top w:val="none" w:sz="0" w:space="0" w:color="auto"/>
                            <w:left w:val="none" w:sz="0" w:space="0" w:color="auto"/>
                            <w:bottom w:val="none" w:sz="0" w:space="0" w:color="auto"/>
                            <w:right w:val="none" w:sz="0" w:space="0" w:color="auto"/>
                          </w:divBdr>
                          <w:divsChild>
                            <w:div w:id="1632325609">
                              <w:marLeft w:val="0"/>
                              <w:marRight w:val="0"/>
                              <w:marTop w:val="0"/>
                              <w:marBottom w:val="0"/>
                              <w:divBdr>
                                <w:top w:val="none" w:sz="0" w:space="0" w:color="auto"/>
                                <w:left w:val="none" w:sz="0" w:space="0" w:color="auto"/>
                                <w:bottom w:val="none" w:sz="0" w:space="0" w:color="auto"/>
                                <w:right w:val="none" w:sz="0" w:space="0" w:color="auto"/>
                              </w:divBdr>
                              <w:divsChild>
                                <w:div w:id="1351446625">
                                  <w:marLeft w:val="0"/>
                                  <w:marRight w:val="0"/>
                                  <w:marTop w:val="0"/>
                                  <w:marBottom w:val="0"/>
                                  <w:divBdr>
                                    <w:top w:val="none" w:sz="0" w:space="0" w:color="auto"/>
                                    <w:left w:val="none" w:sz="0" w:space="0" w:color="auto"/>
                                    <w:bottom w:val="none" w:sz="0" w:space="0" w:color="auto"/>
                                    <w:right w:val="none" w:sz="0" w:space="0" w:color="auto"/>
                                  </w:divBdr>
                                  <w:divsChild>
                                    <w:div w:id="1560825063">
                                      <w:marLeft w:val="0"/>
                                      <w:marRight w:val="0"/>
                                      <w:marTop w:val="0"/>
                                      <w:marBottom w:val="0"/>
                                      <w:divBdr>
                                        <w:top w:val="none" w:sz="0" w:space="0" w:color="auto"/>
                                        <w:left w:val="none" w:sz="0" w:space="0" w:color="auto"/>
                                        <w:bottom w:val="none" w:sz="0" w:space="0" w:color="auto"/>
                                        <w:right w:val="none" w:sz="0" w:space="0" w:color="auto"/>
                                      </w:divBdr>
                                      <w:divsChild>
                                        <w:div w:id="1320498702">
                                          <w:marLeft w:val="-225"/>
                                          <w:marRight w:val="-225"/>
                                          <w:marTop w:val="0"/>
                                          <w:marBottom w:val="0"/>
                                          <w:divBdr>
                                            <w:top w:val="none" w:sz="0" w:space="0" w:color="auto"/>
                                            <w:left w:val="none" w:sz="0" w:space="0" w:color="auto"/>
                                            <w:bottom w:val="none" w:sz="0" w:space="0" w:color="auto"/>
                                            <w:right w:val="none" w:sz="0" w:space="0" w:color="auto"/>
                                          </w:divBdr>
                                          <w:divsChild>
                                            <w:div w:id="1608654158">
                                              <w:marLeft w:val="0"/>
                                              <w:marRight w:val="0"/>
                                              <w:marTop w:val="0"/>
                                              <w:marBottom w:val="0"/>
                                              <w:divBdr>
                                                <w:top w:val="none" w:sz="0" w:space="0" w:color="auto"/>
                                                <w:left w:val="none" w:sz="0" w:space="0" w:color="auto"/>
                                                <w:bottom w:val="none" w:sz="0" w:space="0" w:color="auto"/>
                                                <w:right w:val="none" w:sz="0" w:space="0" w:color="auto"/>
                                              </w:divBdr>
                                              <w:divsChild>
                                                <w:div w:id="1049039926">
                                                  <w:marLeft w:val="0"/>
                                                  <w:marRight w:val="0"/>
                                                  <w:marTop w:val="0"/>
                                                  <w:marBottom w:val="0"/>
                                                  <w:divBdr>
                                                    <w:top w:val="none" w:sz="0" w:space="0" w:color="auto"/>
                                                    <w:left w:val="none" w:sz="0" w:space="0" w:color="auto"/>
                                                    <w:bottom w:val="none" w:sz="0" w:space="0" w:color="auto"/>
                                                    <w:right w:val="none" w:sz="0" w:space="0" w:color="auto"/>
                                                  </w:divBdr>
                                                  <w:divsChild>
                                                    <w:div w:id="243150566">
                                                      <w:marLeft w:val="0"/>
                                                      <w:marRight w:val="0"/>
                                                      <w:marTop w:val="0"/>
                                                      <w:marBottom w:val="0"/>
                                                      <w:divBdr>
                                                        <w:top w:val="none" w:sz="0" w:space="0" w:color="auto"/>
                                                        <w:left w:val="none" w:sz="0" w:space="0" w:color="auto"/>
                                                        <w:bottom w:val="none" w:sz="0" w:space="0" w:color="auto"/>
                                                        <w:right w:val="none" w:sz="0" w:space="0" w:color="auto"/>
                                                      </w:divBdr>
                                                      <w:divsChild>
                                                        <w:div w:id="2098480043">
                                                          <w:marLeft w:val="0"/>
                                                          <w:marRight w:val="0"/>
                                                          <w:marTop w:val="0"/>
                                                          <w:marBottom w:val="0"/>
                                                          <w:divBdr>
                                                            <w:top w:val="none" w:sz="0" w:space="0" w:color="auto"/>
                                                            <w:left w:val="none" w:sz="0" w:space="0" w:color="auto"/>
                                                            <w:bottom w:val="none" w:sz="0" w:space="0" w:color="auto"/>
                                                            <w:right w:val="none" w:sz="0" w:space="0" w:color="auto"/>
                                                          </w:divBdr>
                                                          <w:divsChild>
                                                            <w:div w:id="11054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0660733">
      <w:bodyDiv w:val="1"/>
      <w:marLeft w:val="0"/>
      <w:marRight w:val="0"/>
      <w:marTop w:val="0"/>
      <w:marBottom w:val="0"/>
      <w:divBdr>
        <w:top w:val="none" w:sz="0" w:space="0" w:color="auto"/>
        <w:left w:val="none" w:sz="0" w:space="0" w:color="auto"/>
        <w:bottom w:val="none" w:sz="0" w:space="0" w:color="auto"/>
        <w:right w:val="none" w:sz="0" w:space="0" w:color="auto"/>
      </w:divBdr>
      <w:divsChild>
        <w:div w:id="1959213184">
          <w:marLeft w:val="0"/>
          <w:marRight w:val="0"/>
          <w:marTop w:val="0"/>
          <w:marBottom w:val="0"/>
          <w:divBdr>
            <w:top w:val="none" w:sz="0" w:space="0" w:color="auto"/>
            <w:left w:val="none" w:sz="0" w:space="0" w:color="auto"/>
            <w:bottom w:val="none" w:sz="0" w:space="0" w:color="auto"/>
            <w:right w:val="none" w:sz="0" w:space="0" w:color="auto"/>
          </w:divBdr>
          <w:divsChild>
            <w:div w:id="871577510">
              <w:marLeft w:val="0"/>
              <w:marRight w:val="0"/>
              <w:marTop w:val="0"/>
              <w:marBottom w:val="0"/>
              <w:divBdr>
                <w:top w:val="none" w:sz="0" w:space="0" w:color="auto"/>
                <w:left w:val="none" w:sz="0" w:space="0" w:color="auto"/>
                <w:bottom w:val="none" w:sz="0" w:space="0" w:color="auto"/>
                <w:right w:val="none" w:sz="0" w:space="0" w:color="auto"/>
              </w:divBdr>
              <w:divsChild>
                <w:div w:id="2075617268">
                  <w:marLeft w:val="0"/>
                  <w:marRight w:val="0"/>
                  <w:marTop w:val="0"/>
                  <w:marBottom w:val="0"/>
                  <w:divBdr>
                    <w:top w:val="none" w:sz="0" w:space="0" w:color="auto"/>
                    <w:left w:val="none" w:sz="0" w:space="0" w:color="auto"/>
                    <w:bottom w:val="none" w:sz="0" w:space="0" w:color="auto"/>
                    <w:right w:val="none" w:sz="0" w:space="0" w:color="auto"/>
                  </w:divBdr>
                  <w:divsChild>
                    <w:div w:id="782262986">
                      <w:marLeft w:val="0"/>
                      <w:marRight w:val="0"/>
                      <w:marTop w:val="0"/>
                      <w:marBottom w:val="0"/>
                      <w:divBdr>
                        <w:top w:val="none" w:sz="0" w:space="0" w:color="auto"/>
                        <w:left w:val="none" w:sz="0" w:space="0" w:color="auto"/>
                        <w:bottom w:val="none" w:sz="0" w:space="0" w:color="auto"/>
                        <w:right w:val="none" w:sz="0" w:space="0" w:color="auto"/>
                      </w:divBdr>
                      <w:divsChild>
                        <w:div w:id="1221288661">
                          <w:marLeft w:val="-225"/>
                          <w:marRight w:val="-225"/>
                          <w:marTop w:val="0"/>
                          <w:marBottom w:val="0"/>
                          <w:divBdr>
                            <w:top w:val="none" w:sz="0" w:space="0" w:color="auto"/>
                            <w:left w:val="none" w:sz="0" w:space="0" w:color="auto"/>
                            <w:bottom w:val="none" w:sz="0" w:space="0" w:color="auto"/>
                            <w:right w:val="none" w:sz="0" w:space="0" w:color="auto"/>
                          </w:divBdr>
                          <w:divsChild>
                            <w:div w:id="1046101051">
                              <w:marLeft w:val="0"/>
                              <w:marRight w:val="0"/>
                              <w:marTop w:val="0"/>
                              <w:marBottom w:val="0"/>
                              <w:divBdr>
                                <w:top w:val="none" w:sz="0" w:space="0" w:color="auto"/>
                                <w:left w:val="none" w:sz="0" w:space="0" w:color="auto"/>
                                <w:bottom w:val="none" w:sz="0" w:space="0" w:color="auto"/>
                                <w:right w:val="none" w:sz="0" w:space="0" w:color="auto"/>
                              </w:divBdr>
                              <w:divsChild>
                                <w:div w:id="991257278">
                                  <w:marLeft w:val="0"/>
                                  <w:marRight w:val="0"/>
                                  <w:marTop w:val="0"/>
                                  <w:marBottom w:val="0"/>
                                  <w:divBdr>
                                    <w:top w:val="none" w:sz="0" w:space="0" w:color="auto"/>
                                    <w:left w:val="none" w:sz="0" w:space="0" w:color="auto"/>
                                    <w:bottom w:val="none" w:sz="0" w:space="0" w:color="auto"/>
                                    <w:right w:val="none" w:sz="0" w:space="0" w:color="auto"/>
                                  </w:divBdr>
                                  <w:divsChild>
                                    <w:div w:id="1901940623">
                                      <w:marLeft w:val="0"/>
                                      <w:marRight w:val="0"/>
                                      <w:marTop w:val="0"/>
                                      <w:marBottom w:val="0"/>
                                      <w:divBdr>
                                        <w:top w:val="none" w:sz="0" w:space="0" w:color="auto"/>
                                        <w:left w:val="none" w:sz="0" w:space="0" w:color="auto"/>
                                        <w:bottom w:val="none" w:sz="0" w:space="0" w:color="auto"/>
                                        <w:right w:val="none" w:sz="0" w:space="0" w:color="auto"/>
                                      </w:divBdr>
                                      <w:divsChild>
                                        <w:div w:id="1251037436">
                                          <w:marLeft w:val="-225"/>
                                          <w:marRight w:val="-225"/>
                                          <w:marTop w:val="0"/>
                                          <w:marBottom w:val="0"/>
                                          <w:divBdr>
                                            <w:top w:val="none" w:sz="0" w:space="0" w:color="auto"/>
                                            <w:left w:val="none" w:sz="0" w:space="0" w:color="auto"/>
                                            <w:bottom w:val="none" w:sz="0" w:space="0" w:color="auto"/>
                                            <w:right w:val="none" w:sz="0" w:space="0" w:color="auto"/>
                                          </w:divBdr>
                                          <w:divsChild>
                                            <w:div w:id="427192820">
                                              <w:marLeft w:val="0"/>
                                              <w:marRight w:val="0"/>
                                              <w:marTop w:val="0"/>
                                              <w:marBottom w:val="0"/>
                                              <w:divBdr>
                                                <w:top w:val="none" w:sz="0" w:space="0" w:color="auto"/>
                                                <w:left w:val="none" w:sz="0" w:space="0" w:color="auto"/>
                                                <w:bottom w:val="none" w:sz="0" w:space="0" w:color="auto"/>
                                                <w:right w:val="none" w:sz="0" w:space="0" w:color="auto"/>
                                              </w:divBdr>
                                              <w:divsChild>
                                                <w:div w:id="1814718488">
                                                  <w:marLeft w:val="0"/>
                                                  <w:marRight w:val="0"/>
                                                  <w:marTop w:val="0"/>
                                                  <w:marBottom w:val="0"/>
                                                  <w:divBdr>
                                                    <w:top w:val="none" w:sz="0" w:space="0" w:color="auto"/>
                                                    <w:left w:val="none" w:sz="0" w:space="0" w:color="auto"/>
                                                    <w:bottom w:val="none" w:sz="0" w:space="0" w:color="auto"/>
                                                    <w:right w:val="none" w:sz="0" w:space="0" w:color="auto"/>
                                                  </w:divBdr>
                                                  <w:divsChild>
                                                    <w:div w:id="1947152807">
                                                      <w:marLeft w:val="0"/>
                                                      <w:marRight w:val="0"/>
                                                      <w:marTop w:val="0"/>
                                                      <w:marBottom w:val="0"/>
                                                      <w:divBdr>
                                                        <w:top w:val="none" w:sz="0" w:space="0" w:color="auto"/>
                                                        <w:left w:val="none" w:sz="0" w:space="0" w:color="auto"/>
                                                        <w:bottom w:val="none" w:sz="0" w:space="0" w:color="auto"/>
                                                        <w:right w:val="none" w:sz="0" w:space="0" w:color="auto"/>
                                                      </w:divBdr>
                                                      <w:divsChild>
                                                        <w:div w:id="625818461">
                                                          <w:marLeft w:val="0"/>
                                                          <w:marRight w:val="0"/>
                                                          <w:marTop w:val="0"/>
                                                          <w:marBottom w:val="0"/>
                                                          <w:divBdr>
                                                            <w:top w:val="none" w:sz="0" w:space="0" w:color="auto"/>
                                                            <w:left w:val="none" w:sz="0" w:space="0" w:color="auto"/>
                                                            <w:bottom w:val="none" w:sz="0" w:space="0" w:color="auto"/>
                                                            <w:right w:val="none" w:sz="0" w:space="0" w:color="auto"/>
                                                          </w:divBdr>
                                                          <w:divsChild>
                                                            <w:div w:id="166088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6884359">
      <w:bodyDiv w:val="1"/>
      <w:marLeft w:val="0"/>
      <w:marRight w:val="0"/>
      <w:marTop w:val="0"/>
      <w:marBottom w:val="0"/>
      <w:divBdr>
        <w:top w:val="none" w:sz="0" w:space="0" w:color="auto"/>
        <w:left w:val="none" w:sz="0" w:space="0" w:color="auto"/>
        <w:bottom w:val="none" w:sz="0" w:space="0" w:color="auto"/>
        <w:right w:val="none" w:sz="0" w:space="0" w:color="auto"/>
      </w:divBdr>
    </w:div>
    <w:div w:id="644089498">
      <w:bodyDiv w:val="1"/>
      <w:marLeft w:val="0"/>
      <w:marRight w:val="0"/>
      <w:marTop w:val="0"/>
      <w:marBottom w:val="0"/>
      <w:divBdr>
        <w:top w:val="none" w:sz="0" w:space="0" w:color="auto"/>
        <w:left w:val="none" w:sz="0" w:space="0" w:color="auto"/>
        <w:bottom w:val="none" w:sz="0" w:space="0" w:color="auto"/>
        <w:right w:val="none" w:sz="0" w:space="0" w:color="auto"/>
      </w:divBdr>
    </w:div>
    <w:div w:id="729232951">
      <w:bodyDiv w:val="1"/>
      <w:marLeft w:val="0"/>
      <w:marRight w:val="0"/>
      <w:marTop w:val="0"/>
      <w:marBottom w:val="0"/>
      <w:divBdr>
        <w:top w:val="none" w:sz="0" w:space="0" w:color="auto"/>
        <w:left w:val="none" w:sz="0" w:space="0" w:color="auto"/>
        <w:bottom w:val="none" w:sz="0" w:space="0" w:color="auto"/>
        <w:right w:val="none" w:sz="0" w:space="0" w:color="auto"/>
      </w:divBdr>
    </w:div>
    <w:div w:id="736174820">
      <w:bodyDiv w:val="1"/>
      <w:marLeft w:val="0"/>
      <w:marRight w:val="0"/>
      <w:marTop w:val="0"/>
      <w:marBottom w:val="0"/>
      <w:divBdr>
        <w:top w:val="none" w:sz="0" w:space="0" w:color="auto"/>
        <w:left w:val="none" w:sz="0" w:space="0" w:color="auto"/>
        <w:bottom w:val="none" w:sz="0" w:space="0" w:color="auto"/>
        <w:right w:val="none" w:sz="0" w:space="0" w:color="auto"/>
      </w:divBdr>
    </w:div>
    <w:div w:id="1125467870">
      <w:bodyDiv w:val="1"/>
      <w:marLeft w:val="0"/>
      <w:marRight w:val="0"/>
      <w:marTop w:val="0"/>
      <w:marBottom w:val="0"/>
      <w:divBdr>
        <w:top w:val="none" w:sz="0" w:space="0" w:color="auto"/>
        <w:left w:val="none" w:sz="0" w:space="0" w:color="auto"/>
        <w:bottom w:val="none" w:sz="0" w:space="0" w:color="auto"/>
        <w:right w:val="none" w:sz="0" w:space="0" w:color="auto"/>
      </w:divBdr>
    </w:div>
    <w:div w:id="1182622321">
      <w:bodyDiv w:val="1"/>
      <w:marLeft w:val="0"/>
      <w:marRight w:val="0"/>
      <w:marTop w:val="0"/>
      <w:marBottom w:val="0"/>
      <w:divBdr>
        <w:top w:val="none" w:sz="0" w:space="0" w:color="auto"/>
        <w:left w:val="none" w:sz="0" w:space="0" w:color="auto"/>
        <w:bottom w:val="none" w:sz="0" w:space="0" w:color="auto"/>
        <w:right w:val="none" w:sz="0" w:space="0" w:color="auto"/>
      </w:divBdr>
    </w:div>
    <w:div w:id="1493523432">
      <w:bodyDiv w:val="1"/>
      <w:marLeft w:val="0"/>
      <w:marRight w:val="0"/>
      <w:marTop w:val="0"/>
      <w:marBottom w:val="0"/>
      <w:divBdr>
        <w:top w:val="none" w:sz="0" w:space="0" w:color="auto"/>
        <w:left w:val="none" w:sz="0" w:space="0" w:color="auto"/>
        <w:bottom w:val="none" w:sz="0" w:space="0" w:color="auto"/>
        <w:right w:val="none" w:sz="0" w:space="0" w:color="auto"/>
      </w:divBdr>
      <w:divsChild>
        <w:div w:id="2028362354">
          <w:marLeft w:val="0"/>
          <w:marRight w:val="0"/>
          <w:marTop w:val="0"/>
          <w:marBottom w:val="0"/>
          <w:divBdr>
            <w:top w:val="none" w:sz="0" w:space="0" w:color="auto"/>
            <w:left w:val="none" w:sz="0" w:space="0" w:color="auto"/>
            <w:bottom w:val="none" w:sz="0" w:space="0" w:color="auto"/>
            <w:right w:val="none" w:sz="0" w:space="0" w:color="auto"/>
          </w:divBdr>
          <w:divsChild>
            <w:div w:id="1324310041">
              <w:marLeft w:val="-225"/>
              <w:marRight w:val="-225"/>
              <w:marTop w:val="0"/>
              <w:marBottom w:val="0"/>
              <w:divBdr>
                <w:top w:val="none" w:sz="0" w:space="0" w:color="auto"/>
                <w:left w:val="none" w:sz="0" w:space="0" w:color="auto"/>
                <w:bottom w:val="none" w:sz="0" w:space="0" w:color="auto"/>
                <w:right w:val="none" w:sz="0" w:space="0" w:color="auto"/>
              </w:divBdr>
              <w:divsChild>
                <w:div w:id="101280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25259">
      <w:bodyDiv w:val="1"/>
      <w:marLeft w:val="0"/>
      <w:marRight w:val="0"/>
      <w:marTop w:val="0"/>
      <w:marBottom w:val="0"/>
      <w:divBdr>
        <w:top w:val="none" w:sz="0" w:space="0" w:color="auto"/>
        <w:left w:val="none" w:sz="0" w:space="0" w:color="auto"/>
        <w:bottom w:val="none" w:sz="0" w:space="0" w:color="auto"/>
        <w:right w:val="none" w:sz="0" w:space="0" w:color="auto"/>
      </w:divBdr>
    </w:div>
    <w:div w:id="1662191838">
      <w:bodyDiv w:val="1"/>
      <w:marLeft w:val="0"/>
      <w:marRight w:val="0"/>
      <w:marTop w:val="0"/>
      <w:marBottom w:val="0"/>
      <w:divBdr>
        <w:top w:val="none" w:sz="0" w:space="0" w:color="auto"/>
        <w:left w:val="none" w:sz="0" w:space="0" w:color="auto"/>
        <w:bottom w:val="none" w:sz="0" w:space="0" w:color="auto"/>
        <w:right w:val="none" w:sz="0" w:space="0" w:color="auto"/>
      </w:divBdr>
    </w:div>
    <w:div w:id="1821187342">
      <w:bodyDiv w:val="1"/>
      <w:marLeft w:val="0"/>
      <w:marRight w:val="0"/>
      <w:marTop w:val="0"/>
      <w:marBottom w:val="0"/>
      <w:divBdr>
        <w:top w:val="none" w:sz="0" w:space="0" w:color="auto"/>
        <w:left w:val="none" w:sz="0" w:space="0" w:color="auto"/>
        <w:bottom w:val="none" w:sz="0" w:space="0" w:color="auto"/>
        <w:right w:val="none" w:sz="0" w:space="0" w:color="auto"/>
      </w:divBdr>
    </w:div>
    <w:div w:id="1959295695">
      <w:bodyDiv w:val="1"/>
      <w:marLeft w:val="0"/>
      <w:marRight w:val="0"/>
      <w:marTop w:val="0"/>
      <w:marBottom w:val="0"/>
      <w:divBdr>
        <w:top w:val="none" w:sz="0" w:space="0" w:color="auto"/>
        <w:left w:val="none" w:sz="0" w:space="0" w:color="auto"/>
        <w:bottom w:val="none" w:sz="0" w:space="0" w:color="auto"/>
        <w:right w:val="none" w:sz="0" w:space="0" w:color="auto"/>
      </w:divBdr>
    </w:div>
    <w:div w:id="1963531333">
      <w:bodyDiv w:val="1"/>
      <w:marLeft w:val="0"/>
      <w:marRight w:val="0"/>
      <w:marTop w:val="0"/>
      <w:marBottom w:val="0"/>
      <w:divBdr>
        <w:top w:val="none" w:sz="0" w:space="0" w:color="auto"/>
        <w:left w:val="none" w:sz="0" w:space="0" w:color="auto"/>
        <w:bottom w:val="none" w:sz="0" w:space="0" w:color="auto"/>
        <w:right w:val="none" w:sz="0" w:space="0" w:color="auto"/>
      </w:divBdr>
      <w:divsChild>
        <w:div w:id="689526693">
          <w:marLeft w:val="0"/>
          <w:marRight w:val="0"/>
          <w:marTop w:val="0"/>
          <w:marBottom w:val="0"/>
          <w:divBdr>
            <w:top w:val="none" w:sz="0" w:space="0" w:color="auto"/>
            <w:left w:val="none" w:sz="0" w:space="0" w:color="auto"/>
            <w:bottom w:val="none" w:sz="0" w:space="0" w:color="auto"/>
            <w:right w:val="none" w:sz="0" w:space="0" w:color="auto"/>
          </w:divBdr>
          <w:divsChild>
            <w:div w:id="1158153761">
              <w:marLeft w:val="0"/>
              <w:marRight w:val="0"/>
              <w:marTop w:val="0"/>
              <w:marBottom w:val="0"/>
              <w:divBdr>
                <w:top w:val="none" w:sz="0" w:space="0" w:color="auto"/>
                <w:left w:val="none" w:sz="0" w:space="0" w:color="auto"/>
                <w:bottom w:val="none" w:sz="0" w:space="0" w:color="auto"/>
                <w:right w:val="none" w:sz="0" w:space="0" w:color="auto"/>
              </w:divBdr>
              <w:divsChild>
                <w:div w:id="462846179">
                  <w:marLeft w:val="0"/>
                  <w:marRight w:val="0"/>
                  <w:marTop w:val="0"/>
                  <w:marBottom w:val="0"/>
                  <w:divBdr>
                    <w:top w:val="none" w:sz="0" w:space="0" w:color="auto"/>
                    <w:left w:val="none" w:sz="0" w:space="0" w:color="auto"/>
                    <w:bottom w:val="none" w:sz="0" w:space="0" w:color="auto"/>
                    <w:right w:val="none" w:sz="0" w:space="0" w:color="auto"/>
                  </w:divBdr>
                  <w:divsChild>
                    <w:div w:id="1237085756">
                      <w:marLeft w:val="0"/>
                      <w:marRight w:val="0"/>
                      <w:marTop w:val="0"/>
                      <w:marBottom w:val="0"/>
                      <w:divBdr>
                        <w:top w:val="none" w:sz="0" w:space="0" w:color="auto"/>
                        <w:left w:val="none" w:sz="0" w:space="0" w:color="auto"/>
                        <w:bottom w:val="none" w:sz="0" w:space="0" w:color="auto"/>
                        <w:right w:val="none" w:sz="0" w:space="0" w:color="auto"/>
                      </w:divBdr>
                      <w:divsChild>
                        <w:div w:id="1281375398">
                          <w:marLeft w:val="0"/>
                          <w:marRight w:val="0"/>
                          <w:marTop w:val="0"/>
                          <w:marBottom w:val="0"/>
                          <w:divBdr>
                            <w:top w:val="none" w:sz="0" w:space="0" w:color="auto"/>
                            <w:left w:val="none" w:sz="0" w:space="0" w:color="auto"/>
                            <w:bottom w:val="none" w:sz="0" w:space="0" w:color="auto"/>
                            <w:right w:val="none" w:sz="0" w:space="0" w:color="auto"/>
                          </w:divBdr>
                          <w:divsChild>
                            <w:div w:id="230771989">
                              <w:marLeft w:val="0"/>
                              <w:marRight w:val="0"/>
                              <w:marTop w:val="0"/>
                              <w:marBottom w:val="0"/>
                              <w:divBdr>
                                <w:top w:val="none" w:sz="0" w:space="0" w:color="auto"/>
                                <w:left w:val="none" w:sz="0" w:space="0" w:color="auto"/>
                                <w:bottom w:val="none" w:sz="0" w:space="0" w:color="auto"/>
                                <w:right w:val="none" w:sz="0" w:space="0" w:color="auto"/>
                              </w:divBdr>
                              <w:divsChild>
                                <w:div w:id="450587783">
                                  <w:marLeft w:val="0"/>
                                  <w:marRight w:val="0"/>
                                  <w:marTop w:val="0"/>
                                  <w:marBottom w:val="0"/>
                                  <w:divBdr>
                                    <w:top w:val="none" w:sz="0" w:space="0" w:color="auto"/>
                                    <w:left w:val="none" w:sz="0" w:space="0" w:color="auto"/>
                                    <w:bottom w:val="none" w:sz="0" w:space="0" w:color="auto"/>
                                    <w:right w:val="none" w:sz="0" w:space="0" w:color="auto"/>
                                  </w:divBdr>
                                  <w:divsChild>
                                    <w:div w:id="1504664169">
                                      <w:marLeft w:val="0"/>
                                      <w:marRight w:val="0"/>
                                      <w:marTop w:val="0"/>
                                      <w:marBottom w:val="0"/>
                                      <w:divBdr>
                                        <w:top w:val="none" w:sz="0" w:space="0" w:color="auto"/>
                                        <w:left w:val="none" w:sz="0" w:space="0" w:color="auto"/>
                                        <w:bottom w:val="none" w:sz="0" w:space="0" w:color="auto"/>
                                        <w:right w:val="none" w:sz="0" w:space="0" w:color="auto"/>
                                      </w:divBdr>
                                      <w:divsChild>
                                        <w:div w:id="1728651145">
                                          <w:marLeft w:val="0"/>
                                          <w:marRight w:val="0"/>
                                          <w:marTop w:val="0"/>
                                          <w:marBottom w:val="0"/>
                                          <w:divBdr>
                                            <w:top w:val="none" w:sz="0" w:space="0" w:color="auto"/>
                                            <w:left w:val="none" w:sz="0" w:space="0" w:color="auto"/>
                                            <w:bottom w:val="none" w:sz="0" w:space="0" w:color="auto"/>
                                            <w:right w:val="none" w:sz="0" w:space="0" w:color="auto"/>
                                          </w:divBdr>
                                          <w:divsChild>
                                            <w:div w:id="394816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280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egislation.gov.au" TargetMode="External"/><Relationship Id="rId18" Type="http://schemas.openxmlformats.org/officeDocument/2006/relationships/hyperlink" Target="https://www.oiml.org/en/files/pdf_b/b001-e68.pdf" TargetMode="External"/><Relationship Id="rId26" Type="http://schemas.openxmlformats.org/officeDocument/2006/relationships/hyperlink" Target="https://www.gov.uk/government/collections/general-licences-for-wildlife-management" TargetMode="Externa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hyperlink" Target="https://www.industry.gov.au/regulations-and-standards/australias-measurement-system/verifying-authorities" TargetMode="External"/><Relationship Id="rId42" Type="http://schemas.openxmlformats.org/officeDocument/2006/relationships/hyperlink" Target="https://consult.industry.gov.au/measurement-law-review/measurement-assurance" TargetMode="External"/><Relationship Id="rId7" Type="http://schemas.openxmlformats.org/officeDocument/2006/relationships/styles" Target="styles.xml"/><Relationship Id="rId12" Type="http://schemas.openxmlformats.org/officeDocument/2006/relationships/hyperlink" Target="https://consult.industry.gov.au/measurement-law-review/measurement-assurance" TargetMode="External"/><Relationship Id="rId17" Type="http://schemas.openxmlformats.org/officeDocument/2006/relationships/hyperlink" Target="https://www.bipm.org/en/worldwide-metrology/metre-convention/" TargetMode="External"/><Relationship Id="rId25" Type="http://schemas.openxmlformats.org/officeDocument/2006/relationships/hyperlink" Target="https://pe.usps.com/IMM_Archive/HTML/IMM_Archive_20070514/imm/immc5.8.8.htm" TargetMode="External"/><Relationship Id="rId33" Type="http://schemas.openxmlformats.org/officeDocument/2006/relationships/hyperlink" Target="https://www.industry.gov.au/data-and-publications/measurement-law-review"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nsult.industry.gov.au/measurement-law-review/measurement-assurance" TargetMode="External"/><Relationship Id="rId20" Type="http://schemas.openxmlformats.org/officeDocument/2006/relationships/hyperlink" Target="https://www.oiml.org/en/about/about-oiml" TargetMode="External"/><Relationship Id="rId29" Type="http://schemas.openxmlformats.org/officeDocument/2006/relationships/hyperlink" Target="https://www.acma.gov.au/Industry/Spectrum/Radiocomms-licensing/Class-licences/citizen-band-radio-stations-class-licence" TargetMode="External"/><Relationship Id="rId41" Type="http://schemas.openxmlformats.org/officeDocument/2006/relationships/hyperlink" Target="https://industry.gov.au/measurement-law-review"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ndustry.gov.au/sites/default/files/2019-04/nitp_0_general_national_instrument_test_procedures_for_measuring_instruments.pdf" TargetMode="External"/><Relationship Id="rId32" Type="http://schemas.openxmlformats.org/officeDocument/2006/relationships/hyperlink" Target="https://www.industry.gov.au/sites/default/files/2019-04/nitp_14_utility_meters.pdf" TargetMode="External"/><Relationship Id="rId37" Type="http://schemas.openxmlformats.org/officeDocument/2006/relationships/footer" Target="footer1.xml"/><Relationship Id="rId40" Type="http://schemas.openxmlformats.org/officeDocument/2006/relationships/hyperlink" Target="mailto:measurementlawreview@industry.gov.au" TargetMode="External"/><Relationship Id="rId5" Type="http://schemas.openxmlformats.org/officeDocument/2006/relationships/customXml" Target="../customXml/item5.xml"/><Relationship Id="rId15" Type="http://schemas.openxmlformats.org/officeDocument/2006/relationships/hyperlink" Target="http://www.industry.gov.au/measurement-law-review" TargetMode="External"/><Relationship Id="rId23" Type="http://schemas.openxmlformats.org/officeDocument/2006/relationships/hyperlink" Target="https://www.industry.gov.au/sites/default/files/nmi/certificates-approval/9_0_B.pdf" TargetMode="External"/><Relationship Id="rId28" Type="http://schemas.openxmlformats.org/officeDocument/2006/relationships/hyperlink" Target="https://www.acma.gov.au/Industry/Spectrum/Radiocomms-licensing/Class-licences/lipd-class-licence-spectrum-acma" TargetMode="External"/><Relationship Id="rId36" Type="http://schemas.openxmlformats.org/officeDocument/2006/relationships/hyperlink" Target="https://www.industry.gov.au/regulations-and-standards/australias-measurement-system/approving-authorities" TargetMode="External"/><Relationship Id="rId10" Type="http://schemas.openxmlformats.org/officeDocument/2006/relationships/footnotes" Target="footnotes.xml"/><Relationship Id="rId19" Type="http://schemas.openxmlformats.org/officeDocument/2006/relationships/hyperlink" Target="https://www.bipm.org/en/cipm-mra/" TargetMode="External"/><Relationship Id="rId31" Type="http://schemas.openxmlformats.org/officeDocument/2006/relationships/hyperlink" Target="https://www.infrastructure.gov.au/maritime/business/coastal_trading/index.aspx"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easurementlawreview@industry.gov.au" TargetMode="External"/><Relationship Id="rId22" Type="http://schemas.openxmlformats.org/officeDocument/2006/relationships/hyperlink" Target="https://www.industry.gov.au/data-and-publications/measurement-law-review" TargetMode="External"/><Relationship Id="rId27" Type="http://schemas.openxmlformats.org/officeDocument/2006/relationships/hyperlink" Target="https://www.acma.gov.au/Industry/Spectrum/Radiocomms-licensing/Class-licences" TargetMode="External"/><Relationship Id="rId30" Type="http://schemas.openxmlformats.org/officeDocument/2006/relationships/hyperlink" Target="https://www.forestsandreserves.vic.gov.au/__data/assets/pdf_file/0025/65365/General-Crown-land-licences.pdf" TargetMode="External"/><Relationship Id="rId35" Type="http://schemas.openxmlformats.org/officeDocument/2006/relationships/hyperlink" Target="https://www.industry.gov.au/regulations-and-standards/australias-measurement-system/certifying-authorities"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ndustry.gov.au/data-and-publications/measurement-law-review" TargetMode="External"/><Relationship Id="rId13" Type="http://schemas.openxmlformats.org/officeDocument/2006/relationships/hyperlink" Target="https://parlinfo.aph.gov.au/parlInfo/genpdf/chamber/hansardr/1998-07-01/0008/hansard_frag.pdf;fileType=application%2Fpdf" TargetMode="External"/><Relationship Id="rId3" Type="http://schemas.openxmlformats.org/officeDocument/2006/relationships/hyperlink" Target="https://www.bipm.org/en/bipm-services/calibrations/traceability.html" TargetMode="External"/><Relationship Id="rId7" Type="http://schemas.openxmlformats.org/officeDocument/2006/relationships/hyperlink" Target="https://www.iso.org/publication/PUB100424.html" TargetMode="External"/><Relationship Id="rId12" Type="http://schemas.openxmlformats.org/officeDocument/2006/relationships/hyperlink" Target="http://classic.austlii.edu.au/au/legis/cth/bill_em/nmamb1998495/memo1.html" TargetMode="External"/><Relationship Id="rId2" Type="http://schemas.openxmlformats.org/officeDocument/2006/relationships/hyperlink" Target="https://www.industry.gov.au/data-and-publications/measurement-law-review" TargetMode="External"/><Relationship Id="rId1" Type="http://schemas.openxmlformats.org/officeDocument/2006/relationships/hyperlink" Target="https://www.industry.gov.au/data-and-publications/measurement-law-review" TargetMode="External"/><Relationship Id="rId6" Type="http://schemas.openxmlformats.org/officeDocument/2006/relationships/hyperlink" Target="https://www.bipm.org/utils/common/pdf/BIPM-OIML-ILAC-ISO_joint_declaration_2011.pdf" TargetMode="External"/><Relationship Id="rId11" Type="http://schemas.openxmlformats.org/officeDocument/2006/relationships/hyperlink" Target="https://www.industry.gov.au/data-and-publications/measurement-law-review" TargetMode="External"/><Relationship Id="rId5" Type="http://schemas.openxmlformats.org/officeDocument/2006/relationships/hyperlink" Target="https://www.oiml.org/en/about/legal-metrology/trade" TargetMode="External"/><Relationship Id="rId15" Type="http://schemas.openxmlformats.org/officeDocument/2006/relationships/hyperlink" Target="https://www.iso.org/standard/29357.html" TargetMode="External"/><Relationship Id="rId10" Type="http://schemas.openxmlformats.org/officeDocument/2006/relationships/hyperlink" Target="https://www.industry.gov.au/data-and-publications/measurement-law-review" TargetMode="External"/><Relationship Id="rId4" Type="http://schemas.openxmlformats.org/officeDocument/2006/relationships/hyperlink" Target="http://www.bipm.org" TargetMode="External"/><Relationship Id="rId9" Type="http://schemas.openxmlformats.org/officeDocument/2006/relationships/hyperlink" Target="https://consult.industry.gov.au/national-measurement-institute/nitp-reform/" TargetMode="External"/><Relationship Id="rId14" Type="http://schemas.openxmlformats.org/officeDocument/2006/relationships/hyperlink" Target="https://www.iso.org/ISO-IEC-17025-testing-and-calibration-laboratori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99e4c9942c6404eb103464a00e6097b xmlns="ef1c6b3d-2616-4020-9054-bdf2c47fde80">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g7bcb40ba23249a78edca7d43a67c1c9 xmlns="ef1c6b3d-2616-4020-9054-bdf2c47fde80">
      <Terms xmlns="http://schemas.microsoft.com/office/infopath/2007/PartnerControls">
        <TermInfo xmlns="http://schemas.microsoft.com/office/infopath/2007/PartnerControls">
          <TermName xmlns="http://schemas.microsoft.com/office/infopath/2007/PartnerControls">Engagement</TermName>
          <TermId xmlns="http://schemas.microsoft.com/office/infopath/2007/PartnerControls">70267ed8-6bd2-4b96-bc60-cce33581fb54</TermId>
        </TermInfo>
      </Terms>
    </g7bcb40ba23249a78edca7d43a67c1c9>
    <gabcb1eff41b4b4092332a967995e2a8 xmlns="898be809-5e21-4b54-881d-d8a3488368c8">
      <Terms xmlns="http://schemas.microsoft.com/office/infopath/2007/PartnerControls">
        <TermInfo xmlns="http://schemas.microsoft.com/office/infopath/2007/PartnerControls">
          <TermName xmlns="http://schemas.microsoft.com/office/infopath/2007/PartnerControls">Industry engagement</TermName>
          <TermId xmlns="http://schemas.microsoft.com/office/infopath/2007/PartnerControls">e162e7c5-bf32-46d2-82b5-f264b289273a</TermId>
        </TermInfo>
      </Terms>
    </gabcb1eff41b4b4092332a967995e2a8>
    <aa25a1a23adf4c92a153145de6afe324 xmlns="ef1c6b3d-2616-4020-9054-bdf2c47fde8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DocHub_MeetingDate xmlns="898be809-5e21-4b54-881d-d8a3488368c8" xsi:nil="true"/>
    <TaxCatchAll xmlns="ef1c6b3d-2616-4020-9054-bdf2c47fde80">
      <Value>270</Value>
      <Value>218</Value>
      <Value>352</Value>
      <Value>471</Value>
      <Value>4</Value>
      <Value>616</Value>
    </TaxCatchAll>
    <Comments xmlns="http://schemas.microsoft.com/sharepoint/v3" xsi:nil="true"/>
    <pe2555c81638466f9eb614edb9ecde52 xmlns="ef1c6b3d-2616-4020-9054-bdf2c47fde80">
      <Terms xmlns="http://schemas.microsoft.com/office/infopath/2007/PartnerControls">
        <TermInfo xmlns="http://schemas.microsoft.com/office/infopath/2007/PartnerControls">
          <TermName xmlns="http://schemas.microsoft.com/office/infopath/2007/PartnerControls">Paper</TermName>
          <TermId xmlns="http://schemas.microsoft.com/office/infopath/2007/PartnerControls">4fd73e9f-ceb6-4d3f-8d1d-e6ca9b922532</TermId>
        </TermInfo>
      </Terms>
    </pe2555c81638466f9eb614edb9ecde52>
    <adb9bed2e36e4a93af574aeb444da63e xmlns="ef1c6b3d-2616-4020-9054-bdf2c47fde80">
      <Terms xmlns="http://schemas.microsoft.com/office/infopath/2007/PartnerControls">
        <TermInfo xmlns="http://schemas.microsoft.com/office/infopath/2007/PartnerControls">
          <TermName xmlns="http://schemas.microsoft.com/office/infopath/2007/PartnerControls">legislative review</TermName>
          <TermId xmlns="http://schemas.microsoft.com/office/infopath/2007/PartnerControls">a9a2bc7a-7334-4fb7-b490-5f5bcf70e530</TermId>
        </TermInfo>
      </Terms>
    </adb9bed2e36e4a93af574aeb444da63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99D9608FED8D498BCA2801844341AD" ma:contentTypeVersion="16" ma:contentTypeDescription="Create a new document." ma:contentTypeScope="" ma:versionID="e3af1b6699f57d5b9e25d33d56dd0ede">
  <xsd:schema xmlns:xsd="http://www.w3.org/2001/XMLSchema" xmlns:xs="http://www.w3.org/2001/XMLSchema" xmlns:p="http://schemas.microsoft.com/office/2006/metadata/properties" xmlns:ns1="http://schemas.microsoft.com/sharepoint/v3" xmlns:ns2="ef1c6b3d-2616-4020-9054-bdf2c47fde80" xmlns:ns3="898be809-5e21-4b54-881d-d8a3488368c8" targetNamespace="http://schemas.microsoft.com/office/2006/metadata/properties" ma:root="true" ma:fieldsID="a7cca89e13ca23b0895c85f990c62491" ns1:_="" ns2:_="" ns3:_="">
    <xsd:import namespace="http://schemas.microsoft.com/sharepoint/v3"/>
    <xsd:import namespace="ef1c6b3d-2616-4020-9054-bdf2c47fde80"/>
    <xsd:import namespace="898be809-5e21-4b54-881d-d8a3488368c8"/>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DocHub_MeetingDate" minOccurs="0"/>
                <xsd:element ref="ns3:gabcb1eff41b4b4092332a967995e2a8"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1c6b3d-2616-4020-9054-bdf2c47fde8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dad33dd0-8c30-4cf3-ae64-570ad1bc4d6f}" ma:internalName="TaxCatchAll" ma:showField="CatchAllData" ma:web="898be809-5e21-4b54-881d-d8a3488368c8">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a86c3a53-8547-45b0-a109-083f704d138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8be809-5e21-4b54-881d-d8a3488368c8" elementFormDefault="qualified">
    <xsd:import namespace="http://schemas.microsoft.com/office/2006/documentManagement/types"/>
    <xsd:import namespace="http://schemas.microsoft.com/office/infopath/2007/PartnerControls"/>
    <xsd:element name="DocHub_MeetingDate" ma:index="23" nillable="true" ma:displayName="Meeting Date" ma:description="Date of the meeting (DD/MM/YYYY)" ma:format="DateOnly" ma:internalName="DocHub_MeetingDate">
      <xsd:simpleType>
        <xsd:restriction base="dms:DateTime"/>
      </xsd:simpleType>
    </xsd:element>
    <xsd:element name="gabcb1eff41b4b4092332a967995e2a8" ma:index="25" nillable="true" ma:taxonomy="true" ma:internalName="gabcb1eff41b4b4092332a967995e2a8" ma:taxonomyFieldName="DocHub_WorkTopic" ma:displayName="Work Topic" ma:default="" ma:fieldId="{0abcb1ef-f41b-4b40-9233-2a967995e2a8}" ma:sspId="fb0313f7-9433-48c0-866e-9e0bbee59a50" ma:termSetId="58a2bccc-25c0-4473-9d2d-96641c2d7d3f" ma:anchorId="00000000-0000-0000-0000-000000000000" ma:open="false" ma:isKeyword="false">
      <xsd:complexType>
        <xsd:sequence>
          <xsd:element ref="pc:Terms" minOccurs="0" maxOccurs="1"/>
        </xsd:sequence>
      </xsd:complexType>
    </xsd:element>
    <xsd:element name="SharedWithUsers" ma:index="2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D979E-E320-404D-BD3E-D2466AF7E2B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98be809-5e21-4b54-881d-d8a3488368c8"/>
    <ds:schemaRef ds:uri="http://schemas.microsoft.com/sharepoint/v3"/>
    <ds:schemaRef ds:uri="ef1c6b3d-2616-4020-9054-bdf2c47fde80"/>
    <ds:schemaRef ds:uri="http://www.w3.org/XML/1998/namespace"/>
    <ds:schemaRef ds:uri="http://purl.org/dc/dcmitype/"/>
  </ds:schemaRefs>
</ds:datastoreItem>
</file>

<file path=customXml/itemProps2.xml><?xml version="1.0" encoding="utf-8"?>
<ds:datastoreItem xmlns:ds="http://schemas.openxmlformats.org/officeDocument/2006/customXml" ds:itemID="{6F32313F-827C-43A8-A9F6-08213D62A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1c6b3d-2616-4020-9054-bdf2c47fde80"/>
    <ds:schemaRef ds:uri="898be809-5e21-4b54-881d-d8a348836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8ED167-6976-4C82-A5C0-D2F5A91B6DC6}">
  <ds:schemaRefs>
    <ds:schemaRef ds:uri="http://schemas.microsoft.com/sharepoint/events"/>
  </ds:schemaRefs>
</ds:datastoreItem>
</file>

<file path=customXml/itemProps4.xml><?xml version="1.0" encoding="utf-8"?>
<ds:datastoreItem xmlns:ds="http://schemas.openxmlformats.org/officeDocument/2006/customXml" ds:itemID="{E55CDB12-9AA1-45A2-8143-D3636E644B16}">
  <ds:schemaRefs>
    <ds:schemaRef ds:uri="http://schemas.microsoft.com/sharepoint/v3/contenttype/forms"/>
  </ds:schemaRefs>
</ds:datastoreItem>
</file>

<file path=customXml/itemProps5.xml><?xml version="1.0" encoding="utf-8"?>
<ds:datastoreItem xmlns:ds="http://schemas.openxmlformats.org/officeDocument/2006/customXml" ds:itemID="{245E6F70-FEF5-4E41-B774-DF96C018F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7394</Words>
  <Characters>42148</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49444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Mayo, Jennifer</dc:creator>
  <cp:keywords/>
  <dc:description/>
  <cp:lastModifiedBy>Barr, Lorna</cp:lastModifiedBy>
  <cp:revision>3</cp:revision>
  <cp:lastPrinted>2019-10-25T03:33:00Z</cp:lastPrinted>
  <dcterms:created xsi:type="dcterms:W3CDTF">2019-10-28T03:47:00Z</dcterms:created>
  <dcterms:modified xsi:type="dcterms:W3CDTF">2019-10-30T05:45:00Z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Hub_Year">
    <vt:lpwstr>616;#2019|7e451fe0-4dc6-437a-a849-bab7965a9aee</vt:lpwstr>
  </property>
  <property fmtid="{D5CDD505-2E9C-101B-9397-08002B2CF9AE}" pid="3" name="DocHub_DocumentType">
    <vt:lpwstr>218;#Paper|4fd73e9f-ceb6-4d3f-8d1d-e6ca9b922532</vt:lpwstr>
  </property>
  <property fmtid="{D5CDD505-2E9C-101B-9397-08002B2CF9AE}" pid="4" name="DocHub_SecurityClassification">
    <vt:lpwstr>4;#UNCLASSIFIED|6106d03b-a1a0-4e30-9d91-d5e9fb4314f9</vt:lpwstr>
  </property>
  <property fmtid="{D5CDD505-2E9C-101B-9397-08002B2CF9AE}" pid="5" name="ContentTypeId">
    <vt:lpwstr>0x010100D199D9608FED8D498BCA2801844341AD</vt:lpwstr>
  </property>
  <property fmtid="{D5CDD505-2E9C-101B-9397-08002B2CF9AE}" pid="6" name="DocHub_Keywords">
    <vt:lpwstr>270;#legislative review|a9a2bc7a-7334-4fb7-b490-5f5bcf70e530</vt:lpwstr>
  </property>
  <property fmtid="{D5CDD505-2E9C-101B-9397-08002B2CF9AE}" pid="7" name="DocHub_WorkActivity">
    <vt:lpwstr>471;#Engagement|70267ed8-6bd2-4b96-bc60-cce33581fb54</vt:lpwstr>
  </property>
  <property fmtid="{D5CDD505-2E9C-101B-9397-08002B2CF9AE}" pid="8" name="DocHub_WorkTopic">
    <vt:lpwstr>352;#Industry engagement|e162e7c5-bf32-46d2-82b5-f264b289273a</vt:lpwstr>
  </property>
</Properties>
</file>