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4C32F" w14:textId="4A935D74" w:rsidR="00873DDA" w:rsidRPr="00E21091" w:rsidRDefault="00986BF7" w:rsidP="00BF347D">
      <w:pPr>
        <w:spacing w:after="0" w:line="276" w:lineRule="auto"/>
        <w:rPr>
          <w:b/>
          <w:bCs/>
          <w:color w:val="215868"/>
          <w:sz w:val="32"/>
          <w:szCs w:val="32"/>
        </w:rPr>
      </w:pPr>
      <w:r w:rsidRPr="00E21091">
        <w:rPr>
          <w:b/>
          <w:bCs/>
          <w:color w:val="215868"/>
          <w:sz w:val="32"/>
          <w:szCs w:val="32"/>
        </w:rPr>
        <w:t>Emissions Reduction Fund</w:t>
      </w:r>
    </w:p>
    <w:p w14:paraId="6C24C7F9" w14:textId="237C01CB" w:rsidR="00BF347D" w:rsidRDefault="00C30DF5" w:rsidP="00BF347D">
      <w:pPr>
        <w:spacing w:after="0" w:line="276" w:lineRule="auto"/>
        <w:rPr>
          <w:b/>
          <w:bCs/>
          <w:sz w:val="32"/>
          <w:szCs w:val="32"/>
        </w:rPr>
      </w:pPr>
      <w:bookmarkStart w:id="0" w:name="_Hlk64294919"/>
      <w:r>
        <w:rPr>
          <w:b/>
          <w:bCs/>
          <w:sz w:val="32"/>
          <w:szCs w:val="32"/>
        </w:rPr>
        <w:t xml:space="preserve">Draft </w:t>
      </w:r>
      <w:r w:rsidR="00BF347D" w:rsidRPr="00676C45">
        <w:rPr>
          <w:b/>
          <w:bCs/>
          <w:sz w:val="32"/>
          <w:szCs w:val="32"/>
        </w:rPr>
        <w:t xml:space="preserve">User </w:t>
      </w:r>
      <w:r w:rsidR="00AE6C57">
        <w:rPr>
          <w:b/>
          <w:bCs/>
          <w:sz w:val="32"/>
          <w:szCs w:val="32"/>
        </w:rPr>
        <w:t>g</w:t>
      </w:r>
      <w:r w:rsidR="00BF347D" w:rsidRPr="00676C45">
        <w:rPr>
          <w:b/>
          <w:bCs/>
          <w:sz w:val="32"/>
          <w:szCs w:val="32"/>
        </w:rPr>
        <w:t xml:space="preserve">uide for </w:t>
      </w:r>
      <w:r w:rsidR="00AE6C57" w:rsidDel="00921A9E">
        <w:rPr>
          <w:b/>
          <w:bCs/>
          <w:sz w:val="32"/>
          <w:szCs w:val="32"/>
        </w:rPr>
        <w:t xml:space="preserve">Biomethane </w:t>
      </w:r>
      <w:r w:rsidR="00AE6C57">
        <w:rPr>
          <w:b/>
          <w:bCs/>
          <w:sz w:val="32"/>
          <w:szCs w:val="32"/>
        </w:rPr>
        <w:t>projects</w:t>
      </w:r>
    </w:p>
    <w:bookmarkEnd w:id="0" w:displacedByCustomXml="next"/>
    <w:bookmarkStart w:id="1" w:name="_Toc85030325" w:displacedByCustomXml="next"/>
    <w:sdt>
      <w:sdtPr>
        <w:rPr>
          <w:rFonts w:eastAsia="Cambria"/>
          <w:b w:val="0"/>
          <w:bCs w:val="0"/>
          <w:color w:val="000000"/>
          <w:sz w:val="22"/>
          <w:szCs w:val="24"/>
        </w:rPr>
        <w:id w:val="-98801628"/>
        <w:docPartObj>
          <w:docPartGallery w:val="Table of Contents"/>
          <w:docPartUnique/>
        </w:docPartObj>
      </w:sdtPr>
      <w:sdtEndPr>
        <w:rPr>
          <w:noProof/>
        </w:rPr>
      </w:sdtEndPr>
      <w:sdtContent>
        <w:p w14:paraId="6E344726" w14:textId="315841A8" w:rsidR="0066117A" w:rsidRDefault="0066117A" w:rsidP="002142D4">
          <w:pPr>
            <w:pStyle w:val="Heading2"/>
          </w:pPr>
          <w:r>
            <w:t xml:space="preserve">Table of </w:t>
          </w:r>
          <w:r w:rsidR="002142D4">
            <w:t>c</w:t>
          </w:r>
          <w:r>
            <w:t>ontents</w:t>
          </w:r>
          <w:bookmarkEnd w:id="1"/>
        </w:p>
        <w:p w14:paraId="16560283" w14:textId="1DBBEB27" w:rsidR="009E759B" w:rsidRDefault="0066117A">
          <w:pPr>
            <w:pStyle w:val="TOC2"/>
            <w:tabs>
              <w:tab w:val="right" w:leader="dot" w:pos="9016"/>
            </w:tabs>
            <w:rPr>
              <w:rFonts w:asciiTheme="minorHAnsi" w:eastAsiaTheme="minorEastAsia" w:hAnsiTheme="minorHAnsi" w:cstheme="minorBidi"/>
              <w:noProof/>
              <w:color w:val="auto"/>
              <w:szCs w:val="22"/>
              <w:lang w:eastAsia="zh-CN"/>
            </w:rPr>
          </w:pPr>
          <w:r>
            <w:fldChar w:fldCharType="begin"/>
          </w:r>
          <w:r>
            <w:instrText xml:space="preserve"> TOC \o "1-3" \h \z \u </w:instrText>
          </w:r>
          <w:r>
            <w:fldChar w:fldCharType="separate"/>
          </w:r>
          <w:hyperlink w:anchor="_Toc85030325" w:history="1">
            <w:r w:rsidR="009E759B" w:rsidRPr="000026AA">
              <w:rPr>
                <w:rStyle w:val="Hyperlink"/>
                <w:noProof/>
              </w:rPr>
              <w:t>Table of contents</w:t>
            </w:r>
            <w:r w:rsidR="009E759B">
              <w:rPr>
                <w:noProof/>
                <w:webHidden/>
              </w:rPr>
              <w:tab/>
            </w:r>
            <w:r w:rsidR="009E759B">
              <w:rPr>
                <w:noProof/>
                <w:webHidden/>
              </w:rPr>
              <w:fldChar w:fldCharType="begin"/>
            </w:r>
            <w:r w:rsidR="009E759B">
              <w:rPr>
                <w:noProof/>
                <w:webHidden/>
              </w:rPr>
              <w:instrText xml:space="preserve"> PAGEREF _Toc85030325 \h </w:instrText>
            </w:r>
            <w:r w:rsidR="009E759B">
              <w:rPr>
                <w:noProof/>
                <w:webHidden/>
              </w:rPr>
            </w:r>
            <w:r w:rsidR="009E759B">
              <w:rPr>
                <w:noProof/>
                <w:webHidden/>
              </w:rPr>
              <w:fldChar w:fldCharType="separate"/>
            </w:r>
            <w:r w:rsidR="009E759B">
              <w:rPr>
                <w:noProof/>
                <w:webHidden/>
              </w:rPr>
              <w:t>1</w:t>
            </w:r>
            <w:r w:rsidR="009E759B">
              <w:rPr>
                <w:noProof/>
                <w:webHidden/>
              </w:rPr>
              <w:fldChar w:fldCharType="end"/>
            </w:r>
          </w:hyperlink>
        </w:p>
        <w:p w14:paraId="7CAB101C" w14:textId="23081B81" w:rsidR="009E759B" w:rsidRDefault="008C3745">
          <w:pPr>
            <w:pStyle w:val="TOC1"/>
            <w:tabs>
              <w:tab w:val="right" w:leader="dot" w:pos="9016"/>
            </w:tabs>
            <w:rPr>
              <w:rFonts w:asciiTheme="minorHAnsi" w:eastAsiaTheme="minorEastAsia" w:hAnsiTheme="minorHAnsi" w:cstheme="minorBidi"/>
              <w:noProof/>
              <w:color w:val="auto"/>
              <w:szCs w:val="22"/>
              <w:lang w:eastAsia="zh-CN"/>
            </w:rPr>
          </w:pPr>
          <w:hyperlink w:anchor="_Toc85030326" w:history="1">
            <w:r w:rsidR="009E759B" w:rsidRPr="000026AA">
              <w:rPr>
                <w:rStyle w:val="Hyperlink"/>
                <w:noProof/>
              </w:rPr>
              <w:t>Participating in the Emissions Reduction Fund</w:t>
            </w:r>
            <w:r w:rsidR="009E759B">
              <w:rPr>
                <w:noProof/>
                <w:webHidden/>
              </w:rPr>
              <w:tab/>
            </w:r>
            <w:r w:rsidR="009E759B">
              <w:rPr>
                <w:noProof/>
                <w:webHidden/>
              </w:rPr>
              <w:fldChar w:fldCharType="begin"/>
            </w:r>
            <w:r w:rsidR="009E759B">
              <w:rPr>
                <w:noProof/>
                <w:webHidden/>
              </w:rPr>
              <w:instrText xml:space="preserve"> PAGEREF _Toc85030326 \h </w:instrText>
            </w:r>
            <w:r w:rsidR="009E759B">
              <w:rPr>
                <w:noProof/>
                <w:webHidden/>
              </w:rPr>
            </w:r>
            <w:r w:rsidR="009E759B">
              <w:rPr>
                <w:noProof/>
                <w:webHidden/>
              </w:rPr>
              <w:fldChar w:fldCharType="separate"/>
            </w:r>
            <w:r w:rsidR="009E759B">
              <w:rPr>
                <w:noProof/>
                <w:webHidden/>
              </w:rPr>
              <w:t>3</w:t>
            </w:r>
            <w:r w:rsidR="009E759B">
              <w:rPr>
                <w:noProof/>
                <w:webHidden/>
              </w:rPr>
              <w:fldChar w:fldCharType="end"/>
            </w:r>
          </w:hyperlink>
        </w:p>
        <w:p w14:paraId="49960F09" w14:textId="6590E95F" w:rsidR="009E759B" w:rsidRDefault="008C3745">
          <w:pPr>
            <w:pStyle w:val="TOC2"/>
            <w:tabs>
              <w:tab w:val="right" w:leader="dot" w:pos="9016"/>
            </w:tabs>
            <w:rPr>
              <w:rFonts w:asciiTheme="minorHAnsi" w:eastAsiaTheme="minorEastAsia" w:hAnsiTheme="minorHAnsi" w:cstheme="minorBidi"/>
              <w:noProof/>
              <w:color w:val="auto"/>
              <w:szCs w:val="22"/>
              <w:lang w:eastAsia="zh-CN"/>
            </w:rPr>
          </w:pPr>
          <w:hyperlink w:anchor="_Toc85030327" w:history="1">
            <w:r w:rsidR="009E759B" w:rsidRPr="000026AA">
              <w:rPr>
                <w:rStyle w:val="Hyperlink"/>
                <w:noProof/>
              </w:rPr>
              <w:t>How participating in the Emissions Reduction Fund works</w:t>
            </w:r>
            <w:r w:rsidR="009E759B">
              <w:rPr>
                <w:noProof/>
                <w:webHidden/>
              </w:rPr>
              <w:tab/>
            </w:r>
            <w:r w:rsidR="009E759B">
              <w:rPr>
                <w:noProof/>
                <w:webHidden/>
              </w:rPr>
              <w:fldChar w:fldCharType="begin"/>
            </w:r>
            <w:r w:rsidR="009E759B">
              <w:rPr>
                <w:noProof/>
                <w:webHidden/>
              </w:rPr>
              <w:instrText xml:space="preserve"> PAGEREF _Toc85030327 \h </w:instrText>
            </w:r>
            <w:r w:rsidR="009E759B">
              <w:rPr>
                <w:noProof/>
                <w:webHidden/>
              </w:rPr>
            </w:r>
            <w:r w:rsidR="009E759B">
              <w:rPr>
                <w:noProof/>
                <w:webHidden/>
              </w:rPr>
              <w:fldChar w:fldCharType="separate"/>
            </w:r>
            <w:r w:rsidR="009E759B">
              <w:rPr>
                <w:noProof/>
                <w:webHidden/>
              </w:rPr>
              <w:t>3</w:t>
            </w:r>
            <w:r w:rsidR="009E759B">
              <w:rPr>
                <w:noProof/>
                <w:webHidden/>
              </w:rPr>
              <w:fldChar w:fldCharType="end"/>
            </w:r>
          </w:hyperlink>
        </w:p>
        <w:p w14:paraId="1CCBB8B1" w14:textId="788AC7AE" w:rsidR="009E759B" w:rsidRDefault="008C3745">
          <w:pPr>
            <w:pStyle w:val="TOC1"/>
            <w:tabs>
              <w:tab w:val="right" w:leader="dot" w:pos="9016"/>
            </w:tabs>
            <w:rPr>
              <w:rFonts w:asciiTheme="minorHAnsi" w:eastAsiaTheme="minorEastAsia" w:hAnsiTheme="minorHAnsi" w:cstheme="minorBidi"/>
              <w:noProof/>
              <w:color w:val="auto"/>
              <w:szCs w:val="22"/>
              <w:lang w:eastAsia="zh-CN"/>
            </w:rPr>
          </w:pPr>
          <w:hyperlink w:anchor="_Toc85030328" w:history="1">
            <w:r w:rsidR="009E759B" w:rsidRPr="000026AA">
              <w:rPr>
                <w:rStyle w:val="Hyperlink"/>
                <w:noProof/>
              </w:rPr>
              <w:t>ERF biomethane projects</w:t>
            </w:r>
            <w:r w:rsidR="009E759B">
              <w:rPr>
                <w:noProof/>
                <w:webHidden/>
              </w:rPr>
              <w:tab/>
            </w:r>
            <w:r w:rsidR="009E759B">
              <w:rPr>
                <w:noProof/>
                <w:webHidden/>
              </w:rPr>
              <w:fldChar w:fldCharType="begin"/>
            </w:r>
            <w:r w:rsidR="009E759B">
              <w:rPr>
                <w:noProof/>
                <w:webHidden/>
              </w:rPr>
              <w:instrText xml:space="preserve"> PAGEREF _Toc85030328 \h </w:instrText>
            </w:r>
            <w:r w:rsidR="009E759B">
              <w:rPr>
                <w:noProof/>
                <w:webHidden/>
              </w:rPr>
            </w:r>
            <w:r w:rsidR="009E759B">
              <w:rPr>
                <w:noProof/>
                <w:webHidden/>
              </w:rPr>
              <w:fldChar w:fldCharType="separate"/>
            </w:r>
            <w:r w:rsidR="009E759B">
              <w:rPr>
                <w:noProof/>
                <w:webHidden/>
              </w:rPr>
              <w:t>4</w:t>
            </w:r>
            <w:r w:rsidR="009E759B">
              <w:rPr>
                <w:noProof/>
                <w:webHidden/>
              </w:rPr>
              <w:fldChar w:fldCharType="end"/>
            </w:r>
          </w:hyperlink>
        </w:p>
        <w:p w14:paraId="4E7931C5" w14:textId="468277C1" w:rsidR="009E759B" w:rsidRDefault="008C3745">
          <w:pPr>
            <w:pStyle w:val="TOC3"/>
            <w:tabs>
              <w:tab w:val="right" w:leader="dot" w:pos="9016"/>
            </w:tabs>
            <w:rPr>
              <w:rFonts w:asciiTheme="minorHAnsi" w:eastAsiaTheme="minorEastAsia" w:hAnsiTheme="minorHAnsi" w:cstheme="minorBidi"/>
              <w:noProof/>
              <w:color w:val="auto"/>
              <w:szCs w:val="22"/>
              <w:lang w:eastAsia="zh-CN"/>
            </w:rPr>
          </w:pPr>
          <w:hyperlink w:anchor="_Toc85030329" w:history="1">
            <w:r w:rsidR="009E759B" w:rsidRPr="000026AA">
              <w:rPr>
                <w:rStyle w:val="Hyperlink"/>
                <w:noProof/>
              </w:rPr>
              <w:t>Proposed biomethane method package</w:t>
            </w:r>
            <w:r w:rsidR="009E759B">
              <w:rPr>
                <w:noProof/>
                <w:webHidden/>
              </w:rPr>
              <w:tab/>
            </w:r>
            <w:r w:rsidR="009E759B">
              <w:rPr>
                <w:noProof/>
                <w:webHidden/>
              </w:rPr>
              <w:fldChar w:fldCharType="begin"/>
            </w:r>
            <w:r w:rsidR="009E759B">
              <w:rPr>
                <w:noProof/>
                <w:webHidden/>
              </w:rPr>
              <w:instrText xml:space="preserve"> PAGEREF _Toc85030329 \h </w:instrText>
            </w:r>
            <w:r w:rsidR="009E759B">
              <w:rPr>
                <w:noProof/>
                <w:webHidden/>
              </w:rPr>
            </w:r>
            <w:r w:rsidR="009E759B">
              <w:rPr>
                <w:noProof/>
                <w:webHidden/>
              </w:rPr>
              <w:fldChar w:fldCharType="separate"/>
            </w:r>
            <w:r w:rsidR="009E759B">
              <w:rPr>
                <w:noProof/>
                <w:webHidden/>
              </w:rPr>
              <w:t>5</w:t>
            </w:r>
            <w:r w:rsidR="009E759B">
              <w:rPr>
                <w:noProof/>
                <w:webHidden/>
              </w:rPr>
              <w:fldChar w:fldCharType="end"/>
            </w:r>
          </w:hyperlink>
        </w:p>
        <w:p w14:paraId="1A7739BF" w14:textId="0FBC150A" w:rsidR="009E759B" w:rsidRDefault="008C3745">
          <w:pPr>
            <w:pStyle w:val="TOC3"/>
            <w:tabs>
              <w:tab w:val="right" w:leader="dot" w:pos="9016"/>
            </w:tabs>
            <w:rPr>
              <w:rFonts w:asciiTheme="minorHAnsi" w:eastAsiaTheme="minorEastAsia" w:hAnsiTheme="minorHAnsi" w:cstheme="minorBidi"/>
              <w:noProof/>
              <w:color w:val="auto"/>
              <w:szCs w:val="22"/>
              <w:lang w:eastAsia="zh-CN"/>
            </w:rPr>
          </w:pPr>
          <w:hyperlink w:anchor="_Toc85030330" w:history="1">
            <w:r w:rsidR="009E759B" w:rsidRPr="000026AA">
              <w:rPr>
                <w:rStyle w:val="Hyperlink"/>
                <w:noProof/>
              </w:rPr>
              <w:t>Carbon abatement from biomethane projects</w:t>
            </w:r>
            <w:r w:rsidR="009E759B">
              <w:rPr>
                <w:noProof/>
                <w:webHidden/>
              </w:rPr>
              <w:tab/>
            </w:r>
            <w:r w:rsidR="009E759B">
              <w:rPr>
                <w:noProof/>
                <w:webHidden/>
              </w:rPr>
              <w:fldChar w:fldCharType="begin"/>
            </w:r>
            <w:r w:rsidR="009E759B">
              <w:rPr>
                <w:noProof/>
                <w:webHidden/>
              </w:rPr>
              <w:instrText xml:space="preserve"> PAGEREF _Toc85030330 \h </w:instrText>
            </w:r>
            <w:r w:rsidR="009E759B">
              <w:rPr>
                <w:noProof/>
                <w:webHidden/>
              </w:rPr>
            </w:r>
            <w:r w:rsidR="009E759B">
              <w:rPr>
                <w:noProof/>
                <w:webHidden/>
              </w:rPr>
              <w:fldChar w:fldCharType="separate"/>
            </w:r>
            <w:r w:rsidR="009E759B">
              <w:rPr>
                <w:noProof/>
                <w:webHidden/>
              </w:rPr>
              <w:t>6</w:t>
            </w:r>
            <w:r w:rsidR="009E759B">
              <w:rPr>
                <w:noProof/>
                <w:webHidden/>
              </w:rPr>
              <w:fldChar w:fldCharType="end"/>
            </w:r>
          </w:hyperlink>
        </w:p>
        <w:p w14:paraId="6AEF0C6E" w14:textId="7015535F" w:rsidR="009E759B" w:rsidRDefault="008C3745">
          <w:pPr>
            <w:pStyle w:val="TOC3"/>
            <w:tabs>
              <w:tab w:val="right" w:leader="dot" w:pos="9016"/>
            </w:tabs>
            <w:rPr>
              <w:rFonts w:asciiTheme="minorHAnsi" w:eastAsiaTheme="minorEastAsia" w:hAnsiTheme="minorHAnsi" w:cstheme="minorBidi"/>
              <w:noProof/>
              <w:color w:val="auto"/>
              <w:szCs w:val="22"/>
              <w:lang w:eastAsia="zh-CN"/>
            </w:rPr>
          </w:pPr>
          <w:hyperlink w:anchor="_Toc85030331" w:history="1">
            <w:r w:rsidR="009E759B" w:rsidRPr="000026AA">
              <w:rPr>
                <w:rStyle w:val="Hyperlink"/>
                <w:noProof/>
              </w:rPr>
              <w:t>Biomethane project activities</w:t>
            </w:r>
            <w:r w:rsidR="009E759B">
              <w:rPr>
                <w:noProof/>
                <w:webHidden/>
              </w:rPr>
              <w:tab/>
            </w:r>
            <w:r w:rsidR="009E759B">
              <w:rPr>
                <w:noProof/>
                <w:webHidden/>
              </w:rPr>
              <w:fldChar w:fldCharType="begin"/>
            </w:r>
            <w:r w:rsidR="009E759B">
              <w:rPr>
                <w:noProof/>
                <w:webHidden/>
              </w:rPr>
              <w:instrText xml:space="preserve"> PAGEREF _Toc85030331 \h </w:instrText>
            </w:r>
            <w:r w:rsidR="009E759B">
              <w:rPr>
                <w:noProof/>
                <w:webHidden/>
              </w:rPr>
            </w:r>
            <w:r w:rsidR="009E759B">
              <w:rPr>
                <w:noProof/>
                <w:webHidden/>
              </w:rPr>
              <w:fldChar w:fldCharType="separate"/>
            </w:r>
            <w:r w:rsidR="009E759B">
              <w:rPr>
                <w:noProof/>
                <w:webHidden/>
              </w:rPr>
              <w:t>7</w:t>
            </w:r>
            <w:r w:rsidR="009E759B">
              <w:rPr>
                <w:noProof/>
                <w:webHidden/>
              </w:rPr>
              <w:fldChar w:fldCharType="end"/>
            </w:r>
          </w:hyperlink>
        </w:p>
        <w:p w14:paraId="6FBCD311" w14:textId="71C7EFFD" w:rsidR="009E759B" w:rsidRDefault="008C3745">
          <w:pPr>
            <w:pStyle w:val="TOC1"/>
            <w:tabs>
              <w:tab w:val="right" w:leader="dot" w:pos="9016"/>
            </w:tabs>
            <w:rPr>
              <w:rFonts w:asciiTheme="minorHAnsi" w:eastAsiaTheme="minorEastAsia" w:hAnsiTheme="minorHAnsi" w:cstheme="minorBidi"/>
              <w:noProof/>
              <w:color w:val="auto"/>
              <w:szCs w:val="22"/>
              <w:lang w:eastAsia="zh-CN"/>
            </w:rPr>
          </w:pPr>
          <w:hyperlink w:anchor="_Toc85030332" w:history="1">
            <w:r w:rsidR="009E759B" w:rsidRPr="000026AA">
              <w:rPr>
                <w:rStyle w:val="Hyperlink"/>
                <w:noProof/>
              </w:rPr>
              <w:t>Using this guide</w:t>
            </w:r>
            <w:r w:rsidR="009E759B">
              <w:rPr>
                <w:noProof/>
                <w:webHidden/>
              </w:rPr>
              <w:tab/>
            </w:r>
            <w:r w:rsidR="009E759B">
              <w:rPr>
                <w:noProof/>
                <w:webHidden/>
              </w:rPr>
              <w:fldChar w:fldCharType="begin"/>
            </w:r>
            <w:r w:rsidR="009E759B">
              <w:rPr>
                <w:noProof/>
                <w:webHidden/>
              </w:rPr>
              <w:instrText xml:space="preserve"> PAGEREF _Toc85030332 \h </w:instrText>
            </w:r>
            <w:r w:rsidR="009E759B">
              <w:rPr>
                <w:noProof/>
                <w:webHidden/>
              </w:rPr>
            </w:r>
            <w:r w:rsidR="009E759B">
              <w:rPr>
                <w:noProof/>
                <w:webHidden/>
              </w:rPr>
              <w:fldChar w:fldCharType="separate"/>
            </w:r>
            <w:r w:rsidR="009E759B">
              <w:rPr>
                <w:noProof/>
                <w:webHidden/>
              </w:rPr>
              <w:t>7</w:t>
            </w:r>
            <w:r w:rsidR="009E759B">
              <w:rPr>
                <w:noProof/>
                <w:webHidden/>
              </w:rPr>
              <w:fldChar w:fldCharType="end"/>
            </w:r>
          </w:hyperlink>
        </w:p>
        <w:p w14:paraId="39FA1DCD" w14:textId="39B97BC1" w:rsidR="009E759B" w:rsidRDefault="008C3745">
          <w:pPr>
            <w:pStyle w:val="TOC1"/>
            <w:tabs>
              <w:tab w:val="right" w:leader="dot" w:pos="9016"/>
            </w:tabs>
            <w:rPr>
              <w:rFonts w:asciiTheme="minorHAnsi" w:eastAsiaTheme="minorEastAsia" w:hAnsiTheme="minorHAnsi" w:cstheme="minorBidi"/>
              <w:noProof/>
              <w:color w:val="auto"/>
              <w:szCs w:val="22"/>
              <w:lang w:eastAsia="zh-CN"/>
            </w:rPr>
          </w:pPr>
          <w:hyperlink w:anchor="_Toc85030333" w:history="1">
            <w:r w:rsidR="009E759B" w:rsidRPr="000026AA">
              <w:rPr>
                <w:rStyle w:val="Hyperlink"/>
                <w:noProof/>
              </w:rPr>
              <w:t>Planning and registering your ERF project</w:t>
            </w:r>
            <w:r w:rsidR="009E759B">
              <w:rPr>
                <w:noProof/>
                <w:webHidden/>
              </w:rPr>
              <w:tab/>
            </w:r>
            <w:r w:rsidR="009E759B">
              <w:rPr>
                <w:noProof/>
                <w:webHidden/>
              </w:rPr>
              <w:fldChar w:fldCharType="begin"/>
            </w:r>
            <w:r w:rsidR="009E759B">
              <w:rPr>
                <w:noProof/>
                <w:webHidden/>
              </w:rPr>
              <w:instrText xml:space="preserve"> PAGEREF _Toc85030333 \h </w:instrText>
            </w:r>
            <w:r w:rsidR="009E759B">
              <w:rPr>
                <w:noProof/>
                <w:webHidden/>
              </w:rPr>
            </w:r>
            <w:r w:rsidR="009E759B">
              <w:rPr>
                <w:noProof/>
                <w:webHidden/>
              </w:rPr>
              <w:fldChar w:fldCharType="separate"/>
            </w:r>
            <w:r w:rsidR="009E759B">
              <w:rPr>
                <w:noProof/>
                <w:webHidden/>
              </w:rPr>
              <w:t>7</w:t>
            </w:r>
            <w:r w:rsidR="009E759B">
              <w:rPr>
                <w:noProof/>
                <w:webHidden/>
              </w:rPr>
              <w:fldChar w:fldCharType="end"/>
            </w:r>
          </w:hyperlink>
        </w:p>
        <w:p w14:paraId="4B56073B" w14:textId="744C93D8" w:rsidR="009E759B" w:rsidRDefault="008C3745">
          <w:pPr>
            <w:pStyle w:val="TOC2"/>
            <w:tabs>
              <w:tab w:val="right" w:leader="dot" w:pos="9016"/>
            </w:tabs>
            <w:rPr>
              <w:rFonts w:asciiTheme="minorHAnsi" w:eastAsiaTheme="minorEastAsia" w:hAnsiTheme="minorHAnsi" w:cstheme="minorBidi"/>
              <w:noProof/>
              <w:color w:val="auto"/>
              <w:szCs w:val="22"/>
              <w:lang w:eastAsia="zh-CN"/>
            </w:rPr>
          </w:pPr>
          <w:hyperlink w:anchor="_Toc85030334" w:history="1">
            <w:r w:rsidR="009E759B" w:rsidRPr="000026AA">
              <w:rPr>
                <w:rStyle w:val="Hyperlink"/>
                <w:noProof/>
              </w:rPr>
              <w:t>Eligibility requirements</w:t>
            </w:r>
            <w:r w:rsidR="009E759B">
              <w:rPr>
                <w:noProof/>
                <w:webHidden/>
              </w:rPr>
              <w:tab/>
            </w:r>
            <w:r w:rsidR="009E759B">
              <w:rPr>
                <w:noProof/>
                <w:webHidden/>
              </w:rPr>
              <w:fldChar w:fldCharType="begin"/>
            </w:r>
            <w:r w:rsidR="009E759B">
              <w:rPr>
                <w:noProof/>
                <w:webHidden/>
              </w:rPr>
              <w:instrText xml:space="preserve"> PAGEREF _Toc85030334 \h </w:instrText>
            </w:r>
            <w:r w:rsidR="009E759B">
              <w:rPr>
                <w:noProof/>
                <w:webHidden/>
              </w:rPr>
            </w:r>
            <w:r w:rsidR="009E759B">
              <w:rPr>
                <w:noProof/>
                <w:webHidden/>
              </w:rPr>
              <w:fldChar w:fldCharType="separate"/>
            </w:r>
            <w:r w:rsidR="009E759B">
              <w:rPr>
                <w:noProof/>
                <w:webHidden/>
              </w:rPr>
              <w:t>8</w:t>
            </w:r>
            <w:r w:rsidR="009E759B">
              <w:rPr>
                <w:noProof/>
                <w:webHidden/>
              </w:rPr>
              <w:fldChar w:fldCharType="end"/>
            </w:r>
          </w:hyperlink>
        </w:p>
        <w:p w14:paraId="3E604065" w14:textId="0BB2027C" w:rsidR="009E759B" w:rsidRDefault="008C3745">
          <w:pPr>
            <w:pStyle w:val="TOC2"/>
            <w:tabs>
              <w:tab w:val="right" w:leader="dot" w:pos="9016"/>
            </w:tabs>
            <w:rPr>
              <w:rFonts w:asciiTheme="minorHAnsi" w:eastAsiaTheme="minorEastAsia" w:hAnsiTheme="minorHAnsi" w:cstheme="minorBidi"/>
              <w:noProof/>
              <w:color w:val="auto"/>
              <w:szCs w:val="22"/>
              <w:lang w:eastAsia="zh-CN"/>
            </w:rPr>
          </w:pPr>
          <w:hyperlink w:anchor="_Toc85030335" w:history="1">
            <w:r w:rsidR="009E759B" w:rsidRPr="000026AA">
              <w:rPr>
                <w:rStyle w:val="Hyperlink"/>
                <w:noProof/>
              </w:rPr>
              <w:t>Crediting periods and start dates</w:t>
            </w:r>
            <w:r w:rsidR="009E759B">
              <w:rPr>
                <w:noProof/>
                <w:webHidden/>
              </w:rPr>
              <w:tab/>
            </w:r>
            <w:r w:rsidR="009E759B">
              <w:rPr>
                <w:noProof/>
                <w:webHidden/>
              </w:rPr>
              <w:fldChar w:fldCharType="begin"/>
            </w:r>
            <w:r w:rsidR="009E759B">
              <w:rPr>
                <w:noProof/>
                <w:webHidden/>
              </w:rPr>
              <w:instrText xml:space="preserve"> PAGEREF _Toc85030335 \h </w:instrText>
            </w:r>
            <w:r w:rsidR="009E759B">
              <w:rPr>
                <w:noProof/>
                <w:webHidden/>
              </w:rPr>
            </w:r>
            <w:r w:rsidR="009E759B">
              <w:rPr>
                <w:noProof/>
                <w:webHidden/>
              </w:rPr>
              <w:fldChar w:fldCharType="separate"/>
            </w:r>
            <w:r w:rsidR="009E759B">
              <w:rPr>
                <w:noProof/>
                <w:webHidden/>
              </w:rPr>
              <w:t>10</w:t>
            </w:r>
            <w:r w:rsidR="009E759B">
              <w:rPr>
                <w:noProof/>
                <w:webHidden/>
              </w:rPr>
              <w:fldChar w:fldCharType="end"/>
            </w:r>
          </w:hyperlink>
        </w:p>
        <w:p w14:paraId="0D9333FE" w14:textId="5C356C3E" w:rsidR="009E759B" w:rsidRDefault="008C3745">
          <w:pPr>
            <w:pStyle w:val="TOC3"/>
            <w:tabs>
              <w:tab w:val="right" w:leader="dot" w:pos="9016"/>
            </w:tabs>
            <w:rPr>
              <w:rFonts w:asciiTheme="minorHAnsi" w:eastAsiaTheme="minorEastAsia" w:hAnsiTheme="minorHAnsi" w:cstheme="minorBidi"/>
              <w:noProof/>
              <w:color w:val="auto"/>
              <w:szCs w:val="22"/>
              <w:lang w:eastAsia="zh-CN"/>
            </w:rPr>
          </w:pPr>
          <w:hyperlink w:anchor="_Toc85030336" w:history="1">
            <w:r w:rsidR="009E759B" w:rsidRPr="000026AA">
              <w:rPr>
                <w:rStyle w:val="Hyperlink"/>
                <w:noProof/>
                <w:lang w:val="en-GB"/>
              </w:rPr>
              <w:t>Biomethane project crediting periods</w:t>
            </w:r>
            <w:r w:rsidR="009E759B">
              <w:rPr>
                <w:noProof/>
                <w:webHidden/>
              </w:rPr>
              <w:tab/>
            </w:r>
            <w:r w:rsidR="009E759B">
              <w:rPr>
                <w:noProof/>
                <w:webHidden/>
              </w:rPr>
              <w:fldChar w:fldCharType="begin"/>
            </w:r>
            <w:r w:rsidR="009E759B">
              <w:rPr>
                <w:noProof/>
                <w:webHidden/>
              </w:rPr>
              <w:instrText xml:space="preserve"> PAGEREF _Toc85030336 \h </w:instrText>
            </w:r>
            <w:r w:rsidR="009E759B">
              <w:rPr>
                <w:noProof/>
                <w:webHidden/>
              </w:rPr>
            </w:r>
            <w:r w:rsidR="009E759B">
              <w:rPr>
                <w:noProof/>
                <w:webHidden/>
              </w:rPr>
              <w:fldChar w:fldCharType="separate"/>
            </w:r>
            <w:r w:rsidR="009E759B">
              <w:rPr>
                <w:noProof/>
                <w:webHidden/>
              </w:rPr>
              <w:t>10</w:t>
            </w:r>
            <w:r w:rsidR="009E759B">
              <w:rPr>
                <w:noProof/>
                <w:webHidden/>
              </w:rPr>
              <w:fldChar w:fldCharType="end"/>
            </w:r>
          </w:hyperlink>
        </w:p>
        <w:p w14:paraId="633E4DD2" w14:textId="2AE4DCC3" w:rsidR="009E759B" w:rsidRDefault="008C3745">
          <w:pPr>
            <w:pStyle w:val="TOC3"/>
            <w:tabs>
              <w:tab w:val="right" w:leader="dot" w:pos="9016"/>
            </w:tabs>
            <w:rPr>
              <w:rFonts w:asciiTheme="minorHAnsi" w:eastAsiaTheme="minorEastAsia" w:hAnsiTheme="minorHAnsi" w:cstheme="minorBidi"/>
              <w:noProof/>
              <w:color w:val="auto"/>
              <w:szCs w:val="22"/>
              <w:lang w:eastAsia="zh-CN"/>
            </w:rPr>
          </w:pPr>
          <w:hyperlink w:anchor="_Toc85030337" w:history="1">
            <w:r w:rsidR="009E759B" w:rsidRPr="000026AA">
              <w:rPr>
                <w:rStyle w:val="Hyperlink"/>
                <w:noProof/>
              </w:rPr>
              <w:t>Start date</w:t>
            </w:r>
            <w:r w:rsidR="009E759B">
              <w:rPr>
                <w:noProof/>
                <w:webHidden/>
              </w:rPr>
              <w:tab/>
            </w:r>
            <w:r w:rsidR="009E759B">
              <w:rPr>
                <w:noProof/>
                <w:webHidden/>
              </w:rPr>
              <w:fldChar w:fldCharType="begin"/>
            </w:r>
            <w:r w:rsidR="009E759B">
              <w:rPr>
                <w:noProof/>
                <w:webHidden/>
              </w:rPr>
              <w:instrText xml:space="preserve"> PAGEREF _Toc85030337 \h </w:instrText>
            </w:r>
            <w:r w:rsidR="009E759B">
              <w:rPr>
                <w:noProof/>
                <w:webHidden/>
              </w:rPr>
            </w:r>
            <w:r w:rsidR="009E759B">
              <w:rPr>
                <w:noProof/>
                <w:webHidden/>
              </w:rPr>
              <w:fldChar w:fldCharType="separate"/>
            </w:r>
            <w:r w:rsidR="009E759B">
              <w:rPr>
                <w:noProof/>
                <w:webHidden/>
              </w:rPr>
              <w:t>13</w:t>
            </w:r>
            <w:r w:rsidR="009E759B">
              <w:rPr>
                <w:noProof/>
                <w:webHidden/>
              </w:rPr>
              <w:fldChar w:fldCharType="end"/>
            </w:r>
          </w:hyperlink>
        </w:p>
        <w:p w14:paraId="683C541E" w14:textId="1CE5DB52" w:rsidR="009E759B" w:rsidRDefault="008C3745">
          <w:pPr>
            <w:pStyle w:val="TOC1"/>
            <w:tabs>
              <w:tab w:val="right" w:leader="dot" w:pos="9016"/>
            </w:tabs>
            <w:rPr>
              <w:rFonts w:asciiTheme="minorHAnsi" w:eastAsiaTheme="minorEastAsia" w:hAnsiTheme="minorHAnsi" w:cstheme="minorBidi"/>
              <w:noProof/>
              <w:color w:val="auto"/>
              <w:szCs w:val="22"/>
              <w:lang w:eastAsia="zh-CN"/>
            </w:rPr>
          </w:pPr>
          <w:hyperlink w:anchor="_Toc85030338" w:history="1">
            <w:r w:rsidR="009E759B" w:rsidRPr="000026AA">
              <w:rPr>
                <w:rStyle w:val="Hyperlink"/>
                <w:noProof/>
              </w:rPr>
              <w:t>Running and reporting on your project</w:t>
            </w:r>
            <w:r w:rsidR="009E759B">
              <w:rPr>
                <w:noProof/>
                <w:webHidden/>
              </w:rPr>
              <w:tab/>
            </w:r>
            <w:r w:rsidR="009E759B">
              <w:rPr>
                <w:noProof/>
                <w:webHidden/>
              </w:rPr>
              <w:fldChar w:fldCharType="begin"/>
            </w:r>
            <w:r w:rsidR="009E759B">
              <w:rPr>
                <w:noProof/>
                <w:webHidden/>
              </w:rPr>
              <w:instrText xml:space="preserve"> PAGEREF _Toc85030338 \h </w:instrText>
            </w:r>
            <w:r w:rsidR="009E759B">
              <w:rPr>
                <w:noProof/>
                <w:webHidden/>
              </w:rPr>
            </w:r>
            <w:r w:rsidR="009E759B">
              <w:rPr>
                <w:noProof/>
                <w:webHidden/>
              </w:rPr>
              <w:fldChar w:fldCharType="separate"/>
            </w:r>
            <w:r w:rsidR="009E759B">
              <w:rPr>
                <w:noProof/>
                <w:webHidden/>
              </w:rPr>
              <w:t>13</w:t>
            </w:r>
            <w:r w:rsidR="009E759B">
              <w:rPr>
                <w:noProof/>
                <w:webHidden/>
              </w:rPr>
              <w:fldChar w:fldCharType="end"/>
            </w:r>
          </w:hyperlink>
        </w:p>
        <w:p w14:paraId="6D73F323" w14:textId="1A3D3339" w:rsidR="009E759B" w:rsidRDefault="008C3745">
          <w:pPr>
            <w:pStyle w:val="TOC2"/>
            <w:tabs>
              <w:tab w:val="right" w:leader="dot" w:pos="9016"/>
            </w:tabs>
            <w:rPr>
              <w:rFonts w:asciiTheme="minorHAnsi" w:eastAsiaTheme="minorEastAsia" w:hAnsiTheme="minorHAnsi" w:cstheme="minorBidi"/>
              <w:noProof/>
              <w:color w:val="auto"/>
              <w:szCs w:val="22"/>
              <w:lang w:eastAsia="zh-CN"/>
            </w:rPr>
          </w:pPr>
          <w:hyperlink w:anchor="_Toc85030339" w:history="1">
            <w:r w:rsidR="009E759B" w:rsidRPr="000026AA">
              <w:rPr>
                <w:rStyle w:val="Hyperlink"/>
                <w:noProof/>
              </w:rPr>
              <w:t>Conducting your project</w:t>
            </w:r>
            <w:r w:rsidR="009E759B">
              <w:rPr>
                <w:noProof/>
                <w:webHidden/>
              </w:rPr>
              <w:tab/>
            </w:r>
            <w:r w:rsidR="009E759B">
              <w:rPr>
                <w:noProof/>
                <w:webHidden/>
              </w:rPr>
              <w:fldChar w:fldCharType="begin"/>
            </w:r>
            <w:r w:rsidR="009E759B">
              <w:rPr>
                <w:noProof/>
                <w:webHidden/>
              </w:rPr>
              <w:instrText xml:space="preserve"> PAGEREF _Toc85030339 \h </w:instrText>
            </w:r>
            <w:r w:rsidR="009E759B">
              <w:rPr>
                <w:noProof/>
                <w:webHidden/>
              </w:rPr>
            </w:r>
            <w:r w:rsidR="009E759B">
              <w:rPr>
                <w:noProof/>
                <w:webHidden/>
              </w:rPr>
              <w:fldChar w:fldCharType="separate"/>
            </w:r>
            <w:r w:rsidR="009E759B">
              <w:rPr>
                <w:noProof/>
                <w:webHidden/>
              </w:rPr>
              <w:t>13</w:t>
            </w:r>
            <w:r w:rsidR="009E759B">
              <w:rPr>
                <w:noProof/>
                <w:webHidden/>
              </w:rPr>
              <w:fldChar w:fldCharType="end"/>
            </w:r>
          </w:hyperlink>
        </w:p>
        <w:p w14:paraId="144389AB" w14:textId="7080D65C" w:rsidR="009E759B" w:rsidRDefault="008C3745">
          <w:pPr>
            <w:pStyle w:val="TOC2"/>
            <w:tabs>
              <w:tab w:val="right" w:leader="dot" w:pos="9016"/>
            </w:tabs>
            <w:rPr>
              <w:rFonts w:asciiTheme="minorHAnsi" w:eastAsiaTheme="minorEastAsia" w:hAnsiTheme="minorHAnsi" w:cstheme="minorBidi"/>
              <w:noProof/>
              <w:color w:val="auto"/>
              <w:szCs w:val="22"/>
              <w:lang w:eastAsia="zh-CN"/>
            </w:rPr>
          </w:pPr>
          <w:hyperlink w:anchor="_Toc85030340" w:history="1">
            <w:r w:rsidR="009E759B" w:rsidRPr="000026AA">
              <w:rPr>
                <w:rStyle w:val="Hyperlink"/>
                <w:noProof/>
                <w:lang w:val="en-GB"/>
              </w:rPr>
              <w:t>Starting a biomethane project</w:t>
            </w:r>
            <w:r w:rsidR="009E759B">
              <w:rPr>
                <w:noProof/>
                <w:webHidden/>
              </w:rPr>
              <w:tab/>
            </w:r>
            <w:r w:rsidR="009E759B">
              <w:rPr>
                <w:noProof/>
                <w:webHidden/>
              </w:rPr>
              <w:fldChar w:fldCharType="begin"/>
            </w:r>
            <w:r w:rsidR="009E759B">
              <w:rPr>
                <w:noProof/>
                <w:webHidden/>
              </w:rPr>
              <w:instrText xml:space="preserve"> PAGEREF _Toc85030340 \h </w:instrText>
            </w:r>
            <w:r w:rsidR="009E759B">
              <w:rPr>
                <w:noProof/>
                <w:webHidden/>
              </w:rPr>
            </w:r>
            <w:r w:rsidR="009E759B">
              <w:rPr>
                <w:noProof/>
                <w:webHidden/>
              </w:rPr>
              <w:fldChar w:fldCharType="separate"/>
            </w:r>
            <w:r w:rsidR="009E759B">
              <w:rPr>
                <w:noProof/>
                <w:webHidden/>
              </w:rPr>
              <w:t>14</w:t>
            </w:r>
            <w:r w:rsidR="009E759B">
              <w:rPr>
                <w:noProof/>
                <w:webHidden/>
              </w:rPr>
              <w:fldChar w:fldCharType="end"/>
            </w:r>
          </w:hyperlink>
        </w:p>
        <w:p w14:paraId="7E0513A6" w14:textId="5DFF429F" w:rsidR="009E759B" w:rsidRDefault="008C3745">
          <w:pPr>
            <w:pStyle w:val="TOC3"/>
            <w:tabs>
              <w:tab w:val="right" w:leader="dot" w:pos="9016"/>
            </w:tabs>
            <w:rPr>
              <w:rFonts w:asciiTheme="minorHAnsi" w:eastAsiaTheme="minorEastAsia" w:hAnsiTheme="minorHAnsi" w:cstheme="minorBidi"/>
              <w:noProof/>
              <w:color w:val="auto"/>
              <w:szCs w:val="22"/>
              <w:lang w:eastAsia="zh-CN"/>
            </w:rPr>
          </w:pPr>
          <w:hyperlink w:anchor="_Toc85030341" w:history="1">
            <w:r w:rsidR="009E759B" w:rsidRPr="000026AA">
              <w:rPr>
                <w:rStyle w:val="Hyperlink"/>
                <w:noProof/>
              </w:rPr>
              <w:t>New or restarting biomethane projects</w:t>
            </w:r>
            <w:r w:rsidR="009E759B">
              <w:rPr>
                <w:noProof/>
                <w:webHidden/>
              </w:rPr>
              <w:tab/>
            </w:r>
            <w:r w:rsidR="009E759B">
              <w:rPr>
                <w:noProof/>
                <w:webHidden/>
              </w:rPr>
              <w:fldChar w:fldCharType="begin"/>
            </w:r>
            <w:r w:rsidR="009E759B">
              <w:rPr>
                <w:noProof/>
                <w:webHidden/>
              </w:rPr>
              <w:instrText xml:space="preserve"> PAGEREF _Toc85030341 \h </w:instrText>
            </w:r>
            <w:r w:rsidR="009E759B">
              <w:rPr>
                <w:noProof/>
                <w:webHidden/>
              </w:rPr>
            </w:r>
            <w:r w:rsidR="009E759B">
              <w:rPr>
                <w:noProof/>
                <w:webHidden/>
              </w:rPr>
              <w:fldChar w:fldCharType="separate"/>
            </w:r>
            <w:r w:rsidR="009E759B">
              <w:rPr>
                <w:noProof/>
                <w:webHidden/>
              </w:rPr>
              <w:t>14</w:t>
            </w:r>
            <w:r w:rsidR="009E759B">
              <w:rPr>
                <w:noProof/>
                <w:webHidden/>
              </w:rPr>
              <w:fldChar w:fldCharType="end"/>
            </w:r>
          </w:hyperlink>
        </w:p>
        <w:p w14:paraId="23CFBFCB" w14:textId="2E63ABFE" w:rsidR="009E759B" w:rsidRDefault="008C3745">
          <w:pPr>
            <w:pStyle w:val="TOC3"/>
            <w:tabs>
              <w:tab w:val="right" w:leader="dot" w:pos="9016"/>
            </w:tabs>
            <w:rPr>
              <w:rFonts w:asciiTheme="minorHAnsi" w:eastAsiaTheme="minorEastAsia" w:hAnsiTheme="minorHAnsi" w:cstheme="minorBidi"/>
              <w:noProof/>
              <w:color w:val="auto"/>
              <w:szCs w:val="22"/>
              <w:lang w:eastAsia="zh-CN"/>
            </w:rPr>
          </w:pPr>
          <w:hyperlink w:anchor="_Toc85030342" w:history="1">
            <w:r w:rsidR="009E759B" w:rsidRPr="000026AA">
              <w:rPr>
                <w:rStyle w:val="Hyperlink"/>
                <w:noProof/>
              </w:rPr>
              <w:t>Expanding biomethane project</w:t>
            </w:r>
            <w:r w:rsidR="009E759B">
              <w:rPr>
                <w:noProof/>
                <w:webHidden/>
              </w:rPr>
              <w:tab/>
            </w:r>
            <w:r w:rsidR="009E759B">
              <w:rPr>
                <w:noProof/>
                <w:webHidden/>
              </w:rPr>
              <w:fldChar w:fldCharType="begin"/>
            </w:r>
            <w:r w:rsidR="009E759B">
              <w:rPr>
                <w:noProof/>
                <w:webHidden/>
              </w:rPr>
              <w:instrText xml:space="preserve"> PAGEREF _Toc85030342 \h </w:instrText>
            </w:r>
            <w:r w:rsidR="009E759B">
              <w:rPr>
                <w:noProof/>
                <w:webHidden/>
              </w:rPr>
            </w:r>
            <w:r w:rsidR="009E759B">
              <w:rPr>
                <w:noProof/>
                <w:webHidden/>
              </w:rPr>
              <w:fldChar w:fldCharType="separate"/>
            </w:r>
            <w:r w:rsidR="009E759B">
              <w:rPr>
                <w:noProof/>
                <w:webHidden/>
              </w:rPr>
              <w:t>14</w:t>
            </w:r>
            <w:r w:rsidR="009E759B">
              <w:rPr>
                <w:noProof/>
                <w:webHidden/>
              </w:rPr>
              <w:fldChar w:fldCharType="end"/>
            </w:r>
          </w:hyperlink>
        </w:p>
        <w:p w14:paraId="73FD8537" w14:textId="4F02F478" w:rsidR="009E759B" w:rsidRDefault="008C3745">
          <w:pPr>
            <w:pStyle w:val="TOC2"/>
            <w:tabs>
              <w:tab w:val="right" w:leader="dot" w:pos="9016"/>
            </w:tabs>
            <w:rPr>
              <w:rFonts w:asciiTheme="minorHAnsi" w:eastAsiaTheme="minorEastAsia" w:hAnsiTheme="minorHAnsi" w:cstheme="minorBidi"/>
              <w:noProof/>
              <w:color w:val="auto"/>
              <w:szCs w:val="22"/>
              <w:lang w:eastAsia="zh-CN"/>
            </w:rPr>
          </w:pPr>
          <w:hyperlink w:anchor="_Toc85030343" w:history="1">
            <w:r w:rsidR="009E759B" w:rsidRPr="000026AA">
              <w:rPr>
                <w:rStyle w:val="Hyperlink"/>
                <w:noProof/>
              </w:rPr>
              <w:t>Implementing biomethane activities</w:t>
            </w:r>
            <w:r w:rsidR="009E759B">
              <w:rPr>
                <w:noProof/>
                <w:webHidden/>
              </w:rPr>
              <w:tab/>
            </w:r>
            <w:r w:rsidR="009E759B">
              <w:rPr>
                <w:noProof/>
                <w:webHidden/>
              </w:rPr>
              <w:fldChar w:fldCharType="begin"/>
            </w:r>
            <w:r w:rsidR="009E759B">
              <w:rPr>
                <w:noProof/>
                <w:webHidden/>
              </w:rPr>
              <w:instrText xml:space="preserve"> PAGEREF _Toc85030343 \h </w:instrText>
            </w:r>
            <w:r w:rsidR="009E759B">
              <w:rPr>
                <w:noProof/>
                <w:webHidden/>
              </w:rPr>
            </w:r>
            <w:r w:rsidR="009E759B">
              <w:rPr>
                <w:noProof/>
                <w:webHidden/>
              </w:rPr>
              <w:fldChar w:fldCharType="separate"/>
            </w:r>
            <w:r w:rsidR="009E759B">
              <w:rPr>
                <w:noProof/>
                <w:webHidden/>
              </w:rPr>
              <w:t>15</w:t>
            </w:r>
            <w:r w:rsidR="009E759B">
              <w:rPr>
                <w:noProof/>
                <w:webHidden/>
              </w:rPr>
              <w:fldChar w:fldCharType="end"/>
            </w:r>
          </w:hyperlink>
        </w:p>
        <w:p w14:paraId="5FEC9134" w14:textId="3770383B" w:rsidR="009E759B" w:rsidRDefault="008C3745">
          <w:pPr>
            <w:pStyle w:val="TOC3"/>
            <w:tabs>
              <w:tab w:val="right" w:leader="dot" w:pos="9016"/>
            </w:tabs>
            <w:rPr>
              <w:rFonts w:asciiTheme="minorHAnsi" w:eastAsiaTheme="minorEastAsia" w:hAnsiTheme="minorHAnsi" w:cstheme="minorBidi"/>
              <w:noProof/>
              <w:color w:val="auto"/>
              <w:szCs w:val="22"/>
              <w:lang w:eastAsia="zh-CN"/>
            </w:rPr>
          </w:pPr>
          <w:hyperlink w:anchor="_Toc85030344" w:history="1">
            <w:r w:rsidR="009E759B" w:rsidRPr="000026AA">
              <w:rPr>
                <w:rStyle w:val="Hyperlink"/>
                <w:noProof/>
              </w:rPr>
              <w:t>Biogas generation</w:t>
            </w:r>
            <w:r w:rsidR="009E759B">
              <w:rPr>
                <w:noProof/>
                <w:webHidden/>
              </w:rPr>
              <w:tab/>
            </w:r>
            <w:r w:rsidR="009E759B">
              <w:rPr>
                <w:noProof/>
                <w:webHidden/>
              </w:rPr>
              <w:fldChar w:fldCharType="begin"/>
            </w:r>
            <w:r w:rsidR="009E759B">
              <w:rPr>
                <w:noProof/>
                <w:webHidden/>
              </w:rPr>
              <w:instrText xml:space="preserve"> PAGEREF _Toc85030344 \h </w:instrText>
            </w:r>
            <w:r w:rsidR="009E759B">
              <w:rPr>
                <w:noProof/>
                <w:webHidden/>
              </w:rPr>
            </w:r>
            <w:r w:rsidR="009E759B">
              <w:rPr>
                <w:noProof/>
                <w:webHidden/>
              </w:rPr>
              <w:fldChar w:fldCharType="separate"/>
            </w:r>
            <w:r w:rsidR="009E759B">
              <w:rPr>
                <w:noProof/>
                <w:webHidden/>
              </w:rPr>
              <w:t>16</w:t>
            </w:r>
            <w:r w:rsidR="009E759B">
              <w:rPr>
                <w:noProof/>
                <w:webHidden/>
              </w:rPr>
              <w:fldChar w:fldCharType="end"/>
            </w:r>
          </w:hyperlink>
        </w:p>
        <w:p w14:paraId="118B6C68" w14:textId="71E99499" w:rsidR="009E759B" w:rsidRDefault="008C3745">
          <w:pPr>
            <w:pStyle w:val="TOC3"/>
            <w:tabs>
              <w:tab w:val="right" w:leader="dot" w:pos="9016"/>
            </w:tabs>
            <w:rPr>
              <w:rFonts w:asciiTheme="minorHAnsi" w:eastAsiaTheme="minorEastAsia" w:hAnsiTheme="minorHAnsi" w:cstheme="minorBidi"/>
              <w:noProof/>
              <w:color w:val="auto"/>
              <w:szCs w:val="22"/>
              <w:lang w:eastAsia="zh-CN"/>
            </w:rPr>
          </w:pPr>
          <w:hyperlink w:anchor="_Toc85030345" w:history="1">
            <w:r w:rsidR="009E759B" w:rsidRPr="000026AA">
              <w:rPr>
                <w:rStyle w:val="Hyperlink"/>
                <w:noProof/>
              </w:rPr>
              <w:t>Biogas transport to a biomethane production dispatch system</w:t>
            </w:r>
            <w:r w:rsidR="009E759B">
              <w:rPr>
                <w:noProof/>
                <w:webHidden/>
              </w:rPr>
              <w:tab/>
            </w:r>
            <w:r w:rsidR="009E759B">
              <w:rPr>
                <w:noProof/>
                <w:webHidden/>
              </w:rPr>
              <w:fldChar w:fldCharType="begin"/>
            </w:r>
            <w:r w:rsidR="009E759B">
              <w:rPr>
                <w:noProof/>
                <w:webHidden/>
              </w:rPr>
              <w:instrText xml:space="preserve"> PAGEREF _Toc85030345 \h </w:instrText>
            </w:r>
            <w:r w:rsidR="009E759B">
              <w:rPr>
                <w:noProof/>
                <w:webHidden/>
              </w:rPr>
            </w:r>
            <w:r w:rsidR="009E759B">
              <w:rPr>
                <w:noProof/>
                <w:webHidden/>
              </w:rPr>
              <w:fldChar w:fldCharType="separate"/>
            </w:r>
            <w:r w:rsidR="009E759B">
              <w:rPr>
                <w:noProof/>
                <w:webHidden/>
              </w:rPr>
              <w:t>17</w:t>
            </w:r>
            <w:r w:rsidR="009E759B">
              <w:rPr>
                <w:noProof/>
                <w:webHidden/>
              </w:rPr>
              <w:fldChar w:fldCharType="end"/>
            </w:r>
          </w:hyperlink>
        </w:p>
        <w:p w14:paraId="2CCA9691" w14:textId="27222691" w:rsidR="009E759B" w:rsidRDefault="008C3745">
          <w:pPr>
            <w:pStyle w:val="TOC3"/>
            <w:tabs>
              <w:tab w:val="right" w:leader="dot" w:pos="9016"/>
            </w:tabs>
            <w:rPr>
              <w:rFonts w:asciiTheme="minorHAnsi" w:eastAsiaTheme="minorEastAsia" w:hAnsiTheme="minorHAnsi" w:cstheme="minorBidi"/>
              <w:noProof/>
              <w:color w:val="auto"/>
              <w:szCs w:val="22"/>
              <w:lang w:eastAsia="zh-CN"/>
            </w:rPr>
          </w:pPr>
          <w:hyperlink w:anchor="_Toc85030346" w:history="1">
            <w:r w:rsidR="009E759B" w:rsidRPr="000026AA">
              <w:rPr>
                <w:rStyle w:val="Hyperlink"/>
                <w:noProof/>
              </w:rPr>
              <w:t>Biogas upgrading and compression</w:t>
            </w:r>
            <w:r w:rsidR="009E759B">
              <w:rPr>
                <w:noProof/>
                <w:webHidden/>
              </w:rPr>
              <w:tab/>
            </w:r>
            <w:r w:rsidR="009E759B">
              <w:rPr>
                <w:noProof/>
                <w:webHidden/>
              </w:rPr>
              <w:fldChar w:fldCharType="begin"/>
            </w:r>
            <w:r w:rsidR="009E759B">
              <w:rPr>
                <w:noProof/>
                <w:webHidden/>
              </w:rPr>
              <w:instrText xml:space="preserve"> PAGEREF _Toc85030346 \h </w:instrText>
            </w:r>
            <w:r w:rsidR="009E759B">
              <w:rPr>
                <w:noProof/>
                <w:webHidden/>
              </w:rPr>
            </w:r>
            <w:r w:rsidR="009E759B">
              <w:rPr>
                <w:noProof/>
                <w:webHidden/>
              </w:rPr>
              <w:fldChar w:fldCharType="separate"/>
            </w:r>
            <w:r w:rsidR="009E759B">
              <w:rPr>
                <w:noProof/>
                <w:webHidden/>
              </w:rPr>
              <w:t>17</w:t>
            </w:r>
            <w:r w:rsidR="009E759B">
              <w:rPr>
                <w:noProof/>
                <w:webHidden/>
              </w:rPr>
              <w:fldChar w:fldCharType="end"/>
            </w:r>
          </w:hyperlink>
        </w:p>
        <w:p w14:paraId="72FF08C5" w14:textId="54FE5A16" w:rsidR="009E759B" w:rsidRDefault="008C3745">
          <w:pPr>
            <w:pStyle w:val="TOC3"/>
            <w:tabs>
              <w:tab w:val="right" w:leader="dot" w:pos="9016"/>
            </w:tabs>
            <w:rPr>
              <w:rFonts w:asciiTheme="minorHAnsi" w:eastAsiaTheme="minorEastAsia" w:hAnsiTheme="minorHAnsi" w:cstheme="minorBidi"/>
              <w:noProof/>
              <w:color w:val="auto"/>
              <w:szCs w:val="22"/>
              <w:lang w:eastAsia="zh-CN"/>
            </w:rPr>
          </w:pPr>
          <w:hyperlink w:anchor="_Toc85030347" w:history="1">
            <w:r w:rsidR="009E759B" w:rsidRPr="000026AA">
              <w:rPr>
                <w:rStyle w:val="Hyperlink"/>
                <w:noProof/>
              </w:rPr>
              <w:t>Biomethane transport to end users</w:t>
            </w:r>
            <w:r w:rsidR="009E759B">
              <w:rPr>
                <w:noProof/>
                <w:webHidden/>
              </w:rPr>
              <w:tab/>
            </w:r>
            <w:r w:rsidR="009E759B">
              <w:rPr>
                <w:noProof/>
                <w:webHidden/>
              </w:rPr>
              <w:fldChar w:fldCharType="begin"/>
            </w:r>
            <w:r w:rsidR="009E759B">
              <w:rPr>
                <w:noProof/>
                <w:webHidden/>
              </w:rPr>
              <w:instrText xml:space="preserve"> PAGEREF _Toc85030347 \h </w:instrText>
            </w:r>
            <w:r w:rsidR="009E759B">
              <w:rPr>
                <w:noProof/>
                <w:webHidden/>
              </w:rPr>
            </w:r>
            <w:r w:rsidR="009E759B">
              <w:rPr>
                <w:noProof/>
                <w:webHidden/>
              </w:rPr>
              <w:fldChar w:fldCharType="separate"/>
            </w:r>
            <w:r w:rsidR="009E759B">
              <w:rPr>
                <w:noProof/>
                <w:webHidden/>
              </w:rPr>
              <w:t>18</w:t>
            </w:r>
            <w:r w:rsidR="009E759B">
              <w:rPr>
                <w:noProof/>
                <w:webHidden/>
              </w:rPr>
              <w:fldChar w:fldCharType="end"/>
            </w:r>
          </w:hyperlink>
        </w:p>
        <w:p w14:paraId="3D007470" w14:textId="14A3D4B1" w:rsidR="009E759B" w:rsidRDefault="008C3745">
          <w:pPr>
            <w:pStyle w:val="TOC2"/>
            <w:tabs>
              <w:tab w:val="right" w:leader="dot" w:pos="9016"/>
            </w:tabs>
            <w:rPr>
              <w:rFonts w:asciiTheme="minorHAnsi" w:eastAsiaTheme="minorEastAsia" w:hAnsiTheme="minorHAnsi" w:cstheme="minorBidi"/>
              <w:noProof/>
              <w:color w:val="auto"/>
              <w:szCs w:val="22"/>
              <w:lang w:eastAsia="zh-CN"/>
            </w:rPr>
          </w:pPr>
          <w:hyperlink w:anchor="_Toc85030348" w:history="1">
            <w:r w:rsidR="009E759B" w:rsidRPr="000026AA">
              <w:rPr>
                <w:rStyle w:val="Hyperlink"/>
                <w:rFonts w:eastAsiaTheme="majorEastAsia"/>
                <w:noProof/>
                <w:lang w:val="en-GB"/>
              </w:rPr>
              <w:t>Net abatement</w:t>
            </w:r>
            <w:r w:rsidR="009E759B">
              <w:rPr>
                <w:noProof/>
                <w:webHidden/>
              </w:rPr>
              <w:tab/>
            </w:r>
            <w:r w:rsidR="009E759B">
              <w:rPr>
                <w:noProof/>
                <w:webHidden/>
              </w:rPr>
              <w:fldChar w:fldCharType="begin"/>
            </w:r>
            <w:r w:rsidR="009E759B">
              <w:rPr>
                <w:noProof/>
                <w:webHidden/>
              </w:rPr>
              <w:instrText xml:space="preserve"> PAGEREF _Toc85030348 \h </w:instrText>
            </w:r>
            <w:r w:rsidR="009E759B">
              <w:rPr>
                <w:noProof/>
                <w:webHidden/>
              </w:rPr>
            </w:r>
            <w:r w:rsidR="009E759B">
              <w:rPr>
                <w:noProof/>
                <w:webHidden/>
              </w:rPr>
              <w:fldChar w:fldCharType="separate"/>
            </w:r>
            <w:r w:rsidR="009E759B">
              <w:rPr>
                <w:noProof/>
                <w:webHidden/>
              </w:rPr>
              <w:t>19</w:t>
            </w:r>
            <w:r w:rsidR="009E759B">
              <w:rPr>
                <w:noProof/>
                <w:webHidden/>
              </w:rPr>
              <w:fldChar w:fldCharType="end"/>
            </w:r>
          </w:hyperlink>
        </w:p>
        <w:p w14:paraId="557FC4BA" w14:textId="1CF88314" w:rsidR="009E759B" w:rsidRDefault="008C3745">
          <w:pPr>
            <w:pStyle w:val="TOC3"/>
            <w:tabs>
              <w:tab w:val="right" w:leader="dot" w:pos="9016"/>
            </w:tabs>
            <w:rPr>
              <w:rFonts w:asciiTheme="minorHAnsi" w:eastAsiaTheme="minorEastAsia" w:hAnsiTheme="minorHAnsi" w:cstheme="minorBidi"/>
              <w:noProof/>
              <w:color w:val="auto"/>
              <w:szCs w:val="22"/>
              <w:lang w:eastAsia="zh-CN"/>
            </w:rPr>
          </w:pPr>
          <w:hyperlink w:anchor="_Toc85030349" w:history="1">
            <w:r w:rsidR="009E759B" w:rsidRPr="000026AA">
              <w:rPr>
                <w:rStyle w:val="Hyperlink"/>
                <w:rFonts w:eastAsiaTheme="minorHAnsi"/>
                <w:noProof/>
                <w:lang w:val="en-GB"/>
              </w:rPr>
              <w:t>Conversion abatement</w:t>
            </w:r>
            <w:r w:rsidR="009E759B">
              <w:rPr>
                <w:noProof/>
                <w:webHidden/>
              </w:rPr>
              <w:tab/>
            </w:r>
            <w:r w:rsidR="009E759B">
              <w:rPr>
                <w:noProof/>
                <w:webHidden/>
              </w:rPr>
              <w:fldChar w:fldCharType="begin"/>
            </w:r>
            <w:r w:rsidR="009E759B">
              <w:rPr>
                <w:noProof/>
                <w:webHidden/>
              </w:rPr>
              <w:instrText xml:space="preserve"> PAGEREF _Toc85030349 \h </w:instrText>
            </w:r>
            <w:r w:rsidR="009E759B">
              <w:rPr>
                <w:noProof/>
                <w:webHidden/>
              </w:rPr>
            </w:r>
            <w:r w:rsidR="009E759B">
              <w:rPr>
                <w:noProof/>
                <w:webHidden/>
              </w:rPr>
              <w:fldChar w:fldCharType="separate"/>
            </w:r>
            <w:r w:rsidR="009E759B">
              <w:rPr>
                <w:noProof/>
                <w:webHidden/>
              </w:rPr>
              <w:t>19</w:t>
            </w:r>
            <w:r w:rsidR="009E759B">
              <w:rPr>
                <w:noProof/>
                <w:webHidden/>
              </w:rPr>
              <w:fldChar w:fldCharType="end"/>
            </w:r>
          </w:hyperlink>
        </w:p>
        <w:p w14:paraId="21AAFDD2" w14:textId="030D0ABD" w:rsidR="009E759B" w:rsidRDefault="008C3745">
          <w:pPr>
            <w:pStyle w:val="TOC3"/>
            <w:tabs>
              <w:tab w:val="right" w:leader="dot" w:pos="9016"/>
            </w:tabs>
            <w:rPr>
              <w:rFonts w:asciiTheme="minorHAnsi" w:eastAsiaTheme="minorEastAsia" w:hAnsiTheme="minorHAnsi" w:cstheme="minorBidi"/>
              <w:noProof/>
              <w:color w:val="auto"/>
              <w:szCs w:val="22"/>
              <w:lang w:eastAsia="zh-CN"/>
            </w:rPr>
          </w:pPr>
          <w:hyperlink w:anchor="_Toc85030350" w:history="1">
            <w:r w:rsidR="009E759B" w:rsidRPr="000026AA">
              <w:rPr>
                <w:rStyle w:val="Hyperlink"/>
                <w:rFonts w:eastAsiaTheme="minorHAnsi"/>
                <w:noProof/>
                <w:lang w:val="en-GB"/>
              </w:rPr>
              <w:t>Displacement abatement</w:t>
            </w:r>
            <w:r w:rsidR="009E759B">
              <w:rPr>
                <w:noProof/>
                <w:webHidden/>
              </w:rPr>
              <w:tab/>
            </w:r>
            <w:r w:rsidR="009E759B">
              <w:rPr>
                <w:noProof/>
                <w:webHidden/>
              </w:rPr>
              <w:fldChar w:fldCharType="begin"/>
            </w:r>
            <w:r w:rsidR="009E759B">
              <w:rPr>
                <w:noProof/>
                <w:webHidden/>
              </w:rPr>
              <w:instrText xml:space="preserve"> PAGEREF _Toc85030350 \h </w:instrText>
            </w:r>
            <w:r w:rsidR="009E759B">
              <w:rPr>
                <w:noProof/>
                <w:webHidden/>
              </w:rPr>
            </w:r>
            <w:r w:rsidR="009E759B">
              <w:rPr>
                <w:noProof/>
                <w:webHidden/>
              </w:rPr>
              <w:fldChar w:fldCharType="separate"/>
            </w:r>
            <w:r w:rsidR="009E759B">
              <w:rPr>
                <w:noProof/>
                <w:webHidden/>
              </w:rPr>
              <w:t>21</w:t>
            </w:r>
            <w:r w:rsidR="009E759B">
              <w:rPr>
                <w:noProof/>
                <w:webHidden/>
              </w:rPr>
              <w:fldChar w:fldCharType="end"/>
            </w:r>
          </w:hyperlink>
        </w:p>
        <w:p w14:paraId="37D82A7F" w14:textId="5874D153" w:rsidR="009E759B" w:rsidRDefault="008C3745">
          <w:pPr>
            <w:pStyle w:val="TOC1"/>
            <w:tabs>
              <w:tab w:val="right" w:leader="dot" w:pos="9016"/>
            </w:tabs>
            <w:rPr>
              <w:rFonts w:asciiTheme="minorHAnsi" w:eastAsiaTheme="minorEastAsia" w:hAnsiTheme="minorHAnsi" w:cstheme="minorBidi"/>
              <w:noProof/>
              <w:color w:val="auto"/>
              <w:szCs w:val="22"/>
              <w:lang w:eastAsia="zh-CN"/>
            </w:rPr>
          </w:pPr>
          <w:hyperlink w:anchor="_Toc85030351" w:history="1">
            <w:r w:rsidR="009E759B" w:rsidRPr="000026AA">
              <w:rPr>
                <w:rStyle w:val="Hyperlink"/>
                <w:noProof/>
                <w:lang w:eastAsia="en-AU"/>
              </w:rPr>
              <w:t>Reporting and crediting</w:t>
            </w:r>
            <w:r w:rsidR="009E759B">
              <w:rPr>
                <w:noProof/>
                <w:webHidden/>
              </w:rPr>
              <w:tab/>
            </w:r>
            <w:r w:rsidR="009E759B">
              <w:rPr>
                <w:noProof/>
                <w:webHidden/>
              </w:rPr>
              <w:fldChar w:fldCharType="begin"/>
            </w:r>
            <w:r w:rsidR="009E759B">
              <w:rPr>
                <w:noProof/>
                <w:webHidden/>
              </w:rPr>
              <w:instrText xml:space="preserve"> PAGEREF _Toc85030351 \h </w:instrText>
            </w:r>
            <w:r w:rsidR="009E759B">
              <w:rPr>
                <w:noProof/>
                <w:webHidden/>
              </w:rPr>
            </w:r>
            <w:r w:rsidR="009E759B">
              <w:rPr>
                <w:noProof/>
                <w:webHidden/>
              </w:rPr>
              <w:fldChar w:fldCharType="separate"/>
            </w:r>
            <w:r w:rsidR="009E759B">
              <w:rPr>
                <w:noProof/>
                <w:webHidden/>
              </w:rPr>
              <w:t>23</w:t>
            </w:r>
            <w:r w:rsidR="009E759B">
              <w:rPr>
                <w:noProof/>
                <w:webHidden/>
              </w:rPr>
              <w:fldChar w:fldCharType="end"/>
            </w:r>
          </w:hyperlink>
        </w:p>
        <w:p w14:paraId="7AE30F5E" w14:textId="3D039BA7" w:rsidR="009E759B" w:rsidRDefault="008C3745">
          <w:pPr>
            <w:pStyle w:val="TOC2"/>
            <w:tabs>
              <w:tab w:val="right" w:leader="dot" w:pos="9016"/>
            </w:tabs>
            <w:rPr>
              <w:rFonts w:asciiTheme="minorHAnsi" w:eastAsiaTheme="minorEastAsia" w:hAnsiTheme="minorHAnsi" w:cstheme="minorBidi"/>
              <w:noProof/>
              <w:color w:val="auto"/>
              <w:szCs w:val="22"/>
              <w:lang w:eastAsia="zh-CN"/>
            </w:rPr>
          </w:pPr>
          <w:hyperlink w:anchor="_Toc85030352" w:history="1">
            <w:r w:rsidR="009E759B" w:rsidRPr="000026AA">
              <w:rPr>
                <w:rStyle w:val="Hyperlink"/>
                <w:noProof/>
              </w:rPr>
              <w:t>Offsets reports and claiming carbon credits</w:t>
            </w:r>
            <w:r w:rsidR="009E759B">
              <w:rPr>
                <w:noProof/>
                <w:webHidden/>
              </w:rPr>
              <w:tab/>
            </w:r>
            <w:r w:rsidR="009E759B">
              <w:rPr>
                <w:noProof/>
                <w:webHidden/>
              </w:rPr>
              <w:fldChar w:fldCharType="begin"/>
            </w:r>
            <w:r w:rsidR="009E759B">
              <w:rPr>
                <w:noProof/>
                <w:webHidden/>
              </w:rPr>
              <w:instrText xml:space="preserve"> PAGEREF _Toc85030352 \h </w:instrText>
            </w:r>
            <w:r w:rsidR="009E759B">
              <w:rPr>
                <w:noProof/>
                <w:webHidden/>
              </w:rPr>
            </w:r>
            <w:r w:rsidR="009E759B">
              <w:rPr>
                <w:noProof/>
                <w:webHidden/>
              </w:rPr>
              <w:fldChar w:fldCharType="separate"/>
            </w:r>
            <w:r w:rsidR="009E759B">
              <w:rPr>
                <w:noProof/>
                <w:webHidden/>
              </w:rPr>
              <w:t>23</w:t>
            </w:r>
            <w:r w:rsidR="009E759B">
              <w:rPr>
                <w:noProof/>
                <w:webHidden/>
              </w:rPr>
              <w:fldChar w:fldCharType="end"/>
            </w:r>
          </w:hyperlink>
        </w:p>
        <w:p w14:paraId="73D1830E" w14:textId="16ADF2EF" w:rsidR="009E759B" w:rsidRDefault="008C3745">
          <w:pPr>
            <w:pStyle w:val="TOC2"/>
            <w:tabs>
              <w:tab w:val="right" w:leader="dot" w:pos="9016"/>
            </w:tabs>
            <w:rPr>
              <w:rFonts w:asciiTheme="minorHAnsi" w:eastAsiaTheme="minorEastAsia" w:hAnsiTheme="minorHAnsi" w:cstheme="minorBidi"/>
              <w:noProof/>
              <w:color w:val="auto"/>
              <w:szCs w:val="22"/>
              <w:lang w:eastAsia="zh-CN"/>
            </w:rPr>
          </w:pPr>
          <w:hyperlink w:anchor="_Toc85030353" w:history="1">
            <w:r w:rsidR="009E759B" w:rsidRPr="000026AA">
              <w:rPr>
                <w:rStyle w:val="Hyperlink"/>
                <w:noProof/>
              </w:rPr>
              <w:t>Auditing requirements</w:t>
            </w:r>
            <w:r w:rsidR="009E759B">
              <w:rPr>
                <w:noProof/>
                <w:webHidden/>
              </w:rPr>
              <w:tab/>
            </w:r>
            <w:r w:rsidR="009E759B">
              <w:rPr>
                <w:noProof/>
                <w:webHidden/>
              </w:rPr>
              <w:fldChar w:fldCharType="begin"/>
            </w:r>
            <w:r w:rsidR="009E759B">
              <w:rPr>
                <w:noProof/>
                <w:webHidden/>
              </w:rPr>
              <w:instrText xml:space="preserve"> PAGEREF _Toc85030353 \h </w:instrText>
            </w:r>
            <w:r w:rsidR="009E759B">
              <w:rPr>
                <w:noProof/>
                <w:webHidden/>
              </w:rPr>
            </w:r>
            <w:r w:rsidR="009E759B">
              <w:rPr>
                <w:noProof/>
                <w:webHidden/>
              </w:rPr>
              <w:fldChar w:fldCharType="separate"/>
            </w:r>
            <w:r w:rsidR="009E759B">
              <w:rPr>
                <w:noProof/>
                <w:webHidden/>
              </w:rPr>
              <w:t>24</w:t>
            </w:r>
            <w:r w:rsidR="009E759B">
              <w:rPr>
                <w:noProof/>
                <w:webHidden/>
              </w:rPr>
              <w:fldChar w:fldCharType="end"/>
            </w:r>
          </w:hyperlink>
        </w:p>
        <w:p w14:paraId="479D9E4E" w14:textId="2D345AA8" w:rsidR="009E759B" w:rsidRDefault="008C3745">
          <w:pPr>
            <w:pStyle w:val="TOC3"/>
            <w:tabs>
              <w:tab w:val="right" w:leader="dot" w:pos="9016"/>
            </w:tabs>
            <w:rPr>
              <w:rFonts w:asciiTheme="minorHAnsi" w:eastAsiaTheme="minorEastAsia" w:hAnsiTheme="minorHAnsi" w:cstheme="minorBidi"/>
              <w:noProof/>
              <w:color w:val="auto"/>
              <w:szCs w:val="22"/>
              <w:lang w:eastAsia="zh-CN"/>
            </w:rPr>
          </w:pPr>
          <w:hyperlink w:anchor="_Toc85030354" w:history="1">
            <w:r w:rsidR="009E759B" w:rsidRPr="000026AA">
              <w:rPr>
                <w:rStyle w:val="Hyperlink"/>
                <w:noProof/>
              </w:rPr>
              <w:t>Engaging auditors</w:t>
            </w:r>
            <w:r w:rsidR="009E759B">
              <w:rPr>
                <w:noProof/>
                <w:webHidden/>
              </w:rPr>
              <w:tab/>
            </w:r>
            <w:r w:rsidR="009E759B">
              <w:rPr>
                <w:noProof/>
                <w:webHidden/>
              </w:rPr>
              <w:fldChar w:fldCharType="begin"/>
            </w:r>
            <w:r w:rsidR="009E759B">
              <w:rPr>
                <w:noProof/>
                <w:webHidden/>
              </w:rPr>
              <w:instrText xml:space="preserve"> PAGEREF _Toc85030354 \h </w:instrText>
            </w:r>
            <w:r w:rsidR="009E759B">
              <w:rPr>
                <w:noProof/>
                <w:webHidden/>
              </w:rPr>
            </w:r>
            <w:r w:rsidR="009E759B">
              <w:rPr>
                <w:noProof/>
                <w:webHidden/>
              </w:rPr>
              <w:fldChar w:fldCharType="separate"/>
            </w:r>
            <w:r w:rsidR="009E759B">
              <w:rPr>
                <w:noProof/>
                <w:webHidden/>
              </w:rPr>
              <w:t>24</w:t>
            </w:r>
            <w:r w:rsidR="009E759B">
              <w:rPr>
                <w:noProof/>
                <w:webHidden/>
              </w:rPr>
              <w:fldChar w:fldCharType="end"/>
            </w:r>
          </w:hyperlink>
        </w:p>
        <w:p w14:paraId="04CEF7AC" w14:textId="0E3AA7FE" w:rsidR="009E759B" w:rsidRDefault="008C3745">
          <w:pPr>
            <w:pStyle w:val="TOC1"/>
            <w:tabs>
              <w:tab w:val="right" w:leader="dot" w:pos="9016"/>
            </w:tabs>
            <w:rPr>
              <w:rFonts w:asciiTheme="minorHAnsi" w:eastAsiaTheme="minorEastAsia" w:hAnsiTheme="minorHAnsi" w:cstheme="minorBidi"/>
              <w:noProof/>
              <w:color w:val="auto"/>
              <w:szCs w:val="22"/>
              <w:lang w:eastAsia="zh-CN"/>
            </w:rPr>
          </w:pPr>
          <w:hyperlink w:anchor="_Toc85030355" w:history="1">
            <w:r w:rsidR="009E759B" w:rsidRPr="000026AA">
              <w:rPr>
                <w:rStyle w:val="Hyperlink"/>
                <w:noProof/>
              </w:rPr>
              <w:t>Other matters</w:t>
            </w:r>
            <w:r w:rsidR="009E759B">
              <w:rPr>
                <w:noProof/>
                <w:webHidden/>
              </w:rPr>
              <w:tab/>
            </w:r>
            <w:r w:rsidR="009E759B">
              <w:rPr>
                <w:noProof/>
                <w:webHidden/>
              </w:rPr>
              <w:fldChar w:fldCharType="begin"/>
            </w:r>
            <w:r w:rsidR="009E759B">
              <w:rPr>
                <w:noProof/>
                <w:webHidden/>
              </w:rPr>
              <w:instrText xml:space="preserve"> PAGEREF _Toc85030355 \h </w:instrText>
            </w:r>
            <w:r w:rsidR="009E759B">
              <w:rPr>
                <w:noProof/>
                <w:webHidden/>
              </w:rPr>
            </w:r>
            <w:r w:rsidR="009E759B">
              <w:rPr>
                <w:noProof/>
                <w:webHidden/>
              </w:rPr>
              <w:fldChar w:fldCharType="separate"/>
            </w:r>
            <w:r w:rsidR="009E759B">
              <w:rPr>
                <w:noProof/>
                <w:webHidden/>
              </w:rPr>
              <w:t>24</w:t>
            </w:r>
            <w:r w:rsidR="009E759B">
              <w:rPr>
                <w:noProof/>
                <w:webHidden/>
              </w:rPr>
              <w:fldChar w:fldCharType="end"/>
            </w:r>
          </w:hyperlink>
        </w:p>
        <w:p w14:paraId="13003317" w14:textId="1E459D83" w:rsidR="009E759B" w:rsidRDefault="008C3745">
          <w:pPr>
            <w:pStyle w:val="TOC2"/>
            <w:tabs>
              <w:tab w:val="right" w:leader="dot" w:pos="9016"/>
            </w:tabs>
            <w:rPr>
              <w:rFonts w:asciiTheme="minorHAnsi" w:eastAsiaTheme="minorEastAsia" w:hAnsiTheme="minorHAnsi" w:cstheme="minorBidi"/>
              <w:noProof/>
              <w:color w:val="auto"/>
              <w:szCs w:val="22"/>
              <w:lang w:eastAsia="zh-CN"/>
            </w:rPr>
          </w:pPr>
          <w:hyperlink w:anchor="_Toc85030356" w:history="1">
            <w:r w:rsidR="009E759B" w:rsidRPr="000026AA">
              <w:rPr>
                <w:rStyle w:val="Hyperlink"/>
                <w:noProof/>
              </w:rPr>
              <w:t>Notification requirements</w:t>
            </w:r>
            <w:r w:rsidR="009E759B">
              <w:rPr>
                <w:noProof/>
                <w:webHidden/>
              </w:rPr>
              <w:tab/>
            </w:r>
            <w:r w:rsidR="009E759B">
              <w:rPr>
                <w:noProof/>
                <w:webHidden/>
              </w:rPr>
              <w:fldChar w:fldCharType="begin"/>
            </w:r>
            <w:r w:rsidR="009E759B">
              <w:rPr>
                <w:noProof/>
                <w:webHidden/>
              </w:rPr>
              <w:instrText xml:space="preserve"> PAGEREF _Toc85030356 \h </w:instrText>
            </w:r>
            <w:r w:rsidR="009E759B">
              <w:rPr>
                <w:noProof/>
                <w:webHidden/>
              </w:rPr>
            </w:r>
            <w:r w:rsidR="009E759B">
              <w:rPr>
                <w:noProof/>
                <w:webHidden/>
              </w:rPr>
              <w:fldChar w:fldCharType="separate"/>
            </w:r>
            <w:r w:rsidR="009E759B">
              <w:rPr>
                <w:noProof/>
                <w:webHidden/>
              </w:rPr>
              <w:t>24</w:t>
            </w:r>
            <w:r w:rsidR="009E759B">
              <w:rPr>
                <w:noProof/>
                <w:webHidden/>
              </w:rPr>
              <w:fldChar w:fldCharType="end"/>
            </w:r>
          </w:hyperlink>
        </w:p>
        <w:p w14:paraId="09B4B647" w14:textId="42E9CE5F" w:rsidR="009E759B" w:rsidRDefault="008C3745">
          <w:pPr>
            <w:pStyle w:val="TOC2"/>
            <w:tabs>
              <w:tab w:val="right" w:leader="dot" w:pos="9016"/>
            </w:tabs>
            <w:rPr>
              <w:rFonts w:asciiTheme="minorHAnsi" w:eastAsiaTheme="minorEastAsia" w:hAnsiTheme="minorHAnsi" w:cstheme="minorBidi"/>
              <w:noProof/>
              <w:color w:val="auto"/>
              <w:szCs w:val="22"/>
              <w:lang w:eastAsia="zh-CN"/>
            </w:rPr>
          </w:pPr>
          <w:hyperlink w:anchor="_Toc85030357" w:history="1">
            <w:r w:rsidR="009E759B" w:rsidRPr="000026AA">
              <w:rPr>
                <w:rStyle w:val="Hyperlink"/>
                <w:noProof/>
              </w:rPr>
              <w:t>Making changes to your project</w:t>
            </w:r>
            <w:r w:rsidR="009E759B">
              <w:rPr>
                <w:noProof/>
                <w:webHidden/>
              </w:rPr>
              <w:tab/>
            </w:r>
            <w:r w:rsidR="009E759B">
              <w:rPr>
                <w:noProof/>
                <w:webHidden/>
              </w:rPr>
              <w:fldChar w:fldCharType="begin"/>
            </w:r>
            <w:r w:rsidR="009E759B">
              <w:rPr>
                <w:noProof/>
                <w:webHidden/>
              </w:rPr>
              <w:instrText xml:space="preserve"> PAGEREF _Toc85030357 \h </w:instrText>
            </w:r>
            <w:r w:rsidR="009E759B">
              <w:rPr>
                <w:noProof/>
                <w:webHidden/>
              </w:rPr>
            </w:r>
            <w:r w:rsidR="009E759B">
              <w:rPr>
                <w:noProof/>
                <w:webHidden/>
              </w:rPr>
              <w:fldChar w:fldCharType="separate"/>
            </w:r>
            <w:r w:rsidR="009E759B">
              <w:rPr>
                <w:noProof/>
                <w:webHidden/>
              </w:rPr>
              <w:t>24</w:t>
            </w:r>
            <w:r w:rsidR="009E759B">
              <w:rPr>
                <w:noProof/>
                <w:webHidden/>
              </w:rPr>
              <w:fldChar w:fldCharType="end"/>
            </w:r>
          </w:hyperlink>
        </w:p>
        <w:p w14:paraId="74C168C1" w14:textId="11F34458" w:rsidR="009E759B" w:rsidRDefault="008C3745">
          <w:pPr>
            <w:pStyle w:val="TOC2"/>
            <w:tabs>
              <w:tab w:val="right" w:leader="dot" w:pos="9016"/>
            </w:tabs>
            <w:rPr>
              <w:rFonts w:asciiTheme="minorHAnsi" w:eastAsiaTheme="minorEastAsia" w:hAnsiTheme="minorHAnsi" w:cstheme="minorBidi"/>
              <w:noProof/>
              <w:color w:val="auto"/>
              <w:szCs w:val="22"/>
              <w:lang w:eastAsia="zh-CN"/>
            </w:rPr>
          </w:pPr>
          <w:hyperlink w:anchor="_Toc85030358" w:history="1">
            <w:r w:rsidR="009E759B" w:rsidRPr="000026AA">
              <w:rPr>
                <w:rStyle w:val="Hyperlink"/>
                <w:noProof/>
              </w:rPr>
              <w:t>National Greenhouse and Energy Reporting and safeguard mechanism interactions</w:t>
            </w:r>
            <w:r w:rsidR="009E759B">
              <w:rPr>
                <w:noProof/>
                <w:webHidden/>
              </w:rPr>
              <w:tab/>
            </w:r>
            <w:r w:rsidR="009E759B">
              <w:rPr>
                <w:noProof/>
                <w:webHidden/>
              </w:rPr>
              <w:fldChar w:fldCharType="begin"/>
            </w:r>
            <w:r w:rsidR="009E759B">
              <w:rPr>
                <w:noProof/>
                <w:webHidden/>
              </w:rPr>
              <w:instrText xml:space="preserve"> PAGEREF _Toc85030358 \h </w:instrText>
            </w:r>
            <w:r w:rsidR="009E759B">
              <w:rPr>
                <w:noProof/>
                <w:webHidden/>
              </w:rPr>
            </w:r>
            <w:r w:rsidR="009E759B">
              <w:rPr>
                <w:noProof/>
                <w:webHidden/>
              </w:rPr>
              <w:fldChar w:fldCharType="separate"/>
            </w:r>
            <w:r w:rsidR="009E759B">
              <w:rPr>
                <w:noProof/>
                <w:webHidden/>
              </w:rPr>
              <w:t>24</w:t>
            </w:r>
            <w:r w:rsidR="009E759B">
              <w:rPr>
                <w:noProof/>
                <w:webHidden/>
              </w:rPr>
              <w:fldChar w:fldCharType="end"/>
            </w:r>
          </w:hyperlink>
        </w:p>
        <w:p w14:paraId="3ADC9F56" w14:textId="73C2E670" w:rsidR="009E759B" w:rsidRDefault="008C3745">
          <w:pPr>
            <w:pStyle w:val="TOC3"/>
            <w:tabs>
              <w:tab w:val="right" w:leader="dot" w:pos="9016"/>
            </w:tabs>
            <w:rPr>
              <w:rFonts w:asciiTheme="minorHAnsi" w:eastAsiaTheme="minorEastAsia" w:hAnsiTheme="minorHAnsi" w:cstheme="minorBidi"/>
              <w:noProof/>
              <w:color w:val="auto"/>
              <w:szCs w:val="22"/>
              <w:lang w:eastAsia="zh-CN"/>
            </w:rPr>
          </w:pPr>
          <w:hyperlink w:anchor="_Toc85030359" w:history="1">
            <w:r w:rsidR="009E759B" w:rsidRPr="000026AA">
              <w:rPr>
                <w:rStyle w:val="Hyperlink"/>
                <w:noProof/>
              </w:rPr>
              <w:t>National Greenhouse and Energy Reporting</w:t>
            </w:r>
            <w:r w:rsidR="009E759B">
              <w:rPr>
                <w:noProof/>
                <w:webHidden/>
              </w:rPr>
              <w:tab/>
            </w:r>
            <w:r w:rsidR="009E759B">
              <w:rPr>
                <w:noProof/>
                <w:webHidden/>
              </w:rPr>
              <w:fldChar w:fldCharType="begin"/>
            </w:r>
            <w:r w:rsidR="009E759B">
              <w:rPr>
                <w:noProof/>
                <w:webHidden/>
              </w:rPr>
              <w:instrText xml:space="preserve"> PAGEREF _Toc85030359 \h </w:instrText>
            </w:r>
            <w:r w:rsidR="009E759B">
              <w:rPr>
                <w:noProof/>
                <w:webHidden/>
              </w:rPr>
            </w:r>
            <w:r w:rsidR="009E759B">
              <w:rPr>
                <w:noProof/>
                <w:webHidden/>
              </w:rPr>
              <w:fldChar w:fldCharType="separate"/>
            </w:r>
            <w:r w:rsidR="009E759B">
              <w:rPr>
                <w:noProof/>
                <w:webHidden/>
              </w:rPr>
              <w:t>24</w:t>
            </w:r>
            <w:r w:rsidR="009E759B">
              <w:rPr>
                <w:noProof/>
                <w:webHidden/>
              </w:rPr>
              <w:fldChar w:fldCharType="end"/>
            </w:r>
          </w:hyperlink>
        </w:p>
        <w:p w14:paraId="3CD97D62" w14:textId="239953D5" w:rsidR="009E759B" w:rsidRDefault="008C3745">
          <w:pPr>
            <w:pStyle w:val="TOC3"/>
            <w:tabs>
              <w:tab w:val="right" w:leader="dot" w:pos="9016"/>
            </w:tabs>
            <w:rPr>
              <w:rFonts w:asciiTheme="minorHAnsi" w:eastAsiaTheme="minorEastAsia" w:hAnsiTheme="minorHAnsi" w:cstheme="minorBidi"/>
              <w:noProof/>
              <w:color w:val="auto"/>
              <w:szCs w:val="22"/>
              <w:lang w:eastAsia="zh-CN"/>
            </w:rPr>
          </w:pPr>
          <w:hyperlink w:anchor="_Toc85030360" w:history="1">
            <w:r w:rsidR="009E759B" w:rsidRPr="000026AA">
              <w:rPr>
                <w:rStyle w:val="Hyperlink"/>
                <w:noProof/>
              </w:rPr>
              <w:t>Safeguard mechanism</w:t>
            </w:r>
            <w:r w:rsidR="009E759B">
              <w:rPr>
                <w:noProof/>
                <w:webHidden/>
              </w:rPr>
              <w:tab/>
            </w:r>
            <w:r w:rsidR="009E759B">
              <w:rPr>
                <w:noProof/>
                <w:webHidden/>
              </w:rPr>
              <w:fldChar w:fldCharType="begin"/>
            </w:r>
            <w:r w:rsidR="009E759B">
              <w:rPr>
                <w:noProof/>
                <w:webHidden/>
              </w:rPr>
              <w:instrText xml:space="preserve"> PAGEREF _Toc85030360 \h </w:instrText>
            </w:r>
            <w:r w:rsidR="009E759B">
              <w:rPr>
                <w:noProof/>
                <w:webHidden/>
              </w:rPr>
            </w:r>
            <w:r w:rsidR="009E759B">
              <w:rPr>
                <w:noProof/>
                <w:webHidden/>
              </w:rPr>
              <w:fldChar w:fldCharType="separate"/>
            </w:r>
            <w:r w:rsidR="009E759B">
              <w:rPr>
                <w:noProof/>
                <w:webHidden/>
              </w:rPr>
              <w:t>25</w:t>
            </w:r>
            <w:r w:rsidR="009E759B">
              <w:rPr>
                <w:noProof/>
                <w:webHidden/>
              </w:rPr>
              <w:fldChar w:fldCharType="end"/>
            </w:r>
          </w:hyperlink>
        </w:p>
        <w:p w14:paraId="7EABFBF4" w14:textId="498FDD09" w:rsidR="009E759B" w:rsidRDefault="008C3745">
          <w:pPr>
            <w:pStyle w:val="TOC1"/>
            <w:tabs>
              <w:tab w:val="right" w:leader="dot" w:pos="9016"/>
            </w:tabs>
            <w:rPr>
              <w:rFonts w:asciiTheme="minorHAnsi" w:eastAsiaTheme="minorEastAsia" w:hAnsiTheme="minorHAnsi" w:cstheme="minorBidi"/>
              <w:noProof/>
              <w:color w:val="auto"/>
              <w:szCs w:val="22"/>
              <w:lang w:eastAsia="zh-CN"/>
            </w:rPr>
          </w:pPr>
          <w:hyperlink w:anchor="_Toc85030361" w:history="1">
            <w:r w:rsidR="009E759B" w:rsidRPr="000026AA">
              <w:rPr>
                <w:rStyle w:val="Hyperlink"/>
                <w:noProof/>
              </w:rPr>
              <w:t>Disclaimer</w:t>
            </w:r>
            <w:r w:rsidR="009E759B">
              <w:rPr>
                <w:noProof/>
                <w:webHidden/>
              </w:rPr>
              <w:tab/>
            </w:r>
            <w:r w:rsidR="009E759B">
              <w:rPr>
                <w:noProof/>
                <w:webHidden/>
              </w:rPr>
              <w:fldChar w:fldCharType="begin"/>
            </w:r>
            <w:r w:rsidR="009E759B">
              <w:rPr>
                <w:noProof/>
                <w:webHidden/>
              </w:rPr>
              <w:instrText xml:space="preserve"> PAGEREF _Toc85030361 \h </w:instrText>
            </w:r>
            <w:r w:rsidR="009E759B">
              <w:rPr>
                <w:noProof/>
                <w:webHidden/>
              </w:rPr>
            </w:r>
            <w:r w:rsidR="009E759B">
              <w:rPr>
                <w:noProof/>
                <w:webHidden/>
              </w:rPr>
              <w:fldChar w:fldCharType="separate"/>
            </w:r>
            <w:r w:rsidR="009E759B">
              <w:rPr>
                <w:noProof/>
                <w:webHidden/>
              </w:rPr>
              <w:t>25</w:t>
            </w:r>
            <w:r w:rsidR="009E759B">
              <w:rPr>
                <w:noProof/>
                <w:webHidden/>
              </w:rPr>
              <w:fldChar w:fldCharType="end"/>
            </w:r>
          </w:hyperlink>
        </w:p>
        <w:p w14:paraId="26EDBA4D" w14:textId="01FBF284" w:rsidR="009E759B" w:rsidRDefault="008C3745">
          <w:pPr>
            <w:pStyle w:val="TOC1"/>
            <w:tabs>
              <w:tab w:val="right" w:leader="dot" w:pos="9016"/>
            </w:tabs>
            <w:rPr>
              <w:rFonts w:asciiTheme="minorHAnsi" w:eastAsiaTheme="minorEastAsia" w:hAnsiTheme="minorHAnsi" w:cstheme="minorBidi"/>
              <w:noProof/>
              <w:color w:val="auto"/>
              <w:szCs w:val="22"/>
              <w:lang w:eastAsia="zh-CN"/>
            </w:rPr>
          </w:pPr>
          <w:hyperlink w:anchor="_Toc85030362" w:history="1">
            <w:r w:rsidR="009E759B" w:rsidRPr="000026AA">
              <w:rPr>
                <w:rStyle w:val="Hyperlink"/>
                <w:noProof/>
              </w:rPr>
              <w:t>Appendix 1 – Eligibility requirements</w:t>
            </w:r>
            <w:r w:rsidR="009E759B">
              <w:rPr>
                <w:noProof/>
                <w:webHidden/>
              </w:rPr>
              <w:tab/>
            </w:r>
            <w:r w:rsidR="009E759B">
              <w:rPr>
                <w:noProof/>
                <w:webHidden/>
              </w:rPr>
              <w:fldChar w:fldCharType="begin"/>
            </w:r>
            <w:r w:rsidR="009E759B">
              <w:rPr>
                <w:noProof/>
                <w:webHidden/>
              </w:rPr>
              <w:instrText xml:space="preserve"> PAGEREF _Toc85030362 \h </w:instrText>
            </w:r>
            <w:r w:rsidR="009E759B">
              <w:rPr>
                <w:noProof/>
                <w:webHidden/>
              </w:rPr>
            </w:r>
            <w:r w:rsidR="009E759B">
              <w:rPr>
                <w:noProof/>
                <w:webHidden/>
              </w:rPr>
              <w:fldChar w:fldCharType="separate"/>
            </w:r>
            <w:r w:rsidR="009E759B">
              <w:rPr>
                <w:noProof/>
                <w:webHidden/>
              </w:rPr>
              <w:t>26</w:t>
            </w:r>
            <w:r w:rsidR="009E759B">
              <w:rPr>
                <w:noProof/>
                <w:webHidden/>
              </w:rPr>
              <w:fldChar w:fldCharType="end"/>
            </w:r>
          </w:hyperlink>
        </w:p>
        <w:p w14:paraId="0910DCCA" w14:textId="2481FA3B" w:rsidR="009E759B" w:rsidRDefault="008C3745">
          <w:pPr>
            <w:pStyle w:val="TOC2"/>
            <w:tabs>
              <w:tab w:val="right" w:leader="dot" w:pos="9016"/>
            </w:tabs>
            <w:rPr>
              <w:rFonts w:asciiTheme="minorHAnsi" w:eastAsiaTheme="minorEastAsia" w:hAnsiTheme="minorHAnsi" w:cstheme="minorBidi"/>
              <w:noProof/>
              <w:color w:val="auto"/>
              <w:szCs w:val="22"/>
              <w:lang w:eastAsia="zh-CN"/>
            </w:rPr>
          </w:pPr>
          <w:hyperlink w:anchor="_Toc85030363" w:history="1">
            <w:r w:rsidR="009E759B" w:rsidRPr="000026AA">
              <w:rPr>
                <w:rStyle w:val="Hyperlink"/>
                <w:rFonts w:eastAsia="Times New Roman"/>
                <w:b/>
                <w:bCs/>
                <w:noProof/>
              </w:rPr>
              <w:t>Appendix 2: Notification requirements</w:t>
            </w:r>
            <w:r w:rsidR="009E759B">
              <w:rPr>
                <w:noProof/>
                <w:webHidden/>
              </w:rPr>
              <w:tab/>
            </w:r>
            <w:r w:rsidR="009E759B">
              <w:rPr>
                <w:noProof/>
                <w:webHidden/>
              </w:rPr>
              <w:fldChar w:fldCharType="begin"/>
            </w:r>
            <w:r w:rsidR="009E759B">
              <w:rPr>
                <w:noProof/>
                <w:webHidden/>
              </w:rPr>
              <w:instrText xml:space="preserve"> PAGEREF _Toc85030363 \h </w:instrText>
            </w:r>
            <w:r w:rsidR="009E759B">
              <w:rPr>
                <w:noProof/>
                <w:webHidden/>
              </w:rPr>
            </w:r>
            <w:r w:rsidR="009E759B">
              <w:rPr>
                <w:noProof/>
                <w:webHidden/>
              </w:rPr>
              <w:fldChar w:fldCharType="separate"/>
            </w:r>
            <w:r w:rsidR="009E759B">
              <w:rPr>
                <w:noProof/>
                <w:webHidden/>
              </w:rPr>
              <w:t>28</w:t>
            </w:r>
            <w:r w:rsidR="009E759B">
              <w:rPr>
                <w:noProof/>
                <w:webHidden/>
              </w:rPr>
              <w:fldChar w:fldCharType="end"/>
            </w:r>
          </w:hyperlink>
        </w:p>
        <w:p w14:paraId="66F2E96D" w14:textId="79027A3D" w:rsidR="009E759B" w:rsidRDefault="008C3745">
          <w:pPr>
            <w:pStyle w:val="TOC2"/>
            <w:tabs>
              <w:tab w:val="right" w:leader="dot" w:pos="9016"/>
            </w:tabs>
            <w:rPr>
              <w:rFonts w:asciiTheme="minorHAnsi" w:eastAsiaTheme="minorEastAsia" w:hAnsiTheme="minorHAnsi" w:cstheme="minorBidi"/>
              <w:noProof/>
              <w:color w:val="auto"/>
              <w:szCs w:val="22"/>
              <w:lang w:eastAsia="zh-CN"/>
            </w:rPr>
          </w:pPr>
          <w:hyperlink w:anchor="_Toc85030364" w:history="1">
            <w:r w:rsidR="009E759B" w:rsidRPr="000026AA">
              <w:rPr>
                <w:rStyle w:val="Hyperlink"/>
                <w:rFonts w:eastAsia="Times New Roman"/>
                <w:b/>
                <w:bCs/>
                <w:noProof/>
              </w:rPr>
              <w:t>Appendix 3: Project variations</w:t>
            </w:r>
            <w:r w:rsidR="009E759B">
              <w:rPr>
                <w:noProof/>
                <w:webHidden/>
              </w:rPr>
              <w:tab/>
            </w:r>
            <w:r w:rsidR="009E759B">
              <w:rPr>
                <w:noProof/>
                <w:webHidden/>
              </w:rPr>
              <w:fldChar w:fldCharType="begin"/>
            </w:r>
            <w:r w:rsidR="009E759B">
              <w:rPr>
                <w:noProof/>
                <w:webHidden/>
              </w:rPr>
              <w:instrText xml:space="preserve"> PAGEREF _Toc85030364 \h </w:instrText>
            </w:r>
            <w:r w:rsidR="009E759B">
              <w:rPr>
                <w:noProof/>
                <w:webHidden/>
              </w:rPr>
            </w:r>
            <w:r w:rsidR="009E759B">
              <w:rPr>
                <w:noProof/>
                <w:webHidden/>
              </w:rPr>
              <w:fldChar w:fldCharType="separate"/>
            </w:r>
            <w:r w:rsidR="009E759B">
              <w:rPr>
                <w:noProof/>
                <w:webHidden/>
              </w:rPr>
              <w:t>29</w:t>
            </w:r>
            <w:r w:rsidR="009E759B">
              <w:rPr>
                <w:noProof/>
                <w:webHidden/>
              </w:rPr>
              <w:fldChar w:fldCharType="end"/>
            </w:r>
          </w:hyperlink>
        </w:p>
        <w:p w14:paraId="669A707E" w14:textId="6CCFF4FB" w:rsidR="0066117A" w:rsidRDefault="0066117A" w:rsidP="00AC070B">
          <w:pPr>
            <w:pStyle w:val="TOC1"/>
            <w:tabs>
              <w:tab w:val="right" w:leader="dot" w:pos="9016"/>
            </w:tabs>
          </w:pPr>
          <w:r>
            <w:rPr>
              <w:b/>
              <w:bCs/>
              <w:noProof/>
            </w:rPr>
            <w:fldChar w:fldCharType="end"/>
          </w:r>
        </w:p>
      </w:sdtContent>
    </w:sdt>
    <w:p w14:paraId="13923F52" w14:textId="77777777" w:rsidR="008A5873" w:rsidRDefault="008A5873" w:rsidP="008A5873">
      <w:pPr>
        <w:rPr>
          <w:i/>
          <w:iCs/>
          <w:lang w:val="en-US"/>
        </w:rPr>
      </w:pPr>
    </w:p>
    <w:p w14:paraId="0AE151CC" w14:textId="77777777" w:rsidR="00C11D67" w:rsidDel="00C11D67" w:rsidRDefault="00172B08" w:rsidP="000B74AE">
      <w:pPr>
        <w:pStyle w:val="Heading1"/>
        <w:spacing w:before="0"/>
      </w:pPr>
      <w:bookmarkStart w:id="2" w:name="Disclaimer"/>
      <w:bookmarkStart w:id="3" w:name="_bookmark0"/>
      <w:bookmarkEnd w:id="2"/>
      <w:bookmarkEnd w:id="3"/>
      <w:r>
        <w:br w:type="page"/>
      </w:r>
    </w:p>
    <w:p w14:paraId="48B38339" w14:textId="06908F81" w:rsidR="000B74AE" w:rsidRDefault="000B74AE" w:rsidP="000B74AE">
      <w:pPr>
        <w:pStyle w:val="Heading1"/>
        <w:spacing w:before="0"/>
      </w:pPr>
      <w:bookmarkStart w:id="4" w:name="_Toc85030326"/>
      <w:bookmarkStart w:id="5" w:name="_Hlk84851629"/>
      <w:r>
        <w:lastRenderedPageBreak/>
        <w:t xml:space="preserve">Participating in the </w:t>
      </w:r>
      <w:r w:rsidR="00986BF7">
        <w:t xml:space="preserve">Emissions </w:t>
      </w:r>
      <w:r w:rsidR="00FF026F">
        <w:t>Re</w:t>
      </w:r>
      <w:r w:rsidR="00986BF7">
        <w:t>duction Fund</w:t>
      </w:r>
      <w:bookmarkEnd w:id="4"/>
    </w:p>
    <w:p w14:paraId="29BDF999" w14:textId="3D07758F" w:rsidR="000B74AE" w:rsidRDefault="000B74AE" w:rsidP="000B74AE">
      <w:r>
        <w:t xml:space="preserve">The </w:t>
      </w:r>
      <w:r w:rsidR="00986BF7">
        <w:t>Emissions Reduction Fund</w:t>
      </w:r>
      <w:r>
        <w:t xml:space="preserve"> </w:t>
      </w:r>
      <w:r w:rsidR="009C41BD">
        <w:t xml:space="preserve">(ERF) </w:t>
      </w:r>
      <w:r>
        <w:t>offers landholders, communities</w:t>
      </w:r>
      <w:r w:rsidR="00A9574C">
        <w:t>,</w:t>
      </w:r>
      <w:r>
        <w:t xml:space="preserve"> and businesses the opportunity to run new projects in Australia that reduce or remove greenhouse gas emissions from the atmosphere.</w:t>
      </w:r>
    </w:p>
    <w:p w14:paraId="781D3EE4" w14:textId="76E26FBC" w:rsidR="000B74AE" w:rsidRDefault="000B74AE" w:rsidP="000B74AE">
      <w:r>
        <w:t>By running</w:t>
      </w:r>
      <w:r w:rsidRPr="00F00EFA">
        <w:t xml:space="preserve"> </w:t>
      </w:r>
      <w:r>
        <w:t>a project, you can earn Australian carbon credit units (</w:t>
      </w:r>
      <w:r w:rsidR="0078419A">
        <w:t>ACCUs</w:t>
      </w:r>
      <w:r>
        <w:t>) and sell them to the Australian Government or to companies</w:t>
      </w:r>
      <w:r w:rsidR="009C2651">
        <w:t xml:space="preserve">, </w:t>
      </w:r>
      <w:r w:rsidR="00384534">
        <w:t>State governments</w:t>
      </w:r>
      <w:r>
        <w:t xml:space="preserve"> and other private buyers.</w:t>
      </w:r>
      <w:r w:rsidRPr="00CF5D54">
        <w:t xml:space="preserve"> </w:t>
      </w:r>
      <w:r w:rsidRPr="00D35A4E">
        <w:t xml:space="preserve">Each </w:t>
      </w:r>
      <w:r w:rsidR="00E973A6">
        <w:t xml:space="preserve">carbon credit </w:t>
      </w:r>
      <w:r w:rsidRPr="00D35A4E">
        <w:t>represents</w:t>
      </w:r>
      <w:r>
        <w:t xml:space="preserve"> one </w:t>
      </w:r>
      <w:r w:rsidRPr="00D35A4E">
        <w:t xml:space="preserve">tonne of carbon dioxide equivalent </w:t>
      </w:r>
      <w:r w:rsidR="009C41BD">
        <w:t>(CO</w:t>
      </w:r>
      <w:r w:rsidR="009C41BD" w:rsidRPr="009C41BD">
        <w:rPr>
          <w:vertAlign w:val="subscript"/>
        </w:rPr>
        <w:t>2</w:t>
      </w:r>
      <w:r w:rsidR="004911E3">
        <w:t>-e</w:t>
      </w:r>
      <w:r w:rsidR="009C41BD">
        <w:t xml:space="preserve">) </w:t>
      </w:r>
      <w:r w:rsidRPr="00D35A4E">
        <w:t>emissions stored or avoided</w:t>
      </w:r>
      <w:r w:rsidR="008F2EFF">
        <w:t>.</w:t>
      </w:r>
    </w:p>
    <w:p w14:paraId="1502A8A4" w14:textId="38C9A59A" w:rsidR="000B74AE" w:rsidRDefault="000B74AE" w:rsidP="000B74AE">
      <w:pPr>
        <w:pStyle w:val="Heading2"/>
      </w:pPr>
      <w:bookmarkStart w:id="6" w:name="_Toc85030327"/>
      <w:r w:rsidRPr="00340118">
        <w:t xml:space="preserve">How participating in the </w:t>
      </w:r>
      <w:r w:rsidR="00122F9F">
        <w:t xml:space="preserve">Emissions Reduction Fund </w:t>
      </w:r>
      <w:r w:rsidRPr="00340118">
        <w:t>works</w:t>
      </w:r>
      <w:bookmarkEnd w:id="6"/>
    </w:p>
    <w:p w14:paraId="74D19D95" w14:textId="420B5686" w:rsidR="00EB1A15" w:rsidRDefault="00EB1A15" w:rsidP="00BA4891">
      <w:pPr>
        <w:rPr>
          <w:highlight w:val="yellow"/>
        </w:rPr>
      </w:pPr>
    </w:p>
    <w:p w14:paraId="48033429" w14:textId="756BD1EF" w:rsidR="00EB1A15" w:rsidRDefault="00EB1A15" w:rsidP="00BA4891">
      <w:pPr>
        <w:rPr>
          <w:highlight w:val="yellow"/>
        </w:rPr>
      </w:pPr>
      <w:r>
        <w:rPr>
          <w:noProof/>
        </w:rPr>
        <w:drawing>
          <wp:inline distT="0" distB="0" distL="0" distR="0" wp14:anchorId="770BF6E0" wp14:editId="6B5983DF">
            <wp:extent cx="5731510" cy="2007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007235"/>
                    </a:xfrm>
                    <a:prstGeom prst="rect">
                      <a:avLst/>
                    </a:prstGeom>
                    <a:noFill/>
                    <a:ln>
                      <a:noFill/>
                    </a:ln>
                  </pic:spPr>
                </pic:pic>
              </a:graphicData>
            </a:graphic>
          </wp:inline>
        </w:drawing>
      </w:r>
    </w:p>
    <w:p w14:paraId="220C6024" w14:textId="3803EE32" w:rsidR="000B74AE" w:rsidRDefault="000B74AE" w:rsidP="000B74AE">
      <w:pPr>
        <w:keepNext/>
        <w:jc w:val="center"/>
      </w:pPr>
    </w:p>
    <w:p w14:paraId="4FD10045" w14:textId="6D2B5007" w:rsidR="000B74AE" w:rsidRPr="001520E0" w:rsidRDefault="000B74AE" w:rsidP="000B74AE">
      <w:pPr>
        <w:pStyle w:val="Caption"/>
        <w:jc w:val="center"/>
        <w:rPr>
          <w:color w:val="auto"/>
          <w:sz w:val="22"/>
        </w:rPr>
      </w:pPr>
      <w:r w:rsidRPr="001520E0">
        <w:rPr>
          <w:color w:val="auto"/>
          <w:sz w:val="22"/>
        </w:rPr>
        <w:t xml:space="preserve">Figure </w:t>
      </w:r>
      <w:r w:rsidRPr="001520E0">
        <w:rPr>
          <w:color w:val="auto"/>
          <w:sz w:val="22"/>
        </w:rPr>
        <w:fldChar w:fldCharType="begin"/>
      </w:r>
      <w:r w:rsidRPr="001520E0">
        <w:rPr>
          <w:color w:val="auto"/>
          <w:sz w:val="22"/>
        </w:rPr>
        <w:instrText xml:space="preserve"> SEQ Figure \* ARABIC </w:instrText>
      </w:r>
      <w:r w:rsidRPr="001520E0">
        <w:rPr>
          <w:color w:val="auto"/>
          <w:sz w:val="22"/>
        </w:rPr>
        <w:fldChar w:fldCharType="separate"/>
      </w:r>
      <w:r w:rsidR="0018129D">
        <w:rPr>
          <w:noProof/>
          <w:color w:val="auto"/>
          <w:sz w:val="22"/>
        </w:rPr>
        <w:t>1</w:t>
      </w:r>
      <w:r w:rsidRPr="001520E0">
        <w:rPr>
          <w:color w:val="auto"/>
          <w:sz w:val="22"/>
        </w:rPr>
        <w:fldChar w:fldCharType="end"/>
      </w:r>
      <w:r w:rsidRPr="001520E0">
        <w:rPr>
          <w:color w:val="auto"/>
          <w:sz w:val="22"/>
        </w:rPr>
        <w:t xml:space="preserve">: </w:t>
      </w:r>
      <w:r w:rsidR="00986BF7">
        <w:rPr>
          <w:color w:val="auto"/>
          <w:sz w:val="22"/>
        </w:rPr>
        <w:t>Emissions Reduction Fund</w:t>
      </w:r>
      <w:r w:rsidRPr="001520E0">
        <w:rPr>
          <w:color w:val="auto"/>
          <w:sz w:val="22"/>
        </w:rPr>
        <w:t xml:space="preserve"> </w:t>
      </w:r>
      <w:r>
        <w:rPr>
          <w:color w:val="auto"/>
          <w:sz w:val="22"/>
        </w:rPr>
        <w:t>p</w:t>
      </w:r>
      <w:r w:rsidRPr="001520E0">
        <w:rPr>
          <w:color w:val="auto"/>
          <w:sz w:val="22"/>
        </w:rPr>
        <w:t>roject lifecycle</w:t>
      </w:r>
    </w:p>
    <w:p w14:paraId="5EAF251A" w14:textId="5DF98623" w:rsidR="000B74AE" w:rsidRDefault="000B74AE" w:rsidP="000B74AE">
      <w:pPr>
        <w:spacing w:after="120"/>
      </w:pPr>
      <w:r>
        <w:t xml:space="preserve">There are four general steps in running a project and participating in the </w:t>
      </w:r>
      <w:r w:rsidR="00986BF7">
        <w:t>Emissions Reduction Fund</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7995"/>
      </w:tblGrid>
      <w:tr w:rsidR="000B74AE" w14:paraId="580343D4" w14:textId="77777777" w:rsidTr="20F7574B">
        <w:tc>
          <w:tcPr>
            <w:tcW w:w="1031" w:type="dxa"/>
            <w:shd w:val="clear" w:color="auto" w:fill="FFFFFF" w:themeFill="background1"/>
            <w:vAlign w:val="center"/>
          </w:tcPr>
          <w:p w14:paraId="002F4B43" w14:textId="77777777" w:rsidR="000B74AE" w:rsidRDefault="000B74AE" w:rsidP="00AD1763">
            <w:pPr>
              <w:spacing w:before="80" w:after="80"/>
              <w:jc w:val="center"/>
            </w:pPr>
            <w:r>
              <w:rPr>
                <w:noProof/>
              </w:rPr>
              <w:drawing>
                <wp:inline distT="0" distB="0" distL="0" distR="0" wp14:anchorId="1FF8237D" wp14:editId="20801C04">
                  <wp:extent cx="514350" cy="46962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a:ext>
                            </a:extLst>
                          </a:blip>
                          <a:stretch>
                            <a:fillRect/>
                          </a:stretch>
                        </pic:blipFill>
                        <pic:spPr>
                          <a:xfrm>
                            <a:off x="0" y="0"/>
                            <a:ext cx="514350" cy="469624"/>
                          </a:xfrm>
                          <a:prstGeom prst="rect">
                            <a:avLst/>
                          </a:prstGeom>
                        </pic:spPr>
                      </pic:pic>
                    </a:graphicData>
                  </a:graphic>
                </wp:inline>
              </w:drawing>
            </w:r>
          </w:p>
        </w:tc>
        <w:tc>
          <w:tcPr>
            <w:tcW w:w="8709" w:type="dxa"/>
            <w:shd w:val="clear" w:color="auto" w:fill="FFFFFF" w:themeFill="background1"/>
            <w:vAlign w:val="center"/>
          </w:tcPr>
          <w:p w14:paraId="316703A3" w14:textId="77777777" w:rsidR="000B74AE" w:rsidRPr="00603D29" w:rsidRDefault="000B74AE" w:rsidP="00AD1763">
            <w:pPr>
              <w:pStyle w:val="CERnumbering"/>
              <w:spacing w:before="80" w:after="80"/>
              <w:ind w:left="357" w:hanging="357"/>
              <w:rPr>
                <w:sz w:val="22"/>
                <w:szCs w:val="28"/>
              </w:rPr>
            </w:pPr>
            <w:r w:rsidRPr="00603D29">
              <w:rPr>
                <w:sz w:val="22"/>
                <w:szCs w:val="28"/>
              </w:rPr>
              <w:t>Plan your project, make sure the project is eligible, and ensure you hold legal right.</w:t>
            </w:r>
          </w:p>
        </w:tc>
      </w:tr>
      <w:tr w:rsidR="000B74AE" w14:paraId="0FBCC5EA" w14:textId="77777777" w:rsidTr="20F7574B">
        <w:tc>
          <w:tcPr>
            <w:tcW w:w="1031" w:type="dxa"/>
            <w:shd w:val="clear" w:color="auto" w:fill="FFFFFF" w:themeFill="background1"/>
            <w:vAlign w:val="center"/>
          </w:tcPr>
          <w:p w14:paraId="104E0C69" w14:textId="77777777" w:rsidR="000B74AE" w:rsidRDefault="000B74AE" w:rsidP="00AD1763">
            <w:pPr>
              <w:spacing w:before="120" w:after="120"/>
              <w:jc w:val="center"/>
            </w:pPr>
            <w:r>
              <w:rPr>
                <w:noProof/>
              </w:rPr>
              <w:drawing>
                <wp:inline distT="0" distB="0" distL="0" distR="0" wp14:anchorId="0DD6AABF" wp14:editId="238557EF">
                  <wp:extent cx="517984"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a:ext>
                            </a:extLst>
                          </a:blip>
                          <a:stretch>
                            <a:fillRect/>
                          </a:stretch>
                        </pic:blipFill>
                        <pic:spPr>
                          <a:xfrm>
                            <a:off x="0" y="0"/>
                            <a:ext cx="517984" cy="533400"/>
                          </a:xfrm>
                          <a:prstGeom prst="rect">
                            <a:avLst/>
                          </a:prstGeom>
                        </pic:spPr>
                      </pic:pic>
                    </a:graphicData>
                  </a:graphic>
                </wp:inline>
              </w:drawing>
            </w:r>
          </w:p>
        </w:tc>
        <w:tc>
          <w:tcPr>
            <w:tcW w:w="8709" w:type="dxa"/>
            <w:shd w:val="clear" w:color="auto" w:fill="FFFFFF" w:themeFill="background1"/>
            <w:vAlign w:val="center"/>
          </w:tcPr>
          <w:p w14:paraId="1D3EDD4E" w14:textId="1A154009" w:rsidR="000B74AE" w:rsidRPr="00603D29" w:rsidRDefault="000B74AE" w:rsidP="00AD1763">
            <w:pPr>
              <w:pStyle w:val="CERnumbering"/>
              <w:spacing w:before="80" w:after="80"/>
              <w:rPr>
                <w:sz w:val="22"/>
                <w:szCs w:val="28"/>
              </w:rPr>
            </w:pPr>
            <w:r w:rsidRPr="00603D29">
              <w:rPr>
                <w:sz w:val="22"/>
                <w:szCs w:val="28"/>
              </w:rPr>
              <w:t xml:space="preserve">Register your project with the </w:t>
            </w:r>
            <w:r w:rsidR="00986BF7" w:rsidRPr="00603D29">
              <w:rPr>
                <w:sz w:val="22"/>
                <w:szCs w:val="28"/>
              </w:rPr>
              <w:t>Emissions Reduction Fund</w:t>
            </w:r>
            <w:r w:rsidRPr="00603D29">
              <w:rPr>
                <w:sz w:val="22"/>
                <w:szCs w:val="28"/>
              </w:rPr>
              <w:t>.</w:t>
            </w:r>
          </w:p>
        </w:tc>
      </w:tr>
      <w:tr w:rsidR="000B74AE" w14:paraId="0C2C0F98" w14:textId="77777777" w:rsidTr="20F7574B">
        <w:tc>
          <w:tcPr>
            <w:tcW w:w="1031" w:type="dxa"/>
            <w:shd w:val="clear" w:color="auto" w:fill="FFFFFF" w:themeFill="background1"/>
            <w:vAlign w:val="center"/>
          </w:tcPr>
          <w:p w14:paraId="58016DE9" w14:textId="77777777" w:rsidR="000B74AE" w:rsidRDefault="000B74AE" w:rsidP="00AD1763">
            <w:pPr>
              <w:spacing w:before="120" w:after="120"/>
              <w:jc w:val="center"/>
            </w:pPr>
            <w:r>
              <w:rPr>
                <w:noProof/>
              </w:rPr>
              <w:drawing>
                <wp:inline distT="0" distB="0" distL="0" distR="0" wp14:anchorId="49649FBA" wp14:editId="44B5F2F5">
                  <wp:extent cx="469158" cy="50482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1">
                            <a:extLst>
                              <a:ext uri="{28A0092B-C50C-407E-A947-70E740481C1C}">
                                <a14:useLocalDpi xmlns:a14="http://schemas.microsoft.com/office/drawing/2010/main"/>
                              </a:ext>
                            </a:extLst>
                          </a:blip>
                          <a:stretch>
                            <a:fillRect/>
                          </a:stretch>
                        </pic:blipFill>
                        <pic:spPr>
                          <a:xfrm>
                            <a:off x="0" y="0"/>
                            <a:ext cx="469158" cy="504825"/>
                          </a:xfrm>
                          <a:prstGeom prst="rect">
                            <a:avLst/>
                          </a:prstGeom>
                        </pic:spPr>
                      </pic:pic>
                    </a:graphicData>
                  </a:graphic>
                </wp:inline>
              </w:drawing>
            </w:r>
          </w:p>
        </w:tc>
        <w:tc>
          <w:tcPr>
            <w:tcW w:w="8709" w:type="dxa"/>
            <w:shd w:val="clear" w:color="auto" w:fill="FFFFFF" w:themeFill="background1"/>
            <w:vAlign w:val="center"/>
          </w:tcPr>
          <w:p w14:paraId="49E25D8F" w14:textId="77777777" w:rsidR="000B74AE" w:rsidRPr="00603D29" w:rsidRDefault="000B74AE" w:rsidP="00AD1763">
            <w:pPr>
              <w:pStyle w:val="CERnumbering"/>
              <w:spacing w:before="80" w:after="80"/>
              <w:rPr>
                <w:sz w:val="22"/>
                <w:szCs w:val="28"/>
              </w:rPr>
            </w:pPr>
            <w:r w:rsidRPr="00603D29">
              <w:rPr>
                <w:sz w:val="22"/>
                <w:szCs w:val="28"/>
              </w:rPr>
              <w:t>Run your project and deliver on project activities.</w:t>
            </w:r>
          </w:p>
        </w:tc>
      </w:tr>
      <w:tr w:rsidR="000B74AE" w14:paraId="19E05C4E" w14:textId="77777777" w:rsidTr="20F7574B">
        <w:tc>
          <w:tcPr>
            <w:tcW w:w="1031" w:type="dxa"/>
            <w:shd w:val="clear" w:color="auto" w:fill="FFFFFF" w:themeFill="background1"/>
            <w:vAlign w:val="center"/>
          </w:tcPr>
          <w:p w14:paraId="115EE921" w14:textId="77777777" w:rsidR="000B74AE" w:rsidRDefault="000B74AE" w:rsidP="00AD1763">
            <w:pPr>
              <w:spacing w:before="120" w:after="120"/>
              <w:jc w:val="center"/>
            </w:pPr>
            <w:r>
              <w:rPr>
                <w:noProof/>
              </w:rPr>
              <w:drawing>
                <wp:inline distT="0" distB="0" distL="0" distR="0" wp14:anchorId="0D68A957" wp14:editId="3947A7D1">
                  <wp:extent cx="514150" cy="448310"/>
                  <wp:effectExtent l="0" t="0" r="63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2">
                            <a:extLst>
                              <a:ext uri="{28A0092B-C50C-407E-A947-70E740481C1C}">
                                <a14:useLocalDpi xmlns:a14="http://schemas.microsoft.com/office/drawing/2010/main"/>
                              </a:ext>
                            </a:extLst>
                          </a:blip>
                          <a:stretch>
                            <a:fillRect/>
                          </a:stretch>
                        </pic:blipFill>
                        <pic:spPr>
                          <a:xfrm>
                            <a:off x="0" y="0"/>
                            <a:ext cx="514150" cy="448310"/>
                          </a:xfrm>
                          <a:prstGeom prst="rect">
                            <a:avLst/>
                          </a:prstGeom>
                        </pic:spPr>
                      </pic:pic>
                    </a:graphicData>
                  </a:graphic>
                </wp:inline>
              </w:drawing>
            </w:r>
          </w:p>
        </w:tc>
        <w:tc>
          <w:tcPr>
            <w:tcW w:w="8709" w:type="dxa"/>
            <w:shd w:val="clear" w:color="auto" w:fill="FFFFFF" w:themeFill="background1"/>
            <w:vAlign w:val="center"/>
          </w:tcPr>
          <w:p w14:paraId="01223F3B" w14:textId="64C63302" w:rsidR="000B74AE" w:rsidRPr="00603D29" w:rsidRDefault="000B74AE" w:rsidP="00AD1763">
            <w:pPr>
              <w:pStyle w:val="CERnumbering"/>
              <w:spacing w:before="80" w:after="80"/>
              <w:rPr>
                <w:sz w:val="22"/>
                <w:szCs w:val="28"/>
              </w:rPr>
            </w:pPr>
            <w:r w:rsidRPr="00603D29">
              <w:rPr>
                <w:sz w:val="22"/>
                <w:szCs w:val="28"/>
              </w:rPr>
              <w:t xml:space="preserve">Report on your project and claim </w:t>
            </w:r>
            <w:r w:rsidR="009C41BD" w:rsidRPr="00603D29">
              <w:rPr>
                <w:sz w:val="22"/>
                <w:szCs w:val="28"/>
              </w:rPr>
              <w:t>ACCUs</w:t>
            </w:r>
            <w:r w:rsidRPr="00603D29">
              <w:rPr>
                <w:sz w:val="22"/>
                <w:szCs w:val="28"/>
              </w:rPr>
              <w:t>.</w:t>
            </w:r>
          </w:p>
        </w:tc>
      </w:tr>
    </w:tbl>
    <w:p w14:paraId="10708AA8" w14:textId="33CEFB87" w:rsidR="00442883" w:rsidRDefault="000B74AE" w:rsidP="000B74AE">
      <w:r w:rsidRPr="007212E8">
        <w:lastRenderedPageBreak/>
        <w:t>See our website</w:t>
      </w:r>
      <w:bookmarkStart w:id="7" w:name="_Ref35002250"/>
      <w:r w:rsidRPr="007212E8">
        <w:rPr>
          <w:rStyle w:val="FootnoteReference"/>
          <w:color w:val="auto"/>
          <w:szCs w:val="22"/>
        </w:rPr>
        <w:footnoteReference w:id="2"/>
      </w:r>
      <w:bookmarkEnd w:id="7"/>
      <w:r w:rsidRPr="007212E8">
        <w:t xml:space="preserve"> for more information on selling your </w:t>
      </w:r>
      <w:r w:rsidR="009C41BD">
        <w:t xml:space="preserve">ACCUs </w:t>
      </w:r>
      <w:r w:rsidRPr="007212E8">
        <w:t>to the</w:t>
      </w:r>
      <w:r w:rsidR="00EE1897">
        <w:t xml:space="preserve"> Australian</w:t>
      </w:r>
      <w:r w:rsidRPr="007212E8">
        <w:t xml:space="preserve"> </w:t>
      </w:r>
      <w:r w:rsidR="00EE1897">
        <w:t>G</w:t>
      </w:r>
      <w:r w:rsidRPr="007212E8">
        <w:t>overnment or other interested buyers.</w:t>
      </w:r>
    </w:p>
    <w:p w14:paraId="05253296" w14:textId="6C205799" w:rsidR="00442883" w:rsidRPr="007802AF" w:rsidRDefault="008F35FF" w:rsidP="00B1308C">
      <w:pPr>
        <w:pStyle w:val="Heading1"/>
      </w:pPr>
      <w:bookmarkStart w:id="8" w:name="_Toc85030328"/>
      <w:r>
        <w:t xml:space="preserve">ERF </w:t>
      </w:r>
      <w:r w:rsidDel="00921A9E">
        <w:t>b</w:t>
      </w:r>
      <w:r w:rsidRPr="00282F52" w:rsidDel="00921A9E">
        <w:t>iomethane</w:t>
      </w:r>
      <w:r w:rsidDel="00921A9E">
        <w:t xml:space="preserve"> </w:t>
      </w:r>
      <w:r w:rsidR="00442883">
        <w:t>projects</w:t>
      </w:r>
      <w:bookmarkEnd w:id="8"/>
    </w:p>
    <w:p w14:paraId="714CB2F3" w14:textId="680AB386" w:rsidR="00EC69AA" w:rsidRDefault="003F3BA4" w:rsidP="00282F52">
      <w:r>
        <w:t xml:space="preserve">Decomposing organic matter in anaerobic (oxygen-free) environments produces a mix of methane, </w:t>
      </w:r>
      <w:r w:rsidR="00A9574C">
        <w:t>carbon dioxide (</w:t>
      </w:r>
      <w:r>
        <w:t>CO</w:t>
      </w:r>
      <w:r>
        <w:rPr>
          <w:vertAlign w:val="subscript"/>
        </w:rPr>
        <w:t>2</w:t>
      </w:r>
      <w:r w:rsidR="00A9574C" w:rsidRPr="00E973A6">
        <w:t>)</w:t>
      </w:r>
      <w:r>
        <w:t xml:space="preserve"> and other remnant gases</w:t>
      </w:r>
      <w:r w:rsidR="00C7035E">
        <w:t xml:space="preserve"> that are collectively</w:t>
      </w:r>
      <w:r w:rsidR="00987259">
        <w:t xml:space="preserve"> known as biogas</w:t>
      </w:r>
      <w:r>
        <w:t xml:space="preserve">. </w:t>
      </w:r>
      <w:r w:rsidR="00987259">
        <w:t xml:space="preserve">The </w:t>
      </w:r>
      <w:r>
        <w:t xml:space="preserve">methane component </w:t>
      </w:r>
      <w:r w:rsidR="00987259">
        <w:t xml:space="preserve">of biogas </w:t>
      </w:r>
      <w:r>
        <w:t>can be refined into a</w:t>
      </w:r>
      <w:r w:rsidR="00A9574C">
        <w:t xml:space="preserve"> </w:t>
      </w:r>
      <w:r w:rsidR="00843F46">
        <w:t xml:space="preserve">substitute for </w:t>
      </w:r>
      <w:r w:rsidR="00BF7136">
        <w:t>(</w:t>
      </w:r>
      <w:r w:rsidR="00843F46">
        <w:t>fossil fuel</w:t>
      </w:r>
      <w:r w:rsidR="00BF7136">
        <w:t>)</w:t>
      </w:r>
      <w:r w:rsidR="00843F46">
        <w:t xml:space="preserve"> </w:t>
      </w:r>
      <w:r>
        <w:t xml:space="preserve">natural gas </w:t>
      </w:r>
      <w:r w:rsidR="00987259">
        <w:t xml:space="preserve">called </w:t>
      </w:r>
      <w:r>
        <w:t>biomethane</w:t>
      </w:r>
      <w:r w:rsidR="00C00CB8">
        <w:t xml:space="preserve"> </w:t>
      </w:r>
      <w:r w:rsidR="00987259">
        <w:t xml:space="preserve">through </w:t>
      </w:r>
      <w:r w:rsidR="00C00CB8">
        <w:t xml:space="preserve">a process known as </w:t>
      </w:r>
      <w:r w:rsidR="009A54D4">
        <w:t>‘</w:t>
      </w:r>
      <w:r w:rsidR="00C00CB8">
        <w:t>biogas upgrading’</w:t>
      </w:r>
      <w:r w:rsidR="00290922">
        <w:t xml:space="preserve">. Biomethane </w:t>
      </w:r>
      <w:r>
        <w:t xml:space="preserve">may </w:t>
      </w:r>
      <w:r w:rsidR="00290922">
        <w:t xml:space="preserve">then </w:t>
      </w:r>
      <w:r>
        <w:t>be</w:t>
      </w:r>
      <w:r w:rsidR="00D61A0F">
        <w:t xml:space="preserve"> used on-site or</w:t>
      </w:r>
      <w:r>
        <w:t xml:space="preserve"> injected into the gas </w:t>
      </w:r>
      <w:r w:rsidR="00CC07D2">
        <w:t>network</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630"/>
        <w:gridCol w:w="7396"/>
      </w:tblGrid>
      <w:tr w:rsidR="00F840F4" w14:paraId="3AB7729B" w14:textId="77777777" w:rsidTr="00042536">
        <w:trPr>
          <w:cantSplit/>
        </w:trPr>
        <w:tc>
          <w:tcPr>
            <w:tcW w:w="1696" w:type="dxa"/>
            <w:shd w:val="clear" w:color="auto" w:fill="F2F2F2" w:themeFill="background1" w:themeFillShade="F2"/>
            <w:vAlign w:val="center"/>
          </w:tcPr>
          <w:p w14:paraId="481BE1B3" w14:textId="77777777" w:rsidR="0056039F" w:rsidRDefault="0056039F" w:rsidP="00042536">
            <w:pPr>
              <w:spacing w:before="240"/>
              <w:jc w:val="center"/>
            </w:pPr>
            <w:r>
              <w:rPr>
                <w:noProof/>
              </w:rPr>
              <w:drawing>
                <wp:inline distT="0" distB="0" distL="0" distR="0" wp14:anchorId="2AB4832B" wp14:editId="6A18E0CF">
                  <wp:extent cx="540000" cy="540000"/>
                  <wp:effectExtent l="0" t="0" r="0" b="0"/>
                  <wp:docPr id="9" name="Picture 9" descr="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er3143\Downloads\conversation.p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8034" w:type="dxa"/>
            <w:shd w:val="clear" w:color="auto" w:fill="F2F2F2" w:themeFill="background1" w:themeFillShade="F2"/>
            <w:vAlign w:val="center"/>
          </w:tcPr>
          <w:p w14:paraId="70AE6C90" w14:textId="72A95230" w:rsidR="0056039F" w:rsidRPr="00B4171C" w:rsidRDefault="0056039F" w:rsidP="00042536">
            <w:pPr>
              <w:pStyle w:val="Heading5"/>
              <w:outlineLvl w:val="4"/>
              <w:rPr>
                <w:sz w:val="22"/>
                <w:szCs w:val="22"/>
              </w:rPr>
            </w:pPr>
            <w:r w:rsidRPr="00B4171C">
              <w:rPr>
                <w:sz w:val="22"/>
                <w:szCs w:val="22"/>
              </w:rPr>
              <w:t>What is biomethane?</w:t>
            </w:r>
          </w:p>
          <w:p w14:paraId="68864F31" w14:textId="118566C2" w:rsidR="0092614B" w:rsidRPr="00B4171C" w:rsidRDefault="0056039F" w:rsidP="0056039F">
            <w:pPr>
              <w:rPr>
                <w:sz w:val="22"/>
                <w:szCs w:val="22"/>
                <w:vertAlign w:val="subscript"/>
              </w:rPr>
            </w:pPr>
            <w:r w:rsidRPr="00B4171C">
              <w:rPr>
                <w:sz w:val="22"/>
                <w:szCs w:val="22"/>
              </w:rPr>
              <w:t>Biomethane is a</w:t>
            </w:r>
            <w:r w:rsidR="00093293" w:rsidRPr="00B4171C">
              <w:rPr>
                <w:sz w:val="22"/>
                <w:szCs w:val="22"/>
              </w:rPr>
              <w:t xml:space="preserve"> </w:t>
            </w:r>
            <w:r w:rsidR="00610F32" w:rsidRPr="00B4171C">
              <w:rPr>
                <w:sz w:val="22"/>
                <w:szCs w:val="22"/>
              </w:rPr>
              <w:t>gas comprised almost entirely</w:t>
            </w:r>
            <w:r w:rsidR="00F840F4" w:rsidRPr="00B4171C">
              <w:rPr>
                <w:sz w:val="22"/>
                <w:szCs w:val="22"/>
              </w:rPr>
              <w:t xml:space="preserve"> </w:t>
            </w:r>
            <w:r w:rsidR="00610F32" w:rsidRPr="00B4171C">
              <w:rPr>
                <w:sz w:val="22"/>
                <w:szCs w:val="22"/>
              </w:rPr>
              <w:t xml:space="preserve">of methane – the same molecule </w:t>
            </w:r>
            <w:r w:rsidR="00843F46" w:rsidRPr="00B4171C">
              <w:rPr>
                <w:sz w:val="22"/>
                <w:szCs w:val="22"/>
              </w:rPr>
              <w:t>that</w:t>
            </w:r>
            <w:r w:rsidR="00610F32" w:rsidRPr="00B4171C">
              <w:rPr>
                <w:sz w:val="22"/>
                <w:szCs w:val="22"/>
              </w:rPr>
              <w:t xml:space="preserve"> makes up natural gas. It can be used as a natural gas substitute</w:t>
            </w:r>
            <w:r w:rsidR="00D553CB">
              <w:rPr>
                <w:sz w:val="22"/>
                <w:szCs w:val="22"/>
              </w:rPr>
              <w:t xml:space="preserve">. </w:t>
            </w:r>
            <w:r w:rsidR="00F840F4" w:rsidRPr="00B4171C">
              <w:rPr>
                <w:sz w:val="22"/>
                <w:szCs w:val="22"/>
              </w:rPr>
              <w:t xml:space="preserve"> Biomethane is produced from biogas, which itself is derived from biogenic sources such as organic </w:t>
            </w:r>
            <w:r w:rsidR="00A41059" w:rsidRPr="00B4171C">
              <w:rPr>
                <w:sz w:val="22"/>
                <w:szCs w:val="22"/>
              </w:rPr>
              <w:t>solid waste</w:t>
            </w:r>
            <w:r w:rsidR="00F840F4" w:rsidRPr="00B4171C">
              <w:rPr>
                <w:sz w:val="22"/>
                <w:szCs w:val="22"/>
              </w:rPr>
              <w:t xml:space="preserve"> or wastewater. Combustion of biomethane releases the carbon absorbed by the biogenic material from the atmosphere during its life</w:t>
            </w:r>
            <w:r w:rsidR="003E5763">
              <w:rPr>
                <w:sz w:val="22"/>
                <w:szCs w:val="22"/>
              </w:rPr>
              <w:t>, and on this basis is often</w:t>
            </w:r>
            <w:r w:rsidR="00CC07D2" w:rsidRPr="00B4171C">
              <w:rPr>
                <w:sz w:val="22"/>
                <w:szCs w:val="22"/>
              </w:rPr>
              <w:t xml:space="preserve"> </w:t>
            </w:r>
            <w:r w:rsidR="00042536" w:rsidRPr="00B4171C">
              <w:rPr>
                <w:sz w:val="22"/>
                <w:szCs w:val="22"/>
              </w:rPr>
              <w:t xml:space="preserve">considered </w:t>
            </w:r>
            <w:r w:rsidR="00CC07D2" w:rsidRPr="00B4171C">
              <w:rPr>
                <w:sz w:val="22"/>
                <w:szCs w:val="22"/>
              </w:rPr>
              <w:t xml:space="preserve">to have </w:t>
            </w:r>
            <w:r w:rsidR="004D78B3" w:rsidRPr="00B4171C">
              <w:rPr>
                <w:sz w:val="22"/>
                <w:szCs w:val="22"/>
              </w:rPr>
              <w:t xml:space="preserve">net-zero </w:t>
            </w:r>
            <w:r w:rsidR="00263A98">
              <w:rPr>
                <w:sz w:val="22"/>
                <w:szCs w:val="22"/>
              </w:rPr>
              <w:t xml:space="preserve">carbon </w:t>
            </w:r>
            <w:r w:rsidR="004D78B3" w:rsidRPr="00B4171C">
              <w:rPr>
                <w:sz w:val="22"/>
                <w:szCs w:val="22"/>
              </w:rPr>
              <w:t>emissions</w:t>
            </w:r>
            <w:r w:rsidR="00904420">
              <w:rPr>
                <w:sz w:val="22"/>
                <w:szCs w:val="22"/>
              </w:rPr>
              <w:t xml:space="preserve">. This is consistent with the approach </w:t>
            </w:r>
            <w:r w:rsidR="009B3715">
              <w:rPr>
                <w:sz w:val="22"/>
                <w:szCs w:val="22"/>
              </w:rPr>
              <w:t xml:space="preserve">used </w:t>
            </w:r>
            <w:r w:rsidR="00904420">
              <w:rPr>
                <w:sz w:val="22"/>
                <w:szCs w:val="22"/>
              </w:rPr>
              <w:t>by</w:t>
            </w:r>
            <w:r w:rsidR="00344B4C">
              <w:rPr>
                <w:sz w:val="22"/>
                <w:szCs w:val="22"/>
              </w:rPr>
              <w:t xml:space="preserve"> </w:t>
            </w:r>
            <w:r w:rsidR="00904420">
              <w:rPr>
                <w:sz w:val="22"/>
                <w:szCs w:val="22"/>
              </w:rPr>
              <w:t>the Intergovernmental Panel on Climate Change</w:t>
            </w:r>
            <w:r w:rsidR="004C7462">
              <w:rPr>
                <w:sz w:val="22"/>
                <w:szCs w:val="22"/>
              </w:rPr>
              <w:t xml:space="preserve"> </w:t>
            </w:r>
            <w:r w:rsidR="005864B4">
              <w:rPr>
                <w:sz w:val="22"/>
                <w:szCs w:val="22"/>
              </w:rPr>
              <w:t xml:space="preserve">(IPCC) </w:t>
            </w:r>
            <w:r w:rsidR="004C7462">
              <w:rPr>
                <w:sz w:val="22"/>
                <w:szCs w:val="22"/>
              </w:rPr>
              <w:t xml:space="preserve">in </w:t>
            </w:r>
            <w:r w:rsidR="005864B4">
              <w:rPr>
                <w:sz w:val="22"/>
                <w:szCs w:val="22"/>
              </w:rPr>
              <w:t xml:space="preserve">guidelines for </w:t>
            </w:r>
            <w:r w:rsidR="004C7462">
              <w:rPr>
                <w:sz w:val="22"/>
                <w:szCs w:val="22"/>
              </w:rPr>
              <w:t>national greenhouse gas inventory reporting</w:t>
            </w:r>
            <w:r w:rsidR="005864B4">
              <w:rPr>
                <w:sz w:val="22"/>
                <w:szCs w:val="22"/>
              </w:rPr>
              <w:t xml:space="preserve"> and accounting for bio-based energy sources</w:t>
            </w:r>
            <w:r w:rsidR="004D78B3" w:rsidRPr="00B4171C">
              <w:rPr>
                <w:sz w:val="22"/>
                <w:szCs w:val="22"/>
              </w:rPr>
              <w:t>.</w:t>
            </w:r>
            <w:r w:rsidR="00E44E1C">
              <w:rPr>
                <w:rStyle w:val="FootnoteReference"/>
                <w:sz w:val="22"/>
                <w:szCs w:val="22"/>
              </w:rPr>
              <w:footnoteReference w:id="3"/>
            </w:r>
          </w:p>
          <w:p w14:paraId="113F0BE1" w14:textId="31005B1E" w:rsidR="0056039F" w:rsidRDefault="0092614B" w:rsidP="00B32FEE">
            <w:r w:rsidRPr="00B4171C">
              <w:rPr>
                <w:sz w:val="22"/>
                <w:szCs w:val="22"/>
              </w:rPr>
              <w:t xml:space="preserve">‘Upgrading’ is the process </w:t>
            </w:r>
            <w:r w:rsidR="00E973A6" w:rsidRPr="00B4171C">
              <w:rPr>
                <w:sz w:val="22"/>
                <w:szCs w:val="22"/>
              </w:rPr>
              <w:t xml:space="preserve">of refining </w:t>
            </w:r>
            <w:r w:rsidRPr="00B4171C">
              <w:rPr>
                <w:sz w:val="22"/>
                <w:szCs w:val="22"/>
              </w:rPr>
              <w:t>biogas into biomethane. It involves treating biogas to remove impurities such as water, CO</w:t>
            </w:r>
            <w:r w:rsidRPr="00B4171C">
              <w:rPr>
                <w:sz w:val="22"/>
                <w:szCs w:val="22"/>
                <w:vertAlign w:val="subscript"/>
              </w:rPr>
              <w:t>2</w:t>
            </w:r>
            <w:r w:rsidRPr="00B4171C">
              <w:rPr>
                <w:sz w:val="22"/>
                <w:szCs w:val="22"/>
              </w:rPr>
              <w:t xml:space="preserve">, and other remnant gases, resulting in a </w:t>
            </w:r>
            <w:r w:rsidR="00787C86" w:rsidRPr="00B4171C">
              <w:rPr>
                <w:sz w:val="22"/>
                <w:szCs w:val="22"/>
              </w:rPr>
              <w:t>near-pure</w:t>
            </w:r>
            <w:r w:rsidR="001B73A2" w:rsidRPr="00B4171C">
              <w:rPr>
                <w:sz w:val="22"/>
                <w:szCs w:val="22"/>
              </w:rPr>
              <w:t xml:space="preserve"> methane product</w:t>
            </w:r>
            <w:r w:rsidR="00F840F4" w:rsidRPr="00B4171C">
              <w:rPr>
                <w:sz w:val="22"/>
                <w:szCs w:val="22"/>
              </w:rPr>
              <w:t xml:space="preserve"> (</w:t>
            </w:r>
            <w:r w:rsidR="008D2E1C" w:rsidRPr="00B4171C">
              <w:rPr>
                <w:sz w:val="22"/>
                <w:szCs w:val="22"/>
              </w:rPr>
              <w:t>≥</w:t>
            </w:r>
            <w:r w:rsidR="00F840F4" w:rsidRPr="00B4171C">
              <w:rPr>
                <w:sz w:val="22"/>
                <w:szCs w:val="22"/>
              </w:rPr>
              <w:t>95% methane concentration)</w:t>
            </w:r>
            <w:r w:rsidR="001B73A2" w:rsidRPr="00B4171C">
              <w:rPr>
                <w:sz w:val="22"/>
                <w:szCs w:val="22"/>
              </w:rPr>
              <w:t xml:space="preserve">. A range of upgrading technologies are commercially available, </w:t>
            </w:r>
            <w:r w:rsidR="00737844" w:rsidRPr="00B4171C">
              <w:rPr>
                <w:sz w:val="22"/>
                <w:szCs w:val="22"/>
              </w:rPr>
              <w:t>with variation in the treatment technology, capital and operation costs, and scalability.</w:t>
            </w:r>
          </w:p>
        </w:tc>
      </w:tr>
    </w:tbl>
    <w:p w14:paraId="4048E8E8" w14:textId="77777777" w:rsidR="0056039F" w:rsidRDefault="0056039F" w:rsidP="00282F52"/>
    <w:p w14:paraId="1F0E05F8" w14:textId="768AD8B7" w:rsidR="003D1BF6" w:rsidRDefault="00EE4581" w:rsidP="003F3BA4">
      <w:r>
        <w:t>A</w:t>
      </w:r>
      <w:r w:rsidR="000A0EF3">
        <w:t>n ERF</w:t>
      </w:r>
      <w:r>
        <w:t xml:space="preserve"> </w:t>
      </w:r>
      <w:r w:rsidDel="00921A9E">
        <w:t xml:space="preserve">biomethane </w:t>
      </w:r>
      <w:r>
        <w:t>project</w:t>
      </w:r>
      <w:r w:rsidR="000477E2">
        <w:t xml:space="preserve"> involves </w:t>
      </w:r>
      <w:r w:rsidR="003D1BF6">
        <w:t xml:space="preserve">two main activities: </w:t>
      </w:r>
    </w:p>
    <w:p w14:paraId="40374A69" w14:textId="4BA8C995" w:rsidR="008F35FF" w:rsidRDefault="00985D49" w:rsidP="009B3715">
      <w:pPr>
        <w:pStyle w:val="CERnumbering"/>
        <w:numPr>
          <w:ilvl w:val="0"/>
          <w:numId w:val="11"/>
        </w:numPr>
      </w:pPr>
      <w:r w:rsidRPr="009B3715">
        <w:rPr>
          <w:b/>
          <w:bCs/>
        </w:rPr>
        <w:t>Biogas generation</w:t>
      </w:r>
      <w:r>
        <w:t>, which involves c</w:t>
      </w:r>
      <w:r w:rsidR="000477E2">
        <w:t>apturing biogas from</w:t>
      </w:r>
      <w:r>
        <w:t xml:space="preserve"> waste at</w:t>
      </w:r>
      <w:r w:rsidR="000477E2">
        <w:t xml:space="preserve"> facilities such as landfills, wastewater treatment or animal effluent </w:t>
      </w:r>
      <w:r w:rsidR="00243158">
        <w:t>treatment</w:t>
      </w:r>
      <w:r w:rsidR="000477E2">
        <w:t xml:space="preserve"> plants</w:t>
      </w:r>
      <w:r>
        <w:t>,</w:t>
      </w:r>
      <w:r w:rsidR="003D1BF6">
        <w:t xml:space="preserve"> and </w:t>
      </w:r>
      <w:r w:rsidR="005B6347">
        <w:t xml:space="preserve">upgrading the </w:t>
      </w:r>
      <w:r w:rsidR="003D1BF6">
        <w:t>biogas into biomethane</w:t>
      </w:r>
      <w:r w:rsidR="00971CC0">
        <w:t>.</w:t>
      </w:r>
      <w:r w:rsidR="00CC07D2" w:rsidDel="00243158">
        <w:t xml:space="preserve"> </w:t>
      </w:r>
    </w:p>
    <w:p w14:paraId="76CBB1CA" w14:textId="08A9A17B" w:rsidR="003D1BF6" w:rsidRDefault="00985D49" w:rsidP="003D1BF6">
      <w:pPr>
        <w:pStyle w:val="CERnumbering"/>
      </w:pPr>
      <w:r w:rsidRPr="009B3715">
        <w:rPr>
          <w:b/>
          <w:bCs/>
        </w:rPr>
        <w:t>Biomethane production</w:t>
      </w:r>
      <w:r>
        <w:t>, which involves r</w:t>
      </w:r>
      <w:r w:rsidR="003D1BF6">
        <w:t>eceiving and upgrading waste biogas to produce biomethane that is used in a manner where it can reasonably be expected to be combusted within Australia (for example, it is injected into a gas distribution pipeline or burned on-site for heat).</w:t>
      </w:r>
    </w:p>
    <w:p w14:paraId="74940798" w14:textId="07E2C305" w:rsidR="002559E9" w:rsidRDefault="003D1BF6" w:rsidP="005849F7">
      <w:r>
        <w:t xml:space="preserve">An ERF biomethane project can earn ACCUs by undertaking </w:t>
      </w:r>
      <w:r w:rsidR="0044416E">
        <w:t>these</w:t>
      </w:r>
      <w:r>
        <w:t xml:space="preserve"> activities to </w:t>
      </w:r>
      <w:r w:rsidR="0044416E">
        <w:t xml:space="preserve">produce biomethane and </w:t>
      </w:r>
      <w:r>
        <w:t>generate abatement</w:t>
      </w:r>
      <w:r w:rsidR="00E44E1C">
        <w:t xml:space="preserve">. </w:t>
      </w:r>
      <w:r w:rsidR="00D53D93">
        <w:t xml:space="preserve">Projects that undertake </w:t>
      </w:r>
      <w:r w:rsidR="00617B17">
        <w:t>these</w:t>
      </w:r>
      <w:r w:rsidR="00D53D93">
        <w:t xml:space="preserve"> activities are collectively referred to as ‘biomethane projects’ in this document.</w:t>
      </w:r>
    </w:p>
    <w:p w14:paraId="443603B2" w14:textId="2330C11D" w:rsidR="000725FC" w:rsidRDefault="009B188C" w:rsidP="000825E3">
      <w:pPr>
        <w:pStyle w:val="Heading3"/>
      </w:pPr>
      <w:bookmarkStart w:id="9" w:name="_Toc85030329"/>
      <w:r>
        <w:t>Proposed b</w:t>
      </w:r>
      <w:r w:rsidR="00921A9E">
        <w:t xml:space="preserve">iomethane </w:t>
      </w:r>
      <w:r w:rsidR="000725FC">
        <w:t xml:space="preserve">method </w:t>
      </w:r>
      <w:r w:rsidR="003D1BF6">
        <w:t>package</w:t>
      </w:r>
      <w:bookmarkEnd w:id="9"/>
    </w:p>
    <w:p w14:paraId="647A6770" w14:textId="23744561" w:rsidR="004E73DE" w:rsidRDefault="004E73DE" w:rsidP="004E73DE">
      <w:r>
        <w:t xml:space="preserve">The </w:t>
      </w:r>
      <w:r w:rsidR="009B188C">
        <w:t xml:space="preserve">proposed </w:t>
      </w:r>
      <w:r w:rsidR="00985D49">
        <w:t>biomethane method package</w:t>
      </w:r>
      <w:r>
        <w:t xml:space="preserve"> </w:t>
      </w:r>
      <w:r w:rsidR="008316F1">
        <w:t>build</w:t>
      </w:r>
      <w:r w:rsidR="00985D49">
        <w:t>s</w:t>
      </w:r>
      <w:r w:rsidR="008316F1">
        <w:t xml:space="preserve"> on the framework of</w:t>
      </w:r>
      <w:r w:rsidR="00EE354C">
        <w:t xml:space="preserve"> </w:t>
      </w:r>
      <w:r>
        <w:t xml:space="preserve">existing </w:t>
      </w:r>
      <w:r w:rsidR="003C38A0">
        <w:t xml:space="preserve">ERF </w:t>
      </w:r>
      <w:r>
        <w:t xml:space="preserve">waste methods:  </w:t>
      </w:r>
    </w:p>
    <w:p w14:paraId="46DF2701" w14:textId="12C6668F" w:rsidR="004E73DE" w:rsidRDefault="00D61A0F" w:rsidP="00C76652">
      <w:pPr>
        <w:pStyle w:val="CERbullets"/>
      </w:pPr>
      <w:r w:rsidRPr="00243158">
        <w:rPr>
          <w:b/>
          <w:bCs/>
        </w:rPr>
        <w:t>L</w:t>
      </w:r>
      <w:r w:rsidR="004E73DE" w:rsidRPr="00243158">
        <w:rPr>
          <w:b/>
          <w:bCs/>
        </w:rPr>
        <w:t>andfill gas</w:t>
      </w:r>
      <w:r w:rsidR="00D53D93">
        <w:rPr>
          <w:b/>
          <w:bCs/>
        </w:rPr>
        <w:t xml:space="preserve"> (electricity generation)</w:t>
      </w:r>
      <w:r w:rsidR="004E73DE" w:rsidRPr="00243158">
        <w:rPr>
          <w:b/>
          <w:bCs/>
        </w:rPr>
        <w:t xml:space="preserve"> </w:t>
      </w:r>
      <w:r w:rsidR="004E73DE" w:rsidRPr="00D61A0F">
        <w:t>method</w:t>
      </w:r>
      <w:r w:rsidR="004E73DE">
        <w:t xml:space="preserve">, which covers </w:t>
      </w:r>
      <w:r w:rsidR="00904420">
        <w:t xml:space="preserve">ERF </w:t>
      </w:r>
      <w:r w:rsidR="004E73DE">
        <w:t>projects that aim to reduce emissions of greenhouse gases by collecting and combusting landfill gas from a landfill</w:t>
      </w:r>
      <w:r>
        <w:t>.</w:t>
      </w:r>
    </w:p>
    <w:p w14:paraId="6EA7FDE6" w14:textId="39B59F19" w:rsidR="00D61A0F" w:rsidRDefault="00D61A0F" w:rsidP="006544EC">
      <w:pPr>
        <w:pStyle w:val="CERbullets"/>
      </w:pPr>
      <w:r w:rsidRPr="00813641">
        <w:rPr>
          <w:b/>
          <w:bCs/>
        </w:rPr>
        <w:t>Wastewater treatment</w:t>
      </w:r>
      <w:r>
        <w:t xml:space="preserve"> method, which covers ERF projects that install </w:t>
      </w:r>
      <w:r w:rsidRPr="00192A92">
        <w:t>anaerobic digesters to replace open anaerobic lagoons</w:t>
      </w:r>
      <w:r>
        <w:t xml:space="preserve"> in the treatment of domestic, commercial</w:t>
      </w:r>
      <w:r w:rsidR="00A14005">
        <w:t>,</w:t>
      </w:r>
      <w:r>
        <w:t xml:space="preserve"> or industrial wastewater.</w:t>
      </w:r>
    </w:p>
    <w:p w14:paraId="56B97C40" w14:textId="2EEBAA06" w:rsidR="004E73DE" w:rsidRDefault="00D61A0F" w:rsidP="006544EC">
      <w:pPr>
        <w:pStyle w:val="CERbullets"/>
      </w:pPr>
      <w:r>
        <w:rPr>
          <w:b/>
          <w:bCs/>
        </w:rPr>
        <w:t>A</w:t>
      </w:r>
      <w:r w:rsidR="004E73DE" w:rsidRPr="00243158">
        <w:rPr>
          <w:b/>
          <w:bCs/>
        </w:rPr>
        <w:t xml:space="preserve">nimal effluent </w:t>
      </w:r>
      <w:r w:rsidR="004E73DE" w:rsidRPr="00D61A0F">
        <w:t>method</w:t>
      </w:r>
      <w:r w:rsidR="004E73DE">
        <w:t xml:space="preserve">, which covers </w:t>
      </w:r>
      <w:r w:rsidR="00904420">
        <w:t xml:space="preserve">ERF </w:t>
      </w:r>
      <w:r w:rsidR="004E73DE">
        <w:t xml:space="preserve">projects </w:t>
      </w:r>
      <w:r w:rsidR="00355511">
        <w:t>that treat animal effluent from piggeries</w:t>
      </w:r>
      <w:r w:rsidR="00D96673">
        <w:t xml:space="preserve">, </w:t>
      </w:r>
      <w:r w:rsidR="00355511">
        <w:t>dairies</w:t>
      </w:r>
      <w:r w:rsidR="00D96673">
        <w:t xml:space="preserve">, or other organic wastes </w:t>
      </w:r>
      <w:r w:rsidR="00355511">
        <w:t>that would otherwise have been treated in an anerobic pond</w:t>
      </w:r>
      <w:r>
        <w:t>.</w:t>
      </w:r>
    </w:p>
    <w:p w14:paraId="4C8DD13E" w14:textId="360B3D47" w:rsidR="00985D49" w:rsidRDefault="00985D49" w:rsidP="009B3715">
      <w:r w:rsidRPr="00F56E1A">
        <w:t>Under</w:t>
      </w:r>
      <w:r>
        <w:t xml:space="preserve"> the</w:t>
      </w:r>
      <w:r w:rsidRPr="00F56E1A">
        <w:t xml:space="preserve"> current ERF waste methods, methane from waste can either be flared or combusted in an engine to generate electricity. </w:t>
      </w:r>
      <w:r>
        <w:t>The</w:t>
      </w:r>
      <w:r w:rsidR="009B188C">
        <w:t xml:space="preserve"> proposed</w:t>
      </w:r>
      <w:r>
        <w:t xml:space="preserve"> biomethane method package adds </w:t>
      </w:r>
      <w:r w:rsidR="00E40300">
        <w:t>biogas generation and biomethane production</w:t>
      </w:r>
      <w:r w:rsidRPr="00F56E1A">
        <w:t xml:space="preserve"> as new eligible project activit</w:t>
      </w:r>
      <w:r w:rsidR="00E40300">
        <w:t>ies</w:t>
      </w:r>
      <w:r w:rsidRPr="00F56E1A">
        <w:t xml:space="preserve"> across the ERF waste methods</w:t>
      </w:r>
      <w:r w:rsidR="00266940">
        <w:t xml:space="preserve"> mentioned above</w:t>
      </w:r>
      <w:r w:rsidR="00E40300">
        <w:t xml:space="preserve">, </w:t>
      </w:r>
      <w:r w:rsidRPr="00F56E1A">
        <w:t>expand</w:t>
      </w:r>
      <w:r w:rsidR="00E40300">
        <w:t>ing</w:t>
      </w:r>
      <w:r w:rsidRPr="00F56E1A">
        <w:t xml:space="preserve"> opportunities for the waste sector to</w:t>
      </w:r>
      <w:r w:rsidR="00EE0B7C">
        <w:t xml:space="preserve"> </w:t>
      </w:r>
      <w:r w:rsidR="00CA30B1">
        <w:t>participate in the scheme</w:t>
      </w:r>
      <w:r w:rsidRPr="00F56E1A">
        <w:t xml:space="preserve">. </w:t>
      </w:r>
    </w:p>
    <w:p w14:paraId="683AACB3" w14:textId="48456069" w:rsidR="00610B9A" w:rsidRPr="00F56E1A" w:rsidRDefault="003D095F" w:rsidP="009B3715">
      <w:r>
        <w:t>Feedback on whether v</w:t>
      </w:r>
      <w:r w:rsidR="00F6558F">
        <w:t xml:space="preserve">ariations to enable biomethane projects under the Alternative waste treatment method and the Source separated organic waste method </w:t>
      </w:r>
      <w:r>
        <w:t>is sought.</w:t>
      </w:r>
      <w:r w:rsidR="00F6558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637"/>
        <w:gridCol w:w="7389"/>
      </w:tblGrid>
      <w:tr w:rsidR="00DD3645" w:rsidRPr="009F5388" w14:paraId="01987568" w14:textId="77777777" w:rsidTr="006C7A2A">
        <w:tc>
          <w:tcPr>
            <w:tcW w:w="1637" w:type="dxa"/>
            <w:shd w:val="clear" w:color="auto" w:fill="F2F2F2" w:themeFill="background1" w:themeFillShade="F2"/>
            <w:vAlign w:val="center"/>
          </w:tcPr>
          <w:p w14:paraId="346D6737" w14:textId="77777777" w:rsidR="00DD3645" w:rsidRPr="009F5388" w:rsidRDefault="00DD3645" w:rsidP="006C7A2A">
            <w:pPr>
              <w:spacing w:before="240"/>
              <w:jc w:val="center"/>
              <w:rPr>
                <w:color w:val="000000" w:themeColor="text1"/>
              </w:rPr>
            </w:pPr>
            <w:r w:rsidRPr="009F5388">
              <w:rPr>
                <w:noProof/>
                <w:color w:val="000000" w:themeColor="text1"/>
              </w:rPr>
              <w:drawing>
                <wp:inline distT="0" distB="0" distL="0" distR="0" wp14:anchorId="50DCB799" wp14:editId="3E7C57DA">
                  <wp:extent cx="540000" cy="540000"/>
                  <wp:effectExtent l="0" t="0" r="0" b="0"/>
                  <wp:docPr id="15" name="Picture 15" desc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4">
                            <a:extLst>
                              <a:ext uri="{28A0092B-C50C-407E-A947-70E740481C1C}">
                                <a14:useLocalDpi xmlns:a14="http://schemas.microsoft.com/office/drawing/2010/main"/>
                              </a:ext>
                            </a:extLst>
                          </a:blip>
                          <a:stretch>
                            <a:fillRect/>
                          </a:stretch>
                        </pic:blipFill>
                        <pic:spPr>
                          <a:xfrm>
                            <a:off x="0" y="0"/>
                            <a:ext cx="540000" cy="540000"/>
                          </a:xfrm>
                          <a:prstGeom prst="rect">
                            <a:avLst/>
                          </a:prstGeom>
                        </pic:spPr>
                      </pic:pic>
                    </a:graphicData>
                  </a:graphic>
                </wp:inline>
              </w:drawing>
            </w:r>
          </w:p>
        </w:tc>
        <w:tc>
          <w:tcPr>
            <w:tcW w:w="7389" w:type="dxa"/>
            <w:shd w:val="clear" w:color="auto" w:fill="F2F2F2" w:themeFill="background1" w:themeFillShade="F2"/>
          </w:tcPr>
          <w:p w14:paraId="641D6A64" w14:textId="77777777" w:rsidR="00DD3645" w:rsidRPr="009F5388" w:rsidRDefault="00DD3645" w:rsidP="006C7A2A">
            <w:pPr>
              <w:pStyle w:val="Heading5"/>
              <w:outlineLvl w:val="4"/>
              <w:rPr>
                <w:color w:val="000000" w:themeColor="text1"/>
                <w:sz w:val="22"/>
                <w:szCs w:val="22"/>
              </w:rPr>
            </w:pPr>
            <w:r w:rsidRPr="009F5388">
              <w:rPr>
                <w:color w:val="000000" w:themeColor="text1"/>
                <w:sz w:val="22"/>
                <w:szCs w:val="22"/>
              </w:rPr>
              <w:t>Biomethane commercial considerations</w:t>
            </w:r>
          </w:p>
          <w:p w14:paraId="57876E1F" w14:textId="77777777" w:rsidR="00DD3645" w:rsidRPr="009F5388" w:rsidRDefault="00DD3645" w:rsidP="006C7A2A">
            <w:pPr>
              <w:spacing w:before="160" w:after="160"/>
              <w:rPr>
                <w:color w:val="000000" w:themeColor="text1"/>
                <w:sz w:val="22"/>
                <w:szCs w:val="22"/>
              </w:rPr>
            </w:pPr>
            <w:r w:rsidRPr="009F5388">
              <w:rPr>
                <w:color w:val="000000" w:themeColor="text1"/>
                <w:sz w:val="22"/>
                <w:szCs w:val="22"/>
              </w:rPr>
              <w:t>The decision to capture and inject or use biomethane is a commercial decision made on a case-by-case basis. There will be a range of factors that will influence the economics of biomethane production compared to electricity generation activities, including the relative prices of gas and electricity as well as revenue from ACCUs and renewable electricity certificates.</w:t>
            </w:r>
          </w:p>
        </w:tc>
      </w:tr>
    </w:tbl>
    <w:p w14:paraId="36789F8E" w14:textId="77777777" w:rsidR="00985D49" w:rsidRDefault="00985D49">
      <w:pPr>
        <w:rPr>
          <w:b/>
          <w:bCs/>
        </w:rPr>
      </w:pPr>
    </w:p>
    <w:p w14:paraId="6C1ABCDB" w14:textId="6F5A66E6" w:rsidR="008F03A2" w:rsidRDefault="004C3F12">
      <w:r w:rsidRPr="0076415C">
        <w:rPr>
          <w:b/>
          <w:bCs/>
        </w:rPr>
        <w:t>Appendix 1</w:t>
      </w:r>
      <w:r>
        <w:rPr>
          <w:b/>
          <w:bCs/>
        </w:rPr>
        <w:t xml:space="preserve"> </w:t>
      </w:r>
      <w:r>
        <w:t>lists the w</w:t>
      </w:r>
      <w:r w:rsidR="00D61A0F">
        <w:t xml:space="preserve">aste feedstocks </w:t>
      </w:r>
      <w:r w:rsidR="008F03A2">
        <w:t xml:space="preserve">eligible </w:t>
      </w:r>
      <w:r w:rsidR="00D61A0F">
        <w:t xml:space="preserve">for biomethane creation </w:t>
      </w:r>
      <w:r w:rsidR="008F03A2">
        <w:t>under the above methods.</w:t>
      </w:r>
      <w:r w:rsidR="002C0603">
        <w:t xml:space="preserve"> </w:t>
      </w:r>
    </w:p>
    <w:p w14:paraId="0A61F787" w14:textId="77777777" w:rsidR="002C0603" w:rsidRDefault="002C0603">
      <w:pPr>
        <w:spacing w:after="0" w:line="276" w:lineRule="auto"/>
        <w:ind w:hanging="35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634"/>
        <w:gridCol w:w="7392"/>
      </w:tblGrid>
      <w:tr w:rsidR="00672298" w14:paraId="46C3029E" w14:textId="77777777" w:rsidTr="00E723C4">
        <w:trPr>
          <w:trHeight w:val="5669"/>
        </w:trPr>
        <w:tc>
          <w:tcPr>
            <w:tcW w:w="1634" w:type="dxa"/>
            <w:shd w:val="clear" w:color="auto" w:fill="F2F2F2" w:themeFill="background1" w:themeFillShade="F2"/>
            <w:vAlign w:val="center"/>
          </w:tcPr>
          <w:p w14:paraId="38139B18" w14:textId="77777777" w:rsidR="005D0113" w:rsidRDefault="005D0113" w:rsidP="00E723C4">
            <w:pPr>
              <w:spacing w:before="240"/>
              <w:jc w:val="center"/>
            </w:pPr>
            <w:r>
              <w:rPr>
                <w:noProof/>
              </w:rPr>
              <w:drawing>
                <wp:inline distT="0" distB="0" distL="0" distR="0" wp14:anchorId="42484E20" wp14:editId="6AE9FC96">
                  <wp:extent cx="540000" cy="540000"/>
                  <wp:effectExtent l="0" t="0" r="0" b="0"/>
                  <wp:docPr id="12" name="Picture 12" descr="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er3143\Downloads\conversation.p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7392" w:type="dxa"/>
            <w:shd w:val="clear" w:color="auto" w:fill="F2F2F2" w:themeFill="background1" w:themeFillShade="F2"/>
            <w:vAlign w:val="center"/>
          </w:tcPr>
          <w:p w14:paraId="6331AC93" w14:textId="45A10C78" w:rsidR="005D0113" w:rsidRPr="00B4171C" w:rsidRDefault="005D0113" w:rsidP="00E40300">
            <w:pPr>
              <w:pStyle w:val="Heading5"/>
              <w:outlineLvl w:val="4"/>
              <w:rPr>
                <w:sz w:val="22"/>
                <w:szCs w:val="22"/>
              </w:rPr>
            </w:pPr>
            <w:r>
              <w:rPr>
                <w:sz w:val="22"/>
                <w:szCs w:val="22"/>
              </w:rPr>
              <w:t>Agricultural waste feedstocks</w:t>
            </w:r>
          </w:p>
          <w:p w14:paraId="36338DCB" w14:textId="3EDBE45E" w:rsidR="00F101A8" w:rsidRPr="009B188C" w:rsidRDefault="002C0603" w:rsidP="00E40300">
            <w:pPr>
              <w:rPr>
                <w:sz w:val="22"/>
                <w:szCs w:val="22"/>
              </w:rPr>
            </w:pPr>
            <w:r w:rsidRPr="007330DE">
              <w:rPr>
                <w:sz w:val="22"/>
                <w:szCs w:val="22"/>
              </w:rPr>
              <w:t xml:space="preserve">Each </w:t>
            </w:r>
            <w:r w:rsidR="008F5BA7" w:rsidRPr="007330DE">
              <w:rPr>
                <w:sz w:val="22"/>
                <w:szCs w:val="22"/>
              </w:rPr>
              <w:t>waste method</w:t>
            </w:r>
            <w:r w:rsidR="0011774D" w:rsidRPr="007330DE">
              <w:rPr>
                <w:sz w:val="22"/>
                <w:szCs w:val="22"/>
              </w:rPr>
              <w:t xml:space="preserve"> in the </w:t>
            </w:r>
            <w:r w:rsidR="009B188C" w:rsidRPr="007330DE">
              <w:rPr>
                <w:sz w:val="22"/>
                <w:szCs w:val="22"/>
              </w:rPr>
              <w:t xml:space="preserve">proposed </w:t>
            </w:r>
            <w:r w:rsidR="0011774D" w:rsidRPr="007330DE">
              <w:rPr>
                <w:sz w:val="22"/>
                <w:szCs w:val="22"/>
              </w:rPr>
              <w:t xml:space="preserve">biomethane method package </w:t>
            </w:r>
            <w:r w:rsidRPr="007330DE">
              <w:rPr>
                <w:sz w:val="22"/>
                <w:szCs w:val="22"/>
              </w:rPr>
              <w:t xml:space="preserve">specifies the </w:t>
            </w:r>
            <w:r w:rsidR="0011774D" w:rsidRPr="007330DE">
              <w:rPr>
                <w:sz w:val="22"/>
                <w:szCs w:val="22"/>
              </w:rPr>
              <w:t xml:space="preserve">types of wastes eligible to be treated under those methods. </w:t>
            </w:r>
            <w:r w:rsidR="005C2702" w:rsidRPr="007330DE">
              <w:rPr>
                <w:sz w:val="22"/>
                <w:szCs w:val="22"/>
              </w:rPr>
              <w:t>M</w:t>
            </w:r>
            <w:r w:rsidR="0011774D" w:rsidRPr="007330DE">
              <w:rPr>
                <w:sz w:val="22"/>
                <w:szCs w:val="22"/>
              </w:rPr>
              <w:t xml:space="preserve">any </w:t>
            </w:r>
            <w:r w:rsidR="00F101A8" w:rsidRPr="007330DE">
              <w:rPr>
                <w:sz w:val="22"/>
                <w:szCs w:val="22"/>
              </w:rPr>
              <w:t xml:space="preserve">types of </w:t>
            </w:r>
            <w:r w:rsidR="0011774D" w:rsidRPr="007330DE">
              <w:rPr>
                <w:sz w:val="22"/>
                <w:szCs w:val="22"/>
              </w:rPr>
              <w:t xml:space="preserve">agricultural waste, such as </w:t>
            </w:r>
            <w:r w:rsidR="00F101A8" w:rsidRPr="007330DE">
              <w:rPr>
                <w:sz w:val="22"/>
                <w:szCs w:val="22"/>
              </w:rPr>
              <w:t xml:space="preserve">harvested </w:t>
            </w:r>
            <w:r w:rsidR="0011774D" w:rsidRPr="007330DE">
              <w:rPr>
                <w:sz w:val="22"/>
                <w:szCs w:val="22"/>
              </w:rPr>
              <w:t xml:space="preserve">crop waste or sugarcane trash, are </w:t>
            </w:r>
            <w:r w:rsidR="00F101A8" w:rsidRPr="007330DE">
              <w:rPr>
                <w:sz w:val="22"/>
                <w:szCs w:val="22"/>
              </w:rPr>
              <w:t>generally not eligible under these methods</w:t>
            </w:r>
            <w:r w:rsidR="00F67C11" w:rsidRPr="007330DE">
              <w:rPr>
                <w:rStyle w:val="FootnoteReference"/>
                <w:sz w:val="22"/>
                <w:szCs w:val="22"/>
              </w:rPr>
              <w:footnoteReference w:id="4"/>
            </w:r>
            <w:r w:rsidR="00F101A8" w:rsidRPr="007330DE">
              <w:rPr>
                <w:sz w:val="22"/>
                <w:szCs w:val="22"/>
              </w:rPr>
              <w:t>.</w:t>
            </w:r>
          </w:p>
          <w:p w14:paraId="3BA5DCAE" w14:textId="77777777" w:rsidR="003D72C6" w:rsidRPr="007330DE" w:rsidRDefault="00F101A8" w:rsidP="00E40300">
            <w:pPr>
              <w:rPr>
                <w:sz w:val="22"/>
                <w:szCs w:val="22"/>
              </w:rPr>
            </w:pPr>
            <w:r w:rsidRPr="007330DE">
              <w:rPr>
                <w:sz w:val="22"/>
                <w:szCs w:val="22"/>
              </w:rPr>
              <w:t xml:space="preserve">In 2021, the Clean Energy Regulator engaged the Queensland University of Technology to </w:t>
            </w:r>
            <w:r w:rsidR="005C2702" w:rsidRPr="007330DE">
              <w:rPr>
                <w:sz w:val="22"/>
                <w:szCs w:val="22"/>
              </w:rPr>
              <w:t xml:space="preserve">review </w:t>
            </w:r>
            <w:r w:rsidRPr="007330DE">
              <w:rPr>
                <w:sz w:val="22"/>
                <w:szCs w:val="22"/>
              </w:rPr>
              <w:t xml:space="preserve">the viability of including of agricultural wastes as a biomethane production feedstock under an ERF method. The report identified that while many agricultural wastes could be diverted to produce biomethane, </w:t>
            </w:r>
            <w:r w:rsidR="00672298" w:rsidRPr="007330DE">
              <w:rPr>
                <w:sz w:val="22"/>
                <w:szCs w:val="22"/>
              </w:rPr>
              <w:t xml:space="preserve">emissions impacts </w:t>
            </w:r>
            <w:r w:rsidRPr="007330DE">
              <w:rPr>
                <w:sz w:val="22"/>
                <w:szCs w:val="22"/>
              </w:rPr>
              <w:t xml:space="preserve">associated with diversion of these wastes </w:t>
            </w:r>
            <w:r w:rsidR="00672298" w:rsidRPr="007330DE">
              <w:rPr>
                <w:sz w:val="22"/>
                <w:szCs w:val="22"/>
              </w:rPr>
              <w:t xml:space="preserve">– for example, decreased soil carbon from removal of crop waste from land – </w:t>
            </w:r>
            <w:r w:rsidRPr="007330DE">
              <w:rPr>
                <w:sz w:val="22"/>
                <w:szCs w:val="22"/>
              </w:rPr>
              <w:t>were likely to be significant</w:t>
            </w:r>
            <w:r w:rsidR="00672298" w:rsidRPr="007330DE">
              <w:rPr>
                <w:sz w:val="22"/>
                <w:szCs w:val="22"/>
              </w:rPr>
              <w:t xml:space="preserve"> for many waste types. </w:t>
            </w:r>
          </w:p>
          <w:p w14:paraId="044EB0D6" w14:textId="170E3125" w:rsidR="005D0113" w:rsidRPr="009B188C" w:rsidRDefault="003D72C6" w:rsidP="00E40300">
            <w:pPr>
              <w:rPr>
                <w:sz w:val="22"/>
                <w:szCs w:val="22"/>
              </w:rPr>
            </w:pPr>
            <w:r w:rsidRPr="007330DE">
              <w:rPr>
                <w:sz w:val="22"/>
                <w:szCs w:val="22"/>
              </w:rPr>
              <w:t xml:space="preserve">QUT </w:t>
            </w:r>
            <w:r w:rsidR="00672298" w:rsidRPr="007330DE">
              <w:rPr>
                <w:sz w:val="22"/>
                <w:szCs w:val="22"/>
              </w:rPr>
              <w:t>concluded that f</w:t>
            </w:r>
            <w:r w:rsidR="00F101A8" w:rsidRPr="007330DE">
              <w:rPr>
                <w:sz w:val="22"/>
                <w:szCs w:val="22"/>
              </w:rPr>
              <w:t xml:space="preserve">urther research </w:t>
            </w:r>
            <w:r w:rsidR="00672298" w:rsidRPr="007330DE">
              <w:rPr>
                <w:sz w:val="22"/>
                <w:szCs w:val="22"/>
              </w:rPr>
              <w:t xml:space="preserve">on these effects, known as ‘leakage’ effects, </w:t>
            </w:r>
            <w:r w:rsidR="00F101A8" w:rsidRPr="007330DE">
              <w:rPr>
                <w:sz w:val="22"/>
                <w:szCs w:val="22"/>
              </w:rPr>
              <w:t>would be required to accurately model the</w:t>
            </w:r>
            <w:r w:rsidR="00672298" w:rsidRPr="007330DE">
              <w:rPr>
                <w:sz w:val="22"/>
                <w:szCs w:val="22"/>
              </w:rPr>
              <w:t>ir impact on net abatement in an ERF method</w:t>
            </w:r>
            <w:r w:rsidR="00F101A8" w:rsidRPr="007330DE">
              <w:rPr>
                <w:sz w:val="22"/>
                <w:szCs w:val="22"/>
              </w:rPr>
              <w:t>.</w:t>
            </w:r>
            <w:r w:rsidR="00672298" w:rsidRPr="007330DE">
              <w:rPr>
                <w:sz w:val="22"/>
                <w:szCs w:val="22"/>
              </w:rPr>
              <w:t xml:space="preserve"> As such, agricultural wastes were not included in the scope of the 2021</w:t>
            </w:r>
            <w:r w:rsidR="009B188C" w:rsidRPr="007330DE">
              <w:rPr>
                <w:sz w:val="22"/>
                <w:szCs w:val="22"/>
              </w:rPr>
              <w:t xml:space="preserve"> proposed</w:t>
            </w:r>
            <w:r w:rsidR="00672298" w:rsidRPr="007330DE">
              <w:rPr>
                <w:sz w:val="22"/>
                <w:szCs w:val="22"/>
              </w:rPr>
              <w:t xml:space="preserve"> biomethane method package.</w:t>
            </w:r>
          </w:p>
          <w:p w14:paraId="0B7947C5" w14:textId="649925BC" w:rsidR="00F101A8" w:rsidRDefault="005B2CF4" w:rsidP="00BD1639">
            <w:r w:rsidRPr="005B2CF4">
              <w:rPr>
                <w:sz w:val="22"/>
                <w:szCs w:val="22"/>
              </w:rPr>
              <w:t xml:space="preserve">In October 2021, the Minister for Industry, Energy and Emissions Reductions announced further research </w:t>
            </w:r>
            <w:r w:rsidR="00F6558F">
              <w:rPr>
                <w:sz w:val="22"/>
                <w:szCs w:val="22"/>
              </w:rPr>
              <w:t xml:space="preserve">into </w:t>
            </w:r>
            <w:r w:rsidRPr="005B2CF4">
              <w:rPr>
                <w:sz w:val="22"/>
                <w:szCs w:val="22"/>
              </w:rPr>
              <w:t xml:space="preserve">using agricultural wastes as </w:t>
            </w:r>
            <w:r w:rsidR="00BD1639">
              <w:rPr>
                <w:sz w:val="22"/>
                <w:szCs w:val="22"/>
              </w:rPr>
              <w:t>potential</w:t>
            </w:r>
            <w:r w:rsidRPr="005B2CF4">
              <w:rPr>
                <w:sz w:val="22"/>
                <w:szCs w:val="22"/>
              </w:rPr>
              <w:t xml:space="preserve"> feedstock</w:t>
            </w:r>
            <w:r w:rsidR="00BD1639">
              <w:rPr>
                <w:sz w:val="22"/>
                <w:szCs w:val="22"/>
              </w:rPr>
              <w:t>s</w:t>
            </w:r>
            <w:r w:rsidRPr="005B2CF4">
              <w:rPr>
                <w:sz w:val="22"/>
                <w:szCs w:val="22"/>
              </w:rPr>
              <w:t xml:space="preserve"> to support </w:t>
            </w:r>
            <w:r w:rsidR="00BD1639">
              <w:rPr>
                <w:sz w:val="22"/>
                <w:szCs w:val="22"/>
              </w:rPr>
              <w:t>an enhanced biomethane method</w:t>
            </w:r>
            <w:r w:rsidR="00F101A8" w:rsidRPr="007330DE">
              <w:rPr>
                <w:sz w:val="22"/>
                <w:szCs w:val="22"/>
                <w:vertAlign w:val="superscript"/>
              </w:rPr>
              <w:footnoteReference w:id="5"/>
            </w:r>
            <w:r w:rsidR="00F101A8" w:rsidRPr="007330DE">
              <w:rPr>
                <w:sz w:val="22"/>
                <w:szCs w:val="22"/>
              </w:rPr>
              <w:t>.</w:t>
            </w:r>
          </w:p>
        </w:tc>
      </w:tr>
    </w:tbl>
    <w:p w14:paraId="7581C6B8" w14:textId="17A35B07" w:rsidR="003D1BF6" w:rsidRDefault="003D1BF6" w:rsidP="003D1BF6">
      <w:pPr>
        <w:pStyle w:val="Heading3"/>
      </w:pPr>
      <w:bookmarkStart w:id="10" w:name="_Toc85030330"/>
      <w:r>
        <w:t>Carbon abatement from biomethane projects</w:t>
      </w:r>
      <w:bookmarkEnd w:id="10"/>
    </w:p>
    <w:p w14:paraId="70E7DBD4" w14:textId="10F324F6" w:rsidR="003D1BF6" w:rsidRDefault="003D1BF6">
      <w:r>
        <w:t>When a</w:t>
      </w:r>
      <w:r w:rsidR="00CA6546">
        <w:t>n ERF</w:t>
      </w:r>
      <w:r>
        <w:t xml:space="preserve"> biomethane project captures biogas from waste and turns </w:t>
      </w:r>
      <w:r w:rsidR="00DD3645">
        <w:t xml:space="preserve">it into biomethane that is used as a natural gas substitute, two different types of carbon abatement are generated. They are known as </w:t>
      </w:r>
      <w:r w:rsidR="00DD3645" w:rsidRPr="009B3715">
        <w:rPr>
          <w:b/>
          <w:bCs/>
        </w:rPr>
        <w:t>conversion abatement</w:t>
      </w:r>
      <w:r w:rsidR="00DD3645">
        <w:t xml:space="preserve"> and </w:t>
      </w:r>
      <w:r w:rsidR="00DD3645" w:rsidRPr="009B3715">
        <w:rPr>
          <w:b/>
          <w:bCs/>
        </w:rPr>
        <w:t>displacement abatement</w:t>
      </w:r>
      <w:r w:rsidR="00DD3645">
        <w:t>.</w:t>
      </w:r>
    </w:p>
    <w:bookmarkEnd w:id="5"/>
    <w:p w14:paraId="50BD4C06" w14:textId="39CEA53D" w:rsidR="0005423E" w:rsidRDefault="00DD3645" w:rsidP="005B6347">
      <w:pPr>
        <w:pStyle w:val="CERbullets"/>
      </w:pPr>
      <w:r w:rsidRPr="00DD3645">
        <w:rPr>
          <w:b/>
          <w:bCs/>
        </w:rPr>
        <w:t>Conversion abatement</w:t>
      </w:r>
      <w:r w:rsidRPr="005B6347">
        <w:t xml:space="preserve"> </w:t>
      </w:r>
      <w:r>
        <w:t xml:space="preserve">– in the business-as-usual scenario, methane </w:t>
      </w:r>
      <w:r w:rsidR="000C42FB">
        <w:t xml:space="preserve">in biogas </w:t>
      </w:r>
      <w:r>
        <w:t xml:space="preserve">emitted from decomposing waste </w:t>
      </w:r>
      <w:r>
        <w:rPr>
          <w:iCs/>
        </w:rPr>
        <w:t>escape</w:t>
      </w:r>
      <w:r w:rsidR="000C42FB">
        <w:rPr>
          <w:iCs/>
        </w:rPr>
        <w:t>s</w:t>
      </w:r>
      <w:r>
        <w:rPr>
          <w:iCs/>
        </w:rPr>
        <w:t xml:space="preserve"> into the atmosphere. This is a significant source of emissions</w:t>
      </w:r>
      <w:r w:rsidR="000C42FB">
        <w:rPr>
          <w:iCs/>
        </w:rPr>
        <w:t xml:space="preserve"> because methane’s global warming potential is 28 times that of carbon dioxide. Capturing and combusting biogas converts the methane to carbon dioxide </w:t>
      </w:r>
      <w:r w:rsidR="00727DFA">
        <w:rPr>
          <w:iCs/>
        </w:rPr>
        <w:t xml:space="preserve">and </w:t>
      </w:r>
      <w:r w:rsidR="000C42FB">
        <w:rPr>
          <w:iCs/>
        </w:rPr>
        <w:t>reduce</w:t>
      </w:r>
      <w:r w:rsidR="00727DFA">
        <w:rPr>
          <w:iCs/>
        </w:rPr>
        <w:t>s</w:t>
      </w:r>
      <w:r w:rsidR="000C42FB">
        <w:rPr>
          <w:iCs/>
        </w:rPr>
        <w:t xml:space="preserve"> emissions generating carbon abatement. This type of abatement is termed ‘conversion abatement’. </w:t>
      </w:r>
      <w:r w:rsidR="00510000">
        <w:rPr>
          <w:iCs/>
        </w:rPr>
        <w:t>An e</w:t>
      </w:r>
      <w:r w:rsidR="00657C19">
        <w:rPr>
          <w:iCs/>
        </w:rPr>
        <w:t xml:space="preserve">xample of </w:t>
      </w:r>
      <w:r w:rsidR="00DF4480">
        <w:rPr>
          <w:iCs/>
        </w:rPr>
        <w:t xml:space="preserve">a </w:t>
      </w:r>
      <w:r w:rsidR="00657C19">
        <w:rPr>
          <w:iCs/>
        </w:rPr>
        <w:t>conversion activit</w:t>
      </w:r>
      <w:r w:rsidR="00DF4480">
        <w:rPr>
          <w:iCs/>
        </w:rPr>
        <w:t xml:space="preserve">y </w:t>
      </w:r>
      <w:r w:rsidR="00657C19">
        <w:rPr>
          <w:iCs/>
        </w:rPr>
        <w:t>i</w:t>
      </w:r>
      <w:r w:rsidR="00510000">
        <w:rPr>
          <w:iCs/>
        </w:rPr>
        <w:t xml:space="preserve">s </w:t>
      </w:r>
      <w:r w:rsidR="00657C19">
        <w:rPr>
          <w:iCs/>
        </w:rPr>
        <w:t>combusting bio</w:t>
      </w:r>
      <w:r w:rsidR="00DF4480">
        <w:rPr>
          <w:iCs/>
        </w:rPr>
        <w:t xml:space="preserve">methane </w:t>
      </w:r>
      <w:r w:rsidR="00657C19">
        <w:rPr>
          <w:iCs/>
        </w:rPr>
        <w:t xml:space="preserve">in a </w:t>
      </w:r>
      <w:r w:rsidR="00261B6F">
        <w:t>boiler to generate heat</w:t>
      </w:r>
      <w:r w:rsidR="00657C19">
        <w:rPr>
          <w:iCs/>
        </w:rPr>
        <w:t xml:space="preserve">. </w:t>
      </w:r>
    </w:p>
    <w:p w14:paraId="4D1265EB" w14:textId="5BD8CFCB" w:rsidR="0005423E" w:rsidRDefault="00DD3645" w:rsidP="00C76652">
      <w:pPr>
        <w:pStyle w:val="CERbullets"/>
      </w:pPr>
      <w:r w:rsidRPr="00A47758">
        <w:rPr>
          <w:b/>
          <w:bCs/>
        </w:rPr>
        <w:t>Displacement abatement</w:t>
      </w:r>
      <w:r w:rsidR="0005423E">
        <w:rPr>
          <w:b/>
          <w:bCs/>
        </w:rPr>
        <w:t xml:space="preserve"> </w:t>
      </w:r>
      <w:r>
        <w:t xml:space="preserve">– </w:t>
      </w:r>
      <w:r w:rsidR="0005423E">
        <w:t>combustion of biomethane as a natural gas substitute, for example</w:t>
      </w:r>
      <w:r w:rsidR="000E5356">
        <w:t>, when biomethane is injected into the gas network or burned for heat or power</w:t>
      </w:r>
      <w:r w:rsidR="00836013">
        <w:t xml:space="preserve">, </w:t>
      </w:r>
      <w:r w:rsidR="00540A41">
        <w:t>displaces</w:t>
      </w:r>
      <w:r w:rsidR="00836013">
        <w:t xml:space="preserve"> an equal volume of natural gas consumption. </w:t>
      </w:r>
      <w:r w:rsidR="00540A41">
        <w:t xml:space="preserve">Emissions from biomethane combustion are negligible because it is of biogenic origin and considered to have net-zero emissions. By comparison, </w:t>
      </w:r>
      <w:r w:rsidR="00B33360">
        <w:t>combustion of</w:t>
      </w:r>
      <w:r w:rsidR="00540A41">
        <w:t xml:space="preserve"> natural gas </w:t>
      </w:r>
      <w:r w:rsidR="00BE0F0F">
        <w:t>emits</w:t>
      </w:r>
      <w:r w:rsidR="00540A41">
        <w:t xml:space="preserve"> 51.5 </w:t>
      </w:r>
      <w:r w:rsidR="001A14EF">
        <w:t xml:space="preserve">kilograms </w:t>
      </w:r>
      <w:r w:rsidR="00BE0F0F">
        <w:t>of</w:t>
      </w:r>
      <w:r w:rsidR="00540A41">
        <w:t xml:space="preserve"> CO</w:t>
      </w:r>
      <w:r w:rsidR="00540A41">
        <w:rPr>
          <w:vertAlign w:val="subscript"/>
        </w:rPr>
        <w:t>2</w:t>
      </w:r>
      <w:r w:rsidR="00540A41">
        <w:t xml:space="preserve">-e per </w:t>
      </w:r>
      <w:r w:rsidR="001A14EF">
        <w:t>giga</w:t>
      </w:r>
      <w:r w:rsidR="00540A41">
        <w:t>joule</w:t>
      </w:r>
      <w:bookmarkStart w:id="11" w:name="_Ref84958791"/>
      <w:r w:rsidR="00BE2026">
        <w:rPr>
          <w:rStyle w:val="FootnoteReference"/>
        </w:rPr>
        <w:footnoteReference w:id="6"/>
      </w:r>
      <w:bookmarkEnd w:id="11"/>
      <w:r w:rsidR="00B33360">
        <w:t>.</w:t>
      </w:r>
      <w:r w:rsidR="00540A41">
        <w:t xml:space="preserve"> Displacing natural gas with biomethane therefore results in carbon abatement, termed ‘displacement abatement’.</w:t>
      </w:r>
    </w:p>
    <w:p w14:paraId="141E2B93" w14:textId="16C29AB7" w:rsidR="004E73DE" w:rsidRDefault="003957D8" w:rsidP="007B2659">
      <w:pPr>
        <w:pStyle w:val="Heading3"/>
      </w:pPr>
      <w:bookmarkStart w:id="12" w:name="_Toc85030331"/>
      <w:bookmarkStart w:id="13" w:name="_Ref84611919"/>
      <w:r>
        <w:t xml:space="preserve">Biomethane </w:t>
      </w:r>
      <w:r w:rsidR="008F642F">
        <w:t xml:space="preserve">project </w:t>
      </w:r>
      <w:r w:rsidR="00DD6AC4">
        <w:t>activities</w:t>
      </w:r>
      <w:bookmarkEnd w:id="12"/>
      <w:bookmarkEnd w:id="13"/>
    </w:p>
    <w:p w14:paraId="617AB60E" w14:textId="3770719A" w:rsidR="00CA6546" w:rsidRDefault="00B04430" w:rsidP="003F3BA4">
      <w:r>
        <w:t xml:space="preserve">An ERF biomethane project can create both conversion and displacement abatement </w:t>
      </w:r>
      <w:r w:rsidR="00DB216E">
        <w:t>by producing biomethane</w:t>
      </w:r>
      <w:r>
        <w:t xml:space="preserve">. </w:t>
      </w:r>
      <w:r w:rsidR="00F4480B">
        <w:t>Each method in t</w:t>
      </w:r>
      <w:r>
        <w:t>he</w:t>
      </w:r>
      <w:r w:rsidR="009B188C">
        <w:t xml:space="preserve"> proposed</w:t>
      </w:r>
      <w:r>
        <w:t xml:space="preserve"> biomethane method </w:t>
      </w:r>
      <w:r w:rsidR="00F4480B">
        <w:t xml:space="preserve">package </w:t>
      </w:r>
      <w:r w:rsidR="00E723C4">
        <w:t xml:space="preserve">will be varied to incorporate </w:t>
      </w:r>
      <w:r w:rsidR="00F60D1A">
        <w:t>2</w:t>
      </w:r>
      <w:r w:rsidR="00C12AC7">
        <w:t xml:space="preserve"> types of project activity</w:t>
      </w:r>
      <w:r w:rsidR="00D57D0C">
        <w:t>, one for each type of abatement</w:t>
      </w:r>
      <w:r w:rsidR="00E723C4">
        <w:t>.</w:t>
      </w:r>
    </w:p>
    <w:p w14:paraId="017E20F1" w14:textId="5013CFF0" w:rsidR="00500005" w:rsidRPr="00B0515C" w:rsidRDefault="00500005" w:rsidP="009B3715">
      <w:pPr>
        <w:pStyle w:val="Caption"/>
        <w:keepNext/>
        <w:rPr>
          <w:b/>
          <w:bCs/>
          <w:i w:val="0"/>
          <w:iCs w:val="0"/>
          <w:color w:val="auto"/>
          <w:szCs w:val="22"/>
        </w:rPr>
      </w:pPr>
      <w:r w:rsidRPr="009B3715">
        <w:rPr>
          <w:b/>
          <w:bCs/>
          <w:i w:val="0"/>
          <w:iCs w:val="0"/>
          <w:color w:val="auto"/>
          <w:sz w:val="22"/>
          <w:szCs w:val="22"/>
        </w:rPr>
        <w:t xml:space="preserve">Table </w:t>
      </w:r>
      <w:r w:rsidRPr="009B3715">
        <w:rPr>
          <w:b/>
          <w:bCs/>
          <w:i w:val="0"/>
          <w:iCs w:val="0"/>
          <w:color w:val="auto"/>
          <w:sz w:val="22"/>
          <w:szCs w:val="22"/>
        </w:rPr>
        <w:fldChar w:fldCharType="begin"/>
      </w:r>
      <w:r w:rsidRPr="009B3715">
        <w:rPr>
          <w:b/>
          <w:bCs/>
          <w:i w:val="0"/>
          <w:iCs w:val="0"/>
          <w:color w:val="auto"/>
          <w:sz w:val="22"/>
          <w:szCs w:val="22"/>
        </w:rPr>
        <w:instrText xml:space="preserve"> SEQ Table \* ARABIC </w:instrText>
      </w:r>
      <w:r w:rsidRPr="009B3715">
        <w:rPr>
          <w:b/>
          <w:bCs/>
          <w:i w:val="0"/>
          <w:iCs w:val="0"/>
          <w:color w:val="auto"/>
          <w:sz w:val="22"/>
          <w:szCs w:val="22"/>
        </w:rPr>
        <w:fldChar w:fldCharType="separate"/>
      </w:r>
      <w:r w:rsidR="00C62BF9">
        <w:rPr>
          <w:b/>
          <w:bCs/>
          <w:i w:val="0"/>
          <w:iCs w:val="0"/>
          <w:noProof/>
          <w:color w:val="auto"/>
          <w:sz w:val="22"/>
          <w:szCs w:val="22"/>
        </w:rPr>
        <w:t>1</w:t>
      </w:r>
      <w:r w:rsidRPr="009B3715">
        <w:rPr>
          <w:b/>
          <w:bCs/>
          <w:i w:val="0"/>
          <w:iCs w:val="0"/>
          <w:color w:val="auto"/>
          <w:sz w:val="22"/>
          <w:szCs w:val="22"/>
        </w:rPr>
        <w:fldChar w:fldCharType="end"/>
      </w:r>
      <w:r w:rsidRPr="009B3715">
        <w:rPr>
          <w:b/>
          <w:bCs/>
          <w:i w:val="0"/>
          <w:iCs w:val="0"/>
          <w:color w:val="auto"/>
          <w:sz w:val="22"/>
          <w:szCs w:val="22"/>
        </w:rPr>
        <w:t>: Biomethane project activities</w:t>
      </w:r>
    </w:p>
    <w:tbl>
      <w:tblPr>
        <w:tblStyle w:val="CERTable"/>
        <w:tblW w:w="9067" w:type="dxa"/>
        <w:tblLook w:val="0620" w:firstRow="1" w:lastRow="0" w:firstColumn="0" w:lastColumn="0" w:noHBand="1" w:noVBand="1"/>
      </w:tblPr>
      <w:tblGrid>
        <w:gridCol w:w="1838"/>
        <w:gridCol w:w="5245"/>
        <w:gridCol w:w="1984"/>
      </w:tblGrid>
      <w:tr w:rsidR="00500005" w:rsidRPr="004A0C1A" w14:paraId="0490999E" w14:textId="77777777" w:rsidTr="009B3715">
        <w:trPr>
          <w:cnfStyle w:val="100000000000" w:firstRow="1" w:lastRow="0" w:firstColumn="0" w:lastColumn="0" w:oddVBand="0" w:evenVBand="0" w:oddHBand="0" w:evenHBand="0" w:firstRowFirstColumn="0" w:firstRowLastColumn="0" w:lastRowFirstColumn="0" w:lastRowLastColumn="0"/>
          <w:cantSplit w:val="0"/>
          <w:tblHeader/>
        </w:trPr>
        <w:tc>
          <w:tcPr>
            <w:tcW w:w="0" w:type="dxa"/>
            <w:shd w:val="clear" w:color="auto" w:fill="383A42"/>
          </w:tcPr>
          <w:p w14:paraId="3D13923C" w14:textId="21B218F7" w:rsidR="00500005" w:rsidRPr="004A0C1A" w:rsidRDefault="00500005" w:rsidP="006C7A2A">
            <w:pPr>
              <w:rPr>
                <w:color w:val="FFFFFF"/>
              </w:rPr>
            </w:pPr>
            <w:r>
              <w:rPr>
                <w:color w:val="FFFFFF"/>
              </w:rPr>
              <w:t>Project activity</w:t>
            </w:r>
          </w:p>
        </w:tc>
        <w:tc>
          <w:tcPr>
            <w:tcW w:w="5245" w:type="dxa"/>
            <w:shd w:val="clear" w:color="auto" w:fill="383A42"/>
          </w:tcPr>
          <w:p w14:paraId="681EE5ED" w14:textId="257D97E9" w:rsidR="00500005" w:rsidRPr="004A0C1A" w:rsidRDefault="00500005" w:rsidP="006C7A2A">
            <w:pPr>
              <w:rPr>
                <w:b w:val="0"/>
                <w:color w:val="FFFFFF"/>
              </w:rPr>
            </w:pPr>
            <w:r>
              <w:rPr>
                <w:color w:val="FFFFFF"/>
              </w:rPr>
              <w:t>Activity description</w:t>
            </w:r>
          </w:p>
        </w:tc>
        <w:tc>
          <w:tcPr>
            <w:tcW w:w="1984" w:type="dxa"/>
            <w:shd w:val="clear" w:color="auto" w:fill="383A42"/>
          </w:tcPr>
          <w:p w14:paraId="32DDDDBE" w14:textId="7BDCA725" w:rsidR="00500005" w:rsidRPr="004A0C1A" w:rsidRDefault="00500005" w:rsidP="006C7A2A">
            <w:pPr>
              <w:rPr>
                <w:color w:val="FFFFFF"/>
              </w:rPr>
            </w:pPr>
            <w:r>
              <w:rPr>
                <w:color w:val="FFFFFF"/>
              </w:rPr>
              <w:t>Abatement credited</w:t>
            </w:r>
          </w:p>
        </w:tc>
      </w:tr>
      <w:tr w:rsidR="00500005" w:rsidRPr="004A0C1A" w14:paraId="64603C0D" w14:textId="77777777" w:rsidTr="00500005">
        <w:trPr>
          <w:cantSplit w:val="0"/>
          <w:trHeight w:val="490"/>
        </w:trPr>
        <w:tc>
          <w:tcPr>
            <w:tcW w:w="1838" w:type="dxa"/>
            <w:shd w:val="clear" w:color="auto" w:fill="BFE3D8"/>
          </w:tcPr>
          <w:p w14:paraId="3A6202D6" w14:textId="09FB0E51" w:rsidR="00500005" w:rsidRPr="004A0C1A" w:rsidRDefault="00500005" w:rsidP="006C7A2A">
            <w:pPr>
              <w:rPr>
                <w:b/>
              </w:rPr>
            </w:pPr>
            <w:r>
              <w:rPr>
                <w:b/>
                <w:bCs/>
              </w:rPr>
              <w:t xml:space="preserve">Biogas generation </w:t>
            </w:r>
            <w:r w:rsidR="00017FAF">
              <w:rPr>
                <w:b/>
                <w:bCs/>
              </w:rPr>
              <w:t>for biomethane</w:t>
            </w:r>
            <w:r w:rsidR="00A903F5">
              <w:rPr>
                <w:b/>
                <w:bCs/>
              </w:rPr>
              <w:t xml:space="preserve"> </w:t>
            </w:r>
          </w:p>
        </w:tc>
        <w:tc>
          <w:tcPr>
            <w:tcW w:w="5245" w:type="dxa"/>
            <w:shd w:val="clear" w:color="auto" w:fill="BFE3D8"/>
          </w:tcPr>
          <w:p w14:paraId="5D13ADAC" w14:textId="3C2FCE58" w:rsidR="00500005" w:rsidRPr="00610D9C" w:rsidRDefault="00500005" w:rsidP="006C7A2A">
            <w:r>
              <w:t xml:space="preserve">This activity involves </w:t>
            </w:r>
            <w:r w:rsidR="00EE0B7C">
              <w:t>capturing emissions from eligible</w:t>
            </w:r>
            <w:r>
              <w:t xml:space="preserve"> waste</w:t>
            </w:r>
            <w:r w:rsidR="00AC0512">
              <w:t>, either</w:t>
            </w:r>
            <w:r>
              <w:t xml:space="preserve"> </w:t>
            </w:r>
            <w:r w:rsidR="00AF4260">
              <w:t xml:space="preserve">in an </w:t>
            </w:r>
            <w:r w:rsidR="00AF4260" w:rsidRPr="009B3715">
              <w:t>anaerobic digester</w:t>
            </w:r>
            <w:r w:rsidR="00AC0512">
              <w:t xml:space="preserve"> or from landfill</w:t>
            </w:r>
            <w:r w:rsidR="00AF4260">
              <w:t xml:space="preserve">, </w:t>
            </w:r>
            <w:r w:rsidR="00EE0B7C">
              <w:t xml:space="preserve">and </w:t>
            </w:r>
            <w:r w:rsidR="00AF4260">
              <w:t>capturing</w:t>
            </w:r>
            <w:r w:rsidR="00B0515C">
              <w:t xml:space="preserve"> th</w:t>
            </w:r>
            <w:r w:rsidR="0062458D">
              <w:t>e</w:t>
            </w:r>
            <w:r w:rsidR="00AF4260">
              <w:t xml:space="preserve"> </w:t>
            </w:r>
            <w:r w:rsidR="00AC0512">
              <w:t xml:space="preserve">biogas that </w:t>
            </w:r>
            <w:r>
              <w:t>would otherwise be released into the atmosphere and transport</w:t>
            </w:r>
            <w:r w:rsidR="00AC0512">
              <w:t>ing</w:t>
            </w:r>
            <w:r>
              <w:t xml:space="preserve"> that gas to a </w:t>
            </w:r>
            <w:r w:rsidRPr="009B3715">
              <w:rPr>
                <w:i/>
                <w:iCs/>
              </w:rPr>
              <w:t>biomethane production dispatch system</w:t>
            </w:r>
            <w:r>
              <w:t xml:space="preserve"> – </w:t>
            </w:r>
            <w:r w:rsidR="009547FD">
              <w:t xml:space="preserve">a system </w:t>
            </w:r>
            <w:r>
              <w:t>that transports the biogas to a facility or equipment to be upgraded into biomethane</w:t>
            </w:r>
            <w:r w:rsidR="002E462F">
              <w:t xml:space="preserve"> under the biomethane production activity</w:t>
            </w:r>
            <w:r>
              <w:t>.</w:t>
            </w:r>
          </w:p>
        </w:tc>
        <w:tc>
          <w:tcPr>
            <w:tcW w:w="1984" w:type="dxa"/>
            <w:shd w:val="clear" w:color="auto" w:fill="BFE3D8"/>
          </w:tcPr>
          <w:p w14:paraId="56FA88D5" w14:textId="656F3D4F" w:rsidR="00500005" w:rsidRPr="004A0C1A" w:rsidRDefault="00500005" w:rsidP="006C7A2A">
            <w:r>
              <w:t xml:space="preserve">Conversion abatement </w:t>
            </w:r>
          </w:p>
        </w:tc>
      </w:tr>
      <w:tr w:rsidR="00500005" w:rsidRPr="004A0C1A" w14:paraId="6871547A" w14:textId="77777777" w:rsidTr="009B3715">
        <w:trPr>
          <w:cantSplit w:val="0"/>
          <w:trHeight w:val="490"/>
        </w:trPr>
        <w:tc>
          <w:tcPr>
            <w:tcW w:w="0" w:type="dxa"/>
            <w:shd w:val="clear" w:color="auto" w:fill="EEEBE0"/>
          </w:tcPr>
          <w:p w14:paraId="5AECB568" w14:textId="31BB1B36" w:rsidR="00500005" w:rsidRDefault="00500005" w:rsidP="006C7A2A">
            <w:pPr>
              <w:rPr>
                <w:b/>
              </w:rPr>
            </w:pPr>
            <w:r w:rsidRPr="00B07896">
              <w:rPr>
                <w:b/>
                <w:bCs/>
              </w:rPr>
              <w:t xml:space="preserve">Biomethane production </w:t>
            </w:r>
          </w:p>
        </w:tc>
        <w:tc>
          <w:tcPr>
            <w:tcW w:w="5245" w:type="dxa"/>
            <w:shd w:val="clear" w:color="auto" w:fill="EEEBE0"/>
          </w:tcPr>
          <w:p w14:paraId="1E822732" w14:textId="79046EC5" w:rsidR="00500005" w:rsidRDefault="00500005" w:rsidP="006C7A2A">
            <w:r>
              <w:t xml:space="preserve">This activity </w:t>
            </w:r>
            <w:r w:rsidR="009B2A0B">
              <w:t xml:space="preserve">also </w:t>
            </w:r>
            <w:r>
              <w:t>involves receiving biogas generated from eligible waste sources and upgrading the biogas to produce biomethane</w:t>
            </w:r>
            <w:r w:rsidR="00AF4260">
              <w:t xml:space="preserve"> using a </w:t>
            </w:r>
            <w:r w:rsidR="00AF4260" w:rsidRPr="009B3715">
              <w:rPr>
                <w:i/>
                <w:iCs/>
              </w:rPr>
              <w:t>biogas upgrading system</w:t>
            </w:r>
            <w:r>
              <w:t xml:space="preserve">. </w:t>
            </w:r>
          </w:p>
          <w:p w14:paraId="45F84C32" w14:textId="780C389A" w:rsidR="00500005" w:rsidRPr="00610D9C" w:rsidRDefault="00500005" w:rsidP="006C7A2A">
            <w:r>
              <w:t xml:space="preserve">The biomethane must then be sent to an end use where it is expected to </w:t>
            </w:r>
            <w:r w:rsidR="009B2A0B">
              <w:t xml:space="preserve">displaced natural gas that would </w:t>
            </w:r>
            <w:r>
              <w:t>be combusted within Australia, creating displacement abatement.</w:t>
            </w:r>
          </w:p>
        </w:tc>
        <w:tc>
          <w:tcPr>
            <w:tcW w:w="1984" w:type="dxa"/>
            <w:shd w:val="clear" w:color="auto" w:fill="EEEBE0"/>
          </w:tcPr>
          <w:p w14:paraId="618FE5D7" w14:textId="13BA1814" w:rsidR="00500005" w:rsidRDefault="00500005" w:rsidP="006C7A2A">
            <w:r>
              <w:t>Displacement abatement</w:t>
            </w:r>
          </w:p>
        </w:tc>
      </w:tr>
    </w:tbl>
    <w:p w14:paraId="4E6FCD53" w14:textId="77777777" w:rsidR="00E723C4" w:rsidRDefault="00E723C4" w:rsidP="003F3BA4"/>
    <w:p w14:paraId="12A4B74F" w14:textId="4D79FD70" w:rsidR="00E85216" w:rsidRPr="00733D66" w:rsidRDefault="00CA30B1">
      <w:pPr>
        <w:rPr>
          <w:rFonts w:eastAsia="Times New Roman"/>
          <w:b/>
          <w:bCs/>
          <w:color w:val="005874"/>
          <w:sz w:val="30"/>
          <w:szCs w:val="26"/>
        </w:rPr>
      </w:pPr>
      <w:r>
        <w:t xml:space="preserve">A project that involves </w:t>
      </w:r>
      <w:r w:rsidR="00017FAF">
        <w:t>biogas generation for biomethane</w:t>
      </w:r>
      <w:r>
        <w:t xml:space="preserve"> must also include </w:t>
      </w:r>
      <w:r w:rsidR="00017FAF">
        <w:t>biomethane production</w:t>
      </w:r>
      <w:r>
        <w:t xml:space="preserve"> to ensure the biogas is turned into biomethane. Biogas upgraded into biomethane must be sent to an end use where it is combusted, resulting in conversion abatement.</w:t>
      </w:r>
    </w:p>
    <w:p w14:paraId="00713579" w14:textId="6F2EBBFA" w:rsidR="00442883" w:rsidRPr="002B5431" w:rsidRDefault="00442883" w:rsidP="00D00AC5">
      <w:pPr>
        <w:pStyle w:val="Heading1"/>
      </w:pPr>
      <w:bookmarkStart w:id="14" w:name="_Toc85030332"/>
      <w:r w:rsidRPr="002B5431">
        <w:t>Using this guide</w:t>
      </w:r>
      <w:bookmarkEnd w:id="14"/>
    </w:p>
    <w:p w14:paraId="6BCF3A3A" w14:textId="3F70F8C8" w:rsidR="00D34D25" w:rsidRDefault="00D34D25" w:rsidP="00D40D9B">
      <w:r w:rsidRPr="000E3892">
        <w:t xml:space="preserve">This document </w:t>
      </w:r>
      <w:r w:rsidR="008B3DCC" w:rsidRPr="000E3892">
        <w:t xml:space="preserve">is </w:t>
      </w:r>
      <w:r w:rsidR="00462FB4" w:rsidRPr="000E3892">
        <w:t xml:space="preserve">a guide on how to register, run and report on a </w:t>
      </w:r>
      <w:r w:rsidR="00921A9E" w:rsidRPr="000E3892">
        <w:t xml:space="preserve">biomethane </w:t>
      </w:r>
      <w:r w:rsidR="00462FB4" w:rsidRPr="000E3892">
        <w:t>project</w:t>
      </w:r>
      <w:r w:rsidR="00EF0783" w:rsidRPr="000E3892">
        <w:t xml:space="preserve">. It </w:t>
      </w:r>
      <w:r w:rsidR="000A72D9" w:rsidRPr="000E3892">
        <w:t>is</w:t>
      </w:r>
      <w:r w:rsidR="00D67C5E" w:rsidRPr="000E3892">
        <w:t xml:space="preserve"> based on </w:t>
      </w:r>
      <w:r w:rsidR="00EF0783" w:rsidRPr="000E3892">
        <w:t xml:space="preserve">the </w:t>
      </w:r>
      <w:r w:rsidR="00D67C5E" w:rsidRPr="000E3892">
        <w:t>framework of</w:t>
      </w:r>
      <w:r w:rsidR="00EF0783" w:rsidRPr="000E3892">
        <w:t xml:space="preserve"> the </w:t>
      </w:r>
      <w:r w:rsidR="00005A95">
        <w:t>3</w:t>
      </w:r>
      <w:r w:rsidR="00D53D93" w:rsidRPr="000E3892">
        <w:t xml:space="preserve"> </w:t>
      </w:r>
      <w:r w:rsidR="006376F0" w:rsidRPr="000E3892">
        <w:t xml:space="preserve">ERF </w:t>
      </w:r>
      <w:r w:rsidR="00EF0783" w:rsidRPr="000E3892">
        <w:t>waste methods</w:t>
      </w:r>
      <w:r w:rsidR="00AF3908" w:rsidRPr="000E3892">
        <w:t xml:space="preserve"> that form the </w:t>
      </w:r>
      <w:r w:rsidR="009B188C">
        <w:t xml:space="preserve">proposed </w:t>
      </w:r>
      <w:r w:rsidR="00AF3908" w:rsidRPr="000E3892">
        <w:t xml:space="preserve">biomethane method package and </w:t>
      </w:r>
      <w:r w:rsidR="00EC69AA" w:rsidRPr="000E3892">
        <w:t>are the legislative instruments that set out the rules and processes that must be follow</w:t>
      </w:r>
      <w:r w:rsidR="00BB3747" w:rsidRPr="000E3892">
        <w:t>ed</w:t>
      </w:r>
      <w:r w:rsidR="00EC69AA" w:rsidRPr="000E3892">
        <w:t xml:space="preserve"> to earn </w:t>
      </w:r>
      <w:r w:rsidR="0076415C" w:rsidRPr="000E3892">
        <w:t xml:space="preserve">carbon credits </w:t>
      </w:r>
      <w:r w:rsidR="00EC69AA" w:rsidRPr="000E3892">
        <w:t xml:space="preserve">for </w:t>
      </w:r>
      <w:r w:rsidR="00AF3908" w:rsidRPr="000E3892">
        <w:t xml:space="preserve">biomethane </w:t>
      </w:r>
      <w:r w:rsidR="00EC69AA" w:rsidRPr="000E3892">
        <w:t>activities.</w:t>
      </w:r>
    </w:p>
    <w:p w14:paraId="5CD07C0C" w14:textId="6FD521A7" w:rsidR="001B225C" w:rsidRDefault="00F82998" w:rsidP="00D40D9B">
      <w:r>
        <w:t xml:space="preserve">People seeking to conduct a </w:t>
      </w:r>
      <w:r w:rsidR="00921A9E">
        <w:t xml:space="preserve">biomethane </w:t>
      </w:r>
      <w:r>
        <w:t>project</w:t>
      </w:r>
      <w:r w:rsidR="00B17B02">
        <w:t xml:space="preserve"> </w:t>
      </w:r>
      <w:r w:rsidR="00596F34">
        <w:t>should read the relevant legislation</w:t>
      </w:r>
      <w:r w:rsidR="00E5605F">
        <w:t xml:space="preserve"> and guidance for th</w:t>
      </w:r>
      <w:r w:rsidR="00F751AF">
        <w:t>at</w:t>
      </w:r>
      <w:r w:rsidR="00E5605F">
        <w:t xml:space="preserve"> </w:t>
      </w:r>
      <w:r w:rsidR="00A14005">
        <w:t xml:space="preserve">selected </w:t>
      </w:r>
      <w:r w:rsidR="00E5605F">
        <w:t xml:space="preserve">method </w:t>
      </w:r>
      <w:r w:rsidR="00A14005">
        <w:t xml:space="preserve">that the project will use </w:t>
      </w:r>
      <w:r w:rsidR="00E5605F">
        <w:t>and seek professional advice as necessary.</w:t>
      </w:r>
    </w:p>
    <w:p w14:paraId="459A67BF" w14:textId="2EBB278A" w:rsidR="00A14005" w:rsidRPr="00116D04" w:rsidRDefault="00A14005" w:rsidP="00116D04">
      <w:pPr>
        <w:pStyle w:val="Heading1"/>
      </w:pPr>
      <w:bookmarkStart w:id="15" w:name="_Toc85030333"/>
      <w:r w:rsidRPr="00116D04">
        <w:t>Planning and registering your ERF project</w:t>
      </w:r>
      <w:bookmarkEnd w:id="15"/>
    </w:p>
    <w:p w14:paraId="6215FB21" w14:textId="0D802E7A" w:rsidR="004E3332" w:rsidRDefault="004E3332" w:rsidP="00E17D59">
      <w:pPr>
        <w:spacing w:before="20"/>
      </w:pPr>
      <w:r>
        <w:t xml:space="preserve">There are general requirements that need to be met to participate in the </w:t>
      </w:r>
      <w:r w:rsidR="008C3E99">
        <w:t>E</w:t>
      </w:r>
      <w:r w:rsidR="00C138E4">
        <w:t>RF</w:t>
      </w:r>
      <w:r>
        <w:t xml:space="preserve">, as well as specific </w:t>
      </w:r>
      <w:r w:rsidR="00FE219A">
        <w:t xml:space="preserve">requirements </w:t>
      </w:r>
      <w:r w:rsidR="00804853">
        <w:t>contained</w:t>
      </w:r>
      <w:r w:rsidR="00FE219A">
        <w:t xml:space="preserve"> in the</w:t>
      </w:r>
      <w:r w:rsidR="004D4907">
        <w:t xml:space="preserve"> </w:t>
      </w:r>
      <w:r w:rsidR="009A2DFA">
        <w:t xml:space="preserve">individual methods in the </w:t>
      </w:r>
      <w:r w:rsidR="009B188C">
        <w:t xml:space="preserve">proposed </w:t>
      </w:r>
      <w:r w:rsidR="00921A9E">
        <w:t xml:space="preserve">biomethane </w:t>
      </w:r>
      <w:r w:rsidR="00BB29AE">
        <w:t>method package</w:t>
      </w:r>
      <w:r>
        <w:t>.</w:t>
      </w:r>
      <w:r w:rsidR="0076415C">
        <w:t xml:space="preserve"> P</w:t>
      </w:r>
      <w:r w:rsidR="009E4F82">
        <w:t xml:space="preserve">roject proponents </w:t>
      </w:r>
      <w:r w:rsidR="00473FE1">
        <w:t xml:space="preserve">will </w:t>
      </w:r>
      <w:r w:rsidR="009E4F82">
        <w:t>also need to consider p</w:t>
      </w:r>
      <w:r>
        <w:t>roject costs and potential carbon credit returns</w:t>
      </w:r>
      <w:r w:rsidR="0076415C" w:rsidRPr="0076415C">
        <w:t xml:space="preserve"> </w:t>
      </w:r>
      <w:r w:rsidR="0076415C">
        <w:t>as well as the legislative requirements</w:t>
      </w:r>
      <w:r w:rsidR="002647B3">
        <w:t xml:space="preserve">. </w:t>
      </w:r>
    </w:p>
    <w:p w14:paraId="005003AC" w14:textId="7C8A802A" w:rsidR="004E3332" w:rsidRDefault="00936462" w:rsidP="004E3332">
      <w:pPr>
        <w:pStyle w:val="Heading2"/>
      </w:pPr>
      <w:bookmarkStart w:id="16" w:name="_Toc85030334"/>
      <w:r>
        <w:t>E</w:t>
      </w:r>
      <w:r w:rsidR="004E3332">
        <w:t>ligibility requirements</w:t>
      </w:r>
      <w:bookmarkEnd w:id="16"/>
    </w:p>
    <w:p w14:paraId="12C83ADD" w14:textId="7046C072" w:rsidR="00932F64" w:rsidRDefault="005D07FC" w:rsidP="00A12397">
      <w:pPr>
        <w:rPr>
          <w:rFonts w:asciiTheme="minorHAnsi" w:eastAsiaTheme="minorHAnsi" w:hAnsiTheme="minorHAnsi" w:cstheme="minorBidi"/>
          <w:color w:val="000000" w:themeColor="text1"/>
          <w:szCs w:val="22"/>
          <w:lang w:val="en-GB"/>
        </w:rPr>
      </w:pPr>
      <w:r>
        <w:rPr>
          <w:rFonts w:asciiTheme="minorHAnsi" w:eastAsiaTheme="minorHAnsi" w:hAnsiTheme="minorHAnsi" w:cstheme="minorBidi"/>
          <w:color w:val="000000" w:themeColor="text1"/>
          <w:szCs w:val="22"/>
          <w:lang w:val="en-GB"/>
        </w:rPr>
        <w:t xml:space="preserve">You must first register your </w:t>
      </w:r>
      <w:r w:rsidDel="00921A9E">
        <w:rPr>
          <w:rFonts w:asciiTheme="minorHAnsi" w:eastAsiaTheme="minorHAnsi" w:hAnsiTheme="minorHAnsi" w:cstheme="minorBidi"/>
          <w:color w:val="000000" w:themeColor="text1"/>
          <w:szCs w:val="22"/>
          <w:lang w:val="en-GB"/>
        </w:rPr>
        <w:t xml:space="preserve">biomethane </w:t>
      </w:r>
      <w:r>
        <w:rPr>
          <w:rFonts w:asciiTheme="minorHAnsi" w:eastAsiaTheme="minorHAnsi" w:hAnsiTheme="minorHAnsi" w:cstheme="minorBidi"/>
          <w:color w:val="000000" w:themeColor="text1"/>
          <w:szCs w:val="22"/>
          <w:lang w:val="en-GB"/>
        </w:rPr>
        <w:t>project as an eligible offsets project before it can begin earning ACCUs.</w:t>
      </w:r>
      <w:r w:rsidR="009A2DFA">
        <w:rPr>
          <w:rFonts w:asciiTheme="minorHAnsi" w:eastAsiaTheme="minorHAnsi" w:hAnsiTheme="minorHAnsi" w:cstheme="minorBidi"/>
          <w:color w:val="000000" w:themeColor="text1"/>
          <w:szCs w:val="22"/>
          <w:lang w:val="en-GB"/>
        </w:rPr>
        <w:t xml:space="preserve"> </w:t>
      </w:r>
    </w:p>
    <w:p w14:paraId="589F7608" w14:textId="345DF4A1" w:rsidR="00D25C3C" w:rsidRDefault="009A2DFA" w:rsidP="00A12397">
      <w:r>
        <w:rPr>
          <w:rFonts w:asciiTheme="minorHAnsi" w:eastAsiaTheme="minorHAnsi" w:hAnsiTheme="minorHAnsi" w:cstheme="minorBidi"/>
          <w:color w:val="000000" w:themeColor="text1"/>
          <w:szCs w:val="22"/>
          <w:lang w:val="en-GB"/>
        </w:rPr>
        <w:t xml:space="preserve">Eligible offsets projects must meet the requirements in </w:t>
      </w:r>
      <w:r w:rsidR="008A43C3">
        <w:rPr>
          <w:rFonts w:asciiTheme="minorHAnsi" w:eastAsiaTheme="minorHAnsi" w:hAnsiTheme="minorHAnsi" w:cstheme="minorBidi"/>
          <w:color w:val="000000" w:themeColor="text1"/>
          <w:szCs w:val="22"/>
          <w:lang w:val="en-GB"/>
        </w:rPr>
        <w:t>S</w:t>
      </w:r>
      <w:r>
        <w:rPr>
          <w:rFonts w:asciiTheme="minorHAnsi" w:eastAsiaTheme="minorHAnsi" w:hAnsiTheme="minorHAnsi" w:cstheme="minorBidi"/>
          <w:color w:val="000000" w:themeColor="text1"/>
          <w:szCs w:val="22"/>
          <w:lang w:val="en-GB"/>
        </w:rPr>
        <w:t xml:space="preserve">ection 23 of the </w:t>
      </w:r>
      <w:r>
        <w:rPr>
          <w:rFonts w:asciiTheme="minorHAnsi" w:eastAsiaTheme="minorHAnsi" w:hAnsiTheme="minorHAnsi" w:cstheme="minorBidi"/>
          <w:i/>
          <w:iCs/>
          <w:color w:val="000000" w:themeColor="text1"/>
          <w:szCs w:val="22"/>
          <w:lang w:val="en-GB"/>
        </w:rPr>
        <w:t>Carbon Credits (Carbon Farming Initiative) Act 2011</w:t>
      </w:r>
      <w:r>
        <w:rPr>
          <w:rFonts w:asciiTheme="minorHAnsi" w:eastAsiaTheme="minorHAnsi" w:hAnsiTheme="minorHAnsi" w:cstheme="minorBidi"/>
          <w:color w:val="000000" w:themeColor="text1"/>
          <w:szCs w:val="22"/>
          <w:lang w:val="en-GB"/>
        </w:rPr>
        <w:t xml:space="preserve"> (CFI Act) and </w:t>
      </w:r>
      <w:r w:rsidR="008A43C3">
        <w:rPr>
          <w:rFonts w:asciiTheme="minorHAnsi" w:eastAsiaTheme="minorHAnsi" w:hAnsiTheme="minorHAnsi" w:cstheme="minorBidi"/>
          <w:color w:val="000000" w:themeColor="text1"/>
          <w:szCs w:val="22"/>
          <w:lang w:val="en-GB"/>
        </w:rPr>
        <w:t>S</w:t>
      </w:r>
      <w:r>
        <w:rPr>
          <w:rFonts w:asciiTheme="minorHAnsi" w:eastAsiaTheme="minorHAnsi" w:hAnsiTheme="minorHAnsi" w:cstheme="minorBidi"/>
          <w:color w:val="000000" w:themeColor="text1"/>
          <w:szCs w:val="22"/>
          <w:lang w:val="en-GB"/>
        </w:rPr>
        <w:t>ection 13 of the Carbon Credits (Carbon Farming Initiative) Rule 2015 (CFI Rule).</w:t>
      </w:r>
      <w:r w:rsidR="005D07FC">
        <w:rPr>
          <w:rFonts w:asciiTheme="minorHAnsi" w:eastAsiaTheme="minorHAnsi" w:hAnsiTheme="minorHAnsi" w:cstheme="minorBidi"/>
          <w:color w:val="000000" w:themeColor="text1"/>
          <w:szCs w:val="22"/>
          <w:lang w:val="en-GB"/>
        </w:rPr>
        <w:t xml:space="preserve"> </w:t>
      </w:r>
      <w:r w:rsidR="00D25C3C">
        <w:t xml:space="preserve">Each method that will include </w:t>
      </w:r>
      <w:r w:rsidR="00921A9E">
        <w:t xml:space="preserve">biomethane </w:t>
      </w:r>
      <w:r w:rsidR="00D25C3C">
        <w:t xml:space="preserve">as an eligible activity </w:t>
      </w:r>
      <w:r>
        <w:t xml:space="preserve">also </w:t>
      </w:r>
      <w:r w:rsidR="00D25C3C">
        <w:t xml:space="preserve">has </w:t>
      </w:r>
      <w:r>
        <w:t>method-</w:t>
      </w:r>
      <w:r w:rsidR="00D25C3C">
        <w:t xml:space="preserve">specific eligibility requirements. </w:t>
      </w:r>
      <w:r w:rsidR="00D25C3C" w:rsidRPr="007B2659">
        <w:rPr>
          <w:b/>
          <w:bCs/>
        </w:rPr>
        <w:t>Appendix 1</w:t>
      </w:r>
      <w:r w:rsidR="00D25C3C">
        <w:t xml:space="preserve"> </w:t>
      </w:r>
      <w:r>
        <w:t>summarises</w:t>
      </w:r>
      <w:r w:rsidR="00D25C3C">
        <w:t xml:space="preserve"> each method’s eligibility requirements. </w:t>
      </w:r>
    </w:p>
    <w:p w14:paraId="6C30B433" w14:textId="0CF581D4" w:rsidR="005D07FC" w:rsidRDefault="00D25C3C" w:rsidP="00A12397">
      <w:pPr>
        <w:rPr>
          <w:rFonts w:asciiTheme="minorHAnsi" w:eastAsiaTheme="minorHAnsi" w:hAnsiTheme="minorHAnsi" w:cstheme="minorBidi"/>
          <w:color w:val="000000" w:themeColor="text1"/>
          <w:szCs w:val="22"/>
          <w:lang w:val="en-GB"/>
        </w:rPr>
      </w:pPr>
      <w:r>
        <w:rPr>
          <w:rFonts w:asciiTheme="minorHAnsi" w:eastAsiaTheme="minorHAnsi" w:hAnsiTheme="minorHAnsi" w:cstheme="minorBidi"/>
          <w:color w:val="000000" w:themeColor="text1"/>
          <w:szCs w:val="22"/>
          <w:lang w:val="en-GB"/>
        </w:rPr>
        <w:t>General eligib</w:t>
      </w:r>
      <w:r w:rsidR="004E0EC2">
        <w:rPr>
          <w:rFonts w:asciiTheme="minorHAnsi" w:eastAsiaTheme="minorHAnsi" w:hAnsiTheme="minorHAnsi" w:cstheme="minorBidi"/>
          <w:color w:val="000000" w:themeColor="text1"/>
          <w:szCs w:val="22"/>
          <w:lang w:val="en-GB"/>
        </w:rPr>
        <w:t xml:space="preserve">ility information </w:t>
      </w:r>
      <w:r w:rsidR="00952023">
        <w:rPr>
          <w:rFonts w:asciiTheme="minorHAnsi" w:eastAsiaTheme="minorHAnsi" w:hAnsiTheme="minorHAnsi" w:cstheme="minorBidi"/>
          <w:color w:val="000000" w:themeColor="text1"/>
          <w:szCs w:val="22"/>
          <w:lang w:val="en-GB"/>
        </w:rPr>
        <w:t>that</w:t>
      </w:r>
      <w:r w:rsidR="004E0EC2">
        <w:rPr>
          <w:rFonts w:asciiTheme="minorHAnsi" w:eastAsiaTheme="minorHAnsi" w:hAnsiTheme="minorHAnsi" w:cstheme="minorBidi"/>
          <w:color w:val="000000" w:themeColor="text1"/>
          <w:szCs w:val="22"/>
          <w:lang w:val="en-GB"/>
        </w:rPr>
        <w:t xml:space="preserve"> must be provided to the Regulator when applying to register your project include:</w:t>
      </w:r>
    </w:p>
    <w:p w14:paraId="2B11E7C8" w14:textId="58E4F61E" w:rsidR="00936462" w:rsidRDefault="00936462" w:rsidP="00C76652">
      <w:pPr>
        <w:pStyle w:val="CERbullets"/>
      </w:pPr>
      <w:r w:rsidRPr="00C11684">
        <w:t>a summary of the project, including details of its location</w:t>
      </w:r>
    </w:p>
    <w:p w14:paraId="62C2B576" w14:textId="2F3B5751" w:rsidR="003C643D" w:rsidRDefault="003C643D" w:rsidP="006544EC">
      <w:pPr>
        <w:pStyle w:val="CERbullets"/>
      </w:pPr>
      <w:r w:rsidRPr="00936462">
        <w:t>details of the applicant</w:t>
      </w:r>
    </w:p>
    <w:p w14:paraId="129190DA" w14:textId="05DF6D16" w:rsidR="003C643D" w:rsidRDefault="003C643D" w:rsidP="006544EC">
      <w:pPr>
        <w:pStyle w:val="CERbullets"/>
      </w:pPr>
      <w:r>
        <w:t xml:space="preserve">details of the project’s activities that show how they are eligible under </w:t>
      </w:r>
      <w:r w:rsidRPr="00936462">
        <w:t xml:space="preserve">the </w:t>
      </w:r>
      <w:r>
        <w:t>m</w:t>
      </w:r>
      <w:r w:rsidRPr="00936462">
        <w:t>ethod</w:t>
      </w:r>
    </w:p>
    <w:p w14:paraId="67688715" w14:textId="40F0458C" w:rsidR="003C643D" w:rsidRDefault="003C643D" w:rsidP="006544EC">
      <w:pPr>
        <w:pStyle w:val="CERbullets"/>
      </w:pPr>
      <w:r w:rsidRPr="00936462">
        <w:t xml:space="preserve">the skills </w:t>
      </w:r>
      <w:r>
        <w:t xml:space="preserve">and expertise </w:t>
      </w:r>
      <w:r w:rsidRPr="00936462">
        <w:t>available to the applicant</w:t>
      </w:r>
      <w:r>
        <w:t xml:space="preserve"> to carry out the project</w:t>
      </w:r>
    </w:p>
    <w:p w14:paraId="5CA8D3A4" w14:textId="0212E26F" w:rsidR="003C643D" w:rsidRDefault="003C643D" w:rsidP="006544EC">
      <w:pPr>
        <w:pStyle w:val="CERbullets"/>
      </w:pPr>
      <w:r w:rsidRPr="00936462">
        <w:t>a description of the approvals required to undertake the project and progress in obtaining these approvals</w:t>
      </w:r>
    </w:p>
    <w:p w14:paraId="29856C6E" w14:textId="1B659D48" w:rsidR="003C643D" w:rsidRDefault="003C643D" w:rsidP="006544EC">
      <w:pPr>
        <w:pStyle w:val="CERbullets"/>
      </w:pPr>
      <w:r w:rsidRPr="00936462">
        <w:t>information that shows that the applicant has the legal right to carry out the project</w:t>
      </w:r>
    </w:p>
    <w:p w14:paraId="795FD589" w14:textId="51EC4BEF" w:rsidR="003C643D" w:rsidRDefault="003C643D" w:rsidP="006544EC">
      <w:pPr>
        <w:pStyle w:val="CERbullets"/>
      </w:pPr>
      <w:r w:rsidRPr="00936462">
        <w:t xml:space="preserve">an estimate of the forward abatement </w:t>
      </w:r>
      <w:r>
        <w:t xml:space="preserve">(emissions </w:t>
      </w:r>
      <w:r w:rsidR="000F11B4">
        <w:t>reduced</w:t>
      </w:r>
      <w:r>
        <w:t xml:space="preserve">) </w:t>
      </w:r>
      <w:r w:rsidRPr="00936462">
        <w:t>available from the project</w:t>
      </w:r>
    </w:p>
    <w:p w14:paraId="7AB79506" w14:textId="32C62813" w:rsidR="003C643D" w:rsidRDefault="003C643D" w:rsidP="006544EC">
      <w:pPr>
        <w:pStyle w:val="CERbullets"/>
      </w:pPr>
      <w:r w:rsidRPr="00B6619E">
        <w:t xml:space="preserve">details of how the project meets </w:t>
      </w:r>
      <w:r>
        <w:t xml:space="preserve">the </w:t>
      </w:r>
      <w:r w:rsidRPr="00B6619E">
        <w:t>additionality requirements.</w:t>
      </w:r>
    </w:p>
    <w:p w14:paraId="61A42A68" w14:textId="5A3BE0BF" w:rsidR="002C7982" w:rsidRDefault="002C7982" w:rsidP="00816A19">
      <w:pPr>
        <w:pStyle w:val="CERbullets"/>
      </w:pPr>
      <w:r>
        <w:t xml:space="preserve">For more information on eligibility, visit </w:t>
      </w:r>
      <w:hyperlink r:id="rId15" w:history="1">
        <w:r w:rsidRPr="00C2448A">
          <w:rPr>
            <w:rStyle w:val="Hyperlink"/>
          </w:rPr>
          <w:t>our website</w:t>
        </w:r>
      </w:hyperlink>
      <w:r>
        <w:rPr>
          <w:rStyle w:val="FootnoteReference"/>
        </w:rPr>
        <w:footnoteReference w:id="7"/>
      </w:r>
      <w:r>
        <w:t>.</w:t>
      </w:r>
    </w:p>
    <w:p w14:paraId="7271B1F3" w14:textId="77777777" w:rsidR="00CC6982" w:rsidRPr="002142F4" w:rsidRDefault="00CC6982" w:rsidP="002142F4">
      <w:pPr>
        <w:pStyle w:val="Heading4"/>
        <w:keepLines w:val="0"/>
        <w:spacing w:before="240" w:after="200"/>
        <w:rPr>
          <w:rFonts w:ascii="Calibri" w:eastAsia="Times New Roman" w:hAnsi="Calibri" w:cs="Times New Roman"/>
          <w:bCs/>
          <w:i w:val="0"/>
          <w:iCs w:val="0"/>
          <w:color w:val="005874"/>
          <w:sz w:val="25"/>
          <w:szCs w:val="28"/>
        </w:rPr>
      </w:pPr>
      <w:r w:rsidRPr="002142F4">
        <w:rPr>
          <w:rFonts w:ascii="Calibri" w:eastAsia="Times New Roman" w:hAnsi="Calibri" w:cs="Times New Roman"/>
          <w:bCs/>
          <w:i w:val="0"/>
          <w:iCs w:val="0"/>
          <w:color w:val="005874"/>
          <w:sz w:val="25"/>
          <w:szCs w:val="28"/>
        </w:rPr>
        <w:t>Fit and proper person assessment</w:t>
      </w:r>
    </w:p>
    <w:p w14:paraId="0EC4A93F" w14:textId="4629DA20" w:rsidR="00CC6982" w:rsidRDefault="00CC6982" w:rsidP="00A12397">
      <w:r w:rsidRPr="004E40C0">
        <w:t xml:space="preserve">You need to be recognised as a </w:t>
      </w:r>
      <w:hyperlink r:id="rId16" w:history="1">
        <w:r w:rsidRPr="00A45A5D">
          <w:rPr>
            <w:rStyle w:val="Hyperlink"/>
          </w:rPr>
          <w:t>fit and proper person</w:t>
        </w:r>
      </w:hyperlink>
      <w:r>
        <w:rPr>
          <w:rStyle w:val="FootnoteReference"/>
        </w:rPr>
        <w:footnoteReference w:id="8"/>
      </w:r>
      <w:r>
        <w:t xml:space="preserve"> for the purposes of the </w:t>
      </w:r>
      <w:r w:rsidR="00C138E4">
        <w:t>ERF</w:t>
      </w:r>
      <w:r w:rsidRPr="004E40C0">
        <w:t>. The fit and proper test involves declarations about any convictions or insolvency</w:t>
      </w:r>
      <w:r>
        <w:t xml:space="preserve"> </w:t>
      </w:r>
      <w:r w:rsidRPr="000A1ABE">
        <w:rPr>
          <w:rFonts w:asciiTheme="minorHAnsi" w:hAnsiTheme="minorHAnsi" w:cstheme="minorHAnsi"/>
        </w:rPr>
        <w:t xml:space="preserve">and whether a person has the capabilities </w:t>
      </w:r>
      <w:r w:rsidR="00E1725C">
        <w:rPr>
          <w:rFonts w:asciiTheme="minorHAnsi" w:hAnsiTheme="minorHAnsi" w:cstheme="minorHAnsi"/>
        </w:rPr>
        <w:t xml:space="preserve">needed </w:t>
      </w:r>
      <w:r w:rsidRPr="000A1ABE">
        <w:rPr>
          <w:rFonts w:asciiTheme="minorHAnsi" w:hAnsiTheme="minorHAnsi" w:cstheme="minorHAnsi"/>
        </w:rPr>
        <w:t>to run a project</w:t>
      </w:r>
      <w:r w:rsidRPr="004E40C0">
        <w:t>.</w:t>
      </w:r>
    </w:p>
    <w:p w14:paraId="3863884D" w14:textId="77777777" w:rsidR="00634686" w:rsidRPr="008940AF" w:rsidRDefault="00634686" w:rsidP="008940AF">
      <w:pPr>
        <w:pStyle w:val="Heading4"/>
        <w:keepLines w:val="0"/>
        <w:spacing w:before="240" w:after="200"/>
        <w:rPr>
          <w:rFonts w:ascii="Calibri" w:eastAsia="Times New Roman" w:hAnsi="Calibri" w:cs="Times New Roman"/>
          <w:bCs/>
          <w:i w:val="0"/>
          <w:iCs w:val="0"/>
          <w:color w:val="005874"/>
          <w:sz w:val="25"/>
          <w:szCs w:val="28"/>
        </w:rPr>
      </w:pPr>
      <w:bookmarkStart w:id="17" w:name="_Hlk58233703"/>
      <w:r w:rsidRPr="008940AF">
        <w:rPr>
          <w:rFonts w:ascii="Calibri" w:eastAsia="Times New Roman" w:hAnsi="Calibri" w:cs="Times New Roman"/>
          <w:bCs/>
          <w:i w:val="0"/>
          <w:iCs w:val="0"/>
          <w:color w:val="005874"/>
          <w:sz w:val="25"/>
          <w:szCs w:val="28"/>
        </w:rPr>
        <w:t>Regulatory approvals</w:t>
      </w:r>
    </w:p>
    <w:p w14:paraId="589502B5" w14:textId="23A13CFA" w:rsidR="00F90D39" w:rsidRDefault="00634686" w:rsidP="00A12397">
      <w:r>
        <w:t>You need to ensure you have all relevant approvals, licenses</w:t>
      </w:r>
      <w:r w:rsidR="00A92E78">
        <w:t>,</w:t>
      </w:r>
      <w:r>
        <w:t xml:space="preserve"> permits</w:t>
      </w:r>
      <w:r w:rsidR="00A92E78">
        <w:t xml:space="preserve"> or authorities</w:t>
      </w:r>
      <w:r>
        <w:t xml:space="preserve"> that are required to carry out your </w:t>
      </w:r>
      <w:r w:rsidR="00494915">
        <w:t>project</w:t>
      </w:r>
      <w:r>
        <w:t xml:space="preserve">. </w:t>
      </w:r>
    </w:p>
    <w:bookmarkEnd w:id="17"/>
    <w:p w14:paraId="3AE15225" w14:textId="6FA7BD30" w:rsidR="00A707E3" w:rsidRDefault="00C77D71" w:rsidP="0085246F">
      <w:r>
        <w:t xml:space="preserve">For a </w:t>
      </w:r>
      <w:r w:rsidR="00921A9E">
        <w:t xml:space="preserve">biomethane </w:t>
      </w:r>
      <w:r>
        <w:t>project, relevant reg</w:t>
      </w:r>
      <w:r w:rsidR="00B53791">
        <w:t>ulatory approvals may include:</w:t>
      </w:r>
    </w:p>
    <w:p w14:paraId="39D826DB" w14:textId="7F7A5064" w:rsidR="00B53791" w:rsidRDefault="00B53791" w:rsidP="00C76652">
      <w:pPr>
        <w:pStyle w:val="CERbullets"/>
      </w:pPr>
      <w:r>
        <w:t xml:space="preserve">Development and building approval for biomethane </w:t>
      </w:r>
      <w:r w:rsidR="003B6C0F">
        <w:t xml:space="preserve">upgrading </w:t>
      </w:r>
      <w:r w:rsidR="000F31AC">
        <w:t xml:space="preserve">and gas injection </w:t>
      </w:r>
      <w:r>
        <w:t>infrastructure</w:t>
      </w:r>
      <w:r w:rsidR="003B6C0F">
        <w:t>.</w:t>
      </w:r>
    </w:p>
    <w:p w14:paraId="0FE85A16" w14:textId="1111C391" w:rsidR="0085246F" w:rsidRDefault="00B53791" w:rsidP="006544EC">
      <w:pPr>
        <w:pStyle w:val="CERbullets"/>
      </w:pPr>
      <w:r>
        <w:t>Gas</w:t>
      </w:r>
      <w:r w:rsidR="005B200E">
        <w:t xml:space="preserve"> quality standards injection approvals</w:t>
      </w:r>
      <w:r w:rsidR="002A6317">
        <w:t xml:space="preserve"> and gas safety and management requirements</w:t>
      </w:r>
      <w:r w:rsidR="003B6C0F">
        <w:t>.</w:t>
      </w:r>
    </w:p>
    <w:p w14:paraId="491105DD" w14:textId="305968BE" w:rsidR="006709FB" w:rsidRDefault="006709FB" w:rsidP="006544EC">
      <w:pPr>
        <w:pStyle w:val="CERbullets"/>
      </w:pPr>
      <w:r>
        <w:t xml:space="preserve">Environmental laws </w:t>
      </w:r>
      <w:r w:rsidR="008477F8">
        <w:t>or permits</w:t>
      </w:r>
      <w:r w:rsidR="003B6C0F">
        <w:t>.</w:t>
      </w:r>
    </w:p>
    <w:p w14:paraId="1FA8E43F" w14:textId="7B4B5EAF" w:rsidR="00EE5601" w:rsidRPr="008940AF" w:rsidRDefault="004E3332" w:rsidP="008940AF">
      <w:pPr>
        <w:pStyle w:val="Heading4"/>
        <w:keepLines w:val="0"/>
        <w:spacing w:before="240" w:after="200"/>
        <w:rPr>
          <w:rFonts w:ascii="Calibri" w:eastAsia="Times New Roman" w:hAnsi="Calibri" w:cs="Times New Roman"/>
          <w:bCs/>
          <w:i w:val="0"/>
          <w:iCs w:val="0"/>
          <w:color w:val="005874"/>
          <w:sz w:val="25"/>
          <w:szCs w:val="28"/>
        </w:rPr>
      </w:pPr>
      <w:r w:rsidRPr="008940AF">
        <w:rPr>
          <w:rFonts w:ascii="Calibri" w:eastAsia="Times New Roman" w:hAnsi="Calibri" w:cs="Times New Roman"/>
          <w:bCs/>
          <w:i w:val="0"/>
          <w:iCs w:val="0"/>
          <w:color w:val="005874"/>
          <w:sz w:val="25"/>
          <w:szCs w:val="28"/>
        </w:rPr>
        <w:t>Hold legal right</w:t>
      </w:r>
    </w:p>
    <w:p w14:paraId="2C7189E6" w14:textId="1CAF20E2" w:rsidR="00B94E9C" w:rsidRDefault="004E3332" w:rsidP="00A12397">
      <w:pPr>
        <w:tabs>
          <w:tab w:val="left" w:pos="2840"/>
        </w:tabs>
      </w:pPr>
      <w:r>
        <w:t xml:space="preserve">You need the legal right to </w:t>
      </w:r>
      <w:r w:rsidR="00E1365A">
        <w:t>undertake</w:t>
      </w:r>
      <w:r>
        <w:t xml:space="preserve"> your project and claim </w:t>
      </w:r>
      <w:r w:rsidR="0085246F">
        <w:t>ACCUs</w:t>
      </w:r>
      <w:r w:rsidR="00B04A61">
        <w:t xml:space="preserve">. </w:t>
      </w:r>
      <w:r w:rsidR="004D49F0">
        <w:t xml:space="preserve">For a </w:t>
      </w:r>
      <w:r w:rsidR="00921A9E">
        <w:t xml:space="preserve">biomethane </w:t>
      </w:r>
      <w:r w:rsidR="004D49F0">
        <w:t xml:space="preserve">project, the </w:t>
      </w:r>
      <w:r w:rsidR="003B6C0F">
        <w:t>owner of the facility</w:t>
      </w:r>
      <w:r w:rsidR="00E95C67">
        <w:t xml:space="preserve"> </w:t>
      </w:r>
      <w:r w:rsidR="003B6C0F">
        <w:t xml:space="preserve">at which </w:t>
      </w:r>
      <w:r w:rsidR="00017FAF">
        <w:t>biogas generation for biomethane</w:t>
      </w:r>
      <w:r w:rsidR="003B6C0F">
        <w:t xml:space="preserve"> and </w:t>
      </w:r>
      <w:r w:rsidR="00017FAF">
        <w:t>biomethane production</w:t>
      </w:r>
      <w:r w:rsidR="003B6C0F">
        <w:t xml:space="preserve"> activities </w:t>
      </w:r>
      <w:r w:rsidR="006376F0">
        <w:t>are</w:t>
      </w:r>
      <w:r w:rsidR="003B6C0F">
        <w:t xml:space="preserve"> occurring </w:t>
      </w:r>
      <w:r w:rsidR="00E95C67">
        <w:t>would typically hold legal right.</w:t>
      </w:r>
      <w:r w:rsidR="00E973C3">
        <w:t xml:space="preserve"> </w:t>
      </w:r>
      <w:r w:rsidR="003B6C0F">
        <w:t xml:space="preserve">Projects undertaking </w:t>
      </w:r>
      <w:r w:rsidR="00017FAF">
        <w:t>biomethane production</w:t>
      </w:r>
      <w:r w:rsidR="003B6C0F">
        <w:t xml:space="preserve"> </w:t>
      </w:r>
      <w:r w:rsidR="00CA1104">
        <w:t xml:space="preserve">may also need to demonstrate that they hold the legal right to </w:t>
      </w:r>
      <w:r w:rsidR="003B6C0F">
        <w:t xml:space="preserve">dispatch the biomethane – for example, if the project </w:t>
      </w:r>
      <w:r w:rsidR="00CA1104">
        <w:t>inject</w:t>
      </w:r>
      <w:r w:rsidR="003B6C0F">
        <w:t>s</w:t>
      </w:r>
      <w:r w:rsidR="00CA1104">
        <w:t xml:space="preserve"> biomethane into the gas network, </w:t>
      </w:r>
      <w:r w:rsidR="003B6C0F">
        <w:t xml:space="preserve">the project proponent may need to demonstrate that </w:t>
      </w:r>
      <w:r w:rsidR="00CA1104">
        <w:t>the gas network owner</w:t>
      </w:r>
      <w:r w:rsidR="003B6C0F">
        <w:t xml:space="preserve"> has consented to this arrangement</w:t>
      </w:r>
      <w:r w:rsidR="00CA1104">
        <w:t>.</w:t>
      </w:r>
    </w:p>
    <w:p w14:paraId="0D7D65E8" w14:textId="156341FE" w:rsidR="006232AE" w:rsidRDefault="00C71BCF" w:rsidP="00A12397">
      <w:r>
        <w:t xml:space="preserve">You may need a written agreement </w:t>
      </w:r>
      <w:r w:rsidR="00E973C3">
        <w:t xml:space="preserve">to evidence legal right </w:t>
      </w:r>
      <w:r>
        <w:t>if there are multiple parties</w:t>
      </w:r>
      <w:r w:rsidR="00E95C67">
        <w:t xml:space="preserve"> involved in the project</w:t>
      </w:r>
      <w:r>
        <w:t>.</w:t>
      </w:r>
    </w:p>
    <w:p w14:paraId="4546A498" w14:textId="11A68375" w:rsidR="00F35D50" w:rsidRPr="008940AF" w:rsidRDefault="00F35D50" w:rsidP="008940AF">
      <w:pPr>
        <w:pStyle w:val="Heading4"/>
        <w:keepLines w:val="0"/>
        <w:spacing w:before="240" w:after="200"/>
        <w:rPr>
          <w:rFonts w:ascii="Calibri" w:eastAsia="Times New Roman" w:hAnsi="Calibri" w:cs="Times New Roman"/>
          <w:bCs/>
          <w:i w:val="0"/>
          <w:iCs w:val="0"/>
          <w:color w:val="005874"/>
          <w:sz w:val="25"/>
          <w:szCs w:val="28"/>
        </w:rPr>
      </w:pPr>
      <w:bookmarkStart w:id="18" w:name="_Ref84613070"/>
      <w:r w:rsidRPr="008940AF">
        <w:rPr>
          <w:rFonts w:ascii="Calibri" w:eastAsia="Times New Roman" w:hAnsi="Calibri" w:cs="Times New Roman"/>
          <w:bCs/>
          <w:i w:val="0"/>
          <w:iCs w:val="0"/>
          <w:color w:val="005874"/>
          <w:sz w:val="25"/>
          <w:szCs w:val="28"/>
        </w:rPr>
        <w:t xml:space="preserve">Additionality </w:t>
      </w:r>
      <w:r w:rsidR="006575B8">
        <w:rPr>
          <w:rFonts w:ascii="Calibri" w:eastAsia="Times New Roman" w:hAnsi="Calibri" w:cs="Times New Roman"/>
          <w:bCs/>
          <w:i w:val="0"/>
          <w:iCs w:val="0"/>
          <w:color w:val="005874"/>
          <w:sz w:val="25"/>
          <w:szCs w:val="28"/>
        </w:rPr>
        <w:t xml:space="preserve">– </w:t>
      </w:r>
      <w:r w:rsidR="00065068">
        <w:rPr>
          <w:rFonts w:ascii="Calibri" w:eastAsia="Times New Roman" w:hAnsi="Calibri" w:cs="Times New Roman"/>
          <w:bCs/>
          <w:i w:val="0"/>
          <w:iCs w:val="0"/>
          <w:color w:val="005874"/>
          <w:sz w:val="25"/>
          <w:szCs w:val="28"/>
        </w:rPr>
        <w:t>N</w:t>
      </w:r>
      <w:r w:rsidRPr="008940AF">
        <w:rPr>
          <w:rFonts w:ascii="Calibri" w:eastAsia="Times New Roman" w:hAnsi="Calibri" w:cs="Times New Roman"/>
          <w:bCs/>
          <w:i w:val="0"/>
          <w:iCs w:val="0"/>
          <w:color w:val="005874"/>
          <w:sz w:val="25"/>
          <w:szCs w:val="28"/>
        </w:rPr>
        <w:t>ewness</w:t>
      </w:r>
      <w:bookmarkEnd w:id="18"/>
    </w:p>
    <w:p w14:paraId="263C411A" w14:textId="4BC03E0A" w:rsidR="00F717F0" w:rsidRDefault="00044DF9" w:rsidP="00A7135D">
      <w:pPr>
        <w:rPr>
          <w:rFonts w:asciiTheme="minorHAnsi" w:eastAsiaTheme="minorHAnsi" w:hAnsiTheme="minorHAnsi" w:cstheme="minorBidi"/>
          <w:color w:val="auto"/>
          <w:szCs w:val="22"/>
          <w:lang w:val="en-GB"/>
        </w:rPr>
      </w:pPr>
      <w:r w:rsidRPr="006870E0">
        <w:rPr>
          <w:rFonts w:asciiTheme="minorHAnsi" w:eastAsiaTheme="minorHAnsi" w:hAnsiTheme="minorHAnsi" w:cstheme="minorBidi"/>
          <w:color w:val="auto"/>
          <w:szCs w:val="22"/>
          <w:lang w:val="en-GB"/>
        </w:rPr>
        <w:t>For</w:t>
      </w:r>
      <w:r w:rsidR="001D657E" w:rsidRPr="006870E0">
        <w:rPr>
          <w:rFonts w:asciiTheme="minorHAnsi" w:eastAsiaTheme="minorHAnsi" w:hAnsiTheme="minorHAnsi" w:cstheme="minorBidi"/>
          <w:color w:val="auto"/>
          <w:szCs w:val="22"/>
          <w:lang w:val="en-GB"/>
        </w:rPr>
        <w:t xml:space="preserve"> a project to be </w:t>
      </w:r>
      <w:r w:rsidR="009836DE" w:rsidRPr="006870E0">
        <w:rPr>
          <w:rFonts w:asciiTheme="minorHAnsi" w:eastAsiaTheme="minorHAnsi" w:hAnsiTheme="minorHAnsi" w:cstheme="minorBidi"/>
          <w:color w:val="auto"/>
          <w:szCs w:val="22"/>
          <w:lang w:val="en-GB"/>
        </w:rPr>
        <w:t xml:space="preserve">declared an eligible offset project, </w:t>
      </w:r>
      <w:r w:rsidR="00AF0579" w:rsidRPr="0013357F">
        <w:rPr>
          <w:rFonts w:asciiTheme="minorHAnsi" w:eastAsiaTheme="minorHAnsi" w:hAnsiTheme="minorHAnsi" w:cstheme="minorBidi"/>
          <w:color w:val="auto"/>
          <w:szCs w:val="22"/>
          <w:lang w:val="en-GB"/>
        </w:rPr>
        <w:t>Section 27(4A)</w:t>
      </w:r>
      <w:r w:rsidR="00101F1A">
        <w:rPr>
          <w:rFonts w:asciiTheme="minorHAnsi" w:eastAsiaTheme="minorHAnsi" w:hAnsiTheme="minorHAnsi" w:cstheme="minorBidi"/>
          <w:color w:val="auto"/>
          <w:szCs w:val="22"/>
          <w:lang w:val="en-GB"/>
        </w:rPr>
        <w:t>(</w:t>
      </w:r>
      <w:r w:rsidR="00BE3C40">
        <w:rPr>
          <w:rFonts w:asciiTheme="minorHAnsi" w:eastAsiaTheme="minorHAnsi" w:hAnsiTheme="minorHAnsi" w:cstheme="minorBidi"/>
          <w:color w:val="auto"/>
          <w:szCs w:val="22"/>
          <w:lang w:val="en-GB"/>
        </w:rPr>
        <w:t>a)</w:t>
      </w:r>
      <w:r w:rsidR="00AF0579" w:rsidRPr="0013357F">
        <w:rPr>
          <w:rFonts w:asciiTheme="minorHAnsi" w:eastAsiaTheme="minorHAnsi" w:hAnsiTheme="minorHAnsi" w:cstheme="minorBidi"/>
          <w:color w:val="auto"/>
          <w:szCs w:val="22"/>
          <w:lang w:val="en-GB"/>
        </w:rPr>
        <w:t xml:space="preserve"> of the CFI Act</w:t>
      </w:r>
      <w:r w:rsidR="009836DE" w:rsidRPr="006870E0">
        <w:rPr>
          <w:rFonts w:asciiTheme="minorHAnsi" w:eastAsiaTheme="minorHAnsi" w:hAnsiTheme="minorHAnsi" w:cstheme="minorBidi"/>
          <w:color w:val="auto"/>
          <w:szCs w:val="22"/>
          <w:lang w:val="en-GB"/>
        </w:rPr>
        <w:t xml:space="preserve"> requires </w:t>
      </w:r>
      <w:r w:rsidR="001060BA" w:rsidRPr="006870E0">
        <w:rPr>
          <w:rFonts w:asciiTheme="minorHAnsi" w:eastAsiaTheme="minorHAnsi" w:hAnsiTheme="minorHAnsi" w:cstheme="minorBidi"/>
          <w:color w:val="auto"/>
          <w:szCs w:val="22"/>
          <w:lang w:val="en-GB"/>
        </w:rPr>
        <w:t xml:space="preserve">the project </w:t>
      </w:r>
      <w:r>
        <w:rPr>
          <w:rFonts w:asciiTheme="minorHAnsi" w:eastAsiaTheme="minorHAnsi" w:hAnsiTheme="minorHAnsi" w:cstheme="minorBidi"/>
          <w:color w:val="auto"/>
          <w:szCs w:val="22"/>
          <w:lang w:val="en-GB"/>
        </w:rPr>
        <w:t>‘</w:t>
      </w:r>
      <w:r w:rsidR="001060BA" w:rsidRPr="006870E0">
        <w:rPr>
          <w:rFonts w:asciiTheme="minorHAnsi" w:eastAsiaTheme="minorHAnsi" w:hAnsiTheme="minorHAnsi" w:cstheme="minorBidi"/>
          <w:color w:val="auto"/>
          <w:szCs w:val="22"/>
          <w:lang w:val="en-GB"/>
        </w:rPr>
        <w:t>has not begun to be implemented</w:t>
      </w:r>
      <w:r>
        <w:rPr>
          <w:rFonts w:asciiTheme="minorHAnsi" w:eastAsiaTheme="minorHAnsi" w:hAnsiTheme="minorHAnsi" w:cstheme="minorBidi"/>
          <w:color w:val="auto"/>
          <w:szCs w:val="22"/>
          <w:lang w:val="en-GB"/>
        </w:rPr>
        <w:t>’</w:t>
      </w:r>
      <w:r w:rsidR="001060BA" w:rsidRPr="006870E0">
        <w:rPr>
          <w:rFonts w:asciiTheme="minorHAnsi" w:eastAsiaTheme="minorHAnsi" w:hAnsiTheme="minorHAnsi" w:cstheme="minorBidi"/>
          <w:color w:val="auto"/>
          <w:szCs w:val="22"/>
          <w:lang w:val="en-GB"/>
        </w:rPr>
        <w:t>.</w:t>
      </w:r>
      <w:r w:rsidR="00C15E99">
        <w:rPr>
          <w:rFonts w:asciiTheme="minorHAnsi" w:eastAsiaTheme="minorHAnsi" w:hAnsiTheme="minorHAnsi" w:cstheme="minorBidi"/>
          <w:color w:val="auto"/>
          <w:szCs w:val="22"/>
          <w:lang w:val="en-GB"/>
        </w:rPr>
        <w:t xml:space="preserve"> This is </w:t>
      </w:r>
      <w:r w:rsidR="007D3E4B">
        <w:rPr>
          <w:rFonts w:asciiTheme="minorHAnsi" w:eastAsiaTheme="minorHAnsi" w:hAnsiTheme="minorHAnsi" w:cstheme="minorBidi"/>
          <w:color w:val="auto"/>
          <w:szCs w:val="22"/>
          <w:lang w:val="en-GB"/>
        </w:rPr>
        <w:t>known as the ‘newness’ test.</w:t>
      </w:r>
      <w:r w:rsidR="001060BA" w:rsidRPr="006870E0">
        <w:rPr>
          <w:rFonts w:asciiTheme="minorHAnsi" w:eastAsiaTheme="minorHAnsi" w:hAnsiTheme="minorHAnsi" w:cstheme="minorBidi"/>
          <w:color w:val="auto"/>
          <w:szCs w:val="22"/>
          <w:lang w:val="en-GB"/>
        </w:rPr>
        <w:t xml:space="preserve"> </w:t>
      </w:r>
    </w:p>
    <w:p w14:paraId="2918D103" w14:textId="7BB646F5" w:rsidR="0036093E" w:rsidRDefault="0036093E" w:rsidP="00A7135D">
      <w:pPr>
        <w:rPr>
          <w:rFonts w:asciiTheme="minorHAnsi" w:eastAsiaTheme="minorHAnsi" w:hAnsiTheme="minorHAnsi" w:cstheme="minorBidi"/>
          <w:color w:val="auto"/>
          <w:szCs w:val="22"/>
          <w:lang w:val="en-GB"/>
        </w:rPr>
      </w:pPr>
      <w:r>
        <w:rPr>
          <w:rFonts w:asciiTheme="minorHAnsi" w:eastAsiaTheme="minorHAnsi" w:hAnsiTheme="minorHAnsi" w:cstheme="minorBidi"/>
          <w:color w:val="auto"/>
          <w:szCs w:val="22"/>
          <w:lang w:val="en-GB"/>
        </w:rPr>
        <w:t xml:space="preserve">Activities that may </w:t>
      </w:r>
      <w:r w:rsidR="00DA6D96">
        <w:rPr>
          <w:rFonts w:asciiTheme="minorHAnsi" w:eastAsiaTheme="minorHAnsi" w:hAnsiTheme="minorHAnsi" w:cstheme="minorBidi"/>
          <w:color w:val="auto"/>
          <w:szCs w:val="22"/>
          <w:lang w:val="en-GB"/>
        </w:rPr>
        <w:t xml:space="preserve">not meet </w:t>
      </w:r>
      <w:r>
        <w:rPr>
          <w:rFonts w:asciiTheme="minorHAnsi" w:eastAsiaTheme="minorHAnsi" w:hAnsiTheme="minorHAnsi" w:cstheme="minorBidi"/>
          <w:color w:val="auto"/>
          <w:szCs w:val="22"/>
          <w:lang w:val="en-GB"/>
        </w:rPr>
        <w:t>newness include:</w:t>
      </w:r>
    </w:p>
    <w:p w14:paraId="385A2E06" w14:textId="667A19A3" w:rsidR="0036093E" w:rsidRPr="00816A19" w:rsidRDefault="0036093E" w:rsidP="00C76652">
      <w:pPr>
        <w:pStyle w:val="CERbullets"/>
      </w:pPr>
      <w:r w:rsidRPr="00816A19">
        <w:t>making a final investment decision on the project</w:t>
      </w:r>
    </w:p>
    <w:p w14:paraId="75367FCB" w14:textId="6A2A5422" w:rsidR="0036093E" w:rsidRPr="00816A19" w:rsidRDefault="0036093E" w:rsidP="006544EC">
      <w:pPr>
        <w:pStyle w:val="CERbullets"/>
      </w:pPr>
      <w:r w:rsidRPr="00816A19">
        <w:t>purchasing equipment</w:t>
      </w:r>
    </w:p>
    <w:p w14:paraId="0DAF5A0C" w14:textId="182E6BCE" w:rsidR="00784E16" w:rsidRPr="00816A19" w:rsidRDefault="00FC3E04" w:rsidP="006544EC">
      <w:pPr>
        <w:pStyle w:val="CERbullets"/>
      </w:pPr>
      <w:r w:rsidRPr="00816A19">
        <w:t>commencing construction</w:t>
      </w:r>
      <w:r w:rsidR="00797475" w:rsidRPr="00816A19">
        <w:t>.</w:t>
      </w:r>
    </w:p>
    <w:p w14:paraId="0E810550" w14:textId="72EA1F59" w:rsidR="00797475" w:rsidRDefault="00481ED6" w:rsidP="00A12397">
      <w:r>
        <w:t xml:space="preserve">An existing waste facility that currently captures and destroys methane but does not generate biomethane may be eligible to conduct a biomethane project </w:t>
      </w:r>
      <w:r w:rsidR="003A5B4C">
        <w:t>where</w:t>
      </w:r>
      <w:r>
        <w:t xml:space="preserve"> the new activity i</w:t>
      </w:r>
      <w:r w:rsidR="006376F0">
        <w:t>nvolve</w:t>
      </w:r>
      <w:r>
        <w:t>s install</w:t>
      </w:r>
      <w:r w:rsidR="003A5B4C">
        <w:t>ing</w:t>
      </w:r>
      <w:r>
        <w:t xml:space="preserve"> bio</w:t>
      </w:r>
      <w:r w:rsidR="006376F0">
        <w:t>gas upgrading and bio</w:t>
      </w:r>
      <w:r>
        <w:t xml:space="preserve">methane </w:t>
      </w:r>
      <w:r w:rsidR="00765F73">
        <w:t xml:space="preserve">production </w:t>
      </w:r>
      <w:r>
        <w:t>equipment</w:t>
      </w:r>
      <w:r w:rsidR="00784E16">
        <w:t>.</w:t>
      </w:r>
      <w:r w:rsidR="003606C6">
        <w:t xml:space="preserve"> A facility that formerly had an ERF waste project and </w:t>
      </w:r>
      <w:r w:rsidR="00797475">
        <w:t>did</w:t>
      </w:r>
      <w:r w:rsidR="003A5B4C">
        <w:t xml:space="preserve"> </w:t>
      </w:r>
      <w:r w:rsidR="003606C6">
        <w:t xml:space="preserve">not </w:t>
      </w:r>
      <w:r w:rsidR="0062458D">
        <w:t xml:space="preserve">produce </w:t>
      </w:r>
      <w:r w:rsidR="003606C6">
        <w:t xml:space="preserve">biomethane may be able to re-enter the scheme </w:t>
      </w:r>
      <w:r w:rsidR="000F1AE8">
        <w:t xml:space="preserve">as a restarting biomethane project </w:t>
      </w:r>
      <w:r w:rsidR="003606C6">
        <w:t xml:space="preserve">and earn </w:t>
      </w:r>
      <w:r w:rsidR="00635781">
        <w:t xml:space="preserve">carbon </w:t>
      </w:r>
      <w:r w:rsidR="003606C6">
        <w:t xml:space="preserve">credits for biomethane </w:t>
      </w:r>
      <w:r w:rsidR="000F1AE8">
        <w:t>production</w:t>
      </w:r>
      <w:r w:rsidR="00DA6D96">
        <w:t xml:space="preserve">, </w:t>
      </w:r>
      <w:r w:rsidR="0062458D">
        <w:t>subject to eligibility requirements</w:t>
      </w:r>
      <w:r w:rsidR="0074261A">
        <w:t xml:space="preserve">. Restarting biomethane projects may only be able to claim credits for displacement abatement. </w:t>
      </w:r>
    </w:p>
    <w:p w14:paraId="39257A01" w14:textId="61477C86" w:rsidR="00784E16" w:rsidRPr="00784E16" w:rsidRDefault="003606C6" w:rsidP="00A12397">
      <w:r>
        <w:t xml:space="preserve">For more information, </w:t>
      </w:r>
      <w:r w:rsidR="003F2A94">
        <w:t>see</w:t>
      </w:r>
      <w:r w:rsidR="00C74B8B">
        <w:t xml:space="preserve"> </w:t>
      </w:r>
      <w:r w:rsidR="00C74B8B" w:rsidRPr="003A5B4C">
        <w:rPr>
          <w:b/>
          <w:bCs/>
        </w:rPr>
        <w:fldChar w:fldCharType="begin"/>
      </w:r>
      <w:r w:rsidR="00C74B8B" w:rsidRPr="003A5B4C">
        <w:rPr>
          <w:b/>
          <w:bCs/>
        </w:rPr>
        <w:instrText xml:space="preserve"> REF _Ref73017819 \h </w:instrText>
      </w:r>
      <w:r w:rsidR="00C74B8B">
        <w:rPr>
          <w:b/>
          <w:bCs/>
        </w:rPr>
        <w:instrText xml:space="preserve"> \* MERGEFORMAT </w:instrText>
      </w:r>
      <w:r w:rsidR="00C74B8B" w:rsidRPr="003A5B4C">
        <w:rPr>
          <w:b/>
          <w:bCs/>
        </w:rPr>
      </w:r>
      <w:r w:rsidR="00C74B8B" w:rsidRPr="003A5B4C">
        <w:rPr>
          <w:b/>
          <w:bCs/>
        </w:rPr>
        <w:fldChar w:fldCharType="separate"/>
      </w:r>
      <w:r w:rsidR="00C74B8B" w:rsidRPr="003A5B4C">
        <w:rPr>
          <w:b/>
          <w:bCs/>
        </w:rPr>
        <w:t>New, expanding and restarting biomethane projects</w:t>
      </w:r>
      <w:r w:rsidR="00C74B8B" w:rsidRPr="003A5B4C">
        <w:rPr>
          <w:b/>
          <w:bCs/>
        </w:rPr>
        <w:fldChar w:fldCharType="end"/>
      </w:r>
      <w:r w:rsidR="008158AD">
        <w:t>.</w:t>
      </w:r>
    </w:p>
    <w:p w14:paraId="066ED7E0" w14:textId="1AA298CB" w:rsidR="00565D0C" w:rsidRPr="008940AF" w:rsidRDefault="00F35D50" w:rsidP="008940AF">
      <w:pPr>
        <w:pStyle w:val="Heading4"/>
        <w:keepLines w:val="0"/>
        <w:spacing w:before="240" w:after="200"/>
        <w:rPr>
          <w:rFonts w:ascii="Calibri" w:eastAsia="Times New Roman" w:hAnsi="Calibri" w:cs="Times New Roman"/>
          <w:bCs/>
          <w:i w:val="0"/>
          <w:iCs w:val="0"/>
          <w:color w:val="005874"/>
          <w:sz w:val="25"/>
          <w:szCs w:val="28"/>
        </w:rPr>
      </w:pPr>
      <w:r w:rsidRPr="008940AF">
        <w:rPr>
          <w:rFonts w:ascii="Calibri" w:eastAsia="Times New Roman" w:hAnsi="Calibri" w:cs="Times New Roman"/>
          <w:bCs/>
          <w:i w:val="0"/>
          <w:iCs w:val="0"/>
          <w:color w:val="005874"/>
          <w:sz w:val="25"/>
          <w:szCs w:val="28"/>
        </w:rPr>
        <w:t xml:space="preserve">Additionality </w:t>
      </w:r>
      <w:r w:rsidR="00DD3324">
        <w:rPr>
          <w:rFonts w:ascii="Calibri" w:eastAsia="Times New Roman" w:hAnsi="Calibri" w:cs="Times New Roman"/>
          <w:bCs/>
          <w:i w:val="0"/>
          <w:iCs w:val="0"/>
          <w:color w:val="005874"/>
          <w:sz w:val="25"/>
          <w:szCs w:val="28"/>
        </w:rPr>
        <w:t>–</w:t>
      </w:r>
      <w:r w:rsidRPr="008940AF">
        <w:rPr>
          <w:rFonts w:ascii="Calibri" w:eastAsia="Times New Roman" w:hAnsi="Calibri" w:cs="Times New Roman"/>
          <w:bCs/>
          <w:i w:val="0"/>
          <w:iCs w:val="0"/>
          <w:color w:val="005874"/>
          <w:sz w:val="25"/>
          <w:szCs w:val="28"/>
        </w:rPr>
        <w:t xml:space="preserve"> </w:t>
      </w:r>
      <w:r w:rsidR="00065068">
        <w:rPr>
          <w:rFonts w:ascii="Calibri" w:eastAsia="Times New Roman" w:hAnsi="Calibri" w:cs="Times New Roman"/>
          <w:bCs/>
          <w:i w:val="0"/>
          <w:iCs w:val="0"/>
          <w:color w:val="005874"/>
          <w:sz w:val="25"/>
          <w:szCs w:val="28"/>
        </w:rPr>
        <w:t>R</w:t>
      </w:r>
      <w:r w:rsidR="00DD3324">
        <w:rPr>
          <w:rFonts w:ascii="Calibri" w:eastAsia="Times New Roman" w:hAnsi="Calibri" w:cs="Times New Roman"/>
          <w:bCs/>
          <w:i w:val="0"/>
          <w:iCs w:val="0"/>
          <w:color w:val="005874"/>
          <w:sz w:val="25"/>
          <w:szCs w:val="28"/>
        </w:rPr>
        <w:t>egulatory additionality</w:t>
      </w:r>
      <w:r w:rsidR="00540CC3" w:rsidRPr="008940AF">
        <w:rPr>
          <w:rFonts w:ascii="Calibri" w:eastAsia="Times New Roman" w:hAnsi="Calibri" w:cs="Times New Roman"/>
          <w:bCs/>
          <w:i w:val="0"/>
          <w:iCs w:val="0"/>
          <w:color w:val="005874"/>
          <w:sz w:val="25"/>
          <w:szCs w:val="28"/>
        </w:rPr>
        <w:t xml:space="preserve"> </w:t>
      </w:r>
    </w:p>
    <w:p w14:paraId="1E525FA9" w14:textId="7974FF3A" w:rsidR="00540CC3" w:rsidRDefault="005E04B8" w:rsidP="00A12397">
      <w:pPr>
        <w:rPr>
          <w:rFonts w:asciiTheme="minorHAnsi" w:eastAsiaTheme="minorHAnsi" w:hAnsiTheme="minorHAnsi" w:cstheme="minorBidi"/>
          <w:color w:val="000000" w:themeColor="text1"/>
          <w:szCs w:val="22"/>
          <w:lang w:val="en-GB"/>
        </w:rPr>
      </w:pPr>
      <w:r w:rsidRPr="00776BC9">
        <w:rPr>
          <w:rFonts w:asciiTheme="minorHAnsi" w:eastAsiaTheme="minorHAnsi" w:hAnsiTheme="minorHAnsi" w:cstheme="minorBidi"/>
          <w:color w:val="000000" w:themeColor="text1"/>
          <w:szCs w:val="22"/>
          <w:lang w:val="en-GB"/>
        </w:rPr>
        <w:t>For a project to be declared an eligible offset project, Section 27(4A)(</w:t>
      </w:r>
      <w:r w:rsidR="0092031B" w:rsidRPr="00776BC9">
        <w:rPr>
          <w:rFonts w:asciiTheme="minorHAnsi" w:eastAsiaTheme="minorHAnsi" w:hAnsiTheme="minorHAnsi" w:cstheme="minorBidi"/>
          <w:color w:val="000000" w:themeColor="text1"/>
          <w:szCs w:val="22"/>
          <w:lang w:val="en-GB"/>
        </w:rPr>
        <w:t>b</w:t>
      </w:r>
      <w:r w:rsidRPr="00776BC9">
        <w:rPr>
          <w:rFonts w:asciiTheme="minorHAnsi" w:eastAsiaTheme="minorHAnsi" w:hAnsiTheme="minorHAnsi" w:cstheme="minorBidi"/>
          <w:color w:val="000000" w:themeColor="text1"/>
          <w:szCs w:val="22"/>
          <w:lang w:val="en-GB"/>
        </w:rPr>
        <w:t xml:space="preserve">) of the CFI Act requires the project </w:t>
      </w:r>
      <w:r w:rsidR="009440E7" w:rsidRPr="00776BC9">
        <w:rPr>
          <w:rFonts w:asciiTheme="minorHAnsi" w:eastAsiaTheme="minorHAnsi" w:hAnsiTheme="minorHAnsi" w:cstheme="minorBidi"/>
          <w:color w:val="000000" w:themeColor="text1"/>
          <w:szCs w:val="22"/>
          <w:lang w:val="en-GB"/>
        </w:rPr>
        <w:t xml:space="preserve">is </w:t>
      </w:r>
      <w:r w:rsidRPr="00776BC9">
        <w:rPr>
          <w:rFonts w:asciiTheme="minorHAnsi" w:eastAsiaTheme="minorHAnsi" w:hAnsiTheme="minorHAnsi" w:cstheme="minorBidi"/>
          <w:color w:val="000000" w:themeColor="text1"/>
          <w:szCs w:val="22"/>
          <w:lang w:val="en-GB"/>
        </w:rPr>
        <w:t>‘</w:t>
      </w:r>
      <w:r w:rsidR="00753A77" w:rsidRPr="00776BC9">
        <w:rPr>
          <w:rFonts w:asciiTheme="minorHAnsi" w:eastAsiaTheme="minorHAnsi" w:hAnsiTheme="minorHAnsi" w:cstheme="minorBidi"/>
          <w:color w:val="000000" w:themeColor="text1"/>
          <w:szCs w:val="22"/>
          <w:lang w:val="en-GB"/>
        </w:rPr>
        <w:t>not required to be carried out by or under a law of the Commonwealth, a State or a Territory’</w:t>
      </w:r>
      <w:r w:rsidR="001922D1">
        <w:rPr>
          <w:rFonts w:asciiTheme="minorHAnsi" w:eastAsiaTheme="minorHAnsi" w:hAnsiTheme="minorHAnsi" w:cstheme="minorBidi"/>
          <w:color w:val="000000" w:themeColor="text1"/>
          <w:szCs w:val="22"/>
          <w:lang w:val="en-GB"/>
        </w:rPr>
        <w:t xml:space="preserve"> (regulatory additionality)</w:t>
      </w:r>
      <w:r w:rsidR="00753A77" w:rsidRPr="00776BC9">
        <w:rPr>
          <w:rFonts w:asciiTheme="minorHAnsi" w:eastAsiaTheme="minorHAnsi" w:hAnsiTheme="minorHAnsi" w:cstheme="minorBidi"/>
          <w:color w:val="000000" w:themeColor="text1"/>
          <w:szCs w:val="22"/>
          <w:lang w:val="en-GB"/>
        </w:rPr>
        <w:t>.</w:t>
      </w:r>
    </w:p>
    <w:p w14:paraId="3B54F51D" w14:textId="13D7F63A" w:rsidR="0021353A" w:rsidRDefault="00124D85" w:rsidP="00A12397">
      <w:pPr>
        <w:rPr>
          <w:rFonts w:asciiTheme="minorHAnsi" w:eastAsiaTheme="minorHAnsi" w:hAnsiTheme="minorHAnsi" w:cstheme="minorBidi"/>
          <w:color w:val="000000" w:themeColor="text1"/>
          <w:szCs w:val="22"/>
          <w:lang w:val="en-GB"/>
        </w:rPr>
      </w:pPr>
      <w:r>
        <w:rPr>
          <w:rFonts w:asciiTheme="minorHAnsi" w:eastAsiaTheme="minorHAnsi" w:hAnsiTheme="minorHAnsi" w:cstheme="minorBidi"/>
          <w:color w:val="000000" w:themeColor="text1"/>
          <w:szCs w:val="22"/>
          <w:lang w:val="en-GB"/>
        </w:rPr>
        <w:t xml:space="preserve">In October 2020, the Clean Energy Regulator published guidance </w:t>
      </w:r>
      <w:r w:rsidR="00AC7DBC" w:rsidRPr="0054609D">
        <w:rPr>
          <w:rFonts w:asciiTheme="minorHAnsi" w:eastAsiaTheme="minorHAnsi" w:hAnsiTheme="minorHAnsi" w:cstheme="minorBidi"/>
          <w:color w:val="000000" w:themeColor="text1"/>
          <w:szCs w:val="22"/>
          <w:lang w:val="en-GB"/>
        </w:rPr>
        <w:t xml:space="preserve">on </w:t>
      </w:r>
      <w:r w:rsidR="00AC7DBC">
        <w:rPr>
          <w:rFonts w:asciiTheme="minorHAnsi" w:eastAsiaTheme="minorHAnsi" w:hAnsiTheme="minorHAnsi" w:cstheme="minorBidi"/>
          <w:color w:val="000000" w:themeColor="text1"/>
          <w:szCs w:val="22"/>
          <w:lang w:val="en-GB"/>
        </w:rPr>
        <w:t>the</w:t>
      </w:r>
      <w:r w:rsidR="00AC7DBC" w:rsidRPr="0054609D">
        <w:rPr>
          <w:rFonts w:asciiTheme="minorHAnsi" w:eastAsiaTheme="minorHAnsi" w:hAnsiTheme="minorHAnsi" w:cstheme="minorBidi"/>
          <w:color w:val="000000" w:themeColor="text1"/>
          <w:szCs w:val="22"/>
          <w:lang w:val="en-GB"/>
        </w:rPr>
        <w:t xml:space="preserve"> approach </w:t>
      </w:r>
      <w:r w:rsidR="002D6C4B">
        <w:rPr>
          <w:rFonts w:asciiTheme="minorHAnsi" w:eastAsiaTheme="minorHAnsi" w:hAnsiTheme="minorHAnsi" w:cstheme="minorBidi"/>
          <w:color w:val="000000" w:themeColor="text1"/>
          <w:szCs w:val="22"/>
          <w:lang w:val="en-GB"/>
        </w:rPr>
        <w:t xml:space="preserve">for </w:t>
      </w:r>
      <w:r w:rsidR="00AC7DBC" w:rsidRPr="0054609D">
        <w:rPr>
          <w:rFonts w:asciiTheme="minorHAnsi" w:eastAsiaTheme="minorHAnsi" w:hAnsiTheme="minorHAnsi" w:cstheme="minorBidi"/>
          <w:color w:val="000000" w:themeColor="text1"/>
          <w:szCs w:val="22"/>
          <w:lang w:val="en-GB"/>
        </w:rPr>
        <w:t xml:space="preserve">addressing regulatory additionality where </w:t>
      </w:r>
      <w:r w:rsidR="00244AE7">
        <w:rPr>
          <w:rFonts w:asciiTheme="minorHAnsi" w:eastAsiaTheme="minorHAnsi" w:hAnsiTheme="minorHAnsi" w:cstheme="minorBidi"/>
          <w:color w:val="000000" w:themeColor="text1"/>
          <w:szCs w:val="22"/>
          <w:lang w:val="en-GB"/>
        </w:rPr>
        <w:t xml:space="preserve">greenhouse </w:t>
      </w:r>
      <w:r w:rsidR="001C5BD7">
        <w:rPr>
          <w:rFonts w:asciiTheme="minorHAnsi" w:eastAsiaTheme="minorHAnsi" w:hAnsiTheme="minorHAnsi" w:cstheme="minorBidi"/>
          <w:color w:val="000000" w:themeColor="text1"/>
          <w:szCs w:val="22"/>
          <w:lang w:val="en-GB"/>
        </w:rPr>
        <w:t>g</w:t>
      </w:r>
      <w:r w:rsidR="00244AE7">
        <w:rPr>
          <w:rFonts w:asciiTheme="minorHAnsi" w:eastAsiaTheme="minorHAnsi" w:hAnsiTheme="minorHAnsi" w:cstheme="minorBidi"/>
          <w:color w:val="000000" w:themeColor="text1"/>
          <w:szCs w:val="22"/>
          <w:lang w:val="en-GB"/>
        </w:rPr>
        <w:t xml:space="preserve">as </w:t>
      </w:r>
      <w:r w:rsidR="00AC7DBC" w:rsidRPr="0054609D">
        <w:rPr>
          <w:rFonts w:asciiTheme="minorHAnsi" w:eastAsiaTheme="minorHAnsi" w:hAnsiTheme="minorHAnsi" w:cstheme="minorBidi"/>
          <w:color w:val="000000" w:themeColor="text1"/>
          <w:szCs w:val="22"/>
          <w:lang w:val="en-GB"/>
        </w:rPr>
        <w:t>offset obligations are imposed by State or Territory Governments</w:t>
      </w:r>
      <w:r w:rsidR="00AC7DBC">
        <w:rPr>
          <w:rStyle w:val="FootnoteReference"/>
          <w:rFonts w:asciiTheme="minorHAnsi" w:eastAsiaTheme="minorHAnsi" w:hAnsiTheme="minorHAnsi" w:cstheme="minorBidi"/>
          <w:color w:val="000000" w:themeColor="text1"/>
          <w:szCs w:val="22"/>
          <w:lang w:val="en-GB"/>
        </w:rPr>
        <w:footnoteReference w:id="9"/>
      </w:r>
      <w:r w:rsidR="002D6C4B">
        <w:rPr>
          <w:rFonts w:asciiTheme="minorHAnsi" w:eastAsiaTheme="minorHAnsi" w:hAnsiTheme="minorHAnsi" w:cstheme="minorBidi"/>
          <w:color w:val="000000" w:themeColor="text1"/>
          <w:szCs w:val="22"/>
          <w:lang w:val="en-GB"/>
        </w:rPr>
        <w:t>.</w:t>
      </w:r>
      <w:r w:rsidR="0054609D" w:rsidRPr="0054609D">
        <w:rPr>
          <w:rFonts w:asciiTheme="minorHAnsi" w:eastAsiaTheme="minorHAnsi" w:hAnsiTheme="minorHAnsi" w:cstheme="minorBidi"/>
          <w:color w:val="000000" w:themeColor="text1"/>
          <w:szCs w:val="22"/>
          <w:lang w:val="en-GB"/>
        </w:rPr>
        <w:t xml:space="preserve"> </w:t>
      </w:r>
      <w:r w:rsidR="001922D1">
        <w:rPr>
          <w:rFonts w:asciiTheme="minorHAnsi" w:eastAsiaTheme="minorHAnsi" w:hAnsiTheme="minorHAnsi" w:cstheme="minorBidi"/>
          <w:color w:val="000000" w:themeColor="text1"/>
          <w:szCs w:val="22"/>
          <w:lang w:val="en-GB"/>
        </w:rPr>
        <w:t xml:space="preserve">In brief, where an entity establishes an ERF project and is also subject to a regulatory obligation to reduce or offset their emissions, any ACCUs generated by that project used to meet the regulatory requirements must be put aside permanently in a Commonwealth holding account. </w:t>
      </w:r>
      <w:r w:rsidR="0021353A">
        <w:rPr>
          <w:rFonts w:asciiTheme="minorHAnsi" w:eastAsiaTheme="minorHAnsi" w:hAnsiTheme="minorHAnsi" w:cstheme="minorBidi"/>
          <w:color w:val="000000" w:themeColor="text1"/>
          <w:szCs w:val="22"/>
          <w:lang w:val="en-GB"/>
        </w:rPr>
        <w:t xml:space="preserve">These units cannot be sold or transferred to another party including the Commonwealth. </w:t>
      </w:r>
      <w:r w:rsidR="00C3454D">
        <w:rPr>
          <w:rFonts w:asciiTheme="minorHAnsi" w:eastAsiaTheme="minorHAnsi" w:hAnsiTheme="minorHAnsi" w:cstheme="minorBidi"/>
          <w:color w:val="000000" w:themeColor="text1"/>
          <w:szCs w:val="22"/>
          <w:lang w:val="en-GB"/>
        </w:rPr>
        <w:t>However, a</w:t>
      </w:r>
      <w:r w:rsidR="00C3454D" w:rsidRPr="008F2EFF">
        <w:rPr>
          <w:rFonts w:asciiTheme="minorHAnsi" w:eastAsiaTheme="minorHAnsi" w:hAnsiTheme="minorHAnsi" w:cstheme="minorBidi"/>
          <w:color w:val="000000" w:themeColor="text1"/>
          <w:szCs w:val="22"/>
          <w:lang w:val="en-GB"/>
        </w:rPr>
        <w:t xml:space="preserve">ny ACCUs resulting from the project that are not used to meet </w:t>
      </w:r>
      <w:r w:rsidR="001922D1">
        <w:rPr>
          <w:rFonts w:asciiTheme="minorHAnsi" w:eastAsiaTheme="minorHAnsi" w:hAnsiTheme="minorHAnsi" w:cstheme="minorBidi"/>
          <w:color w:val="000000" w:themeColor="text1"/>
          <w:szCs w:val="22"/>
          <w:lang w:val="en-GB"/>
        </w:rPr>
        <w:t xml:space="preserve">regulatory </w:t>
      </w:r>
      <w:r w:rsidR="00C3454D" w:rsidRPr="008F2EFF">
        <w:rPr>
          <w:rFonts w:asciiTheme="minorHAnsi" w:eastAsiaTheme="minorHAnsi" w:hAnsiTheme="minorHAnsi" w:cstheme="minorBidi"/>
          <w:color w:val="000000" w:themeColor="text1"/>
          <w:szCs w:val="22"/>
          <w:lang w:val="en-GB"/>
        </w:rPr>
        <w:t>obligation</w:t>
      </w:r>
      <w:r w:rsidR="00904420">
        <w:rPr>
          <w:rFonts w:asciiTheme="minorHAnsi" w:eastAsiaTheme="minorHAnsi" w:hAnsiTheme="minorHAnsi" w:cstheme="minorBidi"/>
          <w:color w:val="000000" w:themeColor="text1"/>
          <w:szCs w:val="22"/>
          <w:lang w:val="en-GB"/>
        </w:rPr>
        <w:t>s</w:t>
      </w:r>
      <w:r w:rsidR="00C3454D" w:rsidRPr="008F2EFF">
        <w:rPr>
          <w:rFonts w:asciiTheme="minorHAnsi" w:eastAsiaTheme="minorHAnsi" w:hAnsiTheme="minorHAnsi" w:cstheme="minorBidi"/>
          <w:color w:val="000000" w:themeColor="text1"/>
          <w:szCs w:val="22"/>
          <w:lang w:val="en-GB"/>
        </w:rPr>
        <w:t xml:space="preserve"> c</w:t>
      </w:r>
      <w:r w:rsidR="001922D1">
        <w:rPr>
          <w:rFonts w:asciiTheme="minorHAnsi" w:eastAsiaTheme="minorHAnsi" w:hAnsiTheme="minorHAnsi" w:cstheme="minorBidi"/>
          <w:color w:val="000000" w:themeColor="text1"/>
          <w:szCs w:val="22"/>
          <w:lang w:val="en-GB"/>
        </w:rPr>
        <w:t>an</w:t>
      </w:r>
      <w:r w:rsidR="00C3454D" w:rsidRPr="008F2EFF">
        <w:rPr>
          <w:rFonts w:asciiTheme="minorHAnsi" w:eastAsiaTheme="minorHAnsi" w:hAnsiTheme="minorHAnsi" w:cstheme="minorBidi"/>
          <w:color w:val="000000" w:themeColor="text1"/>
          <w:szCs w:val="22"/>
          <w:lang w:val="en-GB"/>
        </w:rPr>
        <w:t xml:space="preserve"> be made available to the market</w:t>
      </w:r>
      <w:r w:rsidR="00E75FBA">
        <w:rPr>
          <w:rFonts w:asciiTheme="minorHAnsi" w:eastAsiaTheme="minorHAnsi" w:hAnsiTheme="minorHAnsi" w:cstheme="minorBidi"/>
          <w:color w:val="000000" w:themeColor="text1"/>
          <w:szCs w:val="22"/>
          <w:lang w:val="en-GB"/>
        </w:rPr>
        <w:t>.</w:t>
      </w:r>
    </w:p>
    <w:p w14:paraId="71B69D0C" w14:textId="78B99037" w:rsidR="00121F91" w:rsidRPr="0054609D" w:rsidRDefault="001922D1" w:rsidP="00A12397">
      <w:pPr>
        <w:rPr>
          <w:rFonts w:asciiTheme="minorHAnsi" w:eastAsiaTheme="minorHAnsi" w:hAnsiTheme="minorHAnsi" w:cstheme="minorBidi"/>
          <w:color w:val="000000" w:themeColor="text1"/>
          <w:szCs w:val="22"/>
          <w:lang w:val="en-GB"/>
        </w:rPr>
      </w:pPr>
      <w:bookmarkStart w:id="19" w:name="_Hlk58412217"/>
      <w:r>
        <w:rPr>
          <w:rFonts w:asciiTheme="minorHAnsi" w:eastAsiaTheme="minorHAnsi" w:hAnsiTheme="minorHAnsi" w:cstheme="minorBidi"/>
          <w:color w:val="000000" w:themeColor="text1"/>
          <w:szCs w:val="22"/>
          <w:lang w:val="en-GB"/>
        </w:rPr>
        <w:t xml:space="preserve">This means that if there is a regulatory requirement on </w:t>
      </w:r>
      <w:r w:rsidR="00384534">
        <w:rPr>
          <w:rFonts w:asciiTheme="minorHAnsi" w:eastAsiaTheme="minorHAnsi" w:hAnsiTheme="minorHAnsi" w:cstheme="minorBidi"/>
          <w:color w:val="000000" w:themeColor="text1"/>
          <w:szCs w:val="22"/>
          <w:lang w:val="en-GB"/>
        </w:rPr>
        <w:t xml:space="preserve">a </w:t>
      </w:r>
      <w:r w:rsidR="00921A9E">
        <w:rPr>
          <w:rFonts w:asciiTheme="minorHAnsi" w:eastAsiaTheme="minorHAnsi" w:hAnsiTheme="minorHAnsi" w:cstheme="minorBidi"/>
          <w:color w:val="000000" w:themeColor="text1"/>
          <w:szCs w:val="22"/>
          <w:lang w:val="en-GB"/>
        </w:rPr>
        <w:t xml:space="preserve">biomethane </w:t>
      </w:r>
      <w:r w:rsidR="00384534">
        <w:rPr>
          <w:rFonts w:asciiTheme="minorHAnsi" w:eastAsiaTheme="minorHAnsi" w:hAnsiTheme="minorHAnsi" w:cstheme="minorBidi"/>
          <w:color w:val="000000" w:themeColor="text1"/>
          <w:szCs w:val="22"/>
          <w:lang w:val="en-GB"/>
        </w:rPr>
        <w:t xml:space="preserve">project to meet an offset or emissions reduction obligation, then the project will only be able to sell ACCUs to the extent that the project </w:t>
      </w:r>
      <w:r>
        <w:rPr>
          <w:rFonts w:asciiTheme="minorHAnsi" w:eastAsiaTheme="minorHAnsi" w:hAnsiTheme="minorHAnsi" w:cstheme="minorBidi"/>
          <w:color w:val="000000" w:themeColor="text1"/>
          <w:szCs w:val="22"/>
          <w:lang w:val="en-GB"/>
        </w:rPr>
        <w:t xml:space="preserve">results in more abatement </w:t>
      </w:r>
      <w:r w:rsidR="00384534">
        <w:rPr>
          <w:rFonts w:asciiTheme="minorHAnsi" w:eastAsiaTheme="minorHAnsi" w:hAnsiTheme="minorHAnsi" w:cstheme="minorBidi"/>
          <w:color w:val="000000" w:themeColor="text1"/>
          <w:szCs w:val="22"/>
          <w:lang w:val="en-GB"/>
        </w:rPr>
        <w:t>than the offsetting obligation requires.</w:t>
      </w:r>
      <w:r w:rsidR="00F34D21">
        <w:rPr>
          <w:rFonts w:asciiTheme="minorHAnsi" w:eastAsiaTheme="minorHAnsi" w:hAnsiTheme="minorHAnsi" w:cstheme="minorBidi"/>
          <w:color w:val="000000" w:themeColor="text1"/>
          <w:szCs w:val="22"/>
          <w:lang w:val="en-GB"/>
        </w:rPr>
        <w:t xml:space="preserve"> </w:t>
      </w:r>
      <w:bookmarkEnd w:id="19"/>
    </w:p>
    <w:p w14:paraId="5627AD19" w14:textId="13F8BD31" w:rsidR="00443DCD" w:rsidRPr="008940AF" w:rsidRDefault="00443DCD" w:rsidP="008940AF">
      <w:pPr>
        <w:pStyle w:val="Heading4"/>
        <w:keepLines w:val="0"/>
        <w:spacing w:before="240" w:after="200"/>
        <w:rPr>
          <w:rFonts w:ascii="Calibri" w:eastAsia="Times New Roman" w:hAnsi="Calibri" w:cs="Times New Roman"/>
          <w:bCs/>
          <w:i w:val="0"/>
          <w:iCs w:val="0"/>
          <w:color w:val="005874"/>
          <w:sz w:val="25"/>
          <w:szCs w:val="28"/>
        </w:rPr>
      </w:pPr>
      <w:bookmarkStart w:id="20" w:name="_Toc57100994"/>
      <w:r w:rsidRPr="008940AF">
        <w:rPr>
          <w:rFonts w:ascii="Calibri" w:eastAsia="Times New Roman" w:hAnsi="Calibri" w:cs="Times New Roman"/>
          <w:bCs/>
          <w:i w:val="0"/>
          <w:iCs w:val="0"/>
          <w:color w:val="005874"/>
          <w:sz w:val="25"/>
          <w:szCs w:val="28"/>
        </w:rPr>
        <w:t xml:space="preserve">Additionality – Government </w:t>
      </w:r>
      <w:r w:rsidR="00065068">
        <w:rPr>
          <w:rFonts w:ascii="Calibri" w:eastAsia="Times New Roman" w:hAnsi="Calibri" w:cs="Times New Roman"/>
          <w:bCs/>
          <w:i w:val="0"/>
          <w:iCs w:val="0"/>
          <w:color w:val="005874"/>
          <w:sz w:val="25"/>
          <w:szCs w:val="28"/>
        </w:rPr>
        <w:t>program additionality</w:t>
      </w:r>
      <w:r w:rsidRPr="008940AF">
        <w:rPr>
          <w:rFonts w:ascii="Calibri" w:eastAsia="Times New Roman" w:hAnsi="Calibri" w:cs="Times New Roman"/>
          <w:bCs/>
          <w:i w:val="0"/>
          <w:iCs w:val="0"/>
          <w:color w:val="005874"/>
          <w:sz w:val="25"/>
          <w:szCs w:val="28"/>
        </w:rPr>
        <w:t xml:space="preserve"> </w:t>
      </w:r>
      <w:bookmarkEnd w:id="20"/>
    </w:p>
    <w:p w14:paraId="33310F13" w14:textId="4B531D29" w:rsidR="001922D1" w:rsidRDefault="00443DCD" w:rsidP="00A12397">
      <w:pPr>
        <w:rPr>
          <w:rFonts w:asciiTheme="minorHAnsi" w:eastAsiaTheme="minorEastAsia" w:hAnsiTheme="minorHAnsi" w:cstheme="minorBidi"/>
          <w:color w:val="000000" w:themeColor="text1"/>
          <w:lang w:val="en-GB"/>
        </w:rPr>
      </w:pPr>
      <w:r w:rsidRPr="20F7574B">
        <w:rPr>
          <w:rFonts w:asciiTheme="minorHAnsi" w:eastAsiaTheme="minorEastAsia" w:hAnsiTheme="minorHAnsi" w:cstheme="minorBidi"/>
          <w:color w:val="000000" w:themeColor="text1"/>
          <w:lang w:val="en-GB"/>
        </w:rPr>
        <w:t xml:space="preserve">Section 21 of </w:t>
      </w:r>
      <w:r w:rsidRPr="00C41E81">
        <w:rPr>
          <w:rFonts w:asciiTheme="minorHAnsi" w:eastAsiaTheme="minorEastAsia" w:hAnsiTheme="minorHAnsi" w:cstheme="minorBidi"/>
          <w:color w:val="000000" w:themeColor="text1"/>
          <w:lang w:val="en-GB"/>
        </w:rPr>
        <w:t xml:space="preserve">the </w:t>
      </w:r>
      <w:r w:rsidRPr="00084DC9">
        <w:rPr>
          <w:rFonts w:asciiTheme="minorHAnsi" w:eastAsiaTheme="minorEastAsia" w:hAnsiTheme="minorHAnsi" w:cstheme="minorBidi"/>
          <w:color w:val="000000" w:themeColor="text1"/>
          <w:lang w:val="en-GB"/>
        </w:rPr>
        <w:t>CFI Rule</w:t>
      </w:r>
      <w:r w:rsidRPr="00C41E81">
        <w:rPr>
          <w:rFonts w:asciiTheme="minorHAnsi" w:eastAsiaTheme="minorEastAsia" w:hAnsiTheme="minorHAnsi" w:cstheme="minorBidi"/>
          <w:color w:val="000000" w:themeColor="text1"/>
          <w:lang w:val="en-GB"/>
        </w:rPr>
        <w:t xml:space="preserve"> </w:t>
      </w:r>
      <w:r w:rsidR="079AE2E9" w:rsidRPr="00084DC9">
        <w:rPr>
          <w:rFonts w:asciiTheme="minorHAnsi" w:eastAsiaTheme="minorEastAsia" w:hAnsiTheme="minorHAnsi" w:cstheme="minorBidi"/>
          <w:color w:val="000000" w:themeColor="text1"/>
          <w:lang w:val="en-GB"/>
        </w:rPr>
        <w:t>creates</w:t>
      </w:r>
      <w:r w:rsidR="079AE2E9" w:rsidRPr="20F7574B">
        <w:rPr>
          <w:rFonts w:asciiTheme="minorHAnsi" w:eastAsiaTheme="minorEastAsia" w:hAnsiTheme="minorHAnsi" w:cstheme="minorBidi"/>
          <w:color w:val="000000" w:themeColor="text1"/>
          <w:lang w:val="en-GB"/>
        </w:rPr>
        <w:t xml:space="preserve"> in</w:t>
      </w:r>
      <w:r w:rsidR="004B20AF">
        <w:rPr>
          <w:rFonts w:asciiTheme="minorHAnsi" w:eastAsiaTheme="minorEastAsia" w:hAnsiTheme="minorHAnsi" w:cstheme="minorBidi"/>
          <w:color w:val="000000" w:themeColor="text1"/>
          <w:lang w:val="en-GB"/>
        </w:rPr>
        <w:t xml:space="preserve"> </w:t>
      </w:r>
      <w:r w:rsidR="079AE2E9" w:rsidRPr="20F7574B">
        <w:rPr>
          <w:rFonts w:asciiTheme="minorHAnsi" w:eastAsiaTheme="minorEastAsia" w:hAnsiTheme="minorHAnsi" w:cstheme="minorBidi"/>
          <w:color w:val="000000" w:themeColor="text1"/>
          <w:lang w:val="en-GB"/>
        </w:rPr>
        <w:t xml:space="preserve">lieu </w:t>
      </w:r>
      <w:r w:rsidR="004B20AF">
        <w:rPr>
          <w:rFonts w:asciiTheme="minorHAnsi" w:eastAsiaTheme="minorEastAsia" w:hAnsiTheme="minorHAnsi" w:cstheme="minorBidi"/>
          <w:color w:val="000000" w:themeColor="text1"/>
          <w:lang w:val="en-GB"/>
        </w:rPr>
        <w:t xml:space="preserve">of </w:t>
      </w:r>
      <w:r w:rsidR="008B51DA">
        <w:rPr>
          <w:rFonts w:asciiTheme="minorHAnsi" w:eastAsiaTheme="minorEastAsia" w:hAnsiTheme="minorHAnsi" w:cstheme="minorBidi"/>
          <w:color w:val="000000" w:themeColor="text1"/>
          <w:lang w:val="en-GB"/>
        </w:rPr>
        <w:t>g</w:t>
      </w:r>
      <w:r w:rsidR="079AE2E9" w:rsidRPr="20F7574B">
        <w:rPr>
          <w:rFonts w:asciiTheme="minorHAnsi" w:eastAsiaTheme="minorEastAsia" w:hAnsiTheme="minorHAnsi" w:cstheme="minorBidi"/>
          <w:color w:val="000000" w:themeColor="text1"/>
          <w:lang w:val="en-GB"/>
        </w:rPr>
        <w:t xml:space="preserve">overnment </w:t>
      </w:r>
      <w:r w:rsidR="008B51DA">
        <w:rPr>
          <w:rFonts w:asciiTheme="minorHAnsi" w:eastAsiaTheme="minorEastAsia" w:hAnsiTheme="minorHAnsi" w:cstheme="minorBidi"/>
          <w:color w:val="000000" w:themeColor="text1"/>
          <w:lang w:val="en-GB"/>
        </w:rPr>
        <w:t>p</w:t>
      </w:r>
      <w:r w:rsidR="079AE2E9" w:rsidRPr="20F7574B">
        <w:rPr>
          <w:rFonts w:asciiTheme="minorHAnsi" w:eastAsiaTheme="minorEastAsia" w:hAnsiTheme="minorHAnsi" w:cstheme="minorBidi"/>
          <w:color w:val="000000" w:themeColor="text1"/>
          <w:lang w:val="en-GB"/>
        </w:rPr>
        <w:t>rogram requirements that substitute for the general requirements in paragraph 27(4A)</w:t>
      </w:r>
      <w:r w:rsidR="1452A639" w:rsidRPr="20F7574B">
        <w:rPr>
          <w:rFonts w:asciiTheme="minorHAnsi" w:eastAsiaTheme="minorEastAsia" w:hAnsiTheme="minorHAnsi" w:cstheme="minorBidi"/>
          <w:color w:val="000000" w:themeColor="text1"/>
          <w:lang w:val="en-GB"/>
        </w:rPr>
        <w:t>(c)(i) of the CFI Act</w:t>
      </w:r>
      <w:r w:rsidR="001922D1">
        <w:rPr>
          <w:rFonts w:asciiTheme="minorHAnsi" w:eastAsiaTheme="minorEastAsia" w:hAnsiTheme="minorHAnsi" w:cstheme="minorBidi"/>
          <w:color w:val="000000" w:themeColor="text1"/>
          <w:lang w:val="en-GB"/>
        </w:rPr>
        <w:t xml:space="preserve"> (</w:t>
      </w:r>
      <w:r w:rsidR="008A43C3">
        <w:rPr>
          <w:rFonts w:asciiTheme="minorHAnsi" w:eastAsiaTheme="minorEastAsia" w:hAnsiTheme="minorHAnsi" w:cstheme="minorBidi"/>
          <w:color w:val="000000" w:themeColor="text1"/>
          <w:lang w:val="en-GB"/>
        </w:rPr>
        <w:t>the government program requirement</w:t>
      </w:r>
      <w:r w:rsidR="001922D1">
        <w:rPr>
          <w:rFonts w:asciiTheme="minorHAnsi" w:eastAsiaTheme="minorEastAsia" w:hAnsiTheme="minorHAnsi" w:cstheme="minorBidi"/>
          <w:color w:val="000000" w:themeColor="text1"/>
          <w:lang w:val="en-GB"/>
        </w:rPr>
        <w:t>)</w:t>
      </w:r>
      <w:r w:rsidR="2ADEEAF8" w:rsidRPr="20F7574B">
        <w:rPr>
          <w:rFonts w:asciiTheme="minorHAnsi" w:eastAsiaTheme="minorEastAsia" w:hAnsiTheme="minorHAnsi" w:cstheme="minorBidi"/>
          <w:color w:val="000000" w:themeColor="text1"/>
          <w:lang w:val="en-GB"/>
        </w:rPr>
        <w:t>. Section 21 of the CFI Rule</w:t>
      </w:r>
      <w:r w:rsidRPr="20F7574B">
        <w:rPr>
          <w:rFonts w:asciiTheme="minorHAnsi" w:eastAsiaTheme="minorEastAsia" w:hAnsiTheme="minorHAnsi" w:cstheme="minorBidi"/>
          <w:color w:val="000000" w:themeColor="text1"/>
          <w:lang w:val="en-GB"/>
        </w:rPr>
        <w:t xml:space="preserve"> </w:t>
      </w:r>
      <w:r w:rsidR="1D1D0E9C" w:rsidRPr="20F7574B">
        <w:rPr>
          <w:rFonts w:asciiTheme="minorHAnsi" w:eastAsiaTheme="minorEastAsia" w:hAnsiTheme="minorHAnsi" w:cstheme="minorBidi"/>
          <w:color w:val="000000" w:themeColor="text1"/>
          <w:lang w:val="en-GB"/>
        </w:rPr>
        <w:t xml:space="preserve">excludes ERF projects from also receiving </w:t>
      </w:r>
      <w:r w:rsidR="4DA3D93C" w:rsidRPr="20F7574B">
        <w:rPr>
          <w:rFonts w:asciiTheme="minorHAnsi" w:eastAsiaTheme="minorEastAsia" w:hAnsiTheme="minorHAnsi" w:cstheme="minorBidi"/>
          <w:color w:val="000000" w:themeColor="text1"/>
          <w:lang w:val="en-GB"/>
        </w:rPr>
        <w:t xml:space="preserve">funding </w:t>
      </w:r>
      <w:r w:rsidR="008B51DA">
        <w:rPr>
          <w:rFonts w:asciiTheme="minorHAnsi" w:eastAsiaTheme="minorEastAsia" w:hAnsiTheme="minorHAnsi" w:cstheme="minorBidi"/>
          <w:color w:val="000000" w:themeColor="text1"/>
          <w:lang w:val="en-GB"/>
        </w:rPr>
        <w:t>or</w:t>
      </w:r>
      <w:r w:rsidR="4DA3D93C" w:rsidRPr="20F7574B">
        <w:rPr>
          <w:rFonts w:asciiTheme="minorHAnsi" w:eastAsiaTheme="minorEastAsia" w:hAnsiTheme="minorHAnsi" w:cstheme="minorBidi"/>
          <w:color w:val="000000" w:themeColor="text1"/>
          <w:lang w:val="en-GB"/>
        </w:rPr>
        <w:t xml:space="preserve"> certificates under</w:t>
      </w:r>
      <w:r w:rsidRPr="20F7574B">
        <w:rPr>
          <w:rFonts w:asciiTheme="minorHAnsi" w:eastAsiaTheme="minorEastAsia" w:hAnsiTheme="minorHAnsi" w:cstheme="minorBidi"/>
          <w:color w:val="000000" w:themeColor="text1"/>
          <w:lang w:val="en-GB"/>
        </w:rPr>
        <w:t xml:space="preserve"> </w:t>
      </w:r>
      <w:r w:rsidR="00F46132">
        <w:rPr>
          <w:rFonts w:asciiTheme="minorHAnsi" w:eastAsiaTheme="minorEastAsia" w:hAnsiTheme="minorHAnsi" w:cstheme="minorBidi"/>
          <w:color w:val="000000" w:themeColor="text1"/>
          <w:lang w:val="en-GB"/>
        </w:rPr>
        <w:t xml:space="preserve">some </w:t>
      </w:r>
      <w:r w:rsidRPr="20F7574B">
        <w:rPr>
          <w:rFonts w:asciiTheme="minorHAnsi" w:eastAsiaTheme="minorEastAsia" w:hAnsiTheme="minorHAnsi" w:cstheme="minorBidi"/>
          <w:color w:val="000000" w:themeColor="text1"/>
          <w:lang w:val="en-GB"/>
        </w:rPr>
        <w:t>State and Commonwealth programs</w:t>
      </w:r>
      <w:r w:rsidR="009C2919">
        <w:rPr>
          <w:rFonts w:asciiTheme="minorHAnsi" w:eastAsiaTheme="minorEastAsia" w:hAnsiTheme="minorHAnsi" w:cstheme="minorBidi"/>
          <w:color w:val="000000" w:themeColor="text1"/>
          <w:lang w:val="en-GB"/>
        </w:rPr>
        <w:t>, including the Renewable Energy Target</w:t>
      </w:r>
      <w:r w:rsidR="00F46132">
        <w:rPr>
          <w:rFonts w:asciiTheme="minorHAnsi" w:eastAsiaTheme="minorEastAsia" w:hAnsiTheme="minorHAnsi" w:cstheme="minorBidi"/>
          <w:color w:val="000000" w:themeColor="text1"/>
          <w:lang w:val="en-GB"/>
        </w:rPr>
        <w:t xml:space="preserve"> (in some circumstances)</w:t>
      </w:r>
      <w:r w:rsidR="009C2919">
        <w:rPr>
          <w:rFonts w:asciiTheme="minorHAnsi" w:eastAsiaTheme="minorEastAsia" w:hAnsiTheme="minorHAnsi" w:cstheme="minorBidi"/>
          <w:color w:val="000000" w:themeColor="text1"/>
          <w:lang w:val="en-GB"/>
        </w:rPr>
        <w:t xml:space="preserve">, </w:t>
      </w:r>
      <w:r w:rsidR="00336398">
        <w:rPr>
          <w:rFonts w:asciiTheme="minorHAnsi" w:eastAsiaTheme="minorEastAsia" w:hAnsiTheme="minorHAnsi" w:cstheme="minorBidi"/>
          <w:color w:val="000000" w:themeColor="text1"/>
          <w:lang w:val="en-GB"/>
        </w:rPr>
        <w:t xml:space="preserve">and </w:t>
      </w:r>
      <w:r w:rsidR="00F46132">
        <w:rPr>
          <w:rFonts w:asciiTheme="minorHAnsi" w:eastAsiaTheme="minorEastAsia" w:hAnsiTheme="minorHAnsi" w:cstheme="minorBidi"/>
          <w:color w:val="000000" w:themeColor="text1"/>
          <w:lang w:val="en-GB"/>
        </w:rPr>
        <w:t xml:space="preserve">some </w:t>
      </w:r>
      <w:r w:rsidR="009C2919">
        <w:rPr>
          <w:rFonts w:asciiTheme="minorHAnsi" w:eastAsiaTheme="minorEastAsia" w:hAnsiTheme="minorHAnsi" w:cstheme="minorBidi"/>
          <w:color w:val="000000" w:themeColor="text1"/>
          <w:lang w:val="en-GB"/>
        </w:rPr>
        <w:t>state-based energy efficiency certificate schemes</w:t>
      </w:r>
      <w:r w:rsidRPr="20F7574B">
        <w:rPr>
          <w:rFonts w:asciiTheme="minorHAnsi" w:eastAsiaTheme="minorEastAsia" w:hAnsiTheme="minorHAnsi" w:cstheme="minorBidi"/>
          <w:color w:val="000000" w:themeColor="text1"/>
          <w:lang w:val="en-GB"/>
        </w:rPr>
        <w:t xml:space="preserve">. </w:t>
      </w:r>
    </w:p>
    <w:p w14:paraId="4B287DAF" w14:textId="7C102430" w:rsidR="00443DCD" w:rsidRPr="00443DCD" w:rsidRDefault="001922D1" w:rsidP="00A12397">
      <w:pPr>
        <w:rPr>
          <w:rFonts w:asciiTheme="minorHAnsi" w:eastAsiaTheme="minorEastAsia" w:hAnsiTheme="minorHAnsi" w:cstheme="minorBidi"/>
          <w:color w:val="000000" w:themeColor="text1"/>
          <w:lang w:val="en-GB"/>
        </w:rPr>
      </w:pPr>
      <w:r>
        <w:rPr>
          <w:rFonts w:asciiTheme="minorHAnsi" w:eastAsiaTheme="minorEastAsia" w:hAnsiTheme="minorHAnsi" w:cstheme="minorBidi"/>
          <w:color w:val="000000" w:themeColor="text1"/>
          <w:lang w:val="en-GB"/>
        </w:rPr>
        <w:t xml:space="preserve">This means that </w:t>
      </w:r>
      <w:r w:rsidR="49ECFA9A" w:rsidRPr="20F7574B">
        <w:rPr>
          <w:rFonts w:asciiTheme="minorHAnsi" w:eastAsiaTheme="minorEastAsia" w:hAnsiTheme="minorHAnsi" w:cstheme="minorBidi"/>
          <w:color w:val="000000" w:themeColor="text1"/>
          <w:lang w:val="en-GB"/>
        </w:rPr>
        <w:t xml:space="preserve">ERF projects </w:t>
      </w:r>
      <w:r>
        <w:rPr>
          <w:rFonts w:asciiTheme="minorHAnsi" w:eastAsiaTheme="minorEastAsia" w:hAnsiTheme="minorHAnsi" w:cstheme="minorBidi"/>
          <w:color w:val="000000" w:themeColor="text1"/>
          <w:lang w:val="en-GB"/>
        </w:rPr>
        <w:t xml:space="preserve">are able to </w:t>
      </w:r>
      <w:r w:rsidR="49ECFA9A" w:rsidRPr="20F7574B">
        <w:rPr>
          <w:rFonts w:asciiTheme="minorHAnsi" w:eastAsiaTheme="minorEastAsia" w:hAnsiTheme="minorHAnsi" w:cstheme="minorBidi"/>
          <w:color w:val="000000" w:themeColor="text1"/>
          <w:lang w:val="en-GB"/>
        </w:rPr>
        <w:t xml:space="preserve">receive funding from other </w:t>
      </w:r>
      <w:r w:rsidR="003210D6">
        <w:rPr>
          <w:rFonts w:asciiTheme="minorHAnsi" w:eastAsiaTheme="minorEastAsia" w:hAnsiTheme="minorHAnsi" w:cstheme="minorBidi"/>
          <w:color w:val="000000" w:themeColor="text1"/>
          <w:lang w:val="en-GB"/>
        </w:rPr>
        <w:t>g</w:t>
      </w:r>
      <w:r w:rsidR="49ECFA9A" w:rsidRPr="20F7574B">
        <w:rPr>
          <w:rFonts w:asciiTheme="minorHAnsi" w:eastAsiaTheme="minorEastAsia" w:hAnsiTheme="minorHAnsi" w:cstheme="minorBidi"/>
          <w:color w:val="000000" w:themeColor="text1"/>
          <w:lang w:val="en-GB"/>
        </w:rPr>
        <w:t xml:space="preserve">overnment </w:t>
      </w:r>
      <w:r w:rsidR="003210D6">
        <w:rPr>
          <w:rFonts w:asciiTheme="minorHAnsi" w:eastAsiaTheme="minorEastAsia" w:hAnsiTheme="minorHAnsi" w:cstheme="minorBidi"/>
          <w:color w:val="000000" w:themeColor="text1"/>
          <w:lang w:val="en-GB"/>
        </w:rPr>
        <w:t>p</w:t>
      </w:r>
      <w:r w:rsidR="49ECFA9A" w:rsidRPr="20F7574B">
        <w:rPr>
          <w:rFonts w:asciiTheme="minorHAnsi" w:eastAsiaTheme="minorEastAsia" w:hAnsiTheme="minorHAnsi" w:cstheme="minorBidi"/>
          <w:color w:val="000000" w:themeColor="text1"/>
          <w:lang w:val="en-GB"/>
        </w:rPr>
        <w:t>rog</w:t>
      </w:r>
      <w:r w:rsidR="7FF2158E" w:rsidRPr="20F7574B">
        <w:rPr>
          <w:rFonts w:asciiTheme="minorHAnsi" w:eastAsiaTheme="minorEastAsia" w:hAnsiTheme="minorHAnsi" w:cstheme="minorBidi"/>
          <w:color w:val="000000" w:themeColor="text1"/>
          <w:lang w:val="en-GB"/>
        </w:rPr>
        <w:t>rams</w:t>
      </w:r>
      <w:r w:rsidR="00711CB0">
        <w:rPr>
          <w:rFonts w:asciiTheme="minorHAnsi" w:eastAsiaTheme="minorEastAsia" w:hAnsiTheme="minorHAnsi" w:cstheme="minorBidi"/>
          <w:color w:val="000000" w:themeColor="text1"/>
          <w:lang w:val="en-GB"/>
        </w:rPr>
        <w:t xml:space="preserve"> not listed in Section 21 of the CFI Rule</w:t>
      </w:r>
      <w:r>
        <w:rPr>
          <w:rFonts w:asciiTheme="minorHAnsi" w:eastAsiaTheme="minorEastAsia" w:hAnsiTheme="minorHAnsi" w:cstheme="minorBidi"/>
          <w:color w:val="000000" w:themeColor="text1"/>
          <w:lang w:val="en-GB"/>
        </w:rPr>
        <w:t xml:space="preserve">, subject to </w:t>
      </w:r>
      <w:r w:rsidR="008D2E1C">
        <w:rPr>
          <w:rFonts w:asciiTheme="minorHAnsi" w:eastAsiaTheme="minorEastAsia" w:hAnsiTheme="minorHAnsi" w:cstheme="minorBidi"/>
          <w:color w:val="000000" w:themeColor="text1"/>
          <w:lang w:val="en-GB"/>
        </w:rPr>
        <w:t xml:space="preserve">the </w:t>
      </w:r>
      <w:r>
        <w:rPr>
          <w:rFonts w:asciiTheme="minorHAnsi" w:eastAsiaTheme="minorEastAsia" w:hAnsiTheme="minorHAnsi" w:cstheme="minorBidi"/>
          <w:color w:val="000000" w:themeColor="text1"/>
          <w:lang w:val="en-GB"/>
        </w:rPr>
        <w:t>other eligibility requirements</w:t>
      </w:r>
      <w:r w:rsidR="466E0220" w:rsidRPr="20F7574B">
        <w:rPr>
          <w:rFonts w:asciiTheme="minorHAnsi" w:eastAsiaTheme="minorEastAsia" w:hAnsiTheme="minorHAnsi" w:cstheme="minorBidi"/>
          <w:color w:val="000000" w:themeColor="text1"/>
          <w:lang w:val="en-GB"/>
        </w:rPr>
        <w:t>.</w:t>
      </w:r>
      <w:r w:rsidR="7FF2158E" w:rsidRPr="20F7574B">
        <w:rPr>
          <w:rFonts w:asciiTheme="minorHAnsi" w:eastAsiaTheme="minorEastAsia" w:hAnsiTheme="minorHAnsi" w:cstheme="minorBidi"/>
          <w:color w:val="000000" w:themeColor="text1"/>
          <w:lang w:val="en-GB"/>
        </w:rPr>
        <w:t xml:space="preserve"> </w:t>
      </w:r>
    </w:p>
    <w:p w14:paraId="37843698" w14:textId="790C2733" w:rsidR="00F82C01" w:rsidRDefault="003F7292" w:rsidP="00F82C01">
      <w:pPr>
        <w:pStyle w:val="Heading2"/>
      </w:pPr>
      <w:bookmarkStart w:id="21" w:name="_Ref72319663"/>
      <w:bookmarkStart w:id="22" w:name="_Toc85030335"/>
      <w:r>
        <w:t>Crediting periods and start dates</w:t>
      </w:r>
      <w:bookmarkEnd w:id="21"/>
      <w:bookmarkEnd w:id="22"/>
      <w:r>
        <w:t xml:space="preserve"> </w:t>
      </w:r>
    </w:p>
    <w:p w14:paraId="365E7910" w14:textId="4E927B72" w:rsidR="002E1D11" w:rsidRPr="00726E98" w:rsidRDefault="001C4AA8" w:rsidP="00A12397">
      <w:pPr>
        <w:spacing w:after="180"/>
        <w:rPr>
          <w:rFonts w:asciiTheme="minorHAnsi" w:eastAsiaTheme="minorEastAsia" w:hAnsiTheme="minorHAnsi" w:cstheme="minorBidi"/>
          <w:color w:val="000000" w:themeColor="text1"/>
          <w:lang w:val="en-GB"/>
        </w:rPr>
      </w:pPr>
      <w:r w:rsidRPr="00D6378F">
        <w:rPr>
          <w:rFonts w:asciiTheme="minorHAnsi" w:eastAsiaTheme="minorEastAsia" w:hAnsiTheme="minorHAnsi" w:cstheme="minorBidi"/>
          <w:color w:val="000000" w:themeColor="text1"/>
          <w:lang w:val="en-GB"/>
        </w:rPr>
        <w:t xml:space="preserve">The </w:t>
      </w:r>
      <w:r w:rsidR="00B075D9">
        <w:rPr>
          <w:rFonts w:asciiTheme="minorHAnsi" w:eastAsiaTheme="minorEastAsia" w:hAnsiTheme="minorHAnsi" w:cstheme="minorBidi"/>
          <w:color w:val="000000" w:themeColor="text1"/>
          <w:lang w:val="en-GB"/>
        </w:rPr>
        <w:t>crediting period</w:t>
      </w:r>
      <w:r w:rsidR="00307DE8" w:rsidRPr="00D6378F">
        <w:rPr>
          <w:rFonts w:asciiTheme="minorHAnsi" w:eastAsiaTheme="minorEastAsia" w:hAnsiTheme="minorHAnsi" w:cstheme="minorBidi"/>
          <w:color w:val="000000" w:themeColor="text1"/>
          <w:lang w:val="en-GB"/>
        </w:rPr>
        <w:t xml:space="preserve"> </w:t>
      </w:r>
      <w:r w:rsidR="00511F40">
        <w:rPr>
          <w:rFonts w:asciiTheme="minorHAnsi" w:eastAsiaTheme="minorEastAsia" w:hAnsiTheme="minorHAnsi" w:cstheme="minorBidi"/>
          <w:color w:val="000000" w:themeColor="text1"/>
          <w:lang w:val="en-GB"/>
        </w:rPr>
        <w:t xml:space="preserve">and start date </w:t>
      </w:r>
      <w:r w:rsidRPr="00D6378F">
        <w:rPr>
          <w:rFonts w:asciiTheme="minorHAnsi" w:eastAsiaTheme="minorEastAsia" w:hAnsiTheme="minorHAnsi" w:cstheme="minorBidi"/>
          <w:color w:val="000000" w:themeColor="text1"/>
          <w:lang w:val="en-GB"/>
        </w:rPr>
        <w:t>e</w:t>
      </w:r>
      <w:r w:rsidR="002E1D11" w:rsidRPr="00D6378F">
        <w:rPr>
          <w:rFonts w:asciiTheme="minorHAnsi" w:eastAsiaTheme="minorEastAsia" w:hAnsiTheme="minorHAnsi" w:cstheme="minorBidi"/>
          <w:color w:val="000000" w:themeColor="text1"/>
          <w:lang w:val="en-GB"/>
        </w:rPr>
        <w:t xml:space="preserve">stablish the commencement and end date </w:t>
      </w:r>
      <w:r w:rsidR="003210D6">
        <w:rPr>
          <w:rFonts w:asciiTheme="minorHAnsi" w:eastAsiaTheme="minorEastAsia" w:hAnsiTheme="minorHAnsi" w:cstheme="minorBidi"/>
          <w:color w:val="000000" w:themeColor="text1"/>
          <w:lang w:val="en-GB"/>
        </w:rPr>
        <w:t xml:space="preserve">for </w:t>
      </w:r>
      <w:r w:rsidR="00AE01AB">
        <w:rPr>
          <w:rFonts w:asciiTheme="minorHAnsi" w:eastAsiaTheme="minorEastAsia" w:hAnsiTheme="minorHAnsi" w:cstheme="minorBidi"/>
          <w:color w:val="000000" w:themeColor="text1"/>
          <w:lang w:val="en-GB"/>
        </w:rPr>
        <w:t xml:space="preserve">the </w:t>
      </w:r>
      <w:r w:rsidR="002E1D11" w:rsidRPr="00D6378F">
        <w:rPr>
          <w:rFonts w:asciiTheme="minorHAnsi" w:eastAsiaTheme="minorEastAsia" w:hAnsiTheme="minorHAnsi" w:cstheme="minorBidi"/>
          <w:color w:val="000000" w:themeColor="text1"/>
          <w:lang w:val="en-GB"/>
        </w:rPr>
        <w:t xml:space="preserve">crediting </w:t>
      </w:r>
      <w:r w:rsidR="00AE01AB">
        <w:rPr>
          <w:rFonts w:asciiTheme="minorHAnsi" w:eastAsiaTheme="minorEastAsia" w:hAnsiTheme="minorHAnsi" w:cstheme="minorBidi"/>
          <w:color w:val="000000" w:themeColor="text1"/>
          <w:lang w:val="en-GB"/>
        </w:rPr>
        <w:t>o</w:t>
      </w:r>
      <w:r w:rsidR="002E1D11" w:rsidRPr="00D6378F">
        <w:rPr>
          <w:rFonts w:asciiTheme="minorHAnsi" w:eastAsiaTheme="minorEastAsia" w:hAnsiTheme="minorHAnsi" w:cstheme="minorBidi"/>
          <w:color w:val="000000" w:themeColor="text1"/>
          <w:lang w:val="en-GB"/>
        </w:rPr>
        <w:t xml:space="preserve">f </w:t>
      </w:r>
      <w:r w:rsidR="007601BB">
        <w:rPr>
          <w:rFonts w:asciiTheme="minorHAnsi" w:eastAsiaTheme="minorEastAsia" w:hAnsiTheme="minorHAnsi" w:cstheme="minorBidi"/>
          <w:color w:val="000000" w:themeColor="text1"/>
          <w:lang w:val="en-GB"/>
        </w:rPr>
        <w:t>ERF project</w:t>
      </w:r>
      <w:r w:rsidR="00AE01AB">
        <w:rPr>
          <w:rFonts w:asciiTheme="minorHAnsi" w:eastAsiaTheme="minorEastAsia" w:hAnsiTheme="minorHAnsi" w:cstheme="minorBidi"/>
          <w:color w:val="000000" w:themeColor="text1"/>
          <w:lang w:val="en-GB"/>
        </w:rPr>
        <w:t>s</w:t>
      </w:r>
      <w:r w:rsidR="00952023">
        <w:rPr>
          <w:rFonts w:asciiTheme="minorHAnsi" w:eastAsiaTheme="minorEastAsia" w:hAnsiTheme="minorHAnsi" w:cstheme="minorBidi"/>
          <w:color w:val="000000" w:themeColor="text1"/>
          <w:lang w:val="en-GB"/>
        </w:rPr>
        <w:t>,</w:t>
      </w:r>
      <w:r w:rsidR="00FB1885">
        <w:rPr>
          <w:rFonts w:asciiTheme="minorHAnsi" w:eastAsiaTheme="minorEastAsia" w:hAnsiTheme="minorHAnsi" w:cstheme="minorBidi"/>
          <w:color w:val="000000" w:themeColor="text1"/>
          <w:lang w:val="en-GB"/>
        </w:rPr>
        <w:t xml:space="preserve"> </w:t>
      </w:r>
      <w:r w:rsidR="0077140F">
        <w:rPr>
          <w:rFonts w:asciiTheme="minorHAnsi" w:eastAsiaTheme="minorEastAsia" w:hAnsiTheme="minorHAnsi" w:cstheme="minorBidi"/>
          <w:color w:val="000000" w:themeColor="text1"/>
          <w:lang w:val="en-GB"/>
        </w:rPr>
        <w:t>that is</w:t>
      </w:r>
      <w:r w:rsidR="00FB1885">
        <w:rPr>
          <w:rFonts w:asciiTheme="minorHAnsi" w:eastAsiaTheme="minorEastAsia" w:hAnsiTheme="minorHAnsi" w:cstheme="minorBidi"/>
          <w:color w:val="000000" w:themeColor="text1"/>
          <w:lang w:val="en-GB"/>
        </w:rPr>
        <w:t>,</w:t>
      </w:r>
      <w:r w:rsidR="0077140F">
        <w:rPr>
          <w:rFonts w:asciiTheme="minorHAnsi" w:eastAsiaTheme="minorEastAsia" w:hAnsiTheme="minorHAnsi" w:cstheme="minorBidi"/>
          <w:color w:val="000000" w:themeColor="text1"/>
          <w:lang w:val="en-GB"/>
        </w:rPr>
        <w:t xml:space="preserve"> </w:t>
      </w:r>
      <w:r w:rsidR="00F46132">
        <w:rPr>
          <w:rFonts w:asciiTheme="minorHAnsi" w:eastAsiaTheme="minorEastAsia" w:hAnsiTheme="minorHAnsi" w:cstheme="minorBidi"/>
          <w:color w:val="000000" w:themeColor="text1"/>
          <w:lang w:val="en-GB"/>
        </w:rPr>
        <w:t xml:space="preserve">the period of time </w:t>
      </w:r>
      <w:r w:rsidR="001922D1">
        <w:rPr>
          <w:rFonts w:asciiTheme="minorHAnsi" w:eastAsiaTheme="minorEastAsia" w:hAnsiTheme="minorHAnsi" w:cstheme="minorBidi"/>
          <w:color w:val="000000" w:themeColor="text1"/>
          <w:lang w:val="en-GB"/>
        </w:rPr>
        <w:t>over</w:t>
      </w:r>
      <w:r w:rsidR="00F46132">
        <w:rPr>
          <w:rFonts w:asciiTheme="minorHAnsi" w:eastAsiaTheme="minorEastAsia" w:hAnsiTheme="minorHAnsi" w:cstheme="minorBidi"/>
          <w:color w:val="000000" w:themeColor="text1"/>
          <w:lang w:val="en-GB"/>
        </w:rPr>
        <w:t xml:space="preserve"> which the project can receive ACCUs</w:t>
      </w:r>
      <w:r w:rsidR="002E1D11" w:rsidRPr="20F7574B">
        <w:rPr>
          <w:rFonts w:asciiTheme="minorHAnsi" w:eastAsiaTheme="minorEastAsia" w:hAnsiTheme="minorHAnsi" w:cstheme="minorBidi"/>
          <w:color w:val="000000" w:themeColor="text1"/>
          <w:lang w:val="en-GB"/>
        </w:rPr>
        <w:t xml:space="preserve">.  </w:t>
      </w:r>
    </w:p>
    <w:p w14:paraId="598FE054" w14:textId="48A3B03F" w:rsidR="00B5239A" w:rsidRPr="005E2593" w:rsidRDefault="007E508D" w:rsidP="00B5239A">
      <w:pPr>
        <w:pStyle w:val="Heading3"/>
        <w:rPr>
          <w:lang w:val="en-GB"/>
        </w:rPr>
      </w:pPr>
      <w:bookmarkStart w:id="23" w:name="_Toc57100995"/>
      <w:bookmarkStart w:id="24" w:name="_Toc85030336"/>
      <w:bookmarkStart w:id="25" w:name="_Toc57100996"/>
      <w:r>
        <w:rPr>
          <w:lang w:val="en-GB"/>
        </w:rPr>
        <w:t>Biomethane project c</w:t>
      </w:r>
      <w:r w:rsidR="00B5239A" w:rsidRPr="005E2593">
        <w:rPr>
          <w:lang w:val="en-GB"/>
        </w:rPr>
        <w:t xml:space="preserve">rediting </w:t>
      </w:r>
      <w:r w:rsidR="00554E56">
        <w:rPr>
          <w:lang w:val="en-GB"/>
        </w:rPr>
        <w:t>p</w:t>
      </w:r>
      <w:r w:rsidR="00B5239A" w:rsidRPr="005E2593">
        <w:rPr>
          <w:lang w:val="en-GB"/>
        </w:rPr>
        <w:t>eriod</w:t>
      </w:r>
      <w:bookmarkEnd w:id="23"/>
      <w:r>
        <w:rPr>
          <w:lang w:val="en-GB"/>
        </w:rPr>
        <w:t>s</w:t>
      </w:r>
      <w:bookmarkEnd w:id="24"/>
    </w:p>
    <w:p w14:paraId="549EFB39" w14:textId="77777777" w:rsidR="007E508D" w:rsidRDefault="007E508D" w:rsidP="007E508D">
      <w:r>
        <w:t>There are 2 broad types of ERF biomethane projects:</w:t>
      </w:r>
    </w:p>
    <w:p w14:paraId="7218A035" w14:textId="6A4C9DCE" w:rsidR="007E508D" w:rsidRPr="003F61BE" w:rsidRDefault="007E508D" w:rsidP="007E508D">
      <w:pPr>
        <w:pStyle w:val="CERbullets"/>
        <w:rPr>
          <w:iCs/>
        </w:rPr>
      </w:pPr>
      <w:r w:rsidRPr="00727EF4">
        <w:rPr>
          <w:b/>
          <w:bCs/>
          <w:iCs/>
        </w:rPr>
        <w:t>Conversion and displacement projects –</w:t>
      </w:r>
      <w:r w:rsidRPr="003F61BE">
        <w:rPr>
          <w:iCs/>
        </w:rPr>
        <w:t xml:space="preserve"> these projects involve both </w:t>
      </w:r>
      <w:r w:rsidR="00017FAF">
        <w:rPr>
          <w:iCs/>
        </w:rPr>
        <w:t>biogas generation for biomethane</w:t>
      </w:r>
      <w:r w:rsidRPr="003F61BE">
        <w:rPr>
          <w:iCs/>
        </w:rPr>
        <w:t xml:space="preserve"> and </w:t>
      </w:r>
      <w:r w:rsidR="00017FAF">
        <w:rPr>
          <w:iCs/>
        </w:rPr>
        <w:t>biomethane production</w:t>
      </w:r>
      <w:r w:rsidRPr="003F61BE">
        <w:rPr>
          <w:iCs/>
        </w:rPr>
        <w:t xml:space="preserve"> activities. </w:t>
      </w:r>
    </w:p>
    <w:p w14:paraId="35C6FDAD" w14:textId="01E4394B" w:rsidR="007E508D" w:rsidRPr="003F61BE" w:rsidRDefault="007E508D" w:rsidP="007E508D">
      <w:pPr>
        <w:pStyle w:val="CERbullets"/>
        <w:rPr>
          <w:iCs/>
        </w:rPr>
      </w:pPr>
      <w:r w:rsidRPr="00727EF4">
        <w:rPr>
          <w:b/>
          <w:bCs/>
          <w:iCs/>
        </w:rPr>
        <w:t>Displacement-only projects</w:t>
      </w:r>
      <w:r w:rsidRPr="003F61BE">
        <w:rPr>
          <w:iCs/>
        </w:rPr>
        <w:t xml:space="preserve"> – these projects only involve </w:t>
      </w:r>
      <w:r w:rsidR="00017FAF">
        <w:rPr>
          <w:iCs/>
        </w:rPr>
        <w:t>biomethane production</w:t>
      </w:r>
      <w:r w:rsidRPr="003F61BE">
        <w:rPr>
          <w:iCs/>
        </w:rPr>
        <w:t xml:space="preserve"> activities.</w:t>
      </w:r>
    </w:p>
    <w:p w14:paraId="2DFEA965" w14:textId="4E0E4B61" w:rsidR="007E508D" w:rsidRDefault="007E508D" w:rsidP="007E508D">
      <w:r>
        <w:t>Within the framework of the existing waste methods and the two types of projects described above, the proposed biomethane method package will allow for 4 kinds of projects:</w:t>
      </w:r>
    </w:p>
    <w:p w14:paraId="1DB54F7A" w14:textId="77777777" w:rsidR="007E508D" w:rsidRPr="003F61BE" w:rsidRDefault="007E508D" w:rsidP="007E508D">
      <w:pPr>
        <w:pStyle w:val="CERbullets"/>
        <w:rPr>
          <w:iCs/>
        </w:rPr>
      </w:pPr>
      <w:r w:rsidRPr="00727EF4">
        <w:rPr>
          <w:b/>
          <w:bCs/>
          <w:iCs/>
        </w:rPr>
        <w:t xml:space="preserve">New biomethane projects: </w:t>
      </w:r>
      <w:r w:rsidRPr="003F61BE">
        <w:rPr>
          <w:iCs/>
        </w:rPr>
        <w:t xml:space="preserve">These projects may be conversion and displacement projects or displacement-only projects. They involve building new facilities to produce biomethane or commencing biomethane production at existing facilities that have never generated biomethane and have never conducted an ERF waste project. </w:t>
      </w:r>
    </w:p>
    <w:p w14:paraId="4FB6AF3F" w14:textId="77777777" w:rsidR="007E508D" w:rsidRDefault="007E508D" w:rsidP="007E508D">
      <w:pPr>
        <w:pStyle w:val="CERbullets"/>
      </w:pPr>
      <w:r w:rsidRPr="00727EF4">
        <w:rPr>
          <w:b/>
          <w:bCs/>
        </w:rPr>
        <w:t>Expanding biomethane projects:</w:t>
      </w:r>
      <w:r>
        <w:t xml:space="preserve"> These are existing ERF waste projects that have never generated biomethane but wish to add biomethane conversion and displacement activities as an eligible abatement activity. </w:t>
      </w:r>
    </w:p>
    <w:p w14:paraId="2E6DD902" w14:textId="77777777" w:rsidR="007E508D" w:rsidRDefault="007E508D" w:rsidP="007E508D">
      <w:pPr>
        <w:pStyle w:val="CERbullets"/>
      </w:pPr>
      <w:r w:rsidRPr="00727EF4">
        <w:rPr>
          <w:b/>
          <w:bCs/>
        </w:rPr>
        <w:t>Restarting biomethane projects:</w:t>
      </w:r>
      <w:r>
        <w:t xml:space="preserve"> These projects add biomethane production to facilities that previously had an ERF waste project but whose crediting period has ended and that had never previously produced biomethane. Such facilities would be able to register a new conversion and displacement project to earn ACCUs for producing biomethane, less the time the previous ERF project earned ACCUs for conversion abatement.</w:t>
      </w:r>
    </w:p>
    <w:p w14:paraId="472AE264" w14:textId="2E906462" w:rsidR="007E508D" w:rsidRDefault="007E508D" w:rsidP="007E508D">
      <w:pPr>
        <w:pStyle w:val="CERbullets"/>
      </w:pPr>
      <w:r>
        <w:rPr>
          <w:b/>
          <w:bCs/>
        </w:rPr>
        <w:t>Restarting displacement</w:t>
      </w:r>
      <w:r w:rsidRPr="007E508D">
        <w:rPr>
          <w:b/>
          <w:bCs/>
        </w:rPr>
        <w:t>-</w:t>
      </w:r>
      <w:r w:rsidRPr="00727EF4">
        <w:rPr>
          <w:b/>
          <w:bCs/>
        </w:rPr>
        <w:t>only projects</w:t>
      </w:r>
      <w:r>
        <w:t xml:space="preserve">: These projects can take place if a project received credits for displacement abatement for less than 12 years. They continue undertaking </w:t>
      </w:r>
      <w:r w:rsidR="00017FAF">
        <w:t>biomethane production</w:t>
      </w:r>
      <w:r>
        <w:t xml:space="preserve"> activities until the 12-year crediting period for displacement abatement has been completed.  </w:t>
      </w:r>
    </w:p>
    <w:p w14:paraId="3EF2C506" w14:textId="4D713DB5" w:rsidR="00033B08" w:rsidRDefault="00033B08" w:rsidP="00033B08">
      <w:pPr>
        <w:rPr>
          <w:rFonts w:asciiTheme="minorHAnsi" w:eastAsiaTheme="minorEastAsia" w:hAnsiTheme="minorHAnsi" w:cstheme="minorBidi"/>
          <w:color w:val="000000" w:themeColor="text1"/>
          <w:lang w:val="en-GB"/>
        </w:rPr>
      </w:pPr>
      <w:r>
        <w:rPr>
          <w:rFonts w:asciiTheme="minorHAnsi" w:eastAsiaTheme="minorEastAsia" w:hAnsiTheme="minorHAnsi" w:cstheme="minorBidi"/>
          <w:color w:val="000000" w:themeColor="text1"/>
          <w:lang w:val="en-GB"/>
        </w:rPr>
        <w:t xml:space="preserve">New conversion and displacement projects and displacement-only projects will be eligible for a crediting period of up to 12 years. </w:t>
      </w:r>
    </w:p>
    <w:p w14:paraId="7B789CCB" w14:textId="3D6BCD77" w:rsidR="00033B08" w:rsidRDefault="00033B08" w:rsidP="00033B08">
      <w:pPr>
        <w:rPr>
          <w:rFonts w:asciiTheme="minorHAnsi" w:eastAsiaTheme="minorEastAsia" w:hAnsiTheme="minorHAnsi" w:cstheme="minorBidi"/>
          <w:color w:val="000000" w:themeColor="text1"/>
          <w:lang w:val="en-GB"/>
        </w:rPr>
      </w:pPr>
      <w:r>
        <w:rPr>
          <w:rFonts w:asciiTheme="minorHAnsi" w:eastAsiaTheme="minorEastAsia" w:hAnsiTheme="minorHAnsi" w:cstheme="minorBidi"/>
          <w:color w:val="000000" w:themeColor="text1"/>
          <w:lang w:val="en-GB"/>
        </w:rPr>
        <w:t xml:space="preserve">Crediting periods for non-biomethane projects </w:t>
      </w:r>
      <w:r w:rsidR="00064CCD">
        <w:rPr>
          <w:rFonts w:asciiTheme="minorHAnsi" w:eastAsiaTheme="minorEastAsia" w:hAnsiTheme="minorHAnsi" w:cstheme="minorBidi"/>
          <w:color w:val="000000" w:themeColor="text1"/>
          <w:lang w:val="en-GB"/>
        </w:rPr>
        <w:t xml:space="preserve">on a related site </w:t>
      </w:r>
      <w:r>
        <w:rPr>
          <w:rFonts w:asciiTheme="minorHAnsi" w:eastAsiaTheme="minorEastAsia" w:hAnsiTheme="minorHAnsi" w:cstheme="minorBidi"/>
          <w:color w:val="000000" w:themeColor="text1"/>
          <w:lang w:val="en-GB"/>
        </w:rPr>
        <w:t xml:space="preserve">can continue in parallel to biomethane conversion and displacement projects. The original crediting period for non-biomethane activities is not changed by addition of biomethane project activities. </w:t>
      </w:r>
      <w:r w:rsidR="00F34BAA">
        <w:rPr>
          <w:rFonts w:asciiTheme="minorHAnsi" w:eastAsiaTheme="minorEastAsia" w:hAnsiTheme="minorHAnsi" w:cstheme="minorBidi"/>
          <w:color w:val="000000" w:themeColor="text1"/>
          <w:lang w:val="en-GB"/>
        </w:rPr>
        <w:t>A</w:t>
      </w:r>
      <w:r>
        <w:rPr>
          <w:rFonts w:asciiTheme="minorHAnsi" w:eastAsiaTheme="minorEastAsia" w:hAnsiTheme="minorHAnsi" w:cstheme="minorBidi"/>
          <w:color w:val="000000" w:themeColor="text1"/>
          <w:lang w:val="en-GB"/>
        </w:rPr>
        <w:t xml:space="preserve"> project </w:t>
      </w:r>
      <w:r w:rsidR="00F34BAA">
        <w:rPr>
          <w:rFonts w:asciiTheme="minorHAnsi" w:eastAsiaTheme="minorEastAsia" w:hAnsiTheme="minorHAnsi" w:cstheme="minorBidi"/>
          <w:color w:val="000000" w:themeColor="text1"/>
          <w:lang w:val="en-GB"/>
        </w:rPr>
        <w:t>cannot</w:t>
      </w:r>
      <w:r>
        <w:rPr>
          <w:rFonts w:asciiTheme="minorHAnsi" w:eastAsiaTheme="minorEastAsia" w:hAnsiTheme="minorHAnsi" w:cstheme="minorBidi"/>
          <w:color w:val="000000" w:themeColor="text1"/>
          <w:lang w:val="en-GB"/>
        </w:rPr>
        <w:t xml:space="preserve"> claim abatement for a non-biomethane activity for a period longer than </w:t>
      </w:r>
      <w:r w:rsidR="00B27CF2">
        <w:rPr>
          <w:rFonts w:asciiTheme="minorHAnsi" w:eastAsiaTheme="minorEastAsia" w:hAnsiTheme="minorHAnsi" w:cstheme="minorBidi"/>
          <w:color w:val="000000" w:themeColor="text1"/>
          <w:lang w:val="en-GB"/>
        </w:rPr>
        <w:t>its</w:t>
      </w:r>
      <w:r>
        <w:rPr>
          <w:rFonts w:asciiTheme="minorHAnsi" w:eastAsiaTheme="minorEastAsia" w:hAnsiTheme="minorHAnsi" w:cstheme="minorBidi"/>
          <w:color w:val="000000" w:themeColor="text1"/>
          <w:lang w:val="en-GB"/>
        </w:rPr>
        <w:t xml:space="preserve"> original crediting period.</w:t>
      </w:r>
    </w:p>
    <w:p w14:paraId="5D23FF2F" w14:textId="360DB197" w:rsidR="00033B08" w:rsidRDefault="00033B08" w:rsidP="00033B08">
      <w:pPr>
        <w:rPr>
          <w:rFonts w:asciiTheme="minorHAnsi" w:eastAsiaTheme="minorEastAsia" w:hAnsiTheme="minorHAnsi" w:cstheme="minorBidi"/>
          <w:color w:val="000000" w:themeColor="text1"/>
          <w:lang w:val="en-GB"/>
        </w:rPr>
      </w:pPr>
      <w:r>
        <w:rPr>
          <w:rFonts w:asciiTheme="minorHAnsi" w:eastAsiaTheme="minorEastAsia" w:hAnsiTheme="minorHAnsi" w:cstheme="minorBidi"/>
          <w:color w:val="000000" w:themeColor="text1"/>
          <w:lang w:val="en-GB"/>
        </w:rPr>
        <w:t xml:space="preserve">Displacement-only projects relate solely to the treatment of biogas to produce biomethane and not the treatment of waste to avoid methane emissions. A displacement-only project cannot have project activities other than </w:t>
      </w:r>
      <w:r w:rsidR="00017FAF">
        <w:rPr>
          <w:rFonts w:asciiTheme="minorHAnsi" w:eastAsiaTheme="minorEastAsia" w:hAnsiTheme="minorHAnsi" w:cstheme="minorBidi"/>
          <w:color w:val="000000" w:themeColor="text1"/>
          <w:lang w:val="en-GB"/>
        </w:rPr>
        <w:t>biomethane production</w:t>
      </w:r>
      <w:r>
        <w:rPr>
          <w:rFonts w:asciiTheme="minorHAnsi" w:eastAsiaTheme="minorEastAsia" w:hAnsiTheme="minorHAnsi" w:cstheme="minorBidi"/>
          <w:color w:val="000000" w:themeColor="text1"/>
          <w:lang w:val="en-GB"/>
        </w:rPr>
        <w:t>. Therefore, its crediting period is always 12 years from the start date.</w:t>
      </w:r>
    </w:p>
    <w:p w14:paraId="490191CE" w14:textId="77777777" w:rsidR="00033B08" w:rsidRDefault="00033B08" w:rsidP="00033B08">
      <w:pPr>
        <w:rPr>
          <w:rFonts w:asciiTheme="minorHAnsi" w:eastAsiaTheme="minorEastAsia" w:hAnsiTheme="minorHAnsi" w:cstheme="minorBidi"/>
          <w:color w:val="000000" w:themeColor="text1"/>
          <w:lang w:val="en-GB"/>
        </w:rPr>
      </w:pPr>
      <w:r>
        <w:rPr>
          <w:rFonts w:asciiTheme="minorHAnsi" w:eastAsiaTheme="minorEastAsia" w:hAnsiTheme="minorHAnsi" w:cstheme="minorBidi"/>
          <w:color w:val="000000" w:themeColor="text1"/>
          <w:lang w:val="en-GB"/>
        </w:rPr>
        <w:t xml:space="preserve">Proposed crediting periods for biomethane projects are set out in </w:t>
      </w:r>
      <w:r w:rsidRPr="00661742">
        <w:rPr>
          <w:rFonts w:asciiTheme="minorHAnsi" w:eastAsiaTheme="minorEastAsia" w:hAnsiTheme="minorHAnsi" w:cstheme="minorBidi"/>
          <w:color w:val="000000" w:themeColor="text1"/>
          <w:lang w:val="en-GB"/>
        </w:rPr>
        <w:fldChar w:fldCharType="begin"/>
      </w:r>
      <w:r w:rsidRPr="002A122E">
        <w:rPr>
          <w:rFonts w:asciiTheme="minorHAnsi" w:eastAsiaTheme="minorEastAsia" w:hAnsiTheme="minorHAnsi" w:cstheme="minorBidi"/>
          <w:color w:val="000000" w:themeColor="text1"/>
          <w:lang w:val="en-GB"/>
        </w:rPr>
        <w:instrText xml:space="preserve"> REF _Ref72319958 \h </w:instrText>
      </w:r>
      <w:r w:rsidRPr="00FF3119">
        <w:rPr>
          <w:rFonts w:asciiTheme="minorHAnsi" w:eastAsiaTheme="minorEastAsia" w:hAnsiTheme="minorHAnsi" w:cstheme="minorBidi"/>
          <w:color w:val="000000" w:themeColor="text1"/>
          <w:lang w:val="en-GB"/>
        </w:rPr>
        <w:instrText xml:space="preserve"> \* MERGEFORMAT </w:instrText>
      </w:r>
      <w:r w:rsidRPr="00661742">
        <w:rPr>
          <w:rFonts w:asciiTheme="minorHAnsi" w:eastAsiaTheme="minorEastAsia" w:hAnsiTheme="minorHAnsi" w:cstheme="minorBidi"/>
          <w:color w:val="000000" w:themeColor="text1"/>
          <w:lang w:val="en-GB"/>
        </w:rPr>
      </w:r>
      <w:r w:rsidRPr="00661742">
        <w:rPr>
          <w:rFonts w:asciiTheme="minorHAnsi" w:eastAsiaTheme="minorEastAsia" w:hAnsiTheme="minorHAnsi" w:cstheme="minorBidi"/>
          <w:color w:val="000000" w:themeColor="text1"/>
          <w:lang w:val="en-GB"/>
        </w:rPr>
        <w:fldChar w:fldCharType="separate"/>
      </w:r>
      <w:r w:rsidRPr="009B3715">
        <w:rPr>
          <w:color w:val="auto"/>
          <w:szCs w:val="22"/>
        </w:rPr>
        <w:t xml:space="preserve">Table </w:t>
      </w:r>
      <w:r w:rsidRPr="009B3715">
        <w:rPr>
          <w:noProof/>
          <w:color w:val="auto"/>
          <w:szCs w:val="22"/>
        </w:rPr>
        <w:t>2</w:t>
      </w:r>
      <w:r w:rsidRPr="00661742">
        <w:rPr>
          <w:rFonts w:asciiTheme="minorHAnsi" w:eastAsiaTheme="minorEastAsia" w:hAnsiTheme="minorHAnsi" w:cstheme="minorBidi"/>
          <w:color w:val="000000" w:themeColor="text1"/>
          <w:lang w:val="en-GB"/>
        </w:rPr>
        <w:fldChar w:fldCharType="end"/>
      </w:r>
      <w:r w:rsidRPr="00661742">
        <w:rPr>
          <w:rFonts w:asciiTheme="minorHAnsi" w:eastAsiaTheme="minorEastAsia" w:hAnsiTheme="minorHAnsi" w:cstheme="minorBidi"/>
          <w:color w:val="000000" w:themeColor="text1"/>
          <w:lang w:val="en-GB"/>
        </w:rPr>
        <w:t>.</w:t>
      </w:r>
    </w:p>
    <w:p w14:paraId="5C435C9B" w14:textId="77777777" w:rsidR="00033B08" w:rsidRPr="001A18D9" w:rsidRDefault="00033B08" w:rsidP="00033B08">
      <w:pPr>
        <w:pStyle w:val="Caption"/>
        <w:keepNext/>
        <w:rPr>
          <w:b/>
          <w:bCs/>
          <w:i w:val="0"/>
          <w:iCs w:val="0"/>
          <w:color w:val="auto"/>
          <w:szCs w:val="22"/>
        </w:rPr>
      </w:pPr>
      <w:r w:rsidRPr="00FF3119">
        <w:rPr>
          <w:b/>
          <w:bCs/>
          <w:i w:val="0"/>
          <w:iCs w:val="0"/>
          <w:color w:val="auto"/>
          <w:sz w:val="22"/>
          <w:szCs w:val="22"/>
        </w:rPr>
        <w:t xml:space="preserve">Table </w:t>
      </w:r>
      <w:r w:rsidRPr="00FF3119">
        <w:rPr>
          <w:b/>
          <w:bCs/>
          <w:i w:val="0"/>
          <w:iCs w:val="0"/>
          <w:color w:val="auto"/>
          <w:sz w:val="22"/>
          <w:szCs w:val="22"/>
        </w:rPr>
        <w:fldChar w:fldCharType="begin"/>
      </w:r>
      <w:r w:rsidRPr="00FF3119">
        <w:rPr>
          <w:b/>
          <w:bCs/>
          <w:i w:val="0"/>
          <w:iCs w:val="0"/>
          <w:color w:val="auto"/>
          <w:sz w:val="22"/>
          <w:szCs w:val="22"/>
        </w:rPr>
        <w:instrText xml:space="preserve"> SEQ Table \* ARABIC </w:instrText>
      </w:r>
      <w:r w:rsidRPr="00FF3119">
        <w:rPr>
          <w:b/>
          <w:bCs/>
          <w:i w:val="0"/>
          <w:iCs w:val="0"/>
          <w:color w:val="auto"/>
          <w:sz w:val="22"/>
          <w:szCs w:val="22"/>
        </w:rPr>
        <w:fldChar w:fldCharType="separate"/>
      </w:r>
      <w:r>
        <w:rPr>
          <w:b/>
          <w:bCs/>
          <w:i w:val="0"/>
          <w:iCs w:val="0"/>
          <w:noProof/>
          <w:color w:val="auto"/>
          <w:sz w:val="22"/>
          <w:szCs w:val="22"/>
        </w:rPr>
        <w:t>2</w:t>
      </w:r>
      <w:r w:rsidRPr="00FF3119">
        <w:rPr>
          <w:b/>
          <w:bCs/>
          <w:i w:val="0"/>
          <w:iCs w:val="0"/>
          <w:color w:val="auto"/>
          <w:sz w:val="22"/>
          <w:szCs w:val="22"/>
        </w:rPr>
        <w:fldChar w:fldCharType="end"/>
      </w:r>
      <w:r w:rsidRPr="00FF3119">
        <w:rPr>
          <w:b/>
          <w:bCs/>
          <w:i w:val="0"/>
          <w:iCs w:val="0"/>
          <w:color w:val="auto"/>
          <w:sz w:val="22"/>
          <w:szCs w:val="22"/>
        </w:rPr>
        <w:t xml:space="preserve">: Biomethane </w:t>
      </w:r>
      <w:r>
        <w:rPr>
          <w:b/>
          <w:bCs/>
          <w:i w:val="0"/>
          <w:iCs w:val="0"/>
          <w:color w:val="auto"/>
          <w:sz w:val="22"/>
          <w:szCs w:val="22"/>
        </w:rPr>
        <w:t xml:space="preserve">project </w:t>
      </w:r>
      <w:r w:rsidRPr="00FF3119">
        <w:rPr>
          <w:b/>
          <w:bCs/>
          <w:i w:val="0"/>
          <w:iCs w:val="0"/>
          <w:color w:val="auto"/>
          <w:sz w:val="22"/>
          <w:szCs w:val="22"/>
        </w:rPr>
        <w:t xml:space="preserve">crediting </w:t>
      </w:r>
      <w:r w:rsidRPr="001A18D9">
        <w:rPr>
          <w:b/>
          <w:bCs/>
          <w:i w:val="0"/>
          <w:iCs w:val="0"/>
          <w:color w:val="auto"/>
          <w:sz w:val="22"/>
          <w:szCs w:val="22"/>
        </w:rPr>
        <w:t>periods</w:t>
      </w:r>
    </w:p>
    <w:tbl>
      <w:tblPr>
        <w:tblStyle w:val="CERTable"/>
        <w:tblW w:w="9067" w:type="dxa"/>
        <w:tblLayout w:type="fixed"/>
        <w:tblLook w:val="0620" w:firstRow="1" w:lastRow="0" w:firstColumn="0" w:lastColumn="0" w:noHBand="1" w:noVBand="1"/>
      </w:tblPr>
      <w:tblGrid>
        <w:gridCol w:w="1744"/>
        <w:gridCol w:w="2079"/>
        <w:gridCol w:w="5244"/>
      </w:tblGrid>
      <w:tr w:rsidR="00033B08" w:rsidRPr="004A0C1A" w14:paraId="25727772" w14:textId="77777777" w:rsidTr="00033B08">
        <w:trPr>
          <w:cnfStyle w:val="100000000000" w:firstRow="1" w:lastRow="0" w:firstColumn="0" w:lastColumn="0" w:oddVBand="0" w:evenVBand="0" w:oddHBand="0" w:evenHBand="0" w:firstRowFirstColumn="0" w:firstRowLastColumn="0" w:lastRowFirstColumn="0" w:lastRowLastColumn="0"/>
          <w:cantSplit w:val="0"/>
          <w:tblHeader/>
        </w:trPr>
        <w:tc>
          <w:tcPr>
            <w:tcW w:w="1744" w:type="dxa"/>
            <w:shd w:val="clear" w:color="auto" w:fill="383A42"/>
          </w:tcPr>
          <w:p w14:paraId="1F449F2C" w14:textId="77777777" w:rsidR="00033B08" w:rsidRPr="004A0C1A" w:rsidRDefault="00033B08" w:rsidP="00033B08">
            <w:pPr>
              <w:rPr>
                <w:color w:val="FFFFFF"/>
              </w:rPr>
            </w:pPr>
            <w:r>
              <w:rPr>
                <w:color w:val="FFFFFF"/>
              </w:rPr>
              <w:t>Project type</w:t>
            </w:r>
          </w:p>
        </w:tc>
        <w:tc>
          <w:tcPr>
            <w:tcW w:w="7323" w:type="dxa"/>
            <w:gridSpan w:val="2"/>
            <w:shd w:val="clear" w:color="auto" w:fill="383A42"/>
          </w:tcPr>
          <w:p w14:paraId="269B0DF0" w14:textId="77777777" w:rsidR="00033B08" w:rsidRPr="004A0C1A" w:rsidRDefault="00033B08" w:rsidP="00033B08">
            <w:pPr>
              <w:rPr>
                <w:color w:val="FFFFFF"/>
              </w:rPr>
            </w:pPr>
            <w:r>
              <w:rPr>
                <w:color w:val="FFFFFF"/>
              </w:rPr>
              <w:t>Crediting period</w:t>
            </w:r>
          </w:p>
        </w:tc>
      </w:tr>
      <w:tr w:rsidR="00033B08" w:rsidRPr="004A0C1A" w14:paraId="48EF2BE7" w14:textId="77777777" w:rsidTr="00033B08">
        <w:trPr>
          <w:cantSplit w:val="0"/>
          <w:trHeight w:val="490"/>
        </w:trPr>
        <w:tc>
          <w:tcPr>
            <w:tcW w:w="1744" w:type="dxa"/>
            <w:vMerge w:val="restart"/>
            <w:shd w:val="clear" w:color="auto" w:fill="DFE0DE"/>
          </w:tcPr>
          <w:p w14:paraId="335D204A" w14:textId="77777777" w:rsidR="00033B08" w:rsidRPr="004A0C1A" w:rsidRDefault="00033B08" w:rsidP="00033B08">
            <w:pPr>
              <w:rPr>
                <w:b/>
              </w:rPr>
            </w:pPr>
            <w:r>
              <w:rPr>
                <w:b/>
              </w:rPr>
              <w:t>New biomethane projects</w:t>
            </w:r>
          </w:p>
        </w:tc>
        <w:tc>
          <w:tcPr>
            <w:tcW w:w="2079" w:type="dxa"/>
            <w:shd w:val="clear" w:color="auto" w:fill="BFE3D8"/>
          </w:tcPr>
          <w:p w14:paraId="16AC827D" w14:textId="77777777" w:rsidR="00033B08" w:rsidRPr="00610D9C" w:rsidRDefault="00033B08" w:rsidP="00033B08">
            <w:r>
              <w:t>Conversion and displacement projects</w:t>
            </w:r>
          </w:p>
        </w:tc>
        <w:tc>
          <w:tcPr>
            <w:tcW w:w="5244" w:type="dxa"/>
            <w:shd w:val="clear" w:color="auto" w:fill="BFE3D8"/>
          </w:tcPr>
          <w:p w14:paraId="7316B373" w14:textId="77777777" w:rsidR="00033B08" w:rsidRPr="004A0C1A" w:rsidRDefault="00033B08" w:rsidP="00033B08">
            <w:r>
              <w:t>12-year crediting period from the start of the project.</w:t>
            </w:r>
          </w:p>
        </w:tc>
      </w:tr>
      <w:tr w:rsidR="00033B08" w:rsidRPr="004A0C1A" w14:paraId="5E462D3E" w14:textId="77777777" w:rsidTr="00033B08">
        <w:trPr>
          <w:cantSplit w:val="0"/>
          <w:trHeight w:val="490"/>
        </w:trPr>
        <w:tc>
          <w:tcPr>
            <w:tcW w:w="1744" w:type="dxa"/>
            <w:vMerge/>
            <w:shd w:val="clear" w:color="auto" w:fill="DFE0DE"/>
          </w:tcPr>
          <w:p w14:paraId="1A7410C4" w14:textId="77777777" w:rsidR="00033B08" w:rsidRDefault="00033B08" w:rsidP="00033B08">
            <w:pPr>
              <w:rPr>
                <w:b/>
              </w:rPr>
            </w:pPr>
          </w:p>
        </w:tc>
        <w:tc>
          <w:tcPr>
            <w:tcW w:w="2079" w:type="dxa"/>
            <w:shd w:val="clear" w:color="auto" w:fill="EEEBE0"/>
          </w:tcPr>
          <w:p w14:paraId="71B3EC7E" w14:textId="77777777" w:rsidR="00033B08" w:rsidRPr="00610D9C" w:rsidRDefault="00033B08" w:rsidP="00033B08">
            <w:r>
              <w:t xml:space="preserve">Displacement-only projects </w:t>
            </w:r>
          </w:p>
        </w:tc>
        <w:tc>
          <w:tcPr>
            <w:tcW w:w="5244" w:type="dxa"/>
            <w:shd w:val="clear" w:color="auto" w:fill="EEEBE0"/>
          </w:tcPr>
          <w:p w14:paraId="1E848DF2" w14:textId="77777777" w:rsidR="00033B08" w:rsidRDefault="00033B08" w:rsidP="00033B08">
            <w:r>
              <w:t>12-year crediting period from the start of the project.</w:t>
            </w:r>
          </w:p>
        </w:tc>
      </w:tr>
      <w:tr w:rsidR="00033B08" w:rsidRPr="004A0C1A" w14:paraId="061C84F2" w14:textId="77777777" w:rsidTr="00033B08">
        <w:trPr>
          <w:cantSplit w:val="0"/>
          <w:trHeight w:val="350"/>
        </w:trPr>
        <w:tc>
          <w:tcPr>
            <w:tcW w:w="1744" w:type="dxa"/>
            <w:vMerge w:val="restart"/>
            <w:shd w:val="clear" w:color="auto" w:fill="DFE0DE"/>
          </w:tcPr>
          <w:p w14:paraId="6089DFCE" w14:textId="77777777" w:rsidR="00033B08" w:rsidRPr="004A0C1A" w:rsidRDefault="00033B08" w:rsidP="00033B08">
            <w:pPr>
              <w:rPr>
                <w:b/>
              </w:rPr>
            </w:pPr>
            <w:r>
              <w:rPr>
                <w:b/>
              </w:rPr>
              <w:t>Expanding biomethane projects</w:t>
            </w:r>
          </w:p>
        </w:tc>
        <w:tc>
          <w:tcPr>
            <w:tcW w:w="2079" w:type="dxa"/>
            <w:shd w:val="clear" w:color="auto" w:fill="BFE3D8"/>
          </w:tcPr>
          <w:p w14:paraId="245BC98A" w14:textId="77777777" w:rsidR="00033B08" w:rsidRPr="00821271" w:rsidRDefault="00033B08" w:rsidP="00033B08">
            <w:r>
              <w:t xml:space="preserve">Conversion and displacement biomethane projects </w:t>
            </w:r>
          </w:p>
        </w:tc>
        <w:tc>
          <w:tcPr>
            <w:tcW w:w="5244" w:type="dxa"/>
            <w:shd w:val="clear" w:color="auto" w:fill="BFE3D8"/>
          </w:tcPr>
          <w:p w14:paraId="704F7597" w14:textId="77777777" w:rsidR="00033B08" w:rsidRDefault="00033B08" w:rsidP="00033B08">
            <w:r>
              <w:t>12-year crediting period commencing from the start date of the original project.</w:t>
            </w:r>
          </w:p>
          <w:p w14:paraId="335F267B" w14:textId="081894DC" w:rsidR="00033B08" w:rsidRDefault="00033B08" w:rsidP="00033B08">
            <w:r>
              <w:rPr>
                <w:i/>
                <w:iCs/>
              </w:rPr>
              <w:t xml:space="preserve">Example: a </w:t>
            </w:r>
            <w:r w:rsidR="004837DB">
              <w:rPr>
                <w:i/>
                <w:iCs/>
              </w:rPr>
              <w:t>wastewater treatment</w:t>
            </w:r>
            <w:r>
              <w:rPr>
                <w:i/>
                <w:iCs/>
              </w:rPr>
              <w:t xml:space="preserve"> facility with an ERF project starts biomethane activities 6 years into the crediting period of the pre-existing </w:t>
            </w:r>
            <w:r w:rsidR="00811C98">
              <w:rPr>
                <w:i/>
                <w:iCs/>
              </w:rPr>
              <w:t>wastewater</w:t>
            </w:r>
            <w:r>
              <w:rPr>
                <w:i/>
                <w:iCs/>
              </w:rPr>
              <w:t xml:space="preserve"> project. Conversion and displacement abatement for biomethane can be earned for the remaining </w:t>
            </w:r>
            <m:oMath>
              <m:r>
                <w:rPr>
                  <w:rFonts w:ascii="Cambria Math" w:hAnsi="Cambria Math"/>
                </w:rPr>
                <m:t>12-6=6</m:t>
              </m:r>
            </m:oMath>
            <w:r w:rsidRPr="001F6BF6">
              <w:rPr>
                <w:i/>
                <w:iCs/>
              </w:rPr>
              <w:t xml:space="preserve"> </w:t>
            </w:r>
            <w:r>
              <w:rPr>
                <w:i/>
                <w:iCs/>
              </w:rPr>
              <w:t>years in the project’s crediting period.</w:t>
            </w:r>
          </w:p>
          <w:p w14:paraId="645403A4" w14:textId="77777777" w:rsidR="00033B08" w:rsidRPr="00D80B7A" w:rsidRDefault="00033B08" w:rsidP="00033B08">
            <w:r>
              <w:t xml:space="preserve">If an expanding biomethane project has had less than 12 years of crediting for displacement activities at the end of its crediting period, it can undertake a restarting displacement-only project to earn ACCUs until 12 years of displacement abatement have been credited. </w:t>
            </w:r>
          </w:p>
        </w:tc>
      </w:tr>
      <w:tr w:rsidR="00033B08" w:rsidRPr="004A0C1A" w14:paraId="1D86F490" w14:textId="77777777" w:rsidTr="00033B08">
        <w:trPr>
          <w:cantSplit w:val="0"/>
          <w:trHeight w:val="350"/>
        </w:trPr>
        <w:tc>
          <w:tcPr>
            <w:tcW w:w="1744" w:type="dxa"/>
            <w:vMerge/>
            <w:shd w:val="clear" w:color="auto" w:fill="DFE0DE"/>
          </w:tcPr>
          <w:p w14:paraId="0F24EDA4" w14:textId="77777777" w:rsidR="00033B08" w:rsidRDefault="00033B08" w:rsidP="00033B08">
            <w:pPr>
              <w:rPr>
                <w:b/>
              </w:rPr>
            </w:pPr>
          </w:p>
        </w:tc>
        <w:tc>
          <w:tcPr>
            <w:tcW w:w="2079" w:type="dxa"/>
            <w:shd w:val="clear" w:color="auto" w:fill="EEEBE0"/>
          </w:tcPr>
          <w:p w14:paraId="16BD691F" w14:textId="77777777" w:rsidR="00033B08" w:rsidRPr="00821271" w:rsidRDefault="00033B08" w:rsidP="00033B08">
            <w:r>
              <w:t xml:space="preserve">Displacement-only projects </w:t>
            </w:r>
          </w:p>
        </w:tc>
        <w:tc>
          <w:tcPr>
            <w:tcW w:w="5244" w:type="dxa"/>
            <w:shd w:val="clear" w:color="auto" w:fill="EEEBE0"/>
          </w:tcPr>
          <w:p w14:paraId="7B769B1B" w14:textId="3A2784D5" w:rsidR="00033B08" w:rsidRDefault="00033B08" w:rsidP="00033B08">
            <w:r>
              <w:t xml:space="preserve">Not applicable – Displacement-only projects do not involve project activities other than </w:t>
            </w:r>
            <w:r w:rsidR="00017FAF">
              <w:t>biomethane production</w:t>
            </w:r>
            <w:r>
              <w:t xml:space="preserve">. An existing expanding biomethane project must be a conversion and displacement project. </w:t>
            </w:r>
          </w:p>
          <w:p w14:paraId="10295AA4" w14:textId="77777777" w:rsidR="00033B08" w:rsidRPr="00CA0882" w:rsidRDefault="00033B08" w:rsidP="00033B08">
            <w:pPr>
              <w:rPr>
                <w:i/>
                <w:iCs/>
              </w:rPr>
            </w:pPr>
            <w:r>
              <w:t>If a proponent wishes to add a displacement-only project to an existing facility, it should be registered as a new displacement-only project, rather than an expansion.</w:t>
            </w:r>
          </w:p>
        </w:tc>
      </w:tr>
      <w:tr w:rsidR="00033B08" w:rsidRPr="004A0C1A" w14:paraId="65CCF961" w14:textId="77777777" w:rsidTr="00033B08">
        <w:trPr>
          <w:cantSplit w:val="0"/>
          <w:trHeight w:val="350"/>
        </w:trPr>
        <w:tc>
          <w:tcPr>
            <w:tcW w:w="1744" w:type="dxa"/>
            <w:vMerge w:val="restart"/>
            <w:shd w:val="clear" w:color="auto" w:fill="DFE0DE"/>
          </w:tcPr>
          <w:p w14:paraId="50B62E4A" w14:textId="77777777" w:rsidR="00033B08" w:rsidRPr="004A0C1A" w:rsidRDefault="00033B08" w:rsidP="00033B08">
            <w:pPr>
              <w:rPr>
                <w:b/>
              </w:rPr>
            </w:pPr>
            <w:r>
              <w:rPr>
                <w:b/>
              </w:rPr>
              <w:t>Restarting biomethane project</w:t>
            </w:r>
          </w:p>
        </w:tc>
        <w:tc>
          <w:tcPr>
            <w:tcW w:w="2079" w:type="dxa"/>
            <w:shd w:val="clear" w:color="auto" w:fill="BFE3D8"/>
          </w:tcPr>
          <w:p w14:paraId="781AB422" w14:textId="77777777" w:rsidR="00033B08" w:rsidRPr="00FF3119" w:rsidRDefault="00033B08" w:rsidP="00033B08">
            <w:r>
              <w:t>Conversion and displacement project</w:t>
            </w:r>
          </w:p>
        </w:tc>
        <w:tc>
          <w:tcPr>
            <w:tcW w:w="5244" w:type="dxa"/>
            <w:shd w:val="clear" w:color="auto" w:fill="BFE3D8"/>
          </w:tcPr>
          <w:p w14:paraId="337D61BB" w14:textId="77777777" w:rsidR="00033B08" w:rsidRDefault="00033B08" w:rsidP="00033B08">
            <w:r>
              <w:t>(</w:t>
            </w:r>
            <m:oMath>
              <m:r>
                <w:rPr>
                  <w:rFonts w:ascii="Cambria Math" w:hAnsi="Cambria Math"/>
                </w:rPr>
                <m:t>12-x</m:t>
              </m:r>
            </m:oMath>
            <w:r>
              <w:t xml:space="preserve">) year crediting period, where </w:t>
            </w:r>
            <m:oMath>
              <m:r>
                <w:rPr>
                  <w:rFonts w:ascii="Cambria Math" w:hAnsi="Cambria Math"/>
                </w:rPr>
                <m:t>x</m:t>
              </m:r>
            </m:oMath>
            <w:r>
              <w:t xml:space="preserve"> is the length of the crediting period of the former ERF project.</w:t>
            </w:r>
          </w:p>
          <w:p w14:paraId="6C1B13A1" w14:textId="3D531F61" w:rsidR="00033B08" w:rsidRPr="0008367C" w:rsidRDefault="00033B08" w:rsidP="00033B08">
            <w:pPr>
              <w:rPr>
                <w:iCs/>
              </w:rPr>
            </w:pPr>
            <w:r>
              <w:rPr>
                <w:i/>
                <w:iCs/>
              </w:rPr>
              <w:t>Example: a</w:t>
            </w:r>
            <w:r w:rsidR="006249F4">
              <w:rPr>
                <w:i/>
                <w:iCs/>
              </w:rPr>
              <w:t xml:space="preserve"> wastewater treatment</w:t>
            </w:r>
            <w:r>
              <w:rPr>
                <w:i/>
                <w:iCs/>
              </w:rPr>
              <w:t xml:space="preserve"> facility previously had an ERF project with a 7-year crediting period. The facility starts biomethane activities and re-enters the ERF as a restarting biomethane project. The crediting period for biomethane conversion and displacement abatement is 5 </w:t>
            </w:r>
            <w:r>
              <w:rPr>
                <w:i/>
              </w:rPr>
              <w:t>years.</w:t>
            </w:r>
          </w:p>
        </w:tc>
      </w:tr>
      <w:tr w:rsidR="00033B08" w:rsidRPr="004A0C1A" w14:paraId="2F6F1DBA" w14:textId="77777777" w:rsidTr="00033B08">
        <w:trPr>
          <w:cantSplit w:val="0"/>
          <w:trHeight w:val="350"/>
        </w:trPr>
        <w:tc>
          <w:tcPr>
            <w:tcW w:w="1744" w:type="dxa"/>
            <w:vMerge/>
            <w:shd w:val="clear" w:color="auto" w:fill="DFE0DE"/>
          </w:tcPr>
          <w:p w14:paraId="0387DBAE" w14:textId="77777777" w:rsidR="00033B08" w:rsidRDefault="00033B08" w:rsidP="00033B08">
            <w:pPr>
              <w:rPr>
                <w:b/>
              </w:rPr>
            </w:pPr>
          </w:p>
        </w:tc>
        <w:tc>
          <w:tcPr>
            <w:tcW w:w="2079" w:type="dxa"/>
            <w:shd w:val="clear" w:color="auto" w:fill="EEEBE0"/>
          </w:tcPr>
          <w:p w14:paraId="0E0342BC" w14:textId="77777777" w:rsidR="00033B08" w:rsidRPr="00FF3119" w:rsidRDefault="00033B08" w:rsidP="00033B08">
            <w:r>
              <w:t>Displacement-only projects</w:t>
            </w:r>
          </w:p>
        </w:tc>
        <w:tc>
          <w:tcPr>
            <w:tcW w:w="5244" w:type="dxa"/>
            <w:shd w:val="clear" w:color="auto" w:fill="EEEBE0"/>
          </w:tcPr>
          <w:p w14:paraId="2E23D355" w14:textId="77777777" w:rsidR="00033B08" w:rsidRPr="00FF3119" w:rsidRDefault="00033B08" w:rsidP="00033B08">
            <w:pPr>
              <w:pStyle w:val="ERACbullets"/>
              <w:ind w:left="0" w:firstLine="0"/>
              <w:rPr>
                <w:i/>
                <w:iCs/>
              </w:rPr>
            </w:pPr>
            <w:r>
              <w:t>Not applicable – see restarting displacement-only projects.</w:t>
            </w:r>
          </w:p>
        </w:tc>
      </w:tr>
      <w:tr w:rsidR="00033B08" w:rsidRPr="004A0C1A" w14:paraId="39188979" w14:textId="77777777" w:rsidTr="006E1E80">
        <w:trPr>
          <w:cantSplit w:val="0"/>
          <w:trHeight w:val="350"/>
        </w:trPr>
        <w:tc>
          <w:tcPr>
            <w:tcW w:w="1744" w:type="dxa"/>
            <w:vMerge w:val="restart"/>
            <w:shd w:val="clear" w:color="auto" w:fill="DFE0DE"/>
          </w:tcPr>
          <w:p w14:paraId="61299F4C" w14:textId="77777777" w:rsidR="00033B08" w:rsidRDefault="00033B08" w:rsidP="00033B08">
            <w:pPr>
              <w:rPr>
                <w:b/>
              </w:rPr>
            </w:pPr>
            <w:r>
              <w:rPr>
                <w:b/>
              </w:rPr>
              <w:t>Restarting displacement-only project</w:t>
            </w:r>
          </w:p>
        </w:tc>
        <w:tc>
          <w:tcPr>
            <w:tcW w:w="2079" w:type="dxa"/>
            <w:shd w:val="clear" w:color="auto" w:fill="BFE3D8"/>
          </w:tcPr>
          <w:p w14:paraId="14D10D44" w14:textId="77777777" w:rsidR="00033B08" w:rsidRPr="00661742" w:rsidRDefault="00033B08" w:rsidP="00033B08">
            <w:r>
              <w:t>Conversion and displacement project</w:t>
            </w:r>
          </w:p>
        </w:tc>
        <w:tc>
          <w:tcPr>
            <w:tcW w:w="5244" w:type="dxa"/>
            <w:shd w:val="clear" w:color="auto" w:fill="BFE3D8"/>
          </w:tcPr>
          <w:p w14:paraId="32F69756" w14:textId="77777777" w:rsidR="00033B08" w:rsidRDefault="00033B08" w:rsidP="00033B08">
            <w:r>
              <w:t>Not applicable.</w:t>
            </w:r>
          </w:p>
        </w:tc>
      </w:tr>
      <w:tr w:rsidR="00033B08" w:rsidRPr="004A0C1A" w14:paraId="1B3A9DA2" w14:textId="77777777" w:rsidTr="006E1E80">
        <w:trPr>
          <w:cantSplit w:val="0"/>
          <w:trHeight w:val="350"/>
        </w:trPr>
        <w:tc>
          <w:tcPr>
            <w:tcW w:w="1744" w:type="dxa"/>
            <w:vMerge/>
            <w:shd w:val="clear" w:color="auto" w:fill="DFE0DE"/>
          </w:tcPr>
          <w:p w14:paraId="7D5EA884" w14:textId="77777777" w:rsidR="00033B08" w:rsidRDefault="00033B08" w:rsidP="00033B08">
            <w:pPr>
              <w:rPr>
                <w:b/>
              </w:rPr>
            </w:pPr>
          </w:p>
        </w:tc>
        <w:tc>
          <w:tcPr>
            <w:tcW w:w="2079" w:type="dxa"/>
            <w:shd w:val="clear" w:color="auto" w:fill="EEEBE0"/>
          </w:tcPr>
          <w:p w14:paraId="3373CDAF" w14:textId="77777777" w:rsidR="00033B08" w:rsidRPr="00661742" w:rsidRDefault="00033B08" w:rsidP="00033B08">
            <w:r>
              <w:t>Displacement-only projects</w:t>
            </w:r>
          </w:p>
        </w:tc>
        <w:tc>
          <w:tcPr>
            <w:tcW w:w="5244" w:type="dxa"/>
            <w:shd w:val="clear" w:color="auto" w:fill="EEEBE0"/>
          </w:tcPr>
          <w:p w14:paraId="7CA6849E" w14:textId="77777777" w:rsidR="00033B08" w:rsidRDefault="00033B08" w:rsidP="00033B08">
            <w:r>
              <w:t>(</w:t>
            </w:r>
            <m:oMath>
              <m:r>
                <w:rPr>
                  <w:rFonts w:ascii="Cambria Math" w:hAnsi="Cambria Math"/>
                </w:rPr>
                <m:t>12-x</m:t>
              </m:r>
            </m:oMath>
            <w:r>
              <w:t xml:space="preserve">) year crediting period, where </w:t>
            </w:r>
            <m:oMath>
              <m:r>
                <w:rPr>
                  <w:rFonts w:ascii="Cambria Math" w:hAnsi="Cambria Math"/>
                </w:rPr>
                <m:t>x</m:t>
              </m:r>
            </m:oMath>
            <w:r>
              <w:t xml:space="preserve"> is the length of the period in which the project earned ACCUs for biomethane displacement period under a previous project (e.g. an expanding conversion and displacement project).</w:t>
            </w:r>
          </w:p>
        </w:tc>
      </w:tr>
    </w:tbl>
    <w:p w14:paraId="22127D46" w14:textId="77777777" w:rsidR="00033B08" w:rsidRPr="00FF3119" w:rsidRDefault="00033B08" w:rsidP="00033B08">
      <w:pPr>
        <w:rPr>
          <w:rFonts w:asciiTheme="minorHAnsi" w:eastAsiaTheme="minorEastAsia" w:hAnsiTheme="minorHAnsi" w:cstheme="minorBid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634"/>
        <w:gridCol w:w="7392"/>
      </w:tblGrid>
      <w:tr w:rsidR="00033B08" w14:paraId="6C7498F4" w14:textId="77777777" w:rsidTr="00033B08">
        <w:trPr>
          <w:cantSplit/>
        </w:trPr>
        <w:tc>
          <w:tcPr>
            <w:tcW w:w="1696" w:type="dxa"/>
            <w:shd w:val="clear" w:color="auto" w:fill="F2F2F2" w:themeFill="background1" w:themeFillShade="F2"/>
            <w:vAlign w:val="center"/>
          </w:tcPr>
          <w:p w14:paraId="3A5CADE9" w14:textId="77777777" w:rsidR="00033B08" w:rsidRDefault="00033B08" w:rsidP="00033B08">
            <w:pPr>
              <w:spacing w:before="240"/>
              <w:jc w:val="center"/>
            </w:pPr>
            <w:r>
              <w:rPr>
                <w:noProof/>
              </w:rPr>
              <w:drawing>
                <wp:inline distT="0" distB="0" distL="0" distR="0" wp14:anchorId="4D4D5B7F" wp14:editId="2BBC0090">
                  <wp:extent cx="540000" cy="540000"/>
                  <wp:effectExtent l="0" t="0" r="0" b="0"/>
                  <wp:docPr id="7" name="Picture 7" descr="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er3143\Downloads\conversation.p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8034" w:type="dxa"/>
            <w:shd w:val="clear" w:color="auto" w:fill="F2F2F2" w:themeFill="background1" w:themeFillShade="F2"/>
            <w:vAlign w:val="center"/>
          </w:tcPr>
          <w:p w14:paraId="1088A86D" w14:textId="77777777" w:rsidR="00033B08" w:rsidRPr="00131F80" w:rsidRDefault="00033B08" w:rsidP="00033B08">
            <w:pPr>
              <w:pStyle w:val="Heading5"/>
              <w:outlineLvl w:val="4"/>
              <w:rPr>
                <w:sz w:val="22"/>
                <w:szCs w:val="22"/>
              </w:rPr>
            </w:pPr>
            <w:r w:rsidRPr="00131F80">
              <w:rPr>
                <w:sz w:val="22"/>
                <w:szCs w:val="22"/>
              </w:rPr>
              <w:t>Biomethane crediting period example</w:t>
            </w:r>
          </w:p>
          <w:p w14:paraId="65B21CD6" w14:textId="72A72F4B" w:rsidR="00033B08" w:rsidRPr="00131F80" w:rsidRDefault="00033B08" w:rsidP="00033B08">
            <w:pPr>
              <w:rPr>
                <w:rFonts w:asciiTheme="minorHAnsi" w:eastAsiaTheme="minorEastAsia" w:hAnsiTheme="minorHAnsi" w:cstheme="minorBidi"/>
                <w:color w:val="000000" w:themeColor="text1"/>
                <w:sz w:val="22"/>
                <w:szCs w:val="22"/>
                <w:lang w:val="en-GB"/>
              </w:rPr>
            </w:pPr>
            <w:r w:rsidRPr="00131F80">
              <w:rPr>
                <w:rFonts w:asciiTheme="minorHAnsi" w:eastAsiaTheme="minorEastAsia" w:hAnsiTheme="minorHAnsi" w:cstheme="minorBidi"/>
                <w:color w:val="000000" w:themeColor="text1"/>
                <w:sz w:val="22"/>
                <w:szCs w:val="22"/>
                <w:lang w:val="en-GB"/>
              </w:rPr>
              <w:t>An ERF wastewater</w:t>
            </w:r>
            <w:r w:rsidR="00746230">
              <w:rPr>
                <w:rFonts w:asciiTheme="minorHAnsi" w:eastAsiaTheme="minorEastAsia" w:hAnsiTheme="minorHAnsi" w:cstheme="minorBidi"/>
                <w:color w:val="000000" w:themeColor="text1"/>
                <w:sz w:val="22"/>
                <w:szCs w:val="22"/>
                <w:lang w:val="en-GB"/>
              </w:rPr>
              <w:t xml:space="preserve"> treatment </w:t>
            </w:r>
            <w:r w:rsidRPr="00131F80">
              <w:rPr>
                <w:rFonts w:asciiTheme="minorHAnsi" w:eastAsiaTheme="minorEastAsia" w:hAnsiTheme="minorHAnsi" w:cstheme="minorBidi"/>
                <w:color w:val="000000" w:themeColor="text1"/>
                <w:sz w:val="22"/>
                <w:szCs w:val="22"/>
                <w:lang w:val="en-GB"/>
              </w:rPr>
              <w:t xml:space="preserve">project begins in 2024 and flares waste biogas for two years. In 2026, it also begins biomethane conversion and displacement project activities. Under the </w:t>
            </w:r>
            <w:r w:rsidR="00746230">
              <w:rPr>
                <w:rFonts w:asciiTheme="minorHAnsi" w:eastAsiaTheme="minorEastAsia" w:hAnsiTheme="minorHAnsi" w:cstheme="minorBidi"/>
                <w:color w:val="000000" w:themeColor="text1"/>
                <w:sz w:val="22"/>
                <w:szCs w:val="22"/>
                <w:lang w:val="en-GB"/>
              </w:rPr>
              <w:t>wastewater</w:t>
            </w:r>
            <w:r w:rsidRPr="00131F80">
              <w:rPr>
                <w:rFonts w:asciiTheme="minorHAnsi" w:eastAsiaTheme="minorEastAsia" w:hAnsiTheme="minorHAnsi" w:cstheme="minorBidi"/>
                <w:color w:val="000000" w:themeColor="text1"/>
                <w:sz w:val="22"/>
                <w:szCs w:val="22"/>
                <w:lang w:val="en-GB"/>
              </w:rPr>
              <w:t xml:space="preserve"> method, flaring has a crediting period of seven years while biomethane can have up to 12 years of crediting.</w:t>
            </w:r>
          </w:p>
          <w:p w14:paraId="7D092344" w14:textId="0CB860BC" w:rsidR="00033B08" w:rsidRPr="00131F80" w:rsidRDefault="00033B08" w:rsidP="00033B08">
            <w:pPr>
              <w:rPr>
                <w:rFonts w:asciiTheme="minorHAnsi" w:eastAsiaTheme="minorEastAsia" w:hAnsiTheme="minorHAnsi" w:cstheme="minorBidi"/>
                <w:color w:val="000000" w:themeColor="text1"/>
                <w:sz w:val="22"/>
                <w:szCs w:val="22"/>
                <w:lang w:val="en-GB"/>
              </w:rPr>
            </w:pPr>
            <w:r w:rsidRPr="00131F80">
              <w:rPr>
                <w:rFonts w:asciiTheme="minorHAnsi" w:eastAsiaTheme="minorEastAsia" w:hAnsiTheme="minorHAnsi" w:cstheme="minorBidi"/>
                <w:color w:val="000000" w:themeColor="text1"/>
                <w:sz w:val="22"/>
                <w:szCs w:val="22"/>
                <w:lang w:val="en-GB"/>
              </w:rPr>
              <w:t xml:space="preserve">As an expanding biomethane project, the </w:t>
            </w:r>
            <w:r w:rsidR="00746230">
              <w:rPr>
                <w:rFonts w:asciiTheme="minorHAnsi" w:eastAsiaTheme="minorEastAsia" w:hAnsiTheme="minorHAnsi" w:cstheme="minorBidi"/>
                <w:color w:val="000000" w:themeColor="text1"/>
                <w:sz w:val="22"/>
                <w:szCs w:val="22"/>
                <w:lang w:val="en-GB"/>
              </w:rPr>
              <w:t>wastewater</w:t>
            </w:r>
            <w:r w:rsidRPr="00131F80">
              <w:rPr>
                <w:rFonts w:asciiTheme="minorHAnsi" w:eastAsiaTheme="minorEastAsia" w:hAnsiTheme="minorHAnsi" w:cstheme="minorBidi"/>
                <w:color w:val="000000" w:themeColor="text1"/>
                <w:sz w:val="22"/>
                <w:szCs w:val="22"/>
                <w:lang w:val="en-GB"/>
              </w:rPr>
              <w:t xml:space="preserve"> project’s crediting period for conversion and displacement activities is 12 years, ending in 2036 (12 years from 2024). During this period, the project can also earn credits for flaring waste biogas. However, the project cannot claim credits for flaring biogas for a cumulative period of more than 7 years (84 months), as this is the original crediting period afforded to that activity under the </w:t>
            </w:r>
            <w:r w:rsidR="00746230">
              <w:rPr>
                <w:rFonts w:asciiTheme="minorHAnsi" w:eastAsiaTheme="minorEastAsia" w:hAnsiTheme="minorHAnsi" w:cstheme="minorBidi"/>
                <w:color w:val="000000" w:themeColor="text1"/>
                <w:sz w:val="22"/>
                <w:szCs w:val="22"/>
                <w:lang w:val="en-GB"/>
              </w:rPr>
              <w:t>wastewater</w:t>
            </w:r>
            <w:r w:rsidRPr="00131F80">
              <w:rPr>
                <w:rFonts w:asciiTheme="minorHAnsi" w:eastAsiaTheme="minorEastAsia" w:hAnsiTheme="minorHAnsi" w:cstheme="minorBidi"/>
                <w:color w:val="000000" w:themeColor="text1"/>
                <w:sz w:val="22"/>
                <w:szCs w:val="22"/>
                <w:lang w:val="en-GB"/>
              </w:rPr>
              <w:t xml:space="preserve"> method. It is not extended by starting biomethane production.</w:t>
            </w:r>
          </w:p>
          <w:p w14:paraId="629AECA0" w14:textId="77777777" w:rsidR="00033B08" w:rsidRPr="00746230" w:rsidRDefault="00033B08" w:rsidP="00033B08">
            <w:pPr>
              <w:rPr>
                <w:sz w:val="22"/>
                <w:szCs w:val="22"/>
              </w:rPr>
            </w:pPr>
            <w:r w:rsidRPr="00811C98">
              <w:rPr>
                <w:rFonts w:asciiTheme="minorHAnsi" w:eastAsiaTheme="minorEastAsia" w:hAnsiTheme="minorHAnsi" w:cstheme="minorBidi"/>
                <w:color w:val="000000" w:themeColor="text1"/>
                <w:sz w:val="22"/>
                <w:szCs w:val="22"/>
                <w:lang w:val="en-GB"/>
              </w:rPr>
              <w:t>In 2036, the project has earned 12 years of conversion abatement credits (including both flaring and biomethane conversion abatement), and 10 years of displacement abatement credits. To access the remaining two years of displacement abatement, the proponent registers the facility as a restarting displacement-only project with a crediting period of two years. The crediting period of this project ends in 2038, after which no further abatement can be credited.</w:t>
            </w:r>
            <w:r w:rsidRPr="00746230">
              <w:rPr>
                <w:szCs w:val="22"/>
              </w:rPr>
              <w:t xml:space="preserve"> </w:t>
            </w:r>
          </w:p>
        </w:tc>
      </w:tr>
    </w:tbl>
    <w:p w14:paraId="5D06AE9D" w14:textId="77777777" w:rsidR="00383F02" w:rsidRPr="00FF3119" w:rsidRDefault="00383F02" w:rsidP="00B5239A">
      <w:pPr>
        <w:rPr>
          <w:rFonts w:asciiTheme="minorHAnsi" w:eastAsiaTheme="minorEastAsia" w:hAnsiTheme="minorHAnsi" w:cstheme="minorBidi"/>
          <w:color w:val="000000" w:themeColor="text1"/>
        </w:rPr>
      </w:pPr>
    </w:p>
    <w:p w14:paraId="1DDEC657" w14:textId="75A6C13A" w:rsidR="003A5287" w:rsidRDefault="00A23E8D" w:rsidP="003A5287">
      <w:pPr>
        <w:rPr>
          <w:lang w:val="en-GB"/>
        </w:rPr>
      </w:pPr>
      <w:r>
        <w:rPr>
          <w:rFonts w:asciiTheme="minorHAnsi" w:eastAsiaTheme="minorEastAsia" w:hAnsiTheme="minorHAnsi" w:cstheme="minorBidi"/>
          <w:color w:val="000000" w:themeColor="text1"/>
          <w:lang w:val="en-GB"/>
        </w:rPr>
        <w:t xml:space="preserve">When considering whether to recommend </w:t>
      </w:r>
      <w:r w:rsidR="00676C43">
        <w:rPr>
          <w:rFonts w:asciiTheme="minorHAnsi" w:eastAsiaTheme="minorEastAsia" w:hAnsiTheme="minorHAnsi" w:cstheme="minorBidi"/>
          <w:color w:val="000000" w:themeColor="text1"/>
          <w:lang w:val="en-GB"/>
        </w:rPr>
        <w:t xml:space="preserve">to the Minster that </w:t>
      </w:r>
      <w:r>
        <w:rPr>
          <w:rFonts w:asciiTheme="minorHAnsi" w:eastAsiaTheme="minorEastAsia" w:hAnsiTheme="minorHAnsi" w:cstheme="minorBidi"/>
          <w:color w:val="000000" w:themeColor="text1"/>
          <w:lang w:val="en-GB"/>
        </w:rPr>
        <w:t>a method</w:t>
      </w:r>
      <w:r w:rsidR="0057500C">
        <w:rPr>
          <w:rFonts w:asciiTheme="minorHAnsi" w:eastAsiaTheme="minorEastAsia" w:hAnsiTheme="minorHAnsi" w:cstheme="minorBidi"/>
          <w:color w:val="000000" w:themeColor="text1"/>
          <w:lang w:val="en-GB"/>
        </w:rPr>
        <w:t xml:space="preserve"> be made</w:t>
      </w:r>
      <w:r>
        <w:rPr>
          <w:rFonts w:asciiTheme="minorHAnsi" w:eastAsiaTheme="minorEastAsia" w:hAnsiTheme="minorHAnsi" w:cstheme="minorBidi"/>
          <w:color w:val="000000" w:themeColor="text1"/>
          <w:lang w:val="en-GB"/>
        </w:rPr>
        <w:t>, the</w:t>
      </w:r>
      <w:r w:rsidR="00904420">
        <w:rPr>
          <w:rFonts w:asciiTheme="minorHAnsi" w:eastAsiaTheme="minorEastAsia" w:hAnsiTheme="minorHAnsi" w:cstheme="minorBidi"/>
          <w:color w:val="000000" w:themeColor="text1"/>
          <w:lang w:val="en-GB"/>
        </w:rPr>
        <w:t xml:space="preserve"> </w:t>
      </w:r>
      <w:r w:rsidR="00192F62">
        <w:rPr>
          <w:rFonts w:asciiTheme="minorHAnsi" w:eastAsiaTheme="minorEastAsia" w:hAnsiTheme="minorHAnsi" w:cstheme="minorBidi"/>
          <w:color w:val="000000" w:themeColor="text1"/>
          <w:lang w:val="en-GB"/>
        </w:rPr>
        <w:t xml:space="preserve">Emissions Reduction Assurance Committee </w:t>
      </w:r>
      <w:r w:rsidR="00EA2F20">
        <w:rPr>
          <w:rFonts w:asciiTheme="minorHAnsi" w:eastAsiaTheme="minorEastAsia" w:hAnsiTheme="minorHAnsi" w:cstheme="minorBidi"/>
          <w:color w:val="000000" w:themeColor="text1"/>
          <w:lang w:val="en-GB"/>
        </w:rPr>
        <w:t xml:space="preserve">(ERAC) </w:t>
      </w:r>
      <w:r>
        <w:rPr>
          <w:rFonts w:asciiTheme="minorHAnsi" w:eastAsiaTheme="minorEastAsia" w:hAnsiTheme="minorHAnsi" w:cstheme="minorBidi"/>
          <w:color w:val="000000" w:themeColor="text1"/>
          <w:lang w:val="en-GB"/>
        </w:rPr>
        <w:t xml:space="preserve">must take into account whether the </w:t>
      </w:r>
      <w:r w:rsidR="00921A9E">
        <w:rPr>
          <w:rFonts w:asciiTheme="minorHAnsi" w:eastAsiaTheme="minorEastAsia" w:hAnsiTheme="minorHAnsi" w:cstheme="minorBidi"/>
          <w:color w:val="000000" w:themeColor="text1"/>
          <w:lang w:val="en-GB"/>
        </w:rPr>
        <w:t xml:space="preserve">biomethane </w:t>
      </w:r>
      <w:r>
        <w:rPr>
          <w:rFonts w:asciiTheme="minorHAnsi" w:eastAsiaTheme="minorEastAsia" w:hAnsiTheme="minorHAnsi" w:cstheme="minorBidi"/>
          <w:color w:val="000000" w:themeColor="text1"/>
          <w:lang w:val="en-GB"/>
        </w:rPr>
        <w:t>project activities would result in carbon abatement that would be unlikely to occur in the ordinary course of events over the whole crediting period.</w:t>
      </w:r>
      <w:r w:rsidR="00192F62">
        <w:rPr>
          <w:rFonts w:asciiTheme="minorHAnsi" w:eastAsiaTheme="minorEastAsia" w:hAnsiTheme="minorHAnsi" w:cstheme="minorBidi"/>
          <w:color w:val="000000" w:themeColor="text1"/>
          <w:lang w:val="en-GB"/>
        </w:rPr>
        <w:t xml:space="preserve"> This concept is known as additionality. </w:t>
      </w:r>
    </w:p>
    <w:p w14:paraId="249CA718" w14:textId="6866DBA5" w:rsidR="00192F62" w:rsidRDefault="00B92648" w:rsidP="00C76652">
      <w:pPr>
        <w:pStyle w:val="CERbullets"/>
        <w:rPr>
          <w:lang w:val="en-GB"/>
        </w:rPr>
      </w:pPr>
      <w:r>
        <w:rPr>
          <w:lang w:val="en-GB"/>
        </w:rPr>
        <w:t>D</w:t>
      </w:r>
      <w:r w:rsidR="00192F62">
        <w:rPr>
          <w:lang w:val="en-GB"/>
        </w:rPr>
        <w:t xml:space="preserve">isplacement </w:t>
      </w:r>
      <w:r w:rsidR="00631842">
        <w:rPr>
          <w:lang w:val="en-GB"/>
        </w:rPr>
        <w:t xml:space="preserve">and conversion </w:t>
      </w:r>
      <w:r w:rsidR="00192F62">
        <w:rPr>
          <w:lang w:val="en-GB"/>
        </w:rPr>
        <w:t xml:space="preserve">abatement </w:t>
      </w:r>
      <w:r w:rsidR="00631842">
        <w:rPr>
          <w:lang w:val="en-GB"/>
        </w:rPr>
        <w:t xml:space="preserve">from biomethane projects </w:t>
      </w:r>
      <w:r w:rsidR="00192F62">
        <w:rPr>
          <w:lang w:val="en-GB"/>
        </w:rPr>
        <w:t xml:space="preserve">is </w:t>
      </w:r>
      <w:r w:rsidR="00AE7230">
        <w:rPr>
          <w:lang w:val="en-GB"/>
        </w:rPr>
        <w:t>a</w:t>
      </w:r>
      <w:r w:rsidR="00192F62">
        <w:rPr>
          <w:lang w:val="en-GB"/>
        </w:rPr>
        <w:t xml:space="preserve"> new </w:t>
      </w:r>
      <w:r w:rsidR="002F02ED">
        <w:rPr>
          <w:lang w:val="en-GB"/>
        </w:rPr>
        <w:t xml:space="preserve">form </w:t>
      </w:r>
      <w:r w:rsidR="00192F62">
        <w:rPr>
          <w:lang w:val="en-GB"/>
        </w:rPr>
        <w:t xml:space="preserve">of abatement </w:t>
      </w:r>
      <w:r w:rsidR="002F02ED">
        <w:rPr>
          <w:lang w:val="en-GB"/>
        </w:rPr>
        <w:t>being credited by the ERF</w:t>
      </w:r>
      <w:r w:rsidR="00A3150A">
        <w:rPr>
          <w:lang w:val="en-GB"/>
        </w:rPr>
        <w:t xml:space="preserve"> for an activity that is </w:t>
      </w:r>
      <w:r w:rsidR="006B2900">
        <w:rPr>
          <w:lang w:val="en-GB"/>
        </w:rPr>
        <w:t xml:space="preserve">currently not occurring in Australia </w:t>
      </w:r>
      <w:r w:rsidR="00FE5169">
        <w:rPr>
          <w:lang w:val="en-GB"/>
        </w:rPr>
        <w:t>(</w:t>
      </w:r>
      <w:r w:rsidR="006B2900">
        <w:rPr>
          <w:lang w:val="en-GB"/>
        </w:rPr>
        <w:t>except in small pilots</w:t>
      </w:r>
      <w:r w:rsidR="00FE5169">
        <w:rPr>
          <w:lang w:val="en-GB"/>
        </w:rPr>
        <w:t>)</w:t>
      </w:r>
      <w:r w:rsidR="003A2650">
        <w:rPr>
          <w:lang w:val="en-GB"/>
        </w:rPr>
        <w:t xml:space="preserve"> due to a range of economic and other barriers</w:t>
      </w:r>
      <w:r w:rsidR="002F02ED">
        <w:rPr>
          <w:lang w:val="en-GB"/>
        </w:rPr>
        <w:t>. Therefore, a</w:t>
      </w:r>
      <w:r w:rsidR="006C7A2A">
        <w:rPr>
          <w:lang w:val="en-GB"/>
        </w:rPr>
        <w:t xml:space="preserve"> </w:t>
      </w:r>
      <w:r w:rsidR="005A1574">
        <w:rPr>
          <w:lang w:val="en-GB"/>
        </w:rPr>
        <w:t>12-year crediting period</w:t>
      </w:r>
      <w:r w:rsidR="008575EF">
        <w:rPr>
          <w:lang w:val="en-GB"/>
        </w:rPr>
        <w:t xml:space="preserve"> is</w:t>
      </w:r>
      <w:r w:rsidR="006C7A2A">
        <w:rPr>
          <w:lang w:val="en-GB"/>
        </w:rPr>
        <w:t xml:space="preserve"> considered </w:t>
      </w:r>
      <w:r w:rsidR="002F02ED">
        <w:rPr>
          <w:lang w:val="en-GB"/>
        </w:rPr>
        <w:t>as additional and not in the ordinary course of business</w:t>
      </w:r>
      <w:r w:rsidR="005A1574">
        <w:rPr>
          <w:lang w:val="en-GB"/>
        </w:rPr>
        <w:t>.</w:t>
      </w:r>
    </w:p>
    <w:p w14:paraId="24AAAED6" w14:textId="2B68DF7D" w:rsidR="00307F37" w:rsidRDefault="00B92648" w:rsidP="006544EC">
      <w:pPr>
        <w:pStyle w:val="CERbullets"/>
        <w:rPr>
          <w:lang w:val="en-GB"/>
        </w:rPr>
      </w:pPr>
      <w:r>
        <w:rPr>
          <w:lang w:val="en-GB"/>
        </w:rPr>
        <w:t xml:space="preserve">Activities resulting in conversion abatement </w:t>
      </w:r>
      <w:r w:rsidR="00F91A60">
        <w:rPr>
          <w:lang w:val="en-GB"/>
        </w:rPr>
        <w:t xml:space="preserve">are </w:t>
      </w:r>
      <w:r>
        <w:rPr>
          <w:lang w:val="en-GB"/>
        </w:rPr>
        <w:t xml:space="preserve">considered </w:t>
      </w:r>
      <w:r w:rsidR="00F91A60">
        <w:rPr>
          <w:lang w:val="en-GB"/>
        </w:rPr>
        <w:t xml:space="preserve">additional for 12 years, consistent with the landfill gas and animal effluent methods. </w:t>
      </w:r>
    </w:p>
    <w:p w14:paraId="4336C9A8" w14:textId="057465C9" w:rsidR="00307F37" w:rsidRDefault="00E00C07" w:rsidP="00307F37">
      <w:pPr>
        <w:pStyle w:val="CERbullets"/>
        <w:numPr>
          <w:ilvl w:val="1"/>
          <w:numId w:val="18"/>
        </w:numPr>
        <w:rPr>
          <w:lang w:val="en-GB"/>
        </w:rPr>
      </w:pPr>
      <w:r>
        <w:rPr>
          <w:lang w:val="en-GB"/>
        </w:rPr>
        <w:t xml:space="preserve">Unlike displacement abatement, conversion abatement can be generated from non-biomethane activities (e.g. flaring of waste methane). </w:t>
      </w:r>
    </w:p>
    <w:p w14:paraId="2B7425E8" w14:textId="700513D1" w:rsidR="00F91A60" w:rsidRDefault="00E00C07" w:rsidP="00307F37">
      <w:pPr>
        <w:pStyle w:val="CERbullets"/>
        <w:numPr>
          <w:ilvl w:val="1"/>
          <w:numId w:val="18"/>
        </w:numPr>
        <w:rPr>
          <w:lang w:val="en-GB"/>
        </w:rPr>
      </w:pPr>
      <w:r>
        <w:rPr>
          <w:lang w:val="en-GB"/>
        </w:rPr>
        <w:t xml:space="preserve">To </w:t>
      </w:r>
      <w:r w:rsidR="00307F37">
        <w:rPr>
          <w:lang w:val="en-GB"/>
        </w:rPr>
        <w:t xml:space="preserve">ensure </w:t>
      </w:r>
      <w:r>
        <w:rPr>
          <w:lang w:val="en-GB"/>
        </w:rPr>
        <w:t>additionality, t</w:t>
      </w:r>
      <w:r w:rsidR="00F91A60">
        <w:rPr>
          <w:lang w:val="en-GB"/>
        </w:rPr>
        <w:t xml:space="preserve">he crediting period for </w:t>
      </w:r>
      <w:r w:rsidR="00B92648">
        <w:rPr>
          <w:lang w:val="en-GB"/>
        </w:rPr>
        <w:t xml:space="preserve">expanding biomethane </w:t>
      </w:r>
      <w:r w:rsidR="00F91A60">
        <w:rPr>
          <w:lang w:val="en-GB"/>
        </w:rPr>
        <w:t xml:space="preserve">projects that are already </w:t>
      </w:r>
      <w:r>
        <w:rPr>
          <w:lang w:val="en-GB"/>
        </w:rPr>
        <w:t xml:space="preserve">destroying </w:t>
      </w:r>
      <w:r w:rsidR="00F91A60">
        <w:rPr>
          <w:lang w:val="en-GB"/>
        </w:rPr>
        <w:t xml:space="preserve">waste methane </w:t>
      </w:r>
      <w:r>
        <w:rPr>
          <w:lang w:val="en-GB"/>
        </w:rPr>
        <w:t xml:space="preserve">and creating conversion abatement </w:t>
      </w:r>
      <w:r w:rsidR="00F91A60">
        <w:rPr>
          <w:lang w:val="en-GB"/>
        </w:rPr>
        <w:t xml:space="preserve">is therefore </w:t>
      </w:r>
      <w:r w:rsidR="00B80511">
        <w:rPr>
          <w:lang w:val="en-GB"/>
        </w:rPr>
        <w:t xml:space="preserve">limited to </w:t>
      </w:r>
      <w:r w:rsidR="00F91A60">
        <w:rPr>
          <w:lang w:val="en-GB"/>
        </w:rPr>
        <w:t xml:space="preserve">12 years from when the project originally commenced </w:t>
      </w:r>
      <w:r w:rsidR="00307F37">
        <w:rPr>
          <w:lang w:val="en-GB"/>
        </w:rPr>
        <w:t xml:space="preserve">so </w:t>
      </w:r>
      <w:r w:rsidR="00F91A60">
        <w:rPr>
          <w:lang w:val="en-GB"/>
        </w:rPr>
        <w:t xml:space="preserve">that ACCUs can only be issued for conversion </w:t>
      </w:r>
      <w:r>
        <w:rPr>
          <w:lang w:val="en-GB"/>
        </w:rPr>
        <w:t>abatement</w:t>
      </w:r>
      <w:r w:rsidR="00F91A60">
        <w:rPr>
          <w:lang w:val="en-GB"/>
        </w:rPr>
        <w:t xml:space="preserve"> for a total of 12 years.</w:t>
      </w:r>
    </w:p>
    <w:p w14:paraId="3A740515" w14:textId="131279F7" w:rsidR="0098430F" w:rsidRDefault="00D47557" w:rsidP="006544EC">
      <w:pPr>
        <w:pStyle w:val="CERbullets"/>
        <w:rPr>
          <w:lang w:val="en-GB"/>
        </w:rPr>
      </w:pPr>
      <w:r>
        <w:rPr>
          <w:lang w:val="en-GB"/>
        </w:rPr>
        <w:t>Crediting</w:t>
      </w:r>
      <w:r w:rsidR="00FA7036">
        <w:rPr>
          <w:lang w:val="en-GB"/>
        </w:rPr>
        <w:t xml:space="preserve"> periods for</w:t>
      </w:r>
      <w:r>
        <w:rPr>
          <w:lang w:val="en-GB"/>
        </w:rPr>
        <w:t xml:space="preserve"> </w:t>
      </w:r>
      <w:r w:rsidR="002F02ED">
        <w:rPr>
          <w:lang w:val="en-GB"/>
        </w:rPr>
        <w:t xml:space="preserve">existing </w:t>
      </w:r>
      <w:r>
        <w:rPr>
          <w:lang w:val="en-GB"/>
        </w:rPr>
        <w:t xml:space="preserve">non-biomethane </w:t>
      </w:r>
      <w:r w:rsidR="009B6C6D">
        <w:rPr>
          <w:lang w:val="en-GB"/>
        </w:rPr>
        <w:t xml:space="preserve">activities </w:t>
      </w:r>
      <w:r w:rsidR="00850C13">
        <w:rPr>
          <w:lang w:val="en-GB"/>
        </w:rPr>
        <w:t xml:space="preserve">under the </w:t>
      </w:r>
      <w:r w:rsidR="00F71F60">
        <w:rPr>
          <w:lang w:val="en-GB"/>
        </w:rPr>
        <w:t>3</w:t>
      </w:r>
      <w:r w:rsidR="009B188C">
        <w:rPr>
          <w:lang w:val="en-GB"/>
        </w:rPr>
        <w:t xml:space="preserve"> ERF </w:t>
      </w:r>
      <w:r w:rsidR="00850C13">
        <w:rPr>
          <w:lang w:val="en-GB"/>
        </w:rPr>
        <w:t xml:space="preserve">waste methods </w:t>
      </w:r>
      <w:r w:rsidR="009B6C6D">
        <w:rPr>
          <w:lang w:val="en-GB"/>
        </w:rPr>
        <w:t xml:space="preserve">in the </w:t>
      </w:r>
      <w:r w:rsidR="009B188C">
        <w:rPr>
          <w:lang w:val="en-GB"/>
        </w:rPr>
        <w:t xml:space="preserve">proposed </w:t>
      </w:r>
      <w:r w:rsidR="009B6C6D">
        <w:rPr>
          <w:lang w:val="en-GB"/>
        </w:rPr>
        <w:t xml:space="preserve">biomethane method package </w:t>
      </w:r>
      <w:r w:rsidR="00FA7036">
        <w:rPr>
          <w:lang w:val="en-GB"/>
        </w:rPr>
        <w:t xml:space="preserve">are </w:t>
      </w:r>
      <w:r w:rsidR="00850C13">
        <w:rPr>
          <w:lang w:val="en-GB"/>
        </w:rPr>
        <w:t>unchanged</w:t>
      </w:r>
      <w:r>
        <w:rPr>
          <w:lang w:val="en-GB"/>
        </w:rPr>
        <w:t xml:space="preserve">. </w:t>
      </w:r>
    </w:p>
    <w:p w14:paraId="215D8913" w14:textId="4D897792" w:rsidR="00572BD5" w:rsidRPr="007C4DC2" w:rsidRDefault="00572BD5" w:rsidP="007C4DC2">
      <w:pPr>
        <w:pStyle w:val="Heading3"/>
      </w:pPr>
      <w:bookmarkStart w:id="26" w:name="_Toc85030337"/>
      <w:r w:rsidRPr="007C4DC2">
        <w:t xml:space="preserve">Start </w:t>
      </w:r>
      <w:r w:rsidR="3F447B7D" w:rsidRPr="007C4DC2">
        <w:t>date</w:t>
      </w:r>
      <w:bookmarkEnd w:id="26"/>
      <w:r w:rsidRPr="007C4DC2">
        <w:t xml:space="preserve"> </w:t>
      </w:r>
      <w:bookmarkEnd w:id="25"/>
    </w:p>
    <w:p w14:paraId="2296A6AC" w14:textId="753D48AA" w:rsidR="00572BD5" w:rsidRPr="00E82418" w:rsidRDefault="007C19E9" w:rsidP="00E82418">
      <w:pPr>
        <w:jc w:val="both"/>
        <w:rPr>
          <w:rFonts w:asciiTheme="minorHAnsi" w:eastAsiaTheme="minorEastAsia" w:hAnsiTheme="minorHAnsi" w:cstheme="minorBidi"/>
          <w:color w:val="000000" w:themeColor="text1"/>
          <w:lang w:val="en-GB"/>
        </w:rPr>
      </w:pPr>
      <w:r w:rsidRPr="20F7574B">
        <w:rPr>
          <w:rFonts w:asciiTheme="minorHAnsi" w:eastAsiaTheme="minorEastAsia" w:hAnsiTheme="minorHAnsi" w:cstheme="minorBidi"/>
          <w:color w:val="000000" w:themeColor="text1"/>
          <w:lang w:val="en-GB"/>
        </w:rPr>
        <w:t xml:space="preserve">The start </w:t>
      </w:r>
      <w:r w:rsidR="452C169B" w:rsidRPr="20F7574B">
        <w:rPr>
          <w:rFonts w:asciiTheme="minorHAnsi" w:eastAsiaTheme="minorEastAsia" w:hAnsiTheme="minorHAnsi" w:cstheme="minorBidi"/>
          <w:color w:val="000000" w:themeColor="text1"/>
          <w:lang w:val="en-GB"/>
        </w:rPr>
        <w:t xml:space="preserve">date is the date when the crediting period </w:t>
      </w:r>
      <w:r w:rsidR="00AE0B52">
        <w:rPr>
          <w:rFonts w:asciiTheme="minorHAnsi" w:eastAsiaTheme="minorEastAsia" w:hAnsiTheme="minorHAnsi" w:cstheme="minorBidi"/>
          <w:color w:val="000000" w:themeColor="text1"/>
          <w:lang w:val="en-GB"/>
        </w:rPr>
        <w:t>commences</w:t>
      </w:r>
      <w:r w:rsidR="00AE03FA">
        <w:rPr>
          <w:rFonts w:asciiTheme="minorHAnsi" w:eastAsiaTheme="minorEastAsia" w:hAnsiTheme="minorHAnsi" w:cstheme="minorBidi"/>
          <w:color w:val="000000" w:themeColor="text1"/>
          <w:lang w:val="en-GB"/>
        </w:rPr>
        <w:t xml:space="preserve">, </w:t>
      </w:r>
      <w:r w:rsidR="0077140F">
        <w:rPr>
          <w:rFonts w:asciiTheme="minorHAnsi" w:eastAsiaTheme="minorEastAsia" w:hAnsiTheme="minorHAnsi" w:cstheme="minorBidi"/>
          <w:color w:val="000000" w:themeColor="text1"/>
          <w:lang w:val="en-GB"/>
        </w:rPr>
        <w:t>that is</w:t>
      </w:r>
      <w:r w:rsidR="00FC5974">
        <w:rPr>
          <w:rFonts w:asciiTheme="minorHAnsi" w:eastAsiaTheme="minorEastAsia" w:hAnsiTheme="minorHAnsi" w:cstheme="minorBidi"/>
          <w:color w:val="000000" w:themeColor="text1"/>
          <w:lang w:val="en-GB"/>
        </w:rPr>
        <w:t>,</w:t>
      </w:r>
      <w:r w:rsidR="0077140F">
        <w:rPr>
          <w:rFonts w:asciiTheme="minorHAnsi" w:eastAsiaTheme="minorEastAsia" w:hAnsiTheme="minorHAnsi" w:cstheme="minorBidi"/>
          <w:color w:val="000000" w:themeColor="text1"/>
          <w:lang w:val="en-GB"/>
        </w:rPr>
        <w:t xml:space="preserve"> </w:t>
      </w:r>
      <w:r w:rsidR="008D6BDB">
        <w:rPr>
          <w:rFonts w:asciiTheme="minorHAnsi" w:eastAsiaTheme="minorEastAsia" w:hAnsiTheme="minorHAnsi" w:cstheme="minorBidi"/>
          <w:color w:val="000000" w:themeColor="text1"/>
          <w:lang w:val="en-GB"/>
        </w:rPr>
        <w:t>the day from which a</w:t>
      </w:r>
      <w:r w:rsidR="00F46132">
        <w:rPr>
          <w:rFonts w:asciiTheme="minorHAnsi" w:eastAsiaTheme="minorEastAsia" w:hAnsiTheme="minorHAnsi" w:cstheme="minorBidi"/>
          <w:color w:val="000000" w:themeColor="text1"/>
          <w:lang w:val="en-GB"/>
        </w:rPr>
        <w:t xml:space="preserve"> project </w:t>
      </w:r>
      <w:r w:rsidR="008D6BDB">
        <w:rPr>
          <w:rFonts w:asciiTheme="minorHAnsi" w:eastAsiaTheme="minorEastAsia" w:hAnsiTheme="minorHAnsi" w:cstheme="minorBidi"/>
          <w:color w:val="000000" w:themeColor="text1"/>
          <w:lang w:val="en-GB"/>
        </w:rPr>
        <w:t>can begin to earn</w:t>
      </w:r>
      <w:r w:rsidR="00F46132">
        <w:rPr>
          <w:rFonts w:asciiTheme="minorHAnsi" w:eastAsiaTheme="minorEastAsia" w:hAnsiTheme="minorHAnsi" w:cstheme="minorBidi"/>
          <w:color w:val="000000" w:themeColor="text1"/>
          <w:lang w:val="en-GB"/>
        </w:rPr>
        <w:t xml:space="preserve"> ACCUs</w:t>
      </w:r>
      <w:r w:rsidR="007E3E9E">
        <w:rPr>
          <w:rFonts w:asciiTheme="minorHAnsi" w:eastAsiaTheme="minorEastAsia" w:hAnsiTheme="minorHAnsi" w:cstheme="minorBidi"/>
          <w:color w:val="000000" w:themeColor="text1"/>
          <w:lang w:val="en-GB"/>
        </w:rPr>
        <w:t xml:space="preserve">. </w:t>
      </w:r>
      <w:r w:rsidR="00042536">
        <w:rPr>
          <w:rFonts w:asciiTheme="minorHAnsi" w:eastAsiaTheme="minorEastAsia" w:hAnsiTheme="minorHAnsi" w:cstheme="minorBidi"/>
          <w:color w:val="000000" w:themeColor="text1"/>
          <w:lang w:val="en-GB"/>
        </w:rPr>
        <w:t>S</w:t>
      </w:r>
      <w:r w:rsidR="00F46132">
        <w:rPr>
          <w:rFonts w:asciiTheme="minorHAnsi" w:eastAsiaTheme="minorEastAsia" w:hAnsiTheme="minorHAnsi" w:cstheme="minorBidi"/>
          <w:color w:val="000000" w:themeColor="text1"/>
          <w:lang w:val="en-GB"/>
        </w:rPr>
        <w:t xml:space="preserve">cheme participants </w:t>
      </w:r>
      <w:r w:rsidR="41E749B0" w:rsidRPr="20F7574B">
        <w:rPr>
          <w:rFonts w:asciiTheme="minorHAnsi" w:eastAsiaTheme="minorEastAsia" w:hAnsiTheme="minorHAnsi" w:cstheme="minorBidi"/>
          <w:color w:val="000000" w:themeColor="text1"/>
          <w:lang w:val="en-GB"/>
        </w:rPr>
        <w:t xml:space="preserve">can nominate any start date </w:t>
      </w:r>
      <w:r w:rsidR="00F46132">
        <w:rPr>
          <w:rFonts w:asciiTheme="minorHAnsi" w:eastAsiaTheme="minorEastAsia" w:hAnsiTheme="minorHAnsi" w:cstheme="minorBidi"/>
          <w:color w:val="000000" w:themeColor="text1"/>
          <w:lang w:val="en-GB"/>
        </w:rPr>
        <w:t xml:space="preserve">from </w:t>
      </w:r>
      <w:r w:rsidR="41E749B0" w:rsidRPr="20F7574B">
        <w:rPr>
          <w:rFonts w:asciiTheme="minorHAnsi" w:eastAsiaTheme="minorEastAsia" w:hAnsiTheme="minorHAnsi" w:cstheme="minorBidi"/>
          <w:color w:val="000000" w:themeColor="text1"/>
          <w:lang w:val="en-GB"/>
        </w:rPr>
        <w:t xml:space="preserve">the </w:t>
      </w:r>
      <w:r w:rsidR="008D6BDB">
        <w:rPr>
          <w:rFonts w:asciiTheme="minorHAnsi" w:eastAsiaTheme="minorEastAsia" w:hAnsiTheme="minorHAnsi" w:cstheme="minorBidi"/>
          <w:color w:val="000000" w:themeColor="text1"/>
          <w:lang w:val="en-GB"/>
        </w:rPr>
        <w:t xml:space="preserve">date the project is declared by the </w:t>
      </w:r>
      <w:r w:rsidR="008D6BDB" w:rsidRPr="008D6BDB">
        <w:rPr>
          <w:rFonts w:asciiTheme="minorHAnsi" w:eastAsiaTheme="minorEastAsia" w:hAnsiTheme="minorHAnsi" w:cstheme="minorBidi"/>
          <w:color w:val="000000" w:themeColor="text1"/>
          <w:lang w:val="en-GB"/>
        </w:rPr>
        <w:t>Clean Energy Regulator</w:t>
      </w:r>
      <w:r w:rsidR="0077140F">
        <w:rPr>
          <w:rFonts w:asciiTheme="minorHAnsi" w:eastAsiaTheme="minorEastAsia" w:hAnsiTheme="minorHAnsi" w:cstheme="minorBidi"/>
          <w:color w:val="000000" w:themeColor="text1"/>
          <w:lang w:val="en-GB"/>
        </w:rPr>
        <w:t xml:space="preserve">, </w:t>
      </w:r>
      <w:r w:rsidR="41E749B0" w:rsidRPr="20F7574B">
        <w:rPr>
          <w:rFonts w:asciiTheme="minorHAnsi" w:eastAsiaTheme="minorEastAsia" w:hAnsiTheme="minorHAnsi" w:cstheme="minorBidi"/>
          <w:color w:val="000000" w:themeColor="text1"/>
          <w:lang w:val="en-GB"/>
        </w:rPr>
        <w:t xml:space="preserve">and </w:t>
      </w:r>
      <w:r w:rsidR="0CD52988" w:rsidRPr="20F7574B">
        <w:rPr>
          <w:rFonts w:asciiTheme="minorHAnsi" w:eastAsiaTheme="minorEastAsia" w:hAnsiTheme="minorHAnsi" w:cstheme="minorBidi"/>
          <w:color w:val="000000" w:themeColor="text1"/>
          <w:lang w:val="en-GB"/>
        </w:rPr>
        <w:t>up to 18 months after</w:t>
      </w:r>
      <w:r w:rsidR="00AA7A20">
        <w:rPr>
          <w:rFonts w:asciiTheme="minorHAnsi" w:eastAsiaTheme="minorEastAsia" w:hAnsiTheme="minorHAnsi" w:cstheme="minorBidi"/>
          <w:color w:val="000000" w:themeColor="text1"/>
          <w:lang w:val="en-GB"/>
        </w:rPr>
        <w:t>wards</w:t>
      </w:r>
      <w:r w:rsidR="0CD52988" w:rsidRPr="20F7574B">
        <w:rPr>
          <w:rFonts w:asciiTheme="minorHAnsi" w:eastAsiaTheme="minorEastAsia" w:hAnsiTheme="minorHAnsi" w:cstheme="minorBidi"/>
          <w:color w:val="000000" w:themeColor="text1"/>
          <w:lang w:val="en-GB"/>
        </w:rPr>
        <w:t>.</w:t>
      </w:r>
      <w:bookmarkStart w:id="27" w:name="_Hlk57287362"/>
    </w:p>
    <w:p w14:paraId="263D2431" w14:textId="165B424E" w:rsidR="00565D0C" w:rsidRDefault="00A00151" w:rsidP="00A00151">
      <w:pPr>
        <w:pStyle w:val="Heading1"/>
      </w:pPr>
      <w:bookmarkStart w:id="28" w:name="_Ref31888056"/>
      <w:bookmarkStart w:id="29" w:name="_Toc85030338"/>
      <w:bookmarkEnd w:id="27"/>
      <w:r>
        <w:t xml:space="preserve">Running </w:t>
      </w:r>
      <w:r w:rsidR="61C01CC5">
        <w:t xml:space="preserve">and reporting on </w:t>
      </w:r>
      <w:r>
        <w:t>your project</w:t>
      </w:r>
      <w:bookmarkEnd w:id="28"/>
      <w:bookmarkEnd w:id="29"/>
    </w:p>
    <w:p w14:paraId="599F9C95" w14:textId="16A8B238" w:rsidR="00504DC6" w:rsidRDefault="00EA78FE" w:rsidP="009801C8">
      <w:pPr>
        <w:jc w:val="both"/>
        <w:rPr>
          <w:color w:val="000000" w:themeColor="text1"/>
        </w:rPr>
      </w:pPr>
      <w:r>
        <w:t xml:space="preserve">Following the </w:t>
      </w:r>
      <w:r w:rsidR="009574C1">
        <w:t>declaration that your project is an eligible offset project you may</w:t>
      </w:r>
      <w:r w:rsidR="008F2E26">
        <w:t xml:space="preserve"> then start your project. You will then need to report on the </w:t>
      </w:r>
      <w:r w:rsidR="004852BC">
        <w:t xml:space="preserve">net </w:t>
      </w:r>
      <w:r w:rsidR="008F2E26">
        <w:t xml:space="preserve">emissions from your project to the </w:t>
      </w:r>
      <w:r w:rsidR="00346B22">
        <w:t>Clean Energy Regulator</w:t>
      </w:r>
      <w:r w:rsidR="008F2E26">
        <w:t xml:space="preserve">. </w:t>
      </w:r>
      <w:r w:rsidR="00207BAC">
        <w:rPr>
          <w:color w:val="000000" w:themeColor="text1"/>
        </w:rPr>
        <w:t xml:space="preserve"> </w:t>
      </w:r>
    </w:p>
    <w:p w14:paraId="2FA0485F" w14:textId="23D8A25D" w:rsidR="00330A9F" w:rsidRDefault="00330A9F" w:rsidP="00330A9F">
      <w:pPr>
        <w:pStyle w:val="Heading2"/>
      </w:pPr>
      <w:bookmarkStart w:id="30" w:name="_Toc85030339"/>
      <w:r w:rsidRPr="00511F72">
        <w:t>Conducting your project</w:t>
      </w:r>
      <w:bookmarkEnd w:id="30"/>
    </w:p>
    <w:p w14:paraId="48D997C9" w14:textId="16F55BEF" w:rsidR="009D4FCB" w:rsidRDefault="009D4FCB" w:rsidP="009D4FCB">
      <w:r>
        <w:t xml:space="preserve">The following steps provide a high-level overview of the </w:t>
      </w:r>
      <w:r w:rsidR="00640E41">
        <w:t>process</w:t>
      </w:r>
      <w:r>
        <w:t xml:space="preserve"> to run a </w:t>
      </w:r>
      <w:r w:rsidR="00490D9F">
        <w:t xml:space="preserve">new </w:t>
      </w:r>
      <w:r>
        <w:t>biomethane project:</w:t>
      </w:r>
    </w:p>
    <w:p w14:paraId="1A1BE8A3" w14:textId="19EAD584" w:rsidR="009D4FCB" w:rsidRDefault="00490D9F" w:rsidP="00C76652">
      <w:pPr>
        <w:pStyle w:val="CERbullets"/>
      </w:pPr>
      <w:r w:rsidRPr="00D25946">
        <w:rPr>
          <w:b/>
          <w:bCs/>
        </w:rPr>
        <w:t>Plan your project</w:t>
      </w:r>
      <w:r>
        <w:t xml:space="preserve"> ensuring </w:t>
      </w:r>
      <w:r w:rsidR="009D4FCB">
        <w:t xml:space="preserve">your proposed project meets eligibility requirements under the relevant method. </w:t>
      </w:r>
      <w:r>
        <w:t xml:space="preserve">You will </w:t>
      </w:r>
      <w:r w:rsidR="009D4FCB">
        <w:t xml:space="preserve">need to ensure your project </w:t>
      </w:r>
      <w:r>
        <w:t xml:space="preserve">is </w:t>
      </w:r>
      <w:r w:rsidR="009D4FCB">
        <w:t>treating eligible waste</w:t>
      </w:r>
      <w:r>
        <w:t xml:space="preserve"> under the relevant method, as not all waste feedstocks are </w:t>
      </w:r>
      <w:r w:rsidR="00640E41">
        <w:t>allowed</w:t>
      </w:r>
      <w:r>
        <w:t xml:space="preserve"> under all methods.</w:t>
      </w:r>
    </w:p>
    <w:p w14:paraId="5D1C89E2" w14:textId="25BB3154" w:rsidR="00490D9F" w:rsidRDefault="00490D9F" w:rsidP="00C76652">
      <w:pPr>
        <w:pStyle w:val="CERbullets"/>
      </w:pPr>
      <w:r w:rsidRPr="00307F37">
        <w:rPr>
          <w:b/>
          <w:bCs/>
        </w:rPr>
        <w:t>Register your project</w:t>
      </w:r>
      <w:r>
        <w:t xml:space="preserve"> with the Clean Energy Regulator</w:t>
      </w:r>
      <w:r w:rsidR="00FE3744">
        <w:t xml:space="preserve"> – see </w:t>
      </w:r>
      <w:r w:rsidR="00FE3744" w:rsidRPr="00DB76A4">
        <w:rPr>
          <w:b/>
        </w:rPr>
        <w:fldChar w:fldCharType="begin"/>
      </w:r>
      <w:r w:rsidR="00FE3744" w:rsidRPr="00DB76A4">
        <w:rPr>
          <w:b/>
        </w:rPr>
        <w:instrText xml:space="preserve"> REF _Ref84677039 \h  \* MERGEFORMAT </w:instrText>
      </w:r>
      <w:r w:rsidR="00FE3744" w:rsidRPr="00DB76A4">
        <w:rPr>
          <w:b/>
        </w:rPr>
      </w:r>
      <w:r w:rsidR="00FE3744" w:rsidRPr="00DB76A4">
        <w:rPr>
          <w:b/>
        </w:rPr>
        <w:fldChar w:fldCharType="separate"/>
      </w:r>
      <w:r w:rsidR="00FE3744" w:rsidRPr="00DB76A4">
        <w:rPr>
          <w:rFonts w:eastAsiaTheme="minorEastAsia"/>
          <w:b/>
          <w:lang w:val="en-GB"/>
        </w:rPr>
        <w:t>Starting a biomethane project</w:t>
      </w:r>
      <w:r w:rsidR="00FE3744" w:rsidRPr="00DB76A4">
        <w:rPr>
          <w:b/>
        </w:rPr>
        <w:fldChar w:fldCharType="end"/>
      </w:r>
      <w:r w:rsidR="00FE3744">
        <w:t xml:space="preserve"> below</w:t>
      </w:r>
      <w:r>
        <w:t>.</w:t>
      </w:r>
    </w:p>
    <w:p w14:paraId="1E2B1E62" w14:textId="11EC9005" w:rsidR="00ED1ADA" w:rsidRDefault="00490D9F" w:rsidP="006544EC">
      <w:pPr>
        <w:pStyle w:val="CERbullets"/>
      </w:pPr>
      <w:r w:rsidRPr="00C020DD">
        <w:rPr>
          <w:b/>
          <w:bCs/>
        </w:rPr>
        <w:t>Install equipment</w:t>
      </w:r>
      <w:r>
        <w:t xml:space="preserve"> and infrastructure for your project. </w:t>
      </w:r>
      <w:r w:rsidR="002C270F">
        <w:t xml:space="preserve">Depending on your project activities, this could </w:t>
      </w:r>
      <w:r w:rsidR="00ED1ADA">
        <w:t>include installing:</w:t>
      </w:r>
    </w:p>
    <w:p w14:paraId="730CD614" w14:textId="4411FBC7" w:rsidR="00ED1ADA" w:rsidRPr="004B30DB" w:rsidRDefault="00ED1ADA" w:rsidP="004B30DB">
      <w:pPr>
        <w:pStyle w:val="CERbullets"/>
        <w:numPr>
          <w:ilvl w:val="1"/>
          <w:numId w:val="18"/>
        </w:numPr>
      </w:pPr>
      <w:r w:rsidRPr="004B30DB">
        <w:t xml:space="preserve">biogas capture and </w:t>
      </w:r>
      <w:r w:rsidR="001B414F" w:rsidRPr="004B30DB">
        <w:t xml:space="preserve">waste </w:t>
      </w:r>
      <w:r w:rsidRPr="004B30DB">
        <w:t>treatment equipment (e.g. gas collection pipelines and anaerobic digesters)</w:t>
      </w:r>
    </w:p>
    <w:p w14:paraId="459BBBCA" w14:textId="2DF1F4ED" w:rsidR="00ED1ADA" w:rsidRPr="004B30DB" w:rsidRDefault="00ED1ADA" w:rsidP="004B30DB">
      <w:pPr>
        <w:pStyle w:val="CERbullets"/>
        <w:numPr>
          <w:ilvl w:val="1"/>
          <w:numId w:val="18"/>
        </w:numPr>
      </w:pPr>
      <w:r w:rsidRPr="004B30DB">
        <w:t xml:space="preserve">biogas upgrading equipment to </w:t>
      </w:r>
      <w:r w:rsidR="00640E41" w:rsidRPr="004B30DB">
        <w:t>refine</w:t>
      </w:r>
      <w:r w:rsidRPr="004B30DB">
        <w:t xml:space="preserve"> the biogas into pipeline-ready biomethane </w:t>
      </w:r>
    </w:p>
    <w:p w14:paraId="46FB6E5A" w14:textId="4967179F" w:rsidR="00490D9F" w:rsidRPr="004B30DB" w:rsidRDefault="00ED1ADA" w:rsidP="004B30DB">
      <w:pPr>
        <w:pStyle w:val="CERbullets"/>
        <w:numPr>
          <w:ilvl w:val="1"/>
          <w:numId w:val="18"/>
        </w:numPr>
      </w:pPr>
      <w:r w:rsidRPr="004B30DB">
        <w:t>gas pipeline injection and metering infrastructure</w:t>
      </w:r>
      <w:r w:rsidR="002C270F" w:rsidRPr="004B30DB">
        <w:t xml:space="preserve"> or mobile transport to send biomethane to customers</w:t>
      </w:r>
      <w:r w:rsidRPr="004B30DB">
        <w:t>.</w:t>
      </w:r>
    </w:p>
    <w:p w14:paraId="023CC470" w14:textId="245E06CC" w:rsidR="00ED1ADA" w:rsidRPr="000C67C4" w:rsidRDefault="00D25946" w:rsidP="00C76652">
      <w:pPr>
        <w:pStyle w:val="CERbullets"/>
      </w:pPr>
      <w:r>
        <w:rPr>
          <w:b/>
          <w:bCs/>
        </w:rPr>
        <w:t xml:space="preserve">Run the project </w:t>
      </w:r>
      <w:r>
        <w:t>e</w:t>
      </w:r>
      <w:r w:rsidR="00640E41" w:rsidRPr="000C67C4">
        <w:t>nsur</w:t>
      </w:r>
      <w:r>
        <w:t>ing th</w:t>
      </w:r>
      <w:r w:rsidR="00640E41" w:rsidRPr="000C67C4">
        <w:t xml:space="preserve">e equipment is </w:t>
      </w:r>
      <w:r w:rsidR="00BB516A" w:rsidRPr="000C67C4">
        <w:t>operating correctly</w:t>
      </w:r>
      <w:r w:rsidR="00640E41" w:rsidRPr="000C67C4">
        <w:t xml:space="preserve"> and that project biomethane meets the applicable </w:t>
      </w:r>
      <w:r w:rsidR="005B5328">
        <w:t>territory, state</w:t>
      </w:r>
      <w:r w:rsidR="00AE03FA">
        <w:t>,</w:t>
      </w:r>
      <w:r w:rsidR="005B5328">
        <w:t xml:space="preserve"> </w:t>
      </w:r>
      <w:r w:rsidR="00C3428F">
        <w:t>and</w:t>
      </w:r>
      <w:r w:rsidR="005B5328">
        <w:t xml:space="preserve"> industry </w:t>
      </w:r>
      <w:r w:rsidR="00640E41" w:rsidRPr="000C67C4">
        <w:t>gas standards.</w:t>
      </w:r>
    </w:p>
    <w:p w14:paraId="1AD068EB" w14:textId="364DE34B" w:rsidR="00640E41" w:rsidRPr="004B30DB" w:rsidRDefault="00640E41" w:rsidP="004B30DB">
      <w:pPr>
        <w:pStyle w:val="CERbullets"/>
        <w:numPr>
          <w:ilvl w:val="1"/>
          <w:numId w:val="18"/>
        </w:numPr>
      </w:pPr>
      <w:r w:rsidRPr="004B30DB">
        <w:t xml:space="preserve">Commence operation of biomethane activities and report your abatement to the Clean Energy Regulator at least once every </w:t>
      </w:r>
      <w:r w:rsidR="003600AD" w:rsidRPr="004B30DB">
        <w:t>2</w:t>
      </w:r>
      <w:r w:rsidRPr="004B30DB">
        <w:t xml:space="preserve"> years.</w:t>
      </w:r>
    </w:p>
    <w:p w14:paraId="50EBAA47" w14:textId="658136D5" w:rsidR="00640E41" w:rsidRPr="009D4FCB" w:rsidRDefault="00640E41" w:rsidP="00640E41">
      <w:r>
        <w:t xml:space="preserve">Note that you can defer the start date of your crediting period by </w:t>
      </w:r>
      <w:r w:rsidR="005B5328" w:rsidRPr="008D30CF">
        <w:t>18 months</w:t>
      </w:r>
      <w:r>
        <w:t xml:space="preserve">. Delaying it until after infrastructure </w:t>
      </w:r>
      <w:r w:rsidR="00BB516A">
        <w:t xml:space="preserve">construction </w:t>
      </w:r>
      <w:r>
        <w:t xml:space="preserve">is complete can help </w:t>
      </w:r>
      <w:r w:rsidR="00BB516A">
        <w:t>maximise your project’s</w:t>
      </w:r>
      <w:r>
        <w:t xml:space="preserve"> ability to generate ACCUs during the crediting period.</w:t>
      </w:r>
    </w:p>
    <w:p w14:paraId="074D6731" w14:textId="153EC211" w:rsidR="00490D9F" w:rsidRDefault="008C3CB0" w:rsidP="00490D9F">
      <w:r>
        <w:rPr>
          <w:noProof/>
        </w:rPr>
        <w:drawing>
          <wp:inline distT="0" distB="0" distL="0" distR="0" wp14:anchorId="7B826161" wp14:editId="46AFBCB9">
            <wp:extent cx="5724525" cy="2095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2095500"/>
                    </a:xfrm>
                    <a:prstGeom prst="rect">
                      <a:avLst/>
                    </a:prstGeom>
                    <a:noFill/>
                    <a:ln>
                      <a:noFill/>
                    </a:ln>
                  </pic:spPr>
                </pic:pic>
              </a:graphicData>
            </a:graphic>
          </wp:inline>
        </w:drawing>
      </w:r>
    </w:p>
    <w:p w14:paraId="05396665" w14:textId="1191081E" w:rsidR="00A5152A" w:rsidRDefault="00A5152A" w:rsidP="00A5152A">
      <w:pPr>
        <w:pStyle w:val="Caption"/>
        <w:jc w:val="center"/>
        <w:rPr>
          <w:color w:val="auto"/>
          <w:sz w:val="22"/>
        </w:rPr>
      </w:pPr>
      <w:bookmarkStart w:id="31" w:name="_Toc57100999"/>
      <w:r w:rsidRPr="001520E0">
        <w:rPr>
          <w:color w:val="auto"/>
          <w:sz w:val="22"/>
        </w:rPr>
        <w:t xml:space="preserve">Figure </w:t>
      </w:r>
      <w:r w:rsidRPr="001520E0">
        <w:rPr>
          <w:color w:val="auto"/>
          <w:sz w:val="22"/>
        </w:rPr>
        <w:fldChar w:fldCharType="begin"/>
      </w:r>
      <w:r w:rsidRPr="001520E0">
        <w:rPr>
          <w:color w:val="auto"/>
          <w:sz w:val="22"/>
        </w:rPr>
        <w:instrText xml:space="preserve"> SEQ Figure \* ARABIC </w:instrText>
      </w:r>
      <w:r w:rsidRPr="001520E0">
        <w:rPr>
          <w:color w:val="auto"/>
          <w:sz w:val="22"/>
        </w:rPr>
        <w:fldChar w:fldCharType="separate"/>
      </w:r>
      <w:r w:rsidR="00651484">
        <w:rPr>
          <w:noProof/>
          <w:color w:val="auto"/>
          <w:sz w:val="22"/>
        </w:rPr>
        <w:t>3</w:t>
      </w:r>
      <w:r w:rsidRPr="001520E0">
        <w:rPr>
          <w:color w:val="auto"/>
          <w:sz w:val="22"/>
        </w:rPr>
        <w:fldChar w:fldCharType="end"/>
      </w:r>
      <w:r w:rsidRPr="001520E0">
        <w:rPr>
          <w:color w:val="auto"/>
          <w:sz w:val="22"/>
        </w:rPr>
        <w:t xml:space="preserve">: </w:t>
      </w:r>
      <w:r w:rsidR="00F070ED">
        <w:rPr>
          <w:color w:val="auto"/>
          <w:sz w:val="22"/>
        </w:rPr>
        <w:t>Indicative timelines for a biomethane project</w:t>
      </w:r>
    </w:p>
    <w:p w14:paraId="03F1192E" w14:textId="1A1A01E3" w:rsidR="00B65FD9" w:rsidRPr="00D271B8" w:rsidRDefault="00B65FD9" w:rsidP="00D271B8">
      <w:r>
        <w:t xml:space="preserve">Note: Scheme rules allow flexibility as to the timing of reporting periods and the above 2 year timeframe is illustrative only. </w:t>
      </w:r>
    </w:p>
    <w:p w14:paraId="35B9C710" w14:textId="77777777" w:rsidR="00FE3744" w:rsidRDefault="00FE3744" w:rsidP="00FE3744">
      <w:pPr>
        <w:pStyle w:val="Heading2"/>
        <w:rPr>
          <w:rFonts w:eastAsiaTheme="minorEastAsia"/>
          <w:lang w:val="en-GB"/>
        </w:rPr>
      </w:pPr>
      <w:bookmarkStart w:id="32" w:name="_Ref84677039"/>
      <w:bookmarkStart w:id="33" w:name="_Toc85030340"/>
      <w:r>
        <w:rPr>
          <w:rFonts w:eastAsiaTheme="minorEastAsia"/>
          <w:lang w:val="en-GB"/>
        </w:rPr>
        <w:t>Starting a biomethane project</w:t>
      </w:r>
      <w:bookmarkEnd w:id="32"/>
      <w:bookmarkEnd w:id="33"/>
    </w:p>
    <w:p w14:paraId="331683E9" w14:textId="3EFC1331" w:rsidR="00FE3744" w:rsidRDefault="00FE3744" w:rsidP="00FE3744">
      <w:pPr>
        <w:rPr>
          <w:lang w:val="en-GB"/>
        </w:rPr>
      </w:pPr>
      <w:r>
        <w:rPr>
          <w:lang w:val="en-GB"/>
        </w:rPr>
        <w:t>The process for starting a biomethane project at a waste facility will depend on whether the project is a new</w:t>
      </w:r>
      <w:r w:rsidR="002F02ED">
        <w:rPr>
          <w:lang w:val="en-GB"/>
        </w:rPr>
        <w:t xml:space="preserve">, </w:t>
      </w:r>
      <w:r>
        <w:rPr>
          <w:lang w:val="en-GB"/>
        </w:rPr>
        <w:t xml:space="preserve">restarting </w:t>
      </w:r>
      <w:r w:rsidR="001B414F">
        <w:rPr>
          <w:lang w:val="en-GB"/>
        </w:rPr>
        <w:t>or restarting displacement-only</w:t>
      </w:r>
      <w:r>
        <w:rPr>
          <w:lang w:val="en-GB"/>
        </w:rPr>
        <w:t xml:space="preserve"> biomethane project, or an expanding biomethane project that adds on to an existing ERF project.</w:t>
      </w:r>
    </w:p>
    <w:p w14:paraId="01CF45FC" w14:textId="77777777" w:rsidR="00FE3744" w:rsidRPr="00F905B6" w:rsidRDefault="00FE3744" w:rsidP="00FE3744">
      <w:pPr>
        <w:pStyle w:val="Heading3"/>
        <w:rPr>
          <w:rFonts w:eastAsiaTheme="minorEastAsia"/>
        </w:rPr>
      </w:pPr>
      <w:bookmarkStart w:id="34" w:name="_Toc85030341"/>
      <w:r w:rsidRPr="00F905B6">
        <w:rPr>
          <w:rFonts w:eastAsiaTheme="minorEastAsia"/>
        </w:rPr>
        <w:t>New or restarting biomethane projects</w:t>
      </w:r>
      <w:bookmarkEnd w:id="34"/>
    </w:p>
    <w:p w14:paraId="07BC7AD7" w14:textId="5C393C91" w:rsidR="00FE3744" w:rsidRDefault="00FE3744" w:rsidP="00FE3744">
      <w:pPr>
        <w:rPr>
          <w:lang w:val="en-GB"/>
        </w:rPr>
      </w:pPr>
      <w:r>
        <w:rPr>
          <w:lang w:val="en-GB"/>
        </w:rPr>
        <w:t>If the proposed project is a new</w:t>
      </w:r>
      <w:r w:rsidR="001B414F">
        <w:rPr>
          <w:lang w:val="en-GB"/>
        </w:rPr>
        <w:t xml:space="preserve">, restarting, or restarting displacement-only </w:t>
      </w:r>
      <w:r>
        <w:rPr>
          <w:lang w:val="en-GB"/>
        </w:rPr>
        <w:t>biomethane project, you must follow the standard registration process for a new ERF project:</w:t>
      </w:r>
    </w:p>
    <w:p w14:paraId="64C1369D" w14:textId="77777777" w:rsidR="00FE3744" w:rsidRPr="00BB0062" w:rsidRDefault="00FE3744" w:rsidP="00FE3744">
      <w:pPr>
        <w:pStyle w:val="CERnumbering"/>
        <w:numPr>
          <w:ilvl w:val="0"/>
          <w:numId w:val="6"/>
        </w:numPr>
        <w:rPr>
          <w:lang w:val="en-GB"/>
        </w:rPr>
      </w:pPr>
      <w:r w:rsidRPr="00BB0062">
        <w:rPr>
          <w:lang w:val="en-GB"/>
        </w:rPr>
        <w:t xml:space="preserve">Register your project with the Clean Energy Regulator under the applicable waste method. You can apply to register a project using the </w:t>
      </w:r>
      <w:hyperlink r:id="rId18" w:history="1">
        <w:r w:rsidRPr="00BB0062">
          <w:rPr>
            <w:rStyle w:val="Hyperlink"/>
            <w:lang w:val="en-GB"/>
          </w:rPr>
          <w:t>Clean Energy Regulator Client Portal</w:t>
        </w:r>
      </w:hyperlink>
      <w:r>
        <w:rPr>
          <w:rStyle w:val="FootnoteReference"/>
          <w:lang w:val="en-GB"/>
        </w:rPr>
        <w:footnoteReference w:id="10"/>
      </w:r>
      <w:r w:rsidRPr="00BB0062">
        <w:rPr>
          <w:lang w:val="en-GB"/>
        </w:rPr>
        <w:t>.</w:t>
      </w:r>
      <w:r w:rsidRPr="002D50E0">
        <w:rPr>
          <w:lang w:val="en-GB"/>
        </w:rPr>
        <w:t xml:space="preserve"> </w:t>
      </w:r>
      <w:r>
        <w:rPr>
          <w:lang w:val="en-GB"/>
        </w:rPr>
        <w:t>Do not commence project activities before your project is registered or you may fail to meet the newness test.</w:t>
      </w:r>
    </w:p>
    <w:p w14:paraId="635911D2" w14:textId="4B56E462" w:rsidR="00FE3744" w:rsidRDefault="00FE3744" w:rsidP="00FE3744">
      <w:pPr>
        <w:pStyle w:val="CERnumbering"/>
        <w:rPr>
          <w:lang w:val="en-GB"/>
        </w:rPr>
      </w:pPr>
      <w:r>
        <w:rPr>
          <w:lang w:val="en-GB"/>
        </w:rPr>
        <w:t>Implement biomethane project activities in accordance with your project’s method.</w:t>
      </w:r>
      <w:r w:rsidRPr="00BB0062">
        <w:rPr>
          <w:lang w:val="en-GB"/>
        </w:rPr>
        <w:t xml:space="preserve"> </w:t>
      </w:r>
      <w:r>
        <w:rPr>
          <w:lang w:val="en-GB"/>
        </w:rPr>
        <w:t xml:space="preserve">This may include getting appropriate regulatory approvals, installing equipment, and commencing biomethane </w:t>
      </w:r>
      <w:r w:rsidR="001F5ADB">
        <w:rPr>
          <w:lang w:val="en-GB"/>
        </w:rPr>
        <w:t xml:space="preserve">project </w:t>
      </w:r>
      <w:r>
        <w:rPr>
          <w:lang w:val="en-GB"/>
        </w:rPr>
        <w:t xml:space="preserve">activities such as injection into the gas network. </w:t>
      </w:r>
    </w:p>
    <w:p w14:paraId="6B0D8C50" w14:textId="77777777" w:rsidR="00FE3744" w:rsidRDefault="00FE3744" w:rsidP="00FE3744">
      <w:pPr>
        <w:pStyle w:val="CERnumbering"/>
        <w:rPr>
          <w:lang w:val="en-GB"/>
        </w:rPr>
      </w:pPr>
      <w:r>
        <w:rPr>
          <w:lang w:val="en-GB"/>
        </w:rPr>
        <w:t xml:space="preserve">Report on your project’s abatement to the </w:t>
      </w:r>
      <w:r w:rsidRPr="002350E3">
        <w:rPr>
          <w:lang w:val="en-GB"/>
        </w:rPr>
        <w:t>Clean Energy Regulator</w:t>
      </w:r>
      <w:r>
        <w:rPr>
          <w:lang w:val="en-GB"/>
        </w:rPr>
        <w:t xml:space="preserve"> at least once every 2 years and earn ACCUs for project carbon abatement.</w:t>
      </w:r>
    </w:p>
    <w:p w14:paraId="295087B1" w14:textId="77777777" w:rsidR="00FE3744" w:rsidRPr="00F905B6" w:rsidRDefault="00FE3744" w:rsidP="00A80ECB">
      <w:pPr>
        <w:pStyle w:val="Heading3"/>
        <w:rPr>
          <w:rFonts w:eastAsiaTheme="minorEastAsia"/>
        </w:rPr>
      </w:pPr>
      <w:bookmarkStart w:id="35" w:name="_Toc85030342"/>
      <w:r w:rsidRPr="00F905B6">
        <w:rPr>
          <w:rFonts w:eastAsiaTheme="minorEastAsia"/>
        </w:rPr>
        <w:t>Expanding biomethane project</w:t>
      </w:r>
      <w:bookmarkEnd w:id="35"/>
    </w:p>
    <w:p w14:paraId="117262AE" w14:textId="77777777" w:rsidR="00FE3744" w:rsidRDefault="00FE3744" w:rsidP="00FE3744">
      <w:pPr>
        <w:rPr>
          <w:lang w:val="en-GB"/>
        </w:rPr>
      </w:pPr>
      <w:r>
        <w:rPr>
          <w:lang w:val="en-GB"/>
        </w:rPr>
        <w:t xml:space="preserve">To start biomethane activities at an existing ERF project (an expanding biomethane project), you will need to ensure that your project is registered under a version of the method that permits biomethane activities. </w:t>
      </w:r>
    </w:p>
    <w:p w14:paraId="6C405B5D" w14:textId="77777777" w:rsidR="00FE3744" w:rsidRPr="001E027B" w:rsidRDefault="00FE3744" w:rsidP="00FE3744">
      <w:pPr>
        <w:rPr>
          <w:lang w:val="en-GB"/>
        </w:rPr>
      </w:pPr>
      <w:r>
        <w:rPr>
          <w:lang w:val="en-GB"/>
        </w:rPr>
        <w:t xml:space="preserve">If your project is under a method version that does not include biomethane activities, you will need to vary your project’s method. This can be done through </w:t>
      </w:r>
      <w:r w:rsidRPr="00BB0062">
        <w:rPr>
          <w:lang w:val="en-GB"/>
        </w:rPr>
        <w:t xml:space="preserve">the </w:t>
      </w:r>
      <w:hyperlink r:id="rId19" w:history="1">
        <w:r w:rsidRPr="00BB0062">
          <w:rPr>
            <w:rStyle w:val="Hyperlink"/>
            <w:lang w:val="en-GB"/>
          </w:rPr>
          <w:t>Clean Energy Regulator Client Portal</w:t>
        </w:r>
      </w:hyperlink>
      <w:r w:rsidRPr="00B07896">
        <w:rPr>
          <w:rStyle w:val="Hyperlink"/>
          <w:vertAlign w:val="superscript"/>
          <w:lang w:val="en-GB"/>
        </w:rPr>
        <w:fldChar w:fldCharType="begin"/>
      </w:r>
      <w:r w:rsidRPr="00B07896">
        <w:rPr>
          <w:rStyle w:val="Hyperlink"/>
          <w:vertAlign w:val="superscript"/>
          <w:lang w:val="en-GB"/>
        </w:rPr>
        <w:instrText xml:space="preserve"> NOTEREF _Ref63256801 \h </w:instrText>
      </w:r>
      <w:r>
        <w:rPr>
          <w:rStyle w:val="Hyperlink"/>
          <w:vertAlign w:val="superscript"/>
          <w:lang w:val="en-GB"/>
        </w:rPr>
        <w:instrText xml:space="preserve"> \* MERGEFORMAT </w:instrText>
      </w:r>
      <w:r w:rsidRPr="00B07896">
        <w:rPr>
          <w:rStyle w:val="Hyperlink"/>
          <w:vertAlign w:val="superscript"/>
          <w:lang w:val="en-GB"/>
        </w:rPr>
      </w:r>
      <w:r w:rsidRPr="00B07896">
        <w:rPr>
          <w:rStyle w:val="Hyperlink"/>
          <w:vertAlign w:val="superscript"/>
          <w:lang w:val="en-GB"/>
        </w:rPr>
        <w:fldChar w:fldCharType="separate"/>
      </w:r>
      <w:r w:rsidRPr="00B07896">
        <w:rPr>
          <w:rStyle w:val="Hyperlink"/>
          <w:vertAlign w:val="superscript"/>
          <w:lang w:val="en-GB"/>
        </w:rPr>
        <w:t>7</w:t>
      </w:r>
      <w:r w:rsidRPr="00B07896">
        <w:rPr>
          <w:rStyle w:val="Hyperlink"/>
          <w:vertAlign w:val="superscript"/>
          <w:lang w:val="en-GB"/>
        </w:rPr>
        <w:fldChar w:fldCharType="end"/>
      </w:r>
      <w:r>
        <w:rPr>
          <w:lang w:val="en-GB"/>
        </w:rPr>
        <w:t>. You will need to ensure all eligibility requirements are met, which may include identifying existing ERF projects at the project facility and providing information on proposed biomethane activities.</w:t>
      </w:r>
    </w:p>
    <w:p w14:paraId="1DB4A20E" w14:textId="1EBF7074" w:rsidR="00FE3744" w:rsidRPr="009B3715" w:rsidRDefault="00FE3744" w:rsidP="009B3715">
      <w:pPr>
        <w:rPr>
          <w:lang w:val="en-GB"/>
        </w:rPr>
      </w:pPr>
      <w:r>
        <w:rPr>
          <w:lang w:val="en-GB"/>
        </w:rPr>
        <w:t>Once your project is successfully registered under a method that includes biomethane activities, you can commence project biomethane activities, report on abatement and earn ACCUs. You will generally need to provide details about your new biomethane activities the next time you report to the Clean Energy Regulator. Note that the crediting period start date will remain the start date of the original project and is not reset when you vary the method.</w:t>
      </w:r>
    </w:p>
    <w:p w14:paraId="3DB034BF" w14:textId="7A6743E5" w:rsidR="00FC5974" w:rsidRDefault="008C3CB0" w:rsidP="00FC5974">
      <w:pPr>
        <w:pStyle w:val="Heading2"/>
      </w:pPr>
      <w:bookmarkStart w:id="36" w:name="_Toc85030343"/>
      <w:r>
        <w:t>Implementing b</w:t>
      </w:r>
      <w:r w:rsidR="00FC5974">
        <w:t xml:space="preserve">iomethane </w:t>
      </w:r>
      <w:r w:rsidR="00C62BF9">
        <w:t>activities</w:t>
      </w:r>
      <w:bookmarkEnd w:id="36"/>
    </w:p>
    <w:p w14:paraId="2BE44D31" w14:textId="4EB7F226" w:rsidR="00FC5974" w:rsidRDefault="00FC5974" w:rsidP="00FC5974">
      <w:r w:rsidRPr="009B188C">
        <w:t xml:space="preserve">The </w:t>
      </w:r>
      <w:r w:rsidR="009B188C" w:rsidRPr="009B188C">
        <w:t>p</w:t>
      </w:r>
      <w:r w:rsidR="009B188C" w:rsidRPr="007330DE">
        <w:rPr>
          <w:color w:val="auto"/>
        </w:rPr>
        <w:t xml:space="preserve">roposed </w:t>
      </w:r>
      <w:r w:rsidRPr="009B188C">
        <w:t>biomethane</w:t>
      </w:r>
      <w:r>
        <w:t xml:space="preserve"> method package aims to be technology neutral</w:t>
      </w:r>
      <w:r w:rsidR="00A80ECB">
        <w:t xml:space="preserve">. This is to allow </w:t>
      </w:r>
      <w:r w:rsidR="00B748D2">
        <w:t>p</w:t>
      </w:r>
      <w:r>
        <w:t xml:space="preserve">rojects </w:t>
      </w:r>
      <w:r w:rsidR="00A80ECB">
        <w:t xml:space="preserve">to </w:t>
      </w:r>
      <w:r w:rsidR="00821271">
        <w:t>undertake</w:t>
      </w:r>
      <w:r>
        <w:t xml:space="preserve"> any form of biomethane upgrade and </w:t>
      </w:r>
      <w:r w:rsidR="00DE4C78">
        <w:t xml:space="preserve">distribution </w:t>
      </w:r>
      <w:r>
        <w:t>system that is technologically and economically suitable provided relevant regulations</w:t>
      </w:r>
      <w:r w:rsidR="00116D04">
        <w:t xml:space="preserve"> and gas standards for injected biomethane</w:t>
      </w:r>
      <w:r>
        <w:t xml:space="preserve"> are </w:t>
      </w:r>
      <w:r w:rsidR="00116D04">
        <w:t>met</w:t>
      </w:r>
      <w:r w:rsidR="00B748D2">
        <w:t xml:space="preserve"> and eligible wastes under the </w:t>
      </w:r>
      <w:r w:rsidR="00A80ECB">
        <w:t xml:space="preserve">selected </w:t>
      </w:r>
      <w:r w:rsidR="00B748D2">
        <w:t>method are used</w:t>
      </w:r>
      <w:r w:rsidR="00116D04">
        <w:t xml:space="preserve">. </w:t>
      </w:r>
    </w:p>
    <w:p w14:paraId="011597F6" w14:textId="047F8A39" w:rsidR="00FC5974" w:rsidRDefault="00C62BF9" w:rsidP="00C62BF9">
      <w:r>
        <w:t xml:space="preserve">The 2 types of biomethane activity, </w:t>
      </w:r>
      <w:r w:rsidR="00017FAF">
        <w:t>biogas generation for biomethane</w:t>
      </w:r>
      <w:r>
        <w:t xml:space="preserve"> and </w:t>
      </w:r>
      <w:r w:rsidR="00017FAF">
        <w:t>biomethane production</w:t>
      </w:r>
      <w:r>
        <w:t xml:space="preserve">, encompass different stages of the biomethane production process. The implementation steps for each are listed in </w:t>
      </w:r>
      <w:r>
        <w:fldChar w:fldCharType="begin"/>
      </w:r>
      <w:r>
        <w:instrText xml:space="preserve"> REF _Ref84677850 \h </w:instrText>
      </w:r>
      <w:r>
        <w:fldChar w:fldCharType="separate"/>
      </w:r>
      <w:r w:rsidRPr="009B3715">
        <w:rPr>
          <w:b/>
          <w:bCs/>
          <w:color w:val="auto"/>
          <w:szCs w:val="22"/>
        </w:rPr>
        <w:t xml:space="preserve">Table </w:t>
      </w:r>
      <w:r w:rsidRPr="009B3715">
        <w:rPr>
          <w:b/>
          <w:bCs/>
          <w:noProof/>
          <w:color w:val="auto"/>
          <w:szCs w:val="22"/>
        </w:rPr>
        <w:t>3</w:t>
      </w:r>
      <w:r>
        <w:fldChar w:fldCharType="end"/>
      </w:r>
      <w:r>
        <w:t xml:space="preserve"> and </w:t>
      </w:r>
      <w:r w:rsidR="0019611F">
        <w:t xml:space="preserve">are </w:t>
      </w:r>
      <w:r>
        <w:t>discussed further below.</w:t>
      </w:r>
    </w:p>
    <w:p w14:paraId="151C4017" w14:textId="2BFC63A1" w:rsidR="00C62BF9" w:rsidRPr="009B3715" w:rsidRDefault="00C62BF9" w:rsidP="009B3715">
      <w:pPr>
        <w:pStyle w:val="Caption"/>
        <w:keepNext/>
        <w:rPr>
          <w:b/>
          <w:bCs/>
          <w:color w:val="auto"/>
          <w:szCs w:val="22"/>
        </w:rPr>
      </w:pPr>
      <w:bookmarkStart w:id="37" w:name="_Ref84677850"/>
      <w:r w:rsidRPr="009B3715">
        <w:rPr>
          <w:b/>
          <w:bCs/>
          <w:i w:val="0"/>
          <w:iCs w:val="0"/>
          <w:color w:val="auto"/>
          <w:sz w:val="22"/>
          <w:szCs w:val="22"/>
        </w:rPr>
        <w:t xml:space="preserve">Table </w:t>
      </w:r>
      <w:r w:rsidRPr="009B3715">
        <w:rPr>
          <w:b/>
          <w:bCs/>
          <w:i w:val="0"/>
          <w:iCs w:val="0"/>
          <w:color w:val="auto"/>
          <w:sz w:val="22"/>
          <w:szCs w:val="22"/>
        </w:rPr>
        <w:fldChar w:fldCharType="begin"/>
      </w:r>
      <w:r w:rsidRPr="009B3715">
        <w:rPr>
          <w:b/>
          <w:bCs/>
          <w:i w:val="0"/>
          <w:iCs w:val="0"/>
          <w:color w:val="auto"/>
          <w:sz w:val="22"/>
          <w:szCs w:val="22"/>
        </w:rPr>
        <w:instrText xml:space="preserve"> SEQ Table \* ARABIC </w:instrText>
      </w:r>
      <w:r w:rsidRPr="009B3715">
        <w:rPr>
          <w:b/>
          <w:bCs/>
          <w:i w:val="0"/>
          <w:iCs w:val="0"/>
          <w:color w:val="auto"/>
          <w:sz w:val="22"/>
          <w:szCs w:val="22"/>
        </w:rPr>
        <w:fldChar w:fldCharType="separate"/>
      </w:r>
      <w:r w:rsidRPr="009B3715">
        <w:rPr>
          <w:b/>
          <w:bCs/>
          <w:i w:val="0"/>
          <w:iCs w:val="0"/>
          <w:noProof/>
          <w:color w:val="auto"/>
          <w:sz w:val="22"/>
          <w:szCs w:val="22"/>
        </w:rPr>
        <w:t>3</w:t>
      </w:r>
      <w:r w:rsidRPr="009B3715">
        <w:rPr>
          <w:b/>
          <w:bCs/>
          <w:i w:val="0"/>
          <w:iCs w:val="0"/>
          <w:color w:val="auto"/>
          <w:sz w:val="22"/>
          <w:szCs w:val="22"/>
        </w:rPr>
        <w:fldChar w:fldCharType="end"/>
      </w:r>
      <w:bookmarkEnd w:id="37"/>
      <w:r w:rsidRPr="009B3715">
        <w:rPr>
          <w:b/>
          <w:bCs/>
          <w:i w:val="0"/>
          <w:iCs w:val="0"/>
          <w:color w:val="auto"/>
          <w:sz w:val="22"/>
          <w:szCs w:val="22"/>
        </w:rPr>
        <w:t>: Biomethane project activity implementations</w:t>
      </w:r>
    </w:p>
    <w:tbl>
      <w:tblPr>
        <w:tblStyle w:val="CERTable"/>
        <w:tblW w:w="9067" w:type="dxa"/>
        <w:tblLook w:val="0620" w:firstRow="1" w:lastRow="0" w:firstColumn="0" w:lastColumn="0" w:noHBand="1" w:noVBand="1"/>
      </w:tblPr>
      <w:tblGrid>
        <w:gridCol w:w="2353"/>
        <w:gridCol w:w="6714"/>
      </w:tblGrid>
      <w:tr w:rsidR="00C62BF9" w:rsidRPr="004A0C1A" w14:paraId="05A5F79F" w14:textId="77777777" w:rsidTr="009B3715">
        <w:trPr>
          <w:cnfStyle w:val="100000000000" w:firstRow="1" w:lastRow="0" w:firstColumn="0" w:lastColumn="0" w:oddVBand="0" w:evenVBand="0" w:oddHBand="0" w:evenHBand="0" w:firstRowFirstColumn="0" w:firstRowLastColumn="0" w:lastRowFirstColumn="0" w:lastRowLastColumn="0"/>
          <w:cantSplit w:val="0"/>
          <w:tblHeader/>
        </w:trPr>
        <w:tc>
          <w:tcPr>
            <w:tcW w:w="2353" w:type="dxa"/>
            <w:shd w:val="clear" w:color="auto" w:fill="383A42"/>
          </w:tcPr>
          <w:p w14:paraId="409F5B12" w14:textId="77777777" w:rsidR="00C62BF9" w:rsidRPr="004A0C1A" w:rsidRDefault="00C62BF9" w:rsidP="0079147D">
            <w:pPr>
              <w:rPr>
                <w:color w:val="FFFFFF"/>
              </w:rPr>
            </w:pPr>
            <w:r>
              <w:rPr>
                <w:color w:val="FFFFFF"/>
              </w:rPr>
              <w:t>Project activity</w:t>
            </w:r>
          </w:p>
        </w:tc>
        <w:tc>
          <w:tcPr>
            <w:tcW w:w="6714" w:type="dxa"/>
            <w:shd w:val="clear" w:color="auto" w:fill="383A42"/>
          </w:tcPr>
          <w:p w14:paraId="3C759370" w14:textId="273D0566" w:rsidR="00C62BF9" w:rsidRPr="004A0C1A" w:rsidRDefault="00C62BF9" w:rsidP="0079147D">
            <w:pPr>
              <w:rPr>
                <w:b w:val="0"/>
                <w:color w:val="FFFFFF"/>
              </w:rPr>
            </w:pPr>
            <w:r>
              <w:rPr>
                <w:color w:val="FFFFFF"/>
              </w:rPr>
              <w:t>Implementation</w:t>
            </w:r>
          </w:p>
        </w:tc>
      </w:tr>
      <w:tr w:rsidR="00C62BF9" w:rsidRPr="00610D9C" w14:paraId="76EE55B8" w14:textId="77777777" w:rsidTr="009B3715">
        <w:trPr>
          <w:cantSplit w:val="0"/>
          <w:trHeight w:val="490"/>
        </w:trPr>
        <w:tc>
          <w:tcPr>
            <w:tcW w:w="2353" w:type="dxa"/>
            <w:shd w:val="clear" w:color="auto" w:fill="BFE3D8"/>
          </w:tcPr>
          <w:p w14:paraId="4B1950A0" w14:textId="7FB37A43" w:rsidR="00C62BF9" w:rsidRPr="004A0C1A" w:rsidRDefault="00017FAF" w:rsidP="0079147D">
            <w:pPr>
              <w:rPr>
                <w:b/>
              </w:rPr>
            </w:pPr>
            <w:r>
              <w:rPr>
                <w:b/>
                <w:bCs/>
              </w:rPr>
              <w:t>Biogas generation for biomethane</w:t>
            </w:r>
            <w:r w:rsidR="00C62BF9">
              <w:rPr>
                <w:b/>
                <w:bCs/>
              </w:rPr>
              <w:t xml:space="preserve"> activity</w:t>
            </w:r>
          </w:p>
        </w:tc>
        <w:tc>
          <w:tcPr>
            <w:tcW w:w="6714" w:type="dxa"/>
            <w:shd w:val="clear" w:color="auto" w:fill="BFE3D8"/>
          </w:tcPr>
          <w:p w14:paraId="38EF9F86" w14:textId="77777777" w:rsidR="00C62BF9" w:rsidRDefault="00C62BF9" w:rsidP="00C76652">
            <w:pPr>
              <w:pStyle w:val="CERbullets"/>
            </w:pPr>
            <w:r>
              <w:t>Biogas generation</w:t>
            </w:r>
          </w:p>
          <w:p w14:paraId="43E302C7" w14:textId="2689B2D4" w:rsidR="00C62BF9" w:rsidRPr="00610D9C" w:rsidRDefault="00C62BF9" w:rsidP="006544EC">
            <w:pPr>
              <w:pStyle w:val="CERbullets"/>
            </w:pPr>
            <w:r>
              <w:t>Biogas transport to a biomethane production dispatch system</w:t>
            </w:r>
          </w:p>
        </w:tc>
      </w:tr>
      <w:tr w:rsidR="00C62BF9" w:rsidRPr="00610D9C" w14:paraId="6BFB8A89" w14:textId="77777777" w:rsidTr="009B3715">
        <w:trPr>
          <w:cantSplit w:val="0"/>
          <w:trHeight w:val="490"/>
        </w:trPr>
        <w:tc>
          <w:tcPr>
            <w:tcW w:w="2353" w:type="dxa"/>
            <w:shd w:val="clear" w:color="auto" w:fill="EEEBE0"/>
          </w:tcPr>
          <w:p w14:paraId="305B7459" w14:textId="0FC3A24D" w:rsidR="00C62BF9" w:rsidRDefault="00017FAF" w:rsidP="0079147D">
            <w:pPr>
              <w:rPr>
                <w:b/>
              </w:rPr>
            </w:pPr>
            <w:r>
              <w:rPr>
                <w:b/>
                <w:bCs/>
              </w:rPr>
              <w:t>Biomethane production</w:t>
            </w:r>
            <w:r w:rsidR="00C62BF9" w:rsidRPr="00B07896">
              <w:rPr>
                <w:b/>
                <w:bCs/>
              </w:rPr>
              <w:t xml:space="preserve"> activity</w:t>
            </w:r>
          </w:p>
        </w:tc>
        <w:tc>
          <w:tcPr>
            <w:tcW w:w="6714" w:type="dxa"/>
            <w:shd w:val="clear" w:color="auto" w:fill="EEEBE0"/>
          </w:tcPr>
          <w:p w14:paraId="3F8B4197" w14:textId="06626D16" w:rsidR="00C62BF9" w:rsidRDefault="00C62BF9" w:rsidP="00C76652">
            <w:pPr>
              <w:pStyle w:val="CERbullets"/>
            </w:pPr>
            <w:r>
              <w:t>Biogas upgrading and compression</w:t>
            </w:r>
          </w:p>
          <w:p w14:paraId="5C600DBA" w14:textId="1EF4D5EB" w:rsidR="00C62BF9" w:rsidRPr="00610D9C" w:rsidRDefault="00C62BF9" w:rsidP="006544EC">
            <w:pPr>
              <w:pStyle w:val="CERbullets"/>
            </w:pPr>
            <w:r>
              <w:t>Biomethane transport to end-users</w:t>
            </w:r>
          </w:p>
        </w:tc>
      </w:tr>
    </w:tbl>
    <w:p w14:paraId="07E43E9F" w14:textId="09BC6DFA" w:rsidR="0018129D" w:rsidRDefault="0018129D" w:rsidP="00C62BF9"/>
    <w:p w14:paraId="1CD3B390" w14:textId="488561F7" w:rsidR="0018129D" w:rsidRDefault="0018129D" w:rsidP="009B3715">
      <w:r w:rsidRPr="009B3715">
        <w:rPr>
          <w:b/>
          <w:bCs/>
        </w:rPr>
        <w:fldChar w:fldCharType="begin"/>
      </w:r>
      <w:r w:rsidRPr="009B3715">
        <w:rPr>
          <w:b/>
          <w:bCs/>
        </w:rPr>
        <w:instrText xml:space="preserve"> REF _Ref84716287 \h  \* MERGEFORMAT </w:instrText>
      </w:r>
      <w:r w:rsidRPr="009B3715">
        <w:rPr>
          <w:b/>
          <w:bCs/>
        </w:rPr>
      </w:r>
      <w:r w:rsidRPr="009B3715">
        <w:rPr>
          <w:b/>
          <w:bCs/>
        </w:rPr>
        <w:fldChar w:fldCharType="separate"/>
      </w:r>
      <w:r w:rsidRPr="009B3715">
        <w:rPr>
          <w:b/>
          <w:bCs/>
          <w:color w:val="auto"/>
          <w:szCs w:val="22"/>
        </w:rPr>
        <w:t xml:space="preserve">Figure </w:t>
      </w:r>
      <w:r w:rsidRPr="009B3715">
        <w:rPr>
          <w:b/>
          <w:bCs/>
          <w:noProof/>
          <w:color w:val="auto"/>
          <w:szCs w:val="22"/>
        </w:rPr>
        <w:t>4</w:t>
      </w:r>
      <w:r w:rsidRPr="009B3715">
        <w:rPr>
          <w:b/>
          <w:bCs/>
        </w:rPr>
        <w:fldChar w:fldCharType="end"/>
      </w:r>
      <w:r>
        <w:t xml:space="preserve"> illustrates </w:t>
      </w:r>
      <w:r w:rsidR="00B55388">
        <w:t xml:space="preserve">the flow of waste, biogas and biomethane between the 4 implementation steps for biomethane activities, separated between </w:t>
      </w:r>
      <w:r w:rsidR="00017FAF">
        <w:t>biogas generation for biomethane</w:t>
      </w:r>
      <w:r w:rsidR="00B55388">
        <w:t xml:space="preserve"> activities and </w:t>
      </w:r>
      <w:r w:rsidR="00017FAF">
        <w:t>biomethane production</w:t>
      </w:r>
      <w:r w:rsidR="00B55388">
        <w:t xml:space="preserve"> activities. Emissions </w:t>
      </w:r>
      <w:r w:rsidR="0019611F">
        <w:t>attributed to either</w:t>
      </w:r>
      <w:r w:rsidR="00B55388">
        <w:t xml:space="preserve"> </w:t>
      </w:r>
      <w:r w:rsidR="00017FAF">
        <w:t>biogas generation for biomethane</w:t>
      </w:r>
      <w:r w:rsidR="00B55388">
        <w:t xml:space="preserve"> activities </w:t>
      </w:r>
      <w:r w:rsidR="0019611F">
        <w:t>or</w:t>
      </w:r>
      <w:r w:rsidR="00B55388">
        <w:t xml:space="preserve"> </w:t>
      </w:r>
      <w:r w:rsidR="00017FAF">
        <w:t>biomethane production</w:t>
      </w:r>
      <w:r w:rsidR="00B55388">
        <w:t xml:space="preserve"> activities are also illustrated, as these will need to be accounted for when determining net abatement from each activity – see </w:t>
      </w:r>
      <w:r w:rsidR="00B55388" w:rsidRPr="009B3715">
        <w:rPr>
          <w:b/>
          <w:bCs/>
        </w:rPr>
        <w:fldChar w:fldCharType="begin"/>
      </w:r>
      <w:r w:rsidR="00B55388" w:rsidRPr="009B3715">
        <w:rPr>
          <w:b/>
          <w:bCs/>
        </w:rPr>
        <w:instrText xml:space="preserve"> REF _Ref84716468 \h </w:instrText>
      </w:r>
      <w:r w:rsidR="00B55388">
        <w:rPr>
          <w:b/>
          <w:bCs/>
        </w:rPr>
        <w:instrText xml:space="preserve"> \* MERGEFORMAT </w:instrText>
      </w:r>
      <w:r w:rsidR="00B55388" w:rsidRPr="009B3715">
        <w:rPr>
          <w:b/>
          <w:bCs/>
        </w:rPr>
      </w:r>
      <w:r w:rsidR="00B55388" w:rsidRPr="009B3715">
        <w:rPr>
          <w:b/>
          <w:bCs/>
        </w:rPr>
        <w:fldChar w:fldCharType="separate"/>
      </w:r>
      <w:r w:rsidR="00B55388" w:rsidRPr="009B3715">
        <w:rPr>
          <w:rFonts w:eastAsiaTheme="majorEastAsia"/>
          <w:b/>
          <w:bCs/>
          <w:lang w:val="en-GB"/>
        </w:rPr>
        <w:t>Net abatement</w:t>
      </w:r>
      <w:r w:rsidR="00B55388" w:rsidRPr="009B3715">
        <w:rPr>
          <w:b/>
          <w:bCs/>
        </w:rPr>
        <w:fldChar w:fldCharType="end"/>
      </w:r>
      <w:r w:rsidR="00B55388">
        <w:t xml:space="preserve"> below.</w:t>
      </w:r>
    </w:p>
    <w:p w14:paraId="3851EC29" w14:textId="70C83638" w:rsidR="0018129D" w:rsidRDefault="004B30DB">
      <w:pPr>
        <w:keepNext/>
        <w:jc w:val="center"/>
      </w:pPr>
      <w:r>
        <w:rPr>
          <w:noProof/>
        </w:rPr>
        <w:drawing>
          <wp:inline distT="0" distB="0" distL="0" distR="0" wp14:anchorId="765198CD" wp14:editId="08493935">
            <wp:extent cx="5731510" cy="385572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3855720"/>
                    </a:xfrm>
                    <a:prstGeom prst="rect">
                      <a:avLst/>
                    </a:prstGeom>
                    <a:noFill/>
                    <a:ln>
                      <a:noFill/>
                    </a:ln>
                  </pic:spPr>
                </pic:pic>
              </a:graphicData>
            </a:graphic>
          </wp:inline>
        </w:drawing>
      </w:r>
    </w:p>
    <w:p w14:paraId="39DDB873" w14:textId="72B7A100" w:rsidR="0018129D" w:rsidRPr="009B3715" w:rsidRDefault="0018129D" w:rsidP="009B3715">
      <w:pPr>
        <w:pStyle w:val="Caption"/>
        <w:jc w:val="center"/>
        <w:rPr>
          <w:color w:val="auto"/>
          <w:sz w:val="22"/>
          <w:szCs w:val="22"/>
        </w:rPr>
      </w:pPr>
      <w:bookmarkStart w:id="38" w:name="_Ref84716287"/>
      <w:bookmarkStart w:id="39" w:name="_Ref84716283"/>
      <w:r w:rsidRPr="009B3715">
        <w:rPr>
          <w:color w:val="auto"/>
          <w:sz w:val="22"/>
          <w:szCs w:val="22"/>
        </w:rPr>
        <w:t xml:space="preserve">Figure </w:t>
      </w:r>
      <w:r w:rsidRPr="009B3715">
        <w:rPr>
          <w:color w:val="auto"/>
          <w:sz w:val="22"/>
          <w:szCs w:val="22"/>
        </w:rPr>
        <w:fldChar w:fldCharType="begin"/>
      </w:r>
      <w:r w:rsidRPr="009B3715">
        <w:rPr>
          <w:color w:val="auto"/>
          <w:sz w:val="22"/>
          <w:szCs w:val="22"/>
        </w:rPr>
        <w:instrText xml:space="preserve"> SEQ Figure \* ARABIC </w:instrText>
      </w:r>
      <w:r w:rsidRPr="009B3715">
        <w:rPr>
          <w:color w:val="auto"/>
          <w:sz w:val="22"/>
          <w:szCs w:val="22"/>
        </w:rPr>
        <w:fldChar w:fldCharType="separate"/>
      </w:r>
      <w:r w:rsidRPr="009B3715">
        <w:rPr>
          <w:noProof/>
          <w:color w:val="auto"/>
          <w:sz w:val="22"/>
          <w:szCs w:val="22"/>
        </w:rPr>
        <w:t>4</w:t>
      </w:r>
      <w:r w:rsidRPr="009B3715">
        <w:rPr>
          <w:color w:val="auto"/>
          <w:sz w:val="22"/>
          <w:szCs w:val="22"/>
        </w:rPr>
        <w:fldChar w:fldCharType="end"/>
      </w:r>
      <w:bookmarkEnd w:id="38"/>
      <w:r w:rsidRPr="009B3715">
        <w:rPr>
          <w:color w:val="auto"/>
          <w:sz w:val="22"/>
          <w:szCs w:val="22"/>
        </w:rPr>
        <w:t>: Biomethane activities and emissions</w:t>
      </w:r>
      <w:bookmarkEnd w:id="39"/>
    </w:p>
    <w:p w14:paraId="2B8A0A91" w14:textId="5E3BF6DB" w:rsidR="00FC5974" w:rsidRDefault="00FC5974" w:rsidP="00FC5974">
      <w:pPr>
        <w:pStyle w:val="Heading3"/>
      </w:pPr>
      <w:bookmarkStart w:id="40" w:name="_Toc85030344"/>
      <w:r>
        <w:t xml:space="preserve">Biogas </w:t>
      </w:r>
      <w:r w:rsidR="00AB7BBB">
        <w:t>generation</w:t>
      </w:r>
      <w:bookmarkEnd w:id="40"/>
    </w:p>
    <w:p w14:paraId="69C4274D" w14:textId="2290F61B" w:rsidR="00FC5974" w:rsidRDefault="000B6494" w:rsidP="00FC5974">
      <w:r>
        <w:t xml:space="preserve">The </w:t>
      </w:r>
      <w:r w:rsidR="00017FAF">
        <w:t>biogas generation for biomethane</w:t>
      </w:r>
      <w:r>
        <w:t xml:space="preserve"> activity starts with the production and capture of biogas from waste. </w:t>
      </w:r>
      <w:r w:rsidR="00FC5974">
        <w:t>The</w:t>
      </w:r>
      <w:r w:rsidR="006A3993">
        <w:t xml:space="preserve"> </w:t>
      </w:r>
      <w:r w:rsidR="00F71F60">
        <w:t>3</w:t>
      </w:r>
      <w:r w:rsidR="006A3993">
        <w:t xml:space="preserve"> waste methods in the biomethane package </w:t>
      </w:r>
      <w:r>
        <w:t>cover different sources of waste biogas</w:t>
      </w:r>
      <w:r w:rsidR="00FC5974">
        <w:t>:</w:t>
      </w:r>
    </w:p>
    <w:p w14:paraId="2524B1E1" w14:textId="527BDBA6" w:rsidR="00FC5974" w:rsidRDefault="00FC5974" w:rsidP="00C76652">
      <w:pPr>
        <w:pStyle w:val="CERbullets"/>
      </w:pPr>
      <w:r w:rsidRPr="009B56A4">
        <w:rPr>
          <w:b/>
          <w:bCs/>
        </w:rPr>
        <w:t>Landfill gas</w:t>
      </w:r>
      <w:r w:rsidR="00E507E7" w:rsidRPr="009B56A4">
        <w:rPr>
          <w:b/>
          <w:bCs/>
        </w:rPr>
        <w:t xml:space="preserve"> (electricity generation)</w:t>
      </w:r>
      <w:r w:rsidRPr="00CC343A">
        <w:rPr>
          <w:b/>
          <w:bCs/>
        </w:rPr>
        <w:t xml:space="preserve"> projects</w:t>
      </w:r>
      <w:r>
        <w:t xml:space="preserve"> collect landfill gas (a biogas) by sinking wells into the landfill combined with a blower system to extract the gas.  </w:t>
      </w:r>
    </w:p>
    <w:p w14:paraId="08AC4F34" w14:textId="48A177E9" w:rsidR="00FC5974" w:rsidRDefault="00FC5974" w:rsidP="006544EC">
      <w:pPr>
        <w:pStyle w:val="CERbullets"/>
      </w:pPr>
      <w:r w:rsidRPr="009B56A4">
        <w:rPr>
          <w:b/>
          <w:bCs/>
        </w:rPr>
        <w:t>Wastewater</w:t>
      </w:r>
      <w:r w:rsidRPr="00CC343A">
        <w:rPr>
          <w:b/>
          <w:bCs/>
        </w:rPr>
        <w:t xml:space="preserve"> projects</w:t>
      </w:r>
      <w:r>
        <w:t xml:space="preserve"> treat domestic, commercial, or industrial wastewater in covered lagoons or anaerobic digesters</w:t>
      </w:r>
      <w:r w:rsidR="00E507E7">
        <w:t xml:space="preserve"> to generate </w:t>
      </w:r>
      <w:r>
        <w:t xml:space="preserve">biogas. </w:t>
      </w:r>
    </w:p>
    <w:p w14:paraId="75DF7E48" w14:textId="6F97E302" w:rsidR="00DC0460" w:rsidRDefault="00DC0460" w:rsidP="006544EC">
      <w:pPr>
        <w:pStyle w:val="CERbullets"/>
      </w:pPr>
      <w:r w:rsidRPr="009B56A4">
        <w:rPr>
          <w:b/>
          <w:bCs/>
        </w:rPr>
        <w:t>Animal effluent</w:t>
      </w:r>
      <w:r w:rsidRPr="00CC343A">
        <w:rPr>
          <w:b/>
          <w:bCs/>
        </w:rPr>
        <w:t xml:space="preserve"> projects</w:t>
      </w:r>
      <w:r>
        <w:t xml:space="preserve"> involve processing animal waste in covered lagoons or anaerobic digesters, which produce </w:t>
      </w:r>
      <w:r w:rsidR="00E507E7">
        <w:t xml:space="preserve">and collect </w:t>
      </w:r>
      <w:r>
        <w:t>biogas.</w:t>
      </w:r>
    </w:p>
    <w:p w14:paraId="46A7BC32" w14:textId="30ECB76B" w:rsidR="00C11FAD" w:rsidRDefault="00FC5974" w:rsidP="00FC5974">
      <w:r>
        <w:t>Each method has requirements for eligible waste and eligible waste processing technologies or systems</w:t>
      </w:r>
      <w:r w:rsidR="00B85F63">
        <w:t xml:space="preserve"> that projects must follow</w:t>
      </w:r>
      <w:r>
        <w:t>.</w:t>
      </w:r>
    </w:p>
    <w:p w14:paraId="792B1E28" w14:textId="09A777B0" w:rsidR="00E507E7" w:rsidRPr="00A01E3F" w:rsidRDefault="00E507E7" w:rsidP="00FC5974">
      <w:r>
        <w:t xml:space="preserve">Once the biogas has been produced and captured as part of a </w:t>
      </w:r>
      <w:r w:rsidR="00017FAF">
        <w:t>biogas generation for biomethane</w:t>
      </w:r>
      <w:r>
        <w:t xml:space="preserve"> activity, it must be sent to a biomethane production dispatch system.</w:t>
      </w:r>
    </w:p>
    <w:p w14:paraId="05A250DE" w14:textId="787A384D" w:rsidR="00270411" w:rsidRDefault="00270411" w:rsidP="00FC5974">
      <w:pPr>
        <w:pStyle w:val="Heading3"/>
      </w:pPr>
      <w:bookmarkStart w:id="41" w:name="_Toc85030345"/>
      <w:r>
        <w:t>Biogas transport to a biomethane production dispatch system</w:t>
      </w:r>
      <w:bookmarkEnd w:id="41"/>
    </w:p>
    <w:p w14:paraId="09A885D2" w14:textId="2BBB644C" w:rsidR="00790310" w:rsidRDefault="00662E59" w:rsidP="00E507E7">
      <w:r>
        <w:t>After</w:t>
      </w:r>
      <w:r w:rsidR="00790310">
        <w:t xml:space="preserve"> biogas has been generated as part of a </w:t>
      </w:r>
      <w:r w:rsidR="00017FAF">
        <w:t>biogas generation for biomethane</w:t>
      </w:r>
      <w:r w:rsidR="00790310">
        <w:t xml:space="preserve"> activity, it must be sent to a biomethane production dispatch system. </w:t>
      </w:r>
    </w:p>
    <w:p w14:paraId="4108B87D" w14:textId="469B7EDD" w:rsidR="00DB3968" w:rsidRDefault="00790310" w:rsidP="00E507E7">
      <w:r>
        <w:t>A biomethane production dispatch system is a system of gas transport equipment that transports biogas to a system that can upgrade the biogas into biomethane. A biomethane production dispatch system can be stationary</w:t>
      </w:r>
      <w:r w:rsidR="008453A9">
        <w:t xml:space="preserve">, </w:t>
      </w:r>
      <w:r>
        <w:t>for example</w:t>
      </w:r>
      <w:r w:rsidR="008453A9">
        <w:t>,</w:t>
      </w:r>
      <w:r>
        <w:t xml:space="preserve"> a pipeline to transport biogas to an upgrading system</w:t>
      </w:r>
      <w:r w:rsidR="008453A9">
        <w:t xml:space="preserve">, </w:t>
      </w:r>
      <w:r>
        <w:t xml:space="preserve">or it can be mobile, such as a system of trucks or other mobile infrastructure. </w:t>
      </w:r>
    </w:p>
    <w:p w14:paraId="03CED78A" w14:textId="60B3D04E" w:rsidR="00E507E7" w:rsidRDefault="00DB3968" w:rsidP="00E507E7">
      <w:r>
        <w:t xml:space="preserve">The biogas upgrading system that receives and upgrades biogas supplied by the biomethane production dispatch system can be at the same site as the biogas-generating waste facility, or at an entirely different facility. </w:t>
      </w:r>
      <w:r w:rsidR="009B4476">
        <w:t xml:space="preserve">For example, a specialised biomethane production facility that receives biogas from a range of waste sources </w:t>
      </w:r>
      <w:r w:rsidR="00F87801">
        <w:t xml:space="preserve">may be part of the project but be located at a different site to the waste treatment facility </w:t>
      </w:r>
      <w:r w:rsidR="009B4476">
        <w:t xml:space="preserve">– a biomethane production dispatch system can send biogas to that facility. </w:t>
      </w:r>
    </w:p>
    <w:p w14:paraId="0077C9CC" w14:textId="142B6FD1" w:rsidR="009B4476" w:rsidRDefault="009B4476" w:rsidP="00E507E7">
      <w:r>
        <w:t>The biomethane produced from biogas carried by a biomethane production dispatch system must be reasonably expected to be combusted within Australia as a natural gas substitute, to ensure that conversion abatement from destroying the waste methane occurs.</w:t>
      </w:r>
      <w:r w:rsidR="00932BB2">
        <w:t xml:space="preserve"> It is assumed that the methane in biogas sent to a biomethane production dispatch system is destroyed</w:t>
      </w:r>
      <w:r w:rsidR="00993236">
        <w:t xml:space="preserve">, and </w:t>
      </w:r>
      <w:r w:rsidR="00932BB2">
        <w:t>conversion abatement is credited on this basis. Biomethane production dispatch systems are therefore treated similarly to flares or other combustion devices that credit the destruction of methane sent to them.</w:t>
      </w:r>
    </w:p>
    <w:p w14:paraId="746D42D7" w14:textId="27C9D94E" w:rsidR="00FC5974" w:rsidRPr="00A50189" w:rsidRDefault="00FC5974" w:rsidP="00FC5974">
      <w:pPr>
        <w:pStyle w:val="Heading3"/>
      </w:pPr>
      <w:bookmarkStart w:id="42" w:name="_Toc85030346"/>
      <w:r>
        <w:t>Biogas upgrading</w:t>
      </w:r>
      <w:r w:rsidR="00340365">
        <w:t xml:space="preserve"> and compression</w:t>
      </w:r>
      <w:bookmarkEnd w:id="42"/>
    </w:p>
    <w:p w14:paraId="1EAA347C" w14:textId="311B9472" w:rsidR="00FC5974" w:rsidRDefault="000B6494" w:rsidP="00FC5974">
      <w:r>
        <w:t xml:space="preserve">A </w:t>
      </w:r>
      <w:r w:rsidR="00017FAF">
        <w:t>biomethane production</w:t>
      </w:r>
      <w:r>
        <w:t xml:space="preserve"> activity begins by receiving eligible biogas and upgrading that gas into </w:t>
      </w:r>
      <w:r w:rsidR="00FC5974">
        <w:t>pipeline quality biomethane, which typically has a methane proportion of at least 95</w:t>
      </w:r>
      <w:r w:rsidR="00340365">
        <w:t>%</w:t>
      </w:r>
      <w:r w:rsidR="00FC597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632"/>
        <w:gridCol w:w="7394"/>
      </w:tblGrid>
      <w:tr w:rsidR="000B6494" w14:paraId="2A65F866" w14:textId="77777777" w:rsidTr="0079147D">
        <w:tc>
          <w:tcPr>
            <w:tcW w:w="1632" w:type="dxa"/>
            <w:shd w:val="clear" w:color="auto" w:fill="F2F2F2" w:themeFill="background1" w:themeFillShade="F2"/>
            <w:vAlign w:val="center"/>
          </w:tcPr>
          <w:p w14:paraId="6120F9C5" w14:textId="77777777" w:rsidR="000B6494" w:rsidRDefault="000B6494" w:rsidP="0079147D">
            <w:pPr>
              <w:spacing w:before="240"/>
              <w:jc w:val="center"/>
            </w:pPr>
            <w:r>
              <w:rPr>
                <w:noProof/>
              </w:rPr>
              <w:drawing>
                <wp:inline distT="0" distB="0" distL="0" distR="0" wp14:anchorId="24F72B63" wp14:editId="39482FA2">
                  <wp:extent cx="540000" cy="540000"/>
                  <wp:effectExtent l="0" t="0" r="0" b="0"/>
                  <wp:docPr id="24" name="Picture 24" descr="C:\Users\cer3143\Downloads\alar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er3143\Downloads\alarm (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7394" w:type="dxa"/>
            <w:shd w:val="clear" w:color="auto" w:fill="F2F2F2" w:themeFill="background1" w:themeFillShade="F2"/>
          </w:tcPr>
          <w:p w14:paraId="491AEE8E" w14:textId="6F584719" w:rsidR="000B6494" w:rsidRPr="007B2659" w:rsidRDefault="000B6494" w:rsidP="0079147D">
            <w:pPr>
              <w:pStyle w:val="Heading5"/>
              <w:outlineLvl w:val="4"/>
              <w:rPr>
                <w:sz w:val="22"/>
                <w:szCs w:val="36"/>
              </w:rPr>
            </w:pPr>
            <w:r>
              <w:rPr>
                <w:sz w:val="22"/>
                <w:szCs w:val="36"/>
              </w:rPr>
              <w:t>Eligible biogas</w:t>
            </w:r>
          </w:p>
          <w:p w14:paraId="2117CE9B" w14:textId="1F811DA7" w:rsidR="00F4480B" w:rsidRPr="009B188C" w:rsidRDefault="000B6494" w:rsidP="0079147D">
            <w:pPr>
              <w:rPr>
                <w:sz w:val="22"/>
                <w:szCs w:val="22"/>
              </w:rPr>
            </w:pPr>
            <w:r w:rsidRPr="007330DE">
              <w:rPr>
                <w:sz w:val="22"/>
                <w:szCs w:val="22"/>
              </w:rPr>
              <w:t xml:space="preserve">Biogas upgraded into biomethane as part of a </w:t>
            </w:r>
            <w:r w:rsidR="00017FAF">
              <w:rPr>
                <w:sz w:val="22"/>
                <w:szCs w:val="22"/>
              </w:rPr>
              <w:t>biomethane production</w:t>
            </w:r>
            <w:r w:rsidRPr="007330DE">
              <w:rPr>
                <w:sz w:val="22"/>
                <w:szCs w:val="22"/>
              </w:rPr>
              <w:t xml:space="preserve"> activity must be </w:t>
            </w:r>
            <w:r w:rsidRPr="007330DE">
              <w:rPr>
                <w:i/>
                <w:sz w:val="22"/>
                <w:szCs w:val="22"/>
              </w:rPr>
              <w:t>eligible biogas</w:t>
            </w:r>
            <w:r w:rsidRPr="007330DE">
              <w:rPr>
                <w:sz w:val="22"/>
                <w:szCs w:val="22"/>
              </w:rPr>
              <w:t xml:space="preserve">. Biogas is eligible biogas if it is generated from waste that </w:t>
            </w:r>
            <w:r w:rsidR="00F4480B" w:rsidRPr="007330DE">
              <w:rPr>
                <w:sz w:val="22"/>
                <w:szCs w:val="22"/>
              </w:rPr>
              <w:t>would be</w:t>
            </w:r>
            <w:r w:rsidRPr="007330DE">
              <w:rPr>
                <w:sz w:val="22"/>
                <w:szCs w:val="22"/>
              </w:rPr>
              <w:t xml:space="preserve"> eligible to be treated under one of the </w:t>
            </w:r>
            <w:r w:rsidR="005A7A29">
              <w:rPr>
                <w:sz w:val="22"/>
                <w:szCs w:val="22"/>
              </w:rPr>
              <w:t>3</w:t>
            </w:r>
            <w:r w:rsidRPr="007330DE">
              <w:rPr>
                <w:sz w:val="22"/>
                <w:szCs w:val="22"/>
              </w:rPr>
              <w:t xml:space="preserve"> </w:t>
            </w:r>
            <w:r w:rsidR="009B188C" w:rsidRPr="007330DE">
              <w:rPr>
                <w:sz w:val="22"/>
                <w:szCs w:val="22"/>
              </w:rPr>
              <w:t xml:space="preserve">methods in the proposed </w:t>
            </w:r>
            <w:r w:rsidRPr="007330DE">
              <w:rPr>
                <w:sz w:val="22"/>
                <w:szCs w:val="22"/>
              </w:rPr>
              <w:t>biomethane method package.</w:t>
            </w:r>
            <w:r w:rsidR="00F4480B" w:rsidRPr="007330DE">
              <w:rPr>
                <w:sz w:val="22"/>
                <w:szCs w:val="22"/>
              </w:rPr>
              <w:t xml:space="preserve"> </w:t>
            </w:r>
          </w:p>
          <w:p w14:paraId="177F673B" w14:textId="5A582DD4" w:rsidR="000B6494" w:rsidRPr="009B188C" w:rsidRDefault="00E62FB2" w:rsidP="0079147D">
            <w:pPr>
              <w:rPr>
                <w:sz w:val="22"/>
                <w:szCs w:val="22"/>
              </w:rPr>
            </w:pPr>
            <w:r w:rsidRPr="007330DE">
              <w:rPr>
                <w:sz w:val="22"/>
                <w:szCs w:val="22"/>
              </w:rPr>
              <w:t>T</w:t>
            </w:r>
            <w:r w:rsidR="00F4480B" w:rsidRPr="007330DE">
              <w:rPr>
                <w:sz w:val="22"/>
                <w:szCs w:val="22"/>
              </w:rPr>
              <w:t>he waste facility supplying biogas does not need to have an ERF project for the biogas to be eligible biogas – you will just need to demonstrate that the waste used to produce biogas would fit under one of the</w:t>
            </w:r>
            <w:r w:rsidR="009B188C" w:rsidRPr="007330DE">
              <w:rPr>
                <w:sz w:val="22"/>
                <w:szCs w:val="22"/>
              </w:rPr>
              <w:t xml:space="preserve"> methods in the proposed</w:t>
            </w:r>
            <w:r w:rsidR="00F4480B" w:rsidRPr="007330DE">
              <w:rPr>
                <w:sz w:val="22"/>
                <w:szCs w:val="22"/>
              </w:rPr>
              <w:t xml:space="preserve"> biomethane method package.</w:t>
            </w:r>
          </w:p>
          <w:p w14:paraId="624C765F" w14:textId="727CAF37" w:rsidR="000B6494" w:rsidRPr="000B6494" w:rsidRDefault="000B6494" w:rsidP="0079147D">
            <w:r w:rsidRPr="007330DE">
              <w:rPr>
                <w:sz w:val="22"/>
                <w:szCs w:val="22"/>
              </w:rPr>
              <w:t xml:space="preserve">A </w:t>
            </w:r>
            <w:r w:rsidR="00017FAF">
              <w:rPr>
                <w:sz w:val="22"/>
                <w:szCs w:val="22"/>
              </w:rPr>
              <w:t>biomethane production</w:t>
            </w:r>
            <w:r w:rsidRPr="007330DE">
              <w:rPr>
                <w:sz w:val="22"/>
                <w:szCs w:val="22"/>
              </w:rPr>
              <w:t xml:space="preserve"> activity can upgrade biogas from multiple sources and can upgrade ineligible biogas. However, no ACCUs can be issued for displacement abatement associated with upgrading ineligible biogas. If your project includes a mix of eligible and ineligible biogas, you will need to estimate the proportion of eligible to ineligible biogas</w:t>
            </w:r>
            <w:r w:rsidR="00622D66" w:rsidRPr="007330DE">
              <w:rPr>
                <w:sz w:val="22"/>
                <w:szCs w:val="22"/>
              </w:rPr>
              <w:t xml:space="preserve"> and apportion net abatement accordingly.</w:t>
            </w:r>
            <w:r>
              <w:t xml:space="preserve"> </w:t>
            </w:r>
          </w:p>
        </w:tc>
      </w:tr>
    </w:tbl>
    <w:p w14:paraId="140A1053" w14:textId="77777777" w:rsidR="000B6494" w:rsidRDefault="000B6494" w:rsidP="00FC5974"/>
    <w:p w14:paraId="02AC2EA0" w14:textId="77777777" w:rsidR="00FC5974" w:rsidRDefault="00FC5974" w:rsidP="00FC5974">
      <w:r>
        <w:t>There are a range of commercial biogas upgrading systems available. System designs vary in their impurity scrubbing mechanism, energy consumption, gas pre-scrubbing requirements, capital cost and size.</w:t>
      </w:r>
    </w:p>
    <w:p w14:paraId="22855EBC" w14:textId="77777777" w:rsidR="00FC5974" w:rsidRDefault="00FC5974" w:rsidP="00FC5974">
      <w:r>
        <w:t>Examples of existing commercial upgrading technologies include:</w:t>
      </w:r>
    </w:p>
    <w:p w14:paraId="71900506" w14:textId="71809531" w:rsidR="00FC5974" w:rsidRDefault="00FC5974" w:rsidP="006544EC">
      <w:pPr>
        <w:pStyle w:val="CERbullets"/>
      </w:pPr>
      <w:r w:rsidRPr="006544EC">
        <w:rPr>
          <w:b/>
          <w:bCs/>
        </w:rPr>
        <w:t>Membrane separation</w:t>
      </w:r>
      <w:r w:rsidR="00D747BC">
        <w:t xml:space="preserve"> – physical</w:t>
      </w:r>
      <w:r w:rsidR="003E5CA6">
        <w:t>ly</w:t>
      </w:r>
      <w:r w:rsidR="00D747BC">
        <w:t xml:space="preserve"> separat</w:t>
      </w:r>
      <w:r w:rsidR="003E5CA6">
        <w:t>es</w:t>
      </w:r>
      <w:r w:rsidR="00D747BC">
        <w:t xml:space="preserve"> molecules </w:t>
      </w:r>
      <w:r w:rsidR="003E5CA6">
        <w:t xml:space="preserve">by size and charge through </w:t>
      </w:r>
      <w:r w:rsidR="00D747BC">
        <w:t>a membrane.</w:t>
      </w:r>
    </w:p>
    <w:p w14:paraId="3D1DA6E6" w14:textId="07564923" w:rsidR="00FC5974" w:rsidRDefault="00FC5974" w:rsidP="006544EC">
      <w:pPr>
        <w:pStyle w:val="CERbullets"/>
      </w:pPr>
      <w:r w:rsidRPr="006544EC">
        <w:rPr>
          <w:b/>
          <w:bCs/>
        </w:rPr>
        <w:t>Pressure swing adsorption</w:t>
      </w:r>
      <w:r w:rsidR="00D747BC">
        <w:t xml:space="preserve"> –</w:t>
      </w:r>
      <w:r w:rsidR="00C34904">
        <w:t xml:space="preserve"> gas impurities are adsorbed on to a surface under high pressure, with contaminants ejected into a tail gas when chamber pressure is lowered.</w:t>
      </w:r>
    </w:p>
    <w:p w14:paraId="359898CD" w14:textId="776BFAE9" w:rsidR="00FC5974" w:rsidRDefault="00FC5974" w:rsidP="006544EC">
      <w:pPr>
        <w:pStyle w:val="CERbullets"/>
      </w:pPr>
      <w:r w:rsidRPr="006544EC">
        <w:rPr>
          <w:b/>
          <w:bCs/>
        </w:rPr>
        <w:t>Amine scrubbing</w:t>
      </w:r>
      <w:r w:rsidR="00FE1E04" w:rsidRPr="003D13C9">
        <w:t xml:space="preserve"> </w:t>
      </w:r>
      <w:r w:rsidR="00FE1E04">
        <w:t>–</w:t>
      </w:r>
      <w:r w:rsidR="003E5CA6">
        <w:t xml:space="preserve"> biogas is passed through a </w:t>
      </w:r>
      <w:r w:rsidR="00FE1E04">
        <w:t>chemical solvent</w:t>
      </w:r>
      <w:r w:rsidR="003E5CA6">
        <w:t xml:space="preserve"> that dissolves and removes the </w:t>
      </w:r>
      <w:r w:rsidR="003D13C9">
        <w:t>carbon dioxide</w:t>
      </w:r>
      <w:r w:rsidR="003E5CA6">
        <w:t>.</w:t>
      </w:r>
      <w:r w:rsidR="00826850">
        <w:t xml:space="preserve"> </w:t>
      </w:r>
    </w:p>
    <w:p w14:paraId="3A2AC2BF" w14:textId="193BBD5A" w:rsidR="00FC5974" w:rsidRDefault="00FC5974" w:rsidP="006544EC">
      <w:pPr>
        <w:pStyle w:val="CERbullets"/>
      </w:pPr>
      <w:r w:rsidRPr="006544EC">
        <w:rPr>
          <w:b/>
          <w:bCs/>
        </w:rPr>
        <w:t xml:space="preserve">Water </w:t>
      </w:r>
      <w:r w:rsidRPr="00826850">
        <w:rPr>
          <w:b/>
        </w:rPr>
        <w:t>wash</w:t>
      </w:r>
      <w:r w:rsidR="003E5CA6">
        <w:t xml:space="preserve"> – biogas is passed through water </w:t>
      </w:r>
      <w:r w:rsidR="00826850">
        <w:t xml:space="preserve">under high pressure </w:t>
      </w:r>
      <w:r w:rsidR="003E5CA6">
        <w:t>to dissolve impurities.</w:t>
      </w:r>
    </w:p>
    <w:p w14:paraId="02600D8C" w14:textId="586B1521" w:rsidR="00C11FAD" w:rsidRPr="00A27203" w:rsidRDefault="00340365" w:rsidP="00FC5974">
      <w:r>
        <w:t xml:space="preserve">Depending on the upgrading technology used, there may be </w:t>
      </w:r>
      <w:r w:rsidR="00A27203">
        <w:t>several</w:t>
      </w:r>
      <w:r>
        <w:t xml:space="preserve"> sub-processes during the upgrading stage. This could include pre-treatment</w:t>
      </w:r>
      <w:r w:rsidR="00A27203">
        <w:t xml:space="preserve"> steps</w:t>
      </w:r>
      <w:r>
        <w:t xml:space="preserve"> to scrub the biogas of </w:t>
      </w:r>
      <w:r w:rsidR="00A27203">
        <w:t xml:space="preserve">hydrogen sulphide and other impurities, or drying stages to remove moisture. The final biomethane will </w:t>
      </w:r>
      <w:r w:rsidR="00E56D99">
        <w:t xml:space="preserve">generally </w:t>
      </w:r>
      <w:r w:rsidR="00A27203">
        <w:t xml:space="preserve">need to be compressed for </w:t>
      </w:r>
      <w:r w:rsidR="00E56D99">
        <w:t>transport to the end user</w:t>
      </w:r>
      <w:r w:rsidR="00A27203">
        <w:t>.</w:t>
      </w:r>
    </w:p>
    <w:p w14:paraId="157DDDCD" w14:textId="266F3A8A" w:rsidR="00FC5974" w:rsidRDefault="00FC5974" w:rsidP="00FC5974">
      <w:r>
        <w:t xml:space="preserve">While biogas upgrading is not currently common practice in Australia’s waste sector, these technologies are </w:t>
      </w:r>
      <w:r w:rsidR="00336398">
        <w:t xml:space="preserve">in use </w:t>
      </w:r>
      <w:r>
        <w:t xml:space="preserve">at scale in the North American and European waste industries. Proponents of biomethane projects will need to make a commercial investment assessment regarding </w:t>
      </w:r>
      <w:r w:rsidR="000E3892">
        <w:t>the</w:t>
      </w:r>
      <w:r>
        <w:t xml:space="preserve"> system or systems would be most appropriate for their project circumstance.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632"/>
        <w:gridCol w:w="7394"/>
      </w:tblGrid>
      <w:tr w:rsidR="00801690" w14:paraId="1F535F10" w14:textId="77777777" w:rsidTr="00340365">
        <w:tc>
          <w:tcPr>
            <w:tcW w:w="1632" w:type="dxa"/>
            <w:shd w:val="clear" w:color="auto" w:fill="F2F2F2" w:themeFill="background1" w:themeFillShade="F2"/>
            <w:vAlign w:val="center"/>
          </w:tcPr>
          <w:p w14:paraId="1B4D4629" w14:textId="77777777" w:rsidR="00801690" w:rsidRDefault="00801690">
            <w:pPr>
              <w:spacing w:before="240"/>
              <w:jc w:val="center"/>
            </w:pPr>
            <w:r>
              <w:rPr>
                <w:noProof/>
              </w:rPr>
              <w:drawing>
                <wp:inline distT="0" distB="0" distL="0" distR="0" wp14:anchorId="5C7298B1" wp14:editId="33589AC3">
                  <wp:extent cx="540000" cy="540000"/>
                  <wp:effectExtent l="0" t="0" r="0" b="0"/>
                  <wp:docPr id="8" name="Picture 8" descr="C:\Users\cer3143\Downloads\alar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er3143\Downloads\alarm (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7394" w:type="dxa"/>
            <w:shd w:val="clear" w:color="auto" w:fill="F2F2F2" w:themeFill="background1" w:themeFillShade="F2"/>
          </w:tcPr>
          <w:p w14:paraId="7E894E3C" w14:textId="393F85CF" w:rsidR="00801690" w:rsidRPr="007B2659" w:rsidRDefault="00801690" w:rsidP="00995E58">
            <w:pPr>
              <w:pStyle w:val="Heading5"/>
              <w:outlineLvl w:val="4"/>
              <w:rPr>
                <w:sz w:val="22"/>
                <w:szCs w:val="36"/>
              </w:rPr>
            </w:pPr>
            <w:r>
              <w:rPr>
                <w:sz w:val="22"/>
                <w:szCs w:val="36"/>
              </w:rPr>
              <w:t>Biogas upgrading system requirements</w:t>
            </w:r>
          </w:p>
          <w:p w14:paraId="44B8AD01" w14:textId="59172E49" w:rsidR="00801690" w:rsidRDefault="00801690" w:rsidP="00995E58">
            <w:pPr>
              <w:rPr>
                <w:sz w:val="22"/>
                <w:szCs w:val="28"/>
              </w:rPr>
            </w:pPr>
            <w:r w:rsidRPr="00801690">
              <w:rPr>
                <w:sz w:val="22"/>
                <w:szCs w:val="28"/>
              </w:rPr>
              <w:t>The</w:t>
            </w:r>
            <w:r w:rsidR="009B188C">
              <w:rPr>
                <w:sz w:val="22"/>
                <w:szCs w:val="28"/>
              </w:rPr>
              <w:t xml:space="preserve"> proposed</w:t>
            </w:r>
            <w:r w:rsidRPr="00801690">
              <w:rPr>
                <w:sz w:val="22"/>
                <w:szCs w:val="28"/>
              </w:rPr>
              <w:t xml:space="preserve"> biomethane method package </w:t>
            </w:r>
            <w:r w:rsidR="0054412C">
              <w:rPr>
                <w:sz w:val="22"/>
                <w:szCs w:val="28"/>
              </w:rPr>
              <w:t xml:space="preserve">does not specify </w:t>
            </w:r>
            <w:r w:rsidRPr="00801690">
              <w:rPr>
                <w:sz w:val="22"/>
                <w:szCs w:val="28"/>
              </w:rPr>
              <w:t>what type of technology can or must be used. However, a project’s biogas upgrading system must</w:t>
            </w:r>
            <w:r w:rsidR="00340365">
              <w:rPr>
                <w:sz w:val="22"/>
                <w:szCs w:val="28"/>
              </w:rPr>
              <w:t xml:space="preserve"> meet the following requirements:</w:t>
            </w:r>
          </w:p>
          <w:p w14:paraId="3DE8A189" w14:textId="08F8CBDB" w:rsidR="007B75AB" w:rsidRPr="009B188C" w:rsidRDefault="007B75AB" w:rsidP="006544EC">
            <w:pPr>
              <w:pStyle w:val="CERbullets"/>
              <w:rPr>
                <w:sz w:val="22"/>
                <w:szCs w:val="22"/>
              </w:rPr>
            </w:pPr>
            <w:r w:rsidRPr="007330DE">
              <w:rPr>
                <w:sz w:val="22"/>
                <w:szCs w:val="22"/>
              </w:rPr>
              <w:t xml:space="preserve">The </w:t>
            </w:r>
            <w:r w:rsidR="00801690" w:rsidRPr="007330DE">
              <w:rPr>
                <w:sz w:val="22"/>
                <w:szCs w:val="22"/>
              </w:rPr>
              <w:t xml:space="preserve">biomethane </w:t>
            </w:r>
            <w:r w:rsidRPr="007330DE">
              <w:rPr>
                <w:sz w:val="22"/>
                <w:szCs w:val="22"/>
              </w:rPr>
              <w:t xml:space="preserve">produced </w:t>
            </w:r>
            <w:r w:rsidR="00801690" w:rsidRPr="007330DE">
              <w:rPr>
                <w:sz w:val="22"/>
                <w:szCs w:val="22"/>
              </w:rPr>
              <w:t xml:space="preserve">meets the </w:t>
            </w:r>
            <w:r w:rsidRPr="007330DE">
              <w:rPr>
                <w:sz w:val="22"/>
                <w:szCs w:val="22"/>
              </w:rPr>
              <w:t xml:space="preserve">natural </w:t>
            </w:r>
            <w:r w:rsidR="00801690" w:rsidRPr="007330DE">
              <w:rPr>
                <w:sz w:val="22"/>
                <w:szCs w:val="22"/>
              </w:rPr>
              <w:t xml:space="preserve">gas </w:t>
            </w:r>
            <w:r w:rsidRPr="007330DE">
              <w:rPr>
                <w:sz w:val="22"/>
                <w:szCs w:val="22"/>
              </w:rPr>
              <w:t xml:space="preserve">quality </w:t>
            </w:r>
            <w:r w:rsidR="00801690" w:rsidRPr="007330DE">
              <w:rPr>
                <w:sz w:val="22"/>
                <w:szCs w:val="22"/>
              </w:rPr>
              <w:t xml:space="preserve">standards </w:t>
            </w:r>
            <w:r w:rsidR="00E56D99" w:rsidRPr="007330DE">
              <w:rPr>
                <w:sz w:val="22"/>
                <w:szCs w:val="22"/>
              </w:rPr>
              <w:t>required under the relevant regulatory regime</w:t>
            </w:r>
            <w:r w:rsidR="00801690" w:rsidRPr="007330DE">
              <w:rPr>
                <w:sz w:val="22"/>
                <w:szCs w:val="22"/>
              </w:rPr>
              <w:t xml:space="preserve">. </w:t>
            </w:r>
          </w:p>
          <w:p w14:paraId="65133474" w14:textId="4BB14E39" w:rsidR="00801690" w:rsidRPr="009B188C" w:rsidRDefault="00801690" w:rsidP="006544EC">
            <w:pPr>
              <w:pStyle w:val="CERbullets"/>
              <w:rPr>
                <w:sz w:val="22"/>
                <w:szCs w:val="22"/>
              </w:rPr>
            </w:pPr>
            <w:r w:rsidRPr="007330DE">
              <w:rPr>
                <w:sz w:val="22"/>
                <w:szCs w:val="22"/>
              </w:rPr>
              <w:t xml:space="preserve">Biomethane quality and composition </w:t>
            </w:r>
            <w:r w:rsidR="007B75AB" w:rsidRPr="007330DE">
              <w:rPr>
                <w:sz w:val="22"/>
                <w:szCs w:val="22"/>
              </w:rPr>
              <w:t xml:space="preserve">is </w:t>
            </w:r>
            <w:r w:rsidRPr="007330DE">
              <w:rPr>
                <w:sz w:val="22"/>
                <w:szCs w:val="22"/>
              </w:rPr>
              <w:t>monitored.</w:t>
            </w:r>
          </w:p>
          <w:p w14:paraId="48D0241F" w14:textId="02696256" w:rsidR="007B75AB" w:rsidRPr="009B188C" w:rsidRDefault="007B75AB" w:rsidP="006544EC">
            <w:pPr>
              <w:pStyle w:val="CERbullets"/>
              <w:rPr>
                <w:sz w:val="22"/>
                <w:szCs w:val="22"/>
              </w:rPr>
            </w:pPr>
            <w:r w:rsidRPr="007330DE">
              <w:rPr>
                <w:sz w:val="22"/>
                <w:szCs w:val="22"/>
              </w:rPr>
              <w:t>W</w:t>
            </w:r>
            <w:r w:rsidR="00801690" w:rsidRPr="007330DE">
              <w:rPr>
                <w:sz w:val="22"/>
                <w:szCs w:val="22"/>
              </w:rPr>
              <w:t xml:space="preserve">aste gases lost during the </w:t>
            </w:r>
            <w:r w:rsidR="00876BD6" w:rsidRPr="007330DE">
              <w:rPr>
                <w:sz w:val="22"/>
                <w:szCs w:val="22"/>
              </w:rPr>
              <w:t xml:space="preserve">biogas upgrading process </w:t>
            </w:r>
            <w:r w:rsidRPr="007330DE">
              <w:rPr>
                <w:sz w:val="22"/>
                <w:szCs w:val="22"/>
              </w:rPr>
              <w:t>are monitored</w:t>
            </w:r>
            <w:r w:rsidR="009B6D70" w:rsidRPr="007330DE">
              <w:rPr>
                <w:sz w:val="22"/>
                <w:szCs w:val="22"/>
              </w:rPr>
              <w:t xml:space="preserve">. These losses are </w:t>
            </w:r>
            <w:r w:rsidR="00E56D99" w:rsidRPr="007330DE">
              <w:rPr>
                <w:sz w:val="22"/>
                <w:szCs w:val="22"/>
              </w:rPr>
              <w:t>use</w:t>
            </w:r>
            <w:r w:rsidR="009B6D70" w:rsidRPr="007330DE">
              <w:rPr>
                <w:sz w:val="22"/>
                <w:szCs w:val="22"/>
              </w:rPr>
              <w:t>d</w:t>
            </w:r>
            <w:r w:rsidR="00E56D99" w:rsidRPr="007330DE">
              <w:rPr>
                <w:sz w:val="22"/>
                <w:szCs w:val="22"/>
              </w:rPr>
              <w:t xml:space="preserve"> in abatement calculations for the biogas generation (for production) activity</w:t>
            </w:r>
            <w:r w:rsidRPr="007330DE">
              <w:rPr>
                <w:sz w:val="22"/>
                <w:szCs w:val="22"/>
              </w:rPr>
              <w:t>.</w:t>
            </w:r>
          </w:p>
          <w:p w14:paraId="748B4E9A" w14:textId="1F168329" w:rsidR="00801690" w:rsidRDefault="007B75AB" w:rsidP="006544EC">
            <w:pPr>
              <w:pStyle w:val="CERbullets"/>
            </w:pPr>
            <w:r w:rsidRPr="002853A5">
              <w:rPr>
                <w:sz w:val="22"/>
                <w:szCs w:val="22"/>
              </w:rPr>
              <w:t>F</w:t>
            </w:r>
            <w:r w:rsidR="00340365" w:rsidRPr="002853A5">
              <w:rPr>
                <w:sz w:val="22"/>
                <w:szCs w:val="22"/>
              </w:rPr>
              <w:t xml:space="preserve">uel and electricity </w:t>
            </w:r>
            <w:r w:rsidRPr="002853A5">
              <w:rPr>
                <w:sz w:val="22"/>
                <w:szCs w:val="22"/>
              </w:rPr>
              <w:t xml:space="preserve">consumed by </w:t>
            </w:r>
            <w:r w:rsidR="00340365" w:rsidRPr="002853A5">
              <w:rPr>
                <w:sz w:val="22"/>
                <w:szCs w:val="22"/>
              </w:rPr>
              <w:t>the upgrade process</w:t>
            </w:r>
            <w:r w:rsidRPr="002853A5">
              <w:rPr>
                <w:sz w:val="22"/>
                <w:szCs w:val="22"/>
              </w:rPr>
              <w:t xml:space="preserve"> </w:t>
            </w:r>
            <w:r w:rsidR="00725CDB" w:rsidRPr="002853A5">
              <w:rPr>
                <w:sz w:val="22"/>
                <w:szCs w:val="22"/>
              </w:rPr>
              <w:t xml:space="preserve">must also be </w:t>
            </w:r>
            <w:r w:rsidRPr="002853A5">
              <w:rPr>
                <w:sz w:val="22"/>
                <w:szCs w:val="22"/>
              </w:rPr>
              <w:t xml:space="preserve">monitored for use in </w:t>
            </w:r>
            <w:r w:rsidR="008353E4" w:rsidRPr="002853A5">
              <w:rPr>
                <w:sz w:val="22"/>
                <w:szCs w:val="22"/>
              </w:rPr>
              <w:t>the abatement calculations</w:t>
            </w:r>
            <w:r w:rsidR="00826850" w:rsidRPr="002853A5">
              <w:rPr>
                <w:sz w:val="22"/>
                <w:szCs w:val="22"/>
              </w:rPr>
              <w:t xml:space="preserve">. </w:t>
            </w:r>
          </w:p>
        </w:tc>
      </w:tr>
    </w:tbl>
    <w:p w14:paraId="18B2AEBB" w14:textId="27848761" w:rsidR="00FC5974" w:rsidRDefault="00FC5974" w:rsidP="00FC5974">
      <w:pPr>
        <w:pStyle w:val="Heading3"/>
      </w:pPr>
      <w:bookmarkStart w:id="43" w:name="_Toc85030347"/>
      <w:r>
        <w:t xml:space="preserve">Biomethane </w:t>
      </w:r>
      <w:r w:rsidR="00270411">
        <w:t>transport to end users</w:t>
      </w:r>
      <w:bookmarkEnd w:id="43"/>
    </w:p>
    <w:p w14:paraId="514253C0" w14:textId="3132B845" w:rsidR="00721BF8" w:rsidRDefault="00A27203" w:rsidP="00FC5974">
      <w:r>
        <w:t xml:space="preserve">After the biogas has been upgraded into biomethane, the biomethane </w:t>
      </w:r>
      <w:r w:rsidR="007F0B86">
        <w:t xml:space="preserve">must </w:t>
      </w:r>
      <w:r>
        <w:t xml:space="preserve">be </w:t>
      </w:r>
      <w:r w:rsidR="00B05F75">
        <w:t xml:space="preserve">transported </w:t>
      </w:r>
      <w:r w:rsidR="00721BF8">
        <w:t>to the end user.</w:t>
      </w:r>
      <w:r w:rsidR="00B05F75">
        <w:t xml:space="preserve"> </w:t>
      </w:r>
      <w:r w:rsidR="00721BF8">
        <w:t>End uses of biomethane may vary depending on commercial agreements with gas buyers. The</w:t>
      </w:r>
      <w:r w:rsidR="009B188C">
        <w:t xml:space="preserve"> proposed</w:t>
      </w:r>
      <w:r w:rsidR="00721BF8">
        <w:t xml:space="preserve"> biomethane method </w:t>
      </w:r>
      <w:r w:rsidR="009B188C">
        <w:t xml:space="preserve">package </w:t>
      </w:r>
      <w:r w:rsidR="00721BF8">
        <w:t xml:space="preserve">does not specify how biomethane must be used as long as it can be expected to be combusted within Australia as a natural gas substitute. Emissions associated with transporting biomethane must also be monitored as part of the </w:t>
      </w:r>
      <w:r w:rsidR="00017FAF">
        <w:t>biomethane production</w:t>
      </w:r>
      <w:r w:rsidR="00721BF8">
        <w:t xml:space="preserve"> activity.</w:t>
      </w:r>
    </w:p>
    <w:p w14:paraId="2323366C" w14:textId="1AC9E61B" w:rsidR="00721BF8" w:rsidRDefault="00721BF8" w:rsidP="00FC5974">
      <w:r>
        <w:t>Transporting biomethane to end users may involve one or more of the following:</w:t>
      </w:r>
    </w:p>
    <w:p w14:paraId="4E8D675C" w14:textId="699E1C30" w:rsidR="00721BF8" w:rsidRDefault="00721BF8" w:rsidP="006544EC">
      <w:pPr>
        <w:pStyle w:val="CERbullets"/>
      </w:pPr>
      <w:r>
        <w:t>Injection of biomethane into a gas network</w:t>
      </w:r>
      <w:r w:rsidRPr="003D5E29">
        <w:rPr>
          <w:vertAlign w:val="superscript"/>
        </w:rPr>
        <w:footnoteReference w:id="11"/>
      </w:r>
      <w:r>
        <w:t>.</w:t>
      </w:r>
      <w:r w:rsidRPr="00721BF8">
        <w:t xml:space="preserve"> </w:t>
      </w:r>
      <w:r>
        <w:t>A compressor system is needed to deliver the gas at the correct pressure, and piping and injection infrastructure will be needed to connect the biomethane to the gas mains. The volume of biomethane injected will need to be metered.</w:t>
      </w:r>
    </w:p>
    <w:p w14:paraId="71AC58FE" w14:textId="018AB4D2" w:rsidR="00721BF8" w:rsidRDefault="00721BF8" w:rsidP="006544EC">
      <w:pPr>
        <w:pStyle w:val="CERbullets"/>
      </w:pPr>
      <w:r>
        <w:t>Transport of biomethane using non-pipeline infrastructure such as trucks or other vehicles.</w:t>
      </w:r>
    </w:p>
    <w:p w14:paraId="4147814E" w14:textId="2538A23D" w:rsidR="00721BF8" w:rsidRDefault="008338F9" w:rsidP="006544EC">
      <w:pPr>
        <w:pStyle w:val="CERbullets"/>
      </w:pPr>
      <w:r>
        <w:t>Using biomethane on-site for heat or to produce electricity.</w:t>
      </w:r>
    </w:p>
    <w:p w14:paraId="2E75C346" w14:textId="27B54F95" w:rsidR="00993F86" w:rsidRPr="00693D7C" w:rsidRDefault="008338F9" w:rsidP="00FC5974">
      <w:r>
        <w:t xml:space="preserve">When reporting on a </w:t>
      </w:r>
      <w:r w:rsidR="00017FAF">
        <w:t>biomethane production</w:t>
      </w:r>
      <w:r>
        <w:t xml:space="preserve"> activity, information on the end uses of produced biomethane must be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632"/>
        <w:gridCol w:w="7394"/>
      </w:tblGrid>
      <w:tr w:rsidR="00706893" w14:paraId="6BB9878E" w14:textId="77777777" w:rsidTr="00706893">
        <w:tc>
          <w:tcPr>
            <w:tcW w:w="1632" w:type="dxa"/>
            <w:shd w:val="clear" w:color="auto" w:fill="F2F2F2" w:themeFill="background1" w:themeFillShade="F2"/>
            <w:vAlign w:val="center"/>
          </w:tcPr>
          <w:p w14:paraId="248E5CA6" w14:textId="77777777" w:rsidR="00706893" w:rsidRDefault="00706893" w:rsidP="00706893">
            <w:pPr>
              <w:spacing w:before="240"/>
              <w:jc w:val="center"/>
            </w:pPr>
            <w:r>
              <w:rPr>
                <w:noProof/>
              </w:rPr>
              <w:drawing>
                <wp:inline distT="0" distB="0" distL="0" distR="0" wp14:anchorId="479254B2" wp14:editId="53C816CA">
                  <wp:extent cx="540000" cy="540000"/>
                  <wp:effectExtent l="0" t="0" r="0" b="0"/>
                  <wp:docPr id="18" name="Picture 18" descr="C:\Users\cer3143\Downloads\alar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er3143\Downloads\alarm (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7394" w:type="dxa"/>
            <w:shd w:val="clear" w:color="auto" w:fill="F2F2F2" w:themeFill="background1" w:themeFillShade="F2"/>
          </w:tcPr>
          <w:p w14:paraId="04851C42" w14:textId="570DD2AA" w:rsidR="00706893" w:rsidRPr="007B2659" w:rsidRDefault="00706893" w:rsidP="00706893">
            <w:pPr>
              <w:pStyle w:val="Heading5"/>
              <w:outlineLvl w:val="4"/>
              <w:rPr>
                <w:sz w:val="22"/>
                <w:szCs w:val="36"/>
              </w:rPr>
            </w:pPr>
            <w:r>
              <w:rPr>
                <w:sz w:val="22"/>
                <w:szCs w:val="36"/>
              </w:rPr>
              <w:t>Biomethane end use information</w:t>
            </w:r>
          </w:p>
          <w:p w14:paraId="01D5375C" w14:textId="0FC65ED5" w:rsidR="00706893" w:rsidRPr="006F13C7" w:rsidRDefault="006F13C7" w:rsidP="00EA250D">
            <w:pPr>
              <w:rPr>
                <w:sz w:val="22"/>
                <w:szCs w:val="22"/>
              </w:rPr>
            </w:pPr>
            <w:r w:rsidRPr="006F13C7">
              <w:rPr>
                <w:sz w:val="22"/>
                <w:szCs w:val="22"/>
              </w:rPr>
              <w:t>Project proponents will need to provide information on how their project’s biomethane is to be used t</w:t>
            </w:r>
            <w:r w:rsidR="00706893" w:rsidRPr="00ED7CFB">
              <w:rPr>
                <w:sz w:val="22"/>
                <w:szCs w:val="28"/>
              </w:rPr>
              <w:t xml:space="preserve">o ensure </w:t>
            </w:r>
            <w:r w:rsidRPr="006F13C7">
              <w:rPr>
                <w:sz w:val="22"/>
                <w:szCs w:val="22"/>
              </w:rPr>
              <w:t xml:space="preserve">that the methane </w:t>
            </w:r>
            <w:r w:rsidR="00706893" w:rsidRPr="00ED7CFB">
              <w:rPr>
                <w:sz w:val="22"/>
                <w:szCs w:val="28"/>
              </w:rPr>
              <w:t>is destroyed and conversion abatement occurs</w:t>
            </w:r>
            <w:r w:rsidRPr="006F13C7">
              <w:rPr>
                <w:sz w:val="22"/>
                <w:szCs w:val="22"/>
              </w:rPr>
              <w:t xml:space="preserve">. </w:t>
            </w:r>
            <w:r w:rsidR="00F530CA">
              <w:rPr>
                <w:sz w:val="22"/>
                <w:szCs w:val="28"/>
              </w:rPr>
              <w:t>C</w:t>
            </w:r>
            <w:r w:rsidR="00706893" w:rsidRPr="00ED7CFB">
              <w:rPr>
                <w:sz w:val="22"/>
                <w:szCs w:val="28"/>
              </w:rPr>
              <w:t>ontracts, agreements, or declarations from relevant personnel</w:t>
            </w:r>
            <w:r w:rsidR="007645C6">
              <w:rPr>
                <w:sz w:val="22"/>
                <w:szCs w:val="28"/>
              </w:rPr>
              <w:t xml:space="preserve"> about the end uses of project biomethane</w:t>
            </w:r>
            <w:r w:rsidR="0020395A">
              <w:rPr>
                <w:sz w:val="22"/>
                <w:szCs w:val="28"/>
              </w:rPr>
              <w:t xml:space="preserve"> are </w:t>
            </w:r>
            <w:r w:rsidR="00593E90">
              <w:rPr>
                <w:sz w:val="22"/>
                <w:szCs w:val="28"/>
              </w:rPr>
              <w:t xml:space="preserve">forms of </w:t>
            </w:r>
            <w:r w:rsidR="0020395A">
              <w:rPr>
                <w:sz w:val="22"/>
                <w:szCs w:val="28"/>
              </w:rPr>
              <w:t>supporting evidence</w:t>
            </w:r>
            <w:r w:rsidR="00706893" w:rsidRPr="00ED7CFB">
              <w:rPr>
                <w:sz w:val="22"/>
                <w:szCs w:val="28"/>
              </w:rPr>
              <w:t>.</w:t>
            </w:r>
          </w:p>
        </w:tc>
      </w:tr>
    </w:tbl>
    <w:p w14:paraId="53093DA2" w14:textId="77777777" w:rsidR="00706893" w:rsidRPr="00693D7C" w:rsidRDefault="00706893" w:rsidP="00FC5974"/>
    <w:p w14:paraId="6A3A6CED" w14:textId="5C485226" w:rsidR="00237F7D" w:rsidRPr="00237F7D" w:rsidRDefault="00237F7D" w:rsidP="00237F7D">
      <w:pPr>
        <w:pStyle w:val="Heading2"/>
        <w:rPr>
          <w:rFonts w:eastAsiaTheme="majorEastAsia"/>
          <w:lang w:val="en-GB"/>
        </w:rPr>
      </w:pPr>
      <w:bookmarkStart w:id="44" w:name="_Ref84716468"/>
      <w:bookmarkStart w:id="45" w:name="_Toc85030348"/>
      <w:r w:rsidRPr="00237F7D">
        <w:rPr>
          <w:rFonts w:eastAsiaTheme="majorEastAsia"/>
          <w:lang w:val="en-GB"/>
        </w:rPr>
        <w:t xml:space="preserve">Net </w:t>
      </w:r>
      <w:r w:rsidR="007411E7">
        <w:rPr>
          <w:rFonts w:eastAsiaTheme="majorEastAsia"/>
          <w:lang w:val="en-GB"/>
        </w:rPr>
        <w:t>a</w:t>
      </w:r>
      <w:r w:rsidRPr="00237F7D">
        <w:rPr>
          <w:rFonts w:eastAsiaTheme="majorEastAsia"/>
          <w:lang w:val="en-GB"/>
        </w:rPr>
        <w:t>batement</w:t>
      </w:r>
      <w:bookmarkEnd w:id="44"/>
      <w:bookmarkEnd w:id="45"/>
      <w:r w:rsidRPr="00237F7D">
        <w:rPr>
          <w:rFonts w:eastAsiaTheme="majorEastAsia"/>
          <w:lang w:val="en-GB"/>
        </w:rPr>
        <w:t xml:space="preserve"> </w:t>
      </w:r>
      <w:bookmarkEnd w:id="31"/>
    </w:p>
    <w:p w14:paraId="47073BE2" w14:textId="5C86FF48" w:rsidR="0097656E" w:rsidRDefault="0097656E" w:rsidP="00053F76">
      <w:pPr>
        <w:rPr>
          <w:rFonts w:asciiTheme="minorHAnsi" w:eastAsiaTheme="minorHAnsi" w:hAnsiTheme="minorHAnsi" w:cstheme="minorBidi"/>
          <w:color w:val="000000" w:themeColor="text1"/>
          <w:szCs w:val="22"/>
          <w:lang w:val="en-GB"/>
        </w:rPr>
      </w:pPr>
      <w:r>
        <w:rPr>
          <w:rFonts w:asciiTheme="minorHAnsi" w:eastAsiaTheme="minorHAnsi" w:hAnsiTheme="minorHAnsi" w:cstheme="minorBidi"/>
          <w:color w:val="000000" w:themeColor="text1"/>
          <w:szCs w:val="22"/>
          <w:lang w:val="en-GB"/>
        </w:rPr>
        <w:t xml:space="preserve">Projects are credited for </w:t>
      </w:r>
      <w:r w:rsidR="005C7727">
        <w:rPr>
          <w:rFonts w:asciiTheme="minorHAnsi" w:eastAsiaTheme="minorHAnsi" w:hAnsiTheme="minorHAnsi" w:cstheme="minorBidi"/>
          <w:color w:val="000000" w:themeColor="text1"/>
          <w:szCs w:val="22"/>
          <w:lang w:val="en-GB"/>
        </w:rPr>
        <w:t xml:space="preserve">the </w:t>
      </w:r>
      <w:r>
        <w:rPr>
          <w:rFonts w:asciiTheme="minorHAnsi" w:eastAsiaTheme="minorHAnsi" w:hAnsiTheme="minorHAnsi" w:cstheme="minorBidi"/>
          <w:color w:val="000000" w:themeColor="text1"/>
          <w:szCs w:val="22"/>
          <w:lang w:val="en-GB"/>
        </w:rPr>
        <w:t>net abatement</w:t>
      </w:r>
      <w:r w:rsidR="005C7727">
        <w:rPr>
          <w:rFonts w:asciiTheme="minorHAnsi" w:eastAsiaTheme="minorHAnsi" w:hAnsiTheme="minorHAnsi" w:cstheme="minorBidi"/>
          <w:color w:val="000000" w:themeColor="text1"/>
          <w:szCs w:val="22"/>
          <w:lang w:val="en-GB"/>
        </w:rPr>
        <w:t xml:space="preserve"> they generate, which will be given by the total abatement created minus </w:t>
      </w:r>
      <w:r w:rsidR="007A6528">
        <w:rPr>
          <w:rFonts w:asciiTheme="minorHAnsi" w:eastAsiaTheme="minorHAnsi" w:hAnsiTheme="minorHAnsi" w:cstheme="minorBidi"/>
          <w:color w:val="000000" w:themeColor="text1"/>
          <w:szCs w:val="22"/>
          <w:lang w:val="en-GB"/>
        </w:rPr>
        <w:t>emissions associated with the project.</w:t>
      </w:r>
      <w:r w:rsidR="005C7727">
        <w:rPr>
          <w:rFonts w:asciiTheme="minorHAnsi" w:eastAsiaTheme="minorHAnsi" w:hAnsiTheme="minorHAnsi" w:cstheme="minorBidi"/>
          <w:color w:val="000000" w:themeColor="text1"/>
          <w:szCs w:val="22"/>
          <w:lang w:val="en-GB"/>
        </w:rPr>
        <w:t xml:space="preserve"> </w:t>
      </w:r>
    </w:p>
    <w:p w14:paraId="4DD47D20" w14:textId="12AD33CB" w:rsidR="006F7EC5" w:rsidRPr="009B3715" w:rsidRDefault="00053F76">
      <w:pPr>
        <w:rPr>
          <w:lang w:val="en-GB"/>
        </w:rPr>
      </w:pPr>
      <w:r>
        <w:rPr>
          <w:rFonts w:eastAsiaTheme="minorHAnsi"/>
          <w:lang w:val="en-GB"/>
        </w:rPr>
        <w:t xml:space="preserve">Biomethane abatement will be achieved both through conversion of methane emissions into </w:t>
      </w:r>
      <w:r w:rsidR="00335BB3">
        <w:rPr>
          <w:rFonts w:eastAsiaTheme="minorHAnsi"/>
          <w:lang w:val="en-GB"/>
        </w:rPr>
        <w:t xml:space="preserve">carbon dioxide </w:t>
      </w:r>
      <w:r>
        <w:rPr>
          <w:rFonts w:eastAsiaTheme="minorHAnsi"/>
          <w:lang w:val="en-GB"/>
        </w:rPr>
        <w:t xml:space="preserve">via combustion, and by displacing natural gas </w:t>
      </w:r>
      <w:r w:rsidR="00AD0049">
        <w:rPr>
          <w:rFonts w:eastAsiaTheme="minorHAnsi"/>
          <w:lang w:val="en-GB"/>
        </w:rPr>
        <w:t xml:space="preserve">from fossil fuel </w:t>
      </w:r>
      <w:r>
        <w:rPr>
          <w:rFonts w:eastAsiaTheme="minorHAnsi"/>
          <w:lang w:val="en-GB"/>
        </w:rPr>
        <w:t xml:space="preserve">sources. </w:t>
      </w:r>
    </w:p>
    <w:p w14:paraId="7A02F97D" w14:textId="19A8B67C" w:rsidR="00EE5A56" w:rsidRPr="009250DC" w:rsidRDefault="00EE5A56" w:rsidP="00EE5A56">
      <w:pPr>
        <w:pStyle w:val="Heading3"/>
        <w:rPr>
          <w:rFonts w:eastAsiaTheme="minorHAnsi"/>
          <w:lang w:val="en-GB"/>
        </w:rPr>
      </w:pPr>
      <w:bookmarkStart w:id="46" w:name="_Toc85030349"/>
      <w:r w:rsidRPr="006F13C7">
        <w:rPr>
          <w:rFonts w:eastAsiaTheme="minorHAnsi"/>
          <w:lang w:val="en-GB"/>
        </w:rPr>
        <w:t>Conversion abatement</w:t>
      </w:r>
      <w:bookmarkEnd w:id="46"/>
    </w:p>
    <w:p w14:paraId="09B328EA" w14:textId="77777777" w:rsidR="006544EC" w:rsidRDefault="00F333FC" w:rsidP="00053F76">
      <w:pPr>
        <w:rPr>
          <w:rFonts w:asciiTheme="minorHAnsi" w:eastAsiaTheme="minorHAnsi" w:hAnsiTheme="minorHAnsi" w:cstheme="minorBidi"/>
          <w:color w:val="000000" w:themeColor="text1"/>
          <w:szCs w:val="22"/>
          <w:lang w:val="en-GB"/>
        </w:rPr>
      </w:pPr>
      <w:r>
        <w:rPr>
          <w:rFonts w:asciiTheme="minorHAnsi" w:eastAsiaTheme="minorHAnsi" w:hAnsiTheme="minorHAnsi" w:cstheme="minorBidi"/>
          <w:color w:val="000000" w:themeColor="text1"/>
          <w:szCs w:val="22"/>
          <w:lang w:val="en-GB"/>
        </w:rPr>
        <w:t xml:space="preserve">Conversion abatement is generated from the combustion of waste methane. In non-biomethane projects, this combustion occurs on-site using a flare or generator. </w:t>
      </w:r>
    </w:p>
    <w:p w14:paraId="10E935E2" w14:textId="77777777" w:rsidR="009250DC" w:rsidRDefault="006544EC" w:rsidP="00053F76">
      <w:pPr>
        <w:rPr>
          <w:rFonts w:asciiTheme="minorHAnsi" w:eastAsiaTheme="minorHAnsi" w:hAnsiTheme="minorHAnsi" w:cstheme="minorBidi"/>
          <w:color w:val="000000" w:themeColor="text1"/>
          <w:szCs w:val="22"/>
          <w:lang w:val="en-GB"/>
        </w:rPr>
      </w:pPr>
      <w:r>
        <w:rPr>
          <w:rFonts w:asciiTheme="minorHAnsi" w:eastAsiaTheme="minorHAnsi" w:hAnsiTheme="minorHAnsi" w:cstheme="minorBidi"/>
          <w:color w:val="000000" w:themeColor="text1"/>
          <w:szCs w:val="22"/>
          <w:lang w:val="en-GB"/>
        </w:rPr>
        <w:t>I</w:t>
      </w:r>
      <w:r w:rsidR="00F333FC">
        <w:rPr>
          <w:rFonts w:asciiTheme="minorHAnsi" w:eastAsiaTheme="minorHAnsi" w:hAnsiTheme="minorHAnsi" w:cstheme="minorBidi"/>
          <w:color w:val="000000" w:themeColor="text1"/>
          <w:szCs w:val="22"/>
          <w:lang w:val="en-GB"/>
        </w:rPr>
        <w:t xml:space="preserve">n a biomethane project, the </w:t>
      </w:r>
      <w:r>
        <w:rPr>
          <w:rFonts w:asciiTheme="minorHAnsi" w:eastAsiaTheme="minorHAnsi" w:hAnsiTheme="minorHAnsi" w:cstheme="minorBidi"/>
          <w:color w:val="000000" w:themeColor="text1"/>
          <w:szCs w:val="22"/>
          <w:lang w:val="en-GB"/>
        </w:rPr>
        <w:t xml:space="preserve">biomethane can be combusted on-site, injected into the gas network, or transported </w:t>
      </w:r>
      <w:r w:rsidR="00335BB3">
        <w:rPr>
          <w:rFonts w:asciiTheme="minorHAnsi" w:eastAsiaTheme="minorHAnsi" w:hAnsiTheme="minorHAnsi" w:cstheme="minorBidi"/>
          <w:color w:val="000000" w:themeColor="text1"/>
          <w:szCs w:val="22"/>
          <w:lang w:val="en-GB"/>
        </w:rPr>
        <w:t xml:space="preserve">through non-pipeline means, such as by truck, </w:t>
      </w:r>
      <w:r>
        <w:rPr>
          <w:rFonts w:asciiTheme="minorHAnsi" w:eastAsiaTheme="minorHAnsi" w:hAnsiTheme="minorHAnsi" w:cstheme="minorBidi"/>
          <w:color w:val="000000" w:themeColor="text1"/>
          <w:szCs w:val="22"/>
          <w:lang w:val="en-GB"/>
        </w:rPr>
        <w:t xml:space="preserve">to an end use </w:t>
      </w:r>
      <w:r w:rsidR="00335BB3">
        <w:rPr>
          <w:rFonts w:asciiTheme="minorHAnsi" w:eastAsiaTheme="minorHAnsi" w:hAnsiTheme="minorHAnsi" w:cstheme="minorBidi"/>
          <w:color w:val="000000" w:themeColor="text1"/>
          <w:szCs w:val="22"/>
          <w:lang w:val="en-GB"/>
        </w:rPr>
        <w:t>where it is combusted</w:t>
      </w:r>
      <w:r>
        <w:rPr>
          <w:rFonts w:asciiTheme="minorHAnsi" w:eastAsiaTheme="minorHAnsi" w:hAnsiTheme="minorHAnsi" w:cstheme="minorBidi"/>
          <w:color w:val="000000" w:themeColor="text1"/>
          <w:szCs w:val="22"/>
          <w:lang w:val="en-GB"/>
        </w:rPr>
        <w:t xml:space="preserve">. </w:t>
      </w:r>
    </w:p>
    <w:p w14:paraId="07A6F3DC" w14:textId="728857F8" w:rsidR="00F333FC" w:rsidRDefault="00824566" w:rsidP="00053F76">
      <w:pPr>
        <w:rPr>
          <w:rFonts w:asciiTheme="minorHAnsi" w:eastAsiaTheme="minorHAnsi" w:hAnsiTheme="minorHAnsi" w:cstheme="minorBidi"/>
          <w:color w:val="000000" w:themeColor="text1"/>
          <w:szCs w:val="22"/>
          <w:lang w:val="en-GB"/>
        </w:rPr>
      </w:pPr>
      <w:r>
        <w:rPr>
          <w:rFonts w:asciiTheme="minorHAnsi" w:eastAsiaTheme="minorHAnsi" w:hAnsiTheme="minorHAnsi" w:cstheme="minorBidi"/>
          <w:color w:val="000000" w:themeColor="text1"/>
          <w:szCs w:val="22"/>
          <w:lang w:val="en-GB"/>
        </w:rPr>
        <w:t>The general form of the equation is set out below.</w:t>
      </w:r>
    </w:p>
    <w:tbl>
      <w:tblPr>
        <w:tblStyle w:val="TableGrid"/>
        <w:tblW w:w="0" w:type="auto"/>
        <w:tblLook w:val="04A0" w:firstRow="1" w:lastRow="0" w:firstColumn="1" w:lastColumn="0" w:noHBand="0" w:noVBand="1"/>
      </w:tblPr>
      <w:tblGrid>
        <w:gridCol w:w="1567"/>
        <w:gridCol w:w="7449"/>
      </w:tblGrid>
      <w:tr w:rsidR="00D62D32" w:rsidRPr="002B2FAB" w14:paraId="41B06DE8" w14:textId="77777777" w:rsidTr="007E1DAF">
        <w:tc>
          <w:tcPr>
            <w:tcW w:w="9016" w:type="dxa"/>
            <w:gridSpan w:val="2"/>
            <w:vAlign w:val="center"/>
          </w:tcPr>
          <w:p w14:paraId="10CDC94E" w14:textId="529AEA16" w:rsidR="00D62D32" w:rsidRPr="00336398" w:rsidRDefault="008C3745" w:rsidP="007E1DAF">
            <w:pPr>
              <w:spacing w:before="240" w:after="240"/>
              <w:ind w:left="567"/>
              <w:jc w:val="center"/>
              <w:rPr>
                <w:rFonts w:asciiTheme="minorHAnsi" w:eastAsiaTheme="minorEastAsia" w:hAnsiTheme="minorHAnsi" w:cstheme="minorBidi"/>
                <w:b/>
                <w:color w:val="000000" w:themeColor="text1"/>
                <w:sz w:val="22"/>
                <w:szCs w:val="22"/>
                <w:lang w:val="en-GB"/>
              </w:rPr>
            </w:pPr>
            <m:oMathPara>
              <m:oMath>
                <m:sSub>
                  <m:sSubPr>
                    <m:ctrlPr>
                      <w:rPr>
                        <w:rFonts w:ascii="Cambria Math" w:eastAsiaTheme="minorEastAsia" w:hAnsi="Cambria Math" w:cstheme="minorBidi"/>
                        <w:b/>
                        <w:bCs/>
                        <w:i/>
                        <w:color w:val="000000" w:themeColor="text1"/>
                        <w:sz w:val="22"/>
                        <w:szCs w:val="22"/>
                        <w:lang w:val="en-GB"/>
                      </w:rPr>
                    </m:ctrlPr>
                  </m:sSubPr>
                  <m:e>
                    <m:r>
                      <m:rPr>
                        <m:sty m:val="bi"/>
                      </m:rPr>
                      <w:rPr>
                        <w:rFonts w:ascii="Cambria Math" w:eastAsiaTheme="minorEastAsia" w:hAnsi="Cambria Math" w:cstheme="minorBidi"/>
                        <w:color w:val="000000" w:themeColor="text1"/>
                        <w:sz w:val="22"/>
                        <w:szCs w:val="22"/>
                        <w:lang w:val="en-GB"/>
                      </w:rPr>
                      <m:t>A</m:t>
                    </m:r>
                  </m:e>
                  <m:sub>
                    <m:r>
                      <m:rPr>
                        <m:sty m:val="bi"/>
                      </m:rPr>
                      <w:rPr>
                        <w:rFonts w:ascii="Cambria Math" w:eastAsiaTheme="minorEastAsia" w:hAnsi="Cambria Math" w:cstheme="minorBidi"/>
                        <w:color w:val="000000" w:themeColor="text1"/>
                        <w:sz w:val="22"/>
                        <w:szCs w:val="22"/>
                        <w:lang w:val="en-GB"/>
                      </w:rPr>
                      <m:t>Conversion, BM</m:t>
                    </m:r>
                  </m:sub>
                </m:sSub>
                <m:r>
                  <m:rPr>
                    <m:sty m:val="bi"/>
                  </m:rPr>
                  <w:rPr>
                    <w:rFonts w:ascii="Cambria Math" w:eastAsiaTheme="minorEastAsia" w:hAnsi="Cambria Math" w:cstheme="minorBidi"/>
                    <w:color w:val="000000" w:themeColor="text1"/>
                    <w:sz w:val="22"/>
                    <w:szCs w:val="22"/>
                    <w:lang w:val="en-GB"/>
                  </w:rPr>
                  <m:t xml:space="preserve">= </m:t>
                </m:r>
                <m:sSub>
                  <m:sSubPr>
                    <m:ctrlPr>
                      <w:rPr>
                        <w:rFonts w:ascii="Cambria Math" w:eastAsiaTheme="minorEastAsia" w:hAnsi="Cambria Math" w:cstheme="minorBidi"/>
                        <w:b/>
                        <w:bCs/>
                        <w:i/>
                        <w:color w:val="000000" w:themeColor="text1"/>
                        <w:sz w:val="22"/>
                        <w:szCs w:val="22"/>
                        <w:lang w:val="en-GB"/>
                      </w:rPr>
                    </m:ctrlPr>
                  </m:sSubPr>
                  <m:e>
                    <m:r>
                      <m:rPr>
                        <m:sty m:val="bi"/>
                      </m:rPr>
                      <w:rPr>
                        <w:rFonts w:ascii="Cambria Math" w:eastAsiaTheme="minorEastAsia" w:hAnsi="Cambria Math" w:cstheme="minorBidi"/>
                        <w:color w:val="000000" w:themeColor="text1"/>
                        <w:sz w:val="22"/>
                        <w:szCs w:val="22"/>
                        <w:lang w:val="en-GB"/>
                      </w:rPr>
                      <m:t>Q</m:t>
                    </m:r>
                  </m:e>
                  <m:sub>
                    <m:r>
                      <m:rPr>
                        <m:sty m:val="bi"/>
                      </m:rPr>
                      <w:rPr>
                        <w:rFonts w:ascii="Cambria Math" w:eastAsiaTheme="minorEastAsia" w:hAnsi="Cambria Math" w:cstheme="minorBidi"/>
                        <w:color w:val="000000" w:themeColor="text1"/>
                        <w:sz w:val="22"/>
                        <w:szCs w:val="22"/>
                        <w:lang w:val="en-GB"/>
                      </w:rPr>
                      <m:t>CH</m:t>
                    </m:r>
                    <m:r>
                      <m:rPr>
                        <m:sty m:val="bi"/>
                      </m:rPr>
                      <w:rPr>
                        <w:rFonts w:ascii="Cambria Math" w:eastAsiaTheme="minorEastAsia" w:hAnsi="Cambria Math" w:cstheme="minorBidi"/>
                        <w:color w:val="000000" w:themeColor="text1"/>
                        <w:sz w:val="22"/>
                        <w:szCs w:val="22"/>
                        <w:lang w:val="en-GB"/>
                      </w:rPr>
                      <m:t>4, BM</m:t>
                    </m:r>
                  </m:sub>
                </m:sSub>
                <m:r>
                  <m:rPr>
                    <m:sty m:val="bi"/>
                  </m:rPr>
                  <w:rPr>
                    <w:rFonts w:ascii="Cambria Math" w:eastAsiaTheme="minorEastAsia" w:hAnsi="Cambria Math" w:cstheme="minorBidi"/>
                    <w:color w:val="000000" w:themeColor="text1"/>
                    <w:sz w:val="22"/>
                    <w:szCs w:val="22"/>
                    <w:lang w:val="en-GB"/>
                  </w:rPr>
                  <m:t>×</m:t>
                </m:r>
                <m:d>
                  <m:dPr>
                    <m:ctrlPr>
                      <w:rPr>
                        <w:rFonts w:ascii="Cambria Math" w:eastAsiaTheme="minorEastAsia" w:hAnsi="Cambria Math" w:cstheme="minorBidi"/>
                        <w:b/>
                        <w:i/>
                        <w:color w:val="000000" w:themeColor="text1"/>
                        <w:szCs w:val="22"/>
                        <w:lang w:val="en-GB"/>
                      </w:rPr>
                    </m:ctrlPr>
                  </m:dPr>
                  <m:e>
                    <m:r>
                      <m:rPr>
                        <m:sty m:val="bi"/>
                      </m:rPr>
                      <w:rPr>
                        <w:rFonts w:ascii="Cambria Math" w:eastAsiaTheme="minorEastAsia" w:hAnsi="Cambria Math" w:cstheme="minorBidi"/>
                        <w:color w:val="000000" w:themeColor="text1"/>
                        <w:sz w:val="22"/>
                        <w:szCs w:val="22"/>
                        <w:lang w:val="en-GB"/>
                      </w:rPr>
                      <m:t>1-PL</m:t>
                    </m:r>
                    <m:ctrlPr>
                      <w:rPr>
                        <w:rFonts w:ascii="Cambria Math" w:eastAsiaTheme="minorEastAsia" w:hAnsi="Cambria Math" w:cstheme="minorBidi"/>
                        <w:b/>
                        <w:bCs/>
                        <w:i/>
                        <w:color w:val="000000" w:themeColor="text1"/>
                        <w:szCs w:val="22"/>
                        <w:lang w:val="en-GB"/>
                      </w:rPr>
                    </m:ctrlPr>
                  </m:e>
                </m:d>
                <m:r>
                  <m:rPr>
                    <m:sty m:val="bi"/>
                  </m:rPr>
                  <w:rPr>
                    <w:rFonts w:ascii="Cambria Math" w:eastAsiaTheme="minorEastAsia" w:hAnsi="Cambria Math" w:cstheme="minorBidi"/>
                    <w:color w:val="000000" w:themeColor="text1"/>
                    <w:sz w:val="22"/>
                    <w:szCs w:val="22"/>
                    <w:lang w:val="en-GB"/>
                  </w:rPr>
                  <m:t>×</m:t>
                </m:r>
                <m:d>
                  <m:dPr>
                    <m:ctrlPr>
                      <w:rPr>
                        <w:rFonts w:ascii="Cambria Math" w:eastAsiaTheme="minorEastAsia" w:hAnsi="Cambria Math" w:cstheme="minorBidi"/>
                        <w:b/>
                        <w:bCs/>
                        <w:i/>
                        <w:color w:val="000000" w:themeColor="text1"/>
                        <w:szCs w:val="22"/>
                        <w:lang w:val="en-GB"/>
                      </w:rPr>
                    </m:ctrlPr>
                  </m:dPr>
                  <m:e>
                    <m:r>
                      <m:rPr>
                        <m:sty m:val="bi"/>
                      </m:rPr>
                      <w:rPr>
                        <w:rFonts w:ascii="Cambria Math" w:eastAsiaTheme="minorEastAsia" w:hAnsi="Cambria Math" w:cstheme="minorBidi"/>
                        <w:color w:val="000000" w:themeColor="text1"/>
                        <w:sz w:val="22"/>
                        <w:szCs w:val="22"/>
                        <w:lang w:val="en-GB"/>
                      </w:rPr>
                      <m:t>1-TL</m:t>
                    </m:r>
                  </m:e>
                </m:d>
                <m:r>
                  <m:rPr>
                    <m:sty m:val="bi"/>
                  </m:rPr>
                  <w:rPr>
                    <w:rFonts w:ascii="Cambria Math" w:eastAsiaTheme="minorEastAsia" w:hAnsi="Cambria Math" w:cstheme="minorBidi"/>
                    <w:color w:val="000000" w:themeColor="text1"/>
                    <w:sz w:val="22"/>
                    <w:szCs w:val="22"/>
                    <w:lang w:val="en-GB"/>
                  </w:rPr>
                  <m:t>×DE-</m:t>
                </m:r>
                <m:sSub>
                  <m:sSubPr>
                    <m:ctrlPr>
                      <w:rPr>
                        <w:rFonts w:ascii="Cambria Math" w:eastAsiaTheme="minorEastAsia" w:hAnsi="Cambria Math" w:cstheme="minorBidi"/>
                        <w:b/>
                        <w:i/>
                        <w:color w:val="000000" w:themeColor="text1"/>
                        <w:sz w:val="22"/>
                        <w:szCs w:val="22"/>
                        <w:lang w:val="en-GB"/>
                      </w:rPr>
                    </m:ctrlPr>
                  </m:sSubPr>
                  <m:e>
                    <m:r>
                      <m:rPr>
                        <m:sty m:val="bi"/>
                      </m:rPr>
                      <w:rPr>
                        <w:rFonts w:ascii="Cambria Math" w:eastAsiaTheme="minorEastAsia" w:hAnsi="Cambria Math" w:cstheme="minorBidi"/>
                        <w:color w:val="000000" w:themeColor="text1"/>
                        <w:sz w:val="22"/>
                        <w:szCs w:val="22"/>
                        <w:lang w:val="en-GB"/>
                      </w:rPr>
                      <m:t>PE</m:t>
                    </m:r>
                  </m:e>
                  <m:sub>
                    <m:r>
                      <m:rPr>
                        <m:sty m:val="bi"/>
                      </m:rPr>
                      <w:rPr>
                        <w:rFonts w:ascii="Cambria Math" w:eastAsiaTheme="minorEastAsia" w:hAnsi="Cambria Math" w:cstheme="minorBidi"/>
                        <w:color w:val="000000" w:themeColor="text1"/>
                        <w:sz w:val="22"/>
                        <w:szCs w:val="22"/>
                        <w:lang w:val="en-GB"/>
                      </w:rPr>
                      <m:t>Conversion</m:t>
                    </m:r>
                  </m:sub>
                </m:sSub>
              </m:oMath>
            </m:oMathPara>
          </w:p>
        </w:tc>
      </w:tr>
      <w:tr w:rsidR="00D62D32" w:rsidRPr="002B2FAB" w14:paraId="74371573" w14:textId="77777777" w:rsidTr="0022490E">
        <w:trPr>
          <w:trHeight w:val="487"/>
        </w:trPr>
        <w:tc>
          <w:tcPr>
            <w:tcW w:w="1567" w:type="dxa"/>
          </w:tcPr>
          <w:p w14:paraId="28753C71" w14:textId="67B3B9A2" w:rsidR="00D62D32" w:rsidRPr="00DF7E71" w:rsidRDefault="008C3745">
            <w:pPr>
              <w:tabs>
                <w:tab w:val="left" w:pos="567"/>
              </w:tabs>
              <w:spacing w:before="240" w:after="240"/>
              <w:jc w:val="both"/>
              <w:rPr>
                <w:rFonts w:asciiTheme="minorHAnsi" w:eastAsiaTheme="minorEastAsia" w:hAnsiTheme="minorHAnsi" w:cstheme="minorBidi"/>
                <w:color w:val="000000" w:themeColor="text1"/>
                <w:sz w:val="22"/>
                <w:szCs w:val="22"/>
                <w:lang w:val="en-GB"/>
              </w:rPr>
            </w:pPr>
            <m:oMathPara>
              <m:oMathParaPr>
                <m:jc m:val="left"/>
              </m:oMathParaPr>
              <m:oMath>
                <m:sSub>
                  <m:sSubPr>
                    <m:ctrlPr>
                      <w:rPr>
                        <w:rFonts w:ascii="Cambria Math" w:eastAsiaTheme="minorEastAsia" w:hAnsi="Cambria Math" w:cstheme="minorBidi"/>
                        <w:b/>
                        <w:bCs/>
                        <w:i/>
                        <w:color w:val="000000" w:themeColor="text1"/>
                        <w:sz w:val="22"/>
                        <w:szCs w:val="22"/>
                        <w:lang w:val="en-GB"/>
                      </w:rPr>
                    </m:ctrlPr>
                  </m:sSubPr>
                  <m:e>
                    <m:r>
                      <m:rPr>
                        <m:sty m:val="bi"/>
                      </m:rPr>
                      <w:rPr>
                        <w:rFonts w:ascii="Cambria Math" w:eastAsiaTheme="minorEastAsia" w:hAnsi="Cambria Math" w:cstheme="minorBidi"/>
                        <w:color w:val="000000" w:themeColor="text1"/>
                        <w:sz w:val="22"/>
                        <w:szCs w:val="22"/>
                        <w:lang w:val="en-GB"/>
                      </w:rPr>
                      <m:t>A</m:t>
                    </m:r>
                  </m:e>
                  <m:sub>
                    <m:r>
                      <m:rPr>
                        <m:sty m:val="bi"/>
                      </m:rPr>
                      <w:rPr>
                        <w:rFonts w:ascii="Cambria Math" w:eastAsiaTheme="minorEastAsia" w:hAnsi="Cambria Math" w:cstheme="minorBidi"/>
                        <w:color w:val="000000" w:themeColor="text1"/>
                        <w:sz w:val="22"/>
                        <w:szCs w:val="22"/>
                        <w:lang w:val="en-GB"/>
                      </w:rPr>
                      <m:t>Conversion, BM</m:t>
                    </m:r>
                  </m:sub>
                </m:sSub>
              </m:oMath>
            </m:oMathPara>
          </w:p>
        </w:tc>
        <w:tc>
          <w:tcPr>
            <w:tcW w:w="7449" w:type="dxa"/>
          </w:tcPr>
          <w:p w14:paraId="349C88C1" w14:textId="239BC2AE" w:rsidR="00D62D32" w:rsidRPr="002B2FAB" w:rsidRDefault="009A5FC2" w:rsidP="007E1DAF">
            <w:pPr>
              <w:tabs>
                <w:tab w:val="left" w:pos="567"/>
              </w:tabs>
              <w:spacing w:before="240" w:after="240"/>
              <w:jc w:val="both"/>
              <w:rPr>
                <w:rFonts w:asciiTheme="minorHAnsi" w:eastAsiaTheme="minorEastAsia" w:hAnsiTheme="minorHAnsi" w:cstheme="minorBidi"/>
                <w:color w:val="000000" w:themeColor="text1"/>
                <w:sz w:val="22"/>
                <w:szCs w:val="22"/>
                <w:lang w:val="en-GB"/>
              </w:rPr>
            </w:pPr>
            <w:r w:rsidRPr="00C74B8B">
              <w:rPr>
                <w:rFonts w:asciiTheme="minorHAnsi" w:eastAsiaTheme="minorHAnsi" w:hAnsiTheme="minorHAnsi" w:cstheme="minorHAnsi"/>
                <w:color w:val="auto"/>
                <w:sz w:val="22"/>
                <w:szCs w:val="22"/>
                <w:lang w:val="en-GB"/>
              </w:rPr>
              <w:t>Net conversion</w:t>
            </w:r>
            <w:r w:rsidR="00824566" w:rsidRPr="00C74B8B">
              <w:rPr>
                <w:rFonts w:asciiTheme="minorHAnsi" w:eastAsiaTheme="minorHAnsi" w:hAnsiTheme="minorHAnsi" w:cstheme="minorHAnsi"/>
                <w:color w:val="auto"/>
                <w:sz w:val="22"/>
                <w:szCs w:val="22"/>
                <w:lang w:val="en-GB"/>
              </w:rPr>
              <w:t xml:space="preserve"> abatement from biomethane, in tonnes CO</w:t>
            </w:r>
            <w:r w:rsidR="00824566" w:rsidRPr="00C74B8B">
              <w:rPr>
                <w:rFonts w:asciiTheme="minorHAnsi" w:eastAsiaTheme="minorHAnsi" w:hAnsiTheme="minorHAnsi" w:cstheme="minorHAnsi"/>
                <w:color w:val="auto"/>
                <w:sz w:val="22"/>
                <w:szCs w:val="22"/>
                <w:vertAlign w:val="subscript"/>
                <w:lang w:val="en-GB"/>
              </w:rPr>
              <w:t>2</w:t>
            </w:r>
            <w:r w:rsidR="00824566" w:rsidRPr="00C74B8B">
              <w:rPr>
                <w:rFonts w:asciiTheme="minorHAnsi" w:eastAsiaTheme="minorHAnsi" w:hAnsiTheme="minorHAnsi" w:cstheme="minorHAnsi"/>
                <w:color w:val="auto"/>
                <w:sz w:val="22"/>
                <w:szCs w:val="22"/>
                <w:lang w:val="en-GB"/>
              </w:rPr>
              <w:t>-e.</w:t>
            </w:r>
          </w:p>
        </w:tc>
      </w:tr>
      <w:tr w:rsidR="00D62D32" w:rsidRPr="002B2FAB" w14:paraId="34DCFDD9" w14:textId="77777777" w:rsidTr="0022490E">
        <w:trPr>
          <w:trHeight w:val="486"/>
        </w:trPr>
        <w:tc>
          <w:tcPr>
            <w:tcW w:w="1567" w:type="dxa"/>
          </w:tcPr>
          <w:p w14:paraId="003EC59B" w14:textId="1C13425C" w:rsidR="00D62D32" w:rsidRPr="002B2FAB" w:rsidRDefault="008C3745">
            <w:pPr>
              <w:tabs>
                <w:tab w:val="left" w:pos="567"/>
              </w:tabs>
              <w:spacing w:before="240" w:after="240"/>
              <w:jc w:val="both"/>
              <w:rPr>
                <w:rFonts w:asciiTheme="minorHAnsi" w:eastAsiaTheme="minorEastAsia" w:hAnsiTheme="minorHAnsi" w:cstheme="minorBidi"/>
                <w:color w:val="000000" w:themeColor="text1"/>
                <w:sz w:val="22"/>
                <w:szCs w:val="22"/>
                <w:lang w:val="en-GB"/>
              </w:rPr>
            </w:pPr>
            <m:oMathPara>
              <m:oMathParaPr>
                <m:jc m:val="left"/>
              </m:oMathParaPr>
              <m:oMath>
                <m:sSub>
                  <m:sSubPr>
                    <m:ctrlPr>
                      <w:rPr>
                        <w:rFonts w:ascii="Cambria Math" w:eastAsiaTheme="minorEastAsia" w:hAnsi="Cambria Math" w:cstheme="minorBidi"/>
                        <w:b/>
                        <w:bCs/>
                        <w:i/>
                        <w:color w:val="000000" w:themeColor="text1"/>
                        <w:sz w:val="22"/>
                        <w:szCs w:val="22"/>
                        <w:lang w:val="en-GB"/>
                      </w:rPr>
                    </m:ctrlPr>
                  </m:sSubPr>
                  <m:e>
                    <m:r>
                      <m:rPr>
                        <m:sty m:val="bi"/>
                      </m:rPr>
                      <w:rPr>
                        <w:rFonts w:ascii="Cambria Math" w:eastAsiaTheme="minorEastAsia" w:hAnsi="Cambria Math" w:cstheme="minorBidi"/>
                        <w:color w:val="000000" w:themeColor="text1"/>
                        <w:sz w:val="22"/>
                        <w:szCs w:val="22"/>
                        <w:lang w:val="en-GB"/>
                      </w:rPr>
                      <m:t>Q</m:t>
                    </m:r>
                  </m:e>
                  <m:sub>
                    <m:r>
                      <m:rPr>
                        <m:sty m:val="bi"/>
                      </m:rPr>
                      <w:rPr>
                        <w:rFonts w:ascii="Cambria Math" w:eastAsiaTheme="minorEastAsia" w:hAnsi="Cambria Math" w:cstheme="minorBidi"/>
                        <w:color w:val="000000" w:themeColor="text1"/>
                        <w:sz w:val="22"/>
                        <w:szCs w:val="22"/>
                        <w:lang w:val="en-GB"/>
                      </w:rPr>
                      <m:t>CH</m:t>
                    </m:r>
                    <m:r>
                      <m:rPr>
                        <m:sty m:val="bi"/>
                      </m:rPr>
                      <w:rPr>
                        <w:rFonts w:ascii="Cambria Math" w:eastAsiaTheme="minorEastAsia" w:hAnsi="Cambria Math" w:cstheme="minorBidi"/>
                        <w:color w:val="000000" w:themeColor="text1"/>
                        <w:sz w:val="22"/>
                        <w:szCs w:val="22"/>
                        <w:lang w:val="en-GB"/>
                      </w:rPr>
                      <m:t>4, BM</m:t>
                    </m:r>
                  </m:sub>
                </m:sSub>
              </m:oMath>
            </m:oMathPara>
          </w:p>
        </w:tc>
        <w:tc>
          <w:tcPr>
            <w:tcW w:w="7449" w:type="dxa"/>
            <w:vAlign w:val="center"/>
          </w:tcPr>
          <w:p w14:paraId="09B7906D" w14:textId="2791797B" w:rsidR="008E64AF" w:rsidRPr="003822BC" w:rsidRDefault="00824566" w:rsidP="003822BC">
            <w:pPr>
              <w:spacing w:before="120" w:after="120"/>
              <w:rPr>
                <w:rFonts w:cstheme="minorHAnsi"/>
                <w:sz w:val="22"/>
                <w:szCs w:val="22"/>
              </w:rPr>
            </w:pPr>
            <w:r w:rsidRPr="003822BC">
              <w:rPr>
                <w:rFonts w:cstheme="minorHAnsi"/>
                <w:sz w:val="22"/>
                <w:szCs w:val="22"/>
              </w:rPr>
              <w:t xml:space="preserve">Quantity of methane </w:t>
            </w:r>
            <w:r w:rsidR="008E64AF" w:rsidRPr="003822BC">
              <w:rPr>
                <w:rFonts w:cstheme="minorHAnsi"/>
                <w:sz w:val="22"/>
                <w:szCs w:val="22"/>
              </w:rPr>
              <w:t>sent for combustion either on-site or off-site</w:t>
            </w:r>
            <w:r w:rsidRPr="003822BC">
              <w:rPr>
                <w:rFonts w:cstheme="minorHAnsi"/>
                <w:sz w:val="22"/>
                <w:szCs w:val="22"/>
              </w:rPr>
              <w:t>, in cubic meters.</w:t>
            </w:r>
          </w:p>
          <w:p w14:paraId="5F18BE44" w14:textId="4F17C312" w:rsidR="00307F37" w:rsidRPr="006F13C7" w:rsidRDefault="008E64AF" w:rsidP="003822BC">
            <w:pPr>
              <w:spacing w:before="120" w:after="120"/>
              <w:rPr>
                <w:rFonts w:cstheme="minorHAnsi"/>
                <w:sz w:val="22"/>
                <w:szCs w:val="22"/>
              </w:rPr>
            </w:pPr>
            <w:r w:rsidRPr="003822BC">
              <w:rPr>
                <w:rFonts w:cstheme="minorHAnsi"/>
                <w:sz w:val="22"/>
                <w:szCs w:val="22"/>
              </w:rPr>
              <w:t>Q</w:t>
            </w:r>
            <w:r w:rsidRPr="003822BC">
              <w:rPr>
                <w:rFonts w:cstheme="minorHAnsi"/>
                <w:sz w:val="22"/>
                <w:szCs w:val="22"/>
                <w:vertAlign w:val="subscript"/>
              </w:rPr>
              <w:t>CH4, BM</w:t>
            </w:r>
            <w:r w:rsidRPr="003822BC">
              <w:rPr>
                <w:rFonts w:cstheme="minorHAnsi"/>
                <w:sz w:val="22"/>
                <w:szCs w:val="22"/>
              </w:rPr>
              <w:t xml:space="preserve"> </w:t>
            </w:r>
            <w:r w:rsidR="00307F37" w:rsidRPr="003822BC">
              <w:rPr>
                <w:rFonts w:cstheme="minorHAnsi"/>
                <w:sz w:val="22"/>
                <w:szCs w:val="22"/>
              </w:rPr>
              <w:t xml:space="preserve">is </w:t>
            </w:r>
            <w:r w:rsidRPr="006F13C7">
              <w:rPr>
                <w:rFonts w:cstheme="minorHAnsi"/>
                <w:sz w:val="22"/>
                <w:szCs w:val="22"/>
              </w:rPr>
              <w:t xml:space="preserve">the quantity of methane that would have been vented into the atmosphere in the absence of the biomethane project. </w:t>
            </w:r>
          </w:p>
          <w:p w14:paraId="1ADFBF3F" w14:textId="58DE8800" w:rsidR="008E64AF" w:rsidRPr="006F13C7" w:rsidRDefault="00307F37" w:rsidP="003822BC">
            <w:pPr>
              <w:spacing w:before="120" w:after="120"/>
              <w:rPr>
                <w:rFonts w:cstheme="minorHAnsi"/>
                <w:sz w:val="22"/>
                <w:szCs w:val="22"/>
              </w:rPr>
            </w:pPr>
            <w:r w:rsidRPr="006F13C7">
              <w:rPr>
                <w:rFonts w:cstheme="minorHAnsi"/>
                <w:sz w:val="22"/>
                <w:szCs w:val="22"/>
              </w:rPr>
              <w:t>Emissions are avoided b</w:t>
            </w:r>
            <w:r w:rsidR="008E64AF" w:rsidRPr="006F13C7">
              <w:rPr>
                <w:rFonts w:cstheme="minorHAnsi"/>
                <w:sz w:val="22"/>
                <w:szCs w:val="22"/>
              </w:rPr>
              <w:t>y instead capturing, upgrading, and combusting this quantity of methane to form carbon dioxide</w:t>
            </w:r>
            <w:r w:rsidRPr="006F13C7">
              <w:rPr>
                <w:rFonts w:cstheme="minorHAnsi"/>
                <w:sz w:val="22"/>
                <w:szCs w:val="22"/>
              </w:rPr>
              <w:t xml:space="preserve">. </w:t>
            </w:r>
            <w:r w:rsidR="000525F1" w:rsidRPr="006F13C7">
              <w:rPr>
                <w:rFonts w:cstheme="minorHAnsi"/>
                <w:sz w:val="22"/>
                <w:szCs w:val="22"/>
              </w:rPr>
              <w:t>Th</w:t>
            </w:r>
            <w:r w:rsidRPr="006F13C7">
              <w:rPr>
                <w:rFonts w:cstheme="minorHAnsi"/>
                <w:sz w:val="22"/>
                <w:szCs w:val="22"/>
              </w:rPr>
              <w:t>e proposed biomethane method</w:t>
            </w:r>
            <w:r w:rsidR="009B188C">
              <w:rPr>
                <w:rFonts w:cstheme="minorHAnsi"/>
                <w:sz w:val="22"/>
                <w:szCs w:val="22"/>
              </w:rPr>
              <w:t xml:space="preserve"> approach</w:t>
            </w:r>
            <w:r w:rsidRPr="006F13C7">
              <w:rPr>
                <w:rFonts w:cstheme="minorHAnsi"/>
                <w:sz w:val="22"/>
                <w:szCs w:val="22"/>
              </w:rPr>
              <w:t xml:space="preserve"> defines th</w:t>
            </w:r>
            <w:r w:rsidR="000525F1" w:rsidRPr="006F13C7">
              <w:rPr>
                <w:rFonts w:cstheme="minorHAnsi"/>
                <w:sz w:val="22"/>
                <w:szCs w:val="22"/>
              </w:rPr>
              <w:t xml:space="preserve">is emissions avoidance </w:t>
            </w:r>
            <w:r w:rsidRPr="006F13C7">
              <w:rPr>
                <w:rFonts w:cstheme="minorHAnsi"/>
                <w:sz w:val="22"/>
                <w:szCs w:val="22"/>
              </w:rPr>
              <w:t xml:space="preserve">activity as </w:t>
            </w:r>
            <w:r w:rsidR="000525F1" w:rsidRPr="006F13C7">
              <w:rPr>
                <w:rFonts w:cstheme="minorHAnsi"/>
                <w:sz w:val="22"/>
                <w:szCs w:val="22"/>
              </w:rPr>
              <w:t>conversion abatement.</w:t>
            </w:r>
          </w:p>
          <w:p w14:paraId="44315D81" w14:textId="6D4E52A1" w:rsidR="00D62D32" w:rsidRPr="006F13C7" w:rsidRDefault="008E64AF" w:rsidP="003822BC">
            <w:pPr>
              <w:spacing w:before="120" w:after="120"/>
              <w:rPr>
                <w:rFonts w:cstheme="minorHAnsi"/>
                <w:sz w:val="22"/>
                <w:szCs w:val="22"/>
              </w:rPr>
            </w:pPr>
            <w:r w:rsidRPr="006F13C7">
              <w:rPr>
                <w:rFonts w:cstheme="minorHAnsi"/>
                <w:sz w:val="22"/>
                <w:szCs w:val="22"/>
              </w:rPr>
              <w:t xml:space="preserve">The </w:t>
            </w:r>
            <w:r w:rsidR="006B429A">
              <w:rPr>
                <w:rFonts w:cstheme="minorHAnsi"/>
                <w:sz w:val="22"/>
                <w:szCs w:val="22"/>
              </w:rPr>
              <w:t xml:space="preserve">loss </w:t>
            </w:r>
            <w:r w:rsidRPr="005A01F6">
              <w:rPr>
                <w:rFonts w:cstheme="minorHAnsi"/>
                <w:sz w:val="22"/>
                <w:szCs w:val="22"/>
              </w:rPr>
              <w:t>terms</w:t>
            </w:r>
            <w:r w:rsidRPr="003822BC">
              <w:rPr>
                <w:rFonts w:cstheme="minorHAnsi"/>
                <w:sz w:val="22"/>
                <w:szCs w:val="22"/>
              </w:rPr>
              <w:t xml:space="preserve"> in this equation</w:t>
            </w:r>
            <w:r>
              <w:rPr>
                <w:rFonts w:cstheme="minorHAnsi"/>
                <w:sz w:val="22"/>
                <w:szCs w:val="22"/>
              </w:rPr>
              <w:t xml:space="preserve"> </w:t>
            </w:r>
            <w:r w:rsidR="006B429A">
              <w:rPr>
                <w:rFonts w:cstheme="minorHAnsi"/>
                <w:sz w:val="22"/>
                <w:szCs w:val="22"/>
              </w:rPr>
              <w:t>(PL, TL, and DE)</w:t>
            </w:r>
            <w:r w:rsidRPr="003822BC">
              <w:rPr>
                <w:rFonts w:cstheme="minorHAnsi"/>
                <w:sz w:val="22"/>
                <w:szCs w:val="22"/>
              </w:rPr>
              <w:t xml:space="preserve"> account for the fact that not </w:t>
            </w:r>
            <w:r w:rsidR="00EC4D29" w:rsidRPr="003822BC">
              <w:rPr>
                <w:rFonts w:cstheme="minorHAnsi"/>
                <w:sz w:val="22"/>
                <w:szCs w:val="22"/>
              </w:rPr>
              <w:t>all</w:t>
            </w:r>
            <w:r w:rsidRPr="003822BC">
              <w:rPr>
                <w:rFonts w:cstheme="minorHAnsi"/>
                <w:sz w:val="22"/>
                <w:szCs w:val="22"/>
              </w:rPr>
              <w:t xml:space="preserve"> the </w:t>
            </w:r>
            <w:r w:rsidR="00EC4D29" w:rsidRPr="003822BC">
              <w:rPr>
                <w:rFonts w:cstheme="minorHAnsi"/>
                <w:sz w:val="22"/>
                <w:szCs w:val="22"/>
              </w:rPr>
              <w:t xml:space="preserve">waste </w:t>
            </w:r>
            <w:r w:rsidRPr="003822BC">
              <w:rPr>
                <w:rFonts w:cstheme="minorHAnsi"/>
                <w:sz w:val="22"/>
                <w:szCs w:val="22"/>
              </w:rPr>
              <w:t>methane turned into biomethane will be burned</w:t>
            </w:r>
            <w:r w:rsidR="002F3F86" w:rsidRPr="003822BC">
              <w:rPr>
                <w:rFonts w:cstheme="minorHAnsi"/>
                <w:sz w:val="22"/>
                <w:szCs w:val="22"/>
              </w:rPr>
              <w:t>.</w:t>
            </w:r>
            <w:r w:rsidRPr="003822BC">
              <w:rPr>
                <w:rFonts w:cstheme="minorHAnsi"/>
                <w:sz w:val="22"/>
                <w:szCs w:val="22"/>
              </w:rPr>
              <w:t xml:space="preserve"> </w:t>
            </w:r>
            <w:r w:rsidR="002F3F86" w:rsidRPr="003822BC">
              <w:rPr>
                <w:rFonts w:cstheme="minorHAnsi"/>
                <w:sz w:val="22"/>
                <w:szCs w:val="22"/>
              </w:rPr>
              <w:t>S</w:t>
            </w:r>
            <w:r w:rsidRPr="003822BC">
              <w:rPr>
                <w:rFonts w:cstheme="minorHAnsi"/>
                <w:sz w:val="22"/>
                <w:szCs w:val="22"/>
              </w:rPr>
              <w:t>ome methane will be lost during the production and transpo</w:t>
            </w:r>
            <w:r w:rsidRPr="005A01F6">
              <w:rPr>
                <w:rFonts w:cstheme="minorHAnsi"/>
                <w:sz w:val="22"/>
                <w:szCs w:val="22"/>
              </w:rPr>
              <w:t>rt process. This lost methane does not con</w:t>
            </w:r>
            <w:r w:rsidRPr="006F13C7">
              <w:rPr>
                <w:rFonts w:cstheme="minorHAnsi"/>
                <w:sz w:val="22"/>
                <w:szCs w:val="22"/>
              </w:rPr>
              <w:t>tribute towards the project’s net abatement</w:t>
            </w:r>
            <w:r w:rsidR="002F3F86" w:rsidRPr="006F13C7">
              <w:rPr>
                <w:rFonts w:cstheme="minorHAnsi"/>
                <w:sz w:val="22"/>
                <w:szCs w:val="22"/>
              </w:rPr>
              <w:t xml:space="preserve"> as it still escapes to atmosphere</w:t>
            </w:r>
            <w:r w:rsidRPr="006F13C7">
              <w:rPr>
                <w:rFonts w:cstheme="minorHAnsi"/>
                <w:sz w:val="22"/>
                <w:szCs w:val="22"/>
              </w:rPr>
              <w:t xml:space="preserve">, </w:t>
            </w:r>
            <w:r w:rsidR="002F3F86" w:rsidRPr="006F13C7">
              <w:rPr>
                <w:rFonts w:cstheme="minorHAnsi"/>
                <w:sz w:val="22"/>
                <w:szCs w:val="22"/>
              </w:rPr>
              <w:t xml:space="preserve">which is </w:t>
            </w:r>
            <w:r w:rsidRPr="006F13C7">
              <w:rPr>
                <w:rFonts w:cstheme="minorHAnsi"/>
                <w:sz w:val="22"/>
                <w:szCs w:val="22"/>
              </w:rPr>
              <w:t>reflected in the abatement calculations.</w:t>
            </w:r>
          </w:p>
        </w:tc>
      </w:tr>
      <w:tr w:rsidR="008E64AF" w:rsidRPr="002B2FAB" w14:paraId="75BBCEE5" w14:textId="77777777" w:rsidTr="0022490E">
        <w:trPr>
          <w:trHeight w:val="486"/>
        </w:trPr>
        <w:tc>
          <w:tcPr>
            <w:tcW w:w="1567" w:type="dxa"/>
          </w:tcPr>
          <w:p w14:paraId="7E36D810" w14:textId="0473CC77" w:rsidR="008E64AF" w:rsidRPr="001A1930" w:rsidRDefault="001A1930">
            <w:pPr>
              <w:tabs>
                <w:tab w:val="left" w:pos="567"/>
              </w:tabs>
              <w:spacing w:before="240" w:after="240"/>
              <w:jc w:val="both"/>
              <w:rPr>
                <w:b/>
                <w:color w:val="000000" w:themeColor="text1"/>
                <w:szCs w:val="22"/>
                <w:lang w:val="en-GB"/>
              </w:rPr>
            </w:pPr>
            <m:oMathPara>
              <m:oMathParaPr>
                <m:jc m:val="left"/>
              </m:oMathParaPr>
              <m:oMath>
                <m:r>
                  <m:rPr>
                    <m:sty m:val="bi"/>
                  </m:rPr>
                  <w:rPr>
                    <w:rFonts w:ascii="Cambria Math" w:eastAsiaTheme="minorEastAsia" w:hAnsi="Cambria Math" w:cstheme="minorBidi"/>
                    <w:color w:val="000000" w:themeColor="text1"/>
                    <w:sz w:val="22"/>
                    <w:szCs w:val="22"/>
                    <w:lang w:val="en-GB"/>
                  </w:rPr>
                  <m:t>PL</m:t>
                </m:r>
              </m:oMath>
            </m:oMathPara>
          </w:p>
        </w:tc>
        <w:tc>
          <w:tcPr>
            <w:tcW w:w="7449" w:type="dxa"/>
            <w:vAlign w:val="center"/>
          </w:tcPr>
          <w:p w14:paraId="3956FFB3" w14:textId="5BEE35A9" w:rsidR="001A1930" w:rsidRPr="0022490E" w:rsidRDefault="001A1930" w:rsidP="003822BC">
            <w:pPr>
              <w:spacing w:before="120" w:after="120"/>
              <w:rPr>
                <w:rFonts w:cstheme="minorHAnsi"/>
                <w:sz w:val="22"/>
                <w:szCs w:val="22"/>
              </w:rPr>
            </w:pPr>
            <w:r w:rsidRPr="00303641">
              <w:rPr>
                <w:rFonts w:cstheme="minorHAnsi"/>
                <w:sz w:val="22"/>
                <w:szCs w:val="22"/>
              </w:rPr>
              <w:t>Production loss factor</w:t>
            </w:r>
            <w:r w:rsidR="00307F37" w:rsidRPr="0022490E">
              <w:rPr>
                <w:rFonts w:cstheme="minorHAnsi"/>
                <w:sz w:val="22"/>
                <w:szCs w:val="22"/>
              </w:rPr>
              <w:t xml:space="preserve"> is</w:t>
            </w:r>
            <w:r w:rsidRPr="00303641">
              <w:rPr>
                <w:rFonts w:cstheme="minorHAnsi"/>
                <w:sz w:val="22"/>
                <w:szCs w:val="22"/>
              </w:rPr>
              <w:t xml:space="preserve"> a fraction that represents the proportion of </w:t>
            </w:r>
            <w:r w:rsidRPr="0022490E">
              <w:rPr>
                <w:rFonts w:cstheme="minorHAnsi"/>
                <w:sz w:val="22"/>
                <w:szCs w:val="22"/>
              </w:rPr>
              <w:t>methane</w:t>
            </w:r>
            <w:r w:rsidRPr="00303641">
              <w:rPr>
                <w:rFonts w:cstheme="minorHAnsi"/>
                <w:sz w:val="22"/>
                <w:szCs w:val="22"/>
              </w:rPr>
              <w:t xml:space="preserve"> lost during the biogas upgrading process.</w:t>
            </w:r>
            <w:r w:rsidRPr="0022490E">
              <w:rPr>
                <w:rFonts w:cstheme="minorHAnsi"/>
                <w:sz w:val="22"/>
                <w:szCs w:val="22"/>
              </w:rPr>
              <w:t xml:space="preserve"> Losses will depend on site operating conditions and the biogas upgrading technology employed. </w:t>
            </w:r>
          </w:p>
          <w:p w14:paraId="190BD374" w14:textId="79E6CC66" w:rsidR="008E64AF" w:rsidRPr="000E3892" w:rsidRDefault="001A1930" w:rsidP="003822BC">
            <w:pPr>
              <w:spacing w:before="120" w:after="120"/>
              <w:rPr>
                <w:rFonts w:cstheme="minorHAnsi"/>
                <w:sz w:val="22"/>
                <w:szCs w:val="22"/>
              </w:rPr>
            </w:pPr>
            <w:r w:rsidRPr="0022490E">
              <w:rPr>
                <w:rFonts w:cstheme="minorHAnsi"/>
                <w:sz w:val="22"/>
                <w:szCs w:val="22"/>
              </w:rPr>
              <w:t>A proponent can either use a methane loss factor provided by the equipment manufacturer or assume a default loss factor of 4% (factor of 0.04)</w:t>
            </w:r>
            <w:r w:rsidR="003822BC" w:rsidRPr="0022490E">
              <w:rPr>
                <w:rStyle w:val="FootnoteReference"/>
                <w:rFonts w:cstheme="minorHAnsi"/>
                <w:sz w:val="22"/>
                <w:szCs w:val="22"/>
              </w:rPr>
              <w:footnoteReference w:id="12"/>
            </w:r>
            <w:r w:rsidR="007351DD" w:rsidRPr="0022490E">
              <w:rPr>
                <w:rFonts w:cstheme="minorHAnsi"/>
                <w:sz w:val="22"/>
                <w:szCs w:val="22"/>
              </w:rPr>
              <w:t>.</w:t>
            </w:r>
          </w:p>
        </w:tc>
      </w:tr>
      <w:tr w:rsidR="001A1930" w:rsidRPr="002B2FAB" w14:paraId="6D262843" w14:textId="77777777" w:rsidTr="0022490E">
        <w:trPr>
          <w:trHeight w:val="486"/>
        </w:trPr>
        <w:tc>
          <w:tcPr>
            <w:tcW w:w="1567" w:type="dxa"/>
          </w:tcPr>
          <w:p w14:paraId="14338758" w14:textId="71F2089B" w:rsidR="001A1930" w:rsidRPr="001A1930" w:rsidRDefault="001A1930">
            <w:pPr>
              <w:tabs>
                <w:tab w:val="left" w:pos="567"/>
              </w:tabs>
              <w:spacing w:before="240" w:after="240"/>
              <w:jc w:val="both"/>
              <w:rPr>
                <w:b/>
                <w:bCs/>
                <w:color w:val="000000" w:themeColor="text1"/>
                <w:szCs w:val="22"/>
                <w:lang w:val="en-GB"/>
              </w:rPr>
            </w:pPr>
            <m:oMathPara>
              <m:oMathParaPr>
                <m:jc m:val="left"/>
              </m:oMathParaPr>
              <m:oMath>
                <m:r>
                  <m:rPr>
                    <m:sty m:val="bi"/>
                  </m:rPr>
                  <w:rPr>
                    <w:rFonts w:ascii="Cambria Math" w:eastAsiaTheme="minorEastAsia" w:hAnsi="Cambria Math" w:cstheme="minorBidi"/>
                    <w:color w:val="000000" w:themeColor="text1"/>
                    <w:sz w:val="22"/>
                    <w:szCs w:val="22"/>
                    <w:lang w:val="en-GB"/>
                  </w:rPr>
                  <m:t>TL</m:t>
                </m:r>
              </m:oMath>
            </m:oMathPara>
          </w:p>
        </w:tc>
        <w:tc>
          <w:tcPr>
            <w:tcW w:w="7449" w:type="dxa"/>
            <w:vAlign w:val="center"/>
          </w:tcPr>
          <w:p w14:paraId="76D5021D" w14:textId="256A826E" w:rsidR="001A1930" w:rsidRPr="007330DE" w:rsidRDefault="001A1930" w:rsidP="003822BC">
            <w:pPr>
              <w:spacing w:before="120" w:after="120"/>
              <w:rPr>
                <w:rFonts w:cstheme="minorHAnsi"/>
                <w:sz w:val="22"/>
                <w:szCs w:val="22"/>
              </w:rPr>
            </w:pPr>
            <w:r w:rsidRPr="007330DE">
              <w:rPr>
                <w:rFonts w:cstheme="minorHAnsi"/>
                <w:sz w:val="22"/>
                <w:szCs w:val="22"/>
              </w:rPr>
              <w:t>Transport loss factor</w:t>
            </w:r>
            <w:r w:rsidR="00307F37" w:rsidRPr="007330DE">
              <w:rPr>
                <w:rFonts w:cstheme="minorHAnsi"/>
                <w:sz w:val="22"/>
                <w:szCs w:val="22"/>
              </w:rPr>
              <w:t xml:space="preserve"> is</w:t>
            </w:r>
            <w:r w:rsidRPr="007330DE">
              <w:rPr>
                <w:rFonts w:cstheme="minorHAnsi"/>
                <w:sz w:val="22"/>
                <w:szCs w:val="22"/>
              </w:rPr>
              <w:t xml:space="preserve"> a fraction that represents the proportion of methane lost during transport of biomethane. Losses could include leakages during gas transfers or through transmission in a pipeline.</w:t>
            </w:r>
          </w:p>
          <w:p w14:paraId="0BD8FBA8" w14:textId="5CD153CB" w:rsidR="00307F37" w:rsidRPr="007330DE" w:rsidRDefault="001A1930" w:rsidP="003822BC">
            <w:pPr>
              <w:spacing w:before="120" w:after="120"/>
              <w:rPr>
                <w:rFonts w:cstheme="minorHAnsi"/>
                <w:sz w:val="22"/>
                <w:szCs w:val="22"/>
              </w:rPr>
            </w:pPr>
            <w:r w:rsidRPr="007330DE">
              <w:rPr>
                <w:rFonts w:cstheme="minorHAnsi"/>
                <w:sz w:val="22"/>
                <w:szCs w:val="22"/>
              </w:rPr>
              <w:t>The transport loss factor is 0 if all biomethane produced is consumed at the biomethane facility</w:t>
            </w:r>
            <w:r w:rsidR="00307F37" w:rsidRPr="007330DE">
              <w:rPr>
                <w:rFonts w:cstheme="minorHAnsi"/>
                <w:sz w:val="22"/>
                <w:szCs w:val="22"/>
              </w:rPr>
              <w:t>. In</w:t>
            </w:r>
            <w:r w:rsidRPr="007330DE">
              <w:rPr>
                <w:rFonts w:cstheme="minorHAnsi"/>
                <w:sz w:val="22"/>
                <w:szCs w:val="22"/>
              </w:rPr>
              <w:t xml:space="preserve"> this scenario, limited gas transfer occurs and assuming losses are negligible is reasonable. </w:t>
            </w:r>
          </w:p>
          <w:p w14:paraId="17DBFA83" w14:textId="6C445065" w:rsidR="001A1930" w:rsidRPr="007330DE" w:rsidRDefault="001A1930" w:rsidP="003822BC">
            <w:pPr>
              <w:spacing w:before="120" w:after="120"/>
              <w:rPr>
                <w:rFonts w:cstheme="minorHAnsi"/>
                <w:sz w:val="22"/>
                <w:szCs w:val="22"/>
              </w:rPr>
            </w:pPr>
            <w:r w:rsidRPr="007330DE">
              <w:rPr>
                <w:rFonts w:cstheme="minorHAnsi"/>
                <w:sz w:val="22"/>
                <w:szCs w:val="22"/>
              </w:rPr>
              <w:t xml:space="preserve">If not all biomethane produced is consumed at the biomethane facility, the factor is 0.02, representing a 2% loss factor. </w:t>
            </w:r>
            <w:r w:rsidR="001F623E" w:rsidRPr="007330DE">
              <w:rPr>
                <w:rFonts w:cstheme="minorHAnsi"/>
                <w:sz w:val="22"/>
                <w:szCs w:val="22"/>
              </w:rPr>
              <w:t>This factor is calculated based on average unaccounted for gas values for distribution networks in the National Inventory, weighted by state and territory gas consumption rates</w:t>
            </w:r>
            <w:r w:rsidR="00307F37" w:rsidRPr="007330DE">
              <w:rPr>
                <w:rStyle w:val="FootnoteReference"/>
                <w:rFonts w:cstheme="minorHAnsi"/>
                <w:sz w:val="22"/>
                <w:szCs w:val="22"/>
              </w:rPr>
              <w:footnoteReference w:id="13"/>
            </w:r>
            <w:r w:rsidR="006B429A" w:rsidRPr="007330DE">
              <w:rPr>
                <w:rFonts w:cstheme="minorHAnsi"/>
                <w:sz w:val="22"/>
                <w:szCs w:val="22"/>
              </w:rPr>
              <w:t>.</w:t>
            </w:r>
          </w:p>
        </w:tc>
      </w:tr>
      <w:tr w:rsidR="00824566" w:rsidRPr="002B2FAB" w14:paraId="38149EBC" w14:textId="77777777" w:rsidTr="0022490E">
        <w:trPr>
          <w:trHeight w:val="486"/>
        </w:trPr>
        <w:tc>
          <w:tcPr>
            <w:tcW w:w="1567" w:type="dxa"/>
          </w:tcPr>
          <w:p w14:paraId="3C8918D3" w14:textId="6732F6CF" w:rsidR="00824566" w:rsidRPr="00336398" w:rsidRDefault="00824566" w:rsidP="00336398">
            <w:pPr>
              <w:tabs>
                <w:tab w:val="left" w:pos="567"/>
              </w:tabs>
              <w:spacing w:before="240" w:after="240"/>
              <w:jc w:val="both"/>
              <w:rPr>
                <w:rFonts w:eastAsia="DengXian" w:cs="Times New Roman"/>
                <w:b/>
                <w:color w:val="000000" w:themeColor="text1"/>
                <w:sz w:val="22"/>
                <w:szCs w:val="22"/>
                <w:lang w:val="en-GB"/>
              </w:rPr>
            </w:pPr>
            <m:oMathPara>
              <m:oMathParaPr>
                <m:jc m:val="left"/>
              </m:oMathParaPr>
              <m:oMath>
                <m:r>
                  <m:rPr>
                    <m:sty m:val="bi"/>
                  </m:rPr>
                  <w:rPr>
                    <w:rFonts w:ascii="Cambria Math" w:eastAsiaTheme="minorEastAsia" w:hAnsi="Cambria Math" w:cstheme="minorBidi"/>
                    <w:color w:val="000000" w:themeColor="text1"/>
                    <w:sz w:val="22"/>
                    <w:szCs w:val="22"/>
                    <w:lang w:val="en-GB"/>
                  </w:rPr>
                  <m:t>DE</m:t>
                </m:r>
              </m:oMath>
            </m:oMathPara>
          </w:p>
        </w:tc>
        <w:tc>
          <w:tcPr>
            <w:tcW w:w="7449" w:type="dxa"/>
            <w:vAlign w:val="center"/>
          </w:tcPr>
          <w:p w14:paraId="7A73A249" w14:textId="77777777" w:rsidR="0031662F" w:rsidRPr="007330DE" w:rsidRDefault="00824566" w:rsidP="003822BC">
            <w:pPr>
              <w:spacing w:before="120" w:after="120"/>
              <w:rPr>
                <w:rFonts w:cstheme="minorHAnsi"/>
                <w:sz w:val="22"/>
                <w:szCs w:val="22"/>
              </w:rPr>
            </w:pPr>
            <w:r w:rsidRPr="007330DE">
              <w:rPr>
                <w:rFonts w:cstheme="minorHAnsi"/>
                <w:sz w:val="22"/>
                <w:szCs w:val="22"/>
              </w:rPr>
              <w:t xml:space="preserve">Destruction efficiency of the methane sent into the gas network or used on-site. </w:t>
            </w:r>
          </w:p>
          <w:p w14:paraId="728A20AE" w14:textId="5EF6BFC4" w:rsidR="00824566" w:rsidRPr="007330DE" w:rsidRDefault="00824566" w:rsidP="003822BC">
            <w:pPr>
              <w:spacing w:before="120" w:after="120"/>
              <w:rPr>
                <w:rFonts w:cstheme="minorHAnsi"/>
                <w:sz w:val="22"/>
                <w:szCs w:val="22"/>
              </w:rPr>
            </w:pPr>
            <w:r w:rsidRPr="007330DE">
              <w:rPr>
                <w:rFonts w:cstheme="minorHAnsi"/>
                <w:sz w:val="22"/>
                <w:szCs w:val="22"/>
              </w:rPr>
              <w:t xml:space="preserve">A destruction efficiency of 98% (factor of 0.98) is assumed, consistent with </w:t>
            </w:r>
            <w:r w:rsidR="0031662F" w:rsidRPr="007330DE">
              <w:rPr>
                <w:rFonts w:cstheme="minorHAnsi"/>
                <w:sz w:val="22"/>
                <w:szCs w:val="22"/>
              </w:rPr>
              <w:t xml:space="preserve">the </w:t>
            </w:r>
            <w:r w:rsidRPr="007330DE">
              <w:rPr>
                <w:rFonts w:cstheme="minorHAnsi"/>
                <w:sz w:val="22"/>
                <w:szCs w:val="22"/>
              </w:rPr>
              <w:t>approach</w:t>
            </w:r>
            <w:r w:rsidR="0031662F" w:rsidRPr="007330DE">
              <w:rPr>
                <w:rFonts w:cstheme="minorHAnsi"/>
                <w:sz w:val="22"/>
                <w:szCs w:val="22"/>
              </w:rPr>
              <w:t xml:space="preserve"> taken </w:t>
            </w:r>
            <w:r w:rsidRPr="007330DE">
              <w:rPr>
                <w:rFonts w:cstheme="minorHAnsi"/>
                <w:sz w:val="22"/>
                <w:szCs w:val="22"/>
              </w:rPr>
              <w:t xml:space="preserve">in the National Inventory. </w:t>
            </w:r>
          </w:p>
        </w:tc>
      </w:tr>
      <w:tr w:rsidR="00454EB2" w:rsidRPr="002B2FAB" w14:paraId="5DD41108" w14:textId="77777777" w:rsidTr="001F623E">
        <w:trPr>
          <w:trHeight w:val="486"/>
        </w:trPr>
        <w:tc>
          <w:tcPr>
            <w:tcW w:w="1567" w:type="dxa"/>
          </w:tcPr>
          <w:p w14:paraId="311B53C3" w14:textId="3129C4F0" w:rsidR="00454EB2" w:rsidRPr="00454EB2" w:rsidRDefault="008C3745" w:rsidP="00336398">
            <w:pPr>
              <w:tabs>
                <w:tab w:val="left" w:pos="567"/>
              </w:tabs>
              <w:spacing w:before="240" w:after="240"/>
              <w:jc w:val="both"/>
              <w:rPr>
                <w:b/>
                <w:color w:val="000000" w:themeColor="text1"/>
                <w:szCs w:val="22"/>
                <w:lang w:val="en-GB"/>
              </w:rPr>
            </w:pPr>
            <m:oMathPara>
              <m:oMathParaPr>
                <m:jc m:val="left"/>
              </m:oMathParaPr>
              <m:oMath>
                <m:sSub>
                  <m:sSubPr>
                    <m:ctrlPr>
                      <w:rPr>
                        <w:rFonts w:ascii="Cambria Math" w:eastAsiaTheme="minorEastAsia" w:hAnsi="Cambria Math" w:cstheme="minorBidi"/>
                        <w:b/>
                        <w:i/>
                        <w:color w:val="000000" w:themeColor="text1"/>
                        <w:sz w:val="22"/>
                        <w:szCs w:val="22"/>
                        <w:lang w:val="en-GB"/>
                      </w:rPr>
                    </m:ctrlPr>
                  </m:sSubPr>
                  <m:e>
                    <m:r>
                      <m:rPr>
                        <m:sty m:val="bi"/>
                      </m:rPr>
                      <w:rPr>
                        <w:rFonts w:ascii="Cambria Math" w:eastAsiaTheme="minorEastAsia" w:hAnsi="Cambria Math" w:cstheme="minorBidi"/>
                        <w:color w:val="000000" w:themeColor="text1"/>
                        <w:sz w:val="22"/>
                        <w:szCs w:val="22"/>
                        <w:lang w:val="en-GB"/>
                      </w:rPr>
                      <m:t>PE</m:t>
                    </m:r>
                  </m:e>
                  <m:sub>
                    <m:r>
                      <m:rPr>
                        <m:sty m:val="bi"/>
                      </m:rPr>
                      <w:rPr>
                        <w:rFonts w:ascii="Cambria Math" w:eastAsiaTheme="minorEastAsia" w:hAnsi="Cambria Math" w:cstheme="minorBidi"/>
                        <w:color w:val="000000" w:themeColor="text1"/>
                        <w:sz w:val="22"/>
                        <w:szCs w:val="22"/>
                        <w:lang w:val="en-GB"/>
                      </w:rPr>
                      <m:t>Conversion</m:t>
                    </m:r>
                  </m:sub>
                </m:sSub>
              </m:oMath>
            </m:oMathPara>
          </w:p>
        </w:tc>
        <w:tc>
          <w:tcPr>
            <w:tcW w:w="7449" w:type="dxa"/>
            <w:vAlign w:val="center"/>
          </w:tcPr>
          <w:p w14:paraId="14036BCF" w14:textId="40C741F7" w:rsidR="00454EB2" w:rsidRPr="007330DE" w:rsidRDefault="00454EB2" w:rsidP="006F13C7">
            <w:pPr>
              <w:spacing w:before="120" w:after="120"/>
              <w:rPr>
                <w:rFonts w:cstheme="minorHAnsi"/>
                <w:sz w:val="22"/>
                <w:szCs w:val="22"/>
              </w:rPr>
            </w:pPr>
            <w:r w:rsidRPr="007330DE">
              <w:rPr>
                <w:rFonts w:cstheme="minorHAnsi"/>
                <w:sz w:val="22"/>
                <w:szCs w:val="22"/>
              </w:rPr>
              <w:t xml:space="preserve">Project emissions from </w:t>
            </w:r>
            <w:r w:rsidR="00017FAF">
              <w:rPr>
                <w:rFonts w:cstheme="minorHAnsi"/>
                <w:sz w:val="22"/>
                <w:szCs w:val="22"/>
              </w:rPr>
              <w:t>biogas generation for biomethane</w:t>
            </w:r>
            <w:r w:rsidRPr="007330DE">
              <w:rPr>
                <w:rFonts w:cstheme="minorHAnsi"/>
                <w:sz w:val="22"/>
                <w:szCs w:val="22"/>
              </w:rPr>
              <w:t xml:space="preserve"> project activities. These emissions are associated with conversion abatement and need to be deducted to ensure </w:t>
            </w:r>
            <w:r w:rsidR="006A7CBB">
              <w:rPr>
                <w:rFonts w:cstheme="minorHAnsi"/>
                <w:sz w:val="22"/>
                <w:szCs w:val="22"/>
              </w:rPr>
              <w:t xml:space="preserve">the </w:t>
            </w:r>
            <w:r w:rsidRPr="007330DE">
              <w:rPr>
                <w:rFonts w:cstheme="minorHAnsi"/>
                <w:sz w:val="22"/>
                <w:szCs w:val="22"/>
              </w:rPr>
              <w:t>amount of ACCUs issued accurately reflects the net abatement associated with a project’s biomethane activities.</w:t>
            </w:r>
          </w:p>
          <w:p w14:paraId="0F301FDF" w14:textId="3610E717" w:rsidR="00454EB2" w:rsidRPr="007330DE" w:rsidRDefault="00454EB2" w:rsidP="006F13C7">
            <w:pPr>
              <w:spacing w:before="120" w:after="120"/>
              <w:rPr>
                <w:rFonts w:cstheme="minorHAnsi"/>
                <w:sz w:val="22"/>
                <w:szCs w:val="22"/>
              </w:rPr>
            </w:pPr>
            <w:r w:rsidRPr="007330DE">
              <w:rPr>
                <w:rFonts w:cstheme="minorHAnsi"/>
                <w:sz w:val="22"/>
                <w:szCs w:val="22"/>
              </w:rPr>
              <w:t>Specific project emissions sources accounted for here will depend on the relevant method, but broadly will include:</w:t>
            </w:r>
          </w:p>
          <w:p w14:paraId="75D564BB" w14:textId="77777777" w:rsidR="00454EB2" w:rsidRPr="007330DE" w:rsidRDefault="00454EB2" w:rsidP="006F13C7">
            <w:pPr>
              <w:pStyle w:val="CERbullets"/>
              <w:rPr>
                <w:sz w:val="22"/>
                <w:szCs w:val="22"/>
              </w:rPr>
            </w:pPr>
            <w:r w:rsidRPr="007330DE">
              <w:rPr>
                <w:sz w:val="22"/>
                <w:szCs w:val="22"/>
              </w:rPr>
              <w:t>Emissions from electricity and fuel consumption by anaerobic digesters and biomethane production dispatch systems.</w:t>
            </w:r>
          </w:p>
          <w:p w14:paraId="00692C45" w14:textId="0DD62547" w:rsidR="00454EB2" w:rsidRPr="007330DE" w:rsidRDefault="00454EB2" w:rsidP="006F13C7">
            <w:pPr>
              <w:pStyle w:val="CERbullets"/>
              <w:rPr>
                <w:sz w:val="22"/>
                <w:szCs w:val="22"/>
              </w:rPr>
            </w:pPr>
            <w:r w:rsidRPr="007330DE">
              <w:rPr>
                <w:sz w:val="22"/>
                <w:szCs w:val="22"/>
              </w:rPr>
              <w:t>L</w:t>
            </w:r>
            <w:r w:rsidR="005025BD">
              <w:rPr>
                <w:sz w:val="22"/>
                <w:szCs w:val="22"/>
              </w:rPr>
              <w:t>oss</w:t>
            </w:r>
            <w:r w:rsidRPr="007330DE">
              <w:rPr>
                <w:sz w:val="22"/>
                <w:szCs w:val="22"/>
              </w:rPr>
              <w:t xml:space="preserve"> or venting emissions from anaerobic digester operation.</w:t>
            </w:r>
          </w:p>
        </w:tc>
      </w:tr>
    </w:tbl>
    <w:p w14:paraId="7F59B7B2" w14:textId="2445E698" w:rsidR="00EE5A56" w:rsidRDefault="00EE5A56" w:rsidP="00EE5A56">
      <w:pPr>
        <w:pStyle w:val="Heading3"/>
        <w:rPr>
          <w:rFonts w:eastAsiaTheme="minorHAnsi"/>
          <w:lang w:val="en-GB"/>
        </w:rPr>
      </w:pPr>
      <w:bookmarkStart w:id="47" w:name="_Toc85030350"/>
      <w:r>
        <w:rPr>
          <w:rFonts w:eastAsiaTheme="minorHAnsi"/>
          <w:lang w:val="en-GB"/>
        </w:rPr>
        <w:t>Displacement abatement</w:t>
      </w:r>
      <w:bookmarkEnd w:id="47"/>
    </w:p>
    <w:p w14:paraId="3CCB40A9" w14:textId="366A5094" w:rsidR="00053F76" w:rsidRDefault="00053F76" w:rsidP="00053F76">
      <w:pPr>
        <w:rPr>
          <w:rFonts w:asciiTheme="minorHAnsi" w:eastAsiaTheme="minorHAnsi" w:hAnsiTheme="minorHAnsi" w:cstheme="minorBidi"/>
          <w:color w:val="000000" w:themeColor="text1"/>
          <w:szCs w:val="22"/>
          <w:lang w:val="en-GB"/>
        </w:rPr>
      </w:pPr>
      <w:r>
        <w:rPr>
          <w:rFonts w:asciiTheme="minorHAnsi" w:eastAsiaTheme="minorHAnsi" w:hAnsiTheme="minorHAnsi" w:cstheme="minorBidi"/>
          <w:color w:val="000000" w:themeColor="text1"/>
          <w:szCs w:val="22"/>
          <w:lang w:val="en-GB"/>
        </w:rPr>
        <w:t>Displacement abatement is calculated through equations added as part of the</w:t>
      </w:r>
      <w:r w:rsidR="009B188C">
        <w:rPr>
          <w:rFonts w:asciiTheme="minorHAnsi" w:eastAsiaTheme="minorHAnsi" w:hAnsiTheme="minorHAnsi" w:cstheme="minorBidi"/>
          <w:color w:val="000000" w:themeColor="text1"/>
          <w:szCs w:val="22"/>
          <w:lang w:val="en-GB"/>
        </w:rPr>
        <w:t xml:space="preserve"> proposed</w:t>
      </w:r>
      <w:r>
        <w:rPr>
          <w:rFonts w:asciiTheme="minorHAnsi" w:eastAsiaTheme="minorHAnsi" w:hAnsiTheme="minorHAnsi" w:cstheme="minorBidi"/>
          <w:color w:val="000000" w:themeColor="text1"/>
          <w:szCs w:val="22"/>
          <w:lang w:val="en-GB"/>
        </w:rPr>
        <w:t xml:space="preserve"> biomethane method package amendments. Factors influencing displacement abatement include:</w:t>
      </w:r>
    </w:p>
    <w:p w14:paraId="5C7C5661" w14:textId="5A3261FF" w:rsidR="00053F76" w:rsidRDefault="00053F76" w:rsidP="006544EC">
      <w:pPr>
        <w:pStyle w:val="CERbullets"/>
      </w:pPr>
      <w:r w:rsidRPr="0031662F">
        <w:t xml:space="preserve">the volume of biomethane injected into the gas </w:t>
      </w:r>
      <w:r w:rsidR="00DE71BE" w:rsidRPr="0031662F">
        <w:t>network</w:t>
      </w:r>
      <w:r w:rsidRPr="0031662F">
        <w:t>, which determines the quantity of natural gas displaced</w:t>
      </w:r>
      <w:r w:rsidR="00DF7E71">
        <w:t xml:space="preserve">, </w:t>
      </w:r>
    </w:p>
    <w:p w14:paraId="199F739C" w14:textId="76A9452C" w:rsidR="00DF7E71" w:rsidRPr="0031662F" w:rsidRDefault="00DF7E71" w:rsidP="006544EC">
      <w:pPr>
        <w:pStyle w:val="CERbullets"/>
      </w:pPr>
      <w:r>
        <w:t>the proportion of the biogas used to produce biomethane that is eligible biogas, and</w:t>
      </w:r>
    </w:p>
    <w:p w14:paraId="290AAFEA" w14:textId="59E65AD0" w:rsidR="00053F76" w:rsidRPr="0031662F" w:rsidRDefault="00053F76" w:rsidP="006544EC">
      <w:pPr>
        <w:pStyle w:val="CERbullets"/>
      </w:pPr>
      <w:r w:rsidRPr="0031662F">
        <w:t>emissions from energy and fuel consumption consumed during biogas upgrading</w:t>
      </w:r>
      <w:r w:rsidR="00DF7E71">
        <w:t>.</w:t>
      </w:r>
    </w:p>
    <w:p w14:paraId="1505D05C" w14:textId="5C35F585" w:rsidR="008919D0" w:rsidRPr="008919D0" w:rsidRDefault="00747F40" w:rsidP="009315D6">
      <w:pPr>
        <w:spacing w:after="0" w:line="276" w:lineRule="auto"/>
        <w:jc w:val="both"/>
        <w:rPr>
          <w:rFonts w:asciiTheme="minorHAnsi" w:eastAsiaTheme="minorHAnsi" w:hAnsiTheme="minorHAnsi" w:cstheme="minorHAnsi"/>
          <w:color w:val="auto"/>
          <w:szCs w:val="22"/>
          <w:lang w:val="en-GB"/>
        </w:rPr>
      </w:pPr>
      <w:r>
        <w:rPr>
          <w:rFonts w:asciiTheme="minorHAnsi" w:eastAsiaTheme="minorHAnsi" w:hAnsiTheme="minorHAnsi" w:cstheme="minorBidi"/>
          <w:color w:val="auto"/>
          <w:szCs w:val="22"/>
          <w:lang w:val="en-GB"/>
        </w:rPr>
        <w:t xml:space="preserve">The </w:t>
      </w:r>
      <w:r w:rsidR="00DF7E71">
        <w:rPr>
          <w:rFonts w:asciiTheme="minorHAnsi" w:eastAsiaTheme="minorHAnsi" w:hAnsiTheme="minorHAnsi" w:cstheme="minorBidi"/>
          <w:color w:val="auto"/>
          <w:szCs w:val="22"/>
          <w:lang w:val="en-GB"/>
        </w:rPr>
        <w:t>general</w:t>
      </w:r>
      <w:r>
        <w:rPr>
          <w:rFonts w:asciiTheme="minorHAnsi" w:eastAsiaTheme="minorHAnsi" w:hAnsiTheme="minorHAnsi" w:cstheme="minorBidi"/>
          <w:color w:val="auto"/>
          <w:szCs w:val="22"/>
          <w:lang w:val="en-GB"/>
        </w:rPr>
        <w:t xml:space="preserve"> calculation approach for displacement abatement is set out below.</w:t>
      </w:r>
    </w:p>
    <w:p w14:paraId="1B170508" w14:textId="059052E9" w:rsidR="008919D0" w:rsidRDefault="008919D0" w:rsidP="000B3D12">
      <w:pPr>
        <w:spacing w:after="0" w:line="276" w:lineRule="auto"/>
        <w:jc w:val="both"/>
        <w:rPr>
          <w:rFonts w:asciiTheme="minorHAnsi" w:eastAsiaTheme="minorHAnsi" w:hAnsiTheme="minorHAnsi" w:cstheme="minorHAnsi"/>
          <w:color w:val="auto"/>
          <w:szCs w:val="22"/>
          <w:lang w:val="en-GB"/>
        </w:rPr>
      </w:pPr>
    </w:p>
    <w:tbl>
      <w:tblPr>
        <w:tblStyle w:val="TableGrid"/>
        <w:tblW w:w="0" w:type="auto"/>
        <w:tblLook w:val="04A0" w:firstRow="1" w:lastRow="0" w:firstColumn="1" w:lastColumn="0" w:noHBand="0" w:noVBand="1"/>
      </w:tblPr>
      <w:tblGrid>
        <w:gridCol w:w="2354"/>
        <w:gridCol w:w="6662"/>
      </w:tblGrid>
      <w:tr w:rsidR="000B3D12" w:rsidRPr="002B2FAB" w14:paraId="6A74E895" w14:textId="77777777" w:rsidTr="00986BF7">
        <w:tc>
          <w:tcPr>
            <w:tcW w:w="9016" w:type="dxa"/>
            <w:gridSpan w:val="2"/>
            <w:vAlign w:val="center"/>
          </w:tcPr>
          <w:bookmarkStart w:id="48" w:name="_Hlk64291922"/>
          <w:p w14:paraId="00F24CB2" w14:textId="40783D70" w:rsidR="000B3D12" w:rsidRPr="009B3715" w:rsidRDefault="008C3745" w:rsidP="00986BF7">
            <w:pPr>
              <w:spacing w:before="240" w:after="240"/>
              <w:ind w:left="567"/>
              <w:jc w:val="center"/>
              <w:rPr>
                <w:rFonts w:asciiTheme="minorHAnsi" w:eastAsiaTheme="minorEastAsia" w:hAnsiTheme="minorHAnsi" w:cstheme="minorBidi"/>
                <w:b/>
                <w:bCs/>
                <w:color w:val="000000" w:themeColor="text1"/>
                <w:sz w:val="22"/>
                <w:szCs w:val="22"/>
                <w:lang w:val="en-GB"/>
              </w:rPr>
            </w:pPr>
            <m:oMathPara>
              <m:oMath>
                <m:sSub>
                  <m:sSubPr>
                    <m:ctrlPr>
                      <w:rPr>
                        <w:rFonts w:ascii="Cambria Math" w:eastAsiaTheme="minorEastAsia" w:hAnsi="Cambria Math" w:cstheme="minorBidi"/>
                        <w:b/>
                        <w:bCs/>
                        <w:i/>
                        <w:color w:val="000000" w:themeColor="text1"/>
                        <w:sz w:val="22"/>
                        <w:szCs w:val="22"/>
                        <w:lang w:val="en-GB"/>
                      </w:rPr>
                    </m:ctrlPr>
                  </m:sSubPr>
                  <m:e>
                    <m:r>
                      <m:rPr>
                        <m:sty m:val="bi"/>
                      </m:rPr>
                      <w:rPr>
                        <w:rFonts w:ascii="Cambria Math" w:eastAsiaTheme="minorEastAsia" w:hAnsi="Cambria Math" w:cstheme="minorBidi"/>
                        <w:color w:val="000000" w:themeColor="text1"/>
                        <w:sz w:val="22"/>
                        <w:szCs w:val="22"/>
                        <w:lang w:val="en-GB"/>
                      </w:rPr>
                      <m:t>A</m:t>
                    </m:r>
                  </m:e>
                  <m:sub>
                    <m:r>
                      <m:rPr>
                        <m:sty m:val="bi"/>
                      </m:rPr>
                      <w:rPr>
                        <w:rFonts w:ascii="Cambria Math" w:eastAsiaTheme="minorEastAsia" w:hAnsi="Cambria Math" w:cstheme="minorBidi"/>
                        <w:color w:val="000000" w:themeColor="text1"/>
                        <w:sz w:val="22"/>
                        <w:szCs w:val="22"/>
                        <w:lang w:val="en-GB"/>
                      </w:rPr>
                      <m:t>Displacement, BM</m:t>
                    </m:r>
                  </m:sub>
                </m:sSub>
                <m:r>
                  <m:rPr>
                    <m:sty m:val="bi"/>
                  </m:rPr>
                  <w:rPr>
                    <w:rFonts w:ascii="Cambria Math" w:eastAsiaTheme="minorEastAsia" w:hAnsi="Cambria Math" w:cstheme="minorBidi"/>
                    <w:color w:val="000000" w:themeColor="text1"/>
                    <w:sz w:val="22"/>
                    <w:szCs w:val="22"/>
                    <w:lang w:val="en-GB"/>
                  </w:rPr>
                  <m:t xml:space="preserve">= </m:t>
                </m:r>
                <m:sSub>
                  <m:sSubPr>
                    <m:ctrlPr>
                      <w:rPr>
                        <w:rFonts w:ascii="Cambria Math" w:eastAsiaTheme="minorEastAsia" w:hAnsi="Cambria Math" w:cstheme="minorBidi"/>
                        <w:b/>
                        <w:bCs/>
                        <w:i/>
                        <w:color w:val="000000" w:themeColor="text1"/>
                        <w:sz w:val="22"/>
                        <w:szCs w:val="22"/>
                        <w:lang w:val="en-GB"/>
                      </w:rPr>
                    </m:ctrlPr>
                  </m:sSubPr>
                  <m:e>
                    <m:r>
                      <m:rPr>
                        <m:sty m:val="bi"/>
                      </m:rPr>
                      <w:rPr>
                        <w:rFonts w:ascii="Cambria Math" w:eastAsiaTheme="minorEastAsia" w:hAnsi="Cambria Math" w:cstheme="minorBidi"/>
                        <w:color w:val="000000" w:themeColor="text1"/>
                        <w:sz w:val="22"/>
                        <w:szCs w:val="22"/>
                        <w:lang w:val="en-GB"/>
                      </w:rPr>
                      <m:t>E</m:t>
                    </m:r>
                  </m:e>
                  <m:sub>
                    <m:r>
                      <m:rPr>
                        <m:sty m:val="bi"/>
                      </m:rPr>
                      <w:rPr>
                        <w:rFonts w:ascii="Cambria Math" w:eastAsiaTheme="minorEastAsia" w:hAnsi="Cambria Math" w:cstheme="minorBidi"/>
                        <w:color w:val="000000" w:themeColor="text1"/>
                        <w:sz w:val="22"/>
                        <w:szCs w:val="22"/>
                        <w:lang w:val="en-GB"/>
                      </w:rPr>
                      <m:t>NatGas</m:t>
                    </m:r>
                  </m:sub>
                </m:sSub>
                <w:bookmarkEnd w:id="48"/>
                <m:r>
                  <m:rPr>
                    <m:sty m:val="bi"/>
                  </m:rPr>
                  <w:rPr>
                    <w:rFonts w:ascii="Cambria Math" w:eastAsiaTheme="minorEastAsia" w:hAnsi="Cambria Math" w:cstheme="minorBidi"/>
                    <w:color w:val="000000" w:themeColor="text1"/>
                    <w:sz w:val="22"/>
                    <w:szCs w:val="22"/>
                    <w:lang w:val="en-GB"/>
                  </w:rPr>
                  <m:t>×EA-</m:t>
                </m:r>
                <m:sSub>
                  <m:sSubPr>
                    <m:ctrlPr>
                      <w:rPr>
                        <w:rFonts w:ascii="Cambria Math" w:eastAsiaTheme="minorEastAsia" w:hAnsi="Cambria Math" w:cstheme="minorBidi"/>
                        <w:b/>
                        <w:bCs/>
                        <w:i/>
                        <w:color w:val="000000" w:themeColor="text1"/>
                        <w:sz w:val="22"/>
                        <w:szCs w:val="22"/>
                        <w:lang w:val="en-GB"/>
                      </w:rPr>
                    </m:ctrlPr>
                  </m:sSubPr>
                  <m:e>
                    <m:r>
                      <m:rPr>
                        <m:sty m:val="bi"/>
                      </m:rPr>
                      <w:rPr>
                        <w:rFonts w:ascii="Cambria Math" w:eastAsiaTheme="minorEastAsia" w:hAnsi="Cambria Math" w:cstheme="minorBidi"/>
                        <w:color w:val="000000" w:themeColor="text1"/>
                        <w:sz w:val="22"/>
                        <w:szCs w:val="22"/>
                        <w:lang w:val="en-GB"/>
                      </w:rPr>
                      <m:t>PE</m:t>
                    </m:r>
                  </m:e>
                  <m:sub>
                    <m:r>
                      <m:rPr>
                        <m:sty m:val="bi"/>
                      </m:rPr>
                      <w:rPr>
                        <w:rFonts w:ascii="Cambria Math" w:eastAsiaTheme="minorEastAsia" w:hAnsi="Cambria Math" w:cstheme="minorBidi"/>
                        <w:color w:val="000000" w:themeColor="text1"/>
                        <w:sz w:val="22"/>
                        <w:szCs w:val="22"/>
                        <w:lang w:val="en-GB"/>
                      </w:rPr>
                      <m:t>Displacement</m:t>
                    </m:r>
                  </m:sub>
                </m:sSub>
              </m:oMath>
            </m:oMathPara>
          </w:p>
        </w:tc>
      </w:tr>
      <w:tr w:rsidR="000B3D12" w:rsidRPr="002B2FAB" w14:paraId="01A58ADB" w14:textId="77777777" w:rsidTr="005048AF">
        <w:trPr>
          <w:trHeight w:val="487"/>
        </w:trPr>
        <w:tc>
          <w:tcPr>
            <w:tcW w:w="2354" w:type="dxa"/>
          </w:tcPr>
          <w:p w14:paraId="76084F97" w14:textId="4DD08BEA" w:rsidR="000B3D12" w:rsidRPr="00DF7E71" w:rsidRDefault="008C3745" w:rsidP="00986BF7">
            <w:pPr>
              <w:tabs>
                <w:tab w:val="left" w:pos="567"/>
              </w:tabs>
              <w:spacing w:before="240" w:after="240"/>
              <w:jc w:val="both"/>
              <w:rPr>
                <w:rFonts w:asciiTheme="minorHAnsi" w:eastAsiaTheme="minorEastAsia" w:hAnsiTheme="minorHAnsi" w:cstheme="minorBidi"/>
                <w:color w:val="000000" w:themeColor="text1"/>
                <w:sz w:val="22"/>
                <w:szCs w:val="22"/>
                <w:lang w:val="en-GB"/>
              </w:rPr>
            </w:pPr>
            <m:oMathPara>
              <m:oMathParaPr>
                <m:jc m:val="left"/>
              </m:oMathParaPr>
              <m:oMath>
                <m:sSub>
                  <m:sSubPr>
                    <m:ctrlPr>
                      <w:rPr>
                        <w:rFonts w:ascii="Cambria Math" w:eastAsiaTheme="minorEastAsia" w:hAnsi="Cambria Math" w:cstheme="minorBidi"/>
                        <w:b/>
                        <w:bCs/>
                        <w:i/>
                        <w:color w:val="000000" w:themeColor="text1"/>
                        <w:sz w:val="22"/>
                        <w:szCs w:val="22"/>
                        <w:lang w:val="en-GB"/>
                      </w:rPr>
                    </m:ctrlPr>
                  </m:sSubPr>
                  <m:e>
                    <m:r>
                      <m:rPr>
                        <m:sty m:val="bi"/>
                      </m:rPr>
                      <w:rPr>
                        <w:rFonts w:ascii="Cambria Math" w:eastAsiaTheme="minorEastAsia" w:hAnsi="Cambria Math" w:cstheme="minorBidi"/>
                        <w:color w:val="000000" w:themeColor="text1"/>
                        <w:sz w:val="22"/>
                        <w:szCs w:val="22"/>
                        <w:lang w:val="en-GB"/>
                      </w:rPr>
                      <m:t>A</m:t>
                    </m:r>
                  </m:e>
                  <m:sub>
                    <m:r>
                      <m:rPr>
                        <m:sty m:val="bi"/>
                      </m:rPr>
                      <w:rPr>
                        <w:rFonts w:ascii="Cambria Math" w:eastAsiaTheme="minorEastAsia" w:hAnsi="Cambria Math" w:cstheme="minorBidi"/>
                        <w:color w:val="000000" w:themeColor="text1"/>
                        <w:sz w:val="22"/>
                        <w:szCs w:val="22"/>
                        <w:lang w:val="en-GB"/>
                      </w:rPr>
                      <m:t xml:space="preserve">Displacement, </m:t>
                    </m:r>
                    <m:r>
                      <m:rPr>
                        <m:sty m:val="bi"/>
                      </m:rPr>
                      <w:rPr>
                        <w:rFonts w:ascii="Cambria Math" w:eastAsiaTheme="minorEastAsia" w:hAnsi="Cambria Math" w:cstheme="minorBidi"/>
                        <w:color w:val="000000" w:themeColor="text1"/>
                        <w:szCs w:val="22"/>
                        <w:lang w:val="en-GB"/>
                      </w:rPr>
                      <m:t>BM</m:t>
                    </m:r>
                  </m:sub>
                </m:sSub>
              </m:oMath>
            </m:oMathPara>
          </w:p>
        </w:tc>
        <w:tc>
          <w:tcPr>
            <w:tcW w:w="6662" w:type="dxa"/>
          </w:tcPr>
          <w:p w14:paraId="37E25A0E" w14:textId="123EC238" w:rsidR="000B3D12" w:rsidRPr="002B2FAB" w:rsidRDefault="009A5FC2" w:rsidP="00986BF7">
            <w:pPr>
              <w:tabs>
                <w:tab w:val="left" w:pos="567"/>
              </w:tabs>
              <w:spacing w:before="240" w:after="240"/>
              <w:jc w:val="both"/>
              <w:rPr>
                <w:rFonts w:asciiTheme="minorHAnsi" w:eastAsiaTheme="minorEastAsia" w:hAnsiTheme="minorHAnsi" w:cstheme="minorBidi"/>
                <w:color w:val="000000" w:themeColor="text1"/>
                <w:sz w:val="22"/>
                <w:szCs w:val="22"/>
                <w:lang w:val="en-GB"/>
              </w:rPr>
            </w:pPr>
            <w:r w:rsidRPr="00C74B8B">
              <w:rPr>
                <w:rFonts w:asciiTheme="minorHAnsi" w:eastAsiaTheme="minorHAnsi" w:hAnsiTheme="minorHAnsi" w:cstheme="minorHAnsi"/>
                <w:color w:val="auto"/>
                <w:sz w:val="22"/>
                <w:szCs w:val="22"/>
                <w:lang w:val="en-GB"/>
              </w:rPr>
              <w:t>N</w:t>
            </w:r>
            <w:r w:rsidR="00D90449" w:rsidRPr="00C74B8B">
              <w:rPr>
                <w:rFonts w:asciiTheme="minorHAnsi" w:eastAsiaTheme="minorHAnsi" w:hAnsiTheme="minorHAnsi" w:cstheme="minorHAnsi"/>
                <w:color w:val="auto"/>
                <w:sz w:val="22"/>
                <w:szCs w:val="22"/>
                <w:lang w:val="en-GB"/>
              </w:rPr>
              <w:t>et displacement abatement,</w:t>
            </w:r>
            <w:r w:rsidR="000B3D12" w:rsidRPr="00C74B8B">
              <w:rPr>
                <w:rFonts w:asciiTheme="minorHAnsi" w:eastAsiaTheme="minorHAnsi" w:hAnsiTheme="minorHAnsi" w:cstheme="minorHAnsi"/>
                <w:color w:val="auto"/>
                <w:sz w:val="22"/>
                <w:szCs w:val="22"/>
                <w:lang w:val="en-GB"/>
              </w:rPr>
              <w:t xml:space="preserve"> in tonnes CO</w:t>
            </w:r>
            <w:r w:rsidR="000B3D12" w:rsidRPr="00C74B8B">
              <w:rPr>
                <w:rFonts w:asciiTheme="minorHAnsi" w:eastAsiaTheme="minorHAnsi" w:hAnsiTheme="minorHAnsi" w:cstheme="minorHAnsi"/>
                <w:color w:val="auto"/>
                <w:sz w:val="22"/>
                <w:szCs w:val="22"/>
                <w:vertAlign w:val="subscript"/>
                <w:lang w:val="en-GB"/>
              </w:rPr>
              <w:t>2</w:t>
            </w:r>
            <w:r w:rsidR="00D90449" w:rsidRPr="00C74B8B">
              <w:rPr>
                <w:rFonts w:asciiTheme="minorHAnsi" w:eastAsiaTheme="minorHAnsi" w:hAnsiTheme="minorHAnsi" w:cstheme="minorHAnsi"/>
                <w:color w:val="auto"/>
                <w:sz w:val="22"/>
                <w:szCs w:val="22"/>
                <w:lang w:val="en-GB"/>
              </w:rPr>
              <w:t>-</w:t>
            </w:r>
            <w:r w:rsidR="000B3D12" w:rsidRPr="00C74B8B">
              <w:rPr>
                <w:rFonts w:asciiTheme="minorHAnsi" w:eastAsiaTheme="minorHAnsi" w:hAnsiTheme="minorHAnsi" w:cstheme="minorHAnsi"/>
                <w:color w:val="auto"/>
                <w:sz w:val="22"/>
                <w:szCs w:val="22"/>
                <w:lang w:val="en-GB"/>
              </w:rPr>
              <w:t>e</w:t>
            </w:r>
            <w:r w:rsidR="00D90449" w:rsidRPr="00C74B8B">
              <w:rPr>
                <w:rFonts w:asciiTheme="minorHAnsi" w:eastAsiaTheme="minorHAnsi" w:hAnsiTheme="minorHAnsi" w:cstheme="minorHAnsi"/>
                <w:color w:val="auto"/>
                <w:sz w:val="22"/>
                <w:szCs w:val="22"/>
                <w:lang w:val="en-GB"/>
              </w:rPr>
              <w:t>.</w:t>
            </w:r>
          </w:p>
        </w:tc>
      </w:tr>
      <w:tr w:rsidR="000B3D12" w:rsidRPr="002B2FAB" w14:paraId="56DCA121" w14:textId="77777777" w:rsidTr="005048AF">
        <w:trPr>
          <w:trHeight w:val="486"/>
        </w:trPr>
        <w:tc>
          <w:tcPr>
            <w:tcW w:w="2354" w:type="dxa"/>
          </w:tcPr>
          <w:p w14:paraId="46CC96C6" w14:textId="0CAD9BB7" w:rsidR="000B3D12" w:rsidRPr="00DF7E71" w:rsidRDefault="008C3745" w:rsidP="00986BF7">
            <w:pPr>
              <w:tabs>
                <w:tab w:val="left" w:pos="567"/>
              </w:tabs>
              <w:spacing w:before="240" w:after="240"/>
              <w:jc w:val="both"/>
              <w:rPr>
                <w:rFonts w:asciiTheme="minorHAnsi" w:eastAsiaTheme="minorEastAsia" w:hAnsiTheme="minorHAnsi" w:cstheme="minorBidi"/>
                <w:color w:val="000000" w:themeColor="text1"/>
                <w:sz w:val="22"/>
                <w:szCs w:val="22"/>
                <w:lang w:val="en-GB"/>
              </w:rPr>
            </w:pPr>
            <m:oMathPara>
              <m:oMathParaPr>
                <m:jc m:val="left"/>
              </m:oMathParaPr>
              <m:oMath>
                <m:sSub>
                  <m:sSubPr>
                    <m:ctrlPr>
                      <w:rPr>
                        <w:rFonts w:ascii="Cambria Math" w:eastAsiaTheme="minorEastAsia" w:hAnsi="Cambria Math" w:cstheme="minorBidi"/>
                        <w:b/>
                        <w:bCs/>
                        <w:i/>
                        <w:color w:val="000000" w:themeColor="text1"/>
                        <w:sz w:val="22"/>
                        <w:szCs w:val="22"/>
                        <w:lang w:val="en-GB"/>
                      </w:rPr>
                    </m:ctrlPr>
                  </m:sSubPr>
                  <m:e>
                    <m:r>
                      <m:rPr>
                        <m:sty m:val="bi"/>
                      </m:rPr>
                      <w:rPr>
                        <w:rFonts w:ascii="Cambria Math" w:eastAsiaTheme="minorEastAsia" w:hAnsi="Cambria Math" w:cstheme="minorBidi"/>
                        <w:color w:val="000000" w:themeColor="text1"/>
                        <w:sz w:val="22"/>
                        <w:szCs w:val="22"/>
                        <w:lang w:val="en-GB"/>
                      </w:rPr>
                      <m:t>E</m:t>
                    </m:r>
                  </m:e>
                  <m:sub>
                    <m:r>
                      <m:rPr>
                        <m:sty m:val="bi"/>
                      </m:rPr>
                      <w:rPr>
                        <w:rFonts w:ascii="Cambria Math" w:eastAsiaTheme="minorEastAsia" w:hAnsi="Cambria Math" w:cstheme="minorBidi"/>
                        <w:color w:val="000000" w:themeColor="text1"/>
                        <w:sz w:val="22"/>
                        <w:szCs w:val="22"/>
                        <w:lang w:val="en-GB"/>
                      </w:rPr>
                      <m:t>NatGas</m:t>
                    </m:r>
                  </m:sub>
                </m:sSub>
              </m:oMath>
            </m:oMathPara>
          </w:p>
        </w:tc>
        <w:tc>
          <w:tcPr>
            <w:tcW w:w="6662" w:type="dxa"/>
            <w:vAlign w:val="center"/>
          </w:tcPr>
          <w:p w14:paraId="6F903196" w14:textId="5E2EAA2C" w:rsidR="000B3D12" w:rsidRPr="002B2FAB" w:rsidRDefault="0061040C" w:rsidP="00D44528">
            <w:pPr>
              <w:spacing w:before="120" w:after="120"/>
              <w:rPr>
                <w:rFonts w:cstheme="minorHAnsi"/>
                <w:sz w:val="22"/>
                <w:szCs w:val="22"/>
              </w:rPr>
            </w:pPr>
            <w:r w:rsidRPr="00C74B8B">
              <w:rPr>
                <w:rFonts w:cstheme="minorHAnsi"/>
                <w:sz w:val="22"/>
                <w:szCs w:val="22"/>
              </w:rPr>
              <w:t>T</w:t>
            </w:r>
            <w:r w:rsidR="00D90449" w:rsidRPr="00C74B8B">
              <w:rPr>
                <w:rFonts w:cstheme="minorHAnsi"/>
                <w:sz w:val="22"/>
                <w:szCs w:val="22"/>
              </w:rPr>
              <w:t xml:space="preserve">he </w:t>
            </w:r>
            <w:r w:rsidR="009F7E41" w:rsidRPr="00C74B8B">
              <w:rPr>
                <w:rFonts w:cstheme="minorHAnsi"/>
                <w:sz w:val="22"/>
                <w:szCs w:val="22"/>
              </w:rPr>
              <w:t xml:space="preserve">combustion </w:t>
            </w:r>
            <w:r w:rsidR="00D90449" w:rsidRPr="00C74B8B">
              <w:rPr>
                <w:rFonts w:cstheme="minorHAnsi"/>
                <w:sz w:val="22"/>
                <w:szCs w:val="22"/>
              </w:rPr>
              <w:t>emissions</w:t>
            </w:r>
            <w:r w:rsidR="009F7E41" w:rsidRPr="00C74B8B">
              <w:rPr>
                <w:rFonts w:cstheme="minorHAnsi"/>
                <w:sz w:val="22"/>
                <w:szCs w:val="22"/>
              </w:rPr>
              <w:t>,</w:t>
            </w:r>
            <w:r w:rsidR="009F7E41" w:rsidRPr="00C74B8B">
              <w:rPr>
                <w:rFonts w:asciiTheme="minorHAnsi" w:eastAsiaTheme="minorHAnsi" w:hAnsiTheme="minorHAnsi" w:cstheme="minorHAnsi"/>
                <w:color w:val="auto"/>
                <w:sz w:val="22"/>
                <w:szCs w:val="22"/>
                <w:lang w:val="en-GB"/>
              </w:rPr>
              <w:t xml:space="preserve"> in tonnes CO</w:t>
            </w:r>
            <w:r w:rsidR="009F7E41" w:rsidRPr="00C74B8B">
              <w:rPr>
                <w:rFonts w:asciiTheme="minorHAnsi" w:eastAsiaTheme="minorHAnsi" w:hAnsiTheme="minorHAnsi" w:cstheme="minorHAnsi"/>
                <w:color w:val="auto"/>
                <w:sz w:val="22"/>
                <w:szCs w:val="22"/>
                <w:vertAlign w:val="subscript"/>
                <w:lang w:val="en-GB"/>
              </w:rPr>
              <w:t>2</w:t>
            </w:r>
            <w:r w:rsidR="009F7E41" w:rsidRPr="00C74B8B">
              <w:rPr>
                <w:rFonts w:asciiTheme="minorHAnsi" w:eastAsiaTheme="minorHAnsi" w:hAnsiTheme="minorHAnsi" w:cstheme="minorHAnsi"/>
                <w:color w:val="auto"/>
                <w:sz w:val="22"/>
                <w:szCs w:val="22"/>
                <w:lang w:val="en-GB"/>
              </w:rPr>
              <w:t xml:space="preserve">-e, </w:t>
            </w:r>
            <w:r w:rsidR="009F7E41" w:rsidRPr="00C74B8B">
              <w:rPr>
                <w:rFonts w:cstheme="minorHAnsi"/>
                <w:sz w:val="22"/>
                <w:szCs w:val="22"/>
              </w:rPr>
              <w:t xml:space="preserve">from a volume of natural gas equivalent to the volume of biomethane </w:t>
            </w:r>
            <w:r w:rsidR="00DF7E71">
              <w:rPr>
                <w:rFonts w:cstheme="minorHAnsi"/>
                <w:sz w:val="22"/>
                <w:szCs w:val="22"/>
              </w:rPr>
              <w:t>produced by the project</w:t>
            </w:r>
            <w:r w:rsidR="009F7E41" w:rsidRPr="00C74B8B">
              <w:rPr>
                <w:rFonts w:cstheme="minorHAnsi"/>
                <w:sz w:val="22"/>
                <w:szCs w:val="22"/>
              </w:rPr>
              <w:t>.</w:t>
            </w:r>
          </w:p>
          <w:p w14:paraId="76D54FFE" w14:textId="2ED8C7FF" w:rsidR="009F7E41" w:rsidRPr="002B2FAB" w:rsidRDefault="009F7E41" w:rsidP="00D44528">
            <w:pPr>
              <w:spacing w:before="120" w:after="120"/>
              <w:rPr>
                <w:rFonts w:cstheme="minorHAnsi"/>
                <w:sz w:val="22"/>
                <w:szCs w:val="22"/>
              </w:rPr>
            </w:pPr>
            <w:r w:rsidRPr="00C74B8B">
              <w:rPr>
                <w:rFonts w:cstheme="minorHAnsi"/>
                <w:sz w:val="22"/>
                <w:szCs w:val="22"/>
              </w:rPr>
              <w:t xml:space="preserve">This value represents the emissions avoided through </w:t>
            </w:r>
            <w:r w:rsidR="0031662F">
              <w:rPr>
                <w:rFonts w:cstheme="minorHAnsi"/>
                <w:sz w:val="22"/>
                <w:szCs w:val="22"/>
              </w:rPr>
              <w:t xml:space="preserve">the </w:t>
            </w:r>
            <w:r w:rsidRPr="00C74B8B">
              <w:rPr>
                <w:rFonts w:cstheme="minorHAnsi"/>
                <w:sz w:val="22"/>
                <w:szCs w:val="22"/>
              </w:rPr>
              <w:t>displacement of natural gas</w:t>
            </w:r>
            <w:r w:rsidR="005052AB" w:rsidRPr="00C74B8B">
              <w:rPr>
                <w:rFonts w:cstheme="minorHAnsi"/>
                <w:sz w:val="22"/>
                <w:szCs w:val="22"/>
              </w:rPr>
              <w:t xml:space="preserve"> by biomethane. It</w:t>
            </w:r>
            <w:r w:rsidRPr="00C74B8B">
              <w:rPr>
                <w:rFonts w:cstheme="minorHAnsi"/>
                <w:sz w:val="22"/>
                <w:szCs w:val="22"/>
              </w:rPr>
              <w:t xml:space="preserve"> is determined by </w:t>
            </w:r>
            <w:r w:rsidR="005052AB" w:rsidRPr="00C74B8B">
              <w:rPr>
                <w:rFonts w:cstheme="minorHAnsi"/>
                <w:sz w:val="22"/>
                <w:szCs w:val="22"/>
              </w:rPr>
              <w:t xml:space="preserve">multiplying the volume of natural gas displaced </w:t>
            </w:r>
            <w:r w:rsidR="00DF7E71">
              <w:rPr>
                <w:rFonts w:cstheme="minorHAnsi"/>
                <w:sz w:val="22"/>
                <w:szCs w:val="22"/>
              </w:rPr>
              <w:t>(that is, the volume of biomethane produced and sent for combustion)</w:t>
            </w:r>
            <w:r w:rsidR="005052AB" w:rsidRPr="00C74B8B">
              <w:rPr>
                <w:rFonts w:cstheme="minorHAnsi"/>
                <w:sz w:val="22"/>
                <w:szCs w:val="22"/>
              </w:rPr>
              <w:t xml:space="preserve"> by the</w:t>
            </w:r>
            <w:r w:rsidR="009A5FC2" w:rsidRPr="00C74B8B">
              <w:rPr>
                <w:rFonts w:cstheme="minorHAnsi"/>
                <w:sz w:val="22"/>
                <w:szCs w:val="22"/>
              </w:rPr>
              <w:t xml:space="preserve"> National Greenhous</w:t>
            </w:r>
            <w:r w:rsidR="00A52BFC" w:rsidRPr="00C74B8B">
              <w:rPr>
                <w:rFonts w:cstheme="minorHAnsi"/>
                <w:sz w:val="22"/>
                <w:szCs w:val="22"/>
              </w:rPr>
              <w:t>e</w:t>
            </w:r>
            <w:r w:rsidR="009A5FC2" w:rsidRPr="00C74B8B">
              <w:rPr>
                <w:rFonts w:cstheme="minorHAnsi"/>
                <w:sz w:val="22"/>
                <w:szCs w:val="22"/>
              </w:rPr>
              <w:t xml:space="preserve"> and Energy Reporting (</w:t>
            </w:r>
            <w:r w:rsidR="005052AB" w:rsidRPr="00C74B8B">
              <w:rPr>
                <w:rFonts w:cstheme="minorHAnsi"/>
                <w:sz w:val="22"/>
                <w:szCs w:val="22"/>
              </w:rPr>
              <w:t>NGER</w:t>
            </w:r>
            <w:r w:rsidR="009A5FC2" w:rsidRPr="00C74B8B">
              <w:rPr>
                <w:rFonts w:cstheme="minorHAnsi"/>
                <w:sz w:val="22"/>
                <w:szCs w:val="22"/>
              </w:rPr>
              <w:t>)</w:t>
            </w:r>
            <w:r w:rsidR="005052AB" w:rsidRPr="00C74B8B">
              <w:rPr>
                <w:rFonts w:cstheme="minorHAnsi"/>
                <w:sz w:val="22"/>
                <w:szCs w:val="22"/>
              </w:rPr>
              <w:t xml:space="preserve"> </w:t>
            </w:r>
            <w:r w:rsidR="0061040C" w:rsidRPr="00C74B8B">
              <w:rPr>
                <w:rFonts w:cstheme="minorHAnsi"/>
                <w:sz w:val="22"/>
                <w:szCs w:val="22"/>
              </w:rPr>
              <w:t>emissions factor for natural gas in a pipeline</w:t>
            </w:r>
            <w:r w:rsidR="00DF7E71" w:rsidRPr="00EA250D">
              <w:rPr>
                <w:rFonts w:cstheme="minorHAnsi"/>
                <w:szCs w:val="22"/>
                <w:vertAlign w:val="superscript"/>
              </w:rPr>
              <w:fldChar w:fldCharType="begin"/>
            </w:r>
            <w:r w:rsidR="00DF7E71" w:rsidRPr="005048AF">
              <w:rPr>
                <w:rFonts w:cstheme="minorHAnsi"/>
                <w:szCs w:val="22"/>
                <w:vertAlign w:val="superscript"/>
              </w:rPr>
              <w:instrText xml:space="preserve"> NOTEREF _Ref84958791 \h </w:instrText>
            </w:r>
            <w:r w:rsidR="00DF7E71">
              <w:rPr>
                <w:rFonts w:cstheme="minorHAnsi"/>
                <w:sz w:val="22"/>
                <w:szCs w:val="22"/>
                <w:vertAlign w:val="superscript"/>
              </w:rPr>
              <w:instrText xml:space="preserve"> \* MERGEFORMAT </w:instrText>
            </w:r>
            <w:r w:rsidR="00DF7E71" w:rsidRPr="00EA250D">
              <w:rPr>
                <w:rFonts w:cstheme="minorHAnsi"/>
                <w:szCs w:val="22"/>
                <w:vertAlign w:val="superscript"/>
              </w:rPr>
            </w:r>
            <w:r w:rsidR="00DF7E71" w:rsidRPr="00EA250D">
              <w:rPr>
                <w:rFonts w:cstheme="minorHAnsi"/>
                <w:szCs w:val="22"/>
                <w:vertAlign w:val="superscript"/>
              </w:rPr>
              <w:fldChar w:fldCharType="separate"/>
            </w:r>
            <w:r w:rsidR="00DF7E71" w:rsidRPr="00EA250D">
              <w:rPr>
                <w:rFonts w:cstheme="minorHAnsi"/>
                <w:szCs w:val="22"/>
                <w:vertAlign w:val="superscript"/>
              </w:rPr>
              <w:t>5</w:t>
            </w:r>
            <w:r w:rsidR="00DF7E71" w:rsidRPr="00EA250D">
              <w:rPr>
                <w:rFonts w:cstheme="minorHAnsi"/>
                <w:szCs w:val="22"/>
                <w:vertAlign w:val="superscript"/>
              </w:rPr>
              <w:fldChar w:fldCharType="end"/>
            </w:r>
            <w:r w:rsidR="0061040C" w:rsidRPr="00C74B8B">
              <w:rPr>
                <w:rFonts w:cstheme="minorHAnsi"/>
                <w:sz w:val="22"/>
                <w:szCs w:val="22"/>
              </w:rPr>
              <w:t>.</w:t>
            </w:r>
          </w:p>
          <w:p w14:paraId="31C11202" w14:textId="254E7D96" w:rsidR="00302CF0" w:rsidRPr="002B2FAB" w:rsidRDefault="00302CF0" w:rsidP="00D44528">
            <w:pPr>
              <w:spacing w:before="120" w:after="120"/>
              <w:rPr>
                <w:rFonts w:asciiTheme="minorHAnsi" w:eastAsiaTheme="minorHAnsi" w:hAnsiTheme="minorHAnsi" w:cstheme="minorHAnsi"/>
                <w:color w:val="auto"/>
                <w:sz w:val="22"/>
                <w:szCs w:val="22"/>
                <w:lang w:val="en-GB"/>
              </w:rPr>
            </w:pPr>
            <w:r w:rsidRPr="00C74B8B">
              <w:rPr>
                <w:rFonts w:cstheme="minorHAnsi"/>
                <w:sz w:val="22"/>
                <w:szCs w:val="22"/>
              </w:rPr>
              <w:t xml:space="preserve">If a project </w:t>
            </w:r>
            <w:r w:rsidR="00826850" w:rsidRPr="00C74B8B">
              <w:rPr>
                <w:rFonts w:cstheme="minorHAnsi"/>
                <w:sz w:val="22"/>
                <w:szCs w:val="22"/>
              </w:rPr>
              <w:t>uses</w:t>
            </w:r>
            <w:r w:rsidRPr="00C74B8B">
              <w:rPr>
                <w:rFonts w:cstheme="minorHAnsi"/>
                <w:sz w:val="22"/>
                <w:szCs w:val="22"/>
              </w:rPr>
              <w:t xml:space="preserve"> some biomethane on-site for heat or power, </w:t>
            </w:r>
            <w:r w:rsidR="00114EAD" w:rsidRPr="00C74B8B">
              <w:rPr>
                <w:rFonts w:cstheme="minorHAnsi"/>
                <w:sz w:val="22"/>
                <w:szCs w:val="22"/>
              </w:rPr>
              <w:t xml:space="preserve">the quantity of biomethane used </w:t>
            </w:r>
            <w:r w:rsidR="0031662F">
              <w:rPr>
                <w:rFonts w:cstheme="minorHAnsi"/>
                <w:sz w:val="22"/>
                <w:szCs w:val="22"/>
              </w:rPr>
              <w:t xml:space="preserve">to </w:t>
            </w:r>
            <w:r w:rsidR="00114EAD" w:rsidRPr="00C74B8B">
              <w:rPr>
                <w:rFonts w:cstheme="minorHAnsi"/>
                <w:sz w:val="22"/>
                <w:szCs w:val="22"/>
              </w:rPr>
              <w:t>displac</w:t>
            </w:r>
            <w:r w:rsidR="0031662F">
              <w:rPr>
                <w:rFonts w:cstheme="minorHAnsi"/>
                <w:sz w:val="22"/>
                <w:szCs w:val="22"/>
              </w:rPr>
              <w:t xml:space="preserve">e the quantity of commercial natural </w:t>
            </w:r>
            <w:r w:rsidR="00826850" w:rsidRPr="00C74B8B">
              <w:rPr>
                <w:rFonts w:cstheme="minorHAnsi"/>
                <w:sz w:val="22"/>
                <w:szCs w:val="22"/>
              </w:rPr>
              <w:t xml:space="preserve">gas </w:t>
            </w:r>
            <w:r w:rsidR="0031662F">
              <w:rPr>
                <w:rFonts w:cstheme="minorHAnsi"/>
                <w:sz w:val="22"/>
                <w:szCs w:val="22"/>
              </w:rPr>
              <w:t xml:space="preserve">consumed from the grid </w:t>
            </w:r>
            <w:r w:rsidR="009A5FC2" w:rsidRPr="00C74B8B">
              <w:rPr>
                <w:rFonts w:cstheme="minorHAnsi"/>
                <w:sz w:val="22"/>
                <w:szCs w:val="22"/>
              </w:rPr>
              <w:t>can also be credited</w:t>
            </w:r>
            <w:r w:rsidR="00114EAD" w:rsidRPr="00C74B8B">
              <w:rPr>
                <w:rFonts w:cstheme="minorHAnsi"/>
                <w:sz w:val="22"/>
                <w:szCs w:val="22"/>
              </w:rPr>
              <w:t>.</w:t>
            </w:r>
            <w:r w:rsidR="00826850" w:rsidRPr="00C74B8B">
              <w:rPr>
                <w:rFonts w:cstheme="minorHAnsi"/>
                <w:sz w:val="22"/>
                <w:szCs w:val="22"/>
              </w:rPr>
              <w:t xml:space="preserve"> </w:t>
            </w:r>
          </w:p>
        </w:tc>
      </w:tr>
      <w:tr w:rsidR="004A46A4" w:rsidRPr="00D44528" w14:paraId="24EC78B6" w14:textId="77777777" w:rsidTr="005048AF">
        <w:trPr>
          <w:trHeight w:val="486"/>
        </w:trPr>
        <w:tc>
          <w:tcPr>
            <w:tcW w:w="2354" w:type="dxa"/>
          </w:tcPr>
          <w:p w14:paraId="5D0FC531" w14:textId="40C1619C" w:rsidR="004A46A4" w:rsidRPr="004A46A4" w:rsidRDefault="00052FE9" w:rsidP="00DF7E71">
            <w:pPr>
              <w:tabs>
                <w:tab w:val="left" w:pos="567"/>
              </w:tabs>
              <w:spacing w:before="240" w:after="240"/>
              <w:jc w:val="both"/>
              <w:rPr>
                <w:b/>
                <w:bCs/>
                <w:color w:val="000000" w:themeColor="text1"/>
                <w:szCs w:val="22"/>
                <w:lang w:val="en-GB"/>
              </w:rPr>
            </w:pPr>
            <m:oMathPara>
              <m:oMathParaPr>
                <m:jc m:val="left"/>
              </m:oMathParaPr>
              <m:oMath>
                <m:r>
                  <m:rPr>
                    <m:sty m:val="bi"/>
                  </m:rPr>
                  <w:rPr>
                    <w:rFonts w:ascii="Cambria Math" w:eastAsiaTheme="minorEastAsia" w:hAnsi="Cambria Math" w:cstheme="minorBidi"/>
                    <w:color w:val="000000" w:themeColor="text1"/>
                    <w:sz w:val="22"/>
                    <w:szCs w:val="22"/>
                    <w:lang w:val="en-GB"/>
                  </w:rPr>
                  <m:t>EA</m:t>
                </m:r>
              </m:oMath>
            </m:oMathPara>
          </w:p>
        </w:tc>
        <w:tc>
          <w:tcPr>
            <w:tcW w:w="6662" w:type="dxa"/>
            <w:vAlign w:val="center"/>
          </w:tcPr>
          <w:p w14:paraId="4434A94F" w14:textId="77777777" w:rsidR="004A46A4" w:rsidRPr="00D44528" w:rsidRDefault="00642600" w:rsidP="00D44528">
            <w:pPr>
              <w:spacing w:before="120" w:after="120"/>
              <w:rPr>
                <w:rFonts w:cstheme="minorHAnsi"/>
                <w:sz w:val="22"/>
                <w:szCs w:val="22"/>
              </w:rPr>
            </w:pPr>
            <w:r w:rsidRPr="00D44528">
              <w:rPr>
                <w:rFonts w:cstheme="minorHAnsi"/>
                <w:sz w:val="22"/>
                <w:szCs w:val="22"/>
              </w:rPr>
              <w:t xml:space="preserve">The eligible abatement fraction, representing the proportion of biogas upgraded into biomethane that is </w:t>
            </w:r>
            <w:r w:rsidRPr="00D44528">
              <w:rPr>
                <w:rFonts w:cstheme="minorHAnsi"/>
                <w:i/>
                <w:sz w:val="22"/>
                <w:szCs w:val="22"/>
              </w:rPr>
              <w:t>eligible biogas</w:t>
            </w:r>
            <w:r w:rsidRPr="00D44528">
              <w:rPr>
                <w:rFonts w:cstheme="minorHAnsi"/>
                <w:sz w:val="22"/>
                <w:szCs w:val="22"/>
              </w:rPr>
              <w:t>.</w:t>
            </w:r>
          </w:p>
          <w:p w14:paraId="10E67263" w14:textId="29AE6346" w:rsidR="00642600" w:rsidRPr="00D44528" w:rsidRDefault="00642600" w:rsidP="00D44528">
            <w:pPr>
              <w:spacing w:before="120" w:after="120"/>
              <w:rPr>
                <w:rFonts w:cstheme="minorHAnsi"/>
                <w:sz w:val="22"/>
                <w:szCs w:val="22"/>
              </w:rPr>
            </w:pPr>
            <w:r w:rsidRPr="00D44528">
              <w:rPr>
                <w:rFonts w:cstheme="minorHAnsi"/>
                <w:sz w:val="22"/>
                <w:szCs w:val="22"/>
              </w:rPr>
              <w:t xml:space="preserve">The </w:t>
            </w:r>
            <w:r w:rsidR="003E33DE" w:rsidRPr="00D44528">
              <w:rPr>
                <w:rFonts w:cstheme="minorHAnsi"/>
                <w:sz w:val="22"/>
                <w:szCs w:val="22"/>
              </w:rPr>
              <w:t xml:space="preserve">proposed </w:t>
            </w:r>
            <w:r w:rsidRPr="00D44528">
              <w:rPr>
                <w:rFonts w:cstheme="minorHAnsi"/>
                <w:sz w:val="22"/>
                <w:szCs w:val="22"/>
              </w:rPr>
              <w:t xml:space="preserve">biomethane method package allows for an ERF project biogas upgrading system to accept biogas from sources besides biogas directly produced by the project. This measure is to help biomethane production facilities gain greater economies of scale by allowing the processing of biogas from a broader range of sources. </w:t>
            </w:r>
          </w:p>
          <w:p w14:paraId="537C9D97" w14:textId="2D5A2A0A" w:rsidR="00642600" w:rsidRPr="00D44528" w:rsidRDefault="00642600" w:rsidP="00D44528">
            <w:pPr>
              <w:spacing w:before="120" w:after="120"/>
              <w:rPr>
                <w:rFonts w:cstheme="minorHAnsi"/>
                <w:sz w:val="22"/>
                <w:szCs w:val="22"/>
              </w:rPr>
            </w:pPr>
            <w:r w:rsidRPr="00D44528">
              <w:rPr>
                <w:rFonts w:cstheme="minorHAnsi"/>
                <w:sz w:val="22"/>
                <w:szCs w:val="22"/>
              </w:rPr>
              <w:t xml:space="preserve">Suppliers of biogas to a project biomethane facility do not have to have ERF projects. However, for biogas to be eligible biogas it must have been produced from treatment of waste that is deemed eligible waste under one of the </w:t>
            </w:r>
            <w:r w:rsidR="00632306">
              <w:rPr>
                <w:rFonts w:cstheme="minorHAnsi"/>
                <w:sz w:val="22"/>
                <w:szCs w:val="22"/>
              </w:rPr>
              <w:t>3</w:t>
            </w:r>
            <w:r w:rsidRPr="00D44528">
              <w:rPr>
                <w:rFonts w:cstheme="minorHAnsi"/>
                <w:sz w:val="22"/>
                <w:szCs w:val="22"/>
              </w:rPr>
              <w:t xml:space="preserve"> waste methods in the </w:t>
            </w:r>
            <w:r w:rsidR="003E33DE" w:rsidRPr="00D44528">
              <w:rPr>
                <w:rFonts w:cstheme="minorHAnsi"/>
                <w:sz w:val="22"/>
                <w:szCs w:val="22"/>
              </w:rPr>
              <w:t xml:space="preserve">proposed </w:t>
            </w:r>
            <w:r w:rsidRPr="00D44528">
              <w:rPr>
                <w:rFonts w:cstheme="minorHAnsi"/>
                <w:sz w:val="22"/>
                <w:szCs w:val="22"/>
              </w:rPr>
              <w:t>biomethane method package</w:t>
            </w:r>
            <w:r w:rsidR="002337E4" w:rsidRPr="00D44528">
              <w:rPr>
                <w:rStyle w:val="FootnoteReference"/>
                <w:rFonts w:cstheme="minorHAnsi"/>
                <w:sz w:val="22"/>
                <w:szCs w:val="22"/>
              </w:rPr>
              <w:footnoteReference w:id="14"/>
            </w:r>
            <w:r w:rsidRPr="00D44528">
              <w:rPr>
                <w:rFonts w:cstheme="minorHAnsi"/>
                <w:sz w:val="22"/>
                <w:szCs w:val="22"/>
              </w:rPr>
              <w:t>.</w:t>
            </w:r>
          </w:p>
          <w:p w14:paraId="70EA0DFC" w14:textId="77777777" w:rsidR="003E33DE" w:rsidRPr="00D44528" w:rsidRDefault="00152C63" w:rsidP="00D44528">
            <w:pPr>
              <w:spacing w:before="120" w:after="120"/>
              <w:rPr>
                <w:rFonts w:cstheme="minorHAnsi"/>
                <w:sz w:val="22"/>
                <w:szCs w:val="22"/>
              </w:rPr>
            </w:pPr>
            <w:r w:rsidRPr="00D44528">
              <w:rPr>
                <w:rFonts w:cstheme="minorHAnsi"/>
                <w:sz w:val="22"/>
                <w:szCs w:val="22"/>
              </w:rPr>
              <w:t xml:space="preserve">For each biogas source, the project proponent must estimate the fraction of biogas supplied for biogas upgrading that is eligible biogas. </w:t>
            </w:r>
          </w:p>
          <w:p w14:paraId="410CD8F8" w14:textId="3F170365" w:rsidR="00642600" w:rsidRPr="00D44528" w:rsidRDefault="00152C63" w:rsidP="00D44528">
            <w:pPr>
              <w:spacing w:before="120" w:after="120"/>
              <w:rPr>
                <w:rFonts w:cstheme="minorHAnsi"/>
                <w:sz w:val="22"/>
                <w:szCs w:val="22"/>
              </w:rPr>
            </w:pPr>
            <w:r w:rsidRPr="00D44528">
              <w:rPr>
                <w:rFonts w:cstheme="minorHAnsi"/>
                <w:sz w:val="22"/>
                <w:szCs w:val="22"/>
              </w:rPr>
              <w:t>Evidence must be provided to the Clean Energy Regulator about how this fraction is determined. If all biogas is sourced from an ERF project that only treats eligible waste, the eligi</w:t>
            </w:r>
            <w:r w:rsidR="002337E4" w:rsidRPr="00D44528">
              <w:rPr>
                <w:rFonts w:cstheme="minorHAnsi"/>
                <w:sz w:val="22"/>
                <w:szCs w:val="22"/>
              </w:rPr>
              <w:t>ble abatement fraction will be 1</w:t>
            </w:r>
            <w:r w:rsidR="00642600" w:rsidRPr="00D44528">
              <w:rPr>
                <w:rFonts w:cstheme="minorHAnsi"/>
                <w:sz w:val="22"/>
                <w:szCs w:val="22"/>
              </w:rPr>
              <w:t>.</w:t>
            </w:r>
          </w:p>
        </w:tc>
      </w:tr>
      <w:tr w:rsidR="000B3D12" w:rsidRPr="002B2FAB" w14:paraId="72BD7E10" w14:textId="77777777" w:rsidTr="005048AF">
        <w:trPr>
          <w:trHeight w:val="486"/>
        </w:trPr>
        <w:tc>
          <w:tcPr>
            <w:tcW w:w="2354" w:type="dxa"/>
          </w:tcPr>
          <w:p w14:paraId="691E56FD" w14:textId="15F12AF2" w:rsidR="000B3D12" w:rsidRPr="00DF7E71" w:rsidRDefault="008C3745" w:rsidP="00986BF7">
            <w:pPr>
              <w:tabs>
                <w:tab w:val="left" w:pos="567"/>
              </w:tabs>
              <w:spacing w:before="240" w:after="240"/>
              <w:jc w:val="both"/>
              <w:rPr>
                <w:rFonts w:asciiTheme="minorHAnsi" w:eastAsiaTheme="minorEastAsia" w:hAnsiTheme="minorHAnsi" w:cstheme="minorBidi"/>
                <w:color w:val="000000" w:themeColor="text1"/>
                <w:sz w:val="22"/>
                <w:szCs w:val="22"/>
                <w:lang w:val="en-GB"/>
              </w:rPr>
            </w:pPr>
            <m:oMathPara>
              <m:oMathParaPr>
                <m:jc m:val="left"/>
              </m:oMathParaPr>
              <m:oMath>
                <m:sSub>
                  <m:sSubPr>
                    <m:ctrlPr>
                      <w:rPr>
                        <w:rFonts w:ascii="Cambria Math" w:eastAsiaTheme="minorEastAsia" w:hAnsi="Cambria Math" w:cstheme="minorBidi"/>
                        <w:b/>
                        <w:bCs/>
                        <w:i/>
                        <w:color w:val="000000" w:themeColor="text1"/>
                        <w:sz w:val="22"/>
                        <w:szCs w:val="22"/>
                        <w:lang w:val="en-GB"/>
                      </w:rPr>
                    </m:ctrlPr>
                  </m:sSubPr>
                  <m:e>
                    <m:r>
                      <m:rPr>
                        <m:sty m:val="bi"/>
                      </m:rPr>
                      <w:rPr>
                        <w:rFonts w:ascii="Cambria Math" w:eastAsiaTheme="minorEastAsia" w:hAnsi="Cambria Math" w:cstheme="minorBidi"/>
                        <w:color w:val="000000" w:themeColor="text1"/>
                        <w:sz w:val="22"/>
                        <w:szCs w:val="22"/>
                        <w:lang w:val="en-GB"/>
                      </w:rPr>
                      <m:t>PE</m:t>
                    </m:r>
                  </m:e>
                  <m:sub>
                    <m:r>
                      <m:rPr>
                        <m:sty m:val="bi"/>
                      </m:rPr>
                      <w:rPr>
                        <w:rFonts w:ascii="Cambria Math" w:eastAsiaTheme="minorEastAsia" w:hAnsi="Cambria Math" w:cstheme="minorBidi"/>
                        <w:color w:val="000000" w:themeColor="text1"/>
                        <w:sz w:val="22"/>
                        <w:szCs w:val="22"/>
                        <w:lang w:val="en-GB"/>
                      </w:rPr>
                      <m:t>Displacement</m:t>
                    </m:r>
                  </m:sub>
                </m:sSub>
              </m:oMath>
            </m:oMathPara>
          </w:p>
        </w:tc>
        <w:tc>
          <w:tcPr>
            <w:tcW w:w="6662" w:type="dxa"/>
          </w:tcPr>
          <w:p w14:paraId="2214BCE0" w14:textId="06273F2C" w:rsidR="005E4AC2" w:rsidRPr="00336398" w:rsidRDefault="0061040C" w:rsidP="00D44528">
            <w:pPr>
              <w:spacing w:before="120" w:after="120"/>
              <w:rPr>
                <w:rFonts w:cstheme="minorHAnsi"/>
                <w:sz w:val="22"/>
                <w:szCs w:val="22"/>
              </w:rPr>
            </w:pPr>
            <w:r w:rsidRPr="00C74B8B">
              <w:rPr>
                <w:rFonts w:asciiTheme="minorHAnsi" w:eastAsiaTheme="minorHAnsi" w:hAnsiTheme="minorHAnsi" w:cstheme="minorBidi"/>
                <w:color w:val="auto"/>
                <w:sz w:val="22"/>
                <w:szCs w:val="22"/>
                <w:lang w:val="en-GB"/>
              </w:rPr>
              <w:t xml:space="preserve">Emissions </w:t>
            </w:r>
            <w:r w:rsidRPr="00336398">
              <w:rPr>
                <w:rFonts w:cstheme="minorHAnsi"/>
                <w:sz w:val="22"/>
                <w:szCs w:val="22"/>
              </w:rPr>
              <w:t xml:space="preserve">associated with electricity and fuel use by the project for </w:t>
            </w:r>
            <w:r w:rsidR="00921A9E" w:rsidRPr="00336398">
              <w:rPr>
                <w:rFonts w:cstheme="minorHAnsi"/>
                <w:sz w:val="22"/>
                <w:szCs w:val="22"/>
              </w:rPr>
              <w:t xml:space="preserve">biomethane </w:t>
            </w:r>
            <w:r w:rsidRPr="00336398">
              <w:rPr>
                <w:rFonts w:cstheme="minorHAnsi"/>
                <w:sz w:val="22"/>
                <w:szCs w:val="22"/>
              </w:rPr>
              <w:t>activities,</w:t>
            </w:r>
            <w:r w:rsidR="009A5FC2" w:rsidRPr="00336398">
              <w:rPr>
                <w:rFonts w:cstheme="minorHAnsi"/>
                <w:sz w:val="22"/>
                <w:szCs w:val="22"/>
              </w:rPr>
              <w:t xml:space="preserve"> such as for upgrading or compression equipment,</w:t>
            </w:r>
            <w:r w:rsidRPr="00336398">
              <w:rPr>
                <w:rFonts w:cstheme="minorHAnsi"/>
                <w:sz w:val="22"/>
                <w:szCs w:val="22"/>
              </w:rPr>
              <w:t xml:space="preserve"> in tonnes CO</w:t>
            </w:r>
            <w:r w:rsidRPr="00336398">
              <w:rPr>
                <w:rFonts w:cstheme="minorHAnsi"/>
                <w:sz w:val="22"/>
                <w:szCs w:val="22"/>
                <w:vertAlign w:val="subscript"/>
              </w:rPr>
              <w:t>2</w:t>
            </w:r>
            <w:r w:rsidRPr="00336398">
              <w:rPr>
                <w:rFonts w:cstheme="minorHAnsi"/>
                <w:sz w:val="22"/>
                <w:szCs w:val="22"/>
              </w:rPr>
              <w:t>-e.</w:t>
            </w:r>
          </w:p>
          <w:p w14:paraId="1E886CAA" w14:textId="2F89F847" w:rsidR="002E71A3" w:rsidRPr="002B2FAB" w:rsidRDefault="005E4AC2" w:rsidP="00D44528">
            <w:pPr>
              <w:spacing w:before="120" w:after="120"/>
              <w:rPr>
                <w:rFonts w:asciiTheme="minorHAnsi" w:eastAsiaTheme="minorHAnsi" w:hAnsiTheme="minorHAnsi" w:cstheme="minorBidi"/>
                <w:color w:val="auto"/>
                <w:sz w:val="22"/>
                <w:szCs w:val="22"/>
                <w:lang w:val="en-GB"/>
              </w:rPr>
            </w:pPr>
            <w:r w:rsidRPr="00336398">
              <w:rPr>
                <w:rFonts w:cstheme="minorHAnsi"/>
                <w:sz w:val="22"/>
                <w:szCs w:val="22"/>
              </w:rPr>
              <w:t>Energy use emissions are calculated by measurement and metering of fuel and electricity use, multiplied by the relevant</w:t>
            </w:r>
            <w:r w:rsidRPr="00C74B8B">
              <w:rPr>
                <w:rFonts w:asciiTheme="minorHAnsi" w:eastAsiaTheme="minorHAnsi" w:hAnsiTheme="minorHAnsi" w:cstheme="minorBidi"/>
                <w:color w:val="auto"/>
                <w:sz w:val="22"/>
                <w:szCs w:val="22"/>
                <w:lang w:val="en-GB"/>
              </w:rPr>
              <w:t xml:space="preserve"> </w:t>
            </w:r>
            <w:r w:rsidR="00DD660B" w:rsidRPr="00C74B8B">
              <w:rPr>
                <w:rFonts w:asciiTheme="minorHAnsi" w:eastAsiaTheme="minorHAnsi" w:hAnsiTheme="minorHAnsi" w:cstheme="minorBidi"/>
                <w:color w:val="auto"/>
                <w:sz w:val="22"/>
                <w:szCs w:val="22"/>
                <w:lang w:val="en-GB"/>
              </w:rPr>
              <w:t xml:space="preserve">NGER </w:t>
            </w:r>
            <w:r w:rsidRPr="00C74B8B">
              <w:rPr>
                <w:rFonts w:asciiTheme="minorHAnsi" w:eastAsiaTheme="minorHAnsi" w:hAnsiTheme="minorHAnsi" w:cstheme="minorBidi"/>
                <w:color w:val="auto"/>
                <w:sz w:val="22"/>
                <w:szCs w:val="22"/>
                <w:lang w:val="en-GB"/>
              </w:rPr>
              <w:t>emissions factors.</w:t>
            </w:r>
          </w:p>
        </w:tc>
      </w:tr>
    </w:tbl>
    <w:p w14:paraId="0CE2D3F6" w14:textId="776A6BAA" w:rsidR="00E523A9" w:rsidRDefault="00E523A9" w:rsidP="00A015D9">
      <w:pPr>
        <w:spacing w:after="0" w:line="276" w:lineRule="auto"/>
        <w:rPr>
          <w:color w:val="auto"/>
        </w:rPr>
      </w:pPr>
    </w:p>
    <w:p w14:paraId="6AD5A68C" w14:textId="63E7C988" w:rsidR="00970A48" w:rsidRDefault="00970A48" w:rsidP="00336398">
      <w:pPr>
        <w:rPr>
          <w:color w:val="auto"/>
        </w:rPr>
      </w:pPr>
    </w:p>
    <w:tbl>
      <w:tblPr>
        <w:tblStyle w:val="TableGrid"/>
        <w:tblW w:w="0" w:type="auto"/>
        <w:tblLook w:val="04A0" w:firstRow="1" w:lastRow="0" w:firstColumn="1" w:lastColumn="0" w:noHBand="0" w:noVBand="1"/>
      </w:tblPr>
      <w:tblGrid>
        <w:gridCol w:w="9016"/>
      </w:tblGrid>
      <w:tr w:rsidR="00970A48" w14:paraId="0B4D2FD6" w14:textId="77777777" w:rsidTr="00970A48">
        <w:tc>
          <w:tcPr>
            <w:tcW w:w="9016" w:type="dxa"/>
          </w:tcPr>
          <w:p w14:paraId="14BD5171" w14:textId="4F0CD487" w:rsidR="00970A48" w:rsidRPr="00A015D9" w:rsidRDefault="00E64D6F" w:rsidP="00970A48">
            <w:pPr>
              <w:jc w:val="both"/>
              <w:rPr>
                <w:b/>
                <w:bCs/>
                <w:color w:val="auto"/>
                <w:sz w:val="22"/>
                <w:szCs w:val="28"/>
              </w:rPr>
            </w:pPr>
            <w:r w:rsidRPr="00A015D9">
              <w:rPr>
                <w:b/>
                <w:bCs/>
                <w:color w:val="auto"/>
                <w:sz w:val="22"/>
                <w:szCs w:val="28"/>
              </w:rPr>
              <w:t>Displacement</w:t>
            </w:r>
            <w:r w:rsidR="00970A48" w:rsidRPr="00A015D9">
              <w:rPr>
                <w:b/>
                <w:bCs/>
                <w:color w:val="auto"/>
                <w:sz w:val="22"/>
                <w:szCs w:val="28"/>
              </w:rPr>
              <w:t xml:space="preserve"> calculation example </w:t>
            </w:r>
          </w:p>
          <w:p w14:paraId="3DEA2003" w14:textId="47F7B625" w:rsidR="00970A48" w:rsidRPr="00A015D9" w:rsidRDefault="00A015D9" w:rsidP="00970A48">
            <w:pPr>
              <w:jc w:val="both"/>
              <w:rPr>
                <w:color w:val="auto"/>
                <w:sz w:val="22"/>
                <w:szCs w:val="28"/>
              </w:rPr>
            </w:pPr>
            <w:r>
              <w:rPr>
                <w:color w:val="auto"/>
                <w:sz w:val="22"/>
                <w:szCs w:val="28"/>
              </w:rPr>
              <w:t xml:space="preserve">A </w:t>
            </w:r>
            <w:r w:rsidR="00F05395">
              <w:rPr>
                <w:color w:val="auto"/>
                <w:sz w:val="22"/>
                <w:szCs w:val="28"/>
              </w:rPr>
              <w:t>wastewater</w:t>
            </w:r>
            <w:r>
              <w:rPr>
                <w:color w:val="auto"/>
                <w:sz w:val="22"/>
                <w:szCs w:val="28"/>
              </w:rPr>
              <w:t xml:space="preserve"> facility produces </w:t>
            </w:r>
            <w:r w:rsidR="00F05395">
              <w:rPr>
                <w:color w:val="auto"/>
                <w:sz w:val="22"/>
                <w:szCs w:val="28"/>
              </w:rPr>
              <w:t xml:space="preserve">and injects 100 </w:t>
            </w:r>
            <w:r w:rsidR="00B05F75">
              <w:rPr>
                <w:color w:val="auto"/>
                <w:sz w:val="22"/>
                <w:szCs w:val="28"/>
              </w:rPr>
              <w:t>terajoules (</w:t>
            </w:r>
            <w:r w:rsidR="00324935">
              <w:rPr>
                <w:color w:val="auto"/>
                <w:sz w:val="22"/>
                <w:szCs w:val="28"/>
              </w:rPr>
              <w:t>TJ</w:t>
            </w:r>
            <w:r w:rsidR="00B05F75">
              <w:rPr>
                <w:color w:val="auto"/>
                <w:sz w:val="22"/>
                <w:szCs w:val="28"/>
              </w:rPr>
              <w:t>)</w:t>
            </w:r>
            <w:r w:rsidR="00F05395">
              <w:rPr>
                <w:color w:val="auto"/>
                <w:sz w:val="22"/>
                <w:szCs w:val="28"/>
              </w:rPr>
              <w:t xml:space="preserve"> of biomethane in a year</w:t>
            </w:r>
            <w:r w:rsidR="00AF4211">
              <w:rPr>
                <w:color w:val="auto"/>
                <w:sz w:val="22"/>
                <w:szCs w:val="28"/>
              </w:rPr>
              <w:t xml:space="preserve"> into the natural gas network</w:t>
            </w:r>
            <w:r w:rsidR="00F05395">
              <w:rPr>
                <w:color w:val="auto"/>
                <w:sz w:val="22"/>
                <w:szCs w:val="28"/>
              </w:rPr>
              <w:t xml:space="preserve">. </w:t>
            </w:r>
          </w:p>
          <w:p w14:paraId="3D4D68D1" w14:textId="405472E4" w:rsidR="00970A48" w:rsidRPr="00A015D9" w:rsidRDefault="006241A7" w:rsidP="00446C58">
            <w:pPr>
              <w:pStyle w:val="ListParagraph"/>
              <w:numPr>
                <w:ilvl w:val="0"/>
                <w:numId w:val="1"/>
              </w:numPr>
              <w:jc w:val="both"/>
              <w:rPr>
                <w:color w:val="000000" w:themeColor="text1"/>
                <w:sz w:val="22"/>
                <w:szCs w:val="24"/>
              </w:rPr>
            </w:pPr>
            <w:r>
              <w:rPr>
                <w:color w:val="000000" w:themeColor="text1"/>
                <w:sz w:val="22"/>
                <w:szCs w:val="24"/>
              </w:rPr>
              <w:t>The NGER (Measurement) Determination emissions factor for natural gas is 51.53</w:t>
            </w:r>
            <w:r w:rsidR="00674D45">
              <w:rPr>
                <w:color w:val="000000" w:themeColor="text1"/>
                <w:sz w:val="22"/>
                <w:szCs w:val="24"/>
              </w:rPr>
              <w:t> </w:t>
            </w:r>
            <w:r>
              <w:rPr>
                <w:color w:val="000000" w:themeColor="text1"/>
                <w:sz w:val="22"/>
                <w:szCs w:val="24"/>
              </w:rPr>
              <w:t>kg</w:t>
            </w:r>
            <w:r w:rsidR="00674D45">
              <w:rPr>
                <w:color w:val="000000" w:themeColor="text1"/>
                <w:sz w:val="22"/>
                <w:szCs w:val="24"/>
              </w:rPr>
              <w:t> </w:t>
            </w:r>
            <w:r>
              <w:rPr>
                <w:rFonts w:ascii="Calibri" w:hAnsi="Calibri" w:cs="Calibri"/>
                <w:sz w:val="22"/>
              </w:rPr>
              <w:t>CO</w:t>
            </w:r>
            <w:r w:rsidRPr="006241A7">
              <w:rPr>
                <w:rFonts w:ascii="Calibri" w:hAnsi="Calibri" w:cs="Calibri"/>
                <w:sz w:val="22"/>
                <w:vertAlign w:val="subscript"/>
              </w:rPr>
              <w:t>2</w:t>
            </w:r>
            <w:r w:rsidR="00674D45">
              <w:rPr>
                <w:rFonts w:ascii="Calibri" w:hAnsi="Calibri" w:cs="Calibri"/>
                <w:sz w:val="22"/>
              </w:rPr>
              <w:noBreakHyphen/>
            </w:r>
            <w:r>
              <w:rPr>
                <w:rFonts w:ascii="Calibri" w:hAnsi="Calibri" w:cs="Calibri"/>
                <w:sz w:val="22"/>
              </w:rPr>
              <w:t>e/GJ</w:t>
            </w:r>
          </w:p>
          <w:p w14:paraId="0CE6B791" w14:textId="2AAF1C7B" w:rsidR="00970A48" w:rsidRDefault="006241A7" w:rsidP="00446C58">
            <w:pPr>
              <w:pStyle w:val="ListParagraph"/>
              <w:numPr>
                <w:ilvl w:val="0"/>
                <w:numId w:val="1"/>
              </w:numPr>
              <w:jc w:val="both"/>
              <w:rPr>
                <w:color w:val="000000" w:themeColor="text1"/>
                <w:sz w:val="22"/>
                <w:szCs w:val="24"/>
              </w:rPr>
            </w:pPr>
            <w:r>
              <w:rPr>
                <w:color w:val="000000" w:themeColor="text1"/>
                <w:sz w:val="22"/>
                <w:szCs w:val="24"/>
              </w:rPr>
              <w:t xml:space="preserve">Therefore </w:t>
            </w:r>
            <w:r w:rsidR="00324935">
              <w:rPr>
                <w:color w:val="000000" w:themeColor="text1"/>
                <w:sz w:val="22"/>
                <w:szCs w:val="24"/>
              </w:rPr>
              <w:t xml:space="preserve">gross </w:t>
            </w:r>
            <w:r>
              <w:rPr>
                <w:color w:val="000000" w:themeColor="text1"/>
                <w:sz w:val="22"/>
                <w:szCs w:val="24"/>
              </w:rPr>
              <w:t>displaced gas emissions = (100,000)*(51.53)/1000 = 5,153 tCO</w:t>
            </w:r>
            <w:r>
              <w:rPr>
                <w:color w:val="000000" w:themeColor="text1"/>
                <w:sz w:val="22"/>
                <w:szCs w:val="24"/>
                <w:vertAlign w:val="subscript"/>
              </w:rPr>
              <w:t>2</w:t>
            </w:r>
            <w:r>
              <w:rPr>
                <w:color w:val="000000" w:themeColor="text1"/>
                <w:sz w:val="22"/>
                <w:szCs w:val="24"/>
              </w:rPr>
              <w:t>-e</w:t>
            </w:r>
          </w:p>
          <w:p w14:paraId="3CF5DB78" w14:textId="2BF1FE66" w:rsidR="004A46A4" w:rsidRDefault="004A46A4" w:rsidP="00446C58">
            <w:pPr>
              <w:pStyle w:val="ListParagraph"/>
              <w:numPr>
                <w:ilvl w:val="0"/>
                <w:numId w:val="1"/>
              </w:numPr>
              <w:jc w:val="both"/>
              <w:rPr>
                <w:color w:val="000000" w:themeColor="text1"/>
                <w:sz w:val="22"/>
                <w:szCs w:val="24"/>
              </w:rPr>
            </w:pPr>
            <w:r>
              <w:rPr>
                <w:color w:val="000000" w:themeColor="text1"/>
                <w:sz w:val="22"/>
                <w:szCs w:val="24"/>
              </w:rPr>
              <w:t>All biogas upgraded into biomethane is produced at the wastewater facility, so the eligible abatement fraction is 1.</w:t>
            </w:r>
          </w:p>
          <w:p w14:paraId="45CBFBE9" w14:textId="1AE45594" w:rsidR="006241A7" w:rsidRDefault="00731B20" w:rsidP="00446C58">
            <w:pPr>
              <w:pStyle w:val="ListParagraph"/>
              <w:numPr>
                <w:ilvl w:val="0"/>
                <w:numId w:val="1"/>
              </w:numPr>
              <w:jc w:val="both"/>
              <w:rPr>
                <w:color w:val="000000" w:themeColor="text1"/>
                <w:sz w:val="22"/>
                <w:szCs w:val="24"/>
              </w:rPr>
            </w:pPr>
            <w:r>
              <w:rPr>
                <w:color w:val="000000" w:themeColor="text1"/>
                <w:sz w:val="22"/>
                <w:szCs w:val="24"/>
              </w:rPr>
              <w:t>Emissions from energy used in the upgrading process comes to 100 tCO</w:t>
            </w:r>
            <w:r>
              <w:rPr>
                <w:color w:val="000000" w:themeColor="text1"/>
                <w:sz w:val="22"/>
                <w:szCs w:val="24"/>
                <w:vertAlign w:val="subscript"/>
              </w:rPr>
              <w:t>2</w:t>
            </w:r>
            <w:r>
              <w:rPr>
                <w:color w:val="000000" w:themeColor="text1"/>
                <w:sz w:val="22"/>
                <w:szCs w:val="24"/>
              </w:rPr>
              <w:t>-e</w:t>
            </w:r>
          </w:p>
          <w:p w14:paraId="0A1CEBDA" w14:textId="77777777" w:rsidR="00970A48" w:rsidRPr="00A015D9" w:rsidRDefault="00970A48" w:rsidP="00970A48">
            <w:pPr>
              <w:jc w:val="both"/>
              <w:rPr>
                <w:color w:val="000000" w:themeColor="text1"/>
                <w:sz w:val="22"/>
                <w:szCs w:val="28"/>
              </w:rPr>
            </w:pPr>
          </w:p>
          <w:p w14:paraId="4B4956ED" w14:textId="38DA4764" w:rsidR="004A46A4" w:rsidRDefault="00970A48" w:rsidP="004A46A4">
            <w:pPr>
              <w:jc w:val="center"/>
              <w:rPr>
                <w:color w:val="000000" w:themeColor="text1"/>
                <w:sz w:val="22"/>
                <w:szCs w:val="28"/>
              </w:rPr>
            </w:pPr>
            <w:r w:rsidRPr="00A015D9">
              <w:rPr>
                <w:color w:val="000000" w:themeColor="text1"/>
                <w:sz w:val="22"/>
                <w:szCs w:val="28"/>
              </w:rPr>
              <w:t>Net</w:t>
            </w:r>
            <w:r w:rsidR="00324935">
              <w:rPr>
                <w:color w:val="000000" w:themeColor="text1"/>
                <w:sz w:val="22"/>
                <w:szCs w:val="28"/>
              </w:rPr>
              <w:t xml:space="preserve"> displacement</w:t>
            </w:r>
            <w:r w:rsidRPr="00A015D9">
              <w:rPr>
                <w:color w:val="000000" w:themeColor="text1"/>
                <w:sz w:val="22"/>
                <w:szCs w:val="28"/>
              </w:rPr>
              <w:t xml:space="preserve"> </w:t>
            </w:r>
            <w:r w:rsidR="00324935">
              <w:rPr>
                <w:color w:val="000000" w:themeColor="text1"/>
                <w:sz w:val="22"/>
                <w:szCs w:val="28"/>
              </w:rPr>
              <w:t>a</w:t>
            </w:r>
            <w:r w:rsidRPr="00A015D9">
              <w:rPr>
                <w:color w:val="000000" w:themeColor="text1"/>
                <w:sz w:val="22"/>
                <w:szCs w:val="28"/>
              </w:rPr>
              <w:t>batement =</w:t>
            </w:r>
            <w:r w:rsidR="004A46A4">
              <w:rPr>
                <w:color w:val="000000" w:themeColor="text1"/>
                <w:sz w:val="22"/>
                <w:szCs w:val="28"/>
              </w:rPr>
              <w:t xml:space="preserve"> </w:t>
            </w:r>
            <w:r w:rsidR="00324935">
              <w:rPr>
                <w:color w:val="000000" w:themeColor="text1"/>
                <w:sz w:val="22"/>
                <w:szCs w:val="28"/>
              </w:rPr>
              <w:t>5,153</w:t>
            </w:r>
            <w:r w:rsidR="004A46A4">
              <w:rPr>
                <w:color w:val="000000" w:themeColor="text1"/>
                <w:sz w:val="22"/>
                <w:szCs w:val="28"/>
              </w:rPr>
              <w:t>*1</w:t>
            </w:r>
            <w:r w:rsidR="00324935">
              <w:rPr>
                <w:color w:val="000000" w:themeColor="text1"/>
                <w:sz w:val="22"/>
                <w:szCs w:val="28"/>
              </w:rPr>
              <w:t xml:space="preserve"> – 100 </w:t>
            </w:r>
          </w:p>
          <w:p w14:paraId="31B51757" w14:textId="34047467" w:rsidR="00970A48" w:rsidRPr="0026554A" w:rsidRDefault="00970A48" w:rsidP="003E33DE">
            <w:pPr>
              <w:jc w:val="center"/>
              <w:rPr>
                <w:color w:val="auto"/>
                <w:sz w:val="22"/>
                <w:szCs w:val="28"/>
              </w:rPr>
            </w:pPr>
            <w:r w:rsidRPr="00A015D9">
              <w:rPr>
                <w:color w:val="000000" w:themeColor="text1"/>
                <w:sz w:val="22"/>
                <w:szCs w:val="28"/>
              </w:rPr>
              <w:t xml:space="preserve">= </w:t>
            </w:r>
            <w:r w:rsidR="004A46A4">
              <w:rPr>
                <w:color w:val="000000" w:themeColor="text1"/>
                <w:sz w:val="22"/>
                <w:szCs w:val="28"/>
              </w:rPr>
              <w:t>5,053</w:t>
            </w:r>
            <w:r w:rsidR="00CA4C02" w:rsidRPr="00A015D9">
              <w:rPr>
                <w:color w:val="auto"/>
                <w:sz w:val="22"/>
                <w:szCs w:val="28"/>
              </w:rPr>
              <w:t xml:space="preserve"> </w:t>
            </w:r>
            <w:r w:rsidRPr="00A015D9">
              <w:rPr>
                <w:color w:val="auto"/>
                <w:sz w:val="22"/>
                <w:szCs w:val="28"/>
              </w:rPr>
              <w:t>t</w:t>
            </w:r>
            <w:r w:rsidR="00A250F9" w:rsidRPr="00A015D9">
              <w:rPr>
                <w:color w:val="000000" w:themeColor="text1"/>
                <w:sz w:val="22"/>
              </w:rPr>
              <w:t>CO</w:t>
            </w:r>
            <w:r w:rsidR="00A250F9" w:rsidRPr="00A015D9">
              <w:rPr>
                <w:sz w:val="22"/>
                <w:szCs w:val="28"/>
                <w:vertAlign w:val="subscript"/>
              </w:rPr>
              <w:t>2</w:t>
            </w:r>
            <w:r w:rsidR="00A250F9" w:rsidRPr="00A015D9">
              <w:rPr>
                <w:sz w:val="22"/>
                <w:szCs w:val="28"/>
              </w:rPr>
              <w:t>-</w:t>
            </w:r>
            <w:r w:rsidR="00A250F9" w:rsidRPr="00A015D9">
              <w:rPr>
                <w:color w:val="000000" w:themeColor="text1"/>
                <w:sz w:val="22"/>
              </w:rPr>
              <w:t>e</w:t>
            </w:r>
          </w:p>
        </w:tc>
      </w:tr>
    </w:tbl>
    <w:p w14:paraId="39174D15" w14:textId="77777777" w:rsidR="00DF7E71" w:rsidRPr="003E33DE" w:rsidRDefault="00DF7E71" w:rsidP="003E33D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632"/>
        <w:gridCol w:w="7394"/>
      </w:tblGrid>
      <w:tr w:rsidR="00DF7E71" w14:paraId="67A5C049" w14:textId="77777777" w:rsidTr="00307F37">
        <w:tc>
          <w:tcPr>
            <w:tcW w:w="1632" w:type="dxa"/>
            <w:shd w:val="clear" w:color="auto" w:fill="F2F2F2" w:themeFill="background1" w:themeFillShade="F2"/>
            <w:vAlign w:val="center"/>
          </w:tcPr>
          <w:p w14:paraId="569756C0" w14:textId="77777777" w:rsidR="00DF7E71" w:rsidRDefault="00DF7E71" w:rsidP="00307F37">
            <w:pPr>
              <w:spacing w:before="240"/>
              <w:jc w:val="center"/>
            </w:pPr>
            <w:r>
              <w:rPr>
                <w:noProof/>
              </w:rPr>
              <w:drawing>
                <wp:inline distT="0" distB="0" distL="0" distR="0" wp14:anchorId="5CCE9AFE" wp14:editId="7D1CE061">
                  <wp:extent cx="540000" cy="540000"/>
                  <wp:effectExtent l="0" t="0" r="0" b="0"/>
                  <wp:docPr id="23" name="Picture 23" descr="C:\Users\cer3143\Downloads\alar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er3143\Downloads\alarm (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7394" w:type="dxa"/>
            <w:shd w:val="clear" w:color="auto" w:fill="F2F2F2" w:themeFill="background1" w:themeFillShade="F2"/>
          </w:tcPr>
          <w:p w14:paraId="06E7E6BC" w14:textId="1B6C824A" w:rsidR="00DF7E71" w:rsidRPr="007B2659" w:rsidRDefault="00DF7E71" w:rsidP="00307F37">
            <w:pPr>
              <w:pStyle w:val="Heading5"/>
              <w:outlineLvl w:val="4"/>
              <w:rPr>
                <w:sz w:val="22"/>
                <w:szCs w:val="36"/>
              </w:rPr>
            </w:pPr>
            <w:r>
              <w:rPr>
                <w:sz w:val="22"/>
                <w:szCs w:val="36"/>
              </w:rPr>
              <w:t>Biomethane use in ERF fuel switching projects</w:t>
            </w:r>
          </w:p>
          <w:p w14:paraId="610C9252" w14:textId="7BC2CAB5" w:rsidR="00DF7E71" w:rsidRPr="00D44528" w:rsidRDefault="00730387" w:rsidP="00642600">
            <w:pPr>
              <w:rPr>
                <w:sz w:val="22"/>
                <w:szCs w:val="22"/>
              </w:rPr>
            </w:pPr>
            <w:r w:rsidRPr="00D44528">
              <w:rPr>
                <w:sz w:val="22"/>
                <w:szCs w:val="22"/>
              </w:rPr>
              <w:t>Using biomethane produced at an ERF biomethane production project at another ERF project involving a fuel switching activity – for example, under the Carbon Credits (Carbon Farming Initiative—Industrial Electricity and Fuel Efficiency) Methodology Determination 2015 – introduces a risk that displacement abatement is being double counted. Displacement ACCUs under a biomethane project credit the avoided use of natural gas. A fuel switching ERF project could use</w:t>
            </w:r>
            <w:r w:rsidR="00074B4B" w:rsidRPr="00D44528">
              <w:rPr>
                <w:sz w:val="22"/>
                <w:szCs w:val="22"/>
              </w:rPr>
              <w:t xml:space="preserve"> low</w:t>
            </w:r>
            <w:r w:rsidR="00B1308C" w:rsidRPr="00D44528">
              <w:rPr>
                <w:sz w:val="22"/>
                <w:szCs w:val="22"/>
              </w:rPr>
              <w:t xml:space="preserve"> </w:t>
            </w:r>
            <w:r w:rsidR="00074B4B" w:rsidRPr="00D44528">
              <w:rPr>
                <w:sz w:val="22"/>
                <w:szCs w:val="22"/>
              </w:rPr>
              <w:t>emissions</w:t>
            </w:r>
            <w:r w:rsidRPr="00D44528">
              <w:rPr>
                <w:sz w:val="22"/>
                <w:szCs w:val="22"/>
              </w:rPr>
              <w:t xml:space="preserve"> biomethane to also avoid the use of natural gas, earning </w:t>
            </w:r>
            <w:r w:rsidR="0086397A" w:rsidRPr="00D44528">
              <w:rPr>
                <w:sz w:val="22"/>
                <w:szCs w:val="22"/>
              </w:rPr>
              <w:t>more</w:t>
            </w:r>
            <w:r w:rsidRPr="00D44528">
              <w:rPr>
                <w:sz w:val="22"/>
                <w:szCs w:val="22"/>
              </w:rPr>
              <w:t xml:space="preserve"> ACCUs for the same activity.</w:t>
            </w:r>
          </w:p>
          <w:p w14:paraId="44B17A18" w14:textId="458C0002" w:rsidR="00DF7E71" w:rsidRPr="00730387" w:rsidRDefault="00730387" w:rsidP="00307F37">
            <w:pPr>
              <w:rPr>
                <w:szCs w:val="28"/>
              </w:rPr>
            </w:pPr>
            <w:r w:rsidRPr="00D44528">
              <w:rPr>
                <w:sz w:val="22"/>
                <w:szCs w:val="22"/>
              </w:rPr>
              <w:t>To ensure double counting cannot occur, biomethane produced at an ERF biomethane project cannot be used in another ERF project undertaking fuel switching. If this occurs, displacement abatement for the ERF biomethane project is set to zero.</w:t>
            </w:r>
          </w:p>
        </w:tc>
      </w:tr>
    </w:tbl>
    <w:p w14:paraId="389F1459" w14:textId="4DCEF1DD" w:rsidR="00587455" w:rsidRDefault="00587455" w:rsidP="00587455">
      <w:pPr>
        <w:pStyle w:val="Heading1"/>
        <w:rPr>
          <w:lang w:eastAsia="en-AU"/>
        </w:rPr>
      </w:pPr>
      <w:bookmarkStart w:id="49" w:name="_Toc85030351"/>
      <w:r>
        <w:rPr>
          <w:lang w:eastAsia="en-AU"/>
        </w:rPr>
        <w:t>Reporting and crediting</w:t>
      </w:r>
      <w:bookmarkEnd w:id="49"/>
    </w:p>
    <w:p w14:paraId="06AC9777" w14:textId="59C10DF3" w:rsidR="004B2168" w:rsidRDefault="002E5940" w:rsidP="00BC3989">
      <w:r>
        <w:t>Carbon credits (</w:t>
      </w:r>
      <w:r w:rsidR="004B2168">
        <w:t>A</w:t>
      </w:r>
      <w:r w:rsidR="00A43A0E">
        <w:t>CCUs</w:t>
      </w:r>
      <w:r>
        <w:t>)</w:t>
      </w:r>
      <w:r w:rsidR="004B2168">
        <w:t xml:space="preserve"> from a </w:t>
      </w:r>
      <w:r w:rsidR="00921A9E">
        <w:t xml:space="preserve">biomethane </w:t>
      </w:r>
      <w:r w:rsidR="004B2168">
        <w:t xml:space="preserve">project will be issued following lodging of a report and an assessment by the Clean Energy Regulator. </w:t>
      </w:r>
    </w:p>
    <w:p w14:paraId="081FEE98" w14:textId="7341B234" w:rsidR="00C46AC9" w:rsidRDefault="00C46AC9" w:rsidP="00C46AC9">
      <w:pPr>
        <w:pStyle w:val="Heading2"/>
      </w:pPr>
      <w:bookmarkStart w:id="50" w:name="_Toc85030352"/>
      <w:r>
        <w:t>Offsets reports and claiming carbon credits</w:t>
      </w:r>
      <w:bookmarkEnd w:id="50"/>
    </w:p>
    <w:p w14:paraId="3C1A948C" w14:textId="72D808A7" w:rsidR="004A3FA2" w:rsidRDefault="004A3FA2" w:rsidP="00336398">
      <w:r>
        <w:t>Once the crediting period for your project has commenced you must provide offset report</w:t>
      </w:r>
      <w:r w:rsidR="4F11A700">
        <w:t>s</w:t>
      </w:r>
      <w:r>
        <w:t xml:space="preserve"> in accordance with Section 76 of the CFI Act</w:t>
      </w:r>
      <w:r w:rsidR="008B48E9">
        <w:t xml:space="preserve"> and </w:t>
      </w:r>
      <w:r w:rsidR="00A5390C">
        <w:t>Section 70 of the</w:t>
      </w:r>
      <w:r w:rsidR="008B48E9">
        <w:t xml:space="preserve"> CFI Rule</w:t>
      </w:r>
      <w:r>
        <w:t>. The first offset</w:t>
      </w:r>
      <w:r w:rsidR="00FC31BD">
        <w:t>s</w:t>
      </w:r>
      <w:r>
        <w:t xml:space="preserve"> report covers the period commencing </w:t>
      </w:r>
      <w:r w:rsidR="00FC31BD">
        <w:t xml:space="preserve">from </w:t>
      </w:r>
      <w:r>
        <w:t xml:space="preserve">the start of the crediting period and </w:t>
      </w:r>
      <w:r w:rsidR="006E7CF9">
        <w:t xml:space="preserve">you can choose </w:t>
      </w:r>
      <w:r>
        <w:t xml:space="preserve">a duration of between </w:t>
      </w:r>
      <w:r w:rsidR="1FE1EB1A">
        <w:t>six</w:t>
      </w:r>
      <w:r>
        <w:t xml:space="preserve"> month</w:t>
      </w:r>
      <w:r w:rsidR="00E15171">
        <w:t>s</w:t>
      </w:r>
      <w:r>
        <w:t xml:space="preserve"> and two years</w:t>
      </w:r>
      <w:r w:rsidRPr="20F7574B">
        <w:rPr>
          <w:rStyle w:val="FootnoteReference"/>
        </w:rPr>
        <w:footnoteReference w:id="15"/>
      </w:r>
      <w:r>
        <w:t xml:space="preserve">. Subsequent reporting </w:t>
      </w:r>
      <w:r w:rsidR="00E0097E">
        <w:t>periods</w:t>
      </w:r>
      <w:r>
        <w:t xml:space="preserve"> commence immediately after the end of the previous reporting period and </w:t>
      </w:r>
      <w:r w:rsidR="006E7CF9">
        <w:t>you can choose</w:t>
      </w:r>
      <w:r>
        <w:t xml:space="preserve"> between </w:t>
      </w:r>
      <w:r w:rsidR="00601549">
        <w:t>one</w:t>
      </w:r>
      <w:r>
        <w:t xml:space="preserve"> month and two years.</w:t>
      </w:r>
    </w:p>
    <w:p w14:paraId="4C110440" w14:textId="2C6DF864" w:rsidR="00C46AC9" w:rsidRPr="003C28A8" w:rsidRDefault="00C46AC9" w:rsidP="00336398">
      <w:pPr>
        <w:rPr>
          <w:color w:val="auto"/>
          <w:lang w:eastAsia="en-AU"/>
        </w:rPr>
      </w:pPr>
      <w:r>
        <w:rPr>
          <w:lang w:eastAsia="en-AU"/>
        </w:rPr>
        <w:t>An o</w:t>
      </w:r>
      <w:r w:rsidRPr="005D4DE1">
        <w:rPr>
          <w:lang w:eastAsia="en-AU"/>
        </w:rPr>
        <w:t>ffsets report</w:t>
      </w:r>
      <w:r>
        <w:rPr>
          <w:lang w:eastAsia="en-AU"/>
        </w:rPr>
        <w:t xml:space="preserve"> is the document</w:t>
      </w:r>
      <w:r w:rsidRPr="005D4DE1">
        <w:rPr>
          <w:lang w:eastAsia="en-AU"/>
        </w:rPr>
        <w:t xml:space="preserve"> (plus supporting information) </w:t>
      </w:r>
      <w:r w:rsidRPr="00AB27FD">
        <w:rPr>
          <w:color w:val="auto"/>
          <w:lang w:eastAsia="en-AU"/>
        </w:rPr>
        <w:t xml:space="preserve">that you provide to us </w:t>
      </w:r>
      <w:r w:rsidR="00AB27FD" w:rsidRPr="00AB27FD">
        <w:rPr>
          <w:color w:val="auto"/>
          <w:lang w:eastAsia="en-AU"/>
        </w:rPr>
        <w:t>that</w:t>
      </w:r>
      <w:r w:rsidRPr="00AB27FD">
        <w:rPr>
          <w:color w:val="auto"/>
          <w:lang w:eastAsia="en-AU"/>
        </w:rPr>
        <w:t xml:space="preserve"> details your project’s progress, including the net abatement </w:t>
      </w:r>
      <w:r w:rsidRPr="00554B8F">
        <w:rPr>
          <w:color w:val="auto"/>
          <w:lang w:eastAsia="en-AU"/>
        </w:rPr>
        <w:t xml:space="preserve">amount. </w:t>
      </w:r>
      <w:r w:rsidR="004A215F" w:rsidRPr="00554B8F">
        <w:rPr>
          <w:color w:val="auto"/>
          <w:lang w:eastAsia="en-AU"/>
        </w:rPr>
        <w:t>An offset</w:t>
      </w:r>
      <w:r w:rsidR="00FB4430">
        <w:rPr>
          <w:color w:val="auto"/>
          <w:lang w:eastAsia="en-AU"/>
        </w:rPr>
        <w:t>s</w:t>
      </w:r>
      <w:r w:rsidR="004A215F" w:rsidRPr="00554B8F">
        <w:rPr>
          <w:color w:val="auto"/>
          <w:lang w:eastAsia="en-AU"/>
        </w:rPr>
        <w:t xml:space="preserve"> report </w:t>
      </w:r>
      <w:r w:rsidR="008C6BF1" w:rsidRPr="00554B8F">
        <w:rPr>
          <w:color w:val="auto"/>
          <w:lang w:eastAsia="en-AU"/>
        </w:rPr>
        <w:t xml:space="preserve">may include an ‘application for certificate of entitlement’ under Section </w:t>
      </w:r>
      <w:r w:rsidR="00C11BD5" w:rsidRPr="00554B8F">
        <w:rPr>
          <w:color w:val="auto"/>
          <w:lang w:eastAsia="en-AU"/>
        </w:rPr>
        <w:t>12</w:t>
      </w:r>
      <w:r w:rsidR="008C6BF1" w:rsidRPr="00554B8F">
        <w:rPr>
          <w:color w:val="auto"/>
          <w:lang w:eastAsia="en-AU"/>
        </w:rPr>
        <w:t xml:space="preserve"> of the CFI Act and </w:t>
      </w:r>
      <w:r w:rsidR="002663C6" w:rsidRPr="00554B8F">
        <w:rPr>
          <w:color w:val="auto"/>
        </w:rPr>
        <w:t xml:space="preserve">Section 7 of the </w:t>
      </w:r>
      <w:r w:rsidR="008C6BF1" w:rsidRPr="00554B8F">
        <w:rPr>
          <w:color w:val="auto"/>
        </w:rPr>
        <w:t xml:space="preserve">CFI </w:t>
      </w:r>
      <w:r w:rsidR="008C6BF1" w:rsidRPr="003C28A8">
        <w:rPr>
          <w:color w:val="auto"/>
        </w:rPr>
        <w:t>Rule</w:t>
      </w:r>
      <w:r w:rsidR="00971B96" w:rsidRPr="003C28A8">
        <w:rPr>
          <w:color w:val="auto"/>
        </w:rPr>
        <w:t>.</w:t>
      </w:r>
    </w:p>
    <w:p w14:paraId="45F87372" w14:textId="77777777" w:rsidR="004A215F" w:rsidRDefault="004A215F" w:rsidP="00C46AC9">
      <w:pPr>
        <w:rPr>
          <w:color w:val="auto"/>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637"/>
        <w:gridCol w:w="7389"/>
      </w:tblGrid>
      <w:tr w:rsidR="00C46AC9" w:rsidRPr="00587455" w14:paraId="6C3C0153" w14:textId="77777777" w:rsidTr="20F7574B">
        <w:tc>
          <w:tcPr>
            <w:tcW w:w="1637" w:type="dxa"/>
            <w:shd w:val="clear" w:color="auto" w:fill="F2F2F2" w:themeFill="background1" w:themeFillShade="F2"/>
            <w:vAlign w:val="center"/>
          </w:tcPr>
          <w:p w14:paraId="43DCEC95" w14:textId="77777777" w:rsidR="00C46AC9" w:rsidRPr="00587455" w:rsidRDefault="00C46AC9" w:rsidP="007A6F22">
            <w:pPr>
              <w:spacing w:before="240"/>
              <w:jc w:val="center"/>
              <w:rPr>
                <w:color w:val="000000" w:themeColor="text1"/>
              </w:rPr>
            </w:pPr>
            <w:r w:rsidRPr="00587455">
              <w:rPr>
                <w:noProof/>
                <w:color w:val="000000" w:themeColor="text1"/>
              </w:rPr>
              <w:drawing>
                <wp:inline distT="0" distB="0" distL="0" distR="0" wp14:anchorId="5D19723A" wp14:editId="5DE4DC2B">
                  <wp:extent cx="540000" cy="540000"/>
                  <wp:effectExtent l="0" t="0" r="0" b="0"/>
                  <wp:docPr id="25" name="Picture 25" desc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4">
                            <a:extLst>
                              <a:ext uri="{28A0092B-C50C-407E-A947-70E740481C1C}">
                                <a14:useLocalDpi xmlns:a14="http://schemas.microsoft.com/office/drawing/2010/main"/>
                              </a:ext>
                            </a:extLst>
                          </a:blip>
                          <a:stretch>
                            <a:fillRect/>
                          </a:stretch>
                        </pic:blipFill>
                        <pic:spPr>
                          <a:xfrm>
                            <a:off x="0" y="0"/>
                            <a:ext cx="540000" cy="540000"/>
                          </a:xfrm>
                          <a:prstGeom prst="rect">
                            <a:avLst/>
                          </a:prstGeom>
                        </pic:spPr>
                      </pic:pic>
                    </a:graphicData>
                  </a:graphic>
                </wp:inline>
              </w:drawing>
            </w:r>
          </w:p>
        </w:tc>
        <w:tc>
          <w:tcPr>
            <w:tcW w:w="7389" w:type="dxa"/>
            <w:shd w:val="clear" w:color="auto" w:fill="F2F2F2" w:themeFill="background1" w:themeFillShade="F2"/>
          </w:tcPr>
          <w:p w14:paraId="0D6CE819" w14:textId="77777777" w:rsidR="00C46AC9" w:rsidRPr="00587455" w:rsidRDefault="00C46AC9" w:rsidP="007D70CB">
            <w:pPr>
              <w:pStyle w:val="Heading5"/>
              <w:outlineLvl w:val="4"/>
              <w:rPr>
                <w:color w:val="000000" w:themeColor="text1"/>
                <w:sz w:val="22"/>
                <w:szCs w:val="22"/>
              </w:rPr>
            </w:pPr>
            <w:r w:rsidRPr="00587455">
              <w:rPr>
                <w:color w:val="000000" w:themeColor="text1"/>
                <w:sz w:val="22"/>
                <w:szCs w:val="22"/>
              </w:rPr>
              <w:t>Claiming carbon credits</w:t>
            </w:r>
          </w:p>
          <w:p w14:paraId="2610C400" w14:textId="76D10A70" w:rsidR="00C46AC9" w:rsidRPr="00587455" w:rsidRDefault="00C46AC9" w:rsidP="007A6F22">
            <w:pPr>
              <w:spacing w:before="160" w:after="160"/>
              <w:rPr>
                <w:color w:val="000000" w:themeColor="text1"/>
                <w:sz w:val="22"/>
                <w:szCs w:val="22"/>
              </w:rPr>
            </w:pPr>
            <w:r w:rsidRPr="00587455">
              <w:rPr>
                <w:color w:val="000000" w:themeColor="text1"/>
                <w:sz w:val="22"/>
                <w:szCs w:val="22"/>
              </w:rPr>
              <w:t xml:space="preserve">You can claim carbon credits each time you submit your offsets report </w:t>
            </w:r>
            <w:r w:rsidR="00D70CCD" w:rsidRPr="00587455">
              <w:rPr>
                <w:color w:val="000000" w:themeColor="text1"/>
                <w:sz w:val="22"/>
                <w:szCs w:val="22"/>
              </w:rPr>
              <w:t xml:space="preserve">if a net abatement amount has been </w:t>
            </w:r>
            <w:r w:rsidR="00E0097E" w:rsidRPr="00587455">
              <w:rPr>
                <w:color w:val="000000" w:themeColor="text1"/>
                <w:sz w:val="22"/>
                <w:szCs w:val="22"/>
              </w:rPr>
              <w:t>determined during the reporting period</w:t>
            </w:r>
          </w:p>
        </w:tc>
      </w:tr>
    </w:tbl>
    <w:p w14:paraId="36DBEFCD" w14:textId="7B2589F5" w:rsidR="00C4765E" w:rsidRDefault="00C4765E" w:rsidP="00587455">
      <w:pPr>
        <w:pStyle w:val="CERbullets"/>
        <w:numPr>
          <w:ilvl w:val="0"/>
          <w:numId w:val="0"/>
        </w:numPr>
        <w:ind w:left="360" w:hanging="360"/>
      </w:pPr>
      <w:bookmarkStart w:id="51" w:name="_Hlk32324801"/>
    </w:p>
    <w:p w14:paraId="6B446EAA" w14:textId="5E411BD6" w:rsidR="001D1BC8" w:rsidRPr="001D1BC8" w:rsidRDefault="001D1BC8" w:rsidP="00587455">
      <w:pPr>
        <w:pStyle w:val="CERbullets"/>
        <w:numPr>
          <w:ilvl w:val="0"/>
          <w:numId w:val="0"/>
        </w:numPr>
      </w:pPr>
      <w:r w:rsidRPr="001D1BC8">
        <w:rPr>
          <w:lang w:eastAsia="en-AU"/>
        </w:rPr>
        <w:t xml:space="preserve">You should provide an offsets report no later than </w:t>
      </w:r>
      <w:r w:rsidR="00B05F75">
        <w:rPr>
          <w:lang w:eastAsia="en-AU"/>
        </w:rPr>
        <w:t>6</w:t>
      </w:r>
      <w:r w:rsidRPr="001D1BC8">
        <w:rPr>
          <w:lang w:eastAsia="en-AU"/>
        </w:rPr>
        <w:t xml:space="preserve"> months after the end date of each reporting period. </w:t>
      </w:r>
    </w:p>
    <w:p w14:paraId="550BB860" w14:textId="7DFEE23A" w:rsidR="00C46AC9" w:rsidRPr="00E0097E" w:rsidRDefault="00C46AC9" w:rsidP="00336398">
      <w:pPr>
        <w:rPr>
          <w:color w:val="auto"/>
        </w:rPr>
      </w:pPr>
      <w:r w:rsidRPr="00E0097E">
        <w:rPr>
          <w:color w:val="auto"/>
        </w:rPr>
        <w:t xml:space="preserve">You can submit your offsets report through the </w:t>
      </w:r>
      <w:hyperlink r:id="rId22" w:history="1">
        <w:r w:rsidRPr="007D0340">
          <w:rPr>
            <w:rStyle w:val="Hyperlink"/>
            <w:szCs w:val="20"/>
          </w:rPr>
          <w:t>Clean Energy Regulator Client Portal</w:t>
        </w:r>
      </w:hyperlink>
      <w:r w:rsidR="00EE6F39" w:rsidRPr="00EE6F39">
        <w:rPr>
          <w:rStyle w:val="Hyperlink"/>
          <w:szCs w:val="20"/>
          <w:vertAlign w:val="superscript"/>
        </w:rPr>
        <w:fldChar w:fldCharType="begin"/>
      </w:r>
      <w:r w:rsidR="00EE6F39" w:rsidRPr="00EE6F39">
        <w:rPr>
          <w:rStyle w:val="Hyperlink"/>
          <w:szCs w:val="20"/>
          <w:vertAlign w:val="superscript"/>
        </w:rPr>
        <w:instrText xml:space="preserve"> NOTEREF _Ref63256801 \h </w:instrText>
      </w:r>
      <w:r w:rsidR="00EE6F39">
        <w:rPr>
          <w:rStyle w:val="Hyperlink"/>
          <w:szCs w:val="20"/>
          <w:vertAlign w:val="superscript"/>
        </w:rPr>
        <w:instrText xml:space="preserve"> \* MERGEFORMAT </w:instrText>
      </w:r>
      <w:r w:rsidR="00EE6F39" w:rsidRPr="00EE6F39">
        <w:rPr>
          <w:rStyle w:val="Hyperlink"/>
          <w:szCs w:val="20"/>
          <w:vertAlign w:val="superscript"/>
        </w:rPr>
      </w:r>
      <w:r w:rsidR="00EE6F39" w:rsidRPr="00EE6F39">
        <w:rPr>
          <w:rStyle w:val="Hyperlink"/>
          <w:szCs w:val="20"/>
          <w:vertAlign w:val="superscript"/>
        </w:rPr>
        <w:fldChar w:fldCharType="separate"/>
      </w:r>
      <w:r w:rsidR="00651484">
        <w:rPr>
          <w:rStyle w:val="Hyperlink"/>
          <w:szCs w:val="20"/>
          <w:vertAlign w:val="superscript"/>
        </w:rPr>
        <w:t>6</w:t>
      </w:r>
      <w:r w:rsidR="00EE6F39" w:rsidRPr="00EE6F39">
        <w:rPr>
          <w:rStyle w:val="Hyperlink"/>
          <w:szCs w:val="20"/>
          <w:vertAlign w:val="superscript"/>
        </w:rPr>
        <w:fldChar w:fldCharType="end"/>
      </w:r>
      <w:r w:rsidR="00EE6F39" w:rsidRPr="00EE6F39">
        <w:rPr>
          <w:rStyle w:val="Hyperlink"/>
          <w:color w:val="auto"/>
          <w:szCs w:val="20"/>
          <w:u w:val="none"/>
        </w:rPr>
        <w:t>.</w:t>
      </w:r>
      <w:r w:rsidR="00EE6F39" w:rsidRPr="00EE6F39">
        <w:rPr>
          <w:rStyle w:val="Hyperlink"/>
          <w:szCs w:val="20"/>
          <w:u w:val="none"/>
        </w:rPr>
        <w:t xml:space="preserve"> </w:t>
      </w:r>
      <w:r w:rsidR="00E0097E" w:rsidRPr="003C28A8">
        <w:rPr>
          <w:rStyle w:val="Hyperlink"/>
          <w:color w:val="auto"/>
          <w:u w:val="none"/>
        </w:rPr>
        <w:t>T</w:t>
      </w:r>
      <w:r w:rsidRPr="003C28A8">
        <w:rPr>
          <w:rStyle w:val="Hyperlink"/>
          <w:color w:val="auto"/>
          <w:u w:val="none"/>
        </w:rPr>
        <w:t>o be issued carbon credits</w:t>
      </w:r>
      <w:r w:rsidR="00D950EC" w:rsidRPr="00D950EC">
        <w:rPr>
          <w:color w:val="auto"/>
        </w:rPr>
        <w:t xml:space="preserve"> </w:t>
      </w:r>
      <w:r w:rsidR="00D950EC">
        <w:rPr>
          <w:color w:val="auto"/>
        </w:rPr>
        <w:t>y</w:t>
      </w:r>
      <w:r w:rsidRPr="00E0097E">
        <w:rPr>
          <w:color w:val="auto"/>
        </w:rPr>
        <w:t xml:space="preserve">ou’ll need to </w:t>
      </w:r>
      <w:hyperlink r:id="rId23" w:history="1">
        <w:r w:rsidRPr="007D0340">
          <w:rPr>
            <w:rStyle w:val="Hyperlink"/>
            <w:szCs w:val="20"/>
          </w:rPr>
          <w:t>set up an Australian National Registry of Emissions Units (ANREU) account</w:t>
        </w:r>
      </w:hyperlink>
      <w:r w:rsidRPr="00E0097E">
        <w:rPr>
          <w:rStyle w:val="FootnoteReference"/>
          <w:color w:val="auto"/>
        </w:rPr>
        <w:footnoteReference w:id="16"/>
      </w:r>
      <w:r w:rsidRPr="00E0097E">
        <w:rPr>
          <w:color w:val="auto"/>
        </w:rPr>
        <w:t>.</w:t>
      </w:r>
    </w:p>
    <w:bookmarkEnd w:id="51"/>
    <w:p w14:paraId="3DAD1204" w14:textId="0F69C7CF" w:rsidR="00C46AC9" w:rsidRDefault="00C46AC9" w:rsidP="00336398">
      <w:pPr>
        <w:rPr>
          <w:color w:val="auto"/>
        </w:rPr>
      </w:pPr>
      <w:r w:rsidRPr="20F7574B">
        <w:rPr>
          <w:color w:val="auto"/>
        </w:rPr>
        <w:t xml:space="preserve">We will assess your offsets report within </w:t>
      </w:r>
      <w:r w:rsidR="00870952">
        <w:rPr>
          <w:color w:val="auto"/>
        </w:rPr>
        <w:t>90</w:t>
      </w:r>
      <w:r w:rsidR="00B9561D" w:rsidRPr="20F7574B">
        <w:rPr>
          <w:color w:val="auto"/>
        </w:rPr>
        <w:t xml:space="preserve"> </w:t>
      </w:r>
      <w:r w:rsidRPr="20F7574B">
        <w:rPr>
          <w:color w:val="auto"/>
        </w:rPr>
        <w:t xml:space="preserve">days unless further information is required. If we assess everything to be in order, we will issue your </w:t>
      </w:r>
      <w:r w:rsidR="002E5940">
        <w:rPr>
          <w:color w:val="auto"/>
        </w:rPr>
        <w:t xml:space="preserve">carbon credits </w:t>
      </w:r>
      <w:r w:rsidRPr="20F7574B">
        <w:rPr>
          <w:color w:val="auto"/>
        </w:rPr>
        <w:t>into your ANREU account.</w:t>
      </w:r>
    </w:p>
    <w:p w14:paraId="79E52C17" w14:textId="76D959FE" w:rsidR="007C31B0" w:rsidRDefault="007C31B0" w:rsidP="007C31B0">
      <w:pPr>
        <w:pStyle w:val="Heading2"/>
      </w:pPr>
      <w:bookmarkStart w:id="52" w:name="_Toc85030353"/>
      <w:r>
        <w:t>Audit</w:t>
      </w:r>
      <w:r w:rsidR="0069460A">
        <w:t>ing requirements</w:t>
      </w:r>
      <w:bookmarkEnd w:id="52"/>
    </w:p>
    <w:p w14:paraId="6919B47E" w14:textId="698F1FFE" w:rsidR="0069460A" w:rsidRDefault="0069460A" w:rsidP="0069460A">
      <w:r>
        <w:t xml:space="preserve">Your project needs to be audited to align with our legislative requirements. The number of audits required over the crediting period will depend on the project size and the forward abatement estimate. Most </w:t>
      </w:r>
      <w:r w:rsidR="0062544D">
        <w:t>biomethane</w:t>
      </w:r>
      <w:r>
        <w:t xml:space="preserve"> projects will require </w:t>
      </w:r>
      <w:r w:rsidRPr="00D377D6">
        <w:t>three</w:t>
      </w:r>
      <w:r>
        <w:t xml:space="preserve"> audits, including one with the first report. </w:t>
      </w:r>
    </w:p>
    <w:p w14:paraId="1A2E223D" w14:textId="0B9E5191" w:rsidR="0069460A" w:rsidRDefault="0069460A" w:rsidP="0069460A">
      <w:r>
        <w:t>Each audit report is submitted at the same time you apply for carbon credits.</w:t>
      </w:r>
      <w:r w:rsidRPr="00974C17">
        <w:t xml:space="preserve"> </w:t>
      </w:r>
      <w:r>
        <w:t xml:space="preserve">We will provide you with an </w:t>
      </w:r>
      <w:r w:rsidRPr="005D4DE1">
        <w:t>audit schedule</w:t>
      </w:r>
      <w:r>
        <w:t xml:space="preserve"> when your project is registered. It will tell you which reports need to include audits. For example: “</w:t>
      </w:r>
      <w:r w:rsidRPr="00B00504">
        <w:rPr>
          <w:i/>
        </w:rPr>
        <w:t>Audit 2: First project report submitted after 25/07/2024</w:t>
      </w:r>
      <w:r>
        <w:t>”.</w:t>
      </w:r>
    </w:p>
    <w:p w14:paraId="76E4372D" w14:textId="77777777" w:rsidR="0069460A" w:rsidRDefault="0069460A" w:rsidP="0062544D">
      <w:pPr>
        <w:pStyle w:val="Heading3"/>
      </w:pPr>
      <w:bookmarkStart w:id="53" w:name="_Toc85030354"/>
      <w:r>
        <w:t>Engaging auditors</w:t>
      </w:r>
      <w:bookmarkEnd w:id="53"/>
    </w:p>
    <w:p w14:paraId="488C8D65" w14:textId="3639B3AC" w:rsidR="007C31B0" w:rsidRPr="007C31B0" w:rsidRDefault="0069460A" w:rsidP="007C31B0">
      <w:r w:rsidRPr="006601E4">
        <w:t xml:space="preserve">We recommend </w:t>
      </w:r>
      <w:r>
        <w:t>you engage an</w:t>
      </w:r>
      <w:r w:rsidRPr="006601E4">
        <w:t xml:space="preserve"> auditor</w:t>
      </w:r>
      <w:r>
        <w:t xml:space="preserve"> early</w:t>
      </w:r>
      <w:r w:rsidRPr="006601E4">
        <w:t xml:space="preserve"> when developing your project</w:t>
      </w:r>
      <w:r>
        <w:t>, as t</w:t>
      </w:r>
      <w:r w:rsidRPr="006601E4">
        <w:t>his</w:t>
      </w:r>
      <w:r>
        <w:t xml:space="preserve"> will</w:t>
      </w:r>
      <w:r w:rsidRPr="006601E4">
        <w:t xml:space="preserve"> </w:t>
      </w:r>
      <w:r>
        <w:t>help you work out</w:t>
      </w:r>
      <w:r w:rsidRPr="006601E4">
        <w:t xml:space="preserve"> </w:t>
      </w:r>
      <w:r>
        <w:t xml:space="preserve">audit </w:t>
      </w:r>
      <w:r w:rsidRPr="006601E4">
        <w:t>costs</w:t>
      </w:r>
      <w:r>
        <w:t xml:space="preserve">. You can find a list of </w:t>
      </w:r>
      <w:hyperlink r:id="rId24" w:history="1">
        <w:r w:rsidRPr="00735E14">
          <w:rPr>
            <w:rStyle w:val="Hyperlink"/>
          </w:rPr>
          <w:t>register</w:t>
        </w:r>
        <w:r>
          <w:rPr>
            <w:rStyle w:val="Hyperlink"/>
          </w:rPr>
          <w:t>ed</w:t>
        </w:r>
        <w:r w:rsidRPr="00735E14">
          <w:rPr>
            <w:rStyle w:val="Hyperlink"/>
          </w:rPr>
          <w:t xml:space="preserve"> auditors</w:t>
        </w:r>
      </w:hyperlink>
      <w:r w:rsidRPr="00561A2E">
        <w:rPr>
          <w:rStyle w:val="FootnoteReference"/>
        </w:rPr>
        <w:footnoteReference w:id="17"/>
      </w:r>
      <w:r>
        <w:t xml:space="preserve"> on our website. </w:t>
      </w:r>
    </w:p>
    <w:p w14:paraId="536A429B" w14:textId="6D14C351" w:rsidR="00154284" w:rsidRDefault="00154284" w:rsidP="00154284">
      <w:pPr>
        <w:pStyle w:val="Heading1"/>
      </w:pPr>
      <w:bookmarkStart w:id="54" w:name="_Toc85030355"/>
      <w:r>
        <w:t>Other matters</w:t>
      </w:r>
      <w:bookmarkEnd w:id="54"/>
    </w:p>
    <w:p w14:paraId="0C9A7497" w14:textId="77777777" w:rsidR="001612D2" w:rsidRPr="00154284" w:rsidRDefault="001612D2" w:rsidP="00154284">
      <w:pPr>
        <w:pStyle w:val="Heading2"/>
      </w:pPr>
      <w:bookmarkStart w:id="55" w:name="_Toc85030356"/>
      <w:r w:rsidRPr="00154284">
        <w:t>Notification requirements</w:t>
      </w:r>
      <w:bookmarkEnd w:id="55"/>
    </w:p>
    <w:p w14:paraId="1C778C31" w14:textId="76ACD63C" w:rsidR="001612D2" w:rsidRPr="00362A54" w:rsidRDefault="001612D2" w:rsidP="00336398">
      <w:pPr>
        <w:rPr>
          <w:color w:val="000000" w:themeColor="text1"/>
        </w:rPr>
      </w:pPr>
      <w:r w:rsidRPr="001E415F">
        <w:t>You will need to notify us if your project changes</w:t>
      </w:r>
      <w:r w:rsidR="0034560E">
        <w:t xml:space="preserve">, for example, </w:t>
      </w:r>
      <w:r>
        <w:t>if the person running the project changes</w:t>
      </w:r>
      <w:r w:rsidRPr="001E415F">
        <w:t>.</w:t>
      </w:r>
      <w:r w:rsidRPr="0087693A">
        <w:rPr>
          <w:b/>
        </w:rPr>
        <w:t xml:space="preserve"> </w:t>
      </w:r>
      <w:r w:rsidR="00362A54">
        <w:rPr>
          <w:b/>
        </w:rPr>
        <w:t xml:space="preserve">Appendix 2: Notification requirements </w:t>
      </w:r>
      <w:r w:rsidRPr="00362A54">
        <w:rPr>
          <w:color w:val="000000" w:themeColor="text1"/>
        </w:rPr>
        <w:t xml:space="preserve">lists events that </w:t>
      </w:r>
      <w:r w:rsidR="00FB4430">
        <w:rPr>
          <w:color w:val="000000" w:themeColor="text1"/>
        </w:rPr>
        <w:t xml:space="preserve">you </w:t>
      </w:r>
      <w:r w:rsidRPr="00362A54">
        <w:rPr>
          <w:color w:val="000000" w:themeColor="text1"/>
        </w:rPr>
        <w:t xml:space="preserve">need </w:t>
      </w:r>
      <w:r w:rsidR="002E5940">
        <w:rPr>
          <w:color w:val="000000" w:themeColor="text1"/>
        </w:rPr>
        <w:t xml:space="preserve">to notify the Clean Energy Regulator about </w:t>
      </w:r>
      <w:r w:rsidRPr="00362A54">
        <w:rPr>
          <w:color w:val="000000" w:themeColor="text1"/>
        </w:rPr>
        <w:t>and how long you have to</w:t>
      </w:r>
      <w:r w:rsidR="004E3EAB">
        <w:rPr>
          <w:color w:val="000000" w:themeColor="text1"/>
        </w:rPr>
        <w:t xml:space="preserve"> provide that</w:t>
      </w:r>
      <w:r w:rsidRPr="00362A54">
        <w:rPr>
          <w:color w:val="000000" w:themeColor="text1"/>
        </w:rPr>
        <w:t xml:space="preserve"> notif</w:t>
      </w:r>
      <w:r w:rsidR="004E3EAB">
        <w:rPr>
          <w:color w:val="000000" w:themeColor="text1"/>
        </w:rPr>
        <w:t>ication</w:t>
      </w:r>
      <w:r w:rsidRPr="00362A54">
        <w:rPr>
          <w:color w:val="000000" w:themeColor="text1"/>
        </w:rPr>
        <w:t>.</w:t>
      </w:r>
    </w:p>
    <w:p w14:paraId="3149E448" w14:textId="5F5CF44D" w:rsidR="001612D2" w:rsidRDefault="001612D2" w:rsidP="00154284">
      <w:pPr>
        <w:pStyle w:val="Heading2"/>
      </w:pPr>
      <w:bookmarkStart w:id="56" w:name="_Toc85030357"/>
      <w:r>
        <w:t>Making changes to your project</w:t>
      </w:r>
      <w:bookmarkEnd w:id="56"/>
    </w:p>
    <w:p w14:paraId="7AC765A2" w14:textId="70404DDF" w:rsidR="001612D2" w:rsidRDefault="001612D2" w:rsidP="006544EC">
      <w:pPr>
        <w:pStyle w:val="CERbullets"/>
      </w:pPr>
      <w:r>
        <w:t>You can make changes to your project to adjust for changing circumstances</w:t>
      </w:r>
      <w:r w:rsidR="001B04C2">
        <w:t xml:space="preserve">, such as varying </w:t>
      </w:r>
      <w:r w:rsidR="0031650D">
        <w:t>the proponent for your project</w:t>
      </w:r>
      <w:r>
        <w:t xml:space="preserve">. </w:t>
      </w:r>
    </w:p>
    <w:p w14:paraId="725D0D49" w14:textId="4FE83418" w:rsidR="00F61D43" w:rsidRDefault="001612D2" w:rsidP="00336398">
      <w:pPr>
        <w:rPr>
          <w:color w:val="000000" w:themeColor="text1"/>
        </w:rPr>
      </w:pPr>
      <w:r>
        <w:t xml:space="preserve">To make changes (variations) to your project, you will need to complete a Project Variation form, located in the </w:t>
      </w:r>
      <w:hyperlink r:id="rId25" w:history="1">
        <w:r w:rsidRPr="00240AE3">
          <w:rPr>
            <w:rStyle w:val="Hyperlink"/>
          </w:rPr>
          <w:t>Clean Energy Regulator Client Portal</w:t>
        </w:r>
      </w:hyperlink>
      <w:r w:rsidR="00195753" w:rsidRPr="00195753">
        <w:rPr>
          <w:rStyle w:val="Hyperlink"/>
          <w:vertAlign w:val="superscript"/>
        </w:rPr>
        <w:fldChar w:fldCharType="begin"/>
      </w:r>
      <w:r w:rsidR="00195753" w:rsidRPr="00195753">
        <w:rPr>
          <w:rStyle w:val="Hyperlink"/>
          <w:vertAlign w:val="superscript"/>
        </w:rPr>
        <w:instrText xml:space="preserve"> NOTEREF _Ref63256801 \h  \* MERGEFORMAT </w:instrText>
      </w:r>
      <w:r w:rsidR="00195753" w:rsidRPr="00195753">
        <w:rPr>
          <w:rStyle w:val="Hyperlink"/>
          <w:vertAlign w:val="superscript"/>
        </w:rPr>
      </w:r>
      <w:r w:rsidR="00195753" w:rsidRPr="00195753">
        <w:rPr>
          <w:rStyle w:val="Hyperlink"/>
          <w:vertAlign w:val="superscript"/>
        </w:rPr>
        <w:fldChar w:fldCharType="separate"/>
      </w:r>
      <w:r w:rsidR="00651484">
        <w:rPr>
          <w:rStyle w:val="Hyperlink"/>
          <w:vertAlign w:val="superscript"/>
        </w:rPr>
        <w:t>6</w:t>
      </w:r>
      <w:r w:rsidR="00195753" w:rsidRPr="00195753">
        <w:rPr>
          <w:rStyle w:val="Hyperlink"/>
          <w:vertAlign w:val="superscript"/>
        </w:rPr>
        <w:fldChar w:fldCharType="end"/>
      </w:r>
      <w:r>
        <w:t xml:space="preserve">. </w:t>
      </w:r>
      <w:r w:rsidRPr="003C28A8">
        <w:rPr>
          <w:color w:val="000000" w:themeColor="text1"/>
        </w:rPr>
        <w:t>See</w:t>
      </w:r>
      <w:r w:rsidR="00362A54">
        <w:rPr>
          <w:color w:val="000000" w:themeColor="text1"/>
        </w:rPr>
        <w:t xml:space="preserve"> </w:t>
      </w:r>
      <w:r w:rsidR="00362A54">
        <w:rPr>
          <w:b/>
          <w:bCs/>
          <w:color w:val="000000" w:themeColor="text1"/>
        </w:rPr>
        <w:t>Appendix 3: Project variations</w:t>
      </w:r>
      <w:r w:rsidRPr="00E86ECB">
        <w:rPr>
          <w:color w:val="000000" w:themeColor="text1"/>
        </w:rPr>
        <w:t xml:space="preserve"> for a summary of allowed changes and information requirements.</w:t>
      </w:r>
    </w:p>
    <w:p w14:paraId="2DC90CF3" w14:textId="04A136A0" w:rsidR="00506924" w:rsidRDefault="00EB5522" w:rsidP="00EB5522">
      <w:pPr>
        <w:pStyle w:val="Heading2"/>
      </w:pPr>
      <w:bookmarkStart w:id="57" w:name="_Toc85030358"/>
      <w:r>
        <w:t xml:space="preserve">National Greenhouse and Energy Reporting </w:t>
      </w:r>
      <w:r w:rsidR="0064502B">
        <w:t xml:space="preserve">and safeguard mechanism </w:t>
      </w:r>
      <w:r>
        <w:t>interactions</w:t>
      </w:r>
      <w:bookmarkEnd w:id="57"/>
    </w:p>
    <w:p w14:paraId="37B95737" w14:textId="3398ABEB" w:rsidR="00DE461D" w:rsidRPr="00DE461D" w:rsidRDefault="00DE461D" w:rsidP="00DE461D">
      <w:pPr>
        <w:pStyle w:val="Heading3"/>
      </w:pPr>
      <w:bookmarkStart w:id="58" w:name="_Toc85030359"/>
      <w:r>
        <w:t>National Greenhouse and Energy Reporting</w:t>
      </w:r>
      <w:bookmarkEnd w:id="58"/>
    </w:p>
    <w:p w14:paraId="079E6A12" w14:textId="314EB734" w:rsidR="00933141" w:rsidRDefault="00195753" w:rsidP="00EF5552">
      <w:r>
        <w:t xml:space="preserve">The National Greenhouse and Energy Reporting (NGER) scheme is </w:t>
      </w:r>
      <w:r w:rsidR="00933141">
        <w:t>Australia’s national framework for reporting and publishing company information about greenhouse gas emissions, energy consumption and energy production.</w:t>
      </w:r>
      <w:r w:rsidR="00303D64">
        <w:t xml:space="preserve"> </w:t>
      </w:r>
    </w:p>
    <w:p w14:paraId="78FE46A2" w14:textId="185169B9" w:rsidR="00292C08" w:rsidRDefault="005C5D91" w:rsidP="00EF5552">
      <w:r>
        <w:t>T</w:t>
      </w:r>
      <w:r w:rsidR="00A77642">
        <w:t xml:space="preserve">he </w:t>
      </w:r>
      <w:r w:rsidR="00292C08">
        <w:t>NGER scheme</w:t>
      </w:r>
      <w:r w:rsidR="00A77642">
        <w:t xml:space="preserve"> </w:t>
      </w:r>
      <w:r>
        <w:t>requires companies and facilities with emissions over set thresholds to report their energy consumption emissions.</w:t>
      </w:r>
      <w:r w:rsidR="007F3384">
        <w:t xml:space="preserve"> However</w:t>
      </w:r>
      <w:r w:rsidR="004A0C1A">
        <w:t>,</w:t>
      </w:r>
      <w:r w:rsidR="007F3384">
        <w:t xml:space="preserve"> at the time of </w:t>
      </w:r>
      <w:r w:rsidR="00510000">
        <w:t xml:space="preserve">publication </w:t>
      </w:r>
      <w:r w:rsidR="007F3384">
        <w:t xml:space="preserve">there is no emissions factor for the combustion of biomethane </w:t>
      </w:r>
      <w:r w:rsidR="00030DDE">
        <w:t xml:space="preserve">used by </w:t>
      </w:r>
      <w:r w:rsidR="007F3384">
        <w:t xml:space="preserve">a facility. This means that facilities </w:t>
      </w:r>
      <w:r w:rsidR="004A11F4">
        <w:t>that wish to buy biomethane may not be able to report emissions reduction from its use, compared to regular natural gas.</w:t>
      </w:r>
    </w:p>
    <w:p w14:paraId="1020E922" w14:textId="57F4D290" w:rsidR="004A11F4" w:rsidRDefault="004A11F4" w:rsidP="00EF5552">
      <w:r>
        <w:t>The Department of Industry, Science, Energy and Resources</w:t>
      </w:r>
      <w:r w:rsidR="00096A52">
        <w:t xml:space="preserve"> is </w:t>
      </w:r>
      <w:r w:rsidR="00263A98">
        <w:t xml:space="preserve">considering how </w:t>
      </w:r>
      <w:r w:rsidR="00096A52">
        <w:t xml:space="preserve">pipeline biomethane </w:t>
      </w:r>
      <w:r w:rsidR="00263A98">
        <w:t xml:space="preserve">might </w:t>
      </w:r>
      <w:r w:rsidR="00096A52">
        <w:t>be accounted for under the NGER scheme.</w:t>
      </w:r>
    </w:p>
    <w:p w14:paraId="682F0754" w14:textId="05D369AF" w:rsidR="00DE461D" w:rsidRDefault="00DE461D" w:rsidP="00DE461D">
      <w:pPr>
        <w:pStyle w:val="Heading3"/>
      </w:pPr>
      <w:bookmarkStart w:id="59" w:name="_Toc85030360"/>
      <w:r>
        <w:t>Safeguard mechanism</w:t>
      </w:r>
      <w:bookmarkEnd w:id="59"/>
    </w:p>
    <w:p w14:paraId="3859AB60" w14:textId="24AB765C" w:rsidR="004A0C1A" w:rsidRDefault="00933141" w:rsidP="00EF5552">
      <w:r>
        <w:t xml:space="preserve">The safeguard mechanism </w:t>
      </w:r>
      <w:r w:rsidR="00096A52">
        <w:t>creates incentives for very large emitting facilities</w:t>
      </w:r>
      <w:r w:rsidR="00691283">
        <w:t xml:space="preserve">, known as ‘safeguard facilities’, </w:t>
      </w:r>
      <w:r w:rsidR="00096A52">
        <w:t xml:space="preserve">to keep their emissions below a </w:t>
      </w:r>
      <w:r w:rsidR="003E6369">
        <w:t xml:space="preserve">baseline </w:t>
      </w:r>
      <w:r w:rsidR="00096A52">
        <w:t xml:space="preserve">emissions level. </w:t>
      </w:r>
      <w:r w:rsidR="00691283">
        <w:t>Safeguard facilities must periodically report on their emissions based on their net emissions number</w:t>
      </w:r>
      <w:r w:rsidR="003E6369">
        <w:t xml:space="preserve"> and surrender ACCUs if their emissions exceed the facility’s baseline</w:t>
      </w:r>
      <w:r w:rsidR="00691283">
        <w:t>.</w:t>
      </w:r>
      <w:r w:rsidR="004A0C1A">
        <w:t xml:space="preserve"> </w:t>
      </w:r>
    </w:p>
    <w:p w14:paraId="4E1EEDC7" w14:textId="02041302" w:rsidR="0032106A" w:rsidRDefault="0032106A" w:rsidP="0032106A">
      <w:r>
        <w:t xml:space="preserve">The Clean Energy Regulator will develop further advice on how the safeguard mechanism will operate for biomethane projects. </w:t>
      </w:r>
    </w:p>
    <w:p w14:paraId="74EF96A5" w14:textId="77777777" w:rsidR="00506924" w:rsidRDefault="00506924" w:rsidP="00506924">
      <w:pPr>
        <w:pStyle w:val="Heading1"/>
      </w:pPr>
      <w:bookmarkStart w:id="60" w:name="_Toc85030361"/>
      <w:r>
        <w:t>Disclaimer</w:t>
      </w:r>
      <w:bookmarkEnd w:id="60"/>
    </w:p>
    <w:p w14:paraId="20BFB0D5" w14:textId="4DE851DB" w:rsidR="0076415C" w:rsidRDefault="00510000" w:rsidP="005A5D9E">
      <w:r w:rsidRPr="00B1308C">
        <w:rPr>
          <w:rFonts w:eastAsiaTheme="minorHAnsi"/>
          <w:i/>
          <w:iCs/>
          <w:color w:val="auto"/>
          <w:szCs w:val="22"/>
        </w:rPr>
        <w:t xml:space="preserve">This </w:t>
      </w:r>
      <w:r w:rsidRPr="00B1308C">
        <w:rPr>
          <w:i/>
          <w:iCs/>
        </w:rPr>
        <w:t>document</w:t>
      </w:r>
      <w:r w:rsidRPr="00B1308C">
        <w:rPr>
          <w:rFonts w:eastAsiaTheme="minorHAnsi"/>
          <w:i/>
          <w:iCs/>
          <w:color w:val="auto"/>
          <w:spacing w:val="-2"/>
          <w:szCs w:val="22"/>
        </w:rPr>
        <w:t xml:space="preserve"> </w:t>
      </w:r>
      <w:r w:rsidRPr="00B1308C">
        <w:rPr>
          <w:rFonts w:eastAsiaTheme="minorHAnsi"/>
          <w:i/>
          <w:iCs/>
          <w:color w:val="auto"/>
          <w:szCs w:val="22"/>
        </w:rPr>
        <w:t>is provided</w:t>
      </w:r>
      <w:r w:rsidRPr="00B1308C">
        <w:rPr>
          <w:rFonts w:eastAsiaTheme="minorHAnsi"/>
          <w:i/>
          <w:iCs/>
          <w:color w:val="auto"/>
          <w:spacing w:val="-3"/>
          <w:szCs w:val="22"/>
        </w:rPr>
        <w:t xml:space="preserve"> </w:t>
      </w:r>
      <w:r w:rsidRPr="00B1308C">
        <w:rPr>
          <w:rFonts w:eastAsiaTheme="minorHAnsi"/>
          <w:i/>
          <w:iCs/>
          <w:color w:val="auto"/>
          <w:szCs w:val="22"/>
        </w:rPr>
        <w:t>to</w:t>
      </w:r>
      <w:r w:rsidRPr="00B1308C">
        <w:rPr>
          <w:rFonts w:eastAsiaTheme="minorHAnsi"/>
          <w:i/>
          <w:iCs/>
          <w:color w:val="auto"/>
          <w:spacing w:val="1"/>
          <w:szCs w:val="22"/>
        </w:rPr>
        <w:t xml:space="preserve"> </w:t>
      </w:r>
      <w:r w:rsidRPr="00B1308C">
        <w:rPr>
          <w:rFonts w:eastAsiaTheme="minorHAnsi"/>
          <w:i/>
          <w:iCs/>
          <w:color w:val="auto"/>
          <w:szCs w:val="22"/>
        </w:rPr>
        <w:t>stakeholders</w:t>
      </w:r>
      <w:r w:rsidRPr="00B1308C">
        <w:rPr>
          <w:rFonts w:eastAsiaTheme="minorHAnsi"/>
          <w:i/>
          <w:iCs/>
          <w:color w:val="auto"/>
          <w:spacing w:val="-2"/>
          <w:szCs w:val="22"/>
        </w:rPr>
        <w:t xml:space="preserve"> </w:t>
      </w:r>
      <w:r w:rsidRPr="00B1308C">
        <w:rPr>
          <w:rFonts w:eastAsiaTheme="minorHAnsi"/>
          <w:i/>
          <w:iCs/>
          <w:color w:val="auto"/>
          <w:szCs w:val="22"/>
        </w:rPr>
        <w:t>as part</w:t>
      </w:r>
      <w:r w:rsidRPr="00B1308C">
        <w:rPr>
          <w:rFonts w:eastAsiaTheme="minorHAnsi"/>
          <w:i/>
          <w:iCs/>
          <w:color w:val="auto"/>
          <w:spacing w:val="-2"/>
          <w:szCs w:val="22"/>
        </w:rPr>
        <w:t xml:space="preserve"> </w:t>
      </w:r>
      <w:r w:rsidRPr="00B1308C">
        <w:rPr>
          <w:rFonts w:eastAsiaTheme="minorHAnsi"/>
          <w:i/>
          <w:iCs/>
          <w:color w:val="auto"/>
          <w:szCs w:val="22"/>
        </w:rPr>
        <w:t>of</w:t>
      </w:r>
      <w:r w:rsidRPr="00B1308C">
        <w:rPr>
          <w:rFonts w:eastAsiaTheme="minorHAnsi"/>
          <w:i/>
          <w:iCs/>
          <w:color w:val="auto"/>
          <w:spacing w:val="-2"/>
          <w:szCs w:val="22"/>
        </w:rPr>
        <w:t xml:space="preserve"> </w:t>
      </w:r>
      <w:r w:rsidR="0034560E">
        <w:rPr>
          <w:rFonts w:eastAsiaTheme="minorHAnsi"/>
          <w:i/>
          <w:iCs/>
          <w:color w:val="auto"/>
          <w:spacing w:val="-2"/>
          <w:szCs w:val="22"/>
        </w:rPr>
        <w:t>the</w:t>
      </w:r>
      <w:r w:rsidRPr="00B1308C">
        <w:rPr>
          <w:rFonts w:eastAsiaTheme="minorHAnsi"/>
          <w:i/>
          <w:iCs/>
          <w:color w:val="auto"/>
          <w:spacing w:val="-2"/>
          <w:szCs w:val="22"/>
        </w:rPr>
        <w:t xml:space="preserve"> </w:t>
      </w:r>
      <w:r w:rsidRPr="00B1308C">
        <w:rPr>
          <w:rFonts w:eastAsiaTheme="minorHAnsi"/>
          <w:i/>
          <w:iCs/>
          <w:color w:val="auto"/>
          <w:szCs w:val="22"/>
        </w:rPr>
        <w:t>consultation process</w:t>
      </w:r>
      <w:r w:rsidRPr="00B1308C">
        <w:rPr>
          <w:rFonts w:eastAsiaTheme="minorHAnsi"/>
          <w:i/>
          <w:iCs/>
          <w:color w:val="auto"/>
          <w:spacing w:val="-2"/>
          <w:szCs w:val="22"/>
        </w:rPr>
        <w:t xml:space="preserve"> </w:t>
      </w:r>
      <w:r w:rsidR="0034560E">
        <w:rPr>
          <w:rFonts w:eastAsiaTheme="minorHAnsi"/>
          <w:i/>
          <w:iCs/>
          <w:color w:val="auto"/>
          <w:spacing w:val="-2"/>
          <w:szCs w:val="22"/>
        </w:rPr>
        <w:t xml:space="preserve">to develop </w:t>
      </w:r>
      <w:r w:rsidRPr="00B1308C">
        <w:rPr>
          <w:rFonts w:eastAsiaTheme="minorHAnsi"/>
          <w:i/>
          <w:iCs/>
          <w:color w:val="auto"/>
          <w:szCs w:val="22"/>
        </w:rPr>
        <w:t>a</w:t>
      </w:r>
      <w:r w:rsidR="00B1308C" w:rsidRPr="00B1308C">
        <w:rPr>
          <w:rFonts w:eastAsiaTheme="minorHAnsi"/>
          <w:i/>
          <w:iCs/>
          <w:color w:val="auto"/>
          <w:szCs w:val="22"/>
        </w:rPr>
        <w:t xml:space="preserve"> </w:t>
      </w:r>
      <w:r w:rsidRPr="00B1308C">
        <w:rPr>
          <w:rFonts w:eastAsiaTheme="minorHAnsi"/>
          <w:i/>
          <w:iCs/>
          <w:color w:val="auto"/>
          <w:szCs w:val="22"/>
        </w:rPr>
        <w:t>proposed</w:t>
      </w:r>
      <w:r w:rsidRPr="00B1308C">
        <w:rPr>
          <w:rFonts w:eastAsiaTheme="minorHAnsi"/>
          <w:i/>
          <w:iCs/>
          <w:color w:val="auto"/>
          <w:spacing w:val="-1"/>
          <w:szCs w:val="22"/>
        </w:rPr>
        <w:t xml:space="preserve"> biomethane </w:t>
      </w:r>
      <w:r w:rsidRPr="00B1308C">
        <w:rPr>
          <w:rFonts w:eastAsiaTheme="minorHAnsi"/>
          <w:i/>
          <w:iCs/>
          <w:color w:val="auto"/>
          <w:szCs w:val="22"/>
        </w:rPr>
        <w:t xml:space="preserve">method package. </w:t>
      </w:r>
      <w:r w:rsidRPr="00B1308C">
        <w:rPr>
          <w:i/>
          <w:iCs/>
          <w:lang w:val="en-US"/>
        </w:rPr>
        <w:t xml:space="preserve">The proposals contained in this document are intended only as a basis for </w:t>
      </w:r>
      <w:r w:rsidR="0034560E">
        <w:rPr>
          <w:i/>
          <w:iCs/>
          <w:lang w:val="en-US"/>
        </w:rPr>
        <w:t>public consultation</w:t>
      </w:r>
      <w:r w:rsidRPr="00B1308C">
        <w:rPr>
          <w:i/>
          <w:iCs/>
          <w:lang w:val="en-US"/>
        </w:rPr>
        <w:t>.</w:t>
      </w:r>
      <w:r w:rsidR="005A5D9E">
        <w:rPr>
          <w:i/>
          <w:iCs/>
          <w:lang w:val="en-US"/>
        </w:rPr>
        <w:t xml:space="preserve"> </w:t>
      </w:r>
      <w:r w:rsidR="0076415C">
        <w:br w:type="page"/>
      </w:r>
    </w:p>
    <w:p w14:paraId="7F091FFE" w14:textId="1AD9EBC4" w:rsidR="00506924" w:rsidRDefault="0076415C" w:rsidP="00DB2674">
      <w:pPr>
        <w:pStyle w:val="Heading1"/>
      </w:pPr>
      <w:bookmarkStart w:id="61" w:name="_Toc85030362"/>
      <w:r>
        <w:t xml:space="preserve">Appendix 1 – Eligibility </w:t>
      </w:r>
      <w:r w:rsidR="006F7EC5">
        <w:t>requirements</w:t>
      </w:r>
      <w:bookmarkEnd w:id="61"/>
    </w:p>
    <w:p w14:paraId="4DEA842B" w14:textId="6BDCA9C0" w:rsidR="0076415C" w:rsidRDefault="002A122E" w:rsidP="001612D2">
      <w:r w:rsidRPr="00661742">
        <w:fldChar w:fldCharType="begin"/>
      </w:r>
      <w:r w:rsidRPr="002A122E">
        <w:instrText xml:space="preserve"> REF _Ref72319925 \h </w:instrText>
      </w:r>
      <w:r w:rsidRPr="00DE4C78">
        <w:instrText xml:space="preserve"> \* MERGEFORMAT </w:instrText>
      </w:r>
      <w:r w:rsidRPr="00661742">
        <w:fldChar w:fldCharType="separate"/>
      </w:r>
      <w:r w:rsidR="00DE4C78" w:rsidRPr="009B3715">
        <w:rPr>
          <w:color w:val="auto"/>
          <w:szCs w:val="22"/>
        </w:rPr>
        <w:t xml:space="preserve">Table </w:t>
      </w:r>
      <w:r w:rsidR="00DE4C78" w:rsidRPr="009B3715">
        <w:rPr>
          <w:noProof/>
          <w:color w:val="auto"/>
          <w:szCs w:val="22"/>
        </w:rPr>
        <w:t>3</w:t>
      </w:r>
      <w:r w:rsidRPr="00661742">
        <w:fldChar w:fldCharType="end"/>
      </w:r>
      <w:r w:rsidR="0076415C">
        <w:t xml:space="preserve"> summarises the eligible wastes under </w:t>
      </w:r>
      <w:r w:rsidR="002853A5">
        <w:t xml:space="preserve">the 3 </w:t>
      </w:r>
      <w:r w:rsidR="0076415C">
        <w:t>method</w:t>
      </w:r>
      <w:r w:rsidR="002853A5">
        <w:t xml:space="preserve">s in the </w:t>
      </w:r>
      <w:r w:rsidR="0034560E">
        <w:t xml:space="preserve">proposed </w:t>
      </w:r>
      <w:r w:rsidR="002853A5">
        <w:t xml:space="preserve">biomethane method </w:t>
      </w:r>
      <w:r w:rsidR="00CA101B">
        <w:t>package. Wastes</w:t>
      </w:r>
      <w:r w:rsidR="00FB4430">
        <w:t xml:space="preserve"> </w:t>
      </w:r>
      <w:r w:rsidR="00DF103D">
        <w:t xml:space="preserve">from these sources </w:t>
      </w:r>
      <w:r w:rsidR="00FB4430">
        <w:t xml:space="preserve">are </w:t>
      </w:r>
      <w:r w:rsidR="0076415C">
        <w:t xml:space="preserve">eligible </w:t>
      </w:r>
      <w:r w:rsidR="00DF103D">
        <w:t xml:space="preserve">to be credited displacement abatement ACCUs when used </w:t>
      </w:r>
      <w:r w:rsidR="0076415C">
        <w:t>for biomethane production.</w:t>
      </w:r>
      <w:r w:rsidR="0034560E">
        <w:t xml:space="preserve"> </w:t>
      </w:r>
      <w:r w:rsidR="006B498A" w:rsidDel="006B498A">
        <w:t xml:space="preserve"> </w:t>
      </w:r>
    </w:p>
    <w:p w14:paraId="0C5944CA" w14:textId="5B103654" w:rsidR="00A634D0" w:rsidRPr="00A634D0" w:rsidRDefault="00A634D0" w:rsidP="00A634D0">
      <w:pPr>
        <w:pStyle w:val="Caption"/>
        <w:keepNext/>
        <w:rPr>
          <w:b/>
          <w:bCs/>
          <w:i w:val="0"/>
          <w:iCs w:val="0"/>
          <w:color w:val="auto"/>
          <w:sz w:val="22"/>
          <w:szCs w:val="22"/>
        </w:rPr>
      </w:pPr>
      <w:bookmarkStart w:id="62" w:name="_Ref72319925"/>
      <w:bookmarkStart w:id="63" w:name="_Ref72319917"/>
      <w:r w:rsidRPr="00A634D0">
        <w:rPr>
          <w:b/>
          <w:bCs/>
          <w:i w:val="0"/>
          <w:iCs w:val="0"/>
          <w:color w:val="auto"/>
          <w:sz w:val="22"/>
          <w:szCs w:val="22"/>
        </w:rPr>
        <w:t xml:space="preserve">Table </w:t>
      </w:r>
      <w:r w:rsidRPr="00A634D0">
        <w:rPr>
          <w:b/>
          <w:bCs/>
          <w:i w:val="0"/>
          <w:iCs w:val="0"/>
          <w:color w:val="auto"/>
          <w:sz w:val="22"/>
          <w:szCs w:val="22"/>
        </w:rPr>
        <w:fldChar w:fldCharType="begin"/>
      </w:r>
      <w:r w:rsidRPr="00A634D0">
        <w:rPr>
          <w:b/>
          <w:bCs/>
          <w:i w:val="0"/>
          <w:iCs w:val="0"/>
          <w:color w:val="auto"/>
          <w:sz w:val="22"/>
          <w:szCs w:val="22"/>
        </w:rPr>
        <w:instrText xml:space="preserve"> SEQ Table \* ARABIC </w:instrText>
      </w:r>
      <w:r w:rsidRPr="00A634D0">
        <w:rPr>
          <w:b/>
          <w:bCs/>
          <w:i w:val="0"/>
          <w:iCs w:val="0"/>
          <w:color w:val="auto"/>
          <w:sz w:val="22"/>
          <w:szCs w:val="22"/>
        </w:rPr>
        <w:fldChar w:fldCharType="separate"/>
      </w:r>
      <w:r w:rsidR="00C62BF9">
        <w:rPr>
          <w:b/>
          <w:bCs/>
          <w:i w:val="0"/>
          <w:iCs w:val="0"/>
          <w:noProof/>
          <w:color w:val="auto"/>
          <w:sz w:val="22"/>
          <w:szCs w:val="22"/>
        </w:rPr>
        <w:t>4</w:t>
      </w:r>
      <w:r w:rsidRPr="00A634D0">
        <w:rPr>
          <w:b/>
          <w:bCs/>
          <w:i w:val="0"/>
          <w:iCs w:val="0"/>
          <w:color w:val="auto"/>
          <w:sz w:val="22"/>
          <w:szCs w:val="22"/>
        </w:rPr>
        <w:fldChar w:fldCharType="end"/>
      </w:r>
      <w:bookmarkEnd w:id="62"/>
      <w:r w:rsidRPr="00A634D0">
        <w:rPr>
          <w:b/>
          <w:bCs/>
          <w:i w:val="0"/>
          <w:iCs w:val="0"/>
          <w:color w:val="auto"/>
          <w:sz w:val="22"/>
          <w:szCs w:val="22"/>
        </w:rPr>
        <w:t>: Eligible waste for each biomethane package method</w:t>
      </w:r>
      <w:bookmarkEnd w:id="63"/>
    </w:p>
    <w:tbl>
      <w:tblPr>
        <w:tblStyle w:val="GridTable5Dark-Accent5"/>
        <w:tblW w:w="0" w:type="auto"/>
        <w:tblLook w:val="04A0" w:firstRow="1" w:lastRow="0" w:firstColumn="1" w:lastColumn="0" w:noHBand="0" w:noVBand="1"/>
      </w:tblPr>
      <w:tblGrid>
        <w:gridCol w:w="1658"/>
        <w:gridCol w:w="2642"/>
        <w:gridCol w:w="2494"/>
        <w:gridCol w:w="2222"/>
      </w:tblGrid>
      <w:tr w:rsidR="0076415C" w:rsidRPr="004A0C1A" w14:paraId="5B731A21" w14:textId="77777777" w:rsidTr="005A5D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8" w:type="dxa"/>
          </w:tcPr>
          <w:p w14:paraId="6041EC34" w14:textId="6E349F75" w:rsidR="0076415C" w:rsidRPr="004A0C1A" w:rsidRDefault="00DB2674" w:rsidP="00DB2674">
            <w:pPr>
              <w:spacing w:before="40" w:after="40"/>
            </w:pPr>
            <w:r w:rsidRPr="004A0C1A">
              <w:t>Method</w:t>
            </w:r>
          </w:p>
        </w:tc>
        <w:tc>
          <w:tcPr>
            <w:tcW w:w="2642" w:type="dxa"/>
          </w:tcPr>
          <w:p w14:paraId="5C0F6D9E" w14:textId="42F61F22" w:rsidR="0076415C" w:rsidRPr="004A0C1A" w:rsidRDefault="00DB2674" w:rsidP="00DB2674">
            <w:pPr>
              <w:spacing w:before="40" w:after="40"/>
              <w:cnfStyle w:val="100000000000" w:firstRow="1" w:lastRow="0" w:firstColumn="0" w:lastColumn="0" w:oddVBand="0" w:evenVBand="0" w:oddHBand="0" w:evenHBand="0" w:firstRowFirstColumn="0" w:firstRowLastColumn="0" w:lastRowFirstColumn="0" w:lastRowLastColumn="0"/>
            </w:pPr>
            <w:r w:rsidRPr="004A0C1A">
              <w:t>Eligible waste</w:t>
            </w:r>
          </w:p>
        </w:tc>
        <w:tc>
          <w:tcPr>
            <w:tcW w:w="2494" w:type="dxa"/>
          </w:tcPr>
          <w:p w14:paraId="56ED215C" w14:textId="3A6B98BB" w:rsidR="0076415C" w:rsidRPr="004A0C1A" w:rsidRDefault="0062454C" w:rsidP="00DB2674">
            <w:pPr>
              <w:spacing w:before="40" w:after="40"/>
              <w:cnfStyle w:val="100000000000" w:firstRow="1" w:lastRow="0" w:firstColumn="0" w:lastColumn="0" w:oddVBand="0" w:evenVBand="0" w:oddHBand="0" w:evenHBand="0" w:firstRowFirstColumn="0" w:firstRowLastColumn="0" w:lastRowFirstColumn="0" w:lastRowLastColumn="0"/>
            </w:pPr>
            <w:r w:rsidRPr="004A0C1A">
              <w:t>Excluded wastes</w:t>
            </w:r>
          </w:p>
        </w:tc>
        <w:tc>
          <w:tcPr>
            <w:tcW w:w="2222" w:type="dxa"/>
          </w:tcPr>
          <w:p w14:paraId="6225B3E4" w14:textId="6E4DBB8D" w:rsidR="0076415C" w:rsidRPr="004A0C1A" w:rsidRDefault="008D2E1C" w:rsidP="00DB2674">
            <w:pPr>
              <w:spacing w:before="40" w:after="40"/>
              <w:cnfStyle w:val="100000000000" w:firstRow="1" w:lastRow="0" w:firstColumn="0" w:lastColumn="0" w:oddVBand="0" w:evenVBand="0" w:oddHBand="0" w:evenHBand="0" w:firstRowFirstColumn="0" w:firstRowLastColumn="0" w:lastRowFirstColumn="0" w:lastRowLastColumn="0"/>
            </w:pPr>
            <w:r w:rsidRPr="004A0C1A">
              <w:t>Treatment</w:t>
            </w:r>
          </w:p>
        </w:tc>
      </w:tr>
      <w:tr w:rsidR="0076415C" w14:paraId="51BD1F90" w14:textId="77777777" w:rsidTr="005A5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3205F9C2" w14:textId="44344C4E" w:rsidR="0076415C" w:rsidRDefault="008D2E1C" w:rsidP="00DB2674">
            <w:pPr>
              <w:spacing w:before="40" w:after="40"/>
            </w:pPr>
            <w:r>
              <w:t xml:space="preserve">Landfill </w:t>
            </w:r>
            <w:r w:rsidR="00CD1431">
              <w:t>gas (electricity generation)</w:t>
            </w:r>
          </w:p>
        </w:tc>
        <w:tc>
          <w:tcPr>
            <w:tcW w:w="2642" w:type="dxa"/>
          </w:tcPr>
          <w:p w14:paraId="2A4B45BE" w14:textId="3BBD4A0C" w:rsidR="0076415C" w:rsidRDefault="002E5940" w:rsidP="00DB2674">
            <w:pPr>
              <w:spacing w:before="40" w:after="40"/>
              <w:cnfStyle w:val="000000100000" w:firstRow="0" w:lastRow="0" w:firstColumn="0" w:lastColumn="0" w:oddVBand="0" w:evenVBand="0" w:oddHBand="1" w:evenHBand="0" w:firstRowFirstColumn="0" w:firstRowLastColumn="0" w:lastRowFirstColumn="0" w:lastRowLastColumn="0"/>
            </w:pPr>
            <w:r>
              <w:t>Wastes eligible to be disposed of in a landfill</w:t>
            </w:r>
          </w:p>
        </w:tc>
        <w:tc>
          <w:tcPr>
            <w:tcW w:w="2494" w:type="dxa"/>
          </w:tcPr>
          <w:p w14:paraId="24BF61B1" w14:textId="77777777" w:rsidR="0076415C" w:rsidRDefault="0076415C" w:rsidP="00DB2674">
            <w:pPr>
              <w:spacing w:before="40" w:after="40"/>
              <w:cnfStyle w:val="000000100000" w:firstRow="0" w:lastRow="0" w:firstColumn="0" w:lastColumn="0" w:oddVBand="0" w:evenVBand="0" w:oddHBand="1" w:evenHBand="0" w:firstRowFirstColumn="0" w:firstRowLastColumn="0" w:lastRowFirstColumn="0" w:lastRowLastColumn="0"/>
            </w:pPr>
          </w:p>
        </w:tc>
        <w:tc>
          <w:tcPr>
            <w:tcW w:w="2222" w:type="dxa"/>
          </w:tcPr>
          <w:p w14:paraId="5D138AB5" w14:textId="161A31F0" w:rsidR="0076415C" w:rsidRDefault="002E5940" w:rsidP="00DB2674">
            <w:pPr>
              <w:spacing w:before="40" w:after="40"/>
              <w:cnfStyle w:val="000000100000" w:firstRow="0" w:lastRow="0" w:firstColumn="0" w:lastColumn="0" w:oddVBand="0" w:evenVBand="0" w:oddHBand="1" w:evenHBand="0" w:firstRowFirstColumn="0" w:firstRowLastColumn="0" w:lastRowFirstColumn="0" w:lastRowLastColumn="0"/>
            </w:pPr>
            <w:r>
              <w:t>Collection and capture</w:t>
            </w:r>
          </w:p>
        </w:tc>
      </w:tr>
      <w:tr w:rsidR="000D2C39" w14:paraId="2A17B020" w14:textId="77777777" w:rsidTr="005A5D9E">
        <w:tc>
          <w:tcPr>
            <w:cnfStyle w:val="001000000000" w:firstRow="0" w:lastRow="0" w:firstColumn="1" w:lastColumn="0" w:oddVBand="0" w:evenVBand="0" w:oddHBand="0" w:evenHBand="0" w:firstRowFirstColumn="0" w:firstRowLastColumn="0" w:lastRowFirstColumn="0" w:lastRowLastColumn="0"/>
            <w:tcW w:w="1658" w:type="dxa"/>
          </w:tcPr>
          <w:p w14:paraId="2A0FB2A9" w14:textId="0688CCCC" w:rsidR="000D2C39" w:rsidRDefault="00CD1431" w:rsidP="000D2C39">
            <w:pPr>
              <w:spacing w:before="40" w:after="40"/>
            </w:pPr>
            <w:r>
              <w:t>Wastewater treatment</w:t>
            </w:r>
          </w:p>
        </w:tc>
        <w:tc>
          <w:tcPr>
            <w:tcW w:w="2642" w:type="dxa"/>
          </w:tcPr>
          <w:p w14:paraId="40D6391F" w14:textId="77777777" w:rsidR="000D2C39" w:rsidRDefault="000D2C39" w:rsidP="000D2C39">
            <w:pPr>
              <w:spacing w:before="40" w:after="40"/>
              <w:cnfStyle w:val="000000000000" w:firstRow="0" w:lastRow="0" w:firstColumn="0" w:lastColumn="0" w:oddVBand="0" w:evenVBand="0" w:oddHBand="0" w:evenHBand="0" w:firstRowFirstColumn="0" w:firstRowLastColumn="0" w:lastRowFirstColumn="0" w:lastRowLastColumn="0"/>
            </w:pPr>
            <w:r>
              <w:t>Domestic or commercial wastewater</w:t>
            </w:r>
          </w:p>
          <w:p w14:paraId="3745C5A0" w14:textId="755A3BE4" w:rsidR="000D2C39" w:rsidRDefault="000D2C39" w:rsidP="000D2C39">
            <w:pPr>
              <w:spacing w:before="40" w:after="40"/>
              <w:cnfStyle w:val="000000000000" w:firstRow="0" w:lastRow="0" w:firstColumn="0" w:lastColumn="0" w:oddVBand="0" w:evenVBand="0" w:oddHBand="0" w:evenHBand="0" w:firstRowFirstColumn="0" w:firstRowLastColumn="0" w:lastRowFirstColumn="0" w:lastRowLastColumn="0"/>
            </w:pPr>
            <w:r>
              <w:t>Industrial wastewater</w:t>
            </w:r>
          </w:p>
        </w:tc>
        <w:tc>
          <w:tcPr>
            <w:tcW w:w="2494" w:type="dxa"/>
          </w:tcPr>
          <w:p w14:paraId="0ABB68DD" w14:textId="77777777" w:rsidR="000D2C39" w:rsidRDefault="000D2C39" w:rsidP="000D2C39">
            <w:pPr>
              <w:spacing w:before="40" w:after="40"/>
              <w:cnfStyle w:val="000000000000" w:firstRow="0" w:lastRow="0" w:firstColumn="0" w:lastColumn="0" w:oddVBand="0" w:evenVBand="0" w:oddHBand="0" w:evenHBand="0" w:firstRowFirstColumn="0" w:firstRowLastColumn="0" w:lastRowFirstColumn="0" w:lastRowLastColumn="0"/>
            </w:pPr>
          </w:p>
        </w:tc>
        <w:tc>
          <w:tcPr>
            <w:tcW w:w="2222" w:type="dxa"/>
          </w:tcPr>
          <w:p w14:paraId="52B2A2AD" w14:textId="21B88DAB" w:rsidR="000D2C39" w:rsidRDefault="000D2C39" w:rsidP="006544EC">
            <w:pPr>
              <w:pStyle w:val="CERbullets"/>
              <w:cnfStyle w:val="000000000000" w:firstRow="0" w:lastRow="0" w:firstColumn="0" w:lastColumn="0" w:oddVBand="0" w:evenVBand="0" w:oddHBand="0" w:evenHBand="0" w:firstRowFirstColumn="0" w:firstRowLastColumn="0" w:lastRowFirstColumn="0" w:lastRowLastColumn="0"/>
            </w:pPr>
            <w:r>
              <w:t>Anaerobic digesters</w:t>
            </w:r>
          </w:p>
        </w:tc>
      </w:tr>
      <w:tr w:rsidR="008D2E1C" w14:paraId="17A9B2D8" w14:textId="77777777" w:rsidTr="005A5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5DC43EE1" w14:textId="492555F9" w:rsidR="008D2E1C" w:rsidRDefault="008D2E1C" w:rsidP="00DB2674">
            <w:pPr>
              <w:spacing w:before="40" w:after="40"/>
            </w:pPr>
            <w:r>
              <w:t xml:space="preserve">Animal </w:t>
            </w:r>
            <w:r w:rsidR="00CD1431">
              <w:t>ef</w:t>
            </w:r>
            <w:r>
              <w:t>fluent</w:t>
            </w:r>
          </w:p>
        </w:tc>
        <w:tc>
          <w:tcPr>
            <w:tcW w:w="2642" w:type="dxa"/>
          </w:tcPr>
          <w:p w14:paraId="636ED93F" w14:textId="55D64503" w:rsidR="008D2E1C" w:rsidRDefault="00DA2ECB" w:rsidP="00DB2674">
            <w:pPr>
              <w:spacing w:before="40" w:after="40"/>
              <w:cnfStyle w:val="000000100000" w:firstRow="0" w:lastRow="0" w:firstColumn="0" w:lastColumn="0" w:oddVBand="0" w:evenVBand="0" w:oddHBand="1" w:evenHBand="0" w:firstRowFirstColumn="0" w:firstRowLastColumn="0" w:lastRowFirstColumn="0" w:lastRowLastColumn="0"/>
            </w:pPr>
            <w:r>
              <w:t>Either o</w:t>
            </w:r>
            <w:r w:rsidR="00CD2D29">
              <w:t xml:space="preserve">rganic effluent that: </w:t>
            </w:r>
          </w:p>
          <w:p w14:paraId="2F81D2A3" w14:textId="1630CACB" w:rsidR="00D234FD" w:rsidRDefault="00CD2D29" w:rsidP="00446C58">
            <w:pPr>
              <w:pStyle w:val="ListParagraph"/>
              <w:numPr>
                <w:ilvl w:val="0"/>
                <w:numId w:val="4"/>
              </w:numPr>
              <w:spacing w:before="40" w:after="40"/>
              <w:ind w:left="321" w:hanging="283"/>
              <w:cnfStyle w:val="000000100000" w:firstRow="0" w:lastRow="0" w:firstColumn="0" w:lastColumn="0" w:oddVBand="0" w:evenVBand="0" w:oddHBand="1" w:evenHBand="0" w:firstRowFirstColumn="0" w:firstRowLastColumn="0" w:lastRowFirstColumn="0" w:lastRowLastColumn="0"/>
            </w:pPr>
            <w:r>
              <w:t>Was produced by a piggery, dairy</w:t>
            </w:r>
            <w:r w:rsidR="007550E3">
              <w:t xml:space="preserve">, or a facility that </w:t>
            </w:r>
            <w:r w:rsidR="00D234FD">
              <w:t>generates a liquid waste stream as part of its normal operation</w:t>
            </w:r>
            <w:r w:rsidR="00DA2ECB">
              <w:t>,</w:t>
            </w:r>
          </w:p>
          <w:p w14:paraId="0D59B63D" w14:textId="703A4F7F" w:rsidR="00CD2D29" w:rsidRDefault="00D234FD" w:rsidP="00446C58">
            <w:pPr>
              <w:pStyle w:val="ListParagraph"/>
              <w:numPr>
                <w:ilvl w:val="0"/>
                <w:numId w:val="4"/>
              </w:numPr>
              <w:spacing w:before="40" w:after="40"/>
              <w:ind w:left="321" w:hanging="283"/>
              <w:cnfStyle w:val="000000100000" w:firstRow="0" w:lastRow="0" w:firstColumn="0" w:lastColumn="0" w:oddVBand="0" w:evenVBand="0" w:oddHBand="1" w:evenHBand="0" w:firstRowFirstColumn="0" w:firstRowLastColumn="0" w:lastRowFirstColumn="0" w:lastRowLastColumn="0"/>
            </w:pPr>
            <w:r>
              <w:t>A liquid waste stream</w:t>
            </w:r>
            <w:r w:rsidR="00D51719">
              <w:t xml:space="preserve"> that consists only of water, animal faeces and urine, and incidental waste eg. spoiled feed that would normally be treated in an anaerobic pond</w:t>
            </w:r>
            <w:r w:rsidR="00DA2ECB">
              <w:t>, or</w:t>
            </w:r>
          </w:p>
          <w:p w14:paraId="430BF49D" w14:textId="77777777" w:rsidR="00DA2ECB" w:rsidRDefault="00DA2ECB" w:rsidP="00DA2ECB">
            <w:pPr>
              <w:spacing w:before="40" w:after="40"/>
              <w:cnfStyle w:val="000000100000" w:firstRow="0" w:lastRow="0" w:firstColumn="0" w:lastColumn="0" w:oddVBand="0" w:evenVBand="0" w:oddHBand="1" w:evenHBand="0" w:firstRowFirstColumn="0" w:firstRowLastColumn="0" w:lastRowFirstColumn="0" w:lastRowLastColumn="0"/>
            </w:pPr>
            <w:r>
              <w:t>Organic effluent that:</w:t>
            </w:r>
          </w:p>
          <w:p w14:paraId="1B26A748" w14:textId="77777777" w:rsidR="00DA2ECB" w:rsidRDefault="00DA2ECB" w:rsidP="00146B4F">
            <w:pPr>
              <w:pStyle w:val="ListParagraph"/>
              <w:numPr>
                <w:ilvl w:val="0"/>
                <w:numId w:val="4"/>
              </w:numPr>
              <w:spacing w:before="40" w:after="40"/>
              <w:ind w:left="321" w:hanging="283"/>
              <w:cnfStyle w:val="000000100000" w:firstRow="0" w:lastRow="0" w:firstColumn="0" w:lastColumn="0" w:oddVBand="0" w:evenVBand="0" w:oddHBand="1" w:evenHBand="0" w:firstRowFirstColumn="0" w:firstRowLastColumn="0" w:lastRowFirstColumn="0" w:lastRowLastColumn="0"/>
            </w:pPr>
            <w:r>
              <w:t>Consists principally of materials that are a listed type in Schedule 1 of the animal effluent supplement</w:t>
            </w:r>
            <w:r w:rsidRPr="00C518EA">
              <w:rPr>
                <w:vertAlign w:val="superscript"/>
              </w:rPr>
              <w:footnoteReference w:id="18"/>
            </w:r>
            <w:r>
              <w:t>, and</w:t>
            </w:r>
          </w:p>
          <w:p w14:paraId="4CAD2BA9" w14:textId="2F0932F7" w:rsidR="00CD2D29" w:rsidRPr="00CD2D29" w:rsidRDefault="00DA2ECB" w:rsidP="00446C58">
            <w:pPr>
              <w:pStyle w:val="ListParagraph"/>
              <w:numPr>
                <w:ilvl w:val="0"/>
                <w:numId w:val="4"/>
              </w:numPr>
              <w:spacing w:before="40" w:after="40"/>
              <w:ind w:left="321" w:hanging="283"/>
              <w:cnfStyle w:val="000000100000" w:firstRow="0" w:lastRow="0" w:firstColumn="0" w:lastColumn="0" w:oddVBand="0" w:evenVBand="0" w:oddHBand="1" w:evenHBand="0" w:firstRowFirstColumn="0" w:firstRowLastColumn="0" w:lastRowFirstColumn="0" w:lastRowLastColumn="0"/>
            </w:pPr>
            <w:r>
              <w:t>Would have, in the absence of the ERF project, been treated in an open anaerobic pond.</w:t>
            </w:r>
          </w:p>
        </w:tc>
        <w:tc>
          <w:tcPr>
            <w:tcW w:w="2494" w:type="dxa"/>
          </w:tcPr>
          <w:p w14:paraId="2A70C62A" w14:textId="77777777" w:rsidR="008D2E1C" w:rsidRDefault="008D2E1C" w:rsidP="00DB2674">
            <w:pPr>
              <w:spacing w:before="40" w:after="40"/>
              <w:cnfStyle w:val="000000100000" w:firstRow="0" w:lastRow="0" w:firstColumn="0" w:lastColumn="0" w:oddVBand="0" w:evenVBand="0" w:oddHBand="1" w:evenHBand="0" w:firstRowFirstColumn="0" w:firstRowLastColumn="0" w:lastRowFirstColumn="0" w:lastRowLastColumn="0"/>
            </w:pPr>
          </w:p>
        </w:tc>
        <w:tc>
          <w:tcPr>
            <w:tcW w:w="2222" w:type="dxa"/>
          </w:tcPr>
          <w:p w14:paraId="293700F2" w14:textId="77777777" w:rsidR="00D51719" w:rsidRDefault="00D51719" w:rsidP="006544EC">
            <w:pPr>
              <w:pStyle w:val="CERbullets"/>
              <w:cnfStyle w:val="000000100000" w:firstRow="0" w:lastRow="0" w:firstColumn="0" w:lastColumn="0" w:oddVBand="0" w:evenVBand="0" w:oddHBand="1" w:evenHBand="0" w:firstRowFirstColumn="0" w:firstRowLastColumn="0" w:lastRowFirstColumn="0" w:lastRowLastColumn="0"/>
            </w:pPr>
            <w:r>
              <w:t>Biogas produced by one or more anaerobic digesters that is destroyed via flare (combustion device)</w:t>
            </w:r>
          </w:p>
          <w:p w14:paraId="436F15F2" w14:textId="2A0B228A" w:rsidR="00D51719" w:rsidRDefault="00D51719" w:rsidP="006544EC">
            <w:pPr>
              <w:pStyle w:val="CERbullets"/>
              <w:cnfStyle w:val="000000100000" w:firstRow="0" w:lastRow="0" w:firstColumn="0" w:lastColumn="0" w:oddVBand="0" w:evenVBand="0" w:oddHBand="1" w:evenHBand="0" w:firstRowFirstColumn="0" w:firstRowLastColumn="0" w:lastRowFirstColumn="0" w:lastRowLastColumn="0"/>
            </w:pPr>
            <w:r>
              <w:t xml:space="preserve">Must use a post-diversion treatment such as composting </w:t>
            </w:r>
          </w:p>
        </w:tc>
      </w:tr>
    </w:tbl>
    <w:p w14:paraId="28280C36" w14:textId="77777777" w:rsidR="004A0C1A" w:rsidRPr="004A0C1A" w:rsidRDefault="004A0C1A" w:rsidP="005A5D9E">
      <w:pPr>
        <w:pStyle w:val="Heading1"/>
        <w:rPr>
          <w:b w:val="0"/>
          <w:bCs w:val="0"/>
          <w:sz w:val="30"/>
          <w:szCs w:val="26"/>
        </w:rPr>
      </w:pPr>
      <w:bookmarkStart w:id="64" w:name="_Ref31888656"/>
      <w:bookmarkStart w:id="65" w:name="_Toc85030363"/>
      <w:r w:rsidRPr="004A0C1A">
        <w:t>Appendix 2: Notification requirements</w:t>
      </w:r>
      <w:bookmarkEnd w:id="64"/>
      <w:bookmarkEnd w:id="65"/>
    </w:p>
    <w:p w14:paraId="26910AC1" w14:textId="3D7F3A3A" w:rsidR="00A634D0" w:rsidRPr="00A634D0" w:rsidRDefault="00A634D0" w:rsidP="00A634D0">
      <w:pPr>
        <w:pStyle w:val="Caption"/>
        <w:keepNext/>
        <w:rPr>
          <w:rFonts w:asciiTheme="minorHAnsi" w:eastAsiaTheme="majorEastAsia" w:hAnsiTheme="minorHAnsi" w:cstheme="minorHAnsi"/>
          <w:b/>
          <w:bCs/>
          <w:i w:val="0"/>
          <w:iCs w:val="0"/>
          <w:color w:val="auto"/>
          <w:sz w:val="22"/>
          <w:szCs w:val="32"/>
          <w:lang w:eastAsia="en-AU"/>
        </w:rPr>
      </w:pPr>
      <w:r w:rsidRPr="00A634D0">
        <w:rPr>
          <w:rFonts w:asciiTheme="minorHAnsi" w:eastAsiaTheme="majorEastAsia" w:hAnsiTheme="minorHAnsi" w:cstheme="minorHAnsi"/>
          <w:b/>
          <w:bCs/>
          <w:i w:val="0"/>
          <w:iCs w:val="0"/>
          <w:color w:val="auto"/>
          <w:sz w:val="22"/>
          <w:szCs w:val="32"/>
          <w:lang w:eastAsia="en-AU"/>
        </w:rPr>
        <w:t xml:space="preserve">Table </w:t>
      </w:r>
      <w:r w:rsidRPr="00A634D0">
        <w:rPr>
          <w:rFonts w:asciiTheme="minorHAnsi" w:eastAsiaTheme="majorEastAsia" w:hAnsiTheme="minorHAnsi" w:cstheme="minorHAnsi"/>
          <w:b/>
          <w:bCs/>
          <w:i w:val="0"/>
          <w:iCs w:val="0"/>
          <w:color w:val="auto"/>
          <w:sz w:val="22"/>
          <w:szCs w:val="32"/>
          <w:lang w:eastAsia="en-AU"/>
        </w:rPr>
        <w:fldChar w:fldCharType="begin"/>
      </w:r>
      <w:r w:rsidRPr="00A634D0">
        <w:rPr>
          <w:rFonts w:asciiTheme="minorHAnsi" w:eastAsiaTheme="majorEastAsia" w:hAnsiTheme="minorHAnsi" w:cstheme="minorHAnsi"/>
          <w:b/>
          <w:bCs/>
          <w:i w:val="0"/>
          <w:iCs w:val="0"/>
          <w:color w:val="auto"/>
          <w:sz w:val="22"/>
          <w:szCs w:val="32"/>
          <w:lang w:eastAsia="en-AU"/>
        </w:rPr>
        <w:instrText xml:space="preserve"> SEQ Table \* ARABIC </w:instrText>
      </w:r>
      <w:r w:rsidRPr="00A634D0">
        <w:rPr>
          <w:rFonts w:asciiTheme="minorHAnsi" w:eastAsiaTheme="majorEastAsia" w:hAnsiTheme="minorHAnsi" w:cstheme="minorHAnsi"/>
          <w:b/>
          <w:bCs/>
          <w:i w:val="0"/>
          <w:iCs w:val="0"/>
          <w:color w:val="auto"/>
          <w:sz w:val="22"/>
          <w:szCs w:val="32"/>
          <w:lang w:eastAsia="en-AU"/>
        </w:rPr>
        <w:fldChar w:fldCharType="separate"/>
      </w:r>
      <w:r w:rsidR="00C62BF9">
        <w:rPr>
          <w:rFonts w:asciiTheme="minorHAnsi" w:eastAsiaTheme="majorEastAsia" w:hAnsiTheme="minorHAnsi" w:cstheme="minorHAnsi"/>
          <w:b/>
          <w:bCs/>
          <w:i w:val="0"/>
          <w:iCs w:val="0"/>
          <w:noProof/>
          <w:color w:val="auto"/>
          <w:sz w:val="22"/>
          <w:szCs w:val="32"/>
          <w:lang w:eastAsia="en-AU"/>
        </w:rPr>
        <w:t>5</w:t>
      </w:r>
      <w:r w:rsidRPr="00A634D0">
        <w:rPr>
          <w:rFonts w:asciiTheme="minorHAnsi" w:eastAsiaTheme="majorEastAsia" w:hAnsiTheme="minorHAnsi" w:cstheme="minorHAnsi"/>
          <w:b/>
          <w:bCs/>
          <w:i w:val="0"/>
          <w:iCs w:val="0"/>
          <w:color w:val="auto"/>
          <w:sz w:val="22"/>
          <w:szCs w:val="32"/>
          <w:lang w:eastAsia="en-AU"/>
        </w:rPr>
        <w:fldChar w:fldCharType="end"/>
      </w:r>
      <w:r w:rsidRPr="00A634D0">
        <w:rPr>
          <w:rFonts w:asciiTheme="minorHAnsi" w:eastAsiaTheme="majorEastAsia" w:hAnsiTheme="minorHAnsi" w:cstheme="minorHAnsi"/>
          <w:b/>
          <w:bCs/>
          <w:i w:val="0"/>
          <w:iCs w:val="0"/>
          <w:color w:val="auto"/>
          <w:sz w:val="22"/>
          <w:szCs w:val="32"/>
          <w:lang w:eastAsia="en-AU"/>
        </w:rPr>
        <w:t>: Notification requirements</w:t>
      </w:r>
    </w:p>
    <w:tbl>
      <w:tblPr>
        <w:tblStyle w:val="CERTable"/>
        <w:tblW w:w="9635" w:type="dxa"/>
        <w:tblLook w:val="0620" w:firstRow="1" w:lastRow="0" w:firstColumn="0" w:lastColumn="0" w:noHBand="1" w:noVBand="1"/>
      </w:tblPr>
      <w:tblGrid>
        <w:gridCol w:w="1555"/>
        <w:gridCol w:w="6095"/>
        <w:gridCol w:w="1985"/>
      </w:tblGrid>
      <w:tr w:rsidR="004A0C1A" w:rsidRPr="004A0C1A" w14:paraId="5B02CD19" w14:textId="77777777" w:rsidTr="004A0C1A">
        <w:trPr>
          <w:cnfStyle w:val="100000000000" w:firstRow="1" w:lastRow="0" w:firstColumn="0" w:lastColumn="0" w:oddVBand="0" w:evenVBand="0" w:oddHBand="0" w:evenHBand="0" w:firstRowFirstColumn="0" w:firstRowLastColumn="0" w:lastRowFirstColumn="0" w:lastRowLastColumn="0"/>
          <w:cantSplit w:val="0"/>
          <w:tblHeader/>
        </w:trPr>
        <w:tc>
          <w:tcPr>
            <w:tcW w:w="1555" w:type="dxa"/>
            <w:shd w:val="clear" w:color="auto" w:fill="383A42"/>
          </w:tcPr>
          <w:p w14:paraId="14699141" w14:textId="77777777" w:rsidR="004A0C1A" w:rsidRPr="004A0C1A" w:rsidRDefault="004A0C1A" w:rsidP="004A0C1A">
            <w:pPr>
              <w:rPr>
                <w:color w:val="FFFFFF"/>
              </w:rPr>
            </w:pPr>
            <w:r w:rsidRPr="004A0C1A">
              <w:rPr>
                <w:color w:val="FFFFFF"/>
              </w:rPr>
              <w:t>Event</w:t>
            </w:r>
          </w:p>
        </w:tc>
        <w:tc>
          <w:tcPr>
            <w:tcW w:w="6095" w:type="dxa"/>
            <w:shd w:val="clear" w:color="auto" w:fill="383A42"/>
          </w:tcPr>
          <w:p w14:paraId="30F63338" w14:textId="77777777" w:rsidR="004A0C1A" w:rsidRPr="004A0C1A" w:rsidRDefault="004A0C1A" w:rsidP="004A0C1A">
            <w:pPr>
              <w:rPr>
                <w:color w:val="FFFFFF"/>
              </w:rPr>
            </w:pPr>
            <w:r w:rsidRPr="004A0C1A">
              <w:rPr>
                <w:color w:val="FFFFFF"/>
              </w:rPr>
              <w:t>Notification triggers</w:t>
            </w:r>
          </w:p>
        </w:tc>
        <w:tc>
          <w:tcPr>
            <w:tcW w:w="1985" w:type="dxa"/>
            <w:shd w:val="clear" w:color="auto" w:fill="383A42"/>
          </w:tcPr>
          <w:p w14:paraId="7017C58E" w14:textId="77777777" w:rsidR="004A0C1A" w:rsidRPr="004A0C1A" w:rsidRDefault="004A0C1A" w:rsidP="004A0C1A">
            <w:pPr>
              <w:rPr>
                <w:color w:val="FFFFFF"/>
              </w:rPr>
            </w:pPr>
            <w:r w:rsidRPr="004A0C1A">
              <w:rPr>
                <w:color w:val="FFFFFF"/>
              </w:rPr>
              <w:t>Notification deadline</w:t>
            </w:r>
          </w:p>
        </w:tc>
      </w:tr>
      <w:tr w:rsidR="004A0C1A" w:rsidRPr="004A0C1A" w14:paraId="3D5F319E" w14:textId="77777777" w:rsidTr="004A0C1A">
        <w:trPr>
          <w:cantSplit w:val="0"/>
        </w:trPr>
        <w:tc>
          <w:tcPr>
            <w:tcW w:w="1555" w:type="dxa"/>
            <w:shd w:val="clear" w:color="auto" w:fill="DFE0DE"/>
          </w:tcPr>
          <w:p w14:paraId="20A799B9" w14:textId="77777777" w:rsidR="004A0C1A" w:rsidRPr="004A0C1A" w:rsidRDefault="004A0C1A" w:rsidP="004A0C1A">
            <w:pPr>
              <w:rPr>
                <w:b/>
              </w:rPr>
            </w:pPr>
            <w:r w:rsidRPr="004A0C1A">
              <w:rPr>
                <w:b/>
              </w:rPr>
              <w:t>Offsets report events</w:t>
            </w:r>
          </w:p>
        </w:tc>
        <w:tc>
          <w:tcPr>
            <w:tcW w:w="6095" w:type="dxa"/>
          </w:tcPr>
          <w:p w14:paraId="58C1196F" w14:textId="77777777" w:rsidR="004A0C1A" w:rsidRPr="004A0C1A" w:rsidRDefault="004A0C1A" w:rsidP="00587455">
            <w:pPr>
              <w:spacing w:after="120"/>
              <w:rPr>
                <w:color w:val="auto"/>
              </w:rPr>
            </w:pPr>
            <w:r w:rsidRPr="004A0C1A">
              <w:rPr>
                <w:color w:val="auto"/>
              </w:rPr>
              <w:t>You identify an error in your offsets report relating to project eligibility or the net abatement amount.</w:t>
            </w:r>
          </w:p>
        </w:tc>
        <w:tc>
          <w:tcPr>
            <w:tcW w:w="1985" w:type="dxa"/>
          </w:tcPr>
          <w:p w14:paraId="02F99F41" w14:textId="77777777" w:rsidR="004A0C1A" w:rsidRPr="004A0C1A" w:rsidRDefault="004A0C1A" w:rsidP="004A0C1A">
            <w:r w:rsidRPr="004A0C1A">
              <w:t>Within 60 days of you becoming aware of the event.</w:t>
            </w:r>
          </w:p>
        </w:tc>
      </w:tr>
      <w:tr w:rsidR="004A0C1A" w:rsidRPr="004A0C1A" w14:paraId="76B7A0A2" w14:textId="77777777" w:rsidTr="004A0C1A">
        <w:trPr>
          <w:cantSplit w:val="0"/>
        </w:trPr>
        <w:tc>
          <w:tcPr>
            <w:tcW w:w="1555" w:type="dxa"/>
            <w:shd w:val="clear" w:color="auto" w:fill="DFE0DE"/>
          </w:tcPr>
          <w:p w14:paraId="07FF4C4D" w14:textId="77777777" w:rsidR="004A0C1A" w:rsidRPr="004A0C1A" w:rsidRDefault="004A0C1A" w:rsidP="004A0C1A">
            <w:pPr>
              <w:rPr>
                <w:b/>
              </w:rPr>
            </w:pPr>
            <w:r w:rsidRPr="004A0C1A">
              <w:rPr>
                <w:b/>
              </w:rPr>
              <w:t>Project participant events</w:t>
            </w:r>
          </w:p>
        </w:tc>
        <w:tc>
          <w:tcPr>
            <w:tcW w:w="6095" w:type="dxa"/>
          </w:tcPr>
          <w:p w14:paraId="681EDE8B" w14:textId="77777777" w:rsidR="004A0C1A" w:rsidRPr="004A0C1A" w:rsidRDefault="004A0C1A" w:rsidP="00587455">
            <w:pPr>
              <w:spacing w:after="120"/>
              <w:rPr>
                <w:color w:val="auto"/>
              </w:rPr>
            </w:pPr>
            <w:r w:rsidRPr="004A0C1A">
              <w:rPr>
                <w:color w:val="auto"/>
              </w:rPr>
              <w:t>The person running the project (the project participant) changes due to death or other circumstances.</w:t>
            </w:r>
          </w:p>
          <w:p w14:paraId="034C59A9" w14:textId="77777777" w:rsidR="004A0C1A" w:rsidRPr="004A0C1A" w:rsidRDefault="004A0C1A" w:rsidP="00146B4F">
            <w:pPr>
              <w:spacing w:after="120"/>
              <w:rPr>
                <w:color w:val="auto"/>
              </w:rPr>
            </w:pPr>
            <w:r w:rsidRPr="004A0C1A">
              <w:rPr>
                <w:color w:val="auto"/>
              </w:rPr>
              <w:t>The project participant is no longer a fit and proper person, due to insolvency or other events.</w:t>
            </w:r>
          </w:p>
        </w:tc>
        <w:tc>
          <w:tcPr>
            <w:tcW w:w="1985" w:type="dxa"/>
          </w:tcPr>
          <w:p w14:paraId="23184FBC" w14:textId="77777777" w:rsidR="004A0C1A" w:rsidRPr="004A0C1A" w:rsidRDefault="004A0C1A" w:rsidP="004A0C1A">
            <w:r w:rsidRPr="004A0C1A">
              <w:t>Within 90 days of you becoming aware of the event.</w:t>
            </w:r>
          </w:p>
        </w:tc>
      </w:tr>
    </w:tbl>
    <w:p w14:paraId="5753E8BA" w14:textId="77777777" w:rsidR="004A0C1A" w:rsidRPr="004A0C1A" w:rsidRDefault="004A0C1A" w:rsidP="004A0C1A">
      <w:pPr>
        <w:keepNext/>
        <w:keepLines/>
        <w:spacing w:before="240"/>
        <w:outlineLvl w:val="2"/>
        <w:rPr>
          <w:rFonts w:eastAsia="Times New Roman"/>
          <w:b/>
          <w:bCs/>
          <w:color w:val="005874"/>
          <w:sz w:val="28"/>
          <w:szCs w:val="28"/>
        </w:rPr>
      </w:pPr>
      <w:r w:rsidRPr="004A0C1A">
        <w:rPr>
          <w:rFonts w:eastAsia="Times New Roman"/>
          <w:b/>
          <w:bCs/>
          <w:color w:val="005874"/>
          <w:sz w:val="28"/>
          <w:szCs w:val="28"/>
        </w:rPr>
        <w:br w:type="page"/>
      </w:r>
    </w:p>
    <w:p w14:paraId="61B612E3" w14:textId="77777777" w:rsidR="00784E16" w:rsidRPr="00784E16" w:rsidRDefault="00784E16" w:rsidP="005A5D9E">
      <w:pPr>
        <w:pStyle w:val="Heading1"/>
        <w:rPr>
          <w:b w:val="0"/>
          <w:bCs w:val="0"/>
          <w:sz w:val="30"/>
          <w:szCs w:val="26"/>
        </w:rPr>
      </w:pPr>
      <w:bookmarkStart w:id="66" w:name="_Ref31888110"/>
      <w:bookmarkStart w:id="67" w:name="_Toc85030364"/>
      <w:r w:rsidRPr="00784E16">
        <w:t>Appendix 3: Project variations</w:t>
      </w:r>
      <w:bookmarkEnd w:id="66"/>
      <w:bookmarkEnd w:id="67"/>
      <w:r w:rsidRPr="00784E16">
        <w:t xml:space="preserve"> </w:t>
      </w:r>
    </w:p>
    <w:p w14:paraId="20FF68C1" w14:textId="54E98887" w:rsidR="00784E16" w:rsidRPr="00784E16" w:rsidRDefault="00784E16" w:rsidP="00A634D0">
      <w:pPr>
        <w:pStyle w:val="Heading5"/>
      </w:pPr>
      <w:r w:rsidRPr="00784E16">
        <w:t xml:space="preserve">Table </w:t>
      </w:r>
      <w:r w:rsidRPr="00784E16">
        <w:fldChar w:fldCharType="begin"/>
      </w:r>
      <w:r w:rsidRPr="00784E16">
        <w:instrText xml:space="preserve"> SEQ Table \* ARABIC </w:instrText>
      </w:r>
      <w:r w:rsidRPr="00784E16">
        <w:fldChar w:fldCharType="separate"/>
      </w:r>
      <w:r w:rsidR="00C62BF9">
        <w:rPr>
          <w:noProof/>
        </w:rPr>
        <w:t>6</w:t>
      </w:r>
      <w:r w:rsidRPr="00784E16">
        <w:rPr>
          <w:noProof/>
        </w:rPr>
        <w:fldChar w:fldCharType="end"/>
      </w:r>
      <w:r w:rsidRPr="00784E16">
        <w:t>: Project variation actions and requirements</w:t>
      </w:r>
    </w:p>
    <w:tbl>
      <w:tblPr>
        <w:tblStyle w:val="CERTable"/>
        <w:tblW w:w="9776" w:type="dxa"/>
        <w:tblLook w:val="0620" w:firstRow="1" w:lastRow="0" w:firstColumn="0" w:lastColumn="0" w:noHBand="1" w:noVBand="1"/>
      </w:tblPr>
      <w:tblGrid>
        <w:gridCol w:w="1555"/>
        <w:gridCol w:w="8221"/>
      </w:tblGrid>
      <w:tr w:rsidR="00784E16" w:rsidRPr="00784E16" w14:paraId="38BB1658" w14:textId="77777777" w:rsidTr="004A0C1A">
        <w:trPr>
          <w:cnfStyle w:val="100000000000" w:firstRow="1" w:lastRow="0" w:firstColumn="0" w:lastColumn="0" w:oddVBand="0" w:evenVBand="0" w:oddHBand="0" w:evenHBand="0" w:firstRowFirstColumn="0" w:firstRowLastColumn="0" w:lastRowFirstColumn="0" w:lastRowLastColumn="0"/>
          <w:cantSplit w:val="0"/>
          <w:tblHeader/>
        </w:trPr>
        <w:tc>
          <w:tcPr>
            <w:tcW w:w="1555" w:type="dxa"/>
            <w:shd w:val="clear" w:color="auto" w:fill="383A42"/>
          </w:tcPr>
          <w:p w14:paraId="0162893C" w14:textId="77777777" w:rsidR="00784E16" w:rsidRPr="00784E16" w:rsidRDefault="00784E16" w:rsidP="00784E16">
            <w:pPr>
              <w:rPr>
                <w:color w:val="FFFFFF"/>
              </w:rPr>
            </w:pPr>
            <w:r w:rsidRPr="00784E16">
              <w:rPr>
                <w:color w:val="FFFFFF"/>
              </w:rPr>
              <w:t>Variation type</w:t>
            </w:r>
          </w:p>
        </w:tc>
        <w:tc>
          <w:tcPr>
            <w:tcW w:w="8221" w:type="dxa"/>
            <w:shd w:val="clear" w:color="auto" w:fill="383A42"/>
          </w:tcPr>
          <w:p w14:paraId="3C378376" w14:textId="77777777" w:rsidR="00784E16" w:rsidRPr="00784E16" w:rsidRDefault="00784E16" w:rsidP="00784E16">
            <w:pPr>
              <w:rPr>
                <w:color w:val="FFFFFF"/>
              </w:rPr>
            </w:pPr>
            <w:r w:rsidRPr="00784E16">
              <w:rPr>
                <w:color w:val="FFFFFF"/>
              </w:rPr>
              <w:t>Requirements</w:t>
            </w:r>
          </w:p>
        </w:tc>
      </w:tr>
      <w:tr w:rsidR="00784E16" w:rsidRPr="00784E16" w14:paraId="3E623734" w14:textId="77777777" w:rsidTr="004A0C1A">
        <w:trPr>
          <w:cantSplit w:val="0"/>
        </w:trPr>
        <w:tc>
          <w:tcPr>
            <w:tcW w:w="1555" w:type="dxa"/>
            <w:shd w:val="clear" w:color="auto" w:fill="DFE0DE"/>
          </w:tcPr>
          <w:p w14:paraId="2E033CFB" w14:textId="77777777" w:rsidR="00784E16" w:rsidRPr="00784E16" w:rsidRDefault="00784E16" w:rsidP="00784E16">
            <w:pPr>
              <w:rPr>
                <w:b/>
              </w:rPr>
            </w:pPr>
            <w:r w:rsidRPr="00784E16">
              <w:rPr>
                <w:b/>
              </w:rPr>
              <w:t>Vary project participant</w:t>
            </w:r>
          </w:p>
        </w:tc>
        <w:tc>
          <w:tcPr>
            <w:tcW w:w="8221" w:type="dxa"/>
          </w:tcPr>
          <w:p w14:paraId="4D472BA5" w14:textId="39234208" w:rsidR="00784E16" w:rsidRPr="00784E16" w:rsidRDefault="00784E16" w:rsidP="00784E16">
            <w:pPr>
              <w:spacing w:after="120"/>
              <w:rPr>
                <w:color w:val="auto"/>
              </w:rPr>
            </w:pPr>
            <w:r w:rsidRPr="00784E16">
              <w:rPr>
                <w:color w:val="auto"/>
              </w:rPr>
              <w:t>The project participant is the person who has the legal right and responsibility for carrying out the project and the right to earn credits. You can add, vary</w:t>
            </w:r>
            <w:r>
              <w:rPr>
                <w:color w:val="auto"/>
              </w:rPr>
              <w:t>,</w:t>
            </w:r>
            <w:r w:rsidRPr="00784E16">
              <w:rPr>
                <w:color w:val="auto"/>
              </w:rPr>
              <w:t xml:space="preserve"> or remove a project participant. You will need to provide evidence of legal right. </w:t>
            </w:r>
          </w:p>
        </w:tc>
      </w:tr>
      <w:tr w:rsidR="00784E16" w:rsidRPr="00784E16" w14:paraId="371143A4" w14:textId="77777777" w:rsidTr="004A0C1A">
        <w:trPr>
          <w:cantSplit w:val="0"/>
        </w:trPr>
        <w:tc>
          <w:tcPr>
            <w:tcW w:w="1555" w:type="dxa"/>
            <w:shd w:val="clear" w:color="auto" w:fill="DFE0DE"/>
          </w:tcPr>
          <w:p w14:paraId="58EC8CB2" w14:textId="77777777" w:rsidR="00784E16" w:rsidRPr="00784E16" w:rsidRDefault="00784E16" w:rsidP="00784E16">
            <w:pPr>
              <w:rPr>
                <w:b/>
              </w:rPr>
            </w:pPr>
            <w:r w:rsidRPr="00784E16">
              <w:rPr>
                <w:b/>
              </w:rPr>
              <w:t>Vary to remove condition</w:t>
            </w:r>
          </w:p>
        </w:tc>
        <w:tc>
          <w:tcPr>
            <w:tcW w:w="8221" w:type="dxa"/>
          </w:tcPr>
          <w:p w14:paraId="05DE7B75" w14:textId="77777777" w:rsidR="00784E16" w:rsidRPr="00784E16" w:rsidRDefault="00784E16" w:rsidP="00784E16">
            <w:pPr>
              <w:spacing w:after="120"/>
              <w:rPr>
                <w:color w:val="auto"/>
              </w:rPr>
            </w:pPr>
            <w:r w:rsidRPr="00784E16">
              <w:rPr>
                <w:color w:val="auto"/>
              </w:rPr>
              <w:t>Your project is considered ‘conditional’ until all consents or approvals are received.</w:t>
            </w:r>
          </w:p>
          <w:p w14:paraId="4332F578" w14:textId="68551483" w:rsidR="00784E16" w:rsidRPr="00784E16" w:rsidRDefault="00784E16" w:rsidP="00784E16">
            <w:pPr>
              <w:spacing w:after="120"/>
              <w:rPr>
                <w:color w:val="auto"/>
              </w:rPr>
            </w:pPr>
            <w:r w:rsidRPr="00784E16">
              <w:rPr>
                <w:color w:val="auto"/>
              </w:rPr>
              <w:t xml:space="preserve">You can apply to remove this condition by providing all signed eligible interest-holder consent forms or regulatory approvals through the Project Variation form on the </w:t>
            </w:r>
            <w:hyperlink r:id="rId26" w:history="1">
              <w:r w:rsidRPr="00784E16">
                <w:rPr>
                  <w:color w:val="005874"/>
                  <w:u w:val="single"/>
                </w:rPr>
                <w:t>Clean Energy Regulator Client Portal</w:t>
              </w:r>
            </w:hyperlink>
            <w:r w:rsidR="001D15BB" w:rsidRPr="001D15BB">
              <w:rPr>
                <w:color w:val="auto"/>
                <w:vertAlign w:val="superscript"/>
              </w:rPr>
              <w:fldChar w:fldCharType="begin"/>
            </w:r>
            <w:r w:rsidR="001D15BB" w:rsidRPr="001D15BB">
              <w:rPr>
                <w:color w:val="auto"/>
                <w:vertAlign w:val="superscript"/>
              </w:rPr>
              <w:instrText xml:space="preserve"> NOTEREF _Ref63256801 \h  \* MERGEFORMAT </w:instrText>
            </w:r>
            <w:r w:rsidR="001D15BB" w:rsidRPr="001D15BB">
              <w:rPr>
                <w:color w:val="auto"/>
                <w:vertAlign w:val="superscript"/>
              </w:rPr>
            </w:r>
            <w:r w:rsidR="001D15BB" w:rsidRPr="001D15BB">
              <w:rPr>
                <w:color w:val="auto"/>
                <w:vertAlign w:val="superscript"/>
              </w:rPr>
              <w:fldChar w:fldCharType="separate"/>
            </w:r>
            <w:r w:rsidR="00651484">
              <w:rPr>
                <w:color w:val="auto"/>
                <w:vertAlign w:val="superscript"/>
              </w:rPr>
              <w:t>6</w:t>
            </w:r>
            <w:r w:rsidR="001D15BB" w:rsidRPr="001D15BB">
              <w:rPr>
                <w:color w:val="auto"/>
                <w:vertAlign w:val="superscript"/>
              </w:rPr>
              <w:fldChar w:fldCharType="end"/>
            </w:r>
            <w:r w:rsidRPr="00784E16">
              <w:rPr>
                <w:color w:val="auto"/>
              </w:rPr>
              <w:t>.</w:t>
            </w:r>
          </w:p>
          <w:p w14:paraId="14FFDEC1" w14:textId="77777777" w:rsidR="00784E16" w:rsidRPr="00784E16" w:rsidRDefault="00784E16" w:rsidP="00784E16">
            <w:pPr>
              <w:spacing w:after="120"/>
              <w:rPr>
                <w:color w:val="auto"/>
              </w:rPr>
            </w:pPr>
            <w:r w:rsidRPr="00784E16">
              <w:rPr>
                <w:color w:val="auto"/>
              </w:rPr>
              <w:t>You will need to provide all eligible interest-holder consents and regulatory approvals before your first offsets report.</w:t>
            </w:r>
          </w:p>
        </w:tc>
      </w:tr>
      <w:tr w:rsidR="00784E16" w:rsidRPr="00784E16" w14:paraId="02780089" w14:textId="77777777" w:rsidTr="004A0C1A">
        <w:trPr>
          <w:cantSplit w:val="0"/>
        </w:trPr>
        <w:tc>
          <w:tcPr>
            <w:tcW w:w="1555" w:type="dxa"/>
            <w:shd w:val="clear" w:color="auto" w:fill="DFE0DE"/>
          </w:tcPr>
          <w:p w14:paraId="2C5CC6E4" w14:textId="77777777" w:rsidR="00784E16" w:rsidRPr="00784E16" w:rsidRDefault="00784E16" w:rsidP="00784E16">
            <w:pPr>
              <w:spacing w:after="120"/>
              <w:rPr>
                <w:b/>
                <w:color w:val="auto"/>
              </w:rPr>
            </w:pPr>
            <w:r w:rsidRPr="00784E16">
              <w:rPr>
                <w:b/>
                <w:color w:val="auto"/>
              </w:rPr>
              <w:t>Vary project start date</w:t>
            </w:r>
          </w:p>
        </w:tc>
        <w:tc>
          <w:tcPr>
            <w:tcW w:w="8221" w:type="dxa"/>
          </w:tcPr>
          <w:p w14:paraId="7E46EA46" w14:textId="77777777" w:rsidR="00784E16" w:rsidRPr="00784E16" w:rsidRDefault="00784E16" w:rsidP="00784E16">
            <w:r w:rsidRPr="00784E16">
              <w:t>You can vary your project’s nominated start date (which is also the start of your crediting period and first reporting period). The varied start date cannot be later than 18 months after the date your project is registered.</w:t>
            </w:r>
          </w:p>
          <w:p w14:paraId="01966A48" w14:textId="77777777" w:rsidR="00784E16" w:rsidRPr="00784E16" w:rsidRDefault="00784E16" w:rsidP="00784E16">
            <w:r w:rsidRPr="00784E16">
              <w:t xml:space="preserve">You can only vary the start date before you submit your first offsets report, and it can only be varied once. </w:t>
            </w:r>
          </w:p>
        </w:tc>
      </w:tr>
    </w:tbl>
    <w:p w14:paraId="09281F03" w14:textId="2300DCBA" w:rsidR="00784E16" w:rsidRDefault="00784E16" w:rsidP="001612D2">
      <w:r w:rsidRPr="00784E16">
        <w:t xml:space="preserve">Further information on varying your project can be found on our </w:t>
      </w:r>
      <w:hyperlink r:id="rId27" w:anchor="Vary-your-project-area" w:history="1">
        <w:r w:rsidRPr="00784E16">
          <w:rPr>
            <w:color w:val="005874"/>
            <w:u w:val="single"/>
          </w:rPr>
          <w:t>making changes to your project webpage</w:t>
        </w:r>
      </w:hyperlink>
      <w:r w:rsidRPr="00784E16">
        <w:t>.</w:t>
      </w:r>
    </w:p>
    <w:p w14:paraId="7080A725" w14:textId="77777777" w:rsidR="0076415C" w:rsidRPr="00F61D43" w:rsidRDefault="0076415C" w:rsidP="001612D2"/>
    <w:sectPr w:rsidR="0076415C" w:rsidRPr="00F61D43">
      <w:headerReference w:type="even" r:id="rId28"/>
      <w:headerReference w:type="default" r:id="rId29"/>
      <w:footerReference w:type="default" r:id="rId30"/>
      <w:head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554A0" w14:textId="77777777" w:rsidR="00D553CB" w:rsidRDefault="00D553CB" w:rsidP="000B74AE">
      <w:pPr>
        <w:spacing w:after="0"/>
      </w:pPr>
      <w:r>
        <w:separator/>
      </w:r>
    </w:p>
  </w:endnote>
  <w:endnote w:type="continuationSeparator" w:id="0">
    <w:p w14:paraId="10F75B9A" w14:textId="77777777" w:rsidR="00D553CB" w:rsidRDefault="00D553CB" w:rsidP="000B74AE">
      <w:pPr>
        <w:spacing w:after="0"/>
      </w:pPr>
      <w:r>
        <w:continuationSeparator/>
      </w:r>
    </w:p>
  </w:endnote>
  <w:endnote w:type="continuationNotice" w:id="1">
    <w:p w14:paraId="1B4847B4" w14:textId="77777777" w:rsidR="00D553CB" w:rsidRDefault="00D553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4A841" w14:textId="49AFF922" w:rsidR="00D553CB" w:rsidRPr="008A5873" w:rsidRDefault="00D553CB" w:rsidP="00B96996">
    <w:pPr>
      <w:tabs>
        <w:tab w:val="center" w:pos="4513"/>
        <w:tab w:val="right" w:pos="9026"/>
      </w:tabs>
    </w:pPr>
    <w:bookmarkStart w:id="68" w:name="_Hlk64292688"/>
    <w:bookmarkStart w:id="69" w:name="_Hlk64292689"/>
    <w:r>
      <w:tab/>
    </w:r>
    <w:bookmarkEnd w:id="68"/>
    <w:bookmarkEnd w:id="69"/>
    <w:r w:rsidR="00270B32" w:rsidRPr="005A5D9E">
      <w:rPr>
        <w:b/>
        <w:bCs/>
        <w:color w:val="FF0000"/>
      </w:rPr>
      <w:t>OFFICIAL</w:t>
    </w:r>
    <w:r w:rsidR="00A07486">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7218A" w14:textId="77777777" w:rsidR="00D553CB" w:rsidRDefault="00D553CB" w:rsidP="000B74AE">
      <w:pPr>
        <w:spacing w:after="0"/>
      </w:pPr>
      <w:r>
        <w:separator/>
      </w:r>
    </w:p>
  </w:footnote>
  <w:footnote w:type="continuationSeparator" w:id="0">
    <w:p w14:paraId="3B5DA83C" w14:textId="77777777" w:rsidR="00D553CB" w:rsidRDefault="00D553CB" w:rsidP="000B74AE">
      <w:pPr>
        <w:spacing w:after="0"/>
      </w:pPr>
      <w:r>
        <w:continuationSeparator/>
      </w:r>
    </w:p>
  </w:footnote>
  <w:footnote w:type="continuationNotice" w:id="1">
    <w:p w14:paraId="49B78013" w14:textId="77777777" w:rsidR="00D553CB" w:rsidRDefault="00D553CB">
      <w:pPr>
        <w:spacing w:after="0"/>
      </w:pPr>
    </w:p>
  </w:footnote>
  <w:footnote w:id="2">
    <w:p w14:paraId="27B71952" w14:textId="77777777" w:rsidR="00D553CB" w:rsidRPr="00590C22" w:rsidRDefault="00D553CB" w:rsidP="000B74AE">
      <w:pPr>
        <w:pStyle w:val="FootnoteText"/>
      </w:pPr>
      <w:r w:rsidRPr="00590C22">
        <w:rPr>
          <w:rStyle w:val="FootnoteReference"/>
        </w:rPr>
        <w:footnoteRef/>
      </w:r>
      <w:r w:rsidRPr="00590C22">
        <w:t xml:space="preserve"> </w:t>
      </w:r>
      <w:hyperlink r:id="rId1" w:history="1">
        <w:r w:rsidRPr="00590C22">
          <w:rPr>
            <w:rStyle w:val="Hyperlink"/>
            <w:sz w:val="20"/>
          </w:rPr>
          <w:t>http://www.cleanenergyregulator.gov.au/ERF/Want-to-participate-in-the-Emissions-Reduction-Fund/Step-2-Contracts-and-auctions/bidding-at-an-auction</w:t>
        </w:r>
      </w:hyperlink>
      <w:r w:rsidRPr="00590C22">
        <w:t xml:space="preserve"> </w:t>
      </w:r>
    </w:p>
  </w:footnote>
  <w:footnote w:id="3">
    <w:p w14:paraId="73C847FC" w14:textId="12F07724" w:rsidR="00D553CB" w:rsidRPr="00E44E1C" w:rsidRDefault="00D553CB" w:rsidP="00E44E1C">
      <w:pPr>
        <w:pStyle w:val="FootnoteText"/>
      </w:pPr>
      <w:r w:rsidRPr="00E44E1C">
        <w:rPr>
          <w:rStyle w:val="FootnoteReference"/>
        </w:rPr>
        <w:footnoteRef/>
      </w:r>
      <w:r w:rsidRPr="00E44E1C">
        <w:t xml:space="preserve"> Intergovernmental Panel on Climate Change, 2006 IPCC Guidelines for National Greenhouse Gas Inventories, Volume 2: Energy, </w:t>
      </w:r>
      <w:hyperlink r:id="rId2" w:history="1">
        <w:r w:rsidRPr="00E44E1C">
          <w:rPr>
            <w:rStyle w:val="Hyperlink"/>
            <w:sz w:val="20"/>
          </w:rPr>
          <w:t>Publications - IPCC-TFI (iges.or.jp)</w:t>
        </w:r>
      </w:hyperlink>
      <w:r w:rsidRPr="00E44E1C">
        <w:t xml:space="preserve">; Intergovernmental Panel on Climate Change 2006 IPCC Guidelines for National Greenhouse Gas Inventories, Volume 5: Waste Sector, </w:t>
      </w:r>
      <w:hyperlink r:id="rId3" w:history="1">
        <w:r w:rsidRPr="00E44E1C">
          <w:rPr>
            <w:rStyle w:val="Hyperlink"/>
            <w:sz w:val="20"/>
          </w:rPr>
          <w:t>Publications - IPCC-TFI (iges.or.jp)</w:t>
        </w:r>
      </w:hyperlink>
    </w:p>
  </w:footnote>
  <w:footnote w:id="4">
    <w:p w14:paraId="173DE634" w14:textId="4E680C64" w:rsidR="00D553CB" w:rsidRDefault="00D553CB">
      <w:pPr>
        <w:pStyle w:val="FootnoteText"/>
      </w:pPr>
      <w:r>
        <w:rPr>
          <w:rStyle w:val="FootnoteReference"/>
        </w:rPr>
        <w:footnoteRef/>
      </w:r>
      <w:r>
        <w:t xml:space="preserve">Some agricultural wastes can be eligible under the animal effluent method in specific circumstances. In particular, wastes will need to have been treated in an open anaerobic pond in the absence of an ERF project. </w:t>
      </w:r>
    </w:p>
  </w:footnote>
  <w:footnote w:id="5">
    <w:p w14:paraId="3BD0DF2B" w14:textId="43D0B13C" w:rsidR="00D553CB" w:rsidRDefault="00D553CB">
      <w:pPr>
        <w:pStyle w:val="FootnoteText"/>
      </w:pPr>
      <w:r>
        <w:rPr>
          <w:rStyle w:val="FootnoteReference"/>
        </w:rPr>
        <w:footnoteRef/>
      </w:r>
      <w:r>
        <w:t xml:space="preserve"> Minister for Industry, Energy and Emissions Reduction, </w:t>
      </w:r>
      <w:r w:rsidRPr="00BD1639">
        <w:t>New ERF method and 2022 priorities announced</w:t>
      </w:r>
      <w:r>
        <w:t xml:space="preserve">, Media Release, 1 October 2021, </w:t>
      </w:r>
      <w:hyperlink r:id="rId4" w:history="1">
        <w:r w:rsidRPr="005B50A2">
          <w:rPr>
            <w:rStyle w:val="Hyperlink"/>
            <w:sz w:val="20"/>
          </w:rPr>
          <w:t>https://www.minister.industry.gov.au/ministers/taylor/media-releases/new-erf-method-and-2022-priorities-announced</w:t>
        </w:r>
      </w:hyperlink>
      <w:r>
        <w:t xml:space="preserve"> </w:t>
      </w:r>
    </w:p>
  </w:footnote>
  <w:footnote w:id="6">
    <w:p w14:paraId="02BE615B" w14:textId="26BE7727" w:rsidR="00D553CB" w:rsidRDefault="00D553CB" w:rsidP="001A14EF">
      <w:r>
        <w:rPr>
          <w:rStyle w:val="FootnoteReference"/>
        </w:rPr>
        <w:footnoteRef/>
      </w:r>
      <w:r>
        <w:t xml:space="preserve"> </w:t>
      </w:r>
      <w:r w:rsidRPr="00C837E2">
        <w:rPr>
          <w:sz w:val="20"/>
          <w:szCs w:val="20"/>
        </w:rPr>
        <w:t>See Schedule 1 of the National Greenhouse and Energy Reporting (Measurement) Determination 2008</w:t>
      </w:r>
      <w:r>
        <w:t xml:space="preserve">, </w:t>
      </w:r>
      <w:r w:rsidRPr="00C837E2">
        <w:rPr>
          <w:sz w:val="20"/>
          <w:szCs w:val="20"/>
        </w:rPr>
        <w:t>available from</w:t>
      </w:r>
      <w:r>
        <w:t xml:space="preserve"> </w:t>
      </w:r>
      <w:hyperlink r:id="rId5" w:history="1">
        <w:r w:rsidRPr="00A27A32">
          <w:rPr>
            <w:rStyle w:val="Hyperlink"/>
            <w:sz w:val="20"/>
          </w:rPr>
          <w:t>https://www.legislation.gov.au/Series/F2008L02309/Compilations</w:t>
        </w:r>
      </w:hyperlink>
      <w:r>
        <w:t xml:space="preserve"> </w:t>
      </w:r>
    </w:p>
  </w:footnote>
  <w:footnote w:id="7">
    <w:p w14:paraId="71FBB836" w14:textId="77777777" w:rsidR="00D553CB" w:rsidRPr="009B3715" w:rsidRDefault="00D553CB" w:rsidP="002C7982">
      <w:pPr>
        <w:pStyle w:val="FootnoteText"/>
        <w:rPr>
          <w:sz w:val="18"/>
          <w:szCs w:val="18"/>
        </w:rPr>
      </w:pPr>
      <w:r w:rsidRPr="009B3715">
        <w:rPr>
          <w:rStyle w:val="FootnoteReference"/>
          <w:sz w:val="18"/>
          <w:szCs w:val="18"/>
        </w:rPr>
        <w:footnoteRef/>
      </w:r>
      <w:r w:rsidRPr="009B3715">
        <w:rPr>
          <w:sz w:val="18"/>
          <w:szCs w:val="18"/>
        </w:rPr>
        <w:t xml:space="preserve"> </w:t>
      </w:r>
      <w:hyperlink r:id="rId6" w:history="1">
        <w:r w:rsidRPr="009B3715">
          <w:rPr>
            <w:rStyle w:val="Hyperlink"/>
            <w:sz w:val="20"/>
            <w:szCs w:val="18"/>
          </w:rPr>
          <w:t>http://www.cleanenergyregulator.gov.au/ERF/Want-to-participate-in-the-Emissions-Reduction-Fund/Planning-a-project</w:t>
        </w:r>
      </w:hyperlink>
      <w:r w:rsidRPr="009B3715">
        <w:rPr>
          <w:sz w:val="18"/>
          <w:szCs w:val="18"/>
        </w:rPr>
        <w:t xml:space="preserve"> </w:t>
      </w:r>
    </w:p>
  </w:footnote>
  <w:footnote w:id="8">
    <w:p w14:paraId="299D9401" w14:textId="77777777" w:rsidR="00D553CB" w:rsidRDefault="00D553CB" w:rsidP="00CC6982">
      <w:pPr>
        <w:pStyle w:val="FootnoteText"/>
      </w:pPr>
      <w:r>
        <w:rPr>
          <w:rStyle w:val="FootnoteReference"/>
        </w:rPr>
        <w:footnoteRef/>
      </w:r>
      <w:r>
        <w:t xml:space="preserve"> </w:t>
      </w:r>
      <w:hyperlink r:id="rId7" w:history="1">
        <w:r w:rsidRPr="00816A19">
          <w:rPr>
            <w:rStyle w:val="Hyperlink"/>
            <w:sz w:val="20"/>
          </w:rPr>
          <w:t>http://www.cleanenergyregulator.gov.au/About/Policies-and-publications/fit-and-proper-person-posture</w:t>
        </w:r>
      </w:hyperlink>
      <w:r>
        <w:t xml:space="preserve"> </w:t>
      </w:r>
    </w:p>
  </w:footnote>
  <w:footnote w:id="9">
    <w:p w14:paraId="2085D43C" w14:textId="7B890440" w:rsidR="00D553CB" w:rsidRDefault="00D553CB">
      <w:pPr>
        <w:pStyle w:val="FootnoteText"/>
      </w:pPr>
      <w:r>
        <w:rPr>
          <w:rStyle w:val="FootnoteReference"/>
        </w:rPr>
        <w:footnoteRef/>
      </w:r>
      <w:r>
        <w:t xml:space="preserve"> </w:t>
      </w:r>
      <w:hyperlink r:id="rId8" w:history="1">
        <w:r w:rsidRPr="009D4DBC">
          <w:rPr>
            <w:rStyle w:val="Hyperlink"/>
            <w:rFonts w:asciiTheme="minorHAnsi" w:eastAsiaTheme="minorHAnsi" w:hAnsiTheme="minorHAnsi" w:cstheme="minorBidi"/>
            <w:sz w:val="20"/>
            <w:szCs w:val="22"/>
            <w:lang w:val="en-GB"/>
          </w:rPr>
          <w:t>http://www.cleanenergyregulator.gov.au/ERF/Want-to-participate-in-the-Emissions-Reduction-Fund/Planning-a-project/regulatory-additionality-and-government-programs/regulatory-additionality-for-regulated-entities-with-state-or-territory-emission-reduction-or-offsetting-requirements</w:t>
        </w:r>
      </w:hyperlink>
      <w:r>
        <w:rPr>
          <w:rFonts w:asciiTheme="minorHAnsi" w:eastAsiaTheme="minorHAnsi" w:hAnsiTheme="minorHAnsi" w:cstheme="minorBidi"/>
          <w:color w:val="000000" w:themeColor="text1"/>
          <w:szCs w:val="22"/>
          <w:lang w:val="en-GB"/>
        </w:rPr>
        <w:t xml:space="preserve"> </w:t>
      </w:r>
    </w:p>
  </w:footnote>
  <w:footnote w:id="10">
    <w:p w14:paraId="6D779CF2" w14:textId="6B106E69" w:rsidR="00D553CB" w:rsidRDefault="00D553CB" w:rsidP="00FE3744">
      <w:pPr>
        <w:pStyle w:val="FootnoteText"/>
      </w:pPr>
      <w:r>
        <w:rPr>
          <w:rStyle w:val="FootnoteReference"/>
        </w:rPr>
        <w:footnoteRef/>
      </w:r>
      <w:r>
        <w:t xml:space="preserve"> Clean Energy Regulator, 2021, Client Portal, </w:t>
      </w:r>
      <w:hyperlink r:id="rId9" w:history="1">
        <w:r w:rsidRPr="00ED6985">
          <w:rPr>
            <w:rStyle w:val="Hyperlink"/>
            <w:sz w:val="20"/>
          </w:rPr>
          <w:t>http://www.cleanenergyregulator.gov.au/OSR/CP</w:t>
        </w:r>
      </w:hyperlink>
      <w:r>
        <w:t xml:space="preserve"> </w:t>
      </w:r>
    </w:p>
  </w:footnote>
  <w:footnote w:id="11">
    <w:p w14:paraId="62407FF9" w14:textId="71D44DBF" w:rsidR="00D553CB" w:rsidRDefault="00D553CB" w:rsidP="00721BF8">
      <w:pPr>
        <w:pStyle w:val="FootnoteText"/>
      </w:pPr>
      <w:r>
        <w:rPr>
          <w:rStyle w:val="FootnoteReference"/>
        </w:rPr>
        <w:footnoteRef/>
      </w:r>
      <w:r>
        <w:t xml:space="preserve"> Subject to the relevant state or territory regulations and any regulatory approvals. </w:t>
      </w:r>
    </w:p>
  </w:footnote>
  <w:footnote w:id="12">
    <w:p w14:paraId="737EEEB7" w14:textId="7EF56A7C" w:rsidR="00D553CB" w:rsidRPr="006F13C7" w:rsidRDefault="00D553CB" w:rsidP="006F13C7">
      <w:pPr>
        <w:pStyle w:val="CommentText"/>
      </w:pPr>
      <w:r w:rsidRPr="006F13C7">
        <w:rPr>
          <w:rStyle w:val="FootnoteReference"/>
        </w:rPr>
        <w:footnoteRef/>
      </w:r>
      <w:r w:rsidRPr="006F13C7">
        <w:t xml:space="preserve"> </w:t>
      </w:r>
      <w:r>
        <w:t xml:space="preserve">The default production loss factor is a conservative estimate based on a paper by Ardolino et al (available from </w:t>
      </w:r>
      <w:hyperlink r:id="rId10" w:history="1">
        <w:r w:rsidRPr="00DD3C81">
          <w:rPr>
            <w:rStyle w:val="Hyperlink"/>
            <w:sz w:val="20"/>
          </w:rPr>
          <w:t>https://www.researchgate.net/publication/347003218_</w:t>
        </w:r>
        <w:r w:rsidRPr="006F13C7">
          <w:rPr>
            <w:rStyle w:val="Hyperlink"/>
            <w:sz w:val="20"/>
          </w:rPr>
          <w:t>(PDF) Biogas-to-biomethane</w:t>
        </w:r>
        <w:r w:rsidRPr="00DD3C81">
          <w:rPr>
            <w:rStyle w:val="Hyperlink"/>
            <w:sz w:val="20"/>
          </w:rPr>
          <w:t>_</w:t>
        </w:r>
        <w:r w:rsidRPr="006F13C7">
          <w:rPr>
            <w:rStyle w:val="Hyperlink"/>
            <w:sz w:val="20"/>
          </w:rPr>
          <w:t xml:space="preserve"> upgrading</w:t>
        </w:r>
        <w:r w:rsidRPr="00DD3C81">
          <w:rPr>
            <w:rStyle w:val="Hyperlink"/>
            <w:sz w:val="20"/>
          </w:rPr>
          <w:t>_</w:t>
        </w:r>
        <w:r w:rsidRPr="006F13C7">
          <w:rPr>
            <w:rStyle w:val="Hyperlink"/>
            <w:sz w:val="20"/>
          </w:rPr>
          <w:t>: A</w:t>
        </w:r>
        <w:r w:rsidRPr="00DD3C81">
          <w:rPr>
            <w:rStyle w:val="Hyperlink"/>
            <w:sz w:val="20"/>
          </w:rPr>
          <w:t>_</w:t>
        </w:r>
        <w:r w:rsidRPr="006F13C7">
          <w:rPr>
            <w:rStyle w:val="Hyperlink"/>
            <w:sz w:val="20"/>
          </w:rPr>
          <w:t xml:space="preserve"> comparative</w:t>
        </w:r>
        <w:r w:rsidRPr="00DD3C81">
          <w:rPr>
            <w:rStyle w:val="Hyperlink"/>
            <w:sz w:val="20"/>
          </w:rPr>
          <w:t>_</w:t>
        </w:r>
        <w:r w:rsidRPr="006F13C7">
          <w:rPr>
            <w:rStyle w:val="Hyperlink"/>
            <w:sz w:val="20"/>
          </w:rPr>
          <w:t xml:space="preserve"> review</w:t>
        </w:r>
        <w:r w:rsidRPr="00DD3C81">
          <w:rPr>
            <w:rStyle w:val="Hyperlink"/>
            <w:sz w:val="20"/>
          </w:rPr>
          <w:t>_</w:t>
        </w:r>
        <w:r w:rsidRPr="006F13C7">
          <w:rPr>
            <w:rStyle w:val="Hyperlink"/>
            <w:sz w:val="20"/>
          </w:rPr>
          <w:t xml:space="preserve"> and</w:t>
        </w:r>
        <w:r w:rsidRPr="00DD3C81">
          <w:rPr>
            <w:rStyle w:val="Hyperlink"/>
            <w:sz w:val="20"/>
          </w:rPr>
          <w:t>_</w:t>
        </w:r>
        <w:r w:rsidRPr="006F13C7">
          <w:rPr>
            <w:rStyle w:val="Hyperlink"/>
            <w:sz w:val="20"/>
          </w:rPr>
          <w:t xml:space="preserve"> assessment</w:t>
        </w:r>
        <w:r w:rsidRPr="00DD3C81">
          <w:rPr>
            <w:rStyle w:val="Hyperlink"/>
            <w:sz w:val="20"/>
          </w:rPr>
          <w:t>_</w:t>
        </w:r>
        <w:r w:rsidRPr="006F13C7">
          <w:rPr>
            <w:rStyle w:val="Hyperlink"/>
            <w:sz w:val="20"/>
          </w:rPr>
          <w:t xml:space="preserve"> in</w:t>
        </w:r>
        <w:r w:rsidRPr="00DD3C81">
          <w:rPr>
            <w:rStyle w:val="Hyperlink"/>
            <w:sz w:val="20"/>
          </w:rPr>
          <w:t>_</w:t>
        </w:r>
        <w:r w:rsidRPr="006F13C7">
          <w:rPr>
            <w:rStyle w:val="Hyperlink"/>
            <w:sz w:val="20"/>
          </w:rPr>
          <w:t xml:space="preserve"> a</w:t>
        </w:r>
        <w:r w:rsidRPr="00DD3C81">
          <w:rPr>
            <w:rStyle w:val="Hyperlink"/>
            <w:sz w:val="20"/>
          </w:rPr>
          <w:t>_</w:t>
        </w:r>
        <w:r w:rsidRPr="006F13C7">
          <w:rPr>
            <w:rStyle w:val="Hyperlink"/>
            <w:sz w:val="20"/>
          </w:rPr>
          <w:t xml:space="preserve"> life</w:t>
        </w:r>
        <w:r w:rsidRPr="00DD3C81">
          <w:rPr>
            <w:rStyle w:val="Hyperlink"/>
            <w:sz w:val="20"/>
          </w:rPr>
          <w:t>_</w:t>
        </w:r>
        <w:r w:rsidRPr="006F13C7">
          <w:rPr>
            <w:rStyle w:val="Hyperlink"/>
            <w:sz w:val="20"/>
          </w:rPr>
          <w:t xml:space="preserve"> cycle</w:t>
        </w:r>
        <w:r w:rsidRPr="00DD3C81">
          <w:rPr>
            <w:rStyle w:val="Hyperlink"/>
            <w:sz w:val="20"/>
          </w:rPr>
          <w:t>_</w:t>
        </w:r>
        <w:r w:rsidRPr="006F13C7">
          <w:rPr>
            <w:rStyle w:val="Hyperlink"/>
            <w:sz w:val="20"/>
          </w:rPr>
          <w:t xml:space="preserve"> perspective (researchgate.net)</w:t>
        </w:r>
      </w:hyperlink>
      <w:r>
        <w:t xml:space="preserve">). </w:t>
      </w:r>
      <w:r w:rsidRPr="006F13C7">
        <w:t xml:space="preserve">Table 3 of the review identifies ‘worst case’ </w:t>
      </w:r>
      <w:r>
        <w:t>methane</w:t>
      </w:r>
      <w:r w:rsidRPr="006F13C7">
        <w:t xml:space="preserve"> slip rates of 2% for the 4 most popular biogas upgrading technologies. Hence a value of 4% was selected as a conservative default</w:t>
      </w:r>
    </w:p>
  </w:footnote>
  <w:footnote w:id="13">
    <w:p w14:paraId="6BBA88D7" w14:textId="390ACDFF" w:rsidR="00D553CB" w:rsidRDefault="00D553CB">
      <w:pPr>
        <w:pStyle w:val="FootnoteText"/>
      </w:pPr>
      <w:r>
        <w:rPr>
          <w:rStyle w:val="FootnoteReference"/>
        </w:rPr>
        <w:footnoteRef/>
      </w:r>
      <w:r>
        <w:t xml:space="preserve"> The default transport loss factor was estimated using the unaccounted for gas fractions and Method 1 in section 3.81 of the </w:t>
      </w:r>
      <w:r w:rsidRPr="00197C24">
        <w:t>National Greenhouse and Energy Reporting (Measurement) Determination 2008</w:t>
      </w:r>
      <w:r>
        <w:t xml:space="preserve"> (available from </w:t>
      </w:r>
      <w:hyperlink r:id="rId11" w:history="1">
        <w:r w:rsidRPr="00DD3C81">
          <w:rPr>
            <w:rStyle w:val="Hyperlink"/>
            <w:sz w:val="20"/>
          </w:rPr>
          <w:t>https://www.legislation.gov.au/Series/F2008L02309</w:t>
        </w:r>
      </w:hyperlink>
      <w:r>
        <w:t xml:space="preserve">) weighted by the gas consumption percentage for each state per the Australian Energy Update 2020 Table C (available from </w:t>
      </w:r>
      <w:hyperlink r:id="rId12" w:history="1">
        <w:r w:rsidRPr="00DD3C81">
          <w:rPr>
            <w:rStyle w:val="Hyperlink"/>
            <w:sz w:val="20"/>
          </w:rPr>
          <w:t>https://www.energy.gov.au/publications/australian-energy-update-2020</w:t>
        </w:r>
      </w:hyperlink>
      <w:r>
        <w:t xml:space="preserve">).  This default loss factor was estimated using the unaccounted for gas fractions and Method 1 in section 3.81 of the </w:t>
      </w:r>
      <w:r w:rsidRPr="00197C24">
        <w:t>National Greenhouse and Energy Reporting (Measurement) Determination 2008</w:t>
      </w:r>
    </w:p>
  </w:footnote>
  <w:footnote w:id="14">
    <w:p w14:paraId="1B46FF2A" w14:textId="741D1038" w:rsidR="00D553CB" w:rsidRDefault="00D553CB">
      <w:pPr>
        <w:pStyle w:val="FootnoteText"/>
      </w:pPr>
      <w:r>
        <w:rPr>
          <w:rStyle w:val="FootnoteReference"/>
        </w:rPr>
        <w:footnoteRef/>
      </w:r>
      <w:r>
        <w:t xml:space="preserve"> B</w:t>
      </w:r>
      <w:r w:rsidRPr="00D94D52">
        <w:rPr>
          <w:rFonts w:asciiTheme="minorHAnsi" w:hAnsiTheme="minorHAnsi" w:cstheme="minorHAnsi"/>
        </w:rPr>
        <w:t xml:space="preserve">iomethane displacement ACCUs are only issued when the biomethane is produced from biogas that came from an eligible waste source under one of the </w:t>
      </w:r>
      <w:r>
        <w:rPr>
          <w:rFonts w:asciiTheme="minorHAnsi" w:hAnsiTheme="minorHAnsi" w:cstheme="minorHAnsi"/>
        </w:rPr>
        <w:t>3</w:t>
      </w:r>
      <w:r w:rsidRPr="00D94D52">
        <w:rPr>
          <w:rFonts w:asciiTheme="minorHAnsi" w:hAnsiTheme="minorHAnsi" w:cstheme="minorHAnsi"/>
        </w:rPr>
        <w:t xml:space="preserve"> waste methods</w:t>
      </w:r>
      <w:r>
        <w:rPr>
          <w:rFonts w:asciiTheme="minorHAnsi" w:hAnsiTheme="minorHAnsi" w:cstheme="minorHAnsi"/>
        </w:rPr>
        <w:t xml:space="preserve"> </w:t>
      </w:r>
      <w:r w:rsidRPr="00D94D52">
        <w:rPr>
          <w:rFonts w:asciiTheme="minorHAnsi" w:hAnsiTheme="minorHAnsi" w:cstheme="minorHAnsi"/>
        </w:rPr>
        <w:t xml:space="preserve">because the business-as-usual treatments for these wastes is understood. </w:t>
      </w:r>
      <w:r>
        <w:rPr>
          <w:rFonts w:asciiTheme="minorHAnsi" w:hAnsiTheme="minorHAnsi" w:cstheme="minorHAnsi"/>
        </w:rPr>
        <w:t xml:space="preserve">Diverting </w:t>
      </w:r>
      <w:r w:rsidRPr="00D94D52">
        <w:rPr>
          <w:rFonts w:asciiTheme="minorHAnsi" w:hAnsiTheme="minorHAnsi" w:cstheme="minorHAnsi"/>
        </w:rPr>
        <w:t>non-</w:t>
      </w:r>
      <w:r>
        <w:rPr>
          <w:rFonts w:asciiTheme="minorHAnsi" w:hAnsiTheme="minorHAnsi" w:cstheme="minorHAnsi"/>
        </w:rPr>
        <w:t xml:space="preserve">ERF </w:t>
      </w:r>
      <w:r w:rsidRPr="00D94D52">
        <w:rPr>
          <w:rFonts w:asciiTheme="minorHAnsi" w:hAnsiTheme="minorHAnsi" w:cstheme="minorHAnsi"/>
        </w:rPr>
        <w:t xml:space="preserve">method waste sources </w:t>
      </w:r>
      <w:r>
        <w:rPr>
          <w:rFonts w:asciiTheme="minorHAnsi" w:hAnsiTheme="minorHAnsi" w:cstheme="minorHAnsi"/>
        </w:rPr>
        <w:t xml:space="preserve">to produce biomethane </w:t>
      </w:r>
      <w:r w:rsidRPr="00D94D52">
        <w:rPr>
          <w:rFonts w:asciiTheme="minorHAnsi" w:hAnsiTheme="minorHAnsi" w:cstheme="minorHAnsi"/>
        </w:rPr>
        <w:t xml:space="preserve">may </w:t>
      </w:r>
      <w:r>
        <w:rPr>
          <w:rFonts w:asciiTheme="minorHAnsi" w:hAnsiTheme="minorHAnsi" w:cstheme="minorHAnsi"/>
        </w:rPr>
        <w:t>cause leakage emissions (e.g. diverting crop wastes previously left in fields may decrease soil carbon) that are not captured in the net abatement calculations. Not crediting biomethane produced from these waste streams controls for this leakage risk.</w:t>
      </w:r>
    </w:p>
  </w:footnote>
  <w:footnote w:id="15">
    <w:p w14:paraId="7503E97E" w14:textId="73EDDB3F" w:rsidR="00D553CB" w:rsidRPr="00327F1E" w:rsidRDefault="00D553CB" w:rsidP="00554B8F">
      <w:pPr>
        <w:pStyle w:val="FootnoteText"/>
        <w:ind w:left="142" w:hanging="142"/>
        <w:rPr>
          <w:color w:val="000000" w:themeColor="text1"/>
        </w:rPr>
      </w:pPr>
      <w:r w:rsidRPr="20F7574B">
        <w:rPr>
          <w:rStyle w:val="FootnoteReference"/>
        </w:rPr>
        <w:footnoteRef/>
      </w:r>
      <w:r>
        <w:t xml:space="preserve"> </w:t>
      </w:r>
      <w:r w:rsidRPr="00327F1E">
        <w:rPr>
          <w:color w:val="000000" w:themeColor="text1"/>
        </w:rPr>
        <w:t>Projects can report as frequently as monthly if more than 2</w:t>
      </w:r>
      <w:r>
        <w:rPr>
          <w:color w:val="000000" w:themeColor="text1"/>
        </w:rPr>
        <w:t>,</w:t>
      </w:r>
      <w:r w:rsidRPr="00327F1E">
        <w:rPr>
          <w:color w:val="000000" w:themeColor="text1"/>
        </w:rPr>
        <w:t xml:space="preserve">000 </w:t>
      </w:r>
      <w:r>
        <w:rPr>
          <w:color w:val="000000" w:themeColor="text1"/>
        </w:rPr>
        <w:t>ACCUs</w:t>
      </w:r>
      <w:r w:rsidRPr="00327F1E">
        <w:rPr>
          <w:color w:val="000000" w:themeColor="text1"/>
        </w:rPr>
        <w:t xml:space="preserve"> are being sought in the reporting period.</w:t>
      </w:r>
    </w:p>
  </w:footnote>
  <w:footnote w:id="16">
    <w:p w14:paraId="5CB8DDFC" w14:textId="77777777" w:rsidR="00D553CB" w:rsidRPr="00E723C4" w:rsidRDefault="00D553CB" w:rsidP="00C46AC9">
      <w:pPr>
        <w:pStyle w:val="FootnoteText"/>
        <w:rPr>
          <w:rStyle w:val="Hyperlink"/>
          <w:sz w:val="20"/>
        </w:rPr>
      </w:pPr>
      <w:r w:rsidRPr="00554B8F">
        <w:rPr>
          <w:rStyle w:val="FootnoteReference"/>
          <w:color w:val="538135" w:themeColor="accent6" w:themeShade="BF"/>
        </w:rPr>
        <w:footnoteRef/>
      </w:r>
      <w:r w:rsidRPr="00554B8F">
        <w:rPr>
          <w:color w:val="538135" w:themeColor="accent6" w:themeShade="BF"/>
        </w:rPr>
        <w:t xml:space="preserve"> </w:t>
      </w:r>
      <w:hyperlink r:id="rId13" w:history="1">
        <w:r w:rsidRPr="00E723C4">
          <w:rPr>
            <w:rStyle w:val="Hyperlink"/>
            <w:sz w:val="20"/>
          </w:rPr>
          <w:t>http://www.cleanenergyregulator.gov.au/OSR/ANREU/Opening-an-ANREU-account</w:t>
        </w:r>
      </w:hyperlink>
      <w:r w:rsidRPr="00E723C4">
        <w:rPr>
          <w:rStyle w:val="Hyperlink"/>
          <w:sz w:val="20"/>
        </w:rPr>
        <w:t xml:space="preserve"> </w:t>
      </w:r>
    </w:p>
  </w:footnote>
  <w:footnote w:id="17">
    <w:p w14:paraId="3F9C78C4" w14:textId="77777777" w:rsidR="00D553CB" w:rsidRPr="000C02BD" w:rsidRDefault="00D553CB" w:rsidP="0069460A">
      <w:pPr>
        <w:pStyle w:val="FootnoteText"/>
      </w:pPr>
      <w:r w:rsidRPr="000C02BD">
        <w:rPr>
          <w:rStyle w:val="FootnoteReference"/>
        </w:rPr>
        <w:footnoteRef/>
      </w:r>
      <w:r w:rsidRPr="000C02BD">
        <w:t xml:space="preserve"> </w:t>
      </w:r>
      <w:hyperlink r:id="rId14" w:history="1">
        <w:r w:rsidRPr="000C02BD">
          <w:rPr>
            <w:rStyle w:val="Hyperlink"/>
            <w:sz w:val="20"/>
          </w:rPr>
          <w:t>http://www.cleanenergyregulator.gov.au/Infohub/Audits/register-of-auditors</w:t>
        </w:r>
      </w:hyperlink>
      <w:r w:rsidRPr="000C02BD">
        <w:t xml:space="preserve"> </w:t>
      </w:r>
    </w:p>
  </w:footnote>
  <w:footnote w:id="18">
    <w:p w14:paraId="0DBCE862" w14:textId="58206A88" w:rsidR="00D553CB" w:rsidRDefault="00D553CB">
      <w:pPr>
        <w:pStyle w:val="FootnoteText"/>
      </w:pPr>
      <w:r>
        <w:rPr>
          <w:rStyle w:val="FootnoteReference"/>
        </w:rPr>
        <w:footnoteRef/>
      </w:r>
      <w:r>
        <w:t xml:space="preserve"> Available from: </w:t>
      </w:r>
      <w:hyperlink r:id="rId15" w:history="1">
        <w:r w:rsidRPr="00DD3C81">
          <w:rPr>
            <w:rStyle w:val="Hyperlink"/>
            <w:sz w:val="20"/>
          </w:rPr>
          <w:t>https://www.legislation.gov.au/Details/F2020L00005/Supporting%20Material/Text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1CF77" w14:textId="68AD9C31" w:rsidR="00A8227B" w:rsidRDefault="008C3745">
    <w:pPr>
      <w:pStyle w:val="Header"/>
    </w:pPr>
    <w:r>
      <w:rPr>
        <w:noProof/>
      </w:rPr>
      <w:pict w14:anchorId="562872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1579" o:spid="_x0000_s30721" type="#_x0000_t136" style="position:absolute;margin-left:0;margin-top:0;width:540.85pt;height:95.4pt;rotation:315;z-index:-251658239;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7D3D9" w14:textId="079BBC06" w:rsidR="00D553CB" w:rsidRPr="005A5D9E" w:rsidRDefault="008C3745" w:rsidP="003B775B">
    <w:pPr>
      <w:pStyle w:val="Header"/>
      <w:jc w:val="center"/>
      <w:rPr>
        <w:b/>
        <w:color w:val="FF0000"/>
      </w:rPr>
    </w:pPr>
    <w:r>
      <w:rPr>
        <w:b/>
        <w:bCs/>
        <w:noProof/>
      </w:rPr>
      <w:pict w14:anchorId="682A2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1580" o:spid="_x0000_s30722" type="#_x0000_t136" style="position:absolute;left:0;text-align:left;margin-left:0;margin-top:0;width:540.85pt;height:95.4pt;rotation:315;z-index:-251658238;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r w:rsidR="00D553CB" w:rsidRPr="005A5D9E">
      <w:rPr>
        <w:b/>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868D8" w14:textId="1910839C" w:rsidR="00A8227B" w:rsidRDefault="008C3745">
    <w:pPr>
      <w:pStyle w:val="Header"/>
    </w:pPr>
    <w:r>
      <w:rPr>
        <w:noProof/>
      </w:rPr>
      <w:pict w14:anchorId="29ED8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1578" o:spid="_x0000_s30723" type="#_x0000_t136" style="position:absolute;margin-left:0;margin-top:0;width:540.85pt;height:95.4pt;rotation:315;z-index:-251658240;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D779F"/>
    <w:multiLevelType w:val="hybridMultilevel"/>
    <w:tmpl w:val="B7560C1C"/>
    <w:lvl w:ilvl="0" w:tplc="DDDC01EA">
      <w:start w:val="12"/>
      <w:numFmt w:val="bullet"/>
      <w:lvlText w:val=""/>
      <w:lvlJc w:val="left"/>
      <w:pPr>
        <w:ind w:left="720" w:hanging="360"/>
      </w:pPr>
      <w:rPr>
        <w:rFonts w:ascii="Symbol" w:eastAsia="Cambr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5100A6"/>
    <w:multiLevelType w:val="hybridMultilevel"/>
    <w:tmpl w:val="C65A1CBC"/>
    <w:lvl w:ilvl="0" w:tplc="1DF8FDA2">
      <w:numFmt w:val="bullet"/>
      <w:lvlText w:val=""/>
      <w:lvlJc w:val="left"/>
      <w:pPr>
        <w:ind w:left="720" w:hanging="360"/>
      </w:pPr>
      <w:rPr>
        <w:rFonts w:ascii="Symbol" w:eastAsia="Cambr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C84BF8"/>
    <w:multiLevelType w:val="hybridMultilevel"/>
    <w:tmpl w:val="5DCCCD3A"/>
    <w:lvl w:ilvl="0" w:tplc="612E9CEC">
      <w:start w:val="1"/>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C200A7"/>
    <w:multiLevelType w:val="multilevel"/>
    <w:tmpl w:val="116CD9DE"/>
    <w:styleLink w:val="CERbulletlist"/>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A83182"/>
    <w:multiLevelType w:val="hybridMultilevel"/>
    <w:tmpl w:val="DBB0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A830EA"/>
    <w:multiLevelType w:val="hybridMultilevel"/>
    <w:tmpl w:val="025E4092"/>
    <w:lvl w:ilvl="0" w:tplc="C52499A6">
      <w:start w:val="12"/>
      <w:numFmt w:val="bullet"/>
      <w:lvlText w:val=""/>
      <w:lvlJc w:val="left"/>
      <w:pPr>
        <w:ind w:left="720" w:hanging="360"/>
      </w:pPr>
      <w:rPr>
        <w:rFonts w:ascii="Symbol" w:eastAsia="Cambr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552D35"/>
    <w:multiLevelType w:val="hybridMultilevel"/>
    <w:tmpl w:val="8F9CDFCC"/>
    <w:lvl w:ilvl="0" w:tplc="78BE75FA">
      <w:start w:val="4"/>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1E0CB0"/>
    <w:multiLevelType w:val="hybridMultilevel"/>
    <w:tmpl w:val="F5BA748A"/>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15:restartNumberingAfterBreak="0">
    <w:nsid w:val="68956C20"/>
    <w:multiLevelType w:val="multilevel"/>
    <w:tmpl w:val="3EC2EE0E"/>
    <w:lvl w:ilvl="0">
      <w:start w:val="1"/>
      <w:numFmt w:val="bullet"/>
      <w:pStyle w:val="CERbullets"/>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CDC0456"/>
    <w:multiLevelType w:val="hybridMultilevel"/>
    <w:tmpl w:val="32B80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DB23C0"/>
    <w:multiLevelType w:val="hybridMultilevel"/>
    <w:tmpl w:val="970C3356"/>
    <w:lvl w:ilvl="0" w:tplc="49CEF20C">
      <w:start w:val="1"/>
      <w:numFmt w:val="bullet"/>
      <w:lvlText w:val=""/>
      <w:lvlJc w:val="left"/>
      <w:pPr>
        <w:ind w:left="360" w:hanging="360"/>
      </w:pPr>
      <w:rPr>
        <w:rFonts w:ascii="Symbol" w:hAnsi="Symbol" w:hint="default"/>
        <w:color w:val="005874"/>
      </w:rPr>
    </w:lvl>
    <w:lvl w:ilvl="1" w:tplc="3D1CBE38">
      <w:start w:val="1"/>
      <w:numFmt w:val="bullet"/>
      <w:lvlText w:val="»"/>
      <w:lvlJc w:val="left"/>
      <w:pPr>
        <w:ind w:left="720" w:hanging="360"/>
      </w:pPr>
      <w:rPr>
        <w:rFonts w:ascii="Arial" w:hAnsi="Arial" w:hint="default"/>
        <w:color w:val="005874"/>
      </w:rPr>
    </w:lvl>
    <w:lvl w:ilvl="2" w:tplc="F40ABFDC">
      <w:start w:val="1"/>
      <w:numFmt w:val="bullet"/>
      <w:lvlText w:val="›"/>
      <w:lvlJc w:val="left"/>
      <w:pPr>
        <w:ind w:left="1080" w:hanging="360"/>
      </w:pPr>
      <w:rPr>
        <w:rFonts w:ascii="Arial" w:hAnsi="Arial" w:hint="default"/>
        <w:color w:val="005874"/>
      </w:rPr>
    </w:lvl>
    <w:lvl w:ilvl="3" w:tplc="E0D86FD4">
      <w:start w:val="1"/>
      <w:numFmt w:val="decimal"/>
      <w:lvlText w:val="(%4)"/>
      <w:lvlJc w:val="left"/>
      <w:pPr>
        <w:ind w:left="1440" w:hanging="360"/>
      </w:pPr>
      <w:rPr>
        <w:rFonts w:hint="default"/>
      </w:rPr>
    </w:lvl>
    <w:lvl w:ilvl="4" w:tplc="8F02D5C2">
      <w:start w:val="1"/>
      <w:numFmt w:val="lowerLetter"/>
      <w:lvlText w:val="(%5)"/>
      <w:lvlJc w:val="left"/>
      <w:pPr>
        <w:ind w:left="1800" w:hanging="360"/>
      </w:pPr>
      <w:rPr>
        <w:rFonts w:hint="default"/>
      </w:rPr>
    </w:lvl>
    <w:lvl w:ilvl="5" w:tplc="1034F22E">
      <w:start w:val="1"/>
      <w:numFmt w:val="lowerRoman"/>
      <w:lvlText w:val="(%6)"/>
      <w:lvlJc w:val="left"/>
      <w:pPr>
        <w:ind w:left="2160" w:hanging="360"/>
      </w:pPr>
      <w:rPr>
        <w:rFonts w:hint="default"/>
      </w:rPr>
    </w:lvl>
    <w:lvl w:ilvl="6" w:tplc="99CA8248">
      <w:start w:val="1"/>
      <w:numFmt w:val="decimal"/>
      <w:lvlText w:val="%7."/>
      <w:lvlJc w:val="left"/>
      <w:pPr>
        <w:ind w:left="2520" w:hanging="360"/>
      </w:pPr>
      <w:rPr>
        <w:rFonts w:hint="default"/>
      </w:rPr>
    </w:lvl>
    <w:lvl w:ilvl="7" w:tplc="81146C44">
      <w:start w:val="1"/>
      <w:numFmt w:val="lowerLetter"/>
      <w:lvlText w:val="%8."/>
      <w:lvlJc w:val="left"/>
      <w:pPr>
        <w:ind w:left="2880" w:hanging="360"/>
      </w:pPr>
      <w:rPr>
        <w:rFonts w:hint="default"/>
      </w:rPr>
    </w:lvl>
    <w:lvl w:ilvl="8" w:tplc="F4BA2C1E">
      <w:start w:val="1"/>
      <w:numFmt w:val="lowerRoman"/>
      <w:lvlText w:val="%9."/>
      <w:lvlJc w:val="left"/>
      <w:pPr>
        <w:ind w:left="3240" w:hanging="360"/>
      </w:pPr>
      <w:rPr>
        <w:rFonts w:hint="default"/>
      </w:rPr>
    </w:lvl>
  </w:abstractNum>
  <w:abstractNum w:abstractNumId="11" w15:restartNumberingAfterBreak="0">
    <w:nsid w:val="7B955EBC"/>
    <w:multiLevelType w:val="hybridMultilevel"/>
    <w:tmpl w:val="D160DD56"/>
    <w:lvl w:ilvl="0" w:tplc="6AB2A03E">
      <w:start w:val="1"/>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314803"/>
    <w:multiLevelType w:val="hybridMultilevel"/>
    <w:tmpl w:val="74402130"/>
    <w:lvl w:ilvl="0" w:tplc="68E0DFCE">
      <w:start w:val="1"/>
      <w:numFmt w:val="decimal"/>
      <w:pStyle w:val="CERnumbering"/>
      <w:lvlText w:val="%1."/>
      <w:lvlJc w:val="left"/>
      <w:pPr>
        <w:ind w:left="360" w:hanging="360"/>
      </w:pPr>
      <w:rPr>
        <w:rFonts w:hint="default"/>
        <w:b w:val="0"/>
        <w:color w:val="005874"/>
      </w:rPr>
    </w:lvl>
    <w:lvl w:ilvl="1" w:tplc="70DC1216">
      <w:start w:val="1"/>
      <w:numFmt w:val="bullet"/>
      <w:lvlText w:val="»"/>
      <w:lvlJc w:val="left"/>
      <w:pPr>
        <w:ind w:left="720" w:hanging="360"/>
      </w:pPr>
      <w:rPr>
        <w:rFonts w:ascii="Arial" w:hAnsi="Arial" w:hint="default"/>
        <w:color w:val="005874"/>
      </w:rPr>
    </w:lvl>
    <w:lvl w:ilvl="2" w:tplc="355C98E0">
      <w:start w:val="1"/>
      <w:numFmt w:val="bullet"/>
      <w:lvlText w:val="›"/>
      <w:lvlJc w:val="left"/>
      <w:pPr>
        <w:ind w:left="1080" w:hanging="360"/>
      </w:pPr>
      <w:rPr>
        <w:rFonts w:ascii="Arial" w:hAnsi="Arial" w:hint="default"/>
        <w:color w:val="005874"/>
      </w:rPr>
    </w:lvl>
    <w:lvl w:ilvl="3" w:tplc="4F7E06DA">
      <w:start w:val="1"/>
      <w:numFmt w:val="decimal"/>
      <w:lvlText w:val="(%4)"/>
      <w:lvlJc w:val="left"/>
      <w:pPr>
        <w:ind w:left="1440" w:hanging="360"/>
      </w:pPr>
      <w:rPr>
        <w:rFonts w:hint="default"/>
      </w:rPr>
    </w:lvl>
    <w:lvl w:ilvl="4" w:tplc="353ED81C">
      <w:start w:val="1"/>
      <w:numFmt w:val="lowerLetter"/>
      <w:lvlText w:val="(%5)"/>
      <w:lvlJc w:val="left"/>
      <w:pPr>
        <w:ind w:left="1800" w:hanging="360"/>
      </w:pPr>
      <w:rPr>
        <w:rFonts w:hint="default"/>
      </w:rPr>
    </w:lvl>
    <w:lvl w:ilvl="5" w:tplc="58ECEA84">
      <w:start w:val="1"/>
      <w:numFmt w:val="lowerRoman"/>
      <w:lvlText w:val="(%6)"/>
      <w:lvlJc w:val="left"/>
      <w:pPr>
        <w:ind w:left="2160" w:hanging="360"/>
      </w:pPr>
      <w:rPr>
        <w:rFonts w:hint="default"/>
      </w:rPr>
    </w:lvl>
    <w:lvl w:ilvl="6" w:tplc="64BA90DE">
      <w:start w:val="1"/>
      <w:numFmt w:val="decimal"/>
      <w:lvlText w:val="%7."/>
      <w:lvlJc w:val="left"/>
      <w:pPr>
        <w:ind w:left="2520" w:hanging="360"/>
      </w:pPr>
      <w:rPr>
        <w:rFonts w:hint="default"/>
      </w:rPr>
    </w:lvl>
    <w:lvl w:ilvl="7" w:tplc="FEFEE238">
      <w:start w:val="1"/>
      <w:numFmt w:val="lowerLetter"/>
      <w:lvlText w:val="%8."/>
      <w:lvlJc w:val="left"/>
      <w:pPr>
        <w:ind w:left="2880" w:hanging="360"/>
      </w:pPr>
      <w:rPr>
        <w:rFonts w:hint="default"/>
      </w:rPr>
    </w:lvl>
    <w:lvl w:ilvl="8" w:tplc="2D5A2B00">
      <w:start w:val="1"/>
      <w:numFmt w:val="lowerRoman"/>
      <w:lvlText w:val="%9."/>
      <w:lvlJc w:val="left"/>
      <w:pPr>
        <w:ind w:left="3240" w:hanging="360"/>
      </w:pPr>
      <w:rPr>
        <w:rFonts w:hint="default"/>
      </w:rPr>
    </w:lvl>
  </w:abstractNum>
  <w:num w:numId="1">
    <w:abstractNumId w:val="4"/>
  </w:num>
  <w:num w:numId="2">
    <w:abstractNumId w:val="10"/>
  </w:num>
  <w:num w:numId="3">
    <w:abstractNumId w:val="12"/>
    <w:lvlOverride w:ilvl="0">
      <w:startOverride w:val="1"/>
    </w:lvlOverride>
  </w:num>
  <w:num w:numId="4">
    <w:abstractNumId w:val="2"/>
  </w:num>
  <w:num w:numId="5">
    <w:abstractNumId w:val="12"/>
  </w:num>
  <w:num w:numId="6">
    <w:abstractNumId w:val="12"/>
    <w:lvlOverride w:ilvl="0">
      <w:startOverride w:val="1"/>
    </w:lvlOverride>
  </w:num>
  <w:num w:numId="7">
    <w:abstractNumId w:val="11"/>
  </w:num>
  <w:num w:numId="8">
    <w:abstractNumId w:val="9"/>
  </w:num>
  <w:num w:numId="9">
    <w:abstractNumId w:val="7"/>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5"/>
  </w:num>
  <w:num w:numId="16">
    <w:abstractNumId w:val="0"/>
  </w:num>
  <w:num w:numId="17">
    <w:abstractNumId w:val="3"/>
  </w:num>
  <w:num w:numId="18">
    <w:abstractNumId w:val="8"/>
    <w:lvlOverride w:ilvl="0">
      <w:lvl w:ilvl="0">
        <w:start w:val="1"/>
        <w:numFmt w:val="bullet"/>
        <w:pStyle w:val="CERbullets"/>
        <w:lvlText w:val=""/>
        <w:lvlJc w:val="left"/>
        <w:pPr>
          <w:ind w:left="360" w:hanging="360"/>
        </w:pPr>
        <w:rPr>
          <w:rFonts w:ascii="Symbol" w:hAnsi="Symbol" w:hint="default"/>
          <w:color w:val="005874"/>
        </w:rPr>
      </w:lvl>
    </w:lvlOverride>
    <w:lvlOverride w:ilvl="1">
      <w:lvl w:ilvl="1">
        <w:start w:val="1"/>
        <w:numFmt w:val="bullet"/>
        <w:lvlText w:val="»"/>
        <w:lvlJc w:val="left"/>
        <w:pPr>
          <w:ind w:left="720" w:hanging="360"/>
        </w:pPr>
        <w:rPr>
          <w:rFonts w:ascii="Arial" w:hAnsi="Arial" w:hint="default"/>
          <w:color w:val="005874"/>
        </w:rPr>
      </w:lvl>
    </w:lvlOverride>
    <w:lvlOverride w:ilvl="2">
      <w:lvl w:ilvl="2">
        <w:start w:val="1"/>
        <w:numFmt w:val="bullet"/>
        <w:lvlText w:val="›"/>
        <w:lvlJc w:val="left"/>
        <w:pPr>
          <w:ind w:left="1080" w:hanging="360"/>
        </w:pPr>
        <w:rPr>
          <w:rFonts w:ascii="Arial" w:hAnsi="Arial" w:hint="default"/>
          <w:color w:val="005874"/>
        </w:rPr>
      </w:lvl>
    </w:lvlOverride>
  </w:num>
  <w:num w:numId="19">
    <w:abstractNumId w:val="6"/>
  </w:num>
  <w:num w:numId="20">
    <w:abstractNumId w:val="8"/>
    <w:lvlOverride w:ilvl="0">
      <w:lvl w:ilvl="0">
        <w:start w:val="1"/>
        <w:numFmt w:val="bullet"/>
        <w:pStyle w:val="CERbullets"/>
        <w:lvlText w:val=""/>
        <w:lvlJc w:val="left"/>
        <w:pPr>
          <w:ind w:left="360" w:hanging="360"/>
        </w:pPr>
        <w:rPr>
          <w:rFonts w:ascii="Symbol" w:hAnsi="Symbol" w:hint="default"/>
          <w:color w:val="005874"/>
        </w:rPr>
      </w:lvl>
    </w:lvlOverride>
    <w:lvlOverride w:ilvl="1">
      <w:lvl w:ilvl="1">
        <w:start w:val="1"/>
        <w:numFmt w:val="bullet"/>
        <w:lvlText w:val="»"/>
        <w:lvlJc w:val="left"/>
        <w:pPr>
          <w:ind w:left="720" w:hanging="360"/>
        </w:pPr>
        <w:rPr>
          <w:rFonts w:ascii="Arial" w:hAnsi="Arial" w:hint="default"/>
          <w:color w:val="005874"/>
        </w:rPr>
      </w:lvl>
    </w:lvlOverride>
    <w:lvlOverride w:ilvl="2">
      <w:lvl w:ilvl="2">
        <w:start w:val="1"/>
        <w:numFmt w:val="bullet"/>
        <w:lvlText w:val="›"/>
        <w:lvlJc w:val="left"/>
        <w:pPr>
          <w:ind w:left="1080" w:hanging="360"/>
        </w:pPr>
        <w:rPr>
          <w:rFonts w:ascii="Arial" w:hAnsi="Arial" w:hint="default"/>
          <w:color w:val="005874"/>
        </w:rPr>
      </w:lvl>
    </w:lvlOverride>
  </w:num>
  <w:num w:numId="21">
    <w:abstractNumId w:val="8"/>
    <w:lvlOverride w:ilvl="0">
      <w:lvl w:ilvl="0">
        <w:start w:val="1"/>
        <w:numFmt w:val="bullet"/>
        <w:pStyle w:val="CERbullets"/>
        <w:lvlText w:val=""/>
        <w:lvlJc w:val="left"/>
        <w:pPr>
          <w:ind w:left="360" w:hanging="360"/>
        </w:pPr>
        <w:rPr>
          <w:rFonts w:ascii="Symbol" w:hAnsi="Symbol" w:hint="default"/>
          <w:color w:val="005874"/>
        </w:rPr>
      </w:lvl>
    </w:lvlOverride>
    <w:lvlOverride w:ilvl="1">
      <w:lvl w:ilvl="1">
        <w:start w:val="1"/>
        <w:numFmt w:val="bullet"/>
        <w:lvlText w:val="»"/>
        <w:lvlJc w:val="left"/>
        <w:pPr>
          <w:ind w:left="720" w:hanging="360"/>
        </w:pPr>
        <w:rPr>
          <w:rFonts w:ascii="Arial" w:hAnsi="Arial" w:hint="default"/>
          <w:color w:val="005874"/>
        </w:rPr>
      </w:lvl>
    </w:lvlOverride>
    <w:lvlOverride w:ilvl="2">
      <w:lvl w:ilvl="2">
        <w:start w:val="1"/>
        <w:numFmt w:val="bullet"/>
        <w:lvlText w:val="›"/>
        <w:lvlJc w:val="left"/>
        <w:pPr>
          <w:ind w:left="1080" w:hanging="360"/>
        </w:pPr>
        <w:rPr>
          <w:rFonts w:ascii="Arial" w:hAnsi="Arial" w:hint="default"/>
          <w:color w:val="005874"/>
        </w:rPr>
      </w:lvl>
    </w:lvlOverride>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characterSpacingControl w:val="doNotCompress"/>
  <w:hdrShapeDefaults>
    <o:shapedefaults v:ext="edit" spidmax="30724"/>
    <o:shapelayout v:ext="edit">
      <o:idmap v:ext="edit" data="3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01"/>
    <w:rsid w:val="00001357"/>
    <w:rsid w:val="00002E35"/>
    <w:rsid w:val="00002E3C"/>
    <w:rsid w:val="000032FB"/>
    <w:rsid w:val="00003974"/>
    <w:rsid w:val="00003B33"/>
    <w:rsid w:val="00005579"/>
    <w:rsid w:val="00005A95"/>
    <w:rsid w:val="0000796A"/>
    <w:rsid w:val="0001016E"/>
    <w:rsid w:val="000101C8"/>
    <w:rsid w:val="000108FF"/>
    <w:rsid w:val="00010D71"/>
    <w:rsid w:val="00010E9B"/>
    <w:rsid w:val="00011442"/>
    <w:rsid w:val="00011E67"/>
    <w:rsid w:val="00011ECC"/>
    <w:rsid w:val="00012677"/>
    <w:rsid w:val="0001320B"/>
    <w:rsid w:val="00013929"/>
    <w:rsid w:val="00013985"/>
    <w:rsid w:val="0001486E"/>
    <w:rsid w:val="00014C04"/>
    <w:rsid w:val="00015750"/>
    <w:rsid w:val="00015A01"/>
    <w:rsid w:val="00016B6E"/>
    <w:rsid w:val="00016E87"/>
    <w:rsid w:val="00017FAF"/>
    <w:rsid w:val="00020EE8"/>
    <w:rsid w:val="000218C6"/>
    <w:rsid w:val="00021E06"/>
    <w:rsid w:val="000221E0"/>
    <w:rsid w:val="00024168"/>
    <w:rsid w:val="000244B4"/>
    <w:rsid w:val="0002559E"/>
    <w:rsid w:val="0002621D"/>
    <w:rsid w:val="000262F1"/>
    <w:rsid w:val="00030DDE"/>
    <w:rsid w:val="00030F20"/>
    <w:rsid w:val="000310FD"/>
    <w:rsid w:val="000313EC"/>
    <w:rsid w:val="000317D1"/>
    <w:rsid w:val="00032249"/>
    <w:rsid w:val="00032542"/>
    <w:rsid w:val="000327ED"/>
    <w:rsid w:val="00032B10"/>
    <w:rsid w:val="00033903"/>
    <w:rsid w:val="00033B08"/>
    <w:rsid w:val="00034908"/>
    <w:rsid w:val="0003495E"/>
    <w:rsid w:val="00034E1F"/>
    <w:rsid w:val="00034E4E"/>
    <w:rsid w:val="00035138"/>
    <w:rsid w:val="00035FD9"/>
    <w:rsid w:val="0003752F"/>
    <w:rsid w:val="00041ECF"/>
    <w:rsid w:val="00041F11"/>
    <w:rsid w:val="00042536"/>
    <w:rsid w:val="000430CC"/>
    <w:rsid w:val="0004346D"/>
    <w:rsid w:val="000434D0"/>
    <w:rsid w:val="00044DF9"/>
    <w:rsid w:val="00046E65"/>
    <w:rsid w:val="000474FA"/>
    <w:rsid w:val="000477E2"/>
    <w:rsid w:val="00047DF2"/>
    <w:rsid w:val="00050161"/>
    <w:rsid w:val="0005097A"/>
    <w:rsid w:val="000512C7"/>
    <w:rsid w:val="000513C3"/>
    <w:rsid w:val="000525F1"/>
    <w:rsid w:val="0005270B"/>
    <w:rsid w:val="00052FE9"/>
    <w:rsid w:val="000536F3"/>
    <w:rsid w:val="00053F76"/>
    <w:rsid w:val="0005423E"/>
    <w:rsid w:val="00055009"/>
    <w:rsid w:val="00055182"/>
    <w:rsid w:val="0005519F"/>
    <w:rsid w:val="00055CE7"/>
    <w:rsid w:val="000570A0"/>
    <w:rsid w:val="00057525"/>
    <w:rsid w:val="00057BF3"/>
    <w:rsid w:val="000602FE"/>
    <w:rsid w:val="00060824"/>
    <w:rsid w:val="00062569"/>
    <w:rsid w:val="00063568"/>
    <w:rsid w:val="00063A54"/>
    <w:rsid w:val="000646F7"/>
    <w:rsid w:val="0006490B"/>
    <w:rsid w:val="00064CCD"/>
    <w:rsid w:val="00065068"/>
    <w:rsid w:val="000650F8"/>
    <w:rsid w:val="00065226"/>
    <w:rsid w:val="000656FD"/>
    <w:rsid w:val="00065CB5"/>
    <w:rsid w:val="000672AB"/>
    <w:rsid w:val="000674E8"/>
    <w:rsid w:val="00067824"/>
    <w:rsid w:val="00070257"/>
    <w:rsid w:val="000702E0"/>
    <w:rsid w:val="00070BAC"/>
    <w:rsid w:val="0007112E"/>
    <w:rsid w:val="00071CB2"/>
    <w:rsid w:val="000725FC"/>
    <w:rsid w:val="000729EE"/>
    <w:rsid w:val="00072CD7"/>
    <w:rsid w:val="00072ED6"/>
    <w:rsid w:val="00073284"/>
    <w:rsid w:val="000749D5"/>
    <w:rsid w:val="00074B4B"/>
    <w:rsid w:val="00075424"/>
    <w:rsid w:val="00075F43"/>
    <w:rsid w:val="0007639E"/>
    <w:rsid w:val="000768A8"/>
    <w:rsid w:val="00076A08"/>
    <w:rsid w:val="00080C01"/>
    <w:rsid w:val="0008195E"/>
    <w:rsid w:val="00081CE8"/>
    <w:rsid w:val="000825E3"/>
    <w:rsid w:val="00082D77"/>
    <w:rsid w:val="00082F21"/>
    <w:rsid w:val="0008367C"/>
    <w:rsid w:val="0008398C"/>
    <w:rsid w:val="0008401F"/>
    <w:rsid w:val="00084DC9"/>
    <w:rsid w:val="00084F7F"/>
    <w:rsid w:val="00086669"/>
    <w:rsid w:val="0008725B"/>
    <w:rsid w:val="00087E40"/>
    <w:rsid w:val="0009070C"/>
    <w:rsid w:val="00093293"/>
    <w:rsid w:val="00093DBB"/>
    <w:rsid w:val="000940F4"/>
    <w:rsid w:val="000948E3"/>
    <w:rsid w:val="00094C66"/>
    <w:rsid w:val="00095B58"/>
    <w:rsid w:val="00095BB7"/>
    <w:rsid w:val="000960D8"/>
    <w:rsid w:val="00096141"/>
    <w:rsid w:val="00096256"/>
    <w:rsid w:val="0009693C"/>
    <w:rsid w:val="00096A52"/>
    <w:rsid w:val="000A0EF3"/>
    <w:rsid w:val="000A1D49"/>
    <w:rsid w:val="000A2F75"/>
    <w:rsid w:val="000A348E"/>
    <w:rsid w:val="000A3F05"/>
    <w:rsid w:val="000A40E9"/>
    <w:rsid w:val="000A4F5F"/>
    <w:rsid w:val="000A57AA"/>
    <w:rsid w:val="000A6B2B"/>
    <w:rsid w:val="000A6EC5"/>
    <w:rsid w:val="000A72D9"/>
    <w:rsid w:val="000B0337"/>
    <w:rsid w:val="000B091A"/>
    <w:rsid w:val="000B10AD"/>
    <w:rsid w:val="000B1A19"/>
    <w:rsid w:val="000B27A6"/>
    <w:rsid w:val="000B3018"/>
    <w:rsid w:val="000B34A7"/>
    <w:rsid w:val="000B3D12"/>
    <w:rsid w:val="000B3FE5"/>
    <w:rsid w:val="000B4AE1"/>
    <w:rsid w:val="000B4B4A"/>
    <w:rsid w:val="000B4F0B"/>
    <w:rsid w:val="000B629E"/>
    <w:rsid w:val="000B6494"/>
    <w:rsid w:val="000B6B36"/>
    <w:rsid w:val="000B74AE"/>
    <w:rsid w:val="000C016A"/>
    <w:rsid w:val="000C02BD"/>
    <w:rsid w:val="000C0691"/>
    <w:rsid w:val="000C1132"/>
    <w:rsid w:val="000C18B2"/>
    <w:rsid w:val="000C224A"/>
    <w:rsid w:val="000C2A65"/>
    <w:rsid w:val="000C3B52"/>
    <w:rsid w:val="000C42FB"/>
    <w:rsid w:val="000C436B"/>
    <w:rsid w:val="000C44F9"/>
    <w:rsid w:val="000C45DD"/>
    <w:rsid w:val="000C4E5E"/>
    <w:rsid w:val="000C6225"/>
    <w:rsid w:val="000C67C4"/>
    <w:rsid w:val="000D03AA"/>
    <w:rsid w:val="000D08DA"/>
    <w:rsid w:val="000D2C39"/>
    <w:rsid w:val="000D55CF"/>
    <w:rsid w:val="000D55E4"/>
    <w:rsid w:val="000D6B7A"/>
    <w:rsid w:val="000D7552"/>
    <w:rsid w:val="000D76DE"/>
    <w:rsid w:val="000D7CB9"/>
    <w:rsid w:val="000D7F02"/>
    <w:rsid w:val="000E23AD"/>
    <w:rsid w:val="000E2696"/>
    <w:rsid w:val="000E3892"/>
    <w:rsid w:val="000E3A2B"/>
    <w:rsid w:val="000E49A9"/>
    <w:rsid w:val="000E5356"/>
    <w:rsid w:val="000E6265"/>
    <w:rsid w:val="000E6924"/>
    <w:rsid w:val="000E73F3"/>
    <w:rsid w:val="000E7764"/>
    <w:rsid w:val="000F00E3"/>
    <w:rsid w:val="000F0957"/>
    <w:rsid w:val="000F0F6A"/>
    <w:rsid w:val="000F0FB1"/>
    <w:rsid w:val="000F11B4"/>
    <w:rsid w:val="000F1AE8"/>
    <w:rsid w:val="000F23A1"/>
    <w:rsid w:val="000F29AD"/>
    <w:rsid w:val="000F31AC"/>
    <w:rsid w:val="000F3C50"/>
    <w:rsid w:val="000F4F92"/>
    <w:rsid w:val="000F54B7"/>
    <w:rsid w:val="000F5E40"/>
    <w:rsid w:val="00101E30"/>
    <w:rsid w:val="00101F1A"/>
    <w:rsid w:val="001026FA"/>
    <w:rsid w:val="00102743"/>
    <w:rsid w:val="00102783"/>
    <w:rsid w:val="0010304D"/>
    <w:rsid w:val="00103107"/>
    <w:rsid w:val="00104AED"/>
    <w:rsid w:val="00104D1D"/>
    <w:rsid w:val="00105805"/>
    <w:rsid w:val="001060BA"/>
    <w:rsid w:val="001063EB"/>
    <w:rsid w:val="00106BF9"/>
    <w:rsid w:val="0010709A"/>
    <w:rsid w:val="001077F2"/>
    <w:rsid w:val="00107AC2"/>
    <w:rsid w:val="00107D26"/>
    <w:rsid w:val="00111000"/>
    <w:rsid w:val="00111348"/>
    <w:rsid w:val="001118DD"/>
    <w:rsid w:val="001124D3"/>
    <w:rsid w:val="00113067"/>
    <w:rsid w:val="00113A5E"/>
    <w:rsid w:val="00114EAD"/>
    <w:rsid w:val="0011532C"/>
    <w:rsid w:val="001158AC"/>
    <w:rsid w:val="00115B6A"/>
    <w:rsid w:val="00115EBF"/>
    <w:rsid w:val="00115EC1"/>
    <w:rsid w:val="00116D04"/>
    <w:rsid w:val="001175E2"/>
    <w:rsid w:val="0011774D"/>
    <w:rsid w:val="00117A6B"/>
    <w:rsid w:val="00117CB6"/>
    <w:rsid w:val="00121F91"/>
    <w:rsid w:val="00122558"/>
    <w:rsid w:val="0012279D"/>
    <w:rsid w:val="00122F9F"/>
    <w:rsid w:val="00123784"/>
    <w:rsid w:val="00123D09"/>
    <w:rsid w:val="001241A6"/>
    <w:rsid w:val="0012427D"/>
    <w:rsid w:val="00124D85"/>
    <w:rsid w:val="00124DFC"/>
    <w:rsid w:val="00125155"/>
    <w:rsid w:val="00126570"/>
    <w:rsid w:val="001275CA"/>
    <w:rsid w:val="0013069D"/>
    <w:rsid w:val="00131F13"/>
    <w:rsid w:val="001326C2"/>
    <w:rsid w:val="00132FD5"/>
    <w:rsid w:val="00133489"/>
    <w:rsid w:val="0013357F"/>
    <w:rsid w:val="0013380A"/>
    <w:rsid w:val="00133AF4"/>
    <w:rsid w:val="00134352"/>
    <w:rsid w:val="00135188"/>
    <w:rsid w:val="0013538E"/>
    <w:rsid w:val="00136B2C"/>
    <w:rsid w:val="001376DA"/>
    <w:rsid w:val="001400C9"/>
    <w:rsid w:val="001413AC"/>
    <w:rsid w:val="001416A4"/>
    <w:rsid w:val="0014208A"/>
    <w:rsid w:val="00142547"/>
    <w:rsid w:val="00143833"/>
    <w:rsid w:val="00143BAB"/>
    <w:rsid w:val="00143DFB"/>
    <w:rsid w:val="0014450B"/>
    <w:rsid w:val="001447AE"/>
    <w:rsid w:val="0014524F"/>
    <w:rsid w:val="00145D81"/>
    <w:rsid w:val="00145DB5"/>
    <w:rsid w:val="0014607F"/>
    <w:rsid w:val="00146B4F"/>
    <w:rsid w:val="00147021"/>
    <w:rsid w:val="00147214"/>
    <w:rsid w:val="001473F9"/>
    <w:rsid w:val="001474EB"/>
    <w:rsid w:val="00147672"/>
    <w:rsid w:val="0014776A"/>
    <w:rsid w:val="00150902"/>
    <w:rsid w:val="0015094E"/>
    <w:rsid w:val="00150CFC"/>
    <w:rsid w:val="0015241A"/>
    <w:rsid w:val="00152521"/>
    <w:rsid w:val="00152A1B"/>
    <w:rsid w:val="00152A4E"/>
    <w:rsid w:val="00152C63"/>
    <w:rsid w:val="00153778"/>
    <w:rsid w:val="00153946"/>
    <w:rsid w:val="00154284"/>
    <w:rsid w:val="00154C7D"/>
    <w:rsid w:val="00155B5F"/>
    <w:rsid w:val="00155E19"/>
    <w:rsid w:val="001563FD"/>
    <w:rsid w:val="001567EF"/>
    <w:rsid w:val="00156944"/>
    <w:rsid w:val="00157802"/>
    <w:rsid w:val="001603C7"/>
    <w:rsid w:val="001607EC"/>
    <w:rsid w:val="00160987"/>
    <w:rsid w:val="001612D2"/>
    <w:rsid w:val="00161438"/>
    <w:rsid w:val="0016326A"/>
    <w:rsid w:val="00163B39"/>
    <w:rsid w:val="00164A70"/>
    <w:rsid w:val="00164EB1"/>
    <w:rsid w:val="00165924"/>
    <w:rsid w:val="00165DE8"/>
    <w:rsid w:val="00167E30"/>
    <w:rsid w:val="0017023B"/>
    <w:rsid w:val="0017082A"/>
    <w:rsid w:val="00170F19"/>
    <w:rsid w:val="00170F60"/>
    <w:rsid w:val="00171112"/>
    <w:rsid w:val="00172B08"/>
    <w:rsid w:val="00173DE3"/>
    <w:rsid w:val="001741D2"/>
    <w:rsid w:val="0017461B"/>
    <w:rsid w:val="001746D9"/>
    <w:rsid w:val="00174A68"/>
    <w:rsid w:val="001751EC"/>
    <w:rsid w:val="00176522"/>
    <w:rsid w:val="001765DA"/>
    <w:rsid w:val="001769A4"/>
    <w:rsid w:val="001802CD"/>
    <w:rsid w:val="001803D5"/>
    <w:rsid w:val="0018129D"/>
    <w:rsid w:val="001813F8"/>
    <w:rsid w:val="0018194A"/>
    <w:rsid w:val="0018197B"/>
    <w:rsid w:val="00181E0B"/>
    <w:rsid w:val="0018243B"/>
    <w:rsid w:val="0018358E"/>
    <w:rsid w:val="001843E3"/>
    <w:rsid w:val="00184479"/>
    <w:rsid w:val="001857D5"/>
    <w:rsid w:val="001857E6"/>
    <w:rsid w:val="00185F90"/>
    <w:rsid w:val="001861AE"/>
    <w:rsid w:val="00187E6E"/>
    <w:rsid w:val="00190DAC"/>
    <w:rsid w:val="001911BF"/>
    <w:rsid w:val="00191C24"/>
    <w:rsid w:val="00191F7C"/>
    <w:rsid w:val="001922D1"/>
    <w:rsid w:val="00192A92"/>
    <w:rsid w:val="00192DD1"/>
    <w:rsid w:val="00192F62"/>
    <w:rsid w:val="00193A70"/>
    <w:rsid w:val="0019405C"/>
    <w:rsid w:val="0019451E"/>
    <w:rsid w:val="00194732"/>
    <w:rsid w:val="00194AB8"/>
    <w:rsid w:val="00194BC6"/>
    <w:rsid w:val="00195753"/>
    <w:rsid w:val="0019611F"/>
    <w:rsid w:val="00197335"/>
    <w:rsid w:val="001978F7"/>
    <w:rsid w:val="00197C24"/>
    <w:rsid w:val="001A0857"/>
    <w:rsid w:val="001A0ECF"/>
    <w:rsid w:val="001A0ED0"/>
    <w:rsid w:val="001A14EF"/>
    <w:rsid w:val="001A18D9"/>
    <w:rsid w:val="001A1930"/>
    <w:rsid w:val="001A31B6"/>
    <w:rsid w:val="001A4502"/>
    <w:rsid w:val="001A4C17"/>
    <w:rsid w:val="001A5C30"/>
    <w:rsid w:val="001A6AB8"/>
    <w:rsid w:val="001A75D1"/>
    <w:rsid w:val="001A7CDE"/>
    <w:rsid w:val="001B049C"/>
    <w:rsid w:val="001B04C2"/>
    <w:rsid w:val="001B05B4"/>
    <w:rsid w:val="001B0607"/>
    <w:rsid w:val="001B16C3"/>
    <w:rsid w:val="001B1EEE"/>
    <w:rsid w:val="001B1FB6"/>
    <w:rsid w:val="001B225C"/>
    <w:rsid w:val="001B2625"/>
    <w:rsid w:val="001B35F2"/>
    <w:rsid w:val="001B414F"/>
    <w:rsid w:val="001B4CD8"/>
    <w:rsid w:val="001B4DB3"/>
    <w:rsid w:val="001B597F"/>
    <w:rsid w:val="001B6AD0"/>
    <w:rsid w:val="001B6E85"/>
    <w:rsid w:val="001B73A2"/>
    <w:rsid w:val="001C01A5"/>
    <w:rsid w:val="001C08C0"/>
    <w:rsid w:val="001C0B67"/>
    <w:rsid w:val="001C1D42"/>
    <w:rsid w:val="001C2628"/>
    <w:rsid w:val="001C37B7"/>
    <w:rsid w:val="001C3BA9"/>
    <w:rsid w:val="001C485F"/>
    <w:rsid w:val="001C4AA8"/>
    <w:rsid w:val="001C5BD7"/>
    <w:rsid w:val="001C5EE6"/>
    <w:rsid w:val="001C6529"/>
    <w:rsid w:val="001C68B3"/>
    <w:rsid w:val="001D0450"/>
    <w:rsid w:val="001D0540"/>
    <w:rsid w:val="001D0BE8"/>
    <w:rsid w:val="001D13F0"/>
    <w:rsid w:val="001D15BB"/>
    <w:rsid w:val="001D1BC8"/>
    <w:rsid w:val="001D23F1"/>
    <w:rsid w:val="001D267F"/>
    <w:rsid w:val="001D2985"/>
    <w:rsid w:val="001D2A01"/>
    <w:rsid w:val="001D31B6"/>
    <w:rsid w:val="001D3805"/>
    <w:rsid w:val="001D5597"/>
    <w:rsid w:val="001D5945"/>
    <w:rsid w:val="001D60E6"/>
    <w:rsid w:val="001D63A3"/>
    <w:rsid w:val="001D657E"/>
    <w:rsid w:val="001D7295"/>
    <w:rsid w:val="001D7E3B"/>
    <w:rsid w:val="001D7EA5"/>
    <w:rsid w:val="001E027B"/>
    <w:rsid w:val="001E0B91"/>
    <w:rsid w:val="001E0C7C"/>
    <w:rsid w:val="001E21F2"/>
    <w:rsid w:val="001E260F"/>
    <w:rsid w:val="001E3199"/>
    <w:rsid w:val="001E5CC8"/>
    <w:rsid w:val="001E688D"/>
    <w:rsid w:val="001E77C8"/>
    <w:rsid w:val="001E77ED"/>
    <w:rsid w:val="001E7A91"/>
    <w:rsid w:val="001E7D09"/>
    <w:rsid w:val="001E7D3A"/>
    <w:rsid w:val="001F0182"/>
    <w:rsid w:val="001F039E"/>
    <w:rsid w:val="001F187F"/>
    <w:rsid w:val="001F2060"/>
    <w:rsid w:val="001F2CD2"/>
    <w:rsid w:val="001F2EC8"/>
    <w:rsid w:val="001F4226"/>
    <w:rsid w:val="001F5ADB"/>
    <w:rsid w:val="001F623E"/>
    <w:rsid w:val="001F62CD"/>
    <w:rsid w:val="001F6BF6"/>
    <w:rsid w:val="001F759A"/>
    <w:rsid w:val="0020017C"/>
    <w:rsid w:val="00200469"/>
    <w:rsid w:val="0020086D"/>
    <w:rsid w:val="002012B7"/>
    <w:rsid w:val="00201FFA"/>
    <w:rsid w:val="0020302E"/>
    <w:rsid w:val="002032C2"/>
    <w:rsid w:val="0020395A"/>
    <w:rsid w:val="002043EB"/>
    <w:rsid w:val="00204A21"/>
    <w:rsid w:val="00206B93"/>
    <w:rsid w:val="002075F8"/>
    <w:rsid w:val="00207BAC"/>
    <w:rsid w:val="0021011B"/>
    <w:rsid w:val="002106FB"/>
    <w:rsid w:val="0021299F"/>
    <w:rsid w:val="002130D5"/>
    <w:rsid w:val="0021353A"/>
    <w:rsid w:val="00213CFF"/>
    <w:rsid w:val="002141CA"/>
    <w:rsid w:val="002142D4"/>
    <w:rsid w:val="002142F4"/>
    <w:rsid w:val="00214D72"/>
    <w:rsid w:val="00215864"/>
    <w:rsid w:val="00220218"/>
    <w:rsid w:val="0022082C"/>
    <w:rsid w:val="0022091D"/>
    <w:rsid w:val="002209D4"/>
    <w:rsid w:val="00220CA3"/>
    <w:rsid w:val="0022293B"/>
    <w:rsid w:val="00223341"/>
    <w:rsid w:val="002236E4"/>
    <w:rsid w:val="0022490E"/>
    <w:rsid w:val="00225B04"/>
    <w:rsid w:val="0022641A"/>
    <w:rsid w:val="00226602"/>
    <w:rsid w:val="0022674B"/>
    <w:rsid w:val="002274E0"/>
    <w:rsid w:val="002300B7"/>
    <w:rsid w:val="00230141"/>
    <w:rsid w:val="002314CE"/>
    <w:rsid w:val="00232432"/>
    <w:rsid w:val="00232967"/>
    <w:rsid w:val="00232A0E"/>
    <w:rsid w:val="002337E4"/>
    <w:rsid w:val="00233ABC"/>
    <w:rsid w:val="00233D71"/>
    <w:rsid w:val="002350E3"/>
    <w:rsid w:val="0023526E"/>
    <w:rsid w:val="002357FC"/>
    <w:rsid w:val="002374A2"/>
    <w:rsid w:val="00237763"/>
    <w:rsid w:val="00237F7D"/>
    <w:rsid w:val="00237F85"/>
    <w:rsid w:val="00241228"/>
    <w:rsid w:val="002413A3"/>
    <w:rsid w:val="002426AC"/>
    <w:rsid w:val="00243122"/>
    <w:rsid w:val="00243158"/>
    <w:rsid w:val="00243DB3"/>
    <w:rsid w:val="00244A6F"/>
    <w:rsid w:val="00244ADC"/>
    <w:rsid w:val="00244AE7"/>
    <w:rsid w:val="00250A8E"/>
    <w:rsid w:val="00250B93"/>
    <w:rsid w:val="002518B8"/>
    <w:rsid w:val="00251D91"/>
    <w:rsid w:val="0025418E"/>
    <w:rsid w:val="0025455C"/>
    <w:rsid w:val="00254EC1"/>
    <w:rsid w:val="00254F8A"/>
    <w:rsid w:val="00255556"/>
    <w:rsid w:val="002559E9"/>
    <w:rsid w:val="00255CF8"/>
    <w:rsid w:val="002563A6"/>
    <w:rsid w:val="002563F5"/>
    <w:rsid w:val="002568AB"/>
    <w:rsid w:val="0026022B"/>
    <w:rsid w:val="002610A4"/>
    <w:rsid w:val="00261B6F"/>
    <w:rsid w:val="00262B19"/>
    <w:rsid w:val="0026312C"/>
    <w:rsid w:val="00263381"/>
    <w:rsid w:val="00263A98"/>
    <w:rsid w:val="00264171"/>
    <w:rsid w:val="002647B3"/>
    <w:rsid w:val="00264DA8"/>
    <w:rsid w:val="00265387"/>
    <w:rsid w:val="0026554A"/>
    <w:rsid w:val="002663C6"/>
    <w:rsid w:val="00266940"/>
    <w:rsid w:val="00266C15"/>
    <w:rsid w:val="00270260"/>
    <w:rsid w:val="00270411"/>
    <w:rsid w:val="00270B32"/>
    <w:rsid w:val="00270D97"/>
    <w:rsid w:val="00272924"/>
    <w:rsid w:val="0027345C"/>
    <w:rsid w:val="0027370E"/>
    <w:rsid w:val="00274B60"/>
    <w:rsid w:val="002761C2"/>
    <w:rsid w:val="0027641A"/>
    <w:rsid w:val="00276E1F"/>
    <w:rsid w:val="0027744A"/>
    <w:rsid w:val="002811F4"/>
    <w:rsid w:val="0028152F"/>
    <w:rsid w:val="002828AC"/>
    <w:rsid w:val="00282CCA"/>
    <w:rsid w:val="00282F52"/>
    <w:rsid w:val="002833BB"/>
    <w:rsid w:val="002833DF"/>
    <w:rsid w:val="002853A5"/>
    <w:rsid w:val="00285B8E"/>
    <w:rsid w:val="00286250"/>
    <w:rsid w:val="002863B8"/>
    <w:rsid w:val="00286D6D"/>
    <w:rsid w:val="002872E0"/>
    <w:rsid w:val="0028798F"/>
    <w:rsid w:val="00290693"/>
    <w:rsid w:val="00290922"/>
    <w:rsid w:val="00291A2C"/>
    <w:rsid w:val="00291B38"/>
    <w:rsid w:val="00292B70"/>
    <w:rsid w:val="00292B91"/>
    <w:rsid w:val="00292C08"/>
    <w:rsid w:val="00293CB5"/>
    <w:rsid w:val="002941F7"/>
    <w:rsid w:val="0029421C"/>
    <w:rsid w:val="00295A82"/>
    <w:rsid w:val="00295BC5"/>
    <w:rsid w:val="00297FBD"/>
    <w:rsid w:val="002A00A8"/>
    <w:rsid w:val="002A122E"/>
    <w:rsid w:val="002A2EAD"/>
    <w:rsid w:val="002A391A"/>
    <w:rsid w:val="002A4185"/>
    <w:rsid w:val="002A4E7E"/>
    <w:rsid w:val="002A4F90"/>
    <w:rsid w:val="002A50DB"/>
    <w:rsid w:val="002A5A74"/>
    <w:rsid w:val="002A6317"/>
    <w:rsid w:val="002A67F8"/>
    <w:rsid w:val="002B0DF7"/>
    <w:rsid w:val="002B1800"/>
    <w:rsid w:val="002B2FAB"/>
    <w:rsid w:val="002B3408"/>
    <w:rsid w:val="002B3B3B"/>
    <w:rsid w:val="002B4596"/>
    <w:rsid w:val="002B4FC0"/>
    <w:rsid w:val="002B5322"/>
    <w:rsid w:val="002B53C5"/>
    <w:rsid w:val="002B5431"/>
    <w:rsid w:val="002B5441"/>
    <w:rsid w:val="002B58DB"/>
    <w:rsid w:val="002B5C92"/>
    <w:rsid w:val="002B62D4"/>
    <w:rsid w:val="002B663C"/>
    <w:rsid w:val="002C0603"/>
    <w:rsid w:val="002C07A2"/>
    <w:rsid w:val="002C0859"/>
    <w:rsid w:val="002C1F6F"/>
    <w:rsid w:val="002C22E6"/>
    <w:rsid w:val="002C2356"/>
    <w:rsid w:val="002C2699"/>
    <w:rsid w:val="002C270F"/>
    <w:rsid w:val="002C2DDD"/>
    <w:rsid w:val="002C39D1"/>
    <w:rsid w:val="002C3FCB"/>
    <w:rsid w:val="002C409C"/>
    <w:rsid w:val="002C47B9"/>
    <w:rsid w:val="002C516C"/>
    <w:rsid w:val="002C5BA3"/>
    <w:rsid w:val="002C5CAF"/>
    <w:rsid w:val="002C637B"/>
    <w:rsid w:val="002C6B7E"/>
    <w:rsid w:val="002C735E"/>
    <w:rsid w:val="002C7982"/>
    <w:rsid w:val="002C7DC8"/>
    <w:rsid w:val="002D01CE"/>
    <w:rsid w:val="002D0EB8"/>
    <w:rsid w:val="002D1031"/>
    <w:rsid w:val="002D2070"/>
    <w:rsid w:val="002D2A06"/>
    <w:rsid w:val="002D50E0"/>
    <w:rsid w:val="002D5AF9"/>
    <w:rsid w:val="002D5C1F"/>
    <w:rsid w:val="002D6C4B"/>
    <w:rsid w:val="002D6DFB"/>
    <w:rsid w:val="002E1D11"/>
    <w:rsid w:val="002E20AC"/>
    <w:rsid w:val="002E30E6"/>
    <w:rsid w:val="002E3C2C"/>
    <w:rsid w:val="002E408D"/>
    <w:rsid w:val="002E462F"/>
    <w:rsid w:val="002E513E"/>
    <w:rsid w:val="002E518D"/>
    <w:rsid w:val="002E5336"/>
    <w:rsid w:val="002E5940"/>
    <w:rsid w:val="002E5B0C"/>
    <w:rsid w:val="002E6011"/>
    <w:rsid w:val="002E601F"/>
    <w:rsid w:val="002E64A5"/>
    <w:rsid w:val="002E71A3"/>
    <w:rsid w:val="002E75DE"/>
    <w:rsid w:val="002E7704"/>
    <w:rsid w:val="002E7B98"/>
    <w:rsid w:val="002F02ED"/>
    <w:rsid w:val="002F0F8C"/>
    <w:rsid w:val="002F1AB3"/>
    <w:rsid w:val="002F3692"/>
    <w:rsid w:val="002F3F86"/>
    <w:rsid w:val="002F58C4"/>
    <w:rsid w:val="002F7C0A"/>
    <w:rsid w:val="002F7C74"/>
    <w:rsid w:val="0030027B"/>
    <w:rsid w:val="003028FA"/>
    <w:rsid w:val="00302CF0"/>
    <w:rsid w:val="003035B2"/>
    <w:rsid w:val="00303641"/>
    <w:rsid w:val="00303D64"/>
    <w:rsid w:val="0030440B"/>
    <w:rsid w:val="00304AA4"/>
    <w:rsid w:val="00304B4E"/>
    <w:rsid w:val="00304D0C"/>
    <w:rsid w:val="00306009"/>
    <w:rsid w:val="003064F1"/>
    <w:rsid w:val="00306F9E"/>
    <w:rsid w:val="00307DE8"/>
    <w:rsid w:val="00307F37"/>
    <w:rsid w:val="003107B8"/>
    <w:rsid w:val="003107C5"/>
    <w:rsid w:val="00310986"/>
    <w:rsid w:val="00310CCE"/>
    <w:rsid w:val="003110BB"/>
    <w:rsid w:val="00311695"/>
    <w:rsid w:val="003124DD"/>
    <w:rsid w:val="00312898"/>
    <w:rsid w:val="00312F62"/>
    <w:rsid w:val="003137D9"/>
    <w:rsid w:val="00313C86"/>
    <w:rsid w:val="00315BBE"/>
    <w:rsid w:val="0031635E"/>
    <w:rsid w:val="0031650D"/>
    <w:rsid w:val="0031662F"/>
    <w:rsid w:val="0031698F"/>
    <w:rsid w:val="0031792A"/>
    <w:rsid w:val="00317EDD"/>
    <w:rsid w:val="00320667"/>
    <w:rsid w:val="00320DDB"/>
    <w:rsid w:val="00320E1E"/>
    <w:rsid w:val="0032106A"/>
    <w:rsid w:val="003210D6"/>
    <w:rsid w:val="00321236"/>
    <w:rsid w:val="00322EB7"/>
    <w:rsid w:val="00324935"/>
    <w:rsid w:val="00324AC6"/>
    <w:rsid w:val="00325FAE"/>
    <w:rsid w:val="0032631C"/>
    <w:rsid w:val="003267A7"/>
    <w:rsid w:val="00326C97"/>
    <w:rsid w:val="00326CA5"/>
    <w:rsid w:val="00327F1E"/>
    <w:rsid w:val="0033029F"/>
    <w:rsid w:val="00330A9F"/>
    <w:rsid w:val="00330B6D"/>
    <w:rsid w:val="0033118F"/>
    <w:rsid w:val="00333AA5"/>
    <w:rsid w:val="003349B5"/>
    <w:rsid w:val="00334B3E"/>
    <w:rsid w:val="003357CB"/>
    <w:rsid w:val="00335BB3"/>
    <w:rsid w:val="00335DBA"/>
    <w:rsid w:val="00335DDE"/>
    <w:rsid w:val="00336398"/>
    <w:rsid w:val="00336C48"/>
    <w:rsid w:val="003376A9"/>
    <w:rsid w:val="00340209"/>
    <w:rsid w:val="003402C4"/>
    <w:rsid w:val="00340365"/>
    <w:rsid w:val="003411E5"/>
    <w:rsid w:val="00342B0D"/>
    <w:rsid w:val="0034373C"/>
    <w:rsid w:val="00343E7F"/>
    <w:rsid w:val="00344478"/>
    <w:rsid w:val="003444DC"/>
    <w:rsid w:val="00344792"/>
    <w:rsid w:val="003449E7"/>
    <w:rsid w:val="00344B3C"/>
    <w:rsid w:val="00344B4C"/>
    <w:rsid w:val="0034560E"/>
    <w:rsid w:val="00345A92"/>
    <w:rsid w:val="003463E2"/>
    <w:rsid w:val="00346552"/>
    <w:rsid w:val="00346B22"/>
    <w:rsid w:val="00347043"/>
    <w:rsid w:val="0035070C"/>
    <w:rsid w:val="00350FB3"/>
    <w:rsid w:val="0035120F"/>
    <w:rsid w:val="003515CA"/>
    <w:rsid w:val="00352203"/>
    <w:rsid w:val="00352C79"/>
    <w:rsid w:val="00355511"/>
    <w:rsid w:val="0035587C"/>
    <w:rsid w:val="003574A5"/>
    <w:rsid w:val="00357D84"/>
    <w:rsid w:val="00357DDC"/>
    <w:rsid w:val="003600AD"/>
    <w:rsid w:val="00360317"/>
    <w:rsid w:val="003606C6"/>
    <w:rsid w:val="0036093E"/>
    <w:rsid w:val="00360981"/>
    <w:rsid w:val="00360C4F"/>
    <w:rsid w:val="00361387"/>
    <w:rsid w:val="00362041"/>
    <w:rsid w:val="00362A54"/>
    <w:rsid w:val="00362E20"/>
    <w:rsid w:val="003636E7"/>
    <w:rsid w:val="0036384B"/>
    <w:rsid w:val="00364B19"/>
    <w:rsid w:val="00364F6B"/>
    <w:rsid w:val="00370473"/>
    <w:rsid w:val="00370F99"/>
    <w:rsid w:val="003714A3"/>
    <w:rsid w:val="00371E57"/>
    <w:rsid w:val="00372627"/>
    <w:rsid w:val="0037386A"/>
    <w:rsid w:val="00373B00"/>
    <w:rsid w:val="00373F49"/>
    <w:rsid w:val="00374327"/>
    <w:rsid w:val="00374B79"/>
    <w:rsid w:val="0037501B"/>
    <w:rsid w:val="003765AA"/>
    <w:rsid w:val="00376966"/>
    <w:rsid w:val="00376B8E"/>
    <w:rsid w:val="00376FCF"/>
    <w:rsid w:val="003771A0"/>
    <w:rsid w:val="003800BF"/>
    <w:rsid w:val="00380FF0"/>
    <w:rsid w:val="0038144C"/>
    <w:rsid w:val="00381D7D"/>
    <w:rsid w:val="003822BC"/>
    <w:rsid w:val="00383259"/>
    <w:rsid w:val="003833BD"/>
    <w:rsid w:val="00383F02"/>
    <w:rsid w:val="00384534"/>
    <w:rsid w:val="00384C03"/>
    <w:rsid w:val="0038589D"/>
    <w:rsid w:val="00386156"/>
    <w:rsid w:val="00386923"/>
    <w:rsid w:val="003869B1"/>
    <w:rsid w:val="00387235"/>
    <w:rsid w:val="0039012A"/>
    <w:rsid w:val="00391729"/>
    <w:rsid w:val="00391867"/>
    <w:rsid w:val="003921B3"/>
    <w:rsid w:val="00392976"/>
    <w:rsid w:val="00392CCB"/>
    <w:rsid w:val="0039369F"/>
    <w:rsid w:val="0039390B"/>
    <w:rsid w:val="003944B5"/>
    <w:rsid w:val="00394F45"/>
    <w:rsid w:val="003951B2"/>
    <w:rsid w:val="00395522"/>
    <w:rsid w:val="003957D8"/>
    <w:rsid w:val="00396F98"/>
    <w:rsid w:val="003A005C"/>
    <w:rsid w:val="003A012F"/>
    <w:rsid w:val="003A0C34"/>
    <w:rsid w:val="003A0E06"/>
    <w:rsid w:val="003A16EB"/>
    <w:rsid w:val="003A1B47"/>
    <w:rsid w:val="003A207C"/>
    <w:rsid w:val="003A2650"/>
    <w:rsid w:val="003A2CB9"/>
    <w:rsid w:val="003A4526"/>
    <w:rsid w:val="003A468B"/>
    <w:rsid w:val="003A5287"/>
    <w:rsid w:val="003A5B4C"/>
    <w:rsid w:val="003A604D"/>
    <w:rsid w:val="003A6405"/>
    <w:rsid w:val="003A66AB"/>
    <w:rsid w:val="003B24A2"/>
    <w:rsid w:val="003B2711"/>
    <w:rsid w:val="003B2AB1"/>
    <w:rsid w:val="003B2B23"/>
    <w:rsid w:val="003B2D06"/>
    <w:rsid w:val="003B2E4B"/>
    <w:rsid w:val="003B36A5"/>
    <w:rsid w:val="003B378C"/>
    <w:rsid w:val="003B3B80"/>
    <w:rsid w:val="003B3DA0"/>
    <w:rsid w:val="003B42A0"/>
    <w:rsid w:val="003B553C"/>
    <w:rsid w:val="003B6138"/>
    <w:rsid w:val="003B67A7"/>
    <w:rsid w:val="003B6C0F"/>
    <w:rsid w:val="003B70F0"/>
    <w:rsid w:val="003B7478"/>
    <w:rsid w:val="003B775B"/>
    <w:rsid w:val="003B7F52"/>
    <w:rsid w:val="003C1260"/>
    <w:rsid w:val="003C1961"/>
    <w:rsid w:val="003C19DD"/>
    <w:rsid w:val="003C1B0F"/>
    <w:rsid w:val="003C1B78"/>
    <w:rsid w:val="003C248A"/>
    <w:rsid w:val="003C28A8"/>
    <w:rsid w:val="003C293B"/>
    <w:rsid w:val="003C2946"/>
    <w:rsid w:val="003C2BC6"/>
    <w:rsid w:val="003C34BB"/>
    <w:rsid w:val="003C38A0"/>
    <w:rsid w:val="003C3E3C"/>
    <w:rsid w:val="003C486B"/>
    <w:rsid w:val="003C489E"/>
    <w:rsid w:val="003C4F16"/>
    <w:rsid w:val="003C50E1"/>
    <w:rsid w:val="003C643D"/>
    <w:rsid w:val="003C6B94"/>
    <w:rsid w:val="003D060A"/>
    <w:rsid w:val="003D06B1"/>
    <w:rsid w:val="003D095F"/>
    <w:rsid w:val="003D0AB3"/>
    <w:rsid w:val="003D0BB6"/>
    <w:rsid w:val="003D0D15"/>
    <w:rsid w:val="003D13C9"/>
    <w:rsid w:val="003D1BF6"/>
    <w:rsid w:val="003D2124"/>
    <w:rsid w:val="003D24B0"/>
    <w:rsid w:val="003D29F8"/>
    <w:rsid w:val="003D417F"/>
    <w:rsid w:val="003D4B67"/>
    <w:rsid w:val="003D5858"/>
    <w:rsid w:val="003D5A14"/>
    <w:rsid w:val="003D5E29"/>
    <w:rsid w:val="003D6D85"/>
    <w:rsid w:val="003D72C6"/>
    <w:rsid w:val="003E07C9"/>
    <w:rsid w:val="003E16EA"/>
    <w:rsid w:val="003E20E0"/>
    <w:rsid w:val="003E33DE"/>
    <w:rsid w:val="003E3A39"/>
    <w:rsid w:val="003E52DF"/>
    <w:rsid w:val="003E5438"/>
    <w:rsid w:val="003E5763"/>
    <w:rsid w:val="003E5CA6"/>
    <w:rsid w:val="003E6369"/>
    <w:rsid w:val="003E6DF0"/>
    <w:rsid w:val="003E6E91"/>
    <w:rsid w:val="003F07CE"/>
    <w:rsid w:val="003F1892"/>
    <w:rsid w:val="003F2070"/>
    <w:rsid w:val="003F270D"/>
    <w:rsid w:val="003F2A94"/>
    <w:rsid w:val="003F3114"/>
    <w:rsid w:val="003F3641"/>
    <w:rsid w:val="003F3BA4"/>
    <w:rsid w:val="003F4B63"/>
    <w:rsid w:val="003F5541"/>
    <w:rsid w:val="003F61BE"/>
    <w:rsid w:val="003F69DB"/>
    <w:rsid w:val="003F7175"/>
    <w:rsid w:val="003F7292"/>
    <w:rsid w:val="003F74B8"/>
    <w:rsid w:val="003F78DC"/>
    <w:rsid w:val="003F7A4C"/>
    <w:rsid w:val="003F7D49"/>
    <w:rsid w:val="00400682"/>
    <w:rsid w:val="004006F6"/>
    <w:rsid w:val="00400E4A"/>
    <w:rsid w:val="00401DC8"/>
    <w:rsid w:val="00402FB0"/>
    <w:rsid w:val="00403297"/>
    <w:rsid w:val="004037E1"/>
    <w:rsid w:val="0040464F"/>
    <w:rsid w:val="0041028F"/>
    <w:rsid w:val="00411541"/>
    <w:rsid w:val="00411D07"/>
    <w:rsid w:val="00411D31"/>
    <w:rsid w:val="004127D7"/>
    <w:rsid w:val="00413C8D"/>
    <w:rsid w:val="00413CE0"/>
    <w:rsid w:val="00414C07"/>
    <w:rsid w:val="004153F3"/>
    <w:rsid w:val="00415877"/>
    <w:rsid w:val="0041666F"/>
    <w:rsid w:val="00416E2A"/>
    <w:rsid w:val="0041717C"/>
    <w:rsid w:val="0042059D"/>
    <w:rsid w:val="004211D4"/>
    <w:rsid w:val="00423CCF"/>
    <w:rsid w:val="00424B9B"/>
    <w:rsid w:val="00427080"/>
    <w:rsid w:val="00427B13"/>
    <w:rsid w:val="004302FA"/>
    <w:rsid w:val="004303E6"/>
    <w:rsid w:val="0043165A"/>
    <w:rsid w:val="0043188D"/>
    <w:rsid w:val="00431978"/>
    <w:rsid w:val="00431FF1"/>
    <w:rsid w:val="004320F5"/>
    <w:rsid w:val="004322C9"/>
    <w:rsid w:val="004326CB"/>
    <w:rsid w:val="00433272"/>
    <w:rsid w:val="00433890"/>
    <w:rsid w:val="0043678B"/>
    <w:rsid w:val="00436E99"/>
    <w:rsid w:val="00436FA4"/>
    <w:rsid w:val="0043773F"/>
    <w:rsid w:val="00440706"/>
    <w:rsid w:val="00440EB5"/>
    <w:rsid w:val="00441144"/>
    <w:rsid w:val="004427E5"/>
    <w:rsid w:val="00442883"/>
    <w:rsid w:val="00442964"/>
    <w:rsid w:val="00442B39"/>
    <w:rsid w:val="00443C66"/>
    <w:rsid w:val="00443DCD"/>
    <w:rsid w:val="00443EBA"/>
    <w:rsid w:val="0044416E"/>
    <w:rsid w:val="0044490E"/>
    <w:rsid w:val="004449F3"/>
    <w:rsid w:val="00444AAA"/>
    <w:rsid w:val="00446587"/>
    <w:rsid w:val="00446C58"/>
    <w:rsid w:val="00446CD4"/>
    <w:rsid w:val="0044731F"/>
    <w:rsid w:val="004504C3"/>
    <w:rsid w:val="004509DE"/>
    <w:rsid w:val="00450AED"/>
    <w:rsid w:val="004514E4"/>
    <w:rsid w:val="00451C64"/>
    <w:rsid w:val="00453138"/>
    <w:rsid w:val="0045408E"/>
    <w:rsid w:val="00454597"/>
    <w:rsid w:val="00454EB2"/>
    <w:rsid w:val="0045500C"/>
    <w:rsid w:val="0045578A"/>
    <w:rsid w:val="00455A28"/>
    <w:rsid w:val="00456A3A"/>
    <w:rsid w:val="00456AF1"/>
    <w:rsid w:val="004576E0"/>
    <w:rsid w:val="00457DAA"/>
    <w:rsid w:val="004628F9"/>
    <w:rsid w:val="00462FB4"/>
    <w:rsid w:val="00463C13"/>
    <w:rsid w:val="00465CC9"/>
    <w:rsid w:val="00467121"/>
    <w:rsid w:val="004677F2"/>
    <w:rsid w:val="0047054D"/>
    <w:rsid w:val="00471E1E"/>
    <w:rsid w:val="0047205D"/>
    <w:rsid w:val="004732BA"/>
    <w:rsid w:val="00473DFB"/>
    <w:rsid w:val="00473FE1"/>
    <w:rsid w:val="0047408A"/>
    <w:rsid w:val="00474A18"/>
    <w:rsid w:val="0047688E"/>
    <w:rsid w:val="00477292"/>
    <w:rsid w:val="00477FFE"/>
    <w:rsid w:val="00480CC3"/>
    <w:rsid w:val="00481CAA"/>
    <w:rsid w:val="00481ED6"/>
    <w:rsid w:val="00481F00"/>
    <w:rsid w:val="00482E3E"/>
    <w:rsid w:val="004830DE"/>
    <w:rsid w:val="004832E5"/>
    <w:rsid w:val="004837DB"/>
    <w:rsid w:val="00484D5A"/>
    <w:rsid w:val="00484EA8"/>
    <w:rsid w:val="004852BC"/>
    <w:rsid w:val="004869C0"/>
    <w:rsid w:val="0048787E"/>
    <w:rsid w:val="00487A1E"/>
    <w:rsid w:val="004901C0"/>
    <w:rsid w:val="00490A5A"/>
    <w:rsid w:val="00490D9F"/>
    <w:rsid w:val="004911E3"/>
    <w:rsid w:val="00491A27"/>
    <w:rsid w:val="00492266"/>
    <w:rsid w:val="004925B7"/>
    <w:rsid w:val="00492870"/>
    <w:rsid w:val="004931AC"/>
    <w:rsid w:val="00494283"/>
    <w:rsid w:val="004945DD"/>
    <w:rsid w:val="00494915"/>
    <w:rsid w:val="00494B6E"/>
    <w:rsid w:val="00494F93"/>
    <w:rsid w:val="00495223"/>
    <w:rsid w:val="00495B2E"/>
    <w:rsid w:val="00495E73"/>
    <w:rsid w:val="00496263"/>
    <w:rsid w:val="00497A2D"/>
    <w:rsid w:val="004A0C1A"/>
    <w:rsid w:val="004A11F4"/>
    <w:rsid w:val="004A1AAE"/>
    <w:rsid w:val="004A1CB7"/>
    <w:rsid w:val="004A1D19"/>
    <w:rsid w:val="004A215F"/>
    <w:rsid w:val="004A3FA2"/>
    <w:rsid w:val="004A457C"/>
    <w:rsid w:val="004A46A4"/>
    <w:rsid w:val="004A5C54"/>
    <w:rsid w:val="004A6C76"/>
    <w:rsid w:val="004B00BA"/>
    <w:rsid w:val="004B0874"/>
    <w:rsid w:val="004B140F"/>
    <w:rsid w:val="004B20AF"/>
    <w:rsid w:val="004B2168"/>
    <w:rsid w:val="004B22AA"/>
    <w:rsid w:val="004B22D2"/>
    <w:rsid w:val="004B271D"/>
    <w:rsid w:val="004B29EA"/>
    <w:rsid w:val="004B2EF7"/>
    <w:rsid w:val="004B30DB"/>
    <w:rsid w:val="004B393D"/>
    <w:rsid w:val="004B3EF2"/>
    <w:rsid w:val="004B42BB"/>
    <w:rsid w:val="004B4986"/>
    <w:rsid w:val="004B5A01"/>
    <w:rsid w:val="004B66D5"/>
    <w:rsid w:val="004B6975"/>
    <w:rsid w:val="004B6E99"/>
    <w:rsid w:val="004B71D1"/>
    <w:rsid w:val="004B7B94"/>
    <w:rsid w:val="004C08D5"/>
    <w:rsid w:val="004C0E56"/>
    <w:rsid w:val="004C0F66"/>
    <w:rsid w:val="004C3273"/>
    <w:rsid w:val="004C3AA2"/>
    <w:rsid w:val="004C3AAC"/>
    <w:rsid w:val="004C3D64"/>
    <w:rsid w:val="004C3F12"/>
    <w:rsid w:val="004C472B"/>
    <w:rsid w:val="004C5722"/>
    <w:rsid w:val="004C586E"/>
    <w:rsid w:val="004C6669"/>
    <w:rsid w:val="004C6DB3"/>
    <w:rsid w:val="004C7040"/>
    <w:rsid w:val="004C7462"/>
    <w:rsid w:val="004C7692"/>
    <w:rsid w:val="004C7D93"/>
    <w:rsid w:val="004D0828"/>
    <w:rsid w:val="004D16BD"/>
    <w:rsid w:val="004D18F2"/>
    <w:rsid w:val="004D1FDD"/>
    <w:rsid w:val="004D2946"/>
    <w:rsid w:val="004D451E"/>
    <w:rsid w:val="004D4907"/>
    <w:rsid w:val="004D49AF"/>
    <w:rsid w:val="004D49F0"/>
    <w:rsid w:val="004D5614"/>
    <w:rsid w:val="004D5A00"/>
    <w:rsid w:val="004D6600"/>
    <w:rsid w:val="004D66E5"/>
    <w:rsid w:val="004D69A5"/>
    <w:rsid w:val="004D69C2"/>
    <w:rsid w:val="004D6F5B"/>
    <w:rsid w:val="004D7062"/>
    <w:rsid w:val="004D78B3"/>
    <w:rsid w:val="004E0344"/>
    <w:rsid w:val="004E0976"/>
    <w:rsid w:val="004E0A2E"/>
    <w:rsid w:val="004E0EC2"/>
    <w:rsid w:val="004E3332"/>
    <w:rsid w:val="004E390A"/>
    <w:rsid w:val="004E3EAB"/>
    <w:rsid w:val="004E3EBA"/>
    <w:rsid w:val="004E3F6F"/>
    <w:rsid w:val="004E3F7D"/>
    <w:rsid w:val="004E410F"/>
    <w:rsid w:val="004E6CC3"/>
    <w:rsid w:val="004E712C"/>
    <w:rsid w:val="004E73DE"/>
    <w:rsid w:val="004F07DC"/>
    <w:rsid w:val="004F0C55"/>
    <w:rsid w:val="004F0F8D"/>
    <w:rsid w:val="004F25DD"/>
    <w:rsid w:val="004F2BEE"/>
    <w:rsid w:val="004F3D67"/>
    <w:rsid w:val="004F53BA"/>
    <w:rsid w:val="004F59F6"/>
    <w:rsid w:val="004F5ACB"/>
    <w:rsid w:val="004F5D88"/>
    <w:rsid w:val="004F6311"/>
    <w:rsid w:val="004F7DAF"/>
    <w:rsid w:val="004F7E07"/>
    <w:rsid w:val="00500005"/>
    <w:rsid w:val="00500663"/>
    <w:rsid w:val="005017B3"/>
    <w:rsid w:val="005025BD"/>
    <w:rsid w:val="00502C79"/>
    <w:rsid w:val="00502EB9"/>
    <w:rsid w:val="005040A7"/>
    <w:rsid w:val="00504330"/>
    <w:rsid w:val="005048AF"/>
    <w:rsid w:val="00504DC6"/>
    <w:rsid w:val="00504E38"/>
    <w:rsid w:val="005050E2"/>
    <w:rsid w:val="005052AB"/>
    <w:rsid w:val="00506208"/>
    <w:rsid w:val="00506924"/>
    <w:rsid w:val="00506FB0"/>
    <w:rsid w:val="00507864"/>
    <w:rsid w:val="00510000"/>
    <w:rsid w:val="0051030A"/>
    <w:rsid w:val="00511BA7"/>
    <w:rsid w:val="00511F40"/>
    <w:rsid w:val="00511F72"/>
    <w:rsid w:val="00512C66"/>
    <w:rsid w:val="00514095"/>
    <w:rsid w:val="005142AE"/>
    <w:rsid w:val="00514D78"/>
    <w:rsid w:val="00514D93"/>
    <w:rsid w:val="00516DF8"/>
    <w:rsid w:val="00520178"/>
    <w:rsid w:val="0052065E"/>
    <w:rsid w:val="0052075B"/>
    <w:rsid w:val="00520CA8"/>
    <w:rsid w:val="00520E9D"/>
    <w:rsid w:val="00522E3A"/>
    <w:rsid w:val="00522EB4"/>
    <w:rsid w:val="00523A23"/>
    <w:rsid w:val="00523FA7"/>
    <w:rsid w:val="00524676"/>
    <w:rsid w:val="005250CD"/>
    <w:rsid w:val="00525CCA"/>
    <w:rsid w:val="00525DB6"/>
    <w:rsid w:val="00526F84"/>
    <w:rsid w:val="00527189"/>
    <w:rsid w:val="0052746D"/>
    <w:rsid w:val="0052775A"/>
    <w:rsid w:val="00527AC5"/>
    <w:rsid w:val="00527C74"/>
    <w:rsid w:val="0053076A"/>
    <w:rsid w:val="00530F58"/>
    <w:rsid w:val="00531395"/>
    <w:rsid w:val="005313E9"/>
    <w:rsid w:val="00531C1F"/>
    <w:rsid w:val="00532598"/>
    <w:rsid w:val="005333A2"/>
    <w:rsid w:val="00533A56"/>
    <w:rsid w:val="005352BD"/>
    <w:rsid w:val="0053619F"/>
    <w:rsid w:val="00536ED4"/>
    <w:rsid w:val="00540172"/>
    <w:rsid w:val="00540A41"/>
    <w:rsid w:val="00540CC3"/>
    <w:rsid w:val="00543528"/>
    <w:rsid w:val="0054412C"/>
    <w:rsid w:val="00545D9A"/>
    <w:rsid w:val="0054609D"/>
    <w:rsid w:val="0054625A"/>
    <w:rsid w:val="00546513"/>
    <w:rsid w:val="00547A34"/>
    <w:rsid w:val="00551A7A"/>
    <w:rsid w:val="005541FF"/>
    <w:rsid w:val="00554B8F"/>
    <w:rsid w:val="00554E56"/>
    <w:rsid w:val="005553A2"/>
    <w:rsid w:val="00555C99"/>
    <w:rsid w:val="005560B3"/>
    <w:rsid w:val="005566F3"/>
    <w:rsid w:val="005573CF"/>
    <w:rsid w:val="00557613"/>
    <w:rsid w:val="0056039F"/>
    <w:rsid w:val="005610FD"/>
    <w:rsid w:val="00561902"/>
    <w:rsid w:val="00561F2D"/>
    <w:rsid w:val="00562969"/>
    <w:rsid w:val="00563630"/>
    <w:rsid w:val="00564079"/>
    <w:rsid w:val="00564415"/>
    <w:rsid w:val="00565A87"/>
    <w:rsid w:val="00565D0C"/>
    <w:rsid w:val="00566062"/>
    <w:rsid w:val="00566A44"/>
    <w:rsid w:val="00567D75"/>
    <w:rsid w:val="00567FE5"/>
    <w:rsid w:val="00570446"/>
    <w:rsid w:val="00570CBF"/>
    <w:rsid w:val="00570EA5"/>
    <w:rsid w:val="005723BE"/>
    <w:rsid w:val="00572410"/>
    <w:rsid w:val="00572BD5"/>
    <w:rsid w:val="00572D0B"/>
    <w:rsid w:val="00572F34"/>
    <w:rsid w:val="00573249"/>
    <w:rsid w:val="00573DDE"/>
    <w:rsid w:val="0057478A"/>
    <w:rsid w:val="0057500C"/>
    <w:rsid w:val="00575331"/>
    <w:rsid w:val="00575907"/>
    <w:rsid w:val="00575A11"/>
    <w:rsid w:val="005766CF"/>
    <w:rsid w:val="00577765"/>
    <w:rsid w:val="005779D1"/>
    <w:rsid w:val="0058151E"/>
    <w:rsid w:val="00582539"/>
    <w:rsid w:val="00583ADD"/>
    <w:rsid w:val="0058426E"/>
    <w:rsid w:val="005849F7"/>
    <w:rsid w:val="00585010"/>
    <w:rsid w:val="00586420"/>
    <w:rsid w:val="005864B4"/>
    <w:rsid w:val="00587455"/>
    <w:rsid w:val="00587EA9"/>
    <w:rsid w:val="0059002F"/>
    <w:rsid w:val="00590BB3"/>
    <w:rsid w:val="00590C22"/>
    <w:rsid w:val="00590D1B"/>
    <w:rsid w:val="005918A4"/>
    <w:rsid w:val="00593C04"/>
    <w:rsid w:val="00593E90"/>
    <w:rsid w:val="00594EB8"/>
    <w:rsid w:val="00596F34"/>
    <w:rsid w:val="005973E7"/>
    <w:rsid w:val="00597A86"/>
    <w:rsid w:val="005A01D3"/>
    <w:rsid w:val="005A01F6"/>
    <w:rsid w:val="005A0B54"/>
    <w:rsid w:val="005A1574"/>
    <w:rsid w:val="005A194A"/>
    <w:rsid w:val="005A3820"/>
    <w:rsid w:val="005A4247"/>
    <w:rsid w:val="005A5B9C"/>
    <w:rsid w:val="005A5D77"/>
    <w:rsid w:val="005A5D9E"/>
    <w:rsid w:val="005A61E4"/>
    <w:rsid w:val="005A69E1"/>
    <w:rsid w:val="005A729B"/>
    <w:rsid w:val="005A738B"/>
    <w:rsid w:val="005A7978"/>
    <w:rsid w:val="005A7A29"/>
    <w:rsid w:val="005B0678"/>
    <w:rsid w:val="005B1287"/>
    <w:rsid w:val="005B200E"/>
    <w:rsid w:val="005B2CF4"/>
    <w:rsid w:val="005B3212"/>
    <w:rsid w:val="005B322F"/>
    <w:rsid w:val="005B37C1"/>
    <w:rsid w:val="005B41C5"/>
    <w:rsid w:val="005B45B7"/>
    <w:rsid w:val="005B46FD"/>
    <w:rsid w:val="005B4D91"/>
    <w:rsid w:val="005B5328"/>
    <w:rsid w:val="005B5A49"/>
    <w:rsid w:val="005B5B00"/>
    <w:rsid w:val="005B6347"/>
    <w:rsid w:val="005B7377"/>
    <w:rsid w:val="005B7A2F"/>
    <w:rsid w:val="005C0F42"/>
    <w:rsid w:val="005C18ED"/>
    <w:rsid w:val="005C2702"/>
    <w:rsid w:val="005C5814"/>
    <w:rsid w:val="005C5D91"/>
    <w:rsid w:val="005C7727"/>
    <w:rsid w:val="005C796E"/>
    <w:rsid w:val="005D00A8"/>
    <w:rsid w:val="005D0113"/>
    <w:rsid w:val="005D07FC"/>
    <w:rsid w:val="005D0F6C"/>
    <w:rsid w:val="005D1AE8"/>
    <w:rsid w:val="005D5CFA"/>
    <w:rsid w:val="005D5FD8"/>
    <w:rsid w:val="005D6F4C"/>
    <w:rsid w:val="005D7069"/>
    <w:rsid w:val="005D73E4"/>
    <w:rsid w:val="005D7711"/>
    <w:rsid w:val="005D7AE9"/>
    <w:rsid w:val="005D7D96"/>
    <w:rsid w:val="005E04B8"/>
    <w:rsid w:val="005E18D9"/>
    <w:rsid w:val="005E1945"/>
    <w:rsid w:val="005E1E1D"/>
    <w:rsid w:val="005E22AB"/>
    <w:rsid w:val="005E2593"/>
    <w:rsid w:val="005E285C"/>
    <w:rsid w:val="005E2D00"/>
    <w:rsid w:val="005E3182"/>
    <w:rsid w:val="005E3A89"/>
    <w:rsid w:val="005E3EB8"/>
    <w:rsid w:val="005E46EA"/>
    <w:rsid w:val="005E4AC2"/>
    <w:rsid w:val="005E50F2"/>
    <w:rsid w:val="005E516F"/>
    <w:rsid w:val="005E5264"/>
    <w:rsid w:val="005E5392"/>
    <w:rsid w:val="005E67A8"/>
    <w:rsid w:val="005E6D06"/>
    <w:rsid w:val="005E6DC9"/>
    <w:rsid w:val="005E79DE"/>
    <w:rsid w:val="005F024C"/>
    <w:rsid w:val="005F0D8D"/>
    <w:rsid w:val="005F3062"/>
    <w:rsid w:val="005F38E8"/>
    <w:rsid w:val="005F5237"/>
    <w:rsid w:val="005F69B2"/>
    <w:rsid w:val="005F7100"/>
    <w:rsid w:val="006001BF"/>
    <w:rsid w:val="006003EF"/>
    <w:rsid w:val="00601471"/>
    <w:rsid w:val="00601549"/>
    <w:rsid w:val="00602074"/>
    <w:rsid w:val="006023D1"/>
    <w:rsid w:val="00602606"/>
    <w:rsid w:val="0060272F"/>
    <w:rsid w:val="00603C21"/>
    <w:rsid w:val="00603D29"/>
    <w:rsid w:val="0060440E"/>
    <w:rsid w:val="00604669"/>
    <w:rsid w:val="00605095"/>
    <w:rsid w:val="0060669A"/>
    <w:rsid w:val="00606B9D"/>
    <w:rsid w:val="00607910"/>
    <w:rsid w:val="00607E63"/>
    <w:rsid w:val="0061040C"/>
    <w:rsid w:val="00610966"/>
    <w:rsid w:val="00610B9A"/>
    <w:rsid w:val="00610D9C"/>
    <w:rsid w:val="00610F32"/>
    <w:rsid w:val="00611473"/>
    <w:rsid w:val="00614850"/>
    <w:rsid w:val="00614C7F"/>
    <w:rsid w:val="00614EE3"/>
    <w:rsid w:val="006164DA"/>
    <w:rsid w:val="00617B17"/>
    <w:rsid w:val="00620839"/>
    <w:rsid w:val="00620FCA"/>
    <w:rsid w:val="00621441"/>
    <w:rsid w:val="006218E9"/>
    <w:rsid w:val="00622151"/>
    <w:rsid w:val="00622769"/>
    <w:rsid w:val="00622D66"/>
    <w:rsid w:val="006232AE"/>
    <w:rsid w:val="00623516"/>
    <w:rsid w:val="00623976"/>
    <w:rsid w:val="006241A7"/>
    <w:rsid w:val="0062454C"/>
    <w:rsid w:val="0062458D"/>
    <w:rsid w:val="006249F4"/>
    <w:rsid w:val="0062505C"/>
    <w:rsid w:val="0062544D"/>
    <w:rsid w:val="00625B2D"/>
    <w:rsid w:val="0062628E"/>
    <w:rsid w:val="0062658D"/>
    <w:rsid w:val="00626656"/>
    <w:rsid w:val="0062676D"/>
    <w:rsid w:val="00627150"/>
    <w:rsid w:val="0063018D"/>
    <w:rsid w:val="0063136C"/>
    <w:rsid w:val="006317BF"/>
    <w:rsid w:val="00631842"/>
    <w:rsid w:val="00631E6C"/>
    <w:rsid w:val="00631F6C"/>
    <w:rsid w:val="00632306"/>
    <w:rsid w:val="00632A29"/>
    <w:rsid w:val="00633A9A"/>
    <w:rsid w:val="00634686"/>
    <w:rsid w:val="0063558F"/>
    <w:rsid w:val="00635781"/>
    <w:rsid w:val="0063621A"/>
    <w:rsid w:val="006367E8"/>
    <w:rsid w:val="00636ECA"/>
    <w:rsid w:val="00636FB1"/>
    <w:rsid w:val="006376F0"/>
    <w:rsid w:val="00640E41"/>
    <w:rsid w:val="00641DCE"/>
    <w:rsid w:val="00642600"/>
    <w:rsid w:val="00642878"/>
    <w:rsid w:val="0064301F"/>
    <w:rsid w:val="0064502B"/>
    <w:rsid w:val="0064737F"/>
    <w:rsid w:val="00647D58"/>
    <w:rsid w:val="00647E71"/>
    <w:rsid w:val="00651484"/>
    <w:rsid w:val="006521EC"/>
    <w:rsid w:val="00652CCD"/>
    <w:rsid w:val="00652CE2"/>
    <w:rsid w:val="00652E32"/>
    <w:rsid w:val="006544EC"/>
    <w:rsid w:val="00654C35"/>
    <w:rsid w:val="00655F70"/>
    <w:rsid w:val="006561EA"/>
    <w:rsid w:val="006565A6"/>
    <w:rsid w:val="00656ED1"/>
    <w:rsid w:val="006575B8"/>
    <w:rsid w:val="0065769B"/>
    <w:rsid w:val="00657C19"/>
    <w:rsid w:val="00657C3E"/>
    <w:rsid w:val="0066032A"/>
    <w:rsid w:val="006607D8"/>
    <w:rsid w:val="0066117A"/>
    <w:rsid w:val="00661742"/>
    <w:rsid w:val="00662E59"/>
    <w:rsid w:val="00663F9B"/>
    <w:rsid w:val="00664988"/>
    <w:rsid w:val="00665751"/>
    <w:rsid w:val="006668AA"/>
    <w:rsid w:val="00666907"/>
    <w:rsid w:val="0066777F"/>
    <w:rsid w:val="00667E4E"/>
    <w:rsid w:val="0067042B"/>
    <w:rsid w:val="0067064A"/>
    <w:rsid w:val="006709FB"/>
    <w:rsid w:val="00670BD3"/>
    <w:rsid w:val="00670EDD"/>
    <w:rsid w:val="00672298"/>
    <w:rsid w:val="006729C0"/>
    <w:rsid w:val="00674D45"/>
    <w:rsid w:val="006751D6"/>
    <w:rsid w:val="00675A50"/>
    <w:rsid w:val="00676004"/>
    <w:rsid w:val="00676668"/>
    <w:rsid w:val="00676C43"/>
    <w:rsid w:val="00676C45"/>
    <w:rsid w:val="006772E0"/>
    <w:rsid w:val="00677673"/>
    <w:rsid w:val="00677790"/>
    <w:rsid w:val="00680292"/>
    <w:rsid w:val="00680821"/>
    <w:rsid w:val="00682352"/>
    <w:rsid w:val="00682BDF"/>
    <w:rsid w:val="006841B4"/>
    <w:rsid w:val="00684571"/>
    <w:rsid w:val="006848C4"/>
    <w:rsid w:val="00684B01"/>
    <w:rsid w:val="00685196"/>
    <w:rsid w:val="006852B0"/>
    <w:rsid w:val="00685F47"/>
    <w:rsid w:val="006863B1"/>
    <w:rsid w:val="006870E0"/>
    <w:rsid w:val="006873B1"/>
    <w:rsid w:val="006873DC"/>
    <w:rsid w:val="00687641"/>
    <w:rsid w:val="00687B76"/>
    <w:rsid w:val="00687E53"/>
    <w:rsid w:val="00690812"/>
    <w:rsid w:val="00690C76"/>
    <w:rsid w:val="00691283"/>
    <w:rsid w:val="006918C7"/>
    <w:rsid w:val="006923F8"/>
    <w:rsid w:val="00693638"/>
    <w:rsid w:val="00693671"/>
    <w:rsid w:val="00693A9C"/>
    <w:rsid w:val="00693D7C"/>
    <w:rsid w:val="00693E01"/>
    <w:rsid w:val="0069460A"/>
    <w:rsid w:val="0069483E"/>
    <w:rsid w:val="00695305"/>
    <w:rsid w:val="00695C6C"/>
    <w:rsid w:val="0069695F"/>
    <w:rsid w:val="00696AF0"/>
    <w:rsid w:val="00697C99"/>
    <w:rsid w:val="00697E2D"/>
    <w:rsid w:val="006A0A90"/>
    <w:rsid w:val="006A0BF7"/>
    <w:rsid w:val="006A10BB"/>
    <w:rsid w:val="006A1AC9"/>
    <w:rsid w:val="006A1DFC"/>
    <w:rsid w:val="006A2042"/>
    <w:rsid w:val="006A2471"/>
    <w:rsid w:val="006A271C"/>
    <w:rsid w:val="006A3315"/>
    <w:rsid w:val="006A342B"/>
    <w:rsid w:val="006A3993"/>
    <w:rsid w:val="006A3DEC"/>
    <w:rsid w:val="006A47D1"/>
    <w:rsid w:val="006A565C"/>
    <w:rsid w:val="006A56A1"/>
    <w:rsid w:val="006A645B"/>
    <w:rsid w:val="006A671C"/>
    <w:rsid w:val="006A70D2"/>
    <w:rsid w:val="006A7CBB"/>
    <w:rsid w:val="006B042A"/>
    <w:rsid w:val="006B114D"/>
    <w:rsid w:val="006B23F7"/>
    <w:rsid w:val="006B2700"/>
    <w:rsid w:val="006B2894"/>
    <w:rsid w:val="006B2900"/>
    <w:rsid w:val="006B3482"/>
    <w:rsid w:val="006B4217"/>
    <w:rsid w:val="006B429A"/>
    <w:rsid w:val="006B498A"/>
    <w:rsid w:val="006B4F49"/>
    <w:rsid w:val="006B4FF7"/>
    <w:rsid w:val="006B5E31"/>
    <w:rsid w:val="006B6B88"/>
    <w:rsid w:val="006B6E41"/>
    <w:rsid w:val="006B74A1"/>
    <w:rsid w:val="006C1102"/>
    <w:rsid w:val="006C1150"/>
    <w:rsid w:val="006C14B0"/>
    <w:rsid w:val="006C1543"/>
    <w:rsid w:val="006C1814"/>
    <w:rsid w:val="006C1E5C"/>
    <w:rsid w:val="006C2018"/>
    <w:rsid w:val="006C2425"/>
    <w:rsid w:val="006C24AC"/>
    <w:rsid w:val="006C2CB7"/>
    <w:rsid w:val="006C3197"/>
    <w:rsid w:val="006C39D0"/>
    <w:rsid w:val="006C3B87"/>
    <w:rsid w:val="006C4244"/>
    <w:rsid w:val="006C42EF"/>
    <w:rsid w:val="006C5EF4"/>
    <w:rsid w:val="006C7A2A"/>
    <w:rsid w:val="006D1C08"/>
    <w:rsid w:val="006D2191"/>
    <w:rsid w:val="006D2B3D"/>
    <w:rsid w:val="006D2BBC"/>
    <w:rsid w:val="006D3558"/>
    <w:rsid w:val="006D4ED5"/>
    <w:rsid w:val="006D5997"/>
    <w:rsid w:val="006D59D2"/>
    <w:rsid w:val="006D7914"/>
    <w:rsid w:val="006E1E80"/>
    <w:rsid w:val="006E261A"/>
    <w:rsid w:val="006E433D"/>
    <w:rsid w:val="006E4DB8"/>
    <w:rsid w:val="006E522F"/>
    <w:rsid w:val="006E5FA1"/>
    <w:rsid w:val="006E686B"/>
    <w:rsid w:val="006E6F57"/>
    <w:rsid w:val="006E7AA1"/>
    <w:rsid w:val="006E7CF9"/>
    <w:rsid w:val="006E7F74"/>
    <w:rsid w:val="006F13C7"/>
    <w:rsid w:val="006F1AFF"/>
    <w:rsid w:val="006F1EDA"/>
    <w:rsid w:val="006F237C"/>
    <w:rsid w:val="006F2A0C"/>
    <w:rsid w:val="006F32F1"/>
    <w:rsid w:val="006F3454"/>
    <w:rsid w:val="006F4B9F"/>
    <w:rsid w:val="006F5985"/>
    <w:rsid w:val="006F6193"/>
    <w:rsid w:val="006F624F"/>
    <w:rsid w:val="006F6370"/>
    <w:rsid w:val="006F6B38"/>
    <w:rsid w:val="006F710E"/>
    <w:rsid w:val="006F7DC4"/>
    <w:rsid w:val="006F7EC5"/>
    <w:rsid w:val="00700D07"/>
    <w:rsid w:val="00701922"/>
    <w:rsid w:val="00702240"/>
    <w:rsid w:val="00702497"/>
    <w:rsid w:val="00702AF6"/>
    <w:rsid w:val="00703366"/>
    <w:rsid w:val="00703A50"/>
    <w:rsid w:val="00703D04"/>
    <w:rsid w:val="00703D1E"/>
    <w:rsid w:val="00704716"/>
    <w:rsid w:val="00705569"/>
    <w:rsid w:val="007057ED"/>
    <w:rsid w:val="00705A5A"/>
    <w:rsid w:val="00706756"/>
    <w:rsid w:val="00706893"/>
    <w:rsid w:val="007072AE"/>
    <w:rsid w:val="00707FB1"/>
    <w:rsid w:val="0071131F"/>
    <w:rsid w:val="00711371"/>
    <w:rsid w:val="00711750"/>
    <w:rsid w:val="007118A4"/>
    <w:rsid w:val="00711CB0"/>
    <w:rsid w:val="00712F96"/>
    <w:rsid w:val="00714E8A"/>
    <w:rsid w:val="00716505"/>
    <w:rsid w:val="00717BD6"/>
    <w:rsid w:val="00720240"/>
    <w:rsid w:val="007214B1"/>
    <w:rsid w:val="00721BA6"/>
    <w:rsid w:val="00721BF8"/>
    <w:rsid w:val="00723F25"/>
    <w:rsid w:val="0072439A"/>
    <w:rsid w:val="007249F3"/>
    <w:rsid w:val="00724EC6"/>
    <w:rsid w:val="007251D3"/>
    <w:rsid w:val="00725498"/>
    <w:rsid w:val="00725BA8"/>
    <w:rsid w:val="00725CDB"/>
    <w:rsid w:val="00725D09"/>
    <w:rsid w:val="00726E98"/>
    <w:rsid w:val="00727963"/>
    <w:rsid w:val="00727DFA"/>
    <w:rsid w:val="00730387"/>
    <w:rsid w:val="00730AC2"/>
    <w:rsid w:val="00730D9B"/>
    <w:rsid w:val="00731B20"/>
    <w:rsid w:val="007330DE"/>
    <w:rsid w:val="0073363D"/>
    <w:rsid w:val="0073365F"/>
    <w:rsid w:val="00733D66"/>
    <w:rsid w:val="0073453A"/>
    <w:rsid w:val="00734F54"/>
    <w:rsid w:val="007351DD"/>
    <w:rsid w:val="00735945"/>
    <w:rsid w:val="00735B45"/>
    <w:rsid w:val="00735BE4"/>
    <w:rsid w:val="00735C27"/>
    <w:rsid w:val="00736EC4"/>
    <w:rsid w:val="0073730B"/>
    <w:rsid w:val="00737844"/>
    <w:rsid w:val="0073791F"/>
    <w:rsid w:val="00737D31"/>
    <w:rsid w:val="0073E0D7"/>
    <w:rsid w:val="00740882"/>
    <w:rsid w:val="007411E7"/>
    <w:rsid w:val="00741C0F"/>
    <w:rsid w:val="00742331"/>
    <w:rsid w:val="0074261A"/>
    <w:rsid w:val="007437CB"/>
    <w:rsid w:val="0074412B"/>
    <w:rsid w:val="00744276"/>
    <w:rsid w:val="00745B6C"/>
    <w:rsid w:val="00746230"/>
    <w:rsid w:val="00746513"/>
    <w:rsid w:val="00747176"/>
    <w:rsid w:val="00747618"/>
    <w:rsid w:val="0074787F"/>
    <w:rsid w:val="00747F40"/>
    <w:rsid w:val="007500DF"/>
    <w:rsid w:val="00750D02"/>
    <w:rsid w:val="00751207"/>
    <w:rsid w:val="007518BA"/>
    <w:rsid w:val="00751CCA"/>
    <w:rsid w:val="00752695"/>
    <w:rsid w:val="00752DCF"/>
    <w:rsid w:val="00753030"/>
    <w:rsid w:val="00753142"/>
    <w:rsid w:val="007533B8"/>
    <w:rsid w:val="00753A77"/>
    <w:rsid w:val="00754131"/>
    <w:rsid w:val="00754FFD"/>
    <w:rsid w:val="007550E3"/>
    <w:rsid w:val="0075579B"/>
    <w:rsid w:val="00755854"/>
    <w:rsid w:val="00755FAD"/>
    <w:rsid w:val="00756AE0"/>
    <w:rsid w:val="00757511"/>
    <w:rsid w:val="00757873"/>
    <w:rsid w:val="00757BE1"/>
    <w:rsid w:val="00760026"/>
    <w:rsid w:val="007600B2"/>
    <w:rsid w:val="007601BB"/>
    <w:rsid w:val="0076093D"/>
    <w:rsid w:val="00761C21"/>
    <w:rsid w:val="0076242E"/>
    <w:rsid w:val="007626AC"/>
    <w:rsid w:val="0076415C"/>
    <w:rsid w:val="007645C6"/>
    <w:rsid w:val="00764D05"/>
    <w:rsid w:val="00764DB2"/>
    <w:rsid w:val="00765658"/>
    <w:rsid w:val="00765B02"/>
    <w:rsid w:val="00765F73"/>
    <w:rsid w:val="007671FA"/>
    <w:rsid w:val="00770180"/>
    <w:rsid w:val="007701A0"/>
    <w:rsid w:val="0077140F"/>
    <w:rsid w:val="00771737"/>
    <w:rsid w:val="0077187B"/>
    <w:rsid w:val="007718A0"/>
    <w:rsid w:val="00773C72"/>
    <w:rsid w:val="00774E02"/>
    <w:rsid w:val="007764E8"/>
    <w:rsid w:val="00776592"/>
    <w:rsid w:val="00776BC9"/>
    <w:rsid w:val="00777299"/>
    <w:rsid w:val="007776C7"/>
    <w:rsid w:val="00780741"/>
    <w:rsid w:val="00780ABA"/>
    <w:rsid w:val="0078158F"/>
    <w:rsid w:val="00781C4B"/>
    <w:rsid w:val="0078219D"/>
    <w:rsid w:val="00782C12"/>
    <w:rsid w:val="0078419A"/>
    <w:rsid w:val="0078459D"/>
    <w:rsid w:val="00784E16"/>
    <w:rsid w:val="00784F48"/>
    <w:rsid w:val="00787AEC"/>
    <w:rsid w:val="00787C21"/>
    <w:rsid w:val="00787C86"/>
    <w:rsid w:val="00787D00"/>
    <w:rsid w:val="00790310"/>
    <w:rsid w:val="0079062F"/>
    <w:rsid w:val="00791141"/>
    <w:rsid w:val="0079147D"/>
    <w:rsid w:val="0079161E"/>
    <w:rsid w:val="0079210B"/>
    <w:rsid w:val="0079219E"/>
    <w:rsid w:val="007936D8"/>
    <w:rsid w:val="00793724"/>
    <w:rsid w:val="00796418"/>
    <w:rsid w:val="007973AB"/>
    <w:rsid w:val="00797475"/>
    <w:rsid w:val="00797D03"/>
    <w:rsid w:val="007A00E4"/>
    <w:rsid w:val="007A0C19"/>
    <w:rsid w:val="007A0D64"/>
    <w:rsid w:val="007A12AB"/>
    <w:rsid w:val="007A185F"/>
    <w:rsid w:val="007A1D85"/>
    <w:rsid w:val="007A203F"/>
    <w:rsid w:val="007A25C4"/>
    <w:rsid w:val="007A2957"/>
    <w:rsid w:val="007A2FFD"/>
    <w:rsid w:val="007A3A2B"/>
    <w:rsid w:val="007A4095"/>
    <w:rsid w:val="007A4521"/>
    <w:rsid w:val="007A4DFB"/>
    <w:rsid w:val="007A536C"/>
    <w:rsid w:val="007A6528"/>
    <w:rsid w:val="007A670C"/>
    <w:rsid w:val="007A6C8F"/>
    <w:rsid w:val="007A6F22"/>
    <w:rsid w:val="007A71FD"/>
    <w:rsid w:val="007A7385"/>
    <w:rsid w:val="007A7403"/>
    <w:rsid w:val="007A75BF"/>
    <w:rsid w:val="007B0646"/>
    <w:rsid w:val="007B0DB5"/>
    <w:rsid w:val="007B0F65"/>
    <w:rsid w:val="007B2659"/>
    <w:rsid w:val="007B3799"/>
    <w:rsid w:val="007B3B38"/>
    <w:rsid w:val="007B4882"/>
    <w:rsid w:val="007B4C1E"/>
    <w:rsid w:val="007B6A2B"/>
    <w:rsid w:val="007B75AB"/>
    <w:rsid w:val="007C049F"/>
    <w:rsid w:val="007C08F7"/>
    <w:rsid w:val="007C1841"/>
    <w:rsid w:val="007C19E9"/>
    <w:rsid w:val="007C1EED"/>
    <w:rsid w:val="007C238E"/>
    <w:rsid w:val="007C2F66"/>
    <w:rsid w:val="007C31B0"/>
    <w:rsid w:val="007C327C"/>
    <w:rsid w:val="007C3F1C"/>
    <w:rsid w:val="007C4DC2"/>
    <w:rsid w:val="007C4ED0"/>
    <w:rsid w:val="007C5F52"/>
    <w:rsid w:val="007C642F"/>
    <w:rsid w:val="007D0340"/>
    <w:rsid w:val="007D0D2F"/>
    <w:rsid w:val="007D1559"/>
    <w:rsid w:val="007D1E1F"/>
    <w:rsid w:val="007D368F"/>
    <w:rsid w:val="007D3A0B"/>
    <w:rsid w:val="007D3E4B"/>
    <w:rsid w:val="007D5505"/>
    <w:rsid w:val="007D5A91"/>
    <w:rsid w:val="007D5B71"/>
    <w:rsid w:val="007D5F68"/>
    <w:rsid w:val="007D660A"/>
    <w:rsid w:val="007D70CB"/>
    <w:rsid w:val="007E0428"/>
    <w:rsid w:val="007E095E"/>
    <w:rsid w:val="007E0EB5"/>
    <w:rsid w:val="007E1DAF"/>
    <w:rsid w:val="007E3E9E"/>
    <w:rsid w:val="007E4114"/>
    <w:rsid w:val="007E4FA7"/>
    <w:rsid w:val="007E508D"/>
    <w:rsid w:val="007E5905"/>
    <w:rsid w:val="007F0B86"/>
    <w:rsid w:val="007F2397"/>
    <w:rsid w:val="007F27A8"/>
    <w:rsid w:val="007F3384"/>
    <w:rsid w:val="007F33AF"/>
    <w:rsid w:val="007F34AD"/>
    <w:rsid w:val="007F4396"/>
    <w:rsid w:val="007F45AF"/>
    <w:rsid w:val="007F4F4F"/>
    <w:rsid w:val="00800E15"/>
    <w:rsid w:val="00801690"/>
    <w:rsid w:val="00801BA7"/>
    <w:rsid w:val="00801D52"/>
    <w:rsid w:val="00801F03"/>
    <w:rsid w:val="00802C44"/>
    <w:rsid w:val="00802FF5"/>
    <w:rsid w:val="00803822"/>
    <w:rsid w:val="00803823"/>
    <w:rsid w:val="00804853"/>
    <w:rsid w:val="00804D98"/>
    <w:rsid w:val="00805804"/>
    <w:rsid w:val="00806023"/>
    <w:rsid w:val="00806092"/>
    <w:rsid w:val="0080621B"/>
    <w:rsid w:val="008062F6"/>
    <w:rsid w:val="00806A0C"/>
    <w:rsid w:val="0080761D"/>
    <w:rsid w:val="00807844"/>
    <w:rsid w:val="00807B7E"/>
    <w:rsid w:val="008101AF"/>
    <w:rsid w:val="00810D6D"/>
    <w:rsid w:val="00810F90"/>
    <w:rsid w:val="00811500"/>
    <w:rsid w:val="00811C98"/>
    <w:rsid w:val="00812E98"/>
    <w:rsid w:val="0081401C"/>
    <w:rsid w:val="008140CD"/>
    <w:rsid w:val="008145D5"/>
    <w:rsid w:val="0081483E"/>
    <w:rsid w:val="00814A77"/>
    <w:rsid w:val="00814E36"/>
    <w:rsid w:val="00815331"/>
    <w:rsid w:val="008157E9"/>
    <w:rsid w:val="008158AD"/>
    <w:rsid w:val="00816A19"/>
    <w:rsid w:val="00817B63"/>
    <w:rsid w:val="00820267"/>
    <w:rsid w:val="00821065"/>
    <w:rsid w:val="00821271"/>
    <w:rsid w:val="0082156C"/>
    <w:rsid w:val="00821922"/>
    <w:rsid w:val="00822235"/>
    <w:rsid w:val="0082241C"/>
    <w:rsid w:val="00822E76"/>
    <w:rsid w:val="008230E8"/>
    <w:rsid w:val="00823803"/>
    <w:rsid w:val="008242D2"/>
    <w:rsid w:val="00824566"/>
    <w:rsid w:val="00824CDE"/>
    <w:rsid w:val="0082528F"/>
    <w:rsid w:val="00826850"/>
    <w:rsid w:val="008268A3"/>
    <w:rsid w:val="00826CE5"/>
    <w:rsid w:val="00827A92"/>
    <w:rsid w:val="008316F1"/>
    <w:rsid w:val="0083294D"/>
    <w:rsid w:val="00832A7F"/>
    <w:rsid w:val="008338F9"/>
    <w:rsid w:val="008341AE"/>
    <w:rsid w:val="008344B7"/>
    <w:rsid w:val="00834C94"/>
    <w:rsid w:val="008353E4"/>
    <w:rsid w:val="00836013"/>
    <w:rsid w:val="008363A4"/>
    <w:rsid w:val="00836760"/>
    <w:rsid w:val="00837199"/>
    <w:rsid w:val="00837420"/>
    <w:rsid w:val="008374CB"/>
    <w:rsid w:val="008405A9"/>
    <w:rsid w:val="00840CCE"/>
    <w:rsid w:val="00840E93"/>
    <w:rsid w:val="00841091"/>
    <w:rsid w:val="00841D4A"/>
    <w:rsid w:val="00841FBD"/>
    <w:rsid w:val="008422AB"/>
    <w:rsid w:val="0084260C"/>
    <w:rsid w:val="0084267A"/>
    <w:rsid w:val="008427B6"/>
    <w:rsid w:val="008435D9"/>
    <w:rsid w:val="00843991"/>
    <w:rsid w:val="00843F46"/>
    <w:rsid w:val="00844512"/>
    <w:rsid w:val="00844EC2"/>
    <w:rsid w:val="00844FF1"/>
    <w:rsid w:val="0084530E"/>
    <w:rsid w:val="008453A9"/>
    <w:rsid w:val="00845B65"/>
    <w:rsid w:val="00846C31"/>
    <w:rsid w:val="008477F8"/>
    <w:rsid w:val="008505DB"/>
    <w:rsid w:val="00850B05"/>
    <w:rsid w:val="00850C13"/>
    <w:rsid w:val="00851E8F"/>
    <w:rsid w:val="00851EB6"/>
    <w:rsid w:val="0085246F"/>
    <w:rsid w:val="00853425"/>
    <w:rsid w:val="00853627"/>
    <w:rsid w:val="00854555"/>
    <w:rsid w:val="00854761"/>
    <w:rsid w:val="008549C2"/>
    <w:rsid w:val="00855D72"/>
    <w:rsid w:val="00855EBA"/>
    <w:rsid w:val="00856033"/>
    <w:rsid w:val="008568FD"/>
    <w:rsid w:val="00856D77"/>
    <w:rsid w:val="008575EF"/>
    <w:rsid w:val="00860905"/>
    <w:rsid w:val="00861681"/>
    <w:rsid w:val="00861C1F"/>
    <w:rsid w:val="00862624"/>
    <w:rsid w:val="00863338"/>
    <w:rsid w:val="0086397A"/>
    <w:rsid w:val="00864F87"/>
    <w:rsid w:val="00866CFE"/>
    <w:rsid w:val="00867592"/>
    <w:rsid w:val="008676AF"/>
    <w:rsid w:val="00867C1F"/>
    <w:rsid w:val="00870952"/>
    <w:rsid w:val="00870F03"/>
    <w:rsid w:val="0087205B"/>
    <w:rsid w:val="00873DDA"/>
    <w:rsid w:val="00875011"/>
    <w:rsid w:val="00875390"/>
    <w:rsid w:val="00876392"/>
    <w:rsid w:val="0087682B"/>
    <w:rsid w:val="008769C7"/>
    <w:rsid w:val="00876BD6"/>
    <w:rsid w:val="00876F1D"/>
    <w:rsid w:val="00877E8F"/>
    <w:rsid w:val="00880624"/>
    <w:rsid w:val="00883374"/>
    <w:rsid w:val="00883432"/>
    <w:rsid w:val="008837BC"/>
    <w:rsid w:val="00883F5F"/>
    <w:rsid w:val="0088426F"/>
    <w:rsid w:val="0088494C"/>
    <w:rsid w:val="008856D6"/>
    <w:rsid w:val="00885FD3"/>
    <w:rsid w:val="00890E2C"/>
    <w:rsid w:val="00890FA7"/>
    <w:rsid w:val="008919D0"/>
    <w:rsid w:val="008924B9"/>
    <w:rsid w:val="00893C57"/>
    <w:rsid w:val="00893D61"/>
    <w:rsid w:val="00893FBA"/>
    <w:rsid w:val="008940AF"/>
    <w:rsid w:val="00894565"/>
    <w:rsid w:val="00894A51"/>
    <w:rsid w:val="00894C52"/>
    <w:rsid w:val="008955F7"/>
    <w:rsid w:val="00895FF6"/>
    <w:rsid w:val="0089689E"/>
    <w:rsid w:val="00897430"/>
    <w:rsid w:val="008978AB"/>
    <w:rsid w:val="008A0354"/>
    <w:rsid w:val="008A03F4"/>
    <w:rsid w:val="008A15A0"/>
    <w:rsid w:val="008A1CA6"/>
    <w:rsid w:val="008A232F"/>
    <w:rsid w:val="008A3005"/>
    <w:rsid w:val="008A38FF"/>
    <w:rsid w:val="008A3982"/>
    <w:rsid w:val="008A43C3"/>
    <w:rsid w:val="008A47B9"/>
    <w:rsid w:val="008A48CE"/>
    <w:rsid w:val="008A48F1"/>
    <w:rsid w:val="008A52DC"/>
    <w:rsid w:val="008A5873"/>
    <w:rsid w:val="008A5E1E"/>
    <w:rsid w:val="008A6492"/>
    <w:rsid w:val="008A70A5"/>
    <w:rsid w:val="008B0B30"/>
    <w:rsid w:val="008B27AE"/>
    <w:rsid w:val="008B396F"/>
    <w:rsid w:val="008B3C7C"/>
    <w:rsid w:val="008B3DCC"/>
    <w:rsid w:val="008B4754"/>
    <w:rsid w:val="008B48E9"/>
    <w:rsid w:val="008B4927"/>
    <w:rsid w:val="008B51DA"/>
    <w:rsid w:val="008B5949"/>
    <w:rsid w:val="008B7E5A"/>
    <w:rsid w:val="008C29D9"/>
    <w:rsid w:val="008C367A"/>
    <w:rsid w:val="008C3745"/>
    <w:rsid w:val="008C3C53"/>
    <w:rsid w:val="008C3CB0"/>
    <w:rsid w:val="008C3E99"/>
    <w:rsid w:val="008C5276"/>
    <w:rsid w:val="008C52E9"/>
    <w:rsid w:val="008C562E"/>
    <w:rsid w:val="008C5A6F"/>
    <w:rsid w:val="008C6539"/>
    <w:rsid w:val="008C6B7C"/>
    <w:rsid w:val="008C6BE8"/>
    <w:rsid w:val="008C6BF1"/>
    <w:rsid w:val="008D0444"/>
    <w:rsid w:val="008D0777"/>
    <w:rsid w:val="008D09F6"/>
    <w:rsid w:val="008D17C6"/>
    <w:rsid w:val="008D18C0"/>
    <w:rsid w:val="008D1D02"/>
    <w:rsid w:val="008D2E1C"/>
    <w:rsid w:val="008D30CF"/>
    <w:rsid w:val="008D5CA3"/>
    <w:rsid w:val="008D60FD"/>
    <w:rsid w:val="008D67BA"/>
    <w:rsid w:val="008D6BDB"/>
    <w:rsid w:val="008D6FA7"/>
    <w:rsid w:val="008E0EB2"/>
    <w:rsid w:val="008E19FB"/>
    <w:rsid w:val="008E1D12"/>
    <w:rsid w:val="008E32D4"/>
    <w:rsid w:val="008E424E"/>
    <w:rsid w:val="008E4593"/>
    <w:rsid w:val="008E646C"/>
    <w:rsid w:val="008E64AF"/>
    <w:rsid w:val="008E668B"/>
    <w:rsid w:val="008E67E4"/>
    <w:rsid w:val="008E6D10"/>
    <w:rsid w:val="008E753B"/>
    <w:rsid w:val="008E796C"/>
    <w:rsid w:val="008F03A2"/>
    <w:rsid w:val="008F0DC7"/>
    <w:rsid w:val="008F0F02"/>
    <w:rsid w:val="008F1955"/>
    <w:rsid w:val="008F1E5C"/>
    <w:rsid w:val="008F2A17"/>
    <w:rsid w:val="008F2D8B"/>
    <w:rsid w:val="008F2E26"/>
    <w:rsid w:val="008F2EFF"/>
    <w:rsid w:val="008F35DD"/>
    <w:rsid w:val="008F35FF"/>
    <w:rsid w:val="008F3694"/>
    <w:rsid w:val="008F45F3"/>
    <w:rsid w:val="008F4A39"/>
    <w:rsid w:val="008F4DAF"/>
    <w:rsid w:val="008F5967"/>
    <w:rsid w:val="008F5A57"/>
    <w:rsid w:val="008F5BA7"/>
    <w:rsid w:val="008F642F"/>
    <w:rsid w:val="009017CE"/>
    <w:rsid w:val="00901D53"/>
    <w:rsid w:val="00901FFB"/>
    <w:rsid w:val="00902B08"/>
    <w:rsid w:val="00904420"/>
    <w:rsid w:val="00904693"/>
    <w:rsid w:val="00904E97"/>
    <w:rsid w:val="00905AAC"/>
    <w:rsid w:val="00905C98"/>
    <w:rsid w:val="0090686B"/>
    <w:rsid w:val="00907325"/>
    <w:rsid w:val="009076D4"/>
    <w:rsid w:val="0090778A"/>
    <w:rsid w:val="009079C3"/>
    <w:rsid w:val="00907D13"/>
    <w:rsid w:val="00910AEA"/>
    <w:rsid w:val="00910DC4"/>
    <w:rsid w:val="009113B4"/>
    <w:rsid w:val="009114AB"/>
    <w:rsid w:val="00911B2A"/>
    <w:rsid w:val="00911D9E"/>
    <w:rsid w:val="00912258"/>
    <w:rsid w:val="00916206"/>
    <w:rsid w:val="00916F91"/>
    <w:rsid w:val="00917A33"/>
    <w:rsid w:val="009200DD"/>
    <w:rsid w:val="0092031B"/>
    <w:rsid w:val="00920E47"/>
    <w:rsid w:val="00921245"/>
    <w:rsid w:val="00921286"/>
    <w:rsid w:val="00921A9E"/>
    <w:rsid w:val="00922593"/>
    <w:rsid w:val="009229F9"/>
    <w:rsid w:val="00922E68"/>
    <w:rsid w:val="00923340"/>
    <w:rsid w:val="00924C29"/>
    <w:rsid w:val="00924D58"/>
    <w:rsid w:val="00925078"/>
    <w:rsid w:val="009250DC"/>
    <w:rsid w:val="0092614B"/>
    <w:rsid w:val="00927691"/>
    <w:rsid w:val="00927AED"/>
    <w:rsid w:val="009315D6"/>
    <w:rsid w:val="00932361"/>
    <w:rsid w:val="00932BB2"/>
    <w:rsid w:val="00932F64"/>
    <w:rsid w:val="00933141"/>
    <w:rsid w:val="00933477"/>
    <w:rsid w:val="009346D8"/>
    <w:rsid w:val="0093487C"/>
    <w:rsid w:val="009362D4"/>
    <w:rsid w:val="00936462"/>
    <w:rsid w:val="00936A33"/>
    <w:rsid w:val="00941009"/>
    <w:rsid w:val="009418FA"/>
    <w:rsid w:val="00941950"/>
    <w:rsid w:val="00942A74"/>
    <w:rsid w:val="00943426"/>
    <w:rsid w:val="00943BFD"/>
    <w:rsid w:val="00943FE2"/>
    <w:rsid w:val="009440E7"/>
    <w:rsid w:val="00944310"/>
    <w:rsid w:val="00944EB3"/>
    <w:rsid w:val="00945934"/>
    <w:rsid w:val="00947471"/>
    <w:rsid w:val="0094798A"/>
    <w:rsid w:val="009500D8"/>
    <w:rsid w:val="00950E36"/>
    <w:rsid w:val="00952023"/>
    <w:rsid w:val="00952115"/>
    <w:rsid w:val="00952460"/>
    <w:rsid w:val="00953175"/>
    <w:rsid w:val="0095338F"/>
    <w:rsid w:val="00954053"/>
    <w:rsid w:val="009547FD"/>
    <w:rsid w:val="0095481F"/>
    <w:rsid w:val="00954E48"/>
    <w:rsid w:val="00955512"/>
    <w:rsid w:val="00955A01"/>
    <w:rsid w:val="009560C0"/>
    <w:rsid w:val="00956435"/>
    <w:rsid w:val="00956A9C"/>
    <w:rsid w:val="009570F8"/>
    <w:rsid w:val="0095713F"/>
    <w:rsid w:val="009574C1"/>
    <w:rsid w:val="00957A51"/>
    <w:rsid w:val="00957ECD"/>
    <w:rsid w:val="00960E31"/>
    <w:rsid w:val="0096188A"/>
    <w:rsid w:val="00962DE6"/>
    <w:rsid w:val="0096305B"/>
    <w:rsid w:val="009631CF"/>
    <w:rsid w:val="00963540"/>
    <w:rsid w:val="00964221"/>
    <w:rsid w:val="00964E15"/>
    <w:rsid w:val="00964E7A"/>
    <w:rsid w:val="00966D0B"/>
    <w:rsid w:val="00966FEA"/>
    <w:rsid w:val="0096713F"/>
    <w:rsid w:val="009703AE"/>
    <w:rsid w:val="00970A48"/>
    <w:rsid w:val="00970F12"/>
    <w:rsid w:val="009712E1"/>
    <w:rsid w:val="00971B96"/>
    <w:rsid w:val="00971CC0"/>
    <w:rsid w:val="00972AF9"/>
    <w:rsid w:val="00972C33"/>
    <w:rsid w:val="009738CC"/>
    <w:rsid w:val="00974217"/>
    <w:rsid w:val="00974662"/>
    <w:rsid w:val="0097572E"/>
    <w:rsid w:val="009761E1"/>
    <w:rsid w:val="0097656E"/>
    <w:rsid w:val="00976CF8"/>
    <w:rsid w:val="009801C8"/>
    <w:rsid w:val="009809CF"/>
    <w:rsid w:val="00981400"/>
    <w:rsid w:val="00981B6B"/>
    <w:rsid w:val="0098283F"/>
    <w:rsid w:val="009836DE"/>
    <w:rsid w:val="00984193"/>
    <w:rsid w:val="00984277"/>
    <w:rsid w:val="0098430F"/>
    <w:rsid w:val="00985D49"/>
    <w:rsid w:val="00986A14"/>
    <w:rsid w:val="00986BF7"/>
    <w:rsid w:val="00987259"/>
    <w:rsid w:val="009876B0"/>
    <w:rsid w:val="00990DD1"/>
    <w:rsid w:val="00991597"/>
    <w:rsid w:val="009924FA"/>
    <w:rsid w:val="00993236"/>
    <w:rsid w:val="0099375D"/>
    <w:rsid w:val="00993A51"/>
    <w:rsid w:val="00993F86"/>
    <w:rsid w:val="00994561"/>
    <w:rsid w:val="00994748"/>
    <w:rsid w:val="00995661"/>
    <w:rsid w:val="00995C1C"/>
    <w:rsid w:val="00995E58"/>
    <w:rsid w:val="00996BC1"/>
    <w:rsid w:val="00997D11"/>
    <w:rsid w:val="009A23E6"/>
    <w:rsid w:val="009A2DFA"/>
    <w:rsid w:val="009A37A3"/>
    <w:rsid w:val="009A50E7"/>
    <w:rsid w:val="009A54D4"/>
    <w:rsid w:val="009A57C7"/>
    <w:rsid w:val="009A5B75"/>
    <w:rsid w:val="009A5FC2"/>
    <w:rsid w:val="009A6B63"/>
    <w:rsid w:val="009B0711"/>
    <w:rsid w:val="009B188C"/>
    <w:rsid w:val="009B25E4"/>
    <w:rsid w:val="009B2A0B"/>
    <w:rsid w:val="009B362E"/>
    <w:rsid w:val="009B3715"/>
    <w:rsid w:val="009B4476"/>
    <w:rsid w:val="009B5546"/>
    <w:rsid w:val="009B56A4"/>
    <w:rsid w:val="009B6662"/>
    <w:rsid w:val="009B6C6D"/>
    <w:rsid w:val="009B6D70"/>
    <w:rsid w:val="009C0214"/>
    <w:rsid w:val="009C09EE"/>
    <w:rsid w:val="009C1504"/>
    <w:rsid w:val="009C1974"/>
    <w:rsid w:val="009C2651"/>
    <w:rsid w:val="009C27F9"/>
    <w:rsid w:val="009C2919"/>
    <w:rsid w:val="009C2FBC"/>
    <w:rsid w:val="009C3604"/>
    <w:rsid w:val="009C3815"/>
    <w:rsid w:val="009C41BD"/>
    <w:rsid w:val="009C4330"/>
    <w:rsid w:val="009C483C"/>
    <w:rsid w:val="009C568C"/>
    <w:rsid w:val="009C6DF5"/>
    <w:rsid w:val="009C716B"/>
    <w:rsid w:val="009C786C"/>
    <w:rsid w:val="009D107C"/>
    <w:rsid w:val="009D142E"/>
    <w:rsid w:val="009D1B2F"/>
    <w:rsid w:val="009D2888"/>
    <w:rsid w:val="009D3258"/>
    <w:rsid w:val="009D43AD"/>
    <w:rsid w:val="009D44CF"/>
    <w:rsid w:val="009D4596"/>
    <w:rsid w:val="009D4DE9"/>
    <w:rsid w:val="009D4EFE"/>
    <w:rsid w:val="009D4FCB"/>
    <w:rsid w:val="009D7323"/>
    <w:rsid w:val="009D7668"/>
    <w:rsid w:val="009E051C"/>
    <w:rsid w:val="009E0841"/>
    <w:rsid w:val="009E160E"/>
    <w:rsid w:val="009E1898"/>
    <w:rsid w:val="009E1AA6"/>
    <w:rsid w:val="009E39C2"/>
    <w:rsid w:val="009E3D71"/>
    <w:rsid w:val="009E4F82"/>
    <w:rsid w:val="009E518B"/>
    <w:rsid w:val="009E53DD"/>
    <w:rsid w:val="009E5469"/>
    <w:rsid w:val="009E6563"/>
    <w:rsid w:val="009E66C0"/>
    <w:rsid w:val="009E66C9"/>
    <w:rsid w:val="009E6823"/>
    <w:rsid w:val="009E759B"/>
    <w:rsid w:val="009F0002"/>
    <w:rsid w:val="009F1BE3"/>
    <w:rsid w:val="009F2AA7"/>
    <w:rsid w:val="009F2D3B"/>
    <w:rsid w:val="009F3582"/>
    <w:rsid w:val="009F3C27"/>
    <w:rsid w:val="009F52FD"/>
    <w:rsid w:val="009F5388"/>
    <w:rsid w:val="009F5937"/>
    <w:rsid w:val="009F6069"/>
    <w:rsid w:val="009F62C1"/>
    <w:rsid w:val="009F735D"/>
    <w:rsid w:val="009F773F"/>
    <w:rsid w:val="009F7E41"/>
    <w:rsid w:val="00A00151"/>
    <w:rsid w:val="00A015D9"/>
    <w:rsid w:val="00A018A7"/>
    <w:rsid w:val="00A01D32"/>
    <w:rsid w:val="00A01E3F"/>
    <w:rsid w:val="00A03C6B"/>
    <w:rsid w:val="00A04880"/>
    <w:rsid w:val="00A0533E"/>
    <w:rsid w:val="00A0626E"/>
    <w:rsid w:val="00A07486"/>
    <w:rsid w:val="00A1133E"/>
    <w:rsid w:val="00A1172C"/>
    <w:rsid w:val="00A11A9F"/>
    <w:rsid w:val="00A12112"/>
    <w:rsid w:val="00A12397"/>
    <w:rsid w:val="00A14005"/>
    <w:rsid w:val="00A146D2"/>
    <w:rsid w:val="00A153C9"/>
    <w:rsid w:val="00A156D1"/>
    <w:rsid w:val="00A15961"/>
    <w:rsid w:val="00A15B72"/>
    <w:rsid w:val="00A15C38"/>
    <w:rsid w:val="00A16E0E"/>
    <w:rsid w:val="00A17BD4"/>
    <w:rsid w:val="00A2105F"/>
    <w:rsid w:val="00A22A7B"/>
    <w:rsid w:val="00A23044"/>
    <w:rsid w:val="00A23E8D"/>
    <w:rsid w:val="00A2442D"/>
    <w:rsid w:val="00A250F9"/>
    <w:rsid w:val="00A26532"/>
    <w:rsid w:val="00A27203"/>
    <w:rsid w:val="00A31057"/>
    <w:rsid w:val="00A3150A"/>
    <w:rsid w:val="00A317A3"/>
    <w:rsid w:val="00A31D53"/>
    <w:rsid w:val="00A322FD"/>
    <w:rsid w:val="00A33261"/>
    <w:rsid w:val="00A3354C"/>
    <w:rsid w:val="00A34B25"/>
    <w:rsid w:val="00A356B1"/>
    <w:rsid w:val="00A3724D"/>
    <w:rsid w:val="00A377DC"/>
    <w:rsid w:val="00A40C32"/>
    <w:rsid w:val="00A41059"/>
    <w:rsid w:val="00A41186"/>
    <w:rsid w:val="00A43285"/>
    <w:rsid w:val="00A43A0E"/>
    <w:rsid w:val="00A43EF5"/>
    <w:rsid w:val="00A445C5"/>
    <w:rsid w:val="00A44A9D"/>
    <w:rsid w:val="00A457D0"/>
    <w:rsid w:val="00A46221"/>
    <w:rsid w:val="00A466A2"/>
    <w:rsid w:val="00A466B8"/>
    <w:rsid w:val="00A46E9A"/>
    <w:rsid w:val="00A46F65"/>
    <w:rsid w:val="00A47584"/>
    <w:rsid w:val="00A47758"/>
    <w:rsid w:val="00A4786E"/>
    <w:rsid w:val="00A50189"/>
    <w:rsid w:val="00A5064B"/>
    <w:rsid w:val="00A51022"/>
    <w:rsid w:val="00A5152A"/>
    <w:rsid w:val="00A518A0"/>
    <w:rsid w:val="00A524E7"/>
    <w:rsid w:val="00A52735"/>
    <w:rsid w:val="00A52BFC"/>
    <w:rsid w:val="00A52CEC"/>
    <w:rsid w:val="00A53417"/>
    <w:rsid w:val="00A5390C"/>
    <w:rsid w:val="00A53C88"/>
    <w:rsid w:val="00A54B24"/>
    <w:rsid w:val="00A54E86"/>
    <w:rsid w:val="00A5589D"/>
    <w:rsid w:val="00A563D9"/>
    <w:rsid w:val="00A57073"/>
    <w:rsid w:val="00A573F3"/>
    <w:rsid w:val="00A57641"/>
    <w:rsid w:val="00A60495"/>
    <w:rsid w:val="00A6114E"/>
    <w:rsid w:val="00A62FE5"/>
    <w:rsid w:val="00A6338B"/>
    <w:rsid w:val="00A634D0"/>
    <w:rsid w:val="00A635B1"/>
    <w:rsid w:val="00A6394B"/>
    <w:rsid w:val="00A6396C"/>
    <w:rsid w:val="00A63AC1"/>
    <w:rsid w:val="00A65349"/>
    <w:rsid w:val="00A7002B"/>
    <w:rsid w:val="00A70280"/>
    <w:rsid w:val="00A707E3"/>
    <w:rsid w:val="00A71119"/>
    <w:rsid w:val="00A7135D"/>
    <w:rsid w:val="00A721C1"/>
    <w:rsid w:val="00A724FC"/>
    <w:rsid w:val="00A72A69"/>
    <w:rsid w:val="00A736BB"/>
    <w:rsid w:val="00A74047"/>
    <w:rsid w:val="00A74583"/>
    <w:rsid w:val="00A7474E"/>
    <w:rsid w:val="00A74CB0"/>
    <w:rsid w:val="00A7560D"/>
    <w:rsid w:val="00A7613E"/>
    <w:rsid w:val="00A76A43"/>
    <w:rsid w:val="00A77642"/>
    <w:rsid w:val="00A804A6"/>
    <w:rsid w:val="00A805E6"/>
    <w:rsid w:val="00A80AD1"/>
    <w:rsid w:val="00A80ECB"/>
    <w:rsid w:val="00A8109E"/>
    <w:rsid w:val="00A8227B"/>
    <w:rsid w:val="00A82565"/>
    <w:rsid w:val="00A85440"/>
    <w:rsid w:val="00A86CAE"/>
    <w:rsid w:val="00A86D15"/>
    <w:rsid w:val="00A86E38"/>
    <w:rsid w:val="00A875B8"/>
    <w:rsid w:val="00A87F50"/>
    <w:rsid w:val="00A903F5"/>
    <w:rsid w:val="00A907E5"/>
    <w:rsid w:val="00A91E36"/>
    <w:rsid w:val="00A92E78"/>
    <w:rsid w:val="00A93CA1"/>
    <w:rsid w:val="00A9574C"/>
    <w:rsid w:val="00A964D4"/>
    <w:rsid w:val="00A96616"/>
    <w:rsid w:val="00A970C2"/>
    <w:rsid w:val="00AA03E4"/>
    <w:rsid w:val="00AA1927"/>
    <w:rsid w:val="00AA2333"/>
    <w:rsid w:val="00AA2340"/>
    <w:rsid w:val="00AA23DB"/>
    <w:rsid w:val="00AA294D"/>
    <w:rsid w:val="00AA3679"/>
    <w:rsid w:val="00AA36E2"/>
    <w:rsid w:val="00AA3DDB"/>
    <w:rsid w:val="00AA4154"/>
    <w:rsid w:val="00AA42BB"/>
    <w:rsid w:val="00AA4AB0"/>
    <w:rsid w:val="00AA54DC"/>
    <w:rsid w:val="00AA54ED"/>
    <w:rsid w:val="00AA560D"/>
    <w:rsid w:val="00AA6BCC"/>
    <w:rsid w:val="00AA6EC1"/>
    <w:rsid w:val="00AA73E9"/>
    <w:rsid w:val="00AA7A20"/>
    <w:rsid w:val="00AB177E"/>
    <w:rsid w:val="00AB1B5A"/>
    <w:rsid w:val="00AB25FD"/>
    <w:rsid w:val="00AB27FD"/>
    <w:rsid w:val="00AB3BF8"/>
    <w:rsid w:val="00AB5076"/>
    <w:rsid w:val="00AB5306"/>
    <w:rsid w:val="00AB53F3"/>
    <w:rsid w:val="00AB6E60"/>
    <w:rsid w:val="00AB7077"/>
    <w:rsid w:val="00AB7BBB"/>
    <w:rsid w:val="00AC033B"/>
    <w:rsid w:val="00AC0512"/>
    <w:rsid w:val="00AC070B"/>
    <w:rsid w:val="00AC166F"/>
    <w:rsid w:val="00AC2CDB"/>
    <w:rsid w:val="00AC3024"/>
    <w:rsid w:val="00AC3160"/>
    <w:rsid w:val="00AC4C97"/>
    <w:rsid w:val="00AC6224"/>
    <w:rsid w:val="00AC6C3C"/>
    <w:rsid w:val="00AC7DBC"/>
    <w:rsid w:val="00AD0049"/>
    <w:rsid w:val="00AD02ED"/>
    <w:rsid w:val="00AD1763"/>
    <w:rsid w:val="00AD17F7"/>
    <w:rsid w:val="00AD23CB"/>
    <w:rsid w:val="00AD420A"/>
    <w:rsid w:val="00AD430B"/>
    <w:rsid w:val="00AD4F93"/>
    <w:rsid w:val="00AD5228"/>
    <w:rsid w:val="00AD5B07"/>
    <w:rsid w:val="00AD6A90"/>
    <w:rsid w:val="00AD7381"/>
    <w:rsid w:val="00AD76A8"/>
    <w:rsid w:val="00AD77DD"/>
    <w:rsid w:val="00AE01AB"/>
    <w:rsid w:val="00AE03FA"/>
    <w:rsid w:val="00AE0B52"/>
    <w:rsid w:val="00AE1387"/>
    <w:rsid w:val="00AE2C9D"/>
    <w:rsid w:val="00AE4AE7"/>
    <w:rsid w:val="00AE6C57"/>
    <w:rsid w:val="00AE7230"/>
    <w:rsid w:val="00AE73C4"/>
    <w:rsid w:val="00AE73D1"/>
    <w:rsid w:val="00AE7768"/>
    <w:rsid w:val="00AF052C"/>
    <w:rsid w:val="00AF0579"/>
    <w:rsid w:val="00AF34E6"/>
    <w:rsid w:val="00AF3908"/>
    <w:rsid w:val="00AF4211"/>
    <w:rsid w:val="00AF4260"/>
    <w:rsid w:val="00AF513C"/>
    <w:rsid w:val="00AF59C9"/>
    <w:rsid w:val="00AF5DDE"/>
    <w:rsid w:val="00B0031C"/>
    <w:rsid w:val="00B006AA"/>
    <w:rsid w:val="00B00E1D"/>
    <w:rsid w:val="00B00F85"/>
    <w:rsid w:val="00B0151B"/>
    <w:rsid w:val="00B023B7"/>
    <w:rsid w:val="00B0370F"/>
    <w:rsid w:val="00B03752"/>
    <w:rsid w:val="00B03A26"/>
    <w:rsid w:val="00B03D0C"/>
    <w:rsid w:val="00B04430"/>
    <w:rsid w:val="00B04774"/>
    <w:rsid w:val="00B04A61"/>
    <w:rsid w:val="00B0515C"/>
    <w:rsid w:val="00B05F75"/>
    <w:rsid w:val="00B06A85"/>
    <w:rsid w:val="00B075D9"/>
    <w:rsid w:val="00B102AB"/>
    <w:rsid w:val="00B11391"/>
    <w:rsid w:val="00B11D20"/>
    <w:rsid w:val="00B11FC7"/>
    <w:rsid w:val="00B1222F"/>
    <w:rsid w:val="00B1226B"/>
    <w:rsid w:val="00B12C1A"/>
    <w:rsid w:val="00B1308C"/>
    <w:rsid w:val="00B1310F"/>
    <w:rsid w:val="00B143BD"/>
    <w:rsid w:val="00B1585E"/>
    <w:rsid w:val="00B17295"/>
    <w:rsid w:val="00B17B02"/>
    <w:rsid w:val="00B17FD1"/>
    <w:rsid w:val="00B2033B"/>
    <w:rsid w:val="00B21C46"/>
    <w:rsid w:val="00B223F8"/>
    <w:rsid w:val="00B23503"/>
    <w:rsid w:val="00B23743"/>
    <w:rsid w:val="00B24A66"/>
    <w:rsid w:val="00B25924"/>
    <w:rsid w:val="00B26760"/>
    <w:rsid w:val="00B269C0"/>
    <w:rsid w:val="00B26A72"/>
    <w:rsid w:val="00B26D1A"/>
    <w:rsid w:val="00B26D95"/>
    <w:rsid w:val="00B26F4C"/>
    <w:rsid w:val="00B26F57"/>
    <w:rsid w:val="00B27B40"/>
    <w:rsid w:val="00B27CF2"/>
    <w:rsid w:val="00B30AF6"/>
    <w:rsid w:val="00B31785"/>
    <w:rsid w:val="00B32036"/>
    <w:rsid w:val="00B32070"/>
    <w:rsid w:val="00B32CAF"/>
    <w:rsid w:val="00B32E25"/>
    <w:rsid w:val="00B32FEE"/>
    <w:rsid w:val="00B33360"/>
    <w:rsid w:val="00B34B29"/>
    <w:rsid w:val="00B36229"/>
    <w:rsid w:val="00B3758A"/>
    <w:rsid w:val="00B37782"/>
    <w:rsid w:val="00B37CD2"/>
    <w:rsid w:val="00B4062D"/>
    <w:rsid w:val="00B408D6"/>
    <w:rsid w:val="00B4171C"/>
    <w:rsid w:val="00B425C4"/>
    <w:rsid w:val="00B42AAC"/>
    <w:rsid w:val="00B42DCB"/>
    <w:rsid w:val="00B42E46"/>
    <w:rsid w:val="00B42F28"/>
    <w:rsid w:val="00B448B4"/>
    <w:rsid w:val="00B461BC"/>
    <w:rsid w:val="00B46890"/>
    <w:rsid w:val="00B471B3"/>
    <w:rsid w:val="00B4744B"/>
    <w:rsid w:val="00B50AF0"/>
    <w:rsid w:val="00B50DA9"/>
    <w:rsid w:val="00B5239A"/>
    <w:rsid w:val="00B5376A"/>
    <w:rsid w:val="00B53791"/>
    <w:rsid w:val="00B53BD2"/>
    <w:rsid w:val="00B53D55"/>
    <w:rsid w:val="00B54019"/>
    <w:rsid w:val="00B5476F"/>
    <w:rsid w:val="00B55388"/>
    <w:rsid w:val="00B553AF"/>
    <w:rsid w:val="00B5540B"/>
    <w:rsid w:val="00B554B3"/>
    <w:rsid w:val="00B56164"/>
    <w:rsid w:val="00B57B5F"/>
    <w:rsid w:val="00B600F0"/>
    <w:rsid w:val="00B60141"/>
    <w:rsid w:val="00B607D6"/>
    <w:rsid w:val="00B61006"/>
    <w:rsid w:val="00B624A2"/>
    <w:rsid w:val="00B62954"/>
    <w:rsid w:val="00B635DB"/>
    <w:rsid w:val="00B636D8"/>
    <w:rsid w:val="00B644BD"/>
    <w:rsid w:val="00B64AEF"/>
    <w:rsid w:val="00B64CD9"/>
    <w:rsid w:val="00B64E28"/>
    <w:rsid w:val="00B6514A"/>
    <w:rsid w:val="00B65FD9"/>
    <w:rsid w:val="00B6619E"/>
    <w:rsid w:val="00B66D14"/>
    <w:rsid w:val="00B67568"/>
    <w:rsid w:val="00B71145"/>
    <w:rsid w:val="00B715AC"/>
    <w:rsid w:val="00B72333"/>
    <w:rsid w:val="00B72B61"/>
    <w:rsid w:val="00B73606"/>
    <w:rsid w:val="00B7367C"/>
    <w:rsid w:val="00B73A04"/>
    <w:rsid w:val="00B73CC2"/>
    <w:rsid w:val="00B7461F"/>
    <w:rsid w:val="00B74781"/>
    <w:rsid w:val="00B748D2"/>
    <w:rsid w:val="00B74913"/>
    <w:rsid w:val="00B74ABA"/>
    <w:rsid w:val="00B7514D"/>
    <w:rsid w:val="00B7639D"/>
    <w:rsid w:val="00B77305"/>
    <w:rsid w:val="00B80511"/>
    <w:rsid w:val="00B80684"/>
    <w:rsid w:val="00B81E86"/>
    <w:rsid w:val="00B8210C"/>
    <w:rsid w:val="00B82449"/>
    <w:rsid w:val="00B828E6"/>
    <w:rsid w:val="00B82A5F"/>
    <w:rsid w:val="00B8371A"/>
    <w:rsid w:val="00B8438A"/>
    <w:rsid w:val="00B84DFD"/>
    <w:rsid w:val="00B85277"/>
    <w:rsid w:val="00B85E91"/>
    <w:rsid w:val="00B85F63"/>
    <w:rsid w:val="00B864D6"/>
    <w:rsid w:val="00B8692A"/>
    <w:rsid w:val="00B87867"/>
    <w:rsid w:val="00B90195"/>
    <w:rsid w:val="00B91F9F"/>
    <w:rsid w:val="00B9231C"/>
    <w:rsid w:val="00B92648"/>
    <w:rsid w:val="00B92D18"/>
    <w:rsid w:val="00B92D2D"/>
    <w:rsid w:val="00B94492"/>
    <w:rsid w:val="00B94919"/>
    <w:rsid w:val="00B94ACA"/>
    <w:rsid w:val="00B94C8F"/>
    <w:rsid w:val="00B94E9C"/>
    <w:rsid w:val="00B94F5B"/>
    <w:rsid w:val="00B950B7"/>
    <w:rsid w:val="00B95594"/>
    <w:rsid w:val="00B9561D"/>
    <w:rsid w:val="00B957AB"/>
    <w:rsid w:val="00B96996"/>
    <w:rsid w:val="00B96C76"/>
    <w:rsid w:val="00B96F16"/>
    <w:rsid w:val="00B97908"/>
    <w:rsid w:val="00BA10AB"/>
    <w:rsid w:val="00BA10DB"/>
    <w:rsid w:val="00BA159F"/>
    <w:rsid w:val="00BA2AA0"/>
    <w:rsid w:val="00BA2B74"/>
    <w:rsid w:val="00BA2BD0"/>
    <w:rsid w:val="00BA2C6C"/>
    <w:rsid w:val="00BA3021"/>
    <w:rsid w:val="00BA3897"/>
    <w:rsid w:val="00BA3A2C"/>
    <w:rsid w:val="00BA3C66"/>
    <w:rsid w:val="00BA4891"/>
    <w:rsid w:val="00BA4AD4"/>
    <w:rsid w:val="00BA52CC"/>
    <w:rsid w:val="00BA5899"/>
    <w:rsid w:val="00BA5DDE"/>
    <w:rsid w:val="00BA60BB"/>
    <w:rsid w:val="00BA70E6"/>
    <w:rsid w:val="00BA79A8"/>
    <w:rsid w:val="00BA7DA7"/>
    <w:rsid w:val="00BB0062"/>
    <w:rsid w:val="00BB03F9"/>
    <w:rsid w:val="00BB0518"/>
    <w:rsid w:val="00BB0C29"/>
    <w:rsid w:val="00BB1847"/>
    <w:rsid w:val="00BB1CAC"/>
    <w:rsid w:val="00BB2275"/>
    <w:rsid w:val="00BB24AB"/>
    <w:rsid w:val="00BB271E"/>
    <w:rsid w:val="00BB29AE"/>
    <w:rsid w:val="00BB2A40"/>
    <w:rsid w:val="00BB2DAD"/>
    <w:rsid w:val="00BB3747"/>
    <w:rsid w:val="00BB3D92"/>
    <w:rsid w:val="00BB46A4"/>
    <w:rsid w:val="00BB4F2A"/>
    <w:rsid w:val="00BB516A"/>
    <w:rsid w:val="00BB6303"/>
    <w:rsid w:val="00BB6C9B"/>
    <w:rsid w:val="00BC18ED"/>
    <w:rsid w:val="00BC2686"/>
    <w:rsid w:val="00BC30E2"/>
    <w:rsid w:val="00BC3989"/>
    <w:rsid w:val="00BC4235"/>
    <w:rsid w:val="00BC53AE"/>
    <w:rsid w:val="00BC65F4"/>
    <w:rsid w:val="00BC7769"/>
    <w:rsid w:val="00BC7A0E"/>
    <w:rsid w:val="00BD0214"/>
    <w:rsid w:val="00BD0289"/>
    <w:rsid w:val="00BD0BD8"/>
    <w:rsid w:val="00BD100B"/>
    <w:rsid w:val="00BD136F"/>
    <w:rsid w:val="00BD1639"/>
    <w:rsid w:val="00BD29D8"/>
    <w:rsid w:val="00BD2BA6"/>
    <w:rsid w:val="00BD3208"/>
    <w:rsid w:val="00BD38B3"/>
    <w:rsid w:val="00BD3B01"/>
    <w:rsid w:val="00BD3D36"/>
    <w:rsid w:val="00BD40E0"/>
    <w:rsid w:val="00BD4679"/>
    <w:rsid w:val="00BD48A6"/>
    <w:rsid w:val="00BD5807"/>
    <w:rsid w:val="00BD5EE7"/>
    <w:rsid w:val="00BD7606"/>
    <w:rsid w:val="00BE0EE7"/>
    <w:rsid w:val="00BE0F0F"/>
    <w:rsid w:val="00BE1A58"/>
    <w:rsid w:val="00BE2026"/>
    <w:rsid w:val="00BE3C40"/>
    <w:rsid w:val="00BE420E"/>
    <w:rsid w:val="00BE46CB"/>
    <w:rsid w:val="00BE4B18"/>
    <w:rsid w:val="00BE4CB1"/>
    <w:rsid w:val="00BE512E"/>
    <w:rsid w:val="00BE52AA"/>
    <w:rsid w:val="00BE5397"/>
    <w:rsid w:val="00BF0B80"/>
    <w:rsid w:val="00BF2131"/>
    <w:rsid w:val="00BF30B2"/>
    <w:rsid w:val="00BF3422"/>
    <w:rsid w:val="00BF347D"/>
    <w:rsid w:val="00BF38A5"/>
    <w:rsid w:val="00BF3C8E"/>
    <w:rsid w:val="00BF3D15"/>
    <w:rsid w:val="00BF40F5"/>
    <w:rsid w:val="00BF43BE"/>
    <w:rsid w:val="00BF4E2D"/>
    <w:rsid w:val="00BF5338"/>
    <w:rsid w:val="00BF58ED"/>
    <w:rsid w:val="00BF58F8"/>
    <w:rsid w:val="00BF7136"/>
    <w:rsid w:val="00C00CB8"/>
    <w:rsid w:val="00C020DD"/>
    <w:rsid w:val="00C02A2E"/>
    <w:rsid w:val="00C02AA1"/>
    <w:rsid w:val="00C02BF2"/>
    <w:rsid w:val="00C04DF0"/>
    <w:rsid w:val="00C053DC"/>
    <w:rsid w:val="00C05740"/>
    <w:rsid w:val="00C06798"/>
    <w:rsid w:val="00C0679A"/>
    <w:rsid w:val="00C10096"/>
    <w:rsid w:val="00C106D5"/>
    <w:rsid w:val="00C108B6"/>
    <w:rsid w:val="00C10C5B"/>
    <w:rsid w:val="00C11684"/>
    <w:rsid w:val="00C119CE"/>
    <w:rsid w:val="00C11BD5"/>
    <w:rsid w:val="00C11D67"/>
    <w:rsid w:val="00C11FAD"/>
    <w:rsid w:val="00C129DC"/>
    <w:rsid w:val="00C12AC7"/>
    <w:rsid w:val="00C12BB8"/>
    <w:rsid w:val="00C138E4"/>
    <w:rsid w:val="00C13BAE"/>
    <w:rsid w:val="00C144A9"/>
    <w:rsid w:val="00C14669"/>
    <w:rsid w:val="00C148FA"/>
    <w:rsid w:val="00C150E4"/>
    <w:rsid w:val="00C15E99"/>
    <w:rsid w:val="00C160BE"/>
    <w:rsid w:val="00C16395"/>
    <w:rsid w:val="00C164D7"/>
    <w:rsid w:val="00C16B5C"/>
    <w:rsid w:val="00C178C5"/>
    <w:rsid w:val="00C2173B"/>
    <w:rsid w:val="00C221C7"/>
    <w:rsid w:val="00C22D30"/>
    <w:rsid w:val="00C2340E"/>
    <w:rsid w:val="00C23708"/>
    <w:rsid w:val="00C23798"/>
    <w:rsid w:val="00C24302"/>
    <w:rsid w:val="00C2459D"/>
    <w:rsid w:val="00C25227"/>
    <w:rsid w:val="00C276F3"/>
    <w:rsid w:val="00C27B53"/>
    <w:rsid w:val="00C30BD4"/>
    <w:rsid w:val="00C30DF5"/>
    <w:rsid w:val="00C31211"/>
    <w:rsid w:val="00C31BAD"/>
    <w:rsid w:val="00C32B46"/>
    <w:rsid w:val="00C3428F"/>
    <w:rsid w:val="00C3454D"/>
    <w:rsid w:val="00C348B1"/>
    <w:rsid w:val="00C34904"/>
    <w:rsid w:val="00C35FC1"/>
    <w:rsid w:val="00C371E4"/>
    <w:rsid w:val="00C37751"/>
    <w:rsid w:val="00C40162"/>
    <w:rsid w:val="00C404B0"/>
    <w:rsid w:val="00C408ED"/>
    <w:rsid w:val="00C41E81"/>
    <w:rsid w:val="00C420DE"/>
    <w:rsid w:val="00C425E8"/>
    <w:rsid w:val="00C4352B"/>
    <w:rsid w:val="00C45F65"/>
    <w:rsid w:val="00C467FA"/>
    <w:rsid w:val="00C46AC9"/>
    <w:rsid w:val="00C4765E"/>
    <w:rsid w:val="00C518EA"/>
    <w:rsid w:val="00C524FB"/>
    <w:rsid w:val="00C524FD"/>
    <w:rsid w:val="00C5307A"/>
    <w:rsid w:val="00C54226"/>
    <w:rsid w:val="00C54334"/>
    <w:rsid w:val="00C549ED"/>
    <w:rsid w:val="00C553F9"/>
    <w:rsid w:val="00C55D6D"/>
    <w:rsid w:val="00C560A6"/>
    <w:rsid w:val="00C56208"/>
    <w:rsid w:val="00C567F9"/>
    <w:rsid w:val="00C56D7B"/>
    <w:rsid w:val="00C57212"/>
    <w:rsid w:val="00C57E3C"/>
    <w:rsid w:val="00C6004C"/>
    <w:rsid w:val="00C601B2"/>
    <w:rsid w:val="00C602F2"/>
    <w:rsid w:val="00C60395"/>
    <w:rsid w:val="00C60AA2"/>
    <w:rsid w:val="00C60F1B"/>
    <w:rsid w:val="00C60FCE"/>
    <w:rsid w:val="00C61499"/>
    <w:rsid w:val="00C619FB"/>
    <w:rsid w:val="00C6269C"/>
    <w:rsid w:val="00C62BF9"/>
    <w:rsid w:val="00C62CDD"/>
    <w:rsid w:val="00C63182"/>
    <w:rsid w:val="00C64F33"/>
    <w:rsid w:val="00C6504A"/>
    <w:rsid w:val="00C65CFF"/>
    <w:rsid w:val="00C7035E"/>
    <w:rsid w:val="00C706C2"/>
    <w:rsid w:val="00C70969"/>
    <w:rsid w:val="00C70C5B"/>
    <w:rsid w:val="00C714CC"/>
    <w:rsid w:val="00C71BCF"/>
    <w:rsid w:val="00C72DCF"/>
    <w:rsid w:val="00C73848"/>
    <w:rsid w:val="00C74B8B"/>
    <w:rsid w:val="00C75836"/>
    <w:rsid w:val="00C75FE3"/>
    <w:rsid w:val="00C76652"/>
    <w:rsid w:val="00C76F36"/>
    <w:rsid w:val="00C7705A"/>
    <w:rsid w:val="00C77AC3"/>
    <w:rsid w:val="00C77D71"/>
    <w:rsid w:val="00C80106"/>
    <w:rsid w:val="00C801F4"/>
    <w:rsid w:val="00C80865"/>
    <w:rsid w:val="00C81535"/>
    <w:rsid w:val="00C81EA2"/>
    <w:rsid w:val="00C82423"/>
    <w:rsid w:val="00C8315F"/>
    <w:rsid w:val="00C83420"/>
    <w:rsid w:val="00C83603"/>
    <w:rsid w:val="00C8376E"/>
    <w:rsid w:val="00C837E2"/>
    <w:rsid w:val="00C83ACC"/>
    <w:rsid w:val="00C848B7"/>
    <w:rsid w:val="00C8614C"/>
    <w:rsid w:val="00C869BA"/>
    <w:rsid w:val="00C87DC0"/>
    <w:rsid w:val="00C90427"/>
    <w:rsid w:val="00C91B69"/>
    <w:rsid w:val="00C92B15"/>
    <w:rsid w:val="00C92BA8"/>
    <w:rsid w:val="00C92C4C"/>
    <w:rsid w:val="00C93186"/>
    <w:rsid w:val="00C9379D"/>
    <w:rsid w:val="00C939B4"/>
    <w:rsid w:val="00C93D63"/>
    <w:rsid w:val="00C93E26"/>
    <w:rsid w:val="00C9428D"/>
    <w:rsid w:val="00C956BF"/>
    <w:rsid w:val="00C95DB2"/>
    <w:rsid w:val="00C97D40"/>
    <w:rsid w:val="00C97D77"/>
    <w:rsid w:val="00CA00E2"/>
    <w:rsid w:val="00CA0882"/>
    <w:rsid w:val="00CA101B"/>
    <w:rsid w:val="00CA1104"/>
    <w:rsid w:val="00CA1150"/>
    <w:rsid w:val="00CA23C0"/>
    <w:rsid w:val="00CA30B1"/>
    <w:rsid w:val="00CA3AAC"/>
    <w:rsid w:val="00CA4627"/>
    <w:rsid w:val="00CA4C02"/>
    <w:rsid w:val="00CA4F33"/>
    <w:rsid w:val="00CA51D8"/>
    <w:rsid w:val="00CA59EC"/>
    <w:rsid w:val="00CA5B4A"/>
    <w:rsid w:val="00CA5DA7"/>
    <w:rsid w:val="00CA6164"/>
    <w:rsid w:val="00CA6546"/>
    <w:rsid w:val="00CA724C"/>
    <w:rsid w:val="00CB10F5"/>
    <w:rsid w:val="00CB209E"/>
    <w:rsid w:val="00CB4290"/>
    <w:rsid w:val="00CB4C2C"/>
    <w:rsid w:val="00CB4FE0"/>
    <w:rsid w:val="00CB5D22"/>
    <w:rsid w:val="00CB5E64"/>
    <w:rsid w:val="00CB64F0"/>
    <w:rsid w:val="00CB672B"/>
    <w:rsid w:val="00CB6928"/>
    <w:rsid w:val="00CB6B83"/>
    <w:rsid w:val="00CB6E5A"/>
    <w:rsid w:val="00CB7260"/>
    <w:rsid w:val="00CB7393"/>
    <w:rsid w:val="00CC0414"/>
    <w:rsid w:val="00CC07D2"/>
    <w:rsid w:val="00CC09E1"/>
    <w:rsid w:val="00CC1C0C"/>
    <w:rsid w:val="00CC1E55"/>
    <w:rsid w:val="00CC2868"/>
    <w:rsid w:val="00CC343A"/>
    <w:rsid w:val="00CC3B3C"/>
    <w:rsid w:val="00CC3D7D"/>
    <w:rsid w:val="00CC3E50"/>
    <w:rsid w:val="00CC429B"/>
    <w:rsid w:val="00CC5BCF"/>
    <w:rsid w:val="00CC614B"/>
    <w:rsid w:val="00CC66EB"/>
    <w:rsid w:val="00CC6982"/>
    <w:rsid w:val="00CC6D3C"/>
    <w:rsid w:val="00CC7931"/>
    <w:rsid w:val="00CC7D08"/>
    <w:rsid w:val="00CD1431"/>
    <w:rsid w:val="00CD1560"/>
    <w:rsid w:val="00CD19F6"/>
    <w:rsid w:val="00CD2209"/>
    <w:rsid w:val="00CD2975"/>
    <w:rsid w:val="00CD2986"/>
    <w:rsid w:val="00CD2D29"/>
    <w:rsid w:val="00CD4ACB"/>
    <w:rsid w:val="00CD5318"/>
    <w:rsid w:val="00CD5332"/>
    <w:rsid w:val="00CD553B"/>
    <w:rsid w:val="00CD56FC"/>
    <w:rsid w:val="00CD5E30"/>
    <w:rsid w:val="00CD61D2"/>
    <w:rsid w:val="00CD6B2A"/>
    <w:rsid w:val="00CD6BC2"/>
    <w:rsid w:val="00CE0938"/>
    <w:rsid w:val="00CE1742"/>
    <w:rsid w:val="00CE31E4"/>
    <w:rsid w:val="00CE5313"/>
    <w:rsid w:val="00CE76C6"/>
    <w:rsid w:val="00CE777A"/>
    <w:rsid w:val="00CF0226"/>
    <w:rsid w:val="00CF030F"/>
    <w:rsid w:val="00CF0673"/>
    <w:rsid w:val="00CF1F06"/>
    <w:rsid w:val="00CF2169"/>
    <w:rsid w:val="00CF26C1"/>
    <w:rsid w:val="00CF2721"/>
    <w:rsid w:val="00CF47AD"/>
    <w:rsid w:val="00CF622D"/>
    <w:rsid w:val="00CF69E8"/>
    <w:rsid w:val="00CF6EBA"/>
    <w:rsid w:val="00CF721B"/>
    <w:rsid w:val="00D0015A"/>
    <w:rsid w:val="00D005E5"/>
    <w:rsid w:val="00D008F4"/>
    <w:rsid w:val="00D00AC5"/>
    <w:rsid w:val="00D036F9"/>
    <w:rsid w:val="00D0403E"/>
    <w:rsid w:val="00D0597D"/>
    <w:rsid w:val="00D05B24"/>
    <w:rsid w:val="00D06167"/>
    <w:rsid w:val="00D06CC1"/>
    <w:rsid w:val="00D074EC"/>
    <w:rsid w:val="00D078B2"/>
    <w:rsid w:val="00D07A92"/>
    <w:rsid w:val="00D130E2"/>
    <w:rsid w:val="00D13A47"/>
    <w:rsid w:val="00D148B1"/>
    <w:rsid w:val="00D15554"/>
    <w:rsid w:val="00D165D9"/>
    <w:rsid w:val="00D16991"/>
    <w:rsid w:val="00D170A2"/>
    <w:rsid w:val="00D20C18"/>
    <w:rsid w:val="00D20DF9"/>
    <w:rsid w:val="00D20ECC"/>
    <w:rsid w:val="00D234FD"/>
    <w:rsid w:val="00D2388E"/>
    <w:rsid w:val="00D23E8C"/>
    <w:rsid w:val="00D24F3B"/>
    <w:rsid w:val="00D24F57"/>
    <w:rsid w:val="00D25051"/>
    <w:rsid w:val="00D25208"/>
    <w:rsid w:val="00D25946"/>
    <w:rsid w:val="00D25C3C"/>
    <w:rsid w:val="00D25CB7"/>
    <w:rsid w:val="00D25FB5"/>
    <w:rsid w:val="00D271B8"/>
    <w:rsid w:val="00D278F3"/>
    <w:rsid w:val="00D2794C"/>
    <w:rsid w:val="00D27AB3"/>
    <w:rsid w:val="00D30346"/>
    <w:rsid w:val="00D3046D"/>
    <w:rsid w:val="00D30614"/>
    <w:rsid w:val="00D30924"/>
    <w:rsid w:val="00D30BB6"/>
    <w:rsid w:val="00D31753"/>
    <w:rsid w:val="00D319FC"/>
    <w:rsid w:val="00D339A5"/>
    <w:rsid w:val="00D33D8A"/>
    <w:rsid w:val="00D34676"/>
    <w:rsid w:val="00D34D25"/>
    <w:rsid w:val="00D37819"/>
    <w:rsid w:val="00D37D85"/>
    <w:rsid w:val="00D40D9B"/>
    <w:rsid w:val="00D40EAB"/>
    <w:rsid w:val="00D423C7"/>
    <w:rsid w:val="00D42DE6"/>
    <w:rsid w:val="00D440AE"/>
    <w:rsid w:val="00D44528"/>
    <w:rsid w:val="00D44C04"/>
    <w:rsid w:val="00D454B7"/>
    <w:rsid w:val="00D46085"/>
    <w:rsid w:val="00D47557"/>
    <w:rsid w:val="00D478FC"/>
    <w:rsid w:val="00D47909"/>
    <w:rsid w:val="00D5033B"/>
    <w:rsid w:val="00D504E5"/>
    <w:rsid w:val="00D5091B"/>
    <w:rsid w:val="00D51719"/>
    <w:rsid w:val="00D5220F"/>
    <w:rsid w:val="00D53D93"/>
    <w:rsid w:val="00D54458"/>
    <w:rsid w:val="00D54AED"/>
    <w:rsid w:val="00D54E05"/>
    <w:rsid w:val="00D54E6B"/>
    <w:rsid w:val="00D553CB"/>
    <w:rsid w:val="00D554FE"/>
    <w:rsid w:val="00D55CCD"/>
    <w:rsid w:val="00D57B6F"/>
    <w:rsid w:val="00D57D0C"/>
    <w:rsid w:val="00D60548"/>
    <w:rsid w:val="00D60A20"/>
    <w:rsid w:val="00D60B7C"/>
    <w:rsid w:val="00D614FB"/>
    <w:rsid w:val="00D61A0F"/>
    <w:rsid w:val="00D625DA"/>
    <w:rsid w:val="00D62D32"/>
    <w:rsid w:val="00D6378F"/>
    <w:rsid w:val="00D638E1"/>
    <w:rsid w:val="00D63E89"/>
    <w:rsid w:val="00D652B8"/>
    <w:rsid w:val="00D65897"/>
    <w:rsid w:val="00D65EBA"/>
    <w:rsid w:val="00D65F75"/>
    <w:rsid w:val="00D661D3"/>
    <w:rsid w:val="00D66990"/>
    <w:rsid w:val="00D67C5E"/>
    <w:rsid w:val="00D67FA6"/>
    <w:rsid w:val="00D67FF0"/>
    <w:rsid w:val="00D70CCD"/>
    <w:rsid w:val="00D712C9"/>
    <w:rsid w:val="00D71D39"/>
    <w:rsid w:val="00D72278"/>
    <w:rsid w:val="00D72373"/>
    <w:rsid w:val="00D730EB"/>
    <w:rsid w:val="00D73DCA"/>
    <w:rsid w:val="00D74408"/>
    <w:rsid w:val="00D74539"/>
    <w:rsid w:val="00D747BC"/>
    <w:rsid w:val="00D74AA2"/>
    <w:rsid w:val="00D76606"/>
    <w:rsid w:val="00D76E9D"/>
    <w:rsid w:val="00D80AF4"/>
    <w:rsid w:val="00D80B7A"/>
    <w:rsid w:val="00D81AF8"/>
    <w:rsid w:val="00D82022"/>
    <w:rsid w:val="00D823FE"/>
    <w:rsid w:val="00D83588"/>
    <w:rsid w:val="00D83633"/>
    <w:rsid w:val="00D8385C"/>
    <w:rsid w:val="00D85BDB"/>
    <w:rsid w:val="00D866BA"/>
    <w:rsid w:val="00D87017"/>
    <w:rsid w:val="00D871F6"/>
    <w:rsid w:val="00D87672"/>
    <w:rsid w:val="00D90449"/>
    <w:rsid w:val="00D9062C"/>
    <w:rsid w:val="00D90EFA"/>
    <w:rsid w:val="00D9123D"/>
    <w:rsid w:val="00D9143F"/>
    <w:rsid w:val="00D917A7"/>
    <w:rsid w:val="00D92ED7"/>
    <w:rsid w:val="00D92EEE"/>
    <w:rsid w:val="00D93106"/>
    <w:rsid w:val="00D93B47"/>
    <w:rsid w:val="00D93BAC"/>
    <w:rsid w:val="00D950EC"/>
    <w:rsid w:val="00D9562B"/>
    <w:rsid w:val="00D95818"/>
    <w:rsid w:val="00D96673"/>
    <w:rsid w:val="00D966BB"/>
    <w:rsid w:val="00D9676C"/>
    <w:rsid w:val="00D96D9E"/>
    <w:rsid w:val="00D9787F"/>
    <w:rsid w:val="00DA0D3D"/>
    <w:rsid w:val="00DA2ECB"/>
    <w:rsid w:val="00DA3A80"/>
    <w:rsid w:val="00DA3DA2"/>
    <w:rsid w:val="00DA6053"/>
    <w:rsid w:val="00DA6D96"/>
    <w:rsid w:val="00DB1219"/>
    <w:rsid w:val="00DB216E"/>
    <w:rsid w:val="00DB23DA"/>
    <w:rsid w:val="00DB2674"/>
    <w:rsid w:val="00DB2C38"/>
    <w:rsid w:val="00DB3968"/>
    <w:rsid w:val="00DB462D"/>
    <w:rsid w:val="00DB4ECB"/>
    <w:rsid w:val="00DB54BA"/>
    <w:rsid w:val="00DB59B9"/>
    <w:rsid w:val="00DB6C37"/>
    <w:rsid w:val="00DB6C3E"/>
    <w:rsid w:val="00DB769B"/>
    <w:rsid w:val="00DB76A4"/>
    <w:rsid w:val="00DB7A70"/>
    <w:rsid w:val="00DC0460"/>
    <w:rsid w:val="00DC0CEB"/>
    <w:rsid w:val="00DC1427"/>
    <w:rsid w:val="00DC1750"/>
    <w:rsid w:val="00DC277D"/>
    <w:rsid w:val="00DC4206"/>
    <w:rsid w:val="00DC4596"/>
    <w:rsid w:val="00DC4F6A"/>
    <w:rsid w:val="00DC51E2"/>
    <w:rsid w:val="00DC5F40"/>
    <w:rsid w:val="00DC6F7D"/>
    <w:rsid w:val="00DD14E5"/>
    <w:rsid w:val="00DD1CDC"/>
    <w:rsid w:val="00DD2DFA"/>
    <w:rsid w:val="00DD3324"/>
    <w:rsid w:val="00DD3645"/>
    <w:rsid w:val="00DD4496"/>
    <w:rsid w:val="00DD45D1"/>
    <w:rsid w:val="00DD492B"/>
    <w:rsid w:val="00DD5279"/>
    <w:rsid w:val="00DD5517"/>
    <w:rsid w:val="00DD569C"/>
    <w:rsid w:val="00DD6222"/>
    <w:rsid w:val="00DD660B"/>
    <w:rsid w:val="00DD6AC4"/>
    <w:rsid w:val="00DE0DA7"/>
    <w:rsid w:val="00DE1FBA"/>
    <w:rsid w:val="00DE2166"/>
    <w:rsid w:val="00DE351D"/>
    <w:rsid w:val="00DE406A"/>
    <w:rsid w:val="00DE4426"/>
    <w:rsid w:val="00DE461D"/>
    <w:rsid w:val="00DE4C78"/>
    <w:rsid w:val="00DE533C"/>
    <w:rsid w:val="00DE65A2"/>
    <w:rsid w:val="00DE68F6"/>
    <w:rsid w:val="00DE6907"/>
    <w:rsid w:val="00DE696B"/>
    <w:rsid w:val="00DE71BE"/>
    <w:rsid w:val="00DF0059"/>
    <w:rsid w:val="00DF0D96"/>
    <w:rsid w:val="00DF103D"/>
    <w:rsid w:val="00DF2526"/>
    <w:rsid w:val="00DF2813"/>
    <w:rsid w:val="00DF32E5"/>
    <w:rsid w:val="00DF339B"/>
    <w:rsid w:val="00DF358F"/>
    <w:rsid w:val="00DF3F26"/>
    <w:rsid w:val="00DF4480"/>
    <w:rsid w:val="00DF5342"/>
    <w:rsid w:val="00DF6183"/>
    <w:rsid w:val="00DF6459"/>
    <w:rsid w:val="00DF68F9"/>
    <w:rsid w:val="00DF773F"/>
    <w:rsid w:val="00DF77B1"/>
    <w:rsid w:val="00DF7892"/>
    <w:rsid w:val="00DF7E71"/>
    <w:rsid w:val="00E00464"/>
    <w:rsid w:val="00E0097E"/>
    <w:rsid w:val="00E00C07"/>
    <w:rsid w:val="00E00C1E"/>
    <w:rsid w:val="00E010EB"/>
    <w:rsid w:val="00E01A0A"/>
    <w:rsid w:val="00E01A15"/>
    <w:rsid w:val="00E02800"/>
    <w:rsid w:val="00E02D54"/>
    <w:rsid w:val="00E02F60"/>
    <w:rsid w:val="00E03825"/>
    <w:rsid w:val="00E03B6D"/>
    <w:rsid w:val="00E04722"/>
    <w:rsid w:val="00E04AB3"/>
    <w:rsid w:val="00E053AC"/>
    <w:rsid w:val="00E0649C"/>
    <w:rsid w:val="00E0724E"/>
    <w:rsid w:val="00E0779F"/>
    <w:rsid w:val="00E10A36"/>
    <w:rsid w:val="00E12249"/>
    <w:rsid w:val="00E13442"/>
    <w:rsid w:val="00E1365A"/>
    <w:rsid w:val="00E13D99"/>
    <w:rsid w:val="00E1405B"/>
    <w:rsid w:val="00E145EC"/>
    <w:rsid w:val="00E14799"/>
    <w:rsid w:val="00E14E75"/>
    <w:rsid w:val="00E15171"/>
    <w:rsid w:val="00E1725C"/>
    <w:rsid w:val="00E172F2"/>
    <w:rsid w:val="00E17384"/>
    <w:rsid w:val="00E17D59"/>
    <w:rsid w:val="00E20267"/>
    <w:rsid w:val="00E21091"/>
    <w:rsid w:val="00E2170E"/>
    <w:rsid w:val="00E21A46"/>
    <w:rsid w:val="00E225F6"/>
    <w:rsid w:val="00E22C06"/>
    <w:rsid w:val="00E23BC6"/>
    <w:rsid w:val="00E24509"/>
    <w:rsid w:val="00E24F42"/>
    <w:rsid w:val="00E265ED"/>
    <w:rsid w:val="00E26B16"/>
    <w:rsid w:val="00E272E9"/>
    <w:rsid w:val="00E2766C"/>
    <w:rsid w:val="00E27EE1"/>
    <w:rsid w:val="00E30F5A"/>
    <w:rsid w:val="00E317F0"/>
    <w:rsid w:val="00E318AD"/>
    <w:rsid w:val="00E3197B"/>
    <w:rsid w:val="00E31A66"/>
    <w:rsid w:val="00E32609"/>
    <w:rsid w:val="00E335D9"/>
    <w:rsid w:val="00E33F8C"/>
    <w:rsid w:val="00E3460B"/>
    <w:rsid w:val="00E3501B"/>
    <w:rsid w:val="00E3581C"/>
    <w:rsid w:val="00E37960"/>
    <w:rsid w:val="00E400EB"/>
    <w:rsid w:val="00E40300"/>
    <w:rsid w:val="00E403A8"/>
    <w:rsid w:val="00E40447"/>
    <w:rsid w:val="00E404EB"/>
    <w:rsid w:val="00E41465"/>
    <w:rsid w:val="00E42672"/>
    <w:rsid w:val="00E43ED6"/>
    <w:rsid w:val="00E443F1"/>
    <w:rsid w:val="00E44E1C"/>
    <w:rsid w:val="00E454AC"/>
    <w:rsid w:val="00E45701"/>
    <w:rsid w:val="00E46041"/>
    <w:rsid w:val="00E4629F"/>
    <w:rsid w:val="00E463A5"/>
    <w:rsid w:val="00E467E3"/>
    <w:rsid w:val="00E46CC0"/>
    <w:rsid w:val="00E47616"/>
    <w:rsid w:val="00E47A7C"/>
    <w:rsid w:val="00E50401"/>
    <w:rsid w:val="00E507E7"/>
    <w:rsid w:val="00E51316"/>
    <w:rsid w:val="00E51C06"/>
    <w:rsid w:val="00E521E2"/>
    <w:rsid w:val="00E5230A"/>
    <w:rsid w:val="00E523A9"/>
    <w:rsid w:val="00E52656"/>
    <w:rsid w:val="00E5355F"/>
    <w:rsid w:val="00E54B96"/>
    <w:rsid w:val="00E54D27"/>
    <w:rsid w:val="00E551C8"/>
    <w:rsid w:val="00E5605F"/>
    <w:rsid w:val="00E56D99"/>
    <w:rsid w:val="00E57E5F"/>
    <w:rsid w:val="00E60020"/>
    <w:rsid w:val="00E61264"/>
    <w:rsid w:val="00E6159A"/>
    <w:rsid w:val="00E61F14"/>
    <w:rsid w:val="00E62FB2"/>
    <w:rsid w:val="00E63309"/>
    <w:rsid w:val="00E6462B"/>
    <w:rsid w:val="00E64D6F"/>
    <w:rsid w:val="00E65368"/>
    <w:rsid w:val="00E6585F"/>
    <w:rsid w:val="00E65B5D"/>
    <w:rsid w:val="00E6600C"/>
    <w:rsid w:val="00E6628F"/>
    <w:rsid w:val="00E67537"/>
    <w:rsid w:val="00E71078"/>
    <w:rsid w:val="00E71364"/>
    <w:rsid w:val="00E71424"/>
    <w:rsid w:val="00E718B9"/>
    <w:rsid w:val="00E719E4"/>
    <w:rsid w:val="00E723C4"/>
    <w:rsid w:val="00E726F6"/>
    <w:rsid w:val="00E739DF"/>
    <w:rsid w:val="00E743D6"/>
    <w:rsid w:val="00E7463B"/>
    <w:rsid w:val="00E74E0D"/>
    <w:rsid w:val="00E750F8"/>
    <w:rsid w:val="00E755DE"/>
    <w:rsid w:val="00E75FBA"/>
    <w:rsid w:val="00E77103"/>
    <w:rsid w:val="00E7713C"/>
    <w:rsid w:val="00E776FB"/>
    <w:rsid w:val="00E777E0"/>
    <w:rsid w:val="00E8049A"/>
    <w:rsid w:val="00E81167"/>
    <w:rsid w:val="00E817A3"/>
    <w:rsid w:val="00E823DD"/>
    <w:rsid w:val="00E82418"/>
    <w:rsid w:val="00E83906"/>
    <w:rsid w:val="00E839F5"/>
    <w:rsid w:val="00E84203"/>
    <w:rsid w:val="00E84F69"/>
    <w:rsid w:val="00E85216"/>
    <w:rsid w:val="00E85539"/>
    <w:rsid w:val="00E85B7A"/>
    <w:rsid w:val="00E86ECB"/>
    <w:rsid w:val="00E8777C"/>
    <w:rsid w:val="00E90C6D"/>
    <w:rsid w:val="00E92192"/>
    <w:rsid w:val="00E922F1"/>
    <w:rsid w:val="00E93507"/>
    <w:rsid w:val="00E947AF"/>
    <w:rsid w:val="00E94BC9"/>
    <w:rsid w:val="00E95C67"/>
    <w:rsid w:val="00E95FA2"/>
    <w:rsid w:val="00E96D22"/>
    <w:rsid w:val="00E973A6"/>
    <w:rsid w:val="00E973C3"/>
    <w:rsid w:val="00E97DA7"/>
    <w:rsid w:val="00EA0568"/>
    <w:rsid w:val="00EA08E4"/>
    <w:rsid w:val="00EA0BFD"/>
    <w:rsid w:val="00EA104E"/>
    <w:rsid w:val="00EA17AF"/>
    <w:rsid w:val="00EA1970"/>
    <w:rsid w:val="00EA1BE0"/>
    <w:rsid w:val="00EA249A"/>
    <w:rsid w:val="00EA250D"/>
    <w:rsid w:val="00EA2604"/>
    <w:rsid w:val="00EA2873"/>
    <w:rsid w:val="00EA2F20"/>
    <w:rsid w:val="00EA33EF"/>
    <w:rsid w:val="00EA361C"/>
    <w:rsid w:val="00EA48F3"/>
    <w:rsid w:val="00EA64DC"/>
    <w:rsid w:val="00EA6D25"/>
    <w:rsid w:val="00EA706B"/>
    <w:rsid w:val="00EA78FE"/>
    <w:rsid w:val="00EB1A15"/>
    <w:rsid w:val="00EB40A7"/>
    <w:rsid w:val="00EB4853"/>
    <w:rsid w:val="00EB5019"/>
    <w:rsid w:val="00EB5522"/>
    <w:rsid w:val="00EB702C"/>
    <w:rsid w:val="00EB7A2B"/>
    <w:rsid w:val="00EC09FA"/>
    <w:rsid w:val="00EC0D00"/>
    <w:rsid w:val="00EC267F"/>
    <w:rsid w:val="00EC3B51"/>
    <w:rsid w:val="00EC49A1"/>
    <w:rsid w:val="00EC4D29"/>
    <w:rsid w:val="00EC562C"/>
    <w:rsid w:val="00EC5B6B"/>
    <w:rsid w:val="00EC6521"/>
    <w:rsid w:val="00EC66BD"/>
    <w:rsid w:val="00EC69AA"/>
    <w:rsid w:val="00EC72F0"/>
    <w:rsid w:val="00EC7933"/>
    <w:rsid w:val="00ED0409"/>
    <w:rsid w:val="00ED1ADA"/>
    <w:rsid w:val="00ED1F89"/>
    <w:rsid w:val="00ED25DC"/>
    <w:rsid w:val="00ED2D3E"/>
    <w:rsid w:val="00ED67E7"/>
    <w:rsid w:val="00ED6985"/>
    <w:rsid w:val="00ED6D11"/>
    <w:rsid w:val="00ED6D3F"/>
    <w:rsid w:val="00ED76DC"/>
    <w:rsid w:val="00ED7B98"/>
    <w:rsid w:val="00EE0028"/>
    <w:rsid w:val="00EE009E"/>
    <w:rsid w:val="00EE0102"/>
    <w:rsid w:val="00EE0B7C"/>
    <w:rsid w:val="00EE1657"/>
    <w:rsid w:val="00EE1897"/>
    <w:rsid w:val="00EE1FE7"/>
    <w:rsid w:val="00EE2227"/>
    <w:rsid w:val="00EE2E5D"/>
    <w:rsid w:val="00EE354C"/>
    <w:rsid w:val="00EE36ED"/>
    <w:rsid w:val="00EE44D8"/>
    <w:rsid w:val="00EE4581"/>
    <w:rsid w:val="00EE4AF0"/>
    <w:rsid w:val="00EE530C"/>
    <w:rsid w:val="00EE5601"/>
    <w:rsid w:val="00EE5A56"/>
    <w:rsid w:val="00EE5E0E"/>
    <w:rsid w:val="00EE661B"/>
    <w:rsid w:val="00EE6DE4"/>
    <w:rsid w:val="00EE6F39"/>
    <w:rsid w:val="00EF0783"/>
    <w:rsid w:val="00EF09ED"/>
    <w:rsid w:val="00EF15FA"/>
    <w:rsid w:val="00EF1ABC"/>
    <w:rsid w:val="00EF329E"/>
    <w:rsid w:val="00EF3C22"/>
    <w:rsid w:val="00EF3DD9"/>
    <w:rsid w:val="00EF3E5E"/>
    <w:rsid w:val="00EF46E2"/>
    <w:rsid w:val="00EF5552"/>
    <w:rsid w:val="00EF5993"/>
    <w:rsid w:val="00EF662A"/>
    <w:rsid w:val="00EF6FD6"/>
    <w:rsid w:val="00F01702"/>
    <w:rsid w:val="00F01847"/>
    <w:rsid w:val="00F0337B"/>
    <w:rsid w:val="00F03A11"/>
    <w:rsid w:val="00F044F9"/>
    <w:rsid w:val="00F05395"/>
    <w:rsid w:val="00F05B35"/>
    <w:rsid w:val="00F070ED"/>
    <w:rsid w:val="00F073F0"/>
    <w:rsid w:val="00F07C32"/>
    <w:rsid w:val="00F101A8"/>
    <w:rsid w:val="00F1042B"/>
    <w:rsid w:val="00F124D0"/>
    <w:rsid w:val="00F128EE"/>
    <w:rsid w:val="00F1307E"/>
    <w:rsid w:val="00F134DB"/>
    <w:rsid w:val="00F14FCE"/>
    <w:rsid w:val="00F179A4"/>
    <w:rsid w:val="00F200F6"/>
    <w:rsid w:val="00F20D90"/>
    <w:rsid w:val="00F211FC"/>
    <w:rsid w:val="00F2168E"/>
    <w:rsid w:val="00F23356"/>
    <w:rsid w:val="00F23BB2"/>
    <w:rsid w:val="00F24171"/>
    <w:rsid w:val="00F25B88"/>
    <w:rsid w:val="00F27198"/>
    <w:rsid w:val="00F30B54"/>
    <w:rsid w:val="00F30F99"/>
    <w:rsid w:val="00F319B4"/>
    <w:rsid w:val="00F32302"/>
    <w:rsid w:val="00F333FC"/>
    <w:rsid w:val="00F3492A"/>
    <w:rsid w:val="00F34BAA"/>
    <w:rsid w:val="00F34D21"/>
    <w:rsid w:val="00F35D50"/>
    <w:rsid w:val="00F3636F"/>
    <w:rsid w:val="00F36371"/>
    <w:rsid w:val="00F37D48"/>
    <w:rsid w:val="00F401BA"/>
    <w:rsid w:val="00F403B5"/>
    <w:rsid w:val="00F435C2"/>
    <w:rsid w:val="00F4480B"/>
    <w:rsid w:val="00F45419"/>
    <w:rsid w:val="00F45D3E"/>
    <w:rsid w:val="00F46132"/>
    <w:rsid w:val="00F473EC"/>
    <w:rsid w:val="00F506F7"/>
    <w:rsid w:val="00F513C6"/>
    <w:rsid w:val="00F5153F"/>
    <w:rsid w:val="00F515C3"/>
    <w:rsid w:val="00F51659"/>
    <w:rsid w:val="00F525EA"/>
    <w:rsid w:val="00F530CA"/>
    <w:rsid w:val="00F53FFA"/>
    <w:rsid w:val="00F55511"/>
    <w:rsid w:val="00F55F8F"/>
    <w:rsid w:val="00F56E1A"/>
    <w:rsid w:val="00F60D1A"/>
    <w:rsid w:val="00F61D43"/>
    <w:rsid w:val="00F61FAE"/>
    <w:rsid w:val="00F62F19"/>
    <w:rsid w:val="00F64445"/>
    <w:rsid w:val="00F65178"/>
    <w:rsid w:val="00F653A2"/>
    <w:rsid w:val="00F6558F"/>
    <w:rsid w:val="00F66A86"/>
    <w:rsid w:val="00F67163"/>
    <w:rsid w:val="00F672D9"/>
    <w:rsid w:val="00F67971"/>
    <w:rsid w:val="00F67C11"/>
    <w:rsid w:val="00F70761"/>
    <w:rsid w:val="00F709DC"/>
    <w:rsid w:val="00F70BAE"/>
    <w:rsid w:val="00F70FF3"/>
    <w:rsid w:val="00F717F0"/>
    <w:rsid w:val="00F71D15"/>
    <w:rsid w:val="00F71F60"/>
    <w:rsid w:val="00F726AF"/>
    <w:rsid w:val="00F73018"/>
    <w:rsid w:val="00F7306C"/>
    <w:rsid w:val="00F751AF"/>
    <w:rsid w:val="00F7611D"/>
    <w:rsid w:val="00F76F36"/>
    <w:rsid w:val="00F772CB"/>
    <w:rsid w:val="00F81D7F"/>
    <w:rsid w:val="00F820CE"/>
    <w:rsid w:val="00F82863"/>
    <w:rsid w:val="00F82998"/>
    <w:rsid w:val="00F82BBE"/>
    <w:rsid w:val="00F82C01"/>
    <w:rsid w:val="00F831BD"/>
    <w:rsid w:val="00F83815"/>
    <w:rsid w:val="00F838D7"/>
    <w:rsid w:val="00F83DA3"/>
    <w:rsid w:val="00F840F4"/>
    <w:rsid w:val="00F84D5A"/>
    <w:rsid w:val="00F85FAB"/>
    <w:rsid w:val="00F86615"/>
    <w:rsid w:val="00F86B4D"/>
    <w:rsid w:val="00F86B5F"/>
    <w:rsid w:val="00F86D7A"/>
    <w:rsid w:val="00F87801"/>
    <w:rsid w:val="00F905B6"/>
    <w:rsid w:val="00F90D39"/>
    <w:rsid w:val="00F90E1E"/>
    <w:rsid w:val="00F90FAB"/>
    <w:rsid w:val="00F910AD"/>
    <w:rsid w:val="00F9144A"/>
    <w:rsid w:val="00F91A60"/>
    <w:rsid w:val="00F931B5"/>
    <w:rsid w:val="00F934D1"/>
    <w:rsid w:val="00F93648"/>
    <w:rsid w:val="00F9443E"/>
    <w:rsid w:val="00F949BA"/>
    <w:rsid w:val="00F94AF0"/>
    <w:rsid w:val="00F94D65"/>
    <w:rsid w:val="00F9764F"/>
    <w:rsid w:val="00F97BE7"/>
    <w:rsid w:val="00FA0E6E"/>
    <w:rsid w:val="00FA11DB"/>
    <w:rsid w:val="00FA1304"/>
    <w:rsid w:val="00FA1C1F"/>
    <w:rsid w:val="00FA1F4F"/>
    <w:rsid w:val="00FA21A7"/>
    <w:rsid w:val="00FA21BA"/>
    <w:rsid w:val="00FA26C9"/>
    <w:rsid w:val="00FA2DB0"/>
    <w:rsid w:val="00FA3473"/>
    <w:rsid w:val="00FA4028"/>
    <w:rsid w:val="00FA446A"/>
    <w:rsid w:val="00FA5336"/>
    <w:rsid w:val="00FA584E"/>
    <w:rsid w:val="00FA6004"/>
    <w:rsid w:val="00FA6C46"/>
    <w:rsid w:val="00FA6E4D"/>
    <w:rsid w:val="00FA7036"/>
    <w:rsid w:val="00FA7146"/>
    <w:rsid w:val="00FA77F6"/>
    <w:rsid w:val="00FB0059"/>
    <w:rsid w:val="00FB07B3"/>
    <w:rsid w:val="00FB0A05"/>
    <w:rsid w:val="00FB146F"/>
    <w:rsid w:val="00FB17D6"/>
    <w:rsid w:val="00FB1885"/>
    <w:rsid w:val="00FB1C84"/>
    <w:rsid w:val="00FB1FA0"/>
    <w:rsid w:val="00FB24BE"/>
    <w:rsid w:val="00FB280D"/>
    <w:rsid w:val="00FB4430"/>
    <w:rsid w:val="00FB6EA6"/>
    <w:rsid w:val="00FB7B82"/>
    <w:rsid w:val="00FB7C24"/>
    <w:rsid w:val="00FC009A"/>
    <w:rsid w:val="00FC00F6"/>
    <w:rsid w:val="00FC03F2"/>
    <w:rsid w:val="00FC08EE"/>
    <w:rsid w:val="00FC0AD4"/>
    <w:rsid w:val="00FC122B"/>
    <w:rsid w:val="00FC2F54"/>
    <w:rsid w:val="00FC31BD"/>
    <w:rsid w:val="00FC3E04"/>
    <w:rsid w:val="00FC5974"/>
    <w:rsid w:val="00FC5C85"/>
    <w:rsid w:val="00FC67FC"/>
    <w:rsid w:val="00FC70FB"/>
    <w:rsid w:val="00FC79D7"/>
    <w:rsid w:val="00FC7EED"/>
    <w:rsid w:val="00FD08AD"/>
    <w:rsid w:val="00FD0B2D"/>
    <w:rsid w:val="00FD0B87"/>
    <w:rsid w:val="00FD10A0"/>
    <w:rsid w:val="00FD14B1"/>
    <w:rsid w:val="00FD33A5"/>
    <w:rsid w:val="00FD3460"/>
    <w:rsid w:val="00FD430F"/>
    <w:rsid w:val="00FD4C48"/>
    <w:rsid w:val="00FD6484"/>
    <w:rsid w:val="00FD66BD"/>
    <w:rsid w:val="00FD6F65"/>
    <w:rsid w:val="00FD7364"/>
    <w:rsid w:val="00FD7957"/>
    <w:rsid w:val="00FE01E6"/>
    <w:rsid w:val="00FE16F5"/>
    <w:rsid w:val="00FE1E04"/>
    <w:rsid w:val="00FE1EF2"/>
    <w:rsid w:val="00FE219A"/>
    <w:rsid w:val="00FE2902"/>
    <w:rsid w:val="00FE3744"/>
    <w:rsid w:val="00FE380A"/>
    <w:rsid w:val="00FE39D3"/>
    <w:rsid w:val="00FE5169"/>
    <w:rsid w:val="00FE5848"/>
    <w:rsid w:val="00FE5C18"/>
    <w:rsid w:val="00FE7790"/>
    <w:rsid w:val="00FE7AA3"/>
    <w:rsid w:val="00FF008C"/>
    <w:rsid w:val="00FF026F"/>
    <w:rsid w:val="00FF08BC"/>
    <w:rsid w:val="00FF0CA3"/>
    <w:rsid w:val="00FF1A38"/>
    <w:rsid w:val="00FF1AB9"/>
    <w:rsid w:val="00FF301B"/>
    <w:rsid w:val="00FF3119"/>
    <w:rsid w:val="00FF32DC"/>
    <w:rsid w:val="00FF3D1E"/>
    <w:rsid w:val="00FF3E0A"/>
    <w:rsid w:val="00FF55F7"/>
    <w:rsid w:val="00FF63DD"/>
    <w:rsid w:val="00FF7A00"/>
    <w:rsid w:val="00FF7DDA"/>
    <w:rsid w:val="0121F9F3"/>
    <w:rsid w:val="019093D6"/>
    <w:rsid w:val="01C82996"/>
    <w:rsid w:val="01C90BC5"/>
    <w:rsid w:val="01CAA428"/>
    <w:rsid w:val="020FB138"/>
    <w:rsid w:val="02B96D80"/>
    <w:rsid w:val="02D62B9B"/>
    <w:rsid w:val="02F9E713"/>
    <w:rsid w:val="0318AC56"/>
    <w:rsid w:val="03A542ED"/>
    <w:rsid w:val="042ABED0"/>
    <w:rsid w:val="043A54FD"/>
    <w:rsid w:val="0472AF0A"/>
    <w:rsid w:val="04C615C6"/>
    <w:rsid w:val="0555B59F"/>
    <w:rsid w:val="0557A6DD"/>
    <w:rsid w:val="05E6CE57"/>
    <w:rsid w:val="05E9CF28"/>
    <w:rsid w:val="05FF21EB"/>
    <w:rsid w:val="0728E4A7"/>
    <w:rsid w:val="075863D5"/>
    <w:rsid w:val="076F5659"/>
    <w:rsid w:val="079AE2E9"/>
    <w:rsid w:val="079EE5D9"/>
    <w:rsid w:val="07D09B0F"/>
    <w:rsid w:val="07D2786B"/>
    <w:rsid w:val="083FD46F"/>
    <w:rsid w:val="0883494A"/>
    <w:rsid w:val="08AE29E7"/>
    <w:rsid w:val="08E32174"/>
    <w:rsid w:val="08EB33F7"/>
    <w:rsid w:val="09324551"/>
    <w:rsid w:val="096DFF07"/>
    <w:rsid w:val="09A92FB4"/>
    <w:rsid w:val="0A05D1A6"/>
    <w:rsid w:val="0A17455D"/>
    <w:rsid w:val="0A3176D5"/>
    <w:rsid w:val="0B25AEB9"/>
    <w:rsid w:val="0B8EC0FB"/>
    <w:rsid w:val="0BBE8F2F"/>
    <w:rsid w:val="0BE493BB"/>
    <w:rsid w:val="0CA6F5F7"/>
    <w:rsid w:val="0CD52988"/>
    <w:rsid w:val="0D57DCC0"/>
    <w:rsid w:val="0D5D7893"/>
    <w:rsid w:val="0D902E0C"/>
    <w:rsid w:val="0E2A2A77"/>
    <w:rsid w:val="0E58771E"/>
    <w:rsid w:val="0EF87630"/>
    <w:rsid w:val="0F266187"/>
    <w:rsid w:val="0F3C86B5"/>
    <w:rsid w:val="0F6D7177"/>
    <w:rsid w:val="0F731CFA"/>
    <w:rsid w:val="0F946B2E"/>
    <w:rsid w:val="0FB057C7"/>
    <w:rsid w:val="0FED8AD6"/>
    <w:rsid w:val="103EA7C8"/>
    <w:rsid w:val="1061346A"/>
    <w:rsid w:val="10DD0B1A"/>
    <w:rsid w:val="10EDF071"/>
    <w:rsid w:val="11060B2C"/>
    <w:rsid w:val="11303B8F"/>
    <w:rsid w:val="118D891C"/>
    <w:rsid w:val="11ACD960"/>
    <w:rsid w:val="1248ADF4"/>
    <w:rsid w:val="1270AB67"/>
    <w:rsid w:val="12C27CD3"/>
    <w:rsid w:val="138ED96F"/>
    <w:rsid w:val="13B9D99B"/>
    <w:rsid w:val="1442DAD8"/>
    <w:rsid w:val="1452A639"/>
    <w:rsid w:val="15F657BF"/>
    <w:rsid w:val="169EC0F3"/>
    <w:rsid w:val="16FA1971"/>
    <w:rsid w:val="17092BC9"/>
    <w:rsid w:val="171EE4AF"/>
    <w:rsid w:val="17ACC5A7"/>
    <w:rsid w:val="17FD743D"/>
    <w:rsid w:val="18369C91"/>
    <w:rsid w:val="183CAD84"/>
    <w:rsid w:val="185C5A2E"/>
    <w:rsid w:val="1893DE4A"/>
    <w:rsid w:val="18CFD8EC"/>
    <w:rsid w:val="19417F2A"/>
    <w:rsid w:val="19600942"/>
    <w:rsid w:val="19796375"/>
    <w:rsid w:val="198A8A92"/>
    <w:rsid w:val="19E3CA21"/>
    <w:rsid w:val="19EDBB5D"/>
    <w:rsid w:val="19FF549E"/>
    <w:rsid w:val="1A5DC8BE"/>
    <w:rsid w:val="1A805F2F"/>
    <w:rsid w:val="1AA0B561"/>
    <w:rsid w:val="1AAFF248"/>
    <w:rsid w:val="1AFCD757"/>
    <w:rsid w:val="1B0CEA32"/>
    <w:rsid w:val="1B1AE5D4"/>
    <w:rsid w:val="1BD55B92"/>
    <w:rsid w:val="1BD6B1A2"/>
    <w:rsid w:val="1C4FE697"/>
    <w:rsid w:val="1C523B00"/>
    <w:rsid w:val="1D15543E"/>
    <w:rsid w:val="1D1D0E9C"/>
    <w:rsid w:val="1D48D2ED"/>
    <w:rsid w:val="1D6378C9"/>
    <w:rsid w:val="1D80FAE8"/>
    <w:rsid w:val="1DBBFD5A"/>
    <w:rsid w:val="1DCE6AAD"/>
    <w:rsid w:val="1F72072B"/>
    <w:rsid w:val="1F7B440F"/>
    <w:rsid w:val="1F83636B"/>
    <w:rsid w:val="1FE1EB1A"/>
    <w:rsid w:val="200BD4CE"/>
    <w:rsid w:val="20F7574B"/>
    <w:rsid w:val="212E548C"/>
    <w:rsid w:val="2148D74F"/>
    <w:rsid w:val="2185D7B5"/>
    <w:rsid w:val="21954349"/>
    <w:rsid w:val="21A622AD"/>
    <w:rsid w:val="21AAE9F2"/>
    <w:rsid w:val="21AF099B"/>
    <w:rsid w:val="21C9159B"/>
    <w:rsid w:val="21C917C1"/>
    <w:rsid w:val="2206F6FF"/>
    <w:rsid w:val="225BC184"/>
    <w:rsid w:val="23577113"/>
    <w:rsid w:val="23741F8A"/>
    <w:rsid w:val="23F256E5"/>
    <w:rsid w:val="241298D5"/>
    <w:rsid w:val="2510F766"/>
    <w:rsid w:val="265E1810"/>
    <w:rsid w:val="26A3E4B0"/>
    <w:rsid w:val="26D795E4"/>
    <w:rsid w:val="26EDBA9B"/>
    <w:rsid w:val="273F4FD3"/>
    <w:rsid w:val="279501AF"/>
    <w:rsid w:val="27B914F2"/>
    <w:rsid w:val="28397C48"/>
    <w:rsid w:val="2839BE91"/>
    <w:rsid w:val="28AF53CD"/>
    <w:rsid w:val="28B8CED8"/>
    <w:rsid w:val="295813EE"/>
    <w:rsid w:val="29721AD2"/>
    <w:rsid w:val="29ACF0AA"/>
    <w:rsid w:val="29BCB841"/>
    <w:rsid w:val="29C59D5B"/>
    <w:rsid w:val="29D4B199"/>
    <w:rsid w:val="2A0CCA03"/>
    <w:rsid w:val="2A0DFD57"/>
    <w:rsid w:val="2A4029F5"/>
    <w:rsid w:val="2A79A36C"/>
    <w:rsid w:val="2ADEEAF8"/>
    <w:rsid w:val="2B09FA0A"/>
    <w:rsid w:val="2B2CB9FB"/>
    <w:rsid w:val="2B40DDC0"/>
    <w:rsid w:val="2B9154B9"/>
    <w:rsid w:val="2B98FE0F"/>
    <w:rsid w:val="2B9BE5C6"/>
    <w:rsid w:val="2B9DABD2"/>
    <w:rsid w:val="2BA68E01"/>
    <w:rsid w:val="2C16258D"/>
    <w:rsid w:val="2C617F2C"/>
    <w:rsid w:val="2CC88A5C"/>
    <w:rsid w:val="2CF099AE"/>
    <w:rsid w:val="2DAB4FE1"/>
    <w:rsid w:val="2E2DC073"/>
    <w:rsid w:val="2E7C04B3"/>
    <w:rsid w:val="2EC09B18"/>
    <w:rsid w:val="2EC4249D"/>
    <w:rsid w:val="2EC8EFFC"/>
    <w:rsid w:val="2F8B0241"/>
    <w:rsid w:val="306C3445"/>
    <w:rsid w:val="308DF865"/>
    <w:rsid w:val="31BAEF56"/>
    <w:rsid w:val="31D7E5A8"/>
    <w:rsid w:val="320FF22C"/>
    <w:rsid w:val="32EA8CC2"/>
    <w:rsid w:val="335EE6CC"/>
    <w:rsid w:val="34134625"/>
    <w:rsid w:val="343728FE"/>
    <w:rsid w:val="3444F8B6"/>
    <w:rsid w:val="3465E565"/>
    <w:rsid w:val="34D07513"/>
    <w:rsid w:val="35A0B409"/>
    <w:rsid w:val="35A8906C"/>
    <w:rsid w:val="35F8BBD7"/>
    <w:rsid w:val="3627EE52"/>
    <w:rsid w:val="364A5ECB"/>
    <w:rsid w:val="369F9B50"/>
    <w:rsid w:val="36BB2227"/>
    <w:rsid w:val="37562F4D"/>
    <w:rsid w:val="37A47083"/>
    <w:rsid w:val="37DF2B56"/>
    <w:rsid w:val="37DF459E"/>
    <w:rsid w:val="37E6EE74"/>
    <w:rsid w:val="37E84BC3"/>
    <w:rsid w:val="384D2453"/>
    <w:rsid w:val="3870475B"/>
    <w:rsid w:val="38A17EDC"/>
    <w:rsid w:val="38DC7574"/>
    <w:rsid w:val="398CCD3D"/>
    <w:rsid w:val="3A23236D"/>
    <w:rsid w:val="3A30A550"/>
    <w:rsid w:val="3A4E9986"/>
    <w:rsid w:val="3A8D46FE"/>
    <w:rsid w:val="3AB29495"/>
    <w:rsid w:val="3AD526E9"/>
    <w:rsid w:val="3AFF80FC"/>
    <w:rsid w:val="3B42CC33"/>
    <w:rsid w:val="3B523865"/>
    <w:rsid w:val="3B6E49A6"/>
    <w:rsid w:val="3B7BE7ED"/>
    <w:rsid w:val="3B94909A"/>
    <w:rsid w:val="3C2A026B"/>
    <w:rsid w:val="3C64F072"/>
    <w:rsid w:val="3CCA56B9"/>
    <w:rsid w:val="3D31D494"/>
    <w:rsid w:val="3E546AF6"/>
    <w:rsid w:val="3E66271A"/>
    <w:rsid w:val="3EA28DD9"/>
    <w:rsid w:val="3EA6AC09"/>
    <w:rsid w:val="3EC9BE14"/>
    <w:rsid w:val="3EE4005E"/>
    <w:rsid w:val="3F0E29F0"/>
    <w:rsid w:val="3F294EAB"/>
    <w:rsid w:val="3F2FC2F5"/>
    <w:rsid w:val="3F337912"/>
    <w:rsid w:val="3F447B7D"/>
    <w:rsid w:val="3F4B9766"/>
    <w:rsid w:val="3F58CACD"/>
    <w:rsid w:val="3FF03B57"/>
    <w:rsid w:val="405304B5"/>
    <w:rsid w:val="40B1F26F"/>
    <w:rsid w:val="4106163E"/>
    <w:rsid w:val="4106AAE6"/>
    <w:rsid w:val="419762BB"/>
    <w:rsid w:val="41AFCB67"/>
    <w:rsid w:val="41C166F7"/>
    <w:rsid w:val="41CD5E9A"/>
    <w:rsid w:val="41E749B0"/>
    <w:rsid w:val="420B1138"/>
    <w:rsid w:val="4218C1A6"/>
    <w:rsid w:val="4303E7DC"/>
    <w:rsid w:val="43B0DD56"/>
    <w:rsid w:val="4461D5FE"/>
    <w:rsid w:val="44746029"/>
    <w:rsid w:val="44B19710"/>
    <w:rsid w:val="4511CF5D"/>
    <w:rsid w:val="45137855"/>
    <w:rsid w:val="452C169B"/>
    <w:rsid w:val="45353B01"/>
    <w:rsid w:val="4555C932"/>
    <w:rsid w:val="458D2CFC"/>
    <w:rsid w:val="460C7F12"/>
    <w:rsid w:val="464EA095"/>
    <w:rsid w:val="466E0220"/>
    <w:rsid w:val="4672D985"/>
    <w:rsid w:val="4684DEF7"/>
    <w:rsid w:val="46B81D94"/>
    <w:rsid w:val="46DA7602"/>
    <w:rsid w:val="4756C528"/>
    <w:rsid w:val="477F1ED9"/>
    <w:rsid w:val="4780650A"/>
    <w:rsid w:val="47B94AF0"/>
    <w:rsid w:val="47DD3EBF"/>
    <w:rsid w:val="47EEA694"/>
    <w:rsid w:val="47FB4D3C"/>
    <w:rsid w:val="4866B3F5"/>
    <w:rsid w:val="486BF333"/>
    <w:rsid w:val="488925E4"/>
    <w:rsid w:val="48B3050D"/>
    <w:rsid w:val="48FE4F2F"/>
    <w:rsid w:val="49588583"/>
    <w:rsid w:val="49947BD9"/>
    <w:rsid w:val="49D5339E"/>
    <w:rsid w:val="49ECFA9A"/>
    <w:rsid w:val="49EF6D3F"/>
    <w:rsid w:val="4A8A5D64"/>
    <w:rsid w:val="4A8D2811"/>
    <w:rsid w:val="4A9FB94A"/>
    <w:rsid w:val="4ACDE8AA"/>
    <w:rsid w:val="4ACEF755"/>
    <w:rsid w:val="4B1D7471"/>
    <w:rsid w:val="4B251CA4"/>
    <w:rsid w:val="4B3B286B"/>
    <w:rsid w:val="4B3E60DE"/>
    <w:rsid w:val="4B67AB6F"/>
    <w:rsid w:val="4BB3CFDF"/>
    <w:rsid w:val="4BBCEB5A"/>
    <w:rsid w:val="4BC5E549"/>
    <w:rsid w:val="4BE0377E"/>
    <w:rsid w:val="4C1CBAE3"/>
    <w:rsid w:val="4C1DB702"/>
    <w:rsid w:val="4C3074F7"/>
    <w:rsid w:val="4C553DC7"/>
    <w:rsid w:val="4C9853D9"/>
    <w:rsid w:val="4CBFBFAA"/>
    <w:rsid w:val="4CDA313F"/>
    <w:rsid w:val="4D00AA80"/>
    <w:rsid w:val="4D3AA858"/>
    <w:rsid w:val="4D4CA132"/>
    <w:rsid w:val="4DA3D93C"/>
    <w:rsid w:val="4E1EC40B"/>
    <w:rsid w:val="4E49429E"/>
    <w:rsid w:val="4EA8A4C1"/>
    <w:rsid w:val="4EEA42AC"/>
    <w:rsid w:val="4F11A700"/>
    <w:rsid w:val="4FA44959"/>
    <w:rsid w:val="4FCE84D1"/>
    <w:rsid w:val="5014EFBD"/>
    <w:rsid w:val="505187C6"/>
    <w:rsid w:val="50D1FA68"/>
    <w:rsid w:val="51373BF6"/>
    <w:rsid w:val="515D5539"/>
    <w:rsid w:val="51B19E3F"/>
    <w:rsid w:val="52033CB0"/>
    <w:rsid w:val="52066171"/>
    <w:rsid w:val="523526CD"/>
    <w:rsid w:val="52BC9B29"/>
    <w:rsid w:val="52BE88EB"/>
    <w:rsid w:val="5341DF06"/>
    <w:rsid w:val="543E15F8"/>
    <w:rsid w:val="5462794C"/>
    <w:rsid w:val="55888B55"/>
    <w:rsid w:val="55F67637"/>
    <w:rsid w:val="56CB4334"/>
    <w:rsid w:val="57068F68"/>
    <w:rsid w:val="577C26FC"/>
    <w:rsid w:val="57923DCD"/>
    <w:rsid w:val="57963EC2"/>
    <w:rsid w:val="57AF98F5"/>
    <w:rsid w:val="57B2E2F6"/>
    <w:rsid w:val="57F264D5"/>
    <w:rsid w:val="58B1C674"/>
    <w:rsid w:val="58EE4724"/>
    <w:rsid w:val="58FCFC58"/>
    <w:rsid w:val="599A0E52"/>
    <w:rsid w:val="59DBEA95"/>
    <w:rsid w:val="5A325C99"/>
    <w:rsid w:val="5A69A642"/>
    <w:rsid w:val="5B18BF5F"/>
    <w:rsid w:val="5B2FB11A"/>
    <w:rsid w:val="5B43B115"/>
    <w:rsid w:val="5BC69388"/>
    <w:rsid w:val="5BDE5796"/>
    <w:rsid w:val="5BE31C06"/>
    <w:rsid w:val="5BE61615"/>
    <w:rsid w:val="5BE81ECC"/>
    <w:rsid w:val="5C1A7FD0"/>
    <w:rsid w:val="5C4079D8"/>
    <w:rsid w:val="5C4B25CD"/>
    <w:rsid w:val="5C4E44F2"/>
    <w:rsid w:val="5C4ED381"/>
    <w:rsid w:val="5C557550"/>
    <w:rsid w:val="5C63E8E4"/>
    <w:rsid w:val="5CCEF2B6"/>
    <w:rsid w:val="5CE51B79"/>
    <w:rsid w:val="5CE886A8"/>
    <w:rsid w:val="5D3A9DEF"/>
    <w:rsid w:val="5D975513"/>
    <w:rsid w:val="5DC1B847"/>
    <w:rsid w:val="5DCAD3C2"/>
    <w:rsid w:val="5DDC4003"/>
    <w:rsid w:val="5DEC57E9"/>
    <w:rsid w:val="5E0527CC"/>
    <w:rsid w:val="5E3145D5"/>
    <w:rsid w:val="5E607225"/>
    <w:rsid w:val="5EF0C8C4"/>
    <w:rsid w:val="5F2E9BD2"/>
    <w:rsid w:val="5F6CFEAC"/>
    <w:rsid w:val="5F76A4A9"/>
    <w:rsid w:val="5F87F544"/>
    <w:rsid w:val="602F07C3"/>
    <w:rsid w:val="60596AF7"/>
    <w:rsid w:val="606467BC"/>
    <w:rsid w:val="60AD8425"/>
    <w:rsid w:val="60B9D088"/>
    <w:rsid w:val="61BD2F9E"/>
    <w:rsid w:val="61C01CC5"/>
    <w:rsid w:val="61E84751"/>
    <w:rsid w:val="6226051D"/>
    <w:rsid w:val="6226C8C0"/>
    <w:rsid w:val="6268D923"/>
    <w:rsid w:val="62A49F6E"/>
    <w:rsid w:val="62AE3987"/>
    <w:rsid w:val="62DC6A2F"/>
    <w:rsid w:val="63EF087E"/>
    <w:rsid w:val="6424C835"/>
    <w:rsid w:val="645DE9FB"/>
    <w:rsid w:val="64681948"/>
    <w:rsid w:val="6511F8E8"/>
    <w:rsid w:val="65577BBC"/>
    <w:rsid w:val="65CA5653"/>
    <w:rsid w:val="66505935"/>
    <w:rsid w:val="6683D169"/>
    <w:rsid w:val="6697A68E"/>
    <w:rsid w:val="66AAF807"/>
    <w:rsid w:val="67588DAB"/>
    <w:rsid w:val="67832545"/>
    <w:rsid w:val="67A0C862"/>
    <w:rsid w:val="67BBD890"/>
    <w:rsid w:val="67F8D5FE"/>
    <w:rsid w:val="683292A5"/>
    <w:rsid w:val="684B547F"/>
    <w:rsid w:val="68AAEDF3"/>
    <w:rsid w:val="690A69D3"/>
    <w:rsid w:val="691749A6"/>
    <w:rsid w:val="695BB093"/>
    <w:rsid w:val="699F4E10"/>
    <w:rsid w:val="69E57638"/>
    <w:rsid w:val="6A2AECDF"/>
    <w:rsid w:val="6A362184"/>
    <w:rsid w:val="6A3C27B6"/>
    <w:rsid w:val="6AB2153D"/>
    <w:rsid w:val="6ABDB3B4"/>
    <w:rsid w:val="6B24F2CD"/>
    <w:rsid w:val="6BF5F780"/>
    <w:rsid w:val="6C8CA26F"/>
    <w:rsid w:val="6CA84800"/>
    <w:rsid w:val="6D8629FE"/>
    <w:rsid w:val="6D97619A"/>
    <w:rsid w:val="6DEC0D04"/>
    <w:rsid w:val="6E555475"/>
    <w:rsid w:val="6E9DB190"/>
    <w:rsid w:val="6EB276A7"/>
    <w:rsid w:val="6ED4D65C"/>
    <w:rsid w:val="6EDE3C36"/>
    <w:rsid w:val="6EE2FB18"/>
    <w:rsid w:val="6EEF9F7F"/>
    <w:rsid w:val="6EF541F8"/>
    <w:rsid w:val="6F4132AA"/>
    <w:rsid w:val="6F5400A2"/>
    <w:rsid w:val="6FF72A36"/>
    <w:rsid w:val="7090879D"/>
    <w:rsid w:val="7115AD4B"/>
    <w:rsid w:val="72B053F8"/>
    <w:rsid w:val="73341997"/>
    <w:rsid w:val="7360A692"/>
    <w:rsid w:val="745C96AB"/>
    <w:rsid w:val="74880C19"/>
    <w:rsid w:val="74D28FB3"/>
    <w:rsid w:val="74DAA83B"/>
    <w:rsid w:val="7594F769"/>
    <w:rsid w:val="762BB999"/>
    <w:rsid w:val="763838CD"/>
    <w:rsid w:val="76A9A70B"/>
    <w:rsid w:val="76CCFE90"/>
    <w:rsid w:val="76D23446"/>
    <w:rsid w:val="76D3D069"/>
    <w:rsid w:val="76F91AB3"/>
    <w:rsid w:val="77277FF9"/>
    <w:rsid w:val="776661D8"/>
    <w:rsid w:val="776D8380"/>
    <w:rsid w:val="784D8AD4"/>
    <w:rsid w:val="785958ED"/>
    <w:rsid w:val="7881F74E"/>
    <w:rsid w:val="78B5FB67"/>
    <w:rsid w:val="78DEF0AD"/>
    <w:rsid w:val="7991852A"/>
    <w:rsid w:val="799F2634"/>
    <w:rsid w:val="79F2861D"/>
    <w:rsid w:val="7AC64A80"/>
    <w:rsid w:val="7AF08052"/>
    <w:rsid w:val="7B21090F"/>
    <w:rsid w:val="7B566908"/>
    <w:rsid w:val="7BBE46A8"/>
    <w:rsid w:val="7C6B9445"/>
    <w:rsid w:val="7C71D645"/>
    <w:rsid w:val="7C71F8CC"/>
    <w:rsid w:val="7C7381CB"/>
    <w:rsid w:val="7CD9110C"/>
    <w:rsid w:val="7CF93568"/>
    <w:rsid w:val="7D3C4014"/>
    <w:rsid w:val="7D5D4E81"/>
    <w:rsid w:val="7D5FD9AE"/>
    <w:rsid w:val="7D6529F9"/>
    <w:rsid w:val="7D677694"/>
    <w:rsid w:val="7DEF5BB4"/>
    <w:rsid w:val="7DEF6236"/>
    <w:rsid w:val="7E332A35"/>
    <w:rsid w:val="7E86A924"/>
    <w:rsid w:val="7EC99690"/>
    <w:rsid w:val="7EE3A418"/>
    <w:rsid w:val="7F799184"/>
    <w:rsid w:val="7FBADF6F"/>
    <w:rsid w:val="7FC8DDC5"/>
    <w:rsid w:val="7FCD983B"/>
    <w:rsid w:val="7FEE6E3E"/>
    <w:rsid w:val="7FF215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4"/>
    <o:shapelayout v:ext="edit">
      <o:idmap v:ext="edit" data="1"/>
    </o:shapelayout>
  </w:shapeDefaults>
  <w:decimalSymbol w:val="."/>
  <w:listSeparator w:val=","/>
  <w14:docId w14:val="670374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ind w:hanging="357"/>
      </w:pPr>
    </w:pPrDefault>
  </w:docDefaults>
  <w:latentStyles w:defLockedState="0" w:defUIPriority="99" w:defSemiHidden="0" w:defUnhideWhenUsed="0" w:defQFormat="0" w:count="376">
    <w:lsdException w:name="Normal" w:uiPriority="8" w:qFormat="1"/>
    <w:lsdException w:name="heading 1" w:uiPriority="2" w:qFormat="1"/>
    <w:lsdException w:name="heading 2" w:semiHidden="1" w:uiPriority="3" w:unhideWhenUsed="1" w:qFormat="1"/>
    <w:lsdException w:name="heading 3" w:semiHidden="1" w:uiPriority="9"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0B74AE"/>
    <w:pPr>
      <w:spacing w:after="200" w:line="240" w:lineRule="auto"/>
      <w:ind w:firstLine="0"/>
    </w:pPr>
    <w:rPr>
      <w:rFonts w:ascii="Calibri" w:eastAsia="Cambria" w:hAnsi="Calibri" w:cs="Calibri"/>
      <w:color w:val="000000"/>
      <w:szCs w:val="24"/>
      <w:lang w:val="en-AU"/>
    </w:rPr>
  </w:style>
  <w:style w:type="paragraph" w:styleId="Heading1">
    <w:name w:val="heading 1"/>
    <w:aliases w:val="CER Heading 1"/>
    <w:next w:val="Heading2"/>
    <w:link w:val="Heading1Char"/>
    <w:uiPriority w:val="2"/>
    <w:qFormat/>
    <w:rsid w:val="000B74AE"/>
    <w:pPr>
      <w:keepNext/>
      <w:spacing w:before="280" w:after="200" w:line="240" w:lineRule="auto"/>
      <w:ind w:firstLine="0"/>
      <w:outlineLvl w:val="0"/>
    </w:pPr>
    <w:rPr>
      <w:rFonts w:ascii="Calibri" w:eastAsia="Times New Roman" w:hAnsi="Calibri" w:cs="Calibri"/>
      <w:b/>
      <w:bCs/>
      <w:color w:val="005874"/>
      <w:kern w:val="32"/>
      <w:sz w:val="40"/>
      <w:szCs w:val="24"/>
      <w:lang w:val="en-AU"/>
    </w:rPr>
  </w:style>
  <w:style w:type="paragraph" w:styleId="Heading2">
    <w:name w:val="heading 2"/>
    <w:aliases w:val="CER Heading 2"/>
    <w:basedOn w:val="Normal"/>
    <w:next w:val="Normal"/>
    <w:link w:val="Heading2Char"/>
    <w:uiPriority w:val="3"/>
    <w:qFormat/>
    <w:rsid w:val="000B74AE"/>
    <w:pPr>
      <w:keepNext/>
      <w:keepLines/>
      <w:spacing w:before="280"/>
      <w:outlineLvl w:val="1"/>
    </w:pPr>
    <w:rPr>
      <w:rFonts w:eastAsia="Times New Roman"/>
      <w:b/>
      <w:bCs/>
      <w:color w:val="005874"/>
      <w:sz w:val="30"/>
      <w:szCs w:val="26"/>
    </w:rPr>
  </w:style>
  <w:style w:type="paragraph" w:styleId="Heading3">
    <w:name w:val="heading 3"/>
    <w:basedOn w:val="Heading4"/>
    <w:next w:val="Normal"/>
    <w:link w:val="Heading3Char"/>
    <w:uiPriority w:val="9"/>
    <w:unhideWhenUsed/>
    <w:qFormat/>
    <w:rsid w:val="007C4DC2"/>
    <w:pPr>
      <w:keepLines w:val="0"/>
      <w:spacing w:before="240" w:after="200"/>
      <w:outlineLvl w:val="2"/>
    </w:pPr>
    <w:rPr>
      <w:rFonts w:ascii="Calibri" w:eastAsia="Times New Roman" w:hAnsi="Calibri" w:cs="Times New Roman"/>
      <w:bCs/>
      <w:i w:val="0"/>
      <w:iCs w:val="0"/>
      <w:color w:val="005874"/>
      <w:sz w:val="25"/>
      <w:szCs w:val="28"/>
    </w:rPr>
  </w:style>
  <w:style w:type="paragraph" w:styleId="Heading4">
    <w:name w:val="heading 4"/>
    <w:aliases w:val="CER Heading 4"/>
    <w:basedOn w:val="Normal"/>
    <w:next w:val="Normal"/>
    <w:link w:val="Heading4Char"/>
    <w:uiPriority w:val="5"/>
    <w:unhideWhenUsed/>
    <w:qFormat/>
    <w:rsid w:val="007C08F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D70CB"/>
    <w:pPr>
      <w:keepNext/>
      <w:keepLines/>
      <w:spacing w:before="160" w:after="160"/>
      <w:outlineLvl w:val="4"/>
    </w:pPr>
    <w:rPr>
      <w:rFonts w:asciiTheme="minorHAnsi" w:eastAsiaTheme="majorEastAsia" w:hAnsiTheme="minorHAnsi" w:cstheme="minorHAnsi"/>
      <w:b/>
      <w:bCs/>
      <w:color w:val="auto"/>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ER Heading 1 Char"/>
    <w:basedOn w:val="DefaultParagraphFont"/>
    <w:link w:val="Heading1"/>
    <w:uiPriority w:val="2"/>
    <w:rsid w:val="000B74AE"/>
    <w:rPr>
      <w:rFonts w:ascii="Calibri" w:eastAsia="Times New Roman" w:hAnsi="Calibri" w:cs="Calibri"/>
      <w:b/>
      <w:bCs/>
      <w:color w:val="005874"/>
      <w:kern w:val="32"/>
      <w:sz w:val="40"/>
      <w:szCs w:val="24"/>
      <w:lang w:val="en-AU"/>
    </w:rPr>
  </w:style>
  <w:style w:type="character" w:customStyle="1" w:styleId="Heading2Char">
    <w:name w:val="Heading 2 Char"/>
    <w:aliases w:val="CER Heading 2 Char"/>
    <w:basedOn w:val="DefaultParagraphFont"/>
    <w:link w:val="Heading2"/>
    <w:uiPriority w:val="3"/>
    <w:rsid w:val="000B74AE"/>
    <w:rPr>
      <w:rFonts w:ascii="Calibri" w:eastAsia="Times New Roman" w:hAnsi="Calibri" w:cs="Calibri"/>
      <w:b/>
      <w:bCs/>
      <w:color w:val="005874"/>
      <w:sz w:val="30"/>
      <w:szCs w:val="26"/>
      <w:lang w:val="en-AU"/>
    </w:rPr>
  </w:style>
  <w:style w:type="character" w:styleId="Hyperlink">
    <w:name w:val="Hyperlink"/>
    <w:uiPriority w:val="99"/>
    <w:unhideWhenUsed/>
    <w:rsid w:val="000B74AE"/>
    <w:rPr>
      <w:rFonts w:ascii="Calibri" w:hAnsi="Calibri"/>
      <w:color w:val="005874"/>
      <w:sz w:val="22"/>
      <w:u w:val="single"/>
    </w:rPr>
  </w:style>
  <w:style w:type="table" w:styleId="TableGrid">
    <w:name w:val="Table Grid"/>
    <w:basedOn w:val="TableNormal"/>
    <w:rsid w:val="000B74AE"/>
    <w:pPr>
      <w:spacing w:line="240" w:lineRule="auto"/>
      <w:ind w:firstLine="0"/>
    </w:pPr>
    <w:rPr>
      <w:rFonts w:ascii="Cambria" w:eastAsia="Cambria" w:hAnsi="Cambria"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numbering">
    <w:name w:val="CER numbering"/>
    <w:basedOn w:val="Normal"/>
    <w:link w:val="CERnumberingChar"/>
    <w:uiPriority w:val="8"/>
    <w:qFormat/>
    <w:rsid w:val="000B74AE"/>
    <w:pPr>
      <w:numPr>
        <w:numId w:val="10"/>
      </w:numPr>
      <w:spacing w:before="120" w:after="120"/>
    </w:pPr>
    <w:rPr>
      <w:color w:val="auto"/>
    </w:rPr>
  </w:style>
  <w:style w:type="character" w:customStyle="1" w:styleId="CERnumberingChar">
    <w:name w:val="CER numbering Char"/>
    <w:link w:val="CERnumbering"/>
    <w:uiPriority w:val="8"/>
    <w:rsid w:val="000B74AE"/>
    <w:rPr>
      <w:rFonts w:ascii="Calibri" w:eastAsia="Cambria" w:hAnsi="Calibri" w:cs="Calibri"/>
      <w:szCs w:val="24"/>
      <w:lang w:val="en-AU"/>
    </w:rPr>
  </w:style>
  <w:style w:type="paragraph" w:styleId="FootnoteText">
    <w:name w:val="footnote text"/>
    <w:basedOn w:val="Normal"/>
    <w:link w:val="FootnoteTextChar"/>
    <w:uiPriority w:val="99"/>
    <w:unhideWhenUsed/>
    <w:rsid w:val="000B74AE"/>
    <w:pPr>
      <w:spacing w:after="0"/>
    </w:pPr>
    <w:rPr>
      <w:sz w:val="20"/>
      <w:szCs w:val="20"/>
    </w:rPr>
  </w:style>
  <w:style w:type="character" w:customStyle="1" w:styleId="FootnoteTextChar">
    <w:name w:val="Footnote Text Char"/>
    <w:basedOn w:val="DefaultParagraphFont"/>
    <w:link w:val="FootnoteText"/>
    <w:uiPriority w:val="99"/>
    <w:rsid w:val="000B74AE"/>
    <w:rPr>
      <w:rFonts w:ascii="Calibri" w:eastAsia="Cambria" w:hAnsi="Calibri" w:cs="Calibri"/>
      <w:color w:val="000000"/>
      <w:sz w:val="20"/>
      <w:szCs w:val="20"/>
      <w:lang w:val="en-AU"/>
    </w:rPr>
  </w:style>
  <w:style w:type="character" w:styleId="FootnoteReference">
    <w:name w:val="footnote reference"/>
    <w:basedOn w:val="DefaultParagraphFont"/>
    <w:uiPriority w:val="99"/>
    <w:semiHidden/>
    <w:unhideWhenUsed/>
    <w:rsid w:val="000B74AE"/>
    <w:rPr>
      <w:vertAlign w:val="superscript"/>
    </w:rPr>
  </w:style>
  <w:style w:type="paragraph" w:styleId="Caption">
    <w:name w:val="caption"/>
    <w:basedOn w:val="Normal"/>
    <w:next w:val="Normal"/>
    <w:uiPriority w:val="35"/>
    <w:unhideWhenUsed/>
    <w:rsid w:val="000B74AE"/>
    <w:rPr>
      <w:i/>
      <w:iCs/>
      <w:color w:val="44546A" w:themeColor="text2"/>
      <w:sz w:val="18"/>
      <w:szCs w:val="18"/>
    </w:rPr>
  </w:style>
  <w:style w:type="character" w:customStyle="1" w:styleId="Heading3Char">
    <w:name w:val="Heading 3 Char"/>
    <w:basedOn w:val="DefaultParagraphFont"/>
    <w:link w:val="Heading3"/>
    <w:uiPriority w:val="9"/>
    <w:rsid w:val="007C4DC2"/>
    <w:rPr>
      <w:rFonts w:ascii="Calibri" w:eastAsia="Times New Roman" w:hAnsi="Calibri" w:cs="Times New Roman"/>
      <w:bCs/>
      <w:color w:val="005874"/>
      <w:sz w:val="25"/>
      <w:szCs w:val="28"/>
      <w:lang w:val="en-AU"/>
    </w:rPr>
  </w:style>
  <w:style w:type="paragraph" w:styleId="ListParagraph">
    <w:name w:val="List Paragraph"/>
    <w:basedOn w:val="Normal"/>
    <w:uiPriority w:val="34"/>
    <w:qFormat/>
    <w:rsid w:val="007F27A8"/>
    <w:pPr>
      <w:spacing w:after="0" w:line="276" w:lineRule="auto"/>
      <w:ind w:left="720" w:hanging="357"/>
      <w:contextualSpacing/>
    </w:pPr>
    <w:rPr>
      <w:rFonts w:asciiTheme="minorHAnsi" w:eastAsiaTheme="minorHAnsi" w:hAnsiTheme="minorHAnsi" w:cstheme="minorBidi"/>
      <w:color w:val="auto"/>
      <w:szCs w:val="22"/>
      <w:lang w:val="en-GB"/>
    </w:rPr>
  </w:style>
  <w:style w:type="paragraph" w:styleId="Header">
    <w:name w:val="header"/>
    <w:basedOn w:val="Normal"/>
    <w:link w:val="HeaderChar"/>
    <w:uiPriority w:val="99"/>
    <w:unhideWhenUsed/>
    <w:rsid w:val="00220CA3"/>
    <w:pPr>
      <w:tabs>
        <w:tab w:val="center" w:pos="4513"/>
        <w:tab w:val="right" w:pos="9026"/>
      </w:tabs>
      <w:spacing w:after="0"/>
    </w:pPr>
  </w:style>
  <w:style w:type="character" w:customStyle="1" w:styleId="HeaderChar">
    <w:name w:val="Header Char"/>
    <w:basedOn w:val="DefaultParagraphFont"/>
    <w:link w:val="Header"/>
    <w:uiPriority w:val="99"/>
    <w:rsid w:val="00220CA3"/>
    <w:rPr>
      <w:rFonts w:ascii="Calibri" w:eastAsia="Cambria" w:hAnsi="Calibri" w:cs="Calibri"/>
      <w:color w:val="000000"/>
      <w:szCs w:val="24"/>
      <w:lang w:val="en-AU"/>
    </w:rPr>
  </w:style>
  <w:style w:type="paragraph" w:styleId="Footer">
    <w:name w:val="footer"/>
    <w:basedOn w:val="Normal"/>
    <w:link w:val="FooterChar"/>
    <w:uiPriority w:val="99"/>
    <w:unhideWhenUsed/>
    <w:rsid w:val="00220CA3"/>
    <w:pPr>
      <w:tabs>
        <w:tab w:val="center" w:pos="4513"/>
        <w:tab w:val="right" w:pos="9026"/>
      </w:tabs>
      <w:spacing w:after="0"/>
    </w:pPr>
  </w:style>
  <w:style w:type="character" w:customStyle="1" w:styleId="FooterChar">
    <w:name w:val="Footer Char"/>
    <w:basedOn w:val="DefaultParagraphFont"/>
    <w:link w:val="Footer"/>
    <w:uiPriority w:val="99"/>
    <w:rsid w:val="00220CA3"/>
    <w:rPr>
      <w:rFonts w:ascii="Calibri" w:eastAsia="Cambria" w:hAnsi="Calibri" w:cs="Calibri"/>
      <w:color w:val="000000"/>
      <w:szCs w:val="24"/>
      <w:lang w:val="en-AU"/>
    </w:rPr>
  </w:style>
  <w:style w:type="paragraph" w:customStyle="1" w:styleId="subsection">
    <w:name w:val="subsection"/>
    <w:aliases w:val="ss,Subsection,t_Main"/>
    <w:basedOn w:val="Normal"/>
    <w:link w:val="subsectionChar"/>
    <w:rsid w:val="00B425C4"/>
    <w:pPr>
      <w:tabs>
        <w:tab w:val="right" w:pos="1021"/>
      </w:tabs>
      <w:spacing w:before="180" w:after="0"/>
      <w:ind w:left="1134" w:hanging="1134"/>
    </w:pPr>
    <w:rPr>
      <w:rFonts w:ascii="Times New Roman" w:eastAsia="Times New Roman" w:hAnsi="Times New Roman" w:cs="Times New Roman"/>
      <w:color w:val="auto"/>
      <w:szCs w:val="20"/>
      <w:lang w:eastAsia="en-AU"/>
    </w:rPr>
  </w:style>
  <w:style w:type="character" w:customStyle="1" w:styleId="subsectionChar">
    <w:name w:val="subsection Char"/>
    <w:aliases w:val="ss Char"/>
    <w:basedOn w:val="DefaultParagraphFont"/>
    <w:link w:val="subsection"/>
    <w:locked/>
    <w:rsid w:val="00B425C4"/>
    <w:rPr>
      <w:rFonts w:ascii="Times New Roman" w:eastAsia="Times New Roman" w:hAnsi="Times New Roman" w:cs="Times New Roman"/>
      <w:szCs w:val="20"/>
      <w:lang w:val="en-AU" w:eastAsia="en-AU"/>
    </w:rPr>
  </w:style>
  <w:style w:type="paragraph" w:styleId="BalloonText">
    <w:name w:val="Balloon Text"/>
    <w:basedOn w:val="Normal"/>
    <w:link w:val="BalloonTextChar"/>
    <w:uiPriority w:val="99"/>
    <w:semiHidden/>
    <w:unhideWhenUsed/>
    <w:rsid w:val="0013357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57F"/>
    <w:rPr>
      <w:rFonts w:ascii="Segoe UI" w:eastAsia="Cambria" w:hAnsi="Segoe UI" w:cs="Segoe UI"/>
      <w:color w:val="000000"/>
      <w:sz w:val="18"/>
      <w:szCs w:val="18"/>
      <w:lang w:val="en-AU"/>
    </w:rPr>
  </w:style>
  <w:style w:type="paragraph" w:styleId="TOCHeading">
    <w:name w:val="TOC Heading"/>
    <w:basedOn w:val="Heading1"/>
    <w:next w:val="Normal"/>
    <w:uiPriority w:val="39"/>
    <w:unhideWhenUsed/>
    <w:qFormat/>
    <w:rsid w:val="0066117A"/>
    <w:pPr>
      <w:keepLines/>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TOC1">
    <w:name w:val="toc 1"/>
    <w:basedOn w:val="Normal"/>
    <w:next w:val="Normal"/>
    <w:autoRedefine/>
    <w:uiPriority w:val="39"/>
    <w:unhideWhenUsed/>
    <w:rsid w:val="0066117A"/>
    <w:pPr>
      <w:spacing w:after="100"/>
    </w:pPr>
  </w:style>
  <w:style w:type="paragraph" w:styleId="TOC2">
    <w:name w:val="toc 2"/>
    <w:basedOn w:val="Normal"/>
    <w:next w:val="Normal"/>
    <w:autoRedefine/>
    <w:uiPriority w:val="39"/>
    <w:unhideWhenUsed/>
    <w:rsid w:val="0066117A"/>
    <w:pPr>
      <w:spacing w:after="100"/>
      <w:ind w:left="220"/>
    </w:pPr>
  </w:style>
  <w:style w:type="paragraph" w:styleId="TOC3">
    <w:name w:val="toc 3"/>
    <w:basedOn w:val="Normal"/>
    <w:next w:val="Normal"/>
    <w:autoRedefine/>
    <w:uiPriority w:val="39"/>
    <w:unhideWhenUsed/>
    <w:rsid w:val="0066117A"/>
    <w:pPr>
      <w:spacing w:after="100"/>
      <w:ind w:left="440"/>
    </w:pPr>
  </w:style>
  <w:style w:type="paragraph" w:styleId="CommentText">
    <w:name w:val="annotation text"/>
    <w:basedOn w:val="Normal"/>
    <w:link w:val="CommentTextChar"/>
    <w:uiPriority w:val="99"/>
    <w:unhideWhenUsed/>
    <w:rsid w:val="00E22C06"/>
    <w:rPr>
      <w:sz w:val="20"/>
      <w:szCs w:val="20"/>
    </w:rPr>
  </w:style>
  <w:style w:type="character" w:customStyle="1" w:styleId="CommentTextChar">
    <w:name w:val="Comment Text Char"/>
    <w:basedOn w:val="DefaultParagraphFont"/>
    <w:link w:val="CommentText"/>
    <w:uiPriority w:val="99"/>
    <w:rsid w:val="00E22C06"/>
    <w:rPr>
      <w:rFonts w:ascii="Calibri" w:eastAsia="Cambria" w:hAnsi="Calibri" w:cs="Calibri"/>
      <w:color w:val="000000"/>
      <w:sz w:val="20"/>
      <w:szCs w:val="20"/>
      <w:lang w:val="en-AU"/>
    </w:rPr>
  </w:style>
  <w:style w:type="character" w:styleId="CommentReference">
    <w:name w:val="annotation reference"/>
    <w:basedOn w:val="DefaultParagraphFont"/>
    <w:uiPriority w:val="99"/>
    <w:semiHidden/>
    <w:unhideWhenUsed/>
    <w:rsid w:val="00E22C06"/>
    <w:rPr>
      <w:sz w:val="16"/>
      <w:szCs w:val="16"/>
    </w:rPr>
  </w:style>
  <w:style w:type="character" w:customStyle="1" w:styleId="Heading4Char">
    <w:name w:val="Heading 4 Char"/>
    <w:aliases w:val="CER Heading 4 Char"/>
    <w:basedOn w:val="DefaultParagraphFont"/>
    <w:link w:val="Heading4"/>
    <w:uiPriority w:val="5"/>
    <w:rsid w:val="007C08F7"/>
    <w:rPr>
      <w:rFonts w:asciiTheme="majorHAnsi" w:eastAsiaTheme="majorEastAsia" w:hAnsiTheme="majorHAnsi" w:cstheme="majorBidi"/>
      <w:i/>
      <w:iCs/>
      <w:color w:val="2F5496" w:themeColor="accent1" w:themeShade="BF"/>
      <w:szCs w:val="24"/>
      <w:lang w:val="en-AU"/>
    </w:rPr>
  </w:style>
  <w:style w:type="paragraph" w:styleId="CommentSubject">
    <w:name w:val="annotation subject"/>
    <w:basedOn w:val="CommentText"/>
    <w:next w:val="CommentText"/>
    <w:link w:val="CommentSubjectChar"/>
    <w:uiPriority w:val="99"/>
    <w:semiHidden/>
    <w:unhideWhenUsed/>
    <w:rsid w:val="0015241A"/>
    <w:rPr>
      <w:b/>
      <w:bCs/>
    </w:rPr>
  </w:style>
  <w:style w:type="character" w:customStyle="1" w:styleId="CommentSubjectChar">
    <w:name w:val="Comment Subject Char"/>
    <w:basedOn w:val="CommentTextChar"/>
    <w:link w:val="CommentSubject"/>
    <w:uiPriority w:val="99"/>
    <w:semiHidden/>
    <w:rsid w:val="0015241A"/>
    <w:rPr>
      <w:rFonts w:ascii="Calibri" w:eastAsia="Cambria" w:hAnsi="Calibri" w:cs="Calibri"/>
      <w:b/>
      <w:bCs/>
      <w:color w:val="000000"/>
      <w:sz w:val="20"/>
      <w:szCs w:val="20"/>
      <w:lang w:val="en-AU"/>
    </w:rPr>
  </w:style>
  <w:style w:type="paragraph" w:customStyle="1" w:styleId="CERbullets">
    <w:name w:val="CER bullets"/>
    <w:basedOn w:val="Normal"/>
    <w:link w:val="CERbulletsChar"/>
    <w:uiPriority w:val="7"/>
    <w:qFormat/>
    <w:rsid w:val="00BC3989"/>
    <w:pPr>
      <w:numPr>
        <w:numId w:val="18"/>
      </w:numPr>
      <w:spacing w:before="120" w:after="120"/>
    </w:pPr>
    <w:rPr>
      <w:color w:val="auto"/>
    </w:rPr>
  </w:style>
  <w:style w:type="character" w:customStyle="1" w:styleId="CERbulletsChar">
    <w:name w:val="CER bullets Char"/>
    <w:link w:val="CERbullets"/>
    <w:uiPriority w:val="7"/>
    <w:rsid w:val="00BC3989"/>
    <w:rPr>
      <w:rFonts w:ascii="Calibri" w:eastAsia="Cambria" w:hAnsi="Calibri" w:cs="Calibri"/>
      <w:szCs w:val="24"/>
      <w:lang w:val="en-AU"/>
    </w:rPr>
  </w:style>
  <w:style w:type="paragraph" w:styleId="NoSpacing">
    <w:name w:val="No Spacing"/>
    <w:uiPriority w:val="1"/>
    <w:qFormat/>
    <w:rsid w:val="00D46085"/>
    <w:pPr>
      <w:spacing w:line="240" w:lineRule="auto"/>
      <w:ind w:firstLine="0"/>
    </w:pPr>
    <w:rPr>
      <w:rFonts w:ascii="Calibri" w:eastAsia="Cambria" w:hAnsi="Calibri" w:cs="Calibri"/>
      <w:color w:val="000000"/>
      <w:szCs w:val="24"/>
      <w:lang w:val="en-AU"/>
    </w:rPr>
  </w:style>
  <w:style w:type="character" w:customStyle="1" w:styleId="Heading5Char">
    <w:name w:val="Heading 5 Char"/>
    <w:basedOn w:val="DefaultParagraphFont"/>
    <w:link w:val="Heading5"/>
    <w:uiPriority w:val="9"/>
    <w:rsid w:val="007D70CB"/>
    <w:rPr>
      <w:rFonts w:eastAsiaTheme="majorEastAsia" w:cstheme="minorHAnsi"/>
      <w:b/>
      <w:bCs/>
      <w:szCs w:val="32"/>
      <w:lang w:val="en-AU" w:eastAsia="en-AU"/>
    </w:rPr>
  </w:style>
  <w:style w:type="paragraph" w:customStyle="1" w:styleId="paragraphsub">
    <w:name w:val="paragraph(sub)"/>
    <w:aliases w:val="aa,t_Subpara"/>
    <w:basedOn w:val="Normal"/>
    <w:qFormat/>
    <w:rsid w:val="00F61D43"/>
    <w:pPr>
      <w:tabs>
        <w:tab w:val="right" w:pos="1985"/>
      </w:tabs>
      <w:spacing w:before="40" w:after="0"/>
      <w:ind w:left="2098" w:hanging="2098"/>
    </w:pPr>
    <w:rPr>
      <w:rFonts w:ascii="Times New Roman" w:eastAsia="Times New Roman" w:hAnsi="Times New Roman" w:cs="Times New Roman"/>
      <w:color w:val="auto"/>
      <w:szCs w:val="20"/>
      <w:lang w:eastAsia="en-AU"/>
    </w:rPr>
  </w:style>
  <w:style w:type="paragraph" w:customStyle="1" w:styleId="paragraph">
    <w:name w:val="paragraph"/>
    <w:aliases w:val="a,t_Para,Paragraph"/>
    <w:basedOn w:val="Normal"/>
    <w:link w:val="paragraphChar"/>
    <w:qFormat/>
    <w:rsid w:val="00F61D43"/>
    <w:pPr>
      <w:tabs>
        <w:tab w:val="right" w:pos="1531"/>
      </w:tabs>
      <w:spacing w:before="40" w:after="0"/>
      <w:ind w:left="1644" w:hanging="1644"/>
    </w:pPr>
    <w:rPr>
      <w:rFonts w:ascii="Times New Roman" w:eastAsia="Times New Roman" w:hAnsi="Times New Roman" w:cs="Times New Roman"/>
      <w:color w:val="auto"/>
      <w:szCs w:val="20"/>
      <w:lang w:eastAsia="en-AU"/>
    </w:rPr>
  </w:style>
  <w:style w:type="paragraph" w:customStyle="1" w:styleId="subsection2">
    <w:name w:val="subsection2"/>
    <w:aliases w:val="ss2"/>
    <w:basedOn w:val="Normal"/>
    <w:next w:val="subsection"/>
    <w:rsid w:val="00F61D43"/>
    <w:pPr>
      <w:spacing w:before="40" w:after="0"/>
      <w:ind w:left="1134"/>
    </w:pPr>
    <w:rPr>
      <w:rFonts w:ascii="Times New Roman" w:eastAsia="Times New Roman" w:hAnsi="Times New Roman" w:cs="Times New Roman"/>
      <w:color w:val="auto"/>
      <w:szCs w:val="20"/>
      <w:lang w:eastAsia="en-AU"/>
    </w:rPr>
  </w:style>
  <w:style w:type="character" w:customStyle="1" w:styleId="paragraphChar">
    <w:name w:val="paragraph Char"/>
    <w:aliases w:val="a Char"/>
    <w:link w:val="paragraph"/>
    <w:rsid w:val="00F61D43"/>
    <w:rPr>
      <w:rFonts w:ascii="Times New Roman" w:eastAsia="Times New Roman" w:hAnsi="Times New Roman" w:cs="Times New Roman"/>
      <w:szCs w:val="20"/>
      <w:lang w:val="en-AU" w:eastAsia="en-AU"/>
    </w:rPr>
  </w:style>
  <w:style w:type="paragraph" w:customStyle="1" w:styleId="ActHead5">
    <w:name w:val="ActHead 5"/>
    <w:aliases w:val="s,h5_Section"/>
    <w:basedOn w:val="Normal"/>
    <w:next w:val="subsection"/>
    <w:link w:val="ActHead5Char"/>
    <w:uiPriority w:val="99"/>
    <w:qFormat/>
    <w:rsid w:val="00806092"/>
    <w:pPr>
      <w:keepNext/>
      <w:keepLines/>
      <w:spacing w:before="280" w:after="0"/>
      <w:ind w:left="1134" w:hanging="1134"/>
      <w:outlineLvl w:val="4"/>
    </w:pPr>
    <w:rPr>
      <w:rFonts w:ascii="Times New Roman" w:eastAsia="Times New Roman" w:hAnsi="Times New Roman" w:cs="Times New Roman"/>
      <w:b/>
      <w:color w:val="auto"/>
      <w:kern w:val="28"/>
      <w:sz w:val="24"/>
      <w:szCs w:val="20"/>
      <w:lang w:eastAsia="en-AU"/>
    </w:rPr>
  </w:style>
  <w:style w:type="character" w:customStyle="1" w:styleId="CharSectno">
    <w:name w:val="CharSectno"/>
    <w:basedOn w:val="DefaultParagraphFont"/>
    <w:qFormat/>
    <w:rsid w:val="00806092"/>
  </w:style>
  <w:style w:type="character" w:customStyle="1" w:styleId="ActHead5Char">
    <w:name w:val="ActHead 5 Char"/>
    <w:aliases w:val="s Char"/>
    <w:link w:val="ActHead5"/>
    <w:uiPriority w:val="99"/>
    <w:rsid w:val="00806092"/>
    <w:rPr>
      <w:rFonts w:ascii="Times New Roman" w:eastAsia="Times New Roman" w:hAnsi="Times New Roman" w:cs="Times New Roman"/>
      <w:b/>
      <w:kern w:val="28"/>
      <w:sz w:val="24"/>
      <w:szCs w:val="20"/>
      <w:lang w:val="en-AU" w:eastAsia="en-AU"/>
    </w:rPr>
  </w:style>
  <w:style w:type="paragraph" w:styleId="NormalWeb">
    <w:name w:val="Normal (Web)"/>
    <w:basedOn w:val="Normal"/>
    <w:uiPriority w:val="99"/>
    <w:semiHidden/>
    <w:unhideWhenUsed/>
    <w:rsid w:val="004F7E07"/>
    <w:pPr>
      <w:spacing w:before="100" w:beforeAutospacing="1" w:after="100" w:afterAutospacing="1"/>
    </w:pPr>
    <w:rPr>
      <w:rFonts w:ascii="Times New Roman" w:eastAsia="Times New Roman" w:hAnsi="Times New Roman" w:cs="Times New Roman"/>
      <w:color w:val="auto"/>
      <w:sz w:val="24"/>
      <w:lang w:val="en-GB" w:eastAsia="en-GB"/>
    </w:rPr>
  </w:style>
  <w:style w:type="character" w:styleId="UnresolvedMention">
    <w:name w:val="Unresolved Mention"/>
    <w:basedOn w:val="DefaultParagraphFont"/>
    <w:uiPriority w:val="99"/>
    <w:semiHidden/>
    <w:unhideWhenUsed/>
    <w:rsid w:val="005B4D91"/>
    <w:rPr>
      <w:color w:val="605E5C"/>
      <w:shd w:val="clear" w:color="auto" w:fill="E1DFDD"/>
    </w:rPr>
  </w:style>
  <w:style w:type="paragraph" w:styleId="Revision">
    <w:name w:val="Revision"/>
    <w:hidden/>
    <w:uiPriority w:val="99"/>
    <w:semiHidden/>
    <w:rsid w:val="008F45F3"/>
    <w:pPr>
      <w:spacing w:line="240" w:lineRule="auto"/>
      <w:ind w:firstLine="0"/>
    </w:pPr>
    <w:rPr>
      <w:rFonts w:ascii="Calibri" w:eastAsia="Cambria" w:hAnsi="Calibri" w:cs="Calibri"/>
      <w:color w:val="000000"/>
      <w:szCs w:val="24"/>
      <w:lang w:val="en-AU"/>
    </w:rPr>
  </w:style>
  <w:style w:type="table" w:styleId="GridTable5Dark-Accent5">
    <w:name w:val="Grid Table 5 Dark Accent 5"/>
    <w:basedOn w:val="TableNormal"/>
    <w:uiPriority w:val="50"/>
    <w:rsid w:val="00D234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CERTable">
    <w:name w:val="CER Table"/>
    <w:basedOn w:val="TableNormal"/>
    <w:uiPriority w:val="99"/>
    <w:rsid w:val="00784E16"/>
    <w:pPr>
      <w:spacing w:before="120" w:line="240" w:lineRule="auto"/>
      <w:ind w:firstLine="0"/>
    </w:pPr>
    <w:rPr>
      <w:rFonts w:ascii="Arial" w:eastAsia="Cambria" w:hAnsi="Arial" w:cs="Times New Roman"/>
      <w:color w:val="000000"/>
      <w:kern w:val="2"/>
      <w:sz w:val="20"/>
      <w:szCs w:val="20"/>
      <w:lang w:val="en-AU" w:eastAsia="en-AU"/>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Arial Bold" w:hAnsi="Arial Bold"/>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Arial Bold" w:hAnsi="Arial Bold"/>
        <w:b/>
        <w:i w:val="0"/>
        <w:color w:val="000000"/>
      </w:rPr>
      <w:tblPr/>
      <w:tcPr>
        <w:shd w:val="clear" w:color="auto" w:fill="EAE9E7"/>
      </w:tcPr>
    </w:tblStylePr>
    <w:tblStylePr w:type="band1Horz">
      <w:rPr>
        <w:rFonts w:ascii="Arial" w:hAnsi="Arial"/>
      </w:rPr>
    </w:tblStylePr>
    <w:tblStylePr w:type="band2Horz">
      <w:rPr>
        <w:rFonts w:ascii="Arial" w:hAnsi="Arial"/>
      </w:rPr>
    </w:tblStylePr>
  </w:style>
  <w:style w:type="character" w:styleId="PlaceholderText">
    <w:name w:val="Placeholder Text"/>
    <w:basedOn w:val="DefaultParagraphFont"/>
    <w:uiPriority w:val="99"/>
    <w:semiHidden/>
    <w:rsid w:val="00A15C38"/>
    <w:rPr>
      <w:color w:val="808080"/>
    </w:rPr>
  </w:style>
  <w:style w:type="table" w:customStyle="1" w:styleId="CERCallout">
    <w:name w:val="CER Callout"/>
    <w:basedOn w:val="TableNormal"/>
    <w:uiPriority w:val="99"/>
    <w:rsid w:val="00AD77DD"/>
    <w:pPr>
      <w:spacing w:line="240" w:lineRule="auto"/>
      <w:ind w:left="284" w:right="284" w:firstLine="0"/>
    </w:pPr>
    <w:rPr>
      <w:rFonts w:ascii="Arial" w:eastAsia="Cambria" w:hAnsi="Arial" w:cs="Times New Roman"/>
      <w:sz w:val="20"/>
      <w:szCs w:val="20"/>
      <w:lang w:val="en-AU" w:eastAsia="en-AU"/>
    </w:rPr>
    <w:tblPr>
      <w:tblCellSpacing w:w="142" w:type="dxa"/>
      <w:tblCellMar>
        <w:left w:w="0" w:type="dxa"/>
        <w:right w:w="0" w:type="dxa"/>
      </w:tblCellMar>
    </w:tblPr>
    <w:trPr>
      <w:cantSplit/>
      <w:tblCellSpacing w:w="142" w:type="dxa"/>
    </w:trPr>
    <w:tcPr>
      <w:shd w:val="pct5" w:color="auto" w:fill="auto"/>
      <w:tcMar>
        <w:top w:w="284" w:type="dxa"/>
        <w:left w:w="284" w:type="dxa"/>
        <w:bottom w:w="284" w:type="dxa"/>
        <w:right w:w="284" w:type="dxa"/>
      </w:tcMar>
    </w:tcPr>
  </w:style>
  <w:style w:type="paragraph" w:customStyle="1" w:styleId="ERACbullets">
    <w:name w:val="ERAC bullets"/>
    <w:basedOn w:val="Normal"/>
    <w:link w:val="ERACbulletsChar"/>
    <w:uiPriority w:val="7"/>
    <w:qFormat/>
    <w:rsid w:val="002C735E"/>
    <w:pPr>
      <w:spacing w:before="120" w:after="120"/>
      <w:ind w:left="360" w:hanging="360"/>
    </w:pPr>
    <w:rPr>
      <w:color w:val="auto"/>
    </w:rPr>
  </w:style>
  <w:style w:type="character" w:customStyle="1" w:styleId="ERACbulletsChar">
    <w:name w:val="ERAC bullets Char"/>
    <w:link w:val="ERACbullets"/>
    <w:uiPriority w:val="7"/>
    <w:rsid w:val="002C735E"/>
    <w:rPr>
      <w:rFonts w:ascii="Calibri" w:eastAsia="Cambria" w:hAnsi="Calibri" w:cs="Calibri"/>
      <w:szCs w:val="24"/>
      <w:lang w:val="en-AU"/>
    </w:rPr>
  </w:style>
  <w:style w:type="paragraph" w:styleId="BodyText">
    <w:name w:val="Body Text"/>
    <w:basedOn w:val="Normal"/>
    <w:link w:val="BodyTextChar"/>
    <w:uiPriority w:val="1"/>
    <w:qFormat/>
    <w:rsid w:val="0079147D"/>
    <w:pPr>
      <w:autoSpaceDE w:val="0"/>
      <w:autoSpaceDN w:val="0"/>
      <w:adjustRightInd w:val="0"/>
      <w:spacing w:after="0"/>
      <w:ind w:left="39"/>
    </w:pPr>
    <w:rPr>
      <w:rFonts w:eastAsiaTheme="minorHAnsi"/>
      <w:color w:val="auto"/>
      <w:szCs w:val="22"/>
    </w:rPr>
  </w:style>
  <w:style w:type="character" w:customStyle="1" w:styleId="BodyTextChar">
    <w:name w:val="Body Text Char"/>
    <w:basedOn w:val="DefaultParagraphFont"/>
    <w:link w:val="BodyText"/>
    <w:uiPriority w:val="1"/>
    <w:rsid w:val="0079147D"/>
    <w:rPr>
      <w:rFonts w:ascii="Calibri" w:hAnsi="Calibri" w:cs="Calibri"/>
      <w:lang w:val="en-AU"/>
    </w:rPr>
  </w:style>
  <w:style w:type="numbering" w:customStyle="1" w:styleId="CERbulletlist">
    <w:name w:val="CER bullet list"/>
    <w:uiPriority w:val="99"/>
    <w:rsid w:val="00C76652"/>
    <w:pPr>
      <w:numPr>
        <w:numId w:val="17"/>
      </w:numPr>
    </w:pPr>
  </w:style>
  <w:style w:type="character" w:styleId="FollowedHyperlink">
    <w:name w:val="FollowedHyperlink"/>
    <w:basedOn w:val="DefaultParagraphFont"/>
    <w:uiPriority w:val="99"/>
    <w:semiHidden/>
    <w:unhideWhenUsed/>
    <w:rsid w:val="00BD16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6467">
      <w:bodyDiv w:val="1"/>
      <w:marLeft w:val="0"/>
      <w:marRight w:val="0"/>
      <w:marTop w:val="0"/>
      <w:marBottom w:val="0"/>
      <w:divBdr>
        <w:top w:val="none" w:sz="0" w:space="0" w:color="auto"/>
        <w:left w:val="none" w:sz="0" w:space="0" w:color="auto"/>
        <w:bottom w:val="none" w:sz="0" w:space="0" w:color="auto"/>
        <w:right w:val="none" w:sz="0" w:space="0" w:color="auto"/>
      </w:divBdr>
    </w:div>
    <w:div w:id="50151488">
      <w:bodyDiv w:val="1"/>
      <w:marLeft w:val="0"/>
      <w:marRight w:val="0"/>
      <w:marTop w:val="0"/>
      <w:marBottom w:val="0"/>
      <w:divBdr>
        <w:top w:val="none" w:sz="0" w:space="0" w:color="auto"/>
        <w:left w:val="none" w:sz="0" w:space="0" w:color="auto"/>
        <w:bottom w:val="none" w:sz="0" w:space="0" w:color="auto"/>
        <w:right w:val="none" w:sz="0" w:space="0" w:color="auto"/>
      </w:divBdr>
    </w:div>
    <w:div w:id="76561988">
      <w:bodyDiv w:val="1"/>
      <w:marLeft w:val="0"/>
      <w:marRight w:val="0"/>
      <w:marTop w:val="0"/>
      <w:marBottom w:val="0"/>
      <w:divBdr>
        <w:top w:val="none" w:sz="0" w:space="0" w:color="auto"/>
        <w:left w:val="none" w:sz="0" w:space="0" w:color="auto"/>
        <w:bottom w:val="none" w:sz="0" w:space="0" w:color="auto"/>
        <w:right w:val="none" w:sz="0" w:space="0" w:color="auto"/>
      </w:divBdr>
    </w:div>
    <w:div w:id="198520288">
      <w:bodyDiv w:val="1"/>
      <w:marLeft w:val="0"/>
      <w:marRight w:val="0"/>
      <w:marTop w:val="0"/>
      <w:marBottom w:val="0"/>
      <w:divBdr>
        <w:top w:val="none" w:sz="0" w:space="0" w:color="auto"/>
        <w:left w:val="none" w:sz="0" w:space="0" w:color="auto"/>
        <w:bottom w:val="none" w:sz="0" w:space="0" w:color="auto"/>
        <w:right w:val="none" w:sz="0" w:space="0" w:color="auto"/>
      </w:divBdr>
    </w:div>
    <w:div w:id="220795939">
      <w:bodyDiv w:val="1"/>
      <w:marLeft w:val="0"/>
      <w:marRight w:val="0"/>
      <w:marTop w:val="0"/>
      <w:marBottom w:val="0"/>
      <w:divBdr>
        <w:top w:val="none" w:sz="0" w:space="0" w:color="auto"/>
        <w:left w:val="none" w:sz="0" w:space="0" w:color="auto"/>
        <w:bottom w:val="none" w:sz="0" w:space="0" w:color="auto"/>
        <w:right w:val="none" w:sz="0" w:space="0" w:color="auto"/>
      </w:divBdr>
    </w:div>
    <w:div w:id="353847436">
      <w:bodyDiv w:val="1"/>
      <w:marLeft w:val="0"/>
      <w:marRight w:val="0"/>
      <w:marTop w:val="0"/>
      <w:marBottom w:val="0"/>
      <w:divBdr>
        <w:top w:val="none" w:sz="0" w:space="0" w:color="auto"/>
        <w:left w:val="none" w:sz="0" w:space="0" w:color="auto"/>
        <w:bottom w:val="none" w:sz="0" w:space="0" w:color="auto"/>
        <w:right w:val="none" w:sz="0" w:space="0" w:color="auto"/>
      </w:divBdr>
    </w:div>
    <w:div w:id="432628189">
      <w:bodyDiv w:val="1"/>
      <w:marLeft w:val="0"/>
      <w:marRight w:val="0"/>
      <w:marTop w:val="0"/>
      <w:marBottom w:val="0"/>
      <w:divBdr>
        <w:top w:val="none" w:sz="0" w:space="0" w:color="auto"/>
        <w:left w:val="none" w:sz="0" w:space="0" w:color="auto"/>
        <w:bottom w:val="none" w:sz="0" w:space="0" w:color="auto"/>
        <w:right w:val="none" w:sz="0" w:space="0" w:color="auto"/>
      </w:divBdr>
    </w:div>
    <w:div w:id="477112414">
      <w:bodyDiv w:val="1"/>
      <w:marLeft w:val="0"/>
      <w:marRight w:val="0"/>
      <w:marTop w:val="0"/>
      <w:marBottom w:val="0"/>
      <w:divBdr>
        <w:top w:val="none" w:sz="0" w:space="0" w:color="auto"/>
        <w:left w:val="none" w:sz="0" w:space="0" w:color="auto"/>
        <w:bottom w:val="none" w:sz="0" w:space="0" w:color="auto"/>
        <w:right w:val="none" w:sz="0" w:space="0" w:color="auto"/>
      </w:divBdr>
      <w:divsChild>
        <w:div w:id="1265531012">
          <w:marLeft w:val="0"/>
          <w:marRight w:val="0"/>
          <w:marTop w:val="0"/>
          <w:marBottom w:val="0"/>
          <w:divBdr>
            <w:top w:val="none" w:sz="0" w:space="0" w:color="auto"/>
            <w:left w:val="none" w:sz="0" w:space="0" w:color="auto"/>
            <w:bottom w:val="none" w:sz="0" w:space="0" w:color="auto"/>
            <w:right w:val="none" w:sz="0" w:space="0" w:color="auto"/>
          </w:divBdr>
          <w:divsChild>
            <w:div w:id="2005888867">
              <w:marLeft w:val="0"/>
              <w:marRight w:val="0"/>
              <w:marTop w:val="0"/>
              <w:marBottom w:val="0"/>
              <w:divBdr>
                <w:top w:val="none" w:sz="0" w:space="0" w:color="auto"/>
                <w:left w:val="none" w:sz="0" w:space="0" w:color="auto"/>
                <w:bottom w:val="none" w:sz="0" w:space="0" w:color="auto"/>
                <w:right w:val="none" w:sz="0" w:space="0" w:color="auto"/>
              </w:divBdr>
              <w:divsChild>
                <w:div w:id="1091199029">
                  <w:marLeft w:val="0"/>
                  <w:marRight w:val="0"/>
                  <w:marTop w:val="0"/>
                  <w:marBottom w:val="0"/>
                  <w:divBdr>
                    <w:top w:val="none" w:sz="0" w:space="0" w:color="auto"/>
                    <w:left w:val="none" w:sz="0" w:space="0" w:color="auto"/>
                    <w:bottom w:val="none" w:sz="0" w:space="0" w:color="auto"/>
                    <w:right w:val="none" w:sz="0" w:space="0" w:color="auto"/>
                  </w:divBdr>
                  <w:divsChild>
                    <w:div w:id="827790035">
                      <w:marLeft w:val="0"/>
                      <w:marRight w:val="0"/>
                      <w:marTop w:val="0"/>
                      <w:marBottom w:val="0"/>
                      <w:divBdr>
                        <w:top w:val="none" w:sz="0" w:space="0" w:color="auto"/>
                        <w:left w:val="none" w:sz="0" w:space="0" w:color="auto"/>
                        <w:bottom w:val="none" w:sz="0" w:space="0" w:color="auto"/>
                        <w:right w:val="none" w:sz="0" w:space="0" w:color="auto"/>
                      </w:divBdr>
                      <w:divsChild>
                        <w:div w:id="1917353734">
                          <w:marLeft w:val="0"/>
                          <w:marRight w:val="0"/>
                          <w:marTop w:val="0"/>
                          <w:marBottom w:val="0"/>
                          <w:divBdr>
                            <w:top w:val="none" w:sz="0" w:space="0" w:color="auto"/>
                            <w:left w:val="none" w:sz="0" w:space="0" w:color="auto"/>
                            <w:bottom w:val="none" w:sz="0" w:space="0" w:color="auto"/>
                            <w:right w:val="none" w:sz="0" w:space="0" w:color="auto"/>
                          </w:divBdr>
                          <w:divsChild>
                            <w:div w:id="1736850549">
                              <w:marLeft w:val="0"/>
                              <w:marRight w:val="0"/>
                              <w:marTop w:val="0"/>
                              <w:marBottom w:val="0"/>
                              <w:divBdr>
                                <w:top w:val="none" w:sz="0" w:space="0" w:color="auto"/>
                                <w:left w:val="none" w:sz="0" w:space="0" w:color="auto"/>
                                <w:bottom w:val="none" w:sz="0" w:space="0" w:color="auto"/>
                                <w:right w:val="none" w:sz="0" w:space="0" w:color="auto"/>
                              </w:divBdr>
                              <w:divsChild>
                                <w:div w:id="1410032936">
                                  <w:marLeft w:val="0"/>
                                  <w:marRight w:val="0"/>
                                  <w:marTop w:val="0"/>
                                  <w:marBottom w:val="0"/>
                                  <w:divBdr>
                                    <w:top w:val="none" w:sz="0" w:space="0" w:color="auto"/>
                                    <w:left w:val="none" w:sz="0" w:space="0" w:color="auto"/>
                                    <w:bottom w:val="none" w:sz="0" w:space="0" w:color="auto"/>
                                    <w:right w:val="none" w:sz="0" w:space="0" w:color="auto"/>
                                  </w:divBdr>
                                  <w:divsChild>
                                    <w:div w:id="780343603">
                                      <w:marLeft w:val="0"/>
                                      <w:marRight w:val="0"/>
                                      <w:marTop w:val="0"/>
                                      <w:marBottom w:val="0"/>
                                      <w:divBdr>
                                        <w:top w:val="none" w:sz="0" w:space="0" w:color="auto"/>
                                        <w:left w:val="none" w:sz="0" w:space="0" w:color="auto"/>
                                        <w:bottom w:val="none" w:sz="0" w:space="0" w:color="auto"/>
                                        <w:right w:val="none" w:sz="0" w:space="0" w:color="auto"/>
                                      </w:divBdr>
                                      <w:divsChild>
                                        <w:div w:id="559904704">
                                          <w:marLeft w:val="0"/>
                                          <w:marRight w:val="0"/>
                                          <w:marTop w:val="0"/>
                                          <w:marBottom w:val="0"/>
                                          <w:divBdr>
                                            <w:top w:val="none" w:sz="0" w:space="0" w:color="auto"/>
                                            <w:left w:val="none" w:sz="0" w:space="0" w:color="auto"/>
                                            <w:bottom w:val="none" w:sz="0" w:space="0" w:color="auto"/>
                                            <w:right w:val="none" w:sz="0" w:space="0" w:color="auto"/>
                                          </w:divBdr>
                                          <w:divsChild>
                                            <w:div w:id="1058700394">
                                              <w:marLeft w:val="0"/>
                                              <w:marRight w:val="0"/>
                                              <w:marTop w:val="0"/>
                                              <w:marBottom w:val="0"/>
                                              <w:divBdr>
                                                <w:top w:val="none" w:sz="0" w:space="0" w:color="auto"/>
                                                <w:left w:val="none" w:sz="0" w:space="0" w:color="auto"/>
                                                <w:bottom w:val="none" w:sz="0" w:space="0" w:color="auto"/>
                                                <w:right w:val="none" w:sz="0" w:space="0" w:color="auto"/>
                                              </w:divBdr>
                                              <w:divsChild>
                                                <w:div w:id="11264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530838">
      <w:bodyDiv w:val="1"/>
      <w:marLeft w:val="0"/>
      <w:marRight w:val="0"/>
      <w:marTop w:val="0"/>
      <w:marBottom w:val="0"/>
      <w:divBdr>
        <w:top w:val="none" w:sz="0" w:space="0" w:color="auto"/>
        <w:left w:val="none" w:sz="0" w:space="0" w:color="auto"/>
        <w:bottom w:val="none" w:sz="0" w:space="0" w:color="auto"/>
        <w:right w:val="none" w:sz="0" w:space="0" w:color="auto"/>
      </w:divBdr>
    </w:div>
    <w:div w:id="694043692">
      <w:bodyDiv w:val="1"/>
      <w:marLeft w:val="0"/>
      <w:marRight w:val="0"/>
      <w:marTop w:val="0"/>
      <w:marBottom w:val="0"/>
      <w:divBdr>
        <w:top w:val="none" w:sz="0" w:space="0" w:color="auto"/>
        <w:left w:val="none" w:sz="0" w:space="0" w:color="auto"/>
        <w:bottom w:val="none" w:sz="0" w:space="0" w:color="auto"/>
        <w:right w:val="none" w:sz="0" w:space="0" w:color="auto"/>
      </w:divBdr>
    </w:div>
    <w:div w:id="803810918">
      <w:bodyDiv w:val="1"/>
      <w:marLeft w:val="0"/>
      <w:marRight w:val="0"/>
      <w:marTop w:val="0"/>
      <w:marBottom w:val="0"/>
      <w:divBdr>
        <w:top w:val="none" w:sz="0" w:space="0" w:color="auto"/>
        <w:left w:val="none" w:sz="0" w:space="0" w:color="auto"/>
        <w:bottom w:val="none" w:sz="0" w:space="0" w:color="auto"/>
        <w:right w:val="none" w:sz="0" w:space="0" w:color="auto"/>
      </w:divBdr>
    </w:div>
    <w:div w:id="1088427953">
      <w:bodyDiv w:val="1"/>
      <w:marLeft w:val="0"/>
      <w:marRight w:val="0"/>
      <w:marTop w:val="0"/>
      <w:marBottom w:val="0"/>
      <w:divBdr>
        <w:top w:val="none" w:sz="0" w:space="0" w:color="auto"/>
        <w:left w:val="none" w:sz="0" w:space="0" w:color="auto"/>
        <w:bottom w:val="none" w:sz="0" w:space="0" w:color="auto"/>
        <w:right w:val="none" w:sz="0" w:space="0" w:color="auto"/>
      </w:divBdr>
    </w:div>
    <w:div w:id="1147816172">
      <w:bodyDiv w:val="1"/>
      <w:marLeft w:val="0"/>
      <w:marRight w:val="0"/>
      <w:marTop w:val="0"/>
      <w:marBottom w:val="0"/>
      <w:divBdr>
        <w:top w:val="none" w:sz="0" w:space="0" w:color="auto"/>
        <w:left w:val="none" w:sz="0" w:space="0" w:color="auto"/>
        <w:bottom w:val="none" w:sz="0" w:space="0" w:color="auto"/>
        <w:right w:val="none" w:sz="0" w:space="0" w:color="auto"/>
      </w:divBdr>
    </w:div>
    <w:div w:id="1263151826">
      <w:bodyDiv w:val="1"/>
      <w:marLeft w:val="0"/>
      <w:marRight w:val="0"/>
      <w:marTop w:val="0"/>
      <w:marBottom w:val="0"/>
      <w:divBdr>
        <w:top w:val="none" w:sz="0" w:space="0" w:color="auto"/>
        <w:left w:val="none" w:sz="0" w:space="0" w:color="auto"/>
        <w:bottom w:val="none" w:sz="0" w:space="0" w:color="auto"/>
        <w:right w:val="none" w:sz="0" w:space="0" w:color="auto"/>
      </w:divBdr>
    </w:div>
    <w:div w:id="1381052792">
      <w:bodyDiv w:val="1"/>
      <w:marLeft w:val="0"/>
      <w:marRight w:val="0"/>
      <w:marTop w:val="0"/>
      <w:marBottom w:val="0"/>
      <w:divBdr>
        <w:top w:val="none" w:sz="0" w:space="0" w:color="auto"/>
        <w:left w:val="none" w:sz="0" w:space="0" w:color="auto"/>
        <w:bottom w:val="none" w:sz="0" w:space="0" w:color="auto"/>
        <w:right w:val="none" w:sz="0" w:space="0" w:color="auto"/>
      </w:divBdr>
    </w:div>
    <w:div w:id="1558203755">
      <w:bodyDiv w:val="1"/>
      <w:marLeft w:val="0"/>
      <w:marRight w:val="0"/>
      <w:marTop w:val="0"/>
      <w:marBottom w:val="0"/>
      <w:divBdr>
        <w:top w:val="none" w:sz="0" w:space="0" w:color="auto"/>
        <w:left w:val="none" w:sz="0" w:space="0" w:color="auto"/>
        <w:bottom w:val="none" w:sz="0" w:space="0" w:color="auto"/>
        <w:right w:val="none" w:sz="0" w:space="0" w:color="auto"/>
      </w:divBdr>
    </w:div>
    <w:div w:id="1637563837">
      <w:bodyDiv w:val="1"/>
      <w:marLeft w:val="0"/>
      <w:marRight w:val="0"/>
      <w:marTop w:val="0"/>
      <w:marBottom w:val="0"/>
      <w:divBdr>
        <w:top w:val="none" w:sz="0" w:space="0" w:color="auto"/>
        <w:left w:val="none" w:sz="0" w:space="0" w:color="auto"/>
        <w:bottom w:val="none" w:sz="0" w:space="0" w:color="auto"/>
        <w:right w:val="none" w:sz="0" w:space="0" w:color="auto"/>
      </w:divBdr>
    </w:div>
    <w:div w:id="1659193266">
      <w:bodyDiv w:val="1"/>
      <w:marLeft w:val="0"/>
      <w:marRight w:val="0"/>
      <w:marTop w:val="0"/>
      <w:marBottom w:val="0"/>
      <w:divBdr>
        <w:top w:val="none" w:sz="0" w:space="0" w:color="auto"/>
        <w:left w:val="none" w:sz="0" w:space="0" w:color="auto"/>
        <w:bottom w:val="none" w:sz="0" w:space="0" w:color="auto"/>
        <w:right w:val="none" w:sz="0" w:space="0" w:color="auto"/>
      </w:divBdr>
    </w:div>
    <w:div w:id="1897466387">
      <w:bodyDiv w:val="1"/>
      <w:marLeft w:val="0"/>
      <w:marRight w:val="0"/>
      <w:marTop w:val="0"/>
      <w:marBottom w:val="0"/>
      <w:divBdr>
        <w:top w:val="none" w:sz="0" w:space="0" w:color="auto"/>
        <w:left w:val="none" w:sz="0" w:space="0" w:color="auto"/>
        <w:bottom w:val="none" w:sz="0" w:space="0" w:color="auto"/>
        <w:right w:val="none" w:sz="0" w:space="0" w:color="auto"/>
      </w:divBdr>
    </w:div>
    <w:div w:id="192698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www.cleanenergyregulator.gov.au/OSR/CP" TargetMode="External"/><Relationship Id="rId26" Type="http://schemas.openxmlformats.org/officeDocument/2006/relationships/hyperlink" Target="http://www.cleanenergyregulator.gov.au/OSR/CP"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yperlink" Target="http://www.cleanenergyregulator.gov.au/OSR/C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leanenergyregulator.gov.au/About/Policies-and-publications/fit-and-proper-person-posture" TargetMode="External"/><Relationship Id="rId20" Type="http://schemas.openxmlformats.org/officeDocument/2006/relationships/image" Target="media/image9.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cleanenergyregulator.gov.au/Infohub/Audits/register-of-auditor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leanenergyregulator.gov.au/ERF/Want-to-participate-in-the-Emissions-Reduction-Fund/Planning-a-project" TargetMode="External"/><Relationship Id="rId23" Type="http://schemas.openxmlformats.org/officeDocument/2006/relationships/hyperlink" Target="http://www.cleanenergyregulator.gov.au/OSR/ANREU/Opening-an-ANREU-account"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cleanenergyregulator.gov.au/OSR/CP"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cleanenergyregulator.gov.au/OSR/CP" TargetMode="External"/><Relationship Id="rId27" Type="http://schemas.openxmlformats.org/officeDocument/2006/relationships/hyperlink" Target="http://www.cleanenergyregulator.gov.au/ERF/Want-to-participate-in-the-Emissions-Reduction-Fund/Making-changes-to-your-project" TargetMode="External"/><Relationship Id="rId30" Type="http://schemas.openxmlformats.org/officeDocument/2006/relationships/footer" Target="footer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cleanenergyregulator.gov.au/ERF/Want-to-participate-in-the-Emissions-Reduction-Fund/Planning-a-project/regulatory-additionality-and-government-programs/regulatory-additionality-for-regulated-entities-with-state-or-territory-emission-reduction-or" TargetMode="External"/><Relationship Id="rId13" Type="http://schemas.openxmlformats.org/officeDocument/2006/relationships/hyperlink" Target="http://www.cleanenergyregulator.gov.au/OSR/ANREU/Opening-an-ANREU-account" TargetMode="External"/><Relationship Id="rId3" Type="http://schemas.openxmlformats.org/officeDocument/2006/relationships/hyperlink" Target="https://www.ipcc-nggip.iges.or.jp/public/2006gl/vol5.html" TargetMode="External"/><Relationship Id="rId7" Type="http://schemas.openxmlformats.org/officeDocument/2006/relationships/hyperlink" Target="http://www.cleanenergyregulator.gov.au/About/Policies-and-publications/fit-and-proper-person-posture" TargetMode="External"/><Relationship Id="rId12" Type="http://schemas.openxmlformats.org/officeDocument/2006/relationships/hyperlink" Target="https://www.energy.gov.au/publications/australian-energy-update-2020" TargetMode="External"/><Relationship Id="rId2" Type="http://schemas.openxmlformats.org/officeDocument/2006/relationships/hyperlink" Target="https://www.ipcc-nggip.iges.or.jp/public/2019rf/vol2.html" TargetMode="External"/><Relationship Id="rId1" Type="http://schemas.openxmlformats.org/officeDocument/2006/relationships/hyperlink" Target="http://www.cleanenergyregulator.gov.au/ERF/Want-to-participate-in-the-Emissions-Reduction-Fund/Step-2-Contracts-and-auctions/bidding-at-an-auction" TargetMode="External"/><Relationship Id="rId6" Type="http://schemas.openxmlformats.org/officeDocument/2006/relationships/hyperlink" Target="http://www.cleanenergyregulator.gov.au/ERF/Want-to-participate-in-the-Emissions-Reduction-Fund/Planning-a-project" TargetMode="External"/><Relationship Id="rId11" Type="http://schemas.openxmlformats.org/officeDocument/2006/relationships/hyperlink" Target="https://www.legislation.gov.au/Series/F2008L02309" TargetMode="External"/><Relationship Id="rId5" Type="http://schemas.openxmlformats.org/officeDocument/2006/relationships/hyperlink" Target="https://www.legislation.gov.au/Series/F2008L02309/Compilations" TargetMode="External"/><Relationship Id="rId15" Type="http://schemas.openxmlformats.org/officeDocument/2006/relationships/hyperlink" Target="https://www.legislation.gov.au/Details/F2020L00005/Supporting%20Material/Text" TargetMode="External"/><Relationship Id="rId10" Type="http://schemas.openxmlformats.org/officeDocument/2006/relationships/hyperlink" Target="https://www.researchgate.net/publication/347003218_Biogas-to-biomethane_upgrading_A_comparative_review_and_assessment_in_a_life_cycle_perspective" TargetMode="External"/><Relationship Id="rId4" Type="http://schemas.openxmlformats.org/officeDocument/2006/relationships/hyperlink" Target="https://www.minister.industry.gov.au/ministers/taylor/media-releases/new-erf-method-and-2022-priorities-announced" TargetMode="External"/><Relationship Id="rId9" Type="http://schemas.openxmlformats.org/officeDocument/2006/relationships/hyperlink" Target="http://www.cleanenergyregulator.gov.au/OSR/CP" TargetMode="External"/><Relationship Id="rId14" Type="http://schemas.openxmlformats.org/officeDocument/2006/relationships/hyperlink" Target="http://www.cleanenergyregulator.gov.au/Infohub/Audits/register-of-audi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93AB9-E09C-4F8D-91A8-3B507AC5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8706</Words>
  <Characters>49630</Characters>
  <Application>Microsoft Office Word</Application>
  <DocSecurity>0</DocSecurity>
  <Lines>413</Lines>
  <Paragraphs>116</Paragraphs>
  <ScaleCrop>false</ScaleCrop>
  <Company/>
  <LinksUpToDate>false</LinksUpToDate>
  <CharactersWithSpaces>58220</CharactersWithSpaces>
  <SharedDoc>false</SharedDoc>
  <HLinks>
    <vt:vector size="300" baseType="variant">
      <vt:variant>
        <vt:i4>6029382</vt:i4>
      </vt:variant>
      <vt:variant>
        <vt:i4>258</vt:i4>
      </vt:variant>
      <vt:variant>
        <vt:i4>0</vt:i4>
      </vt:variant>
      <vt:variant>
        <vt:i4>5</vt:i4>
      </vt:variant>
      <vt:variant>
        <vt:lpwstr>http://www.cleanenergyregulator.gov.au/OSR/CP</vt:lpwstr>
      </vt:variant>
      <vt:variant>
        <vt:lpwstr/>
      </vt:variant>
      <vt:variant>
        <vt:i4>5570624</vt:i4>
      </vt:variant>
      <vt:variant>
        <vt:i4>252</vt:i4>
      </vt:variant>
      <vt:variant>
        <vt:i4>0</vt:i4>
      </vt:variant>
      <vt:variant>
        <vt:i4>5</vt:i4>
      </vt:variant>
      <vt:variant>
        <vt:lpwstr>http://www.cleanenergyregulator.gov.au/OSR/ANREU/Opening-an-ANREU-account</vt:lpwstr>
      </vt:variant>
      <vt:variant>
        <vt:lpwstr/>
      </vt:variant>
      <vt:variant>
        <vt:i4>6029382</vt:i4>
      </vt:variant>
      <vt:variant>
        <vt:i4>249</vt:i4>
      </vt:variant>
      <vt:variant>
        <vt:i4>0</vt:i4>
      </vt:variant>
      <vt:variant>
        <vt:i4>5</vt:i4>
      </vt:variant>
      <vt:variant>
        <vt:lpwstr>http://www.cleanenergyregulator.gov.au/OSR/CP</vt:lpwstr>
      </vt:variant>
      <vt:variant>
        <vt:lpwstr/>
      </vt:variant>
      <vt:variant>
        <vt:i4>6553649</vt:i4>
      </vt:variant>
      <vt:variant>
        <vt:i4>246</vt:i4>
      </vt:variant>
      <vt:variant>
        <vt:i4>0</vt:i4>
      </vt:variant>
      <vt:variant>
        <vt:i4>5</vt:i4>
      </vt:variant>
      <vt:variant>
        <vt:lpwstr>http://www.cleanenergyregulator.gov.au/ERF/Want-to-participate-in-the-Emissions-Reduction-Fund/Planning-a-project/regulatory-additionality-and-government-programs/regulatory-additionality-for-regulated-entities-with-state-or-territory-emission-reduction-or-offsetting-requirements</vt:lpwstr>
      </vt:variant>
      <vt:variant>
        <vt:lpwstr/>
      </vt:variant>
      <vt:variant>
        <vt:i4>1376343</vt:i4>
      </vt:variant>
      <vt:variant>
        <vt:i4>243</vt:i4>
      </vt:variant>
      <vt:variant>
        <vt:i4>0</vt:i4>
      </vt:variant>
      <vt:variant>
        <vt:i4>5</vt:i4>
      </vt:variant>
      <vt:variant>
        <vt:lpwstr>http://www.cleanenergyregulator.gov.au/About/Policies-and-publications/fit-and-proper-person-posture</vt:lpwstr>
      </vt:variant>
      <vt:variant>
        <vt:lpwstr/>
      </vt:variant>
      <vt:variant>
        <vt:i4>1310730</vt:i4>
      </vt:variant>
      <vt:variant>
        <vt:i4>240</vt:i4>
      </vt:variant>
      <vt:variant>
        <vt:i4>0</vt:i4>
      </vt:variant>
      <vt:variant>
        <vt:i4>5</vt:i4>
      </vt:variant>
      <vt:variant>
        <vt:lpwstr>http://www.cleanenergyregulator.gov.au/ERF/Want-to-participate-in-the-Emissions-Reduction-Fund/Planning-a-project</vt:lpwstr>
      </vt:variant>
      <vt:variant>
        <vt:lpwstr/>
      </vt:variant>
      <vt:variant>
        <vt:i4>1835060</vt:i4>
      </vt:variant>
      <vt:variant>
        <vt:i4>230</vt:i4>
      </vt:variant>
      <vt:variant>
        <vt:i4>0</vt:i4>
      </vt:variant>
      <vt:variant>
        <vt:i4>5</vt:i4>
      </vt:variant>
      <vt:variant>
        <vt:lpwstr/>
      </vt:variant>
      <vt:variant>
        <vt:lpwstr>_Toc57372902</vt:lpwstr>
      </vt:variant>
      <vt:variant>
        <vt:i4>2031668</vt:i4>
      </vt:variant>
      <vt:variant>
        <vt:i4>224</vt:i4>
      </vt:variant>
      <vt:variant>
        <vt:i4>0</vt:i4>
      </vt:variant>
      <vt:variant>
        <vt:i4>5</vt:i4>
      </vt:variant>
      <vt:variant>
        <vt:lpwstr/>
      </vt:variant>
      <vt:variant>
        <vt:lpwstr>_Toc57372901</vt:lpwstr>
      </vt:variant>
      <vt:variant>
        <vt:i4>1966132</vt:i4>
      </vt:variant>
      <vt:variant>
        <vt:i4>218</vt:i4>
      </vt:variant>
      <vt:variant>
        <vt:i4>0</vt:i4>
      </vt:variant>
      <vt:variant>
        <vt:i4>5</vt:i4>
      </vt:variant>
      <vt:variant>
        <vt:lpwstr/>
      </vt:variant>
      <vt:variant>
        <vt:lpwstr>_Toc57372900</vt:lpwstr>
      </vt:variant>
      <vt:variant>
        <vt:i4>1441853</vt:i4>
      </vt:variant>
      <vt:variant>
        <vt:i4>212</vt:i4>
      </vt:variant>
      <vt:variant>
        <vt:i4>0</vt:i4>
      </vt:variant>
      <vt:variant>
        <vt:i4>5</vt:i4>
      </vt:variant>
      <vt:variant>
        <vt:lpwstr/>
      </vt:variant>
      <vt:variant>
        <vt:lpwstr>_Toc57372899</vt:lpwstr>
      </vt:variant>
      <vt:variant>
        <vt:i4>1507389</vt:i4>
      </vt:variant>
      <vt:variant>
        <vt:i4>206</vt:i4>
      </vt:variant>
      <vt:variant>
        <vt:i4>0</vt:i4>
      </vt:variant>
      <vt:variant>
        <vt:i4>5</vt:i4>
      </vt:variant>
      <vt:variant>
        <vt:lpwstr/>
      </vt:variant>
      <vt:variant>
        <vt:lpwstr>_Toc57372898</vt:lpwstr>
      </vt:variant>
      <vt:variant>
        <vt:i4>1572925</vt:i4>
      </vt:variant>
      <vt:variant>
        <vt:i4>200</vt:i4>
      </vt:variant>
      <vt:variant>
        <vt:i4>0</vt:i4>
      </vt:variant>
      <vt:variant>
        <vt:i4>5</vt:i4>
      </vt:variant>
      <vt:variant>
        <vt:lpwstr/>
      </vt:variant>
      <vt:variant>
        <vt:lpwstr>_Toc57372897</vt:lpwstr>
      </vt:variant>
      <vt:variant>
        <vt:i4>1638461</vt:i4>
      </vt:variant>
      <vt:variant>
        <vt:i4>194</vt:i4>
      </vt:variant>
      <vt:variant>
        <vt:i4>0</vt:i4>
      </vt:variant>
      <vt:variant>
        <vt:i4>5</vt:i4>
      </vt:variant>
      <vt:variant>
        <vt:lpwstr/>
      </vt:variant>
      <vt:variant>
        <vt:lpwstr>_Toc57372896</vt:lpwstr>
      </vt:variant>
      <vt:variant>
        <vt:i4>1703997</vt:i4>
      </vt:variant>
      <vt:variant>
        <vt:i4>188</vt:i4>
      </vt:variant>
      <vt:variant>
        <vt:i4>0</vt:i4>
      </vt:variant>
      <vt:variant>
        <vt:i4>5</vt:i4>
      </vt:variant>
      <vt:variant>
        <vt:lpwstr/>
      </vt:variant>
      <vt:variant>
        <vt:lpwstr>_Toc57372895</vt:lpwstr>
      </vt:variant>
      <vt:variant>
        <vt:i4>1769533</vt:i4>
      </vt:variant>
      <vt:variant>
        <vt:i4>182</vt:i4>
      </vt:variant>
      <vt:variant>
        <vt:i4>0</vt:i4>
      </vt:variant>
      <vt:variant>
        <vt:i4>5</vt:i4>
      </vt:variant>
      <vt:variant>
        <vt:lpwstr/>
      </vt:variant>
      <vt:variant>
        <vt:lpwstr>_Toc57372894</vt:lpwstr>
      </vt:variant>
      <vt:variant>
        <vt:i4>1835069</vt:i4>
      </vt:variant>
      <vt:variant>
        <vt:i4>176</vt:i4>
      </vt:variant>
      <vt:variant>
        <vt:i4>0</vt:i4>
      </vt:variant>
      <vt:variant>
        <vt:i4>5</vt:i4>
      </vt:variant>
      <vt:variant>
        <vt:lpwstr/>
      </vt:variant>
      <vt:variant>
        <vt:lpwstr>_Toc57372893</vt:lpwstr>
      </vt:variant>
      <vt:variant>
        <vt:i4>1900605</vt:i4>
      </vt:variant>
      <vt:variant>
        <vt:i4>170</vt:i4>
      </vt:variant>
      <vt:variant>
        <vt:i4>0</vt:i4>
      </vt:variant>
      <vt:variant>
        <vt:i4>5</vt:i4>
      </vt:variant>
      <vt:variant>
        <vt:lpwstr/>
      </vt:variant>
      <vt:variant>
        <vt:lpwstr>_Toc57372892</vt:lpwstr>
      </vt:variant>
      <vt:variant>
        <vt:i4>1966141</vt:i4>
      </vt:variant>
      <vt:variant>
        <vt:i4>164</vt:i4>
      </vt:variant>
      <vt:variant>
        <vt:i4>0</vt:i4>
      </vt:variant>
      <vt:variant>
        <vt:i4>5</vt:i4>
      </vt:variant>
      <vt:variant>
        <vt:lpwstr/>
      </vt:variant>
      <vt:variant>
        <vt:lpwstr>_Toc57372891</vt:lpwstr>
      </vt:variant>
      <vt:variant>
        <vt:i4>2031677</vt:i4>
      </vt:variant>
      <vt:variant>
        <vt:i4>158</vt:i4>
      </vt:variant>
      <vt:variant>
        <vt:i4>0</vt:i4>
      </vt:variant>
      <vt:variant>
        <vt:i4>5</vt:i4>
      </vt:variant>
      <vt:variant>
        <vt:lpwstr/>
      </vt:variant>
      <vt:variant>
        <vt:lpwstr>_Toc57372890</vt:lpwstr>
      </vt:variant>
      <vt:variant>
        <vt:i4>1441852</vt:i4>
      </vt:variant>
      <vt:variant>
        <vt:i4>152</vt:i4>
      </vt:variant>
      <vt:variant>
        <vt:i4>0</vt:i4>
      </vt:variant>
      <vt:variant>
        <vt:i4>5</vt:i4>
      </vt:variant>
      <vt:variant>
        <vt:lpwstr/>
      </vt:variant>
      <vt:variant>
        <vt:lpwstr>_Toc57372889</vt:lpwstr>
      </vt:variant>
      <vt:variant>
        <vt:i4>1507388</vt:i4>
      </vt:variant>
      <vt:variant>
        <vt:i4>146</vt:i4>
      </vt:variant>
      <vt:variant>
        <vt:i4>0</vt:i4>
      </vt:variant>
      <vt:variant>
        <vt:i4>5</vt:i4>
      </vt:variant>
      <vt:variant>
        <vt:lpwstr/>
      </vt:variant>
      <vt:variant>
        <vt:lpwstr>_Toc57372888</vt:lpwstr>
      </vt:variant>
      <vt:variant>
        <vt:i4>1572924</vt:i4>
      </vt:variant>
      <vt:variant>
        <vt:i4>140</vt:i4>
      </vt:variant>
      <vt:variant>
        <vt:i4>0</vt:i4>
      </vt:variant>
      <vt:variant>
        <vt:i4>5</vt:i4>
      </vt:variant>
      <vt:variant>
        <vt:lpwstr/>
      </vt:variant>
      <vt:variant>
        <vt:lpwstr>_Toc57372887</vt:lpwstr>
      </vt:variant>
      <vt:variant>
        <vt:i4>1638460</vt:i4>
      </vt:variant>
      <vt:variant>
        <vt:i4>134</vt:i4>
      </vt:variant>
      <vt:variant>
        <vt:i4>0</vt:i4>
      </vt:variant>
      <vt:variant>
        <vt:i4>5</vt:i4>
      </vt:variant>
      <vt:variant>
        <vt:lpwstr/>
      </vt:variant>
      <vt:variant>
        <vt:lpwstr>_Toc57372886</vt:lpwstr>
      </vt:variant>
      <vt:variant>
        <vt:i4>1703996</vt:i4>
      </vt:variant>
      <vt:variant>
        <vt:i4>128</vt:i4>
      </vt:variant>
      <vt:variant>
        <vt:i4>0</vt:i4>
      </vt:variant>
      <vt:variant>
        <vt:i4>5</vt:i4>
      </vt:variant>
      <vt:variant>
        <vt:lpwstr/>
      </vt:variant>
      <vt:variant>
        <vt:lpwstr>_Toc57372885</vt:lpwstr>
      </vt:variant>
      <vt:variant>
        <vt:i4>1769532</vt:i4>
      </vt:variant>
      <vt:variant>
        <vt:i4>122</vt:i4>
      </vt:variant>
      <vt:variant>
        <vt:i4>0</vt:i4>
      </vt:variant>
      <vt:variant>
        <vt:i4>5</vt:i4>
      </vt:variant>
      <vt:variant>
        <vt:lpwstr/>
      </vt:variant>
      <vt:variant>
        <vt:lpwstr>_Toc57372884</vt:lpwstr>
      </vt:variant>
      <vt:variant>
        <vt:i4>1835068</vt:i4>
      </vt:variant>
      <vt:variant>
        <vt:i4>116</vt:i4>
      </vt:variant>
      <vt:variant>
        <vt:i4>0</vt:i4>
      </vt:variant>
      <vt:variant>
        <vt:i4>5</vt:i4>
      </vt:variant>
      <vt:variant>
        <vt:lpwstr/>
      </vt:variant>
      <vt:variant>
        <vt:lpwstr>_Toc57372883</vt:lpwstr>
      </vt:variant>
      <vt:variant>
        <vt:i4>1900604</vt:i4>
      </vt:variant>
      <vt:variant>
        <vt:i4>110</vt:i4>
      </vt:variant>
      <vt:variant>
        <vt:i4>0</vt:i4>
      </vt:variant>
      <vt:variant>
        <vt:i4>5</vt:i4>
      </vt:variant>
      <vt:variant>
        <vt:lpwstr/>
      </vt:variant>
      <vt:variant>
        <vt:lpwstr>_Toc57372882</vt:lpwstr>
      </vt:variant>
      <vt:variant>
        <vt:i4>1966140</vt:i4>
      </vt:variant>
      <vt:variant>
        <vt:i4>104</vt:i4>
      </vt:variant>
      <vt:variant>
        <vt:i4>0</vt:i4>
      </vt:variant>
      <vt:variant>
        <vt:i4>5</vt:i4>
      </vt:variant>
      <vt:variant>
        <vt:lpwstr/>
      </vt:variant>
      <vt:variant>
        <vt:lpwstr>_Toc57372881</vt:lpwstr>
      </vt:variant>
      <vt:variant>
        <vt:i4>2031676</vt:i4>
      </vt:variant>
      <vt:variant>
        <vt:i4>98</vt:i4>
      </vt:variant>
      <vt:variant>
        <vt:i4>0</vt:i4>
      </vt:variant>
      <vt:variant>
        <vt:i4>5</vt:i4>
      </vt:variant>
      <vt:variant>
        <vt:lpwstr/>
      </vt:variant>
      <vt:variant>
        <vt:lpwstr>_Toc57372880</vt:lpwstr>
      </vt:variant>
      <vt:variant>
        <vt:i4>1441843</vt:i4>
      </vt:variant>
      <vt:variant>
        <vt:i4>92</vt:i4>
      </vt:variant>
      <vt:variant>
        <vt:i4>0</vt:i4>
      </vt:variant>
      <vt:variant>
        <vt:i4>5</vt:i4>
      </vt:variant>
      <vt:variant>
        <vt:lpwstr/>
      </vt:variant>
      <vt:variant>
        <vt:lpwstr>_Toc57372879</vt:lpwstr>
      </vt:variant>
      <vt:variant>
        <vt:i4>1507379</vt:i4>
      </vt:variant>
      <vt:variant>
        <vt:i4>86</vt:i4>
      </vt:variant>
      <vt:variant>
        <vt:i4>0</vt:i4>
      </vt:variant>
      <vt:variant>
        <vt:i4>5</vt:i4>
      </vt:variant>
      <vt:variant>
        <vt:lpwstr/>
      </vt:variant>
      <vt:variant>
        <vt:lpwstr>_Toc57372878</vt:lpwstr>
      </vt:variant>
      <vt:variant>
        <vt:i4>1572915</vt:i4>
      </vt:variant>
      <vt:variant>
        <vt:i4>80</vt:i4>
      </vt:variant>
      <vt:variant>
        <vt:i4>0</vt:i4>
      </vt:variant>
      <vt:variant>
        <vt:i4>5</vt:i4>
      </vt:variant>
      <vt:variant>
        <vt:lpwstr/>
      </vt:variant>
      <vt:variant>
        <vt:lpwstr>_Toc57372877</vt:lpwstr>
      </vt:variant>
      <vt:variant>
        <vt:i4>1638451</vt:i4>
      </vt:variant>
      <vt:variant>
        <vt:i4>74</vt:i4>
      </vt:variant>
      <vt:variant>
        <vt:i4>0</vt:i4>
      </vt:variant>
      <vt:variant>
        <vt:i4>5</vt:i4>
      </vt:variant>
      <vt:variant>
        <vt:lpwstr/>
      </vt:variant>
      <vt:variant>
        <vt:lpwstr>_Toc57372876</vt:lpwstr>
      </vt:variant>
      <vt:variant>
        <vt:i4>1703987</vt:i4>
      </vt:variant>
      <vt:variant>
        <vt:i4>68</vt:i4>
      </vt:variant>
      <vt:variant>
        <vt:i4>0</vt:i4>
      </vt:variant>
      <vt:variant>
        <vt:i4>5</vt:i4>
      </vt:variant>
      <vt:variant>
        <vt:lpwstr/>
      </vt:variant>
      <vt:variant>
        <vt:lpwstr>_Toc57372875</vt:lpwstr>
      </vt:variant>
      <vt:variant>
        <vt:i4>1769523</vt:i4>
      </vt:variant>
      <vt:variant>
        <vt:i4>62</vt:i4>
      </vt:variant>
      <vt:variant>
        <vt:i4>0</vt:i4>
      </vt:variant>
      <vt:variant>
        <vt:i4>5</vt:i4>
      </vt:variant>
      <vt:variant>
        <vt:lpwstr/>
      </vt:variant>
      <vt:variant>
        <vt:lpwstr>_Toc57372874</vt:lpwstr>
      </vt:variant>
      <vt:variant>
        <vt:i4>1835059</vt:i4>
      </vt:variant>
      <vt:variant>
        <vt:i4>56</vt:i4>
      </vt:variant>
      <vt:variant>
        <vt:i4>0</vt:i4>
      </vt:variant>
      <vt:variant>
        <vt:i4>5</vt:i4>
      </vt:variant>
      <vt:variant>
        <vt:lpwstr/>
      </vt:variant>
      <vt:variant>
        <vt:lpwstr>_Toc57372873</vt:lpwstr>
      </vt:variant>
      <vt:variant>
        <vt:i4>1900595</vt:i4>
      </vt:variant>
      <vt:variant>
        <vt:i4>50</vt:i4>
      </vt:variant>
      <vt:variant>
        <vt:i4>0</vt:i4>
      </vt:variant>
      <vt:variant>
        <vt:i4>5</vt:i4>
      </vt:variant>
      <vt:variant>
        <vt:lpwstr/>
      </vt:variant>
      <vt:variant>
        <vt:lpwstr>_Toc57372872</vt:lpwstr>
      </vt:variant>
      <vt:variant>
        <vt:i4>1966131</vt:i4>
      </vt:variant>
      <vt:variant>
        <vt:i4>44</vt:i4>
      </vt:variant>
      <vt:variant>
        <vt:i4>0</vt:i4>
      </vt:variant>
      <vt:variant>
        <vt:i4>5</vt:i4>
      </vt:variant>
      <vt:variant>
        <vt:lpwstr/>
      </vt:variant>
      <vt:variant>
        <vt:lpwstr>_Toc57372871</vt:lpwstr>
      </vt:variant>
      <vt:variant>
        <vt:i4>2031667</vt:i4>
      </vt:variant>
      <vt:variant>
        <vt:i4>38</vt:i4>
      </vt:variant>
      <vt:variant>
        <vt:i4>0</vt:i4>
      </vt:variant>
      <vt:variant>
        <vt:i4>5</vt:i4>
      </vt:variant>
      <vt:variant>
        <vt:lpwstr/>
      </vt:variant>
      <vt:variant>
        <vt:lpwstr>_Toc57372870</vt:lpwstr>
      </vt:variant>
      <vt:variant>
        <vt:i4>1441842</vt:i4>
      </vt:variant>
      <vt:variant>
        <vt:i4>32</vt:i4>
      </vt:variant>
      <vt:variant>
        <vt:i4>0</vt:i4>
      </vt:variant>
      <vt:variant>
        <vt:i4>5</vt:i4>
      </vt:variant>
      <vt:variant>
        <vt:lpwstr/>
      </vt:variant>
      <vt:variant>
        <vt:lpwstr>_Toc57372869</vt:lpwstr>
      </vt:variant>
      <vt:variant>
        <vt:i4>1507378</vt:i4>
      </vt:variant>
      <vt:variant>
        <vt:i4>26</vt:i4>
      </vt:variant>
      <vt:variant>
        <vt:i4>0</vt:i4>
      </vt:variant>
      <vt:variant>
        <vt:i4>5</vt:i4>
      </vt:variant>
      <vt:variant>
        <vt:lpwstr/>
      </vt:variant>
      <vt:variant>
        <vt:lpwstr>_Toc57372868</vt:lpwstr>
      </vt:variant>
      <vt:variant>
        <vt:i4>1572914</vt:i4>
      </vt:variant>
      <vt:variant>
        <vt:i4>20</vt:i4>
      </vt:variant>
      <vt:variant>
        <vt:i4>0</vt:i4>
      </vt:variant>
      <vt:variant>
        <vt:i4>5</vt:i4>
      </vt:variant>
      <vt:variant>
        <vt:lpwstr/>
      </vt:variant>
      <vt:variant>
        <vt:lpwstr>_Toc57372867</vt:lpwstr>
      </vt:variant>
      <vt:variant>
        <vt:i4>1638450</vt:i4>
      </vt:variant>
      <vt:variant>
        <vt:i4>14</vt:i4>
      </vt:variant>
      <vt:variant>
        <vt:i4>0</vt:i4>
      </vt:variant>
      <vt:variant>
        <vt:i4>5</vt:i4>
      </vt:variant>
      <vt:variant>
        <vt:lpwstr/>
      </vt:variant>
      <vt:variant>
        <vt:lpwstr>_Toc57372866</vt:lpwstr>
      </vt:variant>
      <vt:variant>
        <vt:i4>1703986</vt:i4>
      </vt:variant>
      <vt:variant>
        <vt:i4>8</vt:i4>
      </vt:variant>
      <vt:variant>
        <vt:i4>0</vt:i4>
      </vt:variant>
      <vt:variant>
        <vt:i4>5</vt:i4>
      </vt:variant>
      <vt:variant>
        <vt:lpwstr/>
      </vt:variant>
      <vt:variant>
        <vt:lpwstr>_Toc57372865</vt:lpwstr>
      </vt:variant>
      <vt:variant>
        <vt:i4>1769522</vt:i4>
      </vt:variant>
      <vt:variant>
        <vt:i4>2</vt:i4>
      </vt:variant>
      <vt:variant>
        <vt:i4>0</vt:i4>
      </vt:variant>
      <vt:variant>
        <vt:i4>5</vt:i4>
      </vt:variant>
      <vt:variant>
        <vt:lpwstr/>
      </vt:variant>
      <vt:variant>
        <vt:lpwstr>_Toc57372864</vt:lpwstr>
      </vt:variant>
      <vt:variant>
        <vt:i4>5570624</vt:i4>
      </vt:variant>
      <vt:variant>
        <vt:i4>12</vt:i4>
      </vt:variant>
      <vt:variant>
        <vt:i4>0</vt:i4>
      </vt:variant>
      <vt:variant>
        <vt:i4>5</vt:i4>
      </vt:variant>
      <vt:variant>
        <vt:lpwstr>http://www.cleanenergyregulator.gov.au/OSR/ANREU/Opening-an-ANREU-account</vt:lpwstr>
      </vt:variant>
      <vt:variant>
        <vt:lpwstr/>
      </vt:variant>
      <vt:variant>
        <vt:i4>6029382</vt:i4>
      </vt:variant>
      <vt:variant>
        <vt:i4>9</vt:i4>
      </vt:variant>
      <vt:variant>
        <vt:i4>0</vt:i4>
      </vt:variant>
      <vt:variant>
        <vt:i4>5</vt:i4>
      </vt:variant>
      <vt:variant>
        <vt:lpwstr>http://www.cleanenergyregulator.gov.au/OSR/CP</vt:lpwstr>
      </vt:variant>
      <vt:variant>
        <vt:lpwstr/>
      </vt:variant>
      <vt:variant>
        <vt:i4>1376343</vt:i4>
      </vt:variant>
      <vt:variant>
        <vt:i4>6</vt:i4>
      </vt:variant>
      <vt:variant>
        <vt:i4>0</vt:i4>
      </vt:variant>
      <vt:variant>
        <vt:i4>5</vt:i4>
      </vt:variant>
      <vt:variant>
        <vt:lpwstr>http://www.cleanenergyregulator.gov.au/About/Policies-and-publications/fit-and-proper-person-posture</vt:lpwstr>
      </vt:variant>
      <vt:variant>
        <vt:lpwstr/>
      </vt:variant>
      <vt:variant>
        <vt:i4>1310730</vt:i4>
      </vt:variant>
      <vt:variant>
        <vt:i4>3</vt:i4>
      </vt:variant>
      <vt:variant>
        <vt:i4>0</vt:i4>
      </vt:variant>
      <vt:variant>
        <vt:i4>5</vt:i4>
      </vt:variant>
      <vt:variant>
        <vt:lpwstr>http://www.cleanenergyregulator.gov.au/ERF/Want-to-participate-in-the-Emissions-Reduction-Fund/Planning-a-project</vt:lpwstr>
      </vt:variant>
      <vt:variant>
        <vt:lpwstr/>
      </vt:variant>
      <vt:variant>
        <vt:i4>3801203</vt:i4>
      </vt:variant>
      <vt:variant>
        <vt:i4>0</vt:i4>
      </vt:variant>
      <vt:variant>
        <vt:i4>0</vt:i4>
      </vt:variant>
      <vt:variant>
        <vt:i4>5</vt:i4>
      </vt:variant>
      <vt:variant>
        <vt:lpwstr>http://www.cleanenergyregulator.gov.au/ERF/Want-to-participate-in-the-Emissions-Reduction-Fund/Step-2-Contracts-and-auctions/bidding-at-an-auction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2021-11-01T05:50:00Z</dcterms:created>
  <dcterms:modified xsi:type="dcterms:W3CDTF">2021-11-01T05:50:00Z</dcterms:modified>
</cp:coreProperties>
</file>