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F7D58" w14:textId="77777777" w:rsidR="00E15BFF" w:rsidRPr="000A5065" w:rsidRDefault="00E15BFF">
      <w:pPr>
        <w:spacing w:line="240" w:lineRule="auto"/>
        <w:rPr>
          <w:rFonts w:ascii="Arial" w:hAnsi="Arial"/>
          <w:sz w:val="19"/>
          <w:highlight w:val="yellow"/>
        </w:rPr>
      </w:pPr>
    </w:p>
    <w:p w14:paraId="400F7D59" w14:textId="77777777" w:rsidR="00E15BFF" w:rsidRPr="00216966" w:rsidRDefault="00E15BFF" w:rsidP="00E15BFF">
      <w:pPr>
        <w:pStyle w:val="ttCrest"/>
        <w:rPr>
          <w:sz w:val="19"/>
        </w:rPr>
      </w:pPr>
    </w:p>
    <w:p w14:paraId="400F7D5A" w14:textId="77777777" w:rsidR="00E15BFF" w:rsidRPr="00122E37" w:rsidRDefault="00E15BFF" w:rsidP="00E15BFF">
      <w:pPr>
        <w:pStyle w:val="ttCrest"/>
        <w:rPr>
          <w:sz w:val="19"/>
        </w:rPr>
      </w:pPr>
      <w:r w:rsidRPr="00122E37">
        <w:rPr>
          <w:noProof/>
          <w:lang w:eastAsia="zh-CN"/>
        </w:rPr>
        <w:drawing>
          <wp:inline distT="0" distB="0" distL="0" distR="0" wp14:anchorId="400F7FF7" wp14:editId="400F7FF8">
            <wp:extent cx="1500505" cy="11004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0505" cy="1100455"/>
                    </a:xfrm>
                    <a:prstGeom prst="rect">
                      <a:avLst/>
                    </a:prstGeom>
                    <a:noFill/>
                    <a:ln>
                      <a:noFill/>
                    </a:ln>
                  </pic:spPr>
                </pic:pic>
              </a:graphicData>
            </a:graphic>
          </wp:inline>
        </w:drawing>
      </w:r>
    </w:p>
    <w:p w14:paraId="400F7D5B" w14:textId="3CBFAFAC" w:rsidR="00E15BFF" w:rsidRPr="00122E37" w:rsidRDefault="00E15BFF" w:rsidP="00E15BFF">
      <w:pPr>
        <w:pStyle w:val="ShortT"/>
      </w:pPr>
      <w:r w:rsidRPr="00122E37">
        <w:t>Supplement to the Carbon Credits (Carbon Farming Initiative—Animal Effluent Management</w:t>
      </w:r>
      <w:r w:rsidR="00F20EC9" w:rsidRPr="00122E37">
        <w:t xml:space="preserve">) Methodology Determination </w:t>
      </w:r>
      <w:r w:rsidR="00274049" w:rsidRPr="000A5065">
        <w:rPr>
          <w:highlight w:val="yellow"/>
        </w:rPr>
        <w:t>Variation 2021</w:t>
      </w:r>
    </w:p>
    <w:p w14:paraId="400F7D5C" w14:textId="77777777" w:rsidR="001F3358" w:rsidRPr="00122E37" w:rsidRDefault="001F3358" w:rsidP="001F3358">
      <w:pPr>
        <w:rPr>
          <w:lang w:eastAsia="en-AU"/>
        </w:rPr>
      </w:pPr>
    </w:p>
    <w:p w14:paraId="400F7D5D" w14:textId="77777777" w:rsidR="001F3358" w:rsidRPr="00122E37" w:rsidRDefault="001F3358" w:rsidP="001F3358">
      <w:pPr>
        <w:rPr>
          <w:lang w:eastAsia="en-AU"/>
        </w:rPr>
      </w:pPr>
    </w:p>
    <w:p w14:paraId="400F7D5E" w14:textId="77777777" w:rsidR="00A97CA4" w:rsidRPr="00122E37" w:rsidRDefault="00A97CA4" w:rsidP="001F3358">
      <w:pPr>
        <w:rPr>
          <w:lang w:eastAsia="en-AU"/>
        </w:rPr>
      </w:pPr>
    </w:p>
    <w:p w14:paraId="75F851BC" w14:textId="77777777" w:rsidR="005B71B9" w:rsidRPr="000A5065" w:rsidRDefault="005B71B9" w:rsidP="000A5065">
      <w:pPr>
        <w:spacing w:line="240" w:lineRule="auto"/>
        <w:rPr>
          <w:highlight w:val="yellow"/>
          <w:lang w:eastAsia="en-AU"/>
        </w:rPr>
      </w:pPr>
    </w:p>
    <w:tbl>
      <w:tblPr>
        <w:tblStyle w:val="TableGrid"/>
        <w:tblW w:w="0" w:type="auto"/>
        <w:tblLook w:val="04A0" w:firstRow="1" w:lastRow="0" w:firstColumn="1" w:lastColumn="0" w:noHBand="0" w:noVBand="1"/>
      </w:tblPr>
      <w:tblGrid>
        <w:gridCol w:w="9016"/>
      </w:tblGrid>
      <w:tr w:rsidR="00274049" w:rsidRPr="000A5065" w14:paraId="2888CA7D" w14:textId="77777777" w:rsidTr="00111062">
        <w:tc>
          <w:tcPr>
            <w:tcW w:w="9016" w:type="dxa"/>
            <w:shd w:val="clear" w:color="auto" w:fill="FFFF99"/>
          </w:tcPr>
          <w:p w14:paraId="425E80A3" w14:textId="77777777" w:rsidR="00274049" w:rsidRPr="000A5065" w:rsidRDefault="00274049" w:rsidP="00111062">
            <w:pPr>
              <w:jc w:val="center"/>
              <w:rPr>
                <w:rFonts w:eastAsiaTheme="minorHAnsi"/>
                <w:sz w:val="40"/>
                <w:szCs w:val="40"/>
                <w:highlight w:val="yellow"/>
              </w:rPr>
            </w:pPr>
          </w:p>
          <w:p w14:paraId="3E79CF72" w14:textId="77777777" w:rsidR="00274049" w:rsidRPr="00111062" w:rsidRDefault="00274049" w:rsidP="00111062">
            <w:pPr>
              <w:jc w:val="center"/>
              <w:rPr>
                <w:sz w:val="36"/>
                <w:szCs w:val="36"/>
              </w:rPr>
            </w:pPr>
            <w:r w:rsidRPr="00111062">
              <w:rPr>
                <w:sz w:val="36"/>
                <w:szCs w:val="36"/>
              </w:rPr>
              <w:t>Biomethane variation – Public Consultation Draft</w:t>
            </w:r>
          </w:p>
          <w:p w14:paraId="62182746" w14:textId="77777777" w:rsidR="00274049" w:rsidRPr="00111062" w:rsidRDefault="00274049" w:rsidP="00111062">
            <w:pPr>
              <w:jc w:val="center"/>
              <w:rPr>
                <w:sz w:val="20"/>
              </w:rPr>
            </w:pPr>
            <w:r w:rsidRPr="00111062">
              <w:rPr>
                <w:sz w:val="20"/>
              </w:rPr>
              <w:t>This draft shows the</w:t>
            </w:r>
          </w:p>
          <w:p w14:paraId="53A7809F" w14:textId="31D5ACD4" w:rsidR="00274049" w:rsidRPr="00111062" w:rsidRDefault="00274049" w:rsidP="00111062">
            <w:pPr>
              <w:jc w:val="center"/>
              <w:rPr>
                <w:i/>
                <w:sz w:val="20"/>
              </w:rPr>
            </w:pPr>
            <w:r w:rsidRPr="00111062">
              <w:rPr>
                <w:sz w:val="20"/>
              </w:rPr>
              <w:t xml:space="preserve"> </w:t>
            </w:r>
            <w:r w:rsidRPr="00111062">
              <w:rPr>
                <w:i/>
                <w:sz w:val="20"/>
              </w:rPr>
              <w:t>Supplement to the Carbon Credits (Carbon Farming Initiative—Animal Effluent Management) Methodology Determination 2019</w:t>
            </w:r>
          </w:p>
          <w:p w14:paraId="5BFE2595" w14:textId="77777777" w:rsidR="00274049" w:rsidRPr="00111062" w:rsidRDefault="00274049" w:rsidP="00111062">
            <w:pPr>
              <w:jc w:val="center"/>
              <w:rPr>
                <w:sz w:val="20"/>
              </w:rPr>
            </w:pPr>
            <w:r w:rsidRPr="00111062">
              <w:rPr>
                <w:i/>
                <w:sz w:val="20"/>
              </w:rPr>
              <w:t xml:space="preserve"> </w:t>
            </w:r>
            <w:r w:rsidRPr="00111062">
              <w:rPr>
                <w:sz w:val="20"/>
              </w:rPr>
              <w:t>as it might appear after the proposed variation.</w:t>
            </w:r>
          </w:p>
          <w:p w14:paraId="3FF4AC75" w14:textId="77777777" w:rsidR="00274049" w:rsidRPr="000A5065" w:rsidRDefault="00274049" w:rsidP="00111062">
            <w:pPr>
              <w:spacing w:line="240" w:lineRule="auto"/>
              <w:jc w:val="center"/>
              <w:rPr>
                <w:rStyle w:val="CharChapText"/>
                <w:sz w:val="32"/>
                <w:szCs w:val="32"/>
                <w:highlight w:val="yellow"/>
              </w:rPr>
            </w:pPr>
          </w:p>
        </w:tc>
      </w:tr>
    </w:tbl>
    <w:p w14:paraId="285D02D0" w14:textId="1341B73D" w:rsidR="001C749A" w:rsidRPr="000A5065" w:rsidRDefault="001C749A" w:rsidP="005B71B9">
      <w:pPr>
        <w:spacing w:line="240" w:lineRule="auto"/>
        <w:rPr>
          <w:rStyle w:val="CharChapText"/>
          <w:sz w:val="28"/>
          <w:szCs w:val="28"/>
          <w:highlight w:val="yellow"/>
        </w:rPr>
      </w:pPr>
    </w:p>
    <w:p w14:paraId="5124E3ED" w14:textId="0F48E5A6" w:rsidR="001C749A" w:rsidRPr="000A5065" w:rsidRDefault="001C749A" w:rsidP="005B71B9">
      <w:pPr>
        <w:spacing w:line="240" w:lineRule="auto"/>
        <w:rPr>
          <w:rStyle w:val="CharChapText"/>
          <w:sz w:val="28"/>
          <w:szCs w:val="28"/>
          <w:highlight w:val="yellow"/>
        </w:rPr>
      </w:pPr>
    </w:p>
    <w:p w14:paraId="400F7D5F" w14:textId="77777777" w:rsidR="00E15BFF" w:rsidRPr="000A5065" w:rsidRDefault="00E15BFF" w:rsidP="00E15BFF">
      <w:pPr>
        <w:rPr>
          <w:highlight w:val="yellow"/>
        </w:rPr>
      </w:pPr>
    </w:p>
    <w:p w14:paraId="400F7D60" w14:textId="77777777" w:rsidR="00A97CA4" w:rsidRPr="000A5065" w:rsidRDefault="00A97CA4" w:rsidP="00E15BFF">
      <w:pPr>
        <w:rPr>
          <w:i/>
          <w:highlight w:val="yellow"/>
        </w:rPr>
      </w:pPr>
    </w:p>
    <w:p w14:paraId="400F7D61" w14:textId="77777777" w:rsidR="00A97CA4" w:rsidRPr="000A5065" w:rsidRDefault="00A97CA4" w:rsidP="00E15BFF">
      <w:pPr>
        <w:rPr>
          <w:i/>
          <w:highlight w:val="yellow"/>
        </w:rPr>
      </w:pPr>
    </w:p>
    <w:p w14:paraId="400F7D62" w14:textId="77777777" w:rsidR="00A97CA4" w:rsidRPr="000A5065" w:rsidRDefault="00A97CA4" w:rsidP="00E15BFF">
      <w:pPr>
        <w:rPr>
          <w:i/>
          <w:highlight w:val="yellow"/>
        </w:rPr>
      </w:pPr>
    </w:p>
    <w:p w14:paraId="400F7D63" w14:textId="77777777" w:rsidR="00A97CA4" w:rsidRPr="000A5065" w:rsidRDefault="00A97CA4" w:rsidP="00E15BFF">
      <w:pPr>
        <w:rPr>
          <w:i/>
          <w:highlight w:val="yellow"/>
        </w:rPr>
      </w:pPr>
    </w:p>
    <w:p w14:paraId="400F7D64" w14:textId="77777777" w:rsidR="00A97CA4" w:rsidRPr="000A5065" w:rsidRDefault="00A97CA4" w:rsidP="00E15BFF">
      <w:pPr>
        <w:rPr>
          <w:i/>
          <w:highlight w:val="yellow"/>
        </w:rPr>
      </w:pPr>
    </w:p>
    <w:p w14:paraId="400F7D65" w14:textId="77777777" w:rsidR="00A97CA4" w:rsidRPr="000A5065" w:rsidRDefault="00A97CA4" w:rsidP="00E15BFF">
      <w:pPr>
        <w:rPr>
          <w:i/>
          <w:highlight w:val="yellow"/>
        </w:rPr>
      </w:pPr>
    </w:p>
    <w:p w14:paraId="400F7D66" w14:textId="77777777" w:rsidR="00A97CA4" w:rsidRPr="000A5065" w:rsidRDefault="00A97CA4" w:rsidP="00E15BFF">
      <w:pPr>
        <w:rPr>
          <w:i/>
          <w:highlight w:val="yellow"/>
        </w:rPr>
      </w:pPr>
    </w:p>
    <w:p w14:paraId="400F7D67" w14:textId="77777777" w:rsidR="00A97CA4" w:rsidRPr="000A5065" w:rsidRDefault="00A97CA4" w:rsidP="00E15BFF">
      <w:pPr>
        <w:rPr>
          <w:i/>
          <w:highlight w:val="yellow"/>
        </w:rPr>
      </w:pPr>
    </w:p>
    <w:p w14:paraId="400F7D68" w14:textId="77777777" w:rsidR="00A97CA4" w:rsidRPr="000A5065" w:rsidRDefault="00A97CA4" w:rsidP="00E15BFF">
      <w:pPr>
        <w:rPr>
          <w:i/>
          <w:highlight w:val="yellow"/>
        </w:rPr>
      </w:pPr>
    </w:p>
    <w:p w14:paraId="400F7D69" w14:textId="77777777" w:rsidR="00A97CA4" w:rsidRPr="000A5065" w:rsidRDefault="00A97CA4" w:rsidP="00E15BFF">
      <w:pPr>
        <w:rPr>
          <w:i/>
          <w:highlight w:val="yellow"/>
        </w:rPr>
      </w:pPr>
    </w:p>
    <w:p w14:paraId="400F7D6A" w14:textId="77777777" w:rsidR="00A97CA4" w:rsidRPr="000A5065" w:rsidRDefault="00A97CA4" w:rsidP="00E15BFF">
      <w:pPr>
        <w:rPr>
          <w:i/>
          <w:highlight w:val="yellow"/>
        </w:rPr>
      </w:pPr>
    </w:p>
    <w:p w14:paraId="400F7D6B" w14:textId="77777777" w:rsidR="00A97CA4" w:rsidRPr="000A5065" w:rsidRDefault="00A97CA4" w:rsidP="00E15BFF">
      <w:pPr>
        <w:rPr>
          <w:i/>
          <w:highlight w:val="yellow"/>
        </w:rPr>
      </w:pPr>
    </w:p>
    <w:p w14:paraId="361648F3" w14:textId="0FF9618E" w:rsidR="004E048B" w:rsidRPr="000A5065" w:rsidRDefault="004E048B">
      <w:pPr>
        <w:spacing w:line="240" w:lineRule="auto"/>
        <w:rPr>
          <w:rFonts w:eastAsia="Times New Roman"/>
          <w:i/>
          <w:sz w:val="36"/>
          <w:highlight w:val="yellow"/>
          <w:lang w:eastAsia="en-AU"/>
        </w:rPr>
      </w:pPr>
    </w:p>
    <w:p w14:paraId="6D203ECE" w14:textId="091643D9" w:rsidR="004E048B" w:rsidRPr="000A5065" w:rsidRDefault="004E048B">
      <w:pPr>
        <w:spacing w:line="240" w:lineRule="auto"/>
        <w:rPr>
          <w:rFonts w:eastAsia="Times New Roman"/>
          <w:i/>
          <w:sz w:val="36"/>
          <w:highlight w:val="yellow"/>
          <w:lang w:eastAsia="en-AU"/>
        </w:rPr>
      </w:pPr>
    </w:p>
    <w:p w14:paraId="36359B99" w14:textId="77777777" w:rsidR="004E048B" w:rsidRPr="000A5065" w:rsidRDefault="004E048B">
      <w:pPr>
        <w:spacing w:line="240" w:lineRule="auto"/>
        <w:rPr>
          <w:sz w:val="36"/>
          <w:highlight w:val="yellow"/>
        </w:rPr>
      </w:pPr>
    </w:p>
    <w:p w14:paraId="22A4610A" w14:textId="77777777" w:rsidR="00DA4F56" w:rsidRPr="000A5065" w:rsidRDefault="00DA4F56" w:rsidP="00AC0294">
      <w:pPr>
        <w:ind w:left="720"/>
        <w:rPr>
          <w:highlight w:val="yellow"/>
        </w:rPr>
      </w:pPr>
    </w:p>
    <w:p w14:paraId="3FDB08B5" w14:textId="77777777" w:rsidR="00122E37" w:rsidRPr="000A5065" w:rsidRDefault="00122E37">
      <w:pPr>
        <w:spacing w:line="240" w:lineRule="auto"/>
        <w:rPr>
          <w:highlight w:val="yellow"/>
        </w:rPr>
      </w:pPr>
      <w:r w:rsidRPr="000A5065">
        <w:rPr>
          <w:highlight w:val="yellow"/>
        </w:rPr>
        <w:br w:type="page"/>
      </w:r>
    </w:p>
    <w:p w14:paraId="400F7D9A" w14:textId="1D48C6E3" w:rsidR="00A97CA4" w:rsidRPr="000A5065" w:rsidRDefault="00A97CA4" w:rsidP="00AC0294">
      <w:pPr>
        <w:ind w:left="720"/>
        <w:rPr>
          <w:sz w:val="36"/>
          <w:highlight w:val="yellow"/>
        </w:rPr>
      </w:pPr>
      <w:r w:rsidRPr="000A5065">
        <w:rPr>
          <w:highlight w:val="yellow"/>
        </w:rPr>
        <w:lastRenderedPageBreak/>
        <w:t> </w:t>
      </w:r>
    </w:p>
    <w:p w14:paraId="400F7D9B" w14:textId="543C1FC0" w:rsidR="00E15BFF" w:rsidRDefault="00E15BFF" w:rsidP="00E15BFF">
      <w:pPr>
        <w:rPr>
          <w:sz w:val="36"/>
        </w:rPr>
      </w:pPr>
      <w:r w:rsidRPr="00564B75">
        <w:rPr>
          <w:sz w:val="36"/>
        </w:rPr>
        <w:t>Contents</w:t>
      </w:r>
    </w:p>
    <w:p w14:paraId="10B8D1B2" w14:textId="30D6951A" w:rsidR="00E1137B" w:rsidRPr="000A5065" w:rsidRDefault="00DD7F02">
      <w:pPr>
        <w:pStyle w:val="TOC2"/>
        <w:rPr>
          <w:rFonts w:asciiTheme="minorHAnsi" w:eastAsiaTheme="minorEastAsia" w:hAnsiTheme="minorHAnsi" w:cstheme="minorBidi"/>
          <w:b w:val="0"/>
          <w:noProof/>
          <w:kern w:val="0"/>
          <w:sz w:val="22"/>
          <w:szCs w:val="22"/>
          <w:highlight w:val="yellow"/>
        </w:rPr>
      </w:pPr>
      <w:r w:rsidRPr="000A5065">
        <w:rPr>
          <w:b w:val="0"/>
          <w:sz w:val="36"/>
          <w:highlight w:val="yellow"/>
        </w:rPr>
        <w:fldChar w:fldCharType="begin"/>
      </w:r>
      <w:r w:rsidRPr="000A5065">
        <w:rPr>
          <w:b w:val="0"/>
          <w:sz w:val="36"/>
          <w:highlight w:val="yellow"/>
        </w:rPr>
        <w:instrText xml:space="preserve"> TOC \o "1-6" \h \z \u </w:instrText>
      </w:r>
      <w:r w:rsidRPr="000A5065">
        <w:rPr>
          <w:b w:val="0"/>
          <w:sz w:val="36"/>
          <w:highlight w:val="yellow"/>
        </w:rPr>
        <w:fldChar w:fldCharType="separate"/>
      </w:r>
      <w:hyperlink w:anchor="_Toc86674759" w:history="1">
        <w:r w:rsidR="00E1137B" w:rsidRPr="000A5065">
          <w:rPr>
            <w:rStyle w:val="Hyperlink"/>
            <w:noProof/>
            <w:highlight w:val="yellow"/>
          </w:rPr>
          <w:t>Part 1—Preliminary</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_Toc86674759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3</w:t>
        </w:r>
        <w:r w:rsidR="00E1137B" w:rsidRPr="000A5065">
          <w:rPr>
            <w:noProof/>
            <w:webHidden/>
            <w:highlight w:val="yellow"/>
          </w:rPr>
          <w:fldChar w:fldCharType="end"/>
        </w:r>
      </w:hyperlink>
    </w:p>
    <w:p w14:paraId="1D51492C" w14:textId="3BE27F85"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60" w:history="1">
        <w:r w:rsidR="00E1137B" w:rsidRPr="000A5065">
          <w:rPr>
            <w:rStyle w:val="Hyperlink"/>
            <w:noProof/>
            <w:highlight w:val="yellow"/>
          </w:rPr>
          <w:t>1</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Name</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_Toc86674760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3</w:t>
        </w:r>
        <w:r w:rsidR="00E1137B" w:rsidRPr="000A5065">
          <w:rPr>
            <w:noProof/>
            <w:webHidden/>
            <w:highlight w:val="yellow"/>
          </w:rPr>
          <w:fldChar w:fldCharType="end"/>
        </w:r>
      </w:hyperlink>
    </w:p>
    <w:p w14:paraId="5270D69A" w14:textId="33633532"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61" w:history="1">
        <w:r w:rsidR="00E1137B" w:rsidRPr="000A5065">
          <w:rPr>
            <w:rStyle w:val="Hyperlink"/>
            <w:noProof/>
            <w:highlight w:val="yellow"/>
          </w:rPr>
          <w:t>2</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Entry into effect</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_Toc86674761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3</w:t>
        </w:r>
        <w:r w:rsidR="00E1137B" w:rsidRPr="000A5065">
          <w:rPr>
            <w:noProof/>
            <w:webHidden/>
            <w:highlight w:val="yellow"/>
          </w:rPr>
          <w:fldChar w:fldCharType="end"/>
        </w:r>
      </w:hyperlink>
    </w:p>
    <w:p w14:paraId="4DE5C5EF" w14:textId="20C904ED"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62" w:history="1">
        <w:r w:rsidR="00E1137B" w:rsidRPr="000A5065">
          <w:rPr>
            <w:rStyle w:val="Hyperlink"/>
            <w:noProof/>
            <w:highlight w:val="yellow"/>
          </w:rPr>
          <w:t>3</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Definitions</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_Toc86674762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3</w:t>
        </w:r>
        <w:r w:rsidR="00E1137B" w:rsidRPr="000A5065">
          <w:rPr>
            <w:noProof/>
            <w:webHidden/>
            <w:highlight w:val="yellow"/>
          </w:rPr>
          <w:fldChar w:fldCharType="end"/>
        </w:r>
      </w:hyperlink>
    </w:p>
    <w:p w14:paraId="02E74290" w14:textId="08EAAF97"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63" w:history="1">
        <w:r w:rsidR="00E1137B" w:rsidRPr="000A5065">
          <w:rPr>
            <w:rStyle w:val="Hyperlink"/>
            <w:noProof/>
            <w:highlight w:val="yellow"/>
          </w:rPr>
          <w:t>4</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Section 5—Definition of ‘default capacity’</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_Toc86674763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3</w:t>
        </w:r>
        <w:r w:rsidR="00E1137B" w:rsidRPr="000A5065">
          <w:rPr>
            <w:noProof/>
            <w:webHidden/>
            <w:highlight w:val="yellow"/>
          </w:rPr>
          <w:fldChar w:fldCharType="end"/>
        </w:r>
      </w:hyperlink>
    </w:p>
    <w:p w14:paraId="7CF12E87" w14:textId="32B3E8EE"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64" w:history="1">
        <w:r w:rsidR="00E1137B" w:rsidRPr="000A5065">
          <w:rPr>
            <w:rStyle w:val="Hyperlink"/>
            <w:noProof/>
            <w:highlight w:val="yellow"/>
          </w:rPr>
          <w:t>5</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Section 5—Definition of ‘listed type’</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_Toc86674764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3</w:t>
        </w:r>
        <w:r w:rsidR="00E1137B" w:rsidRPr="000A5065">
          <w:rPr>
            <w:noProof/>
            <w:webHidden/>
            <w:highlight w:val="yellow"/>
          </w:rPr>
          <w:fldChar w:fldCharType="end"/>
        </w:r>
      </w:hyperlink>
    </w:p>
    <w:p w14:paraId="4B92F54B" w14:textId="44BFEF6D" w:rsidR="00E1137B" w:rsidRPr="000A5065" w:rsidRDefault="00111062">
      <w:pPr>
        <w:pStyle w:val="TOC2"/>
        <w:rPr>
          <w:rFonts w:asciiTheme="minorHAnsi" w:eastAsiaTheme="minorEastAsia" w:hAnsiTheme="minorHAnsi" w:cstheme="minorBidi"/>
          <w:b w:val="0"/>
          <w:noProof/>
          <w:kern w:val="0"/>
          <w:sz w:val="22"/>
          <w:szCs w:val="22"/>
          <w:highlight w:val="yellow"/>
        </w:rPr>
      </w:pPr>
      <w:hyperlink w:anchor="_Toc86674765" w:history="1">
        <w:r w:rsidR="00E1137B" w:rsidRPr="000A5065">
          <w:rPr>
            <w:rStyle w:val="Hyperlink"/>
            <w:noProof/>
            <w:highlight w:val="yellow"/>
          </w:rPr>
          <w:t>Part 2—Matters referred to in Part 3 of the Determination (Project requirements)</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_Toc86674765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5</w:t>
        </w:r>
        <w:r w:rsidR="00E1137B" w:rsidRPr="000A5065">
          <w:rPr>
            <w:noProof/>
            <w:webHidden/>
            <w:highlight w:val="yellow"/>
          </w:rPr>
          <w:fldChar w:fldCharType="end"/>
        </w:r>
      </w:hyperlink>
    </w:p>
    <w:p w14:paraId="5FD91F94" w14:textId="76CAC9D0"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66" w:history="1">
        <w:r w:rsidR="00E1137B" w:rsidRPr="000A5065">
          <w:rPr>
            <w:rStyle w:val="Hyperlink"/>
            <w:noProof/>
            <w:highlight w:val="yellow"/>
          </w:rPr>
          <w:t>6</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Section 9E—Flare operation for methane destruction projects</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_Toc86674766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5</w:t>
        </w:r>
        <w:r w:rsidR="00E1137B" w:rsidRPr="000A5065">
          <w:rPr>
            <w:noProof/>
            <w:webHidden/>
            <w:highlight w:val="yellow"/>
          </w:rPr>
          <w:fldChar w:fldCharType="end"/>
        </w:r>
      </w:hyperlink>
    </w:p>
    <w:p w14:paraId="279D48BC" w14:textId="58812549"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67" w:history="1">
        <w:r w:rsidR="00E1137B" w:rsidRPr="000A5065">
          <w:rPr>
            <w:rStyle w:val="Hyperlink"/>
            <w:noProof/>
            <w:highlight w:val="yellow"/>
          </w:rPr>
          <w:t>7</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Section 9F—Emissions avoidance treatment facility—solids separation method</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_Toc86674767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5</w:t>
        </w:r>
        <w:r w:rsidR="00E1137B" w:rsidRPr="000A5065">
          <w:rPr>
            <w:noProof/>
            <w:webHidden/>
            <w:highlight w:val="yellow"/>
          </w:rPr>
          <w:fldChar w:fldCharType="end"/>
        </w:r>
      </w:hyperlink>
    </w:p>
    <w:p w14:paraId="57FC1136" w14:textId="599DA1C3"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68" w:history="1">
        <w:r w:rsidR="00E1137B" w:rsidRPr="000A5065">
          <w:rPr>
            <w:rStyle w:val="Hyperlink"/>
            <w:noProof/>
            <w:highlight w:val="yellow"/>
          </w:rPr>
          <w:t>8</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Section 9F—Emissions avoidance treatment facility—post-diversion treatment</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_Toc86674768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6</w:t>
        </w:r>
        <w:r w:rsidR="00E1137B" w:rsidRPr="000A5065">
          <w:rPr>
            <w:noProof/>
            <w:webHidden/>
            <w:highlight w:val="yellow"/>
          </w:rPr>
          <w:fldChar w:fldCharType="end"/>
        </w:r>
      </w:hyperlink>
    </w:p>
    <w:p w14:paraId="7C2D384E" w14:textId="39669587"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69" w:history="1">
        <w:r w:rsidR="00E1137B" w:rsidRPr="000A5065">
          <w:rPr>
            <w:rStyle w:val="Hyperlink"/>
            <w:noProof/>
            <w:highlight w:val="yellow"/>
          </w:rPr>
          <w:t>9</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Section 15—Evidence that satisfies the Regulator that the specified organic effluent would have been treated in an anaerobic pond</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_Toc86674769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6</w:t>
        </w:r>
        <w:r w:rsidR="00E1137B" w:rsidRPr="000A5065">
          <w:rPr>
            <w:noProof/>
            <w:webHidden/>
            <w:highlight w:val="yellow"/>
          </w:rPr>
          <w:fldChar w:fldCharType="end"/>
        </w:r>
      </w:hyperlink>
    </w:p>
    <w:p w14:paraId="6DD5F38E" w14:textId="73BDD4C0" w:rsidR="00E1137B" w:rsidRPr="000A5065" w:rsidRDefault="00111062">
      <w:pPr>
        <w:pStyle w:val="TOC2"/>
        <w:rPr>
          <w:rFonts w:asciiTheme="minorHAnsi" w:eastAsiaTheme="minorEastAsia" w:hAnsiTheme="minorHAnsi" w:cstheme="minorBidi"/>
          <w:b w:val="0"/>
          <w:noProof/>
          <w:kern w:val="0"/>
          <w:sz w:val="22"/>
          <w:szCs w:val="22"/>
          <w:highlight w:val="yellow"/>
        </w:rPr>
      </w:pPr>
      <w:hyperlink w:anchor="_Toc86674770" w:history="1">
        <w:r w:rsidR="00E1137B" w:rsidRPr="000A5065">
          <w:rPr>
            <w:rStyle w:val="Hyperlink"/>
            <w:noProof/>
            <w:highlight w:val="yellow"/>
          </w:rPr>
          <w:t>Part 3—Matters referred to in Part 4 of the Determination (Net abatement amount)</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_Toc86674770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7</w:t>
        </w:r>
        <w:r w:rsidR="00E1137B" w:rsidRPr="000A5065">
          <w:rPr>
            <w:noProof/>
            <w:webHidden/>
            <w:highlight w:val="yellow"/>
          </w:rPr>
          <w:fldChar w:fldCharType="end"/>
        </w:r>
      </w:hyperlink>
    </w:p>
    <w:p w14:paraId="43ED8C17" w14:textId="1894FC32" w:rsidR="00E1137B" w:rsidRPr="000A5065" w:rsidRDefault="00111062">
      <w:pPr>
        <w:pStyle w:val="TOC3"/>
        <w:rPr>
          <w:rFonts w:asciiTheme="minorHAnsi" w:eastAsiaTheme="minorEastAsia" w:hAnsiTheme="minorHAnsi" w:cstheme="minorBidi"/>
          <w:b w:val="0"/>
          <w:noProof/>
          <w:kern w:val="0"/>
          <w:szCs w:val="22"/>
          <w:highlight w:val="yellow"/>
        </w:rPr>
      </w:pPr>
      <w:hyperlink w:anchor="_Toc86674771" w:history="1">
        <w:r w:rsidR="00E1137B" w:rsidRPr="000A5065">
          <w:rPr>
            <w:rStyle w:val="Hyperlink"/>
            <w:noProof/>
            <w:highlight w:val="yellow"/>
          </w:rPr>
          <w:t>Division 1—Measuring methane-producing capacity</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_Toc86674771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7</w:t>
        </w:r>
        <w:r w:rsidR="00E1137B" w:rsidRPr="000A5065">
          <w:rPr>
            <w:noProof/>
            <w:webHidden/>
            <w:highlight w:val="yellow"/>
          </w:rPr>
          <w:fldChar w:fldCharType="end"/>
        </w:r>
      </w:hyperlink>
    </w:p>
    <w:p w14:paraId="0B2431CA" w14:textId="65BD0529"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72" w:history="1">
        <w:r w:rsidR="00E1137B" w:rsidRPr="000A5065">
          <w:rPr>
            <w:rStyle w:val="Hyperlink"/>
            <w:noProof/>
            <w:highlight w:val="yellow"/>
          </w:rPr>
          <w:t>10</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Sections 16, 25 and 27—Measuring methane-producing capacity</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_Toc86674772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7</w:t>
        </w:r>
        <w:r w:rsidR="00E1137B" w:rsidRPr="000A5065">
          <w:rPr>
            <w:noProof/>
            <w:webHidden/>
            <w:highlight w:val="yellow"/>
          </w:rPr>
          <w:fldChar w:fldCharType="end"/>
        </w:r>
      </w:hyperlink>
    </w:p>
    <w:p w14:paraId="0696C749" w14:textId="3781B80D" w:rsidR="00E1137B" w:rsidRPr="000A5065" w:rsidRDefault="00111062">
      <w:pPr>
        <w:pStyle w:val="TOC3"/>
        <w:rPr>
          <w:rFonts w:asciiTheme="minorHAnsi" w:eastAsiaTheme="minorEastAsia" w:hAnsiTheme="minorHAnsi" w:cstheme="minorBidi"/>
          <w:b w:val="0"/>
          <w:noProof/>
          <w:kern w:val="0"/>
          <w:szCs w:val="22"/>
          <w:highlight w:val="yellow"/>
        </w:rPr>
      </w:pPr>
      <w:hyperlink w:anchor="_Toc86674773" w:history="1">
        <w:r w:rsidR="00E1137B" w:rsidRPr="000A5065">
          <w:rPr>
            <w:rStyle w:val="Hyperlink"/>
            <w:bCs/>
            <w:noProof/>
            <w:highlight w:val="yellow"/>
          </w:rPr>
          <w:t>Division 2—Working out gross abatement amount</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_Toc86674773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8</w:t>
        </w:r>
        <w:r w:rsidR="00E1137B" w:rsidRPr="000A5065">
          <w:rPr>
            <w:noProof/>
            <w:webHidden/>
            <w:highlight w:val="yellow"/>
          </w:rPr>
          <w:fldChar w:fldCharType="end"/>
        </w:r>
      </w:hyperlink>
    </w:p>
    <w:p w14:paraId="6167F823" w14:textId="2CE9BBEB"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74" w:history="1">
        <w:r w:rsidR="00E1137B" w:rsidRPr="000A5065">
          <w:rPr>
            <w:rStyle w:val="Hyperlink"/>
            <w:noProof/>
            <w:highlight w:val="yellow"/>
          </w:rPr>
          <w:t>11</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24—Measuring the quantity of biogas sent to a combustion device or biomethane production dispatch system, </w:t>
        </w:r>
        <w:r w:rsidR="00E1137B" w:rsidRPr="000A5065">
          <w:rPr>
            <w:rStyle w:val="Hyperlink"/>
            <w:i/>
            <w:noProof/>
            <w:highlight w:val="yellow"/>
          </w:rPr>
          <w:t>Q</w:t>
        </w:r>
        <w:r w:rsidR="00E1137B" w:rsidRPr="000A5065">
          <w:rPr>
            <w:rStyle w:val="Hyperlink"/>
            <w:i/>
            <w:noProof/>
            <w:highlight w:val="yellow"/>
            <w:vertAlign w:val="subscript"/>
          </w:rPr>
          <w:t>biogas, i</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_Toc86674774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8</w:t>
        </w:r>
        <w:r w:rsidR="00E1137B" w:rsidRPr="000A5065">
          <w:rPr>
            <w:noProof/>
            <w:webHidden/>
            <w:highlight w:val="yellow"/>
          </w:rPr>
          <w:fldChar w:fldCharType="end"/>
        </w:r>
      </w:hyperlink>
    </w:p>
    <w:p w14:paraId="6CA72E87" w14:textId="52F7077C"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75" w:history="1">
        <w:r w:rsidR="00E1137B" w:rsidRPr="000A5065">
          <w:rPr>
            <w:rStyle w:val="Hyperlink"/>
            <w:noProof/>
            <w:highlight w:val="yellow"/>
          </w:rPr>
          <w:t>12</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24—Measuring the proportion of methane in biogas, </w:t>
        </w:r>
        <w:r w:rsidR="00E1137B" w:rsidRPr="000A5065">
          <w:rPr>
            <w:rStyle w:val="Hyperlink"/>
            <w:i/>
            <w:noProof/>
            <w:highlight w:val="yellow"/>
          </w:rPr>
          <w:t>W</w:t>
        </w:r>
        <w:r w:rsidR="00E1137B" w:rsidRPr="000A5065">
          <w:rPr>
            <w:rStyle w:val="Hyperlink"/>
            <w:i/>
            <w:noProof/>
            <w:highlight w:val="yellow"/>
            <w:vertAlign w:val="subscript"/>
          </w:rPr>
          <w:t>BG, CH4</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_Toc86674775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8</w:t>
        </w:r>
        <w:r w:rsidR="00E1137B" w:rsidRPr="000A5065">
          <w:rPr>
            <w:noProof/>
            <w:webHidden/>
            <w:highlight w:val="yellow"/>
          </w:rPr>
          <w:fldChar w:fldCharType="end"/>
        </w:r>
      </w:hyperlink>
    </w:p>
    <w:p w14:paraId="64B0ECBF" w14:textId="2BA4AA97"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76" w:history="1">
        <w:r w:rsidR="00E1137B" w:rsidRPr="000A5065">
          <w:rPr>
            <w:rStyle w:val="Hyperlink"/>
            <w:noProof/>
            <w:highlight w:val="yellow"/>
            <w:bdr w:val="none" w:sz="0" w:space="0" w:color="auto" w:frame="1"/>
          </w:rPr>
          <w:t>13</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bdr w:val="none" w:sz="0" w:space="0" w:color="auto" w:frame="1"/>
          </w:rPr>
          <w:t>Section 24—Biomethane production loss factor,</w:t>
        </w:r>
        <w:r w:rsidR="00E1137B" w:rsidRPr="000A5065">
          <w:rPr>
            <w:rStyle w:val="Hyperlink"/>
            <w:i/>
            <w:iCs/>
            <w:noProof/>
            <w:highlight w:val="yellow"/>
            <w:bdr w:val="none" w:sz="0" w:space="0" w:color="auto" w:frame="1"/>
          </w:rPr>
          <w:t> PL</w:t>
        </w:r>
        <w:r w:rsidR="00E1137B" w:rsidRPr="000A5065">
          <w:rPr>
            <w:rStyle w:val="Hyperlink"/>
            <w:i/>
            <w:iCs/>
            <w:noProof/>
            <w:highlight w:val="yellow"/>
            <w:bdr w:val="none" w:sz="0" w:space="0" w:color="auto" w:frame="1"/>
            <w:vertAlign w:val="subscript"/>
          </w:rPr>
          <w:t>i</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_Toc86674776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9</w:t>
        </w:r>
        <w:r w:rsidR="00E1137B" w:rsidRPr="000A5065">
          <w:rPr>
            <w:noProof/>
            <w:webHidden/>
            <w:highlight w:val="yellow"/>
          </w:rPr>
          <w:fldChar w:fldCharType="end"/>
        </w:r>
      </w:hyperlink>
    </w:p>
    <w:p w14:paraId="72775764" w14:textId="322213A4"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77" w:history="1">
        <w:r w:rsidR="00E1137B" w:rsidRPr="000A5065">
          <w:rPr>
            <w:rStyle w:val="Hyperlink"/>
            <w:noProof/>
            <w:highlight w:val="yellow"/>
            <w:bdr w:val="none" w:sz="0" w:space="0" w:color="auto" w:frame="1"/>
          </w:rPr>
          <w:t>14</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bdr w:val="none" w:sz="0" w:space="0" w:color="auto" w:frame="1"/>
          </w:rPr>
          <w:t>Section 24—Transport loss factor, TL</w:t>
        </w:r>
        <w:r w:rsidR="00E1137B" w:rsidRPr="000A5065">
          <w:rPr>
            <w:rStyle w:val="Hyperlink"/>
            <w:i/>
            <w:iCs/>
            <w:noProof/>
            <w:highlight w:val="yellow"/>
            <w:bdr w:val="none" w:sz="0" w:space="0" w:color="auto" w:frame="1"/>
            <w:vertAlign w:val="subscript"/>
          </w:rPr>
          <w:t>i</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_Toc86674777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11</w:t>
        </w:r>
        <w:r w:rsidR="00E1137B" w:rsidRPr="000A5065">
          <w:rPr>
            <w:noProof/>
            <w:webHidden/>
            <w:highlight w:val="yellow"/>
          </w:rPr>
          <w:fldChar w:fldCharType="end"/>
        </w:r>
      </w:hyperlink>
    </w:p>
    <w:p w14:paraId="676088C4" w14:textId="03FB4255"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78" w:history="1">
        <w:r w:rsidR="00E1137B" w:rsidRPr="000A5065">
          <w:rPr>
            <w:rStyle w:val="Hyperlink"/>
            <w:noProof/>
            <w:highlight w:val="yellow"/>
          </w:rPr>
          <w:t>15</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24—Measuring the methane destruction efficiency of a combustion device or biomethane production dispatch system, </w:t>
        </w:r>
        <w:r w:rsidR="00E1137B" w:rsidRPr="000A5065">
          <w:rPr>
            <w:rStyle w:val="Hyperlink"/>
            <w:i/>
            <w:noProof/>
            <w:highlight w:val="yellow"/>
          </w:rPr>
          <w:t>DE</w:t>
        </w:r>
        <w:r w:rsidR="00E1137B" w:rsidRPr="000A5065">
          <w:rPr>
            <w:rStyle w:val="Hyperlink"/>
            <w:i/>
            <w:noProof/>
            <w:highlight w:val="yellow"/>
            <w:vertAlign w:val="subscript"/>
          </w:rPr>
          <w:t>i</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_Toc86674778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11</w:t>
        </w:r>
        <w:r w:rsidR="00E1137B" w:rsidRPr="000A5065">
          <w:rPr>
            <w:noProof/>
            <w:webHidden/>
            <w:highlight w:val="yellow"/>
          </w:rPr>
          <w:fldChar w:fldCharType="end"/>
        </w:r>
      </w:hyperlink>
    </w:p>
    <w:p w14:paraId="7D6BC7B4" w14:textId="62E773C7"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79" w:history="1">
        <w:r w:rsidR="00E1137B" w:rsidRPr="000A5065">
          <w:rPr>
            <w:rStyle w:val="Hyperlink"/>
            <w:noProof/>
            <w:highlight w:val="yellow"/>
          </w:rPr>
          <w:t>16</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24—Measuring the total amount of electricity produced by combustion device. </w:t>
        </w:r>
        <w:r w:rsidR="00E1137B" w:rsidRPr="000A5065">
          <w:rPr>
            <w:rStyle w:val="Hyperlink"/>
            <w:i/>
            <w:noProof/>
            <w:highlight w:val="yellow"/>
          </w:rPr>
          <w:t>Q</w:t>
        </w:r>
        <w:r w:rsidR="00E1137B" w:rsidRPr="000A5065">
          <w:rPr>
            <w:rStyle w:val="Hyperlink"/>
            <w:i/>
            <w:noProof/>
            <w:highlight w:val="yellow"/>
            <w:vertAlign w:val="subscript"/>
          </w:rPr>
          <w:t>EG, i</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_Toc86674779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12</w:t>
        </w:r>
        <w:r w:rsidR="00E1137B" w:rsidRPr="000A5065">
          <w:rPr>
            <w:noProof/>
            <w:webHidden/>
            <w:highlight w:val="yellow"/>
          </w:rPr>
          <w:fldChar w:fldCharType="end"/>
        </w:r>
      </w:hyperlink>
    </w:p>
    <w:p w14:paraId="2AD931F0" w14:textId="644841BC"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80" w:history="1">
        <w:r w:rsidR="00E1137B" w:rsidRPr="000A5065">
          <w:rPr>
            <w:rStyle w:val="Hyperlink"/>
            <w:noProof/>
            <w:highlight w:val="yellow"/>
          </w:rPr>
          <w:t>17</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24—Measuring the electrical efficiency of the combustion device, </w:t>
        </w:r>
        <w:r w:rsidR="00E1137B" w:rsidRPr="000A5065">
          <w:rPr>
            <w:rStyle w:val="Hyperlink"/>
            <w:i/>
            <w:noProof/>
            <w:highlight w:val="yellow"/>
          </w:rPr>
          <w:t>Effi</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_Toc86674780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12</w:t>
        </w:r>
        <w:r w:rsidR="00E1137B" w:rsidRPr="000A5065">
          <w:rPr>
            <w:noProof/>
            <w:webHidden/>
            <w:highlight w:val="yellow"/>
          </w:rPr>
          <w:fldChar w:fldCharType="end"/>
        </w:r>
      </w:hyperlink>
    </w:p>
    <w:p w14:paraId="695D8D3E" w14:textId="64CBF23A"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81" w:history="1">
        <w:r w:rsidR="00E1137B" w:rsidRPr="000A5065">
          <w:rPr>
            <w:rStyle w:val="Hyperlink"/>
            <w:noProof/>
            <w:highlight w:val="yellow"/>
            <w:bdr w:val="none" w:sz="0" w:space="0" w:color="auto" w:frame="1"/>
          </w:rPr>
          <w:t>18</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bdr w:val="none" w:sz="0" w:space="0" w:color="auto" w:frame="1"/>
          </w:rPr>
          <w:t>​Section 24—Measuring the proportion of methane in biomethane, </w:t>
        </w:r>
        <w:r w:rsidR="00E1137B" w:rsidRPr="000A5065">
          <w:rPr>
            <w:rStyle w:val="Hyperlink"/>
            <w:i/>
            <w:iCs/>
            <w:noProof/>
            <w:highlight w:val="yellow"/>
            <w:bdr w:val="none" w:sz="0" w:space="0" w:color="auto" w:frame="1"/>
          </w:rPr>
          <w:t>W</w:t>
        </w:r>
        <w:r w:rsidR="00E1137B" w:rsidRPr="000A5065">
          <w:rPr>
            <w:rStyle w:val="Hyperlink"/>
            <w:i/>
            <w:iCs/>
            <w:noProof/>
            <w:highlight w:val="yellow"/>
            <w:bdr w:val="none" w:sz="0" w:space="0" w:color="auto" w:frame="1"/>
            <w:vertAlign w:val="subscript"/>
          </w:rPr>
          <w:t>BM, CH4, k</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_Toc86674781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12</w:t>
        </w:r>
        <w:r w:rsidR="00E1137B" w:rsidRPr="000A5065">
          <w:rPr>
            <w:noProof/>
            <w:webHidden/>
            <w:highlight w:val="yellow"/>
          </w:rPr>
          <w:fldChar w:fldCharType="end"/>
        </w:r>
      </w:hyperlink>
    </w:p>
    <w:p w14:paraId="4500612F" w14:textId="35262C23"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82" w:history="1">
        <w:r w:rsidR="00E1137B" w:rsidRPr="000A5065">
          <w:rPr>
            <w:rStyle w:val="Hyperlink"/>
            <w:noProof/>
            <w:highlight w:val="yellow"/>
          </w:rPr>
          <w:t>19</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25—Methane conversion factor, </w:t>
        </w:r>
        <w:r w:rsidR="00E1137B" w:rsidRPr="000A5065">
          <w:rPr>
            <w:rStyle w:val="Hyperlink"/>
            <w:i/>
            <w:noProof/>
            <w:highlight w:val="yellow"/>
          </w:rPr>
          <w:t>MCF</w:t>
        </w:r>
        <w:r w:rsidR="00E1137B" w:rsidRPr="000A5065">
          <w:rPr>
            <w:rStyle w:val="Hyperlink"/>
            <w:i/>
            <w:noProof/>
            <w:highlight w:val="yellow"/>
            <w:vertAlign w:val="subscript"/>
          </w:rPr>
          <w:t>n</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_Toc86674782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13</w:t>
        </w:r>
        <w:r w:rsidR="00E1137B" w:rsidRPr="000A5065">
          <w:rPr>
            <w:noProof/>
            <w:webHidden/>
            <w:highlight w:val="yellow"/>
          </w:rPr>
          <w:fldChar w:fldCharType="end"/>
        </w:r>
      </w:hyperlink>
    </w:p>
    <w:p w14:paraId="3A9D23DD" w14:textId="50DD7C32"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83" w:history="1">
        <w:r w:rsidR="00E1137B" w:rsidRPr="000A5065">
          <w:rPr>
            <w:rStyle w:val="Hyperlink"/>
            <w:noProof/>
            <w:highlight w:val="yellow"/>
          </w:rPr>
          <w:t>20</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Sections 25, 26 and 32—Determining the amount of volatile solids in material type </w:t>
        </w:r>
        <w:r w:rsidR="00E1137B" w:rsidRPr="000A5065">
          <w:rPr>
            <w:rStyle w:val="Hyperlink"/>
            <w:i/>
            <w:noProof/>
            <w:highlight w:val="yellow"/>
          </w:rPr>
          <w:t>w</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_Toc86674783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13</w:t>
        </w:r>
        <w:r w:rsidR="00E1137B" w:rsidRPr="000A5065">
          <w:rPr>
            <w:noProof/>
            <w:webHidden/>
            <w:highlight w:val="yellow"/>
          </w:rPr>
          <w:fldChar w:fldCharType="end"/>
        </w:r>
      </w:hyperlink>
    </w:p>
    <w:p w14:paraId="39759C51" w14:textId="522A1E52" w:rsidR="00E1137B" w:rsidRPr="000A5065" w:rsidRDefault="00111062">
      <w:pPr>
        <w:pStyle w:val="TOC3"/>
        <w:rPr>
          <w:rFonts w:asciiTheme="minorHAnsi" w:eastAsiaTheme="minorEastAsia" w:hAnsiTheme="minorHAnsi" w:cstheme="minorBidi"/>
          <w:b w:val="0"/>
          <w:noProof/>
          <w:kern w:val="0"/>
          <w:szCs w:val="22"/>
          <w:highlight w:val="yellow"/>
        </w:rPr>
      </w:pPr>
      <w:hyperlink w:anchor="_Toc86674784" w:history="1">
        <w:r w:rsidR="00E1137B" w:rsidRPr="000A5065">
          <w:rPr>
            <w:rStyle w:val="Hyperlink"/>
            <w:noProof/>
            <w:highlight w:val="yellow"/>
          </w:rPr>
          <w:t>Division 3—Working out project emissions</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_Toc86674784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16</w:t>
        </w:r>
        <w:r w:rsidR="00E1137B" w:rsidRPr="000A5065">
          <w:rPr>
            <w:noProof/>
            <w:webHidden/>
            <w:highlight w:val="yellow"/>
          </w:rPr>
          <w:fldChar w:fldCharType="end"/>
        </w:r>
      </w:hyperlink>
    </w:p>
    <w:p w14:paraId="6FFAB0C1" w14:textId="19E45759"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85" w:history="1">
        <w:r w:rsidR="00E1137B" w:rsidRPr="000A5065">
          <w:rPr>
            <w:rStyle w:val="Hyperlink"/>
            <w:noProof/>
            <w:highlight w:val="yellow"/>
          </w:rPr>
          <w:t>21</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30—Fuel use attributable to operation of project treatment facility, </w:t>
        </w:r>
        <w:r w:rsidR="00E1137B" w:rsidRPr="000A5065">
          <w:rPr>
            <w:rStyle w:val="Hyperlink"/>
            <w:i/>
            <w:noProof/>
            <w:highlight w:val="yellow"/>
          </w:rPr>
          <w:t>Q</w:t>
        </w:r>
        <w:r w:rsidR="00E1137B" w:rsidRPr="000A5065">
          <w:rPr>
            <w:rStyle w:val="Hyperlink"/>
            <w:i/>
            <w:noProof/>
            <w:highlight w:val="yellow"/>
            <w:vertAlign w:val="subscript"/>
          </w:rPr>
          <w:t>F conversion, i</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_Toc86674785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16</w:t>
        </w:r>
        <w:r w:rsidR="00E1137B" w:rsidRPr="000A5065">
          <w:rPr>
            <w:noProof/>
            <w:webHidden/>
            <w:highlight w:val="yellow"/>
          </w:rPr>
          <w:fldChar w:fldCharType="end"/>
        </w:r>
      </w:hyperlink>
    </w:p>
    <w:p w14:paraId="7F5BDA70" w14:textId="64F0D4E9"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86" w:history="1">
        <w:r w:rsidR="00E1137B" w:rsidRPr="000A5065">
          <w:rPr>
            <w:rStyle w:val="Hyperlink"/>
            <w:noProof/>
            <w:highlight w:val="yellow"/>
          </w:rPr>
          <w:t>22</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31—Amount of purchased electricity that is specifically attributable to the operation of the project treatment facility, </w:t>
        </w:r>
        <w:r w:rsidR="00E1137B" w:rsidRPr="000A5065">
          <w:rPr>
            <w:rStyle w:val="Hyperlink"/>
            <w:i/>
            <w:noProof/>
            <w:highlight w:val="yellow"/>
          </w:rPr>
          <w:t>E</w:t>
        </w:r>
        <w:r w:rsidR="00E1137B" w:rsidRPr="000A5065">
          <w:rPr>
            <w:rStyle w:val="Hyperlink"/>
            <w:i/>
            <w:noProof/>
            <w:highlight w:val="yellow"/>
            <w:vertAlign w:val="subscript"/>
          </w:rPr>
          <w:t>PE, conversion</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_Toc86674786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16</w:t>
        </w:r>
        <w:r w:rsidR="00E1137B" w:rsidRPr="000A5065">
          <w:rPr>
            <w:noProof/>
            <w:webHidden/>
            <w:highlight w:val="yellow"/>
          </w:rPr>
          <w:fldChar w:fldCharType="end"/>
        </w:r>
      </w:hyperlink>
    </w:p>
    <w:p w14:paraId="01D8047C" w14:textId="7D4D3A67"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87" w:history="1">
        <w:r w:rsidR="00E1137B" w:rsidRPr="000A5065">
          <w:rPr>
            <w:rStyle w:val="Hyperlink"/>
            <w:noProof/>
            <w:highlight w:val="yellow"/>
          </w:rPr>
          <w:t>23</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Section 32—Post-diversion methane conversion factor, MCF</w:t>
        </w:r>
        <w:r w:rsidR="00E1137B" w:rsidRPr="000A5065">
          <w:rPr>
            <w:rStyle w:val="Hyperlink"/>
            <w:noProof/>
            <w:highlight w:val="yellow"/>
            <w:vertAlign w:val="subscript"/>
          </w:rPr>
          <w:t>Post, n</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_Toc86674787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16</w:t>
        </w:r>
        <w:r w:rsidR="00E1137B" w:rsidRPr="000A5065">
          <w:rPr>
            <w:noProof/>
            <w:webHidden/>
            <w:highlight w:val="yellow"/>
          </w:rPr>
          <w:fldChar w:fldCharType="end"/>
        </w:r>
      </w:hyperlink>
    </w:p>
    <w:p w14:paraId="5730BE05" w14:textId="23DAD03E"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88" w:history="1">
        <w:r w:rsidR="00E1137B" w:rsidRPr="000A5065">
          <w:rPr>
            <w:rStyle w:val="Hyperlink"/>
            <w:noProof/>
            <w:highlight w:val="yellow"/>
          </w:rPr>
          <w:t>24</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32—Methane-producing capacity for the volatile solids, </w:t>
        </w:r>
        <w:r w:rsidR="00E1137B" w:rsidRPr="000A5065">
          <w:rPr>
            <w:rStyle w:val="Hyperlink"/>
            <w:i/>
            <w:noProof/>
            <w:highlight w:val="yellow"/>
          </w:rPr>
          <w:t>B</w:t>
        </w:r>
        <w:r w:rsidR="00E1137B" w:rsidRPr="000A5065">
          <w:rPr>
            <w:rStyle w:val="Hyperlink"/>
            <w:i/>
            <w:noProof/>
            <w:highlight w:val="yellow"/>
            <w:vertAlign w:val="subscript"/>
          </w:rPr>
          <w:t>0,Div</w:t>
        </w:r>
        <w:r w:rsidR="00E1137B" w:rsidRPr="000A5065">
          <w:rPr>
            <w:rStyle w:val="Hyperlink"/>
            <w:noProof/>
            <w:highlight w:val="yellow"/>
            <w:vertAlign w:val="subscript"/>
          </w:rPr>
          <w:t>, w</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_Toc86674788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17</w:t>
        </w:r>
        <w:r w:rsidR="00E1137B" w:rsidRPr="000A5065">
          <w:rPr>
            <w:noProof/>
            <w:webHidden/>
            <w:highlight w:val="yellow"/>
          </w:rPr>
          <w:fldChar w:fldCharType="end"/>
        </w:r>
      </w:hyperlink>
    </w:p>
    <w:p w14:paraId="03F6AFC5" w14:textId="77A907DA"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89" w:history="1">
        <w:r w:rsidR="00E1137B" w:rsidRPr="000A5065">
          <w:rPr>
            <w:rStyle w:val="Hyperlink"/>
            <w:noProof/>
            <w:highlight w:val="yellow"/>
          </w:rPr>
          <w:t>25</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32—Nitrous oxide conversion factor, </w:t>
        </w:r>
        <w:r w:rsidR="00E1137B" w:rsidRPr="000A5065">
          <w:rPr>
            <w:rStyle w:val="Hyperlink"/>
            <w:i/>
            <w:noProof/>
            <w:highlight w:val="yellow"/>
          </w:rPr>
          <w:t>N</w:t>
        </w:r>
        <w:r w:rsidR="00E1137B" w:rsidRPr="000A5065">
          <w:rPr>
            <w:rStyle w:val="Hyperlink"/>
            <w:i/>
            <w:noProof/>
            <w:highlight w:val="yellow"/>
            <w:vertAlign w:val="subscript"/>
          </w:rPr>
          <w:t>2</w:t>
        </w:r>
        <w:r w:rsidR="00E1137B" w:rsidRPr="000A5065">
          <w:rPr>
            <w:rStyle w:val="Hyperlink"/>
            <w:i/>
            <w:noProof/>
            <w:highlight w:val="yellow"/>
          </w:rPr>
          <w:t>O-N</w:t>
        </w:r>
        <w:r w:rsidR="00E1137B" w:rsidRPr="000A5065">
          <w:rPr>
            <w:rStyle w:val="Hyperlink"/>
            <w:i/>
            <w:noProof/>
            <w:highlight w:val="yellow"/>
            <w:vertAlign w:val="subscript"/>
          </w:rPr>
          <w:t>CF</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_Toc86674789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17</w:t>
        </w:r>
        <w:r w:rsidR="00E1137B" w:rsidRPr="000A5065">
          <w:rPr>
            <w:noProof/>
            <w:webHidden/>
            <w:highlight w:val="yellow"/>
          </w:rPr>
          <w:fldChar w:fldCharType="end"/>
        </w:r>
      </w:hyperlink>
    </w:p>
    <w:p w14:paraId="29C1DCE7" w14:textId="18DBFC81"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90" w:history="1">
        <w:r w:rsidR="00E1137B" w:rsidRPr="000A5065">
          <w:rPr>
            <w:rStyle w:val="Hyperlink"/>
            <w:noProof/>
            <w:highlight w:val="yellow"/>
          </w:rPr>
          <w:t>26</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32—Nitrous oxide emission factor, </w:t>
        </w:r>
        <w:r w:rsidR="00E1137B" w:rsidRPr="000A5065">
          <w:rPr>
            <w:rStyle w:val="Hyperlink"/>
            <w:i/>
            <w:noProof/>
            <w:highlight w:val="yellow"/>
          </w:rPr>
          <w:t>INOEF</w:t>
        </w:r>
        <w:r w:rsidR="00E1137B" w:rsidRPr="000A5065">
          <w:rPr>
            <w:rStyle w:val="Hyperlink"/>
            <w:i/>
            <w:noProof/>
            <w:highlight w:val="yellow"/>
            <w:vertAlign w:val="subscript"/>
          </w:rPr>
          <w:t>Post, n</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_Toc86674790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17</w:t>
        </w:r>
        <w:r w:rsidR="00E1137B" w:rsidRPr="000A5065">
          <w:rPr>
            <w:noProof/>
            <w:webHidden/>
            <w:highlight w:val="yellow"/>
          </w:rPr>
          <w:fldChar w:fldCharType="end"/>
        </w:r>
      </w:hyperlink>
    </w:p>
    <w:p w14:paraId="0D445693" w14:textId="0054FDCA" w:rsidR="00E1137B" w:rsidRPr="000A5065" w:rsidRDefault="00111062">
      <w:pPr>
        <w:pStyle w:val="TOC5"/>
        <w:tabs>
          <w:tab w:val="left" w:pos="2183"/>
        </w:tabs>
        <w:rPr>
          <w:rFonts w:asciiTheme="minorHAnsi" w:eastAsiaTheme="minorEastAsia" w:hAnsiTheme="minorHAnsi" w:cstheme="minorBidi"/>
          <w:noProof/>
          <w:kern w:val="0"/>
          <w:sz w:val="22"/>
          <w:szCs w:val="22"/>
          <w:highlight w:val="yellow"/>
        </w:rPr>
      </w:pPr>
      <w:hyperlink w:anchor="_Toc86674791" w:history="1">
        <w:r w:rsidR="00E1137B" w:rsidRPr="000A5065">
          <w:rPr>
            <w:rStyle w:val="Hyperlink"/>
            <w:noProof/>
            <w:highlight w:val="yellow"/>
          </w:rPr>
          <w:t>27</w:t>
        </w:r>
        <w:r w:rsidR="00E1137B" w:rsidRPr="000A5065">
          <w:rPr>
            <w:rFonts w:asciiTheme="minorHAnsi" w:eastAsiaTheme="minorEastAsia" w:hAnsiTheme="minorHAnsi" w:cstheme="minorBidi"/>
            <w:noProof/>
            <w:kern w:val="0"/>
            <w:sz w:val="22"/>
            <w:szCs w:val="22"/>
            <w:highlight w:val="yellow"/>
          </w:rPr>
          <w:tab/>
        </w:r>
        <w:r w:rsidR="00E1137B" w:rsidRPr="000A5065">
          <w:rPr>
            <w:rStyle w:val="Hyperlink"/>
            <w:noProof/>
            <w:highlight w:val="yellow"/>
          </w:rPr>
          <w:t xml:space="preserve">Section 32—Amount of nitrogen in material type </w:t>
        </w:r>
        <w:r w:rsidR="00E1137B" w:rsidRPr="000A5065">
          <w:rPr>
            <w:rStyle w:val="Hyperlink"/>
            <w:i/>
            <w:noProof/>
            <w:highlight w:val="yellow"/>
          </w:rPr>
          <w:t>w, N</w:t>
        </w:r>
        <w:r w:rsidR="00E1137B" w:rsidRPr="000A5065">
          <w:rPr>
            <w:rStyle w:val="Hyperlink"/>
            <w:rFonts w:eastAsia="Calibri"/>
            <w:i/>
            <w:noProof/>
            <w:highlight w:val="yellow"/>
            <w:vertAlign w:val="subscript"/>
          </w:rPr>
          <w:t>Div, w, n</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_Toc86674791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17</w:t>
        </w:r>
        <w:r w:rsidR="00E1137B" w:rsidRPr="000A5065">
          <w:rPr>
            <w:noProof/>
            <w:webHidden/>
            <w:highlight w:val="yellow"/>
          </w:rPr>
          <w:fldChar w:fldCharType="end"/>
        </w:r>
      </w:hyperlink>
    </w:p>
    <w:p w14:paraId="11B9F1EA" w14:textId="00F0FC60" w:rsidR="00E1137B" w:rsidRPr="000A5065" w:rsidRDefault="00111062">
      <w:pPr>
        <w:pStyle w:val="TOC1"/>
        <w:rPr>
          <w:rFonts w:asciiTheme="minorHAnsi" w:eastAsiaTheme="minorEastAsia" w:hAnsiTheme="minorHAnsi" w:cstheme="minorBidi"/>
          <w:b w:val="0"/>
          <w:noProof/>
          <w:kern w:val="0"/>
          <w:sz w:val="22"/>
          <w:szCs w:val="22"/>
          <w:highlight w:val="yellow"/>
        </w:rPr>
      </w:pPr>
      <w:hyperlink w:anchor="_Toc86674792" w:history="1">
        <w:r w:rsidR="00E1137B" w:rsidRPr="000A5065">
          <w:rPr>
            <w:rStyle w:val="Hyperlink"/>
            <w:noProof/>
            <w:highlight w:val="yellow"/>
          </w:rPr>
          <w:t>Schedule 1—Default methane</w:t>
        </w:r>
        <w:r w:rsidR="00E1137B" w:rsidRPr="000A5065">
          <w:rPr>
            <w:rStyle w:val="Hyperlink"/>
            <w:noProof/>
            <w:highlight w:val="yellow"/>
          </w:rPr>
          <w:noBreakHyphen/>
          <w:t>producing capacities for types of material</w:t>
        </w:r>
        <w:r w:rsidR="00E1137B" w:rsidRPr="000A5065">
          <w:rPr>
            <w:noProof/>
            <w:webHidden/>
            <w:highlight w:val="yellow"/>
          </w:rPr>
          <w:tab/>
        </w:r>
        <w:r w:rsidR="00E1137B" w:rsidRPr="000A5065">
          <w:rPr>
            <w:noProof/>
            <w:webHidden/>
            <w:highlight w:val="yellow"/>
          </w:rPr>
          <w:fldChar w:fldCharType="begin"/>
        </w:r>
        <w:r w:rsidR="00E1137B" w:rsidRPr="000A5065">
          <w:rPr>
            <w:noProof/>
            <w:webHidden/>
            <w:highlight w:val="yellow"/>
          </w:rPr>
          <w:instrText xml:space="preserve"> PAGEREF _Toc86674792 \h </w:instrText>
        </w:r>
        <w:r w:rsidR="00E1137B" w:rsidRPr="000A5065">
          <w:rPr>
            <w:noProof/>
            <w:webHidden/>
            <w:highlight w:val="yellow"/>
          </w:rPr>
        </w:r>
        <w:r w:rsidR="00E1137B" w:rsidRPr="000A5065">
          <w:rPr>
            <w:noProof/>
            <w:webHidden/>
            <w:highlight w:val="yellow"/>
          </w:rPr>
          <w:fldChar w:fldCharType="separate"/>
        </w:r>
        <w:r w:rsidR="00E1137B" w:rsidRPr="000A5065">
          <w:rPr>
            <w:noProof/>
            <w:webHidden/>
            <w:highlight w:val="yellow"/>
          </w:rPr>
          <w:t>19</w:t>
        </w:r>
        <w:r w:rsidR="00E1137B" w:rsidRPr="000A5065">
          <w:rPr>
            <w:noProof/>
            <w:webHidden/>
            <w:highlight w:val="yellow"/>
          </w:rPr>
          <w:fldChar w:fldCharType="end"/>
        </w:r>
      </w:hyperlink>
    </w:p>
    <w:p w14:paraId="219ADDCC" w14:textId="42CFBEB3" w:rsidR="005445F8" w:rsidRPr="000A5065" w:rsidRDefault="00DD7F02" w:rsidP="00E15BFF">
      <w:pPr>
        <w:rPr>
          <w:sz w:val="36"/>
          <w:highlight w:val="yellow"/>
        </w:rPr>
      </w:pPr>
      <w:r w:rsidRPr="000A5065">
        <w:rPr>
          <w:b/>
          <w:sz w:val="36"/>
          <w:highlight w:val="yellow"/>
        </w:rPr>
        <w:fldChar w:fldCharType="end"/>
      </w:r>
      <w:r w:rsidR="003C20D3" w:rsidRPr="000A5065">
        <w:rPr>
          <w:b/>
          <w:sz w:val="36"/>
          <w:highlight w:val="yellow"/>
        </w:rPr>
        <w:t xml:space="preserve"> </w:t>
      </w:r>
    </w:p>
    <w:p w14:paraId="400F7DC3" w14:textId="77777777" w:rsidR="00E15BFF" w:rsidRPr="00564B75" w:rsidRDefault="00ED1883" w:rsidP="00E15BFF">
      <w:pPr>
        <w:pStyle w:val="h2Part"/>
      </w:pPr>
      <w:bookmarkStart w:id="0" w:name="_Toc495409287"/>
      <w:bookmarkStart w:id="1" w:name="_Toc498293967"/>
      <w:bookmarkStart w:id="2" w:name="_Toc17792690"/>
      <w:bookmarkStart w:id="3" w:name="_Toc82779108"/>
      <w:bookmarkStart w:id="4" w:name="_Toc82779419"/>
      <w:bookmarkStart w:id="5" w:name="_Toc86674759"/>
      <w:r w:rsidRPr="00564B75">
        <w:lastRenderedPageBreak/>
        <w:t>P</w:t>
      </w:r>
      <w:r w:rsidR="00E741AF" w:rsidRPr="00564B75">
        <w:t>art 1</w:t>
      </w:r>
      <w:r w:rsidR="00E15BFF" w:rsidRPr="00564B75">
        <w:t>—Preliminary</w:t>
      </w:r>
      <w:bookmarkEnd w:id="0"/>
      <w:bookmarkEnd w:id="1"/>
      <w:bookmarkEnd w:id="2"/>
      <w:bookmarkEnd w:id="3"/>
      <w:bookmarkEnd w:id="4"/>
      <w:bookmarkEnd w:id="5"/>
    </w:p>
    <w:p w14:paraId="400F7DC4" w14:textId="77777777" w:rsidR="00E15BFF" w:rsidRPr="00564B75" w:rsidRDefault="0060500D" w:rsidP="00E15BFF">
      <w:pPr>
        <w:pStyle w:val="h5Section"/>
        <w:rPr>
          <w:u w:val="single"/>
        </w:rPr>
      </w:pPr>
      <w:bookmarkStart w:id="6" w:name="_Toc498293968"/>
      <w:bookmarkStart w:id="7" w:name="_Toc17792691"/>
      <w:bookmarkStart w:id="8" w:name="_Toc82779109"/>
      <w:bookmarkStart w:id="9" w:name="_Toc82779420"/>
      <w:bookmarkStart w:id="10" w:name="_Toc86674760"/>
      <w:r w:rsidRPr="00564B75">
        <w:rPr>
          <w:u w:val="single"/>
        </w:rPr>
        <w:t>1</w:t>
      </w:r>
      <w:r w:rsidRPr="00564B75">
        <w:rPr>
          <w:u w:val="single"/>
        </w:rPr>
        <w:tab/>
      </w:r>
      <w:r w:rsidR="00E15BFF" w:rsidRPr="00564B75">
        <w:rPr>
          <w:u w:val="single"/>
        </w:rPr>
        <w:t>Name</w:t>
      </w:r>
      <w:bookmarkEnd w:id="6"/>
      <w:bookmarkEnd w:id="7"/>
      <w:bookmarkEnd w:id="8"/>
      <w:bookmarkEnd w:id="9"/>
      <w:bookmarkEnd w:id="10"/>
    </w:p>
    <w:p w14:paraId="400F7DC5" w14:textId="77777777" w:rsidR="00E15BFF" w:rsidRPr="00564B75" w:rsidRDefault="00E15BFF" w:rsidP="00E15BFF">
      <w:pPr>
        <w:pStyle w:val="tMain"/>
      </w:pPr>
      <w:r w:rsidRPr="00564B75">
        <w:tab/>
      </w:r>
      <w:r w:rsidRPr="00564B75">
        <w:tab/>
        <w:t xml:space="preserve">This is the </w:t>
      </w:r>
      <w:r w:rsidR="002A7439" w:rsidRPr="00564B75">
        <w:rPr>
          <w:i/>
          <w:noProof/>
        </w:rPr>
        <w:t>Supplement to the Carbon Credits (Carbon Farming Initiative—Animal Effluent Management</w:t>
      </w:r>
      <w:r w:rsidR="00B44883" w:rsidRPr="00564B75">
        <w:rPr>
          <w:i/>
          <w:noProof/>
        </w:rPr>
        <w:t>) Methodology Determination 2019</w:t>
      </w:r>
      <w:r w:rsidRPr="00564B75">
        <w:t>.</w:t>
      </w:r>
    </w:p>
    <w:p w14:paraId="400F7DC6" w14:textId="77777777" w:rsidR="00E15BFF" w:rsidRPr="00564B75" w:rsidRDefault="00E741AF" w:rsidP="00E15BFF">
      <w:pPr>
        <w:pStyle w:val="h5Section"/>
        <w:rPr>
          <w:u w:val="single"/>
        </w:rPr>
      </w:pPr>
      <w:bookmarkStart w:id="11" w:name="_Toc498293969"/>
      <w:bookmarkStart w:id="12" w:name="_Toc17792692"/>
      <w:bookmarkStart w:id="13" w:name="_Toc82779110"/>
      <w:bookmarkStart w:id="14" w:name="_Toc82779421"/>
      <w:bookmarkStart w:id="15" w:name="_Toc86674761"/>
      <w:r w:rsidRPr="00564B75">
        <w:rPr>
          <w:u w:val="single"/>
        </w:rPr>
        <w:t>2</w:t>
      </w:r>
      <w:r w:rsidR="0060500D" w:rsidRPr="00564B75">
        <w:rPr>
          <w:u w:val="single"/>
        </w:rPr>
        <w:tab/>
      </w:r>
      <w:r w:rsidR="00E15BFF" w:rsidRPr="00564B75">
        <w:rPr>
          <w:u w:val="single"/>
        </w:rPr>
        <w:t>Entry into effect</w:t>
      </w:r>
      <w:bookmarkEnd w:id="11"/>
      <w:bookmarkEnd w:id="12"/>
      <w:bookmarkEnd w:id="13"/>
      <w:bookmarkEnd w:id="14"/>
      <w:bookmarkEnd w:id="15"/>
    </w:p>
    <w:p w14:paraId="400F7DC7" w14:textId="67CF5369" w:rsidR="00E15BFF" w:rsidRDefault="00E52C94" w:rsidP="00E15BFF">
      <w:pPr>
        <w:pStyle w:val="tMain"/>
      </w:pPr>
      <w:r w:rsidRPr="00564B75">
        <w:tab/>
      </w:r>
      <w:r w:rsidRPr="00564B75">
        <w:tab/>
      </w:r>
      <w:r w:rsidR="00E15BFF" w:rsidRPr="00564B75">
        <w:t xml:space="preserve">This Supplement comes into effect on </w:t>
      </w:r>
      <w:r w:rsidR="00C637C9" w:rsidRPr="00564B75">
        <w:t xml:space="preserve">the commencement of the </w:t>
      </w:r>
      <w:r w:rsidR="00C637C9" w:rsidRPr="00564B75">
        <w:rPr>
          <w:i/>
          <w:noProof/>
        </w:rPr>
        <w:t>Carbon Credits (Carbon Farming Initiative—Animal Effluent Management) Methodology Determination 2019</w:t>
      </w:r>
      <w:r w:rsidR="00E15BFF" w:rsidRPr="00564B75">
        <w:t>.</w:t>
      </w:r>
    </w:p>
    <w:p w14:paraId="2FF4A34F" w14:textId="17BFD065" w:rsidR="00B848FB" w:rsidRPr="000A5065" w:rsidRDefault="00B848FB" w:rsidP="00B848FB">
      <w:pPr>
        <w:pStyle w:val="nMain"/>
        <w:rPr>
          <w:szCs w:val="18"/>
          <w:highlight w:val="yellow"/>
          <w:bdr w:val="none" w:sz="0" w:space="0" w:color="auto" w:frame="1"/>
        </w:rPr>
      </w:pPr>
      <w:r w:rsidRPr="000A5065">
        <w:rPr>
          <w:szCs w:val="18"/>
          <w:highlight w:val="yellow"/>
        </w:rPr>
        <w:t>Note 1:</w:t>
      </w:r>
      <w:r w:rsidRPr="000A5065">
        <w:rPr>
          <w:szCs w:val="18"/>
          <w:highlight w:val="yellow"/>
        </w:rPr>
        <w:tab/>
        <w:t xml:space="preserve">The </w:t>
      </w:r>
      <w:r w:rsidRPr="000A5065">
        <w:rPr>
          <w:i/>
          <w:iCs/>
          <w:highlight w:val="yellow"/>
        </w:rPr>
        <w:t>Carbon Credits (Carbon Farming Initiative—Animal Effluent Management) Methodology Determination 2019</w:t>
      </w:r>
      <w:r w:rsidRPr="000A5065">
        <w:rPr>
          <w:highlight w:val="yellow"/>
        </w:rPr>
        <w:t xml:space="preserve"> </w:t>
      </w:r>
      <w:r w:rsidRPr="00111062">
        <w:rPr>
          <w:highlight w:val="yellow"/>
        </w:rPr>
        <w:t xml:space="preserve">commenced on </w:t>
      </w:r>
      <w:r w:rsidR="0087516E" w:rsidRPr="00111062">
        <w:rPr>
          <w:highlight w:val="yellow"/>
        </w:rPr>
        <w:t>7 January</w:t>
      </w:r>
      <w:r w:rsidRPr="00111062">
        <w:rPr>
          <w:highlight w:val="yellow"/>
        </w:rPr>
        <w:t xml:space="preserve"> </w:t>
      </w:r>
      <w:r w:rsidRPr="000A5065">
        <w:rPr>
          <w:highlight w:val="yellow"/>
        </w:rPr>
        <w:t>20</w:t>
      </w:r>
      <w:r w:rsidR="0087516E" w:rsidRPr="000A5065">
        <w:rPr>
          <w:highlight w:val="yellow"/>
        </w:rPr>
        <w:t>20</w:t>
      </w:r>
      <w:r w:rsidRPr="000A5065">
        <w:rPr>
          <w:szCs w:val="18"/>
          <w:highlight w:val="yellow"/>
          <w:bdr w:val="none" w:sz="0" w:space="0" w:color="auto" w:frame="1"/>
        </w:rPr>
        <w:t>.</w:t>
      </w:r>
    </w:p>
    <w:p w14:paraId="5729DF25" w14:textId="34AA5FB9" w:rsidR="00B848FB" w:rsidRPr="000A5065" w:rsidRDefault="00B848FB" w:rsidP="00B848FB">
      <w:pPr>
        <w:pStyle w:val="nMain"/>
        <w:rPr>
          <w:szCs w:val="18"/>
          <w:highlight w:val="yellow"/>
        </w:rPr>
      </w:pPr>
      <w:r w:rsidRPr="000A5065">
        <w:rPr>
          <w:szCs w:val="18"/>
          <w:highlight w:val="yellow"/>
        </w:rPr>
        <w:t>Note 2:</w:t>
      </w:r>
      <w:r w:rsidRPr="000A5065">
        <w:rPr>
          <w:szCs w:val="18"/>
          <w:highlight w:val="yellow"/>
        </w:rPr>
        <w:tab/>
        <w:t xml:space="preserve">Subsection </w:t>
      </w:r>
      <w:r w:rsidRPr="00111062">
        <w:rPr>
          <w:highlight w:val="yellow"/>
        </w:rPr>
        <w:t xml:space="preserve">106(8) of the </w:t>
      </w:r>
      <w:r w:rsidRPr="00111062">
        <w:rPr>
          <w:i/>
          <w:iCs/>
          <w:highlight w:val="yellow"/>
        </w:rPr>
        <w:t xml:space="preserve">Carbon </w:t>
      </w:r>
      <w:r w:rsidRPr="000A5065">
        <w:rPr>
          <w:i/>
          <w:iCs/>
          <w:highlight w:val="yellow"/>
        </w:rPr>
        <w:t>Credits (Carbon Farming Initiative) Act 2011</w:t>
      </w:r>
      <w:r w:rsidR="006B5D72" w:rsidRPr="000A5065">
        <w:rPr>
          <w:i/>
          <w:iCs/>
          <w:highlight w:val="yellow"/>
        </w:rPr>
        <w:t xml:space="preserve"> </w:t>
      </w:r>
      <w:r w:rsidR="00416CDE" w:rsidRPr="000A5065">
        <w:rPr>
          <w:highlight w:val="yellow"/>
        </w:rPr>
        <w:t xml:space="preserve">provides that an </w:t>
      </w:r>
      <w:r w:rsidRPr="000A5065">
        <w:rPr>
          <w:highlight w:val="yellow"/>
        </w:rPr>
        <w:t>Emissions Reduction Fund method</w:t>
      </w:r>
      <w:r w:rsidR="0087516E" w:rsidRPr="000A5065">
        <w:rPr>
          <w:highlight w:val="yellow"/>
        </w:rPr>
        <w:t>ology determination</w:t>
      </w:r>
      <w:r w:rsidRPr="000A5065">
        <w:rPr>
          <w:highlight w:val="yellow"/>
        </w:rPr>
        <w:t xml:space="preserve"> to</w:t>
      </w:r>
      <w:r w:rsidR="00416CDE" w:rsidRPr="000A5065">
        <w:rPr>
          <w:highlight w:val="yellow"/>
        </w:rPr>
        <w:t xml:space="preserve"> make provision in relation to a matter by applying, </w:t>
      </w:r>
      <w:proofErr w:type="gramStart"/>
      <w:r w:rsidR="00416CDE" w:rsidRPr="000A5065">
        <w:rPr>
          <w:highlight w:val="yellow"/>
        </w:rPr>
        <w:t>adopting</w:t>
      </w:r>
      <w:proofErr w:type="gramEnd"/>
      <w:r w:rsidR="00416CDE" w:rsidRPr="000A5065">
        <w:rPr>
          <w:highlight w:val="yellow"/>
        </w:rPr>
        <w:t xml:space="preserve"> or incorporating a matter contained in an instrument as in </w:t>
      </w:r>
      <w:r w:rsidR="006B5D72" w:rsidRPr="000A5065">
        <w:rPr>
          <w:highlight w:val="yellow"/>
        </w:rPr>
        <w:t>force</w:t>
      </w:r>
      <w:r w:rsidR="00416CDE" w:rsidRPr="000A5065">
        <w:rPr>
          <w:highlight w:val="yellow"/>
        </w:rPr>
        <w:t xml:space="preserve"> from time to time. </w:t>
      </w:r>
      <w:r w:rsidRPr="000A5065">
        <w:rPr>
          <w:highlight w:val="yellow"/>
        </w:rPr>
        <w:t xml:space="preserve"> </w:t>
      </w:r>
    </w:p>
    <w:p w14:paraId="21BCFB6C" w14:textId="07271C6B" w:rsidR="00B848FB" w:rsidRPr="00564B75" w:rsidRDefault="00B848FB" w:rsidP="000A5065">
      <w:pPr>
        <w:pStyle w:val="nMain"/>
      </w:pPr>
      <w:r w:rsidRPr="000A5065">
        <w:rPr>
          <w:szCs w:val="18"/>
          <w:highlight w:val="yellow"/>
        </w:rPr>
        <w:t>Note 3:</w:t>
      </w:r>
      <w:r w:rsidRPr="000A5065">
        <w:rPr>
          <w:szCs w:val="18"/>
          <w:highlight w:val="yellow"/>
        </w:rPr>
        <w:tab/>
        <w:t xml:space="preserve">Section </w:t>
      </w:r>
      <w:r w:rsidRPr="000A5065">
        <w:rPr>
          <w:highlight w:val="yellow"/>
        </w:rPr>
        <w:t xml:space="preserve">6 </w:t>
      </w:r>
      <w:r w:rsidRPr="00111062">
        <w:rPr>
          <w:highlight w:val="yellow"/>
        </w:rPr>
        <w:t xml:space="preserve">of the Determination </w:t>
      </w:r>
      <w:r w:rsidRPr="000A5065">
        <w:rPr>
          <w:highlight w:val="yellow"/>
        </w:rPr>
        <w:t xml:space="preserve">requires that the version of </w:t>
      </w:r>
      <w:r w:rsidRPr="00111062">
        <w:rPr>
          <w:highlight w:val="yellow"/>
        </w:rPr>
        <w:t>th</w:t>
      </w:r>
      <w:r w:rsidR="0087516E" w:rsidRPr="00111062">
        <w:rPr>
          <w:highlight w:val="yellow"/>
        </w:rPr>
        <w:t>is</w:t>
      </w:r>
      <w:r w:rsidRPr="00111062">
        <w:rPr>
          <w:highlight w:val="yellow"/>
        </w:rPr>
        <w:t xml:space="preserve"> Supplement that is in force at</w:t>
      </w:r>
      <w:r w:rsidRPr="00D430BD">
        <w:t xml:space="preserve"> </w:t>
      </w:r>
      <w:r w:rsidRPr="000A5065">
        <w:rPr>
          <w:highlight w:val="yellow"/>
        </w:rPr>
        <w:t xml:space="preserve">the end of the reporting period </w:t>
      </w:r>
      <w:r w:rsidR="00416CDE" w:rsidRPr="000A5065">
        <w:rPr>
          <w:highlight w:val="yellow"/>
        </w:rPr>
        <w:t xml:space="preserve">for a project </w:t>
      </w:r>
      <w:r w:rsidRPr="000A5065">
        <w:rPr>
          <w:highlight w:val="yellow"/>
        </w:rPr>
        <w:t>must be used for all calculations for the whole reporting period</w:t>
      </w:r>
      <w:r w:rsidR="00416CDE" w:rsidRPr="000A5065">
        <w:rPr>
          <w:highlight w:val="yellow"/>
        </w:rPr>
        <w:t xml:space="preserve"> for the </w:t>
      </w:r>
      <w:r w:rsidR="006B5D72" w:rsidRPr="000A5065">
        <w:rPr>
          <w:highlight w:val="yellow"/>
        </w:rPr>
        <w:t>project</w:t>
      </w:r>
      <w:r w:rsidR="006B5D72">
        <w:t>.</w:t>
      </w:r>
    </w:p>
    <w:p w14:paraId="400F7DC9" w14:textId="64797CE9" w:rsidR="00E15BFF" w:rsidRPr="00564B75" w:rsidRDefault="00E741AF" w:rsidP="00E15BFF">
      <w:pPr>
        <w:pStyle w:val="h5Section"/>
        <w:rPr>
          <w:u w:val="single"/>
        </w:rPr>
      </w:pPr>
      <w:bookmarkStart w:id="16" w:name="_Toc498293970"/>
      <w:bookmarkStart w:id="17" w:name="_Toc17792693"/>
      <w:bookmarkStart w:id="18" w:name="_Toc82779111"/>
      <w:bookmarkStart w:id="19" w:name="_Toc82779422"/>
      <w:bookmarkStart w:id="20" w:name="_Toc86674762"/>
      <w:r w:rsidRPr="00564B75">
        <w:rPr>
          <w:u w:val="single"/>
        </w:rPr>
        <w:t>3</w:t>
      </w:r>
      <w:r w:rsidR="0060500D" w:rsidRPr="00564B75">
        <w:rPr>
          <w:u w:val="single"/>
        </w:rPr>
        <w:tab/>
      </w:r>
      <w:r w:rsidR="00E15BFF" w:rsidRPr="00564B75">
        <w:rPr>
          <w:u w:val="single"/>
        </w:rPr>
        <w:t>Definition</w:t>
      </w:r>
      <w:bookmarkEnd w:id="16"/>
      <w:bookmarkEnd w:id="17"/>
      <w:r w:rsidR="00403355" w:rsidRPr="00564B75">
        <w:rPr>
          <w:u w:val="single"/>
        </w:rPr>
        <w:t>s</w:t>
      </w:r>
      <w:bookmarkEnd w:id="18"/>
      <w:bookmarkEnd w:id="19"/>
      <w:bookmarkEnd w:id="20"/>
    </w:p>
    <w:p w14:paraId="187FEA9A" w14:textId="0279F10B" w:rsidR="00F508D7" w:rsidRPr="000A5065" w:rsidRDefault="00F508D7" w:rsidP="005445F8">
      <w:pPr>
        <w:pStyle w:val="tMain"/>
        <w:rPr>
          <w:b/>
          <w:i/>
          <w:highlight w:val="yellow"/>
        </w:rPr>
      </w:pPr>
      <w:r w:rsidRPr="00564B75">
        <w:tab/>
      </w:r>
      <w:r w:rsidRPr="000A5065">
        <w:rPr>
          <w:highlight w:val="yellow"/>
        </w:rPr>
        <w:t>(1)</w:t>
      </w:r>
      <w:r w:rsidRPr="00564B75">
        <w:tab/>
      </w:r>
      <w:r w:rsidRPr="00111062">
        <w:rPr>
          <w:highlight w:val="yellow"/>
        </w:rPr>
        <w:t>In this Supplement</w:t>
      </w:r>
      <w:r w:rsidR="00E35582">
        <w:t>:</w:t>
      </w:r>
    </w:p>
    <w:p w14:paraId="400F7DCB" w14:textId="65B98067" w:rsidR="00B3732B" w:rsidRPr="00564B75" w:rsidRDefault="00E15BFF" w:rsidP="006D24A2">
      <w:pPr>
        <w:pStyle w:val="tDefn"/>
      </w:pPr>
      <w:r w:rsidRPr="00564B75">
        <w:rPr>
          <w:b/>
          <w:i/>
        </w:rPr>
        <w:t>Determination</w:t>
      </w:r>
      <w:r w:rsidRPr="00564B75">
        <w:rPr>
          <w:b/>
        </w:rPr>
        <w:t xml:space="preserve"> </w:t>
      </w:r>
      <w:r w:rsidRPr="00564B75">
        <w:t xml:space="preserve">means the </w:t>
      </w:r>
      <w:r w:rsidRPr="00564B75">
        <w:rPr>
          <w:i/>
          <w:noProof/>
        </w:rPr>
        <w:t>Carbon Credits (Carbon Farming Initiative—Animal Effluent Management) Methodology Determination 201</w:t>
      </w:r>
      <w:r w:rsidR="00B44883" w:rsidRPr="00564B75">
        <w:rPr>
          <w:i/>
          <w:noProof/>
        </w:rPr>
        <w:t>9</w:t>
      </w:r>
      <w:r w:rsidRPr="00564B75">
        <w:t>.</w:t>
      </w:r>
    </w:p>
    <w:p w14:paraId="2F606246" w14:textId="0B01D228" w:rsidR="00403355" w:rsidRPr="000A5065" w:rsidRDefault="00403355" w:rsidP="00403355">
      <w:pPr>
        <w:pStyle w:val="tDefn"/>
        <w:rPr>
          <w:b/>
          <w:i/>
          <w:highlight w:val="yellow"/>
        </w:rPr>
      </w:pPr>
      <w:r w:rsidRPr="000A5065">
        <w:rPr>
          <w:b/>
          <w:i/>
          <w:highlight w:val="yellow"/>
        </w:rPr>
        <w:t>National Inventory Report</w:t>
      </w:r>
      <w:r w:rsidR="00714BEC" w:rsidRPr="000A5065">
        <w:rPr>
          <w:b/>
          <w:i/>
          <w:highlight w:val="yellow"/>
        </w:rPr>
        <w:t xml:space="preserve"> 2019</w:t>
      </w:r>
      <w:r w:rsidRPr="000A5065">
        <w:rPr>
          <w:b/>
          <w:i/>
          <w:highlight w:val="yellow"/>
        </w:rPr>
        <w:t xml:space="preserve"> </w:t>
      </w:r>
      <w:r w:rsidRPr="000A5065">
        <w:rPr>
          <w:highlight w:val="yellow"/>
        </w:rPr>
        <w:t>means the report of that name produced by Australia in fulfilment of its obligations under the Climate Change Convention and the Kyoto Protocol.</w:t>
      </w:r>
    </w:p>
    <w:p w14:paraId="5034BFE4" w14:textId="7DB69A5C" w:rsidR="00403355" w:rsidRPr="000A5065" w:rsidRDefault="00403355" w:rsidP="00BC119E">
      <w:pPr>
        <w:pStyle w:val="nMain"/>
        <w:spacing w:line="276" w:lineRule="auto"/>
        <w:rPr>
          <w:highlight w:val="yellow"/>
        </w:rPr>
      </w:pPr>
      <w:r w:rsidRPr="000A5065">
        <w:rPr>
          <w:highlight w:val="yellow"/>
        </w:rPr>
        <w:t>Note:</w:t>
      </w:r>
      <w:r w:rsidR="00111062">
        <w:rPr>
          <w:highlight w:val="yellow"/>
        </w:rPr>
        <w:tab/>
      </w:r>
      <w:r w:rsidRPr="000A5065">
        <w:rPr>
          <w:highlight w:val="yellow"/>
        </w:rPr>
        <w:t xml:space="preserve">In 2021, the National Inventory Report </w:t>
      </w:r>
      <w:r w:rsidR="00714BEC" w:rsidRPr="000A5065">
        <w:rPr>
          <w:highlight w:val="yellow"/>
        </w:rPr>
        <w:t xml:space="preserve">2019 </w:t>
      </w:r>
      <w:r w:rsidRPr="000A5065">
        <w:rPr>
          <w:highlight w:val="yellow"/>
        </w:rPr>
        <w:t xml:space="preserve">could be accessed from </w:t>
      </w:r>
      <w:hyperlink r:id="rId13" w:history="1">
        <w:r w:rsidR="00714BEC" w:rsidRPr="000A5065">
          <w:rPr>
            <w:rStyle w:val="Hyperlink"/>
            <w:highlight w:val="yellow"/>
          </w:rPr>
          <w:t>http://www.industry.gov.au</w:t>
        </w:r>
      </w:hyperlink>
      <w:r w:rsidRPr="000A5065">
        <w:rPr>
          <w:highlight w:val="yellow"/>
        </w:rPr>
        <w:t>.</w:t>
      </w:r>
    </w:p>
    <w:p w14:paraId="41C64A90" w14:textId="44FEA622" w:rsidR="00F508D7" w:rsidRPr="000A5065" w:rsidRDefault="00F508D7" w:rsidP="005445F8">
      <w:pPr>
        <w:pStyle w:val="tMain"/>
        <w:rPr>
          <w:highlight w:val="yellow"/>
        </w:rPr>
      </w:pPr>
      <w:r w:rsidRPr="000A5065">
        <w:rPr>
          <w:highlight w:val="yellow"/>
        </w:rPr>
        <w:tab/>
        <w:t>(2)</w:t>
      </w:r>
      <w:r w:rsidRPr="000A5065">
        <w:rPr>
          <w:highlight w:val="yellow"/>
        </w:rPr>
        <w:tab/>
        <w:t>Words and expressions in this Supplement have the same meaning as they have in:</w:t>
      </w:r>
    </w:p>
    <w:p w14:paraId="295797E5" w14:textId="6E52A0DA" w:rsidR="00AF074C" w:rsidRPr="000A5065" w:rsidRDefault="00AF074C" w:rsidP="00AF074C">
      <w:pPr>
        <w:pStyle w:val="tPara"/>
        <w:rPr>
          <w:highlight w:val="yellow"/>
        </w:rPr>
      </w:pPr>
      <w:r w:rsidRPr="000A5065">
        <w:rPr>
          <w:highlight w:val="yellow"/>
        </w:rPr>
        <w:tab/>
        <w:t>(a)</w:t>
      </w:r>
      <w:r w:rsidRPr="000A5065">
        <w:rPr>
          <w:highlight w:val="yellow"/>
        </w:rPr>
        <w:tab/>
        <w:t xml:space="preserve">the </w:t>
      </w:r>
      <w:r w:rsidRPr="000A5065">
        <w:rPr>
          <w:bCs/>
          <w:i/>
          <w:noProof/>
          <w:highlight w:val="yellow"/>
        </w:rPr>
        <w:t>Carbon Credits (Carbon Farming Initiative) Act</w:t>
      </w:r>
      <w:r w:rsidR="0080298E" w:rsidRPr="000A5065">
        <w:rPr>
          <w:bCs/>
          <w:i/>
          <w:noProof/>
          <w:highlight w:val="yellow"/>
        </w:rPr>
        <w:t xml:space="preserve"> 2011</w:t>
      </w:r>
      <w:r w:rsidRPr="000A5065">
        <w:rPr>
          <w:bCs/>
          <w:iCs/>
          <w:noProof/>
          <w:highlight w:val="yellow"/>
        </w:rPr>
        <w:t xml:space="preserve">; </w:t>
      </w:r>
      <w:r w:rsidRPr="000A5065">
        <w:rPr>
          <w:iCs/>
          <w:highlight w:val="yellow"/>
        </w:rPr>
        <w:t>or</w:t>
      </w:r>
      <w:r w:rsidRPr="000A5065">
        <w:rPr>
          <w:highlight w:val="yellow"/>
        </w:rPr>
        <w:t xml:space="preserve"> </w:t>
      </w:r>
    </w:p>
    <w:p w14:paraId="3306DCF6" w14:textId="631134A7" w:rsidR="00AF074C" w:rsidRPr="000A5065" w:rsidRDefault="00AF074C" w:rsidP="00AF074C">
      <w:pPr>
        <w:pStyle w:val="tPara"/>
        <w:rPr>
          <w:highlight w:val="yellow"/>
        </w:rPr>
      </w:pPr>
      <w:r w:rsidRPr="000A5065">
        <w:rPr>
          <w:highlight w:val="yellow"/>
        </w:rPr>
        <w:tab/>
        <w:t>(b)</w:t>
      </w:r>
      <w:r w:rsidRPr="000A5065">
        <w:rPr>
          <w:highlight w:val="yellow"/>
        </w:rPr>
        <w:tab/>
      </w:r>
      <w:r w:rsidRPr="000A5065">
        <w:rPr>
          <w:bCs/>
          <w:iCs/>
          <w:noProof/>
          <w:highlight w:val="yellow"/>
        </w:rPr>
        <w:t>the</w:t>
      </w:r>
      <w:r w:rsidR="00C73EAA" w:rsidRPr="000A5065">
        <w:rPr>
          <w:bCs/>
          <w:iCs/>
          <w:noProof/>
          <w:highlight w:val="yellow"/>
        </w:rPr>
        <w:t xml:space="preserve"> Determination</w:t>
      </w:r>
      <w:r w:rsidRPr="000A5065">
        <w:rPr>
          <w:bCs/>
          <w:iCs/>
          <w:noProof/>
          <w:highlight w:val="yellow"/>
        </w:rPr>
        <w:t>.</w:t>
      </w:r>
      <w:r w:rsidRPr="000A5065">
        <w:rPr>
          <w:highlight w:val="yellow"/>
        </w:rPr>
        <w:t xml:space="preserve"> </w:t>
      </w:r>
    </w:p>
    <w:p w14:paraId="400F7DCE" w14:textId="411EB8FB" w:rsidR="00916EF1" w:rsidRPr="00A81759" w:rsidRDefault="00E741AF" w:rsidP="00916EF1">
      <w:pPr>
        <w:pStyle w:val="h5Section"/>
        <w:rPr>
          <w:u w:val="single"/>
        </w:rPr>
      </w:pPr>
      <w:bookmarkStart w:id="21" w:name="_Toc498293972"/>
      <w:bookmarkStart w:id="22" w:name="_Toc17792694"/>
      <w:bookmarkStart w:id="23" w:name="_Toc82779115"/>
      <w:bookmarkStart w:id="24" w:name="_Toc82779423"/>
      <w:bookmarkStart w:id="25" w:name="_Toc86674763"/>
      <w:r w:rsidRPr="00A81759">
        <w:rPr>
          <w:u w:val="single"/>
        </w:rPr>
        <w:t>4</w:t>
      </w:r>
      <w:r w:rsidR="0060500D" w:rsidRPr="00A81759">
        <w:rPr>
          <w:u w:val="single"/>
        </w:rPr>
        <w:tab/>
      </w:r>
      <w:r w:rsidR="00916EF1" w:rsidRPr="00A81759">
        <w:rPr>
          <w:u w:val="single"/>
        </w:rPr>
        <w:t xml:space="preserve">Section </w:t>
      </w:r>
      <w:r w:rsidR="002A7439" w:rsidRPr="00A81759">
        <w:rPr>
          <w:u w:val="single"/>
        </w:rPr>
        <w:t>5</w:t>
      </w:r>
      <w:r w:rsidR="00916EF1" w:rsidRPr="00A81759">
        <w:rPr>
          <w:u w:val="single"/>
        </w:rPr>
        <w:t>—</w:t>
      </w:r>
      <w:r w:rsidR="00A159FE" w:rsidRPr="000A5065">
        <w:rPr>
          <w:highlight w:val="yellow"/>
          <w:u w:val="single"/>
        </w:rPr>
        <w:t>D</w:t>
      </w:r>
      <w:r w:rsidR="00916EF1" w:rsidRPr="000A5065">
        <w:rPr>
          <w:highlight w:val="yellow"/>
          <w:u w:val="single"/>
        </w:rPr>
        <w:t>efinition</w:t>
      </w:r>
      <w:r w:rsidR="00916EF1" w:rsidRPr="00A81759">
        <w:rPr>
          <w:u w:val="single"/>
        </w:rPr>
        <w:t xml:space="preserve"> of ‘default capacity’</w:t>
      </w:r>
      <w:bookmarkEnd w:id="21"/>
      <w:bookmarkEnd w:id="22"/>
      <w:bookmarkEnd w:id="23"/>
      <w:bookmarkEnd w:id="24"/>
      <w:bookmarkEnd w:id="25"/>
    </w:p>
    <w:p w14:paraId="057D6E89" w14:textId="497953B4" w:rsidR="00816399" w:rsidRPr="000A5065" w:rsidRDefault="00816399" w:rsidP="00816399">
      <w:pPr>
        <w:pStyle w:val="tMain"/>
        <w:rPr>
          <w:b/>
          <w:i/>
          <w:highlight w:val="yellow"/>
        </w:rPr>
      </w:pPr>
      <w:r w:rsidRPr="00564B75">
        <w:tab/>
      </w:r>
      <w:r w:rsidRPr="000A5065">
        <w:rPr>
          <w:highlight w:val="yellow"/>
        </w:rPr>
        <w:t>(1)</w:t>
      </w:r>
      <w:r w:rsidRPr="00564B75">
        <w:tab/>
        <w:t>For the definition of ‘default capacity’ in</w:t>
      </w:r>
      <w:r w:rsidRPr="000A5065">
        <w:rPr>
          <w:highlight w:val="yellow"/>
        </w:rPr>
        <w:t xml:space="preserve"> section 5 of</w:t>
      </w:r>
      <w:r w:rsidRPr="00122E37">
        <w:t xml:space="preserve"> the Determination</w:t>
      </w:r>
      <w:r w:rsidRPr="00564B75">
        <w:t xml:space="preserve">, the default capacity of </w:t>
      </w:r>
      <w:r w:rsidRPr="00564B75">
        <w:rPr>
          <w:rStyle w:val="CharChapText"/>
        </w:rPr>
        <w:t>the methane</w:t>
      </w:r>
      <w:r w:rsidRPr="00564B75">
        <w:rPr>
          <w:rStyle w:val="CharChapText"/>
        </w:rPr>
        <w:noBreakHyphen/>
        <w:t xml:space="preserve">producing capacities of listed types of material </w:t>
      </w:r>
      <w:r w:rsidRPr="000A5065">
        <w:rPr>
          <w:rStyle w:val="CharChapText"/>
          <w:highlight w:val="yellow"/>
        </w:rPr>
        <w:t>is</w:t>
      </w:r>
      <w:r>
        <w:rPr>
          <w:rStyle w:val="CharChapText"/>
        </w:rPr>
        <w:t xml:space="preserve"> </w:t>
      </w:r>
      <w:r w:rsidRPr="00564B75">
        <w:rPr>
          <w:rStyle w:val="CharChapText"/>
        </w:rPr>
        <w:t xml:space="preserve">specified in </w:t>
      </w:r>
      <w:r w:rsidRPr="00564B75">
        <w:t>Schedule 1.</w:t>
      </w:r>
    </w:p>
    <w:p w14:paraId="400F7DCF" w14:textId="3E6A2170" w:rsidR="00B221E5" w:rsidRPr="000A5065" w:rsidRDefault="00816399" w:rsidP="007B4D29">
      <w:pPr>
        <w:pStyle w:val="tMain"/>
        <w:rPr>
          <w:highlight w:val="yellow"/>
        </w:rPr>
      </w:pPr>
      <w:r w:rsidRPr="000A5065">
        <w:rPr>
          <w:highlight w:val="yellow"/>
        </w:rPr>
        <w:tab/>
        <w:t>(2)</w:t>
      </w:r>
      <w:r w:rsidRPr="000A5065">
        <w:rPr>
          <w:highlight w:val="yellow"/>
        </w:rPr>
        <w:tab/>
        <w:t>Two default capacity values are provided for each listed type of material, one to be used in equations 7 and 12, and another to be used in equation 8</w:t>
      </w:r>
      <w:r w:rsidR="00FF3633" w:rsidRPr="000A5065">
        <w:rPr>
          <w:highlight w:val="yellow"/>
        </w:rPr>
        <w:t>.</w:t>
      </w:r>
      <w:r w:rsidR="0080298E" w:rsidRPr="000A5065">
        <w:rPr>
          <w:highlight w:val="yellow"/>
        </w:rPr>
        <w:t xml:space="preserve"> (</w:t>
      </w:r>
      <w:r w:rsidR="00FF3633" w:rsidRPr="000A5065">
        <w:rPr>
          <w:highlight w:val="yellow"/>
        </w:rPr>
        <w:t xml:space="preserve">Equations 7, 12 and 8 are </w:t>
      </w:r>
      <w:r w:rsidR="0080298E" w:rsidRPr="000A5065">
        <w:rPr>
          <w:highlight w:val="yellow"/>
        </w:rPr>
        <w:t xml:space="preserve">set out in sections 25, </w:t>
      </w:r>
      <w:r w:rsidR="00A81759" w:rsidRPr="000A5065">
        <w:rPr>
          <w:highlight w:val="yellow"/>
        </w:rPr>
        <w:t>32</w:t>
      </w:r>
      <w:r w:rsidR="0080298E" w:rsidRPr="000A5065">
        <w:rPr>
          <w:highlight w:val="yellow"/>
        </w:rPr>
        <w:t xml:space="preserve"> and </w:t>
      </w:r>
      <w:r w:rsidR="00A81759" w:rsidRPr="000A5065">
        <w:rPr>
          <w:highlight w:val="yellow"/>
        </w:rPr>
        <w:t>26</w:t>
      </w:r>
      <w:r w:rsidR="0080298E" w:rsidRPr="000A5065">
        <w:rPr>
          <w:highlight w:val="yellow"/>
        </w:rPr>
        <w:t xml:space="preserve"> of the Determination, respectively</w:t>
      </w:r>
      <w:r w:rsidR="00FF3633" w:rsidRPr="000A5065">
        <w:rPr>
          <w:highlight w:val="yellow"/>
        </w:rPr>
        <w:t>.</w:t>
      </w:r>
      <w:r w:rsidR="0080298E" w:rsidRPr="000A5065">
        <w:rPr>
          <w:highlight w:val="yellow"/>
        </w:rPr>
        <w:t>)</w:t>
      </w:r>
    </w:p>
    <w:p w14:paraId="400F7DD0" w14:textId="34E9B140" w:rsidR="00E15BFF" w:rsidRPr="00122E37" w:rsidRDefault="0060500D" w:rsidP="00E15BFF">
      <w:pPr>
        <w:pStyle w:val="h5Section"/>
        <w:rPr>
          <w:u w:val="single"/>
        </w:rPr>
      </w:pPr>
      <w:bookmarkStart w:id="26" w:name="_Toc498293975"/>
      <w:bookmarkStart w:id="27" w:name="_Toc17792695"/>
      <w:bookmarkStart w:id="28" w:name="_Toc82779116"/>
      <w:bookmarkStart w:id="29" w:name="_Toc82779424"/>
      <w:bookmarkStart w:id="30" w:name="_Toc86674764"/>
      <w:r w:rsidRPr="00122E37">
        <w:rPr>
          <w:u w:val="single"/>
        </w:rPr>
        <w:t>5</w:t>
      </w:r>
      <w:r w:rsidRPr="00122E37">
        <w:rPr>
          <w:u w:val="single"/>
        </w:rPr>
        <w:tab/>
      </w:r>
      <w:r w:rsidR="00101B4D" w:rsidRPr="00564B75">
        <w:rPr>
          <w:u w:val="single"/>
        </w:rPr>
        <w:t xml:space="preserve">Section </w:t>
      </w:r>
      <w:r w:rsidR="002A7439" w:rsidRPr="00564B75">
        <w:rPr>
          <w:u w:val="single"/>
        </w:rPr>
        <w:t>5</w:t>
      </w:r>
      <w:r w:rsidR="00101B4D" w:rsidRPr="00564B75">
        <w:rPr>
          <w:u w:val="single"/>
        </w:rPr>
        <w:t>—</w:t>
      </w:r>
      <w:r w:rsidR="00A159FE" w:rsidRPr="000A5065">
        <w:rPr>
          <w:highlight w:val="yellow"/>
          <w:u w:val="single"/>
        </w:rPr>
        <w:t>D</w:t>
      </w:r>
      <w:r w:rsidR="00E15BFF" w:rsidRPr="000A5065">
        <w:rPr>
          <w:highlight w:val="yellow"/>
          <w:u w:val="single"/>
        </w:rPr>
        <w:t>efinition</w:t>
      </w:r>
      <w:r w:rsidR="00E15BFF" w:rsidRPr="00564B75">
        <w:rPr>
          <w:u w:val="single"/>
        </w:rPr>
        <w:t xml:space="preserve"> of ‘listed </w:t>
      </w:r>
      <w:r w:rsidR="00E15BFF" w:rsidRPr="000A5065">
        <w:rPr>
          <w:highlight w:val="yellow"/>
          <w:u w:val="single"/>
        </w:rPr>
        <w:t>type’</w:t>
      </w:r>
      <w:bookmarkEnd w:id="26"/>
      <w:bookmarkEnd w:id="27"/>
      <w:bookmarkEnd w:id="28"/>
      <w:bookmarkEnd w:id="29"/>
      <w:bookmarkEnd w:id="30"/>
    </w:p>
    <w:p w14:paraId="400F7DD1" w14:textId="4FB69C54" w:rsidR="00E15BFF" w:rsidRPr="00564B75" w:rsidRDefault="00E15BFF" w:rsidP="00E15BFF">
      <w:pPr>
        <w:pStyle w:val="tMain"/>
      </w:pPr>
      <w:r w:rsidRPr="00564B75">
        <w:tab/>
      </w:r>
      <w:r w:rsidR="00DA5BB6" w:rsidRPr="00564B75">
        <w:t>(1)</w:t>
      </w:r>
      <w:r w:rsidRPr="00564B75">
        <w:tab/>
        <w:t xml:space="preserve">For the </w:t>
      </w:r>
      <w:r w:rsidR="0071180B" w:rsidRPr="00564B75">
        <w:t xml:space="preserve">definition of ‘listed </w:t>
      </w:r>
      <w:r w:rsidR="0071180B" w:rsidRPr="000A5065">
        <w:rPr>
          <w:highlight w:val="yellow"/>
        </w:rPr>
        <w:t>type’</w:t>
      </w:r>
      <w:r w:rsidR="0071180B" w:rsidRPr="00122E37">
        <w:t xml:space="preserve"> in</w:t>
      </w:r>
      <w:r w:rsidR="0071180B" w:rsidRPr="000A5065">
        <w:rPr>
          <w:highlight w:val="yellow"/>
        </w:rPr>
        <w:t xml:space="preserve"> </w:t>
      </w:r>
      <w:r w:rsidR="00DC4021" w:rsidRPr="000A5065">
        <w:rPr>
          <w:highlight w:val="yellow"/>
        </w:rPr>
        <w:t xml:space="preserve">section </w:t>
      </w:r>
      <w:r w:rsidR="00982017" w:rsidRPr="000A5065">
        <w:rPr>
          <w:highlight w:val="yellow"/>
        </w:rPr>
        <w:t>5</w:t>
      </w:r>
      <w:r w:rsidR="00DC4021" w:rsidRPr="000A5065">
        <w:rPr>
          <w:highlight w:val="yellow"/>
        </w:rPr>
        <w:t xml:space="preserve"> of</w:t>
      </w:r>
      <w:r w:rsidR="00DC4021" w:rsidRPr="00122E37">
        <w:t xml:space="preserve"> </w:t>
      </w:r>
      <w:r w:rsidRPr="00122E37">
        <w:t xml:space="preserve">the Determination, each of the material types listed in </w:t>
      </w:r>
      <w:r w:rsidR="002A7439" w:rsidRPr="00564B75">
        <w:t>Schedule 1</w:t>
      </w:r>
      <w:r w:rsidRPr="00564B75">
        <w:t xml:space="preserve"> is</w:t>
      </w:r>
      <w:r w:rsidR="00946860" w:rsidRPr="00564B75">
        <w:t xml:space="preserve"> </w:t>
      </w:r>
      <w:r w:rsidRPr="00564B75">
        <w:t>specified as a listed type.</w:t>
      </w:r>
    </w:p>
    <w:p w14:paraId="400F7DD2" w14:textId="77777777" w:rsidR="00DA5BB6" w:rsidRPr="00564B75" w:rsidRDefault="00DA5BB6" w:rsidP="00DA5BB6">
      <w:pPr>
        <w:pStyle w:val="tMain"/>
      </w:pPr>
      <w:r w:rsidRPr="00564B75">
        <w:lastRenderedPageBreak/>
        <w:tab/>
        <w:t>(2)</w:t>
      </w:r>
      <w:r w:rsidRPr="00564B75">
        <w:tab/>
        <w:t>How</w:t>
      </w:r>
      <w:r w:rsidR="005A3500" w:rsidRPr="00564B75">
        <w:t>e</w:t>
      </w:r>
      <w:r w:rsidRPr="00564B75">
        <w:t xml:space="preserve">ver, if material of a listed type is treated by an anaerobic digester, the residual material from that digester is not material of a listed type. </w:t>
      </w:r>
    </w:p>
    <w:p w14:paraId="400F7DD3" w14:textId="06D7D179" w:rsidR="00DA5BB6" w:rsidRPr="00122E37" w:rsidRDefault="00DA5BB6" w:rsidP="00DA5BB6">
      <w:pPr>
        <w:pStyle w:val="nMain"/>
        <w:spacing w:line="276" w:lineRule="auto"/>
      </w:pPr>
      <w:r w:rsidRPr="00564B75">
        <w:t xml:space="preserve">Note: </w:t>
      </w:r>
      <w:r w:rsidRPr="00564B75">
        <w:tab/>
        <w:t>The methane</w:t>
      </w:r>
      <w:r w:rsidR="0047789C" w:rsidRPr="000A5065">
        <w:rPr>
          <w:highlight w:val="yellow"/>
        </w:rPr>
        <w:t>-</w:t>
      </w:r>
      <w:r w:rsidRPr="00564B75">
        <w:t xml:space="preserve">producing capacity of such </w:t>
      </w:r>
      <w:r w:rsidR="00D40523" w:rsidRPr="00564B75">
        <w:t xml:space="preserve">residual </w:t>
      </w:r>
      <w:r w:rsidRPr="00564B75">
        <w:t xml:space="preserve">material would need to be measured </w:t>
      </w:r>
      <w:r w:rsidR="00B94FC6" w:rsidRPr="000A5065">
        <w:rPr>
          <w:highlight w:val="yellow"/>
        </w:rPr>
        <w:t xml:space="preserve">in accordance with </w:t>
      </w:r>
      <w:r w:rsidR="00212840" w:rsidRPr="000A5065">
        <w:rPr>
          <w:highlight w:val="yellow"/>
        </w:rPr>
        <w:t>clause</w:t>
      </w:r>
      <w:r w:rsidRPr="000A5065">
        <w:rPr>
          <w:highlight w:val="yellow"/>
        </w:rPr>
        <w:t xml:space="preserve"> </w:t>
      </w:r>
      <w:r w:rsidR="0042623F" w:rsidRPr="000A5065">
        <w:rPr>
          <w:highlight w:val="yellow"/>
        </w:rPr>
        <w:t>10</w:t>
      </w:r>
      <w:r w:rsidRPr="00122E37">
        <w:t>.</w:t>
      </w:r>
    </w:p>
    <w:p w14:paraId="400F7DD5" w14:textId="2E7AD94E" w:rsidR="001B52AC" w:rsidRDefault="001B52AC" w:rsidP="001B52AC">
      <w:pPr>
        <w:pStyle w:val="h2Part"/>
      </w:pPr>
      <w:bookmarkStart w:id="31" w:name="_Toc498293971"/>
      <w:bookmarkStart w:id="32" w:name="_Toc17792696"/>
      <w:bookmarkStart w:id="33" w:name="_Toc82779117"/>
      <w:bookmarkStart w:id="34" w:name="_Toc82779425"/>
      <w:bookmarkStart w:id="35" w:name="_Toc86674765"/>
      <w:r w:rsidRPr="00564B75">
        <w:lastRenderedPageBreak/>
        <w:t>Part 2—Matters referred</w:t>
      </w:r>
      <w:r w:rsidR="00781A3D" w:rsidRPr="00564B75">
        <w:t xml:space="preserve"> to</w:t>
      </w:r>
      <w:r w:rsidRPr="00564B75">
        <w:t xml:space="preserve"> in </w:t>
      </w:r>
      <w:r w:rsidR="00D0203B" w:rsidRPr="000A5065">
        <w:rPr>
          <w:highlight w:val="yellow"/>
        </w:rPr>
        <w:t>Part</w:t>
      </w:r>
      <w:r w:rsidR="00D0203B" w:rsidRPr="00564B75">
        <w:t xml:space="preserve"> 3 </w:t>
      </w:r>
      <w:r w:rsidR="00D0203B" w:rsidRPr="000A5065">
        <w:rPr>
          <w:highlight w:val="yellow"/>
        </w:rPr>
        <w:t>of</w:t>
      </w:r>
      <w:r w:rsidR="00D0203B" w:rsidRPr="00564B75">
        <w:t xml:space="preserve"> </w:t>
      </w:r>
      <w:r w:rsidRPr="00564B75">
        <w:t>the Determination</w:t>
      </w:r>
      <w:bookmarkEnd w:id="31"/>
      <w:bookmarkEnd w:id="32"/>
      <w:r w:rsidR="00D0203B" w:rsidRPr="000A5065">
        <w:rPr>
          <w:highlight w:val="yellow"/>
        </w:rPr>
        <w:t xml:space="preserve"> </w:t>
      </w:r>
      <w:r w:rsidR="00AC457B" w:rsidRPr="000A5065">
        <w:rPr>
          <w:highlight w:val="yellow"/>
        </w:rPr>
        <w:t>(</w:t>
      </w:r>
      <w:r w:rsidR="00D0203B" w:rsidRPr="000A5065">
        <w:rPr>
          <w:highlight w:val="yellow"/>
        </w:rPr>
        <w:t>Project requirements</w:t>
      </w:r>
      <w:r w:rsidR="00AC457B" w:rsidRPr="000A5065">
        <w:rPr>
          <w:highlight w:val="yellow"/>
        </w:rPr>
        <w:t>)</w:t>
      </w:r>
      <w:bookmarkEnd w:id="33"/>
      <w:bookmarkEnd w:id="34"/>
      <w:bookmarkEnd w:id="35"/>
    </w:p>
    <w:p w14:paraId="28E730D6" w14:textId="5F982721" w:rsidR="00885128" w:rsidRDefault="00885128" w:rsidP="00885128">
      <w:pPr>
        <w:rPr>
          <w:lang w:eastAsia="en-AU"/>
        </w:rPr>
      </w:pPr>
    </w:p>
    <w:p w14:paraId="400F7DDC" w14:textId="02241843" w:rsidR="00916EF1" w:rsidRPr="00564B75" w:rsidRDefault="0042623F" w:rsidP="00916EF1">
      <w:pPr>
        <w:pStyle w:val="h5Section"/>
        <w:rPr>
          <w:u w:val="single"/>
        </w:rPr>
      </w:pPr>
      <w:bookmarkStart w:id="36" w:name="_Toc17792697"/>
      <w:bookmarkStart w:id="37" w:name="_Toc498293977"/>
      <w:bookmarkStart w:id="38" w:name="_Toc17792698"/>
      <w:bookmarkStart w:id="39" w:name="_Toc82779119"/>
      <w:bookmarkStart w:id="40" w:name="_Toc82779427"/>
      <w:bookmarkStart w:id="41" w:name="_Toc86674766"/>
      <w:r>
        <w:rPr>
          <w:u w:val="single"/>
        </w:rPr>
        <w:t>6</w:t>
      </w:r>
      <w:r w:rsidR="009832C5" w:rsidRPr="00564B75">
        <w:rPr>
          <w:u w:val="single"/>
        </w:rPr>
        <w:tab/>
      </w:r>
      <w:r w:rsidR="004C61C6" w:rsidRPr="00564B75">
        <w:rPr>
          <w:u w:val="single"/>
        </w:rPr>
        <w:t>Section</w:t>
      </w:r>
      <w:r w:rsidR="00916EF1" w:rsidRPr="00564B75">
        <w:rPr>
          <w:u w:val="single"/>
        </w:rPr>
        <w:t xml:space="preserve"> </w:t>
      </w:r>
      <w:bookmarkEnd w:id="36"/>
      <w:r w:rsidR="00C63D27" w:rsidRPr="000A5065">
        <w:rPr>
          <w:highlight w:val="yellow"/>
          <w:u w:val="single"/>
        </w:rPr>
        <w:t>9</w:t>
      </w:r>
      <w:r w:rsidR="009A0C16" w:rsidRPr="000A5065">
        <w:rPr>
          <w:highlight w:val="yellow"/>
          <w:u w:val="single"/>
        </w:rPr>
        <w:t>E</w:t>
      </w:r>
      <w:r w:rsidR="00916EF1" w:rsidRPr="00564B75">
        <w:rPr>
          <w:u w:val="single"/>
        </w:rPr>
        <w:t>—Flare operation for methane destruction projects</w:t>
      </w:r>
      <w:bookmarkEnd w:id="37"/>
      <w:bookmarkEnd w:id="38"/>
      <w:bookmarkEnd w:id="39"/>
      <w:bookmarkEnd w:id="40"/>
      <w:bookmarkEnd w:id="41"/>
    </w:p>
    <w:p w14:paraId="400F7DDD" w14:textId="05643437" w:rsidR="00916EF1" w:rsidRDefault="00916EF1" w:rsidP="00916EF1">
      <w:pPr>
        <w:pStyle w:val="tMain"/>
      </w:pPr>
      <w:r w:rsidRPr="00111062">
        <w:tab/>
      </w:r>
      <w:r w:rsidR="00E741AF" w:rsidRPr="000A5065">
        <w:rPr>
          <w:highlight w:val="yellow"/>
        </w:rPr>
        <w:t>(1)</w:t>
      </w:r>
      <w:r w:rsidRPr="000A5065">
        <w:rPr>
          <w:highlight w:val="yellow"/>
        </w:rPr>
        <w:tab/>
      </w:r>
      <w:r w:rsidR="00F728D8" w:rsidRPr="000A5065">
        <w:rPr>
          <w:highlight w:val="yellow"/>
        </w:rPr>
        <w:t>T</w:t>
      </w:r>
      <w:r w:rsidRPr="000A5065">
        <w:rPr>
          <w:highlight w:val="yellow"/>
        </w:rPr>
        <w:t xml:space="preserve">his </w:t>
      </w:r>
      <w:r w:rsidR="00212840" w:rsidRPr="000A5065">
        <w:rPr>
          <w:highlight w:val="yellow"/>
        </w:rPr>
        <w:t>clause</w:t>
      </w:r>
      <w:r w:rsidRPr="00122E37">
        <w:t xml:space="preserve"> sets out the requirements for determining whether a flaring system used</w:t>
      </w:r>
      <w:r w:rsidR="00B44883" w:rsidRPr="00564B75">
        <w:t xml:space="preserve"> in the project is operational</w:t>
      </w:r>
      <w:r w:rsidR="00F728D8" w:rsidRPr="000A5065">
        <w:rPr>
          <w:highlight w:val="yellow"/>
        </w:rPr>
        <w:t>, for the purposes of:</w:t>
      </w:r>
    </w:p>
    <w:p w14:paraId="394B7B67" w14:textId="0A9F7FC3" w:rsidR="00F728D8" w:rsidRPr="000A5065" w:rsidRDefault="00F728D8" w:rsidP="00F728D8">
      <w:pPr>
        <w:pStyle w:val="tPara"/>
        <w:rPr>
          <w:highlight w:val="yellow"/>
        </w:rPr>
      </w:pPr>
      <w:r w:rsidRPr="00111062">
        <w:tab/>
      </w:r>
      <w:r w:rsidRPr="000A5065">
        <w:rPr>
          <w:highlight w:val="yellow"/>
        </w:rPr>
        <w:t>(a)</w:t>
      </w:r>
      <w:r w:rsidRPr="000A5065">
        <w:rPr>
          <w:highlight w:val="yellow"/>
        </w:rPr>
        <w:tab/>
        <w:t xml:space="preserve">paragraph </w:t>
      </w:r>
      <w:r w:rsidR="00A81759" w:rsidRPr="000A5065">
        <w:rPr>
          <w:highlight w:val="yellow"/>
        </w:rPr>
        <w:t>9</w:t>
      </w:r>
      <w:r w:rsidR="009A0C16" w:rsidRPr="000A5065">
        <w:rPr>
          <w:highlight w:val="yellow"/>
        </w:rPr>
        <w:t>E</w:t>
      </w:r>
      <w:r w:rsidRPr="000A5065">
        <w:rPr>
          <w:highlight w:val="yellow"/>
        </w:rPr>
        <w:t>(3)(b) of the Determination</w:t>
      </w:r>
      <w:r w:rsidR="00F73112" w:rsidRPr="000A5065">
        <w:rPr>
          <w:highlight w:val="yellow"/>
        </w:rPr>
        <w:t>;</w:t>
      </w:r>
      <w:r w:rsidRPr="000A5065">
        <w:rPr>
          <w:highlight w:val="yellow"/>
        </w:rPr>
        <w:t xml:space="preserve"> and </w:t>
      </w:r>
    </w:p>
    <w:p w14:paraId="2A32E575" w14:textId="66F82776" w:rsidR="00F728D8" w:rsidRPr="000A5065" w:rsidRDefault="00F728D8" w:rsidP="005D39D0">
      <w:pPr>
        <w:pStyle w:val="tPara"/>
        <w:rPr>
          <w:highlight w:val="yellow"/>
        </w:rPr>
      </w:pPr>
      <w:r w:rsidRPr="00111062">
        <w:tab/>
      </w:r>
      <w:r w:rsidRPr="000A5065">
        <w:rPr>
          <w:highlight w:val="yellow"/>
        </w:rPr>
        <w:t>(b)</w:t>
      </w:r>
      <w:r w:rsidRPr="000A5065">
        <w:rPr>
          <w:highlight w:val="yellow"/>
        </w:rPr>
        <w:tab/>
        <w:t xml:space="preserve">determining the destruction efficiency </w:t>
      </w:r>
      <w:proofErr w:type="spellStart"/>
      <w:r w:rsidRPr="000A5065">
        <w:rPr>
          <w:i/>
          <w:highlight w:val="yellow"/>
        </w:rPr>
        <w:t>DE</w:t>
      </w:r>
      <w:r w:rsidRPr="000A5065">
        <w:rPr>
          <w:i/>
          <w:highlight w:val="yellow"/>
          <w:vertAlign w:val="subscript"/>
        </w:rPr>
        <w:t>i</w:t>
      </w:r>
      <w:proofErr w:type="spellEnd"/>
      <w:r w:rsidRPr="000A5065">
        <w:rPr>
          <w:i/>
          <w:highlight w:val="yellow"/>
        </w:rPr>
        <w:t xml:space="preserve"> </w:t>
      </w:r>
      <w:r w:rsidRPr="000A5065">
        <w:rPr>
          <w:highlight w:val="yellow"/>
        </w:rPr>
        <w:t>of the flaring system (</w:t>
      </w:r>
      <w:r w:rsidR="0071082F" w:rsidRPr="000A5065">
        <w:rPr>
          <w:highlight w:val="yellow"/>
        </w:rPr>
        <w:t xml:space="preserve">as required by </w:t>
      </w:r>
      <w:r w:rsidRPr="000A5065">
        <w:rPr>
          <w:highlight w:val="yellow"/>
        </w:rPr>
        <w:t>subsection 24(2) of the Determination).</w:t>
      </w:r>
    </w:p>
    <w:p w14:paraId="400F7DDE" w14:textId="7033DB86" w:rsidR="00916EF1" w:rsidRPr="00122E37" w:rsidRDefault="00916EF1" w:rsidP="00916EF1">
      <w:pPr>
        <w:pStyle w:val="tMain"/>
      </w:pPr>
      <w:r w:rsidRPr="00564B75">
        <w:tab/>
      </w:r>
      <w:r w:rsidR="00E741AF" w:rsidRPr="00564B75">
        <w:t>(2)</w:t>
      </w:r>
      <w:r w:rsidRPr="00564B75">
        <w:tab/>
        <w:t xml:space="preserve">Subject to </w:t>
      </w:r>
      <w:r w:rsidRPr="000A5065">
        <w:rPr>
          <w:highlight w:val="yellow"/>
        </w:rPr>
        <w:t>sub</w:t>
      </w:r>
      <w:r w:rsidR="00212840" w:rsidRPr="000A5065">
        <w:rPr>
          <w:highlight w:val="yellow"/>
        </w:rPr>
        <w:t>clause</w:t>
      </w:r>
      <w:r w:rsidRPr="0048069E">
        <w:t xml:space="preserve"> (3)</w:t>
      </w:r>
      <w:r w:rsidRPr="00122E37">
        <w:t>, if</w:t>
      </w:r>
      <w:r w:rsidR="00F728D8" w:rsidRPr="000A5065">
        <w:rPr>
          <w:highlight w:val="yellow"/>
        </w:rPr>
        <w:t>,</w:t>
      </w:r>
      <w:r w:rsidRPr="00122E37">
        <w:t xml:space="preserve"> for any </w:t>
      </w:r>
      <w:proofErr w:type="gramStart"/>
      <w:r w:rsidRPr="00122E37">
        <w:t>particular hour</w:t>
      </w:r>
      <w:proofErr w:type="gramEnd"/>
      <w:r w:rsidRPr="00122E37">
        <w:t>:</w:t>
      </w:r>
    </w:p>
    <w:p w14:paraId="400F7DDF" w14:textId="77777777" w:rsidR="00916EF1" w:rsidRPr="00564B75" w:rsidRDefault="00916EF1" w:rsidP="00916EF1">
      <w:pPr>
        <w:pStyle w:val="tPara"/>
      </w:pPr>
      <w:r w:rsidRPr="00564B75">
        <w:tab/>
      </w:r>
      <w:r w:rsidR="00E741AF" w:rsidRPr="00564B75">
        <w:t>(a)</w:t>
      </w:r>
      <w:r w:rsidRPr="00564B75">
        <w:tab/>
        <w:t>there is no record of the flare being operational</w:t>
      </w:r>
      <w:r w:rsidR="00110391" w:rsidRPr="00564B75">
        <w:t xml:space="preserve"> for a period exceeding 30 minutes in that hour</w:t>
      </w:r>
      <w:r w:rsidRPr="00564B75">
        <w:t>; or</w:t>
      </w:r>
    </w:p>
    <w:p w14:paraId="400F7DE0" w14:textId="1079A7B2" w:rsidR="00916EF1" w:rsidRPr="00564B75" w:rsidRDefault="00916EF1" w:rsidP="00916EF1">
      <w:pPr>
        <w:pStyle w:val="tPara"/>
      </w:pPr>
      <w:r w:rsidRPr="00564B75">
        <w:tab/>
      </w:r>
      <w:r w:rsidR="00E741AF" w:rsidRPr="00564B75">
        <w:t>(b)</w:t>
      </w:r>
      <w:r w:rsidRPr="00564B75">
        <w:tab/>
      </w:r>
      <w:r w:rsidR="00110391" w:rsidRPr="00564B75">
        <w:t xml:space="preserve">there is other evidence </w:t>
      </w:r>
      <w:r w:rsidR="00B547BE" w:rsidRPr="000A5065">
        <w:rPr>
          <w:highlight w:val="yellow"/>
        </w:rPr>
        <w:t>that</w:t>
      </w:r>
      <w:r w:rsidR="00110391" w:rsidRPr="00564B75">
        <w:t xml:space="preserve"> indicates that </w:t>
      </w:r>
      <w:r w:rsidRPr="00564B75">
        <w:t>the flare is not oper</w:t>
      </w:r>
      <w:r w:rsidR="00110391" w:rsidRPr="00564B75">
        <w:t>ational for a period exceeding 3</w:t>
      </w:r>
      <w:r w:rsidRPr="00564B75">
        <w:t xml:space="preserve">0 </w:t>
      </w:r>
      <w:proofErr w:type="gramStart"/>
      <w:r w:rsidRPr="00564B75">
        <w:t>minutes;</w:t>
      </w:r>
      <w:proofErr w:type="gramEnd"/>
      <w:r w:rsidRPr="00564B75">
        <w:t xml:space="preserve"> </w:t>
      </w:r>
    </w:p>
    <w:p w14:paraId="400F7DE1" w14:textId="77777777" w:rsidR="00916EF1" w:rsidRPr="00564B75" w:rsidRDefault="00916EF1" w:rsidP="006D24A2">
      <w:pPr>
        <w:pStyle w:val="tMain"/>
        <w:spacing w:before="60"/>
      </w:pPr>
      <w:r w:rsidRPr="00564B75">
        <w:tab/>
      </w:r>
      <w:r w:rsidRPr="00564B75">
        <w:tab/>
        <w:t>then it must be assumed that during that hour the flare destruction efficiency is zero.</w:t>
      </w:r>
    </w:p>
    <w:p w14:paraId="400F7DE2" w14:textId="77777777" w:rsidR="00916EF1" w:rsidRPr="00564B75" w:rsidRDefault="00916EF1" w:rsidP="00916EF1">
      <w:pPr>
        <w:pStyle w:val="tMain"/>
      </w:pPr>
      <w:r w:rsidRPr="00564B75">
        <w:tab/>
      </w:r>
      <w:r w:rsidR="00E741AF" w:rsidRPr="00564B75">
        <w:t>(3)</w:t>
      </w:r>
      <w:r w:rsidRPr="00564B75">
        <w:tab/>
        <w:t>A flare is operational if the continuous presence of a flame is detected using:</w:t>
      </w:r>
    </w:p>
    <w:p w14:paraId="400F7DE3" w14:textId="77777777" w:rsidR="00916EF1" w:rsidRPr="00564B75" w:rsidRDefault="00916EF1" w:rsidP="00916EF1">
      <w:pPr>
        <w:pStyle w:val="tPara"/>
      </w:pPr>
      <w:r w:rsidRPr="00564B75">
        <w:tab/>
      </w:r>
      <w:r w:rsidR="00E741AF" w:rsidRPr="00564B75">
        <w:t>(a)</w:t>
      </w:r>
      <w:r w:rsidRPr="00564B75">
        <w:tab/>
        <w:t xml:space="preserve">an ultra-violet beam sensor; or </w:t>
      </w:r>
    </w:p>
    <w:p w14:paraId="400F7DE4" w14:textId="77777777" w:rsidR="00916EF1" w:rsidRPr="00564B75" w:rsidRDefault="00916EF1" w:rsidP="00916EF1">
      <w:pPr>
        <w:pStyle w:val="tPara"/>
      </w:pPr>
      <w:r w:rsidRPr="00564B75">
        <w:tab/>
      </w:r>
      <w:r w:rsidR="00E741AF" w:rsidRPr="00564B75">
        <w:t>(b)</w:t>
      </w:r>
      <w:r w:rsidRPr="00564B75">
        <w:tab/>
        <w:t xml:space="preserve">a thermocouple; or </w:t>
      </w:r>
    </w:p>
    <w:p w14:paraId="400F7DE5" w14:textId="77777777" w:rsidR="00916EF1" w:rsidRPr="00564B75" w:rsidRDefault="00916EF1" w:rsidP="00916EF1">
      <w:pPr>
        <w:pStyle w:val="tPara"/>
      </w:pPr>
      <w:r w:rsidRPr="00564B75">
        <w:tab/>
      </w:r>
      <w:r w:rsidR="00E741AF" w:rsidRPr="00564B75">
        <w:t>(c)</w:t>
      </w:r>
      <w:r w:rsidRPr="00564B75">
        <w:tab/>
        <w:t>a temperature sensor; or</w:t>
      </w:r>
    </w:p>
    <w:p w14:paraId="400F7DE6" w14:textId="77777777" w:rsidR="00916EF1" w:rsidRPr="00564B75" w:rsidRDefault="00916EF1" w:rsidP="00916EF1">
      <w:pPr>
        <w:pStyle w:val="tPara"/>
      </w:pPr>
      <w:r w:rsidRPr="00564B75">
        <w:tab/>
      </w:r>
      <w:r w:rsidR="00E741AF" w:rsidRPr="00564B75">
        <w:t>(d)</w:t>
      </w:r>
      <w:r w:rsidRPr="00564B75">
        <w:tab/>
        <w:t>an equivalent device that automatically detects the presence or absence of the flame.</w:t>
      </w:r>
    </w:p>
    <w:p w14:paraId="400F7DE7" w14:textId="66D8DB66" w:rsidR="00451353" w:rsidRPr="00564B75" w:rsidRDefault="0042623F" w:rsidP="0002637D">
      <w:pPr>
        <w:pStyle w:val="h5Section"/>
        <w:ind w:left="0" w:firstLine="0"/>
        <w:rPr>
          <w:u w:val="single"/>
        </w:rPr>
      </w:pPr>
      <w:bookmarkStart w:id="42" w:name="_Toc17792699"/>
      <w:bookmarkStart w:id="43" w:name="_Toc82779120"/>
      <w:bookmarkStart w:id="44" w:name="_Toc82779428"/>
      <w:bookmarkStart w:id="45" w:name="_Toc86674767"/>
      <w:r w:rsidRPr="000A5065">
        <w:rPr>
          <w:highlight w:val="yellow"/>
          <w:u w:val="single"/>
        </w:rPr>
        <w:t>7</w:t>
      </w:r>
      <w:r w:rsidR="009832C5" w:rsidRPr="00564B75">
        <w:rPr>
          <w:u w:val="single"/>
        </w:rPr>
        <w:tab/>
      </w:r>
      <w:r w:rsidR="00657B47" w:rsidRPr="00564B75">
        <w:rPr>
          <w:u w:val="single"/>
        </w:rPr>
        <w:t>Section</w:t>
      </w:r>
      <w:r w:rsidR="00225AA4" w:rsidRPr="00564B75">
        <w:rPr>
          <w:u w:val="single"/>
        </w:rPr>
        <w:t xml:space="preserve"> </w:t>
      </w:r>
      <w:r w:rsidR="00C63D27" w:rsidRPr="000A5065">
        <w:rPr>
          <w:highlight w:val="yellow"/>
          <w:u w:val="single"/>
        </w:rPr>
        <w:t>9</w:t>
      </w:r>
      <w:r w:rsidR="009A0C16" w:rsidRPr="000A5065">
        <w:rPr>
          <w:highlight w:val="yellow"/>
          <w:u w:val="single"/>
        </w:rPr>
        <w:t>F</w:t>
      </w:r>
      <w:r w:rsidR="00225AA4" w:rsidRPr="00564B75">
        <w:rPr>
          <w:u w:val="single"/>
        </w:rPr>
        <w:t>—</w:t>
      </w:r>
      <w:r w:rsidR="00A65251" w:rsidRPr="00564B75">
        <w:rPr>
          <w:u w:val="single"/>
        </w:rPr>
        <w:t>Emissions avoidance t</w:t>
      </w:r>
      <w:r w:rsidR="00225AA4" w:rsidRPr="00564B75">
        <w:rPr>
          <w:u w:val="single"/>
        </w:rPr>
        <w:t>reatment facility—</w:t>
      </w:r>
      <w:r w:rsidR="00A65251" w:rsidRPr="00564B75">
        <w:rPr>
          <w:u w:val="single"/>
        </w:rPr>
        <w:t>solids separation method</w:t>
      </w:r>
      <w:bookmarkEnd w:id="42"/>
      <w:bookmarkEnd w:id="43"/>
      <w:bookmarkEnd w:id="44"/>
      <w:bookmarkEnd w:id="45"/>
    </w:p>
    <w:p w14:paraId="400F7DE8" w14:textId="24AB85E6" w:rsidR="00451353" w:rsidRPr="000A5065" w:rsidRDefault="00451353" w:rsidP="00BA2D88">
      <w:pPr>
        <w:pStyle w:val="tMain"/>
        <w:tabs>
          <w:tab w:val="clear" w:pos="1021"/>
          <w:tab w:val="left" w:pos="709"/>
        </w:tabs>
        <w:rPr>
          <w:highlight w:val="yellow"/>
        </w:rPr>
      </w:pPr>
      <w:r w:rsidRPr="00564B75">
        <w:tab/>
      </w:r>
      <w:r w:rsidRPr="00564B75">
        <w:tab/>
      </w:r>
      <w:r w:rsidR="00BA2D88" w:rsidRPr="00564B75">
        <w:t xml:space="preserve">For </w:t>
      </w:r>
      <w:r w:rsidR="00FB10CB" w:rsidRPr="000A5065">
        <w:rPr>
          <w:highlight w:val="yellow"/>
        </w:rPr>
        <w:t>paragraph</w:t>
      </w:r>
      <w:r w:rsidR="00BA2D88" w:rsidRPr="000A5065">
        <w:rPr>
          <w:highlight w:val="yellow"/>
        </w:rPr>
        <w:t xml:space="preserve"> </w:t>
      </w:r>
      <w:r w:rsidR="00A81759" w:rsidRPr="000A5065">
        <w:rPr>
          <w:highlight w:val="yellow"/>
        </w:rPr>
        <w:t>9</w:t>
      </w:r>
      <w:r w:rsidR="009A0C16" w:rsidRPr="000A5065">
        <w:rPr>
          <w:highlight w:val="yellow"/>
        </w:rPr>
        <w:t>F</w:t>
      </w:r>
      <w:r w:rsidR="00FB10CB" w:rsidRPr="000A5065">
        <w:rPr>
          <w:highlight w:val="yellow"/>
        </w:rPr>
        <w:t>(a)</w:t>
      </w:r>
      <w:r w:rsidR="00BA2D88" w:rsidRPr="00122E37">
        <w:t xml:space="preserve"> of the Determination, the requirements for the use of a solids separation method of diversion</w:t>
      </w:r>
      <w:r w:rsidR="0002637D" w:rsidRPr="00564B75">
        <w:t xml:space="preserve"> are</w:t>
      </w:r>
      <w:r w:rsidR="00F728D8">
        <w:t xml:space="preserve"> </w:t>
      </w:r>
      <w:r w:rsidR="00F728D8" w:rsidRPr="000A5065">
        <w:rPr>
          <w:highlight w:val="yellow"/>
        </w:rPr>
        <w:t>as follows:</w:t>
      </w:r>
    </w:p>
    <w:p w14:paraId="220E7388" w14:textId="5478DA72" w:rsidR="00F728D8" w:rsidRPr="000A5065" w:rsidRDefault="00F728D8" w:rsidP="005D39D0">
      <w:pPr>
        <w:pStyle w:val="tPara"/>
        <w:rPr>
          <w:szCs w:val="22"/>
          <w:highlight w:val="yellow"/>
        </w:rPr>
      </w:pPr>
      <w:r w:rsidRPr="00111062">
        <w:tab/>
      </w:r>
      <w:r w:rsidRPr="000A5065">
        <w:rPr>
          <w:highlight w:val="yellow"/>
        </w:rPr>
        <w:t>(a)</w:t>
      </w:r>
      <w:r w:rsidRPr="000A5065">
        <w:rPr>
          <w:highlight w:val="yellow"/>
        </w:rPr>
        <w:tab/>
        <w:t>a p</w:t>
      </w:r>
      <w:r w:rsidRPr="000A5065">
        <w:rPr>
          <w:szCs w:val="22"/>
          <w:highlight w:val="yellow"/>
        </w:rPr>
        <w:t xml:space="preserve">roject must use one of the various methods for separating solids from organic effluent that generally rely on a gravitational process and/or a mechanical </w:t>
      </w:r>
      <w:proofErr w:type="gramStart"/>
      <w:r w:rsidRPr="000A5065">
        <w:rPr>
          <w:szCs w:val="22"/>
          <w:highlight w:val="yellow"/>
        </w:rPr>
        <w:t>device;</w:t>
      </w:r>
      <w:proofErr w:type="gramEnd"/>
      <w:r w:rsidRPr="000A5065">
        <w:rPr>
          <w:szCs w:val="22"/>
          <w:highlight w:val="yellow"/>
        </w:rPr>
        <w:t xml:space="preserve"> </w:t>
      </w:r>
      <w:r w:rsidRPr="000A5065">
        <w:rPr>
          <w:highlight w:val="yellow"/>
        </w:rPr>
        <w:t xml:space="preserve"> </w:t>
      </w:r>
    </w:p>
    <w:p w14:paraId="4F9220CF" w14:textId="48080F4F" w:rsidR="00F728D8" w:rsidRPr="000A5065" w:rsidRDefault="00F728D8" w:rsidP="00F728D8">
      <w:pPr>
        <w:pStyle w:val="tPara"/>
        <w:rPr>
          <w:rFonts w:eastAsia="Calibri"/>
          <w:szCs w:val="22"/>
          <w:highlight w:val="yellow"/>
        </w:rPr>
      </w:pPr>
      <w:r w:rsidRPr="00111062">
        <w:tab/>
      </w:r>
      <w:r w:rsidRPr="000A5065">
        <w:rPr>
          <w:highlight w:val="yellow"/>
        </w:rPr>
        <w:t>(b)</w:t>
      </w:r>
      <w:r w:rsidRPr="000A5065">
        <w:rPr>
          <w:highlight w:val="yellow"/>
        </w:rPr>
        <w:tab/>
        <w:t>these methods can be grouped according to their basic removal mechanism, as follows:</w:t>
      </w:r>
    </w:p>
    <w:p w14:paraId="186097ED" w14:textId="5455C936" w:rsidR="00F728D8" w:rsidRPr="000A5065" w:rsidRDefault="00F728D8" w:rsidP="00F728D8">
      <w:pPr>
        <w:pStyle w:val="tSubpara"/>
        <w:rPr>
          <w:highlight w:val="yellow"/>
        </w:rPr>
      </w:pPr>
      <w:r w:rsidRPr="00111062">
        <w:tab/>
      </w:r>
      <w:r w:rsidRPr="000A5065">
        <w:rPr>
          <w:highlight w:val="yellow"/>
        </w:rPr>
        <w:t>(</w:t>
      </w:r>
      <w:proofErr w:type="spellStart"/>
      <w:r w:rsidRPr="000A5065">
        <w:rPr>
          <w:highlight w:val="yellow"/>
        </w:rPr>
        <w:t>i</w:t>
      </w:r>
      <w:proofErr w:type="spellEnd"/>
      <w:r w:rsidRPr="000A5065">
        <w:rPr>
          <w:highlight w:val="yellow"/>
        </w:rPr>
        <w:t>)</w:t>
      </w:r>
      <w:r w:rsidRPr="000A5065">
        <w:rPr>
          <w:highlight w:val="yellow"/>
        </w:rPr>
        <w:tab/>
        <w:t xml:space="preserve">gravitational </w:t>
      </w:r>
      <w:proofErr w:type="gramStart"/>
      <w:r w:rsidRPr="000A5065">
        <w:rPr>
          <w:highlight w:val="yellow"/>
        </w:rPr>
        <w:t>settling;</w:t>
      </w:r>
      <w:proofErr w:type="gramEnd"/>
    </w:p>
    <w:p w14:paraId="4CB12681" w14:textId="52158F63" w:rsidR="00F728D8" w:rsidRPr="000A5065" w:rsidRDefault="00F728D8" w:rsidP="00F728D8">
      <w:pPr>
        <w:pStyle w:val="tSubpara"/>
        <w:rPr>
          <w:highlight w:val="yellow"/>
        </w:rPr>
      </w:pPr>
      <w:r w:rsidRPr="00111062">
        <w:tab/>
      </w:r>
      <w:r w:rsidRPr="000A5065">
        <w:rPr>
          <w:highlight w:val="yellow"/>
        </w:rPr>
        <w:t>(ii)</w:t>
      </w:r>
      <w:r w:rsidRPr="000A5065">
        <w:rPr>
          <w:highlight w:val="yellow"/>
        </w:rPr>
        <w:tab/>
        <w:t xml:space="preserve">perforated screens and </w:t>
      </w:r>
      <w:proofErr w:type="gramStart"/>
      <w:r w:rsidRPr="000A5065">
        <w:rPr>
          <w:highlight w:val="yellow"/>
        </w:rPr>
        <w:t>presses;</w:t>
      </w:r>
      <w:proofErr w:type="gramEnd"/>
    </w:p>
    <w:p w14:paraId="37FA7CC7" w14:textId="5FC7AA03" w:rsidR="00F728D8" w:rsidRPr="000A5065" w:rsidRDefault="00F728D8" w:rsidP="00F728D8">
      <w:pPr>
        <w:pStyle w:val="tSubpara"/>
        <w:rPr>
          <w:highlight w:val="yellow"/>
        </w:rPr>
      </w:pPr>
      <w:r w:rsidRPr="00111062">
        <w:tab/>
      </w:r>
      <w:r w:rsidRPr="000A5065">
        <w:rPr>
          <w:highlight w:val="yellow"/>
        </w:rPr>
        <w:t>(iii)</w:t>
      </w:r>
      <w:r w:rsidRPr="000A5065">
        <w:rPr>
          <w:highlight w:val="yellow"/>
        </w:rPr>
        <w:tab/>
        <w:t xml:space="preserve">centrifugal </w:t>
      </w:r>
      <w:proofErr w:type="gramStart"/>
      <w:r w:rsidRPr="000A5065">
        <w:rPr>
          <w:highlight w:val="yellow"/>
        </w:rPr>
        <w:t>separation;</w:t>
      </w:r>
      <w:proofErr w:type="gramEnd"/>
    </w:p>
    <w:p w14:paraId="1F91A64D" w14:textId="2379DFF7" w:rsidR="00F728D8" w:rsidRPr="000A5065" w:rsidRDefault="00F728D8" w:rsidP="00F728D8">
      <w:pPr>
        <w:pStyle w:val="tSubpara"/>
        <w:rPr>
          <w:highlight w:val="yellow"/>
        </w:rPr>
      </w:pPr>
      <w:r w:rsidRPr="00111062">
        <w:tab/>
      </w:r>
      <w:r w:rsidRPr="000A5065">
        <w:rPr>
          <w:highlight w:val="yellow"/>
        </w:rPr>
        <w:t>(iv)</w:t>
      </w:r>
      <w:r w:rsidRPr="000A5065">
        <w:rPr>
          <w:highlight w:val="yellow"/>
        </w:rPr>
        <w:tab/>
        <w:t xml:space="preserve">dissolved air </w:t>
      </w:r>
      <w:proofErr w:type="gramStart"/>
      <w:r w:rsidRPr="000A5065">
        <w:rPr>
          <w:highlight w:val="yellow"/>
        </w:rPr>
        <w:t>flotation;</w:t>
      </w:r>
      <w:proofErr w:type="gramEnd"/>
    </w:p>
    <w:p w14:paraId="01EFDC81" w14:textId="6954F916" w:rsidR="00F728D8" w:rsidRPr="000A5065" w:rsidRDefault="00F728D8" w:rsidP="00F728D8">
      <w:pPr>
        <w:pStyle w:val="tSubpara"/>
        <w:rPr>
          <w:highlight w:val="yellow"/>
        </w:rPr>
      </w:pPr>
      <w:r w:rsidRPr="00111062">
        <w:tab/>
      </w:r>
      <w:r w:rsidRPr="000A5065">
        <w:rPr>
          <w:highlight w:val="yellow"/>
        </w:rPr>
        <w:t>(v)</w:t>
      </w:r>
      <w:r w:rsidRPr="000A5065">
        <w:rPr>
          <w:highlight w:val="yellow"/>
        </w:rPr>
        <w:tab/>
        <w:t xml:space="preserve">chemical </w:t>
      </w:r>
      <w:proofErr w:type="gramStart"/>
      <w:r w:rsidRPr="000A5065">
        <w:rPr>
          <w:highlight w:val="yellow"/>
        </w:rPr>
        <w:t>flocculation;</w:t>
      </w:r>
      <w:proofErr w:type="gramEnd"/>
    </w:p>
    <w:p w14:paraId="69EAF682" w14:textId="6E53469E" w:rsidR="00F728D8" w:rsidRPr="000A5065" w:rsidRDefault="00F728D8" w:rsidP="00F728D8">
      <w:pPr>
        <w:pStyle w:val="tSubpara"/>
        <w:rPr>
          <w:highlight w:val="yellow"/>
        </w:rPr>
      </w:pPr>
      <w:r w:rsidRPr="00111062">
        <w:tab/>
      </w:r>
      <w:r w:rsidRPr="000A5065">
        <w:rPr>
          <w:highlight w:val="yellow"/>
        </w:rPr>
        <w:t>(vi)</w:t>
      </w:r>
      <w:r w:rsidRPr="000A5065">
        <w:rPr>
          <w:highlight w:val="yellow"/>
        </w:rPr>
        <w:tab/>
        <w:t xml:space="preserve">combined </w:t>
      </w:r>
      <w:proofErr w:type="gramStart"/>
      <w:r w:rsidRPr="000A5065">
        <w:rPr>
          <w:highlight w:val="yellow"/>
        </w:rPr>
        <w:t>systems;</w:t>
      </w:r>
      <w:proofErr w:type="gramEnd"/>
    </w:p>
    <w:p w14:paraId="4EC7B728" w14:textId="7889BE2D" w:rsidR="00F728D8" w:rsidRPr="000A5065" w:rsidRDefault="00F728D8" w:rsidP="00F728D8">
      <w:pPr>
        <w:pStyle w:val="nMain"/>
        <w:spacing w:line="276" w:lineRule="auto"/>
        <w:rPr>
          <w:highlight w:val="yellow"/>
        </w:rPr>
      </w:pPr>
      <w:r w:rsidRPr="000A5065">
        <w:rPr>
          <w:highlight w:val="yellow"/>
        </w:rPr>
        <w:t>Note:</w:t>
      </w:r>
      <w:r w:rsidRPr="000A5065">
        <w:rPr>
          <w:highlight w:val="yellow"/>
        </w:rPr>
        <w:tab/>
        <w:t>The efficiency of each system depends on the flow rate of the animal effluent, its solids concentration, the shape and size distribution of the particles, and their chemical nature.</w:t>
      </w:r>
    </w:p>
    <w:p w14:paraId="49002807" w14:textId="633C92A8" w:rsidR="00F728D8" w:rsidRPr="000A5065" w:rsidRDefault="00F728D8" w:rsidP="00F728D8">
      <w:pPr>
        <w:pStyle w:val="tPara"/>
        <w:rPr>
          <w:highlight w:val="yellow"/>
        </w:rPr>
      </w:pPr>
      <w:r w:rsidRPr="00111062">
        <w:tab/>
      </w:r>
      <w:r w:rsidRPr="000A5065">
        <w:rPr>
          <w:highlight w:val="yellow"/>
        </w:rPr>
        <w:t>(c)</w:t>
      </w:r>
      <w:r w:rsidRPr="000A5065">
        <w:rPr>
          <w:highlight w:val="yellow"/>
        </w:rPr>
        <w:tab/>
        <w:t xml:space="preserve">the solids separation devices </w:t>
      </w:r>
      <w:r w:rsidR="0071082F" w:rsidRPr="000A5065">
        <w:rPr>
          <w:highlight w:val="yellow"/>
        </w:rPr>
        <w:t xml:space="preserve">must be </w:t>
      </w:r>
      <w:r w:rsidR="0071082F" w:rsidRPr="00111062">
        <w:rPr>
          <w:highlight w:val="yellow"/>
        </w:rPr>
        <w:t xml:space="preserve">used </w:t>
      </w:r>
      <w:r w:rsidRPr="00111062">
        <w:rPr>
          <w:highlight w:val="yellow"/>
        </w:rPr>
        <w:t xml:space="preserve">in a </w:t>
      </w:r>
      <w:r w:rsidRPr="000A5065">
        <w:rPr>
          <w:highlight w:val="yellow"/>
        </w:rPr>
        <w:t xml:space="preserve">manner that is consistent with the manufacturer’s requirements and any other regulations. </w:t>
      </w:r>
    </w:p>
    <w:p w14:paraId="77DD9808" w14:textId="20C20D68" w:rsidR="00F728D8" w:rsidRPr="000A5065" w:rsidRDefault="00F728D8" w:rsidP="00F728D8">
      <w:pPr>
        <w:pStyle w:val="nMain"/>
        <w:spacing w:line="276" w:lineRule="auto"/>
        <w:rPr>
          <w:highlight w:val="yellow"/>
        </w:rPr>
      </w:pPr>
      <w:r w:rsidRPr="000A5065">
        <w:rPr>
          <w:highlight w:val="yellow"/>
        </w:rPr>
        <w:t>Note</w:t>
      </w:r>
      <w:r w:rsidR="00F73112" w:rsidRPr="000A5065">
        <w:rPr>
          <w:highlight w:val="yellow"/>
        </w:rPr>
        <w:t xml:space="preserve"> 1</w:t>
      </w:r>
      <w:r w:rsidRPr="000A5065">
        <w:rPr>
          <w:highlight w:val="yellow"/>
        </w:rPr>
        <w:t xml:space="preserve">: </w:t>
      </w:r>
      <w:r w:rsidRPr="000A5065">
        <w:rPr>
          <w:highlight w:val="yellow"/>
        </w:rPr>
        <w:tab/>
        <w:t>The Determination requires that records be kept that demonstrate th</w:t>
      </w:r>
      <w:r w:rsidR="007F0916" w:rsidRPr="000A5065">
        <w:rPr>
          <w:highlight w:val="yellow"/>
        </w:rPr>
        <w:t>at any</w:t>
      </w:r>
      <w:r w:rsidRPr="000A5065">
        <w:rPr>
          <w:highlight w:val="yellow"/>
        </w:rPr>
        <w:t xml:space="preserve"> </w:t>
      </w:r>
      <w:r w:rsidR="007F0916" w:rsidRPr="000A5065">
        <w:rPr>
          <w:highlight w:val="yellow"/>
        </w:rPr>
        <w:t xml:space="preserve">solids separation </w:t>
      </w:r>
      <w:r w:rsidRPr="000A5065">
        <w:rPr>
          <w:highlight w:val="yellow"/>
        </w:rPr>
        <w:t>device is maintained and operated in accordance with the manufacturer’s requirements throughout the duration of the project (section 39</w:t>
      </w:r>
      <w:r w:rsidR="00641EED" w:rsidRPr="000A5065">
        <w:rPr>
          <w:highlight w:val="yellow"/>
        </w:rPr>
        <w:t>C</w:t>
      </w:r>
      <w:r w:rsidRPr="000A5065">
        <w:rPr>
          <w:highlight w:val="yellow"/>
        </w:rPr>
        <w:t xml:space="preserve"> of the Determination). </w:t>
      </w:r>
    </w:p>
    <w:p w14:paraId="57CE8FE8" w14:textId="32E758CF" w:rsidR="00F728D8" w:rsidRDefault="00F728D8" w:rsidP="000A5065">
      <w:pPr>
        <w:pStyle w:val="nMain"/>
        <w:spacing w:line="276" w:lineRule="auto"/>
      </w:pPr>
      <w:r w:rsidRPr="00111062">
        <w:rPr>
          <w:highlight w:val="yellow"/>
        </w:rPr>
        <w:lastRenderedPageBreak/>
        <w:t>Note</w:t>
      </w:r>
      <w:r w:rsidR="00F73112" w:rsidRPr="00111062">
        <w:rPr>
          <w:highlight w:val="yellow"/>
        </w:rPr>
        <w:t xml:space="preserve"> 2</w:t>
      </w:r>
      <w:r w:rsidRPr="00111062">
        <w:rPr>
          <w:highlight w:val="yellow"/>
        </w:rPr>
        <w:t>:</w:t>
      </w:r>
      <w:r w:rsidRPr="00111062">
        <w:rPr>
          <w:highlight w:val="yellow"/>
        </w:rPr>
        <w:tab/>
        <w:t xml:space="preserve">Projects </w:t>
      </w:r>
      <w:r w:rsidRPr="000A5065">
        <w:rPr>
          <w:rFonts w:eastAsiaTheme="minorEastAsia"/>
          <w:highlight w:val="yellow"/>
        </w:rPr>
        <w:t>that use solids separation devices manage the diverted solids</w:t>
      </w:r>
      <w:r w:rsidRPr="000A5065">
        <w:rPr>
          <w:highlight w:val="yellow"/>
        </w:rPr>
        <w:t xml:space="preserve"> aerobically to avoid further methane production. </w:t>
      </w:r>
      <w:proofErr w:type="gramStart"/>
      <w:r w:rsidRPr="000A5065">
        <w:rPr>
          <w:rFonts w:eastAsiaTheme="minorEastAsia"/>
          <w:highlight w:val="yellow"/>
        </w:rPr>
        <w:t>Solids</w:t>
      </w:r>
      <w:proofErr w:type="gramEnd"/>
      <w:r w:rsidRPr="000A5065">
        <w:rPr>
          <w:rFonts w:eastAsiaTheme="minorEastAsia"/>
          <w:highlight w:val="yellow"/>
        </w:rPr>
        <w:t xml:space="preserve"> separation devices operate to remove volatile solids and nitrogen contained in organic effluent.</w:t>
      </w:r>
    </w:p>
    <w:p w14:paraId="0CF0AEB4" w14:textId="09543FA5" w:rsidR="00F728D8" w:rsidRPr="000A5065" w:rsidRDefault="00F728D8" w:rsidP="000A5065">
      <w:pPr>
        <w:pStyle w:val="nMain"/>
        <w:spacing w:line="276" w:lineRule="auto"/>
        <w:rPr>
          <w:highlight w:val="yellow"/>
        </w:rPr>
      </w:pPr>
      <w:r w:rsidRPr="000A5065">
        <w:rPr>
          <w:highlight w:val="yellow"/>
        </w:rPr>
        <w:t>Note</w:t>
      </w:r>
      <w:r w:rsidR="00F73112" w:rsidRPr="000A5065">
        <w:rPr>
          <w:highlight w:val="yellow"/>
        </w:rPr>
        <w:t xml:space="preserve"> 3</w:t>
      </w:r>
      <w:r w:rsidRPr="000A5065">
        <w:rPr>
          <w:highlight w:val="yellow"/>
        </w:rPr>
        <w:t>:</w:t>
      </w:r>
      <w:r w:rsidRPr="000A5065">
        <w:rPr>
          <w:highlight w:val="yellow"/>
        </w:rPr>
        <w:tab/>
        <w:t xml:space="preserve">One or more solids separation devices may be used in projects to divert volatile solids. Facilities using solids separation devices are emissions avoidance facilities. Projects can include a combination of solids separation devices (emissions avoidance) with methane capture and combustion facilities (emissions destruction). </w:t>
      </w:r>
    </w:p>
    <w:p w14:paraId="5A674767" w14:textId="74D94887" w:rsidR="00F728D8" w:rsidRPr="000A5065" w:rsidRDefault="00F728D8" w:rsidP="00F728D8">
      <w:pPr>
        <w:pStyle w:val="nMain"/>
        <w:spacing w:line="276" w:lineRule="auto"/>
        <w:rPr>
          <w:highlight w:val="yellow"/>
        </w:rPr>
      </w:pPr>
      <w:r w:rsidRPr="000A5065">
        <w:rPr>
          <w:highlight w:val="yellow"/>
        </w:rPr>
        <w:t>Note</w:t>
      </w:r>
      <w:r w:rsidR="00F73112" w:rsidRPr="000A5065">
        <w:rPr>
          <w:highlight w:val="yellow"/>
        </w:rPr>
        <w:t xml:space="preserve"> 4</w:t>
      </w:r>
      <w:r w:rsidRPr="000A5065">
        <w:rPr>
          <w:highlight w:val="yellow"/>
        </w:rPr>
        <w:t>:</w:t>
      </w:r>
      <w:r w:rsidRPr="000A5065">
        <w:rPr>
          <w:highlight w:val="yellow"/>
        </w:rPr>
        <w:tab/>
        <w:t xml:space="preserve">Project treatment facilities treating organic effluent by diversion using solids separation devices for emissions avoidance are not permitted to include ineligible material in the effluent stream </w:t>
      </w:r>
      <w:r w:rsidR="00BF27B9" w:rsidRPr="000A5065">
        <w:rPr>
          <w:highlight w:val="yellow"/>
        </w:rPr>
        <w:t xml:space="preserve">(see </w:t>
      </w:r>
      <w:r w:rsidRPr="000A5065">
        <w:rPr>
          <w:highlight w:val="yellow"/>
        </w:rPr>
        <w:t>section 16 of the Determination</w:t>
      </w:r>
      <w:r w:rsidR="00BF27B9" w:rsidRPr="000A5065">
        <w:rPr>
          <w:highlight w:val="yellow"/>
        </w:rPr>
        <w:t>)</w:t>
      </w:r>
      <w:r w:rsidRPr="000A5065">
        <w:rPr>
          <w:highlight w:val="yellow"/>
        </w:rPr>
        <w:t xml:space="preserve">. </w:t>
      </w:r>
    </w:p>
    <w:p w14:paraId="400F7DE9" w14:textId="09578296" w:rsidR="00A65251" w:rsidRPr="00564B75" w:rsidRDefault="0042623F" w:rsidP="00A65251">
      <w:pPr>
        <w:pStyle w:val="h5Section"/>
        <w:ind w:left="0" w:firstLine="0"/>
        <w:rPr>
          <w:u w:val="single"/>
        </w:rPr>
      </w:pPr>
      <w:bookmarkStart w:id="46" w:name="_Toc17792700"/>
      <w:bookmarkStart w:id="47" w:name="_Toc82779121"/>
      <w:bookmarkStart w:id="48" w:name="_Toc82779429"/>
      <w:bookmarkStart w:id="49" w:name="_Toc86674768"/>
      <w:r w:rsidRPr="000A5065">
        <w:rPr>
          <w:highlight w:val="yellow"/>
          <w:u w:val="single"/>
        </w:rPr>
        <w:t>8</w:t>
      </w:r>
      <w:r w:rsidR="009832C5" w:rsidRPr="00564B75">
        <w:rPr>
          <w:u w:val="single"/>
        </w:rPr>
        <w:tab/>
      </w:r>
      <w:r w:rsidR="00A65251" w:rsidRPr="00564B75">
        <w:rPr>
          <w:u w:val="single"/>
        </w:rPr>
        <w:t xml:space="preserve">Section </w:t>
      </w:r>
      <w:r w:rsidR="00C63D27" w:rsidRPr="000A5065">
        <w:rPr>
          <w:highlight w:val="yellow"/>
          <w:u w:val="single"/>
        </w:rPr>
        <w:t>9</w:t>
      </w:r>
      <w:r w:rsidR="004C587A" w:rsidRPr="000A5065">
        <w:rPr>
          <w:highlight w:val="yellow"/>
          <w:u w:val="single"/>
        </w:rPr>
        <w:t>F</w:t>
      </w:r>
      <w:r w:rsidR="00A65251" w:rsidRPr="00564B75">
        <w:rPr>
          <w:u w:val="single"/>
        </w:rPr>
        <w:t>—</w:t>
      </w:r>
      <w:r w:rsidR="00D969FB" w:rsidRPr="00564B75">
        <w:rPr>
          <w:u w:val="single"/>
        </w:rPr>
        <w:t>Emissions avoidance t</w:t>
      </w:r>
      <w:r w:rsidR="00A65251" w:rsidRPr="00564B75">
        <w:rPr>
          <w:u w:val="single"/>
        </w:rPr>
        <w:t>reatment facility—</w:t>
      </w:r>
      <w:r w:rsidR="00D969FB" w:rsidRPr="00564B75">
        <w:rPr>
          <w:u w:val="single"/>
        </w:rPr>
        <w:t>post-diversion treatment</w:t>
      </w:r>
      <w:bookmarkEnd w:id="46"/>
      <w:bookmarkEnd w:id="47"/>
      <w:bookmarkEnd w:id="48"/>
      <w:bookmarkEnd w:id="49"/>
    </w:p>
    <w:p w14:paraId="400F7DEA" w14:textId="1F89F8EE" w:rsidR="00D969FB" w:rsidRPr="00564B75" w:rsidRDefault="00D969FB" w:rsidP="00D969FB">
      <w:pPr>
        <w:pStyle w:val="tMain"/>
        <w:tabs>
          <w:tab w:val="clear" w:pos="1021"/>
          <w:tab w:val="left" w:pos="709"/>
        </w:tabs>
        <w:ind w:firstLine="0"/>
      </w:pPr>
      <w:r w:rsidRPr="00564B75">
        <w:t xml:space="preserve">For </w:t>
      </w:r>
      <w:r w:rsidR="00227AB9" w:rsidRPr="000A5065">
        <w:rPr>
          <w:highlight w:val="yellow"/>
        </w:rPr>
        <w:t>paragraph</w:t>
      </w:r>
      <w:r w:rsidRPr="000A5065">
        <w:rPr>
          <w:highlight w:val="yellow"/>
        </w:rPr>
        <w:t xml:space="preserve"> </w:t>
      </w:r>
      <w:r w:rsidR="00A81759" w:rsidRPr="000A5065">
        <w:rPr>
          <w:highlight w:val="yellow"/>
        </w:rPr>
        <w:t>9</w:t>
      </w:r>
      <w:r w:rsidR="004C587A" w:rsidRPr="000A5065">
        <w:rPr>
          <w:highlight w:val="yellow"/>
        </w:rPr>
        <w:t>F</w:t>
      </w:r>
      <w:r w:rsidR="00227AB9" w:rsidRPr="000A5065">
        <w:rPr>
          <w:highlight w:val="yellow"/>
        </w:rPr>
        <w:t>(b)</w:t>
      </w:r>
      <w:r w:rsidRPr="00122E37">
        <w:t xml:space="preserve"> of the Determination, </w:t>
      </w:r>
      <w:r w:rsidR="00831507" w:rsidRPr="00122E37">
        <w:t>the post-diversion treatment must:</w:t>
      </w:r>
    </w:p>
    <w:p w14:paraId="400F7DEB" w14:textId="0B1F88F9" w:rsidR="00831507" w:rsidRPr="00564B75" w:rsidRDefault="00831507" w:rsidP="00831507">
      <w:pPr>
        <w:pStyle w:val="tPara"/>
      </w:pPr>
      <w:r w:rsidRPr="00564B75">
        <w:tab/>
        <w:t>(a)</w:t>
      </w:r>
      <w:r w:rsidRPr="00564B75">
        <w:tab/>
        <w:t xml:space="preserve">take into account industry best practice to ensure the treatment facility complies with subsection </w:t>
      </w:r>
      <w:r w:rsidR="00A81759" w:rsidRPr="000A5065">
        <w:rPr>
          <w:highlight w:val="yellow"/>
        </w:rPr>
        <w:t>8</w:t>
      </w:r>
      <w:proofErr w:type="gramStart"/>
      <w:r w:rsidR="00A81759" w:rsidRPr="000A5065">
        <w:rPr>
          <w:highlight w:val="yellow"/>
        </w:rPr>
        <w:t>A(</w:t>
      </w:r>
      <w:proofErr w:type="gramEnd"/>
      <w:r w:rsidR="00487E27" w:rsidRPr="000A5065">
        <w:rPr>
          <w:highlight w:val="yellow"/>
        </w:rPr>
        <w:t>5</w:t>
      </w:r>
      <w:r w:rsidR="00A81759">
        <w:t>)</w:t>
      </w:r>
      <w:r w:rsidRPr="00564B75">
        <w:t xml:space="preserve"> of the Determination; and</w:t>
      </w:r>
    </w:p>
    <w:p w14:paraId="400F7DEC" w14:textId="77777777" w:rsidR="00831507" w:rsidRPr="00564B75" w:rsidRDefault="00831507" w:rsidP="00831507">
      <w:pPr>
        <w:pStyle w:val="tPara"/>
      </w:pPr>
      <w:r w:rsidRPr="00564B75">
        <w:tab/>
        <w:t>(b)</w:t>
      </w:r>
      <w:r w:rsidRPr="00564B75">
        <w:tab/>
        <w:t xml:space="preserve">ensure that stockpiles do not become large or compacted </w:t>
      </w:r>
      <w:proofErr w:type="gramStart"/>
      <w:r w:rsidRPr="00564B75">
        <w:t>so as to</w:t>
      </w:r>
      <w:proofErr w:type="gramEnd"/>
      <w:r w:rsidRPr="00564B75">
        <w:t xml:space="preserve"> create significant emissions of m</w:t>
      </w:r>
      <w:r w:rsidR="00705717" w:rsidRPr="00564B75">
        <w:t>ethane</w:t>
      </w:r>
      <w:r w:rsidR="00F910E3" w:rsidRPr="00564B75">
        <w:t xml:space="preserve"> or nitrous oxide</w:t>
      </w:r>
      <w:r w:rsidR="00705717" w:rsidRPr="00564B75">
        <w:t>; and</w:t>
      </w:r>
    </w:p>
    <w:p w14:paraId="400F7DED" w14:textId="5CA68AE1" w:rsidR="00705717" w:rsidRPr="00564B75" w:rsidRDefault="00705717" w:rsidP="00831507">
      <w:pPr>
        <w:pStyle w:val="tPara"/>
      </w:pPr>
      <w:r w:rsidRPr="00564B75">
        <w:tab/>
        <w:t>(c)</w:t>
      </w:r>
      <w:r w:rsidRPr="00564B75">
        <w:tab/>
      </w:r>
      <w:r w:rsidRPr="00111062">
        <w:t xml:space="preserve">be carried out consistently with the definitions of </w:t>
      </w:r>
      <w:r w:rsidR="002876D4" w:rsidRPr="00111062">
        <w:t>‘</w:t>
      </w:r>
      <w:r w:rsidRPr="00111062">
        <w:t>composting (passive windrow)</w:t>
      </w:r>
      <w:r w:rsidR="002876D4" w:rsidRPr="00111062">
        <w:t>’</w:t>
      </w:r>
      <w:r w:rsidRPr="00111062">
        <w:t xml:space="preserve"> or </w:t>
      </w:r>
      <w:r w:rsidR="002876D4" w:rsidRPr="00111062">
        <w:t>‘</w:t>
      </w:r>
      <w:r w:rsidRPr="00111062">
        <w:t>stockpiles (solid storage)</w:t>
      </w:r>
      <w:r w:rsidR="002876D4" w:rsidRPr="00111062">
        <w:t>’</w:t>
      </w:r>
      <w:r w:rsidRPr="00111062">
        <w:t xml:space="preserve"> in the Determination.</w:t>
      </w:r>
    </w:p>
    <w:p w14:paraId="7C2AAFAD" w14:textId="62212C4E" w:rsidR="00D0203B" w:rsidRPr="00564B75" w:rsidRDefault="009127A8" w:rsidP="007720B1">
      <w:pPr>
        <w:pStyle w:val="nMain"/>
        <w:ind w:hanging="710"/>
      </w:pPr>
      <w:r w:rsidRPr="00564B75">
        <w:t>Note:</w:t>
      </w:r>
      <w:r w:rsidR="00111062">
        <w:tab/>
      </w:r>
      <w:r w:rsidRPr="00564B75">
        <w:t xml:space="preserve">The storage of solids is expected to typically be in small stockpiles (approximately 5m diameter x 2m high) or windrows (approximately 3m wide and 2m high) </w:t>
      </w:r>
      <w:proofErr w:type="gramStart"/>
      <w:r w:rsidRPr="00564B75">
        <w:t>so as to</w:t>
      </w:r>
      <w:proofErr w:type="gramEnd"/>
      <w:r w:rsidRPr="00564B75">
        <w:t xml:space="preserve"> reduce the amount of methane produced.</w:t>
      </w:r>
    </w:p>
    <w:p w14:paraId="400F7DF3" w14:textId="6387668A" w:rsidR="008B4B68" w:rsidRPr="00564B75" w:rsidRDefault="0042623F" w:rsidP="00552351">
      <w:pPr>
        <w:pStyle w:val="h5Section"/>
        <w:ind w:left="0" w:firstLine="0"/>
        <w:rPr>
          <w:u w:val="single"/>
        </w:rPr>
      </w:pPr>
      <w:bookmarkStart w:id="50" w:name="_Toc17792701"/>
      <w:bookmarkStart w:id="51" w:name="_Toc82779122"/>
      <w:bookmarkStart w:id="52" w:name="_Toc82779430"/>
      <w:bookmarkStart w:id="53" w:name="_Toc86674769"/>
      <w:r w:rsidRPr="000A5065">
        <w:rPr>
          <w:highlight w:val="yellow"/>
          <w:u w:val="single"/>
        </w:rPr>
        <w:t>9</w:t>
      </w:r>
      <w:r w:rsidR="009832C5" w:rsidRPr="00564B75">
        <w:rPr>
          <w:u w:val="single"/>
        </w:rPr>
        <w:tab/>
      </w:r>
      <w:r w:rsidR="008B4B68" w:rsidRPr="00564B75">
        <w:rPr>
          <w:u w:val="single"/>
        </w:rPr>
        <w:t>Section 1</w:t>
      </w:r>
      <w:r w:rsidR="00B87953" w:rsidRPr="00564B75">
        <w:rPr>
          <w:u w:val="single"/>
        </w:rPr>
        <w:t>5</w:t>
      </w:r>
      <w:r w:rsidR="00607641" w:rsidRPr="00564B75">
        <w:rPr>
          <w:u w:val="single"/>
        </w:rPr>
        <w:t>—</w:t>
      </w:r>
      <w:r w:rsidR="00B206DC" w:rsidRPr="00564B75">
        <w:rPr>
          <w:u w:val="single"/>
        </w:rPr>
        <w:t xml:space="preserve">Evidence that satisfies the Regulator that the </w:t>
      </w:r>
      <w:r w:rsidR="00022F82" w:rsidRPr="00564B75">
        <w:rPr>
          <w:u w:val="single"/>
        </w:rPr>
        <w:t xml:space="preserve">specified organic effluent </w:t>
      </w:r>
      <w:r w:rsidR="00B206DC" w:rsidRPr="00564B75">
        <w:rPr>
          <w:u w:val="single"/>
        </w:rPr>
        <w:t>would have been treated in an anaerobic pond</w:t>
      </w:r>
      <w:bookmarkEnd w:id="50"/>
      <w:bookmarkEnd w:id="51"/>
      <w:bookmarkEnd w:id="52"/>
      <w:bookmarkEnd w:id="53"/>
    </w:p>
    <w:p w14:paraId="400F7DF4" w14:textId="5C759CCA" w:rsidR="004936DC" w:rsidRPr="00564B75" w:rsidRDefault="004936DC" w:rsidP="00C637C9">
      <w:pPr>
        <w:pStyle w:val="tMain"/>
      </w:pPr>
      <w:r w:rsidRPr="00564B75">
        <w:tab/>
        <w:t>(1)</w:t>
      </w:r>
      <w:r w:rsidRPr="00564B75">
        <w:tab/>
        <w:t xml:space="preserve">For </w:t>
      </w:r>
      <w:r w:rsidRPr="000A5065">
        <w:rPr>
          <w:highlight w:val="yellow"/>
        </w:rPr>
        <w:t>paragraph</w:t>
      </w:r>
      <w:r w:rsidR="00487E27" w:rsidRPr="000A5065">
        <w:rPr>
          <w:highlight w:val="yellow"/>
        </w:rPr>
        <w:t>s</w:t>
      </w:r>
      <w:r w:rsidRPr="00564B75">
        <w:t xml:space="preserve"> 15</w:t>
      </w:r>
      <w:r w:rsidR="00487E27" w:rsidRPr="000A5065">
        <w:rPr>
          <w:highlight w:val="yellow"/>
        </w:rPr>
        <w:t>(1</w:t>
      </w:r>
      <w:proofErr w:type="gramStart"/>
      <w:r w:rsidR="00487E27" w:rsidRPr="000A5065">
        <w:rPr>
          <w:highlight w:val="yellow"/>
        </w:rPr>
        <w:t>A)(</w:t>
      </w:r>
      <w:proofErr w:type="gramEnd"/>
      <w:r w:rsidR="00487E27" w:rsidRPr="000A5065">
        <w:rPr>
          <w:highlight w:val="yellow"/>
        </w:rPr>
        <w:t xml:space="preserve">b) and </w:t>
      </w:r>
      <w:r w:rsidRPr="00564B75">
        <w:t xml:space="preserve">(2)(b) of the Determination, organic effluent from </w:t>
      </w:r>
      <w:r w:rsidR="00725353" w:rsidRPr="00564B75">
        <w:t xml:space="preserve">new or expanded </w:t>
      </w:r>
      <w:r w:rsidRPr="00564B75">
        <w:t>piggeries is specified.</w:t>
      </w:r>
    </w:p>
    <w:p w14:paraId="400F7DF5" w14:textId="32AEC66E" w:rsidR="009725BF" w:rsidRPr="00564B75" w:rsidRDefault="004936DC" w:rsidP="00552351">
      <w:pPr>
        <w:pStyle w:val="tMain"/>
      </w:pPr>
      <w:r w:rsidRPr="00564B75">
        <w:tab/>
        <w:t>(2)</w:t>
      </w:r>
      <w:r w:rsidRPr="00564B75">
        <w:tab/>
      </w:r>
      <w:r w:rsidR="009725BF" w:rsidRPr="00564B75">
        <w:t xml:space="preserve">For </w:t>
      </w:r>
      <w:r w:rsidR="00B87953" w:rsidRPr="000A5065">
        <w:rPr>
          <w:highlight w:val="yellow"/>
        </w:rPr>
        <w:t>paragraph</w:t>
      </w:r>
      <w:r w:rsidR="00487E27" w:rsidRPr="000A5065">
        <w:rPr>
          <w:highlight w:val="yellow"/>
        </w:rPr>
        <w:t>s</w:t>
      </w:r>
      <w:r w:rsidR="00B87953" w:rsidRPr="00564B75">
        <w:t xml:space="preserve"> </w:t>
      </w:r>
      <w:r w:rsidR="009725BF" w:rsidRPr="00564B75">
        <w:t>1</w:t>
      </w:r>
      <w:r w:rsidR="00B87953" w:rsidRPr="00564B75">
        <w:t>5</w:t>
      </w:r>
      <w:r w:rsidR="00487E27" w:rsidRPr="000A5065">
        <w:rPr>
          <w:highlight w:val="yellow"/>
        </w:rPr>
        <w:t>(1</w:t>
      </w:r>
      <w:proofErr w:type="gramStart"/>
      <w:r w:rsidR="00487E27" w:rsidRPr="000A5065">
        <w:rPr>
          <w:highlight w:val="yellow"/>
        </w:rPr>
        <w:t>A)(</w:t>
      </w:r>
      <w:proofErr w:type="gramEnd"/>
      <w:r w:rsidR="00487E27" w:rsidRPr="000A5065">
        <w:rPr>
          <w:highlight w:val="yellow"/>
        </w:rPr>
        <w:t xml:space="preserve">b) and </w:t>
      </w:r>
      <w:r w:rsidR="009725BF" w:rsidRPr="00564B75">
        <w:t xml:space="preserve">(2)(b) of the Determination, evidence that satisfies the Regulator that </w:t>
      </w:r>
      <w:r w:rsidRPr="00564B75">
        <w:t xml:space="preserve">organic effluent specified by </w:t>
      </w:r>
      <w:r w:rsidRPr="000A5065">
        <w:rPr>
          <w:highlight w:val="yellow"/>
        </w:rPr>
        <w:t>sub</w:t>
      </w:r>
      <w:r w:rsidR="00212840" w:rsidRPr="000A5065">
        <w:rPr>
          <w:highlight w:val="yellow"/>
        </w:rPr>
        <w:t>clause</w:t>
      </w:r>
      <w:r w:rsidRPr="0048069E">
        <w:t xml:space="preserve"> (1)</w:t>
      </w:r>
      <w:r w:rsidRPr="00122E37">
        <w:t xml:space="preserve"> </w:t>
      </w:r>
      <w:r w:rsidR="009725BF" w:rsidRPr="00122E37">
        <w:t>would have been treated in an anaerobic pond</w:t>
      </w:r>
      <w:r w:rsidR="00F21A37" w:rsidRPr="00564B75">
        <w:t xml:space="preserve"> must</w:t>
      </w:r>
      <w:r w:rsidR="009725BF" w:rsidRPr="00564B75">
        <w:t xml:space="preserve"> include:</w:t>
      </w:r>
    </w:p>
    <w:p w14:paraId="400F7DF6" w14:textId="77777777" w:rsidR="006F7977" w:rsidRPr="00564B75" w:rsidRDefault="009725BF" w:rsidP="009725BF">
      <w:pPr>
        <w:pStyle w:val="tPara"/>
      </w:pPr>
      <w:r w:rsidRPr="00564B75">
        <w:tab/>
        <w:t>(a)</w:t>
      </w:r>
      <w:r w:rsidRPr="00564B75">
        <w:tab/>
        <w:t>an explanation of why material would</w:t>
      </w:r>
      <w:r w:rsidR="00EB55A8" w:rsidRPr="00564B75">
        <w:t xml:space="preserve"> have been treated in an anaerobic pond</w:t>
      </w:r>
      <w:r w:rsidR="006F7977" w:rsidRPr="00564B75">
        <w:t>; and</w:t>
      </w:r>
    </w:p>
    <w:p w14:paraId="400F7DF7" w14:textId="26ED0585" w:rsidR="009725BF" w:rsidRPr="00564B75" w:rsidRDefault="006F7977" w:rsidP="009725BF">
      <w:pPr>
        <w:pStyle w:val="tPara"/>
      </w:pPr>
      <w:r w:rsidRPr="00564B75">
        <w:tab/>
        <w:t>(b)</w:t>
      </w:r>
      <w:r w:rsidRPr="00564B75">
        <w:tab/>
        <w:t>an explanation of</w:t>
      </w:r>
      <w:r w:rsidR="00EB55A8" w:rsidRPr="00564B75">
        <w:t xml:space="preserve"> why </w:t>
      </w:r>
      <w:r w:rsidR="00F21A37" w:rsidRPr="00564B75">
        <w:t>paragraph 1</w:t>
      </w:r>
      <w:r w:rsidR="00B87953" w:rsidRPr="00564B75">
        <w:t>5</w:t>
      </w:r>
      <w:r w:rsidR="00487E27">
        <w:t>(</w:t>
      </w:r>
      <w:r w:rsidR="00487E27" w:rsidRPr="000A5065">
        <w:rPr>
          <w:highlight w:val="yellow"/>
        </w:rPr>
        <w:t>1</w:t>
      </w:r>
      <w:proofErr w:type="gramStart"/>
      <w:r w:rsidR="00487E27" w:rsidRPr="000A5065">
        <w:rPr>
          <w:highlight w:val="yellow"/>
        </w:rPr>
        <w:t>A)(</w:t>
      </w:r>
      <w:proofErr w:type="gramEnd"/>
      <w:r w:rsidR="00487E27" w:rsidRPr="000A5065">
        <w:rPr>
          <w:highlight w:val="yellow"/>
        </w:rPr>
        <w:t xml:space="preserve">a) or </w:t>
      </w:r>
      <w:r w:rsidR="00F21A37" w:rsidRPr="000A5065">
        <w:rPr>
          <w:highlight w:val="yellow"/>
        </w:rPr>
        <w:t>(</w:t>
      </w:r>
      <w:r w:rsidR="00F21A37" w:rsidRPr="00564B75">
        <w:t>2)(a) of the Determination</w:t>
      </w:r>
      <w:r w:rsidR="00977670" w:rsidRPr="000A5065">
        <w:rPr>
          <w:highlight w:val="yellow"/>
        </w:rPr>
        <w:t xml:space="preserve"> </w:t>
      </w:r>
      <w:r w:rsidR="00487E27" w:rsidRPr="000A5065">
        <w:rPr>
          <w:highlight w:val="yellow"/>
        </w:rPr>
        <w:t>(as the case may be)</w:t>
      </w:r>
      <w:r w:rsidR="00487E27">
        <w:t xml:space="preserve"> </w:t>
      </w:r>
      <w:r w:rsidR="00977670" w:rsidRPr="00564B75">
        <w:t>does not apply</w:t>
      </w:r>
      <w:r w:rsidR="00F21A37" w:rsidRPr="00564B75">
        <w:t>; and</w:t>
      </w:r>
    </w:p>
    <w:p w14:paraId="400F7DF8" w14:textId="77777777" w:rsidR="00F21A37" w:rsidRPr="00564B75" w:rsidRDefault="006F7977" w:rsidP="00F21A37">
      <w:pPr>
        <w:pStyle w:val="tPara"/>
      </w:pPr>
      <w:r w:rsidRPr="00564B75">
        <w:tab/>
        <w:t>(c</w:t>
      </w:r>
      <w:r w:rsidR="00F21A37" w:rsidRPr="00564B75">
        <w:t>)</w:t>
      </w:r>
      <w:r w:rsidR="00F21A37" w:rsidRPr="00564B75">
        <w:tab/>
        <w:t>a signed statement from the owner of the facility that produced the material:</w:t>
      </w:r>
    </w:p>
    <w:p w14:paraId="400F7DF9" w14:textId="77777777" w:rsidR="00F21A37" w:rsidRPr="00564B75" w:rsidRDefault="00F21A37" w:rsidP="00F21A37">
      <w:pPr>
        <w:pStyle w:val="tSubpara"/>
      </w:pPr>
      <w:r w:rsidRPr="00564B75">
        <w:tab/>
        <w:t>(</w:t>
      </w:r>
      <w:proofErr w:type="spellStart"/>
      <w:r w:rsidRPr="00564B75">
        <w:t>i</w:t>
      </w:r>
      <w:proofErr w:type="spellEnd"/>
      <w:r w:rsidRPr="00564B75">
        <w:t>)</w:t>
      </w:r>
      <w:r w:rsidRPr="00564B75">
        <w:tab/>
        <w:t>verifying that without the project the material would have been treated in an anaerobic pond; and</w:t>
      </w:r>
    </w:p>
    <w:p w14:paraId="400F7DFA" w14:textId="75FF33EA" w:rsidR="00F21A37" w:rsidRPr="00564B75" w:rsidRDefault="00F21A37" w:rsidP="00F21A37">
      <w:pPr>
        <w:pStyle w:val="tSubpara"/>
      </w:pPr>
      <w:r w:rsidRPr="00564B75">
        <w:tab/>
        <w:t>(ii)</w:t>
      </w:r>
      <w:r w:rsidRPr="00564B75">
        <w:tab/>
        <w:t xml:space="preserve">providing the details and location of the existing or proposed pond </w:t>
      </w:r>
      <w:r w:rsidR="00A45EA2" w:rsidRPr="000A5065">
        <w:rPr>
          <w:highlight w:val="yellow"/>
        </w:rPr>
        <w:t>that</w:t>
      </w:r>
      <w:r w:rsidRPr="00564B75">
        <w:t xml:space="preserve"> would have treated the material.</w:t>
      </w:r>
    </w:p>
    <w:p w14:paraId="400F7DFB" w14:textId="77777777" w:rsidR="00F21A37" w:rsidRPr="00564B75" w:rsidRDefault="00F21A37" w:rsidP="009725BF">
      <w:pPr>
        <w:pStyle w:val="tPara"/>
      </w:pPr>
    </w:p>
    <w:p w14:paraId="400F7DFC" w14:textId="77777777" w:rsidR="00F21A37" w:rsidRPr="00564B75" w:rsidRDefault="00F21A37" w:rsidP="009725BF">
      <w:pPr>
        <w:pStyle w:val="tPara"/>
      </w:pPr>
    </w:p>
    <w:p w14:paraId="400F7DFD" w14:textId="34F27129" w:rsidR="00453CC2" w:rsidRPr="00564B75" w:rsidRDefault="00453CC2" w:rsidP="00453CC2">
      <w:pPr>
        <w:pStyle w:val="h2Part"/>
      </w:pPr>
      <w:bookmarkStart w:id="54" w:name="_Toc17792702"/>
      <w:bookmarkStart w:id="55" w:name="_Toc82779123"/>
      <w:bookmarkStart w:id="56" w:name="_Toc82779431"/>
      <w:bookmarkStart w:id="57" w:name="_Toc86674770"/>
      <w:r w:rsidRPr="00564B75">
        <w:lastRenderedPageBreak/>
        <w:t>Part 3—Matters referred</w:t>
      </w:r>
      <w:r w:rsidR="00EE74D9" w:rsidRPr="00564B75">
        <w:t xml:space="preserve"> to</w:t>
      </w:r>
      <w:r w:rsidRPr="00564B75">
        <w:t xml:space="preserve"> in Part 4 </w:t>
      </w:r>
      <w:r w:rsidR="009F1C23" w:rsidRPr="000A5065">
        <w:rPr>
          <w:highlight w:val="yellow"/>
        </w:rPr>
        <w:t>of</w:t>
      </w:r>
      <w:r w:rsidRPr="00122E37">
        <w:t xml:space="preserve"> the Determination </w:t>
      </w:r>
      <w:r w:rsidR="00AC457B" w:rsidRPr="000A5065">
        <w:rPr>
          <w:highlight w:val="yellow"/>
        </w:rPr>
        <w:t>(</w:t>
      </w:r>
      <w:r w:rsidRPr="00564B75">
        <w:t>Net abatement amount</w:t>
      </w:r>
      <w:bookmarkEnd w:id="54"/>
      <w:r w:rsidR="00AC457B" w:rsidRPr="000A5065">
        <w:rPr>
          <w:highlight w:val="yellow"/>
        </w:rPr>
        <w:t>)</w:t>
      </w:r>
      <w:bookmarkEnd w:id="55"/>
      <w:bookmarkEnd w:id="56"/>
      <w:bookmarkEnd w:id="57"/>
    </w:p>
    <w:p w14:paraId="4339D076" w14:textId="65EA8ED5" w:rsidR="000041BD" w:rsidRPr="000A5065" w:rsidRDefault="000041BD" w:rsidP="000A5065">
      <w:pPr>
        <w:pStyle w:val="h3Div"/>
        <w:rPr>
          <w:highlight w:val="yellow"/>
        </w:rPr>
      </w:pPr>
      <w:bookmarkStart w:id="58" w:name="_Toc82779124"/>
      <w:bookmarkStart w:id="59" w:name="_Toc82779432"/>
      <w:bookmarkStart w:id="60" w:name="_Toc86674771"/>
      <w:bookmarkStart w:id="61" w:name="_Toc498293979"/>
      <w:bookmarkStart w:id="62" w:name="_Toc17792703"/>
      <w:r w:rsidRPr="000A5065">
        <w:rPr>
          <w:rStyle w:val="CharDivNo"/>
          <w:highlight w:val="yellow"/>
        </w:rPr>
        <w:t>Division 1—</w:t>
      </w:r>
      <w:r w:rsidRPr="000A5065">
        <w:rPr>
          <w:rStyle w:val="CharDivText"/>
          <w:highlight w:val="yellow"/>
        </w:rPr>
        <w:t>M</w:t>
      </w:r>
      <w:r w:rsidR="00653954" w:rsidRPr="000A5065">
        <w:rPr>
          <w:rStyle w:val="CharDivText"/>
          <w:highlight w:val="yellow"/>
        </w:rPr>
        <w:t>easur</w:t>
      </w:r>
      <w:r w:rsidR="00B65386" w:rsidRPr="000A5065">
        <w:rPr>
          <w:rStyle w:val="CharDivText"/>
          <w:highlight w:val="yellow"/>
        </w:rPr>
        <w:t>ing</w:t>
      </w:r>
      <w:r w:rsidR="00653954" w:rsidRPr="000A5065">
        <w:rPr>
          <w:rStyle w:val="CharDivText"/>
          <w:highlight w:val="yellow"/>
        </w:rPr>
        <w:t xml:space="preserve"> m</w:t>
      </w:r>
      <w:r w:rsidRPr="000A5065">
        <w:rPr>
          <w:rStyle w:val="CharDivText"/>
          <w:highlight w:val="yellow"/>
        </w:rPr>
        <w:t>ethane-producing capacity</w:t>
      </w:r>
      <w:bookmarkEnd w:id="58"/>
      <w:bookmarkEnd w:id="59"/>
      <w:bookmarkEnd w:id="60"/>
    </w:p>
    <w:p w14:paraId="400F7DFE" w14:textId="10BCFC9A" w:rsidR="00E15BFF" w:rsidRPr="000A5065" w:rsidRDefault="00476598" w:rsidP="00EC4D98">
      <w:pPr>
        <w:pStyle w:val="h5Section"/>
        <w:rPr>
          <w:highlight w:val="yellow"/>
          <w:u w:val="single"/>
        </w:rPr>
      </w:pPr>
      <w:bookmarkStart w:id="63" w:name="_Toc82779125"/>
      <w:bookmarkStart w:id="64" w:name="_Toc82779433"/>
      <w:bookmarkStart w:id="65" w:name="_Toc86674772"/>
      <w:r w:rsidRPr="000A5065">
        <w:rPr>
          <w:highlight w:val="yellow"/>
          <w:u w:val="single"/>
        </w:rPr>
        <w:t>1</w:t>
      </w:r>
      <w:r w:rsidR="0042623F" w:rsidRPr="000A5065">
        <w:rPr>
          <w:highlight w:val="yellow"/>
          <w:u w:val="single"/>
        </w:rPr>
        <w:t>0</w:t>
      </w:r>
      <w:r w:rsidR="009832C5" w:rsidRPr="000A5065">
        <w:rPr>
          <w:highlight w:val="yellow"/>
          <w:u w:val="single"/>
        </w:rPr>
        <w:tab/>
      </w:r>
      <w:r w:rsidR="00E15BFF" w:rsidRPr="000A5065">
        <w:rPr>
          <w:highlight w:val="yellow"/>
          <w:u w:val="single"/>
        </w:rPr>
        <w:t xml:space="preserve">Sections </w:t>
      </w:r>
      <w:r w:rsidR="002A7439" w:rsidRPr="000A5065">
        <w:rPr>
          <w:highlight w:val="yellow"/>
          <w:u w:val="single"/>
        </w:rPr>
        <w:t>1</w:t>
      </w:r>
      <w:r w:rsidR="00B87953" w:rsidRPr="000A5065">
        <w:rPr>
          <w:highlight w:val="yellow"/>
          <w:u w:val="single"/>
        </w:rPr>
        <w:t>6</w:t>
      </w:r>
      <w:r w:rsidR="00A00753" w:rsidRPr="000A5065">
        <w:rPr>
          <w:highlight w:val="yellow"/>
          <w:u w:val="single"/>
        </w:rPr>
        <w:t xml:space="preserve">, </w:t>
      </w:r>
      <w:r w:rsidR="002A7439" w:rsidRPr="000A5065">
        <w:rPr>
          <w:highlight w:val="yellow"/>
          <w:u w:val="single"/>
        </w:rPr>
        <w:t>2</w:t>
      </w:r>
      <w:r w:rsidR="00B87953" w:rsidRPr="000A5065">
        <w:rPr>
          <w:highlight w:val="yellow"/>
          <w:u w:val="single"/>
        </w:rPr>
        <w:t>5</w:t>
      </w:r>
      <w:r w:rsidR="00A00753" w:rsidRPr="000A5065">
        <w:rPr>
          <w:highlight w:val="yellow"/>
          <w:u w:val="single"/>
        </w:rPr>
        <w:t xml:space="preserve"> </w:t>
      </w:r>
      <w:r w:rsidR="00101B4D" w:rsidRPr="000A5065">
        <w:rPr>
          <w:highlight w:val="yellow"/>
          <w:u w:val="single"/>
        </w:rPr>
        <w:t xml:space="preserve">and </w:t>
      </w:r>
      <w:r w:rsidR="002A7439" w:rsidRPr="000A5065">
        <w:rPr>
          <w:highlight w:val="yellow"/>
          <w:u w:val="single"/>
        </w:rPr>
        <w:t>2</w:t>
      </w:r>
      <w:r w:rsidR="00B87953" w:rsidRPr="000A5065">
        <w:rPr>
          <w:highlight w:val="yellow"/>
          <w:u w:val="single"/>
        </w:rPr>
        <w:t>7</w:t>
      </w:r>
      <w:r w:rsidR="00E15BFF" w:rsidRPr="000A5065">
        <w:rPr>
          <w:highlight w:val="yellow"/>
          <w:u w:val="single"/>
        </w:rPr>
        <w:t>—</w:t>
      </w:r>
      <w:r w:rsidR="008D63AF" w:rsidRPr="000A5065">
        <w:rPr>
          <w:highlight w:val="yellow"/>
          <w:u w:val="single"/>
        </w:rPr>
        <w:t>M</w:t>
      </w:r>
      <w:r w:rsidR="00916EF1" w:rsidRPr="000A5065">
        <w:rPr>
          <w:highlight w:val="yellow"/>
          <w:u w:val="single"/>
        </w:rPr>
        <w:t>easur</w:t>
      </w:r>
      <w:r w:rsidR="00B65386" w:rsidRPr="000A5065">
        <w:rPr>
          <w:highlight w:val="yellow"/>
          <w:u w:val="single"/>
        </w:rPr>
        <w:t>ing</w:t>
      </w:r>
      <w:r w:rsidR="00E15BFF" w:rsidRPr="000A5065">
        <w:rPr>
          <w:highlight w:val="yellow"/>
          <w:u w:val="single"/>
        </w:rPr>
        <w:t xml:space="preserve"> methane-producing capacity</w:t>
      </w:r>
      <w:bookmarkEnd w:id="61"/>
      <w:bookmarkEnd w:id="62"/>
      <w:bookmarkEnd w:id="63"/>
      <w:bookmarkEnd w:id="64"/>
      <w:bookmarkEnd w:id="65"/>
    </w:p>
    <w:p w14:paraId="400F7DFF" w14:textId="7310EBB6" w:rsidR="003D4C45" w:rsidRPr="00564B75" w:rsidRDefault="003D4C45" w:rsidP="00B77CE9">
      <w:pPr>
        <w:pStyle w:val="ntoHeading"/>
      </w:pPr>
      <w:r w:rsidRPr="00564B75">
        <w:t>Note:</w:t>
      </w:r>
      <w:r w:rsidRPr="00564B75">
        <w:tab/>
      </w:r>
      <w:r w:rsidR="00781A3D" w:rsidRPr="00564B75">
        <w:t xml:space="preserve">This </w:t>
      </w:r>
      <w:r w:rsidR="00212840" w:rsidRPr="000A5065">
        <w:rPr>
          <w:highlight w:val="yellow"/>
        </w:rPr>
        <w:t>clause</w:t>
      </w:r>
      <w:r w:rsidR="00781A3D" w:rsidRPr="00122E37">
        <w:t xml:space="preserve"> refers to the measurement of the methane-producing capacity. </w:t>
      </w:r>
      <w:r w:rsidRPr="00122E37">
        <w:t xml:space="preserve">For the default methane-producing capacity of a material </w:t>
      </w:r>
      <w:r w:rsidRPr="00564B75">
        <w:rPr>
          <w:i/>
        </w:rPr>
        <w:t>w</w:t>
      </w:r>
      <w:r w:rsidR="00A00753" w:rsidRPr="00564B75">
        <w:rPr>
          <w:i/>
        </w:rPr>
        <w:t xml:space="preserve"> </w:t>
      </w:r>
      <w:r w:rsidR="00A00753" w:rsidRPr="00564B75">
        <w:t xml:space="preserve">for section </w:t>
      </w:r>
      <w:r w:rsidR="002A7439" w:rsidRPr="00564B75">
        <w:t>2</w:t>
      </w:r>
      <w:r w:rsidR="00B87953" w:rsidRPr="00564B75">
        <w:t>7</w:t>
      </w:r>
      <w:r w:rsidR="00A00753" w:rsidRPr="00564B75">
        <w:t xml:space="preserve"> of the Determination</w:t>
      </w:r>
      <w:r w:rsidRPr="00564B75">
        <w:t xml:space="preserve">, see </w:t>
      </w:r>
      <w:r w:rsidR="00212840" w:rsidRPr="000A5065">
        <w:rPr>
          <w:highlight w:val="yellow"/>
        </w:rPr>
        <w:t>clause</w:t>
      </w:r>
      <w:r w:rsidRPr="0048069E">
        <w:t xml:space="preserve"> </w:t>
      </w:r>
      <w:r w:rsidR="002A7439" w:rsidRPr="0048069E">
        <w:t>4</w:t>
      </w:r>
      <w:r w:rsidRPr="00122E37">
        <w:t xml:space="preserve"> and </w:t>
      </w:r>
      <w:r w:rsidR="002A7439" w:rsidRPr="00122E37">
        <w:t>Schedule 1</w:t>
      </w:r>
      <w:r w:rsidRPr="00564B75">
        <w:t>.</w:t>
      </w:r>
      <w:r w:rsidR="00781A3D" w:rsidRPr="00564B75">
        <w:t xml:space="preserve"> </w:t>
      </w:r>
    </w:p>
    <w:p w14:paraId="400F7E00" w14:textId="77777777" w:rsidR="00A00753" w:rsidRPr="00564B75" w:rsidRDefault="00A00753" w:rsidP="00B77CE9">
      <w:pPr>
        <w:pStyle w:val="tMain"/>
      </w:pPr>
      <w:r w:rsidRPr="00564B75">
        <w:tab/>
      </w:r>
      <w:r w:rsidR="00E741AF" w:rsidRPr="00564B75">
        <w:t>(1)</w:t>
      </w:r>
      <w:r w:rsidRPr="00564B75">
        <w:tab/>
      </w:r>
      <w:r w:rsidR="00E15BFF" w:rsidRPr="00564B75">
        <w:t xml:space="preserve">For sections </w:t>
      </w:r>
      <w:r w:rsidR="002A7439" w:rsidRPr="00564B75">
        <w:t>1</w:t>
      </w:r>
      <w:r w:rsidR="006A0D27" w:rsidRPr="00564B75">
        <w:t>6</w:t>
      </w:r>
      <w:r w:rsidRPr="00564B75">
        <w:t xml:space="preserve"> and </w:t>
      </w:r>
      <w:r w:rsidR="002A7439" w:rsidRPr="00564B75">
        <w:t>2</w:t>
      </w:r>
      <w:r w:rsidR="00B87953" w:rsidRPr="00564B75">
        <w:t>7</w:t>
      </w:r>
      <w:r w:rsidRPr="00564B75">
        <w:t xml:space="preserve"> </w:t>
      </w:r>
      <w:r w:rsidR="00E15BFF" w:rsidRPr="00564B75">
        <w:t>of</w:t>
      </w:r>
      <w:r w:rsidR="00916EF1" w:rsidRPr="00564B75">
        <w:t xml:space="preserve"> the Determination, the methane-</w:t>
      </w:r>
      <w:r w:rsidR="00E15BFF" w:rsidRPr="00564B75">
        <w:t xml:space="preserve">producing capacity of material </w:t>
      </w:r>
      <w:r w:rsidRPr="00564B75">
        <w:t xml:space="preserve">of type </w:t>
      </w:r>
      <w:r w:rsidR="00B86D6A" w:rsidRPr="00564B75">
        <w:rPr>
          <w:i/>
        </w:rPr>
        <w:t>w</w:t>
      </w:r>
      <w:r w:rsidR="00E15BFF" w:rsidRPr="00564B75">
        <w:rPr>
          <w:i/>
        </w:rPr>
        <w:t xml:space="preserve"> </w:t>
      </w:r>
      <w:r w:rsidRPr="00564B75">
        <w:t>must be assessed before treatment of the material has commenced.</w:t>
      </w:r>
    </w:p>
    <w:p w14:paraId="400F7E01" w14:textId="77777777" w:rsidR="00EA4492" w:rsidRPr="00564B75" w:rsidRDefault="00A00753" w:rsidP="00B77CE9">
      <w:pPr>
        <w:pStyle w:val="tMain"/>
      </w:pPr>
      <w:r w:rsidRPr="00564B75">
        <w:tab/>
      </w:r>
      <w:r w:rsidR="00E741AF" w:rsidRPr="00564B75">
        <w:t>(2)</w:t>
      </w:r>
      <w:r w:rsidRPr="00564B75">
        <w:tab/>
        <w:t xml:space="preserve">For section </w:t>
      </w:r>
      <w:r w:rsidR="002A7439" w:rsidRPr="00564B75">
        <w:t>2</w:t>
      </w:r>
      <w:r w:rsidR="00B87953" w:rsidRPr="00564B75">
        <w:t>5</w:t>
      </w:r>
      <w:r w:rsidRPr="00564B75">
        <w:t xml:space="preserve"> of the Determination, the methane-producing capacity of material of type </w:t>
      </w:r>
      <w:r w:rsidRPr="00564B75">
        <w:rPr>
          <w:i/>
        </w:rPr>
        <w:t xml:space="preserve">w </w:t>
      </w:r>
      <w:r w:rsidRPr="00564B75">
        <w:t xml:space="preserve">must be </w:t>
      </w:r>
      <w:r w:rsidR="00B17887" w:rsidRPr="00564B75">
        <w:t xml:space="preserve">measured </w:t>
      </w:r>
      <w:r w:rsidR="00DD5950" w:rsidRPr="00564B75">
        <w:t>immediately</w:t>
      </w:r>
      <w:r w:rsidR="00B17887" w:rsidRPr="00564B75">
        <w:t xml:space="preserve"> </w:t>
      </w:r>
      <w:r w:rsidR="00431D08" w:rsidRPr="00564B75">
        <w:t>after the material has been diverted.</w:t>
      </w:r>
    </w:p>
    <w:p w14:paraId="400F7E02" w14:textId="6B2FA086" w:rsidR="003D4C45" w:rsidRPr="00564B75" w:rsidRDefault="00431D08" w:rsidP="00B77CE9">
      <w:pPr>
        <w:pStyle w:val="tMain"/>
      </w:pPr>
      <w:r w:rsidRPr="00564B75">
        <w:tab/>
      </w:r>
      <w:r w:rsidR="00E741AF" w:rsidRPr="00564B75">
        <w:t>(3)</w:t>
      </w:r>
      <w:r w:rsidRPr="00564B75">
        <w:tab/>
      </w:r>
      <w:r w:rsidR="00951261" w:rsidRPr="00564B75">
        <w:t xml:space="preserve">Subject to </w:t>
      </w:r>
      <w:r w:rsidR="00951261" w:rsidRPr="000A5065">
        <w:rPr>
          <w:highlight w:val="yellow"/>
        </w:rPr>
        <w:t>sub</w:t>
      </w:r>
      <w:r w:rsidR="00212840" w:rsidRPr="000A5065">
        <w:rPr>
          <w:highlight w:val="yellow"/>
        </w:rPr>
        <w:t>clause</w:t>
      </w:r>
      <w:r w:rsidR="00951261" w:rsidRPr="0048069E">
        <w:t xml:space="preserve"> (</w:t>
      </w:r>
      <w:r w:rsidR="00472FC0" w:rsidRPr="0048069E">
        <w:t>5)</w:t>
      </w:r>
      <w:r w:rsidR="00472FC0" w:rsidRPr="00122E37">
        <w:t>, all me</w:t>
      </w:r>
      <w:r w:rsidR="00C93EA1" w:rsidRPr="00122E37">
        <w:t>a</w:t>
      </w:r>
      <w:r w:rsidR="00472FC0" w:rsidRPr="00564B75">
        <w:t>surements of the</w:t>
      </w:r>
      <w:r w:rsidRPr="00564B75">
        <w:t xml:space="preserve"> methane-producing capacity of the material </w:t>
      </w:r>
      <w:r w:rsidR="003D4C45" w:rsidRPr="00564B75">
        <w:t>must be determined</w:t>
      </w:r>
      <w:r w:rsidR="00A00753" w:rsidRPr="00564B75">
        <w:t xml:space="preserve"> </w:t>
      </w:r>
      <w:r w:rsidR="003D4C45" w:rsidRPr="00564B75">
        <w:t>at least annually by:</w:t>
      </w:r>
    </w:p>
    <w:p w14:paraId="400F7E03" w14:textId="1D2E14D1" w:rsidR="00E15BFF" w:rsidRPr="00564B75" w:rsidRDefault="00E15BFF" w:rsidP="00E15BFF">
      <w:pPr>
        <w:pStyle w:val="tPara"/>
      </w:pPr>
      <w:r w:rsidRPr="00564B75">
        <w:tab/>
      </w:r>
      <w:r w:rsidR="00E741AF" w:rsidRPr="00564B75">
        <w:t>(a)</w:t>
      </w:r>
      <w:r w:rsidRPr="00564B75">
        <w:tab/>
        <w:t>collecting</w:t>
      </w:r>
      <w:r w:rsidR="00F918E0" w:rsidRPr="00564B75">
        <w:t xml:space="preserve">, </w:t>
      </w:r>
      <w:proofErr w:type="gramStart"/>
      <w:r w:rsidR="00F918E0" w:rsidRPr="00564B75">
        <w:t>transporting</w:t>
      </w:r>
      <w:proofErr w:type="gramEnd"/>
      <w:r w:rsidR="00F918E0" w:rsidRPr="00564B75">
        <w:t xml:space="preserve"> and analysing</w:t>
      </w:r>
      <w:r w:rsidRPr="00564B75">
        <w:t xml:space="preserve"> samples of the waste type on at least </w:t>
      </w:r>
      <w:r w:rsidR="00651276" w:rsidRPr="000A5065">
        <w:rPr>
          <w:highlight w:val="yellow"/>
        </w:rPr>
        <w:t>3</w:t>
      </w:r>
      <w:r w:rsidRPr="00564B75">
        <w:t xml:space="preserve"> separate </w:t>
      </w:r>
      <w:r w:rsidR="00506962" w:rsidRPr="00564B75">
        <w:t>occasions in accordance with</w:t>
      </w:r>
      <w:r w:rsidRPr="00564B75">
        <w:t>:</w:t>
      </w:r>
      <w:r w:rsidR="007720B1" w:rsidRPr="000A5065">
        <w:rPr>
          <w:highlight w:val="yellow"/>
        </w:rPr>
        <w:t xml:space="preserve"> </w:t>
      </w:r>
    </w:p>
    <w:p w14:paraId="400F7E04" w14:textId="77777777" w:rsidR="00E15BFF" w:rsidRPr="00564B75" w:rsidRDefault="00E15BFF" w:rsidP="00E15BFF">
      <w:pPr>
        <w:pStyle w:val="tSubpara"/>
      </w:pPr>
      <w:r w:rsidRPr="00564B75">
        <w:tab/>
      </w:r>
      <w:r w:rsidR="00E741AF" w:rsidRPr="00564B75">
        <w:t>(</w:t>
      </w:r>
      <w:proofErr w:type="spellStart"/>
      <w:r w:rsidR="00E741AF" w:rsidRPr="00564B75">
        <w:t>i</w:t>
      </w:r>
      <w:proofErr w:type="spellEnd"/>
      <w:r w:rsidR="00E741AF" w:rsidRPr="00564B75">
        <w:t>)</w:t>
      </w:r>
      <w:r w:rsidRPr="00564B75">
        <w:tab/>
      </w:r>
      <w:r w:rsidR="00506962" w:rsidRPr="00564B75">
        <w:t xml:space="preserve">the approach outlined by Christof </w:t>
      </w:r>
      <w:proofErr w:type="spellStart"/>
      <w:r w:rsidR="00506962" w:rsidRPr="00564B75">
        <w:t>Holliger</w:t>
      </w:r>
      <w:proofErr w:type="spellEnd"/>
      <w:r w:rsidR="00506962" w:rsidRPr="00564B75">
        <w:t xml:space="preserve"> and others in “Towards a standardization of biomethane potential tests” in </w:t>
      </w:r>
      <w:r w:rsidR="00506962" w:rsidRPr="00564B75">
        <w:rPr>
          <w:i/>
        </w:rPr>
        <w:t xml:space="preserve">Water Science and Technology </w:t>
      </w:r>
      <w:r w:rsidR="00506962" w:rsidRPr="00564B75">
        <w:t>(2016)</w:t>
      </w:r>
      <w:r w:rsidRPr="00564B75">
        <w:t>; or</w:t>
      </w:r>
    </w:p>
    <w:p w14:paraId="400F7E05" w14:textId="0BE14B34" w:rsidR="00506962" w:rsidRPr="00122E37" w:rsidRDefault="00506962" w:rsidP="00506962">
      <w:pPr>
        <w:pStyle w:val="nMain"/>
      </w:pPr>
      <w:r w:rsidRPr="00564B75">
        <w:tab/>
        <w:t xml:space="preserve">Note: In </w:t>
      </w:r>
      <w:r w:rsidR="00C432D3" w:rsidRPr="000A5065">
        <w:rPr>
          <w:highlight w:val="yellow"/>
        </w:rPr>
        <w:t>2021</w:t>
      </w:r>
      <w:r w:rsidRPr="00564B75">
        <w:t xml:space="preserve">, this could be accessed at: </w:t>
      </w:r>
      <w:hyperlink r:id="rId14" w:history="1">
        <w:r w:rsidRPr="00122E37">
          <w:t>https://repositorium.sdum.uminho.pt/bitstream/1822/43883/1/document_44173_1.pdf</w:t>
        </w:r>
      </w:hyperlink>
      <w:r w:rsidRPr="00122E37">
        <w:t xml:space="preserve"> </w:t>
      </w:r>
    </w:p>
    <w:p w14:paraId="400F7E06" w14:textId="77777777" w:rsidR="00E15BFF" w:rsidRPr="00564B75" w:rsidRDefault="00E15BFF" w:rsidP="00E15BFF">
      <w:pPr>
        <w:pStyle w:val="tSubpara"/>
      </w:pPr>
      <w:r w:rsidRPr="00564B75">
        <w:tab/>
      </w:r>
      <w:r w:rsidR="00E741AF" w:rsidRPr="00564B75">
        <w:t>(ii)</w:t>
      </w:r>
      <w:r w:rsidRPr="00564B75">
        <w:tab/>
        <w:t>an equivalent Australian or international standard; and</w:t>
      </w:r>
    </w:p>
    <w:p w14:paraId="400F7E07" w14:textId="77777777" w:rsidR="00E15BFF" w:rsidRPr="00564B75" w:rsidRDefault="00E15BFF" w:rsidP="00E15BFF">
      <w:pPr>
        <w:pStyle w:val="tPara"/>
      </w:pPr>
      <w:r w:rsidRPr="00564B75">
        <w:tab/>
      </w:r>
      <w:r w:rsidR="00E741AF" w:rsidRPr="00564B75">
        <w:t>(b)</w:t>
      </w:r>
      <w:r w:rsidRPr="00564B75">
        <w:tab/>
        <w:t>causing</w:t>
      </w:r>
      <w:r w:rsidR="005E09EE" w:rsidRPr="00564B75">
        <w:t xml:space="preserve"> each of</w:t>
      </w:r>
      <w:r w:rsidRPr="00564B75">
        <w:t xml:space="preserve"> those samples to be:</w:t>
      </w:r>
    </w:p>
    <w:p w14:paraId="400F7E08" w14:textId="77777777" w:rsidR="00E15BFF" w:rsidRPr="00564B75" w:rsidRDefault="00E15BFF" w:rsidP="00E15BFF">
      <w:pPr>
        <w:pStyle w:val="tSubpara"/>
      </w:pPr>
      <w:r w:rsidRPr="00564B75">
        <w:tab/>
      </w:r>
      <w:r w:rsidR="00E741AF" w:rsidRPr="00564B75">
        <w:t>(</w:t>
      </w:r>
      <w:proofErr w:type="spellStart"/>
      <w:r w:rsidR="00E741AF" w:rsidRPr="00564B75">
        <w:t>i</w:t>
      </w:r>
      <w:proofErr w:type="spellEnd"/>
      <w:r w:rsidR="00E741AF" w:rsidRPr="00564B75">
        <w:t>)</w:t>
      </w:r>
      <w:r w:rsidRPr="00564B75">
        <w:tab/>
        <w:t>kept cold in a sealed container by storing and shipping on ice (but not frozen) or in a refrigerator until analysed; and</w:t>
      </w:r>
    </w:p>
    <w:p w14:paraId="400F7E09" w14:textId="34BCEA0E" w:rsidR="00E15BFF" w:rsidRPr="00564B75" w:rsidRDefault="00E15BFF" w:rsidP="00E15BFF">
      <w:pPr>
        <w:pStyle w:val="tSubpara"/>
      </w:pPr>
      <w:r w:rsidRPr="00564B75">
        <w:tab/>
      </w:r>
      <w:r w:rsidR="00E741AF" w:rsidRPr="00564B75">
        <w:t>(ii)</w:t>
      </w:r>
      <w:r w:rsidRPr="00564B75">
        <w:tab/>
        <w:t>analysed in a laboratory in triplicate; and</w:t>
      </w:r>
    </w:p>
    <w:p w14:paraId="400F7E0A" w14:textId="5D0EC2FC" w:rsidR="00E15BFF" w:rsidRPr="000A5065" w:rsidRDefault="00651276" w:rsidP="000A5065">
      <w:pPr>
        <w:pStyle w:val="tPara"/>
        <w:rPr>
          <w:highlight w:val="yellow"/>
        </w:rPr>
      </w:pPr>
      <w:r w:rsidRPr="00111062">
        <w:tab/>
      </w:r>
      <w:r w:rsidRPr="000A5065">
        <w:rPr>
          <w:highlight w:val="yellow"/>
        </w:rPr>
        <w:t>(c)</w:t>
      </w:r>
      <w:r w:rsidRPr="000A5065">
        <w:rPr>
          <w:highlight w:val="yellow"/>
        </w:rPr>
        <w:tab/>
        <w:t>subtracting the background methane production of any inoculum that was used in the test.</w:t>
      </w:r>
    </w:p>
    <w:p w14:paraId="400F7E0B" w14:textId="77777777" w:rsidR="00E15BFF" w:rsidRPr="00564B75" w:rsidRDefault="00E15BFF" w:rsidP="00E15BFF">
      <w:pPr>
        <w:pStyle w:val="tMain"/>
      </w:pPr>
      <w:r w:rsidRPr="00564B75">
        <w:tab/>
      </w:r>
      <w:r w:rsidR="00E741AF" w:rsidRPr="00564B75">
        <w:t>(4)</w:t>
      </w:r>
      <w:r w:rsidR="007068D8" w:rsidRPr="00564B75">
        <w:tab/>
        <w:t xml:space="preserve">Methane-producing capacity </w:t>
      </w:r>
      <w:r w:rsidRPr="00564B75">
        <w:t>must be measured in a laboratory throughout the test, and the measurement data is to be fitted with a suitable and statistically significant kinetic model</w:t>
      </w:r>
      <w:r w:rsidRPr="00122E37">
        <w:t xml:space="preserve"> to estimate the maximum achievable </w:t>
      </w:r>
      <w:r w:rsidR="008F39D2" w:rsidRPr="00122E37">
        <w:t>methane-producing capac</w:t>
      </w:r>
      <w:r w:rsidR="005D246F" w:rsidRPr="00564B75">
        <w:t>ity</w:t>
      </w:r>
      <w:r w:rsidRPr="00564B75">
        <w:t xml:space="preserve"> to be reported in units of cubic </w:t>
      </w:r>
      <w:r w:rsidR="000A1B5D" w:rsidRPr="00564B75">
        <w:t>metre</w:t>
      </w:r>
      <w:r w:rsidRPr="00564B75">
        <w:t>s per tonne of volatile solids</w:t>
      </w:r>
      <w:r w:rsidR="007068D8" w:rsidRPr="00564B75">
        <w:t xml:space="preserve"> added</w:t>
      </w:r>
      <w:r w:rsidRPr="00564B75">
        <w:t>.</w:t>
      </w:r>
    </w:p>
    <w:p w14:paraId="400F7E0C" w14:textId="11308D3C" w:rsidR="00E35582" w:rsidRDefault="00D40523" w:rsidP="008B4B68">
      <w:pPr>
        <w:pStyle w:val="tMain"/>
      </w:pPr>
      <w:r w:rsidRPr="00564B75">
        <w:tab/>
        <w:t>(5)</w:t>
      </w:r>
      <w:r w:rsidRPr="00564B75">
        <w:tab/>
        <w:t>If the material of</w:t>
      </w:r>
      <w:r w:rsidR="00951261" w:rsidRPr="00564B75">
        <w:t xml:space="preserve"> a listed type is diverted by an emissions avoidance treatment method immediately after entering the facility, the project proponent m</w:t>
      </w:r>
      <w:r w:rsidR="0089471E" w:rsidRPr="00564B75">
        <w:t>ay</w:t>
      </w:r>
      <w:r w:rsidR="00951261" w:rsidRPr="00564B75">
        <w:t xml:space="preserve"> choose to use the default methane-producing capacity for that type specified in Schedule 1</w:t>
      </w:r>
      <w:r w:rsidR="00472FC0" w:rsidRPr="00564B75">
        <w:t xml:space="preserve"> for the relevant equation</w:t>
      </w:r>
      <w:r w:rsidR="00951261" w:rsidRPr="00564B75">
        <w:t>.</w:t>
      </w:r>
    </w:p>
    <w:p w14:paraId="0EA6E2B5" w14:textId="1A5B2720" w:rsidR="00E35582" w:rsidRPr="000A5065" w:rsidRDefault="00E35582">
      <w:pPr>
        <w:spacing w:line="240" w:lineRule="auto"/>
        <w:rPr>
          <w:rFonts w:eastAsia="Times New Roman"/>
          <w:highlight w:val="yellow"/>
          <w:lang w:eastAsia="en-AU"/>
        </w:rPr>
      </w:pPr>
      <w:r w:rsidRPr="000A5065">
        <w:rPr>
          <w:highlight w:val="yellow"/>
        </w:rPr>
        <w:br w:type="page"/>
      </w:r>
    </w:p>
    <w:p w14:paraId="0FCCAA0E" w14:textId="29702108" w:rsidR="000041BD" w:rsidRPr="000A5065" w:rsidRDefault="000041BD" w:rsidP="005445F8">
      <w:pPr>
        <w:pStyle w:val="h3Div"/>
        <w:rPr>
          <w:highlight w:val="yellow"/>
        </w:rPr>
      </w:pPr>
      <w:bookmarkStart w:id="66" w:name="_Toc82779126"/>
      <w:bookmarkStart w:id="67" w:name="_Toc82779434"/>
      <w:bookmarkStart w:id="68" w:name="_Toc86674773"/>
      <w:r w:rsidRPr="000A5065">
        <w:rPr>
          <w:rStyle w:val="CharDivNo"/>
          <w:bCs/>
          <w:szCs w:val="28"/>
          <w:highlight w:val="yellow"/>
        </w:rPr>
        <w:lastRenderedPageBreak/>
        <w:t>Division 2—</w:t>
      </w:r>
      <w:r w:rsidR="00653954" w:rsidRPr="000A5065">
        <w:rPr>
          <w:rStyle w:val="CharDivText"/>
          <w:bCs/>
          <w:szCs w:val="28"/>
          <w:highlight w:val="yellow"/>
        </w:rPr>
        <w:t>Working out g</w:t>
      </w:r>
      <w:r w:rsidRPr="000A5065">
        <w:rPr>
          <w:rStyle w:val="CharDivText"/>
          <w:bCs/>
          <w:szCs w:val="28"/>
          <w:highlight w:val="yellow"/>
        </w:rPr>
        <w:t>ross abatement amount</w:t>
      </w:r>
      <w:bookmarkEnd w:id="66"/>
      <w:bookmarkEnd w:id="67"/>
      <w:bookmarkEnd w:id="68"/>
    </w:p>
    <w:p w14:paraId="400F7E0D" w14:textId="4FCC3727" w:rsidR="00757902" w:rsidRPr="00564B75" w:rsidRDefault="009832C5" w:rsidP="00757902">
      <w:pPr>
        <w:pStyle w:val="h5Section"/>
        <w:rPr>
          <w:u w:val="single"/>
        </w:rPr>
      </w:pPr>
      <w:bookmarkStart w:id="69" w:name="_Toc17792704"/>
      <w:bookmarkStart w:id="70" w:name="_Toc82779127"/>
      <w:bookmarkStart w:id="71" w:name="_Toc82779435"/>
      <w:bookmarkStart w:id="72" w:name="_Toc86674774"/>
      <w:r w:rsidRPr="000A5065">
        <w:rPr>
          <w:highlight w:val="yellow"/>
          <w:u w:val="single"/>
        </w:rPr>
        <w:t>1</w:t>
      </w:r>
      <w:r w:rsidR="0042623F" w:rsidRPr="000A5065">
        <w:rPr>
          <w:highlight w:val="yellow"/>
          <w:u w:val="single"/>
        </w:rPr>
        <w:t>1</w:t>
      </w:r>
      <w:r w:rsidRPr="00564B75">
        <w:rPr>
          <w:u w:val="single"/>
        </w:rPr>
        <w:tab/>
      </w:r>
      <w:r w:rsidR="00757902" w:rsidRPr="00564B75">
        <w:rPr>
          <w:u w:val="single"/>
        </w:rPr>
        <w:t>Section 2</w:t>
      </w:r>
      <w:r w:rsidR="008E71C2" w:rsidRPr="00564B75">
        <w:rPr>
          <w:u w:val="single"/>
        </w:rPr>
        <w:t>4</w:t>
      </w:r>
      <w:r w:rsidR="00607641" w:rsidRPr="00564B75">
        <w:rPr>
          <w:u w:val="single"/>
        </w:rPr>
        <w:t>—</w:t>
      </w:r>
      <w:r w:rsidR="00757902" w:rsidRPr="00564B75">
        <w:rPr>
          <w:u w:val="single"/>
        </w:rPr>
        <w:t>Measuring the quantity of biog</w:t>
      </w:r>
      <w:r w:rsidR="002D2D18" w:rsidRPr="00564B75">
        <w:rPr>
          <w:u w:val="single"/>
        </w:rPr>
        <w:t>as sent to a combustion device</w:t>
      </w:r>
      <w:r w:rsidR="00A74E6B" w:rsidRPr="000A5065">
        <w:rPr>
          <w:highlight w:val="yellow"/>
          <w:u w:val="single"/>
        </w:rPr>
        <w:t xml:space="preserve"> or </w:t>
      </w:r>
      <w:r w:rsidR="00AF2C5A" w:rsidRPr="000A5065">
        <w:rPr>
          <w:highlight w:val="yellow"/>
          <w:u w:val="single"/>
        </w:rPr>
        <w:t>biomethane</w:t>
      </w:r>
      <w:r w:rsidR="00A74E6B" w:rsidRPr="000A5065">
        <w:rPr>
          <w:highlight w:val="yellow"/>
          <w:u w:val="single"/>
        </w:rPr>
        <w:t xml:space="preserve"> production dispatch system</w:t>
      </w:r>
      <w:r w:rsidR="002D2D18" w:rsidRPr="00564B75">
        <w:rPr>
          <w:u w:val="single"/>
        </w:rPr>
        <w:t xml:space="preserve">, </w:t>
      </w:r>
      <w:proofErr w:type="spellStart"/>
      <w:r w:rsidR="00757902" w:rsidRPr="00564B75">
        <w:rPr>
          <w:i/>
          <w:u w:val="single"/>
        </w:rPr>
        <w:t>Q</w:t>
      </w:r>
      <w:r w:rsidR="00757902" w:rsidRPr="00564B75">
        <w:rPr>
          <w:i/>
          <w:u w:val="single"/>
          <w:vertAlign w:val="subscript"/>
        </w:rPr>
        <w:t>biogas</w:t>
      </w:r>
      <w:proofErr w:type="spellEnd"/>
      <w:r w:rsidR="00757902" w:rsidRPr="00564B75">
        <w:rPr>
          <w:i/>
          <w:u w:val="single"/>
          <w:vertAlign w:val="subscript"/>
        </w:rPr>
        <w:t>, </w:t>
      </w:r>
      <w:proofErr w:type="spellStart"/>
      <w:r w:rsidR="00757902" w:rsidRPr="00564B75">
        <w:rPr>
          <w:i/>
          <w:u w:val="single"/>
          <w:vertAlign w:val="subscript"/>
        </w:rPr>
        <w:t>i</w:t>
      </w:r>
      <w:bookmarkEnd w:id="69"/>
      <w:bookmarkEnd w:id="70"/>
      <w:bookmarkEnd w:id="71"/>
      <w:bookmarkEnd w:id="72"/>
      <w:proofErr w:type="spellEnd"/>
    </w:p>
    <w:p w14:paraId="400F7E0E" w14:textId="20EBE703" w:rsidR="00757902" w:rsidRPr="00564B75" w:rsidRDefault="00757902" w:rsidP="00757902">
      <w:pPr>
        <w:pStyle w:val="tMain"/>
      </w:pPr>
      <w:r w:rsidRPr="00564B75">
        <w:tab/>
        <w:t>(1)</w:t>
      </w:r>
      <w:r w:rsidRPr="00564B75">
        <w:tab/>
      </w:r>
      <w:r w:rsidR="000455E5" w:rsidRPr="000A5065">
        <w:rPr>
          <w:highlight w:val="yellow"/>
        </w:rPr>
        <w:t>For subsection 24(2)</w:t>
      </w:r>
      <w:r w:rsidR="0042623F" w:rsidRPr="000A5065">
        <w:rPr>
          <w:highlight w:val="yellow"/>
        </w:rPr>
        <w:t xml:space="preserve"> of the Determination</w:t>
      </w:r>
      <w:r w:rsidR="000455E5" w:rsidRPr="000A5065">
        <w:rPr>
          <w:highlight w:val="yellow"/>
        </w:rPr>
        <w:t>, the</w:t>
      </w:r>
      <w:r w:rsidR="002C062E" w:rsidRPr="00564B75">
        <w:t xml:space="preserve"> total volume of biogas sent to combustion device</w:t>
      </w:r>
      <w:r w:rsidR="002C062E" w:rsidRPr="00564B75">
        <w:rPr>
          <w:i/>
        </w:rPr>
        <w:t xml:space="preserve"> </w:t>
      </w:r>
      <w:proofErr w:type="spellStart"/>
      <w:r w:rsidR="002C062E" w:rsidRPr="00564B75">
        <w:rPr>
          <w:i/>
        </w:rPr>
        <w:t>i</w:t>
      </w:r>
      <w:proofErr w:type="spellEnd"/>
      <w:r w:rsidR="002C062E" w:rsidRPr="00564B75">
        <w:t xml:space="preserve"> </w:t>
      </w:r>
      <w:r w:rsidR="00A74E6B" w:rsidRPr="000A5065">
        <w:rPr>
          <w:highlight w:val="yellow"/>
        </w:rPr>
        <w:t>or biomethane production dispatch system</w:t>
      </w:r>
      <w:r w:rsidR="00B810E1" w:rsidRPr="000A5065">
        <w:rPr>
          <w:highlight w:val="yellow"/>
        </w:rPr>
        <w:t xml:space="preserve"> </w:t>
      </w:r>
      <w:proofErr w:type="spellStart"/>
      <w:r w:rsidR="00B810E1" w:rsidRPr="000A5065">
        <w:rPr>
          <w:i/>
          <w:iCs/>
          <w:highlight w:val="yellow"/>
        </w:rPr>
        <w:t>i</w:t>
      </w:r>
      <w:proofErr w:type="spellEnd"/>
      <w:r w:rsidR="00A74E6B" w:rsidRPr="000A5065">
        <w:rPr>
          <w:highlight w:val="yellow"/>
        </w:rPr>
        <w:t xml:space="preserve"> </w:t>
      </w:r>
      <w:r w:rsidR="002C062E" w:rsidRPr="00564B75">
        <w:t>during a reporting period</w:t>
      </w:r>
      <w:r w:rsidR="0010104F" w:rsidRPr="00564B75">
        <w:t xml:space="preserve"> (</w:t>
      </w:r>
      <w:proofErr w:type="spellStart"/>
      <w:r w:rsidR="0010104F" w:rsidRPr="00E64645">
        <w:t>Q</w:t>
      </w:r>
      <w:r w:rsidR="0010104F" w:rsidRPr="00E64645">
        <w:rPr>
          <w:vertAlign w:val="subscript"/>
        </w:rPr>
        <w:t>biogas</w:t>
      </w:r>
      <w:proofErr w:type="spellEnd"/>
      <w:r w:rsidR="0010104F" w:rsidRPr="00E64645">
        <w:rPr>
          <w:vertAlign w:val="subscript"/>
        </w:rPr>
        <w:t>, </w:t>
      </w:r>
      <w:proofErr w:type="spellStart"/>
      <w:r w:rsidR="00590522" w:rsidRPr="00E64645">
        <w:rPr>
          <w:vertAlign w:val="subscript"/>
        </w:rPr>
        <w:t>i</w:t>
      </w:r>
      <w:proofErr w:type="spellEnd"/>
      <w:r w:rsidR="00590522" w:rsidRPr="00E64645">
        <w:rPr>
          <w:vertAlign w:val="subscript"/>
        </w:rPr>
        <w:t>)</w:t>
      </w:r>
      <w:r w:rsidR="002C062E" w:rsidRPr="00564B75">
        <w:t xml:space="preserve"> m</w:t>
      </w:r>
      <w:r w:rsidRPr="00564B75">
        <w:t>ust be measured</w:t>
      </w:r>
      <w:r w:rsidR="00AD00C5" w:rsidRPr="00564B75">
        <w:t xml:space="preserve"> </w:t>
      </w:r>
      <w:r w:rsidR="00AD00C5" w:rsidRPr="000A5065">
        <w:rPr>
          <w:highlight w:val="yellow"/>
        </w:rPr>
        <w:t>as follows</w:t>
      </w:r>
      <w:r w:rsidRPr="000A5065">
        <w:rPr>
          <w:highlight w:val="yellow"/>
        </w:rPr>
        <w:t>:</w:t>
      </w:r>
      <w:r w:rsidR="00326798" w:rsidRPr="000A5065">
        <w:rPr>
          <w:highlight w:val="yellow"/>
        </w:rPr>
        <w:t xml:space="preserve"> </w:t>
      </w:r>
    </w:p>
    <w:p w14:paraId="400F7E0F" w14:textId="77AF833A" w:rsidR="00757902" w:rsidRPr="00111062" w:rsidRDefault="002C062E" w:rsidP="00757902">
      <w:pPr>
        <w:pStyle w:val="tPara"/>
      </w:pPr>
      <w:r w:rsidRPr="00564B75">
        <w:tab/>
        <w:t>(a)</w:t>
      </w:r>
      <w:r w:rsidRPr="00564B75">
        <w:tab/>
        <w:t>the b</w:t>
      </w:r>
      <w:r w:rsidR="00757902" w:rsidRPr="00564B75">
        <w:t xml:space="preserve">iogas flow must </w:t>
      </w:r>
      <w:r w:rsidR="00757902" w:rsidRPr="00111062">
        <w:t>be</w:t>
      </w:r>
      <w:r w:rsidR="00AD00C5" w:rsidRPr="00111062">
        <w:t xml:space="preserve"> measured</w:t>
      </w:r>
      <w:r w:rsidR="008E4B15" w:rsidRPr="00111062">
        <w:t>:</w:t>
      </w:r>
    </w:p>
    <w:p w14:paraId="551ADE1D" w14:textId="6DE63B9C" w:rsidR="00A74E6B" w:rsidRPr="00564B75" w:rsidRDefault="00A74E6B" w:rsidP="00A74E6B">
      <w:pPr>
        <w:pStyle w:val="tSubpara"/>
      </w:pPr>
      <w:r w:rsidRPr="00111062">
        <w:tab/>
      </w:r>
      <w:r w:rsidRPr="000A5065">
        <w:rPr>
          <w:highlight w:val="yellow"/>
        </w:rPr>
        <w:t>(</w:t>
      </w:r>
      <w:proofErr w:type="spellStart"/>
      <w:r w:rsidRPr="000A5065">
        <w:rPr>
          <w:highlight w:val="yellow"/>
        </w:rPr>
        <w:t>i</w:t>
      </w:r>
      <w:proofErr w:type="spellEnd"/>
      <w:r w:rsidRPr="000A5065">
        <w:rPr>
          <w:highlight w:val="yellow"/>
        </w:rPr>
        <w:t>)</w:t>
      </w:r>
      <w:r w:rsidRPr="000A5065">
        <w:rPr>
          <w:highlight w:val="yellow"/>
        </w:rPr>
        <w:tab/>
      </w:r>
      <w:r w:rsidRPr="00564B75">
        <w:t>as close to the delivery location of the gaseous fuel to the</w:t>
      </w:r>
      <w:r w:rsidRPr="000A5065">
        <w:rPr>
          <w:highlight w:val="yellow"/>
        </w:rPr>
        <w:t> </w:t>
      </w:r>
      <w:r>
        <w:t xml:space="preserve">combustion device </w:t>
      </w:r>
      <w:r w:rsidRPr="000A5065">
        <w:rPr>
          <w:highlight w:val="yellow"/>
        </w:rPr>
        <w:t xml:space="preserve">or </w:t>
      </w:r>
      <w:r w:rsidR="00D762D8" w:rsidRPr="000A5065">
        <w:rPr>
          <w:highlight w:val="yellow"/>
        </w:rPr>
        <w:t xml:space="preserve">biomethane production dispatch system </w:t>
      </w:r>
      <w:r w:rsidRPr="00564B75">
        <w:t>as is safely</w:t>
      </w:r>
      <w:r w:rsidRPr="000A5065">
        <w:rPr>
          <w:highlight w:val="yellow"/>
        </w:rPr>
        <w:t> </w:t>
      </w:r>
      <w:r w:rsidRPr="00564B75">
        <w:t>possible;</w:t>
      </w:r>
      <w:r w:rsidRPr="000A5065">
        <w:rPr>
          <w:highlight w:val="yellow"/>
        </w:rPr>
        <w:t xml:space="preserve"> and</w:t>
      </w:r>
    </w:p>
    <w:p w14:paraId="045A6171" w14:textId="2CD7E0B6" w:rsidR="00A74E6B" w:rsidRPr="00122E37" w:rsidRDefault="00A74E6B" w:rsidP="008E4B15">
      <w:pPr>
        <w:pStyle w:val="tSubpara"/>
      </w:pPr>
      <w:r w:rsidRPr="00564B75">
        <w:tab/>
        <w:t>(</w:t>
      </w:r>
      <w:r w:rsidRPr="00E64645">
        <w:t>ii)</w:t>
      </w:r>
      <w:r w:rsidRPr="00E64645">
        <w:tab/>
        <w:t>using a continuous monitoring </w:t>
      </w:r>
      <w:proofErr w:type="gramStart"/>
      <w:r w:rsidRPr="00E64645">
        <w:t>system;</w:t>
      </w:r>
      <w:proofErr w:type="gramEnd"/>
      <w:r w:rsidRPr="00564B75">
        <w:t xml:space="preserve"> </w:t>
      </w:r>
    </w:p>
    <w:p w14:paraId="472301C7" w14:textId="28C3AE1D" w:rsidR="00AD00C5" w:rsidRDefault="00AD00C5" w:rsidP="000A5065">
      <w:pPr>
        <w:pStyle w:val="tPara"/>
      </w:pPr>
      <w:r w:rsidRPr="00111062">
        <w:tab/>
      </w:r>
      <w:r w:rsidRPr="000A5065">
        <w:rPr>
          <w:highlight w:val="yellow"/>
        </w:rPr>
        <w:t>(</w:t>
      </w:r>
      <w:r w:rsidR="008E4B15" w:rsidRPr="000A5065">
        <w:rPr>
          <w:highlight w:val="yellow"/>
        </w:rPr>
        <w:t>b</w:t>
      </w:r>
      <w:r w:rsidRPr="000A5065">
        <w:rPr>
          <w:highlight w:val="yellow"/>
        </w:rPr>
        <w:t>)</w:t>
      </w:r>
      <w:r w:rsidRPr="000A5065">
        <w:rPr>
          <w:highlight w:val="yellow"/>
        </w:rPr>
        <w:tab/>
        <w:t xml:space="preserve">the biogas flow must be </w:t>
      </w:r>
      <w:r w:rsidRPr="00564B75">
        <w:t>recorded in cubic metres (m</w:t>
      </w:r>
      <w:r w:rsidRPr="00564B75">
        <w:rPr>
          <w:vertAlign w:val="superscript"/>
        </w:rPr>
        <w:t>3</w:t>
      </w:r>
      <w:r w:rsidRPr="00564B75">
        <w:t>).</w:t>
      </w:r>
    </w:p>
    <w:p w14:paraId="400F7E13" w14:textId="77777777" w:rsidR="00757902" w:rsidRPr="00564B75" w:rsidRDefault="00757902" w:rsidP="00757902">
      <w:pPr>
        <w:pStyle w:val="tMain"/>
      </w:pPr>
      <w:r w:rsidRPr="00564B75">
        <w:tab/>
        <w:t>(2)</w:t>
      </w:r>
      <w:r w:rsidRPr="00564B75">
        <w:tab/>
        <w:t>Biogas flow must be measured using equipment that:</w:t>
      </w:r>
    </w:p>
    <w:p w14:paraId="400F7E14" w14:textId="75FB4E5F" w:rsidR="00757902" w:rsidRPr="00122E37" w:rsidRDefault="00757902" w:rsidP="00757902">
      <w:pPr>
        <w:pStyle w:val="tPara"/>
      </w:pPr>
      <w:r w:rsidRPr="00564B75">
        <w:tab/>
        <w:t>(a)</w:t>
      </w:r>
      <w:r w:rsidRPr="00564B75">
        <w:tab/>
        <w:t xml:space="preserve">is rated for use with raw biogas </w:t>
      </w:r>
      <w:r w:rsidR="00A45EA2" w:rsidRPr="000A5065">
        <w:rPr>
          <w:highlight w:val="yellow"/>
        </w:rPr>
        <w:t>that</w:t>
      </w:r>
      <w:r w:rsidRPr="00564B75">
        <w:t xml:space="preserve"> may contain corrosive ingredients such as hydrogen sulphide, entrained </w:t>
      </w:r>
      <w:proofErr w:type="gramStart"/>
      <w:r w:rsidRPr="00564B75">
        <w:t>aerosols</w:t>
      </w:r>
      <w:proofErr w:type="gramEnd"/>
      <w:r w:rsidRPr="00564B75">
        <w:t xml:space="preserve"> and fine particulate matter;</w:t>
      </w:r>
      <w:r w:rsidR="00246AE5" w:rsidRPr="000A5065">
        <w:rPr>
          <w:highlight w:val="yellow"/>
        </w:rPr>
        <w:t xml:space="preserve"> and</w:t>
      </w:r>
    </w:p>
    <w:p w14:paraId="400F7E15" w14:textId="19481803" w:rsidR="00757902" w:rsidRPr="00122E37" w:rsidRDefault="00757902" w:rsidP="00757902">
      <w:pPr>
        <w:pStyle w:val="tPara"/>
      </w:pPr>
      <w:r w:rsidRPr="00564B75">
        <w:tab/>
        <w:t>(b)</w:t>
      </w:r>
      <w:r w:rsidRPr="00564B75">
        <w:tab/>
        <w:t>is rated for use at the expected flow rates and pressures</w:t>
      </w:r>
      <w:r w:rsidR="002C062E" w:rsidRPr="00564B75">
        <w:t xml:space="preserve"> for the combustion devices </w:t>
      </w:r>
      <w:r w:rsidR="00D762D8" w:rsidRPr="000A5065">
        <w:rPr>
          <w:highlight w:val="yellow"/>
        </w:rPr>
        <w:t xml:space="preserve">or biomethane production dispatch system </w:t>
      </w:r>
      <w:r w:rsidR="002C062E" w:rsidRPr="00564B75">
        <w:t>being used</w:t>
      </w:r>
      <w:r w:rsidRPr="00564B75">
        <w:t>;</w:t>
      </w:r>
      <w:r w:rsidR="00246AE5" w:rsidRPr="000A5065">
        <w:rPr>
          <w:highlight w:val="yellow"/>
        </w:rPr>
        <w:t xml:space="preserve"> and</w:t>
      </w:r>
    </w:p>
    <w:p w14:paraId="400F7E16" w14:textId="77777777" w:rsidR="00757902" w:rsidRPr="00564B75" w:rsidRDefault="00757902" w:rsidP="00757902">
      <w:pPr>
        <w:pStyle w:val="tPara"/>
      </w:pPr>
      <w:r w:rsidRPr="00564B75">
        <w:tab/>
        <w:t>(c)</w:t>
      </w:r>
      <w:r w:rsidRPr="00564B75">
        <w:tab/>
        <w:t>is designed for use in the anticipated operating temperature range; and</w:t>
      </w:r>
    </w:p>
    <w:p w14:paraId="400F7E17" w14:textId="77777777" w:rsidR="00757902" w:rsidRPr="00564B75" w:rsidRDefault="00757902" w:rsidP="00757902">
      <w:pPr>
        <w:pStyle w:val="tPara"/>
      </w:pPr>
      <w:r w:rsidRPr="00564B75">
        <w:tab/>
        <w:t>(d)</w:t>
      </w:r>
      <w:r w:rsidRPr="00564B75">
        <w:tab/>
        <w:t>is accurate to +/</w:t>
      </w:r>
      <w:r w:rsidRPr="00564B75">
        <w:noBreakHyphen/>
        <w:t xml:space="preserve"> 5% for flow measurement.</w:t>
      </w:r>
    </w:p>
    <w:p w14:paraId="400F7E18" w14:textId="2DF5CF9E" w:rsidR="00C15E72" w:rsidRDefault="00757902" w:rsidP="00C15E72">
      <w:pPr>
        <w:pStyle w:val="tMain"/>
      </w:pPr>
      <w:r w:rsidRPr="00564B75">
        <w:tab/>
        <w:t>(3)</w:t>
      </w:r>
      <w:r w:rsidRPr="00564B75">
        <w:tab/>
        <w:t xml:space="preserve">Gas flow must be continuously recorded and integrated using an integration device that is isolated from the flow computer in such a </w:t>
      </w:r>
      <w:r w:rsidRPr="00E64645">
        <w:t>way that</w:t>
      </w:r>
      <w:r w:rsidR="00AD00C5" w:rsidRPr="00E64645">
        <w:t>,</w:t>
      </w:r>
      <w:r w:rsidRPr="00E64645">
        <w:t xml:space="preserve"> if the</w:t>
      </w:r>
      <w:r w:rsidRPr="00564B75">
        <w:t xml:space="preserve"> computer fails, the integration device will retain the previously stored data that was on the computer immediately before the failure. </w:t>
      </w:r>
    </w:p>
    <w:p w14:paraId="6DB3CE2C" w14:textId="34B19D7A" w:rsidR="00206682" w:rsidRPr="000A5065" w:rsidRDefault="00206682" w:rsidP="000A5065">
      <w:pPr>
        <w:pStyle w:val="nMain"/>
        <w:ind w:hanging="710"/>
        <w:rPr>
          <w:highlight w:val="yellow"/>
        </w:rPr>
      </w:pPr>
      <w:r w:rsidRPr="000A5065">
        <w:rPr>
          <w:highlight w:val="yellow"/>
        </w:rPr>
        <w:t>Note:</w:t>
      </w:r>
      <w:r w:rsidR="00E64645">
        <w:rPr>
          <w:highlight w:val="yellow"/>
        </w:rPr>
        <w:tab/>
      </w:r>
      <w:r w:rsidRPr="000A5065">
        <w:rPr>
          <w:highlight w:val="yellow"/>
        </w:rPr>
        <w:t>Section 42 of the Determination includes a process for making a conservative estimate of gas flow if equipment has failed for a period. This process would need to take account of any potential seasonal variation in gas flow.</w:t>
      </w:r>
    </w:p>
    <w:p w14:paraId="400F7E1A" w14:textId="28226078" w:rsidR="00D13038" w:rsidRPr="00564B75" w:rsidRDefault="00757902" w:rsidP="00F3717D">
      <w:pPr>
        <w:pStyle w:val="tMain"/>
      </w:pPr>
      <w:r w:rsidRPr="00564B75">
        <w:tab/>
        <w:t>(4)</w:t>
      </w:r>
      <w:r w:rsidRPr="00564B75">
        <w:tab/>
        <w:t xml:space="preserve">All measurements must comply with the </w:t>
      </w:r>
      <w:r w:rsidRPr="00564B75">
        <w:rPr>
          <w:i/>
        </w:rPr>
        <w:t>National Measurement Act 1960</w:t>
      </w:r>
      <w:r w:rsidRPr="00564B75">
        <w:t>.</w:t>
      </w:r>
    </w:p>
    <w:p w14:paraId="400F7E1B" w14:textId="5A76D843" w:rsidR="00757902" w:rsidRPr="00564B75" w:rsidRDefault="00F17CDC" w:rsidP="00757902">
      <w:pPr>
        <w:pStyle w:val="h5Section"/>
        <w:rPr>
          <w:u w:val="single"/>
        </w:rPr>
      </w:pPr>
      <w:bookmarkStart w:id="73" w:name="_Toc467775580"/>
      <w:bookmarkStart w:id="74" w:name="_Toc467774865"/>
      <w:bookmarkStart w:id="75" w:name="_Toc346883308"/>
      <w:bookmarkStart w:id="76" w:name="_Toc498293993"/>
      <w:bookmarkStart w:id="77" w:name="_Toc17792705"/>
      <w:bookmarkStart w:id="78" w:name="_Toc82779129"/>
      <w:bookmarkStart w:id="79" w:name="_Toc82779437"/>
      <w:bookmarkStart w:id="80" w:name="_Toc86674775"/>
      <w:r w:rsidRPr="000A5065">
        <w:rPr>
          <w:highlight w:val="yellow"/>
          <w:u w:val="single"/>
        </w:rPr>
        <w:t>1</w:t>
      </w:r>
      <w:r w:rsidR="0042623F" w:rsidRPr="000A5065">
        <w:rPr>
          <w:highlight w:val="yellow"/>
          <w:u w:val="single"/>
        </w:rPr>
        <w:t>2</w:t>
      </w:r>
      <w:r w:rsidR="009832C5" w:rsidRPr="00564B75">
        <w:rPr>
          <w:u w:val="single"/>
        </w:rPr>
        <w:tab/>
      </w:r>
      <w:r w:rsidR="00757902" w:rsidRPr="00564B75">
        <w:rPr>
          <w:u w:val="single"/>
        </w:rPr>
        <w:t>Section 2</w:t>
      </w:r>
      <w:r w:rsidR="008E71C2" w:rsidRPr="00564B75">
        <w:rPr>
          <w:u w:val="single"/>
        </w:rPr>
        <w:t>4</w:t>
      </w:r>
      <w:r w:rsidR="00607641" w:rsidRPr="00564B75">
        <w:rPr>
          <w:u w:val="single"/>
        </w:rPr>
        <w:t>—</w:t>
      </w:r>
      <w:r w:rsidR="00757902" w:rsidRPr="00564B75">
        <w:rPr>
          <w:u w:val="single"/>
        </w:rPr>
        <w:t>Measuring the p</w:t>
      </w:r>
      <w:r w:rsidR="002E720E" w:rsidRPr="00564B75">
        <w:rPr>
          <w:u w:val="single"/>
        </w:rPr>
        <w:t>roportion</w:t>
      </w:r>
      <w:r w:rsidR="002D2D18" w:rsidRPr="00564B75">
        <w:rPr>
          <w:u w:val="single"/>
        </w:rPr>
        <w:t xml:space="preserve"> of methane in biogas, </w:t>
      </w:r>
      <w:r w:rsidR="00757902" w:rsidRPr="00564B75">
        <w:rPr>
          <w:i/>
          <w:u w:val="single"/>
        </w:rPr>
        <w:t>W</w:t>
      </w:r>
      <w:r w:rsidR="00757902" w:rsidRPr="00564B75">
        <w:rPr>
          <w:i/>
          <w:u w:val="single"/>
          <w:vertAlign w:val="subscript"/>
        </w:rPr>
        <w:t>BG, CH4</w:t>
      </w:r>
      <w:bookmarkEnd w:id="73"/>
      <w:bookmarkEnd w:id="74"/>
      <w:bookmarkEnd w:id="75"/>
      <w:bookmarkEnd w:id="76"/>
      <w:bookmarkEnd w:id="77"/>
      <w:bookmarkEnd w:id="78"/>
      <w:bookmarkEnd w:id="79"/>
      <w:bookmarkEnd w:id="80"/>
    </w:p>
    <w:p w14:paraId="400F7E1C" w14:textId="47D5A1EC" w:rsidR="000F2398" w:rsidRPr="00122E37" w:rsidRDefault="00757902" w:rsidP="000F2398">
      <w:pPr>
        <w:pStyle w:val="tMain"/>
      </w:pPr>
      <w:r w:rsidRPr="00E64645">
        <w:tab/>
      </w:r>
      <w:r w:rsidR="000F2398" w:rsidRPr="000A5065">
        <w:rPr>
          <w:highlight w:val="yellow"/>
        </w:rPr>
        <w:t>(1)</w:t>
      </w:r>
      <w:r w:rsidR="000F2398" w:rsidRPr="000A5065">
        <w:rPr>
          <w:highlight w:val="yellow"/>
        </w:rPr>
        <w:tab/>
      </w:r>
      <w:r w:rsidR="0040077C" w:rsidRPr="000A5065">
        <w:rPr>
          <w:highlight w:val="yellow"/>
        </w:rPr>
        <w:t>For subsection 24(2)</w:t>
      </w:r>
      <w:r w:rsidR="0042623F" w:rsidRPr="000A5065">
        <w:rPr>
          <w:highlight w:val="yellow"/>
        </w:rPr>
        <w:t xml:space="preserve"> of the Determination</w:t>
      </w:r>
      <w:r w:rsidR="0040077C" w:rsidRPr="000A5065">
        <w:rPr>
          <w:highlight w:val="yellow"/>
        </w:rPr>
        <w:t>, the</w:t>
      </w:r>
      <w:r w:rsidR="0040077C" w:rsidRPr="00564B75">
        <w:t xml:space="preserve"> </w:t>
      </w:r>
      <w:r w:rsidR="000F2398" w:rsidRPr="00564B75">
        <w:t>proportion of methane in biogas (</w:t>
      </w: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BG,CH</m:t>
                </m:r>
              </m:e>
              <m:sub>
                <m:r>
                  <m:rPr>
                    <m:sty m:val="p"/>
                  </m:rPr>
                  <w:rPr>
                    <w:rFonts w:ascii="Cambria Math" w:hAnsi="Cambria Math"/>
                  </w:rPr>
                  <m:t>4</m:t>
                </m:r>
              </m:sub>
            </m:sSub>
          </m:sub>
        </m:sSub>
      </m:oMath>
      <w:r w:rsidR="000F2398" w:rsidRPr="00122E37">
        <w:t xml:space="preserve">) must be: </w:t>
      </w:r>
    </w:p>
    <w:p w14:paraId="400F7E1D" w14:textId="69B1B58C" w:rsidR="000F2398" w:rsidRPr="00122E37" w:rsidRDefault="000F2398" w:rsidP="000F2398">
      <w:pPr>
        <w:pStyle w:val="tPara"/>
      </w:pPr>
      <w:r w:rsidRPr="00122E37">
        <w:tab/>
        <w:t>(a)</w:t>
      </w:r>
      <w:r w:rsidRPr="00122E37">
        <w:tab/>
      </w:r>
      <w:r w:rsidRPr="00564B75">
        <w:t xml:space="preserve">a default value calculated under </w:t>
      </w:r>
      <w:r w:rsidRPr="000A5065">
        <w:rPr>
          <w:highlight w:val="yellow"/>
        </w:rPr>
        <w:t>sub</w:t>
      </w:r>
      <w:r w:rsidR="00212840" w:rsidRPr="000A5065">
        <w:rPr>
          <w:highlight w:val="yellow"/>
        </w:rPr>
        <w:t>clause</w:t>
      </w:r>
      <w:r w:rsidRPr="00122E37">
        <w:t xml:space="preserve"> (2); or</w:t>
      </w:r>
    </w:p>
    <w:p w14:paraId="400F7E1E" w14:textId="618E9B64" w:rsidR="000F2398" w:rsidRPr="00122E37" w:rsidRDefault="000F2398" w:rsidP="000F2398">
      <w:pPr>
        <w:pStyle w:val="tPara"/>
      </w:pPr>
      <w:r w:rsidRPr="00564B75">
        <w:tab/>
        <w:t>(b)</w:t>
      </w:r>
      <w:r w:rsidRPr="00564B75">
        <w:tab/>
        <w:t xml:space="preserve">measured under </w:t>
      </w:r>
      <w:r w:rsidRPr="000A5065">
        <w:rPr>
          <w:highlight w:val="yellow"/>
        </w:rPr>
        <w:t>sub</w:t>
      </w:r>
      <w:r w:rsidR="00212840" w:rsidRPr="000A5065">
        <w:rPr>
          <w:highlight w:val="yellow"/>
        </w:rPr>
        <w:t>clause</w:t>
      </w:r>
      <w:r w:rsidRPr="00122E37">
        <w:t xml:space="preserve"> (3).</w:t>
      </w:r>
    </w:p>
    <w:p w14:paraId="400F7E1F" w14:textId="6C768786" w:rsidR="000F2398" w:rsidRPr="00122E37" w:rsidRDefault="006F7977" w:rsidP="000F2398">
      <w:pPr>
        <w:pStyle w:val="tMain"/>
      </w:pPr>
      <w:r w:rsidRPr="00564B75">
        <w:tab/>
        <w:t>(2</w:t>
      </w:r>
      <w:r w:rsidR="000F2398" w:rsidRPr="00564B75">
        <w:t>)</w:t>
      </w:r>
      <w:r w:rsidR="000F2398" w:rsidRPr="00564B75">
        <w:tab/>
        <w:t xml:space="preserve">The default values </w:t>
      </w:r>
      <w:r w:rsidR="000F2398" w:rsidRPr="00E64645">
        <w:t xml:space="preserve">for </w:t>
      </w:r>
      <w:r w:rsidR="00B547BE" w:rsidRPr="00E64645">
        <w:t xml:space="preserve">the </w:t>
      </w:r>
      <w:r w:rsidR="000F2398" w:rsidRPr="00E64645">
        <w:t>proportion</w:t>
      </w:r>
      <w:r w:rsidR="000F2398" w:rsidRPr="00564B75">
        <w:t xml:space="preserve"> of methane in biogas (</w:t>
      </w: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BG,CH</m:t>
                </m:r>
              </m:e>
              <m:sub>
                <m:r>
                  <m:rPr>
                    <m:sty m:val="p"/>
                  </m:rPr>
                  <w:rPr>
                    <w:rFonts w:ascii="Cambria Math" w:hAnsi="Cambria Math"/>
                  </w:rPr>
                  <m:t>4</m:t>
                </m:r>
              </m:sub>
            </m:sSub>
          </m:sub>
        </m:sSub>
      </m:oMath>
      <w:r w:rsidR="000F2398" w:rsidRPr="00122E37">
        <w:t xml:space="preserve">) are: </w:t>
      </w:r>
    </w:p>
    <w:p w14:paraId="400F7E20" w14:textId="77777777" w:rsidR="000F2398" w:rsidRPr="00564B75" w:rsidRDefault="000F2398" w:rsidP="000F2398">
      <w:pPr>
        <w:pStyle w:val="tPara"/>
      </w:pPr>
      <w:r w:rsidRPr="00564B75">
        <w:tab/>
        <w:t>(a)</w:t>
      </w:r>
      <w:r w:rsidRPr="00564B75">
        <w:tab/>
        <w:t xml:space="preserve">if over 95% of the biogas is </w:t>
      </w:r>
      <w:r w:rsidR="007F0CF8" w:rsidRPr="00564B75">
        <w:t xml:space="preserve">likely to have been produced from </w:t>
      </w:r>
      <w:r w:rsidRPr="00564B75">
        <w:t>piggery</w:t>
      </w:r>
      <w:r w:rsidR="007F0CF8" w:rsidRPr="00564B75">
        <w:t xml:space="preserve"> effluent</w:t>
      </w:r>
      <w:r w:rsidRPr="00564B75">
        <w:t>—70%</w:t>
      </w:r>
      <w:r w:rsidR="00F34192" w:rsidRPr="00564B75">
        <w:t>;</w:t>
      </w:r>
      <w:r w:rsidRPr="00564B75">
        <w:t xml:space="preserve"> or</w:t>
      </w:r>
    </w:p>
    <w:p w14:paraId="400F7E21" w14:textId="77777777" w:rsidR="000F2398" w:rsidRPr="00564B75" w:rsidRDefault="000F2398" w:rsidP="000F2398">
      <w:pPr>
        <w:pStyle w:val="tPara"/>
      </w:pPr>
      <w:r w:rsidRPr="00564B75">
        <w:tab/>
        <w:t>(b)</w:t>
      </w:r>
      <w:r w:rsidRPr="00564B75">
        <w:tab/>
      </w:r>
      <w:r w:rsidR="00F34192" w:rsidRPr="00564B75">
        <w:t xml:space="preserve">if over 95% of the </w:t>
      </w:r>
      <w:r w:rsidR="007F0CF8" w:rsidRPr="00564B75">
        <w:t xml:space="preserve">biogas is likely to have been produced from </w:t>
      </w:r>
      <w:r w:rsidR="00F34192" w:rsidRPr="00564B75">
        <w:t>dairy</w:t>
      </w:r>
      <w:r w:rsidR="007F0CF8" w:rsidRPr="00564B75">
        <w:t xml:space="preserve"> effluent</w:t>
      </w:r>
      <w:r w:rsidR="00F34192" w:rsidRPr="00564B75">
        <w:t>—60%; or</w:t>
      </w:r>
    </w:p>
    <w:p w14:paraId="400F7E22" w14:textId="119D33FB" w:rsidR="000F2398" w:rsidRPr="000A5065" w:rsidRDefault="00F34192" w:rsidP="000A5065">
      <w:pPr>
        <w:pStyle w:val="tPara"/>
        <w:tabs>
          <w:tab w:val="left" w:pos="1700"/>
          <w:tab w:val="left" w:pos="2125"/>
          <w:tab w:val="left" w:pos="2550"/>
          <w:tab w:val="left" w:pos="2975"/>
          <w:tab w:val="left" w:pos="3727"/>
        </w:tabs>
        <w:rPr>
          <w:highlight w:val="yellow"/>
        </w:rPr>
      </w:pPr>
      <w:r w:rsidRPr="00E64645">
        <w:tab/>
      </w:r>
      <w:r w:rsidRPr="000A5065">
        <w:rPr>
          <w:highlight w:val="yellow"/>
        </w:rPr>
        <w:t>(c)</w:t>
      </w:r>
      <w:r w:rsidRPr="000A5065">
        <w:rPr>
          <w:highlight w:val="yellow"/>
        </w:rPr>
        <w:tab/>
        <w:t>otherwise—50%.</w:t>
      </w:r>
    </w:p>
    <w:p w14:paraId="400F7E23" w14:textId="77777777" w:rsidR="00757902" w:rsidRPr="00564B75" w:rsidRDefault="000F2398" w:rsidP="00757902">
      <w:pPr>
        <w:pStyle w:val="tMain"/>
      </w:pPr>
      <w:r w:rsidRPr="00564B75">
        <w:tab/>
        <w:t>(3</w:t>
      </w:r>
      <w:r w:rsidR="00757902" w:rsidRPr="00564B75">
        <w:t>)</w:t>
      </w:r>
      <w:r w:rsidR="00757902" w:rsidRPr="00564B75">
        <w:tab/>
        <w:t>When the p</w:t>
      </w:r>
      <w:r w:rsidR="002E720E" w:rsidRPr="00564B75">
        <w:t>roportion</w:t>
      </w:r>
      <w:r w:rsidR="00757902" w:rsidRPr="00564B75">
        <w:t xml:space="preserve"> of methane in biogas (</w:t>
      </w: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BG,CH</m:t>
                </m:r>
              </m:e>
              <m:sub>
                <m:r>
                  <m:rPr>
                    <m:sty m:val="p"/>
                  </m:rPr>
                  <w:rPr>
                    <w:rFonts w:ascii="Cambria Math" w:hAnsi="Cambria Math"/>
                  </w:rPr>
                  <m:t>4</m:t>
                </m:r>
              </m:sub>
            </m:sSub>
          </m:sub>
        </m:sSub>
      </m:oMath>
      <w:r w:rsidR="00757902" w:rsidRPr="00122E37">
        <w:t>) must be measured, it is to be measured using either:</w:t>
      </w:r>
    </w:p>
    <w:p w14:paraId="400F7E24" w14:textId="77777777" w:rsidR="00757902" w:rsidRPr="00564B75" w:rsidRDefault="00757902" w:rsidP="00757902">
      <w:pPr>
        <w:pStyle w:val="tPara"/>
      </w:pPr>
      <w:r w:rsidRPr="00564B75">
        <w:tab/>
        <w:t>(a)</w:t>
      </w:r>
      <w:r w:rsidRPr="00564B75">
        <w:tab/>
        <w:t xml:space="preserve">an inline gas analyser; or </w:t>
      </w:r>
    </w:p>
    <w:p w14:paraId="400F7E25" w14:textId="77777777" w:rsidR="00757902" w:rsidRPr="00564B75" w:rsidRDefault="00757902" w:rsidP="00757902">
      <w:pPr>
        <w:pStyle w:val="tPara"/>
      </w:pPr>
      <w:r w:rsidRPr="00564B75">
        <w:tab/>
        <w:t>(b)</w:t>
      </w:r>
      <w:r w:rsidRPr="00564B75">
        <w:tab/>
        <w:t>analysis, taken from samples,</w:t>
      </w:r>
      <w:r w:rsidR="0078437E" w:rsidRPr="00564B75">
        <w:t xml:space="preserve"> and</w:t>
      </w:r>
      <w:r w:rsidRPr="00564B75">
        <w:t xml:space="preserve"> performed at an accredited laboratory. </w:t>
      </w:r>
    </w:p>
    <w:p w14:paraId="400F7E26" w14:textId="36EC3BDF" w:rsidR="00757902" w:rsidRPr="00122E37" w:rsidRDefault="000F2398" w:rsidP="00757902">
      <w:pPr>
        <w:pStyle w:val="tMain"/>
      </w:pPr>
      <w:r w:rsidRPr="00564B75">
        <w:lastRenderedPageBreak/>
        <w:tab/>
        <w:t>(4)</w:t>
      </w:r>
      <w:r w:rsidRPr="00564B75">
        <w:tab/>
        <w:t xml:space="preserve">Where </w:t>
      </w:r>
      <w:r w:rsidR="0082688B" w:rsidRPr="000A5065">
        <w:rPr>
          <w:highlight w:val="yellow"/>
        </w:rPr>
        <w:t>paragraph</w:t>
      </w:r>
      <w:r w:rsidRPr="0048069E">
        <w:t xml:space="preserve"> (3</w:t>
      </w:r>
      <w:r w:rsidR="00757902" w:rsidRPr="0048069E">
        <w:t>)(b)</w:t>
      </w:r>
      <w:r w:rsidR="00757902" w:rsidRPr="00122E37">
        <w:t xml:space="preserve"> applies, the following requirements apply:</w:t>
      </w:r>
    </w:p>
    <w:p w14:paraId="400F7E27" w14:textId="77777777" w:rsidR="00757902" w:rsidRPr="00564B75" w:rsidRDefault="00757902" w:rsidP="00757902">
      <w:pPr>
        <w:pStyle w:val="tPara"/>
      </w:pPr>
      <w:r w:rsidRPr="00564B75">
        <w:tab/>
        <w:t>(a)</w:t>
      </w:r>
      <w:r w:rsidRPr="00564B75">
        <w:tab/>
        <w:t xml:space="preserve">biogas composition samples must be taken as close to the delivery location of the gaseous fuel as is safely </w:t>
      </w:r>
      <w:proofErr w:type="gramStart"/>
      <w:r w:rsidRPr="00564B75">
        <w:t>possible;</w:t>
      </w:r>
      <w:proofErr w:type="gramEnd"/>
    </w:p>
    <w:p w14:paraId="400F7E28" w14:textId="77777777" w:rsidR="00757902" w:rsidRPr="00564B75" w:rsidRDefault="00757902" w:rsidP="00757902">
      <w:pPr>
        <w:pStyle w:val="tPara"/>
      </w:pPr>
      <w:r w:rsidRPr="00564B75">
        <w:tab/>
        <w:t>(b)</w:t>
      </w:r>
      <w:r w:rsidRPr="00564B75">
        <w:tab/>
        <w:t xml:space="preserve">biogas composition samples must be taken </w:t>
      </w:r>
      <w:r w:rsidR="00194C3A" w:rsidRPr="00564B75">
        <w:t xml:space="preserve">at least </w:t>
      </w:r>
      <w:proofErr w:type="gramStart"/>
      <w:r w:rsidR="00194C3A" w:rsidRPr="00564B75">
        <w:t>monthly</w:t>
      </w:r>
      <w:r w:rsidRPr="00564B75">
        <w:t>;</w:t>
      </w:r>
      <w:proofErr w:type="gramEnd"/>
    </w:p>
    <w:p w14:paraId="400F7E29" w14:textId="641ACF81" w:rsidR="00757902" w:rsidRPr="00564B75" w:rsidRDefault="00757902" w:rsidP="00757902">
      <w:pPr>
        <w:pStyle w:val="tPara"/>
      </w:pPr>
      <w:r w:rsidRPr="00564B75">
        <w:tab/>
        <w:t>(c)</w:t>
      </w:r>
      <w:r w:rsidRPr="00564B75">
        <w:tab/>
        <w:t xml:space="preserve">biogas composition analysis must be based on triplicate samples collected in accordance with </w:t>
      </w:r>
      <w:r w:rsidRPr="000A5065">
        <w:rPr>
          <w:highlight w:val="yellow"/>
        </w:rPr>
        <w:t>paragraph</w:t>
      </w:r>
      <w:r w:rsidR="00F55F51" w:rsidRPr="000A5065">
        <w:rPr>
          <w:highlight w:val="yellow"/>
        </w:rPr>
        <w:t>s</w:t>
      </w:r>
      <w:r w:rsidR="00F55F51" w:rsidRPr="00564B75">
        <w:t xml:space="preserve"> (a) and</w:t>
      </w:r>
      <w:r w:rsidRPr="00564B75">
        <w:t> (b</w:t>
      </w:r>
      <w:proofErr w:type="gramStart"/>
      <w:r w:rsidRPr="00564B75">
        <w:t>);</w:t>
      </w:r>
      <w:proofErr w:type="gramEnd"/>
      <w:r w:rsidRPr="00564B75">
        <w:t xml:space="preserve"> </w:t>
      </w:r>
    </w:p>
    <w:p w14:paraId="400F7E2A" w14:textId="73977AE0" w:rsidR="00757902" w:rsidRPr="00564B75" w:rsidRDefault="00757902" w:rsidP="00757902">
      <w:pPr>
        <w:pStyle w:val="tPara"/>
      </w:pPr>
      <w:r w:rsidRPr="00564B75">
        <w:tab/>
        <w:t>(d)</w:t>
      </w:r>
      <w:r w:rsidRPr="00564B75">
        <w:tab/>
        <w:t>the sampling train must be gastight</w:t>
      </w:r>
      <w:r w:rsidR="00814405" w:rsidRPr="00E64645">
        <w:t>.</w:t>
      </w:r>
      <w:r w:rsidRPr="00564B75">
        <w:t xml:space="preserve"> </w:t>
      </w:r>
    </w:p>
    <w:p w14:paraId="400F7E2B" w14:textId="77777777" w:rsidR="00757902" w:rsidRPr="00564B75" w:rsidRDefault="000F2398" w:rsidP="00757902">
      <w:pPr>
        <w:pStyle w:val="tMain"/>
      </w:pPr>
      <w:r w:rsidRPr="00564B75">
        <w:tab/>
        <w:t>(5</w:t>
      </w:r>
      <w:r w:rsidR="00757902" w:rsidRPr="00564B75">
        <w:t>)</w:t>
      </w:r>
      <w:r w:rsidR="00757902" w:rsidRPr="00564B75">
        <w:tab/>
      </w:r>
      <w:r w:rsidR="00194C3A" w:rsidRPr="00564B75">
        <w:t xml:space="preserve">The </w:t>
      </w:r>
      <w:r w:rsidR="00757902" w:rsidRPr="00564B75">
        <w:t>biogas composition must be a</w:t>
      </w:r>
      <w:r w:rsidR="00194C3A" w:rsidRPr="00564B75">
        <w:t>ccurate to +/</w:t>
      </w:r>
      <w:r w:rsidR="00194C3A" w:rsidRPr="00564B75">
        <w:noBreakHyphen/>
        <w:t xml:space="preserve"> 3% absolute.</w:t>
      </w:r>
    </w:p>
    <w:p w14:paraId="400F7E2C" w14:textId="177DFAF8" w:rsidR="002E720E" w:rsidRPr="00564B75" w:rsidRDefault="000F2398" w:rsidP="00757902">
      <w:pPr>
        <w:pStyle w:val="tMain"/>
      </w:pPr>
      <w:r w:rsidRPr="00564B75">
        <w:tab/>
        <w:t>(6</w:t>
      </w:r>
      <w:r w:rsidR="00194C3A" w:rsidRPr="00564B75">
        <w:t>)</w:t>
      </w:r>
      <w:r w:rsidR="00194C3A" w:rsidRPr="00564B75">
        <w:tab/>
        <w:t>A</w:t>
      </w:r>
      <w:r w:rsidR="00757902" w:rsidRPr="00564B75">
        <w:t>ll measurements must be taken in accordance with the instrument manufacturer’s instructions and the relevant Australian and New Zealand standards.</w:t>
      </w:r>
    </w:p>
    <w:p w14:paraId="462E9DE4" w14:textId="2A35C820" w:rsidR="001E7F4B" w:rsidRPr="000A5065" w:rsidRDefault="001E7F4B" w:rsidP="00AC0294">
      <w:pPr>
        <w:pStyle w:val="h5Section"/>
        <w:rPr>
          <w:rFonts w:ascii="Segoe UI" w:hAnsi="Segoe UI"/>
          <w:sz w:val="27"/>
          <w:szCs w:val="27"/>
          <w:highlight w:val="yellow"/>
          <w:u w:val="single"/>
        </w:rPr>
      </w:pPr>
      <w:bookmarkStart w:id="81" w:name="_Toc82779130"/>
      <w:bookmarkStart w:id="82" w:name="_Toc82779438"/>
      <w:bookmarkStart w:id="83" w:name="_Toc86674776"/>
      <w:r w:rsidRPr="000A5065">
        <w:rPr>
          <w:highlight w:val="yellow"/>
          <w:u w:val="single"/>
          <w:bdr w:val="none" w:sz="0" w:space="0" w:color="auto" w:frame="1"/>
        </w:rPr>
        <w:t>1</w:t>
      </w:r>
      <w:r w:rsidR="0042623F" w:rsidRPr="000A5065">
        <w:rPr>
          <w:highlight w:val="yellow"/>
          <w:u w:val="single"/>
          <w:bdr w:val="none" w:sz="0" w:space="0" w:color="auto" w:frame="1"/>
        </w:rPr>
        <w:t>3</w:t>
      </w:r>
      <w:r w:rsidR="00CA3D3D" w:rsidRPr="000A5065">
        <w:rPr>
          <w:sz w:val="27"/>
          <w:szCs w:val="27"/>
          <w:highlight w:val="yellow"/>
          <w:u w:val="single"/>
          <w:bdr w:val="none" w:sz="0" w:space="0" w:color="auto" w:frame="1"/>
        </w:rPr>
        <w:tab/>
      </w:r>
      <w:r w:rsidRPr="000A5065">
        <w:rPr>
          <w:highlight w:val="yellow"/>
          <w:u w:val="single"/>
          <w:bdr w:val="none" w:sz="0" w:space="0" w:color="auto" w:frame="1"/>
        </w:rPr>
        <w:t>Section 24—Biomethane production loss factor,</w:t>
      </w:r>
      <w:r w:rsidRPr="000A5065">
        <w:rPr>
          <w:i/>
          <w:iCs/>
          <w:highlight w:val="yellow"/>
          <w:u w:val="single"/>
          <w:bdr w:val="none" w:sz="0" w:space="0" w:color="auto" w:frame="1"/>
        </w:rPr>
        <w:t> </w:t>
      </w:r>
      <w:proofErr w:type="spellStart"/>
      <w:r w:rsidRPr="000A5065">
        <w:rPr>
          <w:i/>
          <w:iCs/>
          <w:highlight w:val="yellow"/>
          <w:u w:val="single"/>
          <w:bdr w:val="none" w:sz="0" w:space="0" w:color="auto" w:frame="1"/>
        </w:rPr>
        <w:t>PL</w:t>
      </w:r>
      <w:r w:rsidRPr="000A5065">
        <w:rPr>
          <w:i/>
          <w:iCs/>
          <w:sz w:val="11"/>
          <w:szCs w:val="11"/>
          <w:highlight w:val="yellow"/>
          <w:u w:val="single"/>
          <w:bdr w:val="none" w:sz="0" w:space="0" w:color="auto" w:frame="1"/>
          <w:vertAlign w:val="subscript"/>
        </w:rPr>
        <w:t>i</w:t>
      </w:r>
      <w:bookmarkEnd w:id="81"/>
      <w:bookmarkEnd w:id="82"/>
      <w:bookmarkEnd w:id="83"/>
      <w:proofErr w:type="spellEnd"/>
    </w:p>
    <w:p w14:paraId="056C0A00" w14:textId="7D4C56B7" w:rsidR="001E7F4B" w:rsidRPr="000A5065" w:rsidRDefault="001F0D10" w:rsidP="00AC0294">
      <w:pPr>
        <w:pStyle w:val="tMain"/>
        <w:rPr>
          <w:rFonts w:ascii="Segoe UI" w:hAnsi="Segoe UI"/>
          <w:szCs w:val="22"/>
          <w:highlight w:val="yellow"/>
        </w:rPr>
      </w:pPr>
      <w:r w:rsidRPr="00E64645">
        <w:rPr>
          <w:szCs w:val="22"/>
          <w:bdr w:val="none" w:sz="0" w:space="0" w:color="auto" w:frame="1"/>
        </w:rPr>
        <w:tab/>
      </w:r>
      <w:r w:rsidR="00E95C71" w:rsidRPr="000A5065">
        <w:rPr>
          <w:szCs w:val="22"/>
          <w:highlight w:val="yellow"/>
          <w:bdr w:val="none" w:sz="0" w:space="0" w:color="auto" w:frame="1"/>
        </w:rPr>
        <w:t>(1)</w:t>
      </w:r>
      <w:r w:rsidRPr="000A5065">
        <w:rPr>
          <w:szCs w:val="22"/>
          <w:highlight w:val="yellow"/>
          <w:bdr w:val="none" w:sz="0" w:space="0" w:color="auto" w:frame="1"/>
        </w:rPr>
        <w:tab/>
      </w:r>
      <w:r w:rsidR="001E7F4B" w:rsidRPr="000A5065">
        <w:rPr>
          <w:szCs w:val="22"/>
          <w:highlight w:val="yellow"/>
          <w:bdr w:val="none" w:sz="0" w:space="0" w:color="auto" w:frame="1"/>
        </w:rPr>
        <w:t xml:space="preserve">For subsection 24(2) of the Determination, the biomethane production loss factor for biogas sent to combustion device </w:t>
      </w:r>
      <w:proofErr w:type="spellStart"/>
      <w:r w:rsidR="005B71B9" w:rsidRPr="000A5065">
        <w:rPr>
          <w:i/>
          <w:iCs/>
          <w:szCs w:val="22"/>
          <w:highlight w:val="yellow"/>
          <w:bdr w:val="none" w:sz="0" w:space="0" w:color="auto" w:frame="1"/>
        </w:rPr>
        <w:t>i</w:t>
      </w:r>
      <w:proofErr w:type="spellEnd"/>
      <w:r w:rsidR="005B71B9" w:rsidRPr="000A5065">
        <w:rPr>
          <w:szCs w:val="22"/>
          <w:highlight w:val="yellow"/>
          <w:bdr w:val="none" w:sz="0" w:space="0" w:color="auto" w:frame="1"/>
        </w:rPr>
        <w:t> </w:t>
      </w:r>
      <w:r w:rsidR="001E7F4B" w:rsidRPr="000A5065">
        <w:rPr>
          <w:szCs w:val="22"/>
          <w:highlight w:val="yellow"/>
          <w:bdr w:val="none" w:sz="0" w:space="0" w:color="auto" w:frame="1"/>
        </w:rPr>
        <w:t>or biomethane production dispatch system </w:t>
      </w:r>
      <w:proofErr w:type="spellStart"/>
      <w:r w:rsidR="001E7F4B" w:rsidRPr="000A5065">
        <w:rPr>
          <w:i/>
          <w:iCs/>
          <w:szCs w:val="22"/>
          <w:highlight w:val="yellow"/>
          <w:bdr w:val="none" w:sz="0" w:space="0" w:color="auto" w:frame="1"/>
        </w:rPr>
        <w:t>i</w:t>
      </w:r>
      <w:proofErr w:type="spellEnd"/>
      <w:r w:rsidR="001E7F4B" w:rsidRPr="000A5065">
        <w:rPr>
          <w:szCs w:val="22"/>
          <w:highlight w:val="yellow"/>
          <w:bdr w:val="none" w:sz="0" w:space="0" w:color="auto" w:frame="1"/>
        </w:rPr>
        <w:t> (</w:t>
      </w:r>
      <w:proofErr w:type="spellStart"/>
      <w:r w:rsidR="001E7F4B" w:rsidRPr="000A5065">
        <w:rPr>
          <w:i/>
          <w:iCs/>
          <w:szCs w:val="22"/>
          <w:highlight w:val="yellow"/>
          <w:bdr w:val="none" w:sz="0" w:space="0" w:color="auto" w:frame="1"/>
        </w:rPr>
        <w:t>PL</w:t>
      </w:r>
      <w:r w:rsidR="001E7F4B" w:rsidRPr="000A5065">
        <w:rPr>
          <w:i/>
          <w:iCs/>
          <w:szCs w:val="22"/>
          <w:highlight w:val="yellow"/>
          <w:bdr w:val="none" w:sz="0" w:space="0" w:color="auto" w:frame="1"/>
          <w:vertAlign w:val="subscript"/>
        </w:rPr>
        <w:t>i</w:t>
      </w:r>
      <w:proofErr w:type="spellEnd"/>
      <w:r w:rsidR="001E7F4B" w:rsidRPr="000A5065">
        <w:rPr>
          <w:szCs w:val="22"/>
          <w:highlight w:val="yellow"/>
          <w:bdr w:val="none" w:sz="0" w:space="0" w:color="auto" w:frame="1"/>
        </w:rPr>
        <w:t>), expressed as a fraction, is:</w:t>
      </w:r>
    </w:p>
    <w:p w14:paraId="1CC85122" w14:textId="77CA08D1" w:rsidR="001E7F4B" w:rsidRPr="000A5065" w:rsidRDefault="001F0D10" w:rsidP="00AC0294">
      <w:pPr>
        <w:pStyle w:val="tPara"/>
        <w:rPr>
          <w:szCs w:val="22"/>
          <w:highlight w:val="yellow"/>
        </w:rPr>
      </w:pPr>
      <w:r w:rsidRPr="00E64645">
        <w:rPr>
          <w:szCs w:val="22"/>
        </w:rPr>
        <w:tab/>
      </w:r>
      <w:r w:rsidR="001E7F4B" w:rsidRPr="000A5065">
        <w:rPr>
          <w:szCs w:val="22"/>
          <w:highlight w:val="yellow"/>
        </w:rPr>
        <w:t>(a)</w:t>
      </w:r>
      <w:r w:rsidRPr="000A5065">
        <w:rPr>
          <w:szCs w:val="22"/>
          <w:highlight w:val="yellow"/>
        </w:rPr>
        <w:tab/>
      </w:r>
      <w:r w:rsidR="001E7F4B" w:rsidRPr="000A5065">
        <w:rPr>
          <w:szCs w:val="22"/>
          <w:highlight w:val="yellow"/>
        </w:rPr>
        <w:t>if </w:t>
      </w:r>
      <w:proofErr w:type="spellStart"/>
      <w:r w:rsidR="001E7F4B" w:rsidRPr="000A5065">
        <w:rPr>
          <w:szCs w:val="22"/>
          <w:highlight w:val="yellow"/>
        </w:rPr>
        <w:t>i</w:t>
      </w:r>
      <w:proofErr w:type="spellEnd"/>
      <w:r w:rsidR="001E7F4B" w:rsidRPr="000A5065">
        <w:rPr>
          <w:szCs w:val="22"/>
          <w:highlight w:val="yellow"/>
        </w:rPr>
        <w:t> </w:t>
      </w:r>
      <w:proofErr w:type="gramStart"/>
      <w:r w:rsidR="001E7F4B" w:rsidRPr="000A5065">
        <w:rPr>
          <w:szCs w:val="22"/>
          <w:highlight w:val="yellow"/>
        </w:rPr>
        <w:t>a</w:t>
      </w:r>
      <w:proofErr w:type="gramEnd"/>
      <w:r w:rsidR="001E7F4B" w:rsidRPr="000A5065">
        <w:rPr>
          <w:szCs w:val="22"/>
          <w:highlight w:val="yellow"/>
        </w:rPr>
        <w:t xml:space="preserve"> combustion device—0;</w:t>
      </w:r>
      <w:r w:rsidR="00246AE5" w:rsidRPr="000A5065">
        <w:rPr>
          <w:szCs w:val="22"/>
          <w:highlight w:val="yellow"/>
        </w:rPr>
        <w:t xml:space="preserve"> or</w:t>
      </w:r>
    </w:p>
    <w:p w14:paraId="3C3F0555" w14:textId="19255C7D" w:rsidR="00E940C9" w:rsidRPr="000A5065" w:rsidRDefault="001F0D10" w:rsidP="007A1D83">
      <w:pPr>
        <w:pStyle w:val="tPara"/>
        <w:rPr>
          <w:rFonts w:ascii="inherit" w:hAnsi="inherit" w:cs="Segoe UI"/>
          <w:sz w:val="17"/>
          <w:szCs w:val="17"/>
          <w:highlight w:val="yellow"/>
          <w:bdr w:val="none" w:sz="0" w:space="0" w:color="auto" w:frame="1"/>
        </w:rPr>
      </w:pPr>
      <w:r w:rsidRPr="00E64645">
        <w:rPr>
          <w:szCs w:val="22"/>
        </w:rPr>
        <w:tab/>
      </w:r>
      <w:r w:rsidR="001E7F4B" w:rsidRPr="000A5065">
        <w:rPr>
          <w:szCs w:val="22"/>
          <w:highlight w:val="yellow"/>
        </w:rPr>
        <w:t>(b)</w:t>
      </w:r>
      <w:r w:rsidRPr="000A5065">
        <w:rPr>
          <w:szCs w:val="22"/>
          <w:highlight w:val="yellow"/>
        </w:rPr>
        <w:tab/>
      </w:r>
      <w:r w:rsidR="001E7F4B" w:rsidRPr="000A5065">
        <w:rPr>
          <w:szCs w:val="22"/>
          <w:highlight w:val="yellow"/>
        </w:rPr>
        <w:t>if </w:t>
      </w:r>
      <w:proofErr w:type="spellStart"/>
      <w:r w:rsidR="001E7F4B" w:rsidRPr="000A5065">
        <w:rPr>
          <w:szCs w:val="22"/>
          <w:highlight w:val="yellow"/>
        </w:rPr>
        <w:t>i</w:t>
      </w:r>
      <w:proofErr w:type="spellEnd"/>
      <w:r w:rsidR="001E7F4B" w:rsidRPr="000A5065">
        <w:rPr>
          <w:szCs w:val="22"/>
          <w:highlight w:val="yellow"/>
        </w:rPr>
        <w:t> is a biomethane production dispatch system—worked out using the formula:</w:t>
      </w:r>
      <w:r w:rsidR="00E940C9" w:rsidRPr="000A5065" w:rsidDel="00E940C9">
        <w:rPr>
          <w:szCs w:val="22"/>
          <w:highlight w:val="yellow"/>
        </w:rPr>
        <w:t xml:space="preserve"> </w:t>
      </w:r>
    </w:p>
    <w:p w14:paraId="531E61B9" w14:textId="77777777" w:rsidR="00E940C9" w:rsidRPr="000A5065" w:rsidRDefault="00E940C9" w:rsidP="00E940C9">
      <w:pPr>
        <w:pStyle w:val="tMain"/>
        <w:rPr>
          <w:highlight w:val="yellow"/>
        </w:rPr>
      </w:pPr>
    </w:p>
    <w:tbl>
      <w:tblPr>
        <w:tblStyle w:val="TableGrid"/>
        <w:tblW w:w="0" w:type="auto"/>
        <w:tblInd w:w="1165" w:type="dxa"/>
        <w:tblLook w:val="04A0" w:firstRow="1" w:lastRow="0" w:firstColumn="1" w:lastColumn="0" w:noHBand="0" w:noVBand="1"/>
      </w:tblPr>
      <w:tblGrid>
        <w:gridCol w:w="5493"/>
        <w:gridCol w:w="1645"/>
      </w:tblGrid>
      <w:tr w:rsidR="00E940C9" w:rsidRPr="000A5065" w14:paraId="003865D1" w14:textId="77777777" w:rsidTr="00257AD4">
        <w:tc>
          <w:tcPr>
            <w:tcW w:w="5493" w:type="dxa"/>
            <w:tcBorders>
              <w:top w:val="single" w:sz="4" w:space="0" w:color="auto"/>
              <w:left w:val="single" w:sz="4" w:space="0" w:color="auto"/>
              <w:bottom w:val="single" w:sz="4" w:space="0" w:color="auto"/>
              <w:right w:val="single" w:sz="4" w:space="0" w:color="auto"/>
            </w:tcBorders>
          </w:tcPr>
          <w:p w14:paraId="4F97D37E" w14:textId="77777777" w:rsidR="00E940C9" w:rsidRPr="000A5065" w:rsidRDefault="00E940C9" w:rsidP="00B843D5">
            <w:pPr>
              <w:jc w:val="center"/>
              <w:rPr>
                <w:highlight w:val="yellow"/>
              </w:rPr>
            </w:pPr>
          </w:p>
          <w:p w14:paraId="0E996816" w14:textId="4172150D" w:rsidR="00E940C9" w:rsidRPr="000A5065" w:rsidRDefault="00111062" w:rsidP="00B843D5">
            <w:pPr>
              <w:jc w:val="center"/>
              <w:rPr>
                <w:highlight w:val="yellow"/>
              </w:rPr>
            </w:pPr>
            <m:oMathPara>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i</m:t>
                    </m:r>
                  </m:sub>
                </m:sSub>
                <m:r>
                  <w:rPr>
                    <w:rFonts w:ascii="Cambria Math" w:hAnsi="Cambria Math"/>
                    <w:highlight w:val="yellow"/>
                  </w:rPr>
                  <m:t>=</m:t>
                </m:r>
                <m:nary>
                  <m:naryPr>
                    <m:chr m:val="∑"/>
                    <m:limLoc m:val="undOvr"/>
                    <m:supHide m:val="1"/>
                    <m:ctrlPr>
                      <w:rPr>
                        <w:rFonts w:ascii="Cambria Math" w:hAnsi="Cambria Math"/>
                        <w:i/>
                        <w:highlight w:val="yellow"/>
                      </w:rPr>
                    </m:ctrlPr>
                  </m:naryPr>
                  <m:sub>
                    <m:r>
                      <w:rPr>
                        <w:rFonts w:ascii="Cambria Math" w:hAnsi="Cambria Math"/>
                        <w:highlight w:val="yellow"/>
                      </w:rPr>
                      <m:t>k</m:t>
                    </m:r>
                  </m:sub>
                  <m:sup/>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k</m:t>
                            </m:r>
                          </m:sub>
                        </m:sSub>
                        <m:r>
                          <w:rPr>
                            <w:rFonts w:ascii="Cambria Math" w:hAnsi="Cambria Math"/>
                            <w:highlight w:val="yellow"/>
                          </w:rPr>
                          <m:t>×</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biogas sent,   k</m:t>
                                </m:r>
                              </m:sub>
                            </m:sSub>
                          </m:num>
                          <m:den>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biogas,   i</m:t>
                                </m:r>
                              </m:sub>
                            </m:sSub>
                          </m:den>
                        </m:f>
                      </m:e>
                    </m:d>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UF</m:t>
                        </m:r>
                      </m:e>
                      <m:sub>
                        <m:r>
                          <w:rPr>
                            <w:rFonts w:ascii="Cambria Math" w:hAnsi="Cambria Math"/>
                            <w:highlight w:val="yellow"/>
                          </w:rPr>
                          <m:t>biogas,   i</m:t>
                        </m:r>
                      </m:sub>
                    </m:sSub>
                  </m:e>
                </m:nary>
              </m:oMath>
            </m:oMathPara>
          </w:p>
        </w:tc>
        <w:tc>
          <w:tcPr>
            <w:tcW w:w="1645" w:type="dxa"/>
            <w:tcBorders>
              <w:top w:val="single" w:sz="4" w:space="0" w:color="auto"/>
              <w:left w:val="single" w:sz="4" w:space="0" w:color="auto"/>
              <w:bottom w:val="single" w:sz="4" w:space="0" w:color="auto"/>
              <w:right w:val="single" w:sz="4" w:space="0" w:color="auto"/>
            </w:tcBorders>
            <w:vAlign w:val="center"/>
          </w:tcPr>
          <w:p w14:paraId="2E3AC945" w14:textId="77777777" w:rsidR="00E940C9" w:rsidRPr="000A5065" w:rsidRDefault="00E940C9" w:rsidP="00B843D5">
            <w:pPr>
              <w:rPr>
                <w:highlight w:val="yellow"/>
              </w:rPr>
            </w:pPr>
          </w:p>
          <w:p w14:paraId="2048152A" w14:textId="77777777" w:rsidR="00E940C9" w:rsidRPr="000A5065" w:rsidRDefault="00E940C9" w:rsidP="00B843D5">
            <w:pPr>
              <w:jc w:val="center"/>
              <w:rPr>
                <w:highlight w:val="yellow"/>
              </w:rPr>
            </w:pPr>
            <w:r w:rsidRPr="000A5065">
              <w:rPr>
                <w:highlight w:val="yellow"/>
              </w:rPr>
              <w:t>Equation S0</w:t>
            </w:r>
          </w:p>
          <w:p w14:paraId="0860AF79" w14:textId="77777777" w:rsidR="00E940C9" w:rsidRPr="000A5065" w:rsidRDefault="00E940C9" w:rsidP="00B843D5">
            <w:pPr>
              <w:rPr>
                <w:highlight w:val="yellow"/>
              </w:rPr>
            </w:pPr>
          </w:p>
        </w:tc>
      </w:tr>
    </w:tbl>
    <w:p w14:paraId="0EA6A087" w14:textId="35EB1459" w:rsidR="00E940C9" w:rsidRPr="000A5065" w:rsidRDefault="00E940C9" w:rsidP="00E940C9">
      <w:pPr>
        <w:pStyle w:val="tMain"/>
        <w:rPr>
          <w:rFonts w:ascii="Segoe UI" w:hAnsi="Segoe UI"/>
          <w:sz w:val="27"/>
          <w:szCs w:val="27"/>
          <w:highlight w:val="yellow"/>
        </w:rPr>
      </w:pPr>
      <w:r w:rsidRPr="00E64645">
        <w:rPr>
          <w:sz w:val="27"/>
          <w:szCs w:val="27"/>
          <w:bdr w:val="none" w:sz="0" w:space="0" w:color="auto" w:frame="1"/>
        </w:rPr>
        <w:tab/>
      </w:r>
      <w:r w:rsidRPr="00E64645">
        <w:rPr>
          <w:sz w:val="27"/>
          <w:szCs w:val="27"/>
          <w:bdr w:val="none" w:sz="0" w:space="0" w:color="auto" w:frame="1"/>
        </w:rPr>
        <w:tab/>
      </w:r>
      <w:r w:rsidRPr="000A5065">
        <w:rPr>
          <w:highlight w:val="yellow"/>
          <w:bdr w:val="none" w:sz="0" w:space="0" w:color="auto" w:frame="1"/>
        </w:rPr>
        <w:t>where:</w:t>
      </w:r>
    </w:p>
    <w:p w14:paraId="569FF8FF" w14:textId="2EE0EDE8" w:rsidR="001D41A0" w:rsidRPr="000A5065" w:rsidRDefault="001D41A0" w:rsidP="00E64645">
      <w:pPr>
        <w:pStyle w:val="tDefn"/>
        <w:spacing w:line="276" w:lineRule="auto"/>
        <w:ind w:left="1275"/>
        <w:rPr>
          <w:szCs w:val="22"/>
          <w:highlight w:val="yellow"/>
        </w:rPr>
      </w:pPr>
      <w:r w:rsidRPr="000A5065">
        <w:rPr>
          <w:b/>
          <w:i/>
          <w:szCs w:val="22"/>
          <w:highlight w:val="yellow"/>
        </w:rPr>
        <w:t>k</w:t>
      </w:r>
      <w:r w:rsidRPr="000A5065">
        <w:rPr>
          <w:szCs w:val="22"/>
          <w:highlight w:val="yellow"/>
        </w:rPr>
        <w:t xml:space="preserve"> is </w:t>
      </w:r>
      <w:r w:rsidRPr="000A5065">
        <w:rPr>
          <w:szCs w:val="22"/>
          <w:highlight w:val="yellow"/>
          <w:bdr w:val="none" w:sz="0" w:space="0" w:color="auto" w:frame="1"/>
        </w:rPr>
        <w:t>a biogas upgrading system to which biogas is sent by biomethane production dispatch system </w:t>
      </w:r>
      <w:proofErr w:type="spellStart"/>
      <w:r w:rsidRPr="000A5065">
        <w:rPr>
          <w:i/>
          <w:iCs/>
          <w:szCs w:val="22"/>
          <w:highlight w:val="yellow"/>
          <w:bdr w:val="none" w:sz="0" w:space="0" w:color="auto" w:frame="1"/>
        </w:rPr>
        <w:t>i</w:t>
      </w:r>
      <w:proofErr w:type="spellEnd"/>
      <w:r w:rsidRPr="000A5065">
        <w:rPr>
          <w:szCs w:val="22"/>
          <w:highlight w:val="yellow"/>
          <w:bdr w:val="none" w:sz="0" w:space="0" w:color="auto" w:frame="1"/>
        </w:rPr>
        <w:t>.</w:t>
      </w:r>
    </w:p>
    <w:p w14:paraId="5CED2062" w14:textId="700DD682" w:rsidR="001D41A0" w:rsidRPr="000A5065" w:rsidRDefault="001D41A0" w:rsidP="00E64645">
      <w:pPr>
        <w:shd w:val="clear" w:color="auto" w:fill="FFFFFF"/>
        <w:spacing w:before="180" w:line="240" w:lineRule="auto"/>
        <w:ind w:left="1269"/>
        <w:rPr>
          <w:rFonts w:eastAsia="Times New Roman"/>
          <w:szCs w:val="22"/>
          <w:highlight w:val="yellow"/>
        </w:rPr>
      </w:pPr>
      <w:proofErr w:type="spellStart"/>
      <w:r w:rsidRPr="000A5065">
        <w:rPr>
          <w:rFonts w:eastAsia="Times New Roman"/>
          <w:b/>
          <w:bCs/>
          <w:i/>
          <w:iCs/>
          <w:szCs w:val="22"/>
          <w:highlight w:val="yellow"/>
          <w:bdr w:val="none" w:sz="0" w:space="0" w:color="auto" w:frame="1"/>
        </w:rPr>
        <w:t>PL</w:t>
      </w:r>
      <w:r w:rsidRPr="000A5065">
        <w:rPr>
          <w:rFonts w:eastAsia="Times New Roman"/>
          <w:b/>
          <w:bCs/>
          <w:i/>
          <w:iCs/>
          <w:szCs w:val="22"/>
          <w:highlight w:val="yellow"/>
          <w:bdr w:val="none" w:sz="0" w:space="0" w:color="auto" w:frame="1"/>
          <w:vertAlign w:val="subscript"/>
        </w:rPr>
        <w:t>k</w:t>
      </w:r>
      <w:proofErr w:type="spellEnd"/>
      <w:r w:rsidRPr="000A5065">
        <w:rPr>
          <w:rFonts w:eastAsia="Times New Roman"/>
          <w:szCs w:val="22"/>
          <w:highlight w:val="yellow"/>
          <w:bdr w:val="none" w:sz="0" w:space="0" w:color="auto" w:frame="1"/>
        </w:rPr>
        <w:t> is the biomethane production loss factor for biogas upgrading system </w:t>
      </w:r>
      <w:r w:rsidRPr="000A5065">
        <w:rPr>
          <w:rFonts w:eastAsia="Times New Roman"/>
          <w:i/>
          <w:iCs/>
          <w:szCs w:val="22"/>
          <w:highlight w:val="yellow"/>
          <w:bdr w:val="none" w:sz="0" w:space="0" w:color="auto" w:frame="1"/>
        </w:rPr>
        <w:t>k</w:t>
      </w:r>
      <w:r w:rsidRPr="000A5065">
        <w:rPr>
          <w:rFonts w:eastAsia="Times New Roman"/>
          <w:szCs w:val="22"/>
          <w:highlight w:val="yellow"/>
          <w:bdr w:val="none" w:sz="0" w:space="0" w:color="auto" w:frame="1"/>
        </w:rPr>
        <w:t>, expressed as a fraction, </w:t>
      </w:r>
      <w:r w:rsidR="00BC119E" w:rsidRPr="000A5065">
        <w:rPr>
          <w:rFonts w:eastAsia="Times New Roman"/>
          <w:szCs w:val="22"/>
          <w:highlight w:val="yellow"/>
          <w:bdr w:val="none" w:sz="0" w:space="0" w:color="auto" w:frame="1"/>
        </w:rPr>
        <w:t xml:space="preserve">which </w:t>
      </w:r>
      <w:r w:rsidRPr="000A5065">
        <w:rPr>
          <w:rFonts w:eastAsia="Times New Roman"/>
          <w:szCs w:val="22"/>
          <w:highlight w:val="yellow"/>
          <w:bdr w:val="none" w:sz="0" w:space="0" w:color="auto" w:frame="1"/>
        </w:rPr>
        <w:t>is:</w:t>
      </w:r>
    </w:p>
    <w:p w14:paraId="69808F10" w14:textId="7EEDFBCF" w:rsidR="001D41A0" w:rsidRPr="000A5065" w:rsidRDefault="001D41A0" w:rsidP="00E64645">
      <w:pPr>
        <w:pStyle w:val="tPara"/>
        <w:spacing w:before="0"/>
        <w:rPr>
          <w:szCs w:val="22"/>
          <w:highlight w:val="yellow"/>
        </w:rPr>
      </w:pPr>
      <w:r w:rsidRPr="00E64645">
        <w:rPr>
          <w:szCs w:val="22"/>
        </w:rPr>
        <w:tab/>
      </w:r>
      <w:r w:rsidR="00E64645">
        <w:rPr>
          <w:szCs w:val="22"/>
        </w:rPr>
        <w:tab/>
      </w:r>
      <w:r w:rsidRPr="000A5065">
        <w:rPr>
          <w:szCs w:val="22"/>
          <w:highlight w:val="yellow"/>
        </w:rPr>
        <w:t>(a)</w:t>
      </w:r>
      <w:r w:rsidRPr="000A5065">
        <w:rPr>
          <w:szCs w:val="22"/>
          <w:highlight w:val="yellow"/>
        </w:rPr>
        <w:tab/>
        <w:t>0.04; or</w:t>
      </w:r>
    </w:p>
    <w:p w14:paraId="03FD4A68" w14:textId="119630E4" w:rsidR="001D41A0" w:rsidRPr="000A5065" w:rsidRDefault="001D41A0" w:rsidP="00E64645">
      <w:pPr>
        <w:pStyle w:val="tPara"/>
        <w:spacing w:before="0"/>
        <w:rPr>
          <w:szCs w:val="22"/>
          <w:highlight w:val="yellow"/>
        </w:rPr>
      </w:pPr>
      <w:r w:rsidRPr="00E64645">
        <w:rPr>
          <w:szCs w:val="22"/>
        </w:rPr>
        <w:tab/>
      </w:r>
      <w:r w:rsidR="00E64645">
        <w:rPr>
          <w:szCs w:val="22"/>
        </w:rPr>
        <w:tab/>
      </w:r>
      <w:r w:rsidRPr="000A5065">
        <w:rPr>
          <w:szCs w:val="22"/>
          <w:highlight w:val="yellow"/>
        </w:rPr>
        <w:t>(b)</w:t>
      </w:r>
      <w:r w:rsidRPr="000A5065">
        <w:rPr>
          <w:szCs w:val="22"/>
          <w:highlight w:val="yellow"/>
        </w:rPr>
        <w:tab/>
        <w:t>determined in accordance with sub</w:t>
      </w:r>
      <w:r w:rsidR="00352879" w:rsidRPr="000A5065">
        <w:rPr>
          <w:szCs w:val="22"/>
          <w:highlight w:val="yellow"/>
        </w:rPr>
        <w:t>clause</w:t>
      </w:r>
      <w:r w:rsidRPr="000A5065">
        <w:rPr>
          <w:szCs w:val="22"/>
          <w:highlight w:val="yellow"/>
        </w:rPr>
        <w:t xml:space="preserve"> (</w:t>
      </w:r>
      <w:r w:rsidR="00EF7CD6" w:rsidRPr="000A5065">
        <w:rPr>
          <w:szCs w:val="22"/>
          <w:highlight w:val="yellow"/>
        </w:rPr>
        <w:t>3</w:t>
      </w:r>
      <w:r w:rsidRPr="000A5065">
        <w:rPr>
          <w:szCs w:val="22"/>
          <w:highlight w:val="yellow"/>
        </w:rPr>
        <w:t>).</w:t>
      </w:r>
    </w:p>
    <w:p w14:paraId="70880848" w14:textId="49410730" w:rsidR="001D41A0" w:rsidRPr="000A5065" w:rsidRDefault="001D41A0" w:rsidP="00E64645">
      <w:pPr>
        <w:shd w:val="clear" w:color="auto" w:fill="FFFFFF"/>
        <w:spacing w:before="180" w:line="240" w:lineRule="auto"/>
        <w:ind w:left="1275"/>
        <w:rPr>
          <w:rFonts w:eastAsia="Times New Roman"/>
          <w:szCs w:val="22"/>
          <w:highlight w:val="yellow"/>
        </w:rPr>
      </w:pPr>
      <w:proofErr w:type="spellStart"/>
      <w:r w:rsidRPr="000A5065">
        <w:rPr>
          <w:rFonts w:eastAsia="Times New Roman"/>
          <w:b/>
          <w:bCs/>
          <w:i/>
          <w:iCs/>
          <w:szCs w:val="22"/>
          <w:highlight w:val="yellow"/>
          <w:bdr w:val="none" w:sz="0" w:space="0" w:color="auto" w:frame="1"/>
        </w:rPr>
        <w:t>Q</w:t>
      </w:r>
      <w:r w:rsidRPr="000A5065">
        <w:rPr>
          <w:rFonts w:eastAsia="Times New Roman"/>
          <w:b/>
          <w:bCs/>
          <w:i/>
          <w:iCs/>
          <w:szCs w:val="22"/>
          <w:highlight w:val="yellow"/>
          <w:bdr w:val="none" w:sz="0" w:space="0" w:color="auto" w:frame="1"/>
          <w:vertAlign w:val="subscript"/>
        </w:rPr>
        <w:t>biogas</w:t>
      </w:r>
      <w:proofErr w:type="spellEnd"/>
      <w:r w:rsidR="00FF1A55" w:rsidRPr="000A5065">
        <w:rPr>
          <w:rFonts w:eastAsia="Times New Roman"/>
          <w:b/>
          <w:bCs/>
          <w:i/>
          <w:iCs/>
          <w:szCs w:val="22"/>
          <w:highlight w:val="yellow"/>
          <w:bdr w:val="none" w:sz="0" w:space="0" w:color="auto" w:frame="1"/>
          <w:vertAlign w:val="subscript"/>
        </w:rPr>
        <w:t xml:space="preserve"> sent</w:t>
      </w:r>
      <w:r w:rsidRPr="000A5065">
        <w:rPr>
          <w:rFonts w:eastAsia="Times New Roman"/>
          <w:b/>
          <w:bCs/>
          <w:i/>
          <w:iCs/>
          <w:szCs w:val="22"/>
          <w:highlight w:val="yellow"/>
          <w:bdr w:val="none" w:sz="0" w:space="0" w:color="auto" w:frame="1"/>
          <w:vertAlign w:val="subscript"/>
        </w:rPr>
        <w:t>, k</w:t>
      </w:r>
      <w:r w:rsidRPr="000A5065">
        <w:rPr>
          <w:rFonts w:eastAsia="Times New Roman"/>
          <w:szCs w:val="22"/>
          <w:highlight w:val="yellow"/>
          <w:bdr w:val="none" w:sz="0" w:space="0" w:color="auto" w:frame="1"/>
        </w:rPr>
        <w:t> is the volume of biogas sent to biogas upgrading system </w:t>
      </w:r>
      <w:r w:rsidRPr="000A5065">
        <w:rPr>
          <w:rFonts w:eastAsia="Times New Roman"/>
          <w:i/>
          <w:iCs/>
          <w:szCs w:val="22"/>
          <w:highlight w:val="yellow"/>
          <w:bdr w:val="none" w:sz="0" w:space="0" w:color="auto" w:frame="1"/>
        </w:rPr>
        <w:t>k</w:t>
      </w:r>
      <w:r w:rsidRPr="000A5065">
        <w:rPr>
          <w:rFonts w:eastAsia="Times New Roman"/>
          <w:szCs w:val="22"/>
          <w:highlight w:val="yellow"/>
          <w:bdr w:val="none" w:sz="0" w:space="0" w:color="auto" w:frame="1"/>
        </w:rPr>
        <w:t> from biomethane production dispatch system </w:t>
      </w:r>
      <w:proofErr w:type="spellStart"/>
      <w:r w:rsidRPr="000A5065">
        <w:rPr>
          <w:rFonts w:eastAsia="Times New Roman"/>
          <w:i/>
          <w:iCs/>
          <w:szCs w:val="22"/>
          <w:highlight w:val="yellow"/>
          <w:bdr w:val="none" w:sz="0" w:space="0" w:color="auto" w:frame="1"/>
        </w:rPr>
        <w:t>i</w:t>
      </w:r>
      <w:proofErr w:type="spellEnd"/>
      <w:r w:rsidRPr="000A5065">
        <w:rPr>
          <w:rFonts w:eastAsia="Times New Roman"/>
          <w:szCs w:val="22"/>
          <w:highlight w:val="yellow"/>
          <w:bdr w:val="none" w:sz="0" w:space="0" w:color="auto" w:frame="1"/>
        </w:rPr>
        <w:t> during a reporting period, in cubic metres, measured in accordance with sub</w:t>
      </w:r>
      <w:r w:rsidR="00352879" w:rsidRPr="000A5065">
        <w:rPr>
          <w:rFonts w:eastAsia="Times New Roman"/>
          <w:szCs w:val="22"/>
          <w:highlight w:val="yellow"/>
          <w:bdr w:val="none" w:sz="0" w:space="0" w:color="auto" w:frame="1"/>
        </w:rPr>
        <w:t>clause</w:t>
      </w:r>
      <w:r w:rsidRPr="000A5065">
        <w:rPr>
          <w:rFonts w:eastAsia="Times New Roman"/>
          <w:szCs w:val="22"/>
          <w:highlight w:val="yellow"/>
          <w:bdr w:val="none" w:sz="0" w:space="0" w:color="auto" w:frame="1"/>
        </w:rPr>
        <w:t xml:space="preserve"> (2).</w:t>
      </w:r>
    </w:p>
    <w:p w14:paraId="15D73403" w14:textId="673A90AC" w:rsidR="001D41A0" w:rsidRPr="000A5065" w:rsidRDefault="001D41A0" w:rsidP="00E64645">
      <w:pPr>
        <w:shd w:val="clear" w:color="auto" w:fill="FFFFFF"/>
        <w:spacing w:before="180" w:line="240" w:lineRule="auto"/>
        <w:ind w:left="1275"/>
        <w:rPr>
          <w:rFonts w:eastAsia="Times New Roman"/>
          <w:szCs w:val="22"/>
          <w:highlight w:val="yellow"/>
          <w:bdr w:val="none" w:sz="0" w:space="0" w:color="auto" w:frame="1"/>
        </w:rPr>
      </w:pPr>
      <w:proofErr w:type="spellStart"/>
      <w:r w:rsidRPr="000A5065">
        <w:rPr>
          <w:rFonts w:eastAsia="Times New Roman"/>
          <w:b/>
          <w:bCs/>
          <w:i/>
          <w:iCs/>
          <w:szCs w:val="22"/>
          <w:highlight w:val="yellow"/>
          <w:bdr w:val="none" w:sz="0" w:space="0" w:color="auto" w:frame="1"/>
        </w:rPr>
        <w:t>Q</w:t>
      </w:r>
      <w:r w:rsidRPr="000A5065">
        <w:rPr>
          <w:rFonts w:eastAsia="Times New Roman"/>
          <w:b/>
          <w:bCs/>
          <w:i/>
          <w:iCs/>
          <w:szCs w:val="22"/>
          <w:highlight w:val="yellow"/>
          <w:bdr w:val="none" w:sz="0" w:space="0" w:color="auto" w:frame="1"/>
          <w:vertAlign w:val="subscript"/>
        </w:rPr>
        <w:t>biogas</w:t>
      </w:r>
      <w:proofErr w:type="spellEnd"/>
      <w:r w:rsidRPr="000A5065">
        <w:rPr>
          <w:rFonts w:eastAsia="Times New Roman"/>
          <w:b/>
          <w:bCs/>
          <w:i/>
          <w:iCs/>
          <w:szCs w:val="22"/>
          <w:highlight w:val="yellow"/>
          <w:bdr w:val="none" w:sz="0" w:space="0" w:color="auto" w:frame="1"/>
          <w:vertAlign w:val="subscript"/>
        </w:rPr>
        <w:t xml:space="preserve">, </w:t>
      </w:r>
      <w:proofErr w:type="spellStart"/>
      <w:r w:rsidRPr="000A5065">
        <w:rPr>
          <w:rFonts w:eastAsia="Times New Roman"/>
          <w:b/>
          <w:bCs/>
          <w:i/>
          <w:iCs/>
          <w:szCs w:val="22"/>
          <w:highlight w:val="yellow"/>
          <w:bdr w:val="none" w:sz="0" w:space="0" w:color="auto" w:frame="1"/>
          <w:vertAlign w:val="subscript"/>
        </w:rPr>
        <w:t>i</w:t>
      </w:r>
      <w:proofErr w:type="spellEnd"/>
      <w:r w:rsidRPr="000A5065">
        <w:rPr>
          <w:rFonts w:eastAsia="Times New Roman"/>
          <w:szCs w:val="22"/>
          <w:highlight w:val="yellow"/>
          <w:bdr w:val="none" w:sz="0" w:space="0" w:color="auto" w:frame="1"/>
        </w:rPr>
        <w:t> is the total volume of biogas sent to biomethane production dispatch system </w:t>
      </w:r>
      <w:proofErr w:type="spellStart"/>
      <w:r w:rsidR="003116A5" w:rsidRPr="000A5065">
        <w:rPr>
          <w:rFonts w:eastAsia="Times New Roman"/>
          <w:i/>
          <w:iCs/>
          <w:szCs w:val="22"/>
          <w:highlight w:val="yellow"/>
          <w:bdr w:val="none" w:sz="0" w:space="0" w:color="auto" w:frame="1"/>
        </w:rPr>
        <w:t>i</w:t>
      </w:r>
      <w:proofErr w:type="spellEnd"/>
      <w:r w:rsidR="003116A5" w:rsidRPr="000A5065">
        <w:rPr>
          <w:rFonts w:eastAsia="Times New Roman"/>
          <w:i/>
          <w:iCs/>
          <w:szCs w:val="22"/>
          <w:highlight w:val="yellow"/>
          <w:bdr w:val="none" w:sz="0" w:space="0" w:color="auto" w:frame="1"/>
        </w:rPr>
        <w:t xml:space="preserve"> </w:t>
      </w:r>
      <w:r w:rsidRPr="000A5065">
        <w:rPr>
          <w:rFonts w:eastAsia="Times New Roman"/>
          <w:szCs w:val="22"/>
          <w:highlight w:val="yellow"/>
          <w:bdr w:val="none" w:sz="0" w:space="0" w:color="auto" w:frame="1"/>
        </w:rPr>
        <w:t xml:space="preserve">during a reporting period, in cubic metres, measured in accordance with </w:t>
      </w:r>
      <w:r w:rsidR="00352879" w:rsidRPr="000A5065">
        <w:rPr>
          <w:rFonts w:eastAsia="Times New Roman"/>
          <w:szCs w:val="22"/>
          <w:highlight w:val="yellow"/>
          <w:bdr w:val="none" w:sz="0" w:space="0" w:color="auto" w:frame="1"/>
        </w:rPr>
        <w:t>clause</w:t>
      </w:r>
      <w:r w:rsidRPr="000A5065">
        <w:rPr>
          <w:rFonts w:eastAsia="Times New Roman"/>
          <w:szCs w:val="22"/>
          <w:highlight w:val="yellow"/>
          <w:bdr w:val="none" w:sz="0" w:space="0" w:color="auto" w:frame="1"/>
        </w:rPr>
        <w:t xml:space="preserve"> 1</w:t>
      </w:r>
      <w:r w:rsidR="0042623F" w:rsidRPr="000A5065">
        <w:rPr>
          <w:rFonts w:eastAsia="Times New Roman"/>
          <w:szCs w:val="22"/>
          <w:highlight w:val="yellow"/>
          <w:bdr w:val="none" w:sz="0" w:space="0" w:color="auto" w:frame="1"/>
        </w:rPr>
        <w:t>1</w:t>
      </w:r>
      <w:r w:rsidRPr="000A5065">
        <w:rPr>
          <w:rFonts w:eastAsia="Times New Roman"/>
          <w:szCs w:val="22"/>
          <w:highlight w:val="yellow"/>
          <w:bdr w:val="none" w:sz="0" w:space="0" w:color="auto" w:frame="1"/>
        </w:rPr>
        <w:t>.</w:t>
      </w:r>
    </w:p>
    <w:p w14:paraId="27CEE8A9" w14:textId="12604460" w:rsidR="001D41A0" w:rsidRPr="000A5065" w:rsidRDefault="001D41A0" w:rsidP="001D41A0">
      <w:pPr>
        <w:pStyle w:val="nMain"/>
        <w:ind w:hanging="710"/>
        <w:rPr>
          <w:highlight w:val="yellow"/>
        </w:rPr>
      </w:pPr>
      <w:r w:rsidRPr="000A5065">
        <w:rPr>
          <w:highlight w:val="yellow"/>
        </w:rPr>
        <w:t>Note:</w:t>
      </w:r>
      <w:r w:rsidR="00E64645">
        <w:rPr>
          <w:highlight w:val="yellow"/>
        </w:rPr>
        <w:tab/>
      </w:r>
      <w:r w:rsidRPr="000A5065">
        <w:rPr>
          <w:szCs w:val="18"/>
          <w:highlight w:val="yellow"/>
          <w:bdr w:val="none" w:sz="0" w:space="0" w:color="auto" w:frame="1"/>
        </w:rPr>
        <w:t>If there is only a single biogas upgrading system receiving biogas from the project, </w:t>
      </w:r>
      <w:proofErr w:type="spellStart"/>
      <w:r w:rsidRPr="000A5065">
        <w:rPr>
          <w:szCs w:val="18"/>
          <w:highlight w:val="yellow"/>
          <w:bdr w:val="none" w:sz="0" w:space="0" w:color="auto" w:frame="1"/>
        </w:rPr>
        <w:t>Q</w:t>
      </w:r>
      <w:r w:rsidRPr="000A5065">
        <w:rPr>
          <w:szCs w:val="18"/>
          <w:highlight w:val="yellow"/>
          <w:bdr w:val="none" w:sz="0" w:space="0" w:color="auto" w:frame="1"/>
          <w:vertAlign w:val="subscript"/>
        </w:rPr>
        <w:t>biogas</w:t>
      </w:r>
      <w:proofErr w:type="spellEnd"/>
      <w:r w:rsidRPr="000A5065">
        <w:rPr>
          <w:szCs w:val="18"/>
          <w:highlight w:val="yellow"/>
          <w:bdr w:val="none" w:sz="0" w:space="0" w:color="auto" w:frame="1"/>
          <w:vertAlign w:val="subscript"/>
        </w:rPr>
        <w:t>,</w:t>
      </w:r>
      <w:r w:rsidRPr="000A5065">
        <w:rPr>
          <w:szCs w:val="18"/>
          <w:highlight w:val="yellow"/>
          <w:bdr w:val="none" w:sz="0" w:space="0" w:color="auto" w:frame="1"/>
        </w:rPr>
        <w:t> </w:t>
      </w:r>
      <w:proofErr w:type="spellStart"/>
      <w:r w:rsidRPr="000A5065">
        <w:rPr>
          <w:szCs w:val="18"/>
          <w:highlight w:val="yellow"/>
          <w:bdr w:val="none" w:sz="0" w:space="0" w:color="auto" w:frame="1"/>
          <w:vertAlign w:val="subscript"/>
        </w:rPr>
        <w:t>i</w:t>
      </w:r>
      <w:proofErr w:type="spellEnd"/>
      <w:r w:rsidRPr="000A5065">
        <w:rPr>
          <w:szCs w:val="18"/>
          <w:highlight w:val="yellow"/>
          <w:bdr w:val="none" w:sz="0" w:space="0" w:color="auto" w:frame="1"/>
        </w:rPr>
        <w:t> and </w:t>
      </w:r>
      <w:proofErr w:type="spellStart"/>
      <w:r w:rsidRPr="000A5065">
        <w:rPr>
          <w:szCs w:val="18"/>
          <w:highlight w:val="yellow"/>
          <w:bdr w:val="none" w:sz="0" w:space="0" w:color="auto" w:frame="1"/>
        </w:rPr>
        <w:t>Q</w:t>
      </w:r>
      <w:r w:rsidRPr="000A5065">
        <w:rPr>
          <w:szCs w:val="18"/>
          <w:highlight w:val="yellow"/>
          <w:bdr w:val="none" w:sz="0" w:space="0" w:color="auto" w:frame="1"/>
          <w:vertAlign w:val="subscript"/>
        </w:rPr>
        <w:t>biogas</w:t>
      </w:r>
      <w:proofErr w:type="spellEnd"/>
      <w:r w:rsidRPr="000A5065">
        <w:rPr>
          <w:szCs w:val="18"/>
          <w:highlight w:val="yellow"/>
          <w:bdr w:val="none" w:sz="0" w:space="0" w:color="auto" w:frame="1"/>
          <w:vertAlign w:val="subscript"/>
        </w:rPr>
        <w:t>,</w:t>
      </w:r>
      <w:r w:rsidR="00590522" w:rsidRPr="000A5065">
        <w:rPr>
          <w:szCs w:val="18"/>
          <w:highlight w:val="yellow"/>
          <w:bdr w:val="none" w:sz="0" w:space="0" w:color="auto" w:frame="1"/>
          <w:vertAlign w:val="subscript"/>
        </w:rPr>
        <w:t xml:space="preserve"> </w:t>
      </w:r>
      <w:r w:rsidR="00B91C82" w:rsidRPr="000A5065">
        <w:rPr>
          <w:szCs w:val="18"/>
          <w:highlight w:val="yellow"/>
          <w:bdr w:val="none" w:sz="0" w:space="0" w:color="auto" w:frame="1"/>
          <w:vertAlign w:val="subscript"/>
        </w:rPr>
        <w:t>sent k</w:t>
      </w:r>
      <w:r w:rsidRPr="000A5065">
        <w:rPr>
          <w:szCs w:val="18"/>
          <w:highlight w:val="yellow"/>
          <w:bdr w:val="none" w:sz="0" w:space="0" w:color="auto" w:frame="1"/>
        </w:rPr>
        <w:t> will be approximately equal, less any gas lost between the biomethane production dispatch system and the biogas upgrading system.</w:t>
      </w:r>
    </w:p>
    <w:p w14:paraId="5690D1EC" w14:textId="735A036F" w:rsidR="001D41A0" w:rsidRPr="000A5065" w:rsidRDefault="001D41A0" w:rsidP="00E64645">
      <w:pPr>
        <w:shd w:val="clear" w:color="auto" w:fill="FFFFFF"/>
        <w:spacing w:before="180" w:line="240" w:lineRule="auto"/>
        <w:ind w:left="1276"/>
        <w:rPr>
          <w:rFonts w:eastAsia="Times New Roman"/>
          <w:szCs w:val="22"/>
          <w:highlight w:val="yellow"/>
          <w:bdr w:val="none" w:sz="0" w:space="0" w:color="auto" w:frame="1"/>
        </w:rPr>
      </w:pPr>
      <w:proofErr w:type="spellStart"/>
      <w:r w:rsidRPr="000A5065">
        <w:rPr>
          <w:rFonts w:eastAsia="Times New Roman"/>
          <w:b/>
          <w:bCs/>
          <w:i/>
          <w:iCs/>
          <w:szCs w:val="22"/>
          <w:highlight w:val="yellow"/>
          <w:bdr w:val="none" w:sz="0" w:space="0" w:color="auto" w:frame="1"/>
        </w:rPr>
        <w:t>UF</w:t>
      </w:r>
      <w:r w:rsidRPr="000A5065">
        <w:rPr>
          <w:rFonts w:eastAsia="Times New Roman"/>
          <w:b/>
          <w:bCs/>
          <w:i/>
          <w:iCs/>
          <w:szCs w:val="22"/>
          <w:highlight w:val="yellow"/>
          <w:bdr w:val="none" w:sz="0" w:space="0" w:color="auto" w:frame="1"/>
          <w:vertAlign w:val="subscript"/>
        </w:rPr>
        <w:t>biogas</w:t>
      </w:r>
      <w:proofErr w:type="spellEnd"/>
      <w:r w:rsidRPr="000A5065">
        <w:rPr>
          <w:rFonts w:eastAsia="Times New Roman"/>
          <w:b/>
          <w:bCs/>
          <w:i/>
          <w:iCs/>
          <w:szCs w:val="22"/>
          <w:highlight w:val="yellow"/>
          <w:bdr w:val="none" w:sz="0" w:space="0" w:color="auto" w:frame="1"/>
          <w:vertAlign w:val="subscript"/>
        </w:rPr>
        <w:t>, i</w:t>
      </w:r>
      <w:r w:rsidRPr="000A5065">
        <w:rPr>
          <w:rFonts w:eastAsia="Times New Roman"/>
          <w:szCs w:val="22"/>
          <w:highlight w:val="yellow"/>
          <w:bdr w:val="none" w:sz="0" w:space="0" w:color="auto" w:frame="1"/>
        </w:rPr>
        <w:t> is the fraction of unaccounted for biogas for biomethane production dispatch system </w:t>
      </w:r>
      <w:proofErr w:type="spellStart"/>
      <w:r w:rsidRPr="000A5065">
        <w:rPr>
          <w:rFonts w:eastAsia="Times New Roman"/>
          <w:i/>
          <w:iCs/>
          <w:szCs w:val="22"/>
          <w:highlight w:val="yellow"/>
          <w:bdr w:val="none" w:sz="0" w:space="0" w:color="auto" w:frame="1"/>
        </w:rPr>
        <w:t>i</w:t>
      </w:r>
      <w:proofErr w:type="spellEnd"/>
      <w:r w:rsidRPr="000A5065">
        <w:rPr>
          <w:rFonts w:eastAsia="Times New Roman"/>
          <w:szCs w:val="22"/>
          <w:highlight w:val="yellow"/>
          <w:bdr w:val="none" w:sz="0" w:space="0" w:color="auto" w:frame="1"/>
        </w:rPr>
        <w:t> during a reporting period, expressed as a fraction, worked out in accordance with sub</w:t>
      </w:r>
      <w:r w:rsidR="00352879" w:rsidRPr="000A5065">
        <w:rPr>
          <w:rFonts w:eastAsia="Times New Roman"/>
          <w:szCs w:val="22"/>
          <w:highlight w:val="yellow"/>
          <w:bdr w:val="none" w:sz="0" w:space="0" w:color="auto" w:frame="1"/>
        </w:rPr>
        <w:t>clause</w:t>
      </w:r>
      <w:r w:rsidRPr="000A5065">
        <w:rPr>
          <w:rFonts w:eastAsia="Times New Roman"/>
          <w:szCs w:val="22"/>
          <w:highlight w:val="yellow"/>
          <w:bdr w:val="none" w:sz="0" w:space="0" w:color="auto" w:frame="1"/>
        </w:rPr>
        <w:t xml:space="preserve"> (</w:t>
      </w:r>
      <w:r w:rsidR="006736CF" w:rsidRPr="000A5065">
        <w:rPr>
          <w:rFonts w:eastAsia="Times New Roman"/>
          <w:szCs w:val="22"/>
          <w:highlight w:val="yellow"/>
          <w:bdr w:val="none" w:sz="0" w:space="0" w:color="auto" w:frame="1"/>
        </w:rPr>
        <w:t>5</w:t>
      </w:r>
      <w:r w:rsidRPr="000A5065">
        <w:rPr>
          <w:rFonts w:eastAsia="Times New Roman"/>
          <w:szCs w:val="22"/>
          <w:highlight w:val="yellow"/>
          <w:bdr w:val="none" w:sz="0" w:space="0" w:color="auto" w:frame="1"/>
        </w:rPr>
        <w:t>).</w:t>
      </w:r>
    </w:p>
    <w:p w14:paraId="6B385EF5" w14:textId="74A72286" w:rsidR="00B547BE" w:rsidRPr="000A5065" w:rsidRDefault="008E44DD" w:rsidP="008E44DD">
      <w:pPr>
        <w:pStyle w:val="nMain"/>
        <w:ind w:hanging="710"/>
        <w:rPr>
          <w:highlight w:val="yellow"/>
          <w:bdr w:val="none" w:sz="0" w:space="0" w:color="auto" w:frame="1"/>
        </w:rPr>
      </w:pPr>
      <w:r w:rsidRPr="000A5065">
        <w:rPr>
          <w:szCs w:val="18"/>
          <w:highlight w:val="yellow"/>
        </w:rPr>
        <w:t xml:space="preserve">Note </w:t>
      </w:r>
      <w:r w:rsidR="00816399" w:rsidRPr="000A5065">
        <w:rPr>
          <w:szCs w:val="18"/>
          <w:highlight w:val="yellow"/>
        </w:rPr>
        <w:t>1</w:t>
      </w:r>
      <w:r w:rsidRPr="000A5065">
        <w:rPr>
          <w:szCs w:val="18"/>
          <w:highlight w:val="yellow"/>
        </w:rPr>
        <w:t>:</w:t>
      </w:r>
      <w:r w:rsidR="00E64645">
        <w:rPr>
          <w:szCs w:val="18"/>
          <w:highlight w:val="yellow"/>
        </w:rPr>
        <w:tab/>
      </w:r>
      <w:r w:rsidRPr="000A5065">
        <w:rPr>
          <w:szCs w:val="18"/>
          <w:highlight w:val="yellow"/>
        </w:rPr>
        <w:t xml:space="preserve">Equation </w:t>
      </w:r>
      <w:r w:rsidRPr="000A5065">
        <w:rPr>
          <w:szCs w:val="18"/>
          <w:highlight w:val="yellow"/>
          <w:bdr w:val="none" w:sz="0" w:space="0" w:color="auto" w:frame="1"/>
        </w:rPr>
        <w:t xml:space="preserve">S0 works out the biomethane production loss factor for a biomethane production dispatch system using a weighted average of the individual biogas upgrading system loss factors. The weighted average is based on the proportion of biogas sent to each biogas upgrading system to which biogas is sent by the biomethane production dispatch system during a reporting </w:t>
      </w:r>
      <w:r w:rsidR="00F805DD" w:rsidRPr="000A5065">
        <w:rPr>
          <w:szCs w:val="18"/>
          <w:highlight w:val="yellow"/>
          <w:bdr w:val="none" w:sz="0" w:space="0" w:color="auto" w:frame="1"/>
        </w:rPr>
        <w:t>period.</w:t>
      </w:r>
    </w:p>
    <w:p w14:paraId="0184E1CD" w14:textId="3AA78EC5" w:rsidR="00816399" w:rsidRPr="000A5065" w:rsidRDefault="00816399" w:rsidP="008E44DD">
      <w:pPr>
        <w:pStyle w:val="nMain"/>
        <w:ind w:hanging="710"/>
        <w:rPr>
          <w:szCs w:val="18"/>
          <w:highlight w:val="yellow"/>
        </w:rPr>
      </w:pPr>
      <w:r w:rsidRPr="000A5065">
        <w:rPr>
          <w:szCs w:val="18"/>
          <w:highlight w:val="yellow"/>
        </w:rPr>
        <w:lastRenderedPageBreak/>
        <w:t>Note 2:</w:t>
      </w:r>
      <w:r w:rsidR="00E64645">
        <w:rPr>
          <w:szCs w:val="18"/>
          <w:highlight w:val="yellow"/>
        </w:rPr>
        <w:tab/>
      </w:r>
      <w:proofErr w:type="spellStart"/>
      <w:r w:rsidR="00A26918" w:rsidRPr="000A5065">
        <w:rPr>
          <w:highlight w:val="yellow"/>
        </w:rPr>
        <w:t>UF</w:t>
      </w:r>
      <w:r w:rsidR="00A26918" w:rsidRPr="000A5065">
        <w:rPr>
          <w:highlight w:val="yellow"/>
          <w:vertAlign w:val="subscript"/>
        </w:rPr>
        <w:t>Biogas</w:t>
      </w:r>
      <w:proofErr w:type="spellEnd"/>
      <w:r w:rsidR="00A26918" w:rsidRPr="000A5065">
        <w:rPr>
          <w:highlight w:val="yellow"/>
          <w:vertAlign w:val="subscript"/>
        </w:rPr>
        <w:t xml:space="preserve">, </w:t>
      </w:r>
      <w:proofErr w:type="spellStart"/>
      <w:r w:rsidR="00A26918" w:rsidRPr="000A5065">
        <w:rPr>
          <w:highlight w:val="yellow"/>
          <w:vertAlign w:val="subscript"/>
        </w:rPr>
        <w:t>i</w:t>
      </w:r>
      <w:proofErr w:type="spellEnd"/>
      <w:r w:rsidRPr="000A5065">
        <w:rPr>
          <w:szCs w:val="18"/>
          <w:highlight w:val="yellow"/>
          <w:bdr w:val="none" w:sz="0" w:space="0" w:color="auto" w:frame="1"/>
        </w:rPr>
        <w:t> reflects the gas lost between the biomethane production dispatch system (</w:t>
      </w:r>
      <w:proofErr w:type="spellStart"/>
      <w:r w:rsidRPr="000A5065">
        <w:rPr>
          <w:szCs w:val="18"/>
          <w:highlight w:val="yellow"/>
          <w:bdr w:val="none" w:sz="0" w:space="0" w:color="auto" w:frame="1"/>
        </w:rPr>
        <w:t>Q</w:t>
      </w:r>
      <w:r w:rsidRPr="000A5065">
        <w:rPr>
          <w:szCs w:val="18"/>
          <w:highlight w:val="yellow"/>
          <w:bdr w:val="none" w:sz="0" w:space="0" w:color="auto" w:frame="1"/>
          <w:vertAlign w:val="subscript"/>
        </w:rPr>
        <w:t>biogas</w:t>
      </w:r>
      <w:proofErr w:type="spellEnd"/>
      <w:r w:rsidRPr="000A5065">
        <w:rPr>
          <w:szCs w:val="18"/>
          <w:highlight w:val="yellow"/>
          <w:bdr w:val="none" w:sz="0" w:space="0" w:color="auto" w:frame="1"/>
          <w:vertAlign w:val="subscript"/>
        </w:rPr>
        <w:t>,</w:t>
      </w:r>
      <w:r w:rsidRPr="000A5065">
        <w:rPr>
          <w:szCs w:val="18"/>
          <w:highlight w:val="yellow"/>
          <w:bdr w:val="none" w:sz="0" w:space="0" w:color="auto" w:frame="1"/>
        </w:rPr>
        <w:t> </w:t>
      </w:r>
      <w:proofErr w:type="spellStart"/>
      <w:r w:rsidRPr="000A5065">
        <w:rPr>
          <w:szCs w:val="18"/>
          <w:highlight w:val="yellow"/>
          <w:bdr w:val="none" w:sz="0" w:space="0" w:color="auto" w:frame="1"/>
          <w:vertAlign w:val="subscript"/>
        </w:rPr>
        <w:t>i</w:t>
      </w:r>
      <w:proofErr w:type="spellEnd"/>
      <w:r w:rsidRPr="000A5065">
        <w:rPr>
          <w:szCs w:val="18"/>
          <w:highlight w:val="yellow"/>
          <w:bdr w:val="none" w:sz="0" w:space="0" w:color="auto" w:frame="1"/>
        </w:rPr>
        <w:t>) and biogas upgrading system (</w:t>
      </w:r>
      <w:proofErr w:type="spellStart"/>
      <w:r w:rsidRPr="000A5065">
        <w:rPr>
          <w:szCs w:val="18"/>
          <w:highlight w:val="yellow"/>
          <w:bdr w:val="none" w:sz="0" w:space="0" w:color="auto" w:frame="1"/>
        </w:rPr>
        <w:t>Q</w:t>
      </w:r>
      <w:r w:rsidRPr="000A5065">
        <w:rPr>
          <w:i/>
          <w:iCs/>
          <w:szCs w:val="18"/>
          <w:highlight w:val="yellow"/>
          <w:bdr w:val="none" w:sz="0" w:space="0" w:color="auto" w:frame="1"/>
          <w:vertAlign w:val="subscript"/>
        </w:rPr>
        <w:t>biogas</w:t>
      </w:r>
      <w:proofErr w:type="spellEnd"/>
      <w:r w:rsidR="00FF1A55" w:rsidRPr="000A5065">
        <w:rPr>
          <w:i/>
          <w:iCs/>
          <w:szCs w:val="18"/>
          <w:highlight w:val="yellow"/>
          <w:bdr w:val="none" w:sz="0" w:space="0" w:color="auto" w:frame="1"/>
          <w:vertAlign w:val="subscript"/>
        </w:rPr>
        <w:t xml:space="preserve"> sent</w:t>
      </w:r>
      <w:r w:rsidRPr="000A5065">
        <w:rPr>
          <w:i/>
          <w:iCs/>
          <w:szCs w:val="18"/>
          <w:highlight w:val="yellow"/>
          <w:bdr w:val="none" w:sz="0" w:space="0" w:color="auto" w:frame="1"/>
          <w:vertAlign w:val="subscript"/>
        </w:rPr>
        <w:t>, k</w:t>
      </w:r>
      <w:r w:rsidRPr="000A5065">
        <w:rPr>
          <w:szCs w:val="18"/>
          <w:highlight w:val="yellow"/>
          <w:bdr w:val="none" w:sz="0" w:space="0" w:color="auto" w:frame="1"/>
        </w:rPr>
        <w:t>) measurement points.</w:t>
      </w:r>
      <w:r w:rsidRPr="000A5065">
        <w:rPr>
          <w:szCs w:val="18"/>
          <w:highlight w:val="yellow"/>
        </w:rPr>
        <w:t xml:space="preserve"> </w:t>
      </w:r>
    </w:p>
    <w:p w14:paraId="42DC34D3" w14:textId="57A43CA3" w:rsidR="00D10DC6" w:rsidRPr="000A5065" w:rsidRDefault="00D10DC6" w:rsidP="00D10DC6">
      <w:pPr>
        <w:pStyle w:val="tMain"/>
        <w:rPr>
          <w:rFonts w:ascii="Segoe UI" w:hAnsi="Segoe UI"/>
          <w:szCs w:val="22"/>
          <w:highlight w:val="yellow"/>
        </w:rPr>
      </w:pPr>
      <w:r w:rsidRPr="00E64645">
        <w:rPr>
          <w:szCs w:val="22"/>
          <w:bdr w:val="none" w:sz="0" w:space="0" w:color="auto" w:frame="1"/>
        </w:rPr>
        <w:tab/>
      </w:r>
      <w:r w:rsidRPr="000A5065">
        <w:rPr>
          <w:szCs w:val="22"/>
          <w:highlight w:val="yellow"/>
          <w:bdr w:val="none" w:sz="0" w:space="0" w:color="auto" w:frame="1"/>
        </w:rPr>
        <w:t>(2)</w:t>
      </w:r>
      <w:r w:rsidRPr="000A5065">
        <w:rPr>
          <w:szCs w:val="22"/>
          <w:highlight w:val="yellow"/>
          <w:bdr w:val="none" w:sz="0" w:space="0" w:color="auto" w:frame="1"/>
        </w:rPr>
        <w:tab/>
        <w:t>For </w:t>
      </w:r>
      <w:r w:rsidRPr="000A5065">
        <w:rPr>
          <w:highlight w:val="yellow"/>
        </w:rPr>
        <w:t>subsection 24(2) of the Determination, the volume of biogas sent to biogas upgrading system k from biomethane production dispatch system </w:t>
      </w:r>
      <w:proofErr w:type="spellStart"/>
      <w:r w:rsidRPr="000A5065">
        <w:rPr>
          <w:highlight w:val="yellow"/>
        </w:rPr>
        <w:t>i</w:t>
      </w:r>
      <w:proofErr w:type="spellEnd"/>
      <w:r w:rsidRPr="000A5065">
        <w:rPr>
          <w:highlight w:val="yellow"/>
        </w:rPr>
        <w:t> during a reporting period, </w:t>
      </w:r>
      <w:proofErr w:type="spellStart"/>
      <w:r w:rsidRPr="000A5065">
        <w:rPr>
          <w:highlight w:val="yellow"/>
        </w:rPr>
        <w:t>Q</w:t>
      </w:r>
      <w:r w:rsidRPr="000A5065">
        <w:rPr>
          <w:highlight w:val="yellow"/>
          <w:vertAlign w:val="subscript"/>
        </w:rPr>
        <w:t>biogas</w:t>
      </w:r>
      <w:proofErr w:type="spellEnd"/>
      <w:r w:rsidRPr="000A5065">
        <w:rPr>
          <w:highlight w:val="yellow"/>
          <w:vertAlign w:val="subscript"/>
        </w:rPr>
        <w:t xml:space="preserve"> sent</w:t>
      </w:r>
      <w:r w:rsidR="0032674F" w:rsidRPr="000A5065">
        <w:rPr>
          <w:highlight w:val="yellow"/>
          <w:vertAlign w:val="subscript"/>
        </w:rPr>
        <w:t>,</w:t>
      </w:r>
      <w:r w:rsidRPr="000A5065">
        <w:rPr>
          <w:highlight w:val="yellow"/>
          <w:vertAlign w:val="subscript"/>
        </w:rPr>
        <w:t xml:space="preserve"> k</w:t>
      </w:r>
      <w:r w:rsidRPr="000A5065">
        <w:rPr>
          <w:highlight w:val="yellow"/>
        </w:rPr>
        <w:t>, must be measured in accordance with the following requirements:</w:t>
      </w:r>
    </w:p>
    <w:p w14:paraId="5CC058D6" w14:textId="4C71A598" w:rsidR="006736CF" w:rsidRPr="000A5065" w:rsidRDefault="006736CF" w:rsidP="006736CF">
      <w:pPr>
        <w:pStyle w:val="tPara"/>
        <w:rPr>
          <w:highlight w:val="yellow"/>
        </w:rPr>
      </w:pPr>
      <w:r w:rsidRPr="00E64645">
        <w:tab/>
      </w:r>
      <w:r w:rsidRPr="000A5065">
        <w:rPr>
          <w:highlight w:val="yellow"/>
        </w:rPr>
        <w:t>(a)</w:t>
      </w:r>
      <w:r w:rsidRPr="000A5065">
        <w:rPr>
          <w:highlight w:val="yellow"/>
        </w:rPr>
        <w:tab/>
        <w:t>the biogas flow must be:</w:t>
      </w:r>
    </w:p>
    <w:p w14:paraId="5A1CE059" w14:textId="4231EDBD" w:rsidR="006736CF" w:rsidRPr="000A5065" w:rsidRDefault="006736CF" w:rsidP="006736CF">
      <w:pPr>
        <w:pStyle w:val="tSubpara"/>
        <w:rPr>
          <w:highlight w:val="yellow"/>
        </w:rPr>
      </w:pPr>
      <w:r w:rsidRPr="00E64645">
        <w:tab/>
      </w:r>
      <w:r w:rsidRPr="000A5065">
        <w:rPr>
          <w:highlight w:val="yellow"/>
        </w:rPr>
        <w:t>(</w:t>
      </w:r>
      <w:proofErr w:type="spellStart"/>
      <w:r w:rsidRPr="000A5065">
        <w:rPr>
          <w:highlight w:val="yellow"/>
        </w:rPr>
        <w:t>i</w:t>
      </w:r>
      <w:proofErr w:type="spellEnd"/>
      <w:r w:rsidR="00E64645">
        <w:rPr>
          <w:highlight w:val="yellow"/>
        </w:rPr>
        <w:t>)</w:t>
      </w:r>
      <w:r w:rsidRPr="000A5065">
        <w:rPr>
          <w:highlight w:val="yellow"/>
        </w:rPr>
        <w:tab/>
        <w:t>measured as close to the delivery location of the gaseous fuel to the biogas upgrading system as is safely possible; and</w:t>
      </w:r>
    </w:p>
    <w:p w14:paraId="20D7A65A" w14:textId="4D70AC10" w:rsidR="006736CF" w:rsidRPr="000A5065" w:rsidRDefault="006736CF" w:rsidP="006736CF">
      <w:pPr>
        <w:pStyle w:val="tSubpara"/>
        <w:rPr>
          <w:highlight w:val="yellow"/>
        </w:rPr>
      </w:pPr>
      <w:r w:rsidRPr="00E64645">
        <w:tab/>
      </w:r>
      <w:r w:rsidRPr="000A5065">
        <w:rPr>
          <w:highlight w:val="yellow"/>
        </w:rPr>
        <w:t>(ii)</w:t>
      </w:r>
      <w:r w:rsidRPr="000A5065">
        <w:rPr>
          <w:highlight w:val="yellow"/>
        </w:rPr>
        <w:tab/>
        <w:t>measured using a continuous monitoring system; and</w:t>
      </w:r>
    </w:p>
    <w:p w14:paraId="0C159361" w14:textId="250329FB" w:rsidR="006736CF" w:rsidRPr="000A5065" w:rsidRDefault="006736CF" w:rsidP="006736CF">
      <w:pPr>
        <w:pStyle w:val="tSubpara"/>
        <w:rPr>
          <w:highlight w:val="yellow"/>
        </w:rPr>
      </w:pPr>
      <w:r w:rsidRPr="00E64645">
        <w:tab/>
      </w:r>
      <w:r w:rsidRPr="000A5065">
        <w:rPr>
          <w:highlight w:val="yellow"/>
        </w:rPr>
        <w:t>(iii)</w:t>
      </w:r>
      <w:r w:rsidRPr="000A5065">
        <w:rPr>
          <w:highlight w:val="yellow"/>
        </w:rPr>
        <w:tab/>
        <w:t>measured in a way to enable the volume of biogas sent to a biogas upgrading system sent from a specific biomethane production dispatch system to be determined; and</w:t>
      </w:r>
    </w:p>
    <w:p w14:paraId="32C3AB0F" w14:textId="4B9AF5A6" w:rsidR="006736CF" w:rsidRPr="000A5065" w:rsidRDefault="006736CF" w:rsidP="006736CF">
      <w:pPr>
        <w:pStyle w:val="tSubpara"/>
        <w:rPr>
          <w:highlight w:val="yellow"/>
        </w:rPr>
      </w:pPr>
      <w:r w:rsidRPr="00E64645">
        <w:tab/>
      </w:r>
      <w:r w:rsidRPr="000A5065">
        <w:rPr>
          <w:highlight w:val="yellow"/>
        </w:rPr>
        <w:t>(iv)</w:t>
      </w:r>
      <w:r w:rsidRPr="000A5065">
        <w:rPr>
          <w:highlight w:val="yellow"/>
        </w:rPr>
        <w:tab/>
        <w:t>recorded in cubic metres (m</w:t>
      </w:r>
      <w:r w:rsidRPr="000A5065">
        <w:rPr>
          <w:highlight w:val="yellow"/>
          <w:vertAlign w:val="superscript"/>
        </w:rPr>
        <w:t>3</w:t>
      </w:r>
      <w:proofErr w:type="gramStart"/>
      <w:r w:rsidRPr="000A5065">
        <w:rPr>
          <w:highlight w:val="yellow"/>
        </w:rPr>
        <w:t>)</w:t>
      </w:r>
      <w:r w:rsidR="00F73112" w:rsidRPr="000A5065">
        <w:rPr>
          <w:highlight w:val="yellow"/>
        </w:rPr>
        <w:t>;</w:t>
      </w:r>
      <w:proofErr w:type="gramEnd"/>
    </w:p>
    <w:p w14:paraId="1786287B" w14:textId="4F09E89E" w:rsidR="006736CF" w:rsidRPr="000A5065" w:rsidRDefault="006736CF" w:rsidP="006736CF">
      <w:pPr>
        <w:pStyle w:val="tPara"/>
        <w:rPr>
          <w:highlight w:val="yellow"/>
        </w:rPr>
      </w:pPr>
      <w:r w:rsidRPr="00606385">
        <w:tab/>
      </w:r>
      <w:r w:rsidRPr="000A5065">
        <w:rPr>
          <w:highlight w:val="yellow"/>
        </w:rPr>
        <w:t>(b)</w:t>
      </w:r>
      <w:r w:rsidRPr="000A5065">
        <w:rPr>
          <w:highlight w:val="yellow"/>
        </w:rPr>
        <w:tab/>
        <w:t>biogas flow must be measured using equipment that:</w:t>
      </w:r>
    </w:p>
    <w:p w14:paraId="10CBBBD8" w14:textId="15C394B2" w:rsidR="006736CF" w:rsidRPr="000A5065" w:rsidRDefault="006736CF" w:rsidP="006736CF">
      <w:pPr>
        <w:pStyle w:val="tSubpara"/>
        <w:rPr>
          <w:highlight w:val="yellow"/>
        </w:rPr>
      </w:pPr>
      <w:r w:rsidRPr="00606385">
        <w:tab/>
      </w:r>
      <w:r w:rsidRPr="000A5065">
        <w:rPr>
          <w:highlight w:val="yellow"/>
        </w:rPr>
        <w:t>(</w:t>
      </w:r>
      <w:proofErr w:type="spellStart"/>
      <w:r w:rsidRPr="000A5065">
        <w:rPr>
          <w:highlight w:val="yellow"/>
        </w:rPr>
        <w:t>i</w:t>
      </w:r>
      <w:proofErr w:type="spellEnd"/>
      <w:r w:rsidRPr="000A5065">
        <w:rPr>
          <w:highlight w:val="yellow"/>
        </w:rPr>
        <w:t>)</w:t>
      </w:r>
      <w:r w:rsidRPr="000A5065">
        <w:rPr>
          <w:highlight w:val="yellow"/>
        </w:rPr>
        <w:tab/>
        <w:t xml:space="preserve">is rated for use with raw </w:t>
      </w:r>
      <w:r w:rsidR="00590522" w:rsidRPr="000A5065">
        <w:rPr>
          <w:highlight w:val="yellow"/>
        </w:rPr>
        <w:t>biogas that</w:t>
      </w:r>
      <w:r w:rsidRPr="000A5065">
        <w:rPr>
          <w:highlight w:val="yellow"/>
        </w:rPr>
        <w:t xml:space="preserve"> may contain corrosive ingredients such as hydrogen sulphide, entrained </w:t>
      </w:r>
      <w:proofErr w:type="gramStart"/>
      <w:r w:rsidRPr="000A5065">
        <w:rPr>
          <w:highlight w:val="yellow"/>
        </w:rPr>
        <w:t>aerosols</w:t>
      </w:r>
      <w:proofErr w:type="gramEnd"/>
      <w:r w:rsidRPr="000A5065">
        <w:rPr>
          <w:highlight w:val="yellow"/>
        </w:rPr>
        <w:t xml:space="preserve"> and fine particulate matter; and</w:t>
      </w:r>
    </w:p>
    <w:p w14:paraId="72F21A0B" w14:textId="1989DD21" w:rsidR="006736CF" w:rsidRPr="000A5065" w:rsidRDefault="006736CF" w:rsidP="006736CF">
      <w:pPr>
        <w:pStyle w:val="tSubpara"/>
        <w:rPr>
          <w:highlight w:val="yellow"/>
        </w:rPr>
      </w:pPr>
      <w:r w:rsidRPr="00606385">
        <w:tab/>
      </w:r>
      <w:r w:rsidRPr="000A5065">
        <w:rPr>
          <w:highlight w:val="yellow"/>
        </w:rPr>
        <w:t>(ii)</w:t>
      </w:r>
      <w:r w:rsidRPr="000A5065">
        <w:rPr>
          <w:highlight w:val="yellow"/>
        </w:rPr>
        <w:tab/>
        <w:t>is rated for use at the expected flow rates and pressures for the biogas upgrade system being used; and</w:t>
      </w:r>
    </w:p>
    <w:p w14:paraId="4CDE0A43" w14:textId="73351096" w:rsidR="006736CF" w:rsidRPr="000A5065" w:rsidRDefault="006736CF" w:rsidP="006736CF">
      <w:pPr>
        <w:pStyle w:val="tSubpara"/>
        <w:rPr>
          <w:highlight w:val="yellow"/>
        </w:rPr>
      </w:pPr>
      <w:r w:rsidRPr="00606385">
        <w:tab/>
      </w:r>
      <w:r w:rsidRPr="000A5065">
        <w:rPr>
          <w:highlight w:val="yellow"/>
        </w:rPr>
        <w:t>(iii)</w:t>
      </w:r>
      <w:r w:rsidRPr="000A5065">
        <w:rPr>
          <w:highlight w:val="yellow"/>
        </w:rPr>
        <w:tab/>
        <w:t>is designed for use in the anticipated operating temperature range; and</w:t>
      </w:r>
    </w:p>
    <w:p w14:paraId="4B690432" w14:textId="7E101031" w:rsidR="006736CF" w:rsidRPr="000A5065" w:rsidRDefault="006736CF" w:rsidP="00A07D74">
      <w:pPr>
        <w:pStyle w:val="tSubpara"/>
        <w:rPr>
          <w:highlight w:val="yellow"/>
          <w:bdr w:val="none" w:sz="0" w:space="0" w:color="auto" w:frame="1"/>
        </w:rPr>
      </w:pPr>
      <w:r w:rsidRPr="00606385">
        <w:tab/>
      </w:r>
      <w:r w:rsidRPr="000A5065">
        <w:rPr>
          <w:highlight w:val="yellow"/>
        </w:rPr>
        <w:t>(iv)</w:t>
      </w:r>
      <w:r w:rsidRPr="000A5065">
        <w:rPr>
          <w:highlight w:val="yellow"/>
        </w:rPr>
        <w:tab/>
        <w:t>is accurate to +/ 5% for flow measurement.</w:t>
      </w:r>
    </w:p>
    <w:p w14:paraId="41EFA2CA" w14:textId="2F2A4418" w:rsidR="00E95C71" w:rsidRPr="000A5065" w:rsidRDefault="00E95C71" w:rsidP="00E95C71">
      <w:pPr>
        <w:pStyle w:val="tMain"/>
        <w:rPr>
          <w:rFonts w:ascii="Segoe UI" w:hAnsi="Segoe UI"/>
          <w:sz w:val="27"/>
          <w:szCs w:val="27"/>
          <w:highlight w:val="yellow"/>
        </w:rPr>
      </w:pPr>
      <w:r w:rsidRPr="00606385">
        <w:rPr>
          <w:sz w:val="27"/>
          <w:szCs w:val="27"/>
          <w:bdr w:val="none" w:sz="0" w:space="0" w:color="auto" w:frame="1"/>
        </w:rPr>
        <w:tab/>
      </w:r>
      <w:r w:rsidRPr="000A5065">
        <w:rPr>
          <w:highlight w:val="yellow"/>
          <w:bdr w:val="none" w:sz="0" w:space="0" w:color="auto" w:frame="1"/>
        </w:rPr>
        <w:t>(</w:t>
      </w:r>
      <w:r w:rsidR="006736CF" w:rsidRPr="000A5065">
        <w:rPr>
          <w:highlight w:val="yellow"/>
          <w:bdr w:val="none" w:sz="0" w:space="0" w:color="auto" w:frame="1"/>
        </w:rPr>
        <w:t>3</w:t>
      </w:r>
      <w:r w:rsidRPr="000A5065">
        <w:rPr>
          <w:highlight w:val="yellow"/>
          <w:bdr w:val="none" w:sz="0" w:space="0" w:color="auto" w:frame="1"/>
        </w:rPr>
        <w:t>)</w:t>
      </w:r>
      <w:r w:rsidRPr="000A5065">
        <w:rPr>
          <w:sz w:val="27"/>
          <w:szCs w:val="27"/>
          <w:highlight w:val="yellow"/>
          <w:bdr w:val="none" w:sz="0" w:space="0" w:color="auto" w:frame="1"/>
        </w:rPr>
        <w:tab/>
      </w:r>
      <w:r w:rsidRPr="000A5065">
        <w:rPr>
          <w:highlight w:val="yellow"/>
          <w:bdr w:val="none" w:sz="0" w:space="0" w:color="auto" w:frame="1"/>
        </w:rPr>
        <w:t>For paragraph (</w:t>
      </w:r>
      <w:r w:rsidR="005D5FC3" w:rsidRPr="000A5065">
        <w:rPr>
          <w:highlight w:val="yellow"/>
          <w:bdr w:val="none" w:sz="0" w:space="0" w:color="auto" w:frame="1"/>
        </w:rPr>
        <w:t>b</w:t>
      </w:r>
      <w:r w:rsidRPr="000A5065">
        <w:rPr>
          <w:highlight w:val="yellow"/>
          <w:bdr w:val="none" w:sz="0" w:space="0" w:color="auto" w:frame="1"/>
        </w:rPr>
        <w:t>)</w:t>
      </w:r>
      <w:r w:rsidR="005D5FC3" w:rsidRPr="000A5065">
        <w:rPr>
          <w:highlight w:val="yellow"/>
          <w:bdr w:val="none" w:sz="0" w:space="0" w:color="auto" w:frame="1"/>
        </w:rPr>
        <w:t xml:space="preserve"> of the definition of </w:t>
      </w:r>
      <w:proofErr w:type="spellStart"/>
      <w:r w:rsidR="005D5FC3" w:rsidRPr="000A5065">
        <w:rPr>
          <w:i/>
          <w:iCs/>
          <w:highlight w:val="yellow"/>
          <w:bdr w:val="none" w:sz="0" w:space="0" w:color="auto" w:frame="1"/>
        </w:rPr>
        <w:t>PL</w:t>
      </w:r>
      <w:r w:rsidR="005D5FC3" w:rsidRPr="000A5065">
        <w:rPr>
          <w:i/>
          <w:iCs/>
          <w:sz w:val="11"/>
          <w:szCs w:val="11"/>
          <w:highlight w:val="yellow"/>
          <w:bdr w:val="none" w:sz="0" w:space="0" w:color="auto" w:frame="1"/>
          <w:vertAlign w:val="subscript"/>
        </w:rPr>
        <w:t>k</w:t>
      </w:r>
      <w:proofErr w:type="spellEnd"/>
      <w:r w:rsidR="005D5FC3" w:rsidRPr="000A5065">
        <w:rPr>
          <w:highlight w:val="yellow"/>
          <w:bdr w:val="none" w:sz="0" w:space="0" w:color="auto" w:frame="1"/>
        </w:rPr>
        <w:t> in sub</w:t>
      </w:r>
      <w:r w:rsidR="0042623F" w:rsidRPr="000A5065">
        <w:rPr>
          <w:highlight w:val="yellow"/>
          <w:bdr w:val="none" w:sz="0" w:space="0" w:color="auto" w:frame="1"/>
        </w:rPr>
        <w:t>clause</w:t>
      </w:r>
      <w:r w:rsidR="005D5FC3" w:rsidRPr="000A5065">
        <w:rPr>
          <w:highlight w:val="yellow"/>
          <w:bdr w:val="none" w:sz="0" w:space="0" w:color="auto" w:frame="1"/>
        </w:rPr>
        <w:t xml:space="preserve"> (1)</w:t>
      </w:r>
      <w:r w:rsidRPr="000A5065">
        <w:rPr>
          <w:highlight w:val="yellow"/>
          <w:bdr w:val="none" w:sz="0" w:space="0" w:color="auto" w:frame="1"/>
        </w:rPr>
        <w:t>, the biomethane production loss factor for biogas upgrading system </w:t>
      </w:r>
      <w:r w:rsidRPr="000A5065">
        <w:rPr>
          <w:i/>
          <w:iCs/>
          <w:highlight w:val="yellow"/>
          <w:bdr w:val="none" w:sz="0" w:space="0" w:color="auto" w:frame="1"/>
        </w:rPr>
        <w:t>k</w:t>
      </w:r>
      <w:r w:rsidRPr="000A5065">
        <w:rPr>
          <w:highlight w:val="yellow"/>
          <w:bdr w:val="none" w:sz="0" w:space="0" w:color="auto" w:frame="1"/>
        </w:rPr>
        <w:t> (</w:t>
      </w:r>
      <w:proofErr w:type="spellStart"/>
      <w:r w:rsidRPr="000A5065">
        <w:rPr>
          <w:i/>
          <w:iCs/>
          <w:highlight w:val="yellow"/>
          <w:bdr w:val="none" w:sz="0" w:space="0" w:color="auto" w:frame="1"/>
        </w:rPr>
        <w:t>PL</w:t>
      </w:r>
      <w:r w:rsidRPr="000A5065">
        <w:rPr>
          <w:i/>
          <w:iCs/>
          <w:sz w:val="11"/>
          <w:szCs w:val="11"/>
          <w:highlight w:val="yellow"/>
          <w:bdr w:val="none" w:sz="0" w:space="0" w:color="auto" w:frame="1"/>
          <w:vertAlign w:val="subscript"/>
        </w:rPr>
        <w:t>k</w:t>
      </w:r>
      <w:proofErr w:type="spellEnd"/>
      <w:r w:rsidRPr="000A5065">
        <w:rPr>
          <w:highlight w:val="yellow"/>
          <w:bdr w:val="none" w:sz="0" w:space="0" w:color="auto" w:frame="1"/>
        </w:rPr>
        <w:t>), expressed as a fraction, must be:</w:t>
      </w:r>
    </w:p>
    <w:p w14:paraId="2144F986" w14:textId="77777777" w:rsidR="00E95C71" w:rsidRPr="000A5065" w:rsidRDefault="00E95C71" w:rsidP="00E95C71">
      <w:pPr>
        <w:pStyle w:val="tPara"/>
        <w:rPr>
          <w:highlight w:val="yellow"/>
        </w:rPr>
      </w:pPr>
      <w:r w:rsidRPr="00606385">
        <w:tab/>
      </w:r>
      <w:r w:rsidRPr="000A5065">
        <w:rPr>
          <w:highlight w:val="yellow"/>
        </w:rPr>
        <w:t>(a)</w:t>
      </w:r>
      <w:r w:rsidRPr="000A5065">
        <w:rPr>
          <w:highlight w:val="yellow"/>
        </w:rPr>
        <w:tab/>
        <w:t>determined as a fraction, in accordance with the manufacturer’s listed specifications for the biogas upgrading system; or</w:t>
      </w:r>
    </w:p>
    <w:p w14:paraId="6E2550DC" w14:textId="517C77D7" w:rsidR="00E95C71" w:rsidRPr="000A5065" w:rsidRDefault="00E95C71" w:rsidP="00E95C71">
      <w:pPr>
        <w:pStyle w:val="tPara"/>
        <w:rPr>
          <w:highlight w:val="yellow"/>
        </w:rPr>
      </w:pPr>
      <w:r w:rsidRPr="00606385">
        <w:tab/>
      </w:r>
      <w:r w:rsidRPr="000A5065">
        <w:rPr>
          <w:highlight w:val="yellow"/>
        </w:rPr>
        <w:t>(b)</w:t>
      </w:r>
      <w:r w:rsidRPr="000A5065">
        <w:rPr>
          <w:highlight w:val="yellow"/>
        </w:rPr>
        <w:tab/>
        <w:t>measured as a fraction, in accordance with the manufacturer’s specification in the technical manual for the biogas upgrading system.</w:t>
      </w:r>
    </w:p>
    <w:p w14:paraId="289BF731" w14:textId="7B7EE5F0" w:rsidR="00E95C71" w:rsidRPr="000A5065" w:rsidRDefault="00E95C71" w:rsidP="00E95C71">
      <w:pPr>
        <w:pStyle w:val="tMain"/>
        <w:rPr>
          <w:rFonts w:ascii="Segoe UI" w:hAnsi="Segoe UI"/>
          <w:sz w:val="27"/>
          <w:szCs w:val="27"/>
          <w:highlight w:val="yellow"/>
        </w:rPr>
      </w:pPr>
      <w:r w:rsidRPr="00606385">
        <w:rPr>
          <w:szCs w:val="22"/>
          <w:bdr w:val="none" w:sz="0" w:space="0" w:color="auto" w:frame="1"/>
        </w:rPr>
        <w:tab/>
      </w:r>
      <w:r w:rsidR="00606385" w:rsidRPr="00606385">
        <w:rPr>
          <w:szCs w:val="22"/>
          <w:highlight w:val="yellow"/>
          <w:bdr w:val="none" w:sz="0" w:space="0" w:color="auto" w:frame="1"/>
        </w:rPr>
        <w:t>(</w:t>
      </w:r>
      <w:r w:rsidR="006736CF" w:rsidRPr="000A5065">
        <w:rPr>
          <w:highlight w:val="yellow"/>
          <w:bdr w:val="none" w:sz="0" w:space="0" w:color="auto" w:frame="1"/>
        </w:rPr>
        <w:t>4</w:t>
      </w:r>
      <w:r w:rsidRPr="000A5065">
        <w:rPr>
          <w:highlight w:val="yellow"/>
          <w:bdr w:val="none" w:sz="0" w:space="0" w:color="auto" w:frame="1"/>
        </w:rPr>
        <w:t>)</w:t>
      </w:r>
      <w:r w:rsidRPr="000A5065">
        <w:rPr>
          <w:highlight w:val="yellow"/>
          <w:bdr w:val="none" w:sz="0" w:space="0" w:color="auto" w:frame="1"/>
        </w:rPr>
        <w:tab/>
        <w:t>For paragraph (</w:t>
      </w:r>
      <w:r w:rsidR="0042623F" w:rsidRPr="000A5065">
        <w:rPr>
          <w:highlight w:val="yellow"/>
          <w:bdr w:val="none" w:sz="0" w:space="0" w:color="auto" w:frame="1"/>
        </w:rPr>
        <w:t>3</w:t>
      </w:r>
      <w:r w:rsidRPr="000A5065">
        <w:rPr>
          <w:highlight w:val="yellow"/>
          <w:bdr w:val="none" w:sz="0" w:space="0" w:color="auto" w:frame="1"/>
        </w:rPr>
        <w:t>)(a), if the manufacturer’s listed specifications for</w:t>
      </w:r>
      <w:r w:rsidR="0034454C" w:rsidRPr="000A5065">
        <w:rPr>
          <w:highlight w:val="yellow"/>
          <w:bdr w:val="none" w:sz="0" w:space="0" w:color="auto" w:frame="1"/>
        </w:rPr>
        <w:t xml:space="preserve"> the biomethane production</w:t>
      </w:r>
      <w:r w:rsidRPr="000A5065">
        <w:rPr>
          <w:highlight w:val="yellow"/>
          <w:bdr w:val="none" w:sz="0" w:space="0" w:color="auto" w:frame="1"/>
        </w:rPr>
        <w:t xml:space="preserve"> loss factor sets out a range of values, the highest of those values must be selected.</w:t>
      </w:r>
    </w:p>
    <w:p w14:paraId="578C0848" w14:textId="48B557EB" w:rsidR="00063B3D" w:rsidRPr="000A5065" w:rsidRDefault="00C333DA" w:rsidP="00063B3D">
      <w:pPr>
        <w:pStyle w:val="tMain"/>
        <w:rPr>
          <w:highlight w:val="yellow"/>
          <w:bdr w:val="none" w:sz="0" w:space="0" w:color="auto" w:frame="1"/>
        </w:rPr>
      </w:pPr>
      <w:r w:rsidRPr="00606385">
        <w:rPr>
          <w:sz w:val="27"/>
          <w:szCs w:val="27"/>
          <w:bdr w:val="none" w:sz="0" w:space="0" w:color="auto" w:frame="1"/>
        </w:rPr>
        <w:tab/>
      </w:r>
      <w:r w:rsidRPr="000A5065">
        <w:rPr>
          <w:highlight w:val="yellow"/>
          <w:bdr w:val="none" w:sz="0" w:space="0" w:color="auto" w:frame="1"/>
        </w:rPr>
        <w:t>(</w:t>
      </w:r>
      <w:r w:rsidR="006736CF" w:rsidRPr="000A5065">
        <w:rPr>
          <w:highlight w:val="yellow"/>
          <w:bdr w:val="none" w:sz="0" w:space="0" w:color="auto" w:frame="1"/>
        </w:rPr>
        <w:t>5</w:t>
      </w:r>
      <w:r w:rsidRPr="000A5065">
        <w:rPr>
          <w:highlight w:val="yellow"/>
          <w:bdr w:val="none" w:sz="0" w:space="0" w:color="auto" w:frame="1"/>
        </w:rPr>
        <w:t>)</w:t>
      </w:r>
      <w:r w:rsidRPr="000A5065">
        <w:rPr>
          <w:sz w:val="27"/>
          <w:szCs w:val="27"/>
          <w:highlight w:val="yellow"/>
          <w:bdr w:val="none" w:sz="0" w:space="0" w:color="auto" w:frame="1"/>
        </w:rPr>
        <w:tab/>
      </w:r>
      <w:r w:rsidR="004F06E4" w:rsidRPr="000A5065">
        <w:rPr>
          <w:szCs w:val="22"/>
          <w:highlight w:val="yellow"/>
          <w:bdr w:val="none" w:sz="0" w:space="0" w:color="auto" w:frame="1"/>
        </w:rPr>
        <w:t>T</w:t>
      </w:r>
      <w:r w:rsidR="0040077C" w:rsidRPr="000A5065">
        <w:rPr>
          <w:szCs w:val="22"/>
          <w:highlight w:val="yellow"/>
          <w:bdr w:val="none" w:sz="0" w:space="0" w:color="auto" w:frame="1"/>
        </w:rPr>
        <w:t>he </w:t>
      </w:r>
      <w:r w:rsidRPr="000A5065">
        <w:rPr>
          <w:highlight w:val="yellow"/>
          <w:bdr w:val="none" w:sz="0" w:space="0" w:color="auto" w:frame="1"/>
        </w:rPr>
        <w:t>fraction of unaccounted for biogas for biomethane production dispatch system</w:t>
      </w:r>
      <w:r w:rsidRPr="000A5065">
        <w:rPr>
          <w:i/>
          <w:iCs/>
          <w:highlight w:val="yellow"/>
          <w:bdr w:val="none" w:sz="0" w:space="0" w:color="auto" w:frame="1"/>
        </w:rPr>
        <w:t> </w:t>
      </w:r>
      <w:proofErr w:type="spellStart"/>
      <w:r w:rsidR="00AF2C5A" w:rsidRPr="000A5065">
        <w:rPr>
          <w:i/>
          <w:iCs/>
          <w:highlight w:val="yellow"/>
          <w:bdr w:val="none" w:sz="0" w:space="0" w:color="auto" w:frame="1"/>
        </w:rPr>
        <w:t>i</w:t>
      </w:r>
      <w:proofErr w:type="spellEnd"/>
      <w:r w:rsidR="00AF2C5A" w:rsidRPr="000A5065">
        <w:rPr>
          <w:i/>
          <w:iCs/>
          <w:highlight w:val="yellow"/>
          <w:bdr w:val="none" w:sz="0" w:space="0" w:color="auto" w:frame="1"/>
        </w:rPr>
        <w:t xml:space="preserve"> </w:t>
      </w:r>
      <w:r w:rsidRPr="000A5065">
        <w:rPr>
          <w:highlight w:val="yellow"/>
          <w:bdr w:val="none" w:sz="0" w:space="0" w:color="auto" w:frame="1"/>
        </w:rPr>
        <w:t>during a reporting period, </w:t>
      </w:r>
      <w:proofErr w:type="spellStart"/>
      <w:r w:rsidRPr="000A5065">
        <w:rPr>
          <w:i/>
          <w:iCs/>
          <w:highlight w:val="yellow"/>
          <w:bdr w:val="none" w:sz="0" w:space="0" w:color="auto" w:frame="1"/>
        </w:rPr>
        <w:t>UF</w:t>
      </w:r>
      <w:r w:rsidRPr="000A5065">
        <w:rPr>
          <w:i/>
          <w:iCs/>
          <w:sz w:val="11"/>
          <w:szCs w:val="11"/>
          <w:highlight w:val="yellow"/>
          <w:bdr w:val="none" w:sz="0" w:space="0" w:color="auto" w:frame="1"/>
          <w:vertAlign w:val="subscript"/>
        </w:rPr>
        <w:t>biogas</w:t>
      </w:r>
      <w:proofErr w:type="spellEnd"/>
      <w:r w:rsidRPr="000A5065">
        <w:rPr>
          <w:i/>
          <w:iCs/>
          <w:sz w:val="11"/>
          <w:szCs w:val="11"/>
          <w:highlight w:val="yellow"/>
          <w:bdr w:val="none" w:sz="0" w:space="0" w:color="auto" w:frame="1"/>
          <w:vertAlign w:val="subscript"/>
        </w:rPr>
        <w:t xml:space="preserve">, </w:t>
      </w:r>
      <w:proofErr w:type="spellStart"/>
      <w:r w:rsidRPr="000A5065">
        <w:rPr>
          <w:i/>
          <w:iCs/>
          <w:sz w:val="11"/>
          <w:szCs w:val="11"/>
          <w:highlight w:val="yellow"/>
          <w:bdr w:val="none" w:sz="0" w:space="0" w:color="auto" w:frame="1"/>
          <w:vertAlign w:val="subscript"/>
        </w:rPr>
        <w:t>i</w:t>
      </w:r>
      <w:proofErr w:type="spellEnd"/>
      <w:r w:rsidRPr="000A5065">
        <w:rPr>
          <w:highlight w:val="yellow"/>
          <w:bdr w:val="none" w:sz="0" w:space="0" w:color="auto" w:frame="1"/>
        </w:rPr>
        <w:t>, expressed as a fraction, is worked out using the formula:</w:t>
      </w:r>
    </w:p>
    <w:p w14:paraId="1625D43F" w14:textId="77777777" w:rsidR="00416CDE" w:rsidRPr="000A5065" w:rsidRDefault="00416CDE" w:rsidP="00063B3D">
      <w:pPr>
        <w:pStyle w:val="tMain"/>
        <w:rPr>
          <w:highlight w:val="yellow"/>
        </w:rPr>
      </w:pPr>
    </w:p>
    <w:tbl>
      <w:tblPr>
        <w:tblStyle w:val="TableGrid"/>
        <w:tblW w:w="0" w:type="auto"/>
        <w:tblInd w:w="1165" w:type="dxa"/>
        <w:tblLook w:val="04A0" w:firstRow="1" w:lastRow="0" w:firstColumn="1" w:lastColumn="0" w:noHBand="0" w:noVBand="1"/>
      </w:tblPr>
      <w:tblGrid>
        <w:gridCol w:w="5493"/>
        <w:gridCol w:w="1645"/>
      </w:tblGrid>
      <w:tr w:rsidR="00063B3D" w:rsidRPr="000A5065" w14:paraId="3EECDCBC" w14:textId="77777777" w:rsidTr="00257AD4">
        <w:tc>
          <w:tcPr>
            <w:tcW w:w="5493" w:type="dxa"/>
            <w:tcBorders>
              <w:top w:val="single" w:sz="4" w:space="0" w:color="auto"/>
              <w:left w:val="single" w:sz="4" w:space="0" w:color="auto"/>
              <w:bottom w:val="single" w:sz="4" w:space="0" w:color="auto"/>
              <w:right w:val="single" w:sz="4" w:space="0" w:color="auto"/>
            </w:tcBorders>
          </w:tcPr>
          <w:p w14:paraId="0B4B8D85" w14:textId="77777777" w:rsidR="00063B3D" w:rsidRPr="000A5065" w:rsidRDefault="00063B3D" w:rsidP="00B843D5">
            <w:pPr>
              <w:jc w:val="center"/>
              <w:rPr>
                <w:highlight w:val="yellow"/>
              </w:rPr>
            </w:pPr>
          </w:p>
          <w:p w14:paraId="6C80E056" w14:textId="55501329" w:rsidR="00063B3D" w:rsidRPr="000A5065" w:rsidRDefault="00111062" w:rsidP="00B843D5">
            <w:pPr>
              <w:jc w:val="center"/>
              <w:rPr>
                <w:highlight w:val="yellow"/>
              </w:rPr>
            </w:pPr>
            <m:oMathPara>
              <m:oMath>
                <m:sSub>
                  <m:sSubPr>
                    <m:ctrlPr>
                      <w:rPr>
                        <w:rFonts w:ascii="Cambria Math" w:hAnsi="Cambria Math"/>
                        <w:i/>
                        <w:highlight w:val="yellow"/>
                      </w:rPr>
                    </m:ctrlPr>
                  </m:sSubPr>
                  <m:e>
                    <m:r>
                      <w:rPr>
                        <w:rFonts w:ascii="Cambria Math" w:hAnsi="Cambria Math"/>
                        <w:highlight w:val="yellow"/>
                      </w:rPr>
                      <m:t>UF</m:t>
                    </m:r>
                  </m:e>
                  <m:sub>
                    <m:r>
                      <w:rPr>
                        <w:rFonts w:ascii="Cambria Math" w:hAnsi="Cambria Math"/>
                        <w:highlight w:val="yellow"/>
                      </w:rPr>
                      <m:t>biogas,   i</m:t>
                    </m:r>
                  </m:sub>
                </m:sSub>
                <m:r>
                  <w:rPr>
                    <w:rFonts w:ascii="Cambria Math" w:hAnsi="Cambria Math"/>
                    <w:highlight w:val="yellow"/>
                  </w:rPr>
                  <m:t>=1-</m:t>
                </m:r>
                <m:f>
                  <m:fPr>
                    <m:ctrlPr>
                      <w:rPr>
                        <w:rFonts w:ascii="Cambria Math" w:hAnsi="Cambria Math"/>
                        <w:i/>
                        <w:highlight w:val="yellow"/>
                      </w:rPr>
                    </m:ctrlPr>
                  </m:fPr>
                  <m:num>
                    <m:nary>
                      <m:naryPr>
                        <m:chr m:val="∑"/>
                        <m:limLoc m:val="subSup"/>
                        <m:supHide m:val="1"/>
                        <m:ctrlPr>
                          <w:rPr>
                            <w:rFonts w:ascii="Cambria Math" w:hAnsi="Cambria Math"/>
                            <w:i/>
                            <w:highlight w:val="yellow"/>
                          </w:rPr>
                        </m:ctrlPr>
                      </m:naryPr>
                      <m:sub>
                        <m:r>
                          <w:rPr>
                            <w:rFonts w:ascii="Cambria Math" w:hAnsi="Cambria Math"/>
                            <w:highlight w:val="yellow"/>
                          </w:rPr>
                          <m:t>k</m:t>
                        </m:r>
                      </m:sub>
                      <m:sup/>
                      <m:e>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biogas sent,   k</m:t>
                            </m:r>
                          </m:sub>
                        </m:sSub>
                      </m:e>
                    </m:nary>
                  </m:num>
                  <m:den>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biogas,   i</m:t>
                        </m:r>
                      </m:sub>
                    </m:sSub>
                  </m:den>
                </m:f>
              </m:oMath>
            </m:oMathPara>
          </w:p>
        </w:tc>
        <w:tc>
          <w:tcPr>
            <w:tcW w:w="1645" w:type="dxa"/>
            <w:tcBorders>
              <w:top w:val="single" w:sz="4" w:space="0" w:color="auto"/>
              <w:left w:val="single" w:sz="4" w:space="0" w:color="auto"/>
              <w:bottom w:val="single" w:sz="4" w:space="0" w:color="auto"/>
              <w:right w:val="single" w:sz="4" w:space="0" w:color="auto"/>
            </w:tcBorders>
            <w:vAlign w:val="center"/>
          </w:tcPr>
          <w:p w14:paraId="272B25DA" w14:textId="77777777" w:rsidR="00063B3D" w:rsidRPr="000A5065" w:rsidRDefault="00063B3D" w:rsidP="00B843D5">
            <w:pPr>
              <w:rPr>
                <w:highlight w:val="yellow"/>
              </w:rPr>
            </w:pPr>
          </w:p>
          <w:p w14:paraId="3D57D12C" w14:textId="47EFF7A0" w:rsidR="00063B3D" w:rsidRPr="000A5065" w:rsidRDefault="00063B3D" w:rsidP="00B843D5">
            <w:pPr>
              <w:jc w:val="center"/>
              <w:rPr>
                <w:highlight w:val="yellow"/>
              </w:rPr>
            </w:pPr>
            <w:r w:rsidRPr="000A5065">
              <w:rPr>
                <w:highlight w:val="yellow"/>
              </w:rPr>
              <w:t>Equation S0</w:t>
            </w:r>
            <w:r w:rsidR="00E940C9" w:rsidRPr="000A5065">
              <w:rPr>
                <w:highlight w:val="yellow"/>
              </w:rPr>
              <w:t>A</w:t>
            </w:r>
          </w:p>
          <w:p w14:paraId="6D004891" w14:textId="77777777" w:rsidR="00063B3D" w:rsidRPr="000A5065" w:rsidRDefault="00063B3D" w:rsidP="00B843D5">
            <w:pPr>
              <w:rPr>
                <w:highlight w:val="yellow"/>
              </w:rPr>
            </w:pPr>
          </w:p>
        </w:tc>
      </w:tr>
    </w:tbl>
    <w:p w14:paraId="53215A69" w14:textId="6522BC20" w:rsidR="00C333DA" w:rsidRPr="000A5065" w:rsidRDefault="00C333DA" w:rsidP="00C333DA">
      <w:pPr>
        <w:pStyle w:val="tMain"/>
        <w:rPr>
          <w:rFonts w:ascii="Segoe UI" w:hAnsi="Segoe UI"/>
          <w:szCs w:val="22"/>
          <w:highlight w:val="yellow"/>
        </w:rPr>
      </w:pPr>
      <w:r w:rsidRPr="00606385">
        <w:rPr>
          <w:szCs w:val="22"/>
          <w:bdr w:val="none" w:sz="0" w:space="0" w:color="auto" w:frame="1"/>
        </w:rPr>
        <w:tab/>
      </w:r>
      <w:r w:rsidRPr="00606385">
        <w:rPr>
          <w:szCs w:val="22"/>
          <w:bdr w:val="none" w:sz="0" w:space="0" w:color="auto" w:frame="1"/>
        </w:rPr>
        <w:tab/>
      </w:r>
      <w:r w:rsidRPr="000A5065">
        <w:rPr>
          <w:szCs w:val="22"/>
          <w:highlight w:val="yellow"/>
          <w:bdr w:val="none" w:sz="0" w:space="0" w:color="auto" w:frame="1"/>
        </w:rPr>
        <w:t>where:</w:t>
      </w:r>
    </w:p>
    <w:p w14:paraId="41965505" w14:textId="77777777" w:rsidR="00C333DA" w:rsidRPr="000A5065" w:rsidRDefault="00C333DA" w:rsidP="00C333DA">
      <w:pPr>
        <w:pStyle w:val="tMain"/>
        <w:rPr>
          <w:rFonts w:ascii="Segoe UI" w:hAnsi="Segoe UI"/>
          <w:szCs w:val="22"/>
          <w:highlight w:val="yellow"/>
        </w:rPr>
      </w:pPr>
      <w:r w:rsidRPr="00606385">
        <w:rPr>
          <w:b/>
          <w:bCs/>
          <w:i/>
          <w:iCs/>
          <w:szCs w:val="22"/>
          <w:bdr w:val="none" w:sz="0" w:space="0" w:color="auto" w:frame="1"/>
        </w:rPr>
        <w:tab/>
      </w:r>
      <w:r w:rsidRPr="00606385">
        <w:rPr>
          <w:b/>
          <w:bCs/>
          <w:i/>
          <w:iCs/>
          <w:szCs w:val="22"/>
          <w:bdr w:val="none" w:sz="0" w:space="0" w:color="auto" w:frame="1"/>
        </w:rPr>
        <w:tab/>
      </w:r>
      <w:r w:rsidRPr="000A5065">
        <w:rPr>
          <w:b/>
          <w:bCs/>
          <w:i/>
          <w:iCs/>
          <w:szCs w:val="22"/>
          <w:highlight w:val="yellow"/>
          <w:bdr w:val="none" w:sz="0" w:space="0" w:color="auto" w:frame="1"/>
        </w:rPr>
        <w:t>k </w:t>
      </w:r>
      <w:r w:rsidRPr="000A5065">
        <w:rPr>
          <w:szCs w:val="22"/>
          <w:highlight w:val="yellow"/>
          <w:bdr w:val="none" w:sz="0" w:space="0" w:color="auto" w:frame="1"/>
        </w:rPr>
        <w:t>is a biogas upgrading system to which biogas is sent by biomethane production dispatch system </w:t>
      </w:r>
      <w:proofErr w:type="spellStart"/>
      <w:r w:rsidRPr="000A5065">
        <w:rPr>
          <w:i/>
          <w:iCs/>
          <w:szCs w:val="22"/>
          <w:highlight w:val="yellow"/>
          <w:bdr w:val="none" w:sz="0" w:space="0" w:color="auto" w:frame="1"/>
        </w:rPr>
        <w:t>i</w:t>
      </w:r>
      <w:proofErr w:type="spellEnd"/>
      <w:r w:rsidRPr="000A5065">
        <w:rPr>
          <w:szCs w:val="22"/>
          <w:highlight w:val="yellow"/>
          <w:bdr w:val="none" w:sz="0" w:space="0" w:color="auto" w:frame="1"/>
        </w:rPr>
        <w:t>.</w:t>
      </w:r>
    </w:p>
    <w:p w14:paraId="3F4889B7" w14:textId="5749C25A" w:rsidR="00C333DA" w:rsidRPr="000A5065" w:rsidRDefault="00C333DA" w:rsidP="00C333DA">
      <w:pPr>
        <w:pStyle w:val="tMain"/>
        <w:rPr>
          <w:rFonts w:ascii="Segoe UI" w:hAnsi="Segoe UI"/>
          <w:szCs w:val="22"/>
          <w:highlight w:val="yellow"/>
        </w:rPr>
      </w:pPr>
      <w:r w:rsidRPr="00606385">
        <w:rPr>
          <w:b/>
          <w:bCs/>
          <w:i/>
          <w:iCs/>
          <w:szCs w:val="22"/>
          <w:bdr w:val="none" w:sz="0" w:space="0" w:color="auto" w:frame="1"/>
        </w:rPr>
        <w:tab/>
      </w:r>
      <w:r w:rsidRPr="00606385">
        <w:rPr>
          <w:b/>
          <w:bCs/>
          <w:i/>
          <w:iCs/>
          <w:szCs w:val="22"/>
          <w:bdr w:val="none" w:sz="0" w:space="0" w:color="auto" w:frame="1"/>
        </w:rPr>
        <w:tab/>
      </w:r>
      <w:proofErr w:type="spellStart"/>
      <w:r w:rsidRPr="000A5065">
        <w:rPr>
          <w:b/>
          <w:bCs/>
          <w:i/>
          <w:iCs/>
          <w:szCs w:val="22"/>
          <w:highlight w:val="yellow"/>
          <w:bdr w:val="none" w:sz="0" w:space="0" w:color="auto" w:frame="1"/>
        </w:rPr>
        <w:t>Q</w:t>
      </w:r>
      <w:r w:rsidRPr="000A5065">
        <w:rPr>
          <w:b/>
          <w:bCs/>
          <w:i/>
          <w:iCs/>
          <w:szCs w:val="22"/>
          <w:highlight w:val="yellow"/>
          <w:bdr w:val="none" w:sz="0" w:space="0" w:color="auto" w:frame="1"/>
          <w:vertAlign w:val="subscript"/>
        </w:rPr>
        <w:t>biogas</w:t>
      </w:r>
      <w:proofErr w:type="spellEnd"/>
      <w:r w:rsidR="00FF1A55" w:rsidRPr="000A5065">
        <w:rPr>
          <w:b/>
          <w:bCs/>
          <w:i/>
          <w:iCs/>
          <w:szCs w:val="22"/>
          <w:highlight w:val="yellow"/>
          <w:bdr w:val="none" w:sz="0" w:space="0" w:color="auto" w:frame="1"/>
          <w:vertAlign w:val="subscript"/>
        </w:rPr>
        <w:t xml:space="preserve"> sent</w:t>
      </w:r>
      <w:r w:rsidRPr="000A5065">
        <w:rPr>
          <w:b/>
          <w:bCs/>
          <w:i/>
          <w:iCs/>
          <w:szCs w:val="22"/>
          <w:highlight w:val="yellow"/>
          <w:bdr w:val="none" w:sz="0" w:space="0" w:color="auto" w:frame="1"/>
          <w:vertAlign w:val="subscript"/>
        </w:rPr>
        <w:t>, k</w:t>
      </w:r>
      <w:r w:rsidRPr="000A5065">
        <w:rPr>
          <w:szCs w:val="22"/>
          <w:highlight w:val="yellow"/>
          <w:bdr w:val="none" w:sz="0" w:space="0" w:color="auto" w:frame="1"/>
        </w:rPr>
        <w:t> is the volume of biogas sent to biogas upgrading system </w:t>
      </w:r>
      <w:r w:rsidRPr="000A5065">
        <w:rPr>
          <w:i/>
          <w:iCs/>
          <w:szCs w:val="22"/>
          <w:highlight w:val="yellow"/>
          <w:bdr w:val="none" w:sz="0" w:space="0" w:color="auto" w:frame="1"/>
        </w:rPr>
        <w:t>k</w:t>
      </w:r>
      <w:r w:rsidRPr="000A5065">
        <w:rPr>
          <w:szCs w:val="22"/>
          <w:highlight w:val="yellow"/>
          <w:bdr w:val="none" w:sz="0" w:space="0" w:color="auto" w:frame="1"/>
        </w:rPr>
        <w:t> from biomethane production dispatch system </w:t>
      </w:r>
      <w:proofErr w:type="spellStart"/>
      <w:r w:rsidRPr="000A5065">
        <w:rPr>
          <w:i/>
          <w:iCs/>
          <w:szCs w:val="22"/>
          <w:highlight w:val="yellow"/>
          <w:bdr w:val="none" w:sz="0" w:space="0" w:color="auto" w:frame="1"/>
        </w:rPr>
        <w:t>i</w:t>
      </w:r>
      <w:proofErr w:type="spellEnd"/>
      <w:r w:rsidRPr="000A5065">
        <w:rPr>
          <w:szCs w:val="22"/>
          <w:highlight w:val="yellow"/>
          <w:bdr w:val="none" w:sz="0" w:space="0" w:color="auto" w:frame="1"/>
        </w:rPr>
        <w:t> during a reporting period, in cubic metres, measured in accordance with sub</w:t>
      </w:r>
      <w:r w:rsidR="00352879" w:rsidRPr="000A5065">
        <w:rPr>
          <w:szCs w:val="22"/>
          <w:highlight w:val="yellow"/>
          <w:bdr w:val="none" w:sz="0" w:space="0" w:color="auto" w:frame="1"/>
        </w:rPr>
        <w:t>clause</w:t>
      </w:r>
      <w:r w:rsidRPr="000A5065">
        <w:rPr>
          <w:szCs w:val="22"/>
          <w:highlight w:val="yellow"/>
          <w:bdr w:val="none" w:sz="0" w:space="0" w:color="auto" w:frame="1"/>
        </w:rPr>
        <w:t xml:space="preserve"> (</w:t>
      </w:r>
      <w:r w:rsidR="006736CF" w:rsidRPr="000A5065">
        <w:rPr>
          <w:szCs w:val="22"/>
          <w:highlight w:val="yellow"/>
          <w:bdr w:val="none" w:sz="0" w:space="0" w:color="auto" w:frame="1"/>
        </w:rPr>
        <w:t>2</w:t>
      </w:r>
      <w:r w:rsidRPr="000A5065">
        <w:rPr>
          <w:szCs w:val="22"/>
          <w:highlight w:val="yellow"/>
          <w:bdr w:val="none" w:sz="0" w:space="0" w:color="auto" w:frame="1"/>
        </w:rPr>
        <w:t>).</w:t>
      </w:r>
    </w:p>
    <w:p w14:paraId="5CD816B5" w14:textId="7A7CA575" w:rsidR="00C333DA" w:rsidRPr="000A5065" w:rsidRDefault="00C333DA" w:rsidP="00C333DA">
      <w:pPr>
        <w:pStyle w:val="tMain"/>
        <w:rPr>
          <w:rFonts w:ascii="Segoe UI" w:hAnsi="Segoe UI"/>
          <w:szCs w:val="22"/>
          <w:highlight w:val="yellow"/>
        </w:rPr>
      </w:pPr>
      <w:r w:rsidRPr="00606385">
        <w:rPr>
          <w:b/>
          <w:bCs/>
          <w:i/>
          <w:iCs/>
          <w:szCs w:val="22"/>
          <w:bdr w:val="none" w:sz="0" w:space="0" w:color="auto" w:frame="1"/>
        </w:rPr>
        <w:tab/>
      </w:r>
      <w:r w:rsidRPr="00606385">
        <w:rPr>
          <w:b/>
          <w:bCs/>
          <w:i/>
          <w:iCs/>
          <w:szCs w:val="22"/>
          <w:bdr w:val="none" w:sz="0" w:space="0" w:color="auto" w:frame="1"/>
        </w:rPr>
        <w:tab/>
      </w:r>
      <w:proofErr w:type="spellStart"/>
      <w:r w:rsidRPr="000A5065">
        <w:rPr>
          <w:b/>
          <w:bCs/>
          <w:i/>
          <w:iCs/>
          <w:szCs w:val="22"/>
          <w:highlight w:val="yellow"/>
          <w:bdr w:val="none" w:sz="0" w:space="0" w:color="auto" w:frame="1"/>
        </w:rPr>
        <w:t>Q</w:t>
      </w:r>
      <w:r w:rsidRPr="000A5065">
        <w:rPr>
          <w:b/>
          <w:bCs/>
          <w:i/>
          <w:iCs/>
          <w:szCs w:val="22"/>
          <w:highlight w:val="yellow"/>
          <w:bdr w:val="none" w:sz="0" w:space="0" w:color="auto" w:frame="1"/>
          <w:vertAlign w:val="subscript"/>
        </w:rPr>
        <w:t>biogas</w:t>
      </w:r>
      <w:proofErr w:type="spellEnd"/>
      <w:r w:rsidRPr="000A5065">
        <w:rPr>
          <w:b/>
          <w:bCs/>
          <w:i/>
          <w:iCs/>
          <w:szCs w:val="22"/>
          <w:highlight w:val="yellow"/>
          <w:bdr w:val="none" w:sz="0" w:space="0" w:color="auto" w:frame="1"/>
          <w:vertAlign w:val="subscript"/>
        </w:rPr>
        <w:t>,</w:t>
      </w:r>
      <w:r w:rsidRPr="000A5065">
        <w:rPr>
          <w:b/>
          <w:bCs/>
          <w:i/>
          <w:iCs/>
          <w:szCs w:val="22"/>
          <w:highlight w:val="yellow"/>
          <w:bdr w:val="none" w:sz="0" w:space="0" w:color="auto" w:frame="1"/>
        </w:rPr>
        <w:t> </w:t>
      </w:r>
      <w:proofErr w:type="spellStart"/>
      <w:r w:rsidRPr="000A5065">
        <w:rPr>
          <w:b/>
          <w:bCs/>
          <w:i/>
          <w:iCs/>
          <w:szCs w:val="22"/>
          <w:highlight w:val="yellow"/>
          <w:bdr w:val="none" w:sz="0" w:space="0" w:color="auto" w:frame="1"/>
          <w:vertAlign w:val="subscript"/>
        </w:rPr>
        <w:t>i</w:t>
      </w:r>
      <w:proofErr w:type="spellEnd"/>
      <w:r w:rsidRPr="000A5065">
        <w:rPr>
          <w:szCs w:val="22"/>
          <w:highlight w:val="yellow"/>
          <w:bdr w:val="none" w:sz="0" w:space="0" w:color="auto" w:frame="1"/>
        </w:rPr>
        <w:t> is the total volume of biogas sent to biomethane production dispatch system </w:t>
      </w:r>
      <w:proofErr w:type="spellStart"/>
      <w:r w:rsidRPr="000A5065">
        <w:rPr>
          <w:i/>
          <w:iCs/>
          <w:szCs w:val="22"/>
          <w:highlight w:val="yellow"/>
          <w:bdr w:val="none" w:sz="0" w:space="0" w:color="auto" w:frame="1"/>
        </w:rPr>
        <w:t>i</w:t>
      </w:r>
      <w:proofErr w:type="spellEnd"/>
      <w:r w:rsidRPr="000A5065">
        <w:rPr>
          <w:i/>
          <w:iCs/>
          <w:szCs w:val="22"/>
          <w:highlight w:val="yellow"/>
          <w:bdr w:val="none" w:sz="0" w:space="0" w:color="auto" w:frame="1"/>
        </w:rPr>
        <w:t xml:space="preserve"> </w:t>
      </w:r>
      <w:r w:rsidRPr="000A5065">
        <w:rPr>
          <w:szCs w:val="22"/>
          <w:highlight w:val="yellow"/>
          <w:bdr w:val="none" w:sz="0" w:space="0" w:color="auto" w:frame="1"/>
        </w:rPr>
        <w:t xml:space="preserve">during a reporting period, in cubic metres, measured in accordance with </w:t>
      </w:r>
      <w:r w:rsidR="00352879" w:rsidRPr="000A5065">
        <w:rPr>
          <w:szCs w:val="22"/>
          <w:highlight w:val="yellow"/>
          <w:bdr w:val="none" w:sz="0" w:space="0" w:color="auto" w:frame="1"/>
        </w:rPr>
        <w:t>clause</w:t>
      </w:r>
      <w:r w:rsidRPr="000A5065">
        <w:rPr>
          <w:szCs w:val="22"/>
          <w:highlight w:val="yellow"/>
          <w:bdr w:val="none" w:sz="0" w:space="0" w:color="auto" w:frame="1"/>
        </w:rPr>
        <w:t xml:space="preserve"> 1</w:t>
      </w:r>
      <w:r w:rsidR="0042623F" w:rsidRPr="000A5065">
        <w:rPr>
          <w:szCs w:val="22"/>
          <w:highlight w:val="yellow"/>
          <w:bdr w:val="none" w:sz="0" w:space="0" w:color="auto" w:frame="1"/>
        </w:rPr>
        <w:t>1</w:t>
      </w:r>
      <w:r w:rsidRPr="000A5065">
        <w:rPr>
          <w:szCs w:val="22"/>
          <w:highlight w:val="yellow"/>
          <w:bdr w:val="none" w:sz="0" w:space="0" w:color="auto" w:frame="1"/>
        </w:rPr>
        <w:t>.</w:t>
      </w:r>
    </w:p>
    <w:p w14:paraId="68EC06CD" w14:textId="6EE70F71" w:rsidR="00C333DA" w:rsidRPr="000A5065" w:rsidRDefault="00C333DA" w:rsidP="00C333DA">
      <w:pPr>
        <w:pStyle w:val="tMain"/>
        <w:rPr>
          <w:rFonts w:ascii="Segoe UI" w:hAnsi="Segoe UI"/>
          <w:szCs w:val="22"/>
          <w:highlight w:val="yellow"/>
        </w:rPr>
      </w:pPr>
      <w:r w:rsidRPr="00606385">
        <w:rPr>
          <w:szCs w:val="22"/>
          <w:bdr w:val="none" w:sz="0" w:space="0" w:color="auto" w:frame="1"/>
        </w:rPr>
        <w:lastRenderedPageBreak/>
        <w:tab/>
      </w:r>
      <w:r w:rsidRPr="000A5065">
        <w:rPr>
          <w:szCs w:val="22"/>
          <w:highlight w:val="yellow"/>
          <w:bdr w:val="none" w:sz="0" w:space="0" w:color="auto" w:frame="1"/>
        </w:rPr>
        <w:t>(</w:t>
      </w:r>
      <w:r w:rsidR="006736CF" w:rsidRPr="000A5065">
        <w:rPr>
          <w:szCs w:val="22"/>
          <w:highlight w:val="yellow"/>
          <w:bdr w:val="none" w:sz="0" w:space="0" w:color="auto" w:frame="1"/>
        </w:rPr>
        <w:t>6</w:t>
      </w:r>
      <w:r w:rsidRPr="000A5065">
        <w:rPr>
          <w:szCs w:val="22"/>
          <w:highlight w:val="yellow"/>
          <w:bdr w:val="none" w:sz="0" w:space="0" w:color="auto" w:frame="1"/>
        </w:rPr>
        <w:t>)</w:t>
      </w:r>
      <w:r w:rsidRPr="000A5065">
        <w:rPr>
          <w:szCs w:val="22"/>
          <w:highlight w:val="yellow"/>
          <w:bdr w:val="none" w:sz="0" w:space="0" w:color="auto" w:frame="1"/>
        </w:rPr>
        <w:tab/>
        <w:t>If the fraction of unaccounted for biogas for biomethane production dispatch system </w:t>
      </w:r>
      <w:proofErr w:type="spellStart"/>
      <w:r w:rsidRPr="000A5065">
        <w:rPr>
          <w:i/>
          <w:iCs/>
          <w:szCs w:val="22"/>
          <w:highlight w:val="yellow"/>
          <w:bdr w:val="none" w:sz="0" w:space="0" w:color="auto" w:frame="1"/>
        </w:rPr>
        <w:t>i</w:t>
      </w:r>
      <w:proofErr w:type="spellEnd"/>
      <w:r w:rsidR="00273CC2" w:rsidRPr="000A5065">
        <w:rPr>
          <w:i/>
          <w:iCs/>
          <w:szCs w:val="22"/>
          <w:highlight w:val="yellow"/>
          <w:bdr w:val="none" w:sz="0" w:space="0" w:color="auto" w:frame="1"/>
        </w:rPr>
        <w:t xml:space="preserve"> </w:t>
      </w:r>
      <w:r w:rsidRPr="000A5065">
        <w:rPr>
          <w:szCs w:val="22"/>
          <w:highlight w:val="yellow"/>
          <w:bdr w:val="none" w:sz="0" w:space="0" w:color="auto" w:frame="1"/>
        </w:rPr>
        <w:t>during a reporting period, </w:t>
      </w:r>
      <w:proofErr w:type="spellStart"/>
      <w:r w:rsidR="00A26918" w:rsidRPr="000A5065">
        <w:rPr>
          <w:highlight w:val="yellow"/>
        </w:rPr>
        <w:t>UF</w:t>
      </w:r>
      <w:r w:rsidR="00A26918" w:rsidRPr="000A5065">
        <w:rPr>
          <w:highlight w:val="yellow"/>
          <w:vertAlign w:val="subscript"/>
        </w:rPr>
        <w:t>Biogas</w:t>
      </w:r>
      <w:proofErr w:type="spellEnd"/>
      <w:r w:rsidR="00A26918" w:rsidRPr="000A5065">
        <w:rPr>
          <w:highlight w:val="yellow"/>
          <w:vertAlign w:val="subscript"/>
        </w:rPr>
        <w:t>, i</w:t>
      </w:r>
      <w:r w:rsidR="00A26918" w:rsidRPr="000A5065" w:rsidDel="00A26918">
        <w:rPr>
          <w:i/>
          <w:iCs/>
          <w:szCs w:val="22"/>
          <w:highlight w:val="yellow"/>
          <w:bdr w:val="none" w:sz="0" w:space="0" w:color="auto" w:frame="1"/>
        </w:rPr>
        <w:t xml:space="preserve"> </w:t>
      </w:r>
      <w:r w:rsidRPr="000A5065">
        <w:rPr>
          <w:szCs w:val="22"/>
          <w:highlight w:val="yellow"/>
          <w:bdr w:val="none" w:sz="0" w:space="0" w:color="auto" w:frame="1"/>
        </w:rPr>
        <w:t>worked out using equation S0A is a negative amount, it is taken to be zero.</w:t>
      </w:r>
    </w:p>
    <w:p w14:paraId="611E88DD" w14:textId="0B09827C" w:rsidR="00AF7816" w:rsidRPr="000A5065" w:rsidRDefault="00AF7816" w:rsidP="00AF7816">
      <w:pPr>
        <w:pStyle w:val="h5Section"/>
        <w:rPr>
          <w:rFonts w:ascii="Segoe UI" w:hAnsi="Segoe UI"/>
          <w:sz w:val="27"/>
          <w:szCs w:val="27"/>
          <w:highlight w:val="yellow"/>
          <w:u w:val="single"/>
        </w:rPr>
      </w:pPr>
      <w:bookmarkStart w:id="84" w:name="_Toc82779131"/>
      <w:bookmarkStart w:id="85" w:name="_Toc82779439"/>
      <w:bookmarkStart w:id="86" w:name="_Toc86674777"/>
      <w:bookmarkStart w:id="87" w:name="_Toc17792706"/>
      <w:r w:rsidRPr="000A5065">
        <w:rPr>
          <w:highlight w:val="yellow"/>
          <w:u w:val="single"/>
          <w:bdr w:val="none" w:sz="0" w:space="0" w:color="auto" w:frame="1"/>
        </w:rPr>
        <w:t>1</w:t>
      </w:r>
      <w:r w:rsidR="0042623F" w:rsidRPr="000A5065">
        <w:rPr>
          <w:highlight w:val="yellow"/>
          <w:u w:val="single"/>
          <w:bdr w:val="none" w:sz="0" w:space="0" w:color="auto" w:frame="1"/>
        </w:rPr>
        <w:t>4</w:t>
      </w:r>
      <w:r w:rsidRPr="000A5065">
        <w:rPr>
          <w:sz w:val="27"/>
          <w:szCs w:val="27"/>
          <w:highlight w:val="yellow"/>
          <w:u w:val="single"/>
          <w:bdr w:val="none" w:sz="0" w:space="0" w:color="auto" w:frame="1"/>
        </w:rPr>
        <w:tab/>
      </w:r>
      <w:r w:rsidRPr="000A5065">
        <w:rPr>
          <w:highlight w:val="yellow"/>
          <w:u w:val="single"/>
          <w:bdr w:val="none" w:sz="0" w:space="0" w:color="auto" w:frame="1"/>
        </w:rPr>
        <w:t>Section 24—Transport loss factor, </w:t>
      </w:r>
      <w:proofErr w:type="spellStart"/>
      <w:r w:rsidRPr="000A5065">
        <w:rPr>
          <w:highlight w:val="yellow"/>
          <w:u w:val="single"/>
          <w:bdr w:val="none" w:sz="0" w:space="0" w:color="auto" w:frame="1"/>
        </w:rPr>
        <w:t>TL</w:t>
      </w:r>
      <w:r w:rsidRPr="000A5065">
        <w:rPr>
          <w:i/>
          <w:iCs/>
          <w:sz w:val="11"/>
          <w:szCs w:val="11"/>
          <w:highlight w:val="yellow"/>
          <w:u w:val="single"/>
          <w:bdr w:val="none" w:sz="0" w:space="0" w:color="auto" w:frame="1"/>
          <w:vertAlign w:val="subscript"/>
        </w:rPr>
        <w:t>i</w:t>
      </w:r>
      <w:bookmarkEnd w:id="84"/>
      <w:bookmarkEnd w:id="85"/>
      <w:bookmarkEnd w:id="86"/>
      <w:proofErr w:type="spellEnd"/>
    </w:p>
    <w:p w14:paraId="6B7579D2" w14:textId="49CDD983" w:rsidR="00AF7816" w:rsidRPr="000A5065" w:rsidRDefault="00AF7816" w:rsidP="00AF7816">
      <w:pPr>
        <w:pStyle w:val="tMain"/>
        <w:rPr>
          <w:highlight w:val="yellow"/>
          <w:bdr w:val="none" w:sz="0" w:space="0" w:color="auto" w:frame="1"/>
        </w:rPr>
      </w:pPr>
      <w:r w:rsidRPr="00606385">
        <w:rPr>
          <w:bdr w:val="none" w:sz="0" w:space="0" w:color="auto" w:frame="1"/>
        </w:rPr>
        <w:tab/>
      </w:r>
      <w:r w:rsidRPr="00606385">
        <w:rPr>
          <w:bdr w:val="none" w:sz="0" w:space="0" w:color="auto" w:frame="1"/>
        </w:rPr>
        <w:tab/>
      </w:r>
      <w:r w:rsidRPr="000A5065">
        <w:rPr>
          <w:highlight w:val="yellow"/>
          <w:bdr w:val="none" w:sz="0" w:space="0" w:color="auto" w:frame="1"/>
        </w:rPr>
        <w:t>For subsection</w:t>
      </w:r>
      <w:r w:rsidR="00816399" w:rsidRPr="000A5065">
        <w:rPr>
          <w:highlight w:val="yellow"/>
          <w:bdr w:val="none" w:sz="0" w:space="0" w:color="auto" w:frame="1"/>
        </w:rPr>
        <w:t>s</w:t>
      </w:r>
      <w:r w:rsidRPr="000A5065">
        <w:rPr>
          <w:highlight w:val="yellow"/>
          <w:bdr w:val="none" w:sz="0" w:space="0" w:color="auto" w:frame="1"/>
        </w:rPr>
        <w:t xml:space="preserve"> 24(2) </w:t>
      </w:r>
      <w:r w:rsidR="00816399" w:rsidRPr="000A5065">
        <w:rPr>
          <w:highlight w:val="yellow"/>
          <w:bdr w:val="none" w:sz="0" w:space="0" w:color="auto" w:frame="1"/>
        </w:rPr>
        <w:t xml:space="preserve">and (5) </w:t>
      </w:r>
      <w:r w:rsidRPr="000A5065">
        <w:rPr>
          <w:highlight w:val="yellow"/>
          <w:bdr w:val="none" w:sz="0" w:space="0" w:color="auto" w:frame="1"/>
        </w:rPr>
        <w:t xml:space="preserve">of the Determination, the transport loss factor for biogas sent to combustion device </w:t>
      </w:r>
      <w:proofErr w:type="spellStart"/>
      <w:r w:rsidR="00324E39" w:rsidRPr="000A5065">
        <w:rPr>
          <w:highlight w:val="yellow"/>
          <w:bdr w:val="none" w:sz="0" w:space="0" w:color="auto" w:frame="1"/>
        </w:rPr>
        <w:t>i</w:t>
      </w:r>
      <w:proofErr w:type="spellEnd"/>
      <w:r w:rsidR="004F06E4" w:rsidRPr="000A5065">
        <w:rPr>
          <w:highlight w:val="yellow"/>
          <w:bdr w:val="none" w:sz="0" w:space="0" w:color="auto" w:frame="1"/>
        </w:rPr>
        <w:t xml:space="preserve"> </w:t>
      </w:r>
      <w:r w:rsidRPr="000A5065">
        <w:rPr>
          <w:highlight w:val="yellow"/>
          <w:bdr w:val="none" w:sz="0" w:space="0" w:color="auto" w:frame="1"/>
        </w:rPr>
        <w:t>or biomethane production dispatch system </w:t>
      </w:r>
      <w:proofErr w:type="spellStart"/>
      <w:r w:rsidRPr="000A5065">
        <w:rPr>
          <w:i/>
          <w:iCs/>
          <w:highlight w:val="yellow"/>
          <w:bdr w:val="none" w:sz="0" w:space="0" w:color="auto" w:frame="1"/>
        </w:rPr>
        <w:t>i</w:t>
      </w:r>
      <w:proofErr w:type="spellEnd"/>
      <w:r w:rsidRPr="000A5065">
        <w:rPr>
          <w:highlight w:val="yellow"/>
          <w:bdr w:val="none" w:sz="0" w:space="0" w:color="auto" w:frame="1"/>
        </w:rPr>
        <w:t> (</w:t>
      </w:r>
      <w:proofErr w:type="spellStart"/>
      <w:r w:rsidRPr="000A5065">
        <w:rPr>
          <w:b/>
          <w:bCs/>
          <w:i/>
          <w:iCs/>
          <w:highlight w:val="yellow"/>
          <w:bdr w:val="none" w:sz="0" w:space="0" w:color="auto" w:frame="1"/>
        </w:rPr>
        <w:t>TL</w:t>
      </w:r>
      <w:r w:rsidRPr="000A5065">
        <w:rPr>
          <w:b/>
          <w:bCs/>
          <w:i/>
          <w:iCs/>
          <w:sz w:val="11"/>
          <w:szCs w:val="11"/>
          <w:highlight w:val="yellow"/>
          <w:bdr w:val="none" w:sz="0" w:space="0" w:color="auto" w:frame="1"/>
          <w:vertAlign w:val="subscript"/>
        </w:rPr>
        <w:t>i</w:t>
      </w:r>
      <w:proofErr w:type="spellEnd"/>
      <w:r w:rsidRPr="000A5065">
        <w:rPr>
          <w:highlight w:val="yellow"/>
          <w:bdr w:val="none" w:sz="0" w:space="0" w:color="auto" w:frame="1"/>
        </w:rPr>
        <w:t>) is determined, as a fraction, using the following table:</w:t>
      </w:r>
    </w:p>
    <w:p w14:paraId="14CF70F1" w14:textId="77777777" w:rsidR="00AF7816" w:rsidRPr="000A5065" w:rsidRDefault="00AF7816" w:rsidP="00AF7816">
      <w:pPr>
        <w:pStyle w:val="tMain"/>
        <w:tabs>
          <w:tab w:val="clear" w:pos="1021"/>
          <w:tab w:val="left" w:pos="709"/>
        </w:tabs>
        <w:ind w:firstLine="0"/>
        <w:rPr>
          <w:highlight w:val="yellow"/>
        </w:rPr>
      </w:pPr>
    </w:p>
    <w:tbl>
      <w:tblPr>
        <w:tblStyle w:val="TableGrid"/>
        <w:tblW w:w="5000" w:type="pct"/>
        <w:tblLook w:val="04A0" w:firstRow="1" w:lastRow="0" w:firstColumn="1" w:lastColumn="0" w:noHBand="0" w:noVBand="1"/>
      </w:tblPr>
      <w:tblGrid>
        <w:gridCol w:w="4373"/>
        <w:gridCol w:w="4643"/>
      </w:tblGrid>
      <w:tr w:rsidR="008D37CF" w:rsidRPr="000A5065" w14:paraId="31B9D58D" w14:textId="77777777" w:rsidTr="00B843D5">
        <w:tc>
          <w:tcPr>
            <w:tcW w:w="2425" w:type="pct"/>
          </w:tcPr>
          <w:p w14:paraId="752C8691" w14:textId="77777777" w:rsidR="00AF7816" w:rsidRPr="000A5065" w:rsidRDefault="00AF7816" w:rsidP="00B843D5">
            <w:pPr>
              <w:pStyle w:val="tMain"/>
              <w:ind w:left="0" w:firstLine="0"/>
              <w:jc w:val="center"/>
              <w:rPr>
                <w:b/>
                <w:szCs w:val="22"/>
                <w:highlight w:val="yellow"/>
              </w:rPr>
            </w:pPr>
            <w:r w:rsidRPr="000A5065">
              <w:rPr>
                <w:b/>
                <w:szCs w:val="22"/>
                <w:highlight w:val="yellow"/>
              </w:rPr>
              <w:t>Device type</w:t>
            </w:r>
          </w:p>
        </w:tc>
        <w:tc>
          <w:tcPr>
            <w:tcW w:w="2575" w:type="pct"/>
          </w:tcPr>
          <w:p w14:paraId="483371A5" w14:textId="77777777" w:rsidR="00AF7816" w:rsidRPr="000A5065" w:rsidRDefault="00AF7816" w:rsidP="00B843D5">
            <w:pPr>
              <w:pStyle w:val="tMain"/>
              <w:ind w:left="0" w:firstLine="0"/>
              <w:jc w:val="center"/>
              <w:rPr>
                <w:b/>
                <w:szCs w:val="22"/>
                <w:highlight w:val="yellow"/>
              </w:rPr>
            </w:pPr>
            <w:r w:rsidRPr="000A5065">
              <w:rPr>
                <w:b/>
                <w:szCs w:val="22"/>
                <w:highlight w:val="yellow"/>
              </w:rPr>
              <w:t>Default</w:t>
            </w:r>
          </w:p>
        </w:tc>
      </w:tr>
      <w:tr w:rsidR="008D37CF" w:rsidRPr="000A5065" w14:paraId="56145406" w14:textId="77777777" w:rsidTr="00B843D5">
        <w:tc>
          <w:tcPr>
            <w:tcW w:w="2425" w:type="pct"/>
            <w:vAlign w:val="center"/>
          </w:tcPr>
          <w:p w14:paraId="05AD67BF" w14:textId="77777777" w:rsidR="00AF7816" w:rsidRPr="000A5065" w:rsidRDefault="00AF7816" w:rsidP="00B843D5">
            <w:pPr>
              <w:pStyle w:val="tMain"/>
              <w:ind w:left="0" w:firstLine="0"/>
              <w:rPr>
                <w:szCs w:val="22"/>
                <w:highlight w:val="yellow"/>
              </w:rPr>
            </w:pPr>
            <w:r w:rsidRPr="000A5065">
              <w:rPr>
                <w:szCs w:val="22"/>
                <w:highlight w:val="yellow"/>
                <w:bdr w:val="none" w:sz="0" w:space="0" w:color="auto" w:frame="1"/>
              </w:rPr>
              <w:t>Combustion device</w:t>
            </w:r>
          </w:p>
        </w:tc>
        <w:tc>
          <w:tcPr>
            <w:tcW w:w="2575" w:type="pct"/>
            <w:vAlign w:val="center"/>
          </w:tcPr>
          <w:p w14:paraId="6871B7DE" w14:textId="77777777" w:rsidR="00AF7816" w:rsidRPr="000A5065" w:rsidRDefault="00AF7816" w:rsidP="00B843D5">
            <w:pPr>
              <w:pStyle w:val="tMain"/>
              <w:ind w:left="0" w:firstLine="0"/>
              <w:rPr>
                <w:szCs w:val="22"/>
                <w:highlight w:val="yellow"/>
              </w:rPr>
            </w:pPr>
            <w:r w:rsidRPr="000A5065">
              <w:rPr>
                <w:szCs w:val="22"/>
                <w:highlight w:val="yellow"/>
                <w:bdr w:val="none" w:sz="0" w:space="0" w:color="auto" w:frame="1"/>
              </w:rPr>
              <w:t>0% (factor of 0)</w:t>
            </w:r>
          </w:p>
        </w:tc>
      </w:tr>
      <w:tr w:rsidR="008D37CF" w:rsidRPr="000A5065" w14:paraId="125E81BA" w14:textId="77777777" w:rsidTr="00B843D5">
        <w:tc>
          <w:tcPr>
            <w:tcW w:w="2425" w:type="pct"/>
          </w:tcPr>
          <w:p w14:paraId="5330B124" w14:textId="0C373B18" w:rsidR="00AF7816" w:rsidRPr="000A5065" w:rsidRDefault="00AF7816" w:rsidP="00B843D5">
            <w:pPr>
              <w:pStyle w:val="tMain"/>
              <w:ind w:left="0" w:firstLine="0"/>
              <w:rPr>
                <w:szCs w:val="22"/>
                <w:highlight w:val="yellow"/>
              </w:rPr>
            </w:pPr>
            <w:r w:rsidRPr="000A5065">
              <w:rPr>
                <w:szCs w:val="22"/>
                <w:highlight w:val="yellow"/>
                <w:bdr w:val="none" w:sz="0" w:space="0" w:color="auto" w:frame="1"/>
              </w:rPr>
              <w:t xml:space="preserve">Biomethane production dispatch system – all biomethane produced is consumed at the </w:t>
            </w:r>
            <w:r w:rsidR="0034454C" w:rsidRPr="000A5065">
              <w:rPr>
                <w:szCs w:val="22"/>
                <w:highlight w:val="yellow"/>
                <w:bdr w:val="none" w:sz="0" w:space="0" w:color="auto" w:frame="1"/>
              </w:rPr>
              <w:t xml:space="preserve">project </w:t>
            </w:r>
            <w:r w:rsidRPr="000A5065">
              <w:rPr>
                <w:szCs w:val="22"/>
                <w:highlight w:val="yellow"/>
                <w:bdr w:val="none" w:sz="0" w:space="0" w:color="auto" w:frame="1"/>
              </w:rPr>
              <w:t>biomethane facility</w:t>
            </w:r>
          </w:p>
        </w:tc>
        <w:tc>
          <w:tcPr>
            <w:tcW w:w="2575" w:type="pct"/>
            <w:vAlign w:val="center"/>
          </w:tcPr>
          <w:p w14:paraId="0E0888C6" w14:textId="77777777" w:rsidR="00AF7816" w:rsidRPr="000A5065" w:rsidRDefault="00AF7816" w:rsidP="00B843D5">
            <w:pPr>
              <w:pStyle w:val="tMain"/>
              <w:ind w:left="0" w:firstLine="0"/>
              <w:rPr>
                <w:szCs w:val="22"/>
                <w:highlight w:val="yellow"/>
              </w:rPr>
            </w:pPr>
            <w:r w:rsidRPr="000A5065">
              <w:rPr>
                <w:szCs w:val="22"/>
                <w:highlight w:val="yellow"/>
                <w:bdr w:val="none" w:sz="0" w:space="0" w:color="auto" w:frame="1"/>
              </w:rPr>
              <w:t>0% (factor of 0)</w:t>
            </w:r>
          </w:p>
        </w:tc>
      </w:tr>
      <w:tr w:rsidR="008D37CF" w:rsidRPr="000A5065" w14:paraId="3A5390DB" w14:textId="77777777" w:rsidTr="00B843D5">
        <w:tc>
          <w:tcPr>
            <w:tcW w:w="2425" w:type="pct"/>
          </w:tcPr>
          <w:p w14:paraId="0D9E87FB" w14:textId="42EDC55D" w:rsidR="00AF7816" w:rsidRPr="000A5065" w:rsidRDefault="00AF7816" w:rsidP="00B843D5">
            <w:pPr>
              <w:pStyle w:val="tMain"/>
              <w:ind w:left="0" w:firstLine="0"/>
              <w:rPr>
                <w:szCs w:val="22"/>
                <w:highlight w:val="yellow"/>
              </w:rPr>
            </w:pPr>
            <w:r w:rsidRPr="000A5065">
              <w:rPr>
                <w:szCs w:val="22"/>
                <w:highlight w:val="yellow"/>
                <w:bdr w:val="none" w:sz="0" w:space="0" w:color="auto" w:frame="1"/>
              </w:rPr>
              <w:t xml:space="preserve">Biomethane production dispatch system – not all biomethane produced is consumed at the </w:t>
            </w:r>
            <w:r w:rsidR="0034454C" w:rsidRPr="000A5065">
              <w:rPr>
                <w:szCs w:val="22"/>
                <w:highlight w:val="yellow"/>
                <w:bdr w:val="none" w:sz="0" w:space="0" w:color="auto" w:frame="1"/>
              </w:rPr>
              <w:t xml:space="preserve">project </w:t>
            </w:r>
            <w:r w:rsidRPr="000A5065">
              <w:rPr>
                <w:szCs w:val="22"/>
                <w:highlight w:val="yellow"/>
                <w:bdr w:val="none" w:sz="0" w:space="0" w:color="auto" w:frame="1"/>
              </w:rPr>
              <w:t>biomethane facility</w:t>
            </w:r>
          </w:p>
        </w:tc>
        <w:tc>
          <w:tcPr>
            <w:tcW w:w="2575" w:type="pct"/>
            <w:vAlign w:val="center"/>
          </w:tcPr>
          <w:p w14:paraId="15D366C0" w14:textId="77777777" w:rsidR="00AF7816" w:rsidRPr="000A5065" w:rsidRDefault="00AF7816" w:rsidP="00B843D5">
            <w:pPr>
              <w:rPr>
                <w:szCs w:val="22"/>
                <w:highlight w:val="yellow"/>
              </w:rPr>
            </w:pPr>
            <w:r w:rsidRPr="000A5065">
              <w:rPr>
                <w:rFonts w:eastAsia="Times New Roman"/>
                <w:szCs w:val="22"/>
                <w:highlight w:val="yellow"/>
                <w:bdr w:val="none" w:sz="0" w:space="0" w:color="auto" w:frame="1"/>
              </w:rPr>
              <w:t>2% (factor of 0.02)</w:t>
            </w:r>
          </w:p>
        </w:tc>
      </w:tr>
    </w:tbl>
    <w:p w14:paraId="743F8161" w14:textId="6FA369E7" w:rsidR="00AF7816" w:rsidRPr="000A5065" w:rsidRDefault="00AF7816" w:rsidP="00AF7816">
      <w:pPr>
        <w:shd w:val="clear" w:color="auto" w:fill="FFFFFF"/>
        <w:spacing w:line="240" w:lineRule="auto"/>
        <w:ind w:left="840" w:hanging="840"/>
        <w:rPr>
          <w:highlight w:val="yellow"/>
        </w:rPr>
      </w:pPr>
    </w:p>
    <w:p w14:paraId="400F7E2D" w14:textId="25A8584F" w:rsidR="003D2D98" w:rsidRPr="00564B75" w:rsidRDefault="009832C5" w:rsidP="003D2D98">
      <w:pPr>
        <w:pStyle w:val="h5Section"/>
        <w:rPr>
          <w:u w:val="single"/>
        </w:rPr>
      </w:pPr>
      <w:bookmarkStart w:id="88" w:name="_Toc82779132"/>
      <w:bookmarkStart w:id="89" w:name="_Toc82779440"/>
      <w:bookmarkStart w:id="90" w:name="_Toc86674778"/>
      <w:r w:rsidRPr="000A5065">
        <w:rPr>
          <w:highlight w:val="yellow"/>
          <w:u w:val="single"/>
        </w:rPr>
        <w:t>1</w:t>
      </w:r>
      <w:r w:rsidR="0042623F" w:rsidRPr="000A5065">
        <w:rPr>
          <w:highlight w:val="yellow"/>
          <w:u w:val="single"/>
        </w:rPr>
        <w:t>5</w:t>
      </w:r>
      <w:r w:rsidRPr="00564B75">
        <w:rPr>
          <w:u w:val="single"/>
        </w:rPr>
        <w:tab/>
      </w:r>
      <w:r w:rsidR="003D2D98" w:rsidRPr="00564B75">
        <w:rPr>
          <w:u w:val="single"/>
        </w:rPr>
        <w:t>Section 2</w:t>
      </w:r>
      <w:r w:rsidR="008E71C2" w:rsidRPr="00564B75">
        <w:rPr>
          <w:u w:val="single"/>
        </w:rPr>
        <w:t>4</w:t>
      </w:r>
      <w:r w:rsidR="00607641" w:rsidRPr="00564B75">
        <w:rPr>
          <w:u w:val="single"/>
        </w:rPr>
        <w:t>—</w:t>
      </w:r>
      <w:r w:rsidR="003D2D98" w:rsidRPr="00564B75">
        <w:rPr>
          <w:u w:val="single"/>
        </w:rPr>
        <w:t xml:space="preserve">Measuring the methane destruction efficiency of </w:t>
      </w:r>
      <w:r w:rsidR="00607641" w:rsidRPr="00564B75">
        <w:rPr>
          <w:u w:val="single"/>
        </w:rPr>
        <w:t>a combustion device</w:t>
      </w:r>
      <w:r w:rsidR="001E7F4B" w:rsidRPr="000A5065">
        <w:rPr>
          <w:highlight w:val="yellow"/>
          <w:u w:val="single"/>
        </w:rPr>
        <w:t xml:space="preserve"> or biomethane production dispatch system</w:t>
      </w:r>
      <w:r w:rsidR="002D2D18" w:rsidRPr="00564B75">
        <w:rPr>
          <w:u w:val="single"/>
        </w:rPr>
        <w:t>,</w:t>
      </w:r>
      <w:r w:rsidR="00607641" w:rsidRPr="00564B75">
        <w:rPr>
          <w:u w:val="single"/>
        </w:rPr>
        <w:t xml:space="preserve"> </w:t>
      </w:r>
      <w:proofErr w:type="spellStart"/>
      <w:r w:rsidR="003D2D98" w:rsidRPr="00564B75">
        <w:rPr>
          <w:i/>
          <w:u w:val="single"/>
        </w:rPr>
        <w:t>DE</w:t>
      </w:r>
      <w:r w:rsidR="003D2D98" w:rsidRPr="00564B75">
        <w:rPr>
          <w:i/>
          <w:u w:val="single"/>
          <w:vertAlign w:val="subscript"/>
        </w:rPr>
        <w:t>i</w:t>
      </w:r>
      <w:bookmarkEnd w:id="87"/>
      <w:bookmarkEnd w:id="88"/>
      <w:bookmarkEnd w:id="89"/>
      <w:bookmarkEnd w:id="90"/>
      <w:proofErr w:type="spellEnd"/>
      <w:r w:rsidR="003D2D98" w:rsidRPr="00564B75">
        <w:rPr>
          <w:u w:val="single"/>
        </w:rPr>
        <w:t xml:space="preserve"> </w:t>
      </w:r>
    </w:p>
    <w:p w14:paraId="400F7E2E" w14:textId="0114CE7B" w:rsidR="0087574E" w:rsidRPr="00564B75" w:rsidRDefault="00725969" w:rsidP="000A5065">
      <w:pPr>
        <w:pStyle w:val="tMain"/>
        <w:tabs>
          <w:tab w:val="clear" w:pos="1021"/>
          <w:tab w:val="left" w:pos="709"/>
        </w:tabs>
      </w:pPr>
      <w:r w:rsidRPr="00606385">
        <w:tab/>
      </w:r>
      <w:r w:rsidRPr="000A5065">
        <w:rPr>
          <w:highlight w:val="yellow"/>
        </w:rPr>
        <w:t>(1)</w:t>
      </w:r>
      <w:r w:rsidRPr="000A5065">
        <w:rPr>
          <w:highlight w:val="yellow"/>
        </w:rPr>
        <w:tab/>
      </w:r>
      <w:r w:rsidR="0087574E" w:rsidRPr="00564B75">
        <w:t xml:space="preserve">For </w:t>
      </w:r>
      <w:r w:rsidR="00DC4021" w:rsidRPr="000A5065">
        <w:rPr>
          <w:highlight w:val="yellow"/>
        </w:rPr>
        <w:t>sub</w:t>
      </w:r>
      <w:r w:rsidR="0087574E" w:rsidRPr="000A5065">
        <w:rPr>
          <w:highlight w:val="yellow"/>
        </w:rPr>
        <w:t>section</w:t>
      </w:r>
      <w:r w:rsidR="00DC4021" w:rsidRPr="000A5065">
        <w:rPr>
          <w:highlight w:val="yellow"/>
        </w:rPr>
        <w:t>s</w:t>
      </w:r>
      <w:r w:rsidR="0087574E" w:rsidRPr="0048069E">
        <w:t xml:space="preserve"> 2</w:t>
      </w:r>
      <w:r w:rsidR="008E71C2" w:rsidRPr="0048069E">
        <w:t>4</w:t>
      </w:r>
      <w:r w:rsidR="00DC4021" w:rsidRPr="000A5065">
        <w:rPr>
          <w:highlight w:val="yellow"/>
        </w:rPr>
        <w:t>(2) and (5)</w:t>
      </w:r>
      <w:r w:rsidR="0087574E" w:rsidRPr="00122E37">
        <w:t xml:space="preserve"> of the Determination, the methane destruction efficiency of methane in biogas (</w:t>
      </w:r>
      <w:proofErr w:type="spellStart"/>
      <w:r w:rsidR="0087574E" w:rsidRPr="000A5065">
        <w:rPr>
          <w:i/>
          <w:highlight w:val="yellow"/>
        </w:rPr>
        <w:t>DE</w:t>
      </w:r>
      <w:r w:rsidR="0087574E" w:rsidRPr="000A5065">
        <w:rPr>
          <w:i/>
          <w:highlight w:val="yellow"/>
          <w:vertAlign w:val="subscript"/>
        </w:rPr>
        <w:t>i</w:t>
      </w:r>
      <w:proofErr w:type="spellEnd"/>
      <w:r w:rsidR="0087574E" w:rsidRPr="00B84BC8">
        <w:rPr>
          <w:bCs/>
        </w:rPr>
        <w:t>)</w:t>
      </w:r>
      <w:r w:rsidR="0087574E" w:rsidRPr="00564B75">
        <w:t xml:space="preserve"> is determined, as a fraction, </w:t>
      </w:r>
      <w:r w:rsidR="00607641" w:rsidRPr="00564B75">
        <w:t>using a default or measured approach in the following table</w:t>
      </w:r>
      <w:r w:rsidR="0087574E" w:rsidRPr="00564B75">
        <w:t>:</w:t>
      </w:r>
    </w:p>
    <w:p w14:paraId="400F7E2F" w14:textId="77777777" w:rsidR="00415AB8" w:rsidRPr="00564B75" w:rsidRDefault="00415AB8" w:rsidP="0087574E">
      <w:pPr>
        <w:pStyle w:val="tMain"/>
        <w:tabs>
          <w:tab w:val="clear" w:pos="1021"/>
          <w:tab w:val="left" w:pos="709"/>
        </w:tabs>
        <w:ind w:firstLine="0"/>
      </w:pPr>
    </w:p>
    <w:tbl>
      <w:tblPr>
        <w:tblStyle w:val="TableGrid"/>
        <w:tblW w:w="5000" w:type="pct"/>
        <w:tblLook w:val="04A0" w:firstRow="1" w:lastRow="0" w:firstColumn="1" w:lastColumn="0" w:noHBand="0" w:noVBand="1"/>
      </w:tblPr>
      <w:tblGrid>
        <w:gridCol w:w="1940"/>
        <w:gridCol w:w="2433"/>
        <w:gridCol w:w="4643"/>
      </w:tblGrid>
      <w:tr w:rsidR="00714BEC" w:rsidRPr="00564B75" w14:paraId="400F7E33" w14:textId="77777777" w:rsidTr="00415AB8">
        <w:tc>
          <w:tcPr>
            <w:tcW w:w="1076" w:type="pct"/>
          </w:tcPr>
          <w:p w14:paraId="400F7E30" w14:textId="77777777" w:rsidR="00415AB8" w:rsidRPr="00564B75" w:rsidRDefault="00415AB8" w:rsidP="005B7A0A">
            <w:pPr>
              <w:jc w:val="center"/>
              <w:rPr>
                <w:b/>
                <w:szCs w:val="22"/>
              </w:rPr>
            </w:pPr>
          </w:p>
        </w:tc>
        <w:tc>
          <w:tcPr>
            <w:tcW w:w="1349" w:type="pct"/>
          </w:tcPr>
          <w:p w14:paraId="400F7E31" w14:textId="77777777" w:rsidR="00415AB8" w:rsidRPr="00564B75" w:rsidRDefault="00415AB8" w:rsidP="005B7A0A">
            <w:pPr>
              <w:pStyle w:val="tMain"/>
              <w:ind w:left="0" w:firstLine="0"/>
              <w:jc w:val="center"/>
              <w:rPr>
                <w:b/>
                <w:szCs w:val="22"/>
              </w:rPr>
            </w:pPr>
            <w:r w:rsidRPr="00564B75">
              <w:rPr>
                <w:b/>
                <w:szCs w:val="22"/>
              </w:rPr>
              <w:t>Default</w:t>
            </w:r>
          </w:p>
        </w:tc>
        <w:tc>
          <w:tcPr>
            <w:tcW w:w="2575" w:type="pct"/>
          </w:tcPr>
          <w:p w14:paraId="400F7E32" w14:textId="77777777" w:rsidR="00415AB8" w:rsidRPr="00564B75" w:rsidRDefault="00415AB8" w:rsidP="005B7A0A">
            <w:pPr>
              <w:pStyle w:val="tMain"/>
              <w:ind w:left="0" w:firstLine="0"/>
              <w:jc w:val="center"/>
              <w:rPr>
                <w:b/>
                <w:szCs w:val="22"/>
              </w:rPr>
            </w:pPr>
            <w:r w:rsidRPr="00564B75">
              <w:rPr>
                <w:b/>
                <w:szCs w:val="22"/>
              </w:rPr>
              <w:t>Measured</w:t>
            </w:r>
          </w:p>
        </w:tc>
      </w:tr>
      <w:tr w:rsidR="00714BEC" w:rsidRPr="00564B75" w14:paraId="400F7E37" w14:textId="77777777" w:rsidTr="00415AB8">
        <w:tc>
          <w:tcPr>
            <w:tcW w:w="1076" w:type="pct"/>
          </w:tcPr>
          <w:p w14:paraId="400F7E34" w14:textId="77777777" w:rsidR="00415AB8" w:rsidRPr="00564B75" w:rsidRDefault="00415AB8" w:rsidP="00606385">
            <w:pPr>
              <w:pStyle w:val="tMain"/>
              <w:ind w:left="0" w:firstLine="0"/>
              <w:rPr>
                <w:szCs w:val="22"/>
              </w:rPr>
            </w:pPr>
            <w:r w:rsidRPr="00564B75">
              <w:rPr>
                <w:szCs w:val="22"/>
              </w:rPr>
              <w:t>Open flares</w:t>
            </w:r>
          </w:p>
        </w:tc>
        <w:tc>
          <w:tcPr>
            <w:tcW w:w="1349" w:type="pct"/>
          </w:tcPr>
          <w:p w14:paraId="400F7E35" w14:textId="77777777" w:rsidR="00415AB8" w:rsidRPr="00564B75" w:rsidRDefault="00415AB8" w:rsidP="005B7A0A">
            <w:pPr>
              <w:pStyle w:val="tMain"/>
              <w:ind w:left="0" w:firstLine="0"/>
              <w:rPr>
                <w:szCs w:val="22"/>
              </w:rPr>
            </w:pPr>
            <w:r w:rsidRPr="00564B75">
              <w:rPr>
                <w:szCs w:val="22"/>
              </w:rPr>
              <w:t>98% (factor of 0.98)</w:t>
            </w:r>
          </w:p>
        </w:tc>
        <w:tc>
          <w:tcPr>
            <w:tcW w:w="2575" w:type="pct"/>
          </w:tcPr>
          <w:p w14:paraId="400F7E36" w14:textId="77777777" w:rsidR="00415AB8" w:rsidRPr="00564B75" w:rsidRDefault="008408EA" w:rsidP="005B7A0A">
            <w:pPr>
              <w:pStyle w:val="tMain"/>
              <w:ind w:left="0" w:firstLine="0"/>
              <w:rPr>
                <w:szCs w:val="22"/>
              </w:rPr>
            </w:pPr>
            <w:r w:rsidRPr="00564B75">
              <w:rPr>
                <w:szCs w:val="22"/>
              </w:rPr>
              <w:t>N/A</w:t>
            </w:r>
          </w:p>
        </w:tc>
      </w:tr>
      <w:tr w:rsidR="00714BEC" w:rsidRPr="00564B75" w14:paraId="400F7E3B" w14:textId="77777777" w:rsidTr="00415AB8">
        <w:tc>
          <w:tcPr>
            <w:tcW w:w="1076" w:type="pct"/>
          </w:tcPr>
          <w:p w14:paraId="400F7E38" w14:textId="77777777" w:rsidR="00415AB8" w:rsidRPr="00564B75" w:rsidRDefault="00415AB8" w:rsidP="005B7A0A">
            <w:pPr>
              <w:pStyle w:val="tMain"/>
              <w:ind w:left="0" w:firstLine="0"/>
              <w:rPr>
                <w:szCs w:val="22"/>
              </w:rPr>
            </w:pPr>
            <w:r w:rsidRPr="00564B75">
              <w:rPr>
                <w:szCs w:val="22"/>
              </w:rPr>
              <w:t>Enclosed flares</w:t>
            </w:r>
          </w:p>
        </w:tc>
        <w:tc>
          <w:tcPr>
            <w:tcW w:w="1349" w:type="pct"/>
          </w:tcPr>
          <w:p w14:paraId="400F7E39" w14:textId="77777777" w:rsidR="00415AB8" w:rsidRPr="00564B75" w:rsidRDefault="00415AB8" w:rsidP="005B7A0A">
            <w:pPr>
              <w:pStyle w:val="tMain"/>
              <w:ind w:left="0" w:firstLine="0"/>
              <w:rPr>
                <w:szCs w:val="22"/>
              </w:rPr>
            </w:pPr>
            <w:r w:rsidRPr="00564B75">
              <w:rPr>
                <w:szCs w:val="22"/>
              </w:rPr>
              <w:t>98% (factor of 0.98)</w:t>
            </w:r>
          </w:p>
        </w:tc>
        <w:tc>
          <w:tcPr>
            <w:tcW w:w="2575" w:type="pct"/>
          </w:tcPr>
          <w:p w14:paraId="400F7E3A" w14:textId="77777777" w:rsidR="00415AB8" w:rsidRPr="00564B75" w:rsidRDefault="00415AB8" w:rsidP="005B7A0A">
            <w:pPr>
              <w:pStyle w:val="tMain"/>
              <w:ind w:left="0" w:firstLine="0"/>
              <w:rPr>
                <w:szCs w:val="22"/>
              </w:rPr>
            </w:pPr>
            <w:r w:rsidRPr="00564B75">
              <w:rPr>
                <w:szCs w:val="22"/>
              </w:rPr>
              <w:t>Duplicate comp</w:t>
            </w:r>
            <w:r w:rsidR="00F55F51" w:rsidRPr="00564B75">
              <w:rPr>
                <w:szCs w:val="22"/>
              </w:rPr>
              <w:t>liance testing, measured every</w:t>
            </w:r>
            <w:r w:rsidRPr="00564B75">
              <w:rPr>
                <w:szCs w:val="22"/>
              </w:rPr>
              <w:t xml:space="preserve"> 6 months, by a NATA accredited emission stack testing company, using a method based on US EPA Method 18 or US EPA Method 3C.</w:t>
            </w:r>
          </w:p>
        </w:tc>
      </w:tr>
      <w:tr w:rsidR="00714BEC" w:rsidRPr="00564B75" w14:paraId="400F7E41" w14:textId="77777777" w:rsidTr="00415AB8">
        <w:tc>
          <w:tcPr>
            <w:tcW w:w="1076" w:type="pct"/>
          </w:tcPr>
          <w:p w14:paraId="400F7E3C" w14:textId="77777777" w:rsidR="00415AB8" w:rsidRPr="00564B75" w:rsidRDefault="00415AB8" w:rsidP="005B7A0A">
            <w:pPr>
              <w:pStyle w:val="tMain"/>
              <w:ind w:left="0" w:firstLine="0"/>
              <w:rPr>
                <w:szCs w:val="22"/>
              </w:rPr>
            </w:pPr>
            <w:r w:rsidRPr="00564B75">
              <w:rPr>
                <w:szCs w:val="22"/>
              </w:rPr>
              <w:t>Internal combustion engine</w:t>
            </w:r>
          </w:p>
        </w:tc>
        <w:tc>
          <w:tcPr>
            <w:tcW w:w="1349" w:type="pct"/>
          </w:tcPr>
          <w:p w14:paraId="400F7E3D" w14:textId="77777777" w:rsidR="00415AB8" w:rsidRPr="00564B75" w:rsidRDefault="00415AB8" w:rsidP="005B7A0A">
            <w:pPr>
              <w:pStyle w:val="tMain"/>
              <w:ind w:left="0" w:firstLine="0"/>
              <w:rPr>
                <w:szCs w:val="22"/>
              </w:rPr>
            </w:pPr>
            <w:r w:rsidRPr="00564B75">
              <w:rPr>
                <w:szCs w:val="22"/>
              </w:rPr>
              <w:t>98% (factor of 0.98)</w:t>
            </w:r>
          </w:p>
        </w:tc>
        <w:tc>
          <w:tcPr>
            <w:tcW w:w="2575" w:type="pct"/>
          </w:tcPr>
          <w:p w14:paraId="400F7E3E" w14:textId="32DCD479" w:rsidR="00415AB8" w:rsidRPr="00564B75" w:rsidRDefault="00415AB8" w:rsidP="00606385">
            <w:pPr>
              <w:pStyle w:val="tMain"/>
              <w:ind w:left="0" w:firstLine="0"/>
              <w:rPr>
                <w:szCs w:val="22"/>
              </w:rPr>
            </w:pPr>
            <w:proofErr w:type="gramStart"/>
            <w:r w:rsidRPr="00564B75">
              <w:rPr>
                <w:szCs w:val="22"/>
              </w:rPr>
              <w:t>Duplicate compliance testing,</w:t>
            </w:r>
            <w:proofErr w:type="gramEnd"/>
            <w:r w:rsidRPr="00564B75">
              <w:rPr>
                <w:szCs w:val="22"/>
              </w:rPr>
              <w:t xml:space="preserve"> measured every 6 months, by a NATA accredited emission stack testing company, using a method based on US EPA Method 18 or US EPA Method </w:t>
            </w:r>
            <w:r w:rsidRPr="00606385">
              <w:rPr>
                <w:szCs w:val="22"/>
              </w:rPr>
              <w:t>3C</w:t>
            </w:r>
            <w:r w:rsidR="0034454C" w:rsidRPr="00606385">
              <w:rPr>
                <w:szCs w:val="22"/>
              </w:rPr>
              <w:t>.</w:t>
            </w:r>
            <w:r w:rsidRPr="00564B75">
              <w:rPr>
                <w:szCs w:val="22"/>
              </w:rPr>
              <w:t xml:space="preserve"> </w:t>
            </w:r>
          </w:p>
          <w:p w14:paraId="400F7E40" w14:textId="5CCFF0A9" w:rsidR="00415AB8" w:rsidRPr="00564B75" w:rsidRDefault="00740804" w:rsidP="00606385">
            <w:pPr>
              <w:pStyle w:val="tMain"/>
              <w:ind w:left="0" w:firstLine="0"/>
              <w:rPr>
                <w:szCs w:val="22"/>
              </w:rPr>
            </w:pPr>
            <w:r w:rsidRPr="00564B75">
              <w:rPr>
                <w:szCs w:val="22"/>
              </w:rPr>
              <w:t>It is n</w:t>
            </w:r>
            <w:r w:rsidR="00415AB8" w:rsidRPr="00564B75">
              <w:rPr>
                <w:szCs w:val="22"/>
              </w:rPr>
              <w:t xml:space="preserve">ot measured if </w:t>
            </w:r>
            <w:r w:rsidR="004A3B22" w:rsidRPr="00606385">
              <w:rPr>
                <w:szCs w:val="22"/>
              </w:rPr>
              <w:t xml:space="preserve">the </w:t>
            </w:r>
            <w:r w:rsidR="00415AB8" w:rsidRPr="00606385">
              <w:rPr>
                <w:szCs w:val="22"/>
              </w:rPr>
              <w:t xml:space="preserve">amount of methane combusted is calculated from </w:t>
            </w:r>
            <w:r w:rsidR="004A3B22" w:rsidRPr="00606385">
              <w:rPr>
                <w:szCs w:val="22"/>
              </w:rPr>
              <w:t xml:space="preserve">the </w:t>
            </w:r>
            <w:r w:rsidR="00415AB8" w:rsidRPr="00606385">
              <w:rPr>
                <w:szCs w:val="22"/>
              </w:rPr>
              <w:t>amou</w:t>
            </w:r>
            <w:r w:rsidR="00415AB8" w:rsidRPr="00564B75">
              <w:rPr>
                <w:szCs w:val="22"/>
              </w:rPr>
              <w:t>nt of electricity (MWh) produ</w:t>
            </w:r>
            <w:r w:rsidR="0010104F" w:rsidRPr="00564B75">
              <w:rPr>
                <w:szCs w:val="22"/>
              </w:rPr>
              <w:t xml:space="preserve">ced in accordance with </w:t>
            </w:r>
            <w:r w:rsidR="0010104F" w:rsidRPr="0048069E">
              <w:rPr>
                <w:szCs w:val="22"/>
              </w:rPr>
              <w:t>sub</w:t>
            </w:r>
            <w:r w:rsidR="00415AB8" w:rsidRPr="0048069E">
              <w:rPr>
                <w:szCs w:val="22"/>
              </w:rPr>
              <w:t xml:space="preserve">section </w:t>
            </w:r>
            <w:r w:rsidR="00D46BB0" w:rsidRPr="000A5065">
              <w:rPr>
                <w:szCs w:val="22"/>
                <w:highlight w:val="yellow"/>
              </w:rPr>
              <w:t>24(4</w:t>
            </w:r>
            <w:r w:rsidR="00D46BB0">
              <w:rPr>
                <w:szCs w:val="22"/>
              </w:rPr>
              <w:t>)</w:t>
            </w:r>
            <w:r w:rsidR="00640740" w:rsidRPr="00122E37">
              <w:rPr>
                <w:szCs w:val="22"/>
              </w:rPr>
              <w:t xml:space="preserve"> of the Determination</w:t>
            </w:r>
            <w:r w:rsidR="00415AB8" w:rsidRPr="00122E37">
              <w:rPr>
                <w:szCs w:val="22"/>
              </w:rPr>
              <w:t>.</w:t>
            </w:r>
          </w:p>
        </w:tc>
      </w:tr>
      <w:tr w:rsidR="00714BEC" w:rsidRPr="00564B75" w14:paraId="400F7E46" w14:textId="77777777" w:rsidTr="00415AB8">
        <w:tc>
          <w:tcPr>
            <w:tcW w:w="1076" w:type="pct"/>
          </w:tcPr>
          <w:p w14:paraId="400F7E42" w14:textId="77777777" w:rsidR="00415AB8" w:rsidRPr="00564B75" w:rsidRDefault="00415AB8" w:rsidP="005B7A0A">
            <w:pPr>
              <w:pStyle w:val="tMain"/>
              <w:ind w:left="0" w:firstLine="0"/>
              <w:rPr>
                <w:szCs w:val="22"/>
              </w:rPr>
            </w:pPr>
            <w:r w:rsidRPr="00564B75">
              <w:rPr>
                <w:szCs w:val="22"/>
              </w:rPr>
              <w:t>Gas boiler</w:t>
            </w:r>
          </w:p>
        </w:tc>
        <w:tc>
          <w:tcPr>
            <w:tcW w:w="1349" w:type="pct"/>
          </w:tcPr>
          <w:p w14:paraId="400F7E43" w14:textId="77777777" w:rsidR="00415AB8" w:rsidRPr="00564B75" w:rsidRDefault="00415AB8" w:rsidP="005B7A0A">
            <w:pPr>
              <w:pStyle w:val="tMain"/>
              <w:ind w:left="0" w:firstLine="0"/>
              <w:rPr>
                <w:szCs w:val="22"/>
              </w:rPr>
            </w:pPr>
            <w:r w:rsidRPr="00564B75">
              <w:rPr>
                <w:szCs w:val="22"/>
              </w:rPr>
              <w:t>98% (factor of 0.98)</w:t>
            </w:r>
          </w:p>
        </w:tc>
        <w:tc>
          <w:tcPr>
            <w:tcW w:w="2575" w:type="pct"/>
          </w:tcPr>
          <w:p w14:paraId="400F7E44" w14:textId="77777777" w:rsidR="00415AB8" w:rsidRPr="00564B75" w:rsidRDefault="00415AB8" w:rsidP="00606385">
            <w:pPr>
              <w:pStyle w:val="tMain"/>
              <w:ind w:left="0" w:firstLine="0"/>
              <w:rPr>
                <w:szCs w:val="22"/>
              </w:rPr>
            </w:pPr>
            <w:r w:rsidRPr="00564B75">
              <w:rPr>
                <w:szCs w:val="22"/>
              </w:rPr>
              <w:t>Measured every 6 months if using measured efficiency by an appropriate testing company.</w:t>
            </w:r>
          </w:p>
          <w:p w14:paraId="400F7E45" w14:textId="16A27222" w:rsidR="00415AB8" w:rsidRPr="00564B75" w:rsidRDefault="00352879" w:rsidP="005B7A0A">
            <w:pPr>
              <w:pStyle w:val="tMain"/>
              <w:ind w:left="0" w:firstLine="0"/>
              <w:rPr>
                <w:szCs w:val="22"/>
              </w:rPr>
            </w:pPr>
            <w:r w:rsidRPr="000A5065">
              <w:rPr>
                <w:szCs w:val="22"/>
                <w:highlight w:val="yellow"/>
              </w:rPr>
              <w:lastRenderedPageBreak/>
              <w:t>Clause</w:t>
            </w:r>
            <w:r w:rsidR="00415AB8" w:rsidRPr="000A5065">
              <w:rPr>
                <w:szCs w:val="22"/>
                <w:highlight w:val="yellow"/>
              </w:rPr>
              <w:t xml:space="preserve"> </w:t>
            </w:r>
            <w:r w:rsidR="000B2869" w:rsidRPr="000A5065">
              <w:rPr>
                <w:szCs w:val="22"/>
                <w:highlight w:val="yellow"/>
              </w:rPr>
              <w:t>6</w:t>
            </w:r>
            <w:r w:rsidR="00415AB8" w:rsidRPr="00122E37">
              <w:rPr>
                <w:szCs w:val="22"/>
              </w:rPr>
              <w:t xml:space="preserve"> also applies</w:t>
            </w:r>
            <w:r w:rsidR="00607641" w:rsidRPr="00122E37">
              <w:rPr>
                <w:szCs w:val="22"/>
              </w:rPr>
              <w:t xml:space="preserve"> as if the boiler were a flare</w:t>
            </w:r>
            <w:r w:rsidR="00415AB8" w:rsidRPr="00564B75">
              <w:rPr>
                <w:szCs w:val="22"/>
              </w:rPr>
              <w:t>.</w:t>
            </w:r>
          </w:p>
        </w:tc>
      </w:tr>
      <w:tr w:rsidR="00C55AE9" w:rsidRPr="000A5065" w14:paraId="19EE131D" w14:textId="77777777" w:rsidTr="00415AB8">
        <w:tc>
          <w:tcPr>
            <w:tcW w:w="1076" w:type="pct"/>
          </w:tcPr>
          <w:p w14:paraId="47DBBD28" w14:textId="0DB847B6" w:rsidR="001E7F4B" w:rsidRPr="000A5065" w:rsidRDefault="001E7F4B" w:rsidP="005B7A0A">
            <w:pPr>
              <w:pStyle w:val="tMain"/>
              <w:ind w:left="0" w:firstLine="0"/>
              <w:rPr>
                <w:szCs w:val="22"/>
                <w:highlight w:val="yellow"/>
              </w:rPr>
            </w:pPr>
            <w:r w:rsidRPr="000A5065">
              <w:rPr>
                <w:highlight w:val="yellow"/>
              </w:rPr>
              <w:lastRenderedPageBreak/>
              <w:t xml:space="preserve">Biomethane production dispatch system </w:t>
            </w:r>
          </w:p>
        </w:tc>
        <w:tc>
          <w:tcPr>
            <w:tcW w:w="1349" w:type="pct"/>
          </w:tcPr>
          <w:p w14:paraId="53F48737" w14:textId="76FF0A17" w:rsidR="001E7F4B" w:rsidRPr="000A5065" w:rsidRDefault="001E7F4B" w:rsidP="00606385">
            <w:pPr>
              <w:pStyle w:val="tMain"/>
              <w:ind w:left="0" w:firstLine="0"/>
              <w:rPr>
                <w:highlight w:val="yellow"/>
              </w:rPr>
            </w:pPr>
            <w:r w:rsidRPr="000A5065">
              <w:rPr>
                <w:highlight w:val="yellow"/>
              </w:rPr>
              <w:t>98% (factor of 0.98)</w:t>
            </w:r>
          </w:p>
        </w:tc>
        <w:tc>
          <w:tcPr>
            <w:tcW w:w="2575" w:type="pct"/>
          </w:tcPr>
          <w:p w14:paraId="66F42118" w14:textId="69D64BF7" w:rsidR="001E7F4B" w:rsidRPr="000A5065" w:rsidRDefault="001E7F4B" w:rsidP="00606385">
            <w:pPr>
              <w:pStyle w:val="tMain"/>
              <w:ind w:left="0" w:firstLine="0"/>
              <w:rPr>
                <w:szCs w:val="22"/>
                <w:highlight w:val="yellow"/>
              </w:rPr>
            </w:pPr>
            <w:r w:rsidRPr="000A5065">
              <w:rPr>
                <w:highlight w:val="yellow"/>
              </w:rPr>
              <w:t>N/A</w:t>
            </w:r>
          </w:p>
        </w:tc>
      </w:tr>
    </w:tbl>
    <w:p w14:paraId="63490E60" w14:textId="4C5D4CC8" w:rsidR="001D7920" w:rsidRPr="000A5065" w:rsidRDefault="001D7920" w:rsidP="001D7920">
      <w:pPr>
        <w:pStyle w:val="tMain"/>
        <w:tabs>
          <w:tab w:val="clear" w:pos="1021"/>
          <w:tab w:val="left" w:pos="709"/>
        </w:tabs>
        <w:rPr>
          <w:highlight w:val="yellow"/>
        </w:rPr>
      </w:pPr>
      <w:r w:rsidRPr="00606385">
        <w:tab/>
      </w:r>
      <w:r w:rsidRPr="000A5065">
        <w:rPr>
          <w:highlight w:val="yellow"/>
        </w:rPr>
        <w:t>(2)</w:t>
      </w:r>
      <w:r w:rsidRPr="000A5065">
        <w:rPr>
          <w:highlight w:val="yellow"/>
        </w:rPr>
        <w:tab/>
        <w:t>In this clause:</w:t>
      </w:r>
    </w:p>
    <w:p w14:paraId="0AD5F70D" w14:textId="77777777" w:rsidR="00725969" w:rsidRPr="00564B75" w:rsidRDefault="00725969" w:rsidP="00725969">
      <w:pPr>
        <w:pStyle w:val="tDefn"/>
      </w:pPr>
      <w:r w:rsidRPr="00564B75">
        <w:rPr>
          <w:b/>
          <w:i/>
        </w:rPr>
        <w:t xml:space="preserve">NATA </w:t>
      </w:r>
      <w:r w:rsidRPr="00564B75">
        <w:t>means the National Association of Testing Authorities Australia (ACN 004 379 749).</w:t>
      </w:r>
    </w:p>
    <w:p w14:paraId="4D73768D" w14:textId="5AA547B5" w:rsidR="00725969" w:rsidRPr="000A5065" w:rsidRDefault="00725969" w:rsidP="00725969">
      <w:pPr>
        <w:pStyle w:val="tDefn"/>
        <w:rPr>
          <w:highlight w:val="yellow"/>
        </w:rPr>
      </w:pPr>
      <w:r w:rsidRPr="000A5065">
        <w:rPr>
          <w:b/>
          <w:i/>
          <w:highlight w:val="yellow"/>
        </w:rPr>
        <w:t>US EPA Method 3C</w:t>
      </w:r>
      <w:r w:rsidRPr="000A5065">
        <w:rPr>
          <w:b/>
          <w:highlight w:val="yellow"/>
        </w:rPr>
        <w:t xml:space="preserve"> </w:t>
      </w:r>
      <w:r w:rsidRPr="000A5065">
        <w:rPr>
          <w:highlight w:val="yellow"/>
        </w:rPr>
        <w:t>means the standard entitled “Method 3C—</w:t>
      </w:r>
      <w:r w:rsidR="00714BEC" w:rsidRPr="000A5065">
        <w:rPr>
          <w:highlight w:val="yellow"/>
        </w:rPr>
        <w:t>D</w:t>
      </w:r>
      <w:r w:rsidRPr="000A5065">
        <w:rPr>
          <w:highlight w:val="yellow"/>
        </w:rPr>
        <w:t>etermination of carbon dioxide, methane, nitrogen, and oxygen from stationary sources</w:t>
      </w:r>
      <w:r w:rsidR="00714BEC" w:rsidRPr="000A5065">
        <w:rPr>
          <w:highlight w:val="yellow"/>
        </w:rPr>
        <w:t xml:space="preserve"> using a thermal conductivity detector</w:t>
      </w:r>
      <w:r w:rsidRPr="000A5065">
        <w:rPr>
          <w:highlight w:val="yellow"/>
        </w:rPr>
        <w:t>” issued by the United States Environmental Protection Agency</w:t>
      </w:r>
      <w:r w:rsidR="00714BEC" w:rsidRPr="000A5065">
        <w:rPr>
          <w:highlight w:val="yellow"/>
        </w:rPr>
        <w:t>, as in force on</w:t>
      </w:r>
      <w:r w:rsidR="00122E37" w:rsidRPr="000A5065">
        <w:rPr>
          <w:highlight w:val="yellow"/>
        </w:rPr>
        <w:t xml:space="preserve"> 2 August </w:t>
      </w:r>
      <w:r w:rsidR="00AF2C5A" w:rsidRPr="000A5065">
        <w:rPr>
          <w:highlight w:val="yellow"/>
        </w:rPr>
        <w:t>2017.</w:t>
      </w:r>
    </w:p>
    <w:p w14:paraId="6197EE57" w14:textId="11131FED" w:rsidR="00725969" w:rsidRPr="000A5065" w:rsidRDefault="00725969" w:rsidP="00725969">
      <w:pPr>
        <w:pStyle w:val="tDefn"/>
        <w:rPr>
          <w:highlight w:val="yellow"/>
        </w:rPr>
      </w:pPr>
      <w:r w:rsidRPr="000A5065">
        <w:rPr>
          <w:b/>
          <w:i/>
          <w:highlight w:val="yellow"/>
        </w:rPr>
        <w:t>US EPA Method 18</w:t>
      </w:r>
      <w:r w:rsidRPr="000A5065">
        <w:rPr>
          <w:b/>
          <w:highlight w:val="yellow"/>
        </w:rPr>
        <w:t xml:space="preserve"> </w:t>
      </w:r>
      <w:r w:rsidRPr="000A5065">
        <w:rPr>
          <w:highlight w:val="yellow"/>
        </w:rPr>
        <w:t>means the standard entitled “Method 18— Measurement of gaseous organic compound emissions by gas chromatography” issued by the United States Environmental Protection Agency</w:t>
      </w:r>
      <w:r w:rsidR="00803E9E" w:rsidRPr="000A5065">
        <w:rPr>
          <w:highlight w:val="yellow"/>
        </w:rPr>
        <w:t>, as in force on 1 October 2021.</w:t>
      </w:r>
    </w:p>
    <w:p w14:paraId="400F7E48" w14:textId="1F787611" w:rsidR="009C750F" w:rsidRPr="00564B75" w:rsidRDefault="009832C5" w:rsidP="009C750F">
      <w:pPr>
        <w:pStyle w:val="h5Section"/>
        <w:rPr>
          <w:szCs w:val="24"/>
          <w:u w:val="single"/>
        </w:rPr>
      </w:pPr>
      <w:bookmarkStart w:id="91" w:name="_Toc17792707"/>
      <w:bookmarkStart w:id="92" w:name="_Toc82779133"/>
      <w:bookmarkStart w:id="93" w:name="_Toc82779441"/>
      <w:bookmarkStart w:id="94" w:name="_Toc86674779"/>
      <w:r w:rsidRPr="000A5065">
        <w:rPr>
          <w:szCs w:val="24"/>
          <w:highlight w:val="yellow"/>
          <w:u w:val="single"/>
        </w:rPr>
        <w:t>1</w:t>
      </w:r>
      <w:r w:rsidR="0042623F" w:rsidRPr="000A5065">
        <w:rPr>
          <w:szCs w:val="24"/>
          <w:highlight w:val="yellow"/>
          <w:u w:val="single"/>
        </w:rPr>
        <w:t>6</w:t>
      </w:r>
      <w:r w:rsidRPr="00564B75">
        <w:rPr>
          <w:szCs w:val="24"/>
          <w:u w:val="single"/>
        </w:rPr>
        <w:tab/>
      </w:r>
      <w:r w:rsidR="009C750F" w:rsidRPr="00564B75">
        <w:rPr>
          <w:szCs w:val="24"/>
          <w:u w:val="single"/>
        </w:rPr>
        <w:t>Section 2</w:t>
      </w:r>
      <w:r w:rsidR="008E71C2" w:rsidRPr="00564B75">
        <w:rPr>
          <w:szCs w:val="24"/>
          <w:u w:val="single"/>
        </w:rPr>
        <w:t>4</w:t>
      </w:r>
      <w:r w:rsidR="00607641" w:rsidRPr="00564B75">
        <w:rPr>
          <w:u w:val="single"/>
        </w:rPr>
        <w:t>—</w:t>
      </w:r>
      <w:r w:rsidR="009C750F" w:rsidRPr="00564B75">
        <w:rPr>
          <w:szCs w:val="24"/>
          <w:u w:val="single"/>
        </w:rPr>
        <w:t>Measuring the total amount of electricity produced by combustion device</w:t>
      </w:r>
      <w:r w:rsidR="002D2D18" w:rsidRPr="00564B75">
        <w:rPr>
          <w:szCs w:val="24"/>
          <w:u w:val="single"/>
        </w:rPr>
        <w:t xml:space="preserve">. </w:t>
      </w:r>
      <w:r w:rsidR="009C750F" w:rsidRPr="00564B75">
        <w:rPr>
          <w:i/>
          <w:szCs w:val="24"/>
          <w:u w:val="single"/>
        </w:rPr>
        <w:t>Q</w:t>
      </w:r>
      <w:r w:rsidR="009C750F" w:rsidRPr="00564B75">
        <w:rPr>
          <w:i/>
          <w:szCs w:val="24"/>
          <w:u w:val="single"/>
          <w:vertAlign w:val="subscript"/>
        </w:rPr>
        <w:t>EG, </w:t>
      </w:r>
      <w:proofErr w:type="spellStart"/>
      <w:r w:rsidR="009C750F" w:rsidRPr="00564B75">
        <w:rPr>
          <w:i/>
          <w:szCs w:val="24"/>
          <w:u w:val="single"/>
          <w:vertAlign w:val="subscript"/>
        </w:rPr>
        <w:t>i</w:t>
      </w:r>
      <w:bookmarkEnd w:id="91"/>
      <w:bookmarkEnd w:id="92"/>
      <w:bookmarkEnd w:id="93"/>
      <w:bookmarkEnd w:id="94"/>
      <w:proofErr w:type="spellEnd"/>
      <w:r w:rsidR="009C750F" w:rsidRPr="00564B75">
        <w:rPr>
          <w:szCs w:val="24"/>
          <w:u w:val="single"/>
        </w:rPr>
        <w:t xml:space="preserve"> </w:t>
      </w:r>
    </w:p>
    <w:p w14:paraId="400F7E49" w14:textId="11BCC9D7" w:rsidR="002C35AF" w:rsidRPr="00564B75" w:rsidRDefault="006E257E" w:rsidP="006E257E">
      <w:pPr>
        <w:pStyle w:val="tMain"/>
        <w:ind w:left="851" w:firstLine="0"/>
        <w:rPr>
          <w:sz w:val="24"/>
          <w:szCs w:val="24"/>
        </w:rPr>
      </w:pPr>
      <w:r w:rsidRPr="00564B75">
        <w:t xml:space="preserve">For </w:t>
      </w:r>
      <w:r w:rsidR="00E565F7" w:rsidRPr="000A5065">
        <w:rPr>
          <w:highlight w:val="yellow"/>
        </w:rPr>
        <w:t>sub</w:t>
      </w:r>
      <w:r w:rsidRPr="000A5065">
        <w:rPr>
          <w:highlight w:val="yellow"/>
        </w:rPr>
        <w:t>section</w:t>
      </w:r>
      <w:r w:rsidRPr="0048069E">
        <w:t xml:space="preserve"> 2</w:t>
      </w:r>
      <w:r w:rsidR="008E71C2" w:rsidRPr="0048069E">
        <w:t>4</w:t>
      </w:r>
      <w:r w:rsidR="00E565F7" w:rsidRPr="000A5065">
        <w:rPr>
          <w:highlight w:val="yellow"/>
        </w:rPr>
        <w:t>(4)</w:t>
      </w:r>
      <w:r w:rsidRPr="00122E37">
        <w:t xml:space="preserve"> of the</w:t>
      </w:r>
      <w:r w:rsidRPr="00122E37">
        <w:rPr>
          <w:szCs w:val="22"/>
        </w:rPr>
        <w:t xml:space="preserve"> Determination, the total amount of electricity produced by combustion device </w:t>
      </w:r>
      <w:r w:rsidRPr="00564B75">
        <w:rPr>
          <w:sz w:val="24"/>
          <w:szCs w:val="24"/>
        </w:rPr>
        <w:t>(</w:t>
      </w:r>
      <w:r w:rsidRPr="00564B75">
        <w:rPr>
          <w:i/>
          <w:sz w:val="24"/>
          <w:szCs w:val="24"/>
        </w:rPr>
        <w:t>Q</w:t>
      </w:r>
      <w:r w:rsidRPr="00564B75">
        <w:rPr>
          <w:i/>
          <w:sz w:val="24"/>
          <w:szCs w:val="24"/>
          <w:vertAlign w:val="subscript"/>
        </w:rPr>
        <w:t>EG, </w:t>
      </w:r>
      <w:proofErr w:type="spellStart"/>
      <w:r w:rsidRPr="00564B75">
        <w:rPr>
          <w:i/>
          <w:sz w:val="24"/>
          <w:szCs w:val="24"/>
          <w:vertAlign w:val="subscript"/>
        </w:rPr>
        <w:t>i</w:t>
      </w:r>
      <w:proofErr w:type="spellEnd"/>
      <w:r w:rsidRPr="00564B75">
        <w:rPr>
          <w:sz w:val="24"/>
          <w:szCs w:val="24"/>
        </w:rPr>
        <w:t xml:space="preserve">), </w:t>
      </w:r>
      <w:r w:rsidRPr="00564B75">
        <w:rPr>
          <w:szCs w:val="22"/>
        </w:rPr>
        <w:t xml:space="preserve">in megawatt hours, </w:t>
      </w:r>
      <w:r w:rsidR="002C35AF" w:rsidRPr="00564B75">
        <w:rPr>
          <w:szCs w:val="22"/>
        </w:rPr>
        <w:t>over the reporting period that is:</w:t>
      </w:r>
    </w:p>
    <w:p w14:paraId="400F7E4A" w14:textId="77777777" w:rsidR="002C35AF" w:rsidRPr="00564B75" w:rsidRDefault="002C35AF" w:rsidP="002C35AF">
      <w:pPr>
        <w:pStyle w:val="tPara"/>
      </w:pPr>
      <w:r w:rsidRPr="00564B75">
        <w:tab/>
        <w:t>(a)</w:t>
      </w:r>
      <w:r w:rsidRPr="00564B75">
        <w:tab/>
      </w:r>
      <w:r w:rsidR="006E257E" w:rsidRPr="00564B75">
        <w:t>estimated consistent</w:t>
      </w:r>
      <w:r w:rsidRPr="00564B75">
        <w:t>ly</w:t>
      </w:r>
      <w:r w:rsidR="006E257E" w:rsidRPr="00564B75">
        <w:t xml:space="preserve"> with Part 6.1 of the NGER (Measurement) Determination</w:t>
      </w:r>
      <w:r w:rsidRPr="00564B75">
        <w:t>; or</w:t>
      </w:r>
    </w:p>
    <w:p w14:paraId="400F7E4B" w14:textId="77777777" w:rsidR="006E257E" w:rsidRPr="00564B75" w:rsidRDefault="002C35AF" w:rsidP="002C35AF">
      <w:pPr>
        <w:pStyle w:val="tPara"/>
        <w:rPr>
          <w:szCs w:val="22"/>
        </w:rPr>
      </w:pPr>
      <w:r w:rsidRPr="00564B75">
        <w:tab/>
        <w:t>(b)</w:t>
      </w:r>
      <w:r w:rsidRPr="00564B75">
        <w:tab/>
      </w:r>
      <w:r w:rsidRPr="00564B75">
        <w:rPr>
          <w:szCs w:val="22"/>
        </w:rPr>
        <w:t>estimated</w:t>
      </w:r>
      <w:r w:rsidR="006E257E" w:rsidRPr="00564B75">
        <w:rPr>
          <w:szCs w:val="22"/>
        </w:rPr>
        <w:t xml:space="preserve"> by measuring only the electricity produced from the combustion of biogas</w:t>
      </w:r>
      <w:r w:rsidR="00607641" w:rsidRPr="00564B75">
        <w:rPr>
          <w:szCs w:val="22"/>
        </w:rPr>
        <w:t xml:space="preserve"> produced by the project</w:t>
      </w:r>
      <w:r w:rsidR="006E257E" w:rsidRPr="00564B75">
        <w:rPr>
          <w:szCs w:val="22"/>
        </w:rPr>
        <w:t xml:space="preserve"> (not from the combustion of other fuel types)</w:t>
      </w:r>
      <w:r w:rsidR="00103778" w:rsidRPr="00564B75">
        <w:rPr>
          <w:szCs w:val="22"/>
        </w:rPr>
        <w:t>.</w:t>
      </w:r>
    </w:p>
    <w:p w14:paraId="400F7E4C" w14:textId="129803D7" w:rsidR="00A40F70" w:rsidRPr="00564B75" w:rsidRDefault="00A40F70" w:rsidP="00A40F70">
      <w:pPr>
        <w:pStyle w:val="h5Section"/>
        <w:rPr>
          <w:szCs w:val="24"/>
          <w:u w:val="single"/>
        </w:rPr>
      </w:pPr>
      <w:bookmarkStart w:id="95" w:name="_Toc17792708"/>
      <w:bookmarkStart w:id="96" w:name="_Toc82779134"/>
      <w:bookmarkStart w:id="97" w:name="_Toc82779442"/>
      <w:bookmarkStart w:id="98" w:name="_Toc86674780"/>
      <w:r w:rsidRPr="000A5065">
        <w:rPr>
          <w:szCs w:val="24"/>
          <w:highlight w:val="yellow"/>
          <w:u w:val="single"/>
        </w:rPr>
        <w:t>1</w:t>
      </w:r>
      <w:r w:rsidR="0042623F" w:rsidRPr="000A5065">
        <w:rPr>
          <w:szCs w:val="24"/>
          <w:highlight w:val="yellow"/>
          <w:u w:val="single"/>
        </w:rPr>
        <w:t>7</w:t>
      </w:r>
      <w:r w:rsidRPr="00564B75">
        <w:rPr>
          <w:szCs w:val="24"/>
          <w:u w:val="single"/>
        </w:rPr>
        <w:tab/>
        <w:t xml:space="preserve">Section 24—Measuring the electrical efficiency of the combustion device, </w:t>
      </w:r>
      <w:proofErr w:type="spellStart"/>
      <w:r w:rsidRPr="00564B75">
        <w:rPr>
          <w:i/>
          <w:szCs w:val="24"/>
          <w:u w:val="single"/>
        </w:rPr>
        <w:t>Effi</w:t>
      </w:r>
      <w:bookmarkEnd w:id="95"/>
      <w:bookmarkEnd w:id="96"/>
      <w:bookmarkEnd w:id="97"/>
      <w:bookmarkEnd w:id="98"/>
      <w:proofErr w:type="spellEnd"/>
    </w:p>
    <w:p w14:paraId="400F7E4D" w14:textId="6CD81490" w:rsidR="00A40F70" w:rsidRPr="00564B75" w:rsidRDefault="00A40F70" w:rsidP="00A40F70">
      <w:pPr>
        <w:pStyle w:val="tMain"/>
        <w:ind w:left="851" w:firstLine="0"/>
      </w:pPr>
      <w:r w:rsidRPr="00564B75">
        <w:t xml:space="preserve">For </w:t>
      </w:r>
      <w:r w:rsidR="00E565F7" w:rsidRPr="000A5065">
        <w:rPr>
          <w:highlight w:val="yellow"/>
        </w:rPr>
        <w:t>sub</w:t>
      </w:r>
      <w:r w:rsidRPr="000A5065">
        <w:rPr>
          <w:highlight w:val="yellow"/>
        </w:rPr>
        <w:t>section</w:t>
      </w:r>
      <w:r w:rsidRPr="0048069E">
        <w:t xml:space="preserve"> 24</w:t>
      </w:r>
      <w:r w:rsidR="00E565F7" w:rsidRPr="000A5065">
        <w:rPr>
          <w:highlight w:val="yellow"/>
        </w:rPr>
        <w:t>(4)</w:t>
      </w:r>
      <w:r w:rsidRPr="00122E37">
        <w:t xml:space="preserve"> of the Determination, the electrical efficiency of the combustion device, (</w:t>
      </w:r>
      <w:proofErr w:type="spellStart"/>
      <w:r w:rsidRPr="00564B75">
        <w:rPr>
          <w:i/>
        </w:rPr>
        <w:t>Eff</w:t>
      </w:r>
      <w:r w:rsidRPr="00564B75">
        <w:rPr>
          <w:i/>
          <w:vertAlign w:val="subscript"/>
        </w:rPr>
        <w:t>i</w:t>
      </w:r>
      <w:proofErr w:type="spellEnd"/>
      <w:r w:rsidRPr="00564B75">
        <w:rPr>
          <w:i/>
        </w:rPr>
        <w:t>,</w:t>
      </w:r>
      <w:r w:rsidRPr="00564B75">
        <w:t>)</w:t>
      </w:r>
      <w:r w:rsidRPr="00564B75">
        <w:rPr>
          <w:i/>
        </w:rPr>
        <w:t xml:space="preserve"> </w:t>
      </w:r>
      <w:r w:rsidRPr="00564B75">
        <w:t xml:space="preserve">must be: </w:t>
      </w:r>
    </w:p>
    <w:p w14:paraId="400F7E4E" w14:textId="77777777" w:rsidR="00A40F70" w:rsidRPr="00564B75" w:rsidRDefault="00A40F70" w:rsidP="00A40F70">
      <w:pPr>
        <w:pStyle w:val="tPara"/>
      </w:pPr>
      <w:r w:rsidRPr="00564B75">
        <w:tab/>
        <w:t>(a)</w:t>
      </w:r>
      <w:r w:rsidRPr="00564B75">
        <w:tab/>
        <w:t xml:space="preserve">measured as a fraction, in accordance with the manufacturer’s specification in the technical manual for the equipment; or </w:t>
      </w:r>
    </w:p>
    <w:p w14:paraId="400F7E4F" w14:textId="77777777" w:rsidR="00A40F70" w:rsidRPr="00564B75" w:rsidRDefault="00A40F70" w:rsidP="00A40F70">
      <w:pPr>
        <w:pStyle w:val="tPara"/>
      </w:pPr>
      <w:r w:rsidRPr="00564B75">
        <w:tab/>
        <w:t>(b)</w:t>
      </w:r>
      <w:r w:rsidRPr="00564B75">
        <w:tab/>
        <w:t>the default value set out in subsection 2.38(2) of the NGER (Measurement) Determination.</w:t>
      </w:r>
    </w:p>
    <w:p w14:paraId="57AF5F01" w14:textId="101D463A" w:rsidR="00E565F7" w:rsidRPr="000A5065" w:rsidRDefault="00E565F7" w:rsidP="00E565F7">
      <w:pPr>
        <w:pStyle w:val="h5Section"/>
        <w:rPr>
          <w:rFonts w:ascii="Segoe UI" w:hAnsi="Segoe UI"/>
          <w:sz w:val="27"/>
          <w:szCs w:val="27"/>
          <w:highlight w:val="yellow"/>
          <w:u w:val="single"/>
        </w:rPr>
      </w:pPr>
      <w:bookmarkStart w:id="99" w:name="_Toc82779135"/>
      <w:bookmarkStart w:id="100" w:name="_Toc82779443"/>
      <w:bookmarkStart w:id="101" w:name="_Toc86674781"/>
      <w:bookmarkStart w:id="102" w:name="_Toc17792709"/>
      <w:r w:rsidRPr="000A5065">
        <w:rPr>
          <w:highlight w:val="yellow"/>
          <w:u w:val="single"/>
          <w:bdr w:val="none" w:sz="0" w:space="0" w:color="auto" w:frame="1"/>
        </w:rPr>
        <w:t>1</w:t>
      </w:r>
      <w:r w:rsidR="0042623F" w:rsidRPr="000A5065">
        <w:rPr>
          <w:highlight w:val="yellow"/>
          <w:u w:val="single"/>
          <w:bdr w:val="none" w:sz="0" w:space="0" w:color="auto" w:frame="1"/>
        </w:rPr>
        <w:t>8</w:t>
      </w:r>
      <w:r w:rsidRPr="000A5065">
        <w:rPr>
          <w:highlight w:val="yellow"/>
          <w:u w:val="single"/>
          <w:bdr w:val="none" w:sz="0" w:space="0" w:color="auto" w:frame="1"/>
        </w:rPr>
        <w:tab/>
        <w:t>Section 24—Measuring the proportion of methane in biomethane, </w:t>
      </w:r>
      <w:r w:rsidRPr="000A5065">
        <w:rPr>
          <w:i/>
          <w:iCs/>
          <w:highlight w:val="yellow"/>
          <w:u w:val="single"/>
          <w:bdr w:val="none" w:sz="0" w:space="0" w:color="auto" w:frame="1"/>
        </w:rPr>
        <w:t>W</w:t>
      </w:r>
      <w:r w:rsidRPr="000A5065">
        <w:rPr>
          <w:i/>
          <w:iCs/>
          <w:sz w:val="11"/>
          <w:szCs w:val="11"/>
          <w:highlight w:val="yellow"/>
          <w:u w:val="single"/>
          <w:bdr w:val="none" w:sz="0" w:space="0" w:color="auto" w:frame="1"/>
          <w:vertAlign w:val="subscript"/>
        </w:rPr>
        <w:t>BM, CH4, k</w:t>
      </w:r>
      <w:bookmarkEnd w:id="99"/>
      <w:bookmarkEnd w:id="100"/>
      <w:bookmarkEnd w:id="101"/>
    </w:p>
    <w:p w14:paraId="7DDC9675" w14:textId="6E6E543A" w:rsidR="00E565F7" w:rsidRPr="000A5065" w:rsidRDefault="00E565F7" w:rsidP="00E565F7">
      <w:pPr>
        <w:pStyle w:val="tMain"/>
        <w:ind w:left="851" w:firstLine="0"/>
        <w:rPr>
          <w:sz w:val="24"/>
          <w:szCs w:val="24"/>
          <w:highlight w:val="yellow"/>
        </w:rPr>
      </w:pPr>
      <w:r w:rsidRPr="000A5065">
        <w:rPr>
          <w:highlight w:val="yellow"/>
        </w:rPr>
        <w:t>For subsection 24(5) of the</w:t>
      </w:r>
      <w:r w:rsidRPr="000A5065">
        <w:rPr>
          <w:szCs w:val="22"/>
          <w:highlight w:val="yellow"/>
        </w:rPr>
        <w:t xml:space="preserve"> Determination, the </w:t>
      </w:r>
      <w:r w:rsidRPr="000A5065">
        <w:rPr>
          <w:rStyle w:val="subsectionChar"/>
          <w:highlight w:val="yellow"/>
        </w:rPr>
        <w:t>proportion of methane in biomethane sent out by biogas upgrading system k (</w:t>
      </w:r>
      <w:r w:rsidRPr="000A5065">
        <w:rPr>
          <w:i/>
          <w:iCs/>
          <w:szCs w:val="22"/>
          <w:highlight w:val="yellow"/>
          <w:bdr w:val="none" w:sz="0" w:space="0" w:color="auto" w:frame="1"/>
        </w:rPr>
        <w:t>W</w:t>
      </w:r>
      <w:r w:rsidRPr="000A5065">
        <w:rPr>
          <w:i/>
          <w:iCs/>
          <w:szCs w:val="22"/>
          <w:highlight w:val="yellow"/>
          <w:bdr w:val="none" w:sz="0" w:space="0" w:color="auto" w:frame="1"/>
          <w:vertAlign w:val="subscript"/>
        </w:rPr>
        <w:t>BM, CH4, k</w:t>
      </w:r>
      <w:r w:rsidRPr="000A5065">
        <w:rPr>
          <w:rStyle w:val="subsectionChar"/>
          <w:highlight w:val="yellow"/>
        </w:rPr>
        <w:t xml:space="preserve">), </w:t>
      </w:r>
      <w:r w:rsidR="00A26918" w:rsidRPr="000A5065">
        <w:rPr>
          <w:rStyle w:val="subsectionChar"/>
          <w:highlight w:val="yellow"/>
        </w:rPr>
        <w:t xml:space="preserve">calculated by Method C and </w:t>
      </w:r>
      <w:r w:rsidRPr="000A5065">
        <w:rPr>
          <w:rStyle w:val="subsectionChar"/>
          <w:highlight w:val="yellow"/>
        </w:rPr>
        <w:t>expressed as a fraction, must be measured:</w:t>
      </w:r>
    </w:p>
    <w:p w14:paraId="1284F254" w14:textId="3FC91A2A" w:rsidR="00E565F7" w:rsidRPr="000A5065" w:rsidRDefault="00E565F7" w:rsidP="00E565F7">
      <w:pPr>
        <w:pStyle w:val="tPara"/>
        <w:rPr>
          <w:highlight w:val="yellow"/>
        </w:rPr>
      </w:pPr>
      <w:r w:rsidRPr="00606385">
        <w:tab/>
      </w:r>
      <w:r w:rsidRPr="000A5065">
        <w:rPr>
          <w:highlight w:val="yellow"/>
        </w:rPr>
        <w:t>(a)</w:t>
      </w:r>
      <w:r w:rsidRPr="000A5065">
        <w:rPr>
          <w:highlight w:val="yellow"/>
        </w:rPr>
        <w:tab/>
        <w:t>using an inline gas analyser that analyses gas composition at a point after biogas upgrading is complete; and</w:t>
      </w:r>
    </w:p>
    <w:p w14:paraId="115142AE" w14:textId="7676CB11" w:rsidR="00E565F7" w:rsidRPr="000A5065" w:rsidRDefault="00E565F7" w:rsidP="00E565F7">
      <w:pPr>
        <w:pStyle w:val="tPara"/>
        <w:rPr>
          <w:highlight w:val="yellow"/>
        </w:rPr>
      </w:pPr>
      <w:r w:rsidRPr="00606385">
        <w:tab/>
      </w:r>
      <w:r w:rsidRPr="000A5065">
        <w:rPr>
          <w:highlight w:val="yellow"/>
        </w:rPr>
        <w:t>(b)</w:t>
      </w:r>
      <w:r w:rsidRPr="000A5065">
        <w:rPr>
          <w:highlight w:val="yellow"/>
        </w:rPr>
        <w:tab/>
        <w:t>to an accuracy of +/ 3% absolute; and</w:t>
      </w:r>
    </w:p>
    <w:p w14:paraId="425F28DC" w14:textId="6B26B08A" w:rsidR="00E565F7" w:rsidRPr="000A5065" w:rsidRDefault="00E565F7" w:rsidP="00122E37">
      <w:pPr>
        <w:pStyle w:val="tPara"/>
        <w:rPr>
          <w:szCs w:val="24"/>
          <w:highlight w:val="yellow"/>
          <w:u w:val="single"/>
        </w:rPr>
      </w:pPr>
      <w:r w:rsidRPr="00606385">
        <w:tab/>
      </w:r>
      <w:r w:rsidRPr="000A5065">
        <w:rPr>
          <w:highlight w:val="yellow"/>
        </w:rPr>
        <w:t>(c)</w:t>
      </w:r>
      <w:r w:rsidRPr="000A5065">
        <w:rPr>
          <w:highlight w:val="yellow"/>
        </w:rPr>
        <w:tab/>
        <w:t>in accordance with the instrument manufacturer’s instructions and the relevant Australian and New Zealand standards.</w:t>
      </w:r>
    </w:p>
    <w:p w14:paraId="400F7E50" w14:textId="4694C94F" w:rsidR="008B4B68" w:rsidRPr="00564B75" w:rsidRDefault="0042623F" w:rsidP="00552351">
      <w:pPr>
        <w:pStyle w:val="h5Section"/>
        <w:rPr>
          <w:szCs w:val="24"/>
          <w:u w:val="single"/>
          <w:vertAlign w:val="subscript"/>
        </w:rPr>
      </w:pPr>
      <w:bookmarkStart w:id="103" w:name="_Toc82779136"/>
      <w:bookmarkStart w:id="104" w:name="_Toc82779444"/>
      <w:bookmarkStart w:id="105" w:name="_Toc86674782"/>
      <w:r w:rsidRPr="000A5065">
        <w:rPr>
          <w:szCs w:val="24"/>
          <w:highlight w:val="yellow"/>
          <w:u w:val="single"/>
        </w:rPr>
        <w:lastRenderedPageBreak/>
        <w:t>19</w:t>
      </w:r>
      <w:r w:rsidR="009832C5" w:rsidRPr="00564B75">
        <w:rPr>
          <w:szCs w:val="24"/>
          <w:u w:val="single"/>
        </w:rPr>
        <w:tab/>
      </w:r>
      <w:r w:rsidR="009C750F" w:rsidRPr="00564B75">
        <w:rPr>
          <w:szCs w:val="24"/>
          <w:u w:val="single"/>
        </w:rPr>
        <w:t>Section 2</w:t>
      </w:r>
      <w:r w:rsidR="00A40F70" w:rsidRPr="00564B75">
        <w:rPr>
          <w:szCs w:val="24"/>
          <w:u w:val="single"/>
        </w:rPr>
        <w:t>5</w:t>
      </w:r>
      <w:r w:rsidR="00607641" w:rsidRPr="00564B75">
        <w:rPr>
          <w:szCs w:val="24"/>
          <w:u w:val="single"/>
        </w:rPr>
        <w:t>—</w:t>
      </w:r>
      <w:r w:rsidR="001C5A92" w:rsidRPr="00564B75">
        <w:rPr>
          <w:szCs w:val="24"/>
          <w:u w:val="single"/>
        </w:rPr>
        <w:t xml:space="preserve">Methane </w:t>
      </w:r>
      <w:r w:rsidR="000041BD" w:rsidRPr="000A5065">
        <w:rPr>
          <w:szCs w:val="24"/>
          <w:highlight w:val="yellow"/>
          <w:u w:val="single"/>
        </w:rPr>
        <w:t>c</w:t>
      </w:r>
      <w:r w:rsidR="001C5A92" w:rsidRPr="000A5065">
        <w:rPr>
          <w:szCs w:val="24"/>
          <w:highlight w:val="yellow"/>
          <w:u w:val="single"/>
        </w:rPr>
        <w:t xml:space="preserve">onversion </w:t>
      </w:r>
      <w:r w:rsidR="000041BD" w:rsidRPr="000A5065">
        <w:rPr>
          <w:szCs w:val="24"/>
          <w:highlight w:val="yellow"/>
          <w:u w:val="single"/>
        </w:rPr>
        <w:t>f</w:t>
      </w:r>
      <w:r w:rsidR="001C5A92" w:rsidRPr="000A5065">
        <w:rPr>
          <w:szCs w:val="24"/>
          <w:highlight w:val="yellow"/>
          <w:u w:val="single"/>
        </w:rPr>
        <w:t>actor</w:t>
      </w:r>
      <w:r w:rsidR="002D2D18" w:rsidRPr="00564B75">
        <w:rPr>
          <w:szCs w:val="24"/>
          <w:u w:val="single"/>
        </w:rPr>
        <w:t xml:space="preserve">, </w:t>
      </w:r>
      <w:proofErr w:type="spellStart"/>
      <w:r w:rsidR="001C5A92" w:rsidRPr="00564B75">
        <w:rPr>
          <w:i/>
          <w:szCs w:val="24"/>
          <w:u w:val="single"/>
        </w:rPr>
        <w:t>MCF</w:t>
      </w:r>
      <w:r w:rsidR="001C5A92" w:rsidRPr="00564B75">
        <w:rPr>
          <w:i/>
          <w:szCs w:val="24"/>
          <w:u w:val="single"/>
          <w:vertAlign w:val="subscript"/>
        </w:rPr>
        <w:t>n</w:t>
      </w:r>
      <w:bookmarkEnd w:id="102"/>
      <w:bookmarkEnd w:id="103"/>
      <w:bookmarkEnd w:id="104"/>
      <w:bookmarkEnd w:id="105"/>
      <w:proofErr w:type="spellEnd"/>
    </w:p>
    <w:p w14:paraId="400F7E51" w14:textId="77777777" w:rsidR="002C35AF" w:rsidRPr="00564B75" w:rsidRDefault="00D6255E" w:rsidP="00D6255E">
      <w:pPr>
        <w:pStyle w:val="tMain"/>
        <w:ind w:left="851" w:firstLine="0"/>
      </w:pPr>
      <w:r w:rsidRPr="00564B75">
        <w:t>For section 2</w:t>
      </w:r>
      <w:r w:rsidR="001C5A92" w:rsidRPr="00564B75">
        <w:t>5</w:t>
      </w:r>
      <w:r w:rsidRPr="00564B75">
        <w:t xml:space="preserve"> of the Determination, the </w:t>
      </w:r>
      <w:r w:rsidR="001C5A92" w:rsidRPr="00564B75">
        <w:t>methane conversion factor for the source material from a region in the National Inventory Report (</w:t>
      </w:r>
      <w:proofErr w:type="spellStart"/>
      <w:r w:rsidR="001C5A92" w:rsidRPr="00564B75">
        <w:rPr>
          <w:i/>
        </w:rPr>
        <w:t>MCF</w:t>
      </w:r>
      <w:r w:rsidR="001C5A92" w:rsidRPr="00564B75">
        <w:rPr>
          <w:i/>
          <w:vertAlign w:val="subscript"/>
        </w:rPr>
        <w:t>n</w:t>
      </w:r>
      <w:proofErr w:type="spellEnd"/>
      <w:r w:rsidR="001C5A92" w:rsidRPr="00564B75">
        <w:t>) must</w:t>
      </w:r>
      <w:r w:rsidR="002C35AF" w:rsidRPr="00564B75">
        <w:t>:</w:t>
      </w:r>
      <w:r w:rsidR="00AB0809" w:rsidRPr="00564B75">
        <w:t xml:space="preserve"> </w:t>
      </w:r>
    </w:p>
    <w:p w14:paraId="400F7E52" w14:textId="77777777" w:rsidR="002C35AF" w:rsidRPr="00564B75" w:rsidRDefault="002C35AF" w:rsidP="002C35AF">
      <w:pPr>
        <w:pStyle w:val="tPara"/>
      </w:pPr>
      <w:r w:rsidRPr="00564B75">
        <w:tab/>
        <w:t>(a)</w:t>
      </w:r>
      <w:r w:rsidRPr="00564B75">
        <w:tab/>
      </w:r>
      <w:r w:rsidR="001C5A92" w:rsidRPr="00564B75">
        <w:t>reflect the State or Territory where the material was sourced from; and</w:t>
      </w:r>
      <w:r w:rsidRPr="00564B75">
        <w:t xml:space="preserve"> </w:t>
      </w:r>
    </w:p>
    <w:p w14:paraId="400F7E53" w14:textId="77777777" w:rsidR="001C5A92" w:rsidRPr="00564B75" w:rsidRDefault="002C35AF" w:rsidP="002C35AF">
      <w:pPr>
        <w:pStyle w:val="tPara"/>
      </w:pPr>
      <w:r w:rsidRPr="00564B75">
        <w:tab/>
        <w:t>(b)</w:t>
      </w:r>
      <w:r w:rsidRPr="00564B75">
        <w:tab/>
      </w:r>
      <w:r w:rsidR="001C5A92" w:rsidRPr="00564B75">
        <w:t>if the source was a dairy—use the factor applicable to ‘</w:t>
      </w:r>
      <w:r w:rsidR="003622E7" w:rsidRPr="00564B75">
        <w:t>Anaerobic lagoon’</w:t>
      </w:r>
      <w:r w:rsidR="001C5A92" w:rsidRPr="00564B75">
        <w:t>; and</w:t>
      </w:r>
    </w:p>
    <w:p w14:paraId="400F7E54" w14:textId="54FBC0DA" w:rsidR="00D6255E" w:rsidRPr="00564B75" w:rsidRDefault="001C5A92" w:rsidP="003622E7">
      <w:pPr>
        <w:pStyle w:val="tPara"/>
      </w:pPr>
      <w:r w:rsidRPr="00564B75">
        <w:tab/>
        <w:t>(c)</w:t>
      </w:r>
      <w:r w:rsidRPr="00564B75">
        <w:tab/>
        <w:t>if the source was a piggery—use the factor applicable to ‘</w:t>
      </w:r>
      <w:r w:rsidR="003622E7" w:rsidRPr="00564B75">
        <w:t xml:space="preserve">Effluent pond (Uncovered anaerobic </w:t>
      </w:r>
      <w:r w:rsidR="003622E7" w:rsidRPr="00606385">
        <w:t>lagoon)’</w:t>
      </w:r>
      <w:r w:rsidR="00246AE5" w:rsidRPr="00606385">
        <w:t>; and</w:t>
      </w:r>
    </w:p>
    <w:p w14:paraId="400F7E55" w14:textId="77777777" w:rsidR="003622E7" w:rsidRPr="00564B75" w:rsidRDefault="003622E7" w:rsidP="003622E7">
      <w:pPr>
        <w:pStyle w:val="tPara"/>
      </w:pPr>
      <w:r w:rsidRPr="00564B75">
        <w:tab/>
        <w:t>(d)</w:t>
      </w:r>
      <w:r w:rsidRPr="00564B75">
        <w:tab/>
        <w:t>if the source was from feedlot cattle—use the factor applicable to ‘Uncovered anaerobic lagoon (Effluent pond)’;</w:t>
      </w:r>
      <w:r w:rsidR="004007FD" w:rsidRPr="00564B75">
        <w:t xml:space="preserve"> and</w:t>
      </w:r>
    </w:p>
    <w:p w14:paraId="400F7E56" w14:textId="59224D46" w:rsidR="003622E7" w:rsidRPr="00564B75" w:rsidRDefault="003622E7" w:rsidP="003622E7">
      <w:pPr>
        <w:pStyle w:val="tPara"/>
      </w:pPr>
      <w:r w:rsidRPr="00564B75">
        <w:tab/>
        <w:t>(e)</w:t>
      </w:r>
      <w:r w:rsidRPr="00564B75">
        <w:tab/>
        <w:t>if the source was another source for which the National Inventory Report provides an equivalent factor—that factor;</w:t>
      </w:r>
      <w:r w:rsidR="004007FD" w:rsidRPr="00564B75">
        <w:t xml:space="preserve"> and</w:t>
      </w:r>
    </w:p>
    <w:p w14:paraId="400F7E57" w14:textId="2FACE5EA" w:rsidR="001C5A92" w:rsidRPr="00564B75" w:rsidRDefault="003622E7" w:rsidP="00E01687">
      <w:pPr>
        <w:pStyle w:val="tPara"/>
      </w:pPr>
      <w:r w:rsidRPr="00564B75">
        <w:tab/>
        <w:t>(f)</w:t>
      </w:r>
      <w:r w:rsidRPr="00564B75">
        <w:tab/>
        <w:t xml:space="preserve">if paragraph (b) of the definition of </w:t>
      </w:r>
      <w:r w:rsidR="00197BA3" w:rsidRPr="000A5065">
        <w:rPr>
          <w:highlight w:val="yellow"/>
        </w:rPr>
        <w:t>‘</w:t>
      </w:r>
      <w:proofErr w:type="spellStart"/>
      <w:r w:rsidRPr="000A5065">
        <w:rPr>
          <w:highlight w:val="yellow"/>
        </w:rPr>
        <w:t>MCF</w:t>
      </w:r>
      <w:r w:rsidRPr="000A5065">
        <w:rPr>
          <w:highlight w:val="yellow"/>
          <w:vertAlign w:val="subscript"/>
        </w:rPr>
        <w:t>n</w:t>
      </w:r>
      <w:r w:rsidR="006A7DD1" w:rsidRPr="000A5065">
        <w:rPr>
          <w:highlight w:val="yellow"/>
        </w:rPr>
        <w:t>’in</w:t>
      </w:r>
      <w:proofErr w:type="spellEnd"/>
      <w:r w:rsidR="006A7DD1" w:rsidRPr="000A5065">
        <w:rPr>
          <w:highlight w:val="yellow"/>
        </w:rPr>
        <w:t xml:space="preserve"> section 25 of the Determination</w:t>
      </w:r>
      <w:r w:rsidR="006A7DD1" w:rsidRPr="00564B75">
        <w:t xml:space="preserve"> </w:t>
      </w:r>
      <w:r w:rsidRPr="00564B75">
        <w:t>applies (there is no factor in the National Inventory Report)—the factor of 0.65 is the default.</w:t>
      </w:r>
    </w:p>
    <w:p w14:paraId="400F7E58" w14:textId="05D1D4A4" w:rsidR="006D24A2" w:rsidRPr="00564B75" w:rsidRDefault="00DB5CFE" w:rsidP="00831507">
      <w:pPr>
        <w:pStyle w:val="h5Section"/>
        <w:rPr>
          <w:u w:val="single"/>
        </w:rPr>
      </w:pPr>
      <w:bookmarkStart w:id="106" w:name="_Toc498293989"/>
      <w:bookmarkStart w:id="107" w:name="_Toc17792710"/>
      <w:bookmarkStart w:id="108" w:name="_Toc82779137"/>
      <w:bookmarkStart w:id="109" w:name="_Toc82779445"/>
      <w:bookmarkStart w:id="110" w:name="_Toc86674783"/>
      <w:r w:rsidRPr="000A5065">
        <w:rPr>
          <w:highlight w:val="yellow"/>
          <w:u w:val="single"/>
        </w:rPr>
        <w:t>2</w:t>
      </w:r>
      <w:r w:rsidR="0042623F" w:rsidRPr="000A5065">
        <w:rPr>
          <w:highlight w:val="yellow"/>
          <w:u w:val="single"/>
        </w:rPr>
        <w:t>0</w:t>
      </w:r>
      <w:r w:rsidR="009832C5" w:rsidRPr="000A5065">
        <w:rPr>
          <w:highlight w:val="yellow"/>
          <w:u w:val="single"/>
        </w:rPr>
        <w:tab/>
      </w:r>
      <w:r w:rsidR="00403355" w:rsidRPr="000A5065">
        <w:rPr>
          <w:highlight w:val="yellow"/>
          <w:u w:val="single"/>
        </w:rPr>
        <w:t>Sections 25, 26 and 32—</w:t>
      </w:r>
      <w:r w:rsidR="000E7CF7" w:rsidRPr="00564B75">
        <w:rPr>
          <w:u w:val="single"/>
        </w:rPr>
        <w:t xml:space="preserve">Determining </w:t>
      </w:r>
      <w:r w:rsidR="00665FC6" w:rsidRPr="00564B75">
        <w:rPr>
          <w:u w:val="single"/>
        </w:rPr>
        <w:t xml:space="preserve">the </w:t>
      </w:r>
      <w:proofErr w:type="gramStart"/>
      <w:r w:rsidR="000E7CF7" w:rsidRPr="00564B75">
        <w:rPr>
          <w:u w:val="single"/>
        </w:rPr>
        <w:t>amount</w:t>
      </w:r>
      <w:proofErr w:type="gramEnd"/>
      <w:r w:rsidR="000E7CF7" w:rsidRPr="00564B75">
        <w:rPr>
          <w:u w:val="single"/>
        </w:rPr>
        <w:t xml:space="preserve"> of volatile solids in material type </w:t>
      </w:r>
      <w:r w:rsidR="000E7CF7" w:rsidRPr="00564B75">
        <w:rPr>
          <w:i/>
          <w:u w:val="single"/>
        </w:rPr>
        <w:t>w</w:t>
      </w:r>
      <w:bookmarkEnd w:id="106"/>
      <w:bookmarkEnd w:id="107"/>
      <w:bookmarkEnd w:id="108"/>
      <w:bookmarkEnd w:id="109"/>
      <w:bookmarkEnd w:id="110"/>
      <w:r w:rsidR="00E565F7" w:rsidRPr="000A5065">
        <w:rPr>
          <w:i/>
          <w:highlight w:val="yellow"/>
          <w:u w:val="single"/>
        </w:rPr>
        <w:t xml:space="preserve"> </w:t>
      </w:r>
      <w:r w:rsidR="000E7CF7" w:rsidRPr="000A5065">
        <w:rPr>
          <w:highlight w:val="yellow"/>
          <w:u w:val="single"/>
        </w:rPr>
        <w:t xml:space="preserve"> </w:t>
      </w:r>
    </w:p>
    <w:p w14:paraId="400F7E59" w14:textId="346C3E71" w:rsidR="000E7CF7" w:rsidRPr="000A5065" w:rsidRDefault="000E7CF7" w:rsidP="000A5065">
      <w:pPr>
        <w:pStyle w:val="h6Subsec"/>
        <w:rPr>
          <w:highlight w:val="yellow"/>
        </w:rPr>
      </w:pPr>
      <w:r w:rsidRPr="000A5065">
        <w:rPr>
          <w:highlight w:val="yellow"/>
        </w:rPr>
        <w:t>Material diverted in project</w:t>
      </w:r>
      <w:r w:rsidR="00D74B04" w:rsidRPr="000A5065">
        <w:rPr>
          <w:highlight w:val="yellow"/>
        </w:rPr>
        <w:t xml:space="preserve"> treatment</w:t>
      </w:r>
      <w:r w:rsidRPr="000A5065">
        <w:rPr>
          <w:highlight w:val="yellow"/>
        </w:rPr>
        <w:t xml:space="preserve"> facility during the reporting period (</w:t>
      </w:r>
      <w:proofErr w:type="spellStart"/>
      <w:r w:rsidRPr="000A5065">
        <w:rPr>
          <w:highlight w:val="yellow"/>
        </w:rPr>
        <w:t>VSDiv</w:t>
      </w:r>
      <w:proofErr w:type="spellEnd"/>
      <w:r w:rsidRPr="000A5065">
        <w:rPr>
          <w:highlight w:val="yellow"/>
        </w:rPr>
        <w:t>, w, n)</w:t>
      </w:r>
    </w:p>
    <w:p w14:paraId="28E71E25" w14:textId="37A44526" w:rsidR="00416CDE" w:rsidRDefault="000E7CF7" w:rsidP="00EE031A">
      <w:pPr>
        <w:pStyle w:val="tMain"/>
      </w:pPr>
      <w:r w:rsidRPr="00564B75">
        <w:tab/>
        <w:t>(1)</w:t>
      </w:r>
      <w:r w:rsidRPr="00564B75">
        <w:tab/>
      </w:r>
      <w:r w:rsidR="00E565F7" w:rsidRPr="000A5065">
        <w:rPr>
          <w:highlight w:val="yellow"/>
        </w:rPr>
        <w:t>For section 25 and subsection 32(1) of the</w:t>
      </w:r>
      <w:r w:rsidR="00E565F7" w:rsidRPr="000A5065">
        <w:rPr>
          <w:szCs w:val="22"/>
          <w:highlight w:val="yellow"/>
        </w:rPr>
        <w:t xml:space="preserve"> Determination, </w:t>
      </w:r>
      <w:r w:rsidR="00E565F7" w:rsidRPr="000A5065">
        <w:rPr>
          <w:highlight w:val="yellow"/>
        </w:rPr>
        <w:t>t</w:t>
      </w:r>
      <w:r w:rsidRPr="000A5065">
        <w:rPr>
          <w:highlight w:val="yellow"/>
        </w:rPr>
        <w:t>he</w:t>
      </w:r>
      <w:r w:rsidRPr="00122E37">
        <w:t xml:space="preserve"> total amount of volatile solids in material of type </w:t>
      </w:r>
      <w:r w:rsidRPr="00564B75">
        <w:rPr>
          <w:i/>
        </w:rPr>
        <w:t>w</w:t>
      </w:r>
      <w:r w:rsidRPr="00564B75">
        <w:t xml:space="preserve"> that is diverted in the project</w:t>
      </w:r>
      <w:r w:rsidRPr="000A5065">
        <w:rPr>
          <w:highlight w:val="yellow"/>
        </w:rPr>
        <w:t xml:space="preserve"> </w:t>
      </w:r>
      <w:r w:rsidR="00D74B04" w:rsidRPr="000A5065">
        <w:rPr>
          <w:highlight w:val="yellow"/>
        </w:rPr>
        <w:t>treatment</w:t>
      </w:r>
      <w:r w:rsidR="00D74B04" w:rsidRPr="00564B75">
        <w:t xml:space="preserve"> </w:t>
      </w:r>
      <w:r w:rsidRPr="00564B75">
        <w:t xml:space="preserve">facility during the reporting period, </w:t>
      </w:r>
      <w:r w:rsidR="007D4D58" w:rsidRPr="00564B75">
        <w:rPr>
          <w:szCs w:val="22"/>
        </w:rPr>
        <w:t xml:space="preserve">and treated using treatment method </w:t>
      </w:r>
      <w:r w:rsidR="007D4D58" w:rsidRPr="00564B75">
        <w:rPr>
          <w:i/>
          <w:szCs w:val="22"/>
        </w:rPr>
        <w:t>n</w:t>
      </w:r>
      <w:r w:rsidR="007D4D58" w:rsidRPr="00564B75">
        <w:rPr>
          <w:szCs w:val="22"/>
        </w:rPr>
        <w:t xml:space="preserve">. It is </w:t>
      </w:r>
      <w:r w:rsidR="000F48F7" w:rsidRPr="00564B75">
        <w:rPr>
          <w:szCs w:val="22"/>
        </w:rPr>
        <w:t xml:space="preserve">measured </w:t>
      </w:r>
      <w:r w:rsidRPr="00564B75">
        <w:t>in tonnes of volatile solids</w:t>
      </w:r>
      <w:r w:rsidR="007D4D58" w:rsidRPr="00564B75">
        <w:t>.</w:t>
      </w:r>
      <w:r w:rsidRPr="00564B75">
        <w:t xml:space="preserve"> </w:t>
      </w:r>
      <w:proofErr w:type="spellStart"/>
      <w:r w:rsidRPr="000A5065">
        <w:rPr>
          <w:i/>
          <w:highlight w:val="yellow"/>
        </w:rPr>
        <w:t>VS</w:t>
      </w:r>
      <w:r w:rsidRPr="000A5065">
        <w:rPr>
          <w:i/>
          <w:highlight w:val="yellow"/>
          <w:vertAlign w:val="subscript"/>
        </w:rPr>
        <w:t>Div</w:t>
      </w:r>
      <w:proofErr w:type="spellEnd"/>
      <w:r w:rsidRPr="000A5065">
        <w:rPr>
          <w:i/>
          <w:highlight w:val="yellow"/>
          <w:vertAlign w:val="subscript"/>
        </w:rPr>
        <w:t>, w,</w:t>
      </w:r>
      <w:r w:rsidRPr="00564B75">
        <w:rPr>
          <w:b/>
          <w:i/>
          <w:vertAlign w:val="subscript"/>
        </w:rPr>
        <w:t> </w:t>
      </w:r>
      <w:r w:rsidRPr="00564B75">
        <w:t>is worked out using the formula</w:t>
      </w:r>
      <w:r w:rsidR="00416CDE">
        <w:t>:</w:t>
      </w:r>
    </w:p>
    <w:p w14:paraId="3C936B8E" w14:textId="77777777" w:rsidR="00416CDE" w:rsidRPr="000A5065" w:rsidRDefault="00416CDE" w:rsidP="000A5065">
      <w:pPr>
        <w:pStyle w:val="tMain"/>
        <w:rPr>
          <w:highlight w:val="yellow"/>
        </w:rPr>
      </w:pPr>
    </w:p>
    <w:tbl>
      <w:tblPr>
        <w:tblStyle w:val="TableGrid"/>
        <w:tblW w:w="0" w:type="auto"/>
        <w:tblInd w:w="1165" w:type="dxa"/>
        <w:tblLook w:val="04A0" w:firstRow="1" w:lastRow="0" w:firstColumn="1" w:lastColumn="0" w:noHBand="0" w:noVBand="1"/>
      </w:tblPr>
      <w:tblGrid>
        <w:gridCol w:w="5493"/>
        <w:gridCol w:w="1645"/>
      </w:tblGrid>
      <w:tr w:rsidR="00216966" w:rsidRPr="00564B75" w14:paraId="400F7E61" w14:textId="77777777" w:rsidTr="000A5065">
        <w:tc>
          <w:tcPr>
            <w:tcW w:w="5493" w:type="dxa"/>
            <w:tcBorders>
              <w:top w:val="single" w:sz="4" w:space="0" w:color="auto"/>
              <w:left w:val="single" w:sz="4" w:space="0" w:color="auto"/>
              <w:bottom w:val="single" w:sz="4" w:space="0" w:color="auto"/>
              <w:right w:val="single" w:sz="4" w:space="0" w:color="auto"/>
            </w:tcBorders>
          </w:tcPr>
          <w:p w14:paraId="400F7E5C" w14:textId="77777777" w:rsidR="000E7CF7" w:rsidRPr="000A5065" w:rsidRDefault="000E7CF7" w:rsidP="000A5065">
            <w:pPr>
              <w:pStyle w:val="tMain"/>
              <w:rPr>
                <w:highlight w:val="yellow"/>
              </w:rPr>
            </w:pPr>
          </w:p>
          <w:p w14:paraId="400F7E5D" w14:textId="77777777" w:rsidR="000E7CF7" w:rsidRPr="00564B75" w:rsidRDefault="000E7CF7" w:rsidP="003D5B8E">
            <w:pPr>
              <w:jc w:val="center"/>
            </w:pPr>
            <w:proofErr w:type="spellStart"/>
            <w:r w:rsidRPr="00564B75">
              <w:t>VS</w:t>
            </w:r>
            <w:r w:rsidRPr="00564B75">
              <w:rPr>
                <w:vertAlign w:val="subscript"/>
              </w:rPr>
              <w:t>Div</w:t>
            </w:r>
            <w:proofErr w:type="spellEnd"/>
            <w:r w:rsidRPr="00564B75">
              <w:rPr>
                <w:vertAlign w:val="subscript"/>
              </w:rPr>
              <w:t>, w, n</w:t>
            </w:r>
            <w:r w:rsidRPr="00564B75">
              <w:t xml:space="preserve"> = </w:t>
            </w:r>
            <w:proofErr w:type="spellStart"/>
            <w:proofErr w:type="gramStart"/>
            <w:r w:rsidRPr="00564B75">
              <w:t>C</w:t>
            </w:r>
            <w:r w:rsidRPr="00564B75">
              <w:rPr>
                <w:vertAlign w:val="subscript"/>
              </w:rPr>
              <w:t>VS,Div</w:t>
            </w:r>
            <w:proofErr w:type="spellEnd"/>
            <w:proofErr w:type="gramEnd"/>
            <w:r w:rsidRPr="00564B75">
              <w:rPr>
                <w:vertAlign w:val="subscript"/>
              </w:rPr>
              <w:t>, w, n </w:t>
            </w:r>
            <w:r w:rsidRPr="00564B75">
              <w:t xml:space="preserve"> </w:t>
            </w:r>
            <w:r w:rsidR="003D5B8E" w:rsidRPr="00564B75">
              <w:t>×</w:t>
            </w:r>
            <w:r w:rsidRPr="00564B75">
              <w:t xml:space="preserve"> </w:t>
            </w:r>
            <w:proofErr w:type="spellStart"/>
            <w:r w:rsidRPr="00564B75">
              <w:t>Q</w:t>
            </w:r>
            <w:r w:rsidRPr="00564B75">
              <w:rPr>
                <w:vertAlign w:val="subscript"/>
              </w:rPr>
              <w:t>Div</w:t>
            </w:r>
            <w:proofErr w:type="spellEnd"/>
            <w:r w:rsidRPr="00564B75">
              <w:rPr>
                <w:vertAlign w:val="subscript"/>
              </w:rPr>
              <w:t>, w, n</w:t>
            </w:r>
          </w:p>
        </w:tc>
        <w:tc>
          <w:tcPr>
            <w:tcW w:w="1645" w:type="dxa"/>
            <w:tcBorders>
              <w:top w:val="single" w:sz="4" w:space="0" w:color="auto"/>
              <w:left w:val="single" w:sz="4" w:space="0" w:color="auto"/>
              <w:bottom w:val="single" w:sz="4" w:space="0" w:color="auto"/>
              <w:right w:val="single" w:sz="4" w:space="0" w:color="auto"/>
            </w:tcBorders>
            <w:vAlign w:val="center"/>
          </w:tcPr>
          <w:p w14:paraId="400F7E5E" w14:textId="77777777" w:rsidR="000E7CF7" w:rsidRPr="00564B75" w:rsidRDefault="000E7CF7" w:rsidP="00A94046"/>
          <w:p w14:paraId="400F7E5F" w14:textId="77777777" w:rsidR="000E7CF7" w:rsidRPr="00564B75" w:rsidRDefault="000E7CF7" w:rsidP="00A94046">
            <w:pPr>
              <w:jc w:val="center"/>
            </w:pPr>
            <w:r w:rsidRPr="00564B75">
              <w:t>Equation S1</w:t>
            </w:r>
          </w:p>
          <w:p w14:paraId="400F7E60" w14:textId="77777777" w:rsidR="000E7CF7" w:rsidRPr="00564B75" w:rsidRDefault="000E7CF7" w:rsidP="00A94046"/>
        </w:tc>
      </w:tr>
    </w:tbl>
    <w:p w14:paraId="400F7E63" w14:textId="77777777" w:rsidR="000E7CF7" w:rsidRPr="00564B75" w:rsidRDefault="000E7CF7" w:rsidP="000E7CF7">
      <w:pPr>
        <w:pStyle w:val="tMain"/>
      </w:pPr>
      <w:r w:rsidRPr="00564B75">
        <w:tab/>
      </w:r>
      <w:r w:rsidRPr="00564B75">
        <w:tab/>
        <w:t xml:space="preserve">where: </w:t>
      </w:r>
    </w:p>
    <w:p w14:paraId="400F7E64" w14:textId="5786C165" w:rsidR="00BD07DF" w:rsidRPr="00564B75" w:rsidRDefault="000E7CF7" w:rsidP="00BD07DF">
      <w:pPr>
        <w:pStyle w:val="tDefn"/>
        <w:spacing w:line="276" w:lineRule="auto"/>
        <w:rPr>
          <w:szCs w:val="22"/>
        </w:rPr>
      </w:pPr>
      <w:proofErr w:type="spellStart"/>
      <w:proofErr w:type="gramStart"/>
      <w:r w:rsidRPr="00564B75">
        <w:rPr>
          <w:b/>
          <w:i/>
          <w:szCs w:val="22"/>
        </w:rPr>
        <w:t>C</w:t>
      </w:r>
      <w:r w:rsidRPr="00564B75">
        <w:rPr>
          <w:b/>
          <w:i/>
          <w:szCs w:val="22"/>
          <w:vertAlign w:val="subscript"/>
        </w:rPr>
        <w:t>VS,Div</w:t>
      </w:r>
      <w:proofErr w:type="spellEnd"/>
      <w:proofErr w:type="gramEnd"/>
      <w:r w:rsidRPr="00564B75">
        <w:rPr>
          <w:b/>
          <w:i/>
          <w:szCs w:val="22"/>
          <w:vertAlign w:val="subscript"/>
        </w:rPr>
        <w:t>, w, n </w:t>
      </w:r>
      <w:r w:rsidRPr="00564B75">
        <w:rPr>
          <w:szCs w:val="22"/>
        </w:rPr>
        <w:t xml:space="preserve">is the </w:t>
      </w:r>
      <w:r w:rsidR="00BD07DF" w:rsidRPr="00564B75">
        <w:rPr>
          <w:szCs w:val="22"/>
        </w:rPr>
        <w:t>volatile solids concentration in</w:t>
      </w:r>
      <w:r w:rsidRPr="00564B75">
        <w:rPr>
          <w:szCs w:val="22"/>
        </w:rPr>
        <w:t xml:space="preserve"> material of </w:t>
      </w:r>
      <w:r w:rsidRPr="00564B75">
        <w:t>type</w:t>
      </w:r>
      <w:r w:rsidRPr="00564B75">
        <w:rPr>
          <w:szCs w:val="22"/>
        </w:rPr>
        <w:t xml:space="preserve"> </w:t>
      </w:r>
      <w:r w:rsidRPr="00564B75">
        <w:rPr>
          <w:i/>
          <w:szCs w:val="22"/>
        </w:rPr>
        <w:t>w</w:t>
      </w:r>
      <w:r w:rsidRPr="00564B75">
        <w:rPr>
          <w:szCs w:val="22"/>
        </w:rPr>
        <w:t xml:space="preserve"> that is diverted in the project</w:t>
      </w:r>
      <w:r w:rsidR="00D74B04" w:rsidRPr="00564B75">
        <w:rPr>
          <w:szCs w:val="22"/>
        </w:rPr>
        <w:t xml:space="preserve"> </w:t>
      </w:r>
      <w:r w:rsidR="00273CC2" w:rsidRPr="000A5065">
        <w:rPr>
          <w:szCs w:val="22"/>
          <w:highlight w:val="yellow"/>
        </w:rPr>
        <w:t>t</w:t>
      </w:r>
      <w:r w:rsidR="00D74B04" w:rsidRPr="000A5065">
        <w:rPr>
          <w:szCs w:val="22"/>
          <w:highlight w:val="yellow"/>
        </w:rPr>
        <w:t>reatment</w:t>
      </w:r>
      <w:r w:rsidRPr="000A5065">
        <w:rPr>
          <w:szCs w:val="22"/>
          <w:highlight w:val="yellow"/>
        </w:rPr>
        <w:t xml:space="preserve"> </w:t>
      </w:r>
      <w:r w:rsidRPr="00564B75">
        <w:rPr>
          <w:szCs w:val="22"/>
        </w:rPr>
        <w:t xml:space="preserve">facility </w:t>
      </w:r>
      <w:r w:rsidR="00BD07DF" w:rsidRPr="00564B75">
        <w:t xml:space="preserve">under treatment method </w:t>
      </w:r>
      <w:r w:rsidR="00BD07DF" w:rsidRPr="00564B75">
        <w:rPr>
          <w:i/>
        </w:rPr>
        <w:t>n</w:t>
      </w:r>
      <w:r w:rsidR="00BD07DF" w:rsidRPr="00564B75">
        <w:rPr>
          <w:szCs w:val="22"/>
        </w:rPr>
        <w:t xml:space="preserve"> </w:t>
      </w:r>
      <w:r w:rsidRPr="00564B75">
        <w:rPr>
          <w:szCs w:val="22"/>
        </w:rPr>
        <w:t>during the reporting period</w:t>
      </w:r>
      <w:r w:rsidR="00DE576D" w:rsidRPr="00564B75">
        <w:rPr>
          <w:szCs w:val="22"/>
        </w:rPr>
        <w:t xml:space="preserve">, as </w:t>
      </w:r>
      <w:r w:rsidR="009627EA" w:rsidRPr="00564B75">
        <w:rPr>
          <w:szCs w:val="22"/>
        </w:rPr>
        <w:t>a proportion</w:t>
      </w:r>
      <w:r w:rsidR="00BD07DF" w:rsidRPr="00564B75">
        <w:rPr>
          <w:szCs w:val="22"/>
        </w:rPr>
        <w:t xml:space="preserve">. This </w:t>
      </w:r>
      <w:r w:rsidR="00DE576D" w:rsidRPr="00564B75">
        <w:rPr>
          <w:szCs w:val="22"/>
        </w:rPr>
        <w:t>is based on the concentration of volatile solids in the whole sample analysed by the laboratory, including the moisture contained in the material</w:t>
      </w:r>
      <w:r w:rsidR="00451599" w:rsidRPr="00564B75">
        <w:rPr>
          <w:szCs w:val="22"/>
        </w:rPr>
        <w:t>. This</w:t>
      </w:r>
      <w:r w:rsidR="00BD07DF" w:rsidRPr="00564B75">
        <w:rPr>
          <w:szCs w:val="22"/>
        </w:rPr>
        <w:t xml:space="preserve"> value is measured at a frequency and timing that gives representative monthly measurements</w:t>
      </w:r>
      <w:r w:rsidR="009229C7" w:rsidRPr="00564B75">
        <w:rPr>
          <w:szCs w:val="22"/>
        </w:rPr>
        <w:t>.</w:t>
      </w:r>
    </w:p>
    <w:p w14:paraId="400F7E65" w14:textId="33FDA350" w:rsidR="000E7CF7" w:rsidRPr="00122E37" w:rsidRDefault="000E7CF7" w:rsidP="000E7CF7">
      <w:pPr>
        <w:pStyle w:val="tDefn"/>
        <w:spacing w:line="276" w:lineRule="auto"/>
        <w:rPr>
          <w:szCs w:val="22"/>
        </w:rPr>
      </w:pPr>
      <w:proofErr w:type="spellStart"/>
      <w:r w:rsidRPr="00564B75">
        <w:rPr>
          <w:b/>
          <w:i/>
          <w:szCs w:val="22"/>
        </w:rPr>
        <w:t>Q</w:t>
      </w:r>
      <w:r w:rsidRPr="00564B75">
        <w:rPr>
          <w:b/>
          <w:i/>
          <w:szCs w:val="22"/>
          <w:vertAlign w:val="subscript"/>
        </w:rPr>
        <w:t>Div</w:t>
      </w:r>
      <w:proofErr w:type="spellEnd"/>
      <w:r w:rsidRPr="00564B75">
        <w:rPr>
          <w:b/>
          <w:i/>
          <w:szCs w:val="22"/>
          <w:vertAlign w:val="subscript"/>
        </w:rPr>
        <w:t>, w, n</w:t>
      </w:r>
      <w:r w:rsidRPr="00564B75">
        <w:rPr>
          <w:szCs w:val="22"/>
        </w:rPr>
        <w:t xml:space="preserve"> is the total amount of material of type </w:t>
      </w:r>
      <w:r w:rsidRPr="00564B75">
        <w:rPr>
          <w:i/>
          <w:szCs w:val="22"/>
        </w:rPr>
        <w:t>w</w:t>
      </w:r>
      <w:r w:rsidRPr="00564B75">
        <w:rPr>
          <w:szCs w:val="22"/>
        </w:rPr>
        <w:t xml:space="preserve"> that is diverted in the project</w:t>
      </w:r>
      <w:r w:rsidR="00D74B04" w:rsidRPr="00564B75">
        <w:rPr>
          <w:szCs w:val="22"/>
        </w:rPr>
        <w:t xml:space="preserve"> </w:t>
      </w:r>
      <w:r w:rsidR="00D74B04" w:rsidRPr="000A5065">
        <w:rPr>
          <w:szCs w:val="22"/>
          <w:highlight w:val="yellow"/>
        </w:rPr>
        <w:t xml:space="preserve">treatment </w:t>
      </w:r>
      <w:r w:rsidRPr="00564B75">
        <w:rPr>
          <w:szCs w:val="22"/>
        </w:rPr>
        <w:t xml:space="preserve">facility under treatment method </w:t>
      </w:r>
      <w:r w:rsidRPr="00564B75">
        <w:rPr>
          <w:i/>
          <w:szCs w:val="22"/>
        </w:rPr>
        <w:t>n</w:t>
      </w:r>
      <w:r w:rsidRPr="00564B75">
        <w:rPr>
          <w:szCs w:val="22"/>
        </w:rPr>
        <w:t xml:space="preserve"> during the reporting period, in tonnes, determined in accordance with this </w:t>
      </w:r>
      <w:r w:rsidR="00352879" w:rsidRPr="000A5065">
        <w:rPr>
          <w:szCs w:val="22"/>
          <w:highlight w:val="yellow"/>
        </w:rPr>
        <w:t>clause</w:t>
      </w:r>
      <w:r w:rsidRPr="0048069E">
        <w:rPr>
          <w:szCs w:val="22"/>
        </w:rPr>
        <w:t>.</w:t>
      </w:r>
    </w:p>
    <w:p w14:paraId="400F7E66" w14:textId="7A0914DE" w:rsidR="000E7CF7" w:rsidRPr="000A5065" w:rsidRDefault="000E7CF7" w:rsidP="000A5065">
      <w:pPr>
        <w:pStyle w:val="h6Subsec"/>
        <w:rPr>
          <w:highlight w:val="yellow"/>
        </w:rPr>
      </w:pPr>
      <w:r w:rsidRPr="000A5065">
        <w:rPr>
          <w:highlight w:val="yellow"/>
        </w:rPr>
        <w:t xml:space="preserve">Determining </w:t>
      </w:r>
      <w:proofErr w:type="gramStart"/>
      <w:r w:rsidRPr="000A5065">
        <w:rPr>
          <w:highlight w:val="yellow"/>
        </w:rPr>
        <w:t>amount</w:t>
      </w:r>
      <w:proofErr w:type="gramEnd"/>
      <w:r w:rsidRPr="000A5065">
        <w:rPr>
          <w:highlight w:val="yellow"/>
        </w:rPr>
        <w:t xml:space="preserve"> of volatile solids in ineligible material type w (</w:t>
      </w:r>
      <w:proofErr w:type="spellStart"/>
      <w:r w:rsidRPr="000A5065">
        <w:rPr>
          <w:highlight w:val="yellow"/>
        </w:rPr>
        <w:t>VSInel</w:t>
      </w:r>
      <w:proofErr w:type="spellEnd"/>
      <w:r w:rsidRPr="000A5065">
        <w:rPr>
          <w:highlight w:val="yellow"/>
        </w:rPr>
        <w:t>, w)</w:t>
      </w:r>
    </w:p>
    <w:p w14:paraId="400F7E68" w14:textId="4972743F" w:rsidR="000E7CF7" w:rsidRDefault="000E7CF7" w:rsidP="00122E37">
      <w:pPr>
        <w:pStyle w:val="tMain"/>
      </w:pPr>
      <w:r w:rsidRPr="00564B75">
        <w:tab/>
        <w:t>(2)</w:t>
      </w:r>
      <w:r w:rsidRPr="00564B75">
        <w:tab/>
      </w:r>
      <w:r w:rsidR="00E565F7" w:rsidRPr="000A5065">
        <w:rPr>
          <w:highlight w:val="yellow"/>
        </w:rPr>
        <w:t>For section 26 of the Determination, the</w:t>
      </w:r>
      <w:r w:rsidRPr="00122E37">
        <w:t xml:space="preserve"> total amount of volatile solids in ineligible material of type </w:t>
      </w:r>
      <w:r w:rsidRPr="00564B75">
        <w:rPr>
          <w:i/>
        </w:rPr>
        <w:t>w</w:t>
      </w:r>
      <w:r w:rsidRPr="00564B75">
        <w:t xml:space="preserve"> that enters the project</w:t>
      </w:r>
      <w:r w:rsidRPr="000A5065">
        <w:rPr>
          <w:highlight w:val="yellow"/>
        </w:rPr>
        <w:t xml:space="preserve"> </w:t>
      </w:r>
      <w:r w:rsidR="00D74B04" w:rsidRPr="000A5065">
        <w:rPr>
          <w:highlight w:val="yellow"/>
        </w:rPr>
        <w:t>treatment</w:t>
      </w:r>
      <w:r w:rsidR="00D74B04" w:rsidRPr="00564B75">
        <w:t xml:space="preserve"> </w:t>
      </w:r>
      <w:r w:rsidRPr="00564B75">
        <w:t xml:space="preserve">facility during the reporting period, in tonnes of volatile solids, </w:t>
      </w:r>
      <w:proofErr w:type="spellStart"/>
      <w:r w:rsidRPr="00564B75">
        <w:rPr>
          <w:b/>
          <w:i/>
        </w:rPr>
        <w:t>VS</w:t>
      </w:r>
      <w:r w:rsidRPr="00564B75">
        <w:rPr>
          <w:b/>
          <w:i/>
          <w:vertAlign w:val="subscript"/>
        </w:rPr>
        <w:t>Inel</w:t>
      </w:r>
      <w:proofErr w:type="spellEnd"/>
      <w:r w:rsidRPr="00564B75">
        <w:rPr>
          <w:b/>
          <w:i/>
          <w:vertAlign w:val="subscript"/>
        </w:rPr>
        <w:t>, w, </w:t>
      </w:r>
      <w:r w:rsidRPr="00564B75">
        <w:t>is worked out using the formula:</w:t>
      </w:r>
    </w:p>
    <w:p w14:paraId="1E611190" w14:textId="77777777" w:rsidR="00DE1AE3" w:rsidRPr="000A5065" w:rsidRDefault="00DE1AE3" w:rsidP="000A5065">
      <w:pPr>
        <w:pStyle w:val="tMain"/>
        <w:rPr>
          <w:highlight w:val="yellow"/>
        </w:rPr>
      </w:pPr>
    </w:p>
    <w:tbl>
      <w:tblPr>
        <w:tblStyle w:val="TableGrid"/>
        <w:tblW w:w="0" w:type="auto"/>
        <w:tblInd w:w="1075" w:type="dxa"/>
        <w:tblLook w:val="04A0" w:firstRow="1" w:lastRow="0" w:firstColumn="1" w:lastColumn="0" w:noHBand="0" w:noVBand="1"/>
      </w:tblPr>
      <w:tblGrid>
        <w:gridCol w:w="5583"/>
        <w:gridCol w:w="1645"/>
      </w:tblGrid>
      <w:tr w:rsidR="00216966" w:rsidRPr="000A5065" w14:paraId="400F7E6E" w14:textId="77777777" w:rsidTr="000A5065">
        <w:tc>
          <w:tcPr>
            <w:tcW w:w="5583" w:type="dxa"/>
            <w:tcBorders>
              <w:top w:val="single" w:sz="4" w:space="0" w:color="auto"/>
              <w:left w:val="single" w:sz="4" w:space="0" w:color="auto"/>
              <w:bottom w:val="single" w:sz="4" w:space="0" w:color="auto"/>
              <w:right w:val="single" w:sz="4" w:space="0" w:color="auto"/>
            </w:tcBorders>
          </w:tcPr>
          <w:p w14:paraId="400F7E69" w14:textId="77777777" w:rsidR="000E7CF7" w:rsidRPr="000A5065" w:rsidRDefault="000E7CF7" w:rsidP="00A94046">
            <w:pPr>
              <w:jc w:val="center"/>
              <w:rPr>
                <w:highlight w:val="yellow"/>
              </w:rPr>
            </w:pPr>
          </w:p>
          <w:p w14:paraId="400F7E6A" w14:textId="77777777" w:rsidR="000E7CF7" w:rsidRPr="000A5065" w:rsidRDefault="000E7CF7" w:rsidP="003D5B8E">
            <w:pPr>
              <w:jc w:val="center"/>
              <w:rPr>
                <w:highlight w:val="yellow"/>
              </w:rPr>
            </w:pPr>
            <w:proofErr w:type="spellStart"/>
            <w:r w:rsidRPr="000A5065">
              <w:rPr>
                <w:highlight w:val="yellow"/>
              </w:rPr>
              <w:t>VS</w:t>
            </w:r>
            <w:r w:rsidRPr="000A5065">
              <w:rPr>
                <w:highlight w:val="yellow"/>
                <w:vertAlign w:val="subscript"/>
              </w:rPr>
              <w:t>Inel</w:t>
            </w:r>
            <w:proofErr w:type="spellEnd"/>
            <w:r w:rsidRPr="000A5065">
              <w:rPr>
                <w:highlight w:val="yellow"/>
                <w:vertAlign w:val="subscript"/>
              </w:rPr>
              <w:t>, </w:t>
            </w:r>
            <w:r w:rsidR="007068D8" w:rsidRPr="000A5065">
              <w:rPr>
                <w:highlight w:val="yellow"/>
                <w:vertAlign w:val="subscript"/>
              </w:rPr>
              <w:t>w</w:t>
            </w:r>
            <w:r w:rsidRPr="000A5065">
              <w:rPr>
                <w:highlight w:val="yellow"/>
              </w:rPr>
              <w:t xml:space="preserve"> = C</w:t>
            </w:r>
            <w:r w:rsidRPr="000A5065">
              <w:rPr>
                <w:highlight w:val="yellow"/>
                <w:vertAlign w:val="subscript"/>
              </w:rPr>
              <w:t>VS, </w:t>
            </w:r>
            <w:proofErr w:type="spellStart"/>
            <w:r w:rsidRPr="000A5065">
              <w:rPr>
                <w:highlight w:val="yellow"/>
                <w:vertAlign w:val="subscript"/>
              </w:rPr>
              <w:t>Inel</w:t>
            </w:r>
            <w:proofErr w:type="spellEnd"/>
            <w:r w:rsidRPr="000A5065">
              <w:rPr>
                <w:highlight w:val="yellow"/>
                <w:vertAlign w:val="subscript"/>
              </w:rPr>
              <w:t>, </w:t>
            </w:r>
            <w:proofErr w:type="gramStart"/>
            <w:r w:rsidRPr="000A5065">
              <w:rPr>
                <w:highlight w:val="yellow"/>
                <w:vertAlign w:val="subscript"/>
              </w:rPr>
              <w:t>w </w:t>
            </w:r>
            <w:r w:rsidRPr="000A5065">
              <w:rPr>
                <w:highlight w:val="yellow"/>
              </w:rPr>
              <w:t xml:space="preserve"> </w:t>
            </w:r>
            <w:r w:rsidR="003D5B8E" w:rsidRPr="000A5065">
              <w:rPr>
                <w:highlight w:val="yellow"/>
              </w:rPr>
              <w:t>×</w:t>
            </w:r>
            <w:proofErr w:type="gramEnd"/>
            <w:r w:rsidRPr="000A5065">
              <w:rPr>
                <w:highlight w:val="yellow"/>
              </w:rPr>
              <w:t xml:space="preserve"> </w:t>
            </w:r>
            <w:proofErr w:type="spellStart"/>
            <w:r w:rsidRPr="000A5065">
              <w:rPr>
                <w:highlight w:val="yellow"/>
              </w:rPr>
              <w:t>Q</w:t>
            </w:r>
            <w:r w:rsidRPr="000A5065">
              <w:rPr>
                <w:highlight w:val="yellow"/>
                <w:vertAlign w:val="subscript"/>
              </w:rPr>
              <w:t>Inel</w:t>
            </w:r>
            <w:proofErr w:type="spellEnd"/>
            <w:r w:rsidRPr="000A5065">
              <w:rPr>
                <w:highlight w:val="yellow"/>
                <w:vertAlign w:val="subscript"/>
              </w:rPr>
              <w:t>, w</w:t>
            </w:r>
          </w:p>
        </w:tc>
        <w:tc>
          <w:tcPr>
            <w:tcW w:w="1645" w:type="dxa"/>
            <w:tcBorders>
              <w:top w:val="single" w:sz="4" w:space="0" w:color="auto"/>
              <w:left w:val="single" w:sz="4" w:space="0" w:color="auto"/>
              <w:bottom w:val="single" w:sz="4" w:space="0" w:color="auto"/>
              <w:right w:val="single" w:sz="4" w:space="0" w:color="auto"/>
            </w:tcBorders>
            <w:vAlign w:val="center"/>
          </w:tcPr>
          <w:p w14:paraId="400F7E6B" w14:textId="77777777" w:rsidR="000E7CF7" w:rsidRPr="000A5065" w:rsidRDefault="000E7CF7" w:rsidP="00A94046">
            <w:pPr>
              <w:rPr>
                <w:highlight w:val="yellow"/>
              </w:rPr>
            </w:pPr>
          </w:p>
          <w:p w14:paraId="400F7E6C" w14:textId="77777777" w:rsidR="000E7CF7" w:rsidRPr="000A5065" w:rsidRDefault="000E7CF7" w:rsidP="00A94046">
            <w:pPr>
              <w:jc w:val="center"/>
              <w:rPr>
                <w:highlight w:val="yellow"/>
              </w:rPr>
            </w:pPr>
            <w:r w:rsidRPr="000A5065">
              <w:rPr>
                <w:highlight w:val="yellow"/>
              </w:rPr>
              <w:t>Equation S2</w:t>
            </w:r>
          </w:p>
          <w:p w14:paraId="400F7E6D" w14:textId="77777777" w:rsidR="000E7CF7" w:rsidRPr="000A5065" w:rsidRDefault="000E7CF7" w:rsidP="00A94046">
            <w:pPr>
              <w:rPr>
                <w:highlight w:val="yellow"/>
              </w:rPr>
            </w:pPr>
          </w:p>
        </w:tc>
      </w:tr>
    </w:tbl>
    <w:p w14:paraId="400F7E70" w14:textId="77777777" w:rsidR="000E7CF7" w:rsidRPr="00564B75" w:rsidRDefault="000E7CF7" w:rsidP="000E7CF7">
      <w:pPr>
        <w:pStyle w:val="tMain"/>
      </w:pPr>
      <w:r w:rsidRPr="00564B75">
        <w:lastRenderedPageBreak/>
        <w:tab/>
      </w:r>
      <w:r w:rsidRPr="00564B75">
        <w:tab/>
        <w:t xml:space="preserve">where: </w:t>
      </w:r>
    </w:p>
    <w:p w14:paraId="400F7E71" w14:textId="0F8EDEE7" w:rsidR="00B6690F" w:rsidRPr="00564B75" w:rsidRDefault="000E7CF7" w:rsidP="00B6690F">
      <w:pPr>
        <w:pStyle w:val="tDefn"/>
        <w:spacing w:line="276" w:lineRule="auto"/>
      </w:pPr>
      <w:r w:rsidRPr="00564B75">
        <w:rPr>
          <w:b/>
          <w:i/>
          <w:szCs w:val="22"/>
        </w:rPr>
        <w:t>C</w:t>
      </w:r>
      <w:r w:rsidRPr="00564B75">
        <w:rPr>
          <w:b/>
          <w:i/>
          <w:szCs w:val="22"/>
          <w:vertAlign w:val="subscript"/>
        </w:rPr>
        <w:t>VS, </w:t>
      </w:r>
      <w:proofErr w:type="spellStart"/>
      <w:r w:rsidRPr="00564B75">
        <w:rPr>
          <w:b/>
          <w:i/>
          <w:szCs w:val="22"/>
          <w:vertAlign w:val="subscript"/>
        </w:rPr>
        <w:t>Inel</w:t>
      </w:r>
      <w:proofErr w:type="spellEnd"/>
      <w:r w:rsidRPr="00564B75">
        <w:rPr>
          <w:b/>
          <w:i/>
          <w:szCs w:val="22"/>
          <w:vertAlign w:val="subscript"/>
        </w:rPr>
        <w:t>, w </w:t>
      </w:r>
      <w:r w:rsidRPr="00564B75">
        <w:rPr>
          <w:szCs w:val="22"/>
        </w:rPr>
        <w:t xml:space="preserve">is the volatile solids concentration of ineligible material of </w:t>
      </w:r>
      <w:r w:rsidRPr="00564B75">
        <w:t>type</w:t>
      </w:r>
      <w:r w:rsidRPr="00564B75">
        <w:rPr>
          <w:szCs w:val="22"/>
        </w:rPr>
        <w:t xml:space="preserve"> </w:t>
      </w:r>
      <w:r w:rsidRPr="00564B75">
        <w:rPr>
          <w:i/>
          <w:szCs w:val="22"/>
        </w:rPr>
        <w:t>w</w:t>
      </w:r>
      <w:r w:rsidRPr="00564B75">
        <w:rPr>
          <w:szCs w:val="22"/>
        </w:rPr>
        <w:t xml:space="preserve"> that enters the project </w:t>
      </w:r>
      <w:r w:rsidR="00D74B04" w:rsidRPr="000A5065">
        <w:rPr>
          <w:szCs w:val="22"/>
          <w:highlight w:val="yellow"/>
        </w:rPr>
        <w:t xml:space="preserve">treatment </w:t>
      </w:r>
      <w:r w:rsidRPr="00564B75">
        <w:rPr>
          <w:szCs w:val="22"/>
        </w:rPr>
        <w:t>facility during the reporting period</w:t>
      </w:r>
      <w:r w:rsidR="00DE576D" w:rsidRPr="00564B75">
        <w:rPr>
          <w:szCs w:val="22"/>
        </w:rPr>
        <w:t xml:space="preserve">, as a </w:t>
      </w:r>
      <w:r w:rsidR="009627EA" w:rsidRPr="00564B75">
        <w:rPr>
          <w:szCs w:val="22"/>
        </w:rPr>
        <w:t>proportion</w:t>
      </w:r>
      <w:r w:rsidR="00DE576D" w:rsidRPr="00564B75">
        <w:rPr>
          <w:szCs w:val="22"/>
        </w:rPr>
        <w:t>. This is based on the concentration of volatile solids in the whole sample analysed by the laboratory, including the moisture contained in the material</w:t>
      </w:r>
      <w:r w:rsidRPr="00564B75">
        <w:t>.</w:t>
      </w:r>
      <w:r w:rsidR="00AF6F0C" w:rsidRPr="00564B75">
        <w:t xml:space="preserve"> </w:t>
      </w:r>
      <w:r w:rsidR="00AF6F0C" w:rsidRPr="00564B75">
        <w:rPr>
          <w:szCs w:val="22"/>
        </w:rPr>
        <w:t>This value is measured at a frequency and timing that gives representative monthly measurements</w:t>
      </w:r>
      <w:r w:rsidR="009229C7" w:rsidRPr="00564B75">
        <w:rPr>
          <w:szCs w:val="22"/>
        </w:rPr>
        <w:t>.</w:t>
      </w:r>
    </w:p>
    <w:p w14:paraId="400F7E72" w14:textId="46E2686F" w:rsidR="00566B44" w:rsidRPr="00122E37" w:rsidRDefault="000E7CF7" w:rsidP="000E7CF7">
      <w:pPr>
        <w:pStyle w:val="tDefn"/>
        <w:spacing w:line="276" w:lineRule="auto"/>
      </w:pPr>
      <w:proofErr w:type="spellStart"/>
      <w:r w:rsidRPr="00564B75">
        <w:rPr>
          <w:b/>
          <w:i/>
        </w:rPr>
        <w:t>Q</w:t>
      </w:r>
      <w:r w:rsidRPr="00564B75">
        <w:rPr>
          <w:b/>
          <w:i/>
          <w:vertAlign w:val="subscript"/>
        </w:rPr>
        <w:t>Inel</w:t>
      </w:r>
      <w:proofErr w:type="spellEnd"/>
      <w:r w:rsidRPr="00564B75">
        <w:rPr>
          <w:b/>
          <w:i/>
          <w:vertAlign w:val="subscript"/>
        </w:rPr>
        <w:t>, w</w:t>
      </w:r>
      <w:r w:rsidRPr="00564B75">
        <w:rPr>
          <w:szCs w:val="22"/>
        </w:rPr>
        <w:t xml:space="preserve"> is the total amount of ineligible material of type </w:t>
      </w:r>
      <w:r w:rsidRPr="00564B75">
        <w:rPr>
          <w:i/>
          <w:szCs w:val="22"/>
        </w:rPr>
        <w:t>w</w:t>
      </w:r>
      <w:r w:rsidRPr="00564B75">
        <w:rPr>
          <w:szCs w:val="22"/>
        </w:rPr>
        <w:t xml:space="preserve"> that enters the project </w:t>
      </w:r>
      <w:r w:rsidR="00D74B04" w:rsidRPr="000A5065">
        <w:rPr>
          <w:szCs w:val="22"/>
          <w:highlight w:val="yellow"/>
        </w:rPr>
        <w:t xml:space="preserve">treatment </w:t>
      </w:r>
      <w:r w:rsidRPr="00564B75">
        <w:rPr>
          <w:szCs w:val="22"/>
        </w:rPr>
        <w:t>facility during the reporting period, in tonnes</w:t>
      </w:r>
      <w:r w:rsidRPr="00564B75">
        <w:t xml:space="preserve">, determined in accordance with this </w:t>
      </w:r>
      <w:r w:rsidR="00352879" w:rsidRPr="000A5065">
        <w:rPr>
          <w:highlight w:val="yellow"/>
        </w:rPr>
        <w:t>clause</w:t>
      </w:r>
      <w:r w:rsidRPr="00122E37">
        <w:t>.</w:t>
      </w:r>
    </w:p>
    <w:p w14:paraId="400F7E73" w14:textId="172AC2A5" w:rsidR="000E7CF7" w:rsidRPr="000A5065" w:rsidRDefault="000E7CF7" w:rsidP="000A5065">
      <w:pPr>
        <w:pStyle w:val="h6Subsec"/>
        <w:rPr>
          <w:highlight w:val="yellow"/>
        </w:rPr>
      </w:pPr>
      <w:r w:rsidRPr="000A5065">
        <w:rPr>
          <w:highlight w:val="yellow"/>
        </w:rPr>
        <w:t>Determining amount of material of type w</w:t>
      </w:r>
    </w:p>
    <w:p w14:paraId="400F7E74" w14:textId="0770315F" w:rsidR="000E7CF7" w:rsidRPr="00564B75" w:rsidRDefault="000E7CF7" w:rsidP="000E7CF7">
      <w:pPr>
        <w:pStyle w:val="tMain"/>
        <w:rPr>
          <w:szCs w:val="22"/>
        </w:rPr>
      </w:pPr>
      <w:r w:rsidRPr="00564B75">
        <w:tab/>
        <w:t>(3)</w:t>
      </w:r>
      <w:r w:rsidRPr="00564B75">
        <w:tab/>
      </w:r>
      <w:r w:rsidR="00383C6A" w:rsidRPr="000A5065">
        <w:rPr>
          <w:highlight w:val="yellow"/>
        </w:rPr>
        <w:t xml:space="preserve">For </w:t>
      </w:r>
      <w:r w:rsidR="009E3235" w:rsidRPr="000A5065">
        <w:rPr>
          <w:szCs w:val="22"/>
          <w:highlight w:val="yellow"/>
        </w:rPr>
        <w:t xml:space="preserve">subclauses (1) and (2), </w:t>
      </w:r>
      <w:r w:rsidR="00383C6A" w:rsidRPr="000A5065">
        <w:rPr>
          <w:highlight w:val="yellow"/>
        </w:rPr>
        <w:t>the</w:t>
      </w:r>
      <w:r w:rsidR="00383C6A" w:rsidRPr="00122E37">
        <w:t xml:space="preserve"> </w:t>
      </w:r>
      <w:r w:rsidRPr="00564B75">
        <w:t xml:space="preserve">parameters </w:t>
      </w:r>
      <w:proofErr w:type="spellStart"/>
      <w:r w:rsidRPr="00564B75">
        <w:t>Q</w:t>
      </w:r>
      <w:r w:rsidRPr="00564B75">
        <w:rPr>
          <w:vertAlign w:val="subscript"/>
        </w:rPr>
        <w:t>Div</w:t>
      </w:r>
      <w:proofErr w:type="spellEnd"/>
      <w:r w:rsidRPr="00564B75">
        <w:rPr>
          <w:vertAlign w:val="subscript"/>
        </w:rPr>
        <w:t>, w, </w:t>
      </w:r>
      <w:r w:rsidR="00B91C82" w:rsidRPr="00564B75">
        <w:rPr>
          <w:vertAlign w:val="subscript"/>
        </w:rPr>
        <w:t>n</w:t>
      </w:r>
      <w:r w:rsidR="00B91C82" w:rsidRPr="000A5065">
        <w:rPr>
          <w:highlight w:val="yellow"/>
          <w:vertAlign w:val="subscript"/>
        </w:rPr>
        <w:t xml:space="preserve"> and</w:t>
      </w:r>
      <w:r w:rsidRPr="00564B75">
        <w:t xml:space="preserve"> </w:t>
      </w:r>
      <w:proofErr w:type="spellStart"/>
      <w:r w:rsidRPr="00564B75">
        <w:t>Q</w:t>
      </w:r>
      <w:r w:rsidRPr="00564B75">
        <w:rPr>
          <w:vertAlign w:val="subscript"/>
        </w:rPr>
        <w:t>Inel</w:t>
      </w:r>
      <w:proofErr w:type="spellEnd"/>
      <w:r w:rsidRPr="00564B75">
        <w:rPr>
          <w:vertAlign w:val="subscript"/>
        </w:rPr>
        <w:t>, w</w:t>
      </w:r>
      <w:r w:rsidRPr="00564B75">
        <w:rPr>
          <w:szCs w:val="22"/>
        </w:rPr>
        <w:t xml:space="preserve"> must be determined by:</w:t>
      </w:r>
    </w:p>
    <w:p w14:paraId="400F7E75" w14:textId="77777777" w:rsidR="000E7CF7" w:rsidRPr="00564B75" w:rsidRDefault="000E7CF7" w:rsidP="000E7CF7">
      <w:pPr>
        <w:pStyle w:val="tPara"/>
      </w:pPr>
      <w:r w:rsidRPr="00564B75">
        <w:tab/>
        <w:t>(a)</w:t>
      </w:r>
      <w:r w:rsidRPr="00564B75">
        <w:tab/>
        <w:t>determining either the weight of each batch</w:t>
      </w:r>
      <w:r w:rsidR="00AF6F0C" w:rsidRPr="00564B75">
        <w:t xml:space="preserve"> (truck, trailer, wagon load or other carrying device)</w:t>
      </w:r>
      <w:r w:rsidRPr="00564B75">
        <w:t xml:space="preserve"> of relevant material, or the volume of each batch; and </w:t>
      </w:r>
    </w:p>
    <w:p w14:paraId="400F7E76" w14:textId="77777777" w:rsidR="000E7CF7" w:rsidRPr="00564B75" w:rsidRDefault="000E7CF7" w:rsidP="000E7CF7">
      <w:pPr>
        <w:pStyle w:val="tPara"/>
      </w:pPr>
      <w:r w:rsidRPr="00564B75">
        <w:tab/>
        <w:t>(b)</w:t>
      </w:r>
      <w:r w:rsidR="00614EB9" w:rsidRPr="00564B75">
        <w:tab/>
        <w:t>summing the weights or volumes; and</w:t>
      </w:r>
    </w:p>
    <w:p w14:paraId="400F7E77" w14:textId="7622C5D3" w:rsidR="00614EB9" w:rsidRPr="00564B75" w:rsidRDefault="00614EB9" w:rsidP="000E7CF7">
      <w:pPr>
        <w:pStyle w:val="tPara"/>
      </w:pPr>
      <w:r w:rsidRPr="00564B75">
        <w:tab/>
        <w:t>(c)</w:t>
      </w:r>
      <w:r w:rsidRPr="00564B75">
        <w:tab/>
        <w:t xml:space="preserve">if volume is used—converted to tonnes </w:t>
      </w:r>
      <w:r w:rsidR="00EB616C" w:rsidRPr="00564B75">
        <w:t>based on cali</w:t>
      </w:r>
      <w:r w:rsidR="005E3D2C" w:rsidRPr="00564B75">
        <w:t>brations consistent</w:t>
      </w:r>
      <w:r w:rsidRPr="00564B75">
        <w:t xml:space="preserve"> with </w:t>
      </w:r>
      <w:r w:rsidRPr="000A5065">
        <w:rPr>
          <w:highlight w:val="yellow"/>
        </w:rPr>
        <w:t>sub</w:t>
      </w:r>
      <w:r w:rsidR="00352879" w:rsidRPr="000A5065">
        <w:rPr>
          <w:highlight w:val="yellow"/>
        </w:rPr>
        <w:t>clause</w:t>
      </w:r>
      <w:r w:rsidRPr="00122E37">
        <w:t xml:space="preserve"> (</w:t>
      </w:r>
      <w:r w:rsidR="00623355" w:rsidRPr="00122E37">
        <w:t>5</w:t>
      </w:r>
      <w:r w:rsidRPr="00122E37">
        <w:t>)</w:t>
      </w:r>
      <w:r w:rsidR="009229C7" w:rsidRPr="00122E37">
        <w:t>.</w:t>
      </w:r>
    </w:p>
    <w:p w14:paraId="400F7E78" w14:textId="77777777" w:rsidR="000E7CF7" w:rsidRPr="00564B75" w:rsidRDefault="000E7CF7" w:rsidP="000E7CF7">
      <w:pPr>
        <w:pStyle w:val="tMain"/>
      </w:pPr>
      <w:r w:rsidRPr="00564B75">
        <w:tab/>
        <w:t>(4)</w:t>
      </w:r>
      <w:r w:rsidRPr="00564B75">
        <w:tab/>
        <w:t>The weight or volume of each batch must be:</w:t>
      </w:r>
    </w:p>
    <w:p w14:paraId="400F7E79" w14:textId="77777777" w:rsidR="000E7CF7" w:rsidRPr="00564B75" w:rsidRDefault="000E7CF7" w:rsidP="000E7CF7">
      <w:pPr>
        <w:pStyle w:val="tPara"/>
      </w:pPr>
      <w:r w:rsidRPr="00564B75">
        <w:tab/>
        <w:t>(a)</w:t>
      </w:r>
      <w:r w:rsidRPr="00564B75">
        <w:tab/>
        <w:t xml:space="preserve">measured in a way appropriate to the material; or </w:t>
      </w:r>
    </w:p>
    <w:p w14:paraId="400F7E7A" w14:textId="1BEF2CD3" w:rsidR="000E7CF7" w:rsidRPr="00564B75" w:rsidRDefault="000E7CF7" w:rsidP="000E7CF7">
      <w:pPr>
        <w:pStyle w:val="tPara"/>
      </w:pPr>
      <w:r w:rsidRPr="00564B75">
        <w:tab/>
        <w:t>(b)</w:t>
      </w:r>
      <w:r w:rsidRPr="00564B75">
        <w:tab/>
        <w:t xml:space="preserve">for material entering </w:t>
      </w:r>
      <w:r w:rsidR="00876617" w:rsidRPr="000A5065">
        <w:rPr>
          <w:highlight w:val="yellow"/>
        </w:rPr>
        <w:t xml:space="preserve">the </w:t>
      </w:r>
      <w:r w:rsidRPr="00564B75">
        <w:t>project</w:t>
      </w:r>
      <w:r w:rsidRPr="000A5065">
        <w:rPr>
          <w:highlight w:val="yellow"/>
        </w:rPr>
        <w:t xml:space="preserve"> </w:t>
      </w:r>
      <w:r w:rsidR="00D74B04" w:rsidRPr="000A5065">
        <w:rPr>
          <w:highlight w:val="yellow"/>
        </w:rPr>
        <w:t>treatment</w:t>
      </w:r>
      <w:r w:rsidR="00D74B04" w:rsidRPr="00564B75">
        <w:t xml:space="preserve"> </w:t>
      </w:r>
      <w:r w:rsidRPr="00564B75">
        <w:t>facility—as evidenced by invoices or other records.</w:t>
      </w:r>
    </w:p>
    <w:p w14:paraId="400F7E7B" w14:textId="77777777" w:rsidR="00790A84" w:rsidRPr="00564B75" w:rsidRDefault="00790A84" w:rsidP="00790A84">
      <w:pPr>
        <w:pStyle w:val="tMain"/>
      </w:pPr>
      <w:r w:rsidRPr="00564B75">
        <w:tab/>
      </w:r>
      <w:r w:rsidR="00623355" w:rsidRPr="00564B75">
        <w:t>(5</w:t>
      </w:r>
      <w:r w:rsidRPr="00564B75">
        <w:t>)</w:t>
      </w:r>
      <w:r w:rsidRPr="00564B75">
        <w:tab/>
        <w:t>If the volume of each batch is used:</w:t>
      </w:r>
    </w:p>
    <w:p w14:paraId="400F7E7C" w14:textId="59972DCE" w:rsidR="00790A84" w:rsidRPr="00122E37" w:rsidRDefault="00EB616C" w:rsidP="00790A84">
      <w:pPr>
        <w:pStyle w:val="tPara"/>
      </w:pPr>
      <w:r w:rsidRPr="00564B75">
        <w:tab/>
        <w:t>(a)</w:t>
      </w:r>
      <w:r w:rsidRPr="00564B75">
        <w:tab/>
        <w:t>the volumes need to be cali</w:t>
      </w:r>
      <w:r w:rsidR="00790A84" w:rsidRPr="00564B75">
        <w:t xml:space="preserve">brated with mass </w:t>
      </w:r>
      <w:r w:rsidR="00790A84" w:rsidRPr="00606385">
        <w:t xml:space="preserve">measurements for at least the first 6 months and at least once every 2 years after that; </w:t>
      </w:r>
      <w:r w:rsidR="00246AE5" w:rsidRPr="00606385">
        <w:t>and</w:t>
      </w:r>
    </w:p>
    <w:p w14:paraId="400F7E7D" w14:textId="77777777" w:rsidR="00790A84" w:rsidRPr="00564B75" w:rsidRDefault="00790A84" w:rsidP="00790A84">
      <w:pPr>
        <w:pStyle w:val="tPara"/>
      </w:pPr>
      <w:r w:rsidRPr="00564B75">
        <w:tab/>
        <w:t>(b)</w:t>
      </w:r>
      <w:r w:rsidRPr="00564B75">
        <w:tab/>
        <w:t>monthly records need to be kept of the estimated mass of material diverted; and</w:t>
      </w:r>
    </w:p>
    <w:p w14:paraId="400F7E7E" w14:textId="77777777" w:rsidR="00790A84" w:rsidRPr="00564B75" w:rsidRDefault="00790A84" w:rsidP="00790A84">
      <w:pPr>
        <w:pStyle w:val="tPara"/>
      </w:pPr>
      <w:r w:rsidRPr="00564B75">
        <w:tab/>
        <w:t>(c)</w:t>
      </w:r>
      <w:r w:rsidRPr="00564B75">
        <w:tab/>
        <w:t xml:space="preserve">if the estimated mass of material diverted exceeds the </w:t>
      </w:r>
      <w:r w:rsidR="005E3D2C" w:rsidRPr="00564B75">
        <w:t>current</w:t>
      </w:r>
      <w:r w:rsidRPr="00564B75">
        <w:t xml:space="preserve"> calibration by more than 10%, the volumes need to be recalibrated by mass measurements for at least another 6 months.</w:t>
      </w:r>
    </w:p>
    <w:p w14:paraId="400F7E7F" w14:textId="1E495265" w:rsidR="000E7CF7" w:rsidRPr="000A5065" w:rsidRDefault="000E7CF7" w:rsidP="000A5065">
      <w:pPr>
        <w:pStyle w:val="h6Subsec"/>
        <w:rPr>
          <w:highlight w:val="yellow"/>
        </w:rPr>
      </w:pPr>
      <w:r w:rsidRPr="000A5065">
        <w:rPr>
          <w:highlight w:val="yellow"/>
        </w:rPr>
        <w:t>Determining volatile solids concentration</w:t>
      </w:r>
    </w:p>
    <w:p w14:paraId="400F7E80" w14:textId="7DEA9BF8" w:rsidR="000E7CF7" w:rsidRPr="00564B75" w:rsidRDefault="00623355" w:rsidP="000E7CF7">
      <w:pPr>
        <w:pStyle w:val="tMain"/>
      </w:pPr>
      <w:r w:rsidRPr="00122E37">
        <w:tab/>
        <w:t>(6</w:t>
      </w:r>
      <w:r w:rsidR="000E7CF7" w:rsidRPr="00564B75">
        <w:t>)</w:t>
      </w:r>
      <w:r w:rsidR="000E7CF7" w:rsidRPr="00564B75">
        <w:tab/>
      </w:r>
      <w:r w:rsidR="009E3235" w:rsidRPr="000A5065">
        <w:rPr>
          <w:highlight w:val="yellow"/>
        </w:rPr>
        <w:t xml:space="preserve">For </w:t>
      </w:r>
      <w:r w:rsidR="009E3235" w:rsidRPr="000A5065">
        <w:rPr>
          <w:szCs w:val="22"/>
          <w:highlight w:val="yellow"/>
        </w:rPr>
        <w:t xml:space="preserve">subclauses (1) and (2), </w:t>
      </w:r>
      <w:r w:rsidR="009E3235" w:rsidRPr="000A5065">
        <w:rPr>
          <w:highlight w:val="yellow"/>
        </w:rPr>
        <w:t>the</w:t>
      </w:r>
      <w:r w:rsidR="009E3235" w:rsidRPr="00122E37">
        <w:t xml:space="preserve"> </w:t>
      </w:r>
      <w:r w:rsidR="000E7CF7" w:rsidRPr="00564B75">
        <w:t xml:space="preserve">parameters </w:t>
      </w:r>
      <w:proofErr w:type="spellStart"/>
      <w:proofErr w:type="gramStart"/>
      <w:r w:rsidR="000E7CF7" w:rsidRPr="00564B75">
        <w:rPr>
          <w:szCs w:val="22"/>
        </w:rPr>
        <w:t>C</w:t>
      </w:r>
      <w:r w:rsidR="000E7CF7" w:rsidRPr="00564B75">
        <w:rPr>
          <w:szCs w:val="22"/>
          <w:vertAlign w:val="subscript"/>
        </w:rPr>
        <w:t>VS,Div</w:t>
      </w:r>
      <w:proofErr w:type="spellEnd"/>
      <w:proofErr w:type="gramEnd"/>
      <w:r w:rsidR="000E7CF7" w:rsidRPr="00564B75">
        <w:rPr>
          <w:szCs w:val="22"/>
          <w:vertAlign w:val="subscript"/>
        </w:rPr>
        <w:t>, w, n</w:t>
      </w:r>
      <w:r w:rsidR="000E7CF7" w:rsidRPr="00564B75">
        <w:t xml:space="preserve"> and </w:t>
      </w:r>
      <w:r w:rsidR="000E7CF7" w:rsidRPr="00564B75">
        <w:rPr>
          <w:szCs w:val="22"/>
        </w:rPr>
        <w:t>C</w:t>
      </w:r>
      <w:r w:rsidR="000E7CF7" w:rsidRPr="00564B75">
        <w:rPr>
          <w:szCs w:val="22"/>
          <w:vertAlign w:val="subscript"/>
        </w:rPr>
        <w:t>VS, </w:t>
      </w:r>
      <w:proofErr w:type="spellStart"/>
      <w:r w:rsidR="000E7CF7" w:rsidRPr="00564B75">
        <w:rPr>
          <w:szCs w:val="22"/>
          <w:vertAlign w:val="subscript"/>
        </w:rPr>
        <w:t>Inel</w:t>
      </w:r>
      <w:proofErr w:type="spellEnd"/>
      <w:r w:rsidR="000E7CF7" w:rsidRPr="00564B75">
        <w:rPr>
          <w:szCs w:val="22"/>
          <w:vertAlign w:val="subscript"/>
        </w:rPr>
        <w:t>, w</w:t>
      </w:r>
      <w:r w:rsidR="000E7CF7" w:rsidRPr="00564B75">
        <w:t xml:space="preserve"> must be determined by:</w:t>
      </w:r>
    </w:p>
    <w:p w14:paraId="400F7E81" w14:textId="77777777" w:rsidR="006B3E8E" w:rsidRPr="00564B75" w:rsidRDefault="000E7CF7" w:rsidP="000E7CF7">
      <w:pPr>
        <w:pStyle w:val="tPara"/>
      </w:pPr>
      <w:r w:rsidRPr="00564B75">
        <w:tab/>
        <w:t>(a)</w:t>
      </w:r>
      <w:r w:rsidRPr="00564B75">
        <w:tab/>
        <w:t xml:space="preserve">collecting </w:t>
      </w:r>
      <w:r w:rsidR="004F1D57" w:rsidRPr="00564B75">
        <w:t xml:space="preserve">representative </w:t>
      </w:r>
      <w:r w:rsidRPr="00564B75">
        <w:t>composite samples of the rele</w:t>
      </w:r>
      <w:r w:rsidR="006B3E8E" w:rsidRPr="00564B75">
        <w:t>vant material</w:t>
      </w:r>
      <w:r w:rsidRPr="00564B75">
        <w:t>, including</w:t>
      </w:r>
      <w:r w:rsidR="006B3E8E" w:rsidRPr="00564B75">
        <w:t>:</w:t>
      </w:r>
      <w:r w:rsidRPr="00564B75">
        <w:t xml:space="preserve"> </w:t>
      </w:r>
    </w:p>
    <w:p w14:paraId="400F7E82" w14:textId="77777777" w:rsidR="000E7CF7" w:rsidRPr="00606385" w:rsidRDefault="006B3E8E" w:rsidP="006B3E8E">
      <w:pPr>
        <w:pStyle w:val="tSubpara"/>
      </w:pPr>
      <w:r w:rsidRPr="00564B75">
        <w:tab/>
        <w:t>(</w:t>
      </w:r>
      <w:proofErr w:type="spellStart"/>
      <w:r w:rsidRPr="00564B75">
        <w:t>i</w:t>
      </w:r>
      <w:proofErr w:type="spellEnd"/>
      <w:r w:rsidRPr="00564B75">
        <w:t>)</w:t>
      </w:r>
      <w:r w:rsidRPr="00564B75">
        <w:tab/>
        <w:t>at least once</w:t>
      </w:r>
      <w:r w:rsidR="000E7CF7" w:rsidRPr="00564B75">
        <w:t xml:space="preserve"> </w:t>
      </w:r>
      <w:r w:rsidRPr="00564B75">
        <w:t xml:space="preserve">each month for the first 6 </w:t>
      </w:r>
      <w:r w:rsidRPr="00606385">
        <w:t>months</w:t>
      </w:r>
      <w:r w:rsidR="000E7CF7" w:rsidRPr="00606385">
        <w:t>; and</w:t>
      </w:r>
    </w:p>
    <w:p w14:paraId="400F7E83" w14:textId="22F9E3E9" w:rsidR="006B3E8E" w:rsidRPr="00606385" w:rsidRDefault="006B3E8E" w:rsidP="006B3E8E">
      <w:pPr>
        <w:pStyle w:val="tSubpara"/>
      </w:pPr>
      <w:r w:rsidRPr="00606385">
        <w:tab/>
      </w:r>
      <w:r w:rsidR="00E37453" w:rsidRPr="00606385">
        <w:t>(ii)</w:t>
      </w:r>
      <w:r w:rsidR="00E37453" w:rsidRPr="00606385">
        <w:tab/>
        <w:t>if all measurements</w:t>
      </w:r>
      <w:r w:rsidRPr="00606385">
        <w:t xml:space="preserve"> </w:t>
      </w:r>
      <w:r w:rsidR="00E37453" w:rsidRPr="00606385">
        <w:t xml:space="preserve">over the most recent </w:t>
      </w:r>
      <w:r w:rsidR="00CB3173" w:rsidRPr="00606385">
        <w:t>6-month</w:t>
      </w:r>
      <w:r w:rsidR="00E37453" w:rsidRPr="00606385">
        <w:t xml:space="preserve"> period </w:t>
      </w:r>
      <w:r w:rsidRPr="00606385">
        <w:t>do not deviate by more than 10%—at least once every 3 months; and</w:t>
      </w:r>
    </w:p>
    <w:p w14:paraId="400F7E84" w14:textId="77777777" w:rsidR="006B3E8E" w:rsidRPr="00564B75" w:rsidRDefault="006B3E8E" w:rsidP="006B3E8E">
      <w:pPr>
        <w:pStyle w:val="tSubpara"/>
      </w:pPr>
      <w:r w:rsidRPr="00606385">
        <w:tab/>
        <w:t>(iii)</w:t>
      </w:r>
      <w:r w:rsidRPr="00606385">
        <w:tab/>
        <w:t xml:space="preserve">if subparagraph (ii) does not apply—at </w:t>
      </w:r>
      <w:r w:rsidR="003E012B" w:rsidRPr="00606385">
        <w:t>least</w:t>
      </w:r>
      <w:r w:rsidR="003E012B" w:rsidRPr="00564B75">
        <w:t xml:space="preserve"> once each month; and</w:t>
      </w:r>
    </w:p>
    <w:p w14:paraId="400F7E85" w14:textId="77777777" w:rsidR="000E7CF7" w:rsidRPr="00564B75" w:rsidRDefault="000E7CF7" w:rsidP="000E7CF7">
      <w:pPr>
        <w:pStyle w:val="tPara"/>
      </w:pPr>
      <w:r w:rsidRPr="00564B75">
        <w:tab/>
        <w:t>(b)</w:t>
      </w:r>
      <w:r w:rsidRPr="00564B75">
        <w:tab/>
        <w:t>causing any samples to be analysed for volatile solids to be:</w:t>
      </w:r>
    </w:p>
    <w:p w14:paraId="400F7E86" w14:textId="77777777" w:rsidR="000E7CF7" w:rsidRPr="00564B75" w:rsidRDefault="000E7CF7" w:rsidP="000E7CF7">
      <w:pPr>
        <w:pStyle w:val="tSubpara"/>
      </w:pPr>
      <w:r w:rsidRPr="00564B75">
        <w:tab/>
        <w:t>(</w:t>
      </w:r>
      <w:proofErr w:type="spellStart"/>
      <w:r w:rsidRPr="00564B75">
        <w:t>i</w:t>
      </w:r>
      <w:proofErr w:type="spellEnd"/>
      <w:r w:rsidRPr="00564B75">
        <w:t>)</w:t>
      </w:r>
      <w:r w:rsidRPr="00564B75">
        <w:tab/>
        <w:t>immediately stored in a sealed container and transported on ice (but not frozen) or a refrigerator until analysed; and</w:t>
      </w:r>
    </w:p>
    <w:p w14:paraId="400F7E87" w14:textId="77777777" w:rsidR="000E7CF7" w:rsidRPr="00564B75" w:rsidRDefault="000E7CF7" w:rsidP="003E012B">
      <w:pPr>
        <w:pStyle w:val="tSubpara"/>
      </w:pPr>
      <w:r w:rsidRPr="00564B75">
        <w:tab/>
        <w:t>(ii)</w:t>
      </w:r>
      <w:r w:rsidRPr="00564B75">
        <w:tab/>
        <w:t>analysed in</w:t>
      </w:r>
      <w:r w:rsidR="003E012B" w:rsidRPr="00564B75">
        <w:t xml:space="preserve"> a laboratory in triplicate; and</w:t>
      </w:r>
    </w:p>
    <w:p w14:paraId="400F7E88" w14:textId="77777777" w:rsidR="000E7CF7" w:rsidRPr="00564B75" w:rsidRDefault="000E7CF7" w:rsidP="000E7CF7">
      <w:pPr>
        <w:pStyle w:val="tPara"/>
      </w:pPr>
      <w:r w:rsidRPr="00564B75">
        <w:tab/>
      </w:r>
      <w:bookmarkStart w:id="111" w:name="_Hlk83725815"/>
      <w:r w:rsidRPr="00564B75">
        <w:t>(c)</w:t>
      </w:r>
      <w:r w:rsidRPr="00564B75">
        <w:tab/>
        <w:t xml:space="preserve">collecting sufficient sub-samples of the material to get a representative </w:t>
      </w:r>
      <w:r w:rsidR="00AF6F0C" w:rsidRPr="00564B75">
        <w:t xml:space="preserve">composite sample for </w:t>
      </w:r>
      <w:r w:rsidRPr="00564B75">
        <w:t>analysis of the diverted material in accordance with:</w:t>
      </w:r>
    </w:p>
    <w:p w14:paraId="67FA1F60" w14:textId="35A5CE76" w:rsidR="006017D4" w:rsidRPr="00122E37" w:rsidRDefault="006017D4" w:rsidP="006017D4">
      <w:pPr>
        <w:pStyle w:val="tSubpara"/>
      </w:pPr>
      <w:r w:rsidRPr="00564B75">
        <w:lastRenderedPageBreak/>
        <w:tab/>
      </w:r>
      <w:r w:rsidRPr="000A5065">
        <w:rPr>
          <w:highlight w:val="yellow"/>
        </w:rPr>
        <w:fldChar w:fldCharType="begin"/>
      </w:r>
      <w:r w:rsidRPr="000A5065">
        <w:rPr>
          <w:highlight w:val="yellow"/>
        </w:rPr>
        <w:instrText xml:space="preserve"> LISTNUM  "main numbering" \l 8 \s 1 </w:instrText>
      </w:r>
      <w:r w:rsidRPr="000A5065">
        <w:rPr>
          <w:highlight w:val="yellow"/>
        </w:rPr>
        <w:fldChar w:fldCharType="end"/>
      </w:r>
      <w:r w:rsidRPr="000A5065">
        <w:rPr>
          <w:highlight w:val="yellow"/>
        </w:rPr>
        <w:tab/>
        <w:t>in the case of an indoor piggery—</w:t>
      </w:r>
      <w:r w:rsidRPr="00122E37">
        <w:t xml:space="preserve">the </w:t>
      </w:r>
      <w:r w:rsidRPr="00564B75">
        <w:rPr>
          <w:i/>
        </w:rPr>
        <w:t>National Environmental Guidelines</w:t>
      </w:r>
      <w:r w:rsidRPr="000A5065">
        <w:rPr>
          <w:i/>
          <w:highlight w:val="yellow"/>
        </w:rPr>
        <w:t xml:space="preserve"> for Indoor Piggeries</w:t>
      </w:r>
      <w:r w:rsidRPr="000A5065">
        <w:rPr>
          <w:highlight w:val="yellow"/>
        </w:rPr>
        <w:t xml:space="preserve"> </w:t>
      </w:r>
      <w:r w:rsidRPr="00122E37">
        <w:t>published by Australian Pork Limited</w:t>
      </w:r>
      <w:r w:rsidRPr="000A5065">
        <w:rPr>
          <w:highlight w:val="yellow"/>
        </w:rPr>
        <w:t xml:space="preserve"> in May 2018</w:t>
      </w:r>
      <w:r w:rsidRPr="00122E37">
        <w:t>; or</w:t>
      </w:r>
    </w:p>
    <w:p w14:paraId="01928783" w14:textId="1B88031A" w:rsidR="006017D4" w:rsidRPr="000A5065" w:rsidRDefault="006017D4" w:rsidP="006017D4">
      <w:pPr>
        <w:pStyle w:val="tSubpara"/>
        <w:rPr>
          <w:highlight w:val="yellow"/>
        </w:rPr>
      </w:pPr>
      <w:r w:rsidRPr="00606385">
        <w:tab/>
      </w:r>
      <w:r w:rsidRPr="000A5065">
        <w:rPr>
          <w:highlight w:val="yellow"/>
        </w:rPr>
        <w:t>(ii)</w:t>
      </w:r>
      <w:r w:rsidRPr="000A5065">
        <w:rPr>
          <w:highlight w:val="yellow"/>
        </w:rPr>
        <w:tab/>
        <w:t xml:space="preserve">in the case of an outdoor piggery—the </w:t>
      </w:r>
      <w:r w:rsidRPr="000A5065">
        <w:rPr>
          <w:i/>
          <w:highlight w:val="yellow"/>
        </w:rPr>
        <w:t>National Environmental Guidelines for Rotational Ou</w:t>
      </w:r>
      <w:r w:rsidR="004A3B22" w:rsidRPr="000A5065">
        <w:rPr>
          <w:i/>
          <w:highlight w:val="yellow"/>
        </w:rPr>
        <w:t>t</w:t>
      </w:r>
      <w:r w:rsidRPr="000A5065">
        <w:rPr>
          <w:i/>
          <w:highlight w:val="yellow"/>
        </w:rPr>
        <w:t>door Piggeries</w:t>
      </w:r>
      <w:r w:rsidRPr="000A5065">
        <w:rPr>
          <w:highlight w:val="yellow"/>
        </w:rPr>
        <w:t xml:space="preserve"> published by Australian Pork Limited in 2013; or</w:t>
      </w:r>
    </w:p>
    <w:p w14:paraId="6D6553B3" w14:textId="77777777" w:rsidR="006017D4" w:rsidRPr="00564B75" w:rsidRDefault="006017D4" w:rsidP="006017D4">
      <w:pPr>
        <w:pStyle w:val="tSubpara"/>
      </w:pPr>
      <w:r w:rsidRPr="00606385">
        <w:tab/>
      </w:r>
      <w:r w:rsidRPr="000A5065">
        <w:rPr>
          <w:highlight w:val="yellow"/>
        </w:rPr>
        <w:t>(iii)</w:t>
      </w:r>
      <w:r w:rsidRPr="000A5065">
        <w:rPr>
          <w:highlight w:val="yellow"/>
        </w:rPr>
        <w:tab/>
        <w:t>in any other case—</w:t>
      </w:r>
      <w:r w:rsidRPr="00564B75">
        <w:t xml:space="preserve">the </w:t>
      </w:r>
      <w:r w:rsidRPr="00564B75">
        <w:rPr>
          <w:i/>
        </w:rPr>
        <w:t>Sampling manual for environmental monitoring by intensive livestock industries</w:t>
      </w:r>
      <w:r w:rsidRPr="00564B75">
        <w:t xml:space="preserve"> written by Mathew Redding in 2003 and published by the Queensland Government; and</w:t>
      </w:r>
    </w:p>
    <w:p w14:paraId="400F7E8B" w14:textId="51D9C49A" w:rsidR="000B6402" w:rsidRPr="00564B75" w:rsidRDefault="000B6402" w:rsidP="000B6402">
      <w:pPr>
        <w:pStyle w:val="tPara"/>
      </w:pPr>
      <w:bookmarkStart w:id="112" w:name="_Toc498293982"/>
      <w:bookmarkEnd w:id="111"/>
      <w:r w:rsidRPr="00564B75">
        <w:tab/>
        <w:t>(d)</w:t>
      </w:r>
      <w:r w:rsidRPr="00564B75">
        <w:tab/>
        <w:t xml:space="preserve">analysing those samples in </w:t>
      </w:r>
      <w:r w:rsidRPr="00606385">
        <w:t>accordance</w:t>
      </w:r>
      <w:r w:rsidR="001D7920" w:rsidRPr="00606385">
        <w:t xml:space="preserve"> with</w:t>
      </w:r>
      <w:r w:rsidRPr="00606385">
        <w:t>:</w:t>
      </w:r>
    </w:p>
    <w:p w14:paraId="400F7E8C" w14:textId="4BEBB0E5" w:rsidR="000B6402" w:rsidRPr="00564B75" w:rsidRDefault="000B6402" w:rsidP="000B6402">
      <w:pPr>
        <w:pStyle w:val="tSubpara"/>
      </w:pPr>
      <w:r w:rsidRPr="00564B75">
        <w:tab/>
        <w:t xml:space="preserve"> (</w:t>
      </w:r>
      <w:proofErr w:type="spellStart"/>
      <w:r w:rsidRPr="00564B75">
        <w:t>i</w:t>
      </w:r>
      <w:proofErr w:type="spellEnd"/>
      <w:r w:rsidRPr="00564B75">
        <w:t>)</w:t>
      </w:r>
      <w:r w:rsidRPr="00564B75">
        <w:tab/>
        <w:t xml:space="preserve">the relevant method in the </w:t>
      </w:r>
      <w:r w:rsidR="00692073" w:rsidRPr="000A5065">
        <w:rPr>
          <w:highlight w:val="yellow"/>
        </w:rPr>
        <w:t>relevant</w:t>
      </w:r>
      <w:r w:rsidR="00692073">
        <w:t xml:space="preserve"> </w:t>
      </w:r>
      <w:r w:rsidRPr="00564B75">
        <w:rPr>
          <w:i/>
        </w:rPr>
        <w:t xml:space="preserve">Standard Methods for the Examination of Water and Wastewater </w:t>
      </w:r>
      <w:r w:rsidRPr="00564B75">
        <w:t>published by the America</w:t>
      </w:r>
      <w:r w:rsidR="007068D8" w:rsidRPr="00564B75">
        <w:t>n Public Health Association</w:t>
      </w:r>
      <w:r w:rsidR="00122E37" w:rsidRPr="000A5065">
        <w:rPr>
          <w:highlight w:val="yellow"/>
        </w:rPr>
        <w:t xml:space="preserve"> in 2017</w:t>
      </w:r>
      <w:r w:rsidR="007068D8" w:rsidRPr="00564B75">
        <w:t>; or</w:t>
      </w:r>
    </w:p>
    <w:p w14:paraId="400F7E8D" w14:textId="5BA24531" w:rsidR="000B6402" w:rsidRPr="000A5065" w:rsidRDefault="000B6402" w:rsidP="000A5065">
      <w:pPr>
        <w:pStyle w:val="nMain"/>
        <w:ind w:firstLine="113"/>
        <w:rPr>
          <w:highlight w:val="yellow"/>
        </w:rPr>
      </w:pPr>
      <w:r w:rsidRPr="000A5065">
        <w:rPr>
          <w:highlight w:val="yellow"/>
        </w:rPr>
        <w:t>Note:</w:t>
      </w:r>
      <w:r w:rsidR="00606385">
        <w:rPr>
          <w:highlight w:val="yellow"/>
        </w:rPr>
        <w:tab/>
      </w:r>
      <w:r w:rsidR="00606385">
        <w:rPr>
          <w:highlight w:val="yellow"/>
        </w:rPr>
        <w:tab/>
      </w:r>
      <w:r w:rsidRPr="000A5065">
        <w:rPr>
          <w:highlight w:val="yellow"/>
        </w:rPr>
        <w:t xml:space="preserve">In </w:t>
      </w:r>
      <w:r w:rsidR="00692073" w:rsidRPr="000A5065">
        <w:rPr>
          <w:highlight w:val="yellow"/>
        </w:rPr>
        <w:t>2021</w:t>
      </w:r>
      <w:r w:rsidRPr="000A5065">
        <w:rPr>
          <w:highlight w:val="yellow"/>
        </w:rPr>
        <w:t>, the relevant method was at 2540E at https://www.standardmethods.org/.</w:t>
      </w:r>
    </w:p>
    <w:p w14:paraId="400F7E8E" w14:textId="77777777" w:rsidR="000B6402" w:rsidRPr="00564B75" w:rsidRDefault="000B6402" w:rsidP="000B6402">
      <w:pPr>
        <w:pStyle w:val="tSubpara"/>
      </w:pPr>
      <w:r w:rsidRPr="00564B75">
        <w:tab/>
        <w:t>(ii)</w:t>
      </w:r>
      <w:r w:rsidRPr="00564B75">
        <w:tab/>
        <w:t>an equivalent Australian standard.</w:t>
      </w:r>
    </w:p>
    <w:p w14:paraId="58D43145" w14:textId="696A49BF" w:rsidR="00E35582" w:rsidRPr="000A5065" w:rsidRDefault="00E35582">
      <w:pPr>
        <w:spacing w:line="240" w:lineRule="auto"/>
        <w:rPr>
          <w:rStyle w:val="CharDivNo"/>
          <w:rFonts w:eastAsia="Times New Roman"/>
          <w:b/>
          <w:kern w:val="28"/>
          <w:sz w:val="28"/>
          <w:szCs w:val="28"/>
          <w:highlight w:val="yellow"/>
          <w:lang w:eastAsia="en-AU"/>
        </w:rPr>
      </w:pPr>
      <w:bookmarkStart w:id="113" w:name="_Toc82779138"/>
      <w:bookmarkStart w:id="114" w:name="_Toc82779446"/>
      <w:bookmarkStart w:id="115" w:name="_Toc17792711"/>
      <w:r w:rsidRPr="000A5065">
        <w:rPr>
          <w:rStyle w:val="CharDivNo"/>
          <w:szCs w:val="28"/>
          <w:highlight w:val="yellow"/>
        </w:rPr>
        <w:br w:type="page"/>
      </w:r>
    </w:p>
    <w:p w14:paraId="0D84141D" w14:textId="5155E6E2" w:rsidR="000041BD" w:rsidRPr="000A5065" w:rsidRDefault="00E35582" w:rsidP="00D27BB2">
      <w:pPr>
        <w:pStyle w:val="h3Div"/>
        <w:rPr>
          <w:highlight w:val="yellow"/>
          <w:u w:val="single"/>
        </w:rPr>
      </w:pPr>
      <w:bookmarkStart w:id="116" w:name="_Toc86674784"/>
      <w:r w:rsidRPr="000A5065">
        <w:rPr>
          <w:rStyle w:val="CharDivNo"/>
          <w:szCs w:val="28"/>
          <w:highlight w:val="yellow"/>
        </w:rPr>
        <w:lastRenderedPageBreak/>
        <w:t>Div</w:t>
      </w:r>
      <w:r w:rsidR="000041BD" w:rsidRPr="000A5065">
        <w:rPr>
          <w:rStyle w:val="CharDivNo"/>
          <w:szCs w:val="28"/>
          <w:highlight w:val="yellow"/>
        </w:rPr>
        <w:t>ision 3—</w:t>
      </w:r>
      <w:r w:rsidR="00653954" w:rsidRPr="000A5065">
        <w:rPr>
          <w:rStyle w:val="CharDivNo"/>
          <w:szCs w:val="28"/>
          <w:highlight w:val="yellow"/>
        </w:rPr>
        <w:t xml:space="preserve">Working out </w:t>
      </w:r>
      <w:r w:rsidR="00653954" w:rsidRPr="000A5065">
        <w:rPr>
          <w:rStyle w:val="CharDivText"/>
          <w:szCs w:val="28"/>
          <w:highlight w:val="yellow"/>
        </w:rPr>
        <w:t>p</w:t>
      </w:r>
      <w:r w:rsidR="000041BD" w:rsidRPr="000A5065">
        <w:rPr>
          <w:rStyle w:val="CharDivText"/>
          <w:szCs w:val="28"/>
          <w:highlight w:val="yellow"/>
        </w:rPr>
        <w:t>roject emissions</w:t>
      </w:r>
      <w:bookmarkEnd w:id="113"/>
      <w:bookmarkEnd w:id="114"/>
      <w:bookmarkEnd w:id="116"/>
    </w:p>
    <w:p w14:paraId="400F7E8F" w14:textId="4CF36596" w:rsidR="00235E5E" w:rsidRPr="00564B75" w:rsidRDefault="00DB5CFE" w:rsidP="00235E5E">
      <w:pPr>
        <w:pStyle w:val="h5Section"/>
        <w:rPr>
          <w:i/>
          <w:u w:val="single"/>
          <w:vertAlign w:val="subscript"/>
        </w:rPr>
      </w:pPr>
      <w:bookmarkStart w:id="117" w:name="_Toc82779139"/>
      <w:bookmarkStart w:id="118" w:name="_Toc82779447"/>
      <w:bookmarkStart w:id="119" w:name="_Toc86674785"/>
      <w:r w:rsidRPr="000A5065">
        <w:rPr>
          <w:highlight w:val="yellow"/>
          <w:u w:val="single"/>
        </w:rPr>
        <w:t>2</w:t>
      </w:r>
      <w:r w:rsidR="0042623F" w:rsidRPr="000A5065">
        <w:rPr>
          <w:highlight w:val="yellow"/>
          <w:u w:val="single"/>
        </w:rPr>
        <w:t>1</w:t>
      </w:r>
      <w:r w:rsidR="009832C5" w:rsidRPr="00564B75">
        <w:rPr>
          <w:u w:val="single"/>
        </w:rPr>
        <w:tab/>
      </w:r>
      <w:r w:rsidR="00235E5E" w:rsidRPr="00564B75">
        <w:rPr>
          <w:u w:val="single"/>
        </w:rPr>
        <w:t xml:space="preserve">Section </w:t>
      </w:r>
      <w:r w:rsidR="008E71C2" w:rsidRPr="00564B75">
        <w:rPr>
          <w:u w:val="single"/>
        </w:rPr>
        <w:t>30</w:t>
      </w:r>
      <w:r w:rsidR="00235E5E" w:rsidRPr="00564B75">
        <w:rPr>
          <w:u w:val="single"/>
        </w:rPr>
        <w:t>—</w:t>
      </w:r>
      <w:r w:rsidR="00122E37" w:rsidRPr="000A5065">
        <w:rPr>
          <w:highlight w:val="yellow"/>
          <w:u w:val="single"/>
        </w:rPr>
        <w:t>F</w:t>
      </w:r>
      <w:r w:rsidR="00235E5E" w:rsidRPr="000A5065">
        <w:rPr>
          <w:highlight w:val="yellow"/>
          <w:u w:val="single"/>
        </w:rPr>
        <w:t>uel</w:t>
      </w:r>
      <w:r w:rsidR="00235E5E" w:rsidRPr="00564B75">
        <w:rPr>
          <w:u w:val="single"/>
        </w:rPr>
        <w:t xml:space="preserve"> use attributable to operation of project </w:t>
      </w:r>
      <w:r w:rsidR="00D74B04" w:rsidRPr="000A5065">
        <w:rPr>
          <w:highlight w:val="yellow"/>
          <w:u w:val="single"/>
        </w:rPr>
        <w:t xml:space="preserve">treatment </w:t>
      </w:r>
      <w:r w:rsidR="00235E5E" w:rsidRPr="00564B75">
        <w:rPr>
          <w:u w:val="single"/>
        </w:rPr>
        <w:t xml:space="preserve">facility, </w:t>
      </w:r>
      <w:r w:rsidR="00235E5E" w:rsidRPr="00564B75">
        <w:rPr>
          <w:i/>
          <w:u w:val="single"/>
        </w:rPr>
        <w:t>Q</w:t>
      </w:r>
      <w:r w:rsidR="00235E5E" w:rsidRPr="00564B75">
        <w:rPr>
          <w:i/>
          <w:u w:val="single"/>
          <w:vertAlign w:val="subscript"/>
        </w:rPr>
        <w:t>F</w:t>
      </w:r>
      <w:r w:rsidR="00DC6454" w:rsidRPr="000A5065">
        <w:rPr>
          <w:i/>
          <w:highlight w:val="yellow"/>
          <w:u w:val="single"/>
          <w:vertAlign w:val="subscript"/>
        </w:rPr>
        <w:t xml:space="preserve"> conversion</w:t>
      </w:r>
      <w:r w:rsidR="00235E5E" w:rsidRPr="00564B75">
        <w:rPr>
          <w:i/>
          <w:u w:val="single"/>
          <w:vertAlign w:val="subscript"/>
        </w:rPr>
        <w:t>, </w:t>
      </w:r>
      <w:proofErr w:type="spellStart"/>
      <w:r w:rsidR="00DD2C38" w:rsidRPr="00564B75">
        <w:rPr>
          <w:i/>
          <w:u w:val="single"/>
          <w:vertAlign w:val="subscript"/>
        </w:rPr>
        <w:t>i</w:t>
      </w:r>
      <w:bookmarkEnd w:id="112"/>
      <w:bookmarkEnd w:id="115"/>
      <w:bookmarkEnd w:id="117"/>
      <w:bookmarkEnd w:id="118"/>
      <w:bookmarkEnd w:id="119"/>
      <w:proofErr w:type="spellEnd"/>
    </w:p>
    <w:p w14:paraId="400F7E90" w14:textId="308CF79F" w:rsidR="00DD2C38" w:rsidRPr="00564B75" w:rsidRDefault="00235E5E" w:rsidP="00512637">
      <w:pPr>
        <w:pStyle w:val="tMain"/>
      </w:pPr>
      <w:r w:rsidRPr="00564B75">
        <w:tab/>
      </w:r>
      <w:r w:rsidRPr="00564B75">
        <w:tab/>
        <w:t xml:space="preserve">For </w:t>
      </w:r>
      <w:r w:rsidR="00E51F1C" w:rsidRPr="000A5065">
        <w:rPr>
          <w:highlight w:val="yellow"/>
        </w:rPr>
        <w:t>sub</w:t>
      </w:r>
      <w:r w:rsidRPr="000A5065">
        <w:rPr>
          <w:highlight w:val="yellow"/>
        </w:rPr>
        <w:t>section</w:t>
      </w:r>
      <w:r w:rsidRPr="00564B75">
        <w:t xml:space="preserve"> </w:t>
      </w:r>
      <w:r w:rsidR="008E71C2" w:rsidRPr="00564B75">
        <w:t>30</w:t>
      </w:r>
      <w:r w:rsidR="00E51F1C" w:rsidRPr="000A5065">
        <w:rPr>
          <w:highlight w:val="yellow"/>
        </w:rPr>
        <w:t>(1)</w:t>
      </w:r>
      <w:r w:rsidRPr="00564B75">
        <w:t xml:space="preserve"> of the Determination, </w:t>
      </w:r>
      <w:r w:rsidRPr="000A5065">
        <w:rPr>
          <w:i/>
          <w:highlight w:val="yellow"/>
        </w:rPr>
        <w:t>Q</w:t>
      </w:r>
      <w:r w:rsidRPr="000A5065">
        <w:rPr>
          <w:i/>
          <w:highlight w:val="yellow"/>
          <w:vertAlign w:val="subscript"/>
        </w:rPr>
        <w:t>F</w:t>
      </w:r>
      <w:r w:rsidR="00DC6454" w:rsidRPr="000A5065">
        <w:rPr>
          <w:bCs/>
          <w:i/>
          <w:highlight w:val="yellow"/>
          <w:vertAlign w:val="subscript"/>
        </w:rPr>
        <w:t xml:space="preserve"> conversion</w:t>
      </w:r>
      <w:r w:rsidRPr="000A5065">
        <w:rPr>
          <w:i/>
          <w:highlight w:val="yellow"/>
          <w:vertAlign w:val="subscript"/>
        </w:rPr>
        <w:t>, </w:t>
      </w:r>
      <w:proofErr w:type="spellStart"/>
      <w:r w:rsidR="00DD2C38" w:rsidRPr="000A5065">
        <w:rPr>
          <w:i/>
          <w:highlight w:val="yellow"/>
          <w:vertAlign w:val="subscript"/>
        </w:rPr>
        <w:t>i</w:t>
      </w:r>
      <w:proofErr w:type="spellEnd"/>
      <w:r w:rsidRPr="00B84BC8">
        <w:rPr>
          <w:bCs/>
        </w:rPr>
        <w:t>,</w:t>
      </w:r>
      <w:r w:rsidRPr="00564B75">
        <w:t xml:space="preserve"> </w:t>
      </w:r>
      <w:r w:rsidR="00723ACA" w:rsidRPr="00564B75">
        <w:t xml:space="preserve">is </w:t>
      </w:r>
      <w:r w:rsidR="00DD2C38" w:rsidRPr="00564B75">
        <w:t xml:space="preserve">the amount of fuel type </w:t>
      </w:r>
      <w:proofErr w:type="spellStart"/>
      <w:r w:rsidR="00DD2C38" w:rsidRPr="00564B75">
        <w:rPr>
          <w:i/>
        </w:rPr>
        <w:t>i</w:t>
      </w:r>
      <w:proofErr w:type="spellEnd"/>
      <w:r w:rsidR="00DD2C38" w:rsidRPr="00564B75">
        <w:t xml:space="preserve"> that is specifically attributable to the operation of the project</w:t>
      </w:r>
      <w:r w:rsidR="00DD2C38" w:rsidRPr="000A5065">
        <w:rPr>
          <w:highlight w:val="yellow"/>
        </w:rPr>
        <w:t xml:space="preserve"> </w:t>
      </w:r>
      <w:r w:rsidR="00D74B04" w:rsidRPr="000A5065">
        <w:rPr>
          <w:highlight w:val="yellow"/>
        </w:rPr>
        <w:t>treatment</w:t>
      </w:r>
      <w:r w:rsidR="00D74B04" w:rsidRPr="00564B75">
        <w:t xml:space="preserve"> </w:t>
      </w:r>
      <w:r w:rsidR="00DD2C38" w:rsidRPr="00564B75">
        <w:t xml:space="preserve">facility during the reporting period, in tonnes, kilolitres, cubic </w:t>
      </w:r>
      <w:r w:rsidR="000A1B5D" w:rsidRPr="00564B75">
        <w:t>metre</w:t>
      </w:r>
      <w:r w:rsidR="00DD2C38" w:rsidRPr="00564B75">
        <w:t xml:space="preserve">s, or gigajoules </w:t>
      </w:r>
      <w:r w:rsidRPr="00564B75">
        <w:t>is</w:t>
      </w:r>
      <w:r w:rsidR="00DD2C38" w:rsidRPr="00564B75">
        <w:t>:</w:t>
      </w:r>
    </w:p>
    <w:p w14:paraId="400F7E91" w14:textId="3A85FF05" w:rsidR="00DD2C38" w:rsidRPr="00564B75" w:rsidRDefault="00DD2C38" w:rsidP="00512637">
      <w:pPr>
        <w:pStyle w:val="tPara"/>
      </w:pPr>
      <w:r w:rsidRPr="00564B75">
        <w:tab/>
      </w:r>
      <w:r w:rsidR="00E741AF" w:rsidRPr="00564B75">
        <w:t>(a)</w:t>
      </w:r>
      <w:r w:rsidRPr="00564B75">
        <w:tab/>
        <w:t xml:space="preserve">the </w:t>
      </w:r>
      <w:r w:rsidR="005D4F4E" w:rsidRPr="00564B75">
        <w:t xml:space="preserve">best estimate of the </w:t>
      </w:r>
      <w:r w:rsidRPr="00564B75">
        <w:t xml:space="preserve">amount of fuel type </w:t>
      </w:r>
      <w:proofErr w:type="spellStart"/>
      <w:r w:rsidRPr="00564B75">
        <w:rPr>
          <w:i/>
        </w:rPr>
        <w:t>i</w:t>
      </w:r>
      <w:proofErr w:type="spellEnd"/>
      <w:r w:rsidRPr="00564B75">
        <w:t xml:space="preserve"> used in the operation of the project </w:t>
      </w:r>
      <w:r w:rsidR="00D74B04" w:rsidRPr="000A5065">
        <w:rPr>
          <w:highlight w:val="yellow"/>
        </w:rPr>
        <w:t xml:space="preserve">treatment </w:t>
      </w:r>
      <w:r w:rsidRPr="00564B75">
        <w:t>facility during the reporting period and attributable to the current operation of the project; less</w:t>
      </w:r>
    </w:p>
    <w:p w14:paraId="400F7E92" w14:textId="1CC07EBF" w:rsidR="00DD2C38" w:rsidRPr="00564B75" w:rsidRDefault="00DD2C38" w:rsidP="00512637">
      <w:pPr>
        <w:pStyle w:val="tPara"/>
      </w:pPr>
      <w:r w:rsidRPr="00564B75">
        <w:tab/>
      </w:r>
      <w:r w:rsidR="00E741AF" w:rsidRPr="00564B75">
        <w:t>(b)</w:t>
      </w:r>
      <w:r w:rsidRPr="00564B75">
        <w:tab/>
      </w:r>
      <w:r w:rsidR="0089471E" w:rsidRPr="00564B75">
        <w:t>an estimate of</w:t>
      </w:r>
      <w:r w:rsidRPr="00564B75">
        <w:t xml:space="preserve"> use </w:t>
      </w:r>
      <w:r w:rsidR="0089471E" w:rsidRPr="00564B75">
        <w:t xml:space="preserve">of type </w:t>
      </w:r>
      <w:proofErr w:type="spellStart"/>
      <w:r w:rsidR="0089471E" w:rsidRPr="00564B75">
        <w:rPr>
          <w:i/>
        </w:rPr>
        <w:t>i</w:t>
      </w:r>
      <w:proofErr w:type="spellEnd"/>
      <w:r w:rsidR="0089471E" w:rsidRPr="00564B75">
        <w:rPr>
          <w:i/>
        </w:rPr>
        <w:t xml:space="preserve"> </w:t>
      </w:r>
      <w:r w:rsidR="0089471E" w:rsidRPr="00564B75">
        <w:t xml:space="preserve">used in the operation of the project </w:t>
      </w:r>
      <w:r w:rsidR="00D74B04" w:rsidRPr="000A5065">
        <w:rPr>
          <w:highlight w:val="yellow"/>
        </w:rPr>
        <w:t xml:space="preserve">treatment </w:t>
      </w:r>
      <w:r w:rsidR="0089471E" w:rsidRPr="00564B75">
        <w:t xml:space="preserve">facility </w:t>
      </w:r>
      <w:r w:rsidR="0002637D" w:rsidRPr="00564B75">
        <w:t xml:space="preserve">that would have occurred without the project during the reporting period, based on average fuel used before the project was </w:t>
      </w:r>
      <w:proofErr w:type="gramStart"/>
      <w:r w:rsidR="0002637D" w:rsidRPr="00564B75">
        <w:t>implemented;</w:t>
      </w:r>
      <w:proofErr w:type="gramEnd"/>
      <w:r w:rsidRPr="00564B75">
        <w:t xml:space="preserve"> </w:t>
      </w:r>
    </w:p>
    <w:p w14:paraId="400F7E93" w14:textId="77777777" w:rsidR="00951261" w:rsidRPr="00564B75" w:rsidRDefault="00735BE9" w:rsidP="00951261">
      <w:pPr>
        <w:pStyle w:val="tMain"/>
      </w:pPr>
      <w:r w:rsidRPr="00564B75">
        <w:tab/>
      </w:r>
      <w:r w:rsidRPr="00564B75">
        <w:tab/>
        <w:t>that</w:t>
      </w:r>
      <w:r w:rsidR="00951261" w:rsidRPr="00564B75">
        <w:t>:</w:t>
      </w:r>
    </w:p>
    <w:p w14:paraId="400F7E94" w14:textId="77777777" w:rsidR="00DD2C38" w:rsidRPr="00564B75" w:rsidRDefault="00DD2C38" w:rsidP="00DD2C38">
      <w:pPr>
        <w:pStyle w:val="tPara"/>
      </w:pPr>
      <w:r w:rsidRPr="00564B75">
        <w:tab/>
      </w:r>
      <w:r w:rsidR="00E741AF" w:rsidRPr="00564B75">
        <w:t>(c)</w:t>
      </w:r>
      <w:r w:rsidRPr="00564B75">
        <w:tab/>
      </w:r>
      <w:r w:rsidR="00735BE9" w:rsidRPr="00564B75">
        <w:t xml:space="preserve">is </w:t>
      </w:r>
      <w:r w:rsidRPr="00564B75">
        <w:t>estimated in accordance with Division 2.2.5, 2.3.6 or 2.4.6 of the NGER (Measurement) Determination (as a</w:t>
      </w:r>
      <w:r w:rsidR="0002637D" w:rsidRPr="00564B75">
        <w:t>ppropriate to the fuel type); and</w:t>
      </w:r>
      <w:r w:rsidRPr="00564B75">
        <w:t xml:space="preserve"> </w:t>
      </w:r>
    </w:p>
    <w:p w14:paraId="400F7E95" w14:textId="77777777" w:rsidR="007C7AB5" w:rsidRPr="00564B75" w:rsidRDefault="00DD2C38" w:rsidP="00512637">
      <w:pPr>
        <w:pStyle w:val="tPara"/>
      </w:pPr>
      <w:r w:rsidRPr="00564B75">
        <w:tab/>
      </w:r>
      <w:r w:rsidR="00E741AF" w:rsidRPr="00564B75">
        <w:t>(d)</w:t>
      </w:r>
      <w:r w:rsidRPr="00564B75">
        <w:tab/>
      </w:r>
      <w:r w:rsidR="00735BE9" w:rsidRPr="00564B75">
        <w:t xml:space="preserve">is </w:t>
      </w:r>
      <w:r w:rsidRPr="00564B75">
        <w:t xml:space="preserve">evidenced by invoices, contractual </w:t>
      </w:r>
      <w:proofErr w:type="gramStart"/>
      <w:r w:rsidRPr="00564B75">
        <w:t>arrangemen</w:t>
      </w:r>
      <w:r w:rsidR="005D4F4E" w:rsidRPr="00564B75">
        <w:t>ts</w:t>
      </w:r>
      <w:proofErr w:type="gramEnd"/>
      <w:r w:rsidR="005D4F4E" w:rsidRPr="00564B75">
        <w:t xml:space="preserve"> or industry metering records; and</w:t>
      </w:r>
    </w:p>
    <w:p w14:paraId="400F7E96" w14:textId="77777777" w:rsidR="005D4F4E" w:rsidRPr="00564B75" w:rsidRDefault="005D4F4E" w:rsidP="00512637">
      <w:pPr>
        <w:pStyle w:val="tPara"/>
      </w:pPr>
      <w:r w:rsidRPr="00564B75">
        <w:tab/>
        <w:t>(e)</w:t>
      </w:r>
      <w:r w:rsidRPr="00564B75">
        <w:tab/>
      </w:r>
      <w:r w:rsidR="00CA4812" w:rsidRPr="00564B75">
        <w:t>uses a representative historical period, generally of at least 1 year, to estimate the average of fuel use before the project was implemented under paragraph (b); and</w:t>
      </w:r>
    </w:p>
    <w:p w14:paraId="400F7E97" w14:textId="7A682BDD" w:rsidR="00CA4812" w:rsidRPr="00564B75" w:rsidRDefault="00CA4812" w:rsidP="00512637">
      <w:pPr>
        <w:pStyle w:val="tPara"/>
      </w:pPr>
      <w:r w:rsidRPr="00564B75">
        <w:tab/>
        <w:t>(f)</w:t>
      </w:r>
      <w:r w:rsidRPr="00564B75">
        <w:tab/>
        <w:t xml:space="preserve">fairly attributes fuel use between the project </w:t>
      </w:r>
      <w:r w:rsidR="00D74B04" w:rsidRPr="000A5065">
        <w:rPr>
          <w:highlight w:val="yellow"/>
        </w:rPr>
        <w:t xml:space="preserve">treatment </w:t>
      </w:r>
      <w:r w:rsidRPr="00564B75">
        <w:t>facility and uses of the fuel outside of the project</w:t>
      </w:r>
      <w:r w:rsidRPr="000A5065">
        <w:rPr>
          <w:highlight w:val="yellow"/>
        </w:rPr>
        <w:t xml:space="preserve"> </w:t>
      </w:r>
      <w:r w:rsidR="00D74B04" w:rsidRPr="000A5065">
        <w:rPr>
          <w:highlight w:val="yellow"/>
        </w:rPr>
        <w:t>treatment</w:t>
      </w:r>
      <w:r w:rsidR="00D74B04" w:rsidRPr="00564B75">
        <w:t xml:space="preserve"> </w:t>
      </w:r>
      <w:r w:rsidRPr="00564B75">
        <w:t xml:space="preserve">facility included in any relevant invoice, contractual </w:t>
      </w:r>
      <w:proofErr w:type="gramStart"/>
      <w:r w:rsidRPr="00564B75">
        <w:t>arrangements</w:t>
      </w:r>
      <w:proofErr w:type="gramEnd"/>
      <w:r w:rsidRPr="00564B75">
        <w:t xml:space="preserve"> or industry metering records.</w:t>
      </w:r>
    </w:p>
    <w:p w14:paraId="400F7E98" w14:textId="10C0E792" w:rsidR="006C4E76" w:rsidRPr="00564B75" w:rsidRDefault="00E01687" w:rsidP="003E012B">
      <w:pPr>
        <w:pStyle w:val="h5Section"/>
        <w:rPr>
          <w:b w:val="0"/>
          <w:i/>
          <w:szCs w:val="24"/>
          <w:u w:val="single"/>
          <w:vertAlign w:val="subscript"/>
        </w:rPr>
      </w:pPr>
      <w:bookmarkStart w:id="120" w:name="_Toc17792712"/>
      <w:bookmarkStart w:id="121" w:name="_Toc82779140"/>
      <w:bookmarkStart w:id="122" w:name="_Toc82779448"/>
      <w:bookmarkStart w:id="123" w:name="_Toc86674786"/>
      <w:r w:rsidRPr="000A5065">
        <w:rPr>
          <w:szCs w:val="24"/>
          <w:highlight w:val="yellow"/>
          <w:u w:val="single"/>
        </w:rPr>
        <w:t>2</w:t>
      </w:r>
      <w:r w:rsidR="0042623F" w:rsidRPr="000A5065">
        <w:rPr>
          <w:szCs w:val="24"/>
          <w:highlight w:val="yellow"/>
          <w:u w:val="single"/>
        </w:rPr>
        <w:t>2</w:t>
      </w:r>
      <w:r w:rsidR="003E012B" w:rsidRPr="00564B75">
        <w:rPr>
          <w:b w:val="0"/>
          <w:szCs w:val="24"/>
          <w:u w:val="single"/>
        </w:rPr>
        <w:tab/>
      </w:r>
      <w:r w:rsidR="006C4E76" w:rsidRPr="00564B75">
        <w:rPr>
          <w:szCs w:val="24"/>
          <w:u w:val="single"/>
        </w:rPr>
        <w:t xml:space="preserve">Section </w:t>
      </w:r>
      <w:r w:rsidR="008E71C2" w:rsidRPr="00564B75">
        <w:rPr>
          <w:szCs w:val="24"/>
          <w:u w:val="single"/>
        </w:rPr>
        <w:t>31</w:t>
      </w:r>
      <w:r w:rsidR="00607641" w:rsidRPr="00564B75">
        <w:rPr>
          <w:u w:val="single"/>
        </w:rPr>
        <w:t>—</w:t>
      </w:r>
      <w:r w:rsidR="00564B75" w:rsidRPr="000A5065">
        <w:rPr>
          <w:szCs w:val="24"/>
          <w:highlight w:val="yellow"/>
          <w:u w:val="single"/>
        </w:rPr>
        <w:t>A</w:t>
      </w:r>
      <w:r w:rsidR="006C4E76" w:rsidRPr="000A5065">
        <w:rPr>
          <w:szCs w:val="24"/>
          <w:highlight w:val="yellow"/>
          <w:u w:val="single"/>
        </w:rPr>
        <w:t>mount</w:t>
      </w:r>
      <w:r w:rsidR="006C4E76" w:rsidRPr="00564B75">
        <w:rPr>
          <w:szCs w:val="24"/>
          <w:u w:val="single"/>
        </w:rPr>
        <w:t xml:space="preserve"> of purchased electricity that is specifically attributable to the operation of the project </w:t>
      </w:r>
      <w:r w:rsidR="00D74B04" w:rsidRPr="000A5065">
        <w:rPr>
          <w:szCs w:val="24"/>
          <w:highlight w:val="yellow"/>
          <w:u w:val="single"/>
        </w:rPr>
        <w:t xml:space="preserve">treatment </w:t>
      </w:r>
      <w:r w:rsidR="006C4E76" w:rsidRPr="00564B75">
        <w:rPr>
          <w:szCs w:val="24"/>
          <w:u w:val="single"/>
        </w:rPr>
        <w:t xml:space="preserve">facility, </w:t>
      </w:r>
      <w:r w:rsidR="00DC6454" w:rsidRPr="000A5065">
        <w:rPr>
          <w:i/>
          <w:szCs w:val="24"/>
          <w:highlight w:val="yellow"/>
          <w:u w:val="single"/>
        </w:rPr>
        <w:t>E</w:t>
      </w:r>
      <w:r w:rsidR="006C4E76" w:rsidRPr="000A5065">
        <w:rPr>
          <w:i/>
          <w:szCs w:val="24"/>
          <w:highlight w:val="yellow"/>
          <w:u w:val="single"/>
          <w:vertAlign w:val="subscript"/>
        </w:rPr>
        <w:t>PE</w:t>
      </w:r>
      <w:bookmarkEnd w:id="120"/>
      <w:bookmarkEnd w:id="121"/>
      <w:bookmarkEnd w:id="122"/>
      <w:r w:rsidR="0032674F" w:rsidRPr="000A5065">
        <w:rPr>
          <w:i/>
          <w:szCs w:val="24"/>
          <w:highlight w:val="yellow"/>
          <w:u w:val="single"/>
          <w:vertAlign w:val="subscript"/>
        </w:rPr>
        <w:t>,</w:t>
      </w:r>
      <w:r w:rsidR="00DC6454" w:rsidRPr="000A5065">
        <w:rPr>
          <w:i/>
          <w:szCs w:val="24"/>
          <w:highlight w:val="yellow"/>
          <w:u w:val="single"/>
          <w:vertAlign w:val="subscript"/>
        </w:rPr>
        <w:t xml:space="preserve"> conversion</w:t>
      </w:r>
      <w:bookmarkEnd w:id="123"/>
    </w:p>
    <w:p w14:paraId="400F7E99" w14:textId="515EB632" w:rsidR="00555C8B" w:rsidRPr="00564B75" w:rsidRDefault="006A0982" w:rsidP="006A0982">
      <w:pPr>
        <w:pStyle w:val="tMain"/>
      </w:pPr>
      <w:bookmarkStart w:id="124" w:name="_Toc498293984"/>
      <w:r w:rsidRPr="00564B75">
        <w:tab/>
      </w:r>
      <w:r w:rsidR="00690536" w:rsidRPr="00564B75">
        <w:t>(1)</w:t>
      </w:r>
      <w:r w:rsidRPr="00564B75">
        <w:tab/>
      </w:r>
      <w:r w:rsidR="00FB10FB" w:rsidRPr="00564B75">
        <w:t xml:space="preserve">For </w:t>
      </w:r>
      <w:r w:rsidR="00FB10FB" w:rsidRPr="0048069E">
        <w:t xml:space="preserve">section </w:t>
      </w:r>
      <w:r w:rsidR="008E71C2" w:rsidRPr="0048069E">
        <w:t>31</w:t>
      </w:r>
      <w:r w:rsidR="00FB10FB" w:rsidRPr="00122E37">
        <w:t xml:space="preserve"> of the Determination, the </w:t>
      </w:r>
      <w:r w:rsidR="00FB10FB" w:rsidRPr="00122E37">
        <w:rPr>
          <w:sz w:val="24"/>
          <w:szCs w:val="24"/>
        </w:rPr>
        <w:t xml:space="preserve">amount of purchased electricity that is specifically attributable to the </w:t>
      </w:r>
      <w:r w:rsidR="00FB10FB" w:rsidRPr="00564B75">
        <w:rPr>
          <w:szCs w:val="22"/>
        </w:rPr>
        <w:t>operation</w:t>
      </w:r>
      <w:r w:rsidR="00FB10FB" w:rsidRPr="00564B75">
        <w:rPr>
          <w:sz w:val="24"/>
          <w:szCs w:val="24"/>
        </w:rPr>
        <w:t xml:space="preserve"> of the project </w:t>
      </w:r>
      <w:r w:rsidR="00D74B04" w:rsidRPr="000A5065">
        <w:rPr>
          <w:sz w:val="24"/>
          <w:szCs w:val="24"/>
          <w:highlight w:val="yellow"/>
        </w:rPr>
        <w:t xml:space="preserve">treatment </w:t>
      </w:r>
      <w:r w:rsidR="00FB10FB" w:rsidRPr="00564B75">
        <w:rPr>
          <w:sz w:val="24"/>
          <w:szCs w:val="24"/>
        </w:rPr>
        <w:t xml:space="preserve">facility, </w:t>
      </w:r>
      <w:r w:rsidR="00DC6454" w:rsidRPr="000A5065">
        <w:rPr>
          <w:i/>
          <w:sz w:val="24"/>
          <w:szCs w:val="24"/>
          <w:highlight w:val="yellow"/>
        </w:rPr>
        <w:t>E</w:t>
      </w:r>
      <w:r w:rsidR="00FB10FB" w:rsidRPr="000A5065">
        <w:rPr>
          <w:i/>
          <w:sz w:val="24"/>
          <w:szCs w:val="24"/>
          <w:highlight w:val="yellow"/>
          <w:vertAlign w:val="subscript"/>
        </w:rPr>
        <w:t>PE</w:t>
      </w:r>
      <w:r w:rsidR="0032674F" w:rsidRPr="000A5065">
        <w:rPr>
          <w:i/>
          <w:sz w:val="24"/>
          <w:szCs w:val="24"/>
          <w:highlight w:val="yellow"/>
          <w:vertAlign w:val="subscript"/>
        </w:rPr>
        <w:t>,</w:t>
      </w:r>
      <w:r w:rsidR="00DC6454" w:rsidRPr="000A5065">
        <w:rPr>
          <w:i/>
          <w:sz w:val="24"/>
          <w:szCs w:val="24"/>
          <w:highlight w:val="yellow"/>
          <w:vertAlign w:val="subscript"/>
        </w:rPr>
        <w:t xml:space="preserve"> conversion</w:t>
      </w:r>
      <w:r w:rsidR="00FB10FB" w:rsidRPr="00564B75">
        <w:rPr>
          <w:sz w:val="24"/>
          <w:szCs w:val="24"/>
          <w:vertAlign w:val="subscript"/>
        </w:rPr>
        <w:t xml:space="preserve"> </w:t>
      </w:r>
      <w:r w:rsidR="00555C8B" w:rsidRPr="00564B75">
        <w:t>during the reporting period:</w:t>
      </w:r>
      <w:r w:rsidR="00FB10FB" w:rsidRPr="00564B75">
        <w:t xml:space="preserve"> </w:t>
      </w:r>
    </w:p>
    <w:p w14:paraId="400F7E9A" w14:textId="77777777" w:rsidR="00690536" w:rsidRPr="00564B75" w:rsidRDefault="00555C8B" w:rsidP="00555C8B">
      <w:pPr>
        <w:pStyle w:val="tPara"/>
      </w:pPr>
      <w:r w:rsidRPr="00564B75">
        <w:tab/>
        <w:t>(a)</w:t>
      </w:r>
      <w:r w:rsidRPr="00564B75">
        <w:tab/>
        <w:t xml:space="preserve">is </w:t>
      </w:r>
      <w:r w:rsidR="00690536" w:rsidRPr="00564B75">
        <w:t>the best estimate of</w:t>
      </w:r>
      <w:r w:rsidR="00FB10FB" w:rsidRPr="00564B75">
        <w:t xml:space="preserve"> amount of purchased electricity used for the project based on evidence from invoices, contractual </w:t>
      </w:r>
      <w:proofErr w:type="gramStart"/>
      <w:r w:rsidR="00FB10FB" w:rsidRPr="00564B75">
        <w:t>arrangement</w:t>
      </w:r>
      <w:r w:rsidRPr="00564B75">
        <w:t>s</w:t>
      </w:r>
      <w:proofErr w:type="gramEnd"/>
      <w:r w:rsidRPr="00564B75">
        <w:t xml:space="preserve"> or industry metering records; and</w:t>
      </w:r>
    </w:p>
    <w:p w14:paraId="400F7E9B" w14:textId="4005BC76" w:rsidR="00555C8B" w:rsidRPr="00564B75" w:rsidRDefault="00555C8B" w:rsidP="00555C8B">
      <w:pPr>
        <w:pStyle w:val="tPara"/>
      </w:pPr>
      <w:r w:rsidRPr="00564B75">
        <w:tab/>
        <w:t>(b)</w:t>
      </w:r>
      <w:r w:rsidRPr="00564B75">
        <w:tab/>
        <w:t xml:space="preserve">must fairly attribute electricity use between the project </w:t>
      </w:r>
      <w:r w:rsidR="00D74B04" w:rsidRPr="000A5065">
        <w:rPr>
          <w:highlight w:val="yellow"/>
        </w:rPr>
        <w:t xml:space="preserve">treatment </w:t>
      </w:r>
      <w:r w:rsidRPr="00564B75">
        <w:t>facility and uses of the electricity outside of the project</w:t>
      </w:r>
      <w:r w:rsidRPr="000A5065">
        <w:rPr>
          <w:highlight w:val="yellow"/>
        </w:rPr>
        <w:t xml:space="preserve"> </w:t>
      </w:r>
      <w:r w:rsidR="00D74B04" w:rsidRPr="000A5065">
        <w:rPr>
          <w:highlight w:val="yellow"/>
        </w:rPr>
        <w:t>treatment</w:t>
      </w:r>
      <w:r w:rsidR="00D74B04" w:rsidRPr="00564B75">
        <w:t xml:space="preserve"> </w:t>
      </w:r>
      <w:r w:rsidRPr="00564B75">
        <w:t xml:space="preserve">facility included in any relevant invoice, contractual </w:t>
      </w:r>
      <w:proofErr w:type="gramStart"/>
      <w:r w:rsidRPr="00564B75">
        <w:t>arrangements</w:t>
      </w:r>
      <w:proofErr w:type="gramEnd"/>
      <w:r w:rsidRPr="00564B75">
        <w:t xml:space="preserve"> or industry metering records.</w:t>
      </w:r>
    </w:p>
    <w:p w14:paraId="400F7E9C" w14:textId="14076A53" w:rsidR="00FB10FB" w:rsidRPr="00564B75" w:rsidRDefault="00690536" w:rsidP="006A0982">
      <w:pPr>
        <w:pStyle w:val="tMain"/>
        <w:rPr>
          <w:szCs w:val="22"/>
        </w:rPr>
      </w:pPr>
      <w:r w:rsidRPr="00564B75">
        <w:rPr>
          <w:szCs w:val="22"/>
        </w:rPr>
        <w:tab/>
        <w:t>(2)</w:t>
      </w:r>
      <w:r w:rsidRPr="00564B75">
        <w:rPr>
          <w:szCs w:val="22"/>
        </w:rPr>
        <w:tab/>
      </w:r>
      <w:r w:rsidR="00FB10FB" w:rsidRPr="00564B75">
        <w:rPr>
          <w:szCs w:val="22"/>
        </w:rPr>
        <w:t xml:space="preserve">If </w:t>
      </w:r>
      <w:r w:rsidR="00DC6454" w:rsidRPr="000A5065">
        <w:rPr>
          <w:szCs w:val="22"/>
          <w:highlight w:val="yellow"/>
        </w:rPr>
        <w:t>E</w:t>
      </w:r>
      <w:r w:rsidR="00FB10FB" w:rsidRPr="000A5065">
        <w:rPr>
          <w:szCs w:val="22"/>
          <w:highlight w:val="yellow"/>
          <w:vertAlign w:val="subscript"/>
        </w:rPr>
        <w:t>PE</w:t>
      </w:r>
      <w:r w:rsidR="0032674F" w:rsidRPr="000A5065">
        <w:rPr>
          <w:szCs w:val="22"/>
          <w:highlight w:val="yellow"/>
          <w:vertAlign w:val="subscript"/>
        </w:rPr>
        <w:t>,</w:t>
      </w:r>
      <w:r w:rsidR="00DC6454" w:rsidRPr="000A5065">
        <w:rPr>
          <w:szCs w:val="22"/>
          <w:highlight w:val="yellow"/>
          <w:vertAlign w:val="subscript"/>
        </w:rPr>
        <w:t xml:space="preserve"> conversion</w:t>
      </w:r>
      <w:r w:rsidR="00FB10FB" w:rsidRPr="00564B75">
        <w:rPr>
          <w:szCs w:val="22"/>
        </w:rPr>
        <w:t xml:space="preserve"> is measured in gigajoules, the amount of kilowatt hours must be calculated by dividing the </w:t>
      </w:r>
      <w:proofErr w:type="gramStart"/>
      <w:r w:rsidR="00FB10FB" w:rsidRPr="00564B75">
        <w:rPr>
          <w:szCs w:val="22"/>
        </w:rPr>
        <w:t>amount</w:t>
      </w:r>
      <w:proofErr w:type="gramEnd"/>
      <w:r w:rsidR="00FB10FB" w:rsidRPr="00564B75">
        <w:rPr>
          <w:szCs w:val="22"/>
        </w:rPr>
        <w:t xml:space="preserve"> of gigajoules by the conversion factor of 0.0036.</w:t>
      </w:r>
    </w:p>
    <w:p w14:paraId="400F7E9D" w14:textId="5AAB6762" w:rsidR="00E15BFF" w:rsidRPr="00564B75" w:rsidRDefault="002E7677" w:rsidP="00FB10FB">
      <w:pPr>
        <w:pStyle w:val="h5Section"/>
        <w:rPr>
          <w:u w:val="single"/>
        </w:rPr>
      </w:pPr>
      <w:bookmarkStart w:id="125" w:name="_Toc17792713"/>
      <w:bookmarkStart w:id="126" w:name="_Toc82779141"/>
      <w:bookmarkStart w:id="127" w:name="_Toc82779449"/>
      <w:bookmarkStart w:id="128" w:name="_Toc86674787"/>
      <w:r w:rsidRPr="000A5065">
        <w:rPr>
          <w:highlight w:val="yellow"/>
          <w:u w:val="single"/>
        </w:rPr>
        <w:t>2</w:t>
      </w:r>
      <w:r w:rsidR="0042623F" w:rsidRPr="000A5065">
        <w:rPr>
          <w:highlight w:val="yellow"/>
          <w:u w:val="single"/>
        </w:rPr>
        <w:t>3</w:t>
      </w:r>
      <w:r w:rsidR="009832C5" w:rsidRPr="00564B75">
        <w:rPr>
          <w:u w:val="single"/>
        </w:rPr>
        <w:tab/>
      </w:r>
      <w:r w:rsidR="00E15BFF" w:rsidRPr="00564B75">
        <w:rPr>
          <w:u w:val="single"/>
        </w:rPr>
        <w:t xml:space="preserve">Section </w:t>
      </w:r>
      <w:r w:rsidR="002A7439" w:rsidRPr="00564B75">
        <w:rPr>
          <w:u w:val="single"/>
        </w:rPr>
        <w:t>3</w:t>
      </w:r>
      <w:r w:rsidR="008E71C2" w:rsidRPr="00564B75">
        <w:rPr>
          <w:u w:val="single"/>
        </w:rPr>
        <w:t>2</w:t>
      </w:r>
      <w:r w:rsidR="00E15BFF" w:rsidRPr="00564B75">
        <w:rPr>
          <w:u w:val="single"/>
        </w:rPr>
        <w:t>—</w:t>
      </w:r>
      <w:r w:rsidR="00564B75" w:rsidRPr="000A5065">
        <w:rPr>
          <w:highlight w:val="yellow"/>
          <w:u w:val="single"/>
        </w:rPr>
        <w:t>P</w:t>
      </w:r>
      <w:r w:rsidR="008C55F8" w:rsidRPr="000A5065">
        <w:rPr>
          <w:highlight w:val="yellow"/>
          <w:u w:val="single"/>
        </w:rPr>
        <w:t>ost</w:t>
      </w:r>
      <w:r w:rsidR="008C55F8" w:rsidRPr="00564B75">
        <w:rPr>
          <w:u w:val="single"/>
        </w:rPr>
        <w:t xml:space="preserve">-diversion methane conversion factor, </w:t>
      </w:r>
      <w:proofErr w:type="spellStart"/>
      <w:r w:rsidR="00E15BFF" w:rsidRPr="00564B75">
        <w:rPr>
          <w:u w:val="single"/>
        </w:rPr>
        <w:t>MCF</w:t>
      </w:r>
      <w:r w:rsidR="00E15BFF" w:rsidRPr="00564B75">
        <w:rPr>
          <w:u w:val="single"/>
          <w:vertAlign w:val="subscript"/>
        </w:rPr>
        <w:t>Post</w:t>
      </w:r>
      <w:proofErr w:type="spellEnd"/>
      <w:r w:rsidR="00B86D6A" w:rsidRPr="00564B75">
        <w:rPr>
          <w:u w:val="single"/>
          <w:vertAlign w:val="subscript"/>
        </w:rPr>
        <w:t>,</w:t>
      </w:r>
      <w:r w:rsidR="004A4A68" w:rsidRPr="00564B75">
        <w:rPr>
          <w:u w:val="single"/>
          <w:vertAlign w:val="subscript"/>
        </w:rPr>
        <w:t> </w:t>
      </w:r>
      <w:r w:rsidR="00E15BFF" w:rsidRPr="00564B75">
        <w:rPr>
          <w:u w:val="single"/>
          <w:vertAlign w:val="subscript"/>
        </w:rPr>
        <w:t>n</w:t>
      </w:r>
      <w:bookmarkEnd w:id="124"/>
      <w:bookmarkEnd w:id="125"/>
      <w:bookmarkEnd w:id="126"/>
      <w:bookmarkEnd w:id="127"/>
      <w:bookmarkEnd w:id="128"/>
      <w:r w:rsidR="00E15BFF" w:rsidRPr="00564B75">
        <w:rPr>
          <w:u w:val="single"/>
        </w:rPr>
        <w:t xml:space="preserve"> </w:t>
      </w:r>
    </w:p>
    <w:p w14:paraId="400F7E9E" w14:textId="7CAA061F" w:rsidR="00C440C5" w:rsidRPr="00564B75" w:rsidRDefault="00E15BFF" w:rsidP="00E15BFF">
      <w:pPr>
        <w:pStyle w:val="tMain"/>
      </w:pPr>
      <w:r w:rsidRPr="00564B75">
        <w:tab/>
      </w:r>
      <w:r w:rsidRPr="00564B75">
        <w:tab/>
        <w:t xml:space="preserve">For </w:t>
      </w:r>
      <w:r w:rsidR="0019356D" w:rsidRPr="000A5065">
        <w:rPr>
          <w:highlight w:val="yellow"/>
        </w:rPr>
        <w:t>sub</w:t>
      </w:r>
      <w:r w:rsidR="0071180B" w:rsidRPr="000A5065">
        <w:rPr>
          <w:highlight w:val="yellow"/>
        </w:rPr>
        <w:t>section</w:t>
      </w:r>
      <w:r w:rsidR="0071180B" w:rsidRPr="0048069E">
        <w:t xml:space="preserve"> </w:t>
      </w:r>
      <w:r w:rsidR="002A7439" w:rsidRPr="0048069E">
        <w:t>3</w:t>
      </w:r>
      <w:r w:rsidR="008E71C2" w:rsidRPr="0048069E">
        <w:t>2</w:t>
      </w:r>
      <w:r w:rsidR="0019356D" w:rsidRPr="000A5065">
        <w:rPr>
          <w:highlight w:val="yellow"/>
        </w:rPr>
        <w:t>(1)</w:t>
      </w:r>
      <w:r w:rsidR="0071180B" w:rsidRPr="00122E37">
        <w:t xml:space="preserve"> </w:t>
      </w:r>
      <w:r w:rsidRPr="00122E37">
        <w:t xml:space="preserve">of the Determination, </w:t>
      </w:r>
      <w:proofErr w:type="spellStart"/>
      <w:r w:rsidRPr="00122E37">
        <w:t>MCF</w:t>
      </w:r>
      <w:r w:rsidRPr="00122E37">
        <w:rPr>
          <w:vertAlign w:val="subscript"/>
        </w:rPr>
        <w:t>Post</w:t>
      </w:r>
      <w:proofErr w:type="spellEnd"/>
      <w:r w:rsidR="00B86D6A" w:rsidRPr="00564B75">
        <w:rPr>
          <w:vertAlign w:val="subscript"/>
        </w:rPr>
        <w:t>,</w:t>
      </w:r>
      <w:r w:rsidR="004A4A68" w:rsidRPr="00564B75">
        <w:rPr>
          <w:vertAlign w:val="subscript"/>
        </w:rPr>
        <w:t> </w:t>
      </w:r>
      <w:r w:rsidRPr="00564B75">
        <w:rPr>
          <w:vertAlign w:val="subscript"/>
        </w:rPr>
        <w:t>n</w:t>
      </w:r>
      <w:r w:rsidRPr="00564B75">
        <w:t>, the post-diversion methane conversion factor for each type of material and each treatment method is</w:t>
      </w:r>
      <w:r w:rsidR="00C440C5" w:rsidRPr="00564B75">
        <w:t>:</w:t>
      </w:r>
    </w:p>
    <w:p w14:paraId="400F7E9F" w14:textId="77777777" w:rsidR="00C440C5" w:rsidRPr="00564B75" w:rsidRDefault="00C440C5" w:rsidP="00C440C5">
      <w:pPr>
        <w:pStyle w:val="tPara"/>
      </w:pPr>
      <w:r w:rsidRPr="00564B75">
        <w:tab/>
        <w:t>(a)</w:t>
      </w:r>
      <w:r w:rsidRPr="00564B75">
        <w:tab/>
        <w:t>if composting is used—0.02; and</w:t>
      </w:r>
    </w:p>
    <w:p w14:paraId="400F7EA0" w14:textId="77777777" w:rsidR="00C440C5" w:rsidRPr="00564B75" w:rsidRDefault="00C440C5" w:rsidP="00C440C5">
      <w:pPr>
        <w:pStyle w:val="tPara"/>
      </w:pPr>
      <w:r w:rsidRPr="00564B75">
        <w:tab/>
        <w:t>(b)</w:t>
      </w:r>
      <w:r w:rsidRPr="00564B75">
        <w:tab/>
        <w:t>if stockpiling is used—0.02.</w:t>
      </w:r>
    </w:p>
    <w:p w14:paraId="400F7EA1" w14:textId="5BF9F966" w:rsidR="00546189" w:rsidRPr="00564B75" w:rsidRDefault="002E7677" w:rsidP="007402BA">
      <w:pPr>
        <w:pStyle w:val="h5Section"/>
        <w:rPr>
          <w:u w:val="single"/>
        </w:rPr>
      </w:pPr>
      <w:bookmarkStart w:id="129" w:name="_Toc17792714"/>
      <w:bookmarkStart w:id="130" w:name="_Toc82779142"/>
      <w:bookmarkStart w:id="131" w:name="_Toc82779450"/>
      <w:bookmarkStart w:id="132" w:name="_Toc86674788"/>
      <w:r w:rsidRPr="000A5065">
        <w:rPr>
          <w:highlight w:val="yellow"/>
          <w:u w:val="single"/>
        </w:rPr>
        <w:lastRenderedPageBreak/>
        <w:t>2</w:t>
      </w:r>
      <w:r w:rsidR="0042623F" w:rsidRPr="000A5065">
        <w:rPr>
          <w:highlight w:val="yellow"/>
          <w:u w:val="single"/>
        </w:rPr>
        <w:t>4</w:t>
      </w:r>
      <w:r w:rsidR="009832C5" w:rsidRPr="00564B75">
        <w:rPr>
          <w:u w:val="single"/>
        </w:rPr>
        <w:tab/>
      </w:r>
      <w:r w:rsidR="00607641" w:rsidRPr="00564B75">
        <w:rPr>
          <w:u w:val="single"/>
        </w:rPr>
        <w:t>Section 3</w:t>
      </w:r>
      <w:r w:rsidRPr="00564B75">
        <w:rPr>
          <w:u w:val="single"/>
        </w:rPr>
        <w:t>2</w:t>
      </w:r>
      <w:r w:rsidR="00607641" w:rsidRPr="00564B75">
        <w:rPr>
          <w:u w:val="single"/>
        </w:rPr>
        <w:t>—</w:t>
      </w:r>
      <w:r w:rsidR="00564B75" w:rsidRPr="000A5065">
        <w:rPr>
          <w:highlight w:val="yellow"/>
          <w:u w:val="single"/>
        </w:rPr>
        <w:t>M</w:t>
      </w:r>
      <w:r w:rsidR="00546189" w:rsidRPr="000A5065">
        <w:rPr>
          <w:highlight w:val="yellow"/>
          <w:u w:val="single"/>
        </w:rPr>
        <w:t>ethane</w:t>
      </w:r>
      <w:r w:rsidR="00546189" w:rsidRPr="00564B75">
        <w:rPr>
          <w:u w:val="single"/>
        </w:rPr>
        <w:t xml:space="preserve">-producing capacity for the volatile </w:t>
      </w:r>
      <w:r w:rsidR="00451599" w:rsidRPr="00564B75">
        <w:rPr>
          <w:u w:val="single"/>
        </w:rPr>
        <w:t>solids,</w:t>
      </w:r>
      <w:r w:rsidR="00546189" w:rsidRPr="00564B75">
        <w:rPr>
          <w:u w:val="single"/>
        </w:rPr>
        <w:t xml:space="preserve"> </w:t>
      </w:r>
      <w:r w:rsidR="00546189" w:rsidRPr="00564B75">
        <w:rPr>
          <w:i/>
          <w:u w:val="single"/>
        </w:rPr>
        <w:t>B</w:t>
      </w:r>
      <w:proofErr w:type="gramStart"/>
      <w:r w:rsidR="00546189" w:rsidRPr="00564B75">
        <w:rPr>
          <w:i/>
          <w:u w:val="single"/>
          <w:vertAlign w:val="subscript"/>
        </w:rPr>
        <w:t>0,Div</w:t>
      </w:r>
      <w:proofErr w:type="gramEnd"/>
      <w:r w:rsidR="00546189" w:rsidRPr="00564B75">
        <w:rPr>
          <w:u w:val="single"/>
          <w:vertAlign w:val="subscript"/>
        </w:rPr>
        <w:t>, w</w:t>
      </w:r>
      <w:bookmarkEnd w:id="129"/>
      <w:bookmarkEnd w:id="130"/>
      <w:bookmarkEnd w:id="131"/>
      <w:bookmarkEnd w:id="132"/>
      <w:r w:rsidR="00546189" w:rsidRPr="00564B75">
        <w:rPr>
          <w:u w:val="single"/>
        </w:rPr>
        <w:t xml:space="preserve"> </w:t>
      </w:r>
    </w:p>
    <w:p w14:paraId="400F7EA2" w14:textId="5AAC5E40" w:rsidR="00D54904" w:rsidRPr="00564B75" w:rsidRDefault="006D24A2" w:rsidP="001E1D4A">
      <w:pPr>
        <w:pStyle w:val="tMain"/>
      </w:pPr>
      <w:r w:rsidRPr="00564B75">
        <w:rPr>
          <w:i/>
        </w:rPr>
        <w:tab/>
      </w:r>
      <w:r w:rsidRPr="00564B75">
        <w:tab/>
      </w:r>
      <w:r w:rsidR="004A08B7" w:rsidRPr="00564B75">
        <w:t xml:space="preserve">For </w:t>
      </w:r>
      <w:r w:rsidR="0019356D" w:rsidRPr="000A5065">
        <w:rPr>
          <w:highlight w:val="yellow"/>
        </w:rPr>
        <w:t>sub</w:t>
      </w:r>
      <w:r w:rsidR="004A08B7" w:rsidRPr="000A5065">
        <w:rPr>
          <w:highlight w:val="yellow"/>
        </w:rPr>
        <w:t>section</w:t>
      </w:r>
      <w:r w:rsidR="004A08B7" w:rsidRPr="0048069E">
        <w:t xml:space="preserve"> 3</w:t>
      </w:r>
      <w:r w:rsidR="002E7677" w:rsidRPr="0048069E">
        <w:t>2</w:t>
      </w:r>
      <w:r w:rsidR="0019356D" w:rsidRPr="000A5065">
        <w:rPr>
          <w:highlight w:val="yellow"/>
        </w:rPr>
        <w:t>(1)</w:t>
      </w:r>
      <w:r w:rsidR="004A08B7" w:rsidRPr="00122E37">
        <w:t xml:space="preserve"> of the </w:t>
      </w:r>
      <w:r w:rsidR="00C819CD" w:rsidRPr="000A5065">
        <w:rPr>
          <w:highlight w:val="yellow"/>
        </w:rPr>
        <w:t>Determination</w:t>
      </w:r>
      <w:r w:rsidR="004A08B7" w:rsidRPr="00122E37">
        <w:t xml:space="preserve">, </w:t>
      </w:r>
      <w:r w:rsidR="004A08B7" w:rsidRPr="00122E37">
        <w:rPr>
          <w:i/>
        </w:rPr>
        <w:t>B</w:t>
      </w:r>
      <w:proofErr w:type="gramStart"/>
      <w:r w:rsidR="004A08B7" w:rsidRPr="00122E37">
        <w:rPr>
          <w:i/>
          <w:vertAlign w:val="subscript"/>
        </w:rPr>
        <w:t>0,Div</w:t>
      </w:r>
      <w:proofErr w:type="gramEnd"/>
      <w:r w:rsidR="00472FC0" w:rsidRPr="00564B75">
        <w:rPr>
          <w:i/>
          <w:vertAlign w:val="subscript"/>
        </w:rPr>
        <w:t>,w</w:t>
      </w:r>
      <w:r w:rsidR="00257AD4" w:rsidRPr="000A5065">
        <w:rPr>
          <w:highlight w:val="yellow"/>
        </w:rPr>
        <w:t>,</w:t>
      </w:r>
      <w:r w:rsidR="00257AD4">
        <w:t xml:space="preserve"> </w:t>
      </w:r>
      <w:r w:rsidR="004A08B7" w:rsidRPr="00564B75">
        <w:t xml:space="preserve">the methane-producing capacity for the volatile solids of material, in cubic </w:t>
      </w:r>
      <w:r w:rsidR="000A1B5D" w:rsidRPr="00564B75">
        <w:t>metre</w:t>
      </w:r>
      <w:r w:rsidR="004A08B7" w:rsidRPr="00564B75">
        <w:t>s of methane per tonne of volatile solids is determined:</w:t>
      </w:r>
    </w:p>
    <w:p w14:paraId="400F7EA3" w14:textId="77777777" w:rsidR="004A08B7" w:rsidRPr="00564B75" w:rsidRDefault="004A08B7" w:rsidP="004A08B7">
      <w:pPr>
        <w:pStyle w:val="tPara"/>
      </w:pPr>
      <w:r w:rsidRPr="00564B75">
        <w:tab/>
        <w:t>(a)</w:t>
      </w:r>
      <w:r w:rsidRPr="00564B75">
        <w:tab/>
        <w:t>in accordance with subsection 3</w:t>
      </w:r>
      <w:r w:rsidR="002E7677" w:rsidRPr="00564B75">
        <w:t>2</w:t>
      </w:r>
      <w:r w:rsidRPr="00564B75">
        <w:t>(3) of the Determination</w:t>
      </w:r>
      <w:r w:rsidR="002D2D18" w:rsidRPr="00564B75">
        <w:t xml:space="preserve"> and the relevant column of Schedule 1</w:t>
      </w:r>
      <w:r w:rsidRPr="00564B75">
        <w:t>: and</w:t>
      </w:r>
    </w:p>
    <w:p w14:paraId="400F7EA4" w14:textId="21A8A9C0" w:rsidR="004A08B7" w:rsidRPr="00122E37" w:rsidRDefault="004A08B7" w:rsidP="004A08B7">
      <w:pPr>
        <w:pStyle w:val="tPara"/>
      </w:pPr>
      <w:r w:rsidRPr="00564B75">
        <w:tab/>
        <w:t>(b)</w:t>
      </w:r>
      <w:r w:rsidRPr="00564B75">
        <w:tab/>
        <w:t xml:space="preserve">if they are to be measured—determined consistently with the requirements in </w:t>
      </w:r>
      <w:r w:rsidR="00352879" w:rsidRPr="000A5065">
        <w:rPr>
          <w:highlight w:val="yellow"/>
        </w:rPr>
        <w:t>clause</w:t>
      </w:r>
      <w:r w:rsidRPr="000A5065">
        <w:rPr>
          <w:highlight w:val="yellow"/>
        </w:rPr>
        <w:t xml:space="preserve"> 1</w:t>
      </w:r>
      <w:r w:rsidR="0042623F" w:rsidRPr="000A5065">
        <w:rPr>
          <w:highlight w:val="yellow"/>
        </w:rPr>
        <w:t>0</w:t>
      </w:r>
      <w:r w:rsidRPr="00122E37">
        <w:t>.</w:t>
      </w:r>
    </w:p>
    <w:p w14:paraId="400F7EA5" w14:textId="05B1298B" w:rsidR="00E15BFF" w:rsidRPr="00564B75" w:rsidRDefault="00E01687" w:rsidP="00E15BFF">
      <w:pPr>
        <w:pStyle w:val="h5Section"/>
        <w:rPr>
          <w:u w:val="single"/>
        </w:rPr>
      </w:pPr>
      <w:bookmarkStart w:id="133" w:name="_Toc498293985"/>
      <w:bookmarkStart w:id="134" w:name="_Toc17792715"/>
      <w:bookmarkStart w:id="135" w:name="_Toc82779143"/>
      <w:bookmarkStart w:id="136" w:name="_Toc82779451"/>
      <w:bookmarkStart w:id="137" w:name="_Toc86674789"/>
      <w:r w:rsidRPr="000A5065">
        <w:rPr>
          <w:highlight w:val="yellow"/>
          <w:u w:val="single"/>
        </w:rPr>
        <w:t>2</w:t>
      </w:r>
      <w:r w:rsidR="0042623F" w:rsidRPr="000A5065">
        <w:rPr>
          <w:highlight w:val="yellow"/>
          <w:u w:val="single"/>
        </w:rPr>
        <w:t>5</w:t>
      </w:r>
      <w:r w:rsidR="00C449A4" w:rsidRPr="00564B75">
        <w:rPr>
          <w:u w:val="single"/>
        </w:rPr>
        <w:tab/>
      </w:r>
      <w:r w:rsidR="00E15BFF" w:rsidRPr="00564B75">
        <w:rPr>
          <w:u w:val="single"/>
        </w:rPr>
        <w:t xml:space="preserve">Section </w:t>
      </w:r>
      <w:r w:rsidR="002A7439" w:rsidRPr="00564B75">
        <w:rPr>
          <w:u w:val="single"/>
        </w:rPr>
        <w:t>3</w:t>
      </w:r>
      <w:r w:rsidR="002E7677" w:rsidRPr="00564B75">
        <w:rPr>
          <w:u w:val="single"/>
        </w:rPr>
        <w:t>2</w:t>
      </w:r>
      <w:r w:rsidR="00E15BFF" w:rsidRPr="00564B75">
        <w:rPr>
          <w:u w:val="single"/>
        </w:rPr>
        <w:t>—</w:t>
      </w:r>
      <w:r w:rsidR="00122E37" w:rsidRPr="000A5065">
        <w:rPr>
          <w:highlight w:val="yellow"/>
          <w:u w:val="single"/>
        </w:rPr>
        <w:t>N</w:t>
      </w:r>
      <w:r w:rsidR="008C55F8" w:rsidRPr="000A5065">
        <w:rPr>
          <w:highlight w:val="yellow"/>
          <w:u w:val="single"/>
        </w:rPr>
        <w:t>itrous</w:t>
      </w:r>
      <w:r w:rsidR="008C55F8" w:rsidRPr="00564B75">
        <w:rPr>
          <w:u w:val="single"/>
        </w:rPr>
        <w:t xml:space="preserve"> oxide conversion factor, </w:t>
      </w:r>
      <w:r w:rsidR="008C55F8" w:rsidRPr="00564B75">
        <w:rPr>
          <w:i/>
          <w:u w:val="single"/>
        </w:rPr>
        <w:t>N</w:t>
      </w:r>
      <w:r w:rsidR="008C55F8" w:rsidRPr="00564B75">
        <w:rPr>
          <w:i/>
          <w:u w:val="single"/>
          <w:vertAlign w:val="subscript"/>
        </w:rPr>
        <w:t>2</w:t>
      </w:r>
      <w:r w:rsidR="008C55F8" w:rsidRPr="00564B75">
        <w:rPr>
          <w:i/>
          <w:u w:val="single"/>
        </w:rPr>
        <w:t>O-N</w:t>
      </w:r>
      <w:r w:rsidR="008C55F8" w:rsidRPr="00564B75">
        <w:rPr>
          <w:i/>
          <w:u w:val="single"/>
          <w:vertAlign w:val="subscript"/>
        </w:rPr>
        <w:t>CF</w:t>
      </w:r>
      <w:bookmarkEnd w:id="133"/>
      <w:bookmarkEnd w:id="134"/>
      <w:bookmarkEnd w:id="135"/>
      <w:bookmarkEnd w:id="136"/>
      <w:bookmarkEnd w:id="137"/>
    </w:p>
    <w:p w14:paraId="400F7EA6" w14:textId="7893645A" w:rsidR="00E15BFF" w:rsidRPr="00564B75" w:rsidRDefault="00E15BFF" w:rsidP="00D54904">
      <w:pPr>
        <w:pStyle w:val="tMain"/>
      </w:pPr>
      <w:r w:rsidRPr="00564B75">
        <w:tab/>
      </w:r>
      <w:r w:rsidRPr="00564B75">
        <w:tab/>
      </w:r>
      <w:r w:rsidR="0071180B" w:rsidRPr="00564B75">
        <w:t xml:space="preserve">For </w:t>
      </w:r>
      <w:r w:rsidR="0019356D" w:rsidRPr="000A5065">
        <w:rPr>
          <w:highlight w:val="yellow"/>
        </w:rPr>
        <w:t>sub</w:t>
      </w:r>
      <w:r w:rsidR="0071180B" w:rsidRPr="000A5065">
        <w:rPr>
          <w:highlight w:val="yellow"/>
        </w:rPr>
        <w:t>section</w:t>
      </w:r>
      <w:r w:rsidR="0071180B" w:rsidRPr="0048069E">
        <w:t xml:space="preserve"> </w:t>
      </w:r>
      <w:r w:rsidR="002A7439" w:rsidRPr="0048069E">
        <w:t>3</w:t>
      </w:r>
      <w:r w:rsidR="002E7677" w:rsidRPr="0048069E">
        <w:t>2</w:t>
      </w:r>
      <w:r w:rsidR="0019356D" w:rsidRPr="000A5065">
        <w:rPr>
          <w:highlight w:val="yellow"/>
        </w:rPr>
        <w:t>(</w:t>
      </w:r>
      <w:r w:rsidR="009E3235" w:rsidRPr="000A5065">
        <w:rPr>
          <w:highlight w:val="yellow"/>
        </w:rPr>
        <w:t>2</w:t>
      </w:r>
      <w:r w:rsidR="0019356D" w:rsidRPr="000A5065">
        <w:rPr>
          <w:highlight w:val="yellow"/>
        </w:rPr>
        <w:t>)</w:t>
      </w:r>
      <w:r w:rsidR="0071180B" w:rsidRPr="00122E37">
        <w:t xml:space="preserve"> </w:t>
      </w:r>
      <w:r w:rsidRPr="00122E37">
        <w:t>of the Determination, N</w:t>
      </w:r>
      <w:r w:rsidRPr="00122E37">
        <w:rPr>
          <w:vertAlign w:val="subscript"/>
        </w:rPr>
        <w:t>2</w:t>
      </w:r>
      <w:r w:rsidRPr="00564B75">
        <w:t>O-N</w:t>
      </w:r>
      <w:r w:rsidR="00BD634C" w:rsidRPr="00564B75">
        <w:rPr>
          <w:vertAlign w:val="subscript"/>
        </w:rPr>
        <w:t>CF</w:t>
      </w:r>
      <w:r w:rsidRPr="00564B75">
        <w:t>, the factor that converts tonnes of N</w:t>
      </w:r>
      <w:r w:rsidRPr="00564B75">
        <w:rPr>
          <w:vertAlign w:val="subscript"/>
        </w:rPr>
        <w:t>2</w:t>
      </w:r>
      <w:r w:rsidRPr="00564B75">
        <w:t>O</w:t>
      </w:r>
      <w:r w:rsidR="004E70C6" w:rsidRPr="00564B75">
        <w:t>-N</w:t>
      </w:r>
      <w:r w:rsidR="00851BB7" w:rsidRPr="00564B75">
        <w:t xml:space="preserve"> </w:t>
      </w:r>
      <w:r w:rsidR="00750BD2" w:rsidRPr="00564B75">
        <w:t xml:space="preserve">(the nitrogen component of nitrous oxide) into </w:t>
      </w:r>
      <w:r w:rsidR="00851BB7" w:rsidRPr="00564B75">
        <w:t>t</w:t>
      </w:r>
      <w:r w:rsidRPr="00564B75">
        <w:t>onnes CO</w:t>
      </w:r>
      <w:r w:rsidRPr="00564B75">
        <w:rPr>
          <w:vertAlign w:val="subscript"/>
        </w:rPr>
        <w:t>2</w:t>
      </w:r>
      <w:r w:rsidRPr="00564B75">
        <w:noBreakHyphen/>
        <w:t xml:space="preserve">e at standard conditions is </w:t>
      </w:r>
      <w:r w:rsidR="00E65A03" w:rsidRPr="00564B75">
        <w:t>44/28 multiplied by the global warming potential of nitrous oxide in the NGER Regulations</w:t>
      </w:r>
      <w:r w:rsidRPr="00564B75">
        <w:t>.</w:t>
      </w:r>
    </w:p>
    <w:p w14:paraId="400F7EA7" w14:textId="7A2E6006" w:rsidR="00E15BFF" w:rsidRPr="00564B75" w:rsidRDefault="00E01687" w:rsidP="00E15BFF">
      <w:pPr>
        <w:pStyle w:val="h5Section"/>
        <w:rPr>
          <w:u w:val="single"/>
        </w:rPr>
      </w:pPr>
      <w:bookmarkStart w:id="138" w:name="_Toc498293986"/>
      <w:bookmarkStart w:id="139" w:name="_Toc17792716"/>
      <w:bookmarkStart w:id="140" w:name="_Toc82779144"/>
      <w:bookmarkStart w:id="141" w:name="_Toc82779452"/>
      <w:bookmarkStart w:id="142" w:name="_Toc86674790"/>
      <w:r w:rsidRPr="000A5065">
        <w:rPr>
          <w:highlight w:val="yellow"/>
          <w:u w:val="single"/>
        </w:rPr>
        <w:t>2</w:t>
      </w:r>
      <w:r w:rsidR="0042623F" w:rsidRPr="000A5065">
        <w:rPr>
          <w:highlight w:val="yellow"/>
          <w:u w:val="single"/>
        </w:rPr>
        <w:t>6</w:t>
      </w:r>
      <w:r w:rsidR="00C449A4" w:rsidRPr="00564B75">
        <w:rPr>
          <w:u w:val="single"/>
        </w:rPr>
        <w:tab/>
      </w:r>
      <w:r w:rsidR="00A57B48" w:rsidRPr="00564B75">
        <w:rPr>
          <w:u w:val="single"/>
        </w:rPr>
        <w:t xml:space="preserve">Section </w:t>
      </w:r>
      <w:r w:rsidR="009229C7" w:rsidRPr="00564B75">
        <w:rPr>
          <w:u w:val="single"/>
        </w:rPr>
        <w:t>32</w:t>
      </w:r>
      <w:r w:rsidR="00E15BFF" w:rsidRPr="00564B75">
        <w:rPr>
          <w:u w:val="single"/>
        </w:rPr>
        <w:t>—</w:t>
      </w:r>
      <w:r w:rsidR="00564B75" w:rsidRPr="000A5065">
        <w:rPr>
          <w:highlight w:val="yellow"/>
          <w:u w:val="single"/>
        </w:rPr>
        <w:t>N</w:t>
      </w:r>
      <w:r w:rsidR="008C55F8" w:rsidRPr="000A5065">
        <w:rPr>
          <w:highlight w:val="yellow"/>
          <w:u w:val="single"/>
        </w:rPr>
        <w:t>itrous</w:t>
      </w:r>
      <w:r w:rsidR="008C55F8" w:rsidRPr="00564B75">
        <w:rPr>
          <w:u w:val="single"/>
        </w:rPr>
        <w:t xml:space="preserve"> oxide emission factor, </w:t>
      </w:r>
      <w:bookmarkEnd w:id="138"/>
      <w:bookmarkEnd w:id="139"/>
      <w:proofErr w:type="spellStart"/>
      <w:r w:rsidR="00FF6394" w:rsidRPr="00564B75">
        <w:rPr>
          <w:i/>
          <w:u w:val="single"/>
        </w:rPr>
        <w:t>INOEF</w:t>
      </w:r>
      <w:r w:rsidR="00FF6394" w:rsidRPr="00564B75">
        <w:rPr>
          <w:i/>
          <w:u w:val="single"/>
          <w:vertAlign w:val="subscript"/>
        </w:rPr>
        <w:t>Post</w:t>
      </w:r>
      <w:proofErr w:type="spellEnd"/>
      <w:r w:rsidR="00FF6394" w:rsidRPr="00564B75">
        <w:rPr>
          <w:i/>
          <w:u w:val="single"/>
          <w:vertAlign w:val="subscript"/>
        </w:rPr>
        <w:t>, n</w:t>
      </w:r>
      <w:bookmarkEnd w:id="140"/>
      <w:bookmarkEnd w:id="141"/>
      <w:bookmarkEnd w:id="142"/>
    </w:p>
    <w:p w14:paraId="400F7EA8" w14:textId="6026BD04" w:rsidR="001B3D5B" w:rsidRPr="00564B75" w:rsidRDefault="00E15BFF" w:rsidP="001B3D5B">
      <w:pPr>
        <w:pStyle w:val="tMain"/>
      </w:pPr>
      <w:r w:rsidRPr="00564B75">
        <w:tab/>
      </w:r>
      <w:r w:rsidRPr="00564B75">
        <w:tab/>
      </w:r>
      <w:r w:rsidR="0071180B" w:rsidRPr="00564B75">
        <w:t xml:space="preserve">For </w:t>
      </w:r>
      <w:r w:rsidR="0019356D" w:rsidRPr="000A5065">
        <w:rPr>
          <w:highlight w:val="yellow"/>
        </w:rPr>
        <w:t>sub</w:t>
      </w:r>
      <w:r w:rsidR="0071180B" w:rsidRPr="000A5065">
        <w:rPr>
          <w:highlight w:val="yellow"/>
        </w:rPr>
        <w:t>section</w:t>
      </w:r>
      <w:r w:rsidR="0071180B" w:rsidRPr="0048069E">
        <w:t xml:space="preserve"> </w:t>
      </w:r>
      <w:r w:rsidR="002A7439" w:rsidRPr="0048069E">
        <w:t>3</w:t>
      </w:r>
      <w:r w:rsidR="002E7677" w:rsidRPr="0048069E">
        <w:t>2</w:t>
      </w:r>
      <w:r w:rsidR="0019356D" w:rsidRPr="000A5065">
        <w:rPr>
          <w:highlight w:val="yellow"/>
        </w:rPr>
        <w:t>(2)</w:t>
      </w:r>
      <w:r w:rsidR="0071180B" w:rsidRPr="00122E37">
        <w:t xml:space="preserve"> </w:t>
      </w:r>
      <w:r w:rsidRPr="00122E37">
        <w:t xml:space="preserve">of the Determination, </w:t>
      </w:r>
      <w:proofErr w:type="spellStart"/>
      <w:r w:rsidRPr="00122E37">
        <w:t>INOEF</w:t>
      </w:r>
      <w:r w:rsidR="00FF6394" w:rsidRPr="00122E37">
        <w:rPr>
          <w:vertAlign w:val="subscript"/>
        </w:rPr>
        <w:t>Post</w:t>
      </w:r>
      <w:proofErr w:type="spellEnd"/>
      <w:r w:rsidR="00FF6394" w:rsidRPr="00122E37">
        <w:rPr>
          <w:vertAlign w:val="subscript"/>
        </w:rPr>
        <w:t>, n</w:t>
      </w:r>
      <w:r w:rsidRPr="00564B75">
        <w:t xml:space="preserve">, the post-diversion integrated nitrous oxide emission factor for each </w:t>
      </w:r>
      <w:r w:rsidR="00DE5B11" w:rsidRPr="00564B75">
        <w:t xml:space="preserve">post-diversion </w:t>
      </w:r>
      <w:r w:rsidRPr="00564B75">
        <w:t>treatment method is</w:t>
      </w:r>
      <w:r w:rsidR="001B3D5B" w:rsidRPr="00564B75">
        <w:t xml:space="preserve"> 0.00791.</w:t>
      </w:r>
    </w:p>
    <w:p w14:paraId="400F7EA9" w14:textId="5CFB55F3" w:rsidR="005519A3" w:rsidRPr="00564B75" w:rsidRDefault="00E01687" w:rsidP="005519A3">
      <w:pPr>
        <w:pStyle w:val="h5Section"/>
        <w:rPr>
          <w:u w:val="single"/>
        </w:rPr>
      </w:pPr>
      <w:bookmarkStart w:id="143" w:name="_Toc17792717"/>
      <w:bookmarkStart w:id="144" w:name="_Toc82779145"/>
      <w:bookmarkStart w:id="145" w:name="_Toc82779453"/>
      <w:bookmarkStart w:id="146" w:name="_Toc86674791"/>
      <w:r w:rsidRPr="000A5065">
        <w:rPr>
          <w:highlight w:val="yellow"/>
          <w:u w:val="single"/>
        </w:rPr>
        <w:t>2</w:t>
      </w:r>
      <w:r w:rsidR="0042623F" w:rsidRPr="000A5065">
        <w:rPr>
          <w:highlight w:val="yellow"/>
          <w:u w:val="single"/>
        </w:rPr>
        <w:t>7</w:t>
      </w:r>
      <w:r w:rsidR="00C449A4" w:rsidRPr="00564B75">
        <w:rPr>
          <w:u w:val="single"/>
        </w:rPr>
        <w:tab/>
      </w:r>
      <w:r w:rsidR="005519A3" w:rsidRPr="00564B75">
        <w:rPr>
          <w:u w:val="single"/>
        </w:rPr>
        <w:t>Section 3</w:t>
      </w:r>
      <w:r w:rsidR="002E7677" w:rsidRPr="00564B75">
        <w:rPr>
          <w:u w:val="single"/>
        </w:rPr>
        <w:t>2</w:t>
      </w:r>
      <w:r w:rsidR="00607641" w:rsidRPr="00564B75">
        <w:rPr>
          <w:u w:val="single"/>
        </w:rPr>
        <w:t>—</w:t>
      </w:r>
      <w:r w:rsidR="00564B75" w:rsidRPr="000A5065">
        <w:rPr>
          <w:highlight w:val="yellow"/>
          <w:u w:val="single"/>
        </w:rPr>
        <w:t>A</w:t>
      </w:r>
      <w:r w:rsidR="005519A3" w:rsidRPr="000A5065">
        <w:rPr>
          <w:highlight w:val="yellow"/>
          <w:u w:val="single"/>
        </w:rPr>
        <w:t>mount</w:t>
      </w:r>
      <w:r w:rsidR="005519A3" w:rsidRPr="00564B75">
        <w:rPr>
          <w:u w:val="single"/>
        </w:rPr>
        <w:t xml:space="preserve"> of nitrogen in material type </w:t>
      </w:r>
      <w:r w:rsidR="005519A3" w:rsidRPr="00564B75">
        <w:rPr>
          <w:i/>
          <w:u w:val="single"/>
        </w:rPr>
        <w:t>w</w:t>
      </w:r>
      <w:r w:rsidR="004A08B7" w:rsidRPr="00564B75">
        <w:rPr>
          <w:i/>
          <w:u w:val="single"/>
        </w:rPr>
        <w:t xml:space="preserve">, </w:t>
      </w:r>
      <w:proofErr w:type="spellStart"/>
      <w:r w:rsidR="004A08B7" w:rsidRPr="00564B75">
        <w:rPr>
          <w:i/>
          <w:u w:val="single"/>
        </w:rPr>
        <w:t>N</w:t>
      </w:r>
      <w:r w:rsidR="004A08B7" w:rsidRPr="00564B75">
        <w:rPr>
          <w:rFonts w:eastAsia="Calibri"/>
          <w:i/>
          <w:u w:val="single"/>
          <w:vertAlign w:val="subscript"/>
        </w:rPr>
        <w:t>Div</w:t>
      </w:r>
      <w:proofErr w:type="spellEnd"/>
      <w:r w:rsidR="004A08B7" w:rsidRPr="00564B75">
        <w:rPr>
          <w:rFonts w:eastAsia="Calibri"/>
          <w:i/>
          <w:u w:val="single"/>
          <w:vertAlign w:val="subscript"/>
        </w:rPr>
        <w:t>, w, n</w:t>
      </w:r>
      <w:bookmarkEnd w:id="143"/>
      <w:bookmarkEnd w:id="144"/>
      <w:bookmarkEnd w:id="145"/>
      <w:bookmarkEnd w:id="146"/>
      <w:r w:rsidR="005519A3" w:rsidRPr="00564B75">
        <w:rPr>
          <w:u w:val="single"/>
        </w:rPr>
        <w:t xml:space="preserve"> </w:t>
      </w:r>
    </w:p>
    <w:p w14:paraId="400F7EAA" w14:textId="755DFFAA" w:rsidR="005519A3" w:rsidRPr="00564B75" w:rsidRDefault="005519A3" w:rsidP="005519A3">
      <w:pPr>
        <w:pStyle w:val="h6Subsec"/>
      </w:pPr>
      <w:r w:rsidRPr="00564B75">
        <w:t>Amount of material diverted in project</w:t>
      </w:r>
      <w:r w:rsidR="00D74B04" w:rsidRPr="00564B75">
        <w:t xml:space="preserve"> </w:t>
      </w:r>
      <w:r w:rsidR="00D74B04" w:rsidRPr="000A5065">
        <w:rPr>
          <w:highlight w:val="yellow"/>
        </w:rPr>
        <w:t>treatment</w:t>
      </w:r>
      <w:r w:rsidRPr="000A5065">
        <w:rPr>
          <w:highlight w:val="yellow"/>
        </w:rPr>
        <w:t xml:space="preserve"> </w:t>
      </w:r>
      <w:r w:rsidRPr="00564B75">
        <w:t>facility during the reporting period (</w:t>
      </w:r>
      <w:proofErr w:type="spellStart"/>
      <w:r w:rsidRPr="00564B75">
        <w:t>N</w:t>
      </w:r>
      <w:r w:rsidRPr="00564B75">
        <w:rPr>
          <w:vertAlign w:val="subscript"/>
        </w:rPr>
        <w:t>Div</w:t>
      </w:r>
      <w:proofErr w:type="spellEnd"/>
      <w:r w:rsidRPr="00564B75">
        <w:rPr>
          <w:vertAlign w:val="subscript"/>
        </w:rPr>
        <w:t>, w, n</w:t>
      </w:r>
      <w:r w:rsidRPr="00564B75">
        <w:t>)</w:t>
      </w:r>
    </w:p>
    <w:p w14:paraId="4D5CEF47" w14:textId="311D29FD" w:rsidR="00122E37" w:rsidRDefault="002441F9" w:rsidP="00122E37">
      <w:pPr>
        <w:pStyle w:val="tMain"/>
      </w:pPr>
      <w:r w:rsidRPr="00564B75">
        <w:tab/>
        <w:t>(1)</w:t>
      </w:r>
      <w:r w:rsidRPr="00564B75">
        <w:tab/>
      </w:r>
      <w:r w:rsidR="0019356D" w:rsidRPr="000A5065">
        <w:rPr>
          <w:highlight w:val="yellow"/>
        </w:rPr>
        <w:t>For subsection 32(2) of the Determination, the</w:t>
      </w:r>
      <w:r w:rsidR="005519A3" w:rsidRPr="00122E37">
        <w:t xml:space="preserve"> total amount of nitrogen in material of type </w:t>
      </w:r>
      <w:r w:rsidR="005519A3" w:rsidRPr="00564B75">
        <w:rPr>
          <w:i/>
        </w:rPr>
        <w:t>w</w:t>
      </w:r>
      <w:r w:rsidR="005519A3" w:rsidRPr="00564B75">
        <w:t xml:space="preserve"> that is diverted in the project</w:t>
      </w:r>
      <w:r w:rsidR="005519A3" w:rsidRPr="000A5065">
        <w:rPr>
          <w:highlight w:val="yellow"/>
        </w:rPr>
        <w:t xml:space="preserve"> </w:t>
      </w:r>
      <w:r w:rsidR="00D74B04" w:rsidRPr="000A5065">
        <w:rPr>
          <w:highlight w:val="yellow"/>
        </w:rPr>
        <w:t>treatment</w:t>
      </w:r>
      <w:r w:rsidR="00D74B04" w:rsidRPr="00564B75">
        <w:t xml:space="preserve"> </w:t>
      </w:r>
      <w:r w:rsidR="005519A3" w:rsidRPr="00564B75">
        <w:t xml:space="preserve">facility during the reporting period, </w:t>
      </w:r>
      <w:r w:rsidR="00B662AF" w:rsidRPr="00564B75">
        <w:rPr>
          <w:szCs w:val="22"/>
        </w:rPr>
        <w:t xml:space="preserve">and treated using treatment method </w:t>
      </w:r>
      <w:r w:rsidR="00B662AF" w:rsidRPr="00564B75">
        <w:rPr>
          <w:i/>
          <w:szCs w:val="22"/>
        </w:rPr>
        <w:t>n</w:t>
      </w:r>
      <w:r w:rsidR="00B662AF" w:rsidRPr="00564B75">
        <w:rPr>
          <w:szCs w:val="22"/>
        </w:rPr>
        <w:t>. It is measured in</w:t>
      </w:r>
      <w:r w:rsidR="005519A3" w:rsidRPr="00564B75">
        <w:t xml:space="preserve"> tonnes of nitrogen</w:t>
      </w:r>
      <w:r w:rsidR="00B662AF" w:rsidRPr="00564B75">
        <w:t>.</w:t>
      </w:r>
      <w:r w:rsidR="005519A3" w:rsidRPr="00564B75">
        <w:t xml:space="preserve"> </w:t>
      </w:r>
      <w:proofErr w:type="spellStart"/>
      <w:r w:rsidR="005519A3" w:rsidRPr="00564B75">
        <w:t>N</w:t>
      </w:r>
      <w:r w:rsidR="005519A3" w:rsidRPr="00564B75">
        <w:rPr>
          <w:b/>
          <w:i/>
          <w:vertAlign w:val="subscript"/>
        </w:rPr>
        <w:t>Div</w:t>
      </w:r>
      <w:proofErr w:type="spellEnd"/>
      <w:r w:rsidR="005519A3" w:rsidRPr="00564B75">
        <w:rPr>
          <w:b/>
          <w:i/>
          <w:vertAlign w:val="subscript"/>
        </w:rPr>
        <w:t>, </w:t>
      </w:r>
      <w:proofErr w:type="spellStart"/>
      <w:proofErr w:type="gramStart"/>
      <w:r w:rsidR="005519A3" w:rsidRPr="00564B75">
        <w:rPr>
          <w:b/>
          <w:i/>
          <w:vertAlign w:val="subscript"/>
        </w:rPr>
        <w:t>w,</w:t>
      </w:r>
      <w:r w:rsidR="00C01A76" w:rsidRPr="00564B75">
        <w:rPr>
          <w:b/>
          <w:i/>
          <w:vertAlign w:val="subscript"/>
        </w:rPr>
        <w:t>n</w:t>
      </w:r>
      <w:proofErr w:type="spellEnd"/>
      <w:proofErr w:type="gramEnd"/>
      <w:r w:rsidR="005519A3" w:rsidRPr="00564B75">
        <w:rPr>
          <w:b/>
          <w:i/>
          <w:vertAlign w:val="subscript"/>
        </w:rPr>
        <w:t> </w:t>
      </w:r>
      <w:r w:rsidR="005519A3" w:rsidRPr="00564B75">
        <w:t>is worked out using the formula:</w:t>
      </w:r>
    </w:p>
    <w:p w14:paraId="18BBA20B" w14:textId="77777777" w:rsidR="00DE1AE3" w:rsidRPr="000A5065" w:rsidRDefault="00DE1AE3" w:rsidP="000A5065">
      <w:pPr>
        <w:pStyle w:val="tMain"/>
        <w:rPr>
          <w:highlight w:val="yellow"/>
        </w:rPr>
      </w:pPr>
    </w:p>
    <w:tbl>
      <w:tblPr>
        <w:tblStyle w:val="TableGrid"/>
        <w:tblW w:w="0" w:type="auto"/>
        <w:tblInd w:w="1165" w:type="dxa"/>
        <w:tblLook w:val="04A0" w:firstRow="1" w:lastRow="0" w:firstColumn="1" w:lastColumn="0" w:noHBand="0" w:noVBand="1"/>
      </w:tblPr>
      <w:tblGrid>
        <w:gridCol w:w="5493"/>
        <w:gridCol w:w="1645"/>
      </w:tblGrid>
      <w:tr w:rsidR="00216966" w:rsidRPr="000A5065" w14:paraId="400F7EB2" w14:textId="77777777" w:rsidTr="000A5065">
        <w:tc>
          <w:tcPr>
            <w:tcW w:w="5493" w:type="dxa"/>
            <w:tcBorders>
              <w:top w:val="single" w:sz="4" w:space="0" w:color="auto"/>
              <w:left w:val="single" w:sz="4" w:space="0" w:color="auto"/>
              <w:bottom w:val="single" w:sz="4" w:space="0" w:color="auto"/>
              <w:right w:val="single" w:sz="4" w:space="0" w:color="auto"/>
            </w:tcBorders>
          </w:tcPr>
          <w:p w14:paraId="400F7EAD" w14:textId="77777777" w:rsidR="005519A3" w:rsidRPr="000A5065" w:rsidRDefault="005519A3" w:rsidP="005B7A0A">
            <w:pPr>
              <w:jc w:val="center"/>
              <w:rPr>
                <w:highlight w:val="yellow"/>
              </w:rPr>
            </w:pPr>
          </w:p>
          <w:p w14:paraId="400F7EAE" w14:textId="77777777" w:rsidR="005519A3" w:rsidRPr="000A5065" w:rsidRDefault="005519A3" w:rsidP="00D54904">
            <w:pPr>
              <w:jc w:val="center"/>
              <w:rPr>
                <w:highlight w:val="yellow"/>
              </w:rPr>
            </w:pPr>
            <w:proofErr w:type="spellStart"/>
            <w:r w:rsidRPr="000A5065">
              <w:rPr>
                <w:highlight w:val="yellow"/>
              </w:rPr>
              <w:t>N</w:t>
            </w:r>
            <w:r w:rsidRPr="000A5065">
              <w:rPr>
                <w:highlight w:val="yellow"/>
                <w:vertAlign w:val="subscript"/>
              </w:rPr>
              <w:t>Div</w:t>
            </w:r>
            <w:proofErr w:type="spellEnd"/>
            <w:r w:rsidRPr="000A5065">
              <w:rPr>
                <w:highlight w:val="yellow"/>
                <w:vertAlign w:val="subscript"/>
              </w:rPr>
              <w:t>, w, n</w:t>
            </w:r>
            <w:r w:rsidRPr="000A5065">
              <w:rPr>
                <w:highlight w:val="yellow"/>
              </w:rPr>
              <w:t xml:space="preserve"> = </w:t>
            </w:r>
            <w:proofErr w:type="spellStart"/>
            <w:proofErr w:type="gramStart"/>
            <w:r w:rsidRPr="000A5065">
              <w:rPr>
                <w:highlight w:val="yellow"/>
              </w:rPr>
              <w:t>C</w:t>
            </w:r>
            <w:r w:rsidRPr="000A5065">
              <w:rPr>
                <w:highlight w:val="yellow"/>
                <w:vertAlign w:val="subscript"/>
              </w:rPr>
              <w:t>N,Div</w:t>
            </w:r>
            <w:proofErr w:type="spellEnd"/>
            <w:proofErr w:type="gramEnd"/>
            <w:r w:rsidRPr="000A5065">
              <w:rPr>
                <w:highlight w:val="yellow"/>
                <w:vertAlign w:val="subscript"/>
              </w:rPr>
              <w:t>, w, n </w:t>
            </w:r>
            <w:r w:rsidRPr="000A5065">
              <w:rPr>
                <w:highlight w:val="yellow"/>
              </w:rPr>
              <w:t xml:space="preserve"> </w:t>
            </w:r>
            <w:r w:rsidR="00D54904" w:rsidRPr="000A5065">
              <w:rPr>
                <w:highlight w:val="yellow"/>
              </w:rPr>
              <w:t>×</w:t>
            </w:r>
            <w:r w:rsidRPr="000A5065">
              <w:rPr>
                <w:highlight w:val="yellow"/>
              </w:rPr>
              <w:t xml:space="preserve"> </w:t>
            </w:r>
            <w:proofErr w:type="spellStart"/>
            <w:r w:rsidRPr="000A5065">
              <w:rPr>
                <w:highlight w:val="yellow"/>
              </w:rPr>
              <w:t>Q</w:t>
            </w:r>
            <w:r w:rsidRPr="000A5065">
              <w:rPr>
                <w:highlight w:val="yellow"/>
                <w:vertAlign w:val="subscript"/>
              </w:rPr>
              <w:t>Div</w:t>
            </w:r>
            <w:proofErr w:type="spellEnd"/>
            <w:r w:rsidRPr="000A5065">
              <w:rPr>
                <w:highlight w:val="yellow"/>
                <w:vertAlign w:val="subscript"/>
              </w:rPr>
              <w:t>, w, n</w:t>
            </w:r>
          </w:p>
        </w:tc>
        <w:tc>
          <w:tcPr>
            <w:tcW w:w="1645" w:type="dxa"/>
            <w:tcBorders>
              <w:top w:val="single" w:sz="4" w:space="0" w:color="auto"/>
              <w:left w:val="single" w:sz="4" w:space="0" w:color="auto"/>
              <w:bottom w:val="single" w:sz="4" w:space="0" w:color="auto"/>
              <w:right w:val="single" w:sz="4" w:space="0" w:color="auto"/>
            </w:tcBorders>
            <w:vAlign w:val="center"/>
          </w:tcPr>
          <w:p w14:paraId="400F7EAF" w14:textId="77777777" w:rsidR="005519A3" w:rsidRPr="000A5065" w:rsidRDefault="005519A3" w:rsidP="005B7A0A">
            <w:pPr>
              <w:rPr>
                <w:highlight w:val="yellow"/>
              </w:rPr>
            </w:pPr>
          </w:p>
          <w:p w14:paraId="400F7EB0" w14:textId="77777777" w:rsidR="005519A3" w:rsidRPr="000A5065" w:rsidRDefault="002D2D18" w:rsidP="005B7A0A">
            <w:pPr>
              <w:jc w:val="center"/>
              <w:rPr>
                <w:highlight w:val="yellow"/>
              </w:rPr>
            </w:pPr>
            <w:r w:rsidRPr="000A5065">
              <w:rPr>
                <w:highlight w:val="yellow"/>
              </w:rPr>
              <w:t>Equation S3</w:t>
            </w:r>
          </w:p>
          <w:p w14:paraId="400F7EB1" w14:textId="77777777" w:rsidR="005519A3" w:rsidRPr="000A5065" w:rsidRDefault="005519A3" w:rsidP="005B7A0A">
            <w:pPr>
              <w:rPr>
                <w:highlight w:val="yellow"/>
              </w:rPr>
            </w:pPr>
          </w:p>
        </w:tc>
      </w:tr>
    </w:tbl>
    <w:p w14:paraId="400F7EB4" w14:textId="77777777" w:rsidR="005519A3" w:rsidRPr="00564B75" w:rsidRDefault="005519A3" w:rsidP="005519A3">
      <w:pPr>
        <w:pStyle w:val="tMain"/>
      </w:pPr>
      <w:r w:rsidRPr="00564B75">
        <w:tab/>
      </w:r>
      <w:r w:rsidRPr="00564B75">
        <w:tab/>
        <w:t xml:space="preserve">where: </w:t>
      </w:r>
    </w:p>
    <w:p w14:paraId="400F7EB5" w14:textId="1528F971" w:rsidR="005519A3" w:rsidRPr="00564B75" w:rsidRDefault="005519A3" w:rsidP="005519A3">
      <w:pPr>
        <w:pStyle w:val="tDefn"/>
        <w:spacing w:line="276" w:lineRule="auto"/>
      </w:pPr>
      <w:proofErr w:type="spellStart"/>
      <w:proofErr w:type="gramStart"/>
      <w:r w:rsidRPr="00564B75">
        <w:rPr>
          <w:b/>
          <w:i/>
          <w:szCs w:val="22"/>
        </w:rPr>
        <w:t>C</w:t>
      </w:r>
      <w:r w:rsidRPr="00564B75">
        <w:rPr>
          <w:b/>
          <w:i/>
          <w:szCs w:val="22"/>
          <w:vertAlign w:val="subscript"/>
        </w:rPr>
        <w:t>N,Div</w:t>
      </w:r>
      <w:proofErr w:type="spellEnd"/>
      <w:proofErr w:type="gramEnd"/>
      <w:r w:rsidRPr="00564B75">
        <w:rPr>
          <w:b/>
          <w:i/>
          <w:szCs w:val="22"/>
          <w:vertAlign w:val="subscript"/>
        </w:rPr>
        <w:t>, w, n </w:t>
      </w:r>
      <w:r w:rsidRPr="00564B75">
        <w:rPr>
          <w:szCs w:val="22"/>
        </w:rPr>
        <w:t xml:space="preserve">is the nitrogen concentration of material of </w:t>
      </w:r>
      <w:r w:rsidRPr="00564B75">
        <w:t>type</w:t>
      </w:r>
      <w:r w:rsidRPr="00564B75">
        <w:rPr>
          <w:szCs w:val="22"/>
        </w:rPr>
        <w:t xml:space="preserve"> </w:t>
      </w:r>
      <w:r w:rsidRPr="00564B75">
        <w:rPr>
          <w:i/>
          <w:szCs w:val="22"/>
        </w:rPr>
        <w:t>w</w:t>
      </w:r>
      <w:r w:rsidRPr="00564B75">
        <w:rPr>
          <w:szCs w:val="22"/>
        </w:rPr>
        <w:t xml:space="preserve"> that is diverted in the project </w:t>
      </w:r>
      <w:r w:rsidR="00D74B04" w:rsidRPr="000A5065">
        <w:rPr>
          <w:szCs w:val="22"/>
          <w:highlight w:val="yellow"/>
        </w:rPr>
        <w:t xml:space="preserve">treatment </w:t>
      </w:r>
      <w:r w:rsidRPr="00564B75">
        <w:rPr>
          <w:szCs w:val="22"/>
        </w:rPr>
        <w:t xml:space="preserve">facility during the reporting period under treatment method </w:t>
      </w:r>
      <w:r w:rsidRPr="00564B75">
        <w:rPr>
          <w:i/>
          <w:szCs w:val="22"/>
        </w:rPr>
        <w:t>n</w:t>
      </w:r>
      <w:r w:rsidRPr="00564B75">
        <w:rPr>
          <w:szCs w:val="22"/>
        </w:rPr>
        <w:t>,</w:t>
      </w:r>
      <w:r w:rsidR="00DE576D" w:rsidRPr="00564B75">
        <w:rPr>
          <w:szCs w:val="22"/>
        </w:rPr>
        <w:t xml:space="preserve"> as a </w:t>
      </w:r>
      <w:r w:rsidR="009627EA" w:rsidRPr="00564B75">
        <w:rPr>
          <w:szCs w:val="22"/>
        </w:rPr>
        <w:t>proportion</w:t>
      </w:r>
      <w:r w:rsidR="00DE576D" w:rsidRPr="00564B75">
        <w:rPr>
          <w:szCs w:val="22"/>
        </w:rPr>
        <w:t>. This is based on the concentration of nitrogen in the whole sample analysed by the laboratory, including the moisture contained in the material. This value is measured at a frequency and timing that gives representative monthly measurements</w:t>
      </w:r>
      <w:r w:rsidR="006F7977" w:rsidRPr="00564B75">
        <w:rPr>
          <w:szCs w:val="22"/>
        </w:rPr>
        <w:t>.</w:t>
      </w:r>
    </w:p>
    <w:p w14:paraId="400F7EB6" w14:textId="76F456B2" w:rsidR="005519A3" w:rsidRPr="00564B75" w:rsidRDefault="005519A3" w:rsidP="00CE0ACE">
      <w:pPr>
        <w:pStyle w:val="tDefn"/>
        <w:spacing w:line="276" w:lineRule="auto"/>
      </w:pPr>
      <w:proofErr w:type="spellStart"/>
      <w:r w:rsidRPr="00564B75">
        <w:rPr>
          <w:b/>
          <w:i/>
        </w:rPr>
        <w:t>Q</w:t>
      </w:r>
      <w:r w:rsidRPr="00564B75">
        <w:rPr>
          <w:b/>
          <w:i/>
          <w:vertAlign w:val="subscript"/>
        </w:rPr>
        <w:t>Div</w:t>
      </w:r>
      <w:proofErr w:type="spellEnd"/>
      <w:r w:rsidRPr="00564B75">
        <w:rPr>
          <w:b/>
          <w:i/>
          <w:vertAlign w:val="subscript"/>
        </w:rPr>
        <w:t>, w, n</w:t>
      </w:r>
      <w:r w:rsidRPr="00564B75">
        <w:rPr>
          <w:szCs w:val="22"/>
        </w:rPr>
        <w:t xml:space="preserve"> is the total amount of material of type </w:t>
      </w:r>
      <w:r w:rsidRPr="00564B75">
        <w:rPr>
          <w:i/>
          <w:szCs w:val="22"/>
        </w:rPr>
        <w:t>w</w:t>
      </w:r>
      <w:r w:rsidRPr="00564B75">
        <w:rPr>
          <w:szCs w:val="22"/>
        </w:rPr>
        <w:t xml:space="preserve"> that is diverted in the project</w:t>
      </w:r>
      <w:r w:rsidR="00D74B04" w:rsidRPr="00564B75">
        <w:rPr>
          <w:szCs w:val="22"/>
        </w:rPr>
        <w:t xml:space="preserve"> </w:t>
      </w:r>
      <w:r w:rsidR="00D74B04" w:rsidRPr="000A5065">
        <w:rPr>
          <w:szCs w:val="22"/>
          <w:highlight w:val="yellow"/>
        </w:rPr>
        <w:t>treatment</w:t>
      </w:r>
      <w:r w:rsidRPr="000A5065">
        <w:rPr>
          <w:szCs w:val="22"/>
          <w:highlight w:val="yellow"/>
        </w:rPr>
        <w:t xml:space="preserve"> </w:t>
      </w:r>
      <w:r w:rsidRPr="00564B75">
        <w:rPr>
          <w:szCs w:val="22"/>
        </w:rPr>
        <w:t xml:space="preserve">facility under treatment method </w:t>
      </w:r>
      <w:r w:rsidRPr="00564B75">
        <w:rPr>
          <w:i/>
          <w:szCs w:val="22"/>
        </w:rPr>
        <w:t>n</w:t>
      </w:r>
      <w:r w:rsidRPr="00564B75">
        <w:rPr>
          <w:szCs w:val="22"/>
        </w:rPr>
        <w:t xml:space="preserve"> during the reporting period, in tonnes</w:t>
      </w:r>
      <w:r w:rsidRPr="00564B75">
        <w:t>, determined i</w:t>
      </w:r>
      <w:r w:rsidR="002E349C" w:rsidRPr="00564B75">
        <w:t>n accordance with</w:t>
      </w:r>
      <w:r w:rsidRPr="00564B75">
        <w:t xml:space="preserve"> </w:t>
      </w:r>
      <w:r w:rsidR="007068D8" w:rsidRPr="000A5065">
        <w:rPr>
          <w:highlight w:val="yellow"/>
        </w:rPr>
        <w:t>sub</w:t>
      </w:r>
      <w:r w:rsidR="00352879" w:rsidRPr="000A5065">
        <w:rPr>
          <w:highlight w:val="yellow"/>
        </w:rPr>
        <w:t>clause</w:t>
      </w:r>
      <w:r w:rsidR="002E349C" w:rsidRPr="000A5065">
        <w:rPr>
          <w:highlight w:val="yellow"/>
        </w:rPr>
        <w:t xml:space="preserve"> </w:t>
      </w:r>
      <w:r w:rsidR="00DB5CFE" w:rsidRPr="000A5065">
        <w:rPr>
          <w:highlight w:val="yellow"/>
        </w:rPr>
        <w:t>2</w:t>
      </w:r>
      <w:r w:rsidR="0042623F" w:rsidRPr="000A5065">
        <w:rPr>
          <w:highlight w:val="yellow"/>
        </w:rPr>
        <w:t>0</w:t>
      </w:r>
      <w:r w:rsidR="007068D8" w:rsidRPr="00564B75">
        <w:t>(3)</w:t>
      </w:r>
      <w:r w:rsidRPr="00564B75">
        <w:t>.</w:t>
      </w:r>
    </w:p>
    <w:p w14:paraId="400F7EB7" w14:textId="77777777" w:rsidR="005519A3" w:rsidRPr="00564B75" w:rsidRDefault="005519A3" w:rsidP="005519A3">
      <w:pPr>
        <w:pStyle w:val="h6Subsec"/>
      </w:pPr>
      <w:r w:rsidRPr="00564B75">
        <w:t>Determining nitrogen concentration</w:t>
      </w:r>
    </w:p>
    <w:p w14:paraId="400F7EB8" w14:textId="77777777" w:rsidR="005519A3" w:rsidRPr="00564B75" w:rsidRDefault="002E349C" w:rsidP="005519A3">
      <w:pPr>
        <w:pStyle w:val="tMain"/>
      </w:pPr>
      <w:r w:rsidRPr="00564B75">
        <w:tab/>
        <w:t>(2</w:t>
      </w:r>
      <w:r w:rsidR="005519A3" w:rsidRPr="00564B75">
        <w:t>)</w:t>
      </w:r>
      <w:r w:rsidR="005519A3" w:rsidRPr="00564B75">
        <w:tab/>
        <w:t xml:space="preserve">The parameter </w:t>
      </w:r>
      <w:proofErr w:type="spellStart"/>
      <w:proofErr w:type="gramStart"/>
      <w:r w:rsidR="005519A3" w:rsidRPr="00564B75">
        <w:rPr>
          <w:szCs w:val="22"/>
        </w:rPr>
        <w:t>C</w:t>
      </w:r>
      <w:r w:rsidR="005519A3" w:rsidRPr="00564B75">
        <w:rPr>
          <w:szCs w:val="22"/>
          <w:vertAlign w:val="subscript"/>
        </w:rPr>
        <w:t>N,Div</w:t>
      </w:r>
      <w:proofErr w:type="spellEnd"/>
      <w:proofErr w:type="gramEnd"/>
      <w:r w:rsidR="005519A3" w:rsidRPr="00564B75">
        <w:rPr>
          <w:szCs w:val="22"/>
          <w:vertAlign w:val="subscript"/>
        </w:rPr>
        <w:t>, w, n</w:t>
      </w:r>
      <w:r w:rsidR="005519A3" w:rsidRPr="00564B75">
        <w:t xml:space="preserve"> must be determined by:</w:t>
      </w:r>
    </w:p>
    <w:p w14:paraId="400F7EB9" w14:textId="77777777" w:rsidR="00623355" w:rsidRPr="00564B75" w:rsidRDefault="005519A3" w:rsidP="00623355">
      <w:pPr>
        <w:pStyle w:val="tPara"/>
      </w:pPr>
      <w:r w:rsidRPr="00564B75">
        <w:tab/>
        <w:t>(a)</w:t>
      </w:r>
      <w:r w:rsidRPr="00564B75">
        <w:tab/>
        <w:t xml:space="preserve">collecting </w:t>
      </w:r>
      <w:r w:rsidR="004F1D57" w:rsidRPr="00564B75">
        <w:t xml:space="preserve">representative </w:t>
      </w:r>
      <w:r w:rsidRPr="00564B75">
        <w:t xml:space="preserve">composite samples of the relevant material, </w:t>
      </w:r>
      <w:r w:rsidR="00623355" w:rsidRPr="00564B75">
        <w:t xml:space="preserve">including: </w:t>
      </w:r>
    </w:p>
    <w:p w14:paraId="400F7EBA" w14:textId="77777777" w:rsidR="00623355" w:rsidRPr="00564B75" w:rsidRDefault="00623355" w:rsidP="00623355">
      <w:pPr>
        <w:pStyle w:val="tSubpara"/>
      </w:pPr>
      <w:r w:rsidRPr="00564B75">
        <w:lastRenderedPageBreak/>
        <w:tab/>
        <w:t>(</w:t>
      </w:r>
      <w:proofErr w:type="spellStart"/>
      <w:r w:rsidRPr="00564B75">
        <w:t>i</w:t>
      </w:r>
      <w:proofErr w:type="spellEnd"/>
      <w:r w:rsidRPr="00564B75">
        <w:t>)</w:t>
      </w:r>
      <w:r w:rsidRPr="00564B75">
        <w:tab/>
        <w:t>at least once each month for the first 6 months; and</w:t>
      </w:r>
    </w:p>
    <w:p w14:paraId="400F7EBB" w14:textId="4BC36305" w:rsidR="00623355" w:rsidRPr="00564B75" w:rsidRDefault="00623355" w:rsidP="00623355">
      <w:pPr>
        <w:pStyle w:val="tSubpara"/>
      </w:pPr>
      <w:r w:rsidRPr="00564B75">
        <w:tab/>
        <w:t>(ii)</w:t>
      </w:r>
      <w:r w:rsidRPr="00564B75">
        <w:tab/>
        <w:t xml:space="preserve">if all measurements over the most </w:t>
      </w:r>
      <w:r w:rsidRPr="00606385">
        <w:t xml:space="preserve">recent </w:t>
      </w:r>
      <w:r w:rsidR="00CB3173" w:rsidRPr="00606385">
        <w:t>6-m</w:t>
      </w:r>
      <w:r w:rsidR="00CB3173" w:rsidRPr="00564B75">
        <w:t>onth</w:t>
      </w:r>
      <w:r w:rsidRPr="00564B75">
        <w:t xml:space="preserve"> period do not deviate by more than 10%—at least once every 3 months; and</w:t>
      </w:r>
    </w:p>
    <w:p w14:paraId="400F7EBC" w14:textId="77777777" w:rsidR="005519A3" w:rsidRPr="00564B75" w:rsidRDefault="00623355" w:rsidP="00623355">
      <w:pPr>
        <w:pStyle w:val="tSubpara"/>
      </w:pPr>
      <w:r w:rsidRPr="00564B75">
        <w:tab/>
        <w:t>(iii)</w:t>
      </w:r>
      <w:r w:rsidRPr="00564B75">
        <w:tab/>
        <w:t>if subparagraph (ii) does not apply—at least once each month; and</w:t>
      </w:r>
    </w:p>
    <w:p w14:paraId="400F7EBD" w14:textId="77777777" w:rsidR="005519A3" w:rsidRPr="00564B75" w:rsidRDefault="005519A3" w:rsidP="005519A3">
      <w:pPr>
        <w:pStyle w:val="tPara"/>
      </w:pPr>
      <w:r w:rsidRPr="00564B75">
        <w:tab/>
        <w:t>(b)</w:t>
      </w:r>
      <w:r w:rsidRPr="00564B75">
        <w:tab/>
        <w:t xml:space="preserve">causing any samples to be analysed for Total Nitrogen or Total </w:t>
      </w:r>
      <w:proofErr w:type="spellStart"/>
      <w:r w:rsidRPr="00564B75">
        <w:t>Kjeldahl</w:t>
      </w:r>
      <w:proofErr w:type="spellEnd"/>
      <w:r w:rsidRPr="00564B75">
        <w:t xml:space="preserve"> Nitrogen solids to be:</w:t>
      </w:r>
    </w:p>
    <w:p w14:paraId="400F7EBE" w14:textId="77777777" w:rsidR="005519A3" w:rsidRPr="00564B75" w:rsidRDefault="005519A3" w:rsidP="005519A3">
      <w:pPr>
        <w:pStyle w:val="tSubpara"/>
      </w:pPr>
      <w:r w:rsidRPr="00564B75">
        <w:tab/>
        <w:t>(</w:t>
      </w:r>
      <w:proofErr w:type="spellStart"/>
      <w:r w:rsidRPr="00564B75">
        <w:t>i</w:t>
      </w:r>
      <w:proofErr w:type="spellEnd"/>
      <w:r w:rsidRPr="00564B75">
        <w:t>)</w:t>
      </w:r>
      <w:r w:rsidRPr="00564B75">
        <w:tab/>
        <w:t>immediately stored in a sealed container and transported on ice (but not frozen) or a refrigerator until analysed; and</w:t>
      </w:r>
    </w:p>
    <w:p w14:paraId="400F7EC0" w14:textId="5562FDA1" w:rsidR="005519A3" w:rsidRPr="00564B75" w:rsidRDefault="005519A3" w:rsidP="005519A3">
      <w:pPr>
        <w:pStyle w:val="tSubpara"/>
      </w:pPr>
      <w:r w:rsidRPr="00564B75">
        <w:tab/>
        <w:t>(ii)</w:t>
      </w:r>
      <w:r w:rsidRPr="00564B75">
        <w:tab/>
        <w:t>analysed in a laboratory in triplicate; and</w:t>
      </w:r>
    </w:p>
    <w:p w14:paraId="7939D8D2" w14:textId="21BA84E5" w:rsidR="00BD2453" w:rsidRPr="00564B75" w:rsidRDefault="00BD2453" w:rsidP="000A5065">
      <w:pPr>
        <w:pStyle w:val="tPara"/>
      </w:pPr>
      <w:r w:rsidRPr="00606385">
        <w:tab/>
      </w:r>
      <w:r w:rsidRPr="000A5065">
        <w:rPr>
          <w:highlight w:val="yellow"/>
        </w:rPr>
        <w:t>(</w:t>
      </w:r>
      <w:r w:rsidR="008F1C54" w:rsidRPr="000A5065">
        <w:rPr>
          <w:highlight w:val="yellow"/>
        </w:rPr>
        <w:t>c</w:t>
      </w:r>
      <w:r w:rsidRPr="000A5065">
        <w:rPr>
          <w:highlight w:val="yellow"/>
        </w:rPr>
        <w:t>)</w:t>
      </w:r>
      <w:r w:rsidRPr="000A5065">
        <w:rPr>
          <w:highlight w:val="yellow"/>
        </w:rPr>
        <w:tab/>
        <w:t xml:space="preserve">when testing for Total Nitrogen or Total </w:t>
      </w:r>
      <w:proofErr w:type="spellStart"/>
      <w:r w:rsidRPr="000A5065">
        <w:rPr>
          <w:highlight w:val="yellow"/>
        </w:rPr>
        <w:t>Kjeldahl</w:t>
      </w:r>
      <w:proofErr w:type="spellEnd"/>
      <w:r w:rsidRPr="000A5065">
        <w:rPr>
          <w:highlight w:val="yellow"/>
        </w:rPr>
        <w:t xml:space="preserve"> Nitrogen solids, by </w:t>
      </w:r>
      <w:r w:rsidRPr="00122E37">
        <w:t xml:space="preserve">subtracting the background </w:t>
      </w:r>
      <w:r w:rsidRPr="00564B75">
        <w:t>nitrogen used in the test</w:t>
      </w:r>
      <w:r w:rsidR="00E35061">
        <w:t>; and</w:t>
      </w:r>
    </w:p>
    <w:p w14:paraId="400F7EC1" w14:textId="0B890303" w:rsidR="005519A3" w:rsidRPr="00564B75" w:rsidRDefault="005519A3" w:rsidP="005519A3">
      <w:pPr>
        <w:pStyle w:val="tPara"/>
      </w:pPr>
      <w:r w:rsidRPr="00564B75">
        <w:tab/>
        <w:t>(</w:t>
      </w:r>
      <w:r w:rsidR="008F1C54" w:rsidRPr="000A5065">
        <w:rPr>
          <w:highlight w:val="yellow"/>
        </w:rPr>
        <w:t>d</w:t>
      </w:r>
      <w:r w:rsidRPr="00564B75">
        <w:t>)</w:t>
      </w:r>
      <w:r w:rsidRPr="00564B75">
        <w:tab/>
        <w:t>collecting sufficient sub-samples of the material to get a representative analysis of the diverted material in accordance with:</w:t>
      </w:r>
    </w:p>
    <w:p w14:paraId="400F7EC2" w14:textId="224537F3" w:rsidR="005519A3" w:rsidRPr="00564B75" w:rsidRDefault="005519A3" w:rsidP="005519A3">
      <w:pPr>
        <w:pStyle w:val="tSubpara"/>
      </w:pPr>
      <w:r w:rsidRPr="00564B75">
        <w:tab/>
      </w:r>
      <w:r w:rsidR="007B6A51" w:rsidRPr="00AF2C5A">
        <w:fldChar w:fldCharType="begin"/>
      </w:r>
      <w:r w:rsidR="007B6A51" w:rsidRPr="00564B75">
        <w:instrText xml:space="preserve"> LISTNUM  "main numbering" \l 8 \s 1 </w:instrText>
      </w:r>
      <w:r w:rsidR="007B6A51" w:rsidRPr="00AF2C5A">
        <w:fldChar w:fldCharType="end"/>
      </w:r>
      <w:r w:rsidRPr="00122E37">
        <w:tab/>
      </w:r>
      <w:r w:rsidR="003933A5" w:rsidRPr="000A5065">
        <w:rPr>
          <w:highlight w:val="yellow"/>
        </w:rPr>
        <w:t>in the case of an indoor piggery—</w:t>
      </w:r>
      <w:r w:rsidRPr="00122E37">
        <w:t xml:space="preserve">the </w:t>
      </w:r>
      <w:r w:rsidRPr="00564B75">
        <w:rPr>
          <w:i/>
        </w:rPr>
        <w:t>National Environmental Guidelines</w:t>
      </w:r>
      <w:r w:rsidR="00BA57A8" w:rsidRPr="000A5065">
        <w:rPr>
          <w:i/>
          <w:highlight w:val="yellow"/>
        </w:rPr>
        <w:t xml:space="preserve"> for </w:t>
      </w:r>
      <w:r w:rsidR="003933A5" w:rsidRPr="000A5065">
        <w:rPr>
          <w:i/>
          <w:highlight w:val="yellow"/>
        </w:rPr>
        <w:t xml:space="preserve">Indoor </w:t>
      </w:r>
      <w:r w:rsidR="00BA57A8" w:rsidRPr="000A5065">
        <w:rPr>
          <w:i/>
          <w:highlight w:val="yellow"/>
        </w:rPr>
        <w:t>Piggeries</w:t>
      </w:r>
      <w:r w:rsidRPr="000A5065">
        <w:rPr>
          <w:highlight w:val="yellow"/>
        </w:rPr>
        <w:t xml:space="preserve"> </w:t>
      </w:r>
      <w:r w:rsidRPr="00122E37">
        <w:t>published by Australian Pork Limited</w:t>
      </w:r>
      <w:r w:rsidR="003933A5" w:rsidRPr="000A5065">
        <w:rPr>
          <w:highlight w:val="yellow"/>
        </w:rPr>
        <w:t xml:space="preserve"> i</w:t>
      </w:r>
      <w:r w:rsidR="006017D4" w:rsidRPr="000A5065">
        <w:rPr>
          <w:highlight w:val="yellow"/>
        </w:rPr>
        <w:t>n 2018</w:t>
      </w:r>
      <w:r w:rsidRPr="00564B75">
        <w:t>; or</w:t>
      </w:r>
    </w:p>
    <w:p w14:paraId="0557B46B" w14:textId="2CC8383A" w:rsidR="000F33DB" w:rsidRPr="000A5065" w:rsidRDefault="003933A5" w:rsidP="005519A3">
      <w:pPr>
        <w:pStyle w:val="tSubpara"/>
        <w:rPr>
          <w:highlight w:val="yellow"/>
        </w:rPr>
      </w:pPr>
      <w:r w:rsidRPr="00606385">
        <w:tab/>
      </w:r>
      <w:r w:rsidRPr="000A5065">
        <w:rPr>
          <w:highlight w:val="yellow"/>
        </w:rPr>
        <w:t>(ii)</w:t>
      </w:r>
      <w:r w:rsidRPr="000A5065">
        <w:rPr>
          <w:highlight w:val="yellow"/>
        </w:rPr>
        <w:tab/>
        <w:t xml:space="preserve">in the case of an outdoor piggery—the </w:t>
      </w:r>
      <w:r w:rsidRPr="000A5065">
        <w:rPr>
          <w:i/>
          <w:highlight w:val="yellow"/>
        </w:rPr>
        <w:t>National Environmental Guidelines for Rotational Ou</w:t>
      </w:r>
      <w:r w:rsidR="004A3B22" w:rsidRPr="000A5065">
        <w:rPr>
          <w:i/>
          <w:highlight w:val="yellow"/>
        </w:rPr>
        <w:t>t</w:t>
      </w:r>
      <w:r w:rsidRPr="000A5065">
        <w:rPr>
          <w:i/>
          <w:highlight w:val="yellow"/>
        </w:rPr>
        <w:t>door Piggeries</w:t>
      </w:r>
      <w:r w:rsidRPr="000A5065">
        <w:rPr>
          <w:highlight w:val="yellow"/>
        </w:rPr>
        <w:t xml:space="preserve"> published by Australian Pork Limited in 2013; or</w:t>
      </w:r>
    </w:p>
    <w:p w14:paraId="400F7EC3" w14:textId="6444D642" w:rsidR="005519A3" w:rsidRPr="00564B75" w:rsidRDefault="005519A3" w:rsidP="005519A3">
      <w:pPr>
        <w:pStyle w:val="tSubpara"/>
      </w:pPr>
      <w:r w:rsidRPr="00606385">
        <w:tab/>
      </w:r>
      <w:r w:rsidR="003933A5" w:rsidRPr="000A5065">
        <w:rPr>
          <w:highlight w:val="yellow"/>
        </w:rPr>
        <w:t>(iii)</w:t>
      </w:r>
      <w:r w:rsidRPr="000A5065">
        <w:rPr>
          <w:highlight w:val="yellow"/>
        </w:rPr>
        <w:tab/>
      </w:r>
      <w:r w:rsidR="003933A5" w:rsidRPr="000A5065">
        <w:rPr>
          <w:highlight w:val="yellow"/>
        </w:rPr>
        <w:t>in any other case—</w:t>
      </w:r>
      <w:r w:rsidR="007B6A51" w:rsidRPr="00564B75">
        <w:t xml:space="preserve">the </w:t>
      </w:r>
      <w:r w:rsidR="007B6A51" w:rsidRPr="00564B75">
        <w:rPr>
          <w:i/>
        </w:rPr>
        <w:t>Sampling manual for environmental monitoring by intensive livestock industries</w:t>
      </w:r>
      <w:r w:rsidR="007B6A51" w:rsidRPr="00564B75">
        <w:t xml:space="preserve"> written by Mathew Redding in 2003 and published by the Queensland Government</w:t>
      </w:r>
      <w:r w:rsidR="00246AE5" w:rsidRPr="000A5065">
        <w:rPr>
          <w:highlight w:val="yellow"/>
        </w:rPr>
        <w:t>; and</w:t>
      </w:r>
    </w:p>
    <w:p w14:paraId="400F7EC4" w14:textId="3FDC8FD2" w:rsidR="00740804" w:rsidRPr="00564B75" w:rsidRDefault="00740804" w:rsidP="00740804">
      <w:pPr>
        <w:pStyle w:val="tPara"/>
      </w:pPr>
      <w:r w:rsidRPr="00564B75">
        <w:tab/>
        <w:t>(</w:t>
      </w:r>
      <w:r w:rsidR="008F1C54" w:rsidRPr="000A5065">
        <w:rPr>
          <w:highlight w:val="yellow"/>
        </w:rPr>
        <w:t>e</w:t>
      </w:r>
      <w:r w:rsidRPr="00564B75">
        <w:t>)</w:t>
      </w:r>
      <w:r w:rsidRPr="00564B75">
        <w:tab/>
        <w:t>analysing those samples in accordance</w:t>
      </w:r>
      <w:r w:rsidR="001D7920" w:rsidRPr="000A5065">
        <w:rPr>
          <w:highlight w:val="yellow"/>
        </w:rPr>
        <w:t xml:space="preserve"> with</w:t>
      </w:r>
      <w:r w:rsidRPr="00564B75">
        <w:t>:</w:t>
      </w:r>
    </w:p>
    <w:p w14:paraId="400F7EC5" w14:textId="5E703B17" w:rsidR="00740804" w:rsidRPr="00564B75" w:rsidRDefault="00740804" w:rsidP="00740804">
      <w:pPr>
        <w:pStyle w:val="tSubpara"/>
      </w:pPr>
      <w:r w:rsidRPr="00564B75">
        <w:tab/>
        <w:t>(</w:t>
      </w:r>
      <w:proofErr w:type="spellStart"/>
      <w:r w:rsidRPr="00564B75">
        <w:t>i</w:t>
      </w:r>
      <w:proofErr w:type="spellEnd"/>
      <w:r w:rsidRPr="00564B75">
        <w:t>)</w:t>
      </w:r>
      <w:r w:rsidRPr="00564B75">
        <w:tab/>
        <w:t xml:space="preserve">the relevant method in the most recent </w:t>
      </w:r>
      <w:r w:rsidRPr="00564B75">
        <w:rPr>
          <w:i/>
        </w:rPr>
        <w:t xml:space="preserve">Standard Methods for the Examination of Water and Wastewater </w:t>
      </w:r>
      <w:r w:rsidRPr="00564B75">
        <w:t>published by the America</w:t>
      </w:r>
      <w:r w:rsidR="00C15E72" w:rsidRPr="00564B75">
        <w:t>n Public Health Association</w:t>
      </w:r>
      <w:r w:rsidR="00122E37" w:rsidRPr="000A5065">
        <w:rPr>
          <w:highlight w:val="yellow"/>
        </w:rPr>
        <w:t xml:space="preserve"> in 2</w:t>
      </w:r>
      <w:r w:rsidR="001D7920" w:rsidRPr="000A5065">
        <w:rPr>
          <w:highlight w:val="yellow"/>
        </w:rPr>
        <w:t>017</w:t>
      </w:r>
      <w:r w:rsidR="00C15E72" w:rsidRPr="00564B75">
        <w:t>; or</w:t>
      </w:r>
    </w:p>
    <w:p w14:paraId="400F7EC6" w14:textId="595CBFC5" w:rsidR="00740804" w:rsidRPr="00564B75" w:rsidRDefault="00740804" w:rsidP="00740804">
      <w:pPr>
        <w:pStyle w:val="nMain"/>
        <w:ind w:hanging="710"/>
      </w:pPr>
      <w:r w:rsidRPr="00564B75">
        <w:t>Note:</w:t>
      </w:r>
      <w:r w:rsidR="00606385">
        <w:tab/>
      </w:r>
      <w:r w:rsidRPr="00564B75">
        <w:t xml:space="preserve">In </w:t>
      </w:r>
      <w:r w:rsidR="006A55F8" w:rsidRPr="000A5065">
        <w:rPr>
          <w:highlight w:val="yellow"/>
        </w:rPr>
        <w:t>2021</w:t>
      </w:r>
      <w:r w:rsidRPr="00564B75">
        <w:t>, the relevant method was at 2540E at https://www.standardmethods.org/.</w:t>
      </w:r>
    </w:p>
    <w:p w14:paraId="400F7EC7" w14:textId="3ABA81C7" w:rsidR="00740804" w:rsidRPr="00564B75" w:rsidRDefault="00740804" w:rsidP="00740804">
      <w:pPr>
        <w:pStyle w:val="tSubpara"/>
      </w:pPr>
      <w:r w:rsidRPr="00564B75">
        <w:tab/>
        <w:t>(ii)</w:t>
      </w:r>
      <w:r w:rsidRPr="00564B75">
        <w:tab/>
        <w:t>an equivalent Australian standard</w:t>
      </w:r>
      <w:r w:rsidR="00246AE5" w:rsidRPr="000A5065">
        <w:rPr>
          <w:highlight w:val="yellow"/>
        </w:rPr>
        <w:t>; and</w:t>
      </w:r>
    </w:p>
    <w:p w14:paraId="400F7EC8" w14:textId="201194D3" w:rsidR="005519A3" w:rsidRPr="00564B75" w:rsidRDefault="005519A3" w:rsidP="005519A3">
      <w:pPr>
        <w:pStyle w:val="tPara"/>
      </w:pPr>
      <w:r w:rsidRPr="00564B75">
        <w:tab/>
        <w:t>(</w:t>
      </w:r>
      <w:r w:rsidR="008F1C54" w:rsidRPr="000A5065">
        <w:rPr>
          <w:highlight w:val="yellow"/>
        </w:rPr>
        <w:t>f</w:t>
      </w:r>
      <w:r w:rsidRPr="00564B75">
        <w:t>)</w:t>
      </w:r>
      <w:r w:rsidRPr="00564B75">
        <w:tab/>
        <w:t>calculatin</w:t>
      </w:r>
      <w:r w:rsidR="009229C7" w:rsidRPr="00564B75">
        <w:t>g the concentration of nitrogen,</w:t>
      </w:r>
      <w:r w:rsidRPr="00564B75">
        <w:t xml:space="preserve"> </w:t>
      </w:r>
      <w:r w:rsidRPr="00564B75">
        <w:rPr>
          <w:szCs w:val="22"/>
        </w:rPr>
        <w:t>in tonnes of nitrogen per tonne of material analysed</w:t>
      </w:r>
      <w:r w:rsidR="00623355" w:rsidRPr="00564B75">
        <w:rPr>
          <w:szCs w:val="22"/>
        </w:rPr>
        <w:t>.</w:t>
      </w:r>
    </w:p>
    <w:p w14:paraId="400F7EEE" w14:textId="3574A35A" w:rsidR="00C918D7" w:rsidRPr="000A5065" w:rsidRDefault="00C918D7" w:rsidP="00A74E6B">
      <w:pPr>
        <w:pStyle w:val="tMain"/>
        <w:rPr>
          <w:highlight w:val="yellow"/>
        </w:rPr>
      </w:pPr>
    </w:p>
    <w:p w14:paraId="029F620B" w14:textId="77777777" w:rsidR="001E7F4B" w:rsidRPr="00564B75" w:rsidRDefault="001E7F4B" w:rsidP="00FB2F72">
      <w:pPr>
        <w:pStyle w:val="tPara"/>
      </w:pPr>
    </w:p>
    <w:p w14:paraId="400F7EEF" w14:textId="77777777" w:rsidR="002321CF" w:rsidRPr="00564B75" w:rsidRDefault="00E741AF" w:rsidP="007B4D29">
      <w:pPr>
        <w:pStyle w:val="h1Chap"/>
      </w:pPr>
      <w:bookmarkStart w:id="147" w:name="_Toc467774878"/>
      <w:bookmarkStart w:id="148" w:name="_Toc467775593"/>
      <w:bookmarkStart w:id="149" w:name="_Toc498294004"/>
      <w:bookmarkStart w:id="150" w:name="_Toc17792725"/>
      <w:bookmarkStart w:id="151" w:name="_Toc82779146"/>
      <w:bookmarkStart w:id="152" w:name="_Toc82779455"/>
      <w:bookmarkStart w:id="153" w:name="_Toc86674792"/>
      <w:r w:rsidRPr="00564B75">
        <w:lastRenderedPageBreak/>
        <w:t>Schedule 1</w:t>
      </w:r>
      <w:r w:rsidR="00E15BFF" w:rsidRPr="00564B75">
        <w:t>—</w:t>
      </w:r>
      <w:r w:rsidR="00E15BFF" w:rsidRPr="00564B75">
        <w:rPr>
          <w:rStyle w:val="CharChapText"/>
        </w:rPr>
        <w:t>Default methane</w:t>
      </w:r>
      <w:r w:rsidR="00E15BFF" w:rsidRPr="00564B75">
        <w:rPr>
          <w:rStyle w:val="CharChapText"/>
        </w:rPr>
        <w:noBreakHyphen/>
        <w:t xml:space="preserve">producing capacities for types of </w:t>
      </w:r>
      <w:bookmarkEnd w:id="147"/>
      <w:bookmarkEnd w:id="148"/>
      <w:r w:rsidR="00E15BFF" w:rsidRPr="00564B75">
        <w:rPr>
          <w:rStyle w:val="CharChapText"/>
        </w:rPr>
        <w:t>material</w:t>
      </w:r>
      <w:bookmarkEnd w:id="149"/>
      <w:bookmarkEnd w:id="150"/>
      <w:bookmarkEnd w:id="151"/>
      <w:bookmarkEnd w:id="152"/>
      <w:bookmarkEnd w:id="153"/>
    </w:p>
    <w:p w14:paraId="400F7EF0" w14:textId="0437AF84" w:rsidR="00E15BFF" w:rsidRPr="00564B75" w:rsidRDefault="00E15BFF" w:rsidP="00E15BFF">
      <w:pPr>
        <w:pStyle w:val="ntoHeading"/>
        <w:spacing w:line="276" w:lineRule="auto"/>
      </w:pPr>
      <w:bookmarkStart w:id="154" w:name="f_Check_Lines_above"/>
      <w:bookmarkEnd w:id="154"/>
      <w:r w:rsidRPr="00564B75">
        <w:t>Note:</w:t>
      </w:r>
      <w:r w:rsidRPr="00564B75">
        <w:tab/>
        <w:t xml:space="preserve">See </w:t>
      </w:r>
      <w:r w:rsidR="00352879" w:rsidRPr="000A5065">
        <w:rPr>
          <w:highlight w:val="yellow"/>
        </w:rPr>
        <w:t>clause</w:t>
      </w:r>
      <w:r w:rsidRPr="00122E37">
        <w:t xml:space="preserve"> </w:t>
      </w:r>
      <w:r w:rsidR="00E30506" w:rsidRPr="00564B75">
        <w:t>4</w:t>
      </w:r>
      <w:r w:rsidR="00E57D45" w:rsidRPr="00564B75">
        <w:t xml:space="preserve"> </w:t>
      </w:r>
      <w:r w:rsidR="00BA7E34" w:rsidRPr="00564B75">
        <w:t>of this Supplement, and the</w:t>
      </w:r>
      <w:r w:rsidR="00E57D45" w:rsidRPr="00564B75">
        <w:t xml:space="preserve"> definition of </w:t>
      </w:r>
      <w:r w:rsidR="00E57D45" w:rsidRPr="00564B75">
        <w:rPr>
          <w:b/>
          <w:i/>
        </w:rPr>
        <w:t>default capacity</w:t>
      </w:r>
      <w:r w:rsidR="00E57D45" w:rsidRPr="00564B75">
        <w:t xml:space="preserve"> in section </w:t>
      </w:r>
      <w:r w:rsidR="002A7439" w:rsidRPr="00564B75">
        <w:t>5</w:t>
      </w:r>
      <w:r w:rsidR="00E57D45" w:rsidRPr="00564B75">
        <w:t xml:space="preserve"> of the Determination.</w:t>
      </w:r>
    </w:p>
    <w:p w14:paraId="400F7EF1" w14:textId="43AA540F" w:rsidR="00E15BFF" w:rsidRPr="00564B75" w:rsidRDefault="00E57D45" w:rsidP="00E57D45">
      <w:pPr>
        <w:pStyle w:val="tMain"/>
      </w:pPr>
      <w:bookmarkStart w:id="155" w:name="f_Check_Lines_below"/>
      <w:bookmarkEnd w:id="155"/>
      <w:r w:rsidRPr="00606385">
        <w:tab/>
      </w:r>
      <w:r w:rsidRPr="00606385">
        <w:tab/>
      </w:r>
      <w:r w:rsidR="00BD7319" w:rsidRPr="000A5065">
        <w:rPr>
          <w:highlight w:val="yellow"/>
        </w:rPr>
        <w:t xml:space="preserve">For the definition of </w:t>
      </w:r>
      <w:r w:rsidR="00725969" w:rsidRPr="000A5065">
        <w:rPr>
          <w:highlight w:val="yellow"/>
        </w:rPr>
        <w:t>‘</w:t>
      </w:r>
      <w:r w:rsidR="00BD7319" w:rsidRPr="000A5065">
        <w:rPr>
          <w:highlight w:val="yellow"/>
        </w:rPr>
        <w:t>default capacity</w:t>
      </w:r>
      <w:r w:rsidR="00725969" w:rsidRPr="000A5065">
        <w:rPr>
          <w:highlight w:val="yellow"/>
        </w:rPr>
        <w:t>’</w:t>
      </w:r>
      <w:r w:rsidR="00BD7319" w:rsidRPr="000A5065">
        <w:rPr>
          <w:highlight w:val="yellow"/>
        </w:rPr>
        <w:t xml:space="preserve"> in section 5 of the Determination, t</w:t>
      </w:r>
      <w:r w:rsidR="00E15BFF" w:rsidRPr="000A5065">
        <w:rPr>
          <w:highlight w:val="yellow"/>
        </w:rPr>
        <w:t>he</w:t>
      </w:r>
      <w:r w:rsidR="00E15BFF" w:rsidRPr="00122E37">
        <w:t xml:space="preserve"> </w:t>
      </w:r>
      <w:r w:rsidR="00E15BFF" w:rsidRPr="00564B75">
        <w:rPr>
          <w:b/>
          <w:i/>
        </w:rPr>
        <w:t xml:space="preserve">default </w:t>
      </w:r>
      <w:r w:rsidRPr="00564B75">
        <w:rPr>
          <w:b/>
          <w:i/>
        </w:rPr>
        <w:t>capacity</w:t>
      </w:r>
      <w:r w:rsidR="00E15BFF" w:rsidRPr="00564B75">
        <w:rPr>
          <w:b/>
          <w:i/>
        </w:rPr>
        <w:t xml:space="preserve"> </w:t>
      </w:r>
      <w:r w:rsidR="00E15BFF" w:rsidRPr="00564B75">
        <w:t>for the methane</w:t>
      </w:r>
      <w:r w:rsidR="00E15BFF" w:rsidRPr="00564B75">
        <w:noBreakHyphen/>
        <w:t xml:space="preserve">producing capacity </w:t>
      </w:r>
      <w:r w:rsidRPr="00564B75">
        <w:t>of</w:t>
      </w:r>
      <w:r w:rsidR="00E15BFF" w:rsidRPr="00564B75">
        <w:t xml:space="preserve"> the volatile solids deriving from </w:t>
      </w:r>
      <w:r w:rsidR="00F54E2E" w:rsidRPr="00564B75">
        <w:t xml:space="preserve">a </w:t>
      </w:r>
      <w:r w:rsidR="00E15BFF" w:rsidRPr="00564B75">
        <w:t>type of material</w:t>
      </w:r>
      <w:r w:rsidRPr="00564B75">
        <w:t xml:space="preserve"> listed in the table below is as specified in the table</w:t>
      </w:r>
      <w:r w:rsidR="000B6402" w:rsidRPr="00564B75">
        <w:t xml:space="preserve"> for the relevant equation that the capacity is used</w:t>
      </w:r>
      <w:r w:rsidRPr="00564B75">
        <w:t>:</w:t>
      </w:r>
    </w:p>
    <w:p w14:paraId="400F7EF2" w14:textId="77777777" w:rsidR="00D7238F" w:rsidRPr="00564B75" w:rsidRDefault="00D7238F" w:rsidP="00E57D45">
      <w:pPr>
        <w:pStyle w:val="tMain"/>
      </w:pPr>
    </w:p>
    <w:tbl>
      <w:tblPr>
        <w:tblW w:w="8397" w:type="dxa"/>
        <w:tblInd w:w="1242"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01"/>
        <w:gridCol w:w="142"/>
        <w:gridCol w:w="3118"/>
        <w:gridCol w:w="2552"/>
        <w:gridCol w:w="1984"/>
      </w:tblGrid>
      <w:tr w:rsidR="00216966" w:rsidRPr="00564B75" w14:paraId="400F7EF5" w14:textId="77777777" w:rsidTr="009627EA">
        <w:trPr>
          <w:tblHeader/>
        </w:trPr>
        <w:tc>
          <w:tcPr>
            <w:tcW w:w="6413" w:type="dxa"/>
            <w:gridSpan w:val="4"/>
            <w:tcBorders>
              <w:top w:val="single" w:sz="12" w:space="0" w:color="auto"/>
              <w:left w:val="nil"/>
              <w:bottom w:val="single" w:sz="6" w:space="0" w:color="auto"/>
              <w:right w:val="nil"/>
            </w:tcBorders>
            <w:hideMark/>
          </w:tcPr>
          <w:p w14:paraId="400F7EF3" w14:textId="77777777" w:rsidR="000B6402" w:rsidRPr="00564B75" w:rsidRDefault="000B6402">
            <w:pPr>
              <w:pStyle w:val="TableHeading"/>
              <w:spacing w:line="276" w:lineRule="auto"/>
            </w:pPr>
            <w:r w:rsidRPr="00564B75">
              <w:t>Default methane</w:t>
            </w:r>
            <w:r w:rsidRPr="00564B75">
              <w:noBreakHyphen/>
              <w:t>producing capacities for different types of material</w:t>
            </w:r>
          </w:p>
        </w:tc>
        <w:tc>
          <w:tcPr>
            <w:tcW w:w="1984" w:type="dxa"/>
            <w:tcBorders>
              <w:top w:val="single" w:sz="12" w:space="0" w:color="auto"/>
              <w:left w:val="nil"/>
              <w:bottom w:val="single" w:sz="6" w:space="0" w:color="auto"/>
              <w:right w:val="nil"/>
            </w:tcBorders>
          </w:tcPr>
          <w:p w14:paraId="400F7EF4" w14:textId="77777777" w:rsidR="000B6402" w:rsidRPr="00564B75" w:rsidRDefault="000B6402">
            <w:pPr>
              <w:pStyle w:val="TableHeading"/>
              <w:spacing w:line="276" w:lineRule="auto"/>
            </w:pPr>
          </w:p>
        </w:tc>
      </w:tr>
      <w:tr w:rsidR="00216966" w:rsidRPr="00564B75" w14:paraId="400F7EFC" w14:textId="77777777" w:rsidTr="009627EA">
        <w:trPr>
          <w:tblHeader/>
        </w:trPr>
        <w:tc>
          <w:tcPr>
            <w:tcW w:w="743" w:type="dxa"/>
            <w:gridSpan w:val="2"/>
            <w:tcBorders>
              <w:top w:val="single" w:sz="6" w:space="0" w:color="auto"/>
              <w:left w:val="nil"/>
              <w:bottom w:val="single" w:sz="12" w:space="0" w:color="auto"/>
              <w:right w:val="nil"/>
            </w:tcBorders>
            <w:hideMark/>
          </w:tcPr>
          <w:p w14:paraId="400F7EF6" w14:textId="77777777" w:rsidR="000B6402" w:rsidRPr="00564B75" w:rsidRDefault="000B6402">
            <w:pPr>
              <w:pStyle w:val="TableHeading"/>
              <w:spacing w:line="276" w:lineRule="auto"/>
            </w:pPr>
            <w:r w:rsidRPr="00564B75">
              <w:t>Item</w:t>
            </w:r>
          </w:p>
        </w:tc>
        <w:tc>
          <w:tcPr>
            <w:tcW w:w="3118" w:type="dxa"/>
            <w:tcBorders>
              <w:top w:val="single" w:sz="6" w:space="0" w:color="auto"/>
              <w:left w:val="nil"/>
              <w:bottom w:val="single" w:sz="12" w:space="0" w:color="auto"/>
              <w:right w:val="nil"/>
            </w:tcBorders>
            <w:hideMark/>
          </w:tcPr>
          <w:p w14:paraId="400F7EF7" w14:textId="77777777" w:rsidR="000B6402" w:rsidRPr="00564B75" w:rsidRDefault="000B6402">
            <w:pPr>
              <w:pStyle w:val="TableHeading"/>
              <w:spacing w:line="276" w:lineRule="auto"/>
            </w:pPr>
            <w:r w:rsidRPr="00564B75">
              <w:t>Type of material (w)</w:t>
            </w:r>
          </w:p>
        </w:tc>
        <w:tc>
          <w:tcPr>
            <w:tcW w:w="2552" w:type="dxa"/>
            <w:tcBorders>
              <w:top w:val="single" w:sz="6" w:space="0" w:color="auto"/>
              <w:left w:val="nil"/>
              <w:bottom w:val="single" w:sz="12" w:space="0" w:color="auto"/>
              <w:right w:val="nil"/>
            </w:tcBorders>
            <w:hideMark/>
          </w:tcPr>
          <w:p w14:paraId="400F7EF8" w14:textId="77777777" w:rsidR="000B6402" w:rsidRPr="00564B75" w:rsidRDefault="009627EA" w:rsidP="005D168D">
            <w:pPr>
              <w:pStyle w:val="TableHeading"/>
              <w:spacing w:line="276" w:lineRule="auto"/>
              <w:jc w:val="right"/>
              <w:rPr>
                <w:b w:val="0"/>
              </w:rPr>
            </w:pPr>
            <w:r w:rsidRPr="00564B75">
              <w:t>Equations 7 and 12 d</w:t>
            </w:r>
            <w:r w:rsidR="000B6402" w:rsidRPr="00564B75">
              <w:t>efault methane-producing capacity (B</w:t>
            </w:r>
            <w:r w:rsidR="000B6402" w:rsidRPr="00564B75">
              <w:rPr>
                <w:vertAlign w:val="subscript"/>
              </w:rPr>
              <w:t>0,</w:t>
            </w:r>
            <w:r w:rsidRPr="00564B75">
              <w:rPr>
                <w:vertAlign w:val="subscript"/>
              </w:rPr>
              <w:t xml:space="preserve"> </w:t>
            </w:r>
            <w:proofErr w:type="spellStart"/>
            <w:r w:rsidRPr="00564B75">
              <w:rPr>
                <w:vertAlign w:val="subscript"/>
              </w:rPr>
              <w:t>Div</w:t>
            </w:r>
            <w:proofErr w:type="spellEnd"/>
            <w:r w:rsidR="000B6402" w:rsidRPr="00564B75">
              <w:rPr>
                <w:vertAlign w:val="subscript"/>
              </w:rPr>
              <w:t> w</w:t>
            </w:r>
            <w:r w:rsidR="000B6402" w:rsidRPr="00564B75">
              <w:t xml:space="preserve">) </w:t>
            </w:r>
            <w:r w:rsidR="000B6402" w:rsidRPr="00564B75">
              <w:br/>
            </w:r>
            <w:r w:rsidR="000B6402" w:rsidRPr="00564B75">
              <w:rPr>
                <w:b w:val="0"/>
              </w:rPr>
              <w:t xml:space="preserve">cubic </w:t>
            </w:r>
            <w:r w:rsidR="000A1B5D" w:rsidRPr="00564B75">
              <w:rPr>
                <w:b w:val="0"/>
              </w:rPr>
              <w:t>metre</w:t>
            </w:r>
            <w:r w:rsidR="000B6402" w:rsidRPr="00564B75">
              <w:rPr>
                <w:b w:val="0"/>
              </w:rPr>
              <w:t>s of methane</w:t>
            </w:r>
            <w:r w:rsidR="000B6402" w:rsidRPr="00564B75">
              <w:rPr>
                <w:b w:val="0"/>
              </w:rPr>
              <w:br/>
              <w:t>per tonne of volatile solids (m</w:t>
            </w:r>
            <w:r w:rsidR="000B6402" w:rsidRPr="00564B75">
              <w:rPr>
                <w:b w:val="0"/>
                <w:vertAlign w:val="superscript"/>
              </w:rPr>
              <w:t>3</w:t>
            </w:r>
            <w:r w:rsidR="000B6402" w:rsidRPr="00564B75">
              <w:rPr>
                <w:b w:val="0"/>
              </w:rPr>
              <w:t> CH</w:t>
            </w:r>
            <w:r w:rsidR="000B6402" w:rsidRPr="00564B75">
              <w:rPr>
                <w:b w:val="0"/>
                <w:vertAlign w:val="subscript"/>
              </w:rPr>
              <w:t>4</w:t>
            </w:r>
            <w:r w:rsidR="000B6402" w:rsidRPr="00564B75">
              <w:rPr>
                <w:b w:val="0"/>
              </w:rPr>
              <w:t>/tonne</w:t>
            </w:r>
            <w:r w:rsidR="000B6402" w:rsidRPr="00564B75">
              <w:rPr>
                <w:b w:val="0"/>
                <w:lang w:val="en-GB"/>
              </w:rPr>
              <w:t> </w:t>
            </w:r>
            <w:r w:rsidR="000B6402" w:rsidRPr="00564B75">
              <w:rPr>
                <w:b w:val="0"/>
              </w:rPr>
              <w:t>VS)</w:t>
            </w:r>
          </w:p>
          <w:p w14:paraId="400F7EF9" w14:textId="77777777" w:rsidR="000B6402" w:rsidRPr="00564B75" w:rsidRDefault="000B6402" w:rsidP="005D168D">
            <w:pPr>
              <w:pStyle w:val="TableHeading"/>
              <w:spacing w:line="276" w:lineRule="auto"/>
              <w:jc w:val="right"/>
              <w:rPr>
                <w:i/>
              </w:rPr>
            </w:pPr>
            <w:r w:rsidRPr="00564B75">
              <w:rPr>
                <w:b w:val="0"/>
                <w:i/>
              </w:rPr>
              <w:t xml:space="preserve">(eligible material) </w:t>
            </w:r>
          </w:p>
        </w:tc>
        <w:tc>
          <w:tcPr>
            <w:tcW w:w="1984" w:type="dxa"/>
            <w:tcBorders>
              <w:top w:val="single" w:sz="6" w:space="0" w:color="auto"/>
              <w:left w:val="nil"/>
              <w:bottom w:val="single" w:sz="12" w:space="0" w:color="auto"/>
              <w:right w:val="nil"/>
            </w:tcBorders>
          </w:tcPr>
          <w:p w14:paraId="400F7EFA" w14:textId="77777777" w:rsidR="000B6402" w:rsidRPr="00564B75" w:rsidRDefault="000B6402" w:rsidP="005D168D">
            <w:pPr>
              <w:pStyle w:val="TableHeading"/>
              <w:spacing w:line="276" w:lineRule="auto"/>
              <w:jc w:val="right"/>
              <w:rPr>
                <w:b w:val="0"/>
              </w:rPr>
            </w:pPr>
            <w:r w:rsidRPr="00564B75">
              <w:t xml:space="preserve">Equations 8 </w:t>
            </w:r>
            <w:r w:rsidR="009627EA" w:rsidRPr="00564B75">
              <w:t>d</w:t>
            </w:r>
            <w:r w:rsidRPr="00564B75">
              <w:t>efault methane-producing capacity (B</w:t>
            </w:r>
            <w:r w:rsidRPr="00564B75">
              <w:rPr>
                <w:vertAlign w:val="subscript"/>
              </w:rPr>
              <w:t>0, w</w:t>
            </w:r>
            <w:r w:rsidRPr="00564B75">
              <w:t xml:space="preserve">) </w:t>
            </w:r>
            <w:r w:rsidRPr="00564B75">
              <w:br/>
            </w:r>
            <w:r w:rsidRPr="00564B75">
              <w:rPr>
                <w:b w:val="0"/>
              </w:rPr>
              <w:t xml:space="preserve">cubic </w:t>
            </w:r>
            <w:r w:rsidR="000A1B5D" w:rsidRPr="00564B75">
              <w:rPr>
                <w:b w:val="0"/>
              </w:rPr>
              <w:t>metre</w:t>
            </w:r>
            <w:r w:rsidRPr="00564B75">
              <w:rPr>
                <w:b w:val="0"/>
              </w:rPr>
              <w:t>s of methane</w:t>
            </w:r>
            <w:r w:rsidRPr="00564B75">
              <w:rPr>
                <w:b w:val="0"/>
              </w:rPr>
              <w:br/>
              <w:t>per tonne of volatile solids (m</w:t>
            </w:r>
            <w:r w:rsidRPr="00564B75">
              <w:rPr>
                <w:b w:val="0"/>
                <w:vertAlign w:val="superscript"/>
              </w:rPr>
              <w:t>3</w:t>
            </w:r>
            <w:r w:rsidRPr="00564B75">
              <w:rPr>
                <w:b w:val="0"/>
              </w:rPr>
              <w:t> CH</w:t>
            </w:r>
            <w:r w:rsidRPr="00564B75">
              <w:rPr>
                <w:b w:val="0"/>
                <w:vertAlign w:val="subscript"/>
              </w:rPr>
              <w:t>4</w:t>
            </w:r>
            <w:r w:rsidRPr="00564B75">
              <w:rPr>
                <w:b w:val="0"/>
              </w:rPr>
              <w:t>/tonne</w:t>
            </w:r>
            <w:r w:rsidRPr="00564B75">
              <w:rPr>
                <w:b w:val="0"/>
                <w:lang w:val="en-GB"/>
              </w:rPr>
              <w:t> </w:t>
            </w:r>
            <w:r w:rsidRPr="00564B75">
              <w:rPr>
                <w:b w:val="0"/>
              </w:rPr>
              <w:t>VS)</w:t>
            </w:r>
          </w:p>
          <w:p w14:paraId="400F7EFB" w14:textId="77777777" w:rsidR="000B6402" w:rsidRPr="00564B75" w:rsidRDefault="000B6402" w:rsidP="000B6402">
            <w:pPr>
              <w:pStyle w:val="Tabletext"/>
              <w:rPr>
                <w:i/>
              </w:rPr>
            </w:pPr>
            <w:r w:rsidRPr="00564B75">
              <w:rPr>
                <w:i/>
              </w:rPr>
              <w:t>(ineligible material)</w:t>
            </w:r>
          </w:p>
        </w:tc>
      </w:tr>
      <w:tr w:rsidR="00216966" w:rsidRPr="00564B75" w14:paraId="400F7F01" w14:textId="77777777" w:rsidTr="009627EA">
        <w:tc>
          <w:tcPr>
            <w:tcW w:w="601" w:type="dxa"/>
            <w:tcBorders>
              <w:top w:val="single" w:sz="4" w:space="0" w:color="auto"/>
              <w:left w:val="nil"/>
              <w:bottom w:val="single" w:sz="4" w:space="0" w:color="auto"/>
              <w:right w:val="nil"/>
            </w:tcBorders>
            <w:vAlign w:val="center"/>
          </w:tcPr>
          <w:p w14:paraId="400F7EFD" w14:textId="77777777" w:rsidR="0018781A" w:rsidRPr="00564B75" w:rsidRDefault="0018781A" w:rsidP="0018781A">
            <w:pPr>
              <w:spacing w:line="240" w:lineRule="auto"/>
              <w:jc w:val="right"/>
              <w:rPr>
                <w:rFonts w:eastAsia="Times New Roman"/>
                <w:sz w:val="20"/>
                <w:lang w:eastAsia="en-AU"/>
              </w:rPr>
            </w:pPr>
            <w:r w:rsidRPr="00564B75">
              <w:rPr>
                <w:noProof/>
                <w:sz w:val="20"/>
              </w:rPr>
              <w:t>1</w:t>
            </w:r>
          </w:p>
        </w:tc>
        <w:tc>
          <w:tcPr>
            <w:tcW w:w="3260" w:type="dxa"/>
            <w:gridSpan w:val="2"/>
            <w:tcBorders>
              <w:top w:val="single" w:sz="4" w:space="0" w:color="auto"/>
              <w:left w:val="nil"/>
              <w:bottom w:val="single" w:sz="4" w:space="0" w:color="auto"/>
              <w:right w:val="nil"/>
            </w:tcBorders>
            <w:vAlign w:val="center"/>
          </w:tcPr>
          <w:p w14:paraId="400F7EFE" w14:textId="77777777" w:rsidR="0018781A" w:rsidRPr="00564B75" w:rsidRDefault="0018781A" w:rsidP="0018781A">
            <w:pPr>
              <w:spacing w:line="240" w:lineRule="auto"/>
              <w:rPr>
                <w:rFonts w:eastAsia="Times New Roman"/>
                <w:sz w:val="20"/>
                <w:lang w:eastAsia="en-AU"/>
              </w:rPr>
            </w:pPr>
            <w:r w:rsidRPr="00564B75">
              <w:rPr>
                <w:sz w:val="20"/>
              </w:rPr>
              <w:t>Piggery effluent, including separated solids</w:t>
            </w:r>
          </w:p>
        </w:tc>
        <w:tc>
          <w:tcPr>
            <w:tcW w:w="2552" w:type="dxa"/>
            <w:tcBorders>
              <w:top w:val="single" w:sz="4" w:space="0" w:color="auto"/>
              <w:left w:val="nil"/>
              <w:bottom w:val="single" w:sz="4" w:space="0" w:color="auto"/>
              <w:right w:val="nil"/>
            </w:tcBorders>
            <w:vAlign w:val="center"/>
          </w:tcPr>
          <w:p w14:paraId="400F7EFF" w14:textId="77777777" w:rsidR="0018781A" w:rsidRPr="00564B75" w:rsidRDefault="0018781A" w:rsidP="0018781A">
            <w:pPr>
              <w:spacing w:line="240" w:lineRule="auto"/>
              <w:jc w:val="right"/>
              <w:rPr>
                <w:rFonts w:eastAsia="Times New Roman"/>
                <w:sz w:val="20"/>
                <w:lang w:eastAsia="en-AU"/>
              </w:rPr>
            </w:pPr>
            <w:r w:rsidRPr="00564B75">
              <w:rPr>
                <w:sz w:val="20"/>
              </w:rPr>
              <w:t>270</w:t>
            </w:r>
          </w:p>
        </w:tc>
        <w:tc>
          <w:tcPr>
            <w:tcW w:w="1984" w:type="dxa"/>
            <w:tcBorders>
              <w:top w:val="single" w:sz="4" w:space="0" w:color="auto"/>
              <w:left w:val="nil"/>
              <w:bottom w:val="single" w:sz="4" w:space="0" w:color="auto"/>
              <w:right w:val="nil"/>
            </w:tcBorders>
            <w:vAlign w:val="center"/>
          </w:tcPr>
          <w:p w14:paraId="400F7F00" w14:textId="77777777" w:rsidR="0018781A" w:rsidRPr="00564B75" w:rsidRDefault="0018781A" w:rsidP="0018781A">
            <w:pPr>
              <w:spacing w:line="240" w:lineRule="auto"/>
              <w:jc w:val="right"/>
              <w:rPr>
                <w:rFonts w:eastAsia="Times New Roman"/>
                <w:sz w:val="20"/>
                <w:lang w:eastAsia="en-AU"/>
              </w:rPr>
            </w:pPr>
            <w:r w:rsidRPr="00564B75">
              <w:rPr>
                <w:sz w:val="20"/>
              </w:rPr>
              <w:t>450</w:t>
            </w:r>
          </w:p>
        </w:tc>
      </w:tr>
      <w:tr w:rsidR="00216966" w:rsidRPr="00564B75" w14:paraId="400F7F06" w14:textId="77777777" w:rsidTr="009627EA">
        <w:tc>
          <w:tcPr>
            <w:tcW w:w="601" w:type="dxa"/>
            <w:tcBorders>
              <w:top w:val="single" w:sz="4" w:space="0" w:color="auto"/>
              <w:left w:val="nil"/>
              <w:bottom w:val="single" w:sz="4" w:space="0" w:color="auto"/>
              <w:right w:val="nil"/>
            </w:tcBorders>
            <w:vAlign w:val="center"/>
          </w:tcPr>
          <w:p w14:paraId="400F7F02" w14:textId="77777777" w:rsidR="0018781A" w:rsidRPr="00564B75" w:rsidRDefault="0018781A" w:rsidP="0018781A">
            <w:pPr>
              <w:jc w:val="right"/>
              <w:rPr>
                <w:sz w:val="20"/>
              </w:rPr>
            </w:pPr>
            <w:r w:rsidRPr="00564B75">
              <w:rPr>
                <w:noProof/>
                <w:sz w:val="20"/>
              </w:rPr>
              <w:t>2</w:t>
            </w:r>
          </w:p>
        </w:tc>
        <w:tc>
          <w:tcPr>
            <w:tcW w:w="3260" w:type="dxa"/>
            <w:gridSpan w:val="2"/>
            <w:tcBorders>
              <w:top w:val="single" w:sz="4" w:space="0" w:color="auto"/>
              <w:left w:val="nil"/>
              <w:bottom w:val="single" w:sz="4" w:space="0" w:color="auto"/>
              <w:right w:val="nil"/>
            </w:tcBorders>
            <w:vAlign w:val="center"/>
          </w:tcPr>
          <w:p w14:paraId="400F7F03" w14:textId="77777777" w:rsidR="0018781A" w:rsidRPr="00564B75" w:rsidRDefault="0018781A" w:rsidP="0018781A">
            <w:pPr>
              <w:rPr>
                <w:sz w:val="20"/>
              </w:rPr>
            </w:pPr>
            <w:r w:rsidRPr="00564B75">
              <w:rPr>
                <w:sz w:val="20"/>
              </w:rPr>
              <w:t>Dairy cow effluent, including separated solids</w:t>
            </w:r>
          </w:p>
        </w:tc>
        <w:tc>
          <w:tcPr>
            <w:tcW w:w="2552" w:type="dxa"/>
            <w:tcBorders>
              <w:top w:val="single" w:sz="4" w:space="0" w:color="auto"/>
              <w:left w:val="nil"/>
              <w:bottom w:val="single" w:sz="4" w:space="0" w:color="auto"/>
              <w:right w:val="nil"/>
            </w:tcBorders>
            <w:vAlign w:val="center"/>
          </w:tcPr>
          <w:p w14:paraId="400F7F04" w14:textId="77777777" w:rsidR="0018781A" w:rsidRPr="00564B75" w:rsidRDefault="0018781A" w:rsidP="0018781A">
            <w:pPr>
              <w:jc w:val="right"/>
              <w:rPr>
                <w:sz w:val="20"/>
              </w:rPr>
            </w:pPr>
            <w:r w:rsidRPr="00564B75">
              <w:rPr>
                <w:sz w:val="20"/>
              </w:rPr>
              <w:t>145</w:t>
            </w:r>
          </w:p>
        </w:tc>
        <w:tc>
          <w:tcPr>
            <w:tcW w:w="1984" w:type="dxa"/>
            <w:tcBorders>
              <w:top w:val="single" w:sz="4" w:space="0" w:color="auto"/>
              <w:left w:val="nil"/>
              <w:bottom w:val="single" w:sz="4" w:space="0" w:color="auto"/>
              <w:right w:val="nil"/>
            </w:tcBorders>
            <w:vAlign w:val="center"/>
          </w:tcPr>
          <w:p w14:paraId="400F7F05" w14:textId="77777777" w:rsidR="0018781A" w:rsidRPr="00564B75" w:rsidRDefault="0018781A" w:rsidP="0018781A">
            <w:pPr>
              <w:jc w:val="right"/>
              <w:rPr>
                <w:sz w:val="20"/>
              </w:rPr>
            </w:pPr>
            <w:r w:rsidRPr="00564B75">
              <w:rPr>
                <w:sz w:val="20"/>
              </w:rPr>
              <w:t>250</w:t>
            </w:r>
          </w:p>
        </w:tc>
      </w:tr>
      <w:tr w:rsidR="00216966" w:rsidRPr="00564B75" w14:paraId="400F7F0B" w14:textId="77777777" w:rsidTr="009627EA">
        <w:tc>
          <w:tcPr>
            <w:tcW w:w="601" w:type="dxa"/>
            <w:tcBorders>
              <w:top w:val="single" w:sz="4" w:space="0" w:color="auto"/>
              <w:left w:val="nil"/>
              <w:bottom w:val="single" w:sz="4" w:space="0" w:color="auto"/>
              <w:right w:val="nil"/>
            </w:tcBorders>
            <w:vAlign w:val="center"/>
          </w:tcPr>
          <w:p w14:paraId="400F7F07" w14:textId="77777777" w:rsidR="0018781A" w:rsidRPr="00564B75" w:rsidRDefault="0018781A" w:rsidP="0018781A">
            <w:pPr>
              <w:jc w:val="right"/>
              <w:rPr>
                <w:sz w:val="20"/>
              </w:rPr>
            </w:pPr>
            <w:r w:rsidRPr="00564B75">
              <w:rPr>
                <w:noProof/>
                <w:sz w:val="20"/>
              </w:rPr>
              <w:t>3</w:t>
            </w:r>
          </w:p>
        </w:tc>
        <w:tc>
          <w:tcPr>
            <w:tcW w:w="3260" w:type="dxa"/>
            <w:gridSpan w:val="2"/>
            <w:tcBorders>
              <w:top w:val="single" w:sz="4" w:space="0" w:color="auto"/>
              <w:left w:val="nil"/>
              <w:bottom w:val="single" w:sz="4" w:space="0" w:color="auto"/>
              <w:right w:val="nil"/>
            </w:tcBorders>
            <w:vAlign w:val="center"/>
          </w:tcPr>
          <w:p w14:paraId="400F7F08" w14:textId="77777777" w:rsidR="0018781A" w:rsidRPr="00564B75" w:rsidRDefault="0018781A" w:rsidP="0018781A">
            <w:pPr>
              <w:rPr>
                <w:sz w:val="20"/>
              </w:rPr>
            </w:pPr>
            <w:r w:rsidRPr="00564B75">
              <w:rPr>
                <w:sz w:val="20"/>
              </w:rPr>
              <w:t>Feeder cattle effluent</w:t>
            </w:r>
          </w:p>
        </w:tc>
        <w:tc>
          <w:tcPr>
            <w:tcW w:w="2552" w:type="dxa"/>
            <w:tcBorders>
              <w:top w:val="single" w:sz="4" w:space="0" w:color="auto"/>
              <w:left w:val="nil"/>
              <w:bottom w:val="single" w:sz="4" w:space="0" w:color="auto"/>
              <w:right w:val="nil"/>
            </w:tcBorders>
            <w:vAlign w:val="center"/>
          </w:tcPr>
          <w:p w14:paraId="400F7F09" w14:textId="77777777" w:rsidR="0018781A" w:rsidRPr="00564B75" w:rsidRDefault="0018781A" w:rsidP="0018781A">
            <w:pPr>
              <w:jc w:val="right"/>
              <w:rPr>
                <w:sz w:val="20"/>
              </w:rPr>
            </w:pPr>
            <w:r w:rsidRPr="00564B75">
              <w:rPr>
                <w:sz w:val="20"/>
              </w:rPr>
              <w:t>130</w:t>
            </w:r>
          </w:p>
        </w:tc>
        <w:tc>
          <w:tcPr>
            <w:tcW w:w="1984" w:type="dxa"/>
            <w:tcBorders>
              <w:top w:val="single" w:sz="4" w:space="0" w:color="auto"/>
              <w:left w:val="nil"/>
              <w:bottom w:val="single" w:sz="4" w:space="0" w:color="auto"/>
              <w:right w:val="nil"/>
            </w:tcBorders>
            <w:vAlign w:val="center"/>
          </w:tcPr>
          <w:p w14:paraId="400F7F0A" w14:textId="77777777" w:rsidR="0018781A" w:rsidRPr="00564B75" w:rsidRDefault="0018781A" w:rsidP="0018781A">
            <w:pPr>
              <w:jc w:val="right"/>
              <w:rPr>
                <w:sz w:val="20"/>
              </w:rPr>
            </w:pPr>
            <w:r w:rsidRPr="00564B75">
              <w:rPr>
                <w:sz w:val="20"/>
              </w:rPr>
              <w:t>220</w:t>
            </w:r>
          </w:p>
        </w:tc>
      </w:tr>
      <w:tr w:rsidR="00216966" w:rsidRPr="00564B75" w14:paraId="400F7F10" w14:textId="77777777" w:rsidTr="009627EA">
        <w:tc>
          <w:tcPr>
            <w:tcW w:w="601" w:type="dxa"/>
            <w:tcBorders>
              <w:top w:val="single" w:sz="4" w:space="0" w:color="auto"/>
              <w:left w:val="nil"/>
              <w:bottom w:val="single" w:sz="4" w:space="0" w:color="auto"/>
              <w:right w:val="nil"/>
            </w:tcBorders>
            <w:vAlign w:val="center"/>
          </w:tcPr>
          <w:p w14:paraId="400F7F0C" w14:textId="77777777" w:rsidR="0018781A" w:rsidRPr="00564B75" w:rsidRDefault="0018781A" w:rsidP="0018781A">
            <w:pPr>
              <w:jc w:val="right"/>
              <w:rPr>
                <w:sz w:val="20"/>
              </w:rPr>
            </w:pPr>
            <w:r w:rsidRPr="00564B75">
              <w:rPr>
                <w:noProof/>
                <w:sz w:val="20"/>
              </w:rPr>
              <w:t>4</w:t>
            </w:r>
          </w:p>
        </w:tc>
        <w:tc>
          <w:tcPr>
            <w:tcW w:w="3260" w:type="dxa"/>
            <w:gridSpan w:val="2"/>
            <w:tcBorders>
              <w:top w:val="single" w:sz="4" w:space="0" w:color="auto"/>
              <w:left w:val="nil"/>
              <w:bottom w:val="single" w:sz="4" w:space="0" w:color="auto"/>
              <w:right w:val="nil"/>
            </w:tcBorders>
            <w:vAlign w:val="center"/>
          </w:tcPr>
          <w:p w14:paraId="400F7F0D" w14:textId="77777777" w:rsidR="0018781A" w:rsidRPr="00564B75" w:rsidRDefault="0018781A" w:rsidP="0018781A">
            <w:pPr>
              <w:rPr>
                <w:sz w:val="20"/>
              </w:rPr>
            </w:pPr>
            <w:r w:rsidRPr="00564B75">
              <w:rPr>
                <w:sz w:val="20"/>
              </w:rPr>
              <w:t>Poultry manure, including litter</w:t>
            </w:r>
          </w:p>
        </w:tc>
        <w:tc>
          <w:tcPr>
            <w:tcW w:w="2552" w:type="dxa"/>
            <w:tcBorders>
              <w:top w:val="single" w:sz="4" w:space="0" w:color="auto"/>
              <w:left w:val="nil"/>
              <w:bottom w:val="single" w:sz="4" w:space="0" w:color="auto"/>
              <w:right w:val="nil"/>
            </w:tcBorders>
            <w:vAlign w:val="center"/>
          </w:tcPr>
          <w:p w14:paraId="400F7F0E" w14:textId="77777777" w:rsidR="0018781A" w:rsidRPr="00564B75" w:rsidRDefault="0018781A" w:rsidP="0018781A">
            <w:pPr>
              <w:jc w:val="right"/>
              <w:rPr>
                <w:sz w:val="20"/>
              </w:rPr>
            </w:pPr>
            <w:r w:rsidRPr="00564B75">
              <w:rPr>
                <w:sz w:val="20"/>
              </w:rPr>
              <w:t>200</w:t>
            </w:r>
          </w:p>
        </w:tc>
        <w:tc>
          <w:tcPr>
            <w:tcW w:w="1984" w:type="dxa"/>
            <w:tcBorders>
              <w:top w:val="single" w:sz="4" w:space="0" w:color="auto"/>
              <w:left w:val="nil"/>
              <w:bottom w:val="single" w:sz="4" w:space="0" w:color="auto"/>
              <w:right w:val="nil"/>
            </w:tcBorders>
            <w:vAlign w:val="center"/>
          </w:tcPr>
          <w:p w14:paraId="400F7F0F" w14:textId="77777777" w:rsidR="0018781A" w:rsidRPr="00564B75" w:rsidRDefault="0018781A" w:rsidP="0018781A">
            <w:pPr>
              <w:jc w:val="right"/>
              <w:rPr>
                <w:sz w:val="20"/>
              </w:rPr>
            </w:pPr>
            <w:r w:rsidRPr="00564B75">
              <w:rPr>
                <w:sz w:val="20"/>
              </w:rPr>
              <w:t>330</w:t>
            </w:r>
          </w:p>
        </w:tc>
      </w:tr>
      <w:tr w:rsidR="00216966" w:rsidRPr="00564B75" w14:paraId="400F7F15" w14:textId="77777777" w:rsidTr="0018781A">
        <w:tc>
          <w:tcPr>
            <w:tcW w:w="601" w:type="dxa"/>
            <w:tcBorders>
              <w:top w:val="single" w:sz="4" w:space="0" w:color="auto"/>
              <w:left w:val="nil"/>
              <w:bottom w:val="single" w:sz="4" w:space="0" w:color="auto"/>
              <w:right w:val="nil"/>
            </w:tcBorders>
            <w:vAlign w:val="center"/>
          </w:tcPr>
          <w:p w14:paraId="400F7F11" w14:textId="77777777" w:rsidR="0018781A" w:rsidRPr="00564B75" w:rsidRDefault="0018781A" w:rsidP="0018781A">
            <w:pPr>
              <w:jc w:val="right"/>
              <w:rPr>
                <w:sz w:val="20"/>
              </w:rPr>
            </w:pPr>
            <w:r w:rsidRPr="00564B75">
              <w:rPr>
                <w:noProof/>
                <w:sz w:val="20"/>
              </w:rPr>
              <w:t>5</w:t>
            </w:r>
          </w:p>
        </w:tc>
        <w:tc>
          <w:tcPr>
            <w:tcW w:w="3260" w:type="dxa"/>
            <w:gridSpan w:val="2"/>
            <w:tcBorders>
              <w:top w:val="single" w:sz="4" w:space="0" w:color="auto"/>
              <w:left w:val="nil"/>
              <w:bottom w:val="single" w:sz="4" w:space="0" w:color="auto"/>
              <w:right w:val="nil"/>
            </w:tcBorders>
            <w:vAlign w:val="center"/>
          </w:tcPr>
          <w:p w14:paraId="400F7F12" w14:textId="77777777" w:rsidR="0018781A" w:rsidRPr="00564B75" w:rsidRDefault="0018781A" w:rsidP="0018781A">
            <w:pPr>
              <w:rPr>
                <w:sz w:val="20"/>
              </w:rPr>
            </w:pPr>
            <w:r w:rsidRPr="00564B75">
              <w:rPr>
                <w:sz w:val="20"/>
              </w:rPr>
              <w:t>Horse dung</w:t>
            </w:r>
          </w:p>
        </w:tc>
        <w:tc>
          <w:tcPr>
            <w:tcW w:w="2552" w:type="dxa"/>
            <w:tcBorders>
              <w:top w:val="single" w:sz="4" w:space="0" w:color="auto"/>
              <w:left w:val="nil"/>
              <w:bottom w:val="single" w:sz="4" w:space="0" w:color="auto"/>
              <w:right w:val="nil"/>
            </w:tcBorders>
            <w:vAlign w:val="center"/>
          </w:tcPr>
          <w:p w14:paraId="400F7F13" w14:textId="77777777" w:rsidR="0018781A" w:rsidRPr="00564B75" w:rsidRDefault="0018781A" w:rsidP="0018781A">
            <w:pPr>
              <w:jc w:val="right"/>
              <w:rPr>
                <w:sz w:val="20"/>
              </w:rPr>
            </w:pPr>
            <w:r w:rsidRPr="00564B75">
              <w:rPr>
                <w:sz w:val="20"/>
              </w:rPr>
              <w:t>150</w:t>
            </w:r>
          </w:p>
        </w:tc>
        <w:tc>
          <w:tcPr>
            <w:tcW w:w="1984" w:type="dxa"/>
            <w:tcBorders>
              <w:top w:val="single" w:sz="4" w:space="0" w:color="auto"/>
              <w:left w:val="nil"/>
              <w:bottom w:val="single" w:sz="4" w:space="0" w:color="auto"/>
              <w:right w:val="nil"/>
            </w:tcBorders>
            <w:vAlign w:val="center"/>
          </w:tcPr>
          <w:p w14:paraId="400F7F14" w14:textId="77777777" w:rsidR="0018781A" w:rsidRPr="00564B75" w:rsidRDefault="0018781A" w:rsidP="0018781A">
            <w:pPr>
              <w:jc w:val="right"/>
              <w:rPr>
                <w:sz w:val="20"/>
              </w:rPr>
            </w:pPr>
            <w:r w:rsidRPr="00564B75">
              <w:rPr>
                <w:sz w:val="20"/>
              </w:rPr>
              <w:t>190</w:t>
            </w:r>
          </w:p>
        </w:tc>
      </w:tr>
      <w:tr w:rsidR="00216966" w:rsidRPr="00564B75" w14:paraId="400F7F1A" w14:textId="77777777" w:rsidTr="0018781A">
        <w:tc>
          <w:tcPr>
            <w:tcW w:w="601" w:type="dxa"/>
            <w:tcBorders>
              <w:top w:val="single" w:sz="4" w:space="0" w:color="auto"/>
              <w:left w:val="nil"/>
              <w:bottom w:val="single" w:sz="12" w:space="0" w:color="auto"/>
              <w:right w:val="nil"/>
            </w:tcBorders>
            <w:vAlign w:val="center"/>
          </w:tcPr>
          <w:p w14:paraId="400F7F16" w14:textId="77777777" w:rsidR="0018781A" w:rsidRPr="00564B75" w:rsidRDefault="0018781A" w:rsidP="0018781A">
            <w:pPr>
              <w:jc w:val="right"/>
              <w:rPr>
                <w:sz w:val="20"/>
              </w:rPr>
            </w:pPr>
            <w:r w:rsidRPr="00564B75">
              <w:rPr>
                <w:noProof/>
                <w:sz w:val="20"/>
              </w:rPr>
              <w:t>6</w:t>
            </w:r>
          </w:p>
        </w:tc>
        <w:tc>
          <w:tcPr>
            <w:tcW w:w="3260" w:type="dxa"/>
            <w:gridSpan w:val="2"/>
            <w:tcBorders>
              <w:top w:val="single" w:sz="4" w:space="0" w:color="auto"/>
              <w:left w:val="nil"/>
              <w:bottom w:val="single" w:sz="12" w:space="0" w:color="auto"/>
              <w:right w:val="nil"/>
            </w:tcBorders>
            <w:vAlign w:val="center"/>
          </w:tcPr>
          <w:p w14:paraId="400F7F17" w14:textId="77777777" w:rsidR="0018781A" w:rsidRPr="00564B75" w:rsidRDefault="0018781A" w:rsidP="0018781A">
            <w:pPr>
              <w:rPr>
                <w:sz w:val="20"/>
              </w:rPr>
            </w:pPr>
            <w:r w:rsidRPr="00564B75">
              <w:rPr>
                <w:sz w:val="20"/>
              </w:rPr>
              <w:t>Sheep manure</w:t>
            </w:r>
          </w:p>
        </w:tc>
        <w:tc>
          <w:tcPr>
            <w:tcW w:w="2552" w:type="dxa"/>
            <w:tcBorders>
              <w:top w:val="single" w:sz="4" w:space="0" w:color="auto"/>
              <w:left w:val="nil"/>
              <w:bottom w:val="single" w:sz="12" w:space="0" w:color="auto"/>
              <w:right w:val="nil"/>
            </w:tcBorders>
            <w:vAlign w:val="center"/>
          </w:tcPr>
          <w:p w14:paraId="400F7F18" w14:textId="77777777" w:rsidR="0018781A" w:rsidRPr="00564B75" w:rsidRDefault="0018781A" w:rsidP="0018781A">
            <w:pPr>
              <w:jc w:val="right"/>
              <w:rPr>
                <w:sz w:val="20"/>
              </w:rPr>
            </w:pPr>
            <w:r w:rsidRPr="00564B75">
              <w:rPr>
                <w:sz w:val="20"/>
              </w:rPr>
              <w:t>150</w:t>
            </w:r>
          </w:p>
        </w:tc>
        <w:tc>
          <w:tcPr>
            <w:tcW w:w="1984" w:type="dxa"/>
            <w:tcBorders>
              <w:top w:val="single" w:sz="4" w:space="0" w:color="auto"/>
              <w:left w:val="nil"/>
              <w:bottom w:val="single" w:sz="12" w:space="0" w:color="auto"/>
              <w:right w:val="nil"/>
            </w:tcBorders>
            <w:vAlign w:val="center"/>
          </w:tcPr>
          <w:p w14:paraId="400F7F19" w14:textId="77777777" w:rsidR="0018781A" w:rsidRPr="00564B75" w:rsidRDefault="0018781A" w:rsidP="0018781A">
            <w:pPr>
              <w:jc w:val="right"/>
              <w:rPr>
                <w:sz w:val="20"/>
              </w:rPr>
            </w:pPr>
            <w:r w:rsidRPr="00564B75">
              <w:rPr>
                <w:sz w:val="20"/>
              </w:rPr>
              <w:t>250</w:t>
            </w:r>
          </w:p>
        </w:tc>
      </w:tr>
      <w:tr w:rsidR="00216966" w:rsidRPr="00564B75" w14:paraId="400F7F1F" w14:textId="77777777" w:rsidTr="0018781A">
        <w:tc>
          <w:tcPr>
            <w:tcW w:w="601" w:type="dxa"/>
            <w:tcBorders>
              <w:top w:val="single" w:sz="12" w:space="0" w:color="auto"/>
              <w:left w:val="nil"/>
              <w:bottom w:val="single" w:sz="4" w:space="0" w:color="auto"/>
              <w:right w:val="nil"/>
            </w:tcBorders>
            <w:vAlign w:val="center"/>
          </w:tcPr>
          <w:p w14:paraId="400F7F1B" w14:textId="77777777" w:rsidR="0018781A" w:rsidRPr="00564B75" w:rsidRDefault="0018781A" w:rsidP="0018781A">
            <w:pPr>
              <w:jc w:val="right"/>
              <w:rPr>
                <w:noProof/>
                <w:sz w:val="20"/>
              </w:rPr>
            </w:pPr>
            <w:r w:rsidRPr="00564B75">
              <w:rPr>
                <w:noProof/>
                <w:sz w:val="20"/>
              </w:rPr>
              <w:t>7</w:t>
            </w:r>
          </w:p>
        </w:tc>
        <w:tc>
          <w:tcPr>
            <w:tcW w:w="3260" w:type="dxa"/>
            <w:gridSpan w:val="2"/>
            <w:tcBorders>
              <w:top w:val="single" w:sz="12" w:space="0" w:color="auto"/>
              <w:left w:val="nil"/>
              <w:bottom w:val="single" w:sz="4" w:space="0" w:color="auto"/>
              <w:right w:val="nil"/>
            </w:tcBorders>
            <w:vAlign w:val="center"/>
          </w:tcPr>
          <w:p w14:paraId="400F7F1C" w14:textId="77777777" w:rsidR="0018781A" w:rsidRPr="00564B75" w:rsidRDefault="0018781A" w:rsidP="0018781A">
            <w:pPr>
              <w:rPr>
                <w:sz w:val="20"/>
              </w:rPr>
            </w:pPr>
            <w:r w:rsidRPr="00564B75">
              <w:rPr>
                <w:sz w:val="20"/>
              </w:rPr>
              <w:t>Abattoir waste</w:t>
            </w:r>
          </w:p>
        </w:tc>
        <w:tc>
          <w:tcPr>
            <w:tcW w:w="2552" w:type="dxa"/>
            <w:tcBorders>
              <w:top w:val="single" w:sz="12" w:space="0" w:color="auto"/>
              <w:left w:val="nil"/>
              <w:bottom w:val="single" w:sz="4" w:space="0" w:color="auto"/>
              <w:right w:val="nil"/>
            </w:tcBorders>
            <w:vAlign w:val="center"/>
          </w:tcPr>
          <w:p w14:paraId="400F7F1D" w14:textId="77777777" w:rsidR="0018781A" w:rsidRPr="00564B75" w:rsidRDefault="0018781A" w:rsidP="0018781A">
            <w:pPr>
              <w:jc w:val="right"/>
              <w:rPr>
                <w:sz w:val="20"/>
              </w:rPr>
            </w:pPr>
            <w:r w:rsidRPr="00564B75">
              <w:rPr>
                <w:sz w:val="20"/>
              </w:rPr>
              <w:t>340</w:t>
            </w:r>
          </w:p>
        </w:tc>
        <w:tc>
          <w:tcPr>
            <w:tcW w:w="1984" w:type="dxa"/>
            <w:tcBorders>
              <w:top w:val="single" w:sz="12" w:space="0" w:color="auto"/>
              <w:left w:val="nil"/>
              <w:bottom w:val="single" w:sz="4" w:space="0" w:color="auto"/>
              <w:right w:val="nil"/>
            </w:tcBorders>
            <w:vAlign w:val="center"/>
          </w:tcPr>
          <w:p w14:paraId="400F7F1E" w14:textId="77777777" w:rsidR="0018781A" w:rsidRPr="00564B75" w:rsidRDefault="0018781A" w:rsidP="0018781A">
            <w:pPr>
              <w:jc w:val="right"/>
              <w:rPr>
                <w:sz w:val="20"/>
              </w:rPr>
            </w:pPr>
            <w:r w:rsidRPr="00564B75">
              <w:rPr>
                <w:sz w:val="20"/>
              </w:rPr>
              <w:t>980</w:t>
            </w:r>
          </w:p>
        </w:tc>
      </w:tr>
      <w:tr w:rsidR="00216966" w:rsidRPr="00564B75" w14:paraId="400F7F24" w14:textId="77777777" w:rsidTr="0018781A">
        <w:tc>
          <w:tcPr>
            <w:tcW w:w="601" w:type="dxa"/>
            <w:tcBorders>
              <w:top w:val="single" w:sz="4" w:space="0" w:color="auto"/>
              <w:left w:val="nil"/>
              <w:bottom w:val="single" w:sz="4" w:space="0" w:color="auto"/>
              <w:right w:val="nil"/>
            </w:tcBorders>
            <w:vAlign w:val="center"/>
          </w:tcPr>
          <w:p w14:paraId="400F7F20" w14:textId="77777777" w:rsidR="0018781A" w:rsidRPr="00564B75" w:rsidRDefault="0018781A" w:rsidP="0018781A">
            <w:pPr>
              <w:jc w:val="right"/>
              <w:rPr>
                <w:sz w:val="20"/>
              </w:rPr>
            </w:pPr>
            <w:r w:rsidRPr="00564B75">
              <w:rPr>
                <w:noProof/>
                <w:sz w:val="20"/>
              </w:rPr>
              <w:t>8</w:t>
            </w:r>
          </w:p>
        </w:tc>
        <w:tc>
          <w:tcPr>
            <w:tcW w:w="3260" w:type="dxa"/>
            <w:gridSpan w:val="2"/>
            <w:tcBorders>
              <w:top w:val="single" w:sz="4" w:space="0" w:color="auto"/>
              <w:left w:val="nil"/>
              <w:bottom w:val="single" w:sz="4" w:space="0" w:color="auto"/>
              <w:right w:val="nil"/>
            </w:tcBorders>
            <w:vAlign w:val="center"/>
          </w:tcPr>
          <w:p w14:paraId="400F7F21" w14:textId="77777777" w:rsidR="0018781A" w:rsidRPr="00564B75" w:rsidRDefault="0018781A" w:rsidP="0018781A">
            <w:pPr>
              <w:rPr>
                <w:sz w:val="20"/>
              </w:rPr>
            </w:pPr>
            <w:r w:rsidRPr="00564B75">
              <w:rPr>
                <w:sz w:val="20"/>
              </w:rPr>
              <w:t>Abattoir paunch</w:t>
            </w:r>
          </w:p>
        </w:tc>
        <w:tc>
          <w:tcPr>
            <w:tcW w:w="2552" w:type="dxa"/>
            <w:tcBorders>
              <w:top w:val="single" w:sz="4" w:space="0" w:color="auto"/>
              <w:left w:val="nil"/>
              <w:bottom w:val="single" w:sz="4" w:space="0" w:color="auto"/>
              <w:right w:val="nil"/>
            </w:tcBorders>
            <w:vAlign w:val="center"/>
          </w:tcPr>
          <w:p w14:paraId="400F7F22" w14:textId="77777777" w:rsidR="0018781A" w:rsidRPr="00564B75" w:rsidRDefault="0018781A" w:rsidP="0018781A">
            <w:pPr>
              <w:jc w:val="right"/>
              <w:rPr>
                <w:sz w:val="20"/>
              </w:rPr>
            </w:pPr>
            <w:r w:rsidRPr="00564B75">
              <w:rPr>
                <w:sz w:val="20"/>
              </w:rPr>
              <w:t>180</w:t>
            </w:r>
          </w:p>
        </w:tc>
        <w:tc>
          <w:tcPr>
            <w:tcW w:w="1984" w:type="dxa"/>
            <w:tcBorders>
              <w:top w:val="single" w:sz="4" w:space="0" w:color="auto"/>
              <w:left w:val="nil"/>
              <w:bottom w:val="single" w:sz="4" w:space="0" w:color="auto"/>
              <w:right w:val="nil"/>
            </w:tcBorders>
            <w:vAlign w:val="center"/>
          </w:tcPr>
          <w:p w14:paraId="400F7F23" w14:textId="77777777" w:rsidR="0018781A" w:rsidRPr="00564B75" w:rsidRDefault="0018781A" w:rsidP="0018781A">
            <w:pPr>
              <w:jc w:val="right"/>
              <w:rPr>
                <w:sz w:val="20"/>
              </w:rPr>
            </w:pPr>
            <w:r w:rsidRPr="00564B75">
              <w:rPr>
                <w:sz w:val="20"/>
              </w:rPr>
              <w:t>470</w:t>
            </w:r>
          </w:p>
        </w:tc>
      </w:tr>
      <w:tr w:rsidR="00216966" w:rsidRPr="00564B75" w14:paraId="400F7F29" w14:textId="77777777" w:rsidTr="0018781A">
        <w:tc>
          <w:tcPr>
            <w:tcW w:w="601" w:type="dxa"/>
            <w:tcBorders>
              <w:top w:val="single" w:sz="4" w:space="0" w:color="auto"/>
              <w:left w:val="nil"/>
              <w:bottom w:val="single" w:sz="12" w:space="0" w:color="auto"/>
              <w:right w:val="nil"/>
            </w:tcBorders>
            <w:vAlign w:val="center"/>
          </w:tcPr>
          <w:p w14:paraId="400F7F25" w14:textId="77777777" w:rsidR="0018781A" w:rsidRPr="00564B75" w:rsidRDefault="0018781A" w:rsidP="0018781A">
            <w:pPr>
              <w:jc w:val="right"/>
              <w:rPr>
                <w:noProof/>
                <w:sz w:val="20"/>
              </w:rPr>
            </w:pPr>
            <w:r w:rsidRPr="00564B75">
              <w:rPr>
                <w:noProof/>
                <w:sz w:val="20"/>
              </w:rPr>
              <w:t>9</w:t>
            </w:r>
          </w:p>
        </w:tc>
        <w:tc>
          <w:tcPr>
            <w:tcW w:w="3260" w:type="dxa"/>
            <w:gridSpan w:val="2"/>
            <w:tcBorders>
              <w:top w:val="single" w:sz="4" w:space="0" w:color="auto"/>
              <w:left w:val="nil"/>
              <w:bottom w:val="single" w:sz="12" w:space="0" w:color="auto"/>
              <w:right w:val="nil"/>
            </w:tcBorders>
            <w:vAlign w:val="center"/>
          </w:tcPr>
          <w:p w14:paraId="400F7F26" w14:textId="77777777" w:rsidR="0018781A" w:rsidRPr="00564B75" w:rsidRDefault="0018781A" w:rsidP="0018781A">
            <w:pPr>
              <w:rPr>
                <w:sz w:val="20"/>
              </w:rPr>
            </w:pPr>
            <w:r w:rsidRPr="00564B75">
              <w:rPr>
                <w:sz w:val="20"/>
              </w:rPr>
              <w:t>Blood (abattoir)</w:t>
            </w:r>
          </w:p>
        </w:tc>
        <w:tc>
          <w:tcPr>
            <w:tcW w:w="2552" w:type="dxa"/>
            <w:tcBorders>
              <w:top w:val="single" w:sz="4" w:space="0" w:color="auto"/>
              <w:left w:val="nil"/>
              <w:bottom w:val="single" w:sz="12" w:space="0" w:color="auto"/>
              <w:right w:val="nil"/>
            </w:tcBorders>
            <w:vAlign w:val="center"/>
          </w:tcPr>
          <w:p w14:paraId="400F7F27" w14:textId="77777777" w:rsidR="0018781A" w:rsidRPr="00564B75" w:rsidRDefault="0018781A" w:rsidP="0018781A">
            <w:pPr>
              <w:jc w:val="right"/>
              <w:rPr>
                <w:sz w:val="20"/>
              </w:rPr>
            </w:pPr>
            <w:r w:rsidRPr="00564B75">
              <w:rPr>
                <w:sz w:val="20"/>
              </w:rPr>
              <w:t>400</w:t>
            </w:r>
          </w:p>
        </w:tc>
        <w:tc>
          <w:tcPr>
            <w:tcW w:w="1984" w:type="dxa"/>
            <w:tcBorders>
              <w:top w:val="single" w:sz="4" w:space="0" w:color="auto"/>
              <w:left w:val="nil"/>
              <w:bottom w:val="single" w:sz="12" w:space="0" w:color="auto"/>
              <w:right w:val="nil"/>
            </w:tcBorders>
            <w:vAlign w:val="center"/>
          </w:tcPr>
          <w:p w14:paraId="400F7F28" w14:textId="77777777" w:rsidR="0018781A" w:rsidRPr="00564B75" w:rsidRDefault="0018781A" w:rsidP="0018781A">
            <w:pPr>
              <w:jc w:val="right"/>
              <w:rPr>
                <w:sz w:val="20"/>
              </w:rPr>
            </w:pPr>
            <w:r w:rsidRPr="00564B75">
              <w:rPr>
                <w:sz w:val="20"/>
              </w:rPr>
              <w:t>490</w:t>
            </w:r>
          </w:p>
        </w:tc>
      </w:tr>
      <w:tr w:rsidR="00216966" w:rsidRPr="00564B75" w14:paraId="400F7F2E" w14:textId="77777777" w:rsidTr="0018781A">
        <w:tc>
          <w:tcPr>
            <w:tcW w:w="601" w:type="dxa"/>
            <w:tcBorders>
              <w:top w:val="single" w:sz="12" w:space="0" w:color="auto"/>
              <w:left w:val="nil"/>
              <w:bottom w:val="single" w:sz="4" w:space="0" w:color="auto"/>
              <w:right w:val="nil"/>
            </w:tcBorders>
            <w:vAlign w:val="center"/>
          </w:tcPr>
          <w:p w14:paraId="400F7F2A" w14:textId="77777777" w:rsidR="0018781A" w:rsidRPr="00564B75" w:rsidRDefault="0018781A" w:rsidP="0018781A">
            <w:pPr>
              <w:jc w:val="right"/>
              <w:rPr>
                <w:sz w:val="20"/>
              </w:rPr>
            </w:pPr>
            <w:r w:rsidRPr="00564B75">
              <w:rPr>
                <w:noProof/>
                <w:sz w:val="20"/>
              </w:rPr>
              <w:t>10</w:t>
            </w:r>
          </w:p>
        </w:tc>
        <w:tc>
          <w:tcPr>
            <w:tcW w:w="3260" w:type="dxa"/>
            <w:gridSpan w:val="2"/>
            <w:tcBorders>
              <w:top w:val="single" w:sz="12" w:space="0" w:color="auto"/>
              <w:left w:val="nil"/>
              <w:bottom w:val="single" w:sz="4" w:space="0" w:color="auto"/>
              <w:right w:val="nil"/>
            </w:tcBorders>
            <w:vAlign w:val="center"/>
          </w:tcPr>
          <w:p w14:paraId="400F7F2B" w14:textId="77777777" w:rsidR="0018781A" w:rsidRPr="00564B75" w:rsidRDefault="0018781A" w:rsidP="0018781A">
            <w:pPr>
              <w:rPr>
                <w:sz w:val="20"/>
              </w:rPr>
            </w:pPr>
            <w:r w:rsidRPr="00564B75">
              <w:rPr>
                <w:sz w:val="20"/>
              </w:rPr>
              <w:t>Sewage sludge</w:t>
            </w:r>
          </w:p>
        </w:tc>
        <w:tc>
          <w:tcPr>
            <w:tcW w:w="2552" w:type="dxa"/>
            <w:tcBorders>
              <w:top w:val="single" w:sz="12" w:space="0" w:color="auto"/>
              <w:left w:val="nil"/>
              <w:bottom w:val="single" w:sz="4" w:space="0" w:color="auto"/>
              <w:right w:val="nil"/>
            </w:tcBorders>
            <w:vAlign w:val="center"/>
          </w:tcPr>
          <w:p w14:paraId="400F7F2C" w14:textId="77777777" w:rsidR="0018781A" w:rsidRPr="00564B75" w:rsidRDefault="0018781A" w:rsidP="0018781A">
            <w:pPr>
              <w:jc w:val="right"/>
              <w:rPr>
                <w:sz w:val="20"/>
              </w:rPr>
            </w:pPr>
            <w:r w:rsidRPr="00564B75">
              <w:rPr>
                <w:sz w:val="20"/>
              </w:rPr>
              <w:t>270</w:t>
            </w:r>
          </w:p>
        </w:tc>
        <w:tc>
          <w:tcPr>
            <w:tcW w:w="1984" w:type="dxa"/>
            <w:tcBorders>
              <w:top w:val="single" w:sz="12" w:space="0" w:color="auto"/>
              <w:left w:val="nil"/>
              <w:bottom w:val="single" w:sz="4" w:space="0" w:color="auto"/>
              <w:right w:val="nil"/>
            </w:tcBorders>
            <w:vAlign w:val="center"/>
          </w:tcPr>
          <w:p w14:paraId="400F7F2D" w14:textId="77777777" w:rsidR="0018781A" w:rsidRPr="00564B75" w:rsidRDefault="0018781A" w:rsidP="0018781A">
            <w:pPr>
              <w:jc w:val="right"/>
              <w:rPr>
                <w:sz w:val="20"/>
              </w:rPr>
            </w:pPr>
            <w:r w:rsidRPr="00564B75">
              <w:rPr>
                <w:sz w:val="20"/>
              </w:rPr>
              <w:t>460</w:t>
            </w:r>
          </w:p>
        </w:tc>
      </w:tr>
      <w:tr w:rsidR="00216966" w:rsidRPr="00564B75" w14:paraId="400F7F33" w14:textId="77777777" w:rsidTr="009627EA">
        <w:tc>
          <w:tcPr>
            <w:tcW w:w="601" w:type="dxa"/>
            <w:tcBorders>
              <w:top w:val="single" w:sz="4" w:space="0" w:color="auto"/>
              <w:left w:val="nil"/>
              <w:bottom w:val="single" w:sz="4" w:space="0" w:color="auto"/>
              <w:right w:val="nil"/>
            </w:tcBorders>
            <w:vAlign w:val="center"/>
          </w:tcPr>
          <w:p w14:paraId="400F7F2F" w14:textId="77777777" w:rsidR="0018781A" w:rsidRPr="00564B75" w:rsidRDefault="0018781A" w:rsidP="0018781A">
            <w:pPr>
              <w:jc w:val="right"/>
              <w:rPr>
                <w:noProof/>
                <w:sz w:val="20"/>
              </w:rPr>
            </w:pPr>
            <w:r w:rsidRPr="00564B75">
              <w:rPr>
                <w:noProof/>
                <w:sz w:val="20"/>
              </w:rPr>
              <w:t>11</w:t>
            </w:r>
          </w:p>
        </w:tc>
        <w:tc>
          <w:tcPr>
            <w:tcW w:w="3260" w:type="dxa"/>
            <w:gridSpan w:val="2"/>
            <w:tcBorders>
              <w:top w:val="single" w:sz="4" w:space="0" w:color="auto"/>
              <w:left w:val="nil"/>
              <w:bottom w:val="single" w:sz="4" w:space="0" w:color="auto"/>
              <w:right w:val="nil"/>
            </w:tcBorders>
            <w:vAlign w:val="center"/>
          </w:tcPr>
          <w:p w14:paraId="400F7F30" w14:textId="77777777" w:rsidR="0018781A" w:rsidRPr="00564B75" w:rsidRDefault="0018781A" w:rsidP="0018781A">
            <w:pPr>
              <w:rPr>
                <w:sz w:val="20"/>
              </w:rPr>
            </w:pPr>
            <w:r w:rsidRPr="00564B75">
              <w:rPr>
                <w:sz w:val="20"/>
              </w:rPr>
              <w:t>Grease trap waste</w:t>
            </w:r>
          </w:p>
        </w:tc>
        <w:tc>
          <w:tcPr>
            <w:tcW w:w="2552" w:type="dxa"/>
            <w:tcBorders>
              <w:top w:val="single" w:sz="4" w:space="0" w:color="auto"/>
              <w:left w:val="nil"/>
              <w:bottom w:val="single" w:sz="4" w:space="0" w:color="auto"/>
              <w:right w:val="nil"/>
            </w:tcBorders>
            <w:vAlign w:val="center"/>
          </w:tcPr>
          <w:p w14:paraId="400F7F31" w14:textId="77777777" w:rsidR="0018781A" w:rsidRPr="00564B75" w:rsidRDefault="0018781A" w:rsidP="0018781A">
            <w:pPr>
              <w:jc w:val="right"/>
              <w:rPr>
                <w:sz w:val="20"/>
              </w:rPr>
            </w:pPr>
            <w:r w:rsidRPr="00564B75">
              <w:rPr>
                <w:sz w:val="20"/>
              </w:rPr>
              <w:t>550</w:t>
            </w:r>
          </w:p>
        </w:tc>
        <w:tc>
          <w:tcPr>
            <w:tcW w:w="1984" w:type="dxa"/>
            <w:tcBorders>
              <w:top w:val="single" w:sz="4" w:space="0" w:color="auto"/>
              <w:left w:val="nil"/>
              <w:bottom w:val="single" w:sz="4" w:space="0" w:color="auto"/>
              <w:right w:val="nil"/>
            </w:tcBorders>
            <w:vAlign w:val="center"/>
          </w:tcPr>
          <w:p w14:paraId="400F7F32" w14:textId="77777777" w:rsidR="0018781A" w:rsidRPr="00564B75" w:rsidRDefault="0018781A" w:rsidP="0018781A">
            <w:pPr>
              <w:jc w:val="right"/>
              <w:rPr>
                <w:sz w:val="20"/>
              </w:rPr>
            </w:pPr>
            <w:r w:rsidRPr="00564B75">
              <w:rPr>
                <w:sz w:val="20"/>
              </w:rPr>
              <w:t>970</w:t>
            </w:r>
          </w:p>
        </w:tc>
      </w:tr>
      <w:tr w:rsidR="00216966" w:rsidRPr="00564B75" w14:paraId="400F7F38" w14:textId="77777777" w:rsidTr="0018781A">
        <w:tc>
          <w:tcPr>
            <w:tcW w:w="601" w:type="dxa"/>
            <w:tcBorders>
              <w:top w:val="single" w:sz="4" w:space="0" w:color="auto"/>
              <w:left w:val="nil"/>
              <w:bottom w:val="single" w:sz="4" w:space="0" w:color="auto"/>
              <w:right w:val="nil"/>
            </w:tcBorders>
            <w:vAlign w:val="center"/>
          </w:tcPr>
          <w:p w14:paraId="400F7F34" w14:textId="77777777" w:rsidR="0018781A" w:rsidRPr="00564B75" w:rsidRDefault="0018781A" w:rsidP="0018781A">
            <w:pPr>
              <w:jc w:val="right"/>
              <w:rPr>
                <w:sz w:val="20"/>
              </w:rPr>
            </w:pPr>
            <w:r w:rsidRPr="00564B75">
              <w:rPr>
                <w:noProof/>
                <w:sz w:val="20"/>
              </w:rPr>
              <w:t>12</w:t>
            </w:r>
          </w:p>
        </w:tc>
        <w:tc>
          <w:tcPr>
            <w:tcW w:w="3260" w:type="dxa"/>
            <w:gridSpan w:val="2"/>
            <w:tcBorders>
              <w:top w:val="single" w:sz="4" w:space="0" w:color="auto"/>
              <w:left w:val="nil"/>
              <w:bottom w:val="single" w:sz="4" w:space="0" w:color="auto"/>
              <w:right w:val="nil"/>
            </w:tcBorders>
            <w:vAlign w:val="center"/>
          </w:tcPr>
          <w:p w14:paraId="400F7F35" w14:textId="77777777" w:rsidR="0018781A" w:rsidRPr="00564B75" w:rsidRDefault="0018781A" w:rsidP="0018781A">
            <w:pPr>
              <w:rPr>
                <w:sz w:val="20"/>
              </w:rPr>
            </w:pPr>
            <w:r w:rsidRPr="00564B75">
              <w:rPr>
                <w:sz w:val="20"/>
              </w:rPr>
              <w:t xml:space="preserve">Sugar </w:t>
            </w:r>
            <w:proofErr w:type="gramStart"/>
            <w:r w:rsidRPr="00564B75">
              <w:rPr>
                <w:sz w:val="20"/>
              </w:rPr>
              <w:t>mill</w:t>
            </w:r>
            <w:proofErr w:type="gramEnd"/>
            <w:r w:rsidRPr="00564B75">
              <w:rPr>
                <w:sz w:val="20"/>
              </w:rPr>
              <w:t xml:space="preserve"> press mud</w:t>
            </w:r>
          </w:p>
        </w:tc>
        <w:tc>
          <w:tcPr>
            <w:tcW w:w="2552" w:type="dxa"/>
            <w:tcBorders>
              <w:top w:val="single" w:sz="4" w:space="0" w:color="auto"/>
              <w:left w:val="nil"/>
              <w:bottom w:val="single" w:sz="4" w:space="0" w:color="auto"/>
              <w:right w:val="nil"/>
            </w:tcBorders>
            <w:vAlign w:val="center"/>
          </w:tcPr>
          <w:p w14:paraId="400F7F36" w14:textId="77777777" w:rsidR="0018781A" w:rsidRPr="00564B75" w:rsidRDefault="0018781A" w:rsidP="0018781A">
            <w:pPr>
              <w:jc w:val="right"/>
              <w:rPr>
                <w:sz w:val="20"/>
              </w:rPr>
            </w:pPr>
            <w:r w:rsidRPr="00564B75">
              <w:rPr>
                <w:sz w:val="20"/>
              </w:rPr>
              <w:t>180</w:t>
            </w:r>
          </w:p>
        </w:tc>
        <w:tc>
          <w:tcPr>
            <w:tcW w:w="1984" w:type="dxa"/>
            <w:tcBorders>
              <w:top w:val="single" w:sz="4" w:space="0" w:color="auto"/>
              <w:left w:val="nil"/>
              <w:bottom w:val="single" w:sz="4" w:space="0" w:color="auto"/>
              <w:right w:val="nil"/>
            </w:tcBorders>
            <w:vAlign w:val="center"/>
          </w:tcPr>
          <w:p w14:paraId="400F7F37" w14:textId="77777777" w:rsidR="0018781A" w:rsidRPr="00564B75" w:rsidRDefault="0018781A" w:rsidP="0018781A">
            <w:pPr>
              <w:jc w:val="right"/>
              <w:rPr>
                <w:sz w:val="20"/>
              </w:rPr>
            </w:pPr>
            <w:r w:rsidRPr="00564B75">
              <w:rPr>
                <w:sz w:val="20"/>
              </w:rPr>
              <w:t>280</w:t>
            </w:r>
          </w:p>
        </w:tc>
      </w:tr>
      <w:tr w:rsidR="00216966" w:rsidRPr="00564B75" w14:paraId="400F7F3D" w14:textId="77777777" w:rsidTr="0018781A">
        <w:tc>
          <w:tcPr>
            <w:tcW w:w="601" w:type="dxa"/>
            <w:tcBorders>
              <w:top w:val="single" w:sz="4" w:space="0" w:color="auto"/>
              <w:left w:val="nil"/>
              <w:bottom w:val="single" w:sz="12" w:space="0" w:color="auto"/>
              <w:right w:val="nil"/>
            </w:tcBorders>
            <w:vAlign w:val="center"/>
          </w:tcPr>
          <w:p w14:paraId="400F7F39" w14:textId="77777777" w:rsidR="0018781A" w:rsidRPr="00564B75" w:rsidRDefault="0018781A" w:rsidP="0018781A">
            <w:pPr>
              <w:jc w:val="right"/>
              <w:rPr>
                <w:sz w:val="20"/>
              </w:rPr>
            </w:pPr>
            <w:r w:rsidRPr="00564B75">
              <w:rPr>
                <w:noProof/>
                <w:sz w:val="20"/>
              </w:rPr>
              <w:t>13</w:t>
            </w:r>
          </w:p>
        </w:tc>
        <w:tc>
          <w:tcPr>
            <w:tcW w:w="3260" w:type="dxa"/>
            <w:gridSpan w:val="2"/>
            <w:tcBorders>
              <w:top w:val="single" w:sz="4" w:space="0" w:color="auto"/>
              <w:left w:val="nil"/>
              <w:bottom w:val="single" w:sz="12" w:space="0" w:color="auto"/>
              <w:right w:val="nil"/>
            </w:tcBorders>
            <w:vAlign w:val="center"/>
          </w:tcPr>
          <w:p w14:paraId="400F7F3A" w14:textId="77777777" w:rsidR="0018781A" w:rsidRPr="00564B75" w:rsidRDefault="0018781A" w:rsidP="0018781A">
            <w:pPr>
              <w:rPr>
                <w:sz w:val="20"/>
              </w:rPr>
            </w:pPr>
            <w:r w:rsidRPr="00564B75">
              <w:rPr>
                <w:sz w:val="20"/>
              </w:rPr>
              <w:t>Glycerol</w:t>
            </w:r>
          </w:p>
        </w:tc>
        <w:tc>
          <w:tcPr>
            <w:tcW w:w="2552" w:type="dxa"/>
            <w:tcBorders>
              <w:top w:val="single" w:sz="4" w:space="0" w:color="auto"/>
              <w:left w:val="nil"/>
              <w:bottom w:val="single" w:sz="12" w:space="0" w:color="auto"/>
              <w:right w:val="nil"/>
            </w:tcBorders>
            <w:vAlign w:val="center"/>
          </w:tcPr>
          <w:p w14:paraId="400F7F3B" w14:textId="77777777" w:rsidR="0018781A" w:rsidRPr="00564B75" w:rsidRDefault="0018781A" w:rsidP="0018781A">
            <w:pPr>
              <w:jc w:val="right"/>
              <w:rPr>
                <w:sz w:val="20"/>
              </w:rPr>
            </w:pPr>
            <w:r w:rsidRPr="00564B75">
              <w:rPr>
                <w:sz w:val="20"/>
              </w:rPr>
              <w:t>370</w:t>
            </w:r>
          </w:p>
        </w:tc>
        <w:tc>
          <w:tcPr>
            <w:tcW w:w="1984" w:type="dxa"/>
            <w:tcBorders>
              <w:top w:val="single" w:sz="4" w:space="0" w:color="auto"/>
              <w:left w:val="nil"/>
              <w:bottom w:val="single" w:sz="12" w:space="0" w:color="auto"/>
              <w:right w:val="nil"/>
            </w:tcBorders>
            <w:vAlign w:val="center"/>
          </w:tcPr>
          <w:p w14:paraId="400F7F3C" w14:textId="77777777" w:rsidR="0018781A" w:rsidRPr="00564B75" w:rsidRDefault="0018781A" w:rsidP="0018781A">
            <w:pPr>
              <w:jc w:val="right"/>
              <w:rPr>
                <w:sz w:val="20"/>
              </w:rPr>
            </w:pPr>
            <w:r w:rsidRPr="00564B75">
              <w:rPr>
                <w:sz w:val="20"/>
              </w:rPr>
              <w:t>720</w:t>
            </w:r>
          </w:p>
        </w:tc>
      </w:tr>
      <w:tr w:rsidR="00216966" w:rsidRPr="00564B75" w14:paraId="400F7F42" w14:textId="77777777" w:rsidTr="0018781A">
        <w:tc>
          <w:tcPr>
            <w:tcW w:w="601" w:type="dxa"/>
            <w:tcBorders>
              <w:top w:val="single" w:sz="12" w:space="0" w:color="auto"/>
              <w:left w:val="nil"/>
              <w:bottom w:val="single" w:sz="4" w:space="0" w:color="auto"/>
              <w:right w:val="nil"/>
            </w:tcBorders>
            <w:vAlign w:val="center"/>
          </w:tcPr>
          <w:p w14:paraId="400F7F3E" w14:textId="77777777" w:rsidR="0018781A" w:rsidRPr="00564B75" w:rsidRDefault="0018781A" w:rsidP="0018781A">
            <w:pPr>
              <w:jc w:val="right"/>
              <w:rPr>
                <w:sz w:val="20"/>
              </w:rPr>
            </w:pPr>
            <w:r w:rsidRPr="00564B75">
              <w:rPr>
                <w:noProof/>
                <w:sz w:val="20"/>
              </w:rPr>
              <w:t>14</w:t>
            </w:r>
          </w:p>
        </w:tc>
        <w:tc>
          <w:tcPr>
            <w:tcW w:w="3260" w:type="dxa"/>
            <w:gridSpan w:val="2"/>
            <w:tcBorders>
              <w:top w:val="single" w:sz="12" w:space="0" w:color="auto"/>
              <w:left w:val="nil"/>
              <w:bottom w:val="single" w:sz="4" w:space="0" w:color="auto"/>
              <w:right w:val="nil"/>
            </w:tcBorders>
            <w:vAlign w:val="center"/>
          </w:tcPr>
          <w:p w14:paraId="400F7F3F" w14:textId="77777777" w:rsidR="0018781A" w:rsidRPr="00564B75" w:rsidRDefault="0018781A" w:rsidP="0018781A">
            <w:pPr>
              <w:rPr>
                <w:sz w:val="20"/>
              </w:rPr>
            </w:pPr>
            <w:r w:rsidRPr="00564B75">
              <w:rPr>
                <w:sz w:val="20"/>
              </w:rPr>
              <w:t>Food waste</w:t>
            </w:r>
          </w:p>
        </w:tc>
        <w:tc>
          <w:tcPr>
            <w:tcW w:w="2552" w:type="dxa"/>
            <w:tcBorders>
              <w:top w:val="single" w:sz="12" w:space="0" w:color="auto"/>
              <w:left w:val="nil"/>
              <w:bottom w:val="single" w:sz="4" w:space="0" w:color="auto"/>
              <w:right w:val="nil"/>
            </w:tcBorders>
            <w:vAlign w:val="center"/>
          </w:tcPr>
          <w:p w14:paraId="400F7F40" w14:textId="77777777" w:rsidR="0018781A" w:rsidRPr="00564B75" w:rsidRDefault="0018781A" w:rsidP="0018781A">
            <w:pPr>
              <w:jc w:val="right"/>
              <w:rPr>
                <w:sz w:val="20"/>
              </w:rPr>
            </w:pPr>
            <w:r w:rsidRPr="00564B75">
              <w:rPr>
                <w:sz w:val="20"/>
              </w:rPr>
              <w:t>290</w:t>
            </w:r>
          </w:p>
        </w:tc>
        <w:tc>
          <w:tcPr>
            <w:tcW w:w="1984" w:type="dxa"/>
            <w:tcBorders>
              <w:top w:val="single" w:sz="12" w:space="0" w:color="auto"/>
              <w:left w:val="nil"/>
              <w:bottom w:val="single" w:sz="4" w:space="0" w:color="auto"/>
              <w:right w:val="nil"/>
            </w:tcBorders>
            <w:vAlign w:val="center"/>
          </w:tcPr>
          <w:p w14:paraId="400F7F41" w14:textId="77777777" w:rsidR="0018781A" w:rsidRPr="00564B75" w:rsidRDefault="0018781A" w:rsidP="0018781A">
            <w:pPr>
              <w:jc w:val="right"/>
              <w:rPr>
                <w:sz w:val="20"/>
              </w:rPr>
            </w:pPr>
            <w:r w:rsidRPr="00564B75">
              <w:rPr>
                <w:sz w:val="20"/>
              </w:rPr>
              <w:t>700</w:t>
            </w:r>
          </w:p>
        </w:tc>
      </w:tr>
      <w:tr w:rsidR="00216966" w:rsidRPr="00564B75" w14:paraId="400F7F47" w14:textId="77777777" w:rsidTr="009627EA">
        <w:tc>
          <w:tcPr>
            <w:tcW w:w="601" w:type="dxa"/>
            <w:tcBorders>
              <w:top w:val="single" w:sz="4" w:space="0" w:color="auto"/>
              <w:left w:val="nil"/>
              <w:bottom w:val="single" w:sz="4" w:space="0" w:color="auto"/>
              <w:right w:val="nil"/>
            </w:tcBorders>
            <w:vAlign w:val="center"/>
          </w:tcPr>
          <w:p w14:paraId="400F7F43" w14:textId="77777777" w:rsidR="0018781A" w:rsidRPr="00564B75" w:rsidRDefault="0018781A" w:rsidP="0018781A">
            <w:pPr>
              <w:jc w:val="right"/>
              <w:rPr>
                <w:sz w:val="20"/>
              </w:rPr>
            </w:pPr>
            <w:r w:rsidRPr="00564B75">
              <w:rPr>
                <w:noProof/>
                <w:sz w:val="20"/>
              </w:rPr>
              <w:t>15</w:t>
            </w:r>
          </w:p>
        </w:tc>
        <w:tc>
          <w:tcPr>
            <w:tcW w:w="3260" w:type="dxa"/>
            <w:gridSpan w:val="2"/>
            <w:tcBorders>
              <w:top w:val="single" w:sz="4" w:space="0" w:color="auto"/>
              <w:left w:val="nil"/>
              <w:bottom w:val="single" w:sz="4" w:space="0" w:color="auto"/>
              <w:right w:val="nil"/>
            </w:tcBorders>
            <w:vAlign w:val="center"/>
          </w:tcPr>
          <w:p w14:paraId="400F7F44" w14:textId="77777777" w:rsidR="0018781A" w:rsidRPr="00564B75" w:rsidRDefault="0018781A" w:rsidP="0018781A">
            <w:pPr>
              <w:rPr>
                <w:sz w:val="20"/>
              </w:rPr>
            </w:pPr>
            <w:r w:rsidRPr="00564B75">
              <w:rPr>
                <w:sz w:val="20"/>
              </w:rPr>
              <w:t>Bakery waste</w:t>
            </w:r>
          </w:p>
        </w:tc>
        <w:tc>
          <w:tcPr>
            <w:tcW w:w="2552" w:type="dxa"/>
            <w:tcBorders>
              <w:top w:val="single" w:sz="4" w:space="0" w:color="auto"/>
              <w:left w:val="nil"/>
              <w:bottom w:val="single" w:sz="4" w:space="0" w:color="auto"/>
              <w:right w:val="nil"/>
            </w:tcBorders>
            <w:vAlign w:val="center"/>
          </w:tcPr>
          <w:p w14:paraId="400F7F45" w14:textId="77777777" w:rsidR="0018781A" w:rsidRPr="00564B75" w:rsidRDefault="0018781A" w:rsidP="0018781A">
            <w:pPr>
              <w:jc w:val="right"/>
              <w:rPr>
                <w:sz w:val="20"/>
              </w:rPr>
            </w:pPr>
            <w:r w:rsidRPr="00564B75">
              <w:rPr>
                <w:sz w:val="20"/>
              </w:rPr>
              <w:t>360</w:t>
            </w:r>
          </w:p>
        </w:tc>
        <w:tc>
          <w:tcPr>
            <w:tcW w:w="1984" w:type="dxa"/>
            <w:tcBorders>
              <w:top w:val="single" w:sz="4" w:space="0" w:color="auto"/>
              <w:left w:val="nil"/>
              <w:bottom w:val="single" w:sz="4" w:space="0" w:color="auto"/>
              <w:right w:val="nil"/>
            </w:tcBorders>
            <w:vAlign w:val="center"/>
          </w:tcPr>
          <w:p w14:paraId="400F7F46" w14:textId="77777777" w:rsidR="0018781A" w:rsidRPr="00564B75" w:rsidRDefault="0018781A" w:rsidP="0018781A">
            <w:pPr>
              <w:jc w:val="right"/>
              <w:rPr>
                <w:sz w:val="20"/>
              </w:rPr>
            </w:pPr>
            <w:r w:rsidRPr="00564B75">
              <w:rPr>
                <w:sz w:val="20"/>
              </w:rPr>
              <w:t>730</w:t>
            </w:r>
          </w:p>
        </w:tc>
      </w:tr>
      <w:tr w:rsidR="00216966" w:rsidRPr="00564B75" w14:paraId="400F7F4C" w14:textId="77777777" w:rsidTr="0018781A">
        <w:tc>
          <w:tcPr>
            <w:tcW w:w="601" w:type="dxa"/>
            <w:tcBorders>
              <w:top w:val="single" w:sz="4" w:space="0" w:color="auto"/>
              <w:left w:val="nil"/>
              <w:bottom w:val="single" w:sz="4" w:space="0" w:color="auto"/>
              <w:right w:val="nil"/>
            </w:tcBorders>
            <w:vAlign w:val="center"/>
          </w:tcPr>
          <w:p w14:paraId="400F7F48" w14:textId="77777777" w:rsidR="0018781A" w:rsidRPr="00564B75" w:rsidRDefault="0018781A" w:rsidP="0018781A">
            <w:pPr>
              <w:jc w:val="right"/>
              <w:rPr>
                <w:sz w:val="20"/>
              </w:rPr>
            </w:pPr>
            <w:r w:rsidRPr="00564B75">
              <w:rPr>
                <w:noProof/>
                <w:sz w:val="20"/>
              </w:rPr>
              <w:t>16</w:t>
            </w:r>
          </w:p>
        </w:tc>
        <w:tc>
          <w:tcPr>
            <w:tcW w:w="3260" w:type="dxa"/>
            <w:gridSpan w:val="2"/>
            <w:tcBorders>
              <w:top w:val="single" w:sz="4" w:space="0" w:color="auto"/>
              <w:left w:val="nil"/>
              <w:bottom w:val="single" w:sz="4" w:space="0" w:color="auto"/>
              <w:right w:val="nil"/>
            </w:tcBorders>
            <w:vAlign w:val="center"/>
          </w:tcPr>
          <w:p w14:paraId="400F7F49" w14:textId="77777777" w:rsidR="0018781A" w:rsidRPr="00564B75" w:rsidRDefault="0018781A" w:rsidP="0018781A">
            <w:pPr>
              <w:rPr>
                <w:sz w:val="20"/>
              </w:rPr>
            </w:pPr>
            <w:r w:rsidRPr="00564B75">
              <w:rPr>
                <w:sz w:val="20"/>
              </w:rPr>
              <w:t>Cheese waste</w:t>
            </w:r>
          </w:p>
        </w:tc>
        <w:tc>
          <w:tcPr>
            <w:tcW w:w="2552" w:type="dxa"/>
            <w:tcBorders>
              <w:top w:val="single" w:sz="4" w:space="0" w:color="auto"/>
              <w:left w:val="nil"/>
              <w:bottom w:val="single" w:sz="4" w:space="0" w:color="auto"/>
              <w:right w:val="nil"/>
            </w:tcBorders>
            <w:vAlign w:val="center"/>
          </w:tcPr>
          <w:p w14:paraId="400F7F4A" w14:textId="77777777" w:rsidR="0018781A" w:rsidRPr="00564B75" w:rsidRDefault="0018781A" w:rsidP="0018781A">
            <w:pPr>
              <w:jc w:val="right"/>
              <w:rPr>
                <w:sz w:val="20"/>
              </w:rPr>
            </w:pPr>
            <w:r w:rsidRPr="00564B75">
              <w:rPr>
                <w:sz w:val="20"/>
              </w:rPr>
              <w:t>350</w:t>
            </w:r>
          </w:p>
        </w:tc>
        <w:tc>
          <w:tcPr>
            <w:tcW w:w="1984" w:type="dxa"/>
            <w:tcBorders>
              <w:top w:val="single" w:sz="4" w:space="0" w:color="auto"/>
              <w:left w:val="nil"/>
              <w:bottom w:val="single" w:sz="4" w:space="0" w:color="auto"/>
              <w:right w:val="nil"/>
            </w:tcBorders>
            <w:vAlign w:val="center"/>
          </w:tcPr>
          <w:p w14:paraId="400F7F4B" w14:textId="77777777" w:rsidR="0018781A" w:rsidRPr="00564B75" w:rsidRDefault="0018781A" w:rsidP="0018781A">
            <w:pPr>
              <w:jc w:val="right"/>
              <w:rPr>
                <w:sz w:val="20"/>
              </w:rPr>
            </w:pPr>
            <w:r w:rsidRPr="00564B75">
              <w:rPr>
                <w:sz w:val="20"/>
              </w:rPr>
              <w:t>730</w:t>
            </w:r>
          </w:p>
        </w:tc>
      </w:tr>
      <w:tr w:rsidR="00216966" w:rsidRPr="00564B75" w14:paraId="400F7F51" w14:textId="77777777" w:rsidTr="0018781A">
        <w:tc>
          <w:tcPr>
            <w:tcW w:w="601" w:type="dxa"/>
            <w:tcBorders>
              <w:top w:val="single" w:sz="4" w:space="0" w:color="auto"/>
              <w:left w:val="nil"/>
              <w:bottom w:val="single" w:sz="12" w:space="0" w:color="auto"/>
              <w:right w:val="nil"/>
            </w:tcBorders>
            <w:vAlign w:val="center"/>
          </w:tcPr>
          <w:p w14:paraId="400F7F4D" w14:textId="77777777" w:rsidR="0018781A" w:rsidRPr="00564B75" w:rsidRDefault="0018781A" w:rsidP="0018781A">
            <w:pPr>
              <w:jc w:val="right"/>
              <w:rPr>
                <w:sz w:val="20"/>
              </w:rPr>
            </w:pPr>
            <w:r w:rsidRPr="00564B75">
              <w:rPr>
                <w:noProof/>
                <w:sz w:val="20"/>
              </w:rPr>
              <w:t>17</w:t>
            </w:r>
          </w:p>
        </w:tc>
        <w:tc>
          <w:tcPr>
            <w:tcW w:w="3260" w:type="dxa"/>
            <w:gridSpan w:val="2"/>
            <w:tcBorders>
              <w:top w:val="single" w:sz="4" w:space="0" w:color="auto"/>
              <w:left w:val="nil"/>
              <w:bottom w:val="single" w:sz="12" w:space="0" w:color="auto"/>
              <w:right w:val="nil"/>
            </w:tcBorders>
            <w:vAlign w:val="center"/>
          </w:tcPr>
          <w:p w14:paraId="400F7F4E" w14:textId="77777777" w:rsidR="0018781A" w:rsidRPr="00564B75" w:rsidRDefault="0018781A" w:rsidP="0018781A">
            <w:pPr>
              <w:rPr>
                <w:sz w:val="20"/>
              </w:rPr>
            </w:pPr>
            <w:r w:rsidRPr="00564B75">
              <w:rPr>
                <w:sz w:val="20"/>
              </w:rPr>
              <w:t>Spent grains fresh (</w:t>
            </w:r>
            <w:proofErr w:type="gramStart"/>
            <w:r w:rsidRPr="00564B75">
              <w:rPr>
                <w:sz w:val="20"/>
              </w:rPr>
              <w:t>e.g.</w:t>
            </w:r>
            <w:proofErr w:type="gramEnd"/>
            <w:r w:rsidRPr="00564B75">
              <w:rPr>
                <w:sz w:val="20"/>
              </w:rPr>
              <w:t xml:space="preserve"> brewery, distillers)</w:t>
            </w:r>
          </w:p>
        </w:tc>
        <w:tc>
          <w:tcPr>
            <w:tcW w:w="2552" w:type="dxa"/>
            <w:tcBorders>
              <w:top w:val="single" w:sz="4" w:space="0" w:color="auto"/>
              <w:left w:val="nil"/>
              <w:bottom w:val="single" w:sz="12" w:space="0" w:color="auto"/>
              <w:right w:val="nil"/>
            </w:tcBorders>
            <w:vAlign w:val="center"/>
          </w:tcPr>
          <w:p w14:paraId="400F7F4F" w14:textId="77777777" w:rsidR="0018781A" w:rsidRPr="00564B75" w:rsidRDefault="0018781A" w:rsidP="0018781A">
            <w:pPr>
              <w:jc w:val="right"/>
              <w:rPr>
                <w:sz w:val="20"/>
              </w:rPr>
            </w:pPr>
            <w:r w:rsidRPr="00564B75">
              <w:rPr>
                <w:sz w:val="20"/>
              </w:rPr>
              <w:t>240</w:t>
            </w:r>
          </w:p>
        </w:tc>
        <w:tc>
          <w:tcPr>
            <w:tcW w:w="1984" w:type="dxa"/>
            <w:tcBorders>
              <w:top w:val="single" w:sz="4" w:space="0" w:color="auto"/>
              <w:left w:val="nil"/>
              <w:bottom w:val="single" w:sz="12" w:space="0" w:color="auto"/>
              <w:right w:val="nil"/>
            </w:tcBorders>
            <w:vAlign w:val="center"/>
          </w:tcPr>
          <w:p w14:paraId="400F7F50" w14:textId="77777777" w:rsidR="0018781A" w:rsidRPr="00564B75" w:rsidRDefault="0018781A" w:rsidP="0018781A">
            <w:pPr>
              <w:jc w:val="right"/>
              <w:rPr>
                <w:sz w:val="20"/>
              </w:rPr>
            </w:pPr>
            <w:r w:rsidRPr="00564B75">
              <w:rPr>
                <w:sz w:val="20"/>
              </w:rPr>
              <w:t>330</w:t>
            </w:r>
          </w:p>
        </w:tc>
      </w:tr>
      <w:tr w:rsidR="00216966" w:rsidRPr="00564B75" w14:paraId="400F7F56" w14:textId="77777777" w:rsidTr="0018781A">
        <w:tc>
          <w:tcPr>
            <w:tcW w:w="601" w:type="dxa"/>
            <w:tcBorders>
              <w:top w:val="single" w:sz="12" w:space="0" w:color="auto"/>
              <w:left w:val="nil"/>
              <w:bottom w:val="single" w:sz="4" w:space="0" w:color="auto"/>
              <w:right w:val="nil"/>
            </w:tcBorders>
            <w:vAlign w:val="center"/>
          </w:tcPr>
          <w:p w14:paraId="400F7F52" w14:textId="77777777" w:rsidR="0018781A" w:rsidRPr="00564B75" w:rsidRDefault="0018781A" w:rsidP="0018781A">
            <w:pPr>
              <w:jc w:val="right"/>
              <w:rPr>
                <w:sz w:val="20"/>
              </w:rPr>
            </w:pPr>
            <w:r w:rsidRPr="00564B75">
              <w:rPr>
                <w:noProof/>
                <w:sz w:val="20"/>
              </w:rPr>
              <w:t>18</w:t>
            </w:r>
          </w:p>
        </w:tc>
        <w:tc>
          <w:tcPr>
            <w:tcW w:w="3260" w:type="dxa"/>
            <w:gridSpan w:val="2"/>
            <w:tcBorders>
              <w:top w:val="single" w:sz="12" w:space="0" w:color="auto"/>
              <w:left w:val="nil"/>
              <w:bottom w:val="single" w:sz="4" w:space="0" w:color="auto"/>
              <w:right w:val="nil"/>
            </w:tcBorders>
            <w:vAlign w:val="center"/>
          </w:tcPr>
          <w:p w14:paraId="400F7F53" w14:textId="77777777" w:rsidR="0018781A" w:rsidRPr="00564B75" w:rsidRDefault="0018781A" w:rsidP="0018781A">
            <w:pPr>
              <w:rPr>
                <w:sz w:val="20"/>
              </w:rPr>
            </w:pPr>
            <w:r w:rsidRPr="00564B75">
              <w:rPr>
                <w:sz w:val="20"/>
              </w:rPr>
              <w:t>Apples</w:t>
            </w:r>
          </w:p>
        </w:tc>
        <w:tc>
          <w:tcPr>
            <w:tcW w:w="2552" w:type="dxa"/>
            <w:tcBorders>
              <w:top w:val="single" w:sz="12" w:space="0" w:color="auto"/>
              <w:left w:val="nil"/>
              <w:bottom w:val="single" w:sz="4" w:space="0" w:color="auto"/>
              <w:right w:val="nil"/>
            </w:tcBorders>
            <w:vAlign w:val="center"/>
          </w:tcPr>
          <w:p w14:paraId="400F7F54" w14:textId="77777777" w:rsidR="0018781A" w:rsidRPr="00564B75" w:rsidRDefault="0018781A" w:rsidP="0018781A">
            <w:pPr>
              <w:jc w:val="right"/>
              <w:rPr>
                <w:sz w:val="20"/>
              </w:rPr>
            </w:pPr>
            <w:r w:rsidRPr="00564B75">
              <w:rPr>
                <w:sz w:val="20"/>
              </w:rPr>
              <w:t>281</w:t>
            </w:r>
          </w:p>
        </w:tc>
        <w:tc>
          <w:tcPr>
            <w:tcW w:w="1984" w:type="dxa"/>
            <w:tcBorders>
              <w:top w:val="single" w:sz="12" w:space="0" w:color="auto"/>
              <w:left w:val="nil"/>
              <w:bottom w:val="single" w:sz="4" w:space="0" w:color="auto"/>
              <w:right w:val="nil"/>
            </w:tcBorders>
            <w:vAlign w:val="center"/>
          </w:tcPr>
          <w:p w14:paraId="400F7F55" w14:textId="77777777" w:rsidR="0018781A" w:rsidRPr="00564B75" w:rsidRDefault="0018781A" w:rsidP="0018781A">
            <w:pPr>
              <w:jc w:val="right"/>
              <w:rPr>
                <w:sz w:val="20"/>
              </w:rPr>
            </w:pPr>
            <w:r w:rsidRPr="00564B75">
              <w:rPr>
                <w:sz w:val="20"/>
              </w:rPr>
              <w:t>440</w:t>
            </w:r>
          </w:p>
        </w:tc>
      </w:tr>
      <w:tr w:rsidR="00216966" w:rsidRPr="00564B75" w14:paraId="400F7F5B" w14:textId="77777777" w:rsidTr="009627EA">
        <w:tc>
          <w:tcPr>
            <w:tcW w:w="601" w:type="dxa"/>
            <w:tcBorders>
              <w:top w:val="single" w:sz="4" w:space="0" w:color="auto"/>
              <w:left w:val="nil"/>
              <w:bottom w:val="single" w:sz="4" w:space="0" w:color="auto"/>
              <w:right w:val="nil"/>
            </w:tcBorders>
            <w:vAlign w:val="center"/>
          </w:tcPr>
          <w:p w14:paraId="400F7F57" w14:textId="77777777" w:rsidR="0018781A" w:rsidRPr="00564B75" w:rsidRDefault="0018781A" w:rsidP="0018781A">
            <w:pPr>
              <w:jc w:val="right"/>
              <w:rPr>
                <w:noProof/>
                <w:sz w:val="20"/>
              </w:rPr>
            </w:pPr>
            <w:r w:rsidRPr="00564B75">
              <w:rPr>
                <w:noProof/>
                <w:sz w:val="20"/>
              </w:rPr>
              <w:t>19</w:t>
            </w:r>
          </w:p>
        </w:tc>
        <w:tc>
          <w:tcPr>
            <w:tcW w:w="3260" w:type="dxa"/>
            <w:gridSpan w:val="2"/>
            <w:tcBorders>
              <w:top w:val="single" w:sz="4" w:space="0" w:color="auto"/>
              <w:left w:val="nil"/>
              <w:bottom w:val="single" w:sz="4" w:space="0" w:color="auto"/>
              <w:right w:val="nil"/>
            </w:tcBorders>
            <w:vAlign w:val="center"/>
          </w:tcPr>
          <w:p w14:paraId="400F7F58" w14:textId="77777777" w:rsidR="0018781A" w:rsidRPr="00564B75" w:rsidRDefault="0018781A" w:rsidP="0018781A">
            <w:pPr>
              <w:rPr>
                <w:sz w:val="20"/>
              </w:rPr>
            </w:pPr>
            <w:r w:rsidRPr="00564B75">
              <w:rPr>
                <w:sz w:val="20"/>
              </w:rPr>
              <w:t>Bananas</w:t>
            </w:r>
          </w:p>
        </w:tc>
        <w:tc>
          <w:tcPr>
            <w:tcW w:w="2552" w:type="dxa"/>
            <w:tcBorders>
              <w:top w:val="single" w:sz="4" w:space="0" w:color="auto"/>
              <w:left w:val="nil"/>
              <w:bottom w:val="single" w:sz="4" w:space="0" w:color="auto"/>
              <w:right w:val="nil"/>
            </w:tcBorders>
            <w:vAlign w:val="center"/>
          </w:tcPr>
          <w:p w14:paraId="400F7F59" w14:textId="77777777" w:rsidR="0018781A" w:rsidRPr="00564B75" w:rsidRDefault="0018781A" w:rsidP="0018781A">
            <w:pPr>
              <w:jc w:val="right"/>
              <w:rPr>
                <w:sz w:val="20"/>
              </w:rPr>
            </w:pPr>
            <w:r w:rsidRPr="00564B75">
              <w:rPr>
                <w:sz w:val="20"/>
              </w:rPr>
              <w:t>270</w:t>
            </w:r>
          </w:p>
        </w:tc>
        <w:tc>
          <w:tcPr>
            <w:tcW w:w="1984" w:type="dxa"/>
            <w:tcBorders>
              <w:top w:val="single" w:sz="4" w:space="0" w:color="auto"/>
              <w:left w:val="nil"/>
              <w:bottom w:val="single" w:sz="4" w:space="0" w:color="auto"/>
              <w:right w:val="nil"/>
            </w:tcBorders>
            <w:vAlign w:val="center"/>
          </w:tcPr>
          <w:p w14:paraId="400F7F5A" w14:textId="77777777" w:rsidR="0018781A" w:rsidRPr="00564B75" w:rsidRDefault="0018781A" w:rsidP="0018781A">
            <w:pPr>
              <w:jc w:val="right"/>
              <w:rPr>
                <w:sz w:val="20"/>
              </w:rPr>
            </w:pPr>
            <w:r w:rsidRPr="00564B75">
              <w:rPr>
                <w:sz w:val="20"/>
              </w:rPr>
              <w:t>410</w:t>
            </w:r>
          </w:p>
        </w:tc>
      </w:tr>
      <w:tr w:rsidR="00216966" w:rsidRPr="00564B75" w14:paraId="400F7F60" w14:textId="77777777" w:rsidTr="009627EA">
        <w:tc>
          <w:tcPr>
            <w:tcW w:w="601" w:type="dxa"/>
            <w:tcBorders>
              <w:top w:val="single" w:sz="4" w:space="0" w:color="auto"/>
              <w:left w:val="nil"/>
              <w:bottom w:val="single" w:sz="4" w:space="0" w:color="auto"/>
              <w:right w:val="nil"/>
            </w:tcBorders>
            <w:vAlign w:val="center"/>
          </w:tcPr>
          <w:p w14:paraId="400F7F5C" w14:textId="77777777" w:rsidR="0018781A" w:rsidRPr="00564B75" w:rsidRDefault="0018781A" w:rsidP="0018781A">
            <w:pPr>
              <w:jc w:val="right"/>
              <w:rPr>
                <w:noProof/>
                <w:sz w:val="20"/>
              </w:rPr>
            </w:pPr>
            <w:r w:rsidRPr="00564B75">
              <w:rPr>
                <w:noProof/>
                <w:sz w:val="20"/>
              </w:rPr>
              <w:t>20</w:t>
            </w:r>
          </w:p>
        </w:tc>
        <w:tc>
          <w:tcPr>
            <w:tcW w:w="3260" w:type="dxa"/>
            <w:gridSpan w:val="2"/>
            <w:tcBorders>
              <w:top w:val="single" w:sz="4" w:space="0" w:color="auto"/>
              <w:left w:val="nil"/>
              <w:bottom w:val="single" w:sz="4" w:space="0" w:color="auto"/>
              <w:right w:val="nil"/>
            </w:tcBorders>
            <w:vAlign w:val="center"/>
          </w:tcPr>
          <w:p w14:paraId="400F7F5D" w14:textId="77777777" w:rsidR="0018781A" w:rsidRPr="00564B75" w:rsidRDefault="0018781A" w:rsidP="0018781A">
            <w:pPr>
              <w:rPr>
                <w:sz w:val="20"/>
              </w:rPr>
            </w:pPr>
            <w:r w:rsidRPr="00564B75">
              <w:rPr>
                <w:sz w:val="20"/>
              </w:rPr>
              <w:t>Cabbage</w:t>
            </w:r>
          </w:p>
        </w:tc>
        <w:tc>
          <w:tcPr>
            <w:tcW w:w="2552" w:type="dxa"/>
            <w:tcBorders>
              <w:top w:val="single" w:sz="4" w:space="0" w:color="auto"/>
              <w:left w:val="nil"/>
              <w:bottom w:val="single" w:sz="4" w:space="0" w:color="auto"/>
              <w:right w:val="nil"/>
            </w:tcBorders>
            <w:vAlign w:val="center"/>
          </w:tcPr>
          <w:p w14:paraId="400F7F5E" w14:textId="77777777" w:rsidR="0018781A" w:rsidRPr="00564B75" w:rsidRDefault="0018781A" w:rsidP="0018781A">
            <w:pPr>
              <w:jc w:val="right"/>
              <w:rPr>
                <w:sz w:val="20"/>
              </w:rPr>
            </w:pPr>
            <w:r w:rsidRPr="00564B75">
              <w:rPr>
                <w:sz w:val="20"/>
              </w:rPr>
              <w:t>290</w:t>
            </w:r>
          </w:p>
        </w:tc>
        <w:tc>
          <w:tcPr>
            <w:tcW w:w="1984" w:type="dxa"/>
            <w:tcBorders>
              <w:top w:val="single" w:sz="4" w:space="0" w:color="auto"/>
              <w:left w:val="nil"/>
              <w:bottom w:val="single" w:sz="4" w:space="0" w:color="auto"/>
              <w:right w:val="nil"/>
            </w:tcBorders>
            <w:vAlign w:val="center"/>
          </w:tcPr>
          <w:p w14:paraId="400F7F5F" w14:textId="77777777" w:rsidR="0018781A" w:rsidRPr="00564B75" w:rsidRDefault="0018781A" w:rsidP="0018781A">
            <w:pPr>
              <w:jc w:val="right"/>
              <w:rPr>
                <w:sz w:val="20"/>
              </w:rPr>
            </w:pPr>
            <w:r w:rsidRPr="00564B75">
              <w:rPr>
                <w:sz w:val="20"/>
              </w:rPr>
              <w:t>380</w:t>
            </w:r>
          </w:p>
        </w:tc>
      </w:tr>
      <w:tr w:rsidR="00216966" w:rsidRPr="00564B75" w14:paraId="400F7F65" w14:textId="77777777" w:rsidTr="009627EA">
        <w:tc>
          <w:tcPr>
            <w:tcW w:w="601" w:type="dxa"/>
            <w:tcBorders>
              <w:top w:val="single" w:sz="4" w:space="0" w:color="auto"/>
              <w:left w:val="nil"/>
              <w:bottom w:val="single" w:sz="4" w:space="0" w:color="auto"/>
              <w:right w:val="nil"/>
            </w:tcBorders>
            <w:vAlign w:val="center"/>
          </w:tcPr>
          <w:p w14:paraId="400F7F61" w14:textId="77777777" w:rsidR="0018781A" w:rsidRPr="00564B75" w:rsidRDefault="0018781A" w:rsidP="0018781A">
            <w:pPr>
              <w:jc w:val="right"/>
              <w:rPr>
                <w:sz w:val="20"/>
              </w:rPr>
            </w:pPr>
            <w:r w:rsidRPr="00564B75">
              <w:rPr>
                <w:noProof/>
                <w:sz w:val="20"/>
              </w:rPr>
              <w:t>21</w:t>
            </w:r>
          </w:p>
        </w:tc>
        <w:tc>
          <w:tcPr>
            <w:tcW w:w="3260" w:type="dxa"/>
            <w:gridSpan w:val="2"/>
            <w:tcBorders>
              <w:top w:val="single" w:sz="4" w:space="0" w:color="auto"/>
              <w:left w:val="nil"/>
              <w:bottom w:val="single" w:sz="4" w:space="0" w:color="auto"/>
              <w:right w:val="nil"/>
            </w:tcBorders>
            <w:vAlign w:val="center"/>
          </w:tcPr>
          <w:p w14:paraId="400F7F62" w14:textId="77777777" w:rsidR="0018781A" w:rsidRPr="00564B75" w:rsidRDefault="0018781A" w:rsidP="0018781A">
            <w:pPr>
              <w:rPr>
                <w:sz w:val="20"/>
              </w:rPr>
            </w:pPr>
            <w:r w:rsidRPr="00564B75">
              <w:rPr>
                <w:sz w:val="20"/>
              </w:rPr>
              <w:t>Carrot</w:t>
            </w:r>
          </w:p>
        </w:tc>
        <w:tc>
          <w:tcPr>
            <w:tcW w:w="2552" w:type="dxa"/>
            <w:tcBorders>
              <w:top w:val="single" w:sz="4" w:space="0" w:color="auto"/>
              <w:left w:val="nil"/>
              <w:bottom w:val="single" w:sz="4" w:space="0" w:color="auto"/>
              <w:right w:val="nil"/>
            </w:tcBorders>
            <w:vAlign w:val="center"/>
          </w:tcPr>
          <w:p w14:paraId="400F7F63" w14:textId="77777777" w:rsidR="0018781A" w:rsidRPr="00564B75" w:rsidRDefault="0018781A" w:rsidP="0018781A">
            <w:pPr>
              <w:jc w:val="right"/>
              <w:rPr>
                <w:sz w:val="20"/>
              </w:rPr>
            </w:pPr>
            <w:r w:rsidRPr="00564B75">
              <w:rPr>
                <w:sz w:val="20"/>
              </w:rPr>
              <w:t>240</w:t>
            </w:r>
          </w:p>
        </w:tc>
        <w:tc>
          <w:tcPr>
            <w:tcW w:w="1984" w:type="dxa"/>
            <w:tcBorders>
              <w:top w:val="single" w:sz="4" w:space="0" w:color="auto"/>
              <w:left w:val="nil"/>
              <w:bottom w:val="single" w:sz="4" w:space="0" w:color="auto"/>
              <w:right w:val="nil"/>
            </w:tcBorders>
            <w:vAlign w:val="center"/>
          </w:tcPr>
          <w:p w14:paraId="400F7F64" w14:textId="77777777" w:rsidR="0018781A" w:rsidRPr="00564B75" w:rsidRDefault="0018781A" w:rsidP="0018781A">
            <w:pPr>
              <w:jc w:val="right"/>
              <w:rPr>
                <w:sz w:val="20"/>
              </w:rPr>
            </w:pPr>
            <w:r w:rsidRPr="00564B75">
              <w:rPr>
                <w:sz w:val="20"/>
              </w:rPr>
              <w:t>420</w:t>
            </w:r>
          </w:p>
        </w:tc>
      </w:tr>
      <w:tr w:rsidR="00216966" w:rsidRPr="00564B75" w14:paraId="400F7F6A" w14:textId="77777777" w:rsidTr="009627EA">
        <w:tc>
          <w:tcPr>
            <w:tcW w:w="601" w:type="dxa"/>
            <w:tcBorders>
              <w:top w:val="single" w:sz="4" w:space="0" w:color="auto"/>
              <w:left w:val="nil"/>
              <w:bottom w:val="single" w:sz="4" w:space="0" w:color="auto"/>
              <w:right w:val="nil"/>
            </w:tcBorders>
            <w:vAlign w:val="center"/>
          </w:tcPr>
          <w:p w14:paraId="400F7F66" w14:textId="77777777" w:rsidR="0018781A" w:rsidRPr="00564B75" w:rsidRDefault="0018781A" w:rsidP="0018781A">
            <w:pPr>
              <w:jc w:val="right"/>
              <w:rPr>
                <w:noProof/>
                <w:sz w:val="20"/>
              </w:rPr>
            </w:pPr>
            <w:r w:rsidRPr="00564B75">
              <w:rPr>
                <w:noProof/>
                <w:sz w:val="20"/>
              </w:rPr>
              <w:t>22</w:t>
            </w:r>
          </w:p>
        </w:tc>
        <w:tc>
          <w:tcPr>
            <w:tcW w:w="3260" w:type="dxa"/>
            <w:gridSpan w:val="2"/>
            <w:tcBorders>
              <w:top w:val="single" w:sz="4" w:space="0" w:color="auto"/>
              <w:left w:val="nil"/>
              <w:bottom w:val="single" w:sz="4" w:space="0" w:color="auto"/>
              <w:right w:val="nil"/>
            </w:tcBorders>
            <w:vAlign w:val="center"/>
          </w:tcPr>
          <w:p w14:paraId="400F7F67" w14:textId="77777777" w:rsidR="0018781A" w:rsidRPr="00564B75" w:rsidRDefault="0018781A" w:rsidP="0018781A">
            <w:pPr>
              <w:rPr>
                <w:sz w:val="20"/>
              </w:rPr>
            </w:pPr>
            <w:r w:rsidRPr="00564B75">
              <w:rPr>
                <w:sz w:val="20"/>
              </w:rPr>
              <w:t>Cauliflower</w:t>
            </w:r>
          </w:p>
        </w:tc>
        <w:tc>
          <w:tcPr>
            <w:tcW w:w="2552" w:type="dxa"/>
            <w:tcBorders>
              <w:top w:val="single" w:sz="4" w:space="0" w:color="auto"/>
              <w:left w:val="nil"/>
              <w:bottom w:val="single" w:sz="4" w:space="0" w:color="auto"/>
              <w:right w:val="nil"/>
            </w:tcBorders>
            <w:vAlign w:val="center"/>
          </w:tcPr>
          <w:p w14:paraId="400F7F68" w14:textId="77777777" w:rsidR="0018781A" w:rsidRPr="00564B75" w:rsidRDefault="0018781A" w:rsidP="0018781A">
            <w:pPr>
              <w:jc w:val="right"/>
              <w:rPr>
                <w:sz w:val="20"/>
              </w:rPr>
            </w:pPr>
            <w:r w:rsidRPr="00564B75">
              <w:rPr>
                <w:sz w:val="20"/>
              </w:rPr>
              <w:t>190</w:t>
            </w:r>
          </w:p>
        </w:tc>
        <w:tc>
          <w:tcPr>
            <w:tcW w:w="1984" w:type="dxa"/>
            <w:tcBorders>
              <w:top w:val="single" w:sz="4" w:space="0" w:color="auto"/>
              <w:left w:val="nil"/>
              <w:bottom w:val="single" w:sz="4" w:space="0" w:color="auto"/>
              <w:right w:val="nil"/>
            </w:tcBorders>
            <w:vAlign w:val="center"/>
          </w:tcPr>
          <w:p w14:paraId="400F7F69" w14:textId="77777777" w:rsidR="0018781A" w:rsidRPr="00564B75" w:rsidRDefault="0018781A" w:rsidP="0018781A">
            <w:pPr>
              <w:jc w:val="right"/>
              <w:rPr>
                <w:sz w:val="20"/>
              </w:rPr>
            </w:pPr>
            <w:r w:rsidRPr="00564B75">
              <w:rPr>
                <w:sz w:val="20"/>
              </w:rPr>
              <w:t>420</w:t>
            </w:r>
          </w:p>
        </w:tc>
      </w:tr>
      <w:tr w:rsidR="00216966" w:rsidRPr="00564B75" w14:paraId="400F7F6F" w14:textId="77777777" w:rsidTr="0018781A">
        <w:tc>
          <w:tcPr>
            <w:tcW w:w="601" w:type="dxa"/>
            <w:tcBorders>
              <w:top w:val="single" w:sz="4" w:space="0" w:color="auto"/>
              <w:left w:val="nil"/>
              <w:bottom w:val="single" w:sz="4" w:space="0" w:color="auto"/>
              <w:right w:val="nil"/>
            </w:tcBorders>
            <w:vAlign w:val="center"/>
          </w:tcPr>
          <w:p w14:paraId="400F7F6B" w14:textId="77777777" w:rsidR="0018781A" w:rsidRPr="00564B75" w:rsidRDefault="0018781A" w:rsidP="0018781A">
            <w:pPr>
              <w:jc w:val="right"/>
              <w:rPr>
                <w:noProof/>
                <w:sz w:val="20"/>
              </w:rPr>
            </w:pPr>
            <w:r w:rsidRPr="00564B75">
              <w:rPr>
                <w:noProof/>
                <w:sz w:val="20"/>
              </w:rPr>
              <w:t>23</w:t>
            </w:r>
          </w:p>
        </w:tc>
        <w:tc>
          <w:tcPr>
            <w:tcW w:w="3260" w:type="dxa"/>
            <w:gridSpan w:val="2"/>
            <w:tcBorders>
              <w:top w:val="single" w:sz="4" w:space="0" w:color="auto"/>
              <w:left w:val="nil"/>
              <w:bottom w:val="single" w:sz="4" w:space="0" w:color="auto"/>
              <w:right w:val="nil"/>
            </w:tcBorders>
            <w:vAlign w:val="center"/>
          </w:tcPr>
          <w:p w14:paraId="400F7F6C" w14:textId="77777777" w:rsidR="0018781A" w:rsidRPr="00564B75" w:rsidRDefault="0018781A" w:rsidP="0018781A">
            <w:pPr>
              <w:rPr>
                <w:sz w:val="20"/>
              </w:rPr>
            </w:pPr>
            <w:r w:rsidRPr="00564B75">
              <w:rPr>
                <w:sz w:val="20"/>
              </w:rPr>
              <w:t>Citrus, including waste</w:t>
            </w:r>
          </w:p>
        </w:tc>
        <w:tc>
          <w:tcPr>
            <w:tcW w:w="2552" w:type="dxa"/>
            <w:tcBorders>
              <w:top w:val="single" w:sz="4" w:space="0" w:color="auto"/>
              <w:left w:val="nil"/>
              <w:bottom w:val="single" w:sz="4" w:space="0" w:color="auto"/>
              <w:right w:val="nil"/>
            </w:tcBorders>
            <w:vAlign w:val="center"/>
          </w:tcPr>
          <w:p w14:paraId="400F7F6D" w14:textId="77777777" w:rsidR="0018781A" w:rsidRPr="00564B75" w:rsidRDefault="0018781A" w:rsidP="0018781A">
            <w:pPr>
              <w:jc w:val="right"/>
              <w:rPr>
                <w:sz w:val="20"/>
              </w:rPr>
            </w:pPr>
            <w:r w:rsidRPr="00564B75">
              <w:rPr>
                <w:sz w:val="20"/>
              </w:rPr>
              <w:t>300</w:t>
            </w:r>
          </w:p>
        </w:tc>
        <w:tc>
          <w:tcPr>
            <w:tcW w:w="1984" w:type="dxa"/>
            <w:tcBorders>
              <w:top w:val="single" w:sz="4" w:space="0" w:color="auto"/>
              <w:left w:val="nil"/>
              <w:bottom w:val="single" w:sz="4" w:space="0" w:color="auto"/>
              <w:right w:val="nil"/>
            </w:tcBorders>
            <w:vAlign w:val="center"/>
          </w:tcPr>
          <w:p w14:paraId="400F7F6E" w14:textId="77777777" w:rsidR="0018781A" w:rsidRPr="00564B75" w:rsidRDefault="0018781A" w:rsidP="0018781A">
            <w:pPr>
              <w:jc w:val="right"/>
              <w:rPr>
                <w:sz w:val="20"/>
              </w:rPr>
            </w:pPr>
            <w:r w:rsidRPr="00564B75">
              <w:rPr>
                <w:sz w:val="20"/>
              </w:rPr>
              <w:t>730</w:t>
            </w:r>
          </w:p>
        </w:tc>
      </w:tr>
      <w:tr w:rsidR="00216966" w:rsidRPr="00564B75" w14:paraId="400F7F74" w14:textId="77777777" w:rsidTr="0018781A">
        <w:tc>
          <w:tcPr>
            <w:tcW w:w="601" w:type="dxa"/>
            <w:tcBorders>
              <w:top w:val="single" w:sz="4" w:space="0" w:color="auto"/>
              <w:left w:val="nil"/>
              <w:bottom w:val="single" w:sz="12" w:space="0" w:color="auto"/>
              <w:right w:val="nil"/>
            </w:tcBorders>
            <w:vAlign w:val="center"/>
          </w:tcPr>
          <w:p w14:paraId="400F7F70" w14:textId="77777777" w:rsidR="0018781A" w:rsidRPr="00564B75" w:rsidRDefault="0018781A" w:rsidP="0018781A">
            <w:pPr>
              <w:jc w:val="right"/>
              <w:rPr>
                <w:noProof/>
                <w:sz w:val="20"/>
              </w:rPr>
            </w:pPr>
            <w:r w:rsidRPr="00564B75">
              <w:rPr>
                <w:noProof/>
                <w:sz w:val="20"/>
              </w:rPr>
              <w:t>24</w:t>
            </w:r>
          </w:p>
        </w:tc>
        <w:tc>
          <w:tcPr>
            <w:tcW w:w="3260" w:type="dxa"/>
            <w:gridSpan w:val="2"/>
            <w:tcBorders>
              <w:top w:val="single" w:sz="4" w:space="0" w:color="auto"/>
              <w:left w:val="nil"/>
              <w:bottom w:val="single" w:sz="12" w:space="0" w:color="auto"/>
              <w:right w:val="nil"/>
            </w:tcBorders>
            <w:vAlign w:val="center"/>
          </w:tcPr>
          <w:p w14:paraId="400F7F71" w14:textId="77777777" w:rsidR="0018781A" w:rsidRPr="00564B75" w:rsidDel="00DA5E1C" w:rsidRDefault="0018781A" w:rsidP="0018781A">
            <w:pPr>
              <w:rPr>
                <w:sz w:val="20"/>
              </w:rPr>
            </w:pPr>
            <w:r w:rsidRPr="00564B75">
              <w:rPr>
                <w:sz w:val="20"/>
              </w:rPr>
              <w:t>Vegetable oil</w:t>
            </w:r>
          </w:p>
        </w:tc>
        <w:tc>
          <w:tcPr>
            <w:tcW w:w="2552" w:type="dxa"/>
            <w:tcBorders>
              <w:top w:val="single" w:sz="4" w:space="0" w:color="auto"/>
              <w:left w:val="nil"/>
              <w:bottom w:val="single" w:sz="12" w:space="0" w:color="auto"/>
              <w:right w:val="nil"/>
            </w:tcBorders>
            <w:vAlign w:val="center"/>
          </w:tcPr>
          <w:p w14:paraId="400F7F72" w14:textId="77777777" w:rsidR="0018781A" w:rsidRPr="00564B75" w:rsidRDefault="0018781A" w:rsidP="0018781A">
            <w:pPr>
              <w:jc w:val="right"/>
              <w:rPr>
                <w:sz w:val="20"/>
              </w:rPr>
            </w:pPr>
            <w:r w:rsidRPr="00564B75">
              <w:rPr>
                <w:sz w:val="20"/>
              </w:rPr>
              <w:t>420</w:t>
            </w:r>
          </w:p>
        </w:tc>
        <w:tc>
          <w:tcPr>
            <w:tcW w:w="1984" w:type="dxa"/>
            <w:tcBorders>
              <w:top w:val="single" w:sz="4" w:space="0" w:color="auto"/>
              <w:left w:val="nil"/>
              <w:bottom w:val="single" w:sz="12" w:space="0" w:color="auto"/>
              <w:right w:val="nil"/>
            </w:tcBorders>
            <w:vAlign w:val="center"/>
          </w:tcPr>
          <w:p w14:paraId="400F7F73" w14:textId="77777777" w:rsidR="0018781A" w:rsidRPr="00564B75" w:rsidRDefault="0018781A" w:rsidP="0018781A">
            <w:pPr>
              <w:jc w:val="right"/>
              <w:rPr>
                <w:sz w:val="20"/>
              </w:rPr>
            </w:pPr>
            <w:r w:rsidRPr="00564B75">
              <w:rPr>
                <w:sz w:val="20"/>
              </w:rPr>
              <w:t>940</w:t>
            </w:r>
          </w:p>
        </w:tc>
      </w:tr>
      <w:tr w:rsidR="00216966" w:rsidRPr="00564B75" w14:paraId="400F7F79" w14:textId="77777777" w:rsidTr="0018781A">
        <w:tc>
          <w:tcPr>
            <w:tcW w:w="601" w:type="dxa"/>
            <w:tcBorders>
              <w:top w:val="single" w:sz="12" w:space="0" w:color="auto"/>
              <w:left w:val="nil"/>
              <w:bottom w:val="single" w:sz="4" w:space="0" w:color="auto"/>
              <w:right w:val="nil"/>
            </w:tcBorders>
            <w:vAlign w:val="center"/>
          </w:tcPr>
          <w:p w14:paraId="400F7F75" w14:textId="77777777" w:rsidR="0018781A" w:rsidRPr="00564B75" w:rsidRDefault="0018781A" w:rsidP="0018781A">
            <w:pPr>
              <w:jc w:val="right"/>
              <w:rPr>
                <w:noProof/>
                <w:sz w:val="20"/>
              </w:rPr>
            </w:pPr>
            <w:r w:rsidRPr="00564B75">
              <w:rPr>
                <w:noProof/>
                <w:sz w:val="20"/>
              </w:rPr>
              <w:t>25</w:t>
            </w:r>
          </w:p>
        </w:tc>
        <w:tc>
          <w:tcPr>
            <w:tcW w:w="3260" w:type="dxa"/>
            <w:gridSpan w:val="2"/>
            <w:tcBorders>
              <w:top w:val="single" w:sz="12" w:space="0" w:color="auto"/>
              <w:left w:val="nil"/>
              <w:bottom w:val="single" w:sz="4" w:space="0" w:color="auto"/>
              <w:right w:val="nil"/>
            </w:tcBorders>
            <w:vAlign w:val="center"/>
          </w:tcPr>
          <w:p w14:paraId="400F7F76" w14:textId="77777777" w:rsidR="0018781A" w:rsidRPr="00564B75" w:rsidRDefault="0018781A" w:rsidP="0018781A">
            <w:pPr>
              <w:rPr>
                <w:sz w:val="20"/>
              </w:rPr>
            </w:pPr>
            <w:r w:rsidRPr="00564B75">
              <w:rPr>
                <w:sz w:val="20"/>
              </w:rPr>
              <w:t>Sugarcane</w:t>
            </w:r>
          </w:p>
        </w:tc>
        <w:tc>
          <w:tcPr>
            <w:tcW w:w="2552" w:type="dxa"/>
            <w:tcBorders>
              <w:top w:val="single" w:sz="12" w:space="0" w:color="auto"/>
              <w:left w:val="nil"/>
              <w:bottom w:val="single" w:sz="4" w:space="0" w:color="auto"/>
              <w:right w:val="nil"/>
            </w:tcBorders>
            <w:vAlign w:val="center"/>
          </w:tcPr>
          <w:p w14:paraId="400F7F77" w14:textId="77777777" w:rsidR="0018781A" w:rsidRPr="00564B75" w:rsidRDefault="0018781A" w:rsidP="0018781A">
            <w:pPr>
              <w:jc w:val="right"/>
              <w:rPr>
                <w:sz w:val="20"/>
              </w:rPr>
            </w:pPr>
            <w:r w:rsidRPr="00564B75">
              <w:rPr>
                <w:sz w:val="20"/>
              </w:rPr>
              <w:t>230</w:t>
            </w:r>
          </w:p>
        </w:tc>
        <w:tc>
          <w:tcPr>
            <w:tcW w:w="1984" w:type="dxa"/>
            <w:tcBorders>
              <w:top w:val="single" w:sz="12" w:space="0" w:color="auto"/>
              <w:left w:val="nil"/>
              <w:bottom w:val="single" w:sz="4" w:space="0" w:color="auto"/>
              <w:right w:val="nil"/>
            </w:tcBorders>
            <w:vAlign w:val="center"/>
          </w:tcPr>
          <w:p w14:paraId="400F7F78" w14:textId="77777777" w:rsidR="0018781A" w:rsidRPr="00564B75" w:rsidRDefault="0018781A" w:rsidP="0018781A">
            <w:pPr>
              <w:jc w:val="right"/>
              <w:rPr>
                <w:sz w:val="20"/>
              </w:rPr>
            </w:pPr>
            <w:r w:rsidRPr="00564B75">
              <w:rPr>
                <w:sz w:val="20"/>
              </w:rPr>
              <w:t>300</w:t>
            </w:r>
          </w:p>
        </w:tc>
      </w:tr>
      <w:tr w:rsidR="00216966" w:rsidRPr="00564B75" w14:paraId="400F7F7E" w14:textId="77777777" w:rsidTr="009627EA">
        <w:tc>
          <w:tcPr>
            <w:tcW w:w="601" w:type="dxa"/>
            <w:tcBorders>
              <w:top w:val="single" w:sz="4" w:space="0" w:color="auto"/>
              <w:left w:val="nil"/>
              <w:bottom w:val="single" w:sz="4" w:space="0" w:color="auto"/>
              <w:right w:val="nil"/>
            </w:tcBorders>
            <w:vAlign w:val="center"/>
          </w:tcPr>
          <w:p w14:paraId="400F7F7A" w14:textId="77777777" w:rsidR="0018781A" w:rsidRPr="00564B75" w:rsidRDefault="0018781A" w:rsidP="0018781A">
            <w:pPr>
              <w:jc w:val="right"/>
              <w:rPr>
                <w:noProof/>
                <w:sz w:val="20"/>
              </w:rPr>
            </w:pPr>
            <w:r w:rsidRPr="00564B75">
              <w:rPr>
                <w:noProof/>
                <w:sz w:val="20"/>
              </w:rPr>
              <w:lastRenderedPageBreak/>
              <w:t>26</w:t>
            </w:r>
          </w:p>
        </w:tc>
        <w:tc>
          <w:tcPr>
            <w:tcW w:w="3260" w:type="dxa"/>
            <w:gridSpan w:val="2"/>
            <w:tcBorders>
              <w:top w:val="single" w:sz="4" w:space="0" w:color="auto"/>
              <w:left w:val="nil"/>
              <w:bottom w:val="single" w:sz="4" w:space="0" w:color="auto"/>
              <w:right w:val="nil"/>
            </w:tcBorders>
            <w:vAlign w:val="center"/>
          </w:tcPr>
          <w:p w14:paraId="400F7F7B" w14:textId="77777777" w:rsidR="0018781A" w:rsidRPr="00564B75" w:rsidRDefault="0018781A" w:rsidP="0018781A">
            <w:pPr>
              <w:rPr>
                <w:sz w:val="20"/>
              </w:rPr>
            </w:pPr>
            <w:r w:rsidRPr="00564B75">
              <w:rPr>
                <w:sz w:val="20"/>
              </w:rPr>
              <w:t>Lucerne</w:t>
            </w:r>
          </w:p>
        </w:tc>
        <w:tc>
          <w:tcPr>
            <w:tcW w:w="2552" w:type="dxa"/>
            <w:tcBorders>
              <w:top w:val="single" w:sz="4" w:space="0" w:color="auto"/>
              <w:left w:val="nil"/>
              <w:bottom w:val="single" w:sz="4" w:space="0" w:color="auto"/>
              <w:right w:val="nil"/>
            </w:tcBorders>
            <w:vAlign w:val="center"/>
          </w:tcPr>
          <w:p w14:paraId="400F7F7C" w14:textId="77777777" w:rsidR="0018781A" w:rsidRPr="00564B75" w:rsidRDefault="0018781A" w:rsidP="0018781A">
            <w:pPr>
              <w:jc w:val="right"/>
              <w:rPr>
                <w:sz w:val="20"/>
              </w:rPr>
            </w:pPr>
            <w:r w:rsidRPr="00564B75">
              <w:rPr>
                <w:sz w:val="20"/>
              </w:rPr>
              <w:t>230</w:t>
            </w:r>
          </w:p>
        </w:tc>
        <w:tc>
          <w:tcPr>
            <w:tcW w:w="1984" w:type="dxa"/>
            <w:tcBorders>
              <w:top w:val="single" w:sz="4" w:space="0" w:color="auto"/>
              <w:left w:val="nil"/>
              <w:bottom w:val="single" w:sz="4" w:space="0" w:color="auto"/>
              <w:right w:val="nil"/>
            </w:tcBorders>
            <w:vAlign w:val="center"/>
          </w:tcPr>
          <w:p w14:paraId="400F7F7D" w14:textId="77777777" w:rsidR="0018781A" w:rsidRPr="00564B75" w:rsidRDefault="0018781A" w:rsidP="0018781A">
            <w:pPr>
              <w:jc w:val="right"/>
              <w:rPr>
                <w:sz w:val="20"/>
              </w:rPr>
            </w:pPr>
            <w:r w:rsidRPr="00564B75">
              <w:rPr>
                <w:sz w:val="20"/>
              </w:rPr>
              <w:t>500</w:t>
            </w:r>
          </w:p>
        </w:tc>
      </w:tr>
      <w:tr w:rsidR="00216966" w:rsidRPr="00564B75" w14:paraId="400F7F83" w14:textId="77777777" w:rsidTr="0018781A">
        <w:tc>
          <w:tcPr>
            <w:tcW w:w="601" w:type="dxa"/>
            <w:tcBorders>
              <w:top w:val="single" w:sz="4" w:space="0" w:color="auto"/>
              <w:left w:val="nil"/>
              <w:bottom w:val="single" w:sz="4" w:space="0" w:color="auto"/>
              <w:right w:val="nil"/>
            </w:tcBorders>
            <w:vAlign w:val="center"/>
          </w:tcPr>
          <w:p w14:paraId="400F7F7F" w14:textId="77777777" w:rsidR="0018781A" w:rsidRPr="00564B75" w:rsidRDefault="0018781A" w:rsidP="0018781A">
            <w:pPr>
              <w:jc w:val="right"/>
              <w:rPr>
                <w:noProof/>
                <w:sz w:val="20"/>
              </w:rPr>
            </w:pPr>
            <w:r w:rsidRPr="00564B75">
              <w:rPr>
                <w:noProof/>
                <w:sz w:val="20"/>
              </w:rPr>
              <w:t>27</w:t>
            </w:r>
          </w:p>
        </w:tc>
        <w:tc>
          <w:tcPr>
            <w:tcW w:w="3260" w:type="dxa"/>
            <w:gridSpan w:val="2"/>
            <w:tcBorders>
              <w:top w:val="single" w:sz="4" w:space="0" w:color="auto"/>
              <w:left w:val="nil"/>
              <w:bottom w:val="single" w:sz="4" w:space="0" w:color="auto"/>
              <w:right w:val="nil"/>
            </w:tcBorders>
            <w:vAlign w:val="center"/>
          </w:tcPr>
          <w:p w14:paraId="400F7F80" w14:textId="77777777" w:rsidR="0018781A" w:rsidRPr="00564B75" w:rsidRDefault="0018781A" w:rsidP="0018781A">
            <w:pPr>
              <w:rPr>
                <w:sz w:val="20"/>
              </w:rPr>
            </w:pPr>
            <w:r w:rsidRPr="00564B75">
              <w:rPr>
                <w:sz w:val="20"/>
              </w:rPr>
              <w:t>Clover</w:t>
            </w:r>
          </w:p>
        </w:tc>
        <w:tc>
          <w:tcPr>
            <w:tcW w:w="2552" w:type="dxa"/>
            <w:tcBorders>
              <w:top w:val="single" w:sz="4" w:space="0" w:color="auto"/>
              <w:left w:val="nil"/>
              <w:bottom w:val="single" w:sz="4" w:space="0" w:color="auto"/>
              <w:right w:val="nil"/>
            </w:tcBorders>
            <w:vAlign w:val="center"/>
          </w:tcPr>
          <w:p w14:paraId="400F7F81" w14:textId="77777777" w:rsidR="0018781A" w:rsidRPr="00564B75" w:rsidRDefault="0018781A" w:rsidP="0018781A">
            <w:pPr>
              <w:jc w:val="right"/>
              <w:rPr>
                <w:sz w:val="20"/>
              </w:rPr>
            </w:pPr>
            <w:r w:rsidRPr="00564B75">
              <w:rPr>
                <w:sz w:val="20"/>
              </w:rPr>
              <w:t>280</w:t>
            </w:r>
          </w:p>
        </w:tc>
        <w:tc>
          <w:tcPr>
            <w:tcW w:w="1984" w:type="dxa"/>
            <w:tcBorders>
              <w:top w:val="single" w:sz="4" w:space="0" w:color="auto"/>
              <w:left w:val="nil"/>
              <w:bottom w:val="single" w:sz="4" w:space="0" w:color="auto"/>
              <w:right w:val="nil"/>
            </w:tcBorders>
            <w:vAlign w:val="center"/>
          </w:tcPr>
          <w:p w14:paraId="400F7F82" w14:textId="77777777" w:rsidR="0018781A" w:rsidRPr="00564B75" w:rsidRDefault="0018781A" w:rsidP="0018781A">
            <w:pPr>
              <w:jc w:val="right"/>
              <w:rPr>
                <w:sz w:val="20"/>
              </w:rPr>
            </w:pPr>
            <w:r w:rsidRPr="00564B75">
              <w:rPr>
                <w:sz w:val="20"/>
              </w:rPr>
              <w:t>560</w:t>
            </w:r>
          </w:p>
        </w:tc>
      </w:tr>
      <w:tr w:rsidR="00216966" w:rsidRPr="00564B75" w14:paraId="400F7F88" w14:textId="77777777" w:rsidTr="0018781A">
        <w:tc>
          <w:tcPr>
            <w:tcW w:w="601" w:type="dxa"/>
            <w:tcBorders>
              <w:top w:val="single" w:sz="4" w:space="0" w:color="auto"/>
              <w:left w:val="nil"/>
              <w:bottom w:val="single" w:sz="12" w:space="0" w:color="auto"/>
              <w:right w:val="nil"/>
            </w:tcBorders>
            <w:vAlign w:val="center"/>
          </w:tcPr>
          <w:p w14:paraId="400F7F84" w14:textId="77777777" w:rsidR="0018781A" w:rsidRPr="00564B75" w:rsidRDefault="0018781A" w:rsidP="0018781A">
            <w:pPr>
              <w:jc w:val="right"/>
              <w:rPr>
                <w:noProof/>
                <w:sz w:val="20"/>
              </w:rPr>
            </w:pPr>
            <w:r w:rsidRPr="00564B75">
              <w:rPr>
                <w:noProof/>
                <w:sz w:val="20"/>
              </w:rPr>
              <w:t>28</w:t>
            </w:r>
          </w:p>
        </w:tc>
        <w:tc>
          <w:tcPr>
            <w:tcW w:w="3260" w:type="dxa"/>
            <w:gridSpan w:val="2"/>
            <w:tcBorders>
              <w:top w:val="single" w:sz="4" w:space="0" w:color="auto"/>
              <w:left w:val="nil"/>
              <w:bottom w:val="single" w:sz="12" w:space="0" w:color="auto"/>
              <w:right w:val="nil"/>
            </w:tcBorders>
            <w:vAlign w:val="center"/>
          </w:tcPr>
          <w:p w14:paraId="400F7F85" w14:textId="77777777" w:rsidR="0018781A" w:rsidRPr="00564B75" w:rsidRDefault="0018781A" w:rsidP="0018781A">
            <w:pPr>
              <w:rPr>
                <w:sz w:val="20"/>
              </w:rPr>
            </w:pPr>
            <w:r w:rsidRPr="00564B75">
              <w:rPr>
                <w:sz w:val="20"/>
              </w:rPr>
              <w:t>Ryegrass</w:t>
            </w:r>
          </w:p>
        </w:tc>
        <w:tc>
          <w:tcPr>
            <w:tcW w:w="2552" w:type="dxa"/>
            <w:tcBorders>
              <w:top w:val="single" w:sz="4" w:space="0" w:color="auto"/>
              <w:left w:val="nil"/>
              <w:bottom w:val="single" w:sz="12" w:space="0" w:color="auto"/>
              <w:right w:val="nil"/>
            </w:tcBorders>
            <w:vAlign w:val="center"/>
          </w:tcPr>
          <w:p w14:paraId="400F7F86" w14:textId="77777777" w:rsidR="0018781A" w:rsidRPr="00564B75" w:rsidRDefault="0018781A" w:rsidP="0018781A">
            <w:pPr>
              <w:jc w:val="right"/>
              <w:rPr>
                <w:sz w:val="20"/>
              </w:rPr>
            </w:pPr>
            <w:r w:rsidRPr="00564B75">
              <w:rPr>
                <w:sz w:val="20"/>
              </w:rPr>
              <w:t>390</w:t>
            </w:r>
          </w:p>
        </w:tc>
        <w:tc>
          <w:tcPr>
            <w:tcW w:w="1984" w:type="dxa"/>
            <w:tcBorders>
              <w:top w:val="single" w:sz="4" w:space="0" w:color="auto"/>
              <w:left w:val="nil"/>
              <w:bottom w:val="single" w:sz="12" w:space="0" w:color="auto"/>
              <w:right w:val="nil"/>
            </w:tcBorders>
            <w:vAlign w:val="center"/>
          </w:tcPr>
          <w:p w14:paraId="400F7F87" w14:textId="77777777" w:rsidR="0018781A" w:rsidRPr="00564B75" w:rsidRDefault="0018781A" w:rsidP="0018781A">
            <w:pPr>
              <w:jc w:val="right"/>
              <w:rPr>
                <w:sz w:val="20"/>
              </w:rPr>
            </w:pPr>
            <w:r w:rsidRPr="00564B75">
              <w:rPr>
                <w:sz w:val="20"/>
              </w:rPr>
              <w:t>510</w:t>
            </w:r>
          </w:p>
        </w:tc>
      </w:tr>
      <w:tr w:rsidR="00216966" w:rsidRPr="00564B75" w14:paraId="400F7F8D" w14:textId="77777777" w:rsidTr="0018781A">
        <w:tc>
          <w:tcPr>
            <w:tcW w:w="601" w:type="dxa"/>
            <w:tcBorders>
              <w:top w:val="single" w:sz="12" w:space="0" w:color="auto"/>
              <w:left w:val="nil"/>
              <w:bottom w:val="single" w:sz="4" w:space="0" w:color="auto"/>
              <w:right w:val="nil"/>
            </w:tcBorders>
            <w:vAlign w:val="center"/>
          </w:tcPr>
          <w:p w14:paraId="400F7F89" w14:textId="77777777" w:rsidR="0018781A" w:rsidRPr="00564B75" w:rsidRDefault="0018781A" w:rsidP="0018781A">
            <w:pPr>
              <w:jc w:val="right"/>
              <w:rPr>
                <w:noProof/>
                <w:sz w:val="20"/>
              </w:rPr>
            </w:pPr>
            <w:r w:rsidRPr="00564B75">
              <w:rPr>
                <w:noProof/>
                <w:sz w:val="20"/>
              </w:rPr>
              <w:t>29</w:t>
            </w:r>
          </w:p>
        </w:tc>
        <w:tc>
          <w:tcPr>
            <w:tcW w:w="3260" w:type="dxa"/>
            <w:gridSpan w:val="2"/>
            <w:tcBorders>
              <w:top w:val="single" w:sz="12" w:space="0" w:color="auto"/>
              <w:left w:val="nil"/>
              <w:bottom w:val="single" w:sz="4" w:space="0" w:color="auto"/>
              <w:right w:val="nil"/>
            </w:tcBorders>
            <w:vAlign w:val="center"/>
          </w:tcPr>
          <w:p w14:paraId="400F7F8A" w14:textId="77777777" w:rsidR="0018781A" w:rsidRPr="00564B75" w:rsidRDefault="0018781A" w:rsidP="0018781A">
            <w:pPr>
              <w:rPr>
                <w:sz w:val="20"/>
              </w:rPr>
            </w:pPr>
            <w:r w:rsidRPr="00564B75">
              <w:rPr>
                <w:sz w:val="20"/>
              </w:rPr>
              <w:t>Macroalgae (saltwater)</w:t>
            </w:r>
          </w:p>
        </w:tc>
        <w:tc>
          <w:tcPr>
            <w:tcW w:w="2552" w:type="dxa"/>
            <w:tcBorders>
              <w:top w:val="single" w:sz="12" w:space="0" w:color="auto"/>
              <w:left w:val="nil"/>
              <w:bottom w:val="single" w:sz="4" w:space="0" w:color="auto"/>
              <w:right w:val="nil"/>
            </w:tcBorders>
            <w:vAlign w:val="center"/>
          </w:tcPr>
          <w:p w14:paraId="400F7F8B" w14:textId="77777777" w:rsidR="0018781A" w:rsidRPr="00564B75" w:rsidRDefault="0018781A" w:rsidP="0018781A">
            <w:pPr>
              <w:jc w:val="right"/>
              <w:rPr>
                <w:sz w:val="20"/>
              </w:rPr>
            </w:pPr>
            <w:r w:rsidRPr="00564B75">
              <w:rPr>
                <w:sz w:val="20"/>
              </w:rPr>
              <w:t>100</w:t>
            </w:r>
          </w:p>
        </w:tc>
        <w:tc>
          <w:tcPr>
            <w:tcW w:w="1984" w:type="dxa"/>
            <w:tcBorders>
              <w:top w:val="single" w:sz="12" w:space="0" w:color="auto"/>
              <w:left w:val="nil"/>
              <w:bottom w:val="single" w:sz="4" w:space="0" w:color="auto"/>
              <w:right w:val="nil"/>
            </w:tcBorders>
            <w:vAlign w:val="center"/>
          </w:tcPr>
          <w:p w14:paraId="400F7F8C" w14:textId="77777777" w:rsidR="0018781A" w:rsidRPr="00564B75" w:rsidRDefault="0018781A" w:rsidP="0018781A">
            <w:pPr>
              <w:jc w:val="right"/>
              <w:rPr>
                <w:sz w:val="20"/>
              </w:rPr>
            </w:pPr>
            <w:r w:rsidRPr="00564B75">
              <w:rPr>
                <w:sz w:val="20"/>
              </w:rPr>
              <w:t>560</w:t>
            </w:r>
          </w:p>
        </w:tc>
      </w:tr>
      <w:tr w:rsidR="00216966" w:rsidRPr="00564B75" w14:paraId="400F7F92" w14:textId="77777777" w:rsidTr="0018781A">
        <w:tc>
          <w:tcPr>
            <w:tcW w:w="601" w:type="dxa"/>
            <w:tcBorders>
              <w:top w:val="single" w:sz="4" w:space="0" w:color="auto"/>
              <w:left w:val="nil"/>
              <w:bottom w:val="single" w:sz="4" w:space="0" w:color="auto"/>
              <w:right w:val="nil"/>
            </w:tcBorders>
            <w:vAlign w:val="center"/>
          </w:tcPr>
          <w:p w14:paraId="400F7F8E" w14:textId="77777777" w:rsidR="0018781A" w:rsidRPr="00564B75" w:rsidRDefault="0018781A" w:rsidP="0018781A">
            <w:pPr>
              <w:jc w:val="right"/>
              <w:rPr>
                <w:noProof/>
                <w:sz w:val="20"/>
              </w:rPr>
            </w:pPr>
            <w:r w:rsidRPr="00564B75">
              <w:rPr>
                <w:noProof/>
                <w:sz w:val="20"/>
              </w:rPr>
              <w:t>30</w:t>
            </w:r>
          </w:p>
        </w:tc>
        <w:tc>
          <w:tcPr>
            <w:tcW w:w="3260" w:type="dxa"/>
            <w:gridSpan w:val="2"/>
            <w:tcBorders>
              <w:top w:val="single" w:sz="4" w:space="0" w:color="auto"/>
              <w:left w:val="nil"/>
              <w:bottom w:val="single" w:sz="4" w:space="0" w:color="auto"/>
              <w:right w:val="nil"/>
            </w:tcBorders>
            <w:vAlign w:val="center"/>
          </w:tcPr>
          <w:p w14:paraId="400F7F8F" w14:textId="77777777" w:rsidR="0018781A" w:rsidRPr="00564B75" w:rsidRDefault="0018781A" w:rsidP="0018781A">
            <w:pPr>
              <w:rPr>
                <w:sz w:val="20"/>
              </w:rPr>
            </w:pPr>
            <w:r w:rsidRPr="00564B75">
              <w:rPr>
                <w:sz w:val="20"/>
              </w:rPr>
              <w:t>Macroalgae (freshwater)</w:t>
            </w:r>
          </w:p>
        </w:tc>
        <w:tc>
          <w:tcPr>
            <w:tcW w:w="2552" w:type="dxa"/>
            <w:tcBorders>
              <w:top w:val="single" w:sz="4" w:space="0" w:color="auto"/>
              <w:left w:val="nil"/>
              <w:bottom w:val="single" w:sz="4" w:space="0" w:color="auto"/>
              <w:right w:val="nil"/>
            </w:tcBorders>
            <w:vAlign w:val="center"/>
          </w:tcPr>
          <w:p w14:paraId="400F7F90" w14:textId="77777777" w:rsidR="0018781A" w:rsidRPr="00564B75" w:rsidRDefault="0018781A" w:rsidP="0018781A">
            <w:pPr>
              <w:jc w:val="right"/>
              <w:rPr>
                <w:sz w:val="20"/>
              </w:rPr>
            </w:pPr>
            <w:r w:rsidRPr="00564B75">
              <w:rPr>
                <w:sz w:val="20"/>
              </w:rPr>
              <w:t>100</w:t>
            </w:r>
          </w:p>
        </w:tc>
        <w:tc>
          <w:tcPr>
            <w:tcW w:w="1984" w:type="dxa"/>
            <w:tcBorders>
              <w:top w:val="single" w:sz="4" w:space="0" w:color="auto"/>
              <w:left w:val="nil"/>
              <w:bottom w:val="single" w:sz="4" w:space="0" w:color="auto"/>
              <w:right w:val="nil"/>
            </w:tcBorders>
            <w:vAlign w:val="center"/>
          </w:tcPr>
          <w:p w14:paraId="400F7F91" w14:textId="77777777" w:rsidR="0018781A" w:rsidRPr="00564B75" w:rsidRDefault="0018781A" w:rsidP="0018781A">
            <w:pPr>
              <w:jc w:val="right"/>
              <w:rPr>
                <w:sz w:val="20"/>
              </w:rPr>
            </w:pPr>
            <w:r w:rsidRPr="00564B75">
              <w:rPr>
                <w:sz w:val="20"/>
              </w:rPr>
              <w:t>230</w:t>
            </w:r>
          </w:p>
        </w:tc>
      </w:tr>
      <w:tr w:rsidR="00216966" w:rsidRPr="00564B75" w14:paraId="400F7F97" w14:textId="77777777" w:rsidTr="0018781A">
        <w:tc>
          <w:tcPr>
            <w:tcW w:w="601" w:type="dxa"/>
            <w:tcBorders>
              <w:top w:val="single" w:sz="4" w:space="0" w:color="auto"/>
              <w:left w:val="nil"/>
              <w:bottom w:val="single" w:sz="12" w:space="0" w:color="auto"/>
              <w:right w:val="nil"/>
            </w:tcBorders>
            <w:vAlign w:val="center"/>
          </w:tcPr>
          <w:p w14:paraId="400F7F93" w14:textId="77777777" w:rsidR="0018781A" w:rsidRPr="00564B75" w:rsidRDefault="0018781A" w:rsidP="0018781A">
            <w:pPr>
              <w:jc w:val="right"/>
              <w:rPr>
                <w:sz w:val="20"/>
              </w:rPr>
            </w:pPr>
            <w:r w:rsidRPr="00564B75">
              <w:rPr>
                <w:noProof/>
                <w:sz w:val="20"/>
              </w:rPr>
              <w:t>31</w:t>
            </w:r>
          </w:p>
        </w:tc>
        <w:tc>
          <w:tcPr>
            <w:tcW w:w="3260" w:type="dxa"/>
            <w:gridSpan w:val="2"/>
            <w:tcBorders>
              <w:top w:val="single" w:sz="4" w:space="0" w:color="auto"/>
              <w:left w:val="nil"/>
              <w:bottom w:val="single" w:sz="12" w:space="0" w:color="auto"/>
              <w:right w:val="nil"/>
            </w:tcBorders>
            <w:vAlign w:val="center"/>
          </w:tcPr>
          <w:p w14:paraId="400F7F94" w14:textId="77777777" w:rsidR="0018781A" w:rsidRPr="00564B75" w:rsidRDefault="0018781A" w:rsidP="0018781A">
            <w:pPr>
              <w:rPr>
                <w:sz w:val="20"/>
              </w:rPr>
            </w:pPr>
            <w:r w:rsidRPr="00564B75">
              <w:rPr>
                <w:sz w:val="20"/>
              </w:rPr>
              <w:t>Microalgae (freshwater)</w:t>
            </w:r>
          </w:p>
        </w:tc>
        <w:tc>
          <w:tcPr>
            <w:tcW w:w="2552" w:type="dxa"/>
            <w:tcBorders>
              <w:top w:val="single" w:sz="4" w:space="0" w:color="auto"/>
              <w:left w:val="nil"/>
              <w:bottom w:val="single" w:sz="12" w:space="0" w:color="auto"/>
              <w:right w:val="nil"/>
            </w:tcBorders>
            <w:vAlign w:val="center"/>
          </w:tcPr>
          <w:p w14:paraId="400F7F95" w14:textId="77777777" w:rsidR="0018781A" w:rsidRPr="00564B75" w:rsidRDefault="0018781A" w:rsidP="0018781A">
            <w:pPr>
              <w:jc w:val="right"/>
              <w:rPr>
                <w:sz w:val="20"/>
              </w:rPr>
            </w:pPr>
            <w:r w:rsidRPr="00564B75">
              <w:rPr>
                <w:sz w:val="20"/>
              </w:rPr>
              <w:t>180</w:t>
            </w:r>
          </w:p>
        </w:tc>
        <w:tc>
          <w:tcPr>
            <w:tcW w:w="1984" w:type="dxa"/>
            <w:tcBorders>
              <w:top w:val="single" w:sz="4" w:space="0" w:color="auto"/>
              <w:left w:val="nil"/>
              <w:bottom w:val="single" w:sz="12" w:space="0" w:color="auto"/>
              <w:right w:val="nil"/>
            </w:tcBorders>
            <w:vAlign w:val="center"/>
          </w:tcPr>
          <w:p w14:paraId="400F7F96" w14:textId="77777777" w:rsidR="0018781A" w:rsidRPr="00564B75" w:rsidRDefault="0018781A" w:rsidP="0018781A">
            <w:pPr>
              <w:jc w:val="right"/>
              <w:rPr>
                <w:sz w:val="20"/>
              </w:rPr>
            </w:pPr>
            <w:r w:rsidRPr="00564B75">
              <w:rPr>
                <w:sz w:val="20"/>
              </w:rPr>
              <w:t>420</w:t>
            </w:r>
          </w:p>
        </w:tc>
      </w:tr>
      <w:tr w:rsidR="00216966" w:rsidRPr="00564B75" w14:paraId="400F7F9C" w14:textId="77777777" w:rsidTr="0018781A">
        <w:tc>
          <w:tcPr>
            <w:tcW w:w="601" w:type="dxa"/>
            <w:tcBorders>
              <w:top w:val="single" w:sz="12" w:space="0" w:color="auto"/>
              <w:left w:val="nil"/>
              <w:bottom w:val="single" w:sz="4" w:space="0" w:color="auto"/>
              <w:right w:val="nil"/>
            </w:tcBorders>
            <w:vAlign w:val="center"/>
          </w:tcPr>
          <w:p w14:paraId="400F7F98" w14:textId="77777777" w:rsidR="0018781A" w:rsidRPr="00564B75" w:rsidRDefault="0018781A" w:rsidP="0018781A">
            <w:pPr>
              <w:jc w:val="right"/>
              <w:rPr>
                <w:noProof/>
                <w:sz w:val="20"/>
              </w:rPr>
            </w:pPr>
            <w:r w:rsidRPr="00564B75">
              <w:rPr>
                <w:noProof/>
                <w:sz w:val="20"/>
              </w:rPr>
              <w:t>32</w:t>
            </w:r>
          </w:p>
        </w:tc>
        <w:tc>
          <w:tcPr>
            <w:tcW w:w="3260" w:type="dxa"/>
            <w:gridSpan w:val="2"/>
            <w:tcBorders>
              <w:top w:val="single" w:sz="12" w:space="0" w:color="auto"/>
              <w:left w:val="nil"/>
              <w:bottom w:val="single" w:sz="4" w:space="0" w:color="auto"/>
              <w:right w:val="nil"/>
            </w:tcBorders>
            <w:vAlign w:val="center"/>
          </w:tcPr>
          <w:p w14:paraId="400F7F99" w14:textId="77777777" w:rsidR="0018781A" w:rsidRPr="00564B75" w:rsidRDefault="0018781A" w:rsidP="0018781A">
            <w:pPr>
              <w:rPr>
                <w:sz w:val="20"/>
              </w:rPr>
            </w:pPr>
            <w:r w:rsidRPr="00564B75">
              <w:rPr>
                <w:sz w:val="20"/>
              </w:rPr>
              <w:t>Grass hay &amp; silage</w:t>
            </w:r>
          </w:p>
        </w:tc>
        <w:tc>
          <w:tcPr>
            <w:tcW w:w="2552" w:type="dxa"/>
            <w:tcBorders>
              <w:top w:val="single" w:sz="12" w:space="0" w:color="auto"/>
              <w:left w:val="nil"/>
              <w:bottom w:val="single" w:sz="4" w:space="0" w:color="auto"/>
              <w:right w:val="nil"/>
            </w:tcBorders>
            <w:vAlign w:val="center"/>
          </w:tcPr>
          <w:p w14:paraId="400F7F9A" w14:textId="77777777" w:rsidR="0018781A" w:rsidRPr="00564B75" w:rsidRDefault="0018781A" w:rsidP="0018781A">
            <w:pPr>
              <w:jc w:val="right"/>
              <w:rPr>
                <w:sz w:val="20"/>
              </w:rPr>
            </w:pPr>
            <w:r w:rsidRPr="00564B75">
              <w:rPr>
                <w:sz w:val="20"/>
              </w:rPr>
              <w:t>100</w:t>
            </w:r>
          </w:p>
        </w:tc>
        <w:tc>
          <w:tcPr>
            <w:tcW w:w="1984" w:type="dxa"/>
            <w:tcBorders>
              <w:top w:val="single" w:sz="12" w:space="0" w:color="auto"/>
              <w:left w:val="nil"/>
              <w:bottom w:val="single" w:sz="4" w:space="0" w:color="auto"/>
              <w:right w:val="nil"/>
            </w:tcBorders>
            <w:vAlign w:val="center"/>
          </w:tcPr>
          <w:p w14:paraId="400F7F9B" w14:textId="77777777" w:rsidR="0018781A" w:rsidRPr="00564B75" w:rsidRDefault="0018781A" w:rsidP="0018781A">
            <w:pPr>
              <w:jc w:val="right"/>
              <w:rPr>
                <w:sz w:val="20"/>
              </w:rPr>
            </w:pPr>
            <w:r w:rsidRPr="00564B75">
              <w:rPr>
                <w:sz w:val="20"/>
              </w:rPr>
              <w:t>390</w:t>
            </w:r>
          </w:p>
        </w:tc>
      </w:tr>
      <w:tr w:rsidR="00216966" w:rsidRPr="00564B75" w14:paraId="400F7FA1" w14:textId="77777777" w:rsidTr="009627EA">
        <w:tc>
          <w:tcPr>
            <w:tcW w:w="601" w:type="dxa"/>
            <w:tcBorders>
              <w:top w:val="single" w:sz="4" w:space="0" w:color="auto"/>
              <w:left w:val="nil"/>
              <w:bottom w:val="single" w:sz="4" w:space="0" w:color="auto"/>
              <w:right w:val="nil"/>
            </w:tcBorders>
            <w:vAlign w:val="center"/>
          </w:tcPr>
          <w:p w14:paraId="400F7F9D" w14:textId="77777777" w:rsidR="0018781A" w:rsidRPr="00564B75" w:rsidRDefault="0018781A" w:rsidP="0018781A">
            <w:pPr>
              <w:jc w:val="right"/>
              <w:rPr>
                <w:noProof/>
                <w:sz w:val="20"/>
              </w:rPr>
            </w:pPr>
            <w:r w:rsidRPr="00564B75">
              <w:rPr>
                <w:noProof/>
                <w:sz w:val="20"/>
              </w:rPr>
              <w:t>33</w:t>
            </w:r>
          </w:p>
        </w:tc>
        <w:tc>
          <w:tcPr>
            <w:tcW w:w="3260" w:type="dxa"/>
            <w:gridSpan w:val="2"/>
            <w:tcBorders>
              <w:top w:val="single" w:sz="4" w:space="0" w:color="auto"/>
              <w:left w:val="nil"/>
              <w:bottom w:val="single" w:sz="4" w:space="0" w:color="auto"/>
              <w:right w:val="nil"/>
            </w:tcBorders>
            <w:vAlign w:val="center"/>
          </w:tcPr>
          <w:p w14:paraId="400F7F9E" w14:textId="77777777" w:rsidR="0018781A" w:rsidRPr="00564B75" w:rsidRDefault="0018781A" w:rsidP="0018781A">
            <w:pPr>
              <w:rPr>
                <w:sz w:val="20"/>
              </w:rPr>
            </w:pPr>
            <w:r w:rsidRPr="00564B75">
              <w:rPr>
                <w:sz w:val="20"/>
              </w:rPr>
              <w:t xml:space="preserve">Rye, </w:t>
            </w:r>
            <w:proofErr w:type="gramStart"/>
            <w:r w:rsidRPr="00564B75">
              <w:rPr>
                <w:sz w:val="20"/>
              </w:rPr>
              <w:t>barley</w:t>
            </w:r>
            <w:proofErr w:type="gramEnd"/>
            <w:r w:rsidRPr="00564B75">
              <w:rPr>
                <w:sz w:val="20"/>
              </w:rPr>
              <w:t xml:space="preserve"> and corn silage</w:t>
            </w:r>
          </w:p>
        </w:tc>
        <w:tc>
          <w:tcPr>
            <w:tcW w:w="2552" w:type="dxa"/>
            <w:tcBorders>
              <w:top w:val="single" w:sz="4" w:space="0" w:color="auto"/>
              <w:left w:val="nil"/>
              <w:bottom w:val="single" w:sz="4" w:space="0" w:color="auto"/>
              <w:right w:val="nil"/>
            </w:tcBorders>
            <w:vAlign w:val="center"/>
          </w:tcPr>
          <w:p w14:paraId="400F7F9F" w14:textId="77777777" w:rsidR="0018781A" w:rsidRPr="00564B75" w:rsidRDefault="0018781A" w:rsidP="0018781A">
            <w:pPr>
              <w:jc w:val="right"/>
              <w:rPr>
                <w:sz w:val="20"/>
              </w:rPr>
            </w:pPr>
            <w:r w:rsidRPr="00564B75">
              <w:rPr>
                <w:sz w:val="20"/>
              </w:rPr>
              <w:t>280</w:t>
            </w:r>
          </w:p>
        </w:tc>
        <w:tc>
          <w:tcPr>
            <w:tcW w:w="1984" w:type="dxa"/>
            <w:tcBorders>
              <w:top w:val="single" w:sz="4" w:space="0" w:color="auto"/>
              <w:left w:val="nil"/>
              <w:bottom w:val="single" w:sz="4" w:space="0" w:color="auto"/>
              <w:right w:val="nil"/>
            </w:tcBorders>
            <w:vAlign w:val="center"/>
          </w:tcPr>
          <w:p w14:paraId="400F7FA0" w14:textId="77777777" w:rsidR="0018781A" w:rsidRPr="00564B75" w:rsidRDefault="0018781A" w:rsidP="0018781A">
            <w:pPr>
              <w:jc w:val="right"/>
              <w:rPr>
                <w:sz w:val="20"/>
              </w:rPr>
            </w:pPr>
            <w:r w:rsidRPr="00564B75">
              <w:rPr>
                <w:sz w:val="20"/>
              </w:rPr>
              <w:t>600</w:t>
            </w:r>
          </w:p>
        </w:tc>
      </w:tr>
      <w:tr w:rsidR="00216966" w:rsidRPr="00564B75" w14:paraId="400F7FA6" w14:textId="77777777" w:rsidTr="009627EA">
        <w:tc>
          <w:tcPr>
            <w:tcW w:w="601" w:type="dxa"/>
            <w:tcBorders>
              <w:top w:val="single" w:sz="4" w:space="0" w:color="auto"/>
              <w:left w:val="nil"/>
              <w:bottom w:val="single" w:sz="4" w:space="0" w:color="auto"/>
              <w:right w:val="nil"/>
            </w:tcBorders>
            <w:vAlign w:val="center"/>
          </w:tcPr>
          <w:p w14:paraId="400F7FA2" w14:textId="77777777" w:rsidR="0018781A" w:rsidRPr="00564B75" w:rsidRDefault="0018781A" w:rsidP="0018781A">
            <w:pPr>
              <w:jc w:val="right"/>
              <w:rPr>
                <w:noProof/>
                <w:sz w:val="20"/>
              </w:rPr>
            </w:pPr>
            <w:r w:rsidRPr="00564B75">
              <w:rPr>
                <w:noProof/>
                <w:sz w:val="20"/>
              </w:rPr>
              <w:t>34</w:t>
            </w:r>
          </w:p>
        </w:tc>
        <w:tc>
          <w:tcPr>
            <w:tcW w:w="3260" w:type="dxa"/>
            <w:gridSpan w:val="2"/>
            <w:tcBorders>
              <w:top w:val="single" w:sz="4" w:space="0" w:color="auto"/>
              <w:left w:val="nil"/>
              <w:bottom w:val="single" w:sz="4" w:space="0" w:color="auto"/>
              <w:right w:val="nil"/>
            </w:tcBorders>
            <w:vAlign w:val="center"/>
          </w:tcPr>
          <w:p w14:paraId="400F7FA3" w14:textId="77777777" w:rsidR="0018781A" w:rsidRPr="00564B75" w:rsidRDefault="0018781A" w:rsidP="0018781A">
            <w:pPr>
              <w:rPr>
                <w:sz w:val="20"/>
              </w:rPr>
            </w:pPr>
            <w:r w:rsidRPr="00564B75">
              <w:rPr>
                <w:sz w:val="20"/>
              </w:rPr>
              <w:t>Forage sorghum silage</w:t>
            </w:r>
          </w:p>
        </w:tc>
        <w:tc>
          <w:tcPr>
            <w:tcW w:w="2552" w:type="dxa"/>
            <w:tcBorders>
              <w:top w:val="single" w:sz="4" w:space="0" w:color="auto"/>
              <w:left w:val="nil"/>
              <w:bottom w:val="single" w:sz="4" w:space="0" w:color="auto"/>
              <w:right w:val="nil"/>
            </w:tcBorders>
            <w:vAlign w:val="center"/>
          </w:tcPr>
          <w:p w14:paraId="400F7FA4" w14:textId="77777777" w:rsidR="0018781A" w:rsidRPr="00564B75" w:rsidRDefault="0018781A" w:rsidP="0018781A">
            <w:pPr>
              <w:jc w:val="right"/>
              <w:rPr>
                <w:sz w:val="20"/>
              </w:rPr>
            </w:pPr>
            <w:r w:rsidRPr="00564B75">
              <w:rPr>
                <w:sz w:val="20"/>
              </w:rPr>
              <w:t>260</w:t>
            </w:r>
          </w:p>
        </w:tc>
        <w:tc>
          <w:tcPr>
            <w:tcW w:w="1984" w:type="dxa"/>
            <w:tcBorders>
              <w:top w:val="single" w:sz="4" w:space="0" w:color="auto"/>
              <w:left w:val="nil"/>
              <w:bottom w:val="single" w:sz="4" w:space="0" w:color="auto"/>
              <w:right w:val="nil"/>
            </w:tcBorders>
            <w:vAlign w:val="center"/>
          </w:tcPr>
          <w:p w14:paraId="400F7FA5" w14:textId="77777777" w:rsidR="0018781A" w:rsidRPr="00564B75" w:rsidRDefault="0018781A" w:rsidP="0018781A">
            <w:pPr>
              <w:jc w:val="right"/>
              <w:rPr>
                <w:sz w:val="20"/>
              </w:rPr>
            </w:pPr>
            <w:r w:rsidRPr="00564B75">
              <w:rPr>
                <w:sz w:val="20"/>
              </w:rPr>
              <w:t>420</w:t>
            </w:r>
          </w:p>
        </w:tc>
      </w:tr>
      <w:tr w:rsidR="00216966" w:rsidRPr="00564B75" w14:paraId="400F7FAB" w14:textId="77777777" w:rsidTr="009627EA">
        <w:tc>
          <w:tcPr>
            <w:tcW w:w="601" w:type="dxa"/>
            <w:tcBorders>
              <w:top w:val="single" w:sz="4" w:space="0" w:color="auto"/>
              <w:left w:val="nil"/>
              <w:bottom w:val="single" w:sz="4" w:space="0" w:color="auto"/>
              <w:right w:val="nil"/>
            </w:tcBorders>
            <w:vAlign w:val="center"/>
          </w:tcPr>
          <w:p w14:paraId="400F7FA7" w14:textId="77777777" w:rsidR="0018781A" w:rsidRPr="00564B75" w:rsidRDefault="0018781A" w:rsidP="0018781A">
            <w:pPr>
              <w:jc w:val="right"/>
              <w:rPr>
                <w:noProof/>
                <w:sz w:val="20"/>
              </w:rPr>
            </w:pPr>
            <w:r w:rsidRPr="00564B75">
              <w:rPr>
                <w:noProof/>
                <w:sz w:val="20"/>
              </w:rPr>
              <w:t>35</w:t>
            </w:r>
          </w:p>
        </w:tc>
        <w:tc>
          <w:tcPr>
            <w:tcW w:w="3260" w:type="dxa"/>
            <w:gridSpan w:val="2"/>
            <w:tcBorders>
              <w:top w:val="single" w:sz="4" w:space="0" w:color="auto"/>
              <w:left w:val="nil"/>
              <w:bottom w:val="single" w:sz="4" w:space="0" w:color="auto"/>
              <w:right w:val="nil"/>
            </w:tcBorders>
            <w:vAlign w:val="center"/>
          </w:tcPr>
          <w:p w14:paraId="400F7FA8" w14:textId="77777777" w:rsidR="0018781A" w:rsidRPr="00564B75" w:rsidRDefault="0018781A" w:rsidP="0018781A">
            <w:pPr>
              <w:rPr>
                <w:sz w:val="20"/>
              </w:rPr>
            </w:pPr>
            <w:r w:rsidRPr="00564B75">
              <w:rPr>
                <w:sz w:val="20"/>
              </w:rPr>
              <w:t>Triticale silage</w:t>
            </w:r>
          </w:p>
        </w:tc>
        <w:tc>
          <w:tcPr>
            <w:tcW w:w="2552" w:type="dxa"/>
            <w:tcBorders>
              <w:top w:val="single" w:sz="4" w:space="0" w:color="auto"/>
              <w:left w:val="nil"/>
              <w:bottom w:val="single" w:sz="4" w:space="0" w:color="auto"/>
              <w:right w:val="nil"/>
            </w:tcBorders>
            <w:vAlign w:val="center"/>
          </w:tcPr>
          <w:p w14:paraId="400F7FA9" w14:textId="77777777" w:rsidR="0018781A" w:rsidRPr="00564B75" w:rsidRDefault="0018781A" w:rsidP="0018781A">
            <w:pPr>
              <w:jc w:val="right"/>
              <w:rPr>
                <w:sz w:val="20"/>
              </w:rPr>
            </w:pPr>
            <w:r w:rsidRPr="00564B75">
              <w:rPr>
                <w:sz w:val="20"/>
              </w:rPr>
              <w:t>250</w:t>
            </w:r>
          </w:p>
        </w:tc>
        <w:tc>
          <w:tcPr>
            <w:tcW w:w="1984" w:type="dxa"/>
            <w:tcBorders>
              <w:top w:val="single" w:sz="4" w:space="0" w:color="auto"/>
              <w:left w:val="nil"/>
              <w:bottom w:val="single" w:sz="4" w:space="0" w:color="auto"/>
              <w:right w:val="nil"/>
            </w:tcBorders>
            <w:vAlign w:val="center"/>
          </w:tcPr>
          <w:p w14:paraId="400F7FAA" w14:textId="77777777" w:rsidR="0018781A" w:rsidRPr="00564B75" w:rsidRDefault="0018781A" w:rsidP="0018781A">
            <w:pPr>
              <w:jc w:val="right"/>
              <w:rPr>
                <w:sz w:val="20"/>
              </w:rPr>
            </w:pPr>
            <w:r w:rsidRPr="00564B75">
              <w:rPr>
                <w:sz w:val="20"/>
              </w:rPr>
              <w:t>610</w:t>
            </w:r>
          </w:p>
        </w:tc>
      </w:tr>
      <w:tr w:rsidR="00216966" w:rsidRPr="00564B75" w14:paraId="400F7FB0" w14:textId="77777777" w:rsidTr="009627EA">
        <w:tc>
          <w:tcPr>
            <w:tcW w:w="601" w:type="dxa"/>
            <w:tcBorders>
              <w:top w:val="single" w:sz="4" w:space="0" w:color="auto"/>
              <w:left w:val="nil"/>
              <w:bottom w:val="single" w:sz="4" w:space="0" w:color="auto"/>
              <w:right w:val="nil"/>
            </w:tcBorders>
            <w:vAlign w:val="center"/>
          </w:tcPr>
          <w:p w14:paraId="400F7FAC" w14:textId="77777777" w:rsidR="0018781A" w:rsidRPr="00564B75" w:rsidRDefault="0018781A" w:rsidP="0018781A">
            <w:pPr>
              <w:jc w:val="right"/>
              <w:rPr>
                <w:noProof/>
                <w:sz w:val="20"/>
              </w:rPr>
            </w:pPr>
            <w:r w:rsidRPr="00564B75">
              <w:rPr>
                <w:noProof/>
                <w:sz w:val="20"/>
              </w:rPr>
              <w:t>36</w:t>
            </w:r>
          </w:p>
        </w:tc>
        <w:tc>
          <w:tcPr>
            <w:tcW w:w="3260" w:type="dxa"/>
            <w:gridSpan w:val="2"/>
            <w:tcBorders>
              <w:top w:val="single" w:sz="4" w:space="0" w:color="auto"/>
              <w:left w:val="nil"/>
              <w:bottom w:val="single" w:sz="4" w:space="0" w:color="auto"/>
              <w:right w:val="nil"/>
            </w:tcBorders>
            <w:vAlign w:val="center"/>
          </w:tcPr>
          <w:p w14:paraId="400F7FAD" w14:textId="77777777" w:rsidR="0018781A" w:rsidRPr="00564B75" w:rsidRDefault="0018781A" w:rsidP="0018781A">
            <w:pPr>
              <w:rPr>
                <w:sz w:val="20"/>
              </w:rPr>
            </w:pPr>
            <w:r w:rsidRPr="00564B75">
              <w:rPr>
                <w:sz w:val="20"/>
              </w:rPr>
              <w:t>Barley straw</w:t>
            </w:r>
          </w:p>
        </w:tc>
        <w:tc>
          <w:tcPr>
            <w:tcW w:w="2552" w:type="dxa"/>
            <w:tcBorders>
              <w:top w:val="single" w:sz="4" w:space="0" w:color="auto"/>
              <w:left w:val="nil"/>
              <w:bottom w:val="single" w:sz="4" w:space="0" w:color="auto"/>
              <w:right w:val="nil"/>
            </w:tcBorders>
            <w:vAlign w:val="center"/>
          </w:tcPr>
          <w:p w14:paraId="400F7FAE" w14:textId="77777777" w:rsidR="0018781A" w:rsidRPr="00564B75" w:rsidRDefault="0018781A" w:rsidP="0018781A">
            <w:pPr>
              <w:jc w:val="right"/>
              <w:rPr>
                <w:sz w:val="20"/>
              </w:rPr>
            </w:pPr>
            <w:r w:rsidRPr="00564B75">
              <w:rPr>
                <w:sz w:val="20"/>
              </w:rPr>
              <w:t>230</w:t>
            </w:r>
          </w:p>
        </w:tc>
        <w:tc>
          <w:tcPr>
            <w:tcW w:w="1984" w:type="dxa"/>
            <w:tcBorders>
              <w:top w:val="single" w:sz="4" w:space="0" w:color="auto"/>
              <w:left w:val="nil"/>
              <w:bottom w:val="single" w:sz="4" w:space="0" w:color="auto"/>
              <w:right w:val="nil"/>
            </w:tcBorders>
            <w:vAlign w:val="center"/>
          </w:tcPr>
          <w:p w14:paraId="400F7FAF" w14:textId="77777777" w:rsidR="0018781A" w:rsidRPr="00564B75" w:rsidRDefault="0018781A" w:rsidP="0018781A">
            <w:pPr>
              <w:jc w:val="right"/>
              <w:rPr>
                <w:sz w:val="20"/>
              </w:rPr>
            </w:pPr>
            <w:r w:rsidRPr="00564B75">
              <w:rPr>
                <w:sz w:val="20"/>
              </w:rPr>
              <w:t>320</w:t>
            </w:r>
          </w:p>
        </w:tc>
      </w:tr>
      <w:tr w:rsidR="00216966" w:rsidRPr="00564B75" w14:paraId="400F7FB5" w14:textId="77777777" w:rsidTr="0018781A">
        <w:tc>
          <w:tcPr>
            <w:tcW w:w="601" w:type="dxa"/>
            <w:tcBorders>
              <w:top w:val="single" w:sz="4" w:space="0" w:color="auto"/>
              <w:left w:val="nil"/>
              <w:bottom w:val="single" w:sz="4" w:space="0" w:color="auto"/>
              <w:right w:val="nil"/>
            </w:tcBorders>
            <w:vAlign w:val="center"/>
          </w:tcPr>
          <w:p w14:paraId="400F7FB1" w14:textId="77777777" w:rsidR="0018781A" w:rsidRPr="00564B75" w:rsidRDefault="0018781A" w:rsidP="0018781A">
            <w:pPr>
              <w:jc w:val="right"/>
              <w:rPr>
                <w:noProof/>
                <w:sz w:val="20"/>
              </w:rPr>
            </w:pPr>
            <w:r w:rsidRPr="00564B75">
              <w:rPr>
                <w:noProof/>
                <w:sz w:val="20"/>
              </w:rPr>
              <w:t>37</w:t>
            </w:r>
          </w:p>
        </w:tc>
        <w:tc>
          <w:tcPr>
            <w:tcW w:w="3260" w:type="dxa"/>
            <w:gridSpan w:val="2"/>
            <w:tcBorders>
              <w:top w:val="single" w:sz="4" w:space="0" w:color="auto"/>
              <w:left w:val="nil"/>
              <w:bottom w:val="single" w:sz="4" w:space="0" w:color="auto"/>
              <w:right w:val="nil"/>
            </w:tcBorders>
            <w:vAlign w:val="center"/>
          </w:tcPr>
          <w:p w14:paraId="400F7FB2" w14:textId="77777777" w:rsidR="0018781A" w:rsidRPr="00564B75" w:rsidRDefault="0018781A" w:rsidP="0018781A">
            <w:pPr>
              <w:rPr>
                <w:sz w:val="20"/>
              </w:rPr>
            </w:pPr>
            <w:proofErr w:type="gramStart"/>
            <w:r w:rsidRPr="00564B75">
              <w:rPr>
                <w:sz w:val="20"/>
              </w:rPr>
              <w:t>Oats</w:t>
            </w:r>
            <w:proofErr w:type="gramEnd"/>
            <w:r w:rsidRPr="00564B75">
              <w:rPr>
                <w:sz w:val="20"/>
              </w:rPr>
              <w:t xml:space="preserve"> straw</w:t>
            </w:r>
          </w:p>
        </w:tc>
        <w:tc>
          <w:tcPr>
            <w:tcW w:w="2552" w:type="dxa"/>
            <w:tcBorders>
              <w:top w:val="single" w:sz="4" w:space="0" w:color="auto"/>
              <w:left w:val="nil"/>
              <w:bottom w:val="single" w:sz="4" w:space="0" w:color="auto"/>
              <w:right w:val="nil"/>
            </w:tcBorders>
            <w:vAlign w:val="center"/>
          </w:tcPr>
          <w:p w14:paraId="400F7FB3" w14:textId="77777777" w:rsidR="0018781A" w:rsidRPr="00564B75" w:rsidRDefault="0018781A" w:rsidP="0018781A">
            <w:pPr>
              <w:jc w:val="right"/>
              <w:rPr>
                <w:sz w:val="20"/>
              </w:rPr>
            </w:pPr>
            <w:r w:rsidRPr="00564B75">
              <w:rPr>
                <w:sz w:val="20"/>
              </w:rPr>
              <w:t>70</w:t>
            </w:r>
          </w:p>
        </w:tc>
        <w:tc>
          <w:tcPr>
            <w:tcW w:w="1984" w:type="dxa"/>
            <w:tcBorders>
              <w:top w:val="single" w:sz="4" w:space="0" w:color="auto"/>
              <w:left w:val="nil"/>
              <w:bottom w:val="single" w:sz="4" w:space="0" w:color="auto"/>
              <w:right w:val="nil"/>
            </w:tcBorders>
            <w:vAlign w:val="center"/>
          </w:tcPr>
          <w:p w14:paraId="400F7FB4" w14:textId="77777777" w:rsidR="0018781A" w:rsidRPr="00564B75" w:rsidRDefault="0018781A" w:rsidP="0018781A">
            <w:pPr>
              <w:jc w:val="right"/>
              <w:rPr>
                <w:sz w:val="20"/>
              </w:rPr>
            </w:pPr>
            <w:r w:rsidRPr="00564B75">
              <w:rPr>
                <w:sz w:val="20"/>
              </w:rPr>
              <w:t>320</w:t>
            </w:r>
          </w:p>
        </w:tc>
      </w:tr>
      <w:tr w:rsidR="00216966" w:rsidRPr="00564B75" w14:paraId="400F7FBA" w14:textId="77777777" w:rsidTr="0018781A">
        <w:tc>
          <w:tcPr>
            <w:tcW w:w="601" w:type="dxa"/>
            <w:tcBorders>
              <w:top w:val="single" w:sz="4" w:space="0" w:color="auto"/>
              <w:left w:val="nil"/>
              <w:bottom w:val="single" w:sz="12" w:space="0" w:color="auto"/>
              <w:right w:val="nil"/>
            </w:tcBorders>
            <w:vAlign w:val="center"/>
          </w:tcPr>
          <w:p w14:paraId="400F7FB6" w14:textId="77777777" w:rsidR="0018781A" w:rsidRPr="00564B75" w:rsidRDefault="0018781A" w:rsidP="0018781A">
            <w:pPr>
              <w:jc w:val="right"/>
              <w:rPr>
                <w:noProof/>
                <w:sz w:val="20"/>
              </w:rPr>
            </w:pPr>
            <w:r w:rsidRPr="00564B75">
              <w:rPr>
                <w:noProof/>
                <w:sz w:val="20"/>
              </w:rPr>
              <w:t>38</w:t>
            </w:r>
          </w:p>
        </w:tc>
        <w:tc>
          <w:tcPr>
            <w:tcW w:w="3260" w:type="dxa"/>
            <w:gridSpan w:val="2"/>
            <w:tcBorders>
              <w:top w:val="single" w:sz="4" w:space="0" w:color="auto"/>
              <w:left w:val="nil"/>
              <w:bottom w:val="single" w:sz="12" w:space="0" w:color="auto"/>
              <w:right w:val="nil"/>
            </w:tcBorders>
            <w:vAlign w:val="center"/>
          </w:tcPr>
          <w:p w14:paraId="400F7FB7" w14:textId="77777777" w:rsidR="0018781A" w:rsidRPr="00564B75" w:rsidRDefault="0018781A" w:rsidP="0018781A">
            <w:pPr>
              <w:rPr>
                <w:sz w:val="20"/>
              </w:rPr>
            </w:pPr>
            <w:r w:rsidRPr="00564B75">
              <w:rPr>
                <w:sz w:val="20"/>
              </w:rPr>
              <w:t>Wheat straw</w:t>
            </w:r>
          </w:p>
        </w:tc>
        <w:tc>
          <w:tcPr>
            <w:tcW w:w="2552" w:type="dxa"/>
            <w:tcBorders>
              <w:top w:val="single" w:sz="4" w:space="0" w:color="auto"/>
              <w:left w:val="nil"/>
              <w:bottom w:val="single" w:sz="12" w:space="0" w:color="auto"/>
              <w:right w:val="nil"/>
            </w:tcBorders>
            <w:vAlign w:val="center"/>
          </w:tcPr>
          <w:p w14:paraId="400F7FB8" w14:textId="77777777" w:rsidR="0018781A" w:rsidRPr="00564B75" w:rsidRDefault="0018781A" w:rsidP="0018781A">
            <w:pPr>
              <w:jc w:val="right"/>
              <w:rPr>
                <w:sz w:val="20"/>
              </w:rPr>
            </w:pPr>
            <w:r w:rsidRPr="00564B75">
              <w:rPr>
                <w:sz w:val="20"/>
              </w:rPr>
              <w:t>160</w:t>
            </w:r>
          </w:p>
        </w:tc>
        <w:tc>
          <w:tcPr>
            <w:tcW w:w="1984" w:type="dxa"/>
            <w:tcBorders>
              <w:top w:val="single" w:sz="4" w:space="0" w:color="auto"/>
              <w:left w:val="nil"/>
              <w:bottom w:val="single" w:sz="12" w:space="0" w:color="auto"/>
              <w:right w:val="nil"/>
            </w:tcBorders>
            <w:vAlign w:val="center"/>
          </w:tcPr>
          <w:p w14:paraId="400F7FB9" w14:textId="77777777" w:rsidR="0018781A" w:rsidRPr="00564B75" w:rsidRDefault="0018781A" w:rsidP="0018781A">
            <w:pPr>
              <w:jc w:val="right"/>
              <w:rPr>
                <w:sz w:val="20"/>
              </w:rPr>
            </w:pPr>
            <w:r w:rsidRPr="00564B75">
              <w:rPr>
                <w:sz w:val="20"/>
              </w:rPr>
              <w:t>300</w:t>
            </w:r>
          </w:p>
        </w:tc>
      </w:tr>
      <w:tr w:rsidR="00216966" w:rsidRPr="00564B75" w14:paraId="400F7FBF" w14:textId="77777777" w:rsidTr="0018781A">
        <w:tc>
          <w:tcPr>
            <w:tcW w:w="601" w:type="dxa"/>
            <w:tcBorders>
              <w:top w:val="single" w:sz="12" w:space="0" w:color="auto"/>
              <w:left w:val="nil"/>
              <w:bottom w:val="single" w:sz="4" w:space="0" w:color="auto"/>
              <w:right w:val="nil"/>
            </w:tcBorders>
            <w:vAlign w:val="center"/>
          </w:tcPr>
          <w:p w14:paraId="400F7FBB" w14:textId="77777777" w:rsidR="0018781A" w:rsidRPr="00564B75" w:rsidRDefault="0018781A" w:rsidP="0018781A">
            <w:pPr>
              <w:jc w:val="right"/>
              <w:rPr>
                <w:noProof/>
                <w:sz w:val="20"/>
              </w:rPr>
            </w:pPr>
            <w:r w:rsidRPr="00564B75">
              <w:rPr>
                <w:noProof/>
                <w:sz w:val="20"/>
              </w:rPr>
              <w:t>39</w:t>
            </w:r>
          </w:p>
        </w:tc>
        <w:tc>
          <w:tcPr>
            <w:tcW w:w="3260" w:type="dxa"/>
            <w:gridSpan w:val="2"/>
            <w:tcBorders>
              <w:top w:val="single" w:sz="12" w:space="0" w:color="auto"/>
              <w:left w:val="nil"/>
              <w:bottom w:val="single" w:sz="4" w:space="0" w:color="auto"/>
              <w:right w:val="nil"/>
            </w:tcBorders>
            <w:vAlign w:val="center"/>
          </w:tcPr>
          <w:p w14:paraId="400F7FBC" w14:textId="77777777" w:rsidR="0018781A" w:rsidRPr="00564B75" w:rsidRDefault="0018781A" w:rsidP="0018781A">
            <w:pPr>
              <w:rPr>
                <w:sz w:val="20"/>
              </w:rPr>
            </w:pPr>
            <w:r w:rsidRPr="00564B75">
              <w:rPr>
                <w:sz w:val="20"/>
              </w:rPr>
              <w:t>Cereal grains (barley, wheat, oats)</w:t>
            </w:r>
          </w:p>
        </w:tc>
        <w:tc>
          <w:tcPr>
            <w:tcW w:w="2552" w:type="dxa"/>
            <w:tcBorders>
              <w:top w:val="single" w:sz="12" w:space="0" w:color="auto"/>
              <w:left w:val="nil"/>
              <w:bottom w:val="single" w:sz="4" w:space="0" w:color="auto"/>
              <w:right w:val="nil"/>
            </w:tcBorders>
            <w:vAlign w:val="center"/>
          </w:tcPr>
          <w:p w14:paraId="400F7FBD" w14:textId="77777777" w:rsidR="0018781A" w:rsidRPr="00564B75" w:rsidRDefault="0018781A" w:rsidP="0018781A">
            <w:pPr>
              <w:jc w:val="right"/>
              <w:rPr>
                <w:sz w:val="20"/>
              </w:rPr>
            </w:pPr>
            <w:r w:rsidRPr="00564B75">
              <w:rPr>
                <w:sz w:val="20"/>
              </w:rPr>
              <w:t>310</w:t>
            </w:r>
          </w:p>
        </w:tc>
        <w:tc>
          <w:tcPr>
            <w:tcW w:w="1984" w:type="dxa"/>
            <w:tcBorders>
              <w:top w:val="single" w:sz="12" w:space="0" w:color="auto"/>
              <w:left w:val="nil"/>
              <w:bottom w:val="single" w:sz="4" w:space="0" w:color="auto"/>
              <w:right w:val="nil"/>
            </w:tcBorders>
            <w:vAlign w:val="center"/>
          </w:tcPr>
          <w:p w14:paraId="400F7FBE" w14:textId="77777777" w:rsidR="0018781A" w:rsidRPr="00564B75" w:rsidRDefault="0018781A" w:rsidP="0018781A">
            <w:pPr>
              <w:jc w:val="right"/>
              <w:rPr>
                <w:sz w:val="20"/>
              </w:rPr>
            </w:pPr>
            <w:r w:rsidRPr="00564B75">
              <w:rPr>
                <w:sz w:val="20"/>
              </w:rPr>
              <w:t>690</w:t>
            </w:r>
          </w:p>
        </w:tc>
      </w:tr>
      <w:tr w:rsidR="00216966" w:rsidRPr="00564B75" w14:paraId="400F7FC4" w14:textId="77777777" w:rsidTr="009627EA">
        <w:tc>
          <w:tcPr>
            <w:tcW w:w="601" w:type="dxa"/>
            <w:tcBorders>
              <w:top w:val="single" w:sz="4" w:space="0" w:color="auto"/>
              <w:left w:val="nil"/>
              <w:bottom w:val="single" w:sz="4" w:space="0" w:color="auto"/>
              <w:right w:val="nil"/>
            </w:tcBorders>
            <w:vAlign w:val="center"/>
          </w:tcPr>
          <w:p w14:paraId="400F7FC0" w14:textId="77777777" w:rsidR="0018781A" w:rsidRPr="00564B75" w:rsidRDefault="0018781A" w:rsidP="0018781A">
            <w:pPr>
              <w:jc w:val="right"/>
              <w:rPr>
                <w:noProof/>
                <w:sz w:val="20"/>
              </w:rPr>
            </w:pPr>
            <w:r w:rsidRPr="00564B75">
              <w:rPr>
                <w:noProof/>
                <w:sz w:val="20"/>
              </w:rPr>
              <w:t>40</w:t>
            </w:r>
          </w:p>
        </w:tc>
        <w:tc>
          <w:tcPr>
            <w:tcW w:w="3260" w:type="dxa"/>
            <w:gridSpan w:val="2"/>
            <w:tcBorders>
              <w:top w:val="single" w:sz="4" w:space="0" w:color="auto"/>
              <w:left w:val="nil"/>
              <w:bottom w:val="single" w:sz="4" w:space="0" w:color="auto"/>
              <w:right w:val="nil"/>
            </w:tcBorders>
            <w:vAlign w:val="center"/>
          </w:tcPr>
          <w:p w14:paraId="400F7FC1" w14:textId="77777777" w:rsidR="0018781A" w:rsidRPr="00564B75" w:rsidRDefault="0018781A" w:rsidP="0018781A">
            <w:pPr>
              <w:rPr>
                <w:sz w:val="20"/>
              </w:rPr>
            </w:pPr>
            <w:r w:rsidRPr="00564B75">
              <w:rPr>
                <w:sz w:val="20"/>
              </w:rPr>
              <w:t>Corn grain</w:t>
            </w:r>
          </w:p>
        </w:tc>
        <w:tc>
          <w:tcPr>
            <w:tcW w:w="2552" w:type="dxa"/>
            <w:tcBorders>
              <w:top w:val="single" w:sz="4" w:space="0" w:color="auto"/>
              <w:left w:val="nil"/>
              <w:bottom w:val="single" w:sz="4" w:space="0" w:color="auto"/>
              <w:right w:val="nil"/>
            </w:tcBorders>
            <w:vAlign w:val="center"/>
          </w:tcPr>
          <w:p w14:paraId="400F7FC2" w14:textId="77777777" w:rsidR="0018781A" w:rsidRPr="00564B75" w:rsidRDefault="0018781A" w:rsidP="0018781A">
            <w:pPr>
              <w:jc w:val="right"/>
              <w:rPr>
                <w:sz w:val="20"/>
              </w:rPr>
            </w:pPr>
            <w:r w:rsidRPr="00564B75">
              <w:rPr>
                <w:sz w:val="20"/>
              </w:rPr>
              <w:t>440</w:t>
            </w:r>
          </w:p>
        </w:tc>
        <w:tc>
          <w:tcPr>
            <w:tcW w:w="1984" w:type="dxa"/>
            <w:tcBorders>
              <w:top w:val="single" w:sz="4" w:space="0" w:color="auto"/>
              <w:left w:val="nil"/>
              <w:bottom w:val="single" w:sz="4" w:space="0" w:color="auto"/>
              <w:right w:val="nil"/>
            </w:tcBorders>
            <w:vAlign w:val="center"/>
          </w:tcPr>
          <w:p w14:paraId="400F7FC3" w14:textId="77777777" w:rsidR="0018781A" w:rsidRPr="00564B75" w:rsidRDefault="0018781A" w:rsidP="0018781A">
            <w:pPr>
              <w:jc w:val="right"/>
              <w:rPr>
                <w:sz w:val="20"/>
              </w:rPr>
            </w:pPr>
            <w:r w:rsidRPr="00564B75">
              <w:rPr>
                <w:sz w:val="20"/>
              </w:rPr>
              <w:t>470</w:t>
            </w:r>
          </w:p>
        </w:tc>
      </w:tr>
      <w:tr w:rsidR="00216966" w:rsidRPr="00564B75" w14:paraId="400F7FC9" w14:textId="77777777" w:rsidTr="0018781A">
        <w:tc>
          <w:tcPr>
            <w:tcW w:w="601" w:type="dxa"/>
            <w:tcBorders>
              <w:top w:val="single" w:sz="4" w:space="0" w:color="auto"/>
              <w:left w:val="nil"/>
              <w:bottom w:val="single" w:sz="4" w:space="0" w:color="auto"/>
              <w:right w:val="nil"/>
            </w:tcBorders>
            <w:vAlign w:val="center"/>
          </w:tcPr>
          <w:p w14:paraId="400F7FC5" w14:textId="77777777" w:rsidR="0018781A" w:rsidRPr="00564B75" w:rsidRDefault="0018781A" w:rsidP="0018781A">
            <w:pPr>
              <w:jc w:val="right"/>
              <w:rPr>
                <w:noProof/>
                <w:sz w:val="20"/>
              </w:rPr>
            </w:pPr>
            <w:r w:rsidRPr="00564B75">
              <w:rPr>
                <w:noProof/>
                <w:sz w:val="20"/>
              </w:rPr>
              <w:t>41</w:t>
            </w:r>
          </w:p>
        </w:tc>
        <w:tc>
          <w:tcPr>
            <w:tcW w:w="3260" w:type="dxa"/>
            <w:gridSpan w:val="2"/>
            <w:tcBorders>
              <w:top w:val="single" w:sz="4" w:space="0" w:color="auto"/>
              <w:left w:val="nil"/>
              <w:bottom w:val="single" w:sz="4" w:space="0" w:color="auto"/>
              <w:right w:val="nil"/>
            </w:tcBorders>
            <w:vAlign w:val="center"/>
          </w:tcPr>
          <w:p w14:paraId="400F7FC6" w14:textId="77777777" w:rsidR="0018781A" w:rsidRPr="00564B75" w:rsidRDefault="0018781A" w:rsidP="0018781A">
            <w:pPr>
              <w:rPr>
                <w:sz w:val="20"/>
              </w:rPr>
            </w:pPr>
            <w:r w:rsidRPr="00564B75">
              <w:rPr>
                <w:sz w:val="20"/>
              </w:rPr>
              <w:t>Lupin grain</w:t>
            </w:r>
          </w:p>
        </w:tc>
        <w:tc>
          <w:tcPr>
            <w:tcW w:w="2552" w:type="dxa"/>
            <w:tcBorders>
              <w:top w:val="single" w:sz="4" w:space="0" w:color="auto"/>
              <w:left w:val="nil"/>
              <w:bottom w:val="single" w:sz="4" w:space="0" w:color="auto"/>
              <w:right w:val="nil"/>
            </w:tcBorders>
            <w:vAlign w:val="center"/>
          </w:tcPr>
          <w:p w14:paraId="400F7FC7" w14:textId="77777777" w:rsidR="0018781A" w:rsidRPr="00564B75" w:rsidRDefault="0018781A" w:rsidP="0018781A">
            <w:pPr>
              <w:jc w:val="right"/>
              <w:rPr>
                <w:sz w:val="20"/>
              </w:rPr>
            </w:pPr>
            <w:r w:rsidRPr="00564B75">
              <w:rPr>
                <w:sz w:val="20"/>
              </w:rPr>
              <w:t>310</w:t>
            </w:r>
          </w:p>
        </w:tc>
        <w:tc>
          <w:tcPr>
            <w:tcW w:w="1984" w:type="dxa"/>
            <w:tcBorders>
              <w:top w:val="single" w:sz="4" w:space="0" w:color="auto"/>
              <w:left w:val="nil"/>
              <w:bottom w:val="single" w:sz="4" w:space="0" w:color="auto"/>
              <w:right w:val="nil"/>
            </w:tcBorders>
            <w:vAlign w:val="center"/>
          </w:tcPr>
          <w:p w14:paraId="400F7FC8" w14:textId="77777777" w:rsidR="0018781A" w:rsidRPr="00564B75" w:rsidRDefault="0018781A" w:rsidP="0018781A">
            <w:pPr>
              <w:jc w:val="right"/>
              <w:rPr>
                <w:sz w:val="20"/>
              </w:rPr>
            </w:pPr>
            <w:r w:rsidRPr="00564B75">
              <w:rPr>
                <w:sz w:val="20"/>
              </w:rPr>
              <w:t>360</w:t>
            </w:r>
          </w:p>
        </w:tc>
      </w:tr>
      <w:tr w:rsidR="0018781A" w:rsidRPr="00564B75" w14:paraId="400F7FCE" w14:textId="77777777" w:rsidTr="0018781A">
        <w:tc>
          <w:tcPr>
            <w:tcW w:w="601" w:type="dxa"/>
            <w:tcBorders>
              <w:top w:val="single" w:sz="4" w:space="0" w:color="auto"/>
              <w:left w:val="nil"/>
              <w:bottom w:val="single" w:sz="12" w:space="0" w:color="auto"/>
              <w:right w:val="nil"/>
            </w:tcBorders>
            <w:vAlign w:val="center"/>
          </w:tcPr>
          <w:p w14:paraId="400F7FCA" w14:textId="77777777" w:rsidR="0018781A" w:rsidRPr="00564B75" w:rsidRDefault="0018781A" w:rsidP="0018781A">
            <w:pPr>
              <w:jc w:val="right"/>
              <w:rPr>
                <w:noProof/>
                <w:sz w:val="20"/>
              </w:rPr>
            </w:pPr>
            <w:r w:rsidRPr="00564B75">
              <w:rPr>
                <w:noProof/>
                <w:sz w:val="20"/>
              </w:rPr>
              <w:t>42</w:t>
            </w:r>
          </w:p>
        </w:tc>
        <w:tc>
          <w:tcPr>
            <w:tcW w:w="3260" w:type="dxa"/>
            <w:gridSpan w:val="2"/>
            <w:tcBorders>
              <w:top w:val="single" w:sz="4" w:space="0" w:color="auto"/>
              <w:left w:val="nil"/>
              <w:bottom w:val="single" w:sz="12" w:space="0" w:color="auto"/>
              <w:right w:val="nil"/>
            </w:tcBorders>
            <w:vAlign w:val="center"/>
          </w:tcPr>
          <w:p w14:paraId="400F7FCB" w14:textId="77777777" w:rsidR="0018781A" w:rsidRPr="00564B75" w:rsidRDefault="0018781A" w:rsidP="0018781A">
            <w:pPr>
              <w:rPr>
                <w:sz w:val="20"/>
              </w:rPr>
            </w:pPr>
            <w:r w:rsidRPr="00564B75">
              <w:rPr>
                <w:sz w:val="20"/>
              </w:rPr>
              <w:t>Sorghum grain</w:t>
            </w:r>
          </w:p>
        </w:tc>
        <w:tc>
          <w:tcPr>
            <w:tcW w:w="2552" w:type="dxa"/>
            <w:tcBorders>
              <w:top w:val="single" w:sz="4" w:space="0" w:color="auto"/>
              <w:left w:val="nil"/>
              <w:bottom w:val="single" w:sz="12" w:space="0" w:color="auto"/>
              <w:right w:val="nil"/>
            </w:tcBorders>
            <w:vAlign w:val="center"/>
          </w:tcPr>
          <w:p w14:paraId="400F7FCC" w14:textId="77777777" w:rsidR="0018781A" w:rsidRPr="00564B75" w:rsidRDefault="0018781A" w:rsidP="0018781A">
            <w:pPr>
              <w:jc w:val="right"/>
              <w:rPr>
                <w:sz w:val="20"/>
              </w:rPr>
            </w:pPr>
            <w:r w:rsidRPr="00564B75">
              <w:rPr>
                <w:sz w:val="20"/>
              </w:rPr>
              <w:t>360</w:t>
            </w:r>
          </w:p>
        </w:tc>
        <w:tc>
          <w:tcPr>
            <w:tcW w:w="1984" w:type="dxa"/>
            <w:tcBorders>
              <w:top w:val="single" w:sz="4" w:space="0" w:color="auto"/>
              <w:left w:val="nil"/>
              <w:bottom w:val="single" w:sz="12" w:space="0" w:color="auto"/>
              <w:right w:val="nil"/>
            </w:tcBorders>
            <w:vAlign w:val="center"/>
          </w:tcPr>
          <w:p w14:paraId="400F7FCD" w14:textId="77777777" w:rsidR="0018781A" w:rsidRPr="00564B75" w:rsidRDefault="0018781A" w:rsidP="0018781A">
            <w:pPr>
              <w:jc w:val="right"/>
              <w:rPr>
                <w:sz w:val="20"/>
              </w:rPr>
            </w:pPr>
            <w:r w:rsidRPr="00564B75">
              <w:rPr>
                <w:sz w:val="20"/>
              </w:rPr>
              <w:t>370</w:t>
            </w:r>
          </w:p>
        </w:tc>
      </w:tr>
    </w:tbl>
    <w:p w14:paraId="400F7FF6" w14:textId="0C98DD99" w:rsidR="007A75FC" w:rsidRPr="000A5065" w:rsidRDefault="007A75FC" w:rsidP="000A5065">
      <w:pPr>
        <w:rPr>
          <w:highlight w:val="yellow"/>
        </w:rPr>
      </w:pPr>
    </w:p>
    <w:sectPr w:rsidR="007A75FC" w:rsidRPr="000A5065" w:rsidSect="00B13564">
      <w:headerReference w:type="even" r:id="rId15"/>
      <w:headerReference w:type="default" r:id="rId16"/>
      <w:footerReference w:type="even" r:id="rId17"/>
      <w:footerReference w:type="default" r:id="rId18"/>
      <w:head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DCD5C" w14:textId="77777777" w:rsidR="00111062" w:rsidRDefault="00111062">
      <w:r>
        <w:separator/>
      </w:r>
    </w:p>
  </w:endnote>
  <w:endnote w:type="continuationSeparator" w:id="0">
    <w:p w14:paraId="35B60D13" w14:textId="77777777" w:rsidR="00111062" w:rsidRDefault="00111062">
      <w:r>
        <w:continuationSeparator/>
      </w:r>
    </w:p>
  </w:endnote>
  <w:endnote w:type="continuationNotice" w:id="1">
    <w:p w14:paraId="08D280B8" w14:textId="77777777" w:rsidR="00111062" w:rsidRDefault="001110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F8001" w14:textId="77777777" w:rsidR="00111062" w:rsidRDefault="00111062">
    <w:pPr>
      <w:pStyle w:val="Footer"/>
    </w:pPr>
  </w:p>
  <w:p w14:paraId="400F8002" w14:textId="77777777" w:rsidR="00111062" w:rsidRDefault="001110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3462342"/>
      <w:docPartObj>
        <w:docPartGallery w:val="Page Numbers (Bottom of Page)"/>
        <w:docPartUnique/>
      </w:docPartObj>
    </w:sdtPr>
    <w:sdtContent>
      <w:p w14:paraId="647FA0C5" w14:textId="77777777" w:rsidR="00111062" w:rsidRDefault="00111062" w:rsidP="00D629DE">
        <w:pPr>
          <w:pStyle w:val="Footer"/>
          <w:pBdr>
            <w:top w:val="single" w:sz="4" w:space="1" w:color="auto"/>
          </w:pBdr>
          <w:jc w:val="right"/>
        </w:pPr>
        <w:r>
          <w:fldChar w:fldCharType="begin"/>
        </w:r>
        <w:r>
          <w:instrText xml:space="preserve"> PAGE   \* MERGEFORMAT </w:instrText>
        </w:r>
        <w:r>
          <w:fldChar w:fldCharType="separate"/>
        </w:r>
        <w:r>
          <w:rPr>
            <w:noProof/>
          </w:rPr>
          <w:t>18</w:t>
        </w:r>
        <w:r>
          <w:rPr>
            <w:noProof/>
          </w:rPr>
          <w:fldChar w:fldCharType="end"/>
        </w:r>
      </w:p>
    </w:sdtContent>
  </w:sdt>
  <w:p w14:paraId="0F478E2B" w14:textId="48CE6CF5" w:rsidR="00111062" w:rsidRDefault="00111062" w:rsidP="00D629DE">
    <w:pPr>
      <w:pStyle w:val="Header"/>
    </w:pPr>
    <w:r>
      <w:rPr>
        <w:noProof/>
      </w:rPr>
      <w:fldChar w:fldCharType="begin"/>
    </w:r>
    <w:r>
      <w:rPr>
        <w:noProof/>
      </w:rPr>
      <w:instrText xml:space="preserve"> STYLEREF  ShortT  \* MERGEFORMAT </w:instrText>
    </w:r>
    <w:r>
      <w:rPr>
        <w:noProof/>
      </w:rPr>
      <w:fldChar w:fldCharType="separate"/>
    </w:r>
    <w:r w:rsidR="00606385">
      <w:rPr>
        <w:noProof/>
      </w:rPr>
      <w:t>Supplement to the Carbon Credits (Carbon Farming Initiative—Animal Effluent Management) Methodology Determination Variation 2021</w:t>
    </w:r>
    <w:r>
      <w:rPr>
        <w:noProof/>
      </w:rPr>
      <w:fldChar w:fldCharType="end"/>
    </w:r>
  </w:p>
  <w:p w14:paraId="70D5DCBC" w14:textId="1876457C" w:rsidR="00111062" w:rsidRDefault="00111062" w:rsidP="000A5065">
    <w:pPr>
      <w:pStyle w:val="Footer"/>
    </w:pPr>
  </w:p>
  <w:p w14:paraId="400F8005" w14:textId="77777777" w:rsidR="00111062" w:rsidRDefault="001110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64EA0" w14:textId="77777777" w:rsidR="00111062" w:rsidRDefault="00111062">
      <w:r>
        <w:separator/>
      </w:r>
    </w:p>
  </w:footnote>
  <w:footnote w:type="continuationSeparator" w:id="0">
    <w:p w14:paraId="14EE72D9" w14:textId="77777777" w:rsidR="00111062" w:rsidRDefault="00111062">
      <w:r>
        <w:continuationSeparator/>
      </w:r>
    </w:p>
  </w:footnote>
  <w:footnote w:type="continuationNotice" w:id="1">
    <w:p w14:paraId="39E3CF1A" w14:textId="77777777" w:rsidR="00111062" w:rsidRDefault="001110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F7FFF" w14:textId="4C304675" w:rsidR="00111062" w:rsidRDefault="00111062">
    <w:pPr>
      <w:pStyle w:val="Header"/>
    </w:pPr>
    <w:r>
      <w:rPr>
        <w:noProof/>
      </w:rPr>
      <w:pict w14:anchorId="723A9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8219" o:spid="_x0000_s4098"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CONSULTATION DRAFT"/>
          <w10:wrap anchorx="margin" anchory="margin"/>
        </v:shape>
      </w:pict>
    </w:r>
  </w:p>
  <w:p w14:paraId="400F8000" w14:textId="77777777" w:rsidR="00111062" w:rsidRDefault="001110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4A368" w14:textId="3F516EA4" w:rsidR="00111062" w:rsidRDefault="00111062">
    <w:pPr>
      <w:pStyle w:val="Header"/>
    </w:pPr>
    <w:r>
      <w:rPr>
        <w:noProof/>
      </w:rPr>
      <w:pict w14:anchorId="35EC2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8220" o:spid="_x0000_s4099"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CONSULTATION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FBF97" w14:textId="799A6981" w:rsidR="00111062" w:rsidRDefault="00111062">
    <w:pPr>
      <w:pStyle w:val="Header"/>
    </w:pPr>
    <w:r>
      <w:rPr>
        <w:noProof/>
      </w:rPr>
      <w:pict w14:anchorId="4DF2E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8218" o:spid="_x0000_s4097"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6A818BB"/>
    <w:multiLevelType w:val="hybridMultilevel"/>
    <w:tmpl w:val="6CF453CE"/>
    <w:lvl w:ilvl="0" w:tplc="427869E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7066AC"/>
    <w:multiLevelType w:val="hybridMultilevel"/>
    <w:tmpl w:val="B33A2A74"/>
    <w:lvl w:ilvl="0" w:tplc="086C5C5C">
      <w:start w:val="1"/>
      <w:numFmt w:val="decimal"/>
      <w:lvlText w:val="(%1)"/>
      <w:lvlJc w:val="left"/>
      <w:pPr>
        <w:ind w:left="1140" w:hanging="39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0C8C038C"/>
    <w:multiLevelType w:val="hybridMultilevel"/>
    <w:tmpl w:val="823CD44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90CF3"/>
    <w:multiLevelType w:val="hybridMultilevel"/>
    <w:tmpl w:val="E53E1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B17281"/>
    <w:multiLevelType w:val="multilevel"/>
    <w:tmpl w:val="3796E964"/>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7" w15:restartNumberingAfterBreak="0">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8" w15:restartNumberingAfterBreak="0">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9" w15:restartNumberingAfterBreak="0">
    <w:nsid w:val="19E22889"/>
    <w:multiLevelType w:val="hybridMultilevel"/>
    <w:tmpl w:val="FE9A09F2"/>
    <w:lvl w:ilvl="0" w:tplc="81E6E71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BE303DB"/>
    <w:multiLevelType w:val="hybridMultilevel"/>
    <w:tmpl w:val="0ED42A60"/>
    <w:lvl w:ilvl="0" w:tplc="0C090001">
      <w:start w:val="1"/>
      <w:numFmt w:val="bullet"/>
      <w:lvlText w:val=""/>
      <w:lvlJc w:val="left"/>
      <w:pPr>
        <w:ind w:left="2468" w:hanging="360"/>
      </w:pPr>
      <w:rPr>
        <w:rFonts w:ascii="Symbol" w:hAnsi="Symbol" w:hint="default"/>
      </w:rPr>
    </w:lvl>
    <w:lvl w:ilvl="1" w:tplc="0C090003" w:tentative="1">
      <w:start w:val="1"/>
      <w:numFmt w:val="bullet"/>
      <w:lvlText w:val="o"/>
      <w:lvlJc w:val="left"/>
      <w:pPr>
        <w:ind w:left="3188" w:hanging="360"/>
      </w:pPr>
      <w:rPr>
        <w:rFonts w:ascii="Courier New" w:hAnsi="Courier New" w:cs="Courier New" w:hint="default"/>
      </w:rPr>
    </w:lvl>
    <w:lvl w:ilvl="2" w:tplc="0C090005" w:tentative="1">
      <w:start w:val="1"/>
      <w:numFmt w:val="bullet"/>
      <w:lvlText w:val=""/>
      <w:lvlJc w:val="left"/>
      <w:pPr>
        <w:ind w:left="3908" w:hanging="360"/>
      </w:pPr>
      <w:rPr>
        <w:rFonts w:ascii="Wingdings" w:hAnsi="Wingdings" w:hint="default"/>
      </w:rPr>
    </w:lvl>
    <w:lvl w:ilvl="3" w:tplc="0C090001" w:tentative="1">
      <w:start w:val="1"/>
      <w:numFmt w:val="bullet"/>
      <w:lvlText w:val=""/>
      <w:lvlJc w:val="left"/>
      <w:pPr>
        <w:ind w:left="4628" w:hanging="360"/>
      </w:pPr>
      <w:rPr>
        <w:rFonts w:ascii="Symbol" w:hAnsi="Symbol" w:hint="default"/>
      </w:rPr>
    </w:lvl>
    <w:lvl w:ilvl="4" w:tplc="0C090003" w:tentative="1">
      <w:start w:val="1"/>
      <w:numFmt w:val="bullet"/>
      <w:lvlText w:val="o"/>
      <w:lvlJc w:val="left"/>
      <w:pPr>
        <w:ind w:left="5348" w:hanging="360"/>
      </w:pPr>
      <w:rPr>
        <w:rFonts w:ascii="Courier New" w:hAnsi="Courier New" w:cs="Courier New" w:hint="default"/>
      </w:rPr>
    </w:lvl>
    <w:lvl w:ilvl="5" w:tplc="0C090005" w:tentative="1">
      <w:start w:val="1"/>
      <w:numFmt w:val="bullet"/>
      <w:lvlText w:val=""/>
      <w:lvlJc w:val="left"/>
      <w:pPr>
        <w:ind w:left="6068" w:hanging="360"/>
      </w:pPr>
      <w:rPr>
        <w:rFonts w:ascii="Wingdings" w:hAnsi="Wingdings" w:hint="default"/>
      </w:rPr>
    </w:lvl>
    <w:lvl w:ilvl="6" w:tplc="0C090001" w:tentative="1">
      <w:start w:val="1"/>
      <w:numFmt w:val="bullet"/>
      <w:lvlText w:val=""/>
      <w:lvlJc w:val="left"/>
      <w:pPr>
        <w:ind w:left="6788" w:hanging="360"/>
      </w:pPr>
      <w:rPr>
        <w:rFonts w:ascii="Symbol" w:hAnsi="Symbol" w:hint="default"/>
      </w:rPr>
    </w:lvl>
    <w:lvl w:ilvl="7" w:tplc="0C090003" w:tentative="1">
      <w:start w:val="1"/>
      <w:numFmt w:val="bullet"/>
      <w:lvlText w:val="o"/>
      <w:lvlJc w:val="left"/>
      <w:pPr>
        <w:ind w:left="7508" w:hanging="360"/>
      </w:pPr>
      <w:rPr>
        <w:rFonts w:ascii="Courier New" w:hAnsi="Courier New" w:cs="Courier New" w:hint="default"/>
      </w:rPr>
    </w:lvl>
    <w:lvl w:ilvl="8" w:tplc="0C090005" w:tentative="1">
      <w:start w:val="1"/>
      <w:numFmt w:val="bullet"/>
      <w:lvlText w:val=""/>
      <w:lvlJc w:val="left"/>
      <w:pPr>
        <w:ind w:left="8228" w:hanging="360"/>
      </w:pPr>
      <w:rPr>
        <w:rFonts w:ascii="Wingdings" w:hAnsi="Wingdings" w:hint="default"/>
      </w:rPr>
    </w:lvl>
  </w:abstractNum>
  <w:abstractNum w:abstractNumId="1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375E05"/>
    <w:multiLevelType w:val="hybridMultilevel"/>
    <w:tmpl w:val="2E1EAD42"/>
    <w:lvl w:ilvl="0" w:tplc="2E1C33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3EC1450"/>
    <w:multiLevelType w:val="hybridMultilevel"/>
    <w:tmpl w:val="BAAA8DC2"/>
    <w:lvl w:ilvl="0" w:tplc="04C2FEBE">
      <w:start w:val="1"/>
      <w:numFmt w:val="decimal"/>
      <w:pStyle w:val="Heading1"/>
      <w:lvlText w:val="%1.0"/>
      <w:lvlJc w:val="left"/>
      <w:pPr>
        <w:ind w:left="644" w:hanging="360"/>
      </w:pPr>
      <w:rPr>
        <w:rFonts w:hint="default"/>
        <w:b/>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5"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1943DE"/>
    <w:multiLevelType w:val="hybridMultilevel"/>
    <w:tmpl w:val="800A9E1A"/>
    <w:lvl w:ilvl="0" w:tplc="475281E0">
      <w:start w:val="1"/>
      <w:numFmt w:val="lowerLetter"/>
      <w:lvlText w:val="(%1)"/>
      <w:lvlJc w:val="left"/>
      <w:pPr>
        <w:ind w:left="720" w:hanging="360"/>
      </w:pPr>
      <w:rPr>
        <w:rFonts w:hint="default"/>
      </w:rPr>
    </w:lvl>
    <w:lvl w:ilvl="1" w:tplc="97DC7EE4">
      <w:start w:val="1"/>
      <w:numFmt w:val="lowerRoman"/>
      <w:lvlText w:val="(%2)"/>
      <w:lvlJc w:val="righ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8" w15:restartNumberingAfterBreak="0">
    <w:nsid w:val="38E26863"/>
    <w:multiLevelType w:val="hybridMultilevel"/>
    <w:tmpl w:val="205E23B0"/>
    <w:lvl w:ilvl="0" w:tplc="3850AA4E">
      <w:start w:val="1"/>
      <w:numFmt w:val="lowerLetter"/>
      <w:lvlText w:val="(%1)"/>
      <w:lvlJc w:val="left"/>
      <w:pPr>
        <w:ind w:left="1891" w:hanging="360"/>
      </w:pPr>
      <w:rPr>
        <w:rFonts w:hint="default"/>
      </w:rPr>
    </w:lvl>
    <w:lvl w:ilvl="1" w:tplc="04090019" w:tentative="1">
      <w:start w:val="1"/>
      <w:numFmt w:val="lowerLetter"/>
      <w:lvlText w:val="%2."/>
      <w:lvlJc w:val="left"/>
      <w:pPr>
        <w:ind w:left="2611" w:hanging="360"/>
      </w:pPr>
    </w:lvl>
    <w:lvl w:ilvl="2" w:tplc="0409001B" w:tentative="1">
      <w:start w:val="1"/>
      <w:numFmt w:val="lowerRoman"/>
      <w:lvlText w:val="%3."/>
      <w:lvlJc w:val="right"/>
      <w:pPr>
        <w:ind w:left="3331" w:hanging="180"/>
      </w:pPr>
    </w:lvl>
    <w:lvl w:ilvl="3" w:tplc="0409000F" w:tentative="1">
      <w:start w:val="1"/>
      <w:numFmt w:val="decimal"/>
      <w:lvlText w:val="%4."/>
      <w:lvlJc w:val="left"/>
      <w:pPr>
        <w:ind w:left="4051" w:hanging="360"/>
      </w:pPr>
    </w:lvl>
    <w:lvl w:ilvl="4" w:tplc="04090019" w:tentative="1">
      <w:start w:val="1"/>
      <w:numFmt w:val="lowerLetter"/>
      <w:lvlText w:val="%5."/>
      <w:lvlJc w:val="left"/>
      <w:pPr>
        <w:ind w:left="4771" w:hanging="360"/>
      </w:pPr>
    </w:lvl>
    <w:lvl w:ilvl="5" w:tplc="0409001B" w:tentative="1">
      <w:start w:val="1"/>
      <w:numFmt w:val="lowerRoman"/>
      <w:lvlText w:val="%6."/>
      <w:lvlJc w:val="right"/>
      <w:pPr>
        <w:ind w:left="5491" w:hanging="180"/>
      </w:pPr>
    </w:lvl>
    <w:lvl w:ilvl="6" w:tplc="0409000F" w:tentative="1">
      <w:start w:val="1"/>
      <w:numFmt w:val="decimal"/>
      <w:lvlText w:val="%7."/>
      <w:lvlJc w:val="left"/>
      <w:pPr>
        <w:ind w:left="6211" w:hanging="360"/>
      </w:pPr>
    </w:lvl>
    <w:lvl w:ilvl="7" w:tplc="04090019" w:tentative="1">
      <w:start w:val="1"/>
      <w:numFmt w:val="lowerLetter"/>
      <w:lvlText w:val="%8."/>
      <w:lvlJc w:val="left"/>
      <w:pPr>
        <w:ind w:left="6931" w:hanging="360"/>
      </w:pPr>
    </w:lvl>
    <w:lvl w:ilvl="8" w:tplc="0409001B" w:tentative="1">
      <w:start w:val="1"/>
      <w:numFmt w:val="lowerRoman"/>
      <w:lvlText w:val="%9."/>
      <w:lvlJc w:val="right"/>
      <w:pPr>
        <w:ind w:left="7651" w:hanging="180"/>
      </w:pPr>
    </w:lvl>
  </w:abstractNum>
  <w:abstractNum w:abstractNumId="19"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BE6BEA"/>
    <w:multiLevelType w:val="hybridMultilevel"/>
    <w:tmpl w:val="280CDDD2"/>
    <w:lvl w:ilvl="0" w:tplc="AF1A0B6A">
      <w:numFmt w:val="bullet"/>
      <w:lvlText w:val=""/>
      <w:lvlJc w:val="left"/>
      <w:pPr>
        <w:ind w:left="360" w:hanging="360"/>
      </w:pPr>
      <w:rPr>
        <w:rFonts w:ascii="Symbol" w:eastAsia="Cambria"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AD20D0"/>
    <w:multiLevelType w:val="hybridMultilevel"/>
    <w:tmpl w:val="FEA48D94"/>
    <w:lvl w:ilvl="0" w:tplc="AB382258">
      <w:start w:val="1"/>
      <w:numFmt w:val="lowerLetter"/>
      <w:lvlText w:val="(%1)"/>
      <w:lvlJc w:val="left"/>
      <w:pPr>
        <w:ind w:left="720" w:hanging="360"/>
      </w:pPr>
      <w:rPr>
        <w:rFonts w:ascii="Times New Roman" w:hAnsi="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A3D77F7"/>
    <w:multiLevelType w:val="hybridMultilevel"/>
    <w:tmpl w:val="601ED762"/>
    <w:lvl w:ilvl="0" w:tplc="50962106">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DB2FAD"/>
    <w:multiLevelType w:val="multilevel"/>
    <w:tmpl w:val="2A00A646"/>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E0760B"/>
    <w:multiLevelType w:val="hybridMultilevel"/>
    <w:tmpl w:val="1D0CBA94"/>
    <w:lvl w:ilvl="0" w:tplc="5ACCCCB6">
      <w:start w:val="1"/>
      <w:numFmt w:val="decimal"/>
      <w:lvlText w:val="(%1)"/>
      <w:lvlJc w:val="left"/>
      <w:pPr>
        <w:ind w:left="1025" w:hanging="360"/>
      </w:pPr>
      <w:rPr>
        <w:rFonts w:hint="default"/>
        <w:b/>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36" w15:restartNumberingAfterBreak="0">
    <w:nsid w:val="79B56304"/>
    <w:multiLevelType w:val="hybridMultilevel"/>
    <w:tmpl w:val="9E9E9C38"/>
    <w:lvl w:ilvl="0" w:tplc="475281E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7" w15:restartNumberingAfterBreak="0">
    <w:nsid w:val="79DB23C0"/>
    <w:multiLevelType w:val="multilevel"/>
    <w:tmpl w:val="CE947A96"/>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16"/>
  </w:num>
  <w:num w:numId="4">
    <w:abstractNumId w:val="2"/>
  </w:num>
  <w:num w:numId="5">
    <w:abstractNumId w:val="6"/>
  </w:num>
  <w:num w:numId="6">
    <w:abstractNumId w:val="8"/>
  </w:num>
  <w:num w:numId="7">
    <w:abstractNumId w:val="7"/>
  </w:num>
  <w:num w:numId="8">
    <w:abstractNumId w:val="23"/>
  </w:num>
  <w:num w:numId="9">
    <w:abstractNumId w:val="11"/>
  </w:num>
  <w:num w:numId="10">
    <w:abstractNumId w:val="19"/>
  </w:num>
  <w:num w:numId="11">
    <w:abstractNumId w:val="12"/>
  </w:num>
  <w:num w:numId="12">
    <w:abstractNumId w:val="4"/>
  </w:num>
  <w:num w:numId="13">
    <w:abstractNumId w:val="1"/>
  </w:num>
  <w:num w:numId="14">
    <w:abstractNumId w:val="2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5"/>
  </w:num>
  <w:num w:numId="24">
    <w:abstractNumId w:val="33"/>
  </w:num>
  <w:num w:numId="25">
    <w:abstractNumId w:val="37"/>
  </w:num>
  <w:num w:numId="26">
    <w:abstractNumId w:val="21"/>
  </w:num>
  <w:num w:numId="27">
    <w:abstractNumId w:val="22"/>
  </w:num>
  <w:num w:numId="28">
    <w:abstractNumId w:val="18"/>
  </w:num>
  <w:num w:numId="29">
    <w:abstractNumId w:val="3"/>
  </w:num>
  <w:num w:numId="30">
    <w:abstractNumId w:val="35"/>
  </w:num>
  <w:num w:numId="31">
    <w:abstractNumId w:val="32"/>
  </w:num>
  <w:num w:numId="3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EB"/>
    <w:rsid w:val="00001FB4"/>
    <w:rsid w:val="00002024"/>
    <w:rsid w:val="000039D7"/>
    <w:rsid w:val="00003FC4"/>
    <w:rsid w:val="00004121"/>
    <w:rsid w:val="000041BD"/>
    <w:rsid w:val="00004FB3"/>
    <w:rsid w:val="00007740"/>
    <w:rsid w:val="000105AB"/>
    <w:rsid w:val="000108E2"/>
    <w:rsid w:val="00011869"/>
    <w:rsid w:val="00012088"/>
    <w:rsid w:val="000123C2"/>
    <w:rsid w:val="0001275A"/>
    <w:rsid w:val="00012B72"/>
    <w:rsid w:val="00014257"/>
    <w:rsid w:val="00014D0E"/>
    <w:rsid w:val="00014FF5"/>
    <w:rsid w:val="0002009F"/>
    <w:rsid w:val="00020FA2"/>
    <w:rsid w:val="00022CDF"/>
    <w:rsid w:val="00022F82"/>
    <w:rsid w:val="00023FCC"/>
    <w:rsid w:val="0002418C"/>
    <w:rsid w:val="000248C7"/>
    <w:rsid w:val="000258A0"/>
    <w:rsid w:val="00025981"/>
    <w:rsid w:val="0002637D"/>
    <w:rsid w:val="00026B67"/>
    <w:rsid w:val="00030D21"/>
    <w:rsid w:val="00030E6D"/>
    <w:rsid w:val="00031189"/>
    <w:rsid w:val="000320F2"/>
    <w:rsid w:val="0003313B"/>
    <w:rsid w:val="00034E2F"/>
    <w:rsid w:val="00035468"/>
    <w:rsid w:val="00036984"/>
    <w:rsid w:val="0003757F"/>
    <w:rsid w:val="0003764D"/>
    <w:rsid w:val="00041037"/>
    <w:rsid w:val="00041E62"/>
    <w:rsid w:val="00042988"/>
    <w:rsid w:val="000430ED"/>
    <w:rsid w:val="0004373B"/>
    <w:rsid w:val="0004479F"/>
    <w:rsid w:val="00044D8C"/>
    <w:rsid w:val="000453D0"/>
    <w:rsid w:val="000455E5"/>
    <w:rsid w:val="00046216"/>
    <w:rsid w:val="00046BAA"/>
    <w:rsid w:val="00050664"/>
    <w:rsid w:val="00051826"/>
    <w:rsid w:val="00051EA8"/>
    <w:rsid w:val="00053904"/>
    <w:rsid w:val="0005423E"/>
    <w:rsid w:val="000554D9"/>
    <w:rsid w:val="00056020"/>
    <w:rsid w:val="00056BE6"/>
    <w:rsid w:val="00057DAD"/>
    <w:rsid w:val="00057F75"/>
    <w:rsid w:val="00060287"/>
    <w:rsid w:val="0006273A"/>
    <w:rsid w:val="00063B3D"/>
    <w:rsid w:val="00063C97"/>
    <w:rsid w:val="00064F51"/>
    <w:rsid w:val="000651DE"/>
    <w:rsid w:val="00066A91"/>
    <w:rsid w:val="00067075"/>
    <w:rsid w:val="00070286"/>
    <w:rsid w:val="00070A65"/>
    <w:rsid w:val="00071217"/>
    <w:rsid w:val="000731B2"/>
    <w:rsid w:val="000737C0"/>
    <w:rsid w:val="00074005"/>
    <w:rsid w:val="00074AB4"/>
    <w:rsid w:val="00074BF3"/>
    <w:rsid w:val="00080300"/>
    <w:rsid w:val="000813F8"/>
    <w:rsid w:val="00082BCD"/>
    <w:rsid w:val="000836F3"/>
    <w:rsid w:val="0008443B"/>
    <w:rsid w:val="00084A07"/>
    <w:rsid w:val="00090D8B"/>
    <w:rsid w:val="00090EC6"/>
    <w:rsid w:val="000916EE"/>
    <w:rsid w:val="0009429E"/>
    <w:rsid w:val="000962E3"/>
    <w:rsid w:val="000965FB"/>
    <w:rsid w:val="000967FA"/>
    <w:rsid w:val="00097045"/>
    <w:rsid w:val="00097203"/>
    <w:rsid w:val="000974E1"/>
    <w:rsid w:val="0009777C"/>
    <w:rsid w:val="000978C5"/>
    <w:rsid w:val="000A1B5D"/>
    <w:rsid w:val="000A208B"/>
    <w:rsid w:val="000A25C2"/>
    <w:rsid w:val="000A4314"/>
    <w:rsid w:val="000A4683"/>
    <w:rsid w:val="000A5065"/>
    <w:rsid w:val="000A5BC9"/>
    <w:rsid w:val="000A71D4"/>
    <w:rsid w:val="000A7903"/>
    <w:rsid w:val="000A7FB7"/>
    <w:rsid w:val="000B00E4"/>
    <w:rsid w:val="000B042A"/>
    <w:rsid w:val="000B163B"/>
    <w:rsid w:val="000B177D"/>
    <w:rsid w:val="000B27D5"/>
    <w:rsid w:val="000B2869"/>
    <w:rsid w:val="000B2B15"/>
    <w:rsid w:val="000B3154"/>
    <w:rsid w:val="000B35DF"/>
    <w:rsid w:val="000B4BB1"/>
    <w:rsid w:val="000B4DA5"/>
    <w:rsid w:val="000B5DCB"/>
    <w:rsid w:val="000B6402"/>
    <w:rsid w:val="000C2287"/>
    <w:rsid w:val="000C2440"/>
    <w:rsid w:val="000C3AFB"/>
    <w:rsid w:val="000C5112"/>
    <w:rsid w:val="000C61CF"/>
    <w:rsid w:val="000C635B"/>
    <w:rsid w:val="000D0F4D"/>
    <w:rsid w:val="000D1649"/>
    <w:rsid w:val="000D1AB6"/>
    <w:rsid w:val="000D2D22"/>
    <w:rsid w:val="000D2FFA"/>
    <w:rsid w:val="000D30CF"/>
    <w:rsid w:val="000D3D50"/>
    <w:rsid w:val="000D40E2"/>
    <w:rsid w:val="000D5D4E"/>
    <w:rsid w:val="000D5F02"/>
    <w:rsid w:val="000D628D"/>
    <w:rsid w:val="000D639F"/>
    <w:rsid w:val="000D7205"/>
    <w:rsid w:val="000E2406"/>
    <w:rsid w:val="000E2AF3"/>
    <w:rsid w:val="000E2E9E"/>
    <w:rsid w:val="000E3CC2"/>
    <w:rsid w:val="000E4D39"/>
    <w:rsid w:val="000E750C"/>
    <w:rsid w:val="000E7885"/>
    <w:rsid w:val="000E7CF7"/>
    <w:rsid w:val="000F0319"/>
    <w:rsid w:val="000F081D"/>
    <w:rsid w:val="000F2398"/>
    <w:rsid w:val="000F242A"/>
    <w:rsid w:val="000F2EBE"/>
    <w:rsid w:val="000F31F8"/>
    <w:rsid w:val="000F33DB"/>
    <w:rsid w:val="000F39FE"/>
    <w:rsid w:val="000F42C4"/>
    <w:rsid w:val="000F48F7"/>
    <w:rsid w:val="000F4E34"/>
    <w:rsid w:val="0010104F"/>
    <w:rsid w:val="0010153E"/>
    <w:rsid w:val="00101B4D"/>
    <w:rsid w:val="00102896"/>
    <w:rsid w:val="00103778"/>
    <w:rsid w:val="001055DC"/>
    <w:rsid w:val="001062A4"/>
    <w:rsid w:val="00106A5B"/>
    <w:rsid w:val="00106F2C"/>
    <w:rsid w:val="00106FC7"/>
    <w:rsid w:val="00107066"/>
    <w:rsid w:val="00107E81"/>
    <w:rsid w:val="00110391"/>
    <w:rsid w:val="001104D5"/>
    <w:rsid w:val="00111062"/>
    <w:rsid w:val="00111C8A"/>
    <w:rsid w:val="0011343D"/>
    <w:rsid w:val="001139D0"/>
    <w:rsid w:val="00114548"/>
    <w:rsid w:val="00115291"/>
    <w:rsid w:val="00117CEC"/>
    <w:rsid w:val="001206DD"/>
    <w:rsid w:val="00121A23"/>
    <w:rsid w:val="00122E37"/>
    <w:rsid w:val="00123118"/>
    <w:rsid w:val="00123DCE"/>
    <w:rsid w:val="00124559"/>
    <w:rsid w:val="001245D0"/>
    <w:rsid w:val="00124A33"/>
    <w:rsid w:val="00125EFD"/>
    <w:rsid w:val="00126652"/>
    <w:rsid w:val="00126CCD"/>
    <w:rsid w:val="001300B0"/>
    <w:rsid w:val="00130BB0"/>
    <w:rsid w:val="0013375F"/>
    <w:rsid w:val="0013569C"/>
    <w:rsid w:val="001369B9"/>
    <w:rsid w:val="00137A06"/>
    <w:rsid w:val="00140EBC"/>
    <w:rsid w:val="00142EC4"/>
    <w:rsid w:val="0014387D"/>
    <w:rsid w:val="00143CA1"/>
    <w:rsid w:val="001443B4"/>
    <w:rsid w:val="00144E82"/>
    <w:rsid w:val="001456FD"/>
    <w:rsid w:val="00145F38"/>
    <w:rsid w:val="001465BD"/>
    <w:rsid w:val="001476F6"/>
    <w:rsid w:val="0015126D"/>
    <w:rsid w:val="001532D6"/>
    <w:rsid w:val="0015361D"/>
    <w:rsid w:val="00154A15"/>
    <w:rsid w:val="00154AA1"/>
    <w:rsid w:val="00155C3D"/>
    <w:rsid w:val="001627DD"/>
    <w:rsid w:val="0016547E"/>
    <w:rsid w:val="00165A9F"/>
    <w:rsid w:val="00166112"/>
    <w:rsid w:val="00170675"/>
    <w:rsid w:val="001721D8"/>
    <w:rsid w:val="00172839"/>
    <w:rsid w:val="001729FF"/>
    <w:rsid w:val="00172EEF"/>
    <w:rsid w:val="00172F0F"/>
    <w:rsid w:val="00174847"/>
    <w:rsid w:val="0017505D"/>
    <w:rsid w:val="001776B2"/>
    <w:rsid w:val="00177AB4"/>
    <w:rsid w:val="00180325"/>
    <w:rsid w:val="00182950"/>
    <w:rsid w:val="00182E3C"/>
    <w:rsid w:val="00182E6C"/>
    <w:rsid w:val="00183E35"/>
    <w:rsid w:val="00184268"/>
    <w:rsid w:val="00184B5E"/>
    <w:rsid w:val="00186944"/>
    <w:rsid w:val="0018781A"/>
    <w:rsid w:val="001905E0"/>
    <w:rsid w:val="00190AB5"/>
    <w:rsid w:val="0019204B"/>
    <w:rsid w:val="0019356D"/>
    <w:rsid w:val="00194039"/>
    <w:rsid w:val="00194C3A"/>
    <w:rsid w:val="00195069"/>
    <w:rsid w:val="00196DA5"/>
    <w:rsid w:val="0019787C"/>
    <w:rsid w:val="001979DC"/>
    <w:rsid w:val="00197BA3"/>
    <w:rsid w:val="001A0BCA"/>
    <w:rsid w:val="001A15AC"/>
    <w:rsid w:val="001A1FBD"/>
    <w:rsid w:val="001A2962"/>
    <w:rsid w:val="001A552F"/>
    <w:rsid w:val="001A562A"/>
    <w:rsid w:val="001A5CB2"/>
    <w:rsid w:val="001A6C2A"/>
    <w:rsid w:val="001A757D"/>
    <w:rsid w:val="001B0571"/>
    <w:rsid w:val="001B0B41"/>
    <w:rsid w:val="001B2D72"/>
    <w:rsid w:val="001B33EC"/>
    <w:rsid w:val="001B3D5B"/>
    <w:rsid w:val="001B4173"/>
    <w:rsid w:val="001B4ECB"/>
    <w:rsid w:val="001B52AC"/>
    <w:rsid w:val="001B644D"/>
    <w:rsid w:val="001B6892"/>
    <w:rsid w:val="001B7250"/>
    <w:rsid w:val="001B7C15"/>
    <w:rsid w:val="001B7DFD"/>
    <w:rsid w:val="001C0768"/>
    <w:rsid w:val="001C0E7A"/>
    <w:rsid w:val="001C1A73"/>
    <w:rsid w:val="001C2575"/>
    <w:rsid w:val="001C3392"/>
    <w:rsid w:val="001C3788"/>
    <w:rsid w:val="001C436A"/>
    <w:rsid w:val="001C5A92"/>
    <w:rsid w:val="001C6AD2"/>
    <w:rsid w:val="001C749A"/>
    <w:rsid w:val="001C766E"/>
    <w:rsid w:val="001C7EF8"/>
    <w:rsid w:val="001D066C"/>
    <w:rsid w:val="001D07AE"/>
    <w:rsid w:val="001D07C5"/>
    <w:rsid w:val="001D0DCC"/>
    <w:rsid w:val="001D11F3"/>
    <w:rsid w:val="001D162E"/>
    <w:rsid w:val="001D1EA7"/>
    <w:rsid w:val="001D41A0"/>
    <w:rsid w:val="001D4907"/>
    <w:rsid w:val="001D5FE8"/>
    <w:rsid w:val="001D6689"/>
    <w:rsid w:val="001D7920"/>
    <w:rsid w:val="001E0960"/>
    <w:rsid w:val="001E1B02"/>
    <w:rsid w:val="001E1C00"/>
    <w:rsid w:val="001E1C33"/>
    <w:rsid w:val="001E1D4A"/>
    <w:rsid w:val="001E2015"/>
    <w:rsid w:val="001E41AE"/>
    <w:rsid w:val="001E4824"/>
    <w:rsid w:val="001E647F"/>
    <w:rsid w:val="001E7DB1"/>
    <w:rsid w:val="001E7F4B"/>
    <w:rsid w:val="001F0D10"/>
    <w:rsid w:val="001F3358"/>
    <w:rsid w:val="001F373E"/>
    <w:rsid w:val="001F43D4"/>
    <w:rsid w:val="001F50EC"/>
    <w:rsid w:val="001F55E5"/>
    <w:rsid w:val="001F5AF2"/>
    <w:rsid w:val="001F6CF3"/>
    <w:rsid w:val="0020181E"/>
    <w:rsid w:val="00201A33"/>
    <w:rsid w:val="002052B0"/>
    <w:rsid w:val="00206682"/>
    <w:rsid w:val="0020692D"/>
    <w:rsid w:val="00206FBB"/>
    <w:rsid w:val="00207C44"/>
    <w:rsid w:val="00207DFC"/>
    <w:rsid w:val="00210328"/>
    <w:rsid w:val="00210C28"/>
    <w:rsid w:val="0021145F"/>
    <w:rsid w:val="00212687"/>
    <w:rsid w:val="00212840"/>
    <w:rsid w:val="00212A33"/>
    <w:rsid w:val="00213788"/>
    <w:rsid w:val="002146BA"/>
    <w:rsid w:val="002146DC"/>
    <w:rsid w:val="002150A6"/>
    <w:rsid w:val="00215DB8"/>
    <w:rsid w:val="00216966"/>
    <w:rsid w:val="0021764C"/>
    <w:rsid w:val="00217A90"/>
    <w:rsid w:val="00217C89"/>
    <w:rsid w:val="00220F1C"/>
    <w:rsid w:val="00221332"/>
    <w:rsid w:val="002221BC"/>
    <w:rsid w:val="0022334D"/>
    <w:rsid w:val="00223A01"/>
    <w:rsid w:val="0022443E"/>
    <w:rsid w:val="00225A4A"/>
    <w:rsid w:val="00225AA4"/>
    <w:rsid w:val="00225D68"/>
    <w:rsid w:val="0022621E"/>
    <w:rsid w:val="002274CF"/>
    <w:rsid w:val="00227AB9"/>
    <w:rsid w:val="00230393"/>
    <w:rsid w:val="002308F9"/>
    <w:rsid w:val="002309B3"/>
    <w:rsid w:val="002316F7"/>
    <w:rsid w:val="002321CF"/>
    <w:rsid w:val="00232329"/>
    <w:rsid w:val="00233BC0"/>
    <w:rsid w:val="00234173"/>
    <w:rsid w:val="00235E1E"/>
    <w:rsid w:val="00235E5E"/>
    <w:rsid w:val="00235F30"/>
    <w:rsid w:val="00236A3B"/>
    <w:rsid w:val="002403FA"/>
    <w:rsid w:val="00240E9E"/>
    <w:rsid w:val="0024155A"/>
    <w:rsid w:val="00241798"/>
    <w:rsid w:val="00241BEE"/>
    <w:rsid w:val="002432A9"/>
    <w:rsid w:val="00243924"/>
    <w:rsid w:val="002441F9"/>
    <w:rsid w:val="002450AA"/>
    <w:rsid w:val="002456C9"/>
    <w:rsid w:val="00246A83"/>
    <w:rsid w:val="00246AE5"/>
    <w:rsid w:val="00246C4C"/>
    <w:rsid w:val="002472BC"/>
    <w:rsid w:val="0024758E"/>
    <w:rsid w:val="002512A3"/>
    <w:rsid w:val="00251B5E"/>
    <w:rsid w:val="00251F98"/>
    <w:rsid w:val="00253772"/>
    <w:rsid w:val="00253E2A"/>
    <w:rsid w:val="00254817"/>
    <w:rsid w:val="00255070"/>
    <w:rsid w:val="0025747B"/>
    <w:rsid w:val="00257896"/>
    <w:rsid w:val="00257AD4"/>
    <w:rsid w:val="002610B9"/>
    <w:rsid w:val="002635CF"/>
    <w:rsid w:val="00265192"/>
    <w:rsid w:val="00265219"/>
    <w:rsid w:val="002656F3"/>
    <w:rsid w:val="00266DC8"/>
    <w:rsid w:val="00267697"/>
    <w:rsid w:val="00272A96"/>
    <w:rsid w:val="002731FF"/>
    <w:rsid w:val="00273AE3"/>
    <w:rsid w:val="00273CC2"/>
    <w:rsid w:val="00274049"/>
    <w:rsid w:val="00274A16"/>
    <w:rsid w:val="00274E2B"/>
    <w:rsid w:val="002768F3"/>
    <w:rsid w:val="00277A55"/>
    <w:rsid w:val="0028088F"/>
    <w:rsid w:val="00280B8E"/>
    <w:rsid w:val="002832F4"/>
    <w:rsid w:val="0028335F"/>
    <w:rsid w:val="0028502C"/>
    <w:rsid w:val="002851BF"/>
    <w:rsid w:val="00285F3C"/>
    <w:rsid w:val="002860E8"/>
    <w:rsid w:val="0028731B"/>
    <w:rsid w:val="00287634"/>
    <w:rsid w:val="002876D4"/>
    <w:rsid w:val="002879EC"/>
    <w:rsid w:val="0029213C"/>
    <w:rsid w:val="00293143"/>
    <w:rsid w:val="00293320"/>
    <w:rsid w:val="00293CEB"/>
    <w:rsid w:val="00294058"/>
    <w:rsid w:val="00294245"/>
    <w:rsid w:val="00294DE8"/>
    <w:rsid w:val="00297DB4"/>
    <w:rsid w:val="002A0596"/>
    <w:rsid w:val="002A0FD1"/>
    <w:rsid w:val="002A1300"/>
    <w:rsid w:val="002A159D"/>
    <w:rsid w:val="002A18C9"/>
    <w:rsid w:val="002A2D90"/>
    <w:rsid w:val="002A3283"/>
    <w:rsid w:val="002A5322"/>
    <w:rsid w:val="002A5C5B"/>
    <w:rsid w:val="002A61AD"/>
    <w:rsid w:val="002A64AD"/>
    <w:rsid w:val="002A6992"/>
    <w:rsid w:val="002A7439"/>
    <w:rsid w:val="002A7E6F"/>
    <w:rsid w:val="002A7F77"/>
    <w:rsid w:val="002B0035"/>
    <w:rsid w:val="002B0EAC"/>
    <w:rsid w:val="002B3521"/>
    <w:rsid w:val="002B44C7"/>
    <w:rsid w:val="002B4873"/>
    <w:rsid w:val="002B707B"/>
    <w:rsid w:val="002B7647"/>
    <w:rsid w:val="002C062E"/>
    <w:rsid w:val="002C089C"/>
    <w:rsid w:val="002C3465"/>
    <w:rsid w:val="002C35AF"/>
    <w:rsid w:val="002C36B3"/>
    <w:rsid w:val="002C3C61"/>
    <w:rsid w:val="002C5641"/>
    <w:rsid w:val="002C7BAF"/>
    <w:rsid w:val="002D2D18"/>
    <w:rsid w:val="002D401E"/>
    <w:rsid w:val="002D5468"/>
    <w:rsid w:val="002E1F57"/>
    <w:rsid w:val="002E2E64"/>
    <w:rsid w:val="002E349C"/>
    <w:rsid w:val="002E3588"/>
    <w:rsid w:val="002E39E0"/>
    <w:rsid w:val="002E53E7"/>
    <w:rsid w:val="002E720E"/>
    <w:rsid w:val="002E7677"/>
    <w:rsid w:val="002E7EE0"/>
    <w:rsid w:val="002F0C47"/>
    <w:rsid w:val="002F1535"/>
    <w:rsid w:val="002F19DD"/>
    <w:rsid w:val="002F1EA0"/>
    <w:rsid w:val="002F242B"/>
    <w:rsid w:val="002F4A68"/>
    <w:rsid w:val="002F4DB0"/>
    <w:rsid w:val="002F5A39"/>
    <w:rsid w:val="002F664A"/>
    <w:rsid w:val="002F66D9"/>
    <w:rsid w:val="002F66EA"/>
    <w:rsid w:val="002F7EE9"/>
    <w:rsid w:val="00301367"/>
    <w:rsid w:val="00301C22"/>
    <w:rsid w:val="0030207C"/>
    <w:rsid w:val="00302185"/>
    <w:rsid w:val="00302450"/>
    <w:rsid w:val="00303A25"/>
    <w:rsid w:val="00306EFA"/>
    <w:rsid w:val="0031117B"/>
    <w:rsid w:val="003116A5"/>
    <w:rsid w:val="003127F8"/>
    <w:rsid w:val="0031375A"/>
    <w:rsid w:val="00314A68"/>
    <w:rsid w:val="003202CA"/>
    <w:rsid w:val="00321884"/>
    <w:rsid w:val="0032207D"/>
    <w:rsid w:val="003226BF"/>
    <w:rsid w:val="003226F2"/>
    <w:rsid w:val="00322CCD"/>
    <w:rsid w:val="003247EB"/>
    <w:rsid w:val="00324E39"/>
    <w:rsid w:val="003257CA"/>
    <w:rsid w:val="0032598E"/>
    <w:rsid w:val="0032674F"/>
    <w:rsid w:val="00326798"/>
    <w:rsid w:val="00326CF0"/>
    <w:rsid w:val="00327822"/>
    <w:rsid w:val="00331447"/>
    <w:rsid w:val="003316D7"/>
    <w:rsid w:val="00331757"/>
    <w:rsid w:val="0033258A"/>
    <w:rsid w:val="00332C68"/>
    <w:rsid w:val="00333A4F"/>
    <w:rsid w:val="00335540"/>
    <w:rsid w:val="00336529"/>
    <w:rsid w:val="00336FE4"/>
    <w:rsid w:val="0034049B"/>
    <w:rsid w:val="00340AA4"/>
    <w:rsid w:val="0034336B"/>
    <w:rsid w:val="0034454C"/>
    <w:rsid w:val="00345D9B"/>
    <w:rsid w:val="00346692"/>
    <w:rsid w:val="0034704B"/>
    <w:rsid w:val="0034760F"/>
    <w:rsid w:val="00347647"/>
    <w:rsid w:val="00350078"/>
    <w:rsid w:val="0035186D"/>
    <w:rsid w:val="00352879"/>
    <w:rsid w:val="00352B83"/>
    <w:rsid w:val="00354C58"/>
    <w:rsid w:val="00354E4F"/>
    <w:rsid w:val="003622E7"/>
    <w:rsid w:val="00362E4D"/>
    <w:rsid w:val="003645DC"/>
    <w:rsid w:val="003646AC"/>
    <w:rsid w:val="00364922"/>
    <w:rsid w:val="00366712"/>
    <w:rsid w:val="00371E2D"/>
    <w:rsid w:val="00372190"/>
    <w:rsid w:val="003731EB"/>
    <w:rsid w:val="00375953"/>
    <w:rsid w:val="00376857"/>
    <w:rsid w:val="00377DAC"/>
    <w:rsid w:val="0038017F"/>
    <w:rsid w:val="00380FB2"/>
    <w:rsid w:val="00382276"/>
    <w:rsid w:val="0038232B"/>
    <w:rsid w:val="003827A7"/>
    <w:rsid w:val="00383C6A"/>
    <w:rsid w:val="0038551B"/>
    <w:rsid w:val="00385B78"/>
    <w:rsid w:val="00385C6F"/>
    <w:rsid w:val="0039016F"/>
    <w:rsid w:val="00390324"/>
    <w:rsid w:val="00390A97"/>
    <w:rsid w:val="00390B03"/>
    <w:rsid w:val="00390FC2"/>
    <w:rsid w:val="003914E1"/>
    <w:rsid w:val="00391A3E"/>
    <w:rsid w:val="00392273"/>
    <w:rsid w:val="003933A5"/>
    <w:rsid w:val="003939A2"/>
    <w:rsid w:val="003964F6"/>
    <w:rsid w:val="0039749E"/>
    <w:rsid w:val="003A080E"/>
    <w:rsid w:val="003A1700"/>
    <w:rsid w:val="003A34AE"/>
    <w:rsid w:val="003A4CFF"/>
    <w:rsid w:val="003A5067"/>
    <w:rsid w:val="003A6158"/>
    <w:rsid w:val="003A644D"/>
    <w:rsid w:val="003A72A8"/>
    <w:rsid w:val="003A79DB"/>
    <w:rsid w:val="003B0A21"/>
    <w:rsid w:val="003B114C"/>
    <w:rsid w:val="003B3DB9"/>
    <w:rsid w:val="003B40C9"/>
    <w:rsid w:val="003B4E23"/>
    <w:rsid w:val="003B7386"/>
    <w:rsid w:val="003B777A"/>
    <w:rsid w:val="003C1E61"/>
    <w:rsid w:val="003C20D3"/>
    <w:rsid w:val="003C219C"/>
    <w:rsid w:val="003C32EE"/>
    <w:rsid w:val="003C3673"/>
    <w:rsid w:val="003C452F"/>
    <w:rsid w:val="003C61D7"/>
    <w:rsid w:val="003C6EBB"/>
    <w:rsid w:val="003C784B"/>
    <w:rsid w:val="003D0B8D"/>
    <w:rsid w:val="003D0BAB"/>
    <w:rsid w:val="003D0E91"/>
    <w:rsid w:val="003D1FE2"/>
    <w:rsid w:val="003D257F"/>
    <w:rsid w:val="003D2D98"/>
    <w:rsid w:val="003D4C45"/>
    <w:rsid w:val="003D4D49"/>
    <w:rsid w:val="003D5935"/>
    <w:rsid w:val="003D5B8E"/>
    <w:rsid w:val="003D69FC"/>
    <w:rsid w:val="003D6F36"/>
    <w:rsid w:val="003D7380"/>
    <w:rsid w:val="003D7C75"/>
    <w:rsid w:val="003E012B"/>
    <w:rsid w:val="003E0AF3"/>
    <w:rsid w:val="003E1038"/>
    <w:rsid w:val="003E1765"/>
    <w:rsid w:val="003E1874"/>
    <w:rsid w:val="003E1EE7"/>
    <w:rsid w:val="003E284A"/>
    <w:rsid w:val="003E2DCB"/>
    <w:rsid w:val="003E3108"/>
    <w:rsid w:val="003E317E"/>
    <w:rsid w:val="003E352A"/>
    <w:rsid w:val="003E3571"/>
    <w:rsid w:val="003E4166"/>
    <w:rsid w:val="003E49CC"/>
    <w:rsid w:val="003E4E1A"/>
    <w:rsid w:val="003E4FAA"/>
    <w:rsid w:val="003E6433"/>
    <w:rsid w:val="003E6641"/>
    <w:rsid w:val="003E794C"/>
    <w:rsid w:val="003E7BF9"/>
    <w:rsid w:val="003F42C9"/>
    <w:rsid w:val="003F58A1"/>
    <w:rsid w:val="003F61C0"/>
    <w:rsid w:val="003F6D72"/>
    <w:rsid w:val="003F7EF1"/>
    <w:rsid w:val="0040064D"/>
    <w:rsid w:val="0040077C"/>
    <w:rsid w:val="004007FD"/>
    <w:rsid w:val="0040186F"/>
    <w:rsid w:val="00402812"/>
    <w:rsid w:val="00402C6B"/>
    <w:rsid w:val="00403355"/>
    <w:rsid w:val="00403842"/>
    <w:rsid w:val="004040B2"/>
    <w:rsid w:val="00404E41"/>
    <w:rsid w:val="0040665C"/>
    <w:rsid w:val="00406C4A"/>
    <w:rsid w:val="004077A2"/>
    <w:rsid w:val="00407A73"/>
    <w:rsid w:val="004114FE"/>
    <w:rsid w:val="00411514"/>
    <w:rsid w:val="004119E8"/>
    <w:rsid w:val="00412EE5"/>
    <w:rsid w:val="00413AF7"/>
    <w:rsid w:val="00413CB1"/>
    <w:rsid w:val="00415075"/>
    <w:rsid w:val="00415337"/>
    <w:rsid w:val="00415AB8"/>
    <w:rsid w:val="00416635"/>
    <w:rsid w:val="00416A0C"/>
    <w:rsid w:val="00416CDE"/>
    <w:rsid w:val="0042009D"/>
    <w:rsid w:val="0042017A"/>
    <w:rsid w:val="00420410"/>
    <w:rsid w:val="004209C2"/>
    <w:rsid w:val="004223F0"/>
    <w:rsid w:val="00423B7D"/>
    <w:rsid w:val="00423DA5"/>
    <w:rsid w:val="00424440"/>
    <w:rsid w:val="00424A03"/>
    <w:rsid w:val="0042623F"/>
    <w:rsid w:val="004267A8"/>
    <w:rsid w:val="00427178"/>
    <w:rsid w:val="00430315"/>
    <w:rsid w:val="00430C4D"/>
    <w:rsid w:val="00430D5F"/>
    <w:rsid w:val="004313E7"/>
    <w:rsid w:val="00431A5D"/>
    <w:rsid w:val="00431D08"/>
    <w:rsid w:val="004327A6"/>
    <w:rsid w:val="00432DC0"/>
    <w:rsid w:val="00432E91"/>
    <w:rsid w:val="0043387B"/>
    <w:rsid w:val="00433AE2"/>
    <w:rsid w:val="004343EF"/>
    <w:rsid w:val="00435726"/>
    <w:rsid w:val="00435DA0"/>
    <w:rsid w:val="00436098"/>
    <w:rsid w:val="00436219"/>
    <w:rsid w:val="00436C5C"/>
    <w:rsid w:val="00437887"/>
    <w:rsid w:val="00440C90"/>
    <w:rsid w:val="00441379"/>
    <w:rsid w:val="00442227"/>
    <w:rsid w:val="004428F7"/>
    <w:rsid w:val="00442D45"/>
    <w:rsid w:val="00442FA3"/>
    <w:rsid w:val="00443739"/>
    <w:rsid w:val="00443AF7"/>
    <w:rsid w:val="0044445C"/>
    <w:rsid w:val="00444507"/>
    <w:rsid w:val="00444584"/>
    <w:rsid w:val="0044614B"/>
    <w:rsid w:val="0044742B"/>
    <w:rsid w:val="00450024"/>
    <w:rsid w:val="004503EC"/>
    <w:rsid w:val="00451353"/>
    <w:rsid w:val="00451599"/>
    <w:rsid w:val="004526DC"/>
    <w:rsid w:val="00452C13"/>
    <w:rsid w:val="00452F8C"/>
    <w:rsid w:val="0045393E"/>
    <w:rsid w:val="00453CC2"/>
    <w:rsid w:val="00457C86"/>
    <w:rsid w:val="00461759"/>
    <w:rsid w:val="00462A61"/>
    <w:rsid w:val="00463E97"/>
    <w:rsid w:val="004653C0"/>
    <w:rsid w:val="00465B16"/>
    <w:rsid w:val="0047138B"/>
    <w:rsid w:val="0047284D"/>
    <w:rsid w:val="00472FC0"/>
    <w:rsid w:val="004731B1"/>
    <w:rsid w:val="00473243"/>
    <w:rsid w:val="00475CF2"/>
    <w:rsid w:val="00476141"/>
    <w:rsid w:val="00476598"/>
    <w:rsid w:val="00476C74"/>
    <w:rsid w:val="00477541"/>
    <w:rsid w:val="0047789C"/>
    <w:rsid w:val="00477BB5"/>
    <w:rsid w:val="004803D4"/>
    <w:rsid w:val="0048069E"/>
    <w:rsid w:val="00480E79"/>
    <w:rsid w:val="0048177E"/>
    <w:rsid w:val="00481D88"/>
    <w:rsid w:val="0048308B"/>
    <w:rsid w:val="0048502F"/>
    <w:rsid w:val="0048658F"/>
    <w:rsid w:val="00486A4D"/>
    <w:rsid w:val="00486E32"/>
    <w:rsid w:val="00487B34"/>
    <w:rsid w:val="00487E27"/>
    <w:rsid w:val="00490C57"/>
    <w:rsid w:val="00491433"/>
    <w:rsid w:val="00492449"/>
    <w:rsid w:val="004936DC"/>
    <w:rsid w:val="004938A3"/>
    <w:rsid w:val="00494271"/>
    <w:rsid w:val="004954E9"/>
    <w:rsid w:val="004971E4"/>
    <w:rsid w:val="004A08B7"/>
    <w:rsid w:val="004A26F8"/>
    <w:rsid w:val="004A37C7"/>
    <w:rsid w:val="004A37E5"/>
    <w:rsid w:val="004A38E4"/>
    <w:rsid w:val="004A3A29"/>
    <w:rsid w:val="004A3B22"/>
    <w:rsid w:val="004A4A68"/>
    <w:rsid w:val="004A5F72"/>
    <w:rsid w:val="004A6330"/>
    <w:rsid w:val="004A6AEE"/>
    <w:rsid w:val="004B4706"/>
    <w:rsid w:val="004B4EA7"/>
    <w:rsid w:val="004B5B4A"/>
    <w:rsid w:val="004B644E"/>
    <w:rsid w:val="004C1309"/>
    <w:rsid w:val="004C144E"/>
    <w:rsid w:val="004C1A87"/>
    <w:rsid w:val="004C28A7"/>
    <w:rsid w:val="004C35D2"/>
    <w:rsid w:val="004C3DCB"/>
    <w:rsid w:val="004C4CC3"/>
    <w:rsid w:val="004C587A"/>
    <w:rsid w:val="004C5AFE"/>
    <w:rsid w:val="004C61C6"/>
    <w:rsid w:val="004C62A8"/>
    <w:rsid w:val="004C6902"/>
    <w:rsid w:val="004C7877"/>
    <w:rsid w:val="004D256F"/>
    <w:rsid w:val="004D54DA"/>
    <w:rsid w:val="004D5BE0"/>
    <w:rsid w:val="004E048B"/>
    <w:rsid w:val="004E0C8F"/>
    <w:rsid w:val="004E1067"/>
    <w:rsid w:val="004E1118"/>
    <w:rsid w:val="004E1D5E"/>
    <w:rsid w:val="004E3D0D"/>
    <w:rsid w:val="004E5A7A"/>
    <w:rsid w:val="004E70C6"/>
    <w:rsid w:val="004E724E"/>
    <w:rsid w:val="004E7760"/>
    <w:rsid w:val="004F0122"/>
    <w:rsid w:val="004F04CD"/>
    <w:rsid w:val="004F06E4"/>
    <w:rsid w:val="004F12BE"/>
    <w:rsid w:val="004F17F7"/>
    <w:rsid w:val="004F1D57"/>
    <w:rsid w:val="004F2A49"/>
    <w:rsid w:val="004F2FAE"/>
    <w:rsid w:val="004F33C9"/>
    <w:rsid w:val="004F434B"/>
    <w:rsid w:val="004F5362"/>
    <w:rsid w:val="004F70B9"/>
    <w:rsid w:val="004F7B94"/>
    <w:rsid w:val="004F7E91"/>
    <w:rsid w:val="00500012"/>
    <w:rsid w:val="005003C2"/>
    <w:rsid w:val="00502DD0"/>
    <w:rsid w:val="005059C5"/>
    <w:rsid w:val="00505B84"/>
    <w:rsid w:val="00505FCA"/>
    <w:rsid w:val="00506962"/>
    <w:rsid w:val="00507329"/>
    <w:rsid w:val="00507444"/>
    <w:rsid w:val="00507791"/>
    <w:rsid w:val="0050782D"/>
    <w:rsid w:val="00511D32"/>
    <w:rsid w:val="00511EAF"/>
    <w:rsid w:val="00512637"/>
    <w:rsid w:val="005149EB"/>
    <w:rsid w:val="00515BAE"/>
    <w:rsid w:val="005165C8"/>
    <w:rsid w:val="00516922"/>
    <w:rsid w:val="00516E09"/>
    <w:rsid w:val="00517E97"/>
    <w:rsid w:val="00520688"/>
    <w:rsid w:val="00521933"/>
    <w:rsid w:val="00524227"/>
    <w:rsid w:val="00524D40"/>
    <w:rsid w:val="00526582"/>
    <w:rsid w:val="005276E4"/>
    <w:rsid w:val="00531C0C"/>
    <w:rsid w:val="00532787"/>
    <w:rsid w:val="00532D74"/>
    <w:rsid w:val="005347BF"/>
    <w:rsid w:val="005352DD"/>
    <w:rsid w:val="005355AC"/>
    <w:rsid w:val="00536062"/>
    <w:rsid w:val="00536929"/>
    <w:rsid w:val="00537B4E"/>
    <w:rsid w:val="00537EB1"/>
    <w:rsid w:val="00540465"/>
    <w:rsid w:val="005445F8"/>
    <w:rsid w:val="005459E7"/>
    <w:rsid w:val="00546189"/>
    <w:rsid w:val="00547E30"/>
    <w:rsid w:val="00550F9E"/>
    <w:rsid w:val="005515F6"/>
    <w:rsid w:val="005517EA"/>
    <w:rsid w:val="005519A3"/>
    <w:rsid w:val="00551F9D"/>
    <w:rsid w:val="00552351"/>
    <w:rsid w:val="0055370A"/>
    <w:rsid w:val="00554355"/>
    <w:rsid w:val="00554B06"/>
    <w:rsid w:val="005556A2"/>
    <w:rsid w:val="00555B57"/>
    <w:rsid w:val="00555C8B"/>
    <w:rsid w:val="00560111"/>
    <w:rsid w:val="00560574"/>
    <w:rsid w:val="005619A8"/>
    <w:rsid w:val="00562634"/>
    <w:rsid w:val="00562E0E"/>
    <w:rsid w:val="00564B75"/>
    <w:rsid w:val="00566B44"/>
    <w:rsid w:val="00566CC5"/>
    <w:rsid w:val="005708CE"/>
    <w:rsid w:val="0057170A"/>
    <w:rsid w:val="00571ACA"/>
    <w:rsid w:val="00571E21"/>
    <w:rsid w:val="0057429A"/>
    <w:rsid w:val="00574D2B"/>
    <w:rsid w:val="00574FF4"/>
    <w:rsid w:val="0057631F"/>
    <w:rsid w:val="00576C1E"/>
    <w:rsid w:val="00576DD4"/>
    <w:rsid w:val="00576E08"/>
    <w:rsid w:val="00580930"/>
    <w:rsid w:val="00581DEC"/>
    <w:rsid w:val="005825AB"/>
    <w:rsid w:val="00582C28"/>
    <w:rsid w:val="00583629"/>
    <w:rsid w:val="005849E9"/>
    <w:rsid w:val="00584F3F"/>
    <w:rsid w:val="00585481"/>
    <w:rsid w:val="0058653A"/>
    <w:rsid w:val="00586C23"/>
    <w:rsid w:val="0058708F"/>
    <w:rsid w:val="005902F3"/>
    <w:rsid w:val="00590522"/>
    <w:rsid w:val="00592607"/>
    <w:rsid w:val="00592BDE"/>
    <w:rsid w:val="00594537"/>
    <w:rsid w:val="00594E80"/>
    <w:rsid w:val="00594F8D"/>
    <w:rsid w:val="00595849"/>
    <w:rsid w:val="005959DC"/>
    <w:rsid w:val="00596B65"/>
    <w:rsid w:val="00597E9B"/>
    <w:rsid w:val="005A0240"/>
    <w:rsid w:val="005A0814"/>
    <w:rsid w:val="005A18F6"/>
    <w:rsid w:val="005A3500"/>
    <w:rsid w:val="005A54D9"/>
    <w:rsid w:val="005A6EA9"/>
    <w:rsid w:val="005B29AD"/>
    <w:rsid w:val="005B2E08"/>
    <w:rsid w:val="005B32DE"/>
    <w:rsid w:val="005B42FE"/>
    <w:rsid w:val="005B4F13"/>
    <w:rsid w:val="005B5048"/>
    <w:rsid w:val="005B51A5"/>
    <w:rsid w:val="005B52E3"/>
    <w:rsid w:val="005B5536"/>
    <w:rsid w:val="005B63B2"/>
    <w:rsid w:val="005B7033"/>
    <w:rsid w:val="005B71B9"/>
    <w:rsid w:val="005B7A0A"/>
    <w:rsid w:val="005C0426"/>
    <w:rsid w:val="005C0B0D"/>
    <w:rsid w:val="005C1D42"/>
    <w:rsid w:val="005C1E80"/>
    <w:rsid w:val="005C1EFE"/>
    <w:rsid w:val="005C2E67"/>
    <w:rsid w:val="005C4539"/>
    <w:rsid w:val="005C4674"/>
    <w:rsid w:val="005C5BC7"/>
    <w:rsid w:val="005C7C11"/>
    <w:rsid w:val="005D168D"/>
    <w:rsid w:val="005D1FCA"/>
    <w:rsid w:val="005D246F"/>
    <w:rsid w:val="005D3135"/>
    <w:rsid w:val="005D39D0"/>
    <w:rsid w:val="005D4CA5"/>
    <w:rsid w:val="005D4F4E"/>
    <w:rsid w:val="005D5153"/>
    <w:rsid w:val="005D54F9"/>
    <w:rsid w:val="005D5FC3"/>
    <w:rsid w:val="005D7C25"/>
    <w:rsid w:val="005E017E"/>
    <w:rsid w:val="005E0910"/>
    <w:rsid w:val="005E09EE"/>
    <w:rsid w:val="005E0C10"/>
    <w:rsid w:val="005E127C"/>
    <w:rsid w:val="005E3B40"/>
    <w:rsid w:val="005E3D2C"/>
    <w:rsid w:val="005E4601"/>
    <w:rsid w:val="005E736A"/>
    <w:rsid w:val="005E7FB8"/>
    <w:rsid w:val="005F1DF4"/>
    <w:rsid w:val="005F20E3"/>
    <w:rsid w:val="005F253E"/>
    <w:rsid w:val="005F27EF"/>
    <w:rsid w:val="005F4374"/>
    <w:rsid w:val="005F530C"/>
    <w:rsid w:val="005F60DB"/>
    <w:rsid w:val="005F70A0"/>
    <w:rsid w:val="006006CF"/>
    <w:rsid w:val="006017D4"/>
    <w:rsid w:val="00601D2C"/>
    <w:rsid w:val="006021D2"/>
    <w:rsid w:val="00602E88"/>
    <w:rsid w:val="00603862"/>
    <w:rsid w:val="00604125"/>
    <w:rsid w:val="0060414F"/>
    <w:rsid w:val="0060500D"/>
    <w:rsid w:val="00605ADC"/>
    <w:rsid w:val="00606385"/>
    <w:rsid w:val="00606ADD"/>
    <w:rsid w:val="0060747F"/>
    <w:rsid w:val="00607641"/>
    <w:rsid w:val="00610DA3"/>
    <w:rsid w:val="006122E1"/>
    <w:rsid w:val="006147BE"/>
    <w:rsid w:val="00614EB9"/>
    <w:rsid w:val="006161F8"/>
    <w:rsid w:val="00616491"/>
    <w:rsid w:val="00616B57"/>
    <w:rsid w:val="00617055"/>
    <w:rsid w:val="006174D3"/>
    <w:rsid w:val="00622E99"/>
    <w:rsid w:val="00623355"/>
    <w:rsid w:val="00623FA5"/>
    <w:rsid w:val="0062440A"/>
    <w:rsid w:val="0062512C"/>
    <w:rsid w:val="006261E2"/>
    <w:rsid w:val="00626677"/>
    <w:rsid w:val="00630E48"/>
    <w:rsid w:val="0063149B"/>
    <w:rsid w:val="00631CE1"/>
    <w:rsid w:val="0063296F"/>
    <w:rsid w:val="00634073"/>
    <w:rsid w:val="0063445A"/>
    <w:rsid w:val="006376CC"/>
    <w:rsid w:val="00640740"/>
    <w:rsid w:val="00641007"/>
    <w:rsid w:val="00641EED"/>
    <w:rsid w:val="006423D5"/>
    <w:rsid w:val="0064251D"/>
    <w:rsid w:val="00642695"/>
    <w:rsid w:val="00642C1E"/>
    <w:rsid w:val="006433F8"/>
    <w:rsid w:val="006448E4"/>
    <w:rsid w:val="0064647A"/>
    <w:rsid w:val="0064667D"/>
    <w:rsid w:val="00646D73"/>
    <w:rsid w:val="006476AE"/>
    <w:rsid w:val="00651276"/>
    <w:rsid w:val="0065130D"/>
    <w:rsid w:val="00652BBE"/>
    <w:rsid w:val="006537AF"/>
    <w:rsid w:val="00653954"/>
    <w:rsid w:val="0065413D"/>
    <w:rsid w:val="0065682C"/>
    <w:rsid w:val="00656AF7"/>
    <w:rsid w:val="006574AB"/>
    <w:rsid w:val="00657B47"/>
    <w:rsid w:val="00662342"/>
    <w:rsid w:val="00662B72"/>
    <w:rsid w:val="00662C1A"/>
    <w:rsid w:val="00663ADA"/>
    <w:rsid w:val="00663D28"/>
    <w:rsid w:val="00663E07"/>
    <w:rsid w:val="00665AEC"/>
    <w:rsid w:val="00665FC6"/>
    <w:rsid w:val="006669BC"/>
    <w:rsid w:val="00666AB2"/>
    <w:rsid w:val="0066733F"/>
    <w:rsid w:val="006679AE"/>
    <w:rsid w:val="00667DB2"/>
    <w:rsid w:val="006736CF"/>
    <w:rsid w:val="006738A8"/>
    <w:rsid w:val="00675B3D"/>
    <w:rsid w:val="006775C7"/>
    <w:rsid w:val="0068239C"/>
    <w:rsid w:val="006829B7"/>
    <w:rsid w:val="0068313D"/>
    <w:rsid w:val="0068442B"/>
    <w:rsid w:val="0068527A"/>
    <w:rsid w:val="00685DC9"/>
    <w:rsid w:val="00690536"/>
    <w:rsid w:val="00690AFC"/>
    <w:rsid w:val="00690CF9"/>
    <w:rsid w:val="00690F6C"/>
    <w:rsid w:val="00691F73"/>
    <w:rsid w:val="00692073"/>
    <w:rsid w:val="00692892"/>
    <w:rsid w:val="006948D4"/>
    <w:rsid w:val="00694E4F"/>
    <w:rsid w:val="006961BC"/>
    <w:rsid w:val="006A048D"/>
    <w:rsid w:val="006A0982"/>
    <w:rsid w:val="006A0D27"/>
    <w:rsid w:val="006A0E83"/>
    <w:rsid w:val="006A1261"/>
    <w:rsid w:val="006A1924"/>
    <w:rsid w:val="006A1D0C"/>
    <w:rsid w:val="006A26E1"/>
    <w:rsid w:val="006A37A5"/>
    <w:rsid w:val="006A44B5"/>
    <w:rsid w:val="006A45FF"/>
    <w:rsid w:val="006A55F8"/>
    <w:rsid w:val="006A5AF3"/>
    <w:rsid w:val="006A669A"/>
    <w:rsid w:val="006A695B"/>
    <w:rsid w:val="006A7DD1"/>
    <w:rsid w:val="006B144D"/>
    <w:rsid w:val="006B17DB"/>
    <w:rsid w:val="006B196F"/>
    <w:rsid w:val="006B2863"/>
    <w:rsid w:val="006B3E8E"/>
    <w:rsid w:val="006B404D"/>
    <w:rsid w:val="006B48B0"/>
    <w:rsid w:val="006B5D72"/>
    <w:rsid w:val="006C030F"/>
    <w:rsid w:val="006C038D"/>
    <w:rsid w:val="006C1EA8"/>
    <w:rsid w:val="006C2838"/>
    <w:rsid w:val="006C2EC8"/>
    <w:rsid w:val="006C4A30"/>
    <w:rsid w:val="006C4E76"/>
    <w:rsid w:val="006C57F9"/>
    <w:rsid w:val="006C692B"/>
    <w:rsid w:val="006C7992"/>
    <w:rsid w:val="006C7EEA"/>
    <w:rsid w:val="006D0A68"/>
    <w:rsid w:val="006D24A2"/>
    <w:rsid w:val="006D315F"/>
    <w:rsid w:val="006D338E"/>
    <w:rsid w:val="006D38AE"/>
    <w:rsid w:val="006D52DE"/>
    <w:rsid w:val="006D55D3"/>
    <w:rsid w:val="006D6000"/>
    <w:rsid w:val="006D6865"/>
    <w:rsid w:val="006D7611"/>
    <w:rsid w:val="006E12A9"/>
    <w:rsid w:val="006E1FFD"/>
    <w:rsid w:val="006E2406"/>
    <w:rsid w:val="006E257E"/>
    <w:rsid w:val="006E3969"/>
    <w:rsid w:val="006E4A0B"/>
    <w:rsid w:val="006E6142"/>
    <w:rsid w:val="006E7596"/>
    <w:rsid w:val="006F05FC"/>
    <w:rsid w:val="006F1605"/>
    <w:rsid w:val="006F166C"/>
    <w:rsid w:val="006F18AD"/>
    <w:rsid w:val="006F1BB4"/>
    <w:rsid w:val="006F335D"/>
    <w:rsid w:val="006F39FC"/>
    <w:rsid w:val="006F3F95"/>
    <w:rsid w:val="006F59B9"/>
    <w:rsid w:val="006F6CBF"/>
    <w:rsid w:val="006F7977"/>
    <w:rsid w:val="006F7EF6"/>
    <w:rsid w:val="00700043"/>
    <w:rsid w:val="00701C4F"/>
    <w:rsid w:val="00701FD7"/>
    <w:rsid w:val="00703022"/>
    <w:rsid w:val="00703232"/>
    <w:rsid w:val="007035DA"/>
    <w:rsid w:val="00704055"/>
    <w:rsid w:val="007040C9"/>
    <w:rsid w:val="007042B4"/>
    <w:rsid w:val="00705717"/>
    <w:rsid w:val="007068D8"/>
    <w:rsid w:val="00707E77"/>
    <w:rsid w:val="0071082F"/>
    <w:rsid w:val="0071180B"/>
    <w:rsid w:val="00711DAC"/>
    <w:rsid w:val="00714BEC"/>
    <w:rsid w:val="00716BC4"/>
    <w:rsid w:val="00720B6F"/>
    <w:rsid w:val="00720B8F"/>
    <w:rsid w:val="00720E3C"/>
    <w:rsid w:val="0072181B"/>
    <w:rsid w:val="00722E06"/>
    <w:rsid w:val="00723319"/>
    <w:rsid w:val="0072362F"/>
    <w:rsid w:val="00723ACA"/>
    <w:rsid w:val="0072459D"/>
    <w:rsid w:val="007249E6"/>
    <w:rsid w:val="00724B28"/>
    <w:rsid w:val="00724DCA"/>
    <w:rsid w:val="00725353"/>
    <w:rsid w:val="00725969"/>
    <w:rsid w:val="0072631B"/>
    <w:rsid w:val="0072656B"/>
    <w:rsid w:val="007275FE"/>
    <w:rsid w:val="00727FED"/>
    <w:rsid w:val="0073065D"/>
    <w:rsid w:val="00730DC0"/>
    <w:rsid w:val="007311B6"/>
    <w:rsid w:val="007330A3"/>
    <w:rsid w:val="007351F3"/>
    <w:rsid w:val="007357DE"/>
    <w:rsid w:val="00735BE9"/>
    <w:rsid w:val="00736F58"/>
    <w:rsid w:val="007402BA"/>
    <w:rsid w:val="00740804"/>
    <w:rsid w:val="00740DE0"/>
    <w:rsid w:val="00741738"/>
    <w:rsid w:val="00742900"/>
    <w:rsid w:val="00743CE5"/>
    <w:rsid w:val="00746DC8"/>
    <w:rsid w:val="00747AD3"/>
    <w:rsid w:val="00750BD2"/>
    <w:rsid w:val="007522E8"/>
    <w:rsid w:val="00752BAF"/>
    <w:rsid w:val="00753117"/>
    <w:rsid w:val="00754E6A"/>
    <w:rsid w:val="007551B7"/>
    <w:rsid w:val="007557A9"/>
    <w:rsid w:val="00757902"/>
    <w:rsid w:val="0075793F"/>
    <w:rsid w:val="00757BFF"/>
    <w:rsid w:val="007650AF"/>
    <w:rsid w:val="00765258"/>
    <w:rsid w:val="0076570F"/>
    <w:rsid w:val="00765A45"/>
    <w:rsid w:val="007661CD"/>
    <w:rsid w:val="00767A06"/>
    <w:rsid w:val="00767EFA"/>
    <w:rsid w:val="00767F90"/>
    <w:rsid w:val="007701BF"/>
    <w:rsid w:val="0077116C"/>
    <w:rsid w:val="007720B1"/>
    <w:rsid w:val="0077308C"/>
    <w:rsid w:val="00774156"/>
    <w:rsid w:val="007745E0"/>
    <w:rsid w:val="00775093"/>
    <w:rsid w:val="00775C14"/>
    <w:rsid w:val="007760FD"/>
    <w:rsid w:val="0077791E"/>
    <w:rsid w:val="00777BB6"/>
    <w:rsid w:val="00781A3D"/>
    <w:rsid w:val="007841D4"/>
    <w:rsid w:val="0078437E"/>
    <w:rsid w:val="00784463"/>
    <w:rsid w:val="00784CB6"/>
    <w:rsid w:val="00785341"/>
    <w:rsid w:val="007856B2"/>
    <w:rsid w:val="007863B3"/>
    <w:rsid w:val="007909B3"/>
    <w:rsid w:val="00790A84"/>
    <w:rsid w:val="007934F1"/>
    <w:rsid w:val="007938EE"/>
    <w:rsid w:val="00793FD2"/>
    <w:rsid w:val="00796321"/>
    <w:rsid w:val="007963EC"/>
    <w:rsid w:val="00797355"/>
    <w:rsid w:val="007A15D9"/>
    <w:rsid w:val="007A1D83"/>
    <w:rsid w:val="007A20F3"/>
    <w:rsid w:val="007A2B63"/>
    <w:rsid w:val="007A337B"/>
    <w:rsid w:val="007A349E"/>
    <w:rsid w:val="007A4987"/>
    <w:rsid w:val="007A4C5E"/>
    <w:rsid w:val="007A516C"/>
    <w:rsid w:val="007A5A4C"/>
    <w:rsid w:val="007A61B7"/>
    <w:rsid w:val="007A6A45"/>
    <w:rsid w:val="007A6FD4"/>
    <w:rsid w:val="007A75FC"/>
    <w:rsid w:val="007B0287"/>
    <w:rsid w:val="007B0407"/>
    <w:rsid w:val="007B0917"/>
    <w:rsid w:val="007B0CB7"/>
    <w:rsid w:val="007B1945"/>
    <w:rsid w:val="007B1C64"/>
    <w:rsid w:val="007B3D0A"/>
    <w:rsid w:val="007B4D29"/>
    <w:rsid w:val="007B4F8C"/>
    <w:rsid w:val="007B5D87"/>
    <w:rsid w:val="007B6A51"/>
    <w:rsid w:val="007B6B65"/>
    <w:rsid w:val="007C0039"/>
    <w:rsid w:val="007C1B22"/>
    <w:rsid w:val="007C1C1D"/>
    <w:rsid w:val="007C31EF"/>
    <w:rsid w:val="007C4DEB"/>
    <w:rsid w:val="007C5A03"/>
    <w:rsid w:val="007C5D94"/>
    <w:rsid w:val="007C6401"/>
    <w:rsid w:val="007C6E3D"/>
    <w:rsid w:val="007C7AB5"/>
    <w:rsid w:val="007D0F1B"/>
    <w:rsid w:val="007D1481"/>
    <w:rsid w:val="007D340A"/>
    <w:rsid w:val="007D4D58"/>
    <w:rsid w:val="007D61DF"/>
    <w:rsid w:val="007D6E07"/>
    <w:rsid w:val="007D7127"/>
    <w:rsid w:val="007D729A"/>
    <w:rsid w:val="007D798D"/>
    <w:rsid w:val="007D7D34"/>
    <w:rsid w:val="007E238A"/>
    <w:rsid w:val="007E6966"/>
    <w:rsid w:val="007E6B69"/>
    <w:rsid w:val="007E71C3"/>
    <w:rsid w:val="007E753F"/>
    <w:rsid w:val="007F0916"/>
    <w:rsid w:val="007F096A"/>
    <w:rsid w:val="007F09C0"/>
    <w:rsid w:val="007F0CF8"/>
    <w:rsid w:val="007F11B3"/>
    <w:rsid w:val="007F34BA"/>
    <w:rsid w:val="007F434A"/>
    <w:rsid w:val="007F457C"/>
    <w:rsid w:val="007F4886"/>
    <w:rsid w:val="007F5664"/>
    <w:rsid w:val="0080020C"/>
    <w:rsid w:val="00801D13"/>
    <w:rsid w:val="0080298E"/>
    <w:rsid w:val="00802E5C"/>
    <w:rsid w:val="00803636"/>
    <w:rsid w:val="00803E9E"/>
    <w:rsid w:val="00804141"/>
    <w:rsid w:val="008048D7"/>
    <w:rsid w:val="00805150"/>
    <w:rsid w:val="0080541C"/>
    <w:rsid w:val="00806905"/>
    <w:rsid w:val="008077BA"/>
    <w:rsid w:val="0080792F"/>
    <w:rsid w:val="00810255"/>
    <w:rsid w:val="00810666"/>
    <w:rsid w:val="00810E0C"/>
    <w:rsid w:val="00811416"/>
    <w:rsid w:val="00811D69"/>
    <w:rsid w:val="00812F65"/>
    <w:rsid w:val="00813AC0"/>
    <w:rsid w:val="008141F4"/>
    <w:rsid w:val="008143B3"/>
    <w:rsid w:val="00814405"/>
    <w:rsid w:val="008144DF"/>
    <w:rsid w:val="008145A8"/>
    <w:rsid w:val="0081483E"/>
    <w:rsid w:val="00814C8E"/>
    <w:rsid w:val="00814DB1"/>
    <w:rsid w:val="00816399"/>
    <w:rsid w:val="00816B31"/>
    <w:rsid w:val="00816DFC"/>
    <w:rsid w:val="0081779B"/>
    <w:rsid w:val="008205BA"/>
    <w:rsid w:val="008206AE"/>
    <w:rsid w:val="00821008"/>
    <w:rsid w:val="00821543"/>
    <w:rsid w:val="0082171E"/>
    <w:rsid w:val="00822056"/>
    <w:rsid w:val="00823473"/>
    <w:rsid w:val="00824B62"/>
    <w:rsid w:val="00825BED"/>
    <w:rsid w:val="0082642B"/>
    <w:rsid w:val="0082688B"/>
    <w:rsid w:val="008270EE"/>
    <w:rsid w:val="00830366"/>
    <w:rsid w:val="00831507"/>
    <w:rsid w:val="00831BAE"/>
    <w:rsid w:val="0083235A"/>
    <w:rsid w:val="00832BF7"/>
    <w:rsid w:val="00834566"/>
    <w:rsid w:val="00836798"/>
    <w:rsid w:val="00836E93"/>
    <w:rsid w:val="008405FF"/>
    <w:rsid w:val="008408EA"/>
    <w:rsid w:val="00840B11"/>
    <w:rsid w:val="00841E49"/>
    <w:rsid w:val="00844942"/>
    <w:rsid w:val="008450C8"/>
    <w:rsid w:val="00846DF9"/>
    <w:rsid w:val="00850494"/>
    <w:rsid w:val="00851BB7"/>
    <w:rsid w:val="00851E2D"/>
    <w:rsid w:val="00852794"/>
    <w:rsid w:val="00852B3C"/>
    <w:rsid w:val="008532A2"/>
    <w:rsid w:val="00854E63"/>
    <w:rsid w:val="00854FCC"/>
    <w:rsid w:val="00855690"/>
    <w:rsid w:val="00855DE5"/>
    <w:rsid w:val="00855E7C"/>
    <w:rsid w:val="00856E2A"/>
    <w:rsid w:val="008572C8"/>
    <w:rsid w:val="008575CD"/>
    <w:rsid w:val="00857B4E"/>
    <w:rsid w:val="00860FB9"/>
    <w:rsid w:val="00861623"/>
    <w:rsid w:val="0086200A"/>
    <w:rsid w:val="00862F94"/>
    <w:rsid w:val="00863979"/>
    <w:rsid w:val="008646D6"/>
    <w:rsid w:val="00864F80"/>
    <w:rsid w:val="00865C40"/>
    <w:rsid w:val="00866271"/>
    <w:rsid w:val="00867078"/>
    <w:rsid w:val="008671B1"/>
    <w:rsid w:val="008678EB"/>
    <w:rsid w:val="00870824"/>
    <w:rsid w:val="0087093A"/>
    <w:rsid w:val="008722E4"/>
    <w:rsid w:val="008729ED"/>
    <w:rsid w:val="00872A40"/>
    <w:rsid w:val="00873E84"/>
    <w:rsid w:val="0087516E"/>
    <w:rsid w:val="0087574E"/>
    <w:rsid w:val="00876617"/>
    <w:rsid w:val="00876AE2"/>
    <w:rsid w:val="008805F3"/>
    <w:rsid w:val="00880AB9"/>
    <w:rsid w:val="00880E22"/>
    <w:rsid w:val="00885128"/>
    <w:rsid w:val="008858BF"/>
    <w:rsid w:val="00886D9E"/>
    <w:rsid w:val="00887F3C"/>
    <w:rsid w:val="00891D02"/>
    <w:rsid w:val="0089471E"/>
    <w:rsid w:val="00895A75"/>
    <w:rsid w:val="00897020"/>
    <w:rsid w:val="00897715"/>
    <w:rsid w:val="008A1585"/>
    <w:rsid w:val="008A17E3"/>
    <w:rsid w:val="008A1ADB"/>
    <w:rsid w:val="008A1EBE"/>
    <w:rsid w:val="008A28B4"/>
    <w:rsid w:val="008A4262"/>
    <w:rsid w:val="008A6BE6"/>
    <w:rsid w:val="008B051E"/>
    <w:rsid w:val="008B1DC8"/>
    <w:rsid w:val="008B23EF"/>
    <w:rsid w:val="008B2DEC"/>
    <w:rsid w:val="008B3176"/>
    <w:rsid w:val="008B3493"/>
    <w:rsid w:val="008B3541"/>
    <w:rsid w:val="008B3830"/>
    <w:rsid w:val="008B3BA5"/>
    <w:rsid w:val="008B4B62"/>
    <w:rsid w:val="008B4B68"/>
    <w:rsid w:val="008B5D95"/>
    <w:rsid w:val="008B5F2A"/>
    <w:rsid w:val="008B6A48"/>
    <w:rsid w:val="008B7511"/>
    <w:rsid w:val="008C2BBD"/>
    <w:rsid w:val="008C42A8"/>
    <w:rsid w:val="008C55F8"/>
    <w:rsid w:val="008C5B4C"/>
    <w:rsid w:val="008C63B9"/>
    <w:rsid w:val="008C6840"/>
    <w:rsid w:val="008C6C78"/>
    <w:rsid w:val="008C7668"/>
    <w:rsid w:val="008D37CF"/>
    <w:rsid w:val="008D3B2B"/>
    <w:rsid w:val="008D3E59"/>
    <w:rsid w:val="008D3EEB"/>
    <w:rsid w:val="008D4C00"/>
    <w:rsid w:val="008D5D99"/>
    <w:rsid w:val="008D63AF"/>
    <w:rsid w:val="008D6654"/>
    <w:rsid w:val="008D6A9D"/>
    <w:rsid w:val="008E0399"/>
    <w:rsid w:val="008E12C7"/>
    <w:rsid w:val="008E1C73"/>
    <w:rsid w:val="008E1F2D"/>
    <w:rsid w:val="008E24DA"/>
    <w:rsid w:val="008E3079"/>
    <w:rsid w:val="008E3197"/>
    <w:rsid w:val="008E38D7"/>
    <w:rsid w:val="008E44DD"/>
    <w:rsid w:val="008E4637"/>
    <w:rsid w:val="008E4B15"/>
    <w:rsid w:val="008E64E5"/>
    <w:rsid w:val="008E71C2"/>
    <w:rsid w:val="008F0BF0"/>
    <w:rsid w:val="008F1C54"/>
    <w:rsid w:val="008F3878"/>
    <w:rsid w:val="008F39D2"/>
    <w:rsid w:val="008F3A94"/>
    <w:rsid w:val="008F3CEE"/>
    <w:rsid w:val="008F4B33"/>
    <w:rsid w:val="008F54B9"/>
    <w:rsid w:val="008F58D2"/>
    <w:rsid w:val="00900072"/>
    <w:rsid w:val="00902A2B"/>
    <w:rsid w:val="00903370"/>
    <w:rsid w:val="009033A6"/>
    <w:rsid w:val="00904115"/>
    <w:rsid w:val="0090466A"/>
    <w:rsid w:val="00905441"/>
    <w:rsid w:val="009063EA"/>
    <w:rsid w:val="00906BA3"/>
    <w:rsid w:val="00910287"/>
    <w:rsid w:val="00910CDE"/>
    <w:rsid w:val="009121A5"/>
    <w:rsid w:val="009127A8"/>
    <w:rsid w:val="00912F84"/>
    <w:rsid w:val="00913D7D"/>
    <w:rsid w:val="00915D39"/>
    <w:rsid w:val="0091668E"/>
    <w:rsid w:val="0091674D"/>
    <w:rsid w:val="00916EF1"/>
    <w:rsid w:val="00917469"/>
    <w:rsid w:val="00921208"/>
    <w:rsid w:val="009218BA"/>
    <w:rsid w:val="009229C7"/>
    <w:rsid w:val="0092356A"/>
    <w:rsid w:val="009249F0"/>
    <w:rsid w:val="009272B4"/>
    <w:rsid w:val="00931772"/>
    <w:rsid w:val="009317A2"/>
    <w:rsid w:val="0093199E"/>
    <w:rsid w:val="009319D5"/>
    <w:rsid w:val="00931E0E"/>
    <w:rsid w:val="00933869"/>
    <w:rsid w:val="0093459B"/>
    <w:rsid w:val="00934989"/>
    <w:rsid w:val="00934B7A"/>
    <w:rsid w:val="0093547A"/>
    <w:rsid w:val="0093569B"/>
    <w:rsid w:val="009359F9"/>
    <w:rsid w:val="00936D0E"/>
    <w:rsid w:val="00937CE9"/>
    <w:rsid w:val="00940807"/>
    <w:rsid w:val="0094169A"/>
    <w:rsid w:val="00942133"/>
    <w:rsid w:val="00943C28"/>
    <w:rsid w:val="00945645"/>
    <w:rsid w:val="00946860"/>
    <w:rsid w:val="009510DC"/>
    <w:rsid w:val="00951261"/>
    <w:rsid w:val="0095190F"/>
    <w:rsid w:val="00952109"/>
    <w:rsid w:val="00952505"/>
    <w:rsid w:val="0095384A"/>
    <w:rsid w:val="00953ABB"/>
    <w:rsid w:val="00953FD6"/>
    <w:rsid w:val="00954B75"/>
    <w:rsid w:val="00954E9E"/>
    <w:rsid w:val="009553B4"/>
    <w:rsid w:val="00956237"/>
    <w:rsid w:val="009627EA"/>
    <w:rsid w:val="00962887"/>
    <w:rsid w:val="00962A76"/>
    <w:rsid w:val="00963075"/>
    <w:rsid w:val="00963919"/>
    <w:rsid w:val="009646BA"/>
    <w:rsid w:val="00964948"/>
    <w:rsid w:val="00964F64"/>
    <w:rsid w:val="009663DC"/>
    <w:rsid w:val="009676EF"/>
    <w:rsid w:val="009679CE"/>
    <w:rsid w:val="00971039"/>
    <w:rsid w:val="009725BF"/>
    <w:rsid w:val="009730E7"/>
    <w:rsid w:val="00973E12"/>
    <w:rsid w:val="00973FD0"/>
    <w:rsid w:val="00974EE4"/>
    <w:rsid w:val="00975094"/>
    <w:rsid w:val="009768DD"/>
    <w:rsid w:val="00976B3C"/>
    <w:rsid w:val="0097758B"/>
    <w:rsid w:val="00977670"/>
    <w:rsid w:val="009778BB"/>
    <w:rsid w:val="009817E2"/>
    <w:rsid w:val="009818F6"/>
    <w:rsid w:val="00981B44"/>
    <w:rsid w:val="00982017"/>
    <w:rsid w:val="009820FD"/>
    <w:rsid w:val="0098213B"/>
    <w:rsid w:val="00982D68"/>
    <w:rsid w:val="00982DE5"/>
    <w:rsid w:val="009832C5"/>
    <w:rsid w:val="00984C38"/>
    <w:rsid w:val="0098596B"/>
    <w:rsid w:val="009917F3"/>
    <w:rsid w:val="00991CFD"/>
    <w:rsid w:val="00993854"/>
    <w:rsid w:val="00996158"/>
    <w:rsid w:val="009A0C16"/>
    <w:rsid w:val="009A0F10"/>
    <w:rsid w:val="009A274B"/>
    <w:rsid w:val="009A40C7"/>
    <w:rsid w:val="009A79C8"/>
    <w:rsid w:val="009B0BA1"/>
    <w:rsid w:val="009B239F"/>
    <w:rsid w:val="009B36F4"/>
    <w:rsid w:val="009B4188"/>
    <w:rsid w:val="009B4BA3"/>
    <w:rsid w:val="009B7236"/>
    <w:rsid w:val="009C0B25"/>
    <w:rsid w:val="009C0FC1"/>
    <w:rsid w:val="009C2745"/>
    <w:rsid w:val="009C31C2"/>
    <w:rsid w:val="009C35FA"/>
    <w:rsid w:val="009C6F1A"/>
    <w:rsid w:val="009C750F"/>
    <w:rsid w:val="009C75DB"/>
    <w:rsid w:val="009D0428"/>
    <w:rsid w:val="009D0783"/>
    <w:rsid w:val="009D3A9B"/>
    <w:rsid w:val="009D4C88"/>
    <w:rsid w:val="009D6893"/>
    <w:rsid w:val="009D7DF2"/>
    <w:rsid w:val="009E012E"/>
    <w:rsid w:val="009E134D"/>
    <w:rsid w:val="009E1396"/>
    <w:rsid w:val="009E3235"/>
    <w:rsid w:val="009E3FB9"/>
    <w:rsid w:val="009E5AE3"/>
    <w:rsid w:val="009E5AE6"/>
    <w:rsid w:val="009E5AFF"/>
    <w:rsid w:val="009E5E96"/>
    <w:rsid w:val="009E5F58"/>
    <w:rsid w:val="009E7EF5"/>
    <w:rsid w:val="009F02DE"/>
    <w:rsid w:val="009F1C23"/>
    <w:rsid w:val="009F3640"/>
    <w:rsid w:val="009F37F4"/>
    <w:rsid w:val="009F3A92"/>
    <w:rsid w:val="009F4783"/>
    <w:rsid w:val="009F5F74"/>
    <w:rsid w:val="009F606A"/>
    <w:rsid w:val="009F6484"/>
    <w:rsid w:val="009F6A8E"/>
    <w:rsid w:val="009F6BF2"/>
    <w:rsid w:val="009F739A"/>
    <w:rsid w:val="009F75F7"/>
    <w:rsid w:val="00A00045"/>
    <w:rsid w:val="00A00753"/>
    <w:rsid w:val="00A00E90"/>
    <w:rsid w:val="00A0106D"/>
    <w:rsid w:val="00A0120A"/>
    <w:rsid w:val="00A032F3"/>
    <w:rsid w:val="00A03C91"/>
    <w:rsid w:val="00A03D2A"/>
    <w:rsid w:val="00A06D8F"/>
    <w:rsid w:val="00A07D74"/>
    <w:rsid w:val="00A1077C"/>
    <w:rsid w:val="00A11EA3"/>
    <w:rsid w:val="00A14C78"/>
    <w:rsid w:val="00A159FE"/>
    <w:rsid w:val="00A15F7E"/>
    <w:rsid w:val="00A170DC"/>
    <w:rsid w:val="00A17504"/>
    <w:rsid w:val="00A20C49"/>
    <w:rsid w:val="00A22771"/>
    <w:rsid w:val="00A22C2F"/>
    <w:rsid w:val="00A237E1"/>
    <w:rsid w:val="00A2382C"/>
    <w:rsid w:val="00A23BC5"/>
    <w:rsid w:val="00A23DDD"/>
    <w:rsid w:val="00A24756"/>
    <w:rsid w:val="00A252CA"/>
    <w:rsid w:val="00A252F3"/>
    <w:rsid w:val="00A25515"/>
    <w:rsid w:val="00A265A4"/>
    <w:rsid w:val="00A26918"/>
    <w:rsid w:val="00A302C9"/>
    <w:rsid w:val="00A30570"/>
    <w:rsid w:val="00A31F01"/>
    <w:rsid w:val="00A31F54"/>
    <w:rsid w:val="00A32A02"/>
    <w:rsid w:val="00A3308C"/>
    <w:rsid w:val="00A35921"/>
    <w:rsid w:val="00A35EB1"/>
    <w:rsid w:val="00A362C4"/>
    <w:rsid w:val="00A3639A"/>
    <w:rsid w:val="00A36F8E"/>
    <w:rsid w:val="00A40F70"/>
    <w:rsid w:val="00A41D37"/>
    <w:rsid w:val="00A41F4C"/>
    <w:rsid w:val="00A42666"/>
    <w:rsid w:val="00A42F93"/>
    <w:rsid w:val="00A438E9"/>
    <w:rsid w:val="00A43BCB"/>
    <w:rsid w:val="00A44801"/>
    <w:rsid w:val="00A44A1F"/>
    <w:rsid w:val="00A44B88"/>
    <w:rsid w:val="00A44F49"/>
    <w:rsid w:val="00A45E22"/>
    <w:rsid w:val="00A45EA2"/>
    <w:rsid w:val="00A46D59"/>
    <w:rsid w:val="00A50FC8"/>
    <w:rsid w:val="00A51F00"/>
    <w:rsid w:val="00A53EA2"/>
    <w:rsid w:val="00A55296"/>
    <w:rsid w:val="00A5643F"/>
    <w:rsid w:val="00A5656D"/>
    <w:rsid w:val="00A56B83"/>
    <w:rsid w:val="00A57B48"/>
    <w:rsid w:val="00A607E1"/>
    <w:rsid w:val="00A60A98"/>
    <w:rsid w:val="00A65251"/>
    <w:rsid w:val="00A65BD1"/>
    <w:rsid w:val="00A66511"/>
    <w:rsid w:val="00A67527"/>
    <w:rsid w:val="00A678BD"/>
    <w:rsid w:val="00A67FE0"/>
    <w:rsid w:val="00A701E1"/>
    <w:rsid w:val="00A74A50"/>
    <w:rsid w:val="00A74E6B"/>
    <w:rsid w:val="00A7572D"/>
    <w:rsid w:val="00A7717D"/>
    <w:rsid w:val="00A777EF"/>
    <w:rsid w:val="00A77A5B"/>
    <w:rsid w:val="00A80659"/>
    <w:rsid w:val="00A81153"/>
    <w:rsid w:val="00A81445"/>
    <w:rsid w:val="00A81759"/>
    <w:rsid w:val="00A81C2C"/>
    <w:rsid w:val="00A8237A"/>
    <w:rsid w:val="00A82489"/>
    <w:rsid w:val="00A82DA0"/>
    <w:rsid w:val="00A8320B"/>
    <w:rsid w:val="00A83A63"/>
    <w:rsid w:val="00A853AC"/>
    <w:rsid w:val="00A8563B"/>
    <w:rsid w:val="00A87458"/>
    <w:rsid w:val="00A874C1"/>
    <w:rsid w:val="00A87D09"/>
    <w:rsid w:val="00A93589"/>
    <w:rsid w:val="00A94046"/>
    <w:rsid w:val="00A94221"/>
    <w:rsid w:val="00A95CA0"/>
    <w:rsid w:val="00A97217"/>
    <w:rsid w:val="00A97CA4"/>
    <w:rsid w:val="00AA0953"/>
    <w:rsid w:val="00AA0FE4"/>
    <w:rsid w:val="00AA1056"/>
    <w:rsid w:val="00AA1B9A"/>
    <w:rsid w:val="00AA248B"/>
    <w:rsid w:val="00AA27E9"/>
    <w:rsid w:val="00AA35C6"/>
    <w:rsid w:val="00AA3A70"/>
    <w:rsid w:val="00AA795C"/>
    <w:rsid w:val="00AB0809"/>
    <w:rsid w:val="00AB20E2"/>
    <w:rsid w:val="00AB24D7"/>
    <w:rsid w:val="00AB3A76"/>
    <w:rsid w:val="00AB4C49"/>
    <w:rsid w:val="00AB5414"/>
    <w:rsid w:val="00AB55B1"/>
    <w:rsid w:val="00AB5D56"/>
    <w:rsid w:val="00AB6123"/>
    <w:rsid w:val="00AB6D04"/>
    <w:rsid w:val="00AC0294"/>
    <w:rsid w:val="00AC2EF4"/>
    <w:rsid w:val="00AC33B0"/>
    <w:rsid w:val="00AC386C"/>
    <w:rsid w:val="00AC3E8D"/>
    <w:rsid w:val="00AC457B"/>
    <w:rsid w:val="00AC4663"/>
    <w:rsid w:val="00AC5CE2"/>
    <w:rsid w:val="00AC7A75"/>
    <w:rsid w:val="00AC7BFF"/>
    <w:rsid w:val="00AD00C5"/>
    <w:rsid w:val="00AD012D"/>
    <w:rsid w:val="00AD2D6F"/>
    <w:rsid w:val="00AD3C93"/>
    <w:rsid w:val="00AD3CCB"/>
    <w:rsid w:val="00AD3E26"/>
    <w:rsid w:val="00AD69C3"/>
    <w:rsid w:val="00AD6B86"/>
    <w:rsid w:val="00AD722B"/>
    <w:rsid w:val="00AD7BE4"/>
    <w:rsid w:val="00AD7C65"/>
    <w:rsid w:val="00AE0494"/>
    <w:rsid w:val="00AE0499"/>
    <w:rsid w:val="00AE19C1"/>
    <w:rsid w:val="00AE5361"/>
    <w:rsid w:val="00AE78B2"/>
    <w:rsid w:val="00AE78F1"/>
    <w:rsid w:val="00AE7FA2"/>
    <w:rsid w:val="00AF074C"/>
    <w:rsid w:val="00AF0943"/>
    <w:rsid w:val="00AF1F38"/>
    <w:rsid w:val="00AF1FE5"/>
    <w:rsid w:val="00AF2C5A"/>
    <w:rsid w:val="00AF2EE9"/>
    <w:rsid w:val="00AF61A3"/>
    <w:rsid w:val="00AF6CD3"/>
    <w:rsid w:val="00AF6F0C"/>
    <w:rsid w:val="00AF7816"/>
    <w:rsid w:val="00B01E1F"/>
    <w:rsid w:val="00B0289B"/>
    <w:rsid w:val="00B03511"/>
    <w:rsid w:val="00B035A6"/>
    <w:rsid w:val="00B035DD"/>
    <w:rsid w:val="00B03609"/>
    <w:rsid w:val="00B03B6C"/>
    <w:rsid w:val="00B03EC6"/>
    <w:rsid w:val="00B03F3C"/>
    <w:rsid w:val="00B041FA"/>
    <w:rsid w:val="00B0477A"/>
    <w:rsid w:val="00B066D4"/>
    <w:rsid w:val="00B07066"/>
    <w:rsid w:val="00B076AA"/>
    <w:rsid w:val="00B10AE9"/>
    <w:rsid w:val="00B11161"/>
    <w:rsid w:val="00B114F6"/>
    <w:rsid w:val="00B11DFD"/>
    <w:rsid w:val="00B1217F"/>
    <w:rsid w:val="00B12B69"/>
    <w:rsid w:val="00B131A2"/>
    <w:rsid w:val="00B13564"/>
    <w:rsid w:val="00B14C0F"/>
    <w:rsid w:val="00B17887"/>
    <w:rsid w:val="00B17A1E"/>
    <w:rsid w:val="00B206DC"/>
    <w:rsid w:val="00B20898"/>
    <w:rsid w:val="00B213B0"/>
    <w:rsid w:val="00B221E5"/>
    <w:rsid w:val="00B22A47"/>
    <w:rsid w:val="00B242D8"/>
    <w:rsid w:val="00B26513"/>
    <w:rsid w:val="00B31A3B"/>
    <w:rsid w:val="00B3318A"/>
    <w:rsid w:val="00B33647"/>
    <w:rsid w:val="00B34972"/>
    <w:rsid w:val="00B34AC7"/>
    <w:rsid w:val="00B34B31"/>
    <w:rsid w:val="00B34D17"/>
    <w:rsid w:val="00B3557F"/>
    <w:rsid w:val="00B3560A"/>
    <w:rsid w:val="00B3732B"/>
    <w:rsid w:val="00B3769C"/>
    <w:rsid w:val="00B404D8"/>
    <w:rsid w:val="00B409CB"/>
    <w:rsid w:val="00B427F4"/>
    <w:rsid w:val="00B429AE"/>
    <w:rsid w:val="00B42C28"/>
    <w:rsid w:val="00B435E8"/>
    <w:rsid w:val="00B44883"/>
    <w:rsid w:val="00B44BB8"/>
    <w:rsid w:val="00B45159"/>
    <w:rsid w:val="00B4554B"/>
    <w:rsid w:val="00B4794F"/>
    <w:rsid w:val="00B50554"/>
    <w:rsid w:val="00B50CA7"/>
    <w:rsid w:val="00B50CE5"/>
    <w:rsid w:val="00B515EC"/>
    <w:rsid w:val="00B52136"/>
    <w:rsid w:val="00B52BD4"/>
    <w:rsid w:val="00B53EDC"/>
    <w:rsid w:val="00B547BE"/>
    <w:rsid w:val="00B57826"/>
    <w:rsid w:val="00B57BDA"/>
    <w:rsid w:val="00B61E16"/>
    <w:rsid w:val="00B63450"/>
    <w:rsid w:val="00B63CFC"/>
    <w:rsid w:val="00B63E85"/>
    <w:rsid w:val="00B65044"/>
    <w:rsid w:val="00B65386"/>
    <w:rsid w:val="00B66073"/>
    <w:rsid w:val="00B662AF"/>
    <w:rsid w:val="00B6690F"/>
    <w:rsid w:val="00B67AB5"/>
    <w:rsid w:val="00B67F6B"/>
    <w:rsid w:val="00B67F74"/>
    <w:rsid w:val="00B704EE"/>
    <w:rsid w:val="00B74C48"/>
    <w:rsid w:val="00B75311"/>
    <w:rsid w:val="00B754F6"/>
    <w:rsid w:val="00B76988"/>
    <w:rsid w:val="00B77CE9"/>
    <w:rsid w:val="00B8087E"/>
    <w:rsid w:val="00B810E1"/>
    <w:rsid w:val="00B81F73"/>
    <w:rsid w:val="00B8240C"/>
    <w:rsid w:val="00B83263"/>
    <w:rsid w:val="00B83E51"/>
    <w:rsid w:val="00B83F89"/>
    <w:rsid w:val="00B843D5"/>
    <w:rsid w:val="00B848FB"/>
    <w:rsid w:val="00B84BC8"/>
    <w:rsid w:val="00B85D6F"/>
    <w:rsid w:val="00B85F75"/>
    <w:rsid w:val="00B86D6A"/>
    <w:rsid w:val="00B87848"/>
    <w:rsid w:val="00B87953"/>
    <w:rsid w:val="00B902C2"/>
    <w:rsid w:val="00B9128F"/>
    <w:rsid w:val="00B91C82"/>
    <w:rsid w:val="00B91D15"/>
    <w:rsid w:val="00B9319C"/>
    <w:rsid w:val="00B9396B"/>
    <w:rsid w:val="00B939ED"/>
    <w:rsid w:val="00B93ECF"/>
    <w:rsid w:val="00B93F25"/>
    <w:rsid w:val="00B949E1"/>
    <w:rsid w:val="00B94FC6"/>
    <w:rsid w:val="00B95097"/>
    <w:rsid w:val="00B9548E"/>
    <w:rsid w:val="00B95F5A"/>
    <w:rsid w:val="00B9645B"/>
    <w:rsid w:val="00B9648D"/>
    <w:rsid w:val="00B97948"/>
    <w:rsid w:val="00B97EC5"/>
    <w:rsid w:val="00BA0880"/>
    <w:rsid w:val="00BA0DCA"/>
    <w:rsid w:val="00BA2D88"/>
    <w:rsid w:val="00BA538F"/>
    <w:rsid w:val="00BA5703"/>
    <w:rsid w:val="00BA57A8"/>
    <w:rsid w:val="00BA5ED0"/>
    <w:rsid w:val="00BA6835"/>
    <w:rsid w:val="00BA776A"/>
    <w:rsid w:val="00BA7A18"/>
    <w:rsid w:val="00BA7E34"/>
    <w:rsid w:val="00BB0081"/>
    <w:rsid w:val="00BB66BB"/>
    <w:rsid w:val="00BB6798"/>
    <w:rsid w:val="00BB6C06"/>
    <w:rsid w:val="00BB7284"/>
    <w:rsid w:val="00BB7370"/>
    <w:rsid w:val="00BB7E75"/>
    <w:rsid w:val="00BC08D8"/>
    <w:rsid w:val="00BC119E"/>
    <w:rsid w:val="00BC1CEF"/>
    <w:rsid w:val="00BC208E"/>
    <w:rsid w:val="00BC2484"/>
    <w:rsid w:val="00BC26D3"/>
    <w:rsid w:val="00BC3E8D"/>
    <w:rsid w:val="00BC408F"/>
    <w:rsid w:val="00BC488F"/>
    <w:rsid w:val="00BC5541"/>
    <w:rsid w:val="00BC5BAD"/>
    <w:rsid w:val="00BC67A8"/>
    <w:rsid w:val="00BD028E"/>
    <w:rsid w:val="00BD07DF"/>
    <w:rsid w:val="00BD0F7F"/>
    <w:rsid w:val="00BD1DEF"/>
    <w:rsid w:val="00BD2453"/>
    <w:rsid w:val="00BD378C"/>
    <w:rsid w:val="00BD3EFC"/>
    <w:rsid w:val="00BD41CC"/>
    <w:rsid w:val="00BD4771"/>
    <w:rsid w:val="00BD634C"/>
    <w:rsid w:val="00BD638E"/>
    <w:rsid w:val="00BD7319"/>
    <w:rsid w:val="00BE02FD"/>
    <w:rsid w:val="00BE2F59"/>
    <w:rsid w:val="00BE3622"/>
    <w:rsid w:val="00BE3866"/>
    <w:rsid w:val="00BE3AFC"/>
    <w:rsid w:val="00BE432F"/>
    <w:rsid w:val="00BE4B17"/>
    <w:rsid w:val="00BE4D1D"/>
    <w:rsid w:val="00BE5C95"/>
    <w:rsid w:val="00BE5ECB"/>
    <w:rsid w:val="00BF0173"/>
    <w:rsid w:val="00BF0B49"/>
    <w:rsid w:val="00BF0C5D"/>
    <w:rsid w:val="00BF267A"/>
    <w:rsid w:val="00BF27B9"/>
    <w:rsid w:val="00BF3151"/>
    <w:rsid w:val="00BF35DB"/>
    <w:rsid w:val="00BF40B7"/>
    <w:rsid w:val="00BF44D4"/>
    <w:rsid w:val="00BF4B56"/>
    <w:rsid w:val="00BF5A69"/>
    <w:rsid w:val="00C00161"/>
    <w:rsid w:val="00C015F9"/>
    <w:rsid w:val="00C01A76"/>
    <w:rsid w:val="00C0424F"/>
    <w:rsid w:val="00C0452A"/>
    <w:rsid w:val="00C065A2"/>
    <w:rsid w:val="00C07009"/>
    <w:rsid w:val="00C10735"/>
    <w:rsid w:val="00C10D9D"/>
    <w:rsid w:val="00C11527"/>
    <w:rsid w:val="00C138BA"/>
    <w:rsid w:val="00C13D46"/>
    <w:rsid w:val="00C14371"/>
    <w:rsid w:val="00C14856"/>
    <w:rsid w:val="00C15E51"/>
    <w:rsid w:val="00C15E72"/>
    <w:rsid w:val="00C21B95"/>
    <w:rsid w:val="00C24192"/>
    <w:rsid w:val="00C24200"/>
    <w:rsid w:val="00C24437"/>
    <w:rsid w:val="00C24F0A"/>
    <w:rsid w:val="00C25DDA"/>
    <w:rsid w:val="00C30B6A"/>
    <w:rsid w:val="00C32253"/>
    <w:rsid w:val="00C3317E"/>
    <w:rsid w:val="00C333DA"/>
    <w:rsid w:val="00C338C6"/>
    <w:rsid w:val="00C33B7F"/>
    <w:rsid w:val="00C354F5"/>
    <w:rsid w:val="00C404E1"/>
    <w:rsid w:val="00C41842"/>
    <w:rsid w:val="00C42BD4"/>
    <w:rsid w:val="00C4311A"/>
    <w:rsid w:val="00C432D3"/>
    <w:rsid w:val="00C440C5"/>
    <w:rsid w:val="00C448DB"/>
    <w:rsid w:val="00C449A4"/>
    <w:rsid w:val="00C45B4B"/>
    <w:rsid w:val="00C46149"/>
    <w:rsid w:val="00C469C3"/>
    <w:rsid w:val="00C4706E"/>
    <w:rsid w:val="00C4756B"/>
    <w:rsid w:val="00C51861"/>
    <w:rsid w:val="00C53AF7"/>
    <w:rsid w:val="00C54268"/>
    <w:rsid w:val="00C557D7"/>
    <w:rsid w:val="00C55AE9"/>
    <w:rsid w:val="00C55AEA"/>
    <w:rsid w:val="00C55DE4"/>
    <w:rsid w:val="00C565F3"/>
    <w:rsid w:val="00C56F77"/>
    <w:rsid w:val="00C57A13"/>
    <w:rsid w:val="00C637C9"/>
    <w:rsid w:val="00C63D27"/>
    <w:rsid w:val="00C64094"/>
    <w:rsid w:val="00C64445"/>
    <w:rsid w:val="00C650AF"/>
    <w:rsid w:val="00C65A78"/>
    <w:rsid w:val="00C66E08"/>
    <w:rsid w:val="00C70056"/>
    <w:rsid w:val="00C70485"/>
    <w:rsid w:val="00C70F97"/>
    <w:rsid w:val="00C72A6A"/>
    <w:rsid w:val="00C73974"/>
    <w:rsid w:val="00C73EAA"/>
    <w:rsid w:val="00C746A5"/>
    <w:rsid w:val="00C74D68"/>
    <w:rsid w:val="00C75BDA"/>
    <w:rsid w:val="00C76115"/>
    <w:rsid w:val="00C805B7"/>
    <w:rsid w:val="00C80A7C"/>
    <w:rsid w:val="00C819CD"/>
    <w:rsid w:val="00C823F0"/>
    <w:rsid w:val="00C83BE1"/>
    <w:rsid w:val="00C84119"/>
    <w:rsid w:val="00C857AB"/>
    <w:rsid w:val="00C86606"/>
    <w:rsid w:val="00C8677F"/>
    <w:rsid w:val="00C86872"/>
    <w:rsid w:val="00C87327"/>
    <w:rsid w:val="00C9061A"/>
    <w:rsid w:val="00C907C2"/>
    <w:rsid w:val="00C918D7"/>
    <w:rsid w:val="00C92FAD"/>
    <w:rsid w:val="00C93EA1"/>
    <w:rsid w:val="00C9544E"/>
    <w:rsid w:val="00C958CD"/>
    <w:rsid w:val="00C95AD5"/>
    <w:rsid w:val="00CA0C3F"/>
    <w:rsid w:val="00CA17C2"/>
    <w:rsid w:val="00CA18FA"/>
    <w:rsid w:val="00CA1C6E"/>
    <w:rsid w:val="00CA1D5B"/>
    <w:rsid w:val="00CA1F79"/>
    <w:rsid w:val="00CA36FC"/>
    <w:rsid w:val="00CA38F1"/>
    <w:rsid w:val="00CA3D3D"/>
    <w:rsid w:val="00CA4812"/>
    <w:rsid w:val="00CA63C6"/>
    <w:rsid w:val="00CA6694"/>
    <w:rsid w:val="00CA7091"/>
    <w:rsid w:val="00CA72BF"/>
    <w:rsid w:val="00CB01A2"/>
    <w:rsid w:val="00CB0DAA"/>
    <w:rsid w:val="00CB1905"/>
    <w:rsid w:val="00CB27D4"/>
    <w:rsid w:val="00CB291F"/>
    <w:rsid w:val="00CB3173"/>
    <w:rsid w:val="00CB5128"/>
    <w:rsid w:val="00CB6879"/>
    <w:rsid w:val="00CB68D5"/>
    <w:rsid w:val="00CB6981"/>
    <w:rsid w:val="00CC0A47"/>
    <w:rsid w:val="00CC1713"/>
    <w:rsid w:val="00CC1C01"/>
    <w:rsid w:val="00CC1D0B"/>
    <w:rsid w:val="00CC4FB2"/>
    <w:rsid w:val="00CC525F"/>
    <w:rsid w:val="00CC570D"/>
    <w:rsid w:val="00CC66AF"/>
    <w:rsid w:val="00CC7A76"/>
    <w:rsid w:val="00CC7D50"/>
    <w:rsid w:val="00CD41FC"/>
    <w:rsid w:val="00CD52AD"/>
    <w:rsid w:val="00CD535C"/>
    <w:rsid w:val="00CD5447"/>
    <w:rsid w:val="00CD6024"/>
    <w:rsid w:val="00CD718B"/>
    <w:rsid w:val="00CD7982"/>
    <w:rsid w:val="00CE0ACE"/>
    <w:rsid w:val="00CE0E1B"/>
    <w:rsid w:val="00CE1E0B"/>
    <w:rsid w:val="00CE2383"/>
    <w:rsid w:val="00CE4770"/>
    <w:rsid w:val="00CE536A"/>
    <w:rsid w:val="00CE53C6"/>
    <w:rsid w:val="00CE772C"/>
    <w:rsid w:val="00CF0278"/>
    <w:rsid w:val="00CF0D0C"/>
    <w:rsid w:val="00CF1717"/>
    <w:rsid w:val="00CF72F8"/>
    <w:rsid w:val="00CF7762"/>
    <w:rsid w:val="00D002FC"/>
    <w:rsid w:val="00D0203B"/>
    <w:rsid w:val="00D037C8"/>
    <w:rsid w:val="00D038B7"/>
    <w:rsid w:val="00D059AC"/>
    <w:rsid w:val="00D069AC"/>
    <w:rsid w:val="00D07184"/>
    <w:rsid w:val="00D10DC6"/>
    <w:rsid w:val="00D11105"/>
    <w:rsid w:val="00D11416"/>
    <w:rsid w:val="00D1186A"/>
    <w:rsid w:val="00D11A96"/>
    <w:rsid w:val="00D11FAF"/>
    <w:rsid w:val="00D13038"/>
    <w:rsid w:val="00D130AB"/>
    <w:rsid w:val="00D13BE7"/>
    <w:rsid w:val="00D14D2D"/>
    <w:rsid w:val="00D15268"/>
    <w:rsid w:val="00D15627"/>
    <w:rsid w:val="00D15C25"/>
    <w:rsid w:val="00D16341"/>
    <w:rsid w:val="00D16599"/>
    <w:rsid w:val="00D1660C"/>
    <w:rsid w:val="00D1740A"/>
    <w:rsid w:val="00D17C79"/>
    <w:rsid w:val="00D17E79"/>
    <w:rsid w:val="00D21AA4"/>
    <w:rsid w:val="00D22A70"/>
    <w:rsid w:val="00D24753"/>
    <w:rsid w:val="00D26AD4"/>
    <w:rsid w:val="00D27AE6"/>
    <w:rsid w:val="00D27BB2"/>
    <w:rsid w:val="00D315F2"/>
    <w:rsid w:val="00D31903"/>
    <w:rsid w:val="00D34349"/>
    <w:rsid w:val="00D36752"/>
    <w:rsid w:val="00D40054"/>
    <w:rsid w:val="00D4016F"/>
    <w:rsid w:val="00D40523"/>
    <w:rsid w:val="00D40637"/>
    <w:rsid w:val="00D44606"/>
    <w:rsid w:val="00D45207"/>
    <w:rsid w:val="00D45427"/>
    <w:rsid w:val="00D4556E"/>
    <w:rsid w:val="00D45CD7"/>
    <w:rsid w:val="00D46BB0"/>
    <w:rsid w:val="00D46E35"/>
    <w:rsid w:val="00D473BA"/>
    <w:rsid w:val="00D509B2"/>
    <w:rsid w:val="00D5111D"/>
    <w:rsid w:val="00D518B9"/>
    <w:rsid w:val="00D5358F"/>
    <w:rsid w:val="00D536A6"/>
    <w:rsid w:val="00D54904"/>
    <w:rsid w:val="00D55673"/>
    <w:rsid w:val="00D55A60"/>
    <w:rsid w:val="00D56053"/>
    <w:rsid w:val="00D613F8"/>
    <w:rsid w:val="00D62499"/>
    <w:rsid w:val="00D6255E"/>
    <w:rsid w:val="00D629DE"/>
    <w:rsid w:val="00D631EF"/>
    <w:rsid w:val="00D64000"/>
    <w:rsid w:val="00D65D78"/>
    <w:rsid w:val="00D67B29"/>
    <w:rsid w:val="00D71228"/>
    <w:rsid w:val="00D71798"/>
    <w:rsid w:val="00D7186D"/>
    <w:rsid w:val="00D71FF4"/>
    <w:rsid w:val="00D72330"/>
    <w:rsid w:val="00D7238F"/>
    <w:rsid w:val="00D74B04"/>
    <w:rsid w:val="00D74CD2"/>
    <w:rsid w:val="00D762D8"/>
    <w:rsid w:val="00D764C9"/>
    <w:rsid w:val="00D76B53"/>
    <w:rsid w:val="00D772AF"/>
    <w:rsid w:val="00D77458"/>
    <w:rsid w:val="00D77B2A"/>
    <w:rsid w:val="00D80172"/>
    <w:rsid w:val="00D8137A"/>
    <w:rsid w:val="00D813C7"/>
    <w:rsid w:val="00D8289E"/>
    <w:rsid w:val="00D863EC"/>
    <w:rsid w:val="00D868F7"/>
    <w:rsid w:val="00D86973"/>
    <w:rsid w:val="00D87A0B"/>
    <w:rsid w:val="00D87FA9"/>
    <w:rsid w:val="00D91AFB"/>
    <w:rsid w:val="00D95B92"/>
    <w:rsid w:val="00D95DE2"/>
    <w:rsid w:val="00D9615D"/>
    <w:rsid w:val="00D96305"/>
    <w:rsid w:val="00D969FB"/>
    <w:rsid w:val="00D97077"/>
    <w:rsid w:val="00D97B1D"/>
    <w:rsid w:val="00D97BF3"/>
    <w:rsid w:val="00DA1056"/>
    <w:rsid w:val="00DA11FB"/>
    <w:rsid w:val="00DA1480"/>
    <w:rsid w:val="00DA4F56"/>
    <w:rsid w:val="00DA5BB6"/>
    <w:rsid w:val="00DA741B"/>
    <w:rsid w:val="00DB00C9"/>
    <w:rsid w:val="00DB33AC"/>
    <w:rsid w:val="00DB3DF1"/>
    <w:rsid w:val="00DB4D7C"/>
    <w:rsid w:val="00DB4FDB"/>
    <w:rsid w:val="00DB51E8"/>
    <w:rsid w:val="00DB5CFE"/>
    <w:rsid w:val="00DB631F"/>
    <w:rsid w:val="00DB6A32"/>
    <w:rsid w:val="00DB7489"/>
    <w:rsid w:val="00DB74E1"/>
    <w:rsid w:val="00DB7FC6"/>
    <w:rsid w:val="00DC1DD3"/>
    <w:rsid w:val="00DC26AB"/>
    <w:rsid w:val="00DC37CA"/>
    <w:rsid w:val="00DC4021"/>
    <w:rsid w:val="00DC518B"/>
    <w:rsid w:val="00DC51B8"/>
    <w:rsid w:val="00DC5391"/>
    <w:rsid w:val="00DC53C4"/>
    <w:rsid w:val="00DC6454"/>
    <w:rsid w:val="00DC7F39"/>
    <w:rsid w:val="00DD03E6"/>
    <w:rsid w:val="00DD0911"/>
    <w:rsid w:val="00DD0916"/>
    <w:rsid w:val="00DD179D"/>
    <w:rsid w:val="00DD1855"/>
    <w:rsid w:val="00DD19B7"/>
    <w:rsid w:val="00DD2247"/>
    <w:rsid w:val="00DD2C38"/>
    <w:rsid w:val="00DD320E"/>
    <w:rsid w:val="00DD3A31"/>
    <w:rsid w:val="00DD409F"/>
    <w:rsid w:val="00DD4443"/>
    <w:rsid w:val="00DD5950"/>
    <w:rsid w:val="00DD6721"/>
    <w:rsid w:val="00DD7F02"/>
    <w:rsid w:val="00DD7FCE"/>
    <w:rsid w:val="00DE0439"/>
    <w:rsid w:val="00DE0E83"/>
    <w:rsid w:val="00DE1642"/>
    <w:rsid w:val="00DE1AE3"/>
    <w:rsid w:val="00DE1D13"/>
    <w:rsid w:val="00DE2861"/>
    <w:rsid w:val="00DE2942"/>
    <w:rsid w:val="00DE2A48"/>
    <w:rsid w:val="00DE398E"/>
    <w:rsid w:val="00DE3C54"/>
    <w:rsid w:val="00DE4D9D"/>
    <w:rsid w:val="00DE54F4"/>
    <w:rsid w:val="00DE576D"/>
    <w:rsid w:val="00DE5B11"/>
    <w:rsid w:val="00DE5EEF"/>
    <w:rsid w:val="00DE65C1"/>
    <w:rsid w:val="00DE6A1E"/>
    <w:rsid w:val="00DE6D67"/>
    <w:rsid w:val="00DE72AC"/>
    <w:rsid w:val="00DE7355"/>
    <w:rsid w:val="00DE781C"/>
    <w:rsid w:val="00DF0D9E"/>
    <w:rsid w:val="00DF1005"/>
    <w:rsid w:val="00DF1F68"/>
    <w:rsid w:val="00DF380F"/>
    <w:rsid w:val="00DF4B1F"/>
    <w:rsid w:val="00DF5C17"/>
    <w:rsid w:val="00DF6B41"/>
    <w:rsid w:val="00DF6D02"/>
    <w:rsid w:val="00E003EC"/>
    <w:rsid w:val="00E004A7"/>
    <w:rsid w:val="00E00E0D"/>
    <w:rsid w:val="00E015A9"/>
    <w:rsid w:val="00E01687"/>
    <w:rsid w:val="00E01A5D"/>
    <w:rsid w:val="00E03555"/>
    <w:rsid w:val="00E04468"/>
    <w:rsid w:val="00E05040"/>
    <w:rsid w:val="00E05CDC"/>
    <w:rsid w:val="00E062EC"/>
    <w:rsid w:val="00E071E3"/>
    <w:rsid w:val="00E1137B"/>
    <w:rsid w:val="00E1180C"/>
    <w:rsid w:val="00E11A67"/>
    <w:rsid w:val="00E126A8"/>
    <w:rsid w:val="00E1350C"/>
    <w:rsid w:val="00E14285"/>
    <w:rsid w:val="00E15BFF"/>
    <w:rsid w:val="00E1642F"/>
    <w:rsid w:val="00E16C94"/>
    <w:rsid w:val="00E177CD"/>
    <w:rsid w:val="00E21569"/>
    <w:rsid w:val="00E21CEC"/>
    <w:rsid w:val="00E223E4"/>
    <w:rsid w:val="00E24EB7"/>
    <w:rsid w:val="00E2567C"/>
    <w:rsid w:val="00E260D6"/>
    <w:rsid w:val="00E2616F"/>
    <w:rsid w:val="00E2756B"/>
    <w:rsid w:val="00E3004D"/>
    <w:rsid w:val="00E3018C"/>
    <w:rsid w:val="00E30506"/>
    <w:rsid w:val="00E305EA"/>
    <w:rsid w:val="00E313E2"/>
    <w:rsid w:val="00E325D8"/>
    <w:rsid w:val="00E32F15"/>
    <w:rsid w:val="00E3381C"/>
    <w:rsid w:val="00E35061"/>
    <w:rsid w:val="00E354C3"/>
    <w:rsid w:val="00E35582"/>
    <w:rsid w:val="00E3615D"/>
    <w:rsid w:val="00E37453"/>
    <w:rsid w:val="00E37CF7"/>
    <w:rsid w:val="00E4073F"/>
    <w:rsid w:val="00E411EA"/>
    <w:rsid w:val="00E43FB9"/>
    <w:rsid w:val="00E4484F"/>
    <w:rsid w:val="00E456B7"/>
    <w:rsid w:val="00E47714"/>
    <w:rsid w:val="00E4776F"/>
    <w:rsid w:val="00E500A9"/>
    <w:rsid w:val="00E5180A"/>
    <w:rsid w:val="00E51F1C"/>
    <w:rsid w:val="00E52C94"/>
    <w:rsid w:val="00E52F2D"/>
    <w:rsid w:val="00E534C4"/>
    <w:rsid w:val="00E547F2"/>
    <w:rsid w:val="00E5575C"/>
    <w:rsid w:val="00E565F7"/>
    <w:rsid w:val="00E57D45"/>
    <w:rsid w:val="00E61DB3"/>
    <w:rsid w:val="00E64645"/>
    <w:rsid w:val="00E65A03"/>
    <w:rsid w:val="00E66C13"/>
    <w:rsid w:val="00E67212"/>
    <w:rsid w:val="00E676FC"/>
    <w:rsid w:val="00E67D61"/>
    <w:rsid w:val="00E70D20"/>
    <w:rsid w:val="00E71606"/>
    <w:rsid w:val="00E721F7"/>
    <w:rsid w:val="00E73C0D"/>
    <w:rsid w:val="00E73FD6"/>
    <w:rsid w:val="00E741AF"/>
    <w:rsid w:val="00E751CC"/>
    <w:rsid w:val="00E758EB"/>
    <w:rsid w:val="00E75C0C"/>
    <w:rsid w:val="00E76371"/>
    <w:rsid w:val="00E76487"/>
    <w:rsid w:val="00E7697F"/>
    <w:rsid w:val="00E77A18"/>
    <w:rsid w:val="00E813D9"/>
    <w:rsid w:val="00E81F4C"/>
    <w:rsid w:val="00E84A70"/>
    <w:rsid w:val="00E84D27"/>
    <w:rsid w:val="00E85790"/>
    <w:rsid w:val="00E865CC"/>
    <w:rsid w:val="00E86BC7"/>
    <w:rsid w:val="00E86D84"/>
    <w:rsid w:val="00E90D64"/>
    <w:rsid w:val="00E91055"/>
    <w:rsid w:val="00E919B1"/>
    <w:rsid w:val="00E91CA9"/>
    <w:rsid w:val="00E9263D"/>
    <w:rsid w:val="00E929A7"/>
    <w:rsid w:val="00E92C73"/>
    <w:rsid w:val="00E931ED"/>
    <w:rsid w:val="00E940C9"/>
    <w:rsid w:val="00E94314"/>
    <w:rsid w:val="00E95A42"/>
    <w:rsid w:val="00E95AD0"/>
    <w:rsid w:val="00E95C71"/>
    <w:rsid w:val="00E97799"/>
    <w:rsid w:val="00EA03E3"/>
    <w:rsid w:val="00EA10F5"/>
    <w:rsid w:val="00EA1C89"/>
    <w:rsid w:val="00EA2681"/>
    <w:rsid w:val="00EA4492"/>
    <w:rsid w:val="00EA49AF"/>
    <w:rsid w:val="00EA6067"/>
    <w:rsid w:val="00EA6998"/>
    <w:rsid w:val="00EA7CB1"/>
    <w:rsid w:val="00EB44A8"/>
    <w:rsid w:val="00EB46A7"/>
    <w:rsid w:val="00EB55A8"/>
    <w:rsid w:val="00EB580C"/>
    <w:rsid w:val="00EB5AC9"/>
    <w:rsid w:val="00EB616C"/>
    <w:rsid w:val="00EB6664"/>
    <w:rsid w:val="00EB67EB"/>
    <w:rsid w:val="00EB6D1B"/>
    <w:rsid w:val="00EC1DDF"/>
    <w:rsid w:val="00EC3426"/>
    <w:rsid w:val="00EC3B68"/>
    <w:rsid w:val="00EC4093"/>
    <w:rsid w:val="00EC45A1"/>
    <w:rsid w:val="00EC45DB"/>
    <w:rsid w:val="00EC4B44"/>
    <w:rsid w:val="00EC4D98"/>
    <w:rsid w:val="00EC4E1C"/>
    <w:rsid w:val="00EC5B71"/>
    <w:rsid w:val="00EC62E6"/>
    <w:rsid w:val="00EC69E0"/>
    <w:rsid w:val="00ED045B"/>
    <w:rsid w:val="00ED04C3"/>
    <w:rsid w:val="00ED0784"/>
    <w:rsid w:val="00ED13FD"/>
    <w:rsid w:val="00ED1883"/>
    <w:rsid w:val="00ED2685"/>
    <w:rsid w:val="00ED3F58"/>
    <w:rsid w:val="00ED4793"/>
    <w:rsid w:val="00ED5C92"/>
    <w:rsid w:val="00ED5E56"/>
    <w:rsid w:val="00ED7A59"/>
    <w:rsid w:val="00ED7FF9"/>
    <w:rsid w:val="00EE031A"/>
    <w:rsid w:val="00EE0535"/>
    <w:rsid w:val="00EE08E4"/>
    <w:rsid w:val="00EE1425"/>
    <w:rsid w:val="00EE14A4"/>
    <w:rsid w:val="00EE1E20"/>
    <w:rsid w:val="00EE21DA"/>
    <w:rsid w:val="00EE252D"/>
    <w:rsid w:val="00EE2A83"/>
    <w:rsid w:val="00EE37C9"/>
    <w:rsid w:val="00EE4B13"/>
    <w:rsid w:val="00EE55F8"/>
    <w:rsid w:val="00EE680B"/>
    <w:rsid w:val="00EE74D9"/>
    <w:rsid w:val="00EF158B"/>
    <w:rsid w:val="00EF2152"/>
    <w:rsid w:val="00EF2A67"/>
    <w:rsid w:val="00EF3D7C"/>
    <w:rsid w:val="00EF3ED7"/>
    <w:rsid w:val="00EF4E24"/>
    <w:rsid w:val="00EF577F"/>
    <w:rsid w:val="00EF7756"/>
    <w:rsid w:val="00EF7CD6"/>
    <w:rsid w:val="00F00132"/>
    <w:rsid w:val="00F00AF4"/>
    <w:rsid w:val="00F01417"/>
    <w:rsid w:val="00F01514"/>
    <w:rsid w:val="00F02887"/>
    <w:rsid w:val="00F02922"/>
    <w:rsid w:val="00F036E7"/>
    <w:rsid w:val="00F04104"/>
    <w:rsid w:val="00F05AF8"/>
    <w:rsid w:val="00F06514"/>
    <w:rsid w:val="00F06AA4"/>
    <w:rsid w:val="00F071AA"/>
    <w:rsid w:val="00F07FCE"/>
    <w:rsid w:val="00F1019A"/>
    <w:rsid w:val="00F10AF5"/>
    <w:rsid w:val="00F11381"/>
    <w:rsid w:val="00F11AA5"/>
    <w:rsid w:val="00F14215"/>
    <w:rsid w:val="00F15CBA"/>
    <w:rsid w:val="00F16334"/>
    <w:rsid w:val="00F1652E"/>
    <w:rsid w:val="00F1761F"/>
    <w:rsid w:val="00F17CDC"/>
    <w:rsid w:val="00F2044A"/>
    <w:rsid w:val="00F204B0"/>
    <w:rsid w:val="00F204BB"/>
    <w:rsid w:val="00F20EC9"/>
    <w:rsid w:val="00F21A37"/>
    <w:rsid w:val="00F229F6"/>
    <w:rsid w:val="00F22C48"/>
    <w:rsid w:val="00F23209"/>
    <w:rsid w:val="00F24565"/>
    <w:rsid w:val="00F258D4"/>
    <w:rsid w:val="00F26031"/>
    <w:rsid w:val="00F2614A"/>
    <w:rsid w:val="00F27A4B"/>
    <w:rsid w:val="00F30493"/>
    <w:rsid w:val="00F31AB0"/>
    <w:rsid w:val="00F32661"/>
    <w:rsid w:val="00F32884"/>
    <w:rsid w:val="00F34192"/>
    <w:rsid w:val="00F34834"/>
    <w:rsid w:val="00F357ED"/>
    <w:rsid w:val="00F363D1"/>
    <w:rsid w:val="00F36BF5"/>
    <w:rsid w:val="00F36BF7"/>
    <w:rsid w:val="00F3717D"/>
    <w:rsid w:val="00F37356"/>
    <w:rsid w:val="00F37D20"/>
    <w:rsid w:val="00F4290C"/>
    <w:rsid w:val="00F4346B"/>
    <w:rsid w:val="00F4359C"/>
    <w:rsid w:val="00F44ACF"/>
    <w:rsid w:val="00F44F07"/>
    <w:rsid w:val="00F45522"/>
    <w:rsid w:val="00F45C75"/>
    <w:rsid w:val="00F461EB"/>
    <w:rsid w:val="00F4677D"/>
    <w:rsid w:val="00F46E9F"/>
    <w:rsid w:val="00F47AAB"/>
    <w:rsid w:val="00F47C2B"/>
    <w:rsid w:val="00F508D7"/>
    <w:rsid w:val="00F53F72"/>
    <w:rsid w:val="00F54777"/>
    <w:rsid w:val="00F54E2E"/>
    <w:rsid w:val="00F55476"/>
    <w:rsid w:val="00F55F51"/>
    <w:rsid w:val="00F56B03"/>
    <w:rsid w:val="00F604AB"/>
    <w:rsid w:val="00F6273E"/>
    <w:rsid w:val="00F63F4C"/>
    <w:rsid w:val="00F641A3"/>
    <w:rsid w:val="00F65339"/>
    <w:rsid w:val="00F67704"/>
    <w:rsid w:val="00F70555"/>
    <w:rsid w:val="00F7166E"/>
    <w:rsid w:val="00F71689"/>
    <w:rsid w:val="00F71C56"/>
    <w:rsid w:val="00F72871"/>
    <w:rsid w:val="00F728D8"/>
    <w:rsid w:val="00F72BBC"/>
    <w:rsid w:val="00F73112"/>
    <w:rsid w:val="00F73E65"/>
    <w:rsid w:val="00F743E8"/>
    <w:rsid w:val="00F74A75"/>
    <w:rsid w:val="00F75E3A"/>
    <w:rsid w:val="00F76C83"/>
    <w:rsid w:val="00F76D06"/>
    <w:rsid w:val="00F77D5E"/>
    <w:rsid w:val="00F805DD"/>
    <w:rsid w:val="00F810CB"/>
    <w:rsid w:val="00F81A21"/>
    <w:rsid w:val="00F8292D"/>
    <w:rsid w:val="00F82AEF"/>
    <w:rsid w:val="00F8464C"/>
    <w:rsid w:val="00F8596F"/>
    <w:rsid w:val="00F863DA"/>
    <w:rsid w:val="00F86895"/>
    <w:rsid w:val="00F86E27"/>
    <w:rsid w:val="00F874F7"/>
    <w:rsid w:val="00F87CFE"/>
    <w:rsid w:val="00F87E5A"/>
    <w:rsid w:val="00F9005A"/>
    <w:rsid w:val="00F910E3"/>
    <w:rsid w:val="00F91213"/>
    <w:rsid w:val="00F918E0"/>
    <w:rsid w:val="00F91E13"/>
    <w:rsid w:val="00F930A4"/>
    <w:rsid w:val="00F96A08"/>
    <w:rsid w:val="00F96BBE"/>
    <w:rsid w:val="00F9743A"/>
    <w:rsid w:val="00FA07AA"/>
    <w:rsid w:val="00FA1144"/>
    <w:rsid w:val="00FA3E41"/>
    <w:rsid w:val="00FA5232"/>
    <w:rsid w:val="00FA59B5"/>
    <w:rsid w:val="00FA5AF6"/>
    <w:rsid w:val="00FA5BB2"/>
    <w:rsid w:val="00FA703C"/>
    <w:rsid w:val="00FB0289"/>
    <w:rsid w:val="00FB0858"/>
    <w:rsid w:val="00FB10CB"/>
    <w:rsid w:val="00FB10CC"/>
    <w:rsid w:val="00FB10FB"/>
    <w:rsid w:val="00FB1CA7"/>
    <w:rsid w:val="00FB2137"/>
    <w:rsid w:val="00FB254B"/>
    <w:rsid w:val="00FB2F72"/>
    <w:rsid w:val="00FB5AB0"/>
    <w:rsid w:val="00FC049B"/>
    <w:rsid w:val="00FC08C9"/>
    <w:rsid w:val="00FC10AD"/>
    <w:rsid w:val="00FC1679"/>
    <w:rsid w:val="00FC2581"/>
    <w:rsid w:val="00FC3534"/>
    <w:rsid w:val="00FC368E"/>
    <w:rsid w:val="00FC3843"/>
    <w:rsid w:val="00FC3CDB"/>
    <w:rsid w:val="00FC4912"/>
    <w:rsid w:val="00FC5EE3"/>
    <w:rsid w:val="00FC5F50"/>
    <w:rsid w:val="00FC6116"/>
    <w:rsid w:val="00FC68B0"/>
    <w:rsid w:val="00FC7871"/>
    <w:rsid w:val="00FD0240"/>
    <w:rsid w:val="00FD075F"/>
    <w:rsid w:val="00FD1BA2"/>
    <w:rsid w:val="00FD23EE"/>
    <w:rsid w:val="00FD2424"/>
    <w:rsid w:val="00FD279E"/>
    <w:rsid w:val="00FD2F76"/>
    <w:rsid w:val="00FD3A91"/>
    <w:rsid w:val="00FD3F90"/>
    <w:rsid w:val="00FD55E0"/>
    <w:rsid w:val="00FD5602"/>
    <w:rsid w:val="00FD60B6"/>
    <w:rsid w:val="00FD6428"/>
    <w:rsid w:val="00FD6533"/>
    <w:rsid w:val="00FD6C39"/>
    <w:rsid w:val="00FD6DEA"/>
    <w:rsid w:val="00FD7512"/>
    <w:rsid w:val="00FE005B"/>
    <w:rsid w:val="00FE061D"/>
    <w:rsid w:val="00FE1971"/>
    <w:rsid w:val="00FE349C"/>
    <w:rsid w:val="00FE522A"/>
    <w:rsid w:val="00FE5BFF"/>
    <w:rsid w:val="00FE63E0"/>
    <w:rsid w:val="00FE71D3"/>
    <w:rsid w:val="00FE792C"/>
    <w:rsid w:val="00FF0F6F"/>
    <w:rsid w:val="00FF167D"/>
    <w:rsid w:val="00FF1A55"/>
    <w:rsid w:val="00FF1EB0"/>
    <w:rsid w:val="00FF3633"/>
    <w:rsid w:val="00FF392E"/>
    <w:rsid w:val="00FF58FC"/>
    <w:rsid w:val="00FF5C88"/>
    <w:rsid w:val="00FF6394"/>
    <w:rsid w:val="00FF64F8"/>
    <w:rsid w:val="00FF672D"/>
    <w:rsid w:val="00FF6F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00F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848FB"/>
    <w:pPr>
      <w:spacing w:line="260" w:lineRule="atLeast"/>
    </w:pPr>
    <w:rPr>
      <w:rFonts w:eastAsia="Calibri"/>
      <w:sz w:val="22"/>
      <w:lang w:eastAsia="en-US"/>
    </w:rPr>
  </w:style>
  <w:style w:type="paragraph" w:styleId="Heading1">
    <w:name w:val="heading 1"/>
    <w:basedOn w:val="Normal"/>
    <w:next w:val="Normal"/>
    <w:link w:val="Heading1Char"/>
    <w:qFormat/>
    <w:rsid w:val="00F71C56"/>
    <w:pPr>
      <w:keepNext/>
      <w:keepLines/>
      <w:numPr>
        <w:numId w:val="2"/>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qFormat/>
    <w:rsid w:val="00F71C56"/>
    <w:pPr>
      <w:keepNext/>
      <w:keepLines/>
      <w:numPr>
        <w:ilvl w:val="1"/>
        <w:numId w:val="2"/>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qFormat/>
    <w:rsid w:val="00F71C56"/>
    <w:pPr>
      <w:keepNext/>
      <w:keepLines/>
      <w:numPr>
        <w:ilvl w:val="2"/>
        <w:numId w:val="2"/>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qFormat/>
    <w:rsid w:val="00F71C56"/>
    <w:pPr>
      <w:keepNext/>
      <w:keepLines/>
      <w:numPr>
        <w:ilvl w:val="3"/>
        <w:numId w:val="2"/>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qFormat/>
    <w:rsid w:val="00F71C56"/>
    <w:pPr>
      <w:keepNext/>
      <w:keepLines/>
      <w:numPr>
        <w:ilvl w:val="4"/>
        <w:numId w:val="2"/>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2"/>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2"/>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2"/>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rsid w:val="004C144E"/>
    <w:rPr>
      <w:rFonts w:ascii="Arial" w:eastAsia="Calibri" w:hAnsi="Arial" w:cs="Arial"/>
      <w:b/>
      <w:bCs/>
      <w:i/>
      <w:szCs w:val="26"/>
      <w:lang w:eastAsia="en-US"/>
    </w:rPr>
  </w:style>
  <w:style w:type="character" w:customStyle="1" w:styleId="Heading4Char">
    <w:name w:val="Heading 4 Char"/>
    <w:basedOn w:val="DefaultParagraphFont"/>
    <w:link w:val="Heading4"/>
    <w:rsid w:val="004C144E"/>
    <w:rPr>
      <w:rFonts w:ascii="Arial" w:eastAsia="Calibri" w:hAnsi="Arial" w:cs="Arial"/>
      <w:bCs/>
      <w:i/>
      <w:szCs w:val="28"/>
      <w:lang w:eastAsia="en-US"/>
    </w:rPr>
  </w:style>
  <w:style w:type="character" w:customStyle="1" w:styleId="Heading5Char">
    <w:name w:val="Heading 5 Char"/>
    <w:basedOn w:val="DefaultParagraphFont"/>
    <w:link w:val="Heading5"/>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rsid w:val="00F71C56"/>
    <w:rPr>
      <w:rFonts w:ascii="Arial" w:hAnsi="Arial" w:cs="Arial"/>
      <w:sz w:val="18"/>
    </w:rPr>
  </w:style>
  <w:style w:type="paragraph" w:customStyle="1" w:styleId="h1Sch">
    <w:name w:val="h1_Sch"/>
    <w:basedOn w:val="baseheading"/>
    <w:next w:val="h2SchPart"/>
    <w:qFormat/>
    <w:rsid w:val="00115291"/>
    <w:pPr>
      <w:pageBreakBefore/>
      <w:spacing w:before="480"/>
      <w:outlineLvl w:val="0"/>
    </w:pPr>
    <w:rPr>
      <w:rFonts w:ascii="Times New Roman" w:hAnsi="Times New Roman"/>
      <w:sz w:val="36"/>
    </w:rPr>
  </w:style>
  <w:style w:type="paragraph" w:customStyle="1" w:styleId="h2SchPart">
    <w:name w:val="h2_Sch_Part"/>
    <w:basedOn w:val="baseheading"/>
    <w:next w:val="h3SchDiv"/>
    <w:rsid w:val="00E919B1"/>
    <w:pPr>
      <w:pageBreakBefore/>
    </w:pPr>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qFormat/>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qFormat/>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qFormat/>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qFormat/>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115291"/>
    <w:pPr>
      <w:keepNext/>
      <w:keepLines/>
      <w:pageBreakBefore/>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115291"/>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uiPriority w:val="99"/>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ED078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link w:val="SOText2Char"/>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rsid w:val="00DC518B"/>
    <w:rPr>
      <w:rFonts w:eastAsia="Calibri"/>
      <w:sz w:val="16"/>
      <w:szCs w:val="16"/>
      <w:lang w:eastAsia="en-US"/>
    </w:rPr>
  </w:style>
  <w:style w:type="paragraph" w:styleId="Caption">
    <w:name w:val="caption"/>
    <w:basedOn w:val="Normal"/>
    <w:next w:val="Normal"/>
    <w:uiPriority w:val="35"/>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qFormat/>
    <w:rsid w:val="00DC518B"/>
    <w:rPr>
      <w:rFonts w:eastAsia="Calibri"/>
      <w:sz w:val="22"/>
      <w:lang w:eastAsia="en-US"/>
    </w:rPr>
  </w:style>
  <w:style w:type="paragraph" w:styleId="NormalWeb">
    <w:name w:val="Normal (Web)"/>
    <w:basedOn w:val="Normal"/>
    <w:uiPriority w:val="99"/>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rsid w:val="00DC518B"/>
    <w:rPr>
      <w:rFonts w:ascii="Consolas" w:eastAsia="Calibri" w:hAnsi="Consolas"/>
      <w:sz w:val="21"/>
      <w:szCs w:val="21"/>
      <w:lang w:eastAsia="en-US"/>
    </w:rPr>
  </w:style>
  <w:style w:type="paragraph" w:styleId="Quote">
    <w:name w:val="Quote"/>
    <w:basedOn w:val="Normal"/>
    <w:next w:val="Normal"/>
    <w:link w:val="QuoteChar"/>
    <w:uiPriority w:val="99"/>
    <w:qFormat/>
    <w:rsid w:val="00DC518B"/>
    <w:rPr>
      <w:i/>
      <w:iCs/>
      <w:color w:val="000000" w:themeColor="text1"/>
    </w:rPr>
  </w:style>
  <w:style w:type="character" w:customStyle="1" w:styleId="QuoteChar">
    <w:name w:val="Quote Char"/>
    <w:basedOn w:val="DefaultParagraphFont"/>
    <w:link w:val="Quote"/>
    <w:uiPriority w:val="99"/>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uiPriority w:val="10"/>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C518B"/>
    <w:pPr>
      <w:numPr>
        <w:numId w:val="0"/>
      </w:num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styleId="Emphasis">
    <w:name w:val="Emphasis"/>
    <w:basedOn w:val="DefaultParagraphFont"/>
    <w:uiPriority w:val="20"/>
    <w:qFormat/>
    <w:rsid w:val="00BB7E75"/>
    <w:rPr>
      <w:i/>
      <w:iCs/>
      <w:sz w:val="24"/>
      <w:szCs w:val="24"/>
      <w:bdr w:val="none" w:sz="0" w:space="0" w:color="auto" w:frame="1"/>
      <w:vertAlign w:val="baseline"/>
    </w:rPr>
  </w:style>
  <w:style w:type="character" w:styleId="CommentReference">
    <w:name w:val="annotation reference"/>
    <w:basedOn w:val="DefaultParagraphFont"/>
    <w:uiPriority w:val="99"/>
    <w:rsid w:val="00BB7E75"/>
    <w:rPr>
      <w:sz w:val="16"/>
      <w:szCs w:val="16"/>
    </w:rPr>
  </w:style>
  <w:style w:type="paragraph" w:customStyle="1" w:styleId="R2">
    <w:name w:val="R2"/>
    <w:aliases w:val="(2)"/>
    <w:basedOn w:val="Normal"/>
    <w:rsid w:val="00BB7E75"/>
    <w:pPr>
      <w:keepLines/>
      <w:tabs>
        <w:tab w:val="right" w:pos="794"/>
      </w:tabs>
      <w:spacing w:before="180" w:line="260" w:lineRule="exact"/>
      <w:ind w:left="964" w:hanging="964"/>
      <w:jc w:val="both"/>
    </w:pPr>
    <w:rPr>
      <w:rFonts w:eastAsia="Times New Roman"/>
      <w:sz w:val="24"/>
      <w:szCs w:val="24"/>
      <w:lang w:eastAsia="en-AU"/>
    </w:rPr>
  </w:style>
  <w:style w:type="character" w:customStyle="1" w:styleId="paragraphChar">
    <w:name w:val="paragraph Char"/>
    <w:aliases w:val="a Char"/>
    <w:basedOn w:val="DefaultParagraphFont"/>
    <w:link w:val="tPara"/>
    <w:rsid w:val="00BB7E75"/>
    <w:rPr>
      <w:sz w:val="22"/>
    </w:rPr>
  </w:style>
  <w:style w:type="paragraph" w:customStyle="1" w:styleId="noteMain">
    <w:name w:val="note_Main"/>
    <w:basedOn w:val="tMain"/>
    <w:qFormat/>
    <w:rsid w:val="00BB7E75"/>
    <w:pPr>
      <w:keepLines/>
      <w:tabs>
        <w:tab w:val="clear" w:pos="1021"/>
        <w:tab w:val="right" w:pos="794"/>
      </w:tabs>
      <w:spacing w:before="80" w:after="100" w:line="220" w:lineRule="exact"/>
      <w:ind w:left="964" w:hanging="964"/>
      <w:jc w:val="both"/>
    </w:pPr>
    <w:rPr>
      <w:sz w:val="20"/>
      <w:szCs w:val="24"/>
    </w:rPr>
  </w:style>
  <w:style w:type="paragraph" w:customStyle="1" w:styleId="TableText0">
    <w:name w:val="TableText"/>
    <w:basedOn w:val="Normal"/>
    <w:rsid w:val="00BB7E75"/>
    <w:pPr>
      <w:spacing w:before="60" w:after="60" w:line="240" w:lineRule="exact"/>
    </w:pPr>
    <w:rPr>
      <w:rFonts w:eastAsia="Times New Roman"/>
      <w:sz w:val="24"/>
      <w:szCs w:val="24"/>
      <w:lang w:eastAsia="en-AU"/>
    </w:rPr>
  </w:style>
  <w:style w:type="paragraph" w:customStyle="1" w:styleId="noteSubpara">
    <w:name w:val="note_Subpara"/>
    <w:basedOn w:val="tSubpara"/>
    <w:qFormat/>
    <w:rsid w:val="00BB7E75"/>
    <w:pPr>
      <w:keepLines/>
      <w:tabs>
        <w:tab w:val="clear" w:pos="1985"/>
        <w:tab w:val="right" w:pos="2211"/>
      </w:tabs>
      <w:spacing w:before="0" w:after="100" w:line="220" w:lineRule="exact"/>
      <w:ind w:left="2410" w:hanging="2410"/>
      <w:jc w:val="both"/>
    </w:pPr>
    <w:rPr>
      <w:sz w:val="20"/>
      <w:szCs w:val="24"/>
    </w:rPr>
  </w:style>
  <w:style w:type="character" w:customStyle="1" w:styleId="SOTextChar">
    <w:name w:val="SO Text Char"/>
    <w:aliases w:val="sot Char"/>
    <w:basedOn w:val="DefaultParagraphFont"/>
    <w:link w:val="SOText"/>
    <w:rsid w:val="00BB7E75"/>
    <w:rPr>
      <w:rFonts w:eastAsia="Calibri"/>
      <w:sz w:val="22"/>
    </w:rPr>
  </w:style>
  <w:style w:type="character" w:customStyle="1" w:styleId="SOParaChar">
    <w:name w:val="SO Para Char"/>
    <w:aliases w:val="soa Char"/>
    <w:basedOn w:val="DefaultParagraphFont"/>
    <w:link w:val="SOPara"/>
    <w:rsid w:val="00BB7E75"/>
    <w:rPr>
      <w:rFonts w:eastAsia="Calibri"/>
      <w:sz w:val="22"/>
    </w:rPr>
  </w:style>
  <w:style w:type="character" w:customStyle="1" w:styleId="SOHeadBoldChar">
    <w:name w:val="SO HeadBold Char"/>
    <w:aliases w:val="sohb Char"/>
    <w:basedOn w:val="DefaultParagraphFont"/>
    <w:link w:val="SOHeadBold"/>
    <w:rsid w:val="00BB7E75"/>
    <w:rPr>
      <w:rFonts w:eastAsia="Calibri"/>
      <w:b/>
      <w:sz w:val="22"/>
    </w:rPr>
  </w:style>
  <w:style w:type="character" w:customStyle="1" w:styleId="SOHeadItalicChar">
    <w:name w:val="SO HeadItalic Char"/>
    <w:aliases w:val="sohi Char"/>
    <w:basedOn w:val="DefaultParagraphFont"/>
    <w:link w:val="SOHeadItalic"/>
    <w:rsid w:val="00BB7E75"/>
    <w:rPr>
      <w:rFonts w:eastAsia="Calibri"/>
      <w:i/>
      <w:sz w:val="22"/>
    </w:rPr>
  </w:style>
  <w:style w:type="character" w:customStyle="1" w:styleId="SOBulletChar">
    <w:name w:val="SO Bullet Char"/>
    <w:aliases w:val="sotb Char"/>
    <w:basedOn w:val="DefaultParagraphFont"/>
    <w:link w:val="SOBullet"/>
    <w:rsid w:val="00BB7E75"/>
    <w:rPr>
      <w:rFonts w:eastAsia="Calibri"/>
      <w:sz w:val="22"/>
    </w:rPr>
  </w:style>
  <w:style w:type="character" w:customStyle="1" w:styleId="SOBulletNoteChar">
    <w:name w:val="SO BulletNote Char"/>
    <w:aliases w:val="sonb Char"/>
    <w:basedOn w:val="DefaultParagraphFont"/>
    <w:link w:val="SOBulletNote"/>
    <w:rsid w:val="00BB7E75"/>
    <w:rPr>
      <w:rFonts w:eastAsia="Calibri"/>
      <w:sz w:val="18"/>
    </w:rPr>
  </w:style>
  <w:style w:type="character" w:customStyle="1" w:styleId="SOText2Char">
    <w:name w:val="SO Text2 Char"/>
    <w:aliases w:val="sot2 Char"/>
    <w:basedOn w:val="DefaultParagraphFont"/>
    <w:link w:val="SOText2"/>
    <w:rsid w:val="00BB7E75"/>
    <w:rPr>
      <w:rFonts w:eastAsia="Calibri"/>
      <w:sz w:val="22"/>
      <w:lang w:eastAsia="en-US"/>
    </w:rPr>
  </w:style>
  <w:style w:type="character" w:customStyle="1" w:styleId="subsectionChar">
    <w:name w:val="subsection Char"/>
    <w:aliases w:val="ss Char"/>
    <w:basedOn w:val="DefaultParagraphFont"/>
    <w:link w:val="tMain"/>
    <w:locked/>
    <w:rsid w:val="00BB7E75"/>
    <w:rPr>
      <w:sz w:val="22"/>
    </w:rPr>
  </w:style>
  <w:style w:type="character" w:customStyle="1" w:styleId="ListParagraphChar">
    <w:name w:val="List Paragraph Char"/>
    <w:basedOn w:val="DefaultParagraphFont"/>
    <w:link w:val="ListParagraph"/>
    <w:uiPriority w:val="34"/>
    <w:locked/>
    <w:rsid w:val="00BB7E75"/>
    <w:rPr>
      <w:rFonts w:eastAsia="Calibri"/>
      <w:sz w:val="22"/>
      <w:lang w:eastAsia="en-US"/>
    </w:rPr>
  </w:style>
  <w:style w:type="paragraph" w:customStyle="1" w:styleId="definition">
    <w:name w:val="definition"/>
    <w:basedOn w:val="Normal"/>
    <w:rsid w:val="00BB7E75"/>
    <w:pPr>
      <w:spacing w:before="80" w:line="260" w:lineRule="exact"/>
      <w:ind w:left="964"/>
      <w:jc w:val="both"/>
    </w:pPr>
    <w:rPr>
      <w:rFonts w:eastAsia="Times New Roman"/>
      <w:sz w:val="24"/>
      <w:szCs w:val="24"/>
      <w:lang w:eastAsia="en-AU"/>
    </w:rPr>
  </w:style>
  <w:style w:type="paragraph" w:customStyle="1" w:styleId="Rc">
    <w:name w:val="Rc"/>
    <w:aliases w:val="Rn continued"/>
    <w:basedOn w:val="Normal"/>
    <w:next w:val="R2"/>
    <w:rsid w:val="00BB7E75"/>
    <w:pPr>
      <w:spacing w:before="60" w:line="260" w:lineRule="exact"/>
      <w:ind w:left="964"/>
      <w:jc w:val="both"/>
    </w:pPr>
    <w:rPr>
      <w:rFonts w:eastAsia="Times New Roman"/>
      <w:sz w:val="24"/>
      <w:szCs w:val="24"/>
      <w:lang w:eastAsia="en-AU"/>
    </w:rPr>
  </w:style>
  <w:style w:type="paragraph" w:customStyle="1" w:styleId="notePara">
    <w:name w:val="note_Para"/>
    <w:basedOn w:val="tPara"/>
    <w:qFormat/>
    <w:rsid w:val="00BB7E75"/>
    <w:pPr>
      <w:keepLines/>
      <w:spacing w:before="0" w:after="100" w:line="220" w:lineRule="exact"/>
      <w:ind w:left="1701" w:hanging="1701"/>
      <w:jc w:val="both"/>
    </w:pPr>
    <w:rPr>
      <w:sz w:val="20"/>
      <w:szCs w:val="24"/>
    </w:rPr>
  </w:style>
  <w:style w:type="paragraph" w:customStyle="1" w:styleId="Tempstyle">
    <w:name w:val="Temp style"/>
    <w:basedOn w:val="Normal"/>
    <w:rsid w:val="00BB7E75"/>
    <w:pPr>
      <w:spacing w:line="240" w:lineRule="auto"/>
    </w:pPr>
    <w:rPr>
      <w:rFonts w:eastAsia="Times New Roman"/>
      <w:sz w:val="24"/>
      <w:szCs w:val="24"/>
      <w:lang w:eastAsia="en-AU"/>
    </w:rPr>
  </w:style>
  <w:style w:type="paragraph" w:customStyle="1" w:styleId="h1ChSch">
    <w:name w:val="h1_Ch_Sch"/>
    <w:basedOn w:val="Heading1"/>
    <w:next w:val="Normal"/>
    <w:qFormat/>
    <w:rsid w:val="00BB7E75"/>
    <w:pPr>
      <w:pageBreakBefore/>
      <w:numPr>
        <w:numId w:val="0"/>
      </w:numPr>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BB7E7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BB7E7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BB7E7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BB7E7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BB7E75"/>
    <w:pPr>
      <w:spacing w:before="20" w:line="240" w:lineRule="exact"/>
      <w:jc w:val="center"/>
    </w:pPr>
    <w:rPr>
      <w:rFonts w:ascii="Arial" w:hAnsi="Arial"/>
      <w:i/>
      <w:sz w:val="18"/>
    </w:rPr>
  </w:style>
  <w:style w:type="paragraph" w:customStyle="1" w:styleId="Sec">
    <w:name w:val="Sec"/>
    <w:basedOn w:val="Normal"/>
    <w:next w:val="Normal"/>
    <w:uiPriority w:val="99"/>
    <w:rsid w:val="00BB7E7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BB7E7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BB7E75"/>
    <w:rPr>
      <w:rFonts w:ascii="Arial" w:hAnsi="Arial" w:cs="Arial"/>
      <w:iCs/>
      <w:sz w:val="18"/>
      <w:lang w:eastAsia="en-US"/>
    </w:rPr>
  </w:style>
  <w:style w:type="paragraph" w:customStyle="1" w:styleId="NoteEnd">
    <w:name w:val="Note End"/>
    <w:basedOn w:val="Normal"/>
    <w:rsid w:val="00BB7E75"/>
    <w:pPr>
      <w:keepLines/>
      <w:spacing w:before="120" w:line="240" w:lineRule="exact"/>
      <w:ind w:left="567" w:hanging="567"/>
      <w:jc w:val="both"/>
    </w:pPr>
    <w:rPr>
      <w:rFonts w:eastAsia="Times New Roman"/>
      <w:sz w:val="24"/>
      <w:szCs w:val="24"/>
      <w:lang w:eastAsia="en-AU"/>
    </w:rPr>
  </w:style>
  <w:style w:type="paragraph" w:customStyle="1" w:styleId="noteSubsub">
    <w:name w:val="note_Subsub"/>
    <w:basedOn w:val="tSubsub"/>
    <w:qFormat/>
    <w:rsid w:val="00BB7E75"/>
    <w:pPr>
      <w:tabs>
        <w:tab w:val="clear" w:pos="2722"/>
        <w:tab w:val="right" w:pos="2948"/>
      </w:tabs>
      <w:spacing w:before="0" w:after="100" w:line="220" w:lineRule="exact"/>
      <w:ind w:left="3119" w:hanging="3119"/>
      <w:jc w:val="both"/>
    </w:pPr>
    <w:rPr>
      <w:sz w:val="20"/>
      <w:szCs w:val="24"/>
    </w:rPr>
  </w:style>
  <w:style w:type="paragraph" w:customStyle="1" w:styleId="HR">
    <w:name w:val="HR"/>
    <w:aliases w:val="Regulation Heading"/>
    <w:basedOn w:val="Normal"/>
    <w:next w:val="Normal"/>
    <w:rsid w:val="00BB7E75"/>
    <w:pPr>
      <w:keepNext/>
      <w:keepLines/>
      <w:spacing w:before="360" w:line="240" w:lineRule="auto"/>
      <w:ind w:left="964" w:hanging="964"/>
    </w:pPr>
    <w:rPr>
      <w:rFonts w:ascii="Arial" w:eastAsia="Times New Roman" w:hAnsi="Arial"/>
      <w:b/>
      <w:sz w:val="24"/>
      <w:szCs w:val="24"/>
      <w:lang w:eastAsia="en-AU"/>
    </w:rPr>
  </w:style>
  <w:style w:type="paragraph" w:customStyle="1" w:styleId="P1">
    <w:name w:val="P1"/>
    <w:aliases w:val="(a)"/>
    <w:basedOn w:val="Normal"/>
    <w:rsid w:val="00BB7E7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R1">
    <w:name w:val="R1"/>
    <w:aliases w:val="1. or 1.(1)"/>
    <w:basedOn w:val="Normal"/>
    <w:next w:val="R2"/>
    <w:rsid w:val="00BB7E75"/>
    <w:pPr>
      <w:keepLines/>
      <w:tabs>
        <w:tab w:val="right" w:pos="794"/>
      </w:tabs>
      <w:spacing w:before="120" w:line="260" w:lineRule="exact"/>
      <w:ind w:left="964" w:hanging="964"/>
      <w:jc w:val="both"/>
    </w:pPr>
    <w:rPr>
      <w:rFonts w:eastAsia="Times New Roman"/>
      <w:sz w:val="24"/>
      <w:szCs w:val="24"/>
      <w:lang w:eastAsia="en-AU"/>
    </w:rPr>
  </w:style>
  <w:style w:type="paragraph" w:customStyle="1" w:styleId="Bullet">
    <w:name w:val="Bullet"/>
    <w:aliases w:val="b"/>
    <w:basedOn w:val="Normal"/>
    <w:link w:val="BulletChar"/>
    <w:qFormat/>
    <w:rsid w:val="00BB7E75"/>
    <w:pPr>
      <w:numPr>
        <w:numId w:val="5"/>
      </w:numPr>
      <w:spacing w:before="120" w:after="120" w:line="276" w:lineRule="auto"/>
    </w:pPr>
    <w:rPr>
      <w:rFonts w:ascii="Calibri" w:eastAsia="Times New Roman" w:hAnsi="Calibri"/>
      <w:sz w:val="24"/>
      <w:szCs w:val="22"/>
    </w:rPr>
  </w:style>
  <w:style w:type="character" w:customStyle="1" w:styleId="BulletChar">
    <w:name w:val="Bullet Char"/>
    <w:aliases w:val="b Char"/>
    <w:link w:val="Bullet"/>
    <w:locked/>
    <w:rsid w:val="00BB7E75"/>
    <w:rPr>
      <w:rFonts w:ascii="Calibri" w:hAnsi="Calibri"/>
      <w:sz w:val="24"/>
      <w:szCs w:val="22"/>
      <w:lang w:eastAsia="en-US"/>
    </w:rPr>
  </w:style>
  <w:style w:type="paragraph" w:customStyle="1" w:styleId="Dash">
    <w:name w:val="Dash"/>
    <w:basedOn w:val="Normal"/>
    <w:link w:val="DashChar"/>
    <w:qFormat/>
    <w:rsid w:val="00BB7E75"/>
    <w:pPr>
      <w:numPr>
        <w:ilvl w:val="1"/>
        <w:numId w:val="5"/>
      </w:numPr>
      <w:spacing w:before="120" w:after="120" w:line="276" w:lineRule="auto"/>
    </w:pPr>
    <w:rPr>
      <w:rFonts w:ascii="Calibri" w:eastAsia="Times New Roman" w:hAnsi="Calibri"/>
      <w:sz w:val="24"/>
      <w:szCs w:val="22"/>
    </w:rPr>
  </w:style>
  <w:style w:type="character" w:customStyle="1" w:styleId="DashChar">
    <w:name w:val="Dash Char"/>
    <w:link w:val="Dash"/>
    <w:locked/>
    <w:rsid w:val="00BB7E75"/>
    <w:rPr>
      <w:rFonts w:ascii="Calibri" w:hAnsi="Calibri"/>
      <w:sz w:val="24"/>
      <w:szCs w:val="22"/>
      <w:lang w:eastAsia="en-US"/>
    </w:rPr>
  </w:style>
  <w:style w:type="paragraph" w:customStyle="1" w:styleId="DoubleDot">
    <w:name w:val="Double Dot"/>
    <w:basedOn w:val="Normal"/>
    <w:link w:val="DoubleDotChar"/>
    <w:rsid w:val="00BB7E75"/>
    <w:pPr>
      <w:numPr>
        <w:ilvl w:val="2"/>
        <w:numId w:val="5"/>
      </w:numPr>
      <w:spacing w:before="120" w:after="120" w:line="276" w:lineRule="auto"/>
    </w:pPr>
    <w:rPr>
      <w:rFonts w:ascii="Calibri" w:eastAsia="Times New Roman" w:hAnsi="Calibri"/>
      <w:sz w:val="24"/>
      <w:szCs w:val="22"/>
    </w:rPr>
  </w:style>
  <w:style w:type="character" w:customStyle="1" w:styleId="DoubleDotChar">
    <w:name w:val="Double Dot Char"/>
    <w:link w:val="DoubleDot"/>
    <w:locked/>
    <w:rsid w:val="00BB7E75"/>
    <w:rPr>
      <w:rFonts w:ascii="Calibri" w:hAnsi="Calibri"/>
      <w:sz w:val="24"/>
      <w:szCs w:val="22"/>
      <w:lang w:eastAsia="en-US"/>
    </w:rPr>
  </w:style>
  <w:style w:type="paragraph" w:customStyle="1" w:styleId="OutlineNumbered1">
    <w:name w:val="Outline Numbered 1"/>
    <w:basedOn w:val="Normal"/>
    <w:link w:val="OutlineNumbered1Char"/>
    <w:rsid w:val="00BB7E75"/>
    <w:pPr>
      <w:numPr>
        <w:numId w:val="6"/>
      </w:numPr>
      <w:spacing w:before="120" w:after="120" w:line="276" w:lineRule="auto"/>
    </w:pPr>
    <w:rPr>
      <w:rFonts w:ascii="Calibri" w:eastAsia="Times New Roman" w:hAnsi="Calibri"/>
      <w:sz w:val="24"/>
      <w:szCs w:val="22"/>
    </w:rPr>
  </w:style>
  <w:style w:type="character" w:customStyle="1" w:styleId="OutlineNumbered1Char">
    <w:name w:val="Outline Numbered 1 Char"/>
    <w:link w:val="OutlineNumbered1"/>
    <w:locked/>
    <w:rsid w:val="00BB7E75"/>
    <w:rPr>
      <w:rFonts w:ascii="Calibri" w:hAnsi="Calibri"/>
      <w:sz w:val="24"/>
      <w:szCs w:val="22"/>
      <w:lang w:eastAsia="en-US"/>
    </w:rPr>
  </w:style>
  <w:style w:type="paragraph" w:customStyle="1" w:styleId="OutlineNumbered2">
    <w:name w:val="Outline Numbered 2"/>
    <w:basedOn w:val="Normal"/>
    <w:rsid w:val="00BB7E75"/>
    <w:pPr>
      <w:numPr>
        <w:ilvl w:val="1"/>
        <w:numId w:val="6"/>
      </w:numPr>
      <w:spacing w:before="120" w:after="120" w:line="276" w:lineRule="auto"/>
    </w:pPr>
    <w:rPr>
      <w:rFonts w:ascii="Calibri" w:eastAsia="Times New Roman" w:hAnsi="Calibri"/>
      <w:sz w:val="24"/>
      <w:szCs w:val="22"/>
    </w:rPr>
  </w:style>
  <w:style w:type="paragraph" w:customStyle="1" w:styleId="OutlineNumbered3">
    <w:name w:val="Outline Numbered 3"/>
    <w:basedOn w:val="Normal"/>
    <w:rsid w:val="00BB7E75"/>
    <w:pPr>
      <w:numPr>
        <w:ilvl w:val="2"/>
        <w:numId w:val="6"/>
      </w:numPr>
      <w:spacing w:before="120" w:after="120" w:line="276" w:lineRule="auto"/>
    </w:pPr>
    <w:rPr>
      <w:rFonts w:ascii="Calibri" w:eastAsia="Times New Roman" w:hAnsi="Calibri"/>
      <w:sz w:val="24"/>
      <w:szCs w:val="22"/>
    </w:rPr>
  </w:style>
  <w:style w:type="paragraph" w:styleId="Revision">
    <w:name w:val="Revision"/>
    <w:hidden/>
    <w:uiPriority w:val="99"/>
    <w:semiHidden/>
    <w:rsid w:val="00BB7E75"/>
    <w:rPr>
      <w:rFonts w:ascii="Calibri" w:hAnsi="Calibri"/>
      <w:sz w:val="22"/>
      <w:szCs w:val="22"/>
      <w:lang w:eastAsia="en-US"/>
    </w:rPr>
  </w:style>
  <w:style w:type="paragraph" w:customStyle="1" w:styleId="CABNETParagraph">
    <w:name w:val="CABNET Paragraph"/>
    <w:basedOn w:val="Normal"/>
    <w:link w:val="CABNETParagraphChar"/>
    <w:qFormat/>
    <w:rsid w:val="00BB7E75"/>
    <w:pPr>
      <w:spacing w:before="120" w:after="120" w:line="240" w:lineRule="auto"/>
    </w:pPr>
    <w:rPr>
      <w:rFonts w:ascii="Verdana" w:eastAsia="Times New Roman" w:hAnsi="Verdana"/>
      <w:sz w:val="24"/>
      <w:szCs w:val="22"/>
    </w:rPr>
  </w:style>
  <w:style w:type="character" w:customStyle="1" w:styleId="CABNETParagraphChar">
    <w:name w:val="CABNET Paragraph Char"/>
    <w:link w:val="CABNETParagraph"/>
    <w:locked/>
    <w:rsid w:val="00BB7E75"/>
    <w:rPr>
      <w:rFonts w:ascii="Verdana" w:hAnsi="Verdana"/>
      <w:sz w:val="24"/>
      <w:szCs w:val="22"/>
      <w:lang w:eastAsia="en-US"/>
    </w:rPr>
  </w:style>
  <w:style w:type="character" w:styleId="Strong">
    <w:name w:val="Strong"/>
    <w:qFormat/>
    <w:rsid w:val="00BB7E75"/>
    <w:rPr>
      <w:rFonts w:cs="Times New Roman"/>
      <w:b/>
      <w:bCs/>
    </w:rPr>
  </w:style>
  <w:style w:type="paragraph" w:customStyle="1" w:styleId="Default">
    <w:name w:val="Default"/>
    <w:rsid w:val="00BB7E75"/>
    <w:pPr>
      <w:autoSpaceDE w:val="0"/>
      <w:autoSpaceDN w:val="0"/>
      <w:adjustRightInd w:val="0"/>
    </w:pPr>
    <w:rPr>
      <w:color w:val="000000"/>
      <w:sz w:val="24"/>
      <w:szCs w:val="24"/>
    </w:rPr>
  </w:style>
  <w:style w:type="paragraph" w:customStyle="1" w:styleId="RegPara">
    <w:name w:val="RegPara"/>
    <w:basedOn w:val="Default"/>
    <w:next w:val="Default"/>
    <w:uiPriority w:val="99"/>
    <w:rsid w:val="00BB7E75"/>
    <w:rPr>
      <w:color w:val="auto"/>
    </w:rPr>
  </w:style>
  <w:style w:type="character" w:styleId="FollowedHyperlink">
    <w:name w:val="FollowedHyperlink"/>
    <w:unhideWhenUsed/>
    <w:rsid w:val="00BB7E75"/>
    <w:rPr>
      <w:rFonts w:cs="Times New Roman"/>
      <w:color w:val="800080"/>
      <w:u w:val="single"/>
    </w:rPr>
  </w:style>
  <w:style w:type="paragraph" w:customStyle="1" w:styleId="TableNormal1">
    <w:name w:val="Table Normal1"/>
    <w:basedOn w:val="Normal"/>
    <w:uiPriority w:val="99"/>
    <w:rsid w:val="00BB7E75"/>
    <w:pPr>
      <w:spacing w:before="40" w:line="240" w:lineRule="exact"/>
    </w:pPr>
    <w:rPr>
      <w:rFonts w:ascii="Arial" w:eastAsia="Times New Roman" w:hAnsi="Arial"/>
      <w:sz w:val="20"/>
      <w:szCs w:val="24"/>
    </w:rPr>
  </w:style>
  <w:style w:type="numbering" w:customStyle="1" w:styleId="CABNETList">
    <w:name w:val="CABNET List"/>
    <w:rsid w:val="00BB7E75"/>
    <w:pPr>
      <w:numPr>
        <w:numId w:val="7"/>
      </w:numPr>
    </w:pPr>
  </w:style>
  <w:style w:type="numbering" w:styleId="ArticleSection">
    <w:name w:val="Outline List 3"/>
    <w:basedOn w:val="NoList"/>
    <w:unhideWhenUsed/>
    <w:rsid w:val="00BB7E75"/>
    <w:pPr>
      <w:numPr>
        <w:numId w:val="8"/>
      </w:numPr>
    </w:pPr>
  </w:style>
  <w:style w:type="character" w:customStyle="1" w:styleId="tl">
    <w:name w:val="tl"/>
    <w:rsid w:val="00BB7E75"/>
  </w:style>
  <w:style w:type="paragraph" w:customStyle="1" w:styleId="Normal1">
    <w:name w:val="Normal 1"/>
    <w:rsid w:val="00BB7E75"/>
    <w:pPr>
      <w:spacing w:after="240" w:line="300" w:lineRule="exact"/>
    </w:pPr>
    <w:rPr>
      <w:rFonts w:ascii="Arial" w:hAnsi="Arial" w:cs="Arial"/>
      <w:sz w:val="22"/>
      <w:lang w:eastAsia="en-US"/>
    </w:rPr>
  </w:style>
  <w:style w:type="character" w:customStyle="1" w:styleId="subtitle1">
    <w:name w:val="subtitle1"/>
    <w:basedOn w:val="DefaultParagraphFont"/>
    <w:rsid w:val="00BB7E75"/>
    <w:rPr>
      <w:b/>
      <w:bCs/>
      <w:color w:val="D12B2C"/>
      <w:sz w:val="23"/>
      <w:szCs w:val="23"/>
    </w:rPr>
  </w:style>
  <w:style w:type="paragraph" w:customStyle="1" w:styleId="HeaderBoldEven">
    <w:name w:val="HeaderBoldEven"/>
    <w:basedOn w:val="Normal"/>
    <w:rsid w:val="00BB7E75"/>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BB7E75"/>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BB7E75"/>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BB7E75"/>
    <w:pPr>
      <w:spacing w:line="240" w:lineRule="auto"/>
    </w:pPr>
    <w:rPr>
      <w:rFonts w:ascii="Arial" w:eastAsia="Times New Roman" w:hAnsi="Arial"/>
      <w:sz w:val="12"/>
      <w:szCs w:val="24"/>
      <w:lang w:eastAsia="en-AU"/>
    </w:rPr>
  </w:style>
  <w:style w:type="numbering" w:styleId="111111">
    <w:name w:val="Outline List 2"/>
    <w:basedOn w:val="NoList"/>
    <w:rsid w:val="00BB7E75"/>
    <w:pPr>
      <w:numPr>
        <w:numId w:val="9"/>
      </w:numPr>
    </w:pPr>
  </w:style>
  <w:style w:type="numbering" w:styleId="1ai">
    <w:name w:val="Outline List 1"/>
    <w:basedOn w:val="NoList"/>
    <w:rsid w:val="00BB7E75"/>
    <w:pPr>
      <w:numPr>
        <w:numId w:val="10"/>
      </w:numPr>
    </w:pPr>
  </w:style>
  <w:style w:type="character" w:styleId="HTMLAcronym">
    <w:name w:val="HTML Acronym"/>
    <w:basedOn w:val="DefaultParagraphFont"/>
    <w:rsid w:val="00BB7E75"/>
  </w:style>
  <w:style w:type="character" w:styleId="HTMLCite">
    <w:name w:val="HTML Cite"/>
    <w:basedOn w:val="DefaultParagraphFont"/>
    <w:rsid w:val="00BB7E75"/>
    <w:rPr>
      <w:i/>
      <w:iCs/>
    </w:rPr>
  </w:style>
  <w:style w:type="character" w:styleId="HTMLCode">
    <w:name w:val="HTML Code"/>
    <w:basedOn w:val="DefaultParagraphFont"/>
    <w:rsid w:val="00BB7E75"/>
    <w:rPr>
      <w:rFonts w:ascii="Courier New" w:hAnsi="Courier New" w:cs="Courier New"/>
      <w:sz w:val="20"/>
      <w:szCs w:val="20"/>
    </w:rPr>
  </w:style>
  <w:style w:type="character" w:styleId="HTMLDefinition">
    <w:name w:val="HTML Definition"/>
    <w:basedOn w:val="DefaultParagraphFont"/>
    <w:rsid w:val="00BB7E75"/>
    <w:rPr>
      <w:i/>
      <w:iCs/>
    </w:rPr>
  </w:style>
  <w:style w:type="character" w:styleId="HTMLKeyboard">
    <w:name w:val="HTML Keyboard"/>
    <w:basedOn w:val="DefaultParagraphFont"/>
    <w:rsid w:val="00BB7E75"/>
    <w:rPr>
      <w:rFonts w:ascii="Courier New" w:hAnsi="Courier New" w:cs="Courier New"/>
      <w:sz w:val="20"/>
      <w:szCs w:val="20"/>
    </w:rPr>
  </w:style>
  <w:style w:type="character" w:styleId="HTMLSample">
    <w:name w:val="HTML Sample"/>
    <w:basedOn w:val="DefaultParagraphFont"/>
    <w:rsid w:val="00BB7E75"/>
    <w:rPr>
      <w:rFonts w:ascii="Courier New" w:hAnsi="Courier New" w:cs="Courier New"/>
    </w:rPr>
  </w:style>
  <w:style w:type="character" w:styleId="HTMLTypewriter">
    <w:name w:val="HTML Typewriter"/>
    <w:basedOn w:val="DefaultParagraphFont"/>
    <w:rsid w:val="00BB7E75"/>
    <w:rPr>
      <w:rFonts w:ascii="Courier New" w:hAnsi="Courier New" w:cs="Courier New"/>
      <w:sz w:val="20"/>
      <w:szCs w:val="20"/>
    </w:rPr>
  </w:style>
  <w:style w:type="character" w:styleId="HTMLVariable">
    <w:name w:val="HTML Variable"/>
    <w:basedOn w:val="DefaultParagraphFont"/>
    <w:rsid w:val="00BB7E75"/>
    <w:rPr>
      <w:i/>
      <w:iCs/>
    </w:rPr>
  </w:style>
  <w:style w:type="table" w:styleId="Table3Deffects1">
    <w:name w:val="Table 3D effects 1"/>
    <w:basedOn w:val="TableNormal"/>
    <w:rsid w:val="00BB7E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7E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7E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7E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7E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7E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7E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7E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7E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7E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7E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7E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7E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7E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7E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7E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7E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7E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7E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7E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7E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7E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7E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7E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7E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7E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7E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7E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7E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7E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7E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B7E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7E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7E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7E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7E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7E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7E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7E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B7E75"/>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BB7E75"/>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BB7E75"/>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BB7E75"/>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BB7E75"/>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BB7E75"/>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BB7E75"/>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BB7E75"/>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BB7E75"/>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BB7E75"/>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BB7E75"/>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BB7E75"/>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BB7E75"/>
  </w:style>
  <w:style w:type="character" w:customStyle="1" w:styleId="CharSchPTText">
    <w:name w:val="CharSchPTText"/>
    <w:basedOn w:val="DefaultParagraphFont"/>
    <w:rsid w:val="00BB7E75"/>
  </w:style>
  <w:style w:type="paragraph" w:customStyle="1" w:styleId="ContentsHead">
    <w:name w:val="ContentsHead"/>
    <w:basedOn w:val="Normal"/>
    <w:next w:val="Normal"/>
    <w:rsid w:val="00BB7E75"/>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BB7E75"/>
    <w:pPr>
      <w:spacing w:line="240" w:lineRule="auto"/>
    </w:pPr>
    <w:rPr>
      <w:rFonts w:eastAsia="Times New Roman"/>
      <w:sz w:val="24"/>
      <w:szCs w:val="24"/>
      <w:lang w:eastAsia="en-AU"/>
    </w:rPr>
  </w:style>
  <w:style w:type="paragraph" w:customStyle="1" w:styleId="DD">
    <w:name w:val="DD"/>
    <w:aliases w:val="Dictionary Definition"/>
    <w:basedOn w:val="Normal"/>
    <w:rsid w:val="00BB7E75"/>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BB7E75"/>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BB7E75"/>
    <w:pPr>
      <w:spacing w:line="240" w:lineRule="auto"/>
    </w:pPr>
    <w:rPr>
      <w:rFonts w:eastAsia="Times New Roman"/>
      <w:sz w:val="24"/>
      <w:szCs w:val="24"/>
      <w:lang w:eastAsia="en-AU"/>
    </w:rPr>
  </w:style>
  <w:style w:type="paragraph" w:customStyle="1" w:styleId="DNote">
    <w:name w:val="DNote"/>
    <w:aliases w:val="DictionaryNote"/>
    <w:basedOn w:val="Normal"/>
    <w:rsid w:val="00BB7E75"/>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BB7E75"/>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BB7E75"/>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BB7E75"/>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BB7E75"/>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HC">
    <w:name w:val="HC"/>
    <w:aliases w:val="Chapter Heading,Sch"/>
    <w:basedOn w:val="Normal"/>
    <w:next w:val="Normal"/>
    <w:rsid w:val="00BB7E75"/>
    <w:pPr>
      <w:keepNext/>
      <w:keepLines/>
      <w:pageBreakBefore/>
      <w:spacing w:before="480" w:line="240" w:lineRule="auto"/>
      <w:ind w:left="2410" w:hanging="2410"/>
    </w:pPr>
    <w:rPr>
      <w:rFonts w:ascii="Arial" w:eastAsia="Times New Roman" w:hAnsi="Arial"/>
      <w:b/>
      <w:sz w:val="40"/>
      <w:szCs w:val="24"/>
      <w:lang w:eastAsia="en-AU"/>
    </w:rPr>
  </w:style>
  <w:style w:type="paragraph" w:customStyle="1" w:styleId="HD">
    <w:name w:val="HD"/>
    <w:aliases w:val="Division Heading"/>
    <w:basedOn w:val="Normal"/>
    <w:next w:val="HR"/>
    <w:rsid w:val="00BB7E75"/>
    <w:pPr>
      <w:keepNext/>
      <w:keepLines/>
      <w:spacing w:before="360" w:line="240" w:lineRule="auto"/>
      <w:ind w:left="2410" w:hanging="2410"/>
    </w:pPr>
    <w:rPr>
      <w:rFonts w:ascii="Arial" w:eastAsia="Times New Roman" w:hAnsi="Arial"/>
      <w:b/>
      <w:sz w:val="28"/>
      <w:szCs w:val="24"/>
      <w:lang w:eastAsia="en-AU"/>
    </w:rPr>
  </w:style>
  <w:style w:type="paragraph" w:customStyle="1" w:styleId="HE">
    <w:name w:val="HE"/>
    <w:aliases w:val="Example heading"/>
    <w:basedOn w:val="Normal"/>
    <w:next w:val="ExampleBody"/>
    <w:rsid w:val="00BB7E75"/>
    <w:pPr>
      <w:keepNext/>
      <w:spacing w:before="120" w:line="220" w:lineRule="exact"/>
      <w:ind w:left="964"/>
    </w:pPr>
    <w:rPr>
      <w:rFonts w:eastAsia="Times New Roman"/>
      <w:i/>
      <w:sz w:val="20"/>
      <w:szCs w:val="24"/>
      <w:lang w:eastAsia="en-AU"/>
    </w:rPr>
  </w:style>
  <w:style w:type="paragraph" w:customStyle="1" w:styleId="HP">
    <w:name w:val="HP"/>
    <w:aliases w:val="Part Heading"/>
    <w:basedOn w:val="Normal"/>
    <w:next w:val="HD"/>
    <w:rsid w:val="00BB7E75"/>
    <w:pPr>
      <w:keepNext/>
      <w:keepLines/>
      <w:spacing w:before="360" w:line="240" w:lineRule="auto"/>
      <w:ind w:left="2410" w:hanging="2410"/>
    </w:pPr>
    <w:rPr>
      <w:rFonts w:ascii="Arial" w:eastAsia="Times New Roman" w:hAnsi="Arial"/>
      <w:b/>
      <w:sz w:val="32"/>
      <w:szCs w:val="24"/>
      <w:lang w:eastAsia="en-AU"/>
    </w:rPr>
  </w:style>
  <w:style w:type="paragraph" w:customStyle="1" w:styleId="HS">
    <w:name w:val="HS"/>
    <w:aliases w:val="Subdiv Heading"/>
    <w:basedOn w:val="Normal"/>
    <w:next w:val="HR"/>
    <w:rsid w:val="00BB7E75"/>
    <w:pPr>
      <w:keepNext/>
      <w:keepLines/>
      <w:spacing w:before="360" w:line="240" w:lineRule="auto"/>
      <w:ind w:left="2410" w:hanging="2410"/>
    </w:pPr>
    <w:rPr>
      <w:rFonts w:ascii="Arial" w:eastAsia="Times New Roman" w:hAnsi="Arial"/>
      <w:b/>
      <w:sz w:val="24"/>
      <w:szCs w:val="24"/>
      <w:lang w:eastAsia="en-AU"/>
    </w:rPr>
  </w:style>
  <w:style w:type="paragraph" w:customStyle="1" w:styleId="HSR">
    <w:name w:val="HSR"/>
    <w:aliases w:val="Subregulation Heading,HSS"/>
    <w:basedOn w:val="Normal"/>
    <w:next w:val="Normal"/>
    <w:rsid w:val="00BB7E75"/>
    <w:pPr>
      <w:keepNext/>
      <w:spacing w:before="300" w:line="240" w:lineRule="auto"/>
      <w:ind w:left="964"/>
    </w:pPr>
    <w:rPr>
      <w:rFonts w:ascii="Arial" w:eastAsia="Times New Roman" w:hAnsi="Arial"/>
      <w:i/>
      <w:sz w:val="24"/>
      <w:szCs w:val="24"/>
      <w:lang w:eastAsia="en-AU"/>
    </w:rPr>
  </w:style>
  <w:style w:type="paragraph" w:customStyle="1" w:styleId="Lt">
    <w:name w:val="Lt"/>
    <w:aliases w:val="Long title"/>
    <w:basedOn w:val="Normal"/>
    <w:rsid w:val="00BB7E75"/>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BB7E75"/>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BB7E75"/>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BB7E75"/>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BB7E75"/>
    <w:pPr>
      <w:spacing w:line="240" w:lineRule="auto"/>
    </w:pPr>
    <w:rPr>
      <w:rFonts w:eastAsia="Times New Roman"/>
      <w:sz w:val="24"/>
      <w:szCs w:val="24"/>
      <w:lang w:eastAsia="en-AU"/>
    </w:rPr>
  </w:style>
  <w:style w:type="paragraph" w:customStyle="1" w:styleId="Maker">
    <w:name w:val="Maker"/>
    <w:basedOn w:val="Normal"/>
    <w:rsid w:val="00BB7E75"/>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BB7E75"/>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BB7E75"/>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BB7E75"/>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BB7E75"/>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BB7E75"/>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BB7E75"/>
    <w:pPr>
      <w:keepLines/>
      <w:spacing w:before="120" w:line="220" w:lineRule="exact"/>
      <w:ind w:left="964"/>
      <w:jc w:val="both"/>
    </w:pPr>
    <w:rPr>
      <w:rFonts w:eastAsia="Times New Roman"/>
      <w:sz w:val="20"/>
      <w:szCs w:val="24"/>
      <w:lang w:eastAsia="en-AU"/>
    </w:rPr>
  </w:style>
  <w:style w:type="paragraph" w:customStyle="1" w:styleId="Notepara0">
    <w:name w:val="Note para"/>
    <w:basedOn w:val="Normal"/>
    <w:rsid w:val="00BB7E75"/>
    <w:pPr>
      <w:keepLines/>
      <w:spacing w:before="60" w:line="220" w:lineRule="exact"/>
      <w:ind w:left="1304" w:hanging="340"/>
      <w:jc w:val="both"/>
    </w:pPr>
    <w:rPr>
      <w:rFonts w:eastAsia="Times New Roman"/>
      <w:sz w:val="20"/>
      <w:szCs w:val="24"/>
      <w:lang w:eastAsia="en-AU"/>
    </w:rPr>
  </w:style>
  <w:style w:type="paragraph" w:customStyle="1" w:styleId="NotesSectionBreak">
    <w:name w:val="NotesSectionBreak"/>
    <w:basedOn w:val="Normal"/>
    <w:next w:val="Normal"/>
    <w:rsid w:val="00BB7E75"/>
    <w:pPr>
      <w:spacing w:line="240" w:lineRule="auto"/>
    </w:pPr>
    <w:rPr>
      <w:rFonts w:eastAsia="Times New Roman"/>
      <w:sz w:val="24"/>
      <w:szCs w:val="24"/>
      <w:lang w:eastAsia="en-AU"/>
    </w:rPr>
  </w:style>
  <w:style w:type="paragraph" w:customStyle="1" w:styleId="P2">
    <w:name w:val="P2"/>
    <w:aliases w:val="(i)"/>
    <w:basedOn w:val="Normal"/>
    <w:rsid w:val="00BB7E75"/>
    <w:pPr>
      <w:keepLines/>
      <w:tabs>
        <w:tab w:val="right" w:pos="1758"/>
        <w:tab w:val="left" w:pos="2155"/>
      </w:tabs>
      <w:spacing w:before="60" w:line="260" w:lineRule="exact"/>
      <w:ind w:left="1985" w:hanging="1985"/>
      <w:jc w:val="both"/>
    </w:pPr>
    <w:rPr>
      <w:rFonts w:eastAsia="Times New Roman"/>
      <w:sz w:val="24"/>
      <w:szCs w:val="24"/>
      <w:lang w:eastAsia="en-AU"/>
    </w:rPr>
  </w:style>
  <w:style w:type="paragraph" w:customStyle="1" w:styleId="P3">
    <w:name w:val="P3"/>
    <w:aliases w:val="(A)"/>
    <w:basedOn w:val="Normal"/>
    <w:rsid w:val="00BB7E75"/>
    <w:pPr>
      <w:tabs>
        <w:tab w:val="right" w:pos="2410"/>
      </w:tabs>
      <w:spacing w:before="60" w:line="260" w:lineRule="exact"/>
      <w:ind w:left="2693" w:hanging="2693"/>
      <w:jc w:val="both"/>
    </w:pPr>
    <w:rPr>
      <w:rFonts w:eastAsia="Times New Roman"/>
      <w:sz w:val="24"/>
      <w:szCs w:val="24"/>
      <w:lang w:eastAsia="en-AU"/>
    </w:rPr>
  </w:style>
  <w:style w:type="paragraph" w:customStyle="1" w:styleId="P4">
    <w:name w:val="P4"/>
    <w:aliases w:val="(I)"/>
    <w:basedOn w:val="Normal"/>
    <w:rsid w:val="00BB7E75"/>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BB7E75"/>
    <w:pPr>
      <w:spacing w:before="180" w:line="260" w:lineRule="exact"/>
      <w:ind w:left="964" w:hanging="964"/>
      <w:jc w:val="both"/>
    </w:pPr>
    <w:rPr>
      <w:rFonts w:eastAsia="Times New Roman"/>
      <w:b/>
      <w:i/>
      <w:sz w:val="24"/>
      <w:szCs w:val="24"/>
      <w:lang w:eastAsia="en-AU"/>
    </w:rPr>
  </w:style>
  <w:style w:type="paragraph" w:customStyle="1" w:styleId="ReadersGuideSectionBreak">
    <w:name w:val="ReadersGuideSectionBreak"/>
    <w:basedOn w:val="Normal"/>
    <w:next w:val="Normal"/>
    <w:rsid w:val="00BB7E75"/>
    <w:pPr>
      <w:spacing w:line="240" w:lineRule="auto"/>
    </w:pPr>
    <w:rPr>
      <w:rFonts w:eastAsia="Times New Roman"/>
      <w:sz w:val="24"/>
      <w:szCs w:val="24"/>
      <w:lang w:eastAsia="en-AU"/>
    </w:rPr>
  </w:style>
  <w:style w:type="paragraph" w:customStyle="1" w:styleId="RGHead">
    <w:name w:val="RGHead"/>
    <w:basedOn w:val="Normal"/>
    <w:next w:val="Normal"/>
    <w:rsid w:val="00BB7E75"/>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BB7E75"/>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BB7E75"/>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BB7E75"/>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BB7E75"/>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BB7E75"/>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BB7E75"/>
  </w:style>
  <w:style w:type="character" w:customStyle="1" w:styleId="CharSchText">
    <w:name w:val="CharSchText"/>
    <w:basedOn w:val="DefaultParagraphFont"/>
    <w:rsid w:val="00BB7E75"/>
  </w:style>
  <w:style w:type="paragraph" w:customStyle="1" w:styleId="IntroP1a">
    <w:name w:val="IntroP1(a)"/>
    <w:basedOn w:val="Normal"/>
    <w:rsid w:val="00BB7E75"/>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BB7E75"/>
  </w:style>
  <w:style w:type="character" w:customStyle="1" w:styleId="CharAmSchPTText">
    <w:name w:val="CharAmSchPTText"/>
    <w:basedOn w:val="DefaultParagraphFont"/>
    <w:rsid w:val="00BB7E75"/>
  </w:style>
  <w:style w:type="paragraph" w:customStyle="1" w:styleId="Footerinfo0">
    <w:name w:val="Footerinfo"/>
    <w:basedOn w:val="Footer"/>
    <w:rsid w:val="00BB7E75"/>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BB7E75"/>
    <w:pPr>
      <w:jc w:val="left"/>
    </w:pPr>
  </w:style>
  <w:style w:type="paragraph" w:customStyle="1" w:styleId="FooterPageOdd">
    <w:name w:val="FooterPageOdd"/>
    <w:basedOn w:val="Footer"/>
    <w:rsid w:val="00BB7E75"/>
    <w:pPr>
      <w:tabs>
        <w:tab w:val="clear" w:pos="4153"/>
        <w:tab w:val="clear" w:pos="8306"/>
        <w:tab w:val="center" w:pos="3600"/>
        <w:tab w:val="right" w:pos="7201"/>
      </w:tabs>
      <w:spacing w:before="20"/>
      <w:jc w:val="right"/>
    </w:pPr>
    <w:rPr>
      <w:rFonts w:ascii="Arial" w:hAnsi="Arial"/>
      <w:sz w:val="24"/>
      <w:szCs w:val="18"/>
    </w:rPr>
  </w:style>
  <w:style w:type="paragraph" w:customStyle="1" w:styleId="SchedSectionBreak">
    <w:name w:val="SchedSectionBreak"/>
    <w:basedOn w:val="Normal"/>
    <w:next w:val="Normal"/>
    <w:rsid w:val="00BB7E75"/>
    <w:pPr>
      <w:spacing w:line="240" w:lineRule="auto"/>
    </w:pPr>
    <w:rPr>
      <w:rFonts w:eastAsia="Times New Roman"/>
      <w:sz w:val="24"/>
      <w:szCs w:val="24"/>
      <w:lang w:eastAsia="en-AU"/>
    </w:rPr>
  </w:style>
  <w:style w:type="paragraph" w:customStyle="1" w:styleId="ScheduleHeading">
    <w:name w:val="Schedule Heading"/>
    <w:basedOn w:val="Normal"/>
    <w:next w:val="Normal"/>
    <w:rsid w:val="00BB7E75"/>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BB7E75"/>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BB7E75"/>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BB7E75"/>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BB7E75"/>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BB7E75"/>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BB7E75"/>
    <w:pPr>
      <w:spacing w:line="240" w:lineRule="auto"/>
    </w:pPr>
    <w:rPr>
      <w:rFonts w:eastAsia="Times New Roman"/>
      <w:sz w:val="24"/>
      <w:szCs w:val="24"/>
      <w:lang w:eastAsia="en-AU"/>
    </w:rPr>
  </w:style>
  <w:style w:type="paragraph" w:customStyle="1" w:styleId="SRNo">
    <w:name w:val="SRNo"/>
    <w:basedOn w:val="Normal"/>
    <w:next w:val="Normal"/>
    <w:rsid w:val="00BB7E75"/>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BB7E75"/>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BB7E75"/>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BB7E75"/>
    <w:pPr>
      <w:tabs>
        <w:tab w:val="right" w:pos="408"/>
      </w:tabs>
      <w:spacing w:after="60" w:line="240" w:lineRule="exact"/>
      <w:ind w:left="533" w:hanging="533"/>
    </w:pPr>
    <w:rPr>
      <w:rFonts w:eastAsia="Times New Roman"/>
      <w:sz w:val="24"/>
      <w:szCs w:val="24"/>
      <w:lang w:eastAsia="en-AU"/>
    </w:rPr>
  </w:style>
  <w:style w:type="paragraph" w:customStyle="1" w:styleId="TableP2i">
    <w:name w:val="TableP2(i)"/>
    <w:basedOn w:val="Normal"/>
    <w:rsid w:val="00BB7E75"/>
    <w:pPr>
      <w:tabs>
        <w:tab w:val="right" w:pos="726"/>
      </w:tabs>
      <w:spacing w:after="60" w:line="240" w:lineRule="exact"/>
      <w:ind w:left="868" w:hanging="868"/>
    </w:pPr>
    <w:rPr>
      <w:rFonts w:eastAsia="Times New Roman"/>
      <w:sz w:val="24"/>
      <w:szCs w:val="24"/>
      <w:lang w:eastAsia="en-AU"/>
    </w:rPr>
  </w:style>
  <w:style w:type="paragraph" w:customStyle="1" w:styleId="TOC">
    <w:name w:val="TOC"/>
    <w:basedOn w:val="Normal"/>
    <w:next w:val="Normal"/>
    <w:rsid w:val="00BB7E75"/>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BB7E75"/>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BB7E75"/>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BB7E75"/>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BB7E75"/>
    <w:pPr>
      <w:keepNext/>
    </w:pPr>
  </w:style>
  <w:style w:type="paragraph" w:customStyle="1" w:styleId="ZA3">
    <w:name w:val="ZA3"/>
    <w:basedOn w:val="A3"/>
    <w:rsid w:val="00BB7E75"/>
    <w:pPr>
      <w:keepNext/>
    </w:pPr>
  </w:style>
  <w:style w:type="paragraph" w:customStyle="1" w:styleId="ZA4">
    <w:name w:val="ZA4"/>
    <w:basedOn w:val="Normal"/>
    <w:next w:val="A4"/>
    <w:rsid w:val="00BB7E75"/>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BB7E75"/>
    <w:pPr>
      <w:keepNext/>
    </w:pPr>
  </w:style>
  <w:style w:type="paragraph" w:customStyle="1" w:styleId="Zdefinition">
    <w:name w:val="Zdefinition"/>
    <w:basedOn w:val="definition"/>
    <w:rsid w:val="00BB7E75"/>
    <w:pPr>
      <w:keepNext/>
    </w:pPr>
  </w:style>
  <w:style w:type="paragraph" w:customStyle="1" w:styleId="ZDP1">
    <w:name w:val="ZDP1"/>
    <w:basedOn w:val="DP1a"/>
    <w:rsid w:val="00BB7E75"/>
    <w:pPr>
      <w:keepNext/>
    </w:pPr>
  </w:style>
  <w:style w:type="paragraph" w:customStyle="1" w:styleId="ZExampleBody">
    <w:name w:val="ZExample Body"/>
    <w:basedOn w:val="ExampleBody"/>
    <w:rsid w:val="00BB7E75"/>
    <w:pPr>
      <w:keepNext/>
    </w:pPr>
  </w:style>
  <w:style w:type="paragraph" w:customStyle="1" w:styleId="ZNote">
    <w:name w:val="ZNote"/>
    <w:basedOn w:val="Note"/>
    <w:rsid w:val="00BB7E75"/>
    <w:pPr>
      <w:keepNext/>
    </w:pPr>
  </w:style>
  <w:style w:type="paragraph" w:customStyle="1" w:styleId="ZP1">
    <w:name w:val="ZP1"/>
    <w:basedOn w:val="P1"/>
    <w:rsid w:val="00BB7E75"/>
    <w:pPr>
      <w:keepNext/>
    </w:pPr>
  </w:style>
  <w:style w:type="paragraph" w:customStyle="1" w:styleId="ZP2">
    <w:name w:val="ZP2"/>
    <w:basedOn w:val="P2"/>
    <w:rsid w:val="00BB7E75"/>
    <w:pPr>
      <w:keepNext/>
    </w:pPr>
  </w:style>
  <w:style w:type="paragraph" w:customStyle="1" w:styleId="ZP3">
    <w:name w:val="ZP3"/>
    <w:basedOn w:val="P3"/>
    <w:rsid w:val="00BB7E75"/>
    <w:pPr>
      <w:keepNext/>
    </w:pPr>
  </w:style>
  <w:style w:type="paragraph" w:customStyle="1" w:styleId="ZR1">
    <w:name w:val="ZR1"/>
    <w:basedOn w:val="R1"/>
    <w:rsid w:val="00BB7E75"/>
    <w:pPr>
      <w:keepNext/>
    </w:pPr>
  </w:style>
  <w:style w:type="paragraph" w:customStyle="1" w:styleId="ZR2">
    <w:name w:val="ZR2"/>
    <w:basedOn w:val="R2"/>
    <w:rsid w:val="00BB7E75"/>
    <w:pPr>
      <w:keepNext/>
    </w:pPr>
  </w:style>
  <w:style w:type="paragraph" w:customStyle="1" w:styleId="ZRcN">
    <w:name w:val="ZRcN"/>
    <w:basedOn w:val="Rc"/>
    <w:rsid w:val="00BB7E75"/>
    <w:pPr>
      <w:keepNext/>
    </w:pPr>
  </w:style>
  <w:style w:type="character" w:customStyle="1" w:styleId="TitleSuperscript">
    <w:name w:val="TitleSuperscript"/>
    <w:basedOn w:val="DefaultParagraphFont"/>
    <w:rsid w:val="00BB7E75"/>
    <w:rPr>
      <w:rFonts w:ascii="Arial" w:hAnsi="Arial"/>
      <w:position w:val="6"/>
      <w:sz w:val="24"/>
      <w:szCs w:val="24"/>
      <w:vertAlign w:val="superscript"/>
    </w:rPr>
  </w:style>
  <w:style w:type="paragraph" w:customStyle="1" w:styleId="top1">
    <w:name w:val="top1"/>
    <w:basedOn w:val="Normal"/>
    <w:rsid w:val="00BB7E75"/>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BB7E75"/>
    <w:pPr>
      <w:tabs>
        <w:tab w:val="left" w:pos="3686"/>
        <w:tab w:val="right" w:pos="7082"/>
      </w:tabs>
      <w:spacing w:before="80" w:line="240" w:lineRule="auto"/>
      <w:ind w:left="2410" w:hanging="1871"/>
    </w:pPr>
    <w:rPr>
      <w:rFonts w:ascii="Arial" w:eastAsia="Times New Roman" w:hAnsi="Arial"/>
      <w:b/>
      <w:sz w:val="18"/>
      <w:szCs w:val="24"/>
    </w:rPr>
  </w:style>
  <w:style w:type="paragraph" w:customStyle="1" w:styleId="top3">
    <w:name w:val="top3"/>
    <w:basedOn w:val="Normal"/>
    <w:rsid w:val="00BB7E75"/>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BB7E75"/>
    <w:rPr>
      <w:b w:val="0"/>
      <w:i/>
    </w:rPr>
  </w:style>
  <w:style w:type="paragraph" w:customStyle="1" w:styleId="tmain0">
    <w:name w:val="tmain"/>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tpara0">
    <w:name w:val="tpara"/>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notepara1">
    <w:name w:val="notepara"/>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h5section0">
    <w:name w:val="h5section"/>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equation">
    <w:name w:val="equation"/>
    <w:basedOn w:val="Normal"/>
    <w:rsid w:val="00BB7E75"/>
    <w:pPr>
      <w:tabs>
        <w:tab w:val="left" w:pos="1134"/>
        <w:tab w:val="left" w:pos="1701"/>
        <w:tab w:val="center" w:pos="9072"/>
      </w:tabs>
      <w:spacing w:line="240" w:lineRule="auto"/>
    </w:pPr>
    <w:rPr>
      <w:rFonts w:eastAsia="MS Mincho"/>
      <w:sz w:val="24"/>
      <w:szCs w:val="22"/>
      <w:lang w:val="es-ES_tradnl"/>
    </w:rPr>
  </w:style>
  <w:style w:type="paragraph" w:customStyle="1" w:styleId="tabletext1">
    <w:name w:val="tabletext"/>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BB7E75"/>
    <w:pPr>
      <w:spacing w:before="80" w:after="100" w:line="260" w:lineRule="exact"/>
      <w:ind w:left="964"/>
      <w:jc w:val="both"/>
    </w:pPr>
    <w:rPr>
      <w:rFonts w:eastAsiaTheme="minorHAnsi" w:cstheme="minorBidi"/>
      <w:sz w:val="24"/>
      <w:szCs w:val="22"/>
    </w:rPr>
  </w:style>
  <w:style w:type="paragraph" w:customStyle="1" w:styleId="HSec">
    <w:name w:val="HSec"/>
    <w:basedOn w:val="Heading5"/>
    <w:next w:val="Normal"/>
    <w:uiPriority w:val="99"/>
    <w:rsid w:val="00BB7E75"/>
    <w:pPr>
      <w:numPr>
        <w:ilvl w:val="0"/>
        <w:numId w:val="0"/>
      </w:numPr>
      <w:spacing w:before="360" w:after="60" w:line="276" w:lineRule="auto"/>
      <w:ind w:left="964" w:hanging="964"/>
    </w:pPr>
    <w:rPr>
      <w:rFonts w:eastAsia="Times New Roman" w:cs="Times New Roman"/>
      <w:sz w:val="24"/>
    </w:rPr>
  </w:style>
  <w:style w:type="paragraph" w:customStyle="1" w:styleId="Notequery">
    <w:name w:val="Note query"/>
    <w:basedOn w:val="Normal"/>
    <w:qFormat/>
    <w:rsid w:val="00BB7E75"/>
    <w:pPr>
      <w:spacing w:before="80" w:after="80" w:line="276" w:lineRule="auto"/>
    </w:pPr>
    <w:rPr>
      <w:rFonts w:eastAsiaTheme="minorHAnsi" w:cstheme="minorBidi"/>
      <w:color w:val="0070C0"/>
      <w:sz w:val="24"/>
      <w:szCs w:val="22"/>
    </w:rPr>
  </w:style>
  <w:style w:type="paragraph" w:customStyle="1" w:styleId="NoteSec">
    <w:name w:val="Note Sec"/>
    <w:basedOn w:val="Normal"/>
    <w:qFormat/>
    <w:rsid w:val="00BB7E75"/>
    <w:pPr>
      <w:keepLines/>
      <w:spacing w:before="120" w:after="200" w:line="220" w:lineRule="exact"/>
      <w:jc w:val="both"/>
    </w:pPr>
    <w:rPr>
      <w:rFonts w:eastAsiaTheme="minorHAnsi" w:cstheme="minorBidi"/>
      <w:sz w:val="20"/>
      <w:szCs w:val="22"/>
    </w:rPr>
  </w:style>
  <w:style w:type="paragraph" w:customStyle="1" w:styleId="NoteSS">
    <w:name w:val="Note SS"/>
    <w:basedOn w:val="Normal"/>
    <w:qFormat/>
    <w:rsid w:val="00BB7E75"/>
    <w:pPr>
      <w:keepLines/>
      <w:spacing w:before="120" w:after="200" w:line="220" w:lineRule="exact"/>
      <w:ind w:left="964"/>
      <w:jc w:val="both"/>
    </w:pPr>
    <w:rPr>
      <w:rFonts w:eastAsiaTheme="minorHAnsi" w:cstheme="minorBidi"/>
      <w:sz w:val="20"/>
      <w:szCs w:val="22"/>
    </w:rPr>
  </w:style>
  <w:style w:type="paragraph" w:customStyle="1" w:styleId="Subsec">
    <w:name w:val="Subsec"/>
    <w:basedOn w:val="Normal"/>
    <w:uiPriority w:val="99"/>
    <w:rsid w:val="00BB7E75"/>
    <w:pPr>
      <w:keepLines/>
      <w:tabs>
        <w:tab w:val="right" w:pos="794"/>
      </w:tabs>
      <w:spacing w:before="80" w:after="100" w:line="260" w:lineRule="exact"/>
      <w:ind w:left="964" w:hanging="964"/>
      <w:jc w:val="both"/>
    </w:pPr>
    <w:rPr>
      <w:rFonts w:eastAsiaTheme="minorHAnsi" w:cstheme="minorBidi"/>
      <w:sz w:val="24"/>
      <w:szCs w:val="22"/>
    </w:rPr>
  </w:style>
  <w:style w:type="paragraph" w:customStyle="1" w:styleId="Green">
    <w:name w:val="Green"/>
    <w:basedOn w:val="Normal"/>
    <w:qFormat/>
    <w:rsid w:val="00BB7E75"/>
    <w:pPr>
      <w:spacing w:before="80" w:after="80" w:line="276" w:lineRule="auto"/>
    </w:pPr>
    <w:rPr>
      <w:rFonts w:ascii="Arial" w:eastAsiaTheme="minorHAnsi" w:hAnsi="Arial" w:cstheme="minorBidi"/>
      <w:b/>
      <w:color w:val="00B050"/>
      <w:sz w:val="20"/>
      <w:szCs w:val="22"/>
    </w:rPr>
  </w:style>
  <w:style w:type="paragraph" w:customStyle="1" w:styleId="ldclauseheading">
    <w:name w:val="ldclauseheading"/>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BB7E75"/>
    <w:pPr>
      <w:spacing w:before="100" w:beforeAutospacing="1" w:after="100" w:afterAutospacing="1" w:line="240" w:lineRule="auto"/>
    </w:pPr>
    <w:rPr>
      <w:rFonts w:eastAsia="Times New Roman"/>
      <w:sz w:val="24"/>
      <w:szCs w:val="24"/>
      <w:lang w:eastAsia="en-AU"/>
    </w:rPr>
  </w:style>
  <w:style w:type="character" w:customStyle="1" w:styleId="CompDate">
    <w:name w:val="CompDate"/>
    <w:basedOn w:val="DefaultParagraphFont"/>
    <w:uiPriority w:val="1"/>
    <w:qFormat/>
    <w:rsid w:val="00BB7E75"/>
    <w:rPr>
      <w:rFonts w:cs="Arial"/>
      <w:b/>
      <w:color w:val="008000"/>
    </w:rPr>
  </w:style>
  <w:style w:type="character" w:customStyle="1" w:styleId="RegDate">
    <w:name w:val="RegDate"/>
    <w:basedOn w:val="DefaultParagraphFont"/>
    <w:uiPriority w:val="1"/>
    <w:qFormat/>
    <w:rsid w:val="00BB7E75"/>
    <w:rPr>
      <w:rFonts w:cs="Arial"/>
      <w:color w:val="008000"/>
    </w:rPr>
  </w:style>
  <w:style w:type="character" w:customStyle="1" w:styleId="legsubtitle1">
    <w:name w:val="legsubtitle1"/>
    <w:basedOn w:val="DefaultParagraphFont"/>
    <w:rsid w:val="00BB7E75"/>
    <w:rPr>
      <w:rFonts w:ascii="Helvetica Neue" w:hAnsi="Helvetica Neue" w:hint="default"/>
      <w:b/>
      <w:bCs/>
      <w:sz w:val="28"/>
      <w:szCs w:val="28"/>
    </w:rPr>
  </w:style>
  <w:style w:type="character" w:customStyle="1" w:styleId="FRLIreg">
    <w:name w:val="FRLI_reg"/>
    <w:basedOn w:val="DefaultParagraphFont"/>
    <w:uiPriority w:val="1"/>
    <w:qFormat/>
    <w:rsid w:val="00BB7E75"/>
    <w:rPr>
      <w:color w:val="008000"/>
    </w:rPr>
  </w:style>
  <w:style w:type="character" w:customStyle="1" w:styleId="FRLIregpar">
    <w:name w:val="FRLI_reg_par"/>
    <w:basedOn w:val="FRLIreg"/>
    <w:uiPriority w:val="1"/>
    <w:qFormat/>
    <w:rsid w:val="00BB7E75"/>
    <w:rPr>
      <w:color w:val="auto"/>
    </w:rPr>
  </w:style>
  <w:style w:type="table" w:customStyle="1" w:styleId="TableGrid10">
    <w:name w:val="Table Grid1"/>
    <w:basedOn w:val="TableNormal"/>
    <w:next w:val="TableGrid"/>
    <w:uiPriority w:val="59"/>
    <w:rsid w:val="00BB7E7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15BFF"/>
    <w:rPr>
      <w:sz w:val="24"/>
      <w:szCs w:val="24"/>
    </w:rPr>
  </w:style>
  <w:style w:type="character" w:customStyle="1" w:styleId="NoteHeadingChar1">
    <w:name w:val="Note Heading Char1"/>
    <w:aliases w:val="HN Char1"/>
    <w:basedOn w:val="DefaultParagraphFont"/>
    <w:semiHidden/>
    <w:rsid w:val="00E15BFF"/>
    <w:rPr>
      <w:rFonts w:eastAsia="Calibri"/>
      <w:sz w:val="22"/>
      <w:lang w:eastAsia="en-US"/>
    </w:rPr>
  </w:style>
  <w:style w:type="paragraph" w:customStyle="1" w:styleId="DecimalAligned">
    <w:name w:val="Decimal Aligned"/>
    <w:basedOn w:val="Normal"/>
    <w:uiPriority w:val="40"/>
    <w:qFormat/>
    <w:rsid w:val="00E15BFF"/>
    <w:pPr>
      <w:tabs>
        <w:tab w:val="decimal" w:pos="360"/>
      </w:tabs>
      <w:spacing w:after="200" w:line="276" w:lineRule="auto"/>
    </w:pPr>
    <w:rPr>
      <w:rFonts w:asciiTheme="minorHAnsi" w:eastAsiaTheme="minorEastAsia" w:hAnsiTheme="minorHAnsi"/>
      <w:szCs w:val="22"/>
      <w:lang w:val="en-US"/>
    </w:rPr>
  </w:style>
  <w:style w:type="character" w:styleId="SubtleEmphasis">
    <w:name w:val="Subtle Emphasis"/>
    <w:basedOn w:val="DefaultParagraphFont"/>
    <w:uiPriority w:val="19"/>
    <w:qFormat/>
    <w:rsid w:val="00E15BFF"/>
    <w:rPr>
      <w:i/>
      <w:iCs/>
    </w:rPr>
  </w:style>
  <w:style w:type="table" w:styleId="LightShading-Accent1">
    <w:name w:val="Light Shading Accent 1"/>
    <w:basedOn w:val="TableNormal"/>
    <w:uiPriority w:val="60"/>
    <w:semiHidden/>
    <w:unhideWhenUsed/>
    <w:rsid w:val="00E15BFF"/>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ERbullets">
    <w:name w:val="CER bullets"/>
    <w:basedOn w:val="Normal"/>
    <w:link w:val="CERbulletsChar"/>
    <w:uiPriority w:val="7"/>
    <w:qFormat/>
    <w:locked/>
    <w:rsid w:val="00E52C94"/>
    <w:pPr>
      <w:numPr>
        <w:numId w:val="25"/>
      </w:numPr>
      <w:spacing w:before="120" w:after="120" w:line="240" w:lineRule="auto"/>
    </w:pPr>
    <w:rPr>
      <w:rFonts w:asciiTheme="minorHAnsi" w:eastAsia="Cambria" w:hAnsiTheme="minorHAnsi" w:cstheme="minorHAnsi"/>
      <w:szCs w:val="24"/>
    </w:rPr>
  </w:style>
  <w:style w:type="character" w:customStyle="1" w:styleId="CERbulletsChar">
    <w:name w:val="CER bullets Char"/>
    <w:basedOn w:val="DefaultParagraphFont"/>
    <w:link w:val="CERbullets"/>
    <w:uiPriority w:val="7"/>
    <w:rsid w:val="00E52C94"/>
    <w:rPr>
      <w:rFonts w:asciiTheme="minorHAnsi" w:eastAsia="Cambria" w:hAnsiTheme="minorHAnsi" w:cstheme="minorHAnsi"/>
      <w:sz w:val="22"/>
      <w:szCs w:val="24"/>
      <w:lang w:eastAsia="en-US"/>
    </w:rPr>
  </w:style>
  <w:style w:type="character" w:customStyle="1" w:styleId="UnresolvedMention1">
    <w:name w:val="Unresolved Mention1"/>
    <w:basedOn w:val="DefaultParagraphFont"/>
    <w:uiPriority w:val="99"/>
    <w:semiHidden/>
    <w:unhideWhenUsed/>
    <w:rsid w:val="00714BEC"/>
    <w:rPr>
      <w:color w:val="605E5C"/>
      <w:shd w:val="clear" w:color="auto" w:fill="E1DFDD"/>
    </w:rPr>
  </w:style>
  <w:style w:type="character" w:customStyle="1" w:styleId="notetextChar">
    <w:name w:val="note(text) Char"/>
    <w:aliases w:val="n Char"/>
    <w:basedOn w:val="DefaultParagraphFont"/>
    <w:link w:val="nMain"/>
    <w:locked/>
    <w:rsid w:val="00B848F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99827">
      <w:bodyDiv w:val="1"/>
      <w:marLeft w:val="0"/>
      <w:marRight w:val="0"/>
      <w:marTop w:val="0"/>
      <w:marBottom w:val="0"/>
      <w:divBdr>
        <w:top w:val="none" w:sz="0" w:space="0" w:color="auto"/>
        <w:left w:val="none" w:sz="0" w:space="0" w:color="auto"/>
        <w:bottom w:val="none" w:sz="0" w:space="0" w:color="auto"/>
        <w:right w:val="none" w:sz="0" w:space="0" w:color="auto"/>
      </w:divBdr>
      <w:divsChild>
        <w:div w:id="7023339">
          <w:marLeft w:val="0"/>
          <w:marRight w:val="0"/>
          <w:marTop w:val="0"/>
          <w:marBottom w:val="0"/>
          <w:divBdr>
            <w:top w:val="none" w:sz="0" w:space="0" w:color="auto"/>
            <w:left w:val="none" w:sz="0" w:space="0" w:color="auto"/>
            <w:bottom w:val="none" w:sz="0" w:space="0" w:color="auto"/>
            <w:right w:val="none" w:sz="0" w:space="0" w:color="auto"/>
          </w:divBdr>
          <w:divsChild>
            <w:div w:id="167643814">
              <w:marLeft w:val="0"/>
              <w:marRight w:val="0"/>
              <w:marTop w:val="0"/>
              <w:marBottom w:val="0"/>
              <w:divBdr>
                <w:top w:val="none" w:sz="0" w:space="0" w:color="auto"/>
                <w:left w:val="none" w:sz="0" w:space="0" w:color="auto"/>
                <w:bottom w:val="none" w:sz="0" w:space="0" w:color="auto"/>
                <w:right w:val="none" w:sz="0" w:space="0" w:color="auto"/>
              </w:divBdr>
              <w:divsChild>
                <w:div w:id="477649583">
                  <w:marLeft w:val="0"/>
                  <w:marRight w:val="0"/>
                  <w:marTop w:val="0"/>
                  <w:marBottom w:val="0"/>
                  <w:divBdr>
                    <w:top w:val="none" w:sz="0" w:space="0" w:color="auto"/>
                    <w:left w:val="none" w:sz="0" w:space="0" w:color="auto"/>
                    <w:bottom w:val="none" w:sz="0" w:space="0" w:color="auto"/>
                    <w:right w:val="none" w:sz="0" w:space="0" w:color="auto"/>
                  </w:divBdr>
                  <w:divsChild>
                    <w:div w:id="429860547">
                      <w:marLeft w:val="0"/>
                      <w:marRight w:val="0"/>
                      <w:marTop w:val="0"/>
                      <w:marBottom w:val="0"/>
                      <w:divBdr>
                        <w:top w:val="none" w:sz="0" w:space="0" w:color="auto"/>
                        <w:left w:val="none" w:sz="0" w:space="0" w:color="auto"/>
                        <w:bottom w:val="none" w:sz="0" w:space="0" w:color="auto"/>
                        <w:right w:val="none" w:sz="0" w:space="0" w:color="auto"/>
                      </w:divBdr>
                      <w:divsChild>
                        <w:div w:id="995692819">
                          <w:marLeft w:val="0"/>
                          <w:marRight w:val="0"/>
                          <w:marTop w:val="0"/>
                          <w:marBottom w:val="0"/>
                          <w:divBdr>
                            <w:top w:val="none" w:sz="0" w:space="0" w:color="auto"/>
                            <w:left w:val="none" w:sz="0" w:space="0" w:color="auto"/>
                            <w:bottom w:val="none" w:sz="0" w:space="0" w:color="auto"/>
                            <w:right w:val="none" w:sz="0" w:space="0" w:color="auto"/>
                          </w:divBdr>
                          <w:divsChild>
                            <w:div w:id="1469543063">
                              <w:marLeft w:val="0"/>
                              <w:marRight w:val="0"/>
                              <w:marTop w:val="0"/>
                              <w:marBottom w:val="0"/>
                              <w:divBdr>
                                <w:top w:val="none" w:sz="0" w:space="0" w:color="auto"/>
                                <w:left w:val="none" w:sz="0" w:space="0" w:color="auto"/>
                                <w:bottom w:val="none" w:sz="0" w:space="0" w:color="auto"/>
                                <w:right w:val="none" w:sz="0" w:space="0" w:color="auto"/>
                              </w:divBdr>
                              <w:divsChild>
                                <w:div w:id="81027948">
                                  <w:marLeft w:val="0"/>
                                  <w:marRight w:val="0"/>
                                  <w:marTop w:val="0"/>
                                  <w:marBottom w:val="0"/>
                                  <w:divBdr>
                                    <w:top w:val="none" w:sz="0" w:space="0" w:color="auto"/>
                                    <w:left w:val="none" w:sz="0" w:space="0" w:color="auto"/>
                                    <w:bottom w:val="none" w:sz="0" w:space="0" w:color="auto"/>
                                    <w:right w:val="none" w:sz="0" w:space="0" w:color="auto"/>
                                  </w:divBdr>
                                  <w:divsChild>
                                    <w:div w:id="840436146">
                                      <w:marLeft w:val="0"/>
                                      <w:marRight w:val="0"/>
                                      <w:marTop w:val="0"/>
                                      <w:marBottom w:val="0"/>
                                      <w:divBdr>
                                        <w:top w:val="none" w:sz="0" w:space="0" w:color="auto"/>
                                        <w:left w:val="none" w:sz="0" w:space="0" w:color="auto"/>
                                        <w:bottom w:val="none" w:sz="0" w:space="0" w:color="auto"/>
                                        <w:right w:val="none" w:sz="0" w:space="0" w:color="auto"/>
                                      </w:divBdr>
                                      <w:divsChild>
                                        <w:div w:id="848910493">
                                          <w:marLeft w:val="0"/>
                                          <w:marRight w:val="0"/>
                                          <w:marTop w:val="0"/>
                                          <w:marBottom w:val="0"/>
                                          <w:divBdr>
                                            <w:top w:val="none" w:sz="0" w:space="0" w:color="auto"/>
                                            <w:left w:val="none" w:sz="0" w:space="0" w:color="auto"/>
                                            <w:bottom w:val="none" w:sz="0" w:space="0" w:color="auto"/>
                                            <w:right w:val="none" w:sz="0" w:space="0" w:color="auto"/>
                                          </w:divBdr>
                                          <w:divsChild>
                                            <w:div w:id="1865824196">
                                              <w:marLeft w:val="0"/>
                                              <w:marRight w:val="0"/>
                                              <w:marTop w:val="0"/>
                                              <w:marBottom w:val="0"/>
                                              <w:divBdr>
                                                <w:top w:val="none" w:sz="0" w:space="0" w:color="auto"/>
                                                <w:left w:val="none" w:sz="0" w:space="0" w:color="auto"/>
                                                <w:bottom w:val="none" w:sz="0" w:space="0" w:color="auto"/>
                                                <w:right w:val="none" w:sz="0" w:space="0" w:color="auto"/>
                                              </w:divBdr>
                                            </w:div>
                                            <w:div w:id="20050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100098">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386104973">
      <w:bodyDiv w:val="1"/>
      <w:marLeft w:val="0"/>
      <w:marRight w:val="0"/>
      <w:marTop w:val="0"/>
      <w:marBottom w:val="0"/>
      <w:divBdr>
        <w:top w:val="none" w:sz="0" w:space="0" w:color="auto"/>
        <w:left w:val="none" w:sz="0" w:space="0" w:color="auto"/>
        <w:bottom w:val="none" w:sz="0" w:space="0" w:color="auto"/>
        <w:right w:val="none" w:sz="0" w:space="0" w:color="auto"/>
      </w:divBdr>
    </w:div>
    <w:div w:id="476141950">
      <w:bodyDiv w:val="1"/>
      <w:marLeft w:val="0"/>
      <w:marRight w:val="0"/>
      <w:marTop w:val="0"/>
      <w:marBottom w:val="0"/>
      <w:divBdr>
        <w:top w:val="none" w:sz="0" w:space="0" w:color="auto"/>
        <w:left w:val="none" w:sz="0" w:space="0" w:color="auto"/>
        <w:bottom w:val="none" w:sz="0" w:space="0" w:color="auto"/>
        <w:right w:val="none" w:sz="0" w:space="0" w:color="auto"/>
      </w:divBdr>
    </w:div>
    <w:div w:id="574823261">
      <w:bodyDiv w:val="1"/>
      <w:marLeft w:val="0"/>
      <w:marRight w:val="0"/>
      <w:marTop w:val="0"/>
      <w:marBottom w:val="0"/>
      <w:divBdr>
        <w:top w:val="none" w:sz="0" w:space="0" w:color="auto"/>
        <w:left w:val="none" w:sz="0" w:space="0" w:color="auto"/>
        <w:bottom w:val="none" w:sz="0" w:space="0" w:color="auto"/>
        <w:right w:val="none" w:sz="0" w:space="0" w:color="auto"/>
      </w:divBdr>
    </w:div>
    <w:div w:id="619721389">
      <w:bodyDiv w:val="1"/>
      <w:marLeft w:val="0"/>
      <w:marRight w:val="0"/>
      <w:marTop w:val="0"/>
      <w:marBottom w:val="0"/>
      <w:divBdr>
        <w:top w:val="none" w:sz="0" w:space="0" w:color="auto"/>
        <w:left w:val="none" w:sz="0" w:space="0" w:color="auto"/>
        <w:bottom w:val="none" w:sz="0" w:space="0" w:color="auto"/>
        <w:right w:val="none" w:sz="0" w:space="0" w:color="auto"/>
      </w:divBdr>
    </w:div>
    <w:div w:id="706414327">
      <w:bodyDiv w:val="1"/>
      <w:marLeft w:val="0"/>
      <w:marRight w:val="0"/>
      <w:marTop w:val="0"/>
      <w:marBottom w:val="0"/>
      <w:divBdr>
        <w:top w:val="none" w:sz="0" w:space="0" w:color="auto"/>
        <w:left w:val="none" w:sz="0" w:space="0" w:color="auto"/>
        <w:bottom w:val="none" w:sz="0" w:space="0" w:color="auto"/>
        <w:right w:val="none" w:sz="0" w:space="0" w:color="auto"/>
      </w:divBdr>
    </w:div>
    <w:div w:id="777991372">
      <w:bodyDiv w:val="1"/>
      <w:marLeft w:val="0"/>
      <w:marRight w:val="0"/>
      <w:marTop w:val="0"/>
      <w:marBottom w:val="0"/>
      <w:divBdr>
        <w:top w:val="none" w:sz="0" w:space="0" w:color="auto"/>
        <w:left w:val="none" w:sz="0" w:space="0" w:color="auto"/>
        <w:bottom w:val="none" w:sz="0" w:space="0" w:color="auto"/>
        <w:right w:val="none" w:sz="0" w:space="0" w:color="auto"/>
      </w:divBdr>
    </w:div>
    <w:div w:id="825516322">
      <w:bodyDiv w:val="1"/>
      <w:marLeft w:val="0"/>
      <w:marRight w:val="0"/>
      <w:marTop w:val="0"/>
      <w:marBottom w:val="0"/>
      <w:divBdr>
        <w:top w:val="none" w:sz="0" w:space="0" w:color="auto"/>
        <w:left w:val="none" w:sz="0" w:space="0" w:color="auto"/>
        <w:bottom w:val="none" w:sz="0" w:space="0" w:color="auto"/>
        <w:right w:val="none" w:sz="0" w:space="0" w:color="auto"/>
      </w:divBdr>
    </w:div>
    <w:div w:id="886986086">
      <w:bodyDiv w:val="1"/>
      <w:marLeft w:val="0"/>
      <w:marRight w:val="0"/>
      <w:marTop w:val="0"/>
      <w:marBottom w:val="0"/>
      <w:divBdr>
        <w:top w:val="none" w:sz="0" w:space="0" w:color="auto"/>
        <w:left w:val="none" w:sz="0" w:space="0" w:color="auto"/>
        <w:bottom w:val="none" w:sz="0" w:space="0" w:color="auto"/>
        <w:right w:val="none" w:sz="0" w:space="0" w:color="auto"/>
      </w:divBdr>
    </w:div>
    <w:div w:id="964390388">
      <w:bodyDiv w:val="1"/>
      <w:marLeft w:val="0"/>
      <w:marRight w:val="0"/>
      <w:marTop w:val="0"/>
      <w:marBottom w:val="0"/>
      <w:divBdr>
        <w:top w:val="none" w:sz="0" w:space="0" w:color="auto"/>
        <w:left w:val="none" w:sz="0" w:space="0" w:color="auto"/>
        <w:bottom w:val="none" w:sz="0" w:space="0" w:color="auto"/>
        <w:right w:val="none" w:sz="0" w:space="0" w:color="auto"/>
      </w:divBdr>
    </w:div>
    <w:div w:id="972980004">
      <w:bodyDiv w:val="1"/>
      <w:marLeft w:val="0"/>
      <w:marRight w:val="0"/>
      <w:marTop w:val="0"/>
      <w:marBottom w:val="0"/>
      <w:divBdr>
        <w:top w:val="none" w:sz="0" w:space="0" w:color="auto"/>
        <w:left w:val="none" w:sz="0" w:space="0" w:color="auto"/>
        <w:bottom w:val="none" w:sz="0" w:space="0" w:color="auto"/>
        <w:right w:val="none" w:sz="0" w:space="0" w:color="auto"/>
      </w:divBdr>
    </w:div>
    <w:div w:id="989551820">
      <w:bodyDiv w:val="1"/>
      <w:marLeft w:val="0"/>
      <w:marRight w:val="0"/>
      <w:marTop w:val="0"/>
      <w:marBottom w:val="0"/>
      <w:divBdr>
        <w:top w:val="none" w:sz="0" w:space="0" w:color="auto"/>
        <w:left w:val="none" w:sz="0" w:space="0" w:color="auto"/>
        <w:bottom w:val="none" w:sz="0" w:space="0" w:color="auto"/>
        <w:right w:val="none" w:sz="0" w:space="0" w:color="auto"/>
      </w:divBdr>
    </w:div>
    <w:div w:id="1104423233">
      <w:bodyDiv w:val="1"/>
      <w:marLeft w:val="0"/>
      <w:marRight w:val="0"/>
      <w:marTop w:val="0"/>
      <w:marBottom w:val="0"/>
      <w:divBdr>
        <w:top w:val="none" w:sz="0" w:space="0" w:color="auto"/>
        <w:left w:val="none" w:sz="0" w:space="0" w:color="auto"/>
        <w:bottom w:val="none" w:sz="0" w:space="0" w:color="auto"/>
        <w:right w:val="none" w:sz="0" w:space="0" w:color="auto"/>
      </w:divBdr>
    </w:div>
    <w:div w:id="1122915259">
      <w:bodyDiv w:val="1"/>
      <w:marLeft w:val="0"/>
      <w:marRight w:val="0"/>
      <w:marTop w:val="0"/>
      <w:marBottom w:val="0"/>
      <w:divBdr>
        <w:top w:val="none" w:sz="0" w:space="0" w:color="auto"/>
        <w:left w:val="none" w:sz="0" w:space="0" w:color="auto"/>
        <w:bottom w:val="none" w:sz="0" w:space="0" w:color="auto"/>
        <w:right w:val="none" w:sz="0" w:space="0" w:color="auto"/>
      </w:divBdr>
    </w:div>
    <w:div w:id="1208104074">
      <w:bodyDiv w:val="1"/>
      <w:marLeft w:val="0"/>
      <w:marRight w:val="0"/>
      <w:marTop w:val="0"/>
      <w:marBottom w:val="0"/>
      <w:divBdr>
        <w:top w:val="none" w:sz="0" w:space="0" w:color="auto"/>
        <w:left w:val="none" w:sz="0" w:space="0" w:color="auto"/>
        <w:bottom w:val="none" w:sz="0" w:space="0" w:color="auto"/>
        <w:right w:val="none" w:sz="0" w:space="0" w:color="auto"/>
      </w:divBdr>
    </w:div>
    <w:div w:id="1346591630">
      <w:bodyDiv w:val="1"/>
      <w:marLeft w:val="0"/>
      <w:marRight w:val="0"/>
      <w:marTop w:val="0"/>
      <w:marBottom w:val="0"/>
      <w:divBdr>
        <w:top w:val="none" w:sz="0" w:space="0" w:color="auto"/>
        <w:left w:val="none" w:sz="0" w:space="0" w:color="auto"/>
        <w:bottom w:val="none" w:sz="0" w:space="0" w:color="auto"/>
        <w:right w:val="none" w:sz="0" w:space="0" w:color="auto"/>
      </w:divBdr>
    </w:div>
    <w:div w:id="1579945345">
      <w:bodyDiv w:val="1"/>
      <w:marLeft w:val="0"/>
      <w:marRight w:val="0"/>
      <w:marTop w:val="0"/>
      <w:marBottom w:val="0"/>
      <w:divBdr>
        <w:top w:val="none" w:sz="0" w:space="0" w:color="auto"/>
        <w:left w:val="none" w:sz="0" w:space="0" w:color="auto"/>
        <w:bottom w:val="none" w:sz="0" w:space="0" w:color="auto"/>
        <w:right w:val="none" w:sz="0" w:space="0" w:color="auto"/>
      </w:divBdr>
    </w:div>
    <w:div w:id="1671640135">
      <w:bodyDiv w:val="1"/>
      <w:marLeft w:val="0"/>
      <w:marRight w:val="0"/>
      <w:marTop w:val="0"/>
      <w:marBottom w:val="0"/>
      <w:divBdr>
        <w:top w:val="none" w:sz="0" w:space="0" w:color="auto"/>
        <w:left w:val="none" w:sz="0" w:space="0" w:color="auto"/>
        <w:bottom w:val="none" w:sz="0" w:space="0" w:color="auto"/>
        <w:right w:val="none" w:sz="0" w:space="0" w:color="auto"/>
      </w:divBdr>
    </w:div>
    <w:div w:id="2057312956">
      <w:bodyDiv w:val="1"/>
      <w:marLeft w:val="0"/>
      <w:marRight w:val="0"/>
      <w:marTop w:val="0"/>
      <w:marBottom w:val="0"/>
      <w:divBdr>
        <w:top w:val="none" w:sz="0" w:space="0" w:color="auto"/>
        <w:left w:val="none" w:sz="0" w:space="0" w:color="auto"/>
        <w:bottom w:val="none" w:sz="0" w:space="0" w:color="auto"/>
        <w:right w:val="none" w:sz="0" w:space="0" w:color="auto"/>
      </w:divBdr>
    </w:div>
    <w:div w:id="207350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dustry.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positorium.sdum.uminho.pt/bitstream/1822/43883/1/document_44173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Di_DocumentKeywordsTaxHTField0 xmlns="7260d0a5-f3dd-43dd-9bd6-75d69af316ed">
      <Terms xmlns="http://schemas.microsoft.com/office/infopath/2007/PartnerControls"/>
    </EDi_DocumentKeywordsTaxHTField0>
    <CER_FileClassification xmlns="7260D0A5-F3DD-43DD-9BD6-75D69AF316ED">None</CER_FileClassification>
    <CER_ClientTaxHTField0 xmlns="7260d0a5-f3dd-43dd-9bd6-75d69af316ed">
      <Terms xmlns="http://schemas.microsoft.com/office/infopath/2007/PartnerControls"/>
    </CER_ClientTaxHTField0>
    <CER_DocumentGUID xmlns="7260d0a5-f3dd-43dd-9bd6-75d69af316ed">80a17ea1-1afd-476e-bc80-3e58c6823202</CER_DocumentGUID>
    <CER_DLM xmlns="7260D0A5-F3DD-43DD-9BD6-75D69AF316ED">OFFICIAL</CER_DLM>
    <CER_StateTaxHTField0 xmlns="7260d0a5-f3dd-43dd-9bd6-75d69af316ed">
      <Terms xmlns="http://schemas.microsoft.com/office/infopath/2007/PartnerControls"/>
    </CER_StateTaxHTField0>
    <EDi_BCPDocument xmlns="7260d0a5-f3dd-43dd-9bd6-75d69af316ed">No</EDi_BCPDocument>
    <CER_AgencyTaxHTField0 xmlns="7260d0a5-f3dd-43dd-9bd6-75d69af316ed">
      <Terms xmlns="http://schemas.microsoft.com/office/infopath/2007/PartnerControls"/>
    </CER_AgencyTaxHTField0>
    <EDi_RecordNumber xmlns="7260D0A5-F3DD-43DD-9BD6-75D69AF316ED" xsi:nil="true"/>
    <EDi_DocumentDescription xmlns="7260d0a5-f3dd-43dd-9bd6-75d69af316ed">Full name:
Draft Supplement to the Carbon Credits (Carbon Farming Initiative – Animal Effluent Management Biomethane) Methodology Determination Variation 2021 
Final version for public consultation </EDi_DocumentDescription>
    <CER_SchemeTaxHTField0 xmlns="7260d0a5-f3dd-43dd-9bd6-75d69af316ed">
      <Terms xmlns="http://schemas.microsoft.com/office/infopath/2007/PartnerControls"/>
    </CER_SchemeTaxHTField0>
    <CER_FileKeywordsTaxHTField0 xmlns="7260d0a5-f3dd-43dd-9bd6-75d69af316ed">
      <Terms xmlns="http://schemas.microsoft.com/office/infopath/2007/PartnerControls"/>
    </CER_FileKeywordsTaxHTField0>
    <CER_FileStatus xmlns="7260D0A5-F3DD-43DD-9BD6-75D69AF316ED">Open</CER_FileStatus>
    <TaxCatchAll xmlns="d1376ff1-a38b-4761-8f17-e32293523353"/>
    <EDi_VitalDocument xmlns="7260d0a5-f3dd-43dd-9bd6-75d69af316ed">No</EDi_VitalDocument>
    <_dlc_DocId xmlns="d1376ff1-a38b-4761-8f17-e32293523353">CER-00859521</_dlc_DocId>
    <_dlc_DocIdUrl xmlns="d1376ff1-a38b-4761-8f17-e32293523353">
      <Url>https://edi.sp2013.corp.local/Schemes/ERF/Method/Emissions/_layouts/15/DocIdRedir.aspx?ID=CER-00859521</Url>
      <Description>CER-00859521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9B9E0A84ECA55E4493E3DC6C5CDCAB5D" ma:contentTypeVersion="1" ma:contentTypeDescription="Any document other than an email or document link" ma:contentTypeScope="" ma:versionID="ef2b1690b99e6654c011624d474e5fd4">
  <xsd:schema xmlns:xsd="http://www.w3.org/2001/XMLSchema" xmlns:xs="http://www.w3.org/2001/XMLSchema" xmlns:p="http://schemas.microsoft.com/office/2006/metadata/properties" xmlns:ns2="d1376ff1-a38b-4761-8f17-e32293523353" xmlns:ns3="7260d0a5-f3dd-43dd-9bd6-75d69af316ed" xmlns:ns4="7260D0A5-F3DD-43DD-9BD6-75D69AF316ED" targetNamespace="http://schemas.microsoft.com/office/2006/metadata/properties" ma:root="true" ma:fieldsID="8e3baf3bd99ab6a371ef93a47361f3ba" ns2:_="" ns3:_="" ns4:_="">
    <xsd:import namespace="d1376ff1-a38b-4761-8f17-e32293523353"/>
    <xsd:import namespace="7260d0a5-f3dd-43dd-9bd6-75d69af316ed"/>
    <xsd:import namespace="7260D0A5-F3DD-43DD-9BD6-75D69AF316ED"/>
    <xsd:element name="properties">
      <xsd:complexType>
        <xsd:sequence>
          <xsd:element name="documentManagement">
            <xsd:complexType>
              <xsd:all>
                <xsd:element ref="ns2:_dlc_DocId" minOccurs="0"/>
                <xsd:element ref="ns2:_dlc_DocIdUrl" minOccurs="0"/>
                <xsd:element ref="ns2:_dlc_DocIdPersistId" minOccurs="0"/>
                <xsd:element ref="ns3:EDi_DocumentDescription" minOccurs="0"/>
                <xsd:element ref="ns3:EDi_DocumentKeywordsTaxHTField0" minOccurs="0"/>
                <xsd:element ref="ns3:CER_AgencyTaxHTField0" minOccurs="0"/>
                <xsd:element ref="ns3:EDi_VitalDocument" minOccurs="0"/>
                <xsd:element ref="ns3:EDi_BCPDocument" minOccurs="0"/>
                <xsd:element ref="ns4:EDi_RecordNumber" minOccurs="0"/>
                <xsd:element ref="ns3:CER_DocumentGUID" minOccurs="0"/>
                <xsd:element ref="ns3:CER_FileKeywordsTaxHTField0" minOccurs="0"/>
                <xsd:element ref="ns4:CER_DLM" minOccurs="0"/>
                <xsd:element ref="ns4:CER_FileClassification" minOccurs="0"/>
                <xsd:element ref="ns4:CER_FileStatus" minOccurs="0"/>
                <xsd:element ref="ns3:CER_SchemeTaxHTField0" minOccurs="0"/>
                <xsd:element ref="ns3:CER_ClientTaxHTField0" minOccurs="0"/>
                <xsd:element ref="ns3:CER_State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6ff1-a38b-4761-8f17-e322935233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68fc0f23-21fc-45c9-b7db-4b3ff843e30e}" ma:internalName="TaxCatchAll" ma:showField="CatchAllData" ma:web="d1376ff1-a38b-4761-8f17-e32293523353">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68fc0f23-21fc-45c9-b7db-4b3ff843e30e}" ma:internalName="TaxCatchAllLabel" ma:readOnly="true" ma:showField="CatchAllDataLabel" ma:web="d1376ff1-a38b-4761-8f17-e322935233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60d0a5-f3dd-43dd-9bd6-75d69af316ed" elementFormDefault="qualified">
    <xsd:import namespace="http://schemas.microsoft.com/office/2006/documentManagement/types"/>
    <xsd:import namespace="http://schemas.microsoft.com/office/infopath/2007/PartnerControls"/>
    <xsd:element name="EDi_DocumentDescription" ma:index="11" nillable="true" ma:displayName="Document Description" ma:description="Document Description&lt;!-- Field: EDi --&gt;" ma:internalName="EDi_DocumentDescription">
      <xsd:simpleType>
        <xsd:restriction base="dms:Note">
          <xsd:maxLength value="255"/>
        </xsd:restriction>
      </xsd:simpleType>
    </xsd:element>
    <xsd:element name="EDi_DocumentKeywordsTaxHTField0" ma:index="13" nillable="true" ma:taxonomy="true" ma:internalName="EDi_DocumentKeywordsTaxHTField0" ma:taxonomyFieldName="EDi_DocumentKeywords" ma:displayName="Document Keywords" ma:fieldId="{c2757267-43ff-40b1-bd16-afcbde5101e0}"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AgencyTaxHTField0" ma:index="15" nillable="true" ma:taxonomy="true" ma:internalName="CER_AgencyTaxHTField0" ma:taxonomyFieldName="CER_Agency" ma:displayName="Agency" ma:fieldId="{6580224f-57af-48d5-998a-d1d627b3f8a6}" ma:sspId="2d49a156-cc3e-4122-9a1e-a37b6f27c0fb" ma:termSetId="0f908e50-4941-4432-a5bc-5464d577a362" ma:anchorId="00000000-0000-0000-0000-000000000000" ma:open="false" ma:isKeyword="false">
      <xsd:complexType>
        <xsd:sequence>
          <xsd:element ref="pc:Terms" minOccurs="0" maxOccurs="1"/>
        </xsd:sequence>
      </xsd:complexType>
    </xsd:element>
    <xsd:element name="EDi_VitalDocument" ma:index="16" nillable="true" ma:displayName="Vital Document" ma:default="No" ma:description="Is this a vital business document?&lt;!-- Field: EDi --&gt;" ma:format="Dropdown" ma:internalName="EDi_VitalDocument">
      <xsd:simpleType>
        <xsd:restriction base="dms:Choice">
          <xsd:enumeration value="Yes"/>
          <xsd:enumeration value="No"/>
        </xsd:restriction>
      </xsd:simpleType>
    </xsd:element>
    <xsd:element name="EDi_BCPDocument" ma:index="17" nillable="true" ma:displayName="BCP Document" ma:default="No" ma:description="Is this document required as part of the Business Continuity Plan or Disaster Recovery Strategy?&lt;!-- Field: EDi --&gt;" ma:format="Dropdown" ma:internalName="EDi_BCPDocument">
      <xsd:simpleType>
        <xsd:restriction base="dms:Choice">
          <xsd:enumeration value="Yes"/>
          <xsd:enumeration value="No"/>
        </xsd:restriction>
      </xsd:simpleType>
    </xsd:element>
    <xsd:element name="CER_DocumentGUID" ma:index="19" nillable="true" ma:displayName="Document GUID" ma:description="CRM Document GUID" ma:internalName="CER_DocumentGUID">
      <xsd:simpleType>
        <xsd:restriction base="dms:Text"/>
      </xsd:simpleType>
    </xsd:element>
    <xsd:element name="CER_FileKeywordsTaxHTField0" ma:index="21" nillable="true" ma:taxonomy="true" ma:internalName="CER_FileKeywordsTaxHTField0" ma:taxonomyFieldName="CER_FileKeywords" ma:displayName="File Keywords" ma:fieldId="{3fdbf192-cf3e-432b-ae7e-ad6b01437832}"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SchemeTaxHTField0" ma:index="26" nillable="true" ma:taxonomy="true" ma:internalName="CER_SchemeTaxHTField0" ma:taxonomyFieldName="CER_Scheme" ma:displayName="Scheme" ma:fieldId="{fbf5ba16-06af-44cc-8a6b-bbd47132b0ab}" ma:sspId="2d49a156-cc3e-4122-9a1e-a37b6f27c0fb" ma:termSetId="7ff3da5f-6c54-49cc-aabb-e0080ce1ebed" ma:anchorId="00000000-0000-0000-0000-000000000000" ma:open="false" ma:isKeyword="false">
      <xsd:complexType>
        <xsd:sequence>
          <xsd:element ref="pc:Terms" minOccurs="0" maxOccurs="1"/>
        </xsd:sequence>
      </xsd:complexType>
    </xsd:element>
    <xsd:element name="CER_ClientTaxHTField0" ma:index="28" nillable="true" ma:taxonomy="true" ma:internalName="CER_ClientTaxHTField0" ma:taxonomyFieldName="CER_Client" ma:displayName="Client" ma:fieldId="{aa7cfb7b-7c8a-4cdc-88e4-64a139bfbbb5}" ma:sspId="2d49a156-cc3e-4122-9a1e-a37b6f27c0fb" ma:termSetId="19a43a92-e145-45da-907d-30d9c1c24101" ma:anchorId="00000000-0000-0000-0000-000000000000" ma:open="false" ma:isKeyword="false">
      <xsd:complexType>
        <xsd:sequence>
          <xsd:element ref="pc:Terms" minOccurs="0" maxOccurs="1"/>
        </xsd:sequence>
      </xsd:complexType>
    </xsd:element>
    <xsd:element name="CER_StateTaxHTField0" ma:index="30" nillable="true" ma:taxonomy="true" ma:internalName="CER_StateTaxHTField0" ma:taxonomyFieldName="CER_State" ma:displayName="State" ma:fieldId="{01c5c8a5-ed74-4825-af87-6dc81dccc5dd}" ma:sspId="2d49a156-cc3e-4122-9a1e-a37b6f27c0fb" ma:termSetId="a9130a4c-2414-44de-bf19-0a462096b5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60D0A5-F3DD-43DD-9BD6-75D69AF316ED" elementFormDefault="qualified">
    <xsd:import namespace="http://schemas.microsoft.com/office/2006/documentManagement/types"/>
    <xsd:import namespace="http://schemas.microsoft.com/office/infopath/2007/PartnerControls"/>
    <xsd:element name="EDi_RecordNumber" ma:index="18" nillable="true" ma:displayName="Record Number" ma:description="Enter any external reference numbers&#10;One per line. Eg&#10;TRIM CER2015/12345&#10;CRM 12345&#10;RecRegistry 12345" ma:internalName="EDi_RecordNumber">
      <xsd:simpleType>
        <xsd:restriction base="dms:Text"/>
      </xsd:simpleType>
    </xsd:element>
    <xsd:element name="CER_DLM" ma:index="22" nillable="true" ma:displayName="File DLM" ma:description="Select the appropriate Dissemination Limiting Marker (DLM) from this group:&#10;Unofficial;&#10;OFFICIAL;&#10;OFFICIAL: Sensitive;&#10;Legal privilege;&#10;Legislative secrecy;&#10;Personal privacy;&#10;None.&#10;&#10;The following DLMs are being phased out, and should not be used for new files:&#10;For Official Use Only (FOUO);&#10;Sensitive;&#10;Sensitive: Legal;&#10;Sensitive: Personal.&#10;&#10;Sensitive: Cabinet&#10;&lt;!-- Field: File --&gt;"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enumeration value="-- Superseded. Do not use --"/>
          <xsd:enumeration value="For Official Use Only (FOUO)"/>
          <xsd:enumeration value="Sensitive"/>
          <xsd:enumeration value="Sensitive: Legal"/>
          <xsd:enumeration value="Sensitive: Personal"/>
          <xsd:enumeration value="Sensitive: Cabinet"/>
        </xsd:restriction>
      </xsd:simpleType>
    </xsd:element>
    <xsd:element name="CER_FileClassification" ma:index="23"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enumeration value="-- Superseded. Do not use --"/>
          <xsd:enumeration value="Unclassified"/>
        </xsd:restriction>
      </xsd:simpleType>
    </xsd:element>
    <xsd:element name="CER_FileStatus" ma:index="24" nillable="true" ma:displayName="File Status" ma:default="Open" ma:description="&lt;!-- Field: File --&gt;Select the status of the file" ma:format="RadioButtons" ma:internalName="CER_FileStatus">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9E60C-9F74-4FC2-B425-44C436EFDD82}">
  <ds:schemaRefs>
    <ds:schemaRef ds:uri="http://schemas.openxmlformats.org/officeDocument/2006/bibliography"/>
  </ds:schemaRefs>
</ds:datastoreItem>
</file>

<file path=customXml/itemProps2.xml><?xml version="1.0" encoding="utf-8"?>
<ds:datastoreItem xmlns:ds="http://schemas.openxmlformats.org/officeDocument/2006/customXml" ds:itemID="{F6248928-8AF3-46DD-AF74-AF1810ED82E3}">
  <ds:schemaRefs>
    <ds:schemaRef ds:uri="7260D0A5-F3DD-43DD-9BD6-75D69AF316ED"/>
    <ds:schemaRef ds:uri="d1376ff1-a38b-4761-8f17-e32293523353"/>
    <ds:schemaRef ds:uri="7260d0a5-f3dd-43dd-9bd6-75d69af316ed"/>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39E6FD5-77EF-4808-A7BD-2D0B581B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76ff1-a38b-4761-8f17-e32293523353"/>
    <ds:schemaRef ds:uri="7260d0a5-f3dd-43dd-9bd6-75d69af316ed"/>
    <ds:schemaRef ds:uri="7260D0A5-F3DD-43DD-9BD6-75D69AF31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928C0-3A48-476E-A12E-9F8DF90C6818}">
  <ds:schemaRefs>
    <ds:schemaRef ds:uri="http://schemas.microsoft.com/sharepoint/events"/>
  </ds:schemaRefs>
</ds:datastoreItem>
</file>

<file path=customXml/itemProps5.xml><?xml version="1.0" encoding="utf-8"?>
<ds:datastoreItem xmlns:ds="http://schemas.openxmlformats.org/officeDocument/2006/customXml" ds:itemID="{C28C612B-B925-4953-9B69-175027583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6242</Words>
  <Characters>35583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2021-11-01T05:38:00Z</dcterms:created>
  <dcterms:modified xsi:type="dcterms:W3CDTF">2021-11-01T09:38:00Z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0x010100DDEBB6CC12EF4A079B1186EEFE45A56400E924555CC2C9465C9A717C3C430520D5009B9E0A84ECA55E4493E3DC6C5CDCAB5D</vt:lpwstr>
  </property>
  <property fmtid="{D5CDD505-2E9C-101B-9397-08002B2CF9AE}" pid="3" name="CER_Scheme">
    <vt:lpwstr/>
  </property>
  <property fmtid="{D5CDD505-2E9C-101B-9397-08002B2CF9AE}" pid="4" name="CER_FileKeywords">
    <vt:lpwstr/>
  </property>
  <property fmtid="{D5CDD505-2E9C-101B-9397-08002B2CF9AE}" pid="5" name="CER_Client">
    <vt:lpwstr/>
  </property>
  <property fmtid="{D5CDD505-2E9C-101B-9397-08002B2CF9AE}" pid="6" name="CER_State">
    <vt:lpwstr/>
  </property>
  <property fmtid="{D5CDD505-2E9C-101B-9397-08002B2CF9AE}" pid="7" name="_dlc_DocIdItemGuid">
    <vt:lpwstr>4d50207f-8e2b-4474-9eff-ab6c8fb6291a</vt:lpwstr>
  </property>
  <property fmtid="{D5CDD505-2E9C-101B-9397-08002B2CF9AE}" pid="8" name="l5266d70aa4c4810ab958a2db2f21068">
    <vt:lpwstr/>
  </property>
  <property fmtid="{D5CDD505-2E9C-101B-9397-08002B2CF9AE}" pid="9" name="EDi_DocumentKeywords">
    <vt:lpwstr/>
  </property>
  <property fmtid="{D5CDD505-2E9C-101B-9397-08002B2CF9AE}" pid="10" name="CER_Agency">
    <vt:lpwstr/>
  </property>
  <property fmtid="{D5CDD505-2E9C-101B-9397-08002B2CF9AE}" pid="11" name="ERFMethod">
    <vt:lpwstr/>
  </property>
</Properties>
</file>