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59E3E2" w14:textId="77777777" w:rsidR="007E22DF" w:rsidRPr="008539E2" w:rsidRDefault="007E22DF" w:rsidP="000A7ABB">
      <w:pPr>
        <w:pStyle w:val="E3Title"/>
      </w:pPr>
      <w:bookmarkStart w:id="0" w:name="_GoBack"/>
      <w:bookmarkEnd w:id="0"/>
      <w:r w:rsidRPr="008539E2">
        <w:rPr>
          <w:noProof/>
          <w:lang w:eastAsia="en-AU"/>
        </w:rPr>
        <mc:AlternateContent>
          <mc:Choice Requires="wps">
            <w:drawing>
              <wp:inline distT="0" distB="0" distL="0" distR="0" wp14:anchorId="131DD4B6" wp14:editId="7A760455">
                <wp:extent cx="6158865" cy="1717040"/>
                <wp:effectExtent l="0" t="0" r="0" b="10160"/>
                <wp:docPr id="1" name="Text Box 1"/>
                <wp:cNvGraphicFramePr/>
                <a:graphic xmlns:a="http://schemas.openxmlformats.org/drawingml/2006/main">
                  <a:graphicData uri="http://schemas.microsoft.com/office/word/2010/wordprocessingShape">
                    <wps:wsp>
                      <wps:cNvSpPr txBox="1"/>
                      <wps:spPr>
                        <a:xfrm>
                          <a:off x="0" y="0"/>
                          <a:ext cx="6158865" cy="1717040"/>
                        </a:xfrm>
                        <a:prstGeom prst="rect">
                          <a:avLst/>
                        </a:prstGeom>
                        <a:noFill/>
                        <a:ln>
                          <a:noFill/>
                        </a:ln>
                        <a:effectLst/>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BF6B749" w14:textId="266E8B1C" w:rsidR="00066C8C" w:rsidRDefault="0090708C" w:rsidP="000A7ABB">
                            <w:pPr>
                              <w:pStyle w:val="E3Title"/>
                            </w:pPr>
                            <w:r>
                              <w:t xml:space="preserve">Public Consultation Paper: </w:t>
                            </w:r>
                            <w:r w:rsidR="004E4F17">
                              <w:t xml:space="preserve">Review of </w:t>
                            </w:r>
                            <w:r w:rsidR="006B6142">
                              <w:t xml:space="preserve">the </w:t>
                            </w:r>
                            <w:r w:rsidR="00C229EF">
                              <w:t xml:space="preserve">GEMS </w:t>
                            </w:r>
                            <w:r w:rsidR="006B6142">
                              <w:t xml:space="preserve">Computer Monitors </w:t>
                            </w:r>
                            <w:r w:rsidR="004E4F17">
                              <w:t>Determination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31DD4B6" id="_x0000_t202" coordsize="21600,21600" o:spt="202" path="m,l,21600r21600,l21600,xe">
                <v:stroke joinstyle="miter"/>
                <v:path gradientshapeok="t" o:connecttype="rect"/>
              </v:shapetype>
              <v:shape id="Text Box 1" o:spid="_x0000_s1026" type="#_x0000_t202" style="width:484.95pt;height:13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" filled="f" stroked="f">
                <v:textbox>
                  <w:txbxContent>
                    <w:p w14:paraId="7BF6B749" w14:textId="266E8B1C" w:rsidR="00066C8C" w:rsidRDefault="0090708C" w:rsidP="000A7ABB">
                      <w:pPr>
                        <w:pStyle w:val="E3Title"/>
                      </w:pPr>
                      <w:r>
                        <w:t xml:space="preserve">Public Consultation Paper: </w:t>
                      </w:r>
                      <w:r w:rsidR="004E4F17">
                        <w:t xml:space="preserve">Review of </w:t>
                      </w:r>
                      <w:r w:rsidR="006B6142">
                        <w:t xml:space="preserve">the </w:t>
                      </w:r>
                      <w:r w:rsidR="00C229EF">
                        <w:t xml:space="preserve">GEMS </w:t>
                      </w:r>
                      <w:r w:rsidR="006B6142">
                        <w:t xml:space="preserve">Computer Monitors </w:t>
                      </w:r>
                      <w:r w:rsidR="004E4F17">
                        <w:t>Determination</w:t>
                      </w:r>
                    </w:p>
                  </w:txbxContent>
                </v:textbox>
                <w10:anchorlock/>
              </v:shape>
            </w:pict>
          </mc:Fallback>
        </mc:AlternateContent>
      </w:r>
    </w:p>
    <w:p w14:paraId="2B8844F9" w14:textId="77777777" w:rsidR="007E22DF" w:rsidRPr="008539E2" w:rsidRDefault="007E22DF" w:rsidP="00ED5DCA">
      <w:pPr>
        <w:pStyle w:val="E3Subtitle"/>
      </w:pPr>
      <w:bookmarkStart w:id="1" w:name="_Toc297565335"/>
      <w:bookmarkStart w:id="2" w:name="_Toc297565841"/>
    </w:p>
    <w:p w14:paraId="25CABF47" w14:textId="77777777" w:rsidR="007E22DF" w:rsidRPr="008539E2" w:rsidRDefault="007E22DF" w:rsidP="00ED5DCA">
      <w:pPr>
        <w:pStyle w:val="E3Subtitle"/>
      </w:pPr>
    </w:p>
    <w:p w14:paraId="6E18D0D2" w14:textId="77777777" w:rsidR="007E22DF" w:rsidRPr="008539E2" w:rsidRDefault="007E22DF" w:rsidP="00ED5DCA">
      <w:pPr>
        <w:pStyle w:val="E3Subtitle"/>
      </w:pPr>
    </w:p>
    <w:p w14:paraId="490FF3D0" w14:textId="77777777" w:rsidR="007E22DF" w:rsidRPr="008539E2" w:rsidRDefault="007E22DF" w:rsidP="00ED5DCA">
      <w:pPr>
        <w:pStyle w:val="E3Subtitle"/>
      </w:pPr>
    </w:p>
    <w:p w14:paraId="04093F38" w14:textId="77777777" w:rsidR="007E22DF" w:rsidRPr="008539E2" w:rsidRDefault="007E22DF" w:rsidP="00ED5DCA">
      <w:pPr>
        <w:pStyle w:val="E3Subtitle"/>
      </w:pPr>
    </w:p>
    <w:p w14:paraId="71CAF3D9" w14:textId="77777777" w:rsidR="007E22DF" w:rsidRPr="008539E2" w:rsidRDefault="007E22DF" w:rsidP="00ED5DCA">
      <w:pPr>
        <w:pStyle w:val="E3Subtitle"/>
      </w:pPr>
    </w:p>
    <w:p w14:paraId="11F9C7FE" w14:textId="77777777" w:rsidR="007E22DF" w:rsidRPr="008539E2" w:rsidRDefault="007E22DF" w:rsidP="00ED5DCA">
      <w:pPr>
        <w:pStyle w:val="E3Subtitle"/>
      </w:pPr>
    </w:p>
    <w:bookmarkEnd w:id="1"/>
    <w:bookmarkEnd w:id="2"/>
    <w:p w14:paraId="367A0E00" w14:textId="77777777" w:rsidR="007E22DF" w:rsidRPr="008539E2" w:rsidRDefault="007E22DF" w:rsidP="000A7ABB">
      <w:pPr>
        <w:pStyle w:val="E3InternalCoverPage"/>
      </w:pPr>
      <w:r w:rsidRPr="008539E2">
        <w:rPr>
          <w:noProof/>
          <w:lang w:eastAsia="en-AU"/>
        </w:rPr>
        <mc:AlternateContent>
          <mc:Choice Requires="wps">
            <w:drawing>
              <wp:inline distT="0" distB="0" distL="0" distR="0" wp14:anchorId="1C913641" wp14:editId="09DB1B62">
                <wp:extent cx="5580380" cy="932943"/>
                <wp:effectExtent l="0" t="0" r="0" b="6985"/>
                <wp:docPr id="8" name="Text Box 8"/>
                <wp:cNvGraphicFramePr/>
                <a:graphic xmlns:a="http://schemas.openxmlformats.org/drawingml/2006/main">
                  <a:graphicData uri="http://schemas.microsoft.com/office/word/2010/wordprocessingShape">
                    <wps:wsp>
                      <wps:cNvSpPr txBox="1"/>
                      <wps:spPr>
                        <a:xfrm>
                          <a:off x="0" y="0"/>
                          <a:ext cx="5580380" cy="932943"/>
                        </a:xfrm>
                        <a:prstGeom prst="rect">
                          <a:avLst/>
                        </a:prstGeom>
                        <a:noFill/>
                        <a:ln>
                          <a:noFill/>
                        </a:ln>
                        <a:effectLst/>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203B8B3" w14:textId="017EB81F" w:rsidR="00066C8C" w:rsidRDefault="0090708C" w:rsidP="00FA58C1">
                            <w:pPr>
                              <w:pStyle w:val="E3Subtitle"/>
                            </w:pPr>
                            <w:r>
                              <w:t xml:space="preserve">Public Consultation Paper: </w:t>
                            </w:r>
                            <w:r w:rsidR="004E4F17">
                              <w:t xml:space="preserve">Review of </w:t>
                            </w:r>
                            <w:r w:rsidR="006B6142">
                              <w:t xml:space="preserve">the </w:t>
                            </w:r>
                            <w:r w:rsidR="00C229EF">
                              <w:t xml:space="preserve">GEMS </w:t>
                            </w:r>
                            <w:r w:rsidR="006B6142">
                              <w:t>Computer Monitors</w:t>
                            </w:r>
                            <w:r w:rsidR="00C229EF">
                              <w:t xml:space="preserve"> </w:t>
                            </w:r>
                            <w:r w:rsidR="004E4F17">
                              <w:t>Determination</w:t>
                            </w:r>
                          </w:p>
                          <w:p w14:paraId="63D16E76" w14:textId="255F167A" w:rsidR="00066C8C" w:rsidRDefault="00931A55" w:rsidP="00FA58C1">
                            <w:pPr>
                              <w:pStyle w:val="E3Subtitle"/>
                            </w:pPr>
                            <w:r>
                              <w:t>November</w:t>
                            </w:r>
                            <w:r w:rsidR="00FE3165">
                              <w:t xml:space="preserve"> 2021</w:t>
                            </w:r>
                          </w:p>
                          <w:p w14:paraId="748790FD" w14:textId="75154847" w:rsidR="00066C8C" w:rsidRDefault="004E4F17" w:rsidP="00FA58C1">
                            <w:pPr>
                              <w:pStyle w:val="E3Subtitle"/>
                            </w:pPr>
                            <w:r>
                              <w:t>July</w:t>
                            </w:r>
                            <w:r w:rsidR="00066C8C">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C913641" id="Text Box 8" o:spid="_x0000_s1027" type="#_x0000_t202" style="width:439.4pt;height:7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" filled="f" stroked="f">
                <v:textbox>
                  <w:txbxContent>
                    <w:p w14:paraId="0203B8B3" w14:textId="017EB81F" w:rsidR="00066C8C" w:rsidRDefault="0090708C" w:rsidP="00FA58C1">
                      <w:pPr>
                        <w:pStyle w:val="E3Subtitle"/>
                      </w:pPr>
                      <w:r>
                        <w:t xml:space="preserve">Public Consultation Paper: </w:t>
                      </w:r>
                      <w:r w:rsidR="004E4F17">
                        <w:t xml:space="preserve">Review of </w:t>
                      </w:r>
                      <w:r w:rsidR="006B6142">
                        <w:t xml:space="preserve">the </w:t>
                      </w:r>
                      <w:r w:rsidR="00C229EF">
                        <w:t xml:space="preserve">GEMS </w:t>
                      </w:r>
                      <w:r w:rsidR="006B6142">
                        <w:t>Computer Monitors</w:t>
                      </w:r>
                      <w:r w:rsidR="00C229EF">
                        <w:t xml:space="preserve"> </w:t>
                      </w:r>
                      <w:r w:rsidR="004E4F17">
                        <w:t>Determination</w:t>
                      </w:r>
                    </w:p>
                    <w:p w14:paraId="63D16E76" w14:textId="255F167A" w:rsidR="00066C8C" w:rsidRDefault="00931A55" w:rsidP="00FA58C1">
                      <w:pPr>
                        <w:pStyle w:val="E3Subtitle"/>
                      </w:pPr>
                      <w:r>
                        <w:t>November</w:t>
                      </w:r>
                      <w:r w:rsidR="00FE3165">
                        <w:t xml:space="preserve"> 2021</w:t>
                      </w:r>
                    </w:p>
                    <w:p w14:paraId="748790FD" w14:textId="75154847" w:rsidR="00066C8C" w:rsidRDefault="004E4F17" w:rsidP="00FA58C1">
                      <w:pPr>
                        <w:pStyle w:val="E3Subtitle"/>
                      </w:pPr>
                      <w:r>
                        <w:t>July</w:t>
                      </w:r>
                      <w:r w:rsidR="00066C8C">
                        <w:t xml:space="preserve"> 2021</w:t>
                      </w:r>
                    </w:p>
                  </w:txbxContent>
                </v:textbox>
                <w10:anchorlock/>
              </v:shape>
            </w:pict>
          </mc:Fallback>
        </mc:AlternateContent>
      </w:r>
    </w:p>
    <w:p w14:paraId="0377EEB8" w14:textId="77777777" w:rsidR="007E22DF" w:rsidRPr="008539E2" w:rsidRDefault="007E22DF" w:rsidP="000A7ABB">
      <w:pPr>
        <w:pStyle w:val="E3InternalCoverPage"/>
        <w:rPr>
          <w:rFonts w:ascii="Helvetica" w:hAnsi="Helvetica"/>
          <w:sz w:val="24"/>
        </w:rPr>
      </w:pPr>
      <w:r w:rsidRPr="008539E2">
        <w:br w:type="page"/>
      </w:r>
    </w:p>
    <w:p w14:paraId="2B0DBEB8" w14:textId="77777777" w:rsidR="007E22DF" w:rsidRPr="008539E2" w:rsidRDefault="007E22DF" w:rsidP="000A7ABB">
      <w:pPr>
        <w:pStyle w:val="E3InternalCoverPage"/>
        <w:sectPr w:rsidR="007E22DF" w:rsidRPr="008539E2" w:rsidSect="000F7C8A">
          <w:footerReference w:type="default" r:id="rId12"/>
          <w:headerReference w:type="first" r:id="rId13"/>
          <w:footerReference w:type="first" r:id="rId14"/>
          <w:type w:val="continuous"/>
          <w:pgSz w:w="11907" w:h="16840" w:code="9"/>
          <w:pgMar w:top="6237" w:right="1134" w:bottom="1418" w:left="1985" w:header="709" w:footer="492" w:gutter="0"/>
          <w:cols w:space="720"/>
          <w:titlePg/>
          <w:docGrid w:linePitch="360"/>
        </w:sectPr>
      </w:pPr>
    </w:p>
    <w:p w14:paraId="495A6352" w14:textId="77777777" w:rsidR="007E22DF" w:rsidRPr="008539E2" w:rsidRDefault="007E22DF" w:rsidP="000A7ABB">
      <w:pPr>
        <w:pStyle w:val="E3InternalCoverPage"/>
      </w:pPr>
      <w:r w:rsidRPr="008539E2">
        <w:lastRenderedPageBreak/>
        <w:t xml:space="preserve">This work is licensed under the Creative Commons Attribution 3.0 Australia Licence. To view a copy of </w:t>
      </w:r>
      <w:r w:rsidRPr="008539E2">
        <w:br/>
        <w:t xml:space="preserve">this license, visit </w:t>
      </w:r>
      <w:hyperlink r:id="rId15" w:history="1">
        <w:r w:rsidRPr="008539E2">
          <w:rPr>
            <w:rStyle w:val="Hyperlink"/>
          </w:rPr>
          <w:t>the creative commons website.</w:t>
        </w:r>
      </w:hyperlink>
    </w:p>
    <w:p w14:paraId="2BA12FC2" w14:textId="77777777" w:rsidR="007E22DF" w:rsidRPr="008539E2" w:rsidRDefault="007E22DF" w:rsidP="000A7ABB">
      <w:pPr>
        <w:pStyle w:val="E3InternalCoverPage"/>
      </w:pPr>
    </w:p>
    <w:p w14:paraId="61B1FFB0" w14:textId="0E82EA6B" w:rsidR="007E22DF" w:rsidRPr="008539E2" w:rsidRDefault="007E22DF" w:rsidP="000A7ABB">
      <w:pPr>
        <w:pStyle w:val="E3InternalCoverPage"/>
      </w:pPr>
      <w:r w:rsidRPr="008539E2">
        <w:t>Content contained herein should be attributed to ‘</w:t>
      </w:r>
      <w:r w:rsidR="0090708C" w:rsidRPr="008539E2">
        <w:t xml:space="preserve">Public Consultation Paper: </w:t>
      </w:r>
      <w:r w:rsidR="004E4F17" w:rsidRPr="008539E2">
        <w:t xml:space="preserve">Review of </w:t>
      </w:r>
      <w:r w:rsidR="006B6142" w:rsidRPr="008539E2">
        <w:t xml:space="preserve">the </w:t>
      </w:r>
      <w:r w:rsidR="004E4F17" w:rsidRPr="008539E2">
        <w:t xml:space="preserve">GEMS </w:t>
      </w:r>
      <w:r w:rsidR="006B6142" w:rsidRPr="008539E2">
        <w:t>Computer Monitors</w:t>
      </w:r>
      <w:r w:rsidR="004E4F17" w:rsidRPr="008539E2">
        <w:t xml:space="preserve"> Determination</w:t>
      </w:r>
      <w:r w:rsidRPr="008539E2">
        <w:t>’, Australian Government Department of Industry, Science, Energy and Resources</w:t>
      </w:r>
      <w:r w:rsidR="004E4F17" w:rsidRPr="008539E2">
        <w:t xml:space="preserve"> 2021</w:t>
      </w:r>
      <w:r w:rsidRPr="008539E2">
        <w:t xml:space="preserve">: </w:t>
      </w:r>
    </w:p>
    <w:p w14:paraId="04AAF774" w14:textId="77777777" w:rsidR="007E22DF" w:rsidRPr="008539E2" w:rsidRDefault="007E22DF" w:rsidP="000A7ABB">
      <w:pPr>
        <w:pStyle w:val="E3InternalCoverPage"/>
      </w:pPr>
      <w:r w:rsidRPr="008539E2">
        <w:rPr>
          <w:noProof/>
          <w:lang w:eastAsia="en-AU"/>
        </w:rPr>
        <w:drawing>
          <wp:inline distT="0" distB="0" distL="0" distR="0" wp14:anchorId="35B621D2" wp14:editId="273C3701">
            <wp:extent cx="1746885" cy="328295"/>
            <wp:effectExtent l="0" t="0" r="5715" b="1905"/>
            <wp:docPr id="5" name="Picture 4" title="Creative Commons Licensing - By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6885" cy="328295"/>
                    </a:xfrm>
                    <a:prstGeom prst="rect">
                      <a:avLst/>
                    </a:prstGeom>
                    <a:noFill/>
                    <a:ln>
                      <a:noFill/>
                    </a:ln>
                  </pic:spPr>
                </pic:pic>
              </a:graphicData>
            </a:graphic>
          </wp:inline>
        </w:drawing>
      </w:r>
    </w:p>
    <w:p w14:paraId="2DE3E1ED" w14:textId="77777777" w:rsidR="007E22DF" w:rsidRPr="008539E2" w:rsidRDefault="007E22DF" w:rsidP="000A7ABB">
      <w:pPr>
        <w:pStyle w:val="E3InternalCoverPage"/>
      </w:pPr>
    </w:p>
    <w:p w14:paraId="1A5F1133" w14:textId="16BAAF91" w:rsidR="007E22DF" w:rsidRPr="008539E2" w:rsidRDefault="007E22DF" w:rsidP="000A7ABB">
      <w:pPr>
        <w:pStyle w:val="E3InternalCoverPage"/>
      </w:pPr>
      <w:r w:rsidRPr="008539E2">
        <w:t xml:space="preserve">© Australian Government Department of Industry, Science, Energy and Resources </w:t>
      </w:r>
      <w:r w:rsidRPr="008539E2">
        <w:fldChar w:fldCharType="begin"/>
      </w:r>
      <w:r w:rsidRPr="008539E2">
        <w:instrText xml:space="preserve"> DATE \@ "yyyy" \* MERGEFORMAT </w:instrText>
      </w:r>
      <w:r w:rsidRPr="008539E2">
        <w:fldChar w:fldCharType="separate"/>
      </w:r>
      <w:r w:rsidR="00B75728">
        <w:rPr>
          <w:noProof/>
        </w:rPr>
        <w:t>2021</w:t>
      </w:r>
      <w:r w:rsidRPr="008539E2">
        <w:fldChar w:fldCharType="end"/>
      </w:r>
      <w:r w:rsidRPr="008539E2">
        <w:t>.</w:t>
      </w:r>
    </w:p>
    <w:p w14:paraId="4C238BAC" w14:textId="77777777" w:rsidR="007E22DF" w:rsidRPr="008539E2" w:rsidRDefault="007E22DF" w:rsidP="000A7ABB">
      <w:pPr>
        <w:pStyle w:val="E3InternalCoverPage"/>
      </w:pPr>
      <w:r w:rsidRPr="008539E2">
        <w:t>The material in this publication is provided for general information only. While reasonable efforts have been made to ensure that the contents of this publication are factually correct, E3 does not accept responsibility for the accuracy or completeness of the content. It does not constitute legal or other professional advice. E3 disclaims liability, to the extent permitted by law, for any liabilities, losses, damages and costs arising directly or indirectly from any reliance on the information contained in this publication. Before any action or decision is taken on the basis of this material the reader should obtain appropriate independent professional advice.</w:t>
      </w:r>
    </w:p>
    <w:p w14:paraId="0AB21D87" w14:textId="77777777" w:rsidR="007E22DF" w:rsidRPr="008539E2" w:rsidRDefault="007E22DF" w:rsidP="000A7ABB">
      <w:pPr>
        <w:pStyle w:val="E3InternalCoverPage"/>
      </w:pPr>
    </w:p>
    <w:p w14:paraId="57303C0F" w14:textId="77777777" w:rsidR="00814B02" w:rsidRPr="00EF5656" w:rsidRDefault="00814B02" w:rsidP="00814B02">
      <w:pPr>
        <w:pStyle w:val="E3InternalCoverPage"/>
      </w:pPr>
      <w:r w:rsidRPr="000826EB">
        <w:t>This document is available at</w:t>
      </w:r>
      <w:hyperlink r:id="rId17" w:history="1"/>
      <w:r w:rsidRPr="00EF5656">
        <w:t xml:space="preserve"> the Department of Industry, Science, Energy and Resources </w:t>
      </w:r>
      <w:hyperlink r:id="rId18" w:history="1">
        <w:r w:rsidRPr="00EF5656">
          <w:rPr>
            <w:rStyle w:val="Hyperlink"/>
          </w:rPr>
          <w:t>Consultation Hub</w:t>
        </w:r>
      </w:hyperlink>
      <w:r w:rsidRPr="00EF5656">
        <w:t>.</w:t>
      </w:r>
    </w:p>
    <w:p w14:paraId="6E2387ED" w14:textId="59C0DECD" w:rsidR="007E22DF" w:rsidRPr="008539E2" w:rsidRDefault="007E22DF" w:rsidP="000A7ABB">
      <w:pPr>
        <w:pStyle w:val="E3InternalCoverPage"/>
        <w:rPr>
          <w:rStyle w:val="Hyperlink"/>
        </w:rPr>
      </w:pPr>
    </w:p>
    <w:p w14:paraId="64227EAA" w14:textId="4F056E78" w:rsidR="007E22DF" w:rsidRPr="008539E2" w:rsidRDefault="007E22DF" w:rsidP="000A7ABB">
      <w:pPr>
        <w:pStyle w:val="E3InternalCoverPage"/>
      </w:pPr>
    </w:p>
    <w:p w14:paraId="1A622B6F" w14:textId="77777777" w:rsidR="007E22DF" w:rsidRPr="008539E2" w:rsidRDefault="007E22DF" w:rsidP="000A7ABB">
      <w:pPr>
        <w:pStyle w:val="E3InternalCoverPage"/>
        <w:sectPr w:rsidR="007E22DF" w:rsidRPr="008539E2" w:rsidSect="000F7C8A">
          <w:headerReference w:type="even" r:id="rId19"/>
          <w:headerReference w:type="default" r:id="rId20"/>
          <w:headerReference w:type="first" r:id="rId21"/>
          <w:footerReference w:type="first" r:id="rId22"/>
          <w:pgSz w:w="11907" w:h="16840" w:code="9"/>
          <w:pgMar w:top="1134" w:right="1134" w:bottom="1418" w:left="1134" w:header="709" w:footer="709" w:gutter="0"/>
          <w:pgNumType w:fmt="lowerRoman"/>
          <w:cols w:space="720"/>
          <w:titlePg/>
          <w:docGrid w:linePitch="360"/>
        </w:sectPr>
      </w:pPr>
    </w:p>
    <w:p w14:paraId="568C36A8" w14:textId="77777777" w:rsidR="007E22DF" w:rsidRPr="008539E2" w:rsidRDefault="007E22DF" w:rsidP="0074509C"/>
    <w:p w14:paraId="0AB2DE9A" w14:textId="77777777" w:rsidR="0050731E" w:rsidRPr="008539E2" w:rsidRDefault="0050731E" w:rsidP="0074509C"/>
    <w:p w14:paraId="0B126688" w14:textId="77777777" w:rsidR="0050731E" w:rsidRPr="008539E2" w:rsidRDefault="0050731E" w:rsidP="0074509C"/>
    <w:p w14:paraId="4DD446B6" w14:textId="146E9575" w:rsidR="00C759BE" w:rsidRPr="008539E2" w:rsidRDefault="00542D50" w:rsidP="00C759BE">
      <w:pPr>
        <w:pStyle w:val="E3Heading1"/>
      </w:pPr>
      <w:r w:rsidRPr="008539E2">
        <w:t xml:space="preserve">Public </w:t>
      </w:r>
      <w:r w:rsidR="00C759BE" w:rsidRPr="008539E2">
        <w:t xml:space="preserve">Consultation </w:t>
      </w:r>
      <w:r w:rsidRPr="008539E2">
        <w:t xml:space="preserve">Paper: </w:t>
      </w:r>
      <w:r w:rsidR="00671656" w:rsidRPr="008539E2">
        <w:t xml:space="preserve">GEMS </w:t>
      </w:r>
      <w:r w:rsidR="00C759BE" w:rsidRPr="008539E2">
        <w:t xml:space="preserve">Computer Monitors Determination </w:t>
      </w:r>
      <w:r w:rsidRPr="008539E2">
        <w:t>due to expire</w:t>
      </w:r>
      <w:r w:rsidR="00C759BE" w:rsidRPr="008539E2">
        <w:t xml:space="preserve"> in 2024</w:t>
      </w:r>
    </w:p>
    <w:p w14:paraId="4E9B1DEE" w14:textId="48067BD7" w:rsidR="00516FF5" w:rsidRPr="008539E2" w:rsidRDefault="00542D50" w:rsidP="00516FF5">
      <w:pPr>
        <w:tabs>
          <w:tab w:val="left" w:pos="2048"/>
        </w:tabs>
      </w:pPr>
      <w:r w:rsidRPr="008539E2">
        <w:t xml:space="preserve">This public consultation paper seeks input </w:t>
      </w:r>
      <w:r w:rsidR="00516FF5" w:rsidRPr="008539E2">
        <w:t xml:space="preserve">on </w:t>
      </w:r>
      <w:r w:rsidR="00516FF5" w:rsidRPr="008539E2">
        <w:rPr>
          <w:lang w:eastAsia="en-AU"/>
        </w:rPr>
        <w:t xml:space="preserve">the </w:t>
      </w:r>
      <w:r w:rsidR="00516FF5" w:rsidRPr="008539E2">
        <w:rPr>
          <w:i/>
          <w:lang w:eastAsia="en-AU"/>
        </w:rPr>
        <w:t>Greenhouse and Energy Minimum Standards (Computer Monitors) Determination 2014</w:t>
      </w:r>
      <w:r w:rsidR="00516FF5" w:rsidRPr="008539E2">
        <w:rPr>
          <w:lang w:eastAsia="en-AU"/>
        </w:rPr>
        <w:t>.</w:t>
      </w:r>
      <w:r w:rsidR="00516FF5" w:rsidRPr="008539E2">
        <w:t xml:space="preserve"> This determination i</w:t>
      </w:r>
      <w:r w:rsidR="00516FF5" w:rsidRPr="008539E2">
        <w:rPr>
          <w:lang w:eastAsia="en-AU"/>
        </w:rPr>
        <w:t xml:space="preserve">s due to expire </w:t>
      </w:r>
      <w:r w:rsidRPr="008539E2">
        <w:rPr>
          <w:lang w:eastAsia="en-AU"/>
        </w:rPr>
        <w:t>(sunset</w:t>
      </w:r>
      <w:r w:rsidRPr="008539E2">
        <w:rPr>
          <w:rStyle w:val="FootnoteReference"/>
          <w:lang w:eastAsia="en-AU"/>
        </w:rPr>
        <w:footnoteReference w:id="2"/>
      </w:r>
      <w:r w:rsidRPr="008539E2">
        <w:rPr>
          <w:lang w:eastAsia="en-AU"/>
        </w:rPr>
        <w:t xml:space="preserve">) </w:t>
      </w:r>
      <w:r w:rsidR="00516FF5" w:rsidRPr="008539E2">
        <w:rPr>
          <w:lang w:eastAsia="en-AU"/>
        </w:rPr>
        <w:t xml:space="preserve">on </w:t>
      </w:r>
      <w:r w:rsidR="00516FF5" w:rsidRPr="008539E2">
        <w:t>1 </w:t>
      </w:r>
      <w:r w:rsidR="003928EA">
        <w:t>October</w:t>
      </w:r>
      <w:r w:rsidR="00516FF5" w:rsidRPr="008539E2">
        <w:t xml:space="preserve"> 2024. It is standard process for determinations to expire after 10 years</w:t>
      </w:r>
      <w:r w:rsidR="00D72EF7" w:rsidRPr="008539E2">
        <w:t>,</w:t>
      </w:r>
      <w:r w:rsidR="00516FF5" w:rsidRPr="008539E2">
        <w:t xml:space="preserve"> unless a review finds sufficient reason for the determination to </w:t>
      </w:r>
      <w:r w:rsidR="005F6665" w:rsidRPr="008539E2">
        <w:t>be renewed</w:t>
      </w:r>
      <w:r w:rsidR="00516FF5" w:rsidRPr="008539E2">
        <w:t>.</w:t>
      </w:r>
    </w:p>
    <w:p w14:paraId="48B745B8" w14:textId="4FC7352B" w:rsidR="00542D50" w:rsidRPr="008539E2" w:rsidRDefault="00542D50" w:rsidP="00516FF5">
      <w:pPr>
        <w:tabs>
          <w:tab w:val="left" w:pos="2048"/>
        </w:tabs>
      </w:pPr>
      <w:r w:rsidRPr="008539E2">
        <w:t>Sunsetting requires government to consider whether a determination is still necessary. This is referred to as a ‘fitness-for-purpose’ test</w:t>
      </w:r>
      <w:r w:rsidRPr="008539E2">
        <w:rPr>
          <w:rStyle w:val="FootnoteReference"/>
        </w:rPr>
        <w:footnoteReference w:id="3"/>
      </w:r>
      <w:r w:rsidRPr="008539E2">
        <w:t xml:space="preserve"> and is central to the sunsetting review process. A sunsetting review aims to assess whether the sunsetting instrument continues to have a purpose and is efficient and effective.</w:t>
      </w:r>
    </w:p>
    <w:p w14:paraId="74DC9D49" w14:textId="383FAE20" w:rsidR="00270533" w:rsidRPr="008539E2" w:rsidRDefault="00516FF5" w:rsidP="00516FF5">
      <w:r w:rsidRPr="008539E2">
        <w:t>The Computer Monitors determination was reviewed and found to be effective and efficient</w:t>
      </w:r>
      <w:r w:rsidR="006B6142" w:rsidRPr="008539E2">
        <w:t>. T</w:t>
      </w:r>
      <w:r w:rsidRPr="008539E2">
        <w:t>he benefits of the determination are greater than the cost of the regulation. The minimum energy performance standards (MEPS) are too low to be effective</w:t>
      </w:r>
      <w:r w:rsidR="00D72EF7" w:rsidRPr="008539E2">
        <w:t>,</w:t>
      </w:r>
      <w:r w:rsidR="00CD3776" w:rsidRPr="008539E2">
        <w:t xml:space="preserve"> but</w:t>
      </w:r>
      <w:r w:rsidRPr="008539E2">
        <w:t xml:space="preserve"> there i</w:t>
      </w:r>
      <w:r w:rsidR="006B6142" w:rsidRPr="008539E2">
        <w:t>s still value in retaining the e</w:t>
      </w:r>
      <w:r w:rsidRPr="008539E2">
        <w:t>nergy rating label.</w:t>
      </w:r>
    </w:p>
    <w:p w14:paraId="001CB2EF" w14:textId="77777777" w:rsidR="00942B24" w:rsidRPr="008539E2" w:rsidRDefault="00942B24" w:rsidP="00942B24">
      <w:pPr>
        <w:pStyle w:val="Heading2"/>
        <w:spacing w:before="160"/>
        <w:rPr>
          <w:lang w:eastAsia="en-AU"/>
        </w:rPr>
      </w:pPr>
      <w:r w:rsidRPr="008539E2">
        <w:rPr>
          <w:lang w:eastAsia="en-AU"/>
        </w:rPr>
        <w:t>Background</w:t>
      </w:r>
    </w:p>
    <w:p w14:paraId="23001C43" w14:textId="5D43E464" w:rsidR="00916975" w:rsidRPr="008539E2" w:rsidRDefault="00916975" w:rsidP="00916975">
      <w:r w:rsidRPr="008539E2">
        <w:t xml:space="preserve">The Equipment Energy Efficiency (E3) Program enables collaboration between the Australian Government, states and territories and the New Zealand Government to deliver a single, integrated program on energy efficiency standards and energy labelling for equipment and appliances. The E3 Program undertakes a range of activities under the </w:t>
      </w:r>
      <w:r w:rsidRPr="008539E2">
        <w:rPr>
          <w:i/>
          <w:iCs/>
        </w:rPr>
        <w:t xml:space="preserve">Greenhouse and Energy Minimum Standards Act 2012 </w:t>
      </w:r>
      <w:r w:rsidRPr="008539E2">
        <w:t xml:space="preserve">(the GEMS Act) in Australia and the </w:t>
      </w:r>
      <w:r w:rsidRPr="008539E2">
        <w:rPr>
          <w:i/>
        </w:rPr>
        <w:t>Energy Efficiency (Energy Using Products) Regulations 2002</w:t>
      </w:r>
      <w:r w:rsidRPr="008539E2">
        <w:t xml:space="preserve"> in New Zealand, to improve the energy efficiency of appliances and equipment sold in Australia and </w:t>
      </w:r>
      <w:r w:rsidR="00D72EF7" w:rsidRPr="008539E2">
        <w:t>New </w:t>
      </w:r>
      <w:r w:rsidRPr="008539E2">
        <w:t>Zealand. These include energy rating labelling and setting MEPS.</w:t>
      </w:r>
    </w:p>
    <w:p w14:paraId="26C1E230" w14:textId="5E6446BB" w:rsidR="00916975" w:rsidRPr="008539E2" w:rsidRDefault="00916975" w:rsidP="00942B24">
      <w:r w:rsidRPr="008539E2">
        <w:t>The E3 Program is overseen by the Energy National Cabinet Reform Committee and advised on energy efficiency matters by the Energy Efficiency Advisory Team (EEAT) of officials from participating jurisdictions. The Commonwealth Department of Industry, Science, Energy and Resources (the Department), on behalf of EEAT, reviewed this determination and prepared this consultation paper.</w:t>
      </w:r>
    </w:p>
    <w:p w14:paraId="69028852" w14:textId="77777777" w:rsidR="008E4200" w:rsidRDefault="00665820" w:rsidP="006B6142">
      <w:r w:rsidRPr="008539E2">
        <w:rPr>
          <w:rFonts w:asciiTheme="minorHAnsi" w:hAnsiTheme="minorHAnsi" w:cstheme="minorHAnsi"/>
          <w:szCs w:val="24"/>
        </w:rPr>
        <w:t>The objective of determinations under the GEMS Act is to promote the development and adoption of products that use less energy or produce fewer greenhouse gases.</w:t>
      </w:r>
      <w:r w:rsidRPr="008539E2">
        <w:t xml:space="preserve"> </w:t>
      </w:r>
      <w:r w:rsidR="00234994" w:rsidRPr="008539E2">
        <w:t xml:space="preserve"> The GEMS Act allows the Australian Government to set mandatory minimum efficiency requirements </w:t>
      </w:r>
      <w:r w:rsidR="00B331D5" w:rsidRPr="008539E2">
        <w:lastRenderedPageBreak/>
        <w:t xml:space="preserve">(MEPS) </w:t>
      </w:r>
      <w:r w:rsidR="00234994" w:rsidRPr="008539E2">
        <w:t>for products, to drive greater energy efficiency for regulated products. It also allows the Australian Government to set nationally-consistent labelling requirements, to increase Australians</w:t>
      </w:r>
      <w:r w:rsidR="00234994" w:rsidRPr="008539E2">
        <w:rPr>
          <w:rFonts w:ascii="Times New Roman" w:hAnsi="Times New Roman" w:cs="Times New Roman"/>
        </w:rPr>
        <w:t xml:space="preserve">’ </w:t>
      </w:r>
      <w:r w:rsidR="00234994" w:rsidRPr="008539E2">
        <w:t xml:space="preserve">awareness of options to improve energy efficiency and reduce energy consumption, energy costs and greenhouse gas emissions. </w:t>
      </w:r>
    </w:p>
    <w:p w14:paraId="632A1AF2" w14:textId="2134A6C1" w:rsidR="006B6142" w:rsidRPr="008539E2" w:rsidRDefault="00916975" w:rsidP="006B6142">
      <w:r w:rsidRPr="008539E2">
        <w:rPr>
          <w:lang w:eastAsia="en-AU"/>
        </w:rPr>
        <w:t xml:space="preserve">The </w:t>
      </w:r>
      <w:r w:rsidRPr="008539E2">
        <w:rPr>
          <w:i/>
          <w:lang w:eastAsia="en-AU"/>
        </w:rPr>
        <w:t>Greenhouse and Energy Minimum Standards (Computer Monitors) Determination 2014</w:t>
      </w:r>
      <w:r w:rsidRPr="008539E2">
        <w:rPr>
          <w:lang w:eastAsia="en-AU"/>
        </w:rPr>
        <w:t xml:space="preserve"> is due to expire on </w:t>
      </w:r>
      <w:r w:rsidRPr="008539E2">
        <w:t>1 October 2024</w:t>
      </w:r>
      <w:r w:rsidRPr="008539E2">
        <w:rPr>
          <w:lang w:eastAsia="en-AU"/>
        </w:rPr>
        <w:t xml:space="preserve">. The supporting standard is AS/NZS 5815 </w:t>
      </w:r>
      <w:r w:rsidRPr="008539E2">
        <w:rPr>
          <w:i/>
          <w:lang w:eastAsia="en-AU"/>
        </w:rPr>
        <w:t>Informat</w:t>
      </w:r>
      <w:r w:rsidRPr="008539E2">
        <w:rPr>
          <w:i/>
        </w:rPr>
        <w:t>ion technology equipment-Energy performance of computer monitors</w:t>
      </w:r>
      <w:r w:rsidRPr="008539E2">
        <w:t xml:space="preserve"> with </w:t>
      </w:r>
      <w:r w:rsidRPr="008539E2">
        <w:rPr>
          <w:iCs/>
        </w:rPr>
        <w:t xml:space="preserve">AS/NZS 5815.1:2012 </w:t>
      </w:r>
      <w:r w:rsidRPr="008539E2">
        <w:t xml:space="preserve">Part 1 providing the testing methods and </w:t>
      </w:r>
      <w:r w:rsidRPr="008539E2">
        <w:rPr>
          <w:bCs/>
          <w:iCs/>
        </w:rPr>
        <w:t>AS/NZS 5815.2:2013</w:t>
      </w:r>
      <w:r w:rsidRPr="008539E2">
        <w:t xml:space="preserve"> Part 2 setting the MEPS and labelling </w:t>
      </w:r>
      <w:r w:rsidR="00D72EF7" w:rsidRPr="008539E2">
        <w:t>requirements.</w:t>
      </w:r>
    </w:p>
    <w:p w14:paraId="68F6C00C" w14:textId="77777777" w:rsidR="00942B24" w:rsidRPr="008539E2" w:rsidRDefault="00942B24" w:rsidP="00942B24">
      <w:pPr>
        <w:pStyle w:val="Heading2"/>
        <w:spacing w:before="160"/>
        <w:rPr>
          <w:lang w:eastAsia="en-AU"/>
        </w:rPr>
      </w:pPr>
      <w:r w:rsidRPr="008539E2">
        <w:rPr>
          <w:lang w:eastAsia="en-AU"/>
        </w:rPr>
        <w:t>Review of the Computer Monitors Determination</w:t>
      </w:r>
    </w:p>
    <w:p w14:paraId="41CBCCA5" w14:textId="15C0D761" w:rsidR="00486F0B" w:rsidRPr="008539E2" w:rsidRDefault="00486F0B" w:rsidP="00486F0B">
      <w:pPr>
        <w:rPr>
          <w:lang w:eastAsia="en-AU"/>
        </w:rPr>
      </w:pPr>
      <w:r w:rsidRPr="008539E2">
        <w:rPr>
          <w:lang w:eastAsia="en-AU"/>
        </w:rPr>
        <w:t xml:space="preserve">The objective of the determination is to promote the adoption of more energy efficient </w:t>
      </w:r>
      <w:r w:rsidR="004E12FE" w:rsidRPr="008539E2">
        <w:rPr>
          <w:lang w:eastAsia="en-AU"/>
        </w:rPr>
        <w:t>computer monitors</w:t>
      </w:r>
      <w:r w:rsidRPr="008539E2">
        <w:rPr>
          <w:lang w:eastAsia="en-AU"/>
        </w:rPr>
        <w:t xml:space="preserve"> to reduce energy costs and greenhouse gas emissions. This review used the following criteria to assess if the determination is still efficient and effective:</w:t>
      </w:r>
    </w:p>
    <w:p w14:paraId="4276B33A" w14:textId="77777777" w:rsidR="00486F0B" w:rsidRPr="008539E2" w:rsidRDefault="00486F0B" w:rsidP="00486F0B">
      <w:pPr>
        <w:pStyle w:val="ListParagraph"/>
        <w:numPr>
          <w:ilvl w:val="0"/>
          <w:numId w:val="71"/>
        </w:numPr>
        <w:rPr>
          <w:rFonts w:asciiTheme="minorHAnsi" w:hAnsiTheme="minorHAnsi"/>
          <w:sz w:val="24"/>
          <w:szCs w:val="24"/>
          <w:lang w:eastAsia="en-AU"/>
        </w:rPr>
      </w:pPr>
      <w:r w:rsidRPr="008539E2">
        <w:rPr>
          <w:rFonts w:asciiTheme="minorHAnsi" w:hAnsiTheme="minorHAnsi"/>
          <w:sz w:val="24"/>
          <w:szCs w:val="24"/>
          <w:lang w:eastAsia="en-AU"/>
        </w:rPr>
        <w:t xml:space="preserve">Has there been a significant change in registration numbers and sales numbers? </w:t>
      </w:r>
    </w:p>
    <w:p w14:paraId="5EC69761" w14:textId="77777777" w:rsidR="00486F0B" w:rsidRPr="008539E2" w:rsidRDefault="00486F0B" w:rsidP="00486F0B">
      <w:pPr>
        <w:pStyle w:val="ListParagraph"/>
        <w:numPr>
          <w:ilvl w:val="1"/>
          <w:numId w:val="71"/>
        </w:numPr>
        <w:rPr>
          <w:rFonts w:asciiTheme="minorHAnsi" w:hAnsiTheme="minorHAnsi"/>
          <w:sz w:val="24"/>
          <w:szCs w:val="24"/>
          <w:lang w:eastAsia="en-AU"/>
        </w:rPr>
      </w:pPr>
      <w:r w:rsidRPr="008539E2">
        <w:rPr>
          <w:rFonts w:asciiTheme="minorHAnsi" w:hAnsiTheme="minorHAnsi"/>
          <w:sz w:val="24"/>
          <w:szCs w:val="24"/>
          <w:lang w:eastAsia="en-AU"/>
        </w:rPr>
        <w:t>This can provide information on shifts in the market over time and whether the product is becoming obsolete</w:t>
      </w:r>
    </w:p>
    <w:p w14:paraId="03AA3FE1" w14:textId="77777777" w:rsidR="00486F0B" w:rsidRPr="008539E2" w:rsidRDefault="00486F0B" w:rsidP="00486F0B">
      <w:pPr>
        <w:pStyle w:val="ListParagraph"/>
        <w:numPr>
          <w:ilvl w:val="0"/>
          <w:numId w:val="71"/>
        </w:numPr>
        <w:rPr>
          <w:rFonts w:asciiTheme="minorHAnsi" w:hAnsiTheme="minorHAnsi"/>
          <w:sz w:val="24"/>
          <w:szCs w:val="24"/>
          <w:lang w:eastAsia="en-AU"/>
        </w:rPr>
      </w:pPr>
      <w:r w:rsidRPr="008539E2">
        <w:rPr>
          <w:rFonts w:asciiTheme="minorHAnsi" w:hAnsiTheme="minorHAnsi"/>
          <w:sz w:val="24"/>
          <w:szCs w:val="24"/>
          <w:lang w:eastAsia="en-AU"/>
        </w:rPr>
        <w:t xml:space="preserve">Is the determination still reducing energy use and greenhouse gas emissions? </w:t>
      </w:r>
    </w:p>
    <w:p w14:paraId="356153D6" w14:textId="77777777" w:rsidR="00486F0B" w:rsidRPr="008539E2" w:rsidRDefault="00486F0B" w:rsidP="00486F0B">
      <w:pPr>
        <w:pStyle w:val="ListParagraph"/>
        <w:numPr>
          <w:ilvl w:val="1"/>
          <w:numId w:val="71"/>
        </w:numPr>
        <w:rPr>
          <w:rFonts w:asciiTheme="minorHAnsi" w:hAnsiTheme="minorHAnsi"/>
          <w:sz w:val="24"/>
          <w:szCs w:val="24"/>
          <w:lang w:eastAsia="en-AU"/>
        </w:rPr>
      </w:pPr>
      <w:r w:rsidRPr="008539E2">
        <w:rPr>
          <w:rFonts w:asciiTheme="minorHAnsi" w:hAnsiTheme="minorHAnsi"/>
          <w:sz w:val="24"/>
          <w:szCs w:val="24"/>
          <w:lang w:eastAsia="en-AU"/>
        </w:rPr>
        <w:t>It was beyond the scope of this review to determine greenhouse gas emissions savings, but high level energy savings have been estimated.</w:t>
      </w:r>
    </w:p>
    <w:p w14:paraId="71D9FBF3" w14:textId="73B864EE" w:rsidR="00486F0B" w:rsidRPr="008539E2" w:rsidRDefault="00486F0B" w:rsidP="00486F0B">
      <w:pPr>
        <w:pStyle w:val="ListParagraph"/>
        <w:numPr>
          <w:ilvl w:val="1"/>
          <w:numId w:val="71"/>
        </w:numPr>
        <w:rPr>
          <w:rFonts w:asciiTheme="minorHAnsi" w:hAnsiTheme="minorHAnsi"/>
          <w:sz w:val="24"/>
          <w:szCs w:val="24"/>
          <w:lang w:eastAsia="en-AU"/>
        </w:rPr>
      </w:pPr>
      <w:r w:rsidRPr="008539E2">
        <w:rPr>
          <w:rFonts w:asciiTheme="minorHAnsi" w:hAnsiTheme="minorHAnsi"/>
          <w:sz w:val="24"/>
          <w:szCs w:val="24"/>
          <w:lang w:eastAsia="en-AU"/>
        </w:rPr>
        <w:t xml:space="preserve">The range of efficiencies of registered products is also a metric for the effectiveness of the determination. A broad range of efficiencies indicates that the determination is likely to be </w:t>
      </w:r>
      <w:r w:rsidR="004E12FE" w:rsidRPr="008539E2">
        <w:rPr>
          <w:rFonts w:asciiTheme="minorHAnsi" w:hAnsiTheme="minorHAnsi"/>
          <w:sz w:val="24"/>
          <w:szCs w:val="24"/>
          <w:lang w:eastAsia="en-AU"/>
        </w:rPr>
        <w:t>preventing</w:t>
      </w:r>
      <w:r w:rsidRPr="008539E2">
        <w:rPr>
          <w:rFonts w:asciiTheme="minorHAnsi" w:hAnsiTheme="minorHAnsi"/>
          <w:sz w:val="24"/>
          <w:szCs w:val="24"/>
          <w:lang w:eastAsia="en-AU"/>
        </w:rPr>
        <w:t xml:space="preserve"> some inefficient products from </w:t>
      </w:r>
      <w:r w:rsidR="004E12FE" w:rsidRPr="008539E2">
        <w:rPr>
          <w:rFonts w:asciiTheme="minorHAnsi" w:hAnsiTheme="minorHAnsi"/>
          <w:sz w:val="24"/>
          <w:szCs w:val="24"/>
          <w:lang w:eastAsia="en-AU"/>
        </w:rPr>
        <w:t xml:space="preserve">entering </w:t>
      </w:r>
      <w:r w:rsidRPr="008539E2">
        <w:rPr>
          <w:rFonts w:asciiTheme="minorHAnsi" w:hAnsiTheme="minorHAnsi"/>
          <w:sz w:val="24"/>
          <w:szCs w:val="24"/>
          <w:lang w:eastAsia="en-AU"/>
        </w:rPr>
        <w:t>the market.</w:t>
      </w:r>
      <w:r w:rsidR="00431EE5">
        <w:rPr>
          <w:rFonts w:asciiTheme="minorHAnsi" w:hAnsiTheme="minorHAnsi"/>
          <w:sz w:val="24"/>
          <w:szCs w:val="24"/>
          <w:lang w:eastAsia="en-AU"/>
        </w:rPr>
        <w:t xml:space="preserve"> It also indicates that there may be scope to make the MEPS requirement more stringent, to further increase the average efficiency of new products sold.</w:t>
      </w:r>
    </w:p>
    <w:p w14:paraId="52A396DB" w14:textId="77777777" w:rsidR="00486F0B" w:rsidRPr="008539E2" w:rsidRDefault="00486F0B" w:rsidP="00486F0B">
      <w:pPr>
        <w:pStyle w:val="ListParagraph"/>
        <w:numPr>
          <w:ilvl w:val="0"/>
          <w:numId w:val="71"/>
        </w:numPr>
        <w:rPr>
          <w:rFonts w:asciiTheme="minorHAnsi" w:hAnsiTheme="minorHAnsi"/>
          <w:sz w:val="24"/>
          <w:szCs w:val="24"/>
          <w:lang w:eastAsia="en-AU"/>
        </w:rPr>
      </w:pPr>
      <w:r w:rsidRPr="008539E2">
        <w:rPr>
          <w:rFonts w:asciiTheme="minorHAnsi" w:hAnsiTheme="minorHAnsi"/>
          <w:sz w:val="24"/>
          <w:szCs w:val="24"/>
          <w:lang w:eastAsia="en-AU"/>
        </w:rPr>
        <w:t>Are the financial benefits higher than the regulatory costs of the determination?</w:t>
      </w:r>
    </w:p>
    <w:p w14:paraId="68DF39E1" w14:textId="77777777" w:rsidR="00486F0B" w:rsidRPr="008539E2" w:rsidRDefault="00486F0B" w:rsidP="00486F0B">
      <w:pPr>
        <w:pStyle w:val="ListParagraph"/>
        <w:numPr>
          <w:ilvl w:val="0"/>
          <w:numId w:val="71"/>
        </w:numPr>
        <w:rPr>
          <w:rFonts w:asciiTheme="minorHAnsi" w:hAnsiTheme="minorHAnsi"/>
          <w:sz w:val="24"/>
          <w:szCs w:val="24"/>
          <w:lang w:eastAsia="en-AU"/>
        </w:rPr>
      </w:pPr>
      <w:r w:rsidRPr="008539E2">
        <w:rPr>
          <w:rFonts w:asciiTheme="minorHAnsi" w:hAnsiTheme="minorHAnsi"/>
          <w:sz w:val="24"/>
          <w:szCs w:val="24"/>
          <w:lang w:eastAsia="en-AU"/>
        </w:rPr>
        <w:t>If the determination is repealed, is there a risk that imports with lower energy efficiency will enter the market?</w:t>
      </w:r>
    </w:p>
    <w:p w14:paraId="29720556" w14:textId="13C1831A" w:rsidR="00486F0B" w:rsidRPr="008539E2" w:rsidRDefault="00486F0B" w:rsidP="00486F0B">
      <w:pPr>
        <w:rPr>
          <w:lang w:eastAsia="en-AU"/>
        </w:rPr>
      </w:pPr>
      <w:r w:rsidRPr="008539E2">
        <w:t>The computer monitors review is summarised</w:t>
      </w:r>
      <w:r w:rsidRPr="008539E2">
        <w:rPr>
          <w:rFonts w:eastAsia="Times New Roman" w:cs="Arial"/>
        </w:rPr>
        <w:t xml:space="preserve"> in </w:t>
      </w:r>
      <w:r w:rsidRPr="008539E2">
        <w:rPr>
          <w:rFonts w:eastAsia="Times New Roman" w:cs="Arial"/>
          <w:b/>
        </w:rPr>
        <w:t xml:space="preserve">Table 1 </w:t>
      </w:r>
      <w:r w:rsidRPr="008539E2">
        <w:rPr>
          <w:rFonts w:eastAsia="Times New Roman" w:cs="Arial"/>
        </w:rPr>
        <w:t xml:space="preserve">below. </w:t>
      </w:r>
      <w:r w:rsidRPr="008539E2">
        <w:rPr>
          <w:lang w:eastAsia="en-AU"/>
        </w:rPr>
        <w:t xml:space="preserve">The review drew upon Greenhouse and Energy Minimum Standards (GEMS) registration data, New Zealand sales data and retail </w:t>
      </w:r>
      <w:r w:rsidRPr="008539E2">
        <w:t>sales data from GfK</w:t>
      </w:r>
      <w:r w:rsidRPr="008539E2">
        <w:rPr>
          <w:rStyle w:val="FootnoteReference"/>
        </w:rPr>
        <w:footnoteReference w:id="4"/>
      </w:r>
      <w:r w:rsidRPr="008539E2">
        <w:t>.</w:t>
      </w:r>
    </w:p>
    <w:p w14:paraId="753C1985" w14:textId="77777777" w:rsidR="00942B24" w:rsidRPr="008539E2" w:rsidRDefault="00942B24" w:rsidP="00942B24">
      <w:pPr>
        <w:pStyle w:val="Heading3"/>
        <w:spacing w:before="160" w:after="40"/>
        <w:rPr>
          <w:color w:val="auto"/>
        </w:rPr>
      </w:pPr>
      <w:r w:rsidRPr="008539E2">
        <w:rPr>
          <w:color w:val="auto"/>
        </w:rPr>
        <w:t>Table 1: Criteria for review of determination</w:t>
      </w:r>
    </w:p>
    <w:tbl>
      <w:tblPr>
        <w:tblStyle w:val="TableGrid"/>
        <w:tblW w:w="10076" w:type="dxa"/>
        <w:tblLayout w:type="fixed"/>
        <w:tblLook w:val="04A0" w:firstRow="1" w:lastRow="0" w:firstColumn="1" w:lastColumn="0" w:noHBand="0" w:noVBand="1"/>
        <w:tblCaption w:val="Table 1 Criteria for review of determination"/>
        <w:tblDescription w:val="This table summarises the key criteria used to review the computer monitors determination. These criteria are Change in registration numbers, Change in Sales, Objective of determination still applicable, Products are always compliant and easy to regulate, Yearly regulatory cost of determination, Risk of low efficiency imports, and Determination effective and efficient."/>
      </w:tblPr>
      <w:tblGrid>
        <w:gridCol w:w="4815"/>
        <w:gridCol w:w="5261"/>
      </w:tblGrid>
      <w:tr w:rsidR="00942B24" w:rsidRPr="008539E2" w14:paraId="30D0C2FA" w14:textId="77777777" w:rsidTr="00864848">
        <w:tc>
          <w:tcPr>
            <w:tcW w:w="4815" w:type="dxa"/>
          </w:tcPr>
          <w:p w14:paraId="1DABF1D7" w14:textId="77777777" w:rsidR="00942B24" w:rsidRPr="008539E2" w:rsidRDefault="00942B24" w:rsidP="00F9489D">
            <w:pPr>
              <w:keepNext/>
            </w:pPr>
            <w:r w:rsidRPr="008539E2">
              <w:rPr>
                <w:rFonts w:asciiTheme="minorHAnsi" w:eastAsiaTheme="minorHAnsi" w:hAnsiTheme="minorHAnsi" w:cstheme="minorBidi"/>
                <w:sz w:val="22"/>
                <w:szCs w:val="22"/>
                <w:lang w:val="en-US" w:eastAsia="en-US"/>
              </w:rPr>
              <w:t>Change in registration numbers</w:t>
            </w:r>
          </w:p>
        </w:tc>
        <w:tc>
          <w:tcPr>
            <w:tcW w:w="5261" w:type="dxa"/>
          </w:tcPr>
          <w:p w14:paraId="68697595" w14:textId="77777777" w:rsidR="00942B24" w:rsidRPr="008539E2" w:rsidRDefault="00942B24" w:rsidP="00F9489D">
            <w:pPr>
              <w:keepNext/>
            </w:pPr>
            <w:r w:rsidRPr="008539E2">
              <w:rPr>
                <w:rFonts w:asciiTheme="minorHAnsi" w:eastAsiaTheme="minorHAnsi" w:hAnsiTheme="minorHAnsi" w:cstheme="minorBidi"/>
                <w:sz w:val="22"/>
                <w:szCs w:val="22"/>
                <w:lang w:val="en-US" w:eastAsia="en-US"/>
              </w:rPr>
              <w:t>Slight increase, spike in 2020</w:t>
            </w:r>
          </w:p>
        </w:tc>
      </w:tr>
      <w:tr w:rsidR="00942B24" w:rsidRPr="008539E2" w14:paraId="19F20C96" w14:textId="77777777" w:rsidTr="00864848">
        <w:tc>
          <w:tcPr>
            <w:tcW w:w="4815" w:type="dxa"/>
          </w:tcPr>
          <w:p w14:paraId="53D4AF3C" w14:textId="77777777" w:rsidR="00942B24" w:rsidRPr="008539E2" w:rsidRDefault="00942B24" w:rsidP="00F9489D">
            <w:pPr>
              <w:keepNext/>
            </w:pPr>
            <w:r w:rsidRPr="008539E2">
              <w:rPr>
                <w:rFonts w:asciiTheme="minorHAnsi" w:eastAsiaTheme="minorHAnsi" w:hAnsiTheme="minorHAnsi" w:cstheme="minorBidi"/>
                <w:sz w:val="22"/>
                <w:szCs w:val="22"/>
                <w:lang w:val="en-US" w:eastAsia="en-US"/>
              </w:rPr>
              <w:t>Change in sales</w:t>
            </w:r>
          </w:p>
        </w:tc>
        <w:tc>
          <w:tcPr>
            <w:tcW w:w="5261" w:type="dxa"/>
          </w:tcPr>
          <w:p w14:paraId="21537667" w14:textId="09AA7D68" w:rsidR="00942B24" w:rsidRPr="008539E2" w:rsidRDefault="00942B24" w:rsidP="00F9489D">
            <w:pPr>
              <w:keepNext/>
            </w:pPr>
            <w:r w:rsidRPr="008539E2">
              <w:rPr>
                <w:rFonts w:asciiTheme="minorHAnsi" w:eastAsiaTheme="minorHAnsi" w:hAnsiTheme="minorHAnsi" w:cstheme="minorBidi"/>
                <w:sz w:val="22"/>
                <w:szCs w:val="22"/>
                <w:lang w:val="en-US" w:eastAsia="en-US"/>
              </w:rPr>
              <w:t xml:space="preserve">Slight </w:t>
            </w:r>
            <w:r w:rsidR="00677452" w:rsidRPr="008539E2">
              <w:rPr>
                <w:rFonts w:asciiTheme="minorHAnsi" w:eastAsiaTheme="minorHAnsi" w:hAnsiTheme="minorHAnsi" w:cstheme="minorBidi"/>
                <w:sz w:val="22"/>
                <w:szCs w:val="22"/>
                <w:lang w:val="en-US" w:eastAsia="en-US"/>
              </w:rPr>
              <w:t>i</w:t>
            </w:r>
            <w:r w:rsidRPr="008539E2">
              <w:rPr>
                <w:rFonts w:asciiTheme="minorHAnsi" w:eastAsiaTheme="minorHAnsi" w:hAnsiTheme="minorHAnsi" w:cstheme="minorBidi"/>
                <w:sz w:val="22"/>
                <w:szCs w:val="22"/>
                <w:lang w:val="en-US" w:eastAsia="en-US"/>
              </w:rPr>
              <w:t>ncrease, spike in 2020</w:t>
            </w:r>
          </w:p>
        </w:tc>
      </w:tr>
      <w:tr w:rsidR="00942B24" w:rsidRPr="008539E2" w14:paraId="63DA07C7" w14:textId="77777777" w:rsidTr="00864848">
        <w:tc>
          <w:tcPr>
            <w:tcW w:w="4815" w:type="dxa"/>
          </w:tcPr>
          <w:p w14:paraId="75D98EAF" w14:textId="77777777" w:rsidR="00942B24" w:rsidRPr="008539E2" w:rsidRDefault="00942B24" w:rsidP="00F9489D">
            <w:pPr>
              <w:keepNext/>
            </w:pPr>
            <w:r w:rsidRPr="008539E2">
              <w:rPr>
                <w:rFonts w:asciiTheme="minorHAnsi" w:eastAsiaTheme="minorHAnsi" w:hAnsiTheme="minorHAnsi" w:cstheme="minorBidi"/>
                <w:sz w:val="22"/>
                <w:szCs w:val="22"/>
                <w:lang w:val="en-US" w:eastAsia="en-US"/>
              </w:rPr>
              <w:t>Objective of determination still applicable</w:t>
            </w:r>
          </w:p>
        </w:tc>
        <w:tc>
          <w:tcPr>
            <w:tcW w:w="5261" w:type="dxa"/>
          </w:tcPr>
          <w:p w14:paraId="3643D89E" w14:textId="4431C113" w:rsidR="00942B24" w:rsidRPr="008539E2" w:rsidRDefault="00942B24" w:rsidP="0050205A">
            <w:pPr>
              <w:keepNext/>
            </w:pPr>
            <w:r w:rsidRPr="008539E2">
              <w:rPr>
                <w:rFonts w:asciiTheme="minorHAnsi" w:eastAsiaTheme="minorHAnsi" w:hAnsiTheme="minorHAnsi" w:cstheme="minorBidi"/>
                <w:sz w:val="22"/>
                <w:szCs w:val="22"/>
                <w:lang w:val="en-US" w:eastAsia="en-US"/>
              </w:rPr>
              <w:t>Yes. Computer monitors still have a range of energy efficiencies</w:t>
            </w:r>
            <w:r w:rsidR="00D72EF7" w:rsidRPr="008539E2">
              <w:rPr>
                <w:rFonts w:asciiTheme="minorHAnsi" w:eastAsiaTheme="minorHAnsi" w:hAnsiTheme="minorHAnsi" w:cstheme="minorBidi"/>
                <w:sz w:val="22"/>
                <w:szCs w:val="22"/>
                <w:lang w:val="en-US" w:eastAsia="en-US"/>
              </w:rPr>
              <w:t>. Few</w:t>
            </w:r>
            <w:r w:rsidRPr="008539E2">
              <w:rPr>
                <w:rFonts w:asciiTheme="minorHAnsi" w:eastAsiaTheme="minorHAnsi" w:hAnsiTheme="minorHAnsi" w:cstheme="minorBidi"/>
                <w:sz w:val="22"/>
                <w:szCs w:val="22"/>
                <w:lang w:val="en-US" w:eastAsia="en-US"/>
              </w:rPr>
              <w:t xml:space="preserve"> </w:t>
            </w:r>
            <w:r w:rsidR="00677452" w:rsidRPr="008539E2">
              <w:rPr>
                <w:rFonts w:asciiTheme="minorHAnsi" w:eastAsiaTheme="minorHAnsi" w:hAnsiTheme="minorHAnsi" w:cstheme="minorBidi"/>
                <w:sz w:val="22"/>
                <w:szCs w:val="22"/>
                <w:lang w:val="en-US" w:eastAsia="en-US"/>
              </w:rPr>
              <w:t xml:space="preserve">are </w:t>
            </w:r>
            <w:r w:rsidRPr="008539E2">
              <w:rPr>
                <w:rFonts w:asciiTheme="minorHAnsi" w:eastAsiaTheme="minorHAnsi" w:hAnsiTheme="minorHAnsi" w:cstheme="minorBidi"/>
                <w:sz w:val="22"/>
                <w:szCs w:val="22"/>
                <w:lang w:val="en-US" w:eastAsia="en-US"/>
              </w:rPr>
              <w:t>1 star</w:t>
            </w:r>
          </w:p>
        </w:tc>
      </w:tr>
      <w:tr w:rsidR="00942B24" w:rsidRPr="008539E2" w14:paraId="4C1996E8" w14:textId="77777777" w:rsidTr="00864848">
        <w:tc>
          <w:tcPr>
            <w:tcW w:w="4815" w:type="dxa"/>
          </w:tcPr>
          <w:p w14:paraId="3E694A17" w14:textId="22DB6D70" w:rsidR="00942B24" w:rsidRPr="008539E2" w:rsidRDefault="00942B24" w:rsidP="00F9489D">
            <w:pPr>
              <w:keepNext/>
            </w:pPr>
            <w:r w:rsidRPr="008539E2">
              <w:rPr>
                <w:rFonts w:asciiTheme="minorHAnsi" w:eastAsiaTheme="minorHAnsi" w:hAnsiTheme="minorHAnsi" w:cstheme="minorBidi"/>
                <w:sz w:val="22"/>
                <w:szCs w:val="22"/>
                <w:lang w:val="en-US" w:eastAsia="en-US"/>
              </w:rPr>
              <w:t>Products are always compliant and easy to regulate</w:t>
            </w:r>
          </w:p>
        </w:tc>
        <w:tc>
          <w:tcPr>
            <w:tcW w:w="5261" w:type="dxa"/>
          </w:tcPr>
          <w:p w14:paraId="684C244D" w14:textId="58612BD5" w:rsidR="00942B24" w:rsidRPr="008539E2" w:rsidRDefault="00942B24" w:rsidP="00F9489D">
            <w:pPr>
              <w:keepNext/>
            </w:pPr>
            <w:r w:rsidRPr="008539E2">
              <w:rPr>
                <w:rFonts w:asciiTheme="minorHAnsi" w:eastAsiaTheme="minorHAnsi" w:hAnsiTheme="minorHAnsi" w:cstheme="minorBidi"/>
                <w:sz w:val="22"/>
                <w:szCs w:val="22"/>
                <w:lang w:val="en-US" w:eastAsia="en-US"/>
              </w:rPr>
              <w:t>Yes</w:t>
            </w:r>
          </w:p>
        </w:tc>
      </w:tr>
      <w:tr w:rsidR="00942B24" w:rsidRPr="008539E2" w14:paraId="2110F1A5" w14:textId="77777777" w:rsidTr="00864848">
        <w:tc>
          <w:tcPr>
            <w:tcW w:w="4815" w:type="dxa"/>
          </w:tcPr>
          <w:p w14:paraId="0CBF2291" w14:textId="77777777" w:rsidR="00942B24" w:rsidRPr="008539E2" w:rsidRDefault="00942B24" w:rsidP="00F9489D">
            <w:pPr>
              <w:keepNext/>
            </w:pPr>
            <w:r w:rsidRPr="008539E2">
              <w:rPr>
                <w:rFonts w:asciiTheme="minorHAnsi" w:eastAsiaTheme="minorHAnsi" w:hAnsiTheme="minorHAnsi" w:cstheme="minorBidi"/>
                <w:sz w:val="22"/>
                <w:szCs w:val="22"/>
                <w:lang w:val="en-US" w:eastAsia="en-US"/>
              </w:rPr>
              <w:t>Yearly regulatory cost of determination</w:t>
            </w:r>
          </w:p>
        </w:tc>
        <w:tc>
          <w:tcPr>
            <w:tcW w:w="5261" w:type="dxa"/>
          </w:tcPr>
          <w:p w14:paraId="116D16D0" w14:textId="58E09416" w:rsidR="00942B24" w:rsidRPr="008539E2" w:rsidRDefault="00942B24" w:rsidP="006B6142">
            <w:pPr>
              <w:keepNext/>
              <w:rPr>
                <w:rFonts w:asciiTheme="minorHAnsi" w:eastAsiaTheme="minorHAnsi" w:hAnsiTheme="minorHAnsi" w:cstheme="minorBidi"/>
                <w:sz w:val="22"/>
                <w:szCs w:val="22"/>
                <w:lang w:val="en-US" w:eastAsia="en-US"/>
              </w:rPr>
            </w:pPr>
            <w:r w:rsidRPr="008539E2">
              <w:rPr>
                <w:rFonts w:asciiTheme="minorHAnsi" w:eastAsiaTheme="minorHAnsi" w:hAnsiTheme="minorHAnsi" w:cstheme="minorBidi"/>
                <w:sz w:val="22"/>
                <w:szCs w:val="22"/>
                <w:lang w:val="en-US" w:eastAsia="en-US"/>
              </w:rPr>
              <w:t>Cost = $1,182,450 Benefit = $16,020,000</w:t>
            </w:r>
            <w:r w:rsidR="00677452" w:rsidRPr="008539E2">
              <w:rPr>
                <w:rFonts w:asciiTheme="minorHAnsi" w:eastAsiaTheme="minorHAnsi" w:hAnsiTheme="minorHAnsi" w:cstheme="minorBidi"/>
                <w:sz w:val="22"/>
                <w:szCs w:val="22"/>
                <w:lang w:val="en-US" w:eastAsia="en-US"/>
              </w:rPr>
              <w:br/>
            </w:r>
            <w:r w:rsidRPr="008539E2">
              <w:rPr>
                <w:rFonts w:asciiTheme="minorHAnsi" w:eastAsiaTheme="minorHAnsi" w:hAnsiTheme="minorHAnsi" w:cstheme="minorBidi"/>
                <w:sz w:val="22"/>
                <w:szCs w:val="22"/>
                <w:lang w:val="en-US" w:eastAsia="en-US"/>
              </w:rPr>
              <w:t>Net benefit =$14,837,550</w:t>
            </w:r>
          </w:p>
        </w:tc>
      </w:tr>
      <w:tr w:rsidR="00942B24" w:rsidRPr="008539E2" w14:paraId="5A69848E" w14:textId="77777777" w:rsidTr="00864848">
        <w:tc>
          <w:tcPr>
            <w:tcW w:w="4815" w:type="dxa"/>
          </w:tcPr>
          <w:p w14:paraId="221316BE" w14:textId="77777777" w:rsidR="00942B24" w:rsidRPr="008539E2" w:rsidRDefault="00942B24" w:rsidP="00F9489D">
            <w:pPr>
              <w:keepNext/>
            </w:pPr>
            <w:r w:rsidRPr="008539E2">
              <w:rPr>
                <w:rFonts w:asciiTheme="minorHAnsi" w:eastAsiaTheme="minorHAnsi" w:hAnsiTheme="minorHAnsi" w:cstheme="minorBidi"/>
                <w:sz w:val="22"/>
                <w:szCs w:val="22"/>
                <w:lang w:val="en-US" w:eastAsia="en-US"/>
              </w:rPr>
              <w:t>Risk of low efficiency imports</w:t>
            </w:r>
          </w:p>
        </w:tc>
        <w:tc>
          <w:tcPr>
            <w:tcW w:w="5261" w:type="dxa"/>
          </w:tcPr>
          <w:p w14:paraId="515C3BA8" w14:textId="77777777" w:rsidR="00942B24" w:rsidRPr="008539E2" w:rsidRDefault="00942B24" w:rsidP="00F9489D">
            <w:pPr>
              <w:keepNext/>
              <w:rPr>
                <w:rFonts w:asciiTheme="minorHAnsi" w:eastAsiaTheme="minorHAnsi" w:hAnsiTheme="minorHAnsi" w:cstheme="minorBidi"/>
                <w:sz w:val="22"/>
                <w:szCs w:val="22"/>
                <w:lang w:val="en-US" w:eastAsia="en-US"/>
              </w:rPr>
            </w:pPr>
            <w:r w:rsidRPr="008539E2">
              <w:rPr>
                <w:rFonts w:asciiTheme="minorHAnsi" w:eastAsiaTheme="minorHAnsi" w:hAnsiTheme="minorHAnsi" w:cstheme="minorBidi"/>
                <w:sz w:val="22"/>
                <w:szCs w:val="22"/>
                <w:lang w:val="en-US" w:eastAsia="en-US"/>
              </w:rPr>
              <w:t>Low</w:t>
            </w:r>
          </w:p>
        </w:tc>
      </w:tr>
      <w:tr w:rsidR="00942B24" w:rsidRPr="008539E2" w14:paraId="1F8D28B3" w14:textId="77777777" w:rsidTr="00864848">
        <w:tc>
          <w:tcPr>
            <w:tcW w:w="4815" w:type="dxa"/>
          </w:tcPr>
          <w:p w14:paraId="1D0F2457" w14:textId="77777777" w:rsidR="00942B24" w:rsidRPr="008539E2" w:rsidRDefault="00942B24" w:rsidP="00F9489D">
            <w:pPr>
              <w:keepNext/>
            </w:pPr>
            <w:r w:rsidRPr="008539E2">
              <w:rPr>
                <w:rFonts w:asciiTheme="minorHAnsi" w:eastAsiaTheme="minorHAnsi" w:hAnsiTheme="minorHAnsi" w:cstheme="minorBidi"/>
                <w:sz w:val="22"/>
                <w:szCs w:val="22"/>
                <w:lang w:val="en-US" w:eastAsia="en-US"/>
              </w:rPr>
              <w:t>Determination effective and efficient</w:t>
            </w:r>
          </w:p>
        </w:tc>
        <w:tc>
          <w:tcPr>
            <w:tcW w:w="5261" w:type="dxa"/>
          </w:tcPr>
          <w:p w14:paraId="68F1CE88" w14:textId="77777777" w:rsidR="00942B24" w:rsidRPr="008539E2" w:rsidRDefault="00942B24" w:rsidP="00F9489D">
            <w:pPr>
              <w:keepNext/>
            </w:pPr>
            <w:r w:rsidRPr="008539E2">
              <w:rPr>
                <w:rFonts w:asciiTheme="minorHAnsi" w:eastAsiaTheme="minorHAnsi" w:hAnsiTheme="minorHAnsi" w:cstheme="minorBidi"/>
                <w:sz w:val="22"/>
                <w:szCs w:val="22"/>
                <w:lang w:val="en-US" w:eastAsia="en-US"/>
              </w:rPr>
              <w:t>Yes for energy rating label. No for MEPS (too low).</w:t>
            </w:r>
          </w:p>
        </w:tc>
      </w:tr>
    </w:tbl>
    <w:p w14:paraId="055F2715" w14:textId="77777777" w:rsidR="00942B24" w:rsidRPr="008539E2" w:rsidRDefault="00942B24" w:rsidP="00942B24">
      <w:pPr>
        <w:pStyle w:val="NoSpacing"/>
      </w:pPr>
    </w:p>
    <w:p w14:paraId="157E5222" w14:textId="77777777" w:rsidR="00942B24" w:rsidRPr="008539E2" w:rsidRDefault="00942B24" w:rsidP="00942B24">
      <w:pPr>
        <w:pStyle w:val="Heading2"/>
        <w:spacing w:before="160"/>
        <w:rPr>
          <w:lang w:eastAsia="en-AU"/>
        </w:rPr>
      </w:pPr>
      <w:r w:rsidRPr="008539E2">
        <w:rPr>
          <w:lang w:eastAsia="en-AU"/>
        </w:rPr>
        <w:t>Cost Benefit Analysis</w:t>
      </w:r>
    </w:p>
    <w:p w14:paraId="405EDCB2" w14:textId="43C8D6B6" w:rsidR="00267AC1" w:rsidRPr="008539E2" w:rsidRDefault="00942B24" w:rsidP="00942B24">
      <w:r w:rsidRPr="008539E2">
        <w:t>The cost benefit analysis was calculated for the determination sunsetting, because this is the default if no action is taken</w:t>
      </w:r>
      <w:r w:rsidR="00267AC1" w:rsidRPr="008539E2">
        <w:t>.</w:t>
      </w:r>
    </w:p>
    <w:p w14:paraId="63F0265B" w14:textId="77777777" w:rsidR="00942B24" w:rsidRPr="008539E2" w:rsidRDefault="00942B24" w:rsidP="00942B24">
      <w:pPr>
        <w:pStyle w:val="Heading3"/>
        <w:spacing w:before="160" w:after="40"/>
        <w:rPr>
          <w:color w:val="auto"/>
        </w:rPr>
      </w:pPr>
      <w:r w:rsidRPr="008539E2">
        <w:rPr>
          <w:color w:val="auto"/>
        </w:rPr>
        <w:t>Table 2: Reduction in energy savings if the determination sunsets</w:t>
      </w:r>
    </w:p>
    <w:tbl>
      <w:tblPr>
        <w:tblStyle w:val="TableGrid"/>
        <w:tblW w:w="0" w:type="auto"/>
        <w:tblLook w:val="04A0" w:firstRow="1" w:lastRow="0" w:firstColumn="1" w:lastColumn="0" w:noHBand="0" w:noVBand="1"/>
        <w:tblCaption w:val="Table 2 Reduction in energy savings if the determination sets"/>
        <w:tblDescription w:val="This table summarises the reduction in energy and cost savings if the determination sunsets. This includes Australian sales per year, New Zealand sales per year, Cost of energy, Increase in Energy consumption, and total reduction in savings per year."/>
      </w:tblPr>
      <w:tblGrid>
        <w:gridCol w:w="1701"/>
        <w:gridCol w:w="1673"/>
        <w:gridCol w:w="1381"/>
        <w:gridCol w:w="2685"/>
        <w:gridCol w:w="2189"/>
      </w:tblGrid>
      <w:tr w:rsidR="00942B24" w:rsidRPr="008539E2" w14:paraId="3CD1071D" w14:textId="77777777" w:rsidTr="00F9489D">
        <w:tc>
          <w:tcPr>
            <w:tcW w:w="0" w:type="auto"/>
          </w:tcPr>
          <w:p w14:paraId="0EFC6C65" w14:textId="77777777" w:rsidR="00942B24" w:rsidRPr="008539E2" w:rsidRDefault="00942B24" w:rsidP="00F9489D">
            <w:pPr>
              <w:keepNext/>
              <w:rPr>
                <w:rFonts w:asciiTheme="minorHAnsi" w:eastAsiaTheme="minorHAnsi" w:hAnsiTheme="minorHAnsi" w:cstheme="minorBidi"/>
                <w:sz w:val="22"/>
                <w:szCs w:val="22"/>
                <w:lang w:val="en-US" w:eastAsia="en-US"/>
              </w:rPr>
            </w:pPr>
            <w:r w:rsidRPr="008539E2">
              <w:rPr>
                <w:rFonts w:asciiTheme="minorHAnsi" w:eastAsiaTheme="minorHAnsi" w:hAnsiTheme="minorHAnsi" w:cstheme="minorBidi"/>
                <w:sz w:val="22"/>
                <w:szCs w:val="22"/>
                <w:lang w:val="en-US" w:eastAsia="en-US"/>
              </w:rPr>
              <w:t xml:space="preserve">Australian Sales per year </w:t>
            </w:r>
          </w:p>
        </w:tc>
        <w:tc>
          <w:tcPr>
            <w:tcW w:w="0" w:type="auto"/>
          </w:tcPr>
          <w:p w14:paraId="04D7116C" w14:textId="77777777" w:rsidR="00942B24" w:rsidRPr="008539E2" w:rsidRDefault="00942B24" w:rsidP="00F9489D">
            <w:pPr>
              <w:keepNext/>
              <w:rPr>
                <w:rFonts w:asciiTheme="minorHAnsi" w:eastAsiaTheme="minorHAnsi" w:hAnsiTheme="minorHAnsi" w:cstheme="minorBidi"/>
                <w:sz w:val="22"/>
                <w:szCs w:val="22"/>
                <w:lang w:val="en-US" w:eastAsia="en-US"/>
              </w:rPr>
            </w:pPr>
            <w:r w:rsidRPr="008539E2">
              <w:rPr>
                <w:rFonts w:asciiTheme="minorHAnsi" w:eastAsiaTheme="minorHAnsi" w:hAnsiTheme="minorHAnsi" w:cstheme="minorBidi"/>
                <w:sz w:val="22"/>
                <w:szCs w:val="22"/>
                <w:lang w:val="en-US" w:eastAsia="en-US"/>
              </w:rPr>
              <w:t xml:space="preserve">New Zealand Sales per year </w:t>
            </w:r>
          </w:p>
        </w:tc>
        <w:tc>
          <w:tcPr>
            <w:tcW w:w="0" w:type="auto"/>
          </w:tcPr>
          <w:p w14:paraId="49C40E96" w14:textId="77777777" w:rsidR="00942B24" w:rsidRPr="008539E2" w:rsidRDefault="00942B24" w:rsidP="00F9489D">
            <w:pPr>
              <w:keepNext/>
              <w:rPr>
                <w:rFonts w:asciiTheme="minorHAnsi" w:eastAsiaTheme="minorHAnsi" w:hAnsiTheme="minorHAnsi" w:cstheme="minorBidi"/>
                <w:sz w:val="22"/>
                <w:szCs w:val="22"/>
                <w:lang w:val="en-US" w:eastAsia="en-US"/>
              </w:rPr>
            </w:pPr>
            <w:r w:rsidRPr="008539E2">
              <w:rPr>
                <w:rFonts w:asciiTheme="minorHAnsi" w:eastAsiaTheme="minorHAnsi" w:hAnsiTheme="minorHAnsi" w:cstheme="minorBidi"/>
                <w:sz w:val="22"/>
                <w:szCs w:val="22"/>
                <w:lang w:val="en-US" w:eastAsia="en-US"/>
              </w:rPr>
              <w:t>Cost of Energy (kWh)</w:t>
            </w:r>
          </w:p>
        </w:tc>
        <w:tc>
          <w:tcPr>
            <w:tcW w:w="0" w:type="auto"/>
          </w:tcPr>
          <w:p w14:paraId="01706CBC" w14:textId="77777777" w:rsidR="00942B24" w:rsidRPr="008539E2" w:rsidRDefault="00942B24" w:rsidP="00F9489D">
            <w:pPr>
              <w:keepNext/>
              <w:rPr>
                <w:rFonts w:asciiTheme="minorHAnsi" w:eastAsiaTheme="minorHAnsi" w:hAnsiTheme="minorHAnsi" w:cstheme="minorBidi"/>
                <w:sz w:val="22"/>
                <w:szCs w:val="22"/>
                <w:lang w:val="en-US" w:eastAsia="en-US"/>
              </w:rPr>
            </w:pPr>
            <w:r w:rsidRPr="008539E2">
              <w:rPr>
                <w:rFonts w:asciiTheme="minorHAnsi" w:eastAsiaTheme="minorHAnsi" w:hAnsiTheme="minorHAnsi" w:cstheme="minorBidi"/>
                <w:sz w:val="22"/>
                <w:szCs w:val="22"/>
                <w:lang w:val="en-US" w:eastAsia="en-US"/>
              </w:rPr>
              <w:t>Increase Energy Consumption (kWh over a year)</w:t>
            </w:r>
          </w:p>
        </w:tc>
        <w:tc>
          <w:tcPr>
            <w:tcW w:w="0" w:type="auto"/>
          </w:tcPr>
          <w:p w14:paraId="51080C69" w14:textId="77777777" w:rsidR="00942B24" w:rsidRPr="008539E2" w:rsidRDefault="00942B24" w:rsidP="00F9489D">
            <w:pPr>
              <w:keepNext/>
              <w:rPr>
                <w:rFonts w:asciiTheme="minorHAnsi" w:eastAsiaTheme="minorHAnsi" w:hAnsiTheme="minorHAnsi" w:cstheme="minorBidi"/>
                <w:sz w:val="22"/>
                <w:szCs w:val="22"/>
                <w:lang w:val="en-US" w:eastAsia="en-US"/>
              </w:rPr>
            </w:pPr>
            <w:r w:rsidRPr="008539E2">
              <w:rPr>
                <w:rFonts w:asciiTheme="minorHAnsi" w:eastAsiaTheme="minorHAnsi" w:hAnsiTheme="minorHAnsi" w:cstheme="minorBidi"/>
                <w:sz w:val="22"/>
                <w:szCs w:val="22"/>
                <w:lang w:val="en-US" w:eastAsia="en-US"/>
              </w:rPr>
              <w:t>Total reduction in savings per year</w:t>
            </w:r>
          </w:p>
        </w:tc>
      </w:tr>
      <w:tr w:rsidR="00942B24" w:rsidRPr="008539E2" w14:paraId="42BD122C" w14:textId="77777777" w:rsidTr="00F9489D">
        <w:tc>
          <w:tcPr>
            <w:tcW w:w="0" w:type="auto"/>
          </w:tcPr>
          <w:p w14:paraId="3A0AC937" w14:textId="77777777" w:rsidR="00942B24" w:rsidRPr="008539E2" w:rsidRDefault="00942B24" w:rsidP="00F9489D">
            <w:pPr>
              <w:rPr>
                <w:rFonts w:asciiTheme="minorHAnsi" w:eastAsiaTheme="minorHAnsi" w:hAnsiTheme="minorHAnsi" w:cstheme="minorBidi"/>
                <w:sz w:val="22"/>
                <w:szCs w:val="22"/>
                <w:lang w:val="en-US" w:eastAsia="en-US"/>
              </w:rPr>
            </w:pPr>
            <w:r w:rsidRPr="008539E2">
              <w:rPr>
                <w:rFonts w:asciiTheme="minorHAnsi" w:eastAsiaTheme="minorHAnsi" w:hAnsiTheme="minorHAnsi" w:cstheme="minorBidi"/>
                <w:sz w:val="22"/>
                <w:szCs w:val="22"/>
                <w:lang w:val="en-US" w:eastAsia="en-US"/>
              </w:rPr>
              <w:t>890,000</w:t>
            </w:r>
          </w:p>
        </w:tc>
        <w:tc>
          <w:tcPr>
            <w:tcW w:w="0" w:type="auto"/>
          </w:tcPr>
          <w:p w14:paraId="4AD6091D" w14:textId="77777777" w:rsidR="00942B24" w:rsidRPr="008539E2" w:rsidRDefault="00942B24" w:rsidP="00F9489D">
            <w:pPr>
              <w:rPr>
                <w:rFonts w:asciiTheme="minorHAnsi" w:eastAsiaTheme="minorHAnsi" w:hAnsiTheme="minorHAnsi" w:cstheme="minorBidi"/>
                <w:sz w:val="22"/>
                <w:szCs w:val="22"/>
                <w:lang w:val="en-US" w:eastAsia="en-US"/>
              </w:rPr>
            </w:pPr>
            <w:r w:rsidRPr="008539E2">
              <w:rPr>
                <w:rFonts w:asciiTheme="minorHAnsi" w:eastAsiaTheme="minorHAnsi" w:hAnsiTheme="minorHAnsi" w:cstheme="minorBidi"/>
                <w:sz w:val="22"/>
                <w:szCs w:val="22"/>
                <w:lang w:val="en-US" w:eastAsia="en-US"/>
              </w:rPr>
              <w:t>330,000</w:t>
            </w:r>
          </w:p>
        </w:tc>
        <w:tc>
          <w:tcPr>
            <w:tcW w:w="0" w:type="auto"/>
          </w:tcPr>
          <w:p w14:paraId="102877FA" w14:textId="77777777" w:rsidR="00942B24" w:rsidRPr="008539E2" w:rsidRDefault="00942B24" w:rsidP="00F9489D">
            <w:pPr>
              <w:rPr>
                <w:rFonts w:asciiTheme="minorHAnsi" w:eastAsiaTheme="minorHAnsi" w:hAnsiTheme="minorHAnsi" w:cstheme="minorBidi"/>
                <w:sz w:val="22"/>
                <w:szCs w:val="22"/>
                <w:lang w:val="en-US" w:eastAsia="en-US"/>
              </w:rPr>
            </w:pPr>
            <w:r w:rsidRPr="008539E2">
              <w:rPr>
                <w:rFonts w:asciiTheme="minorHAnsi" w:eastAsiaTheme="minorHAnsi" w:hAnsiTheme="minorHAnsi" w:cstheme="minorBidi"/>
                <w:sz w:val="22"/>
                <w:szCs w:val="22"/>
                <w:lang w:val="en-US" w:eastAsia="en-US"/>
              </w:rPr>
              <w:t>$0.30</w:t>
            </w:r>
          </w:p>
        </w:tc>
        <w:tc>
          <w:tcPr>
            <w:tcW w:w="0" w:type="auto"/>
          </w:tcPr>
          <w:p w14:paraId="7B8F6E82" w14:textId="77777777" w:rsidR="00942B24" w:rsidRPr="008539E2" w:rsidRDefault="00942B24" w:rsidP="00F9489D">
            <w:pPr>
              <w:rPr>
                <w:rFonts w:asciiTheme="minorHAnsi" w:eastAsiaTheme="minorHAnsi" w:hAnsiTheme="minorHAnsi" w:cstheme="minorBidi"/>
                <w:sz w:val="22"/>
                <w:szCs w:val="22"/>
                <w:lang w:val="en-US" w:eastAsia="en-US"/>
              </w:rPr>
            </w:pPr>
            <w:r w:rsidRPr="008539E2">
              <w:rPr>
                <w:rFonts w:asciiTheme="minorHAnsi" w:eastAsiaTheme="minorHAnsi" w:hAnsiTheme="minorHAnsi" w:cstheme="minorBidi"/>
                <w:sz w:val="22"/>
                <w:szCs w:val="22"/>
                <w:lang w:val="en-US" w:eastAsia="en-US"/>
              </w:rPr>
              <w:t>40</w:t>
            </w:r>
          </w:p>
        </w:tc>
        <w:tc>
          <w:tcPr>
            <w:tcW w:w="0" w:type="auto"/>
          </w:tcPr>
          <w:p w14:paraId="488F7660" w14:textId="77777777" w:rsidR="00942B24" w:rsidRPr="008539E2" w:rsidRDefault="00942B24" w:rsidP="00F9489D">
            <w:pPr>
              <w:rPr>
                <w:rFonts w:asciiTheme="minorHAnsi" w:eastAsiaTheme="minorHAnsi" w:hAnsiTheme="minorHAnsi" w:cstheme="minorBidi"/>
                <w:sz w:val="22"/>
                <w:szCs w:val="22"/>
                <w:lang w:val="en-US" w:eastAsia="en-US"/>
              </w:rPr>
            </w:pPr>
            <w:r w:rsidRPr="008539E2">
              <w:rPr>
                <w:rFonts w:asciiTheme="minorHAnsi" w:eastAsiaTheme="minorHAnsi" w:hAnsiTheme="minorHAnsi" w:cstheme="minorBidi"/>
                <w:sz w:val="22"/>
                <w:szCs w:val="22"/>
                <w:lang w:val="en-US" w:eastAsia="en-US"/>
              </w:rPr>
              <w:t>$16,020,000</w:t>
            </w:r>
          </w:p>
        </w:tc>
      </w:tr>
    </w:tbl>
    <w:p w14:paraId="6A6EFEE5" w14:textId="77777777" w:rsidR="00942B24" w:rsidRPr="008539E2" w:rsidRDefault="00942B24" w:rsidP="00942B24">
      <w:pPr>
        <w:pStyle w:val="Heading3"/>
        <w:spacing w:before="160" w:after="40"/>
        <w:rPr>
          <w:color w:val="auto"/>
        </w:rPr>
      </w:pPr>
      <w:r w:rsidRPr="008539E2">
        <w:rPr>
          <w:color w:val="auto"/>
        </w:rPr>
        <w:t>Table 3: Reduction in regulatory costs if the determination sunsets</w:t>
      </w:r>
    </w:p>
    <w:tbl>
      <w:tblPr>
        <w:tblStyle w:val="TableGrid"/>
        <w:tblW w:w="0" w:type="auto"/>
        <w:tblLook w:val="04A0" w:firstRow="1" w:lastRow="0" w:firstColumn="1" w:lastColumn="0" w:noHBand="0" w:noVBand="1"/>
        <w:tblCaption w:val="Table 3 Reduction in regulatory costs if the determination sunsets"/>
        <w:tblDescription w:val="This table summarises the reduction in regulatory costs if the determination sunsets. This includes administrative costs to business, registration fees, cost of testing, cost to government and the total reduction in cost per year."/>
      </w:tblPr>
      <w:tblGrid>
        <w:gridCol w:w="2292"/>
        <w:gridCol w:w="2141"/>
        <w:gridCol w:w="1680"/>
        <w:gridCol w:w="1750"/>
        <w:gridCol w:w="1766"/>
      </w:tblGrid>
      <w:tr w:rsidR="00942B24" w:rsidRPr="008539E2" w14:paraId="6DF0125E" w14:textId="77777777" w:rsidTr="00F9489D">
        <w:tc>
          <w:tcPr>
            <w:tcW w:w="0" w:type="auto"/>
          </w:tcPr>
          <w:p w14:paraId="3F357A06" w14:textId="77777777" w:rsidR="00942B24" w:rsidRPr="008539E2" w:rsidRDefault="00942B24" w:rsidP="00F9489D">
            <w:pPr>
              <w:rPr>
                <w:rFonts w:asciiTheme="minorHAnsi" w:eastAsiaTheme="minorHAnsi" w:hAnsiTheme="minorHAnsi" w:cstheme="minorBidi"/>
                <w:sz w:val="22"/>
                <w:szCs w:val="22"/>
                <w:lang w:val="en-US" w:eastAsia="en-US"/>
              </w:rPr>
            </w:pPr>
            <w:r w:rsidRPr="008539E2">
              <w:rPr>
                <w:rFonts w:asciiTheme="minorHAnsi" w:eastAsiaTheme="minorHAnsi" w:hAnsiTheme="minorHAnsi" w:cstheme="minorBidi"/>
                <w:sz w:val="22"/>
                <w:szCs w:val="22"/>
                <w:lang w:val="en-US" w:eastAsia="en-US"/>
              </w:rPr>
              <w:t xml:space="preserve">Administrative Cost to Business per year. </w:t>
            </w:r>
          </w:p>
        </w:tc>
        <w:tc>
          <w:tcPr>
            <w:tcW w:w="0" w:type="auto"/>
          </w:tcPr>
          <w:p w14:paraId="01970210" w14:textId="77777777" w:rsidR="00942B24" w:rsidRPr="008539E2" w:rsidRDefault="00942B24" w:rsidP="00F9489D">
            <w:pPr>
              <w:rPr>
                <w:rFonts w:asciiTheme="minorHAnsi" w:eastAsiaTheme="minorHAnsi" w:hAnsiTheme="minorHAnsi" w:cstheme="minorBidi"/>
                <w:sz w:val="22"/>
                <w:szCs w:val="22"/>
                <w:lang w:val="en-US" w:eastAsia="en-US"/>
              </w:rPr>
            </w:pPr>
            <w:r w:rsidRPr="008539E2">
              <w:rPr>
                <w:rFonts w:asciiTheme="minorHAnsi" w:eastAsiaTheme="minorHAnsi" w:hAnsiTheme="minorHAnsi" w:cstheme="minorBidi"/>
                <w:sz w:val="22"/>
                <w:szCs w:val="22"/>
                <w:lang w:val="en-US" w:eastAsia="en-US"/>
              </w:rPr>
              <w:t>Cost to Business Registration fees per year.</w:t>
            </w:r>
          </w:p>
        </w:tc>
        <w:tc>
          <w:tcPr>
            <w:tcW w:w="0" w:type="auto"/>
          </w:tcPr>
          <w:p w14:paraId="1936D70A" w14:textId="77777777" w:rsidR="00942B24" w:rsidRPr="008539E2" w:rsidRDefault="00942B24" w:rsidP="00F9489D">
            <w:pPr>
              <w:rPr>
                <w:rFonts w:asciiTheme="minorHAnsi" w:eastAsiaTheme="minorHAnsi" w:hAnsiTheme="minorHAnsi" w:cstheme="minorBidi"/>
                <w:sz w:val="22"/>
                <w:szCs w:val="22"/>
                <w:lang w:val="en-US" w:eastAsia="en-US"/>
              </w:rPr>
            </w:pPr>
            <w:r w:rsidRPr="008539E2">
              <w:rPr>
                <w:rFonts w:asciiTheme="minorHAnsi" w:eastAsiaTheme="minorHAnsi" w:hAnsiTheme="minorHAnsi" w:cstheme="minorBidi"/>
                <w:sz w:val="22"/>
                <w:szCs w:val="22"/>
                <w:lang w:val="en-US" w:eastAsia="en-US"/>
              </w:rPr>
              <w:t>Cost to Business testing per year.</w:t>
            </w:r>
          </w:p>
        </w:tc>
        <w:tc>
          <w:tcPr>
            <w:tcW w:w="0" w:type="auto"/>
          </w:tcPr>
          <w:p w14:paraId="67E44916" w14:textId="77777777" w:rsidR="00942B24" w:rsidRPr="008539E2" w:rsidRDefault="00942B24" w:rsidP="00F9489D">
            <w:pPr>
              <w:rPr>
                <w:rFonts w:asciiTheme="minorHAnsi" w:eastAsiaTheme="minorHAnsi" w:hAnsiTheme="minorHAnsi" w:cstheme="minorBidi"/>
                <w:sz w:val="22"/>
                <w:szCs w:val="22"/>
                <w:lang w:val="en-US" w:eastAsia="en-US"/>
              </w:rPr>
            </w:pPr>
            <w:r w:rsidRPr="008539E2">
              <w:rPr>
                <w:rFonts w:asciiTheme="minorHAnsi" w:eastAsiaTheme="minorHAnsi" w:hAnsiTheme="minorHAnsi" w:cstheme="minorBidi"/>
                <w:sz w:val="22"/>
                <w:szCs w:val="22"/>
                <w:lang w:val="en-US" w:eastAsia="en-US"/>
              </w:rPr>
              <w:t xml:space="preserve">Government cost per year </w:t>
            </w:r>
          </w:p>
        </w:tc>
        <w:tc>
          <w:tcPr>
            <w:tcW w:w="0" w:type="auto"/>
          </w:tcPr>
          <w:p w14:paraId="3BD4CE03" w14:textId="77777777" w:rsidR="00942B24" w:rsidRPr="008539E2" w:rsidRDefault="00942B24" w:rsidP="00F9489D">
            <w:pPr>
              <w:rPr>
                <w:rFonts w:asciiTheme="minorHAnsi" w:eastAsiaTheme="minorHAnsi" w:hAnsiTheme="minorHAnsi" w:cstheme="minorBidi"/>
                <w:sz w:val="22"/>
                <w:szCs w:val="22"/>
                <w:lang w:val="en-US" w:eastAsia="en-US"/>
              </w:rPr>
            </w:pPr>
            <w:r w:rsidRPr="008539E2">
              <w:rPr>
                <w:rFonts w:asciiTheme="minorHAnsi" w:eastAsiaTheme="minorHAnsi" w:hAnsiTheme="minorHAnsi" w:cstheme="minorBidi"/>
                <w:sz w:val="22"/>
                <w:szCs w:val="22"/>
                <w:lang w:val="en-US" w:eastAsia="en-US"/>
              </w:rPr>
              <w:t xml:space="preserve">Total reduction in cost per year </w:t>
            </w:r>
          </w:p>
        </w:tc>
      </w:tr>
      <w:tr w:rsidR="00942B24" w:rsidRPr="008539E2" w14:paraId="1804C6B9" w14:textId="77777777" w:rsidTr="00F9489D">
        <w:tc>
          <w:tcPr>
            <w:tcW w:w="0" w:type="auto"/>
          </w:tcPr>
          <w:p w14:paraId="2DFD92B7" w14:textId="77777777" w:rsidR="00942B24" w:rsidRPr="008539E2" w:rsidRDefault="00942B24" w:rsidP="00F9489D">
            <w:pPr>
              <w:rPr>
                <w:rFonts w:asciiTheme="minorHAnsi" w:eastAsiaTheme="minorHAnsi" w:hAnsiTheme="minorHAnsi" w:cstheme="minorBidi"/>
                <w:sz w:val="22"/>
                <w:szCs w:val="22"/>
                <w:lang w:val="en-US" w:eastAsia="en-US"/>
              </w:rPr>
            </w:pPr>
            <w:r w:rsidRPr="008539E2">
              <w:rPr>
                <w:rFonts w:asciiTheme="minorHAnsi" w:eastAsiaTheme="minorHAnsi" w:hAnsiTheme="minorHAnsi" w:cstheme="minorBidi"/>
                <w:sz w:val="22"/>
                <w:szCs w:val="22"/>
                <w:lang w:val="en-US" w:eastAsia="en-US"/>
              </w:rPr>
              <w:t>$189,000</w:t>
            </w:r>
          </w:p>
        </w:tc>
        <w:tc>
          <w:tcPr>
            <w:tcW w:w="0" w:type="auto"/>
          </w:tcPr>
          <w:p w14:paraId="73F245FA" w14:textId="77777777" w:rsidR="00942B24" w:rsidRPr="008539E2" w:rsidRDefault="00942B24" w:rsidP="00F9489D">
            <w:pPr>
              <w:rPr>
                <w:rFonts w:asciiTheme="minorHAnsi" w:eastAsiaTheme="minorHAnsi" w:hAnsiTheme="minorHAnsi" w:cstheme="minorBidi"/>
                <w:sz w:val="22"/>
                <w:szCs w:val="22"/>
                <w:lang w:val="en-US" w:eastAsia="en-US"/>
              </w:rPr>
            </w:pPr>
            <w:r w:rsidRPr="008539E2">
              <w:rPr>
                <w:rFonts w:asciiTheme="minorHAnsi" w:eastAsiaTheme="minorHAnsi" w:hAnsiTheme="minorHAnsi" w:cstheme="minorBidi"/>
                <w:sz w:val="22"/>
                <w:szCs w:val="22"/>
                <w:lang w:val="en-US" w:eastAsia="en-US"/>
              </w:rPr>
              <w:t>$118,800</w:t>
            </w:r>
          </w:p>
        </w:tc>
        <w:tc>
          <w:tcPr>
            <w:tcW w:w="0" w:type="auto"/>
          </w:tcPr>
          <w:p w14:paraId="30737D4F" w14:textId="77777777" w:rsidR="00942B24" w:rsidRPr="008539E2" w:rsidRDefault="00942B24" w:rsidP="00F9489D">
            <w:pPr>
              <w:rPr>
                <w:rFonts w:asciiTheme="minorHAnsi" w:eastAsiaTheme="minorHAnsi" w:hAnsiTheme="minorHAnsi" w:cstheme="minorBidi"/>
                <w:sz w:val="22"/>
                <w:szCs w:val="22"/>
                <w:lang w:val="en-US" w:eastAsia="en-US"/>
              </w:rPr>
            </w:pPr>
            <w:r w:rsidRPr="008539E2">
              <w:rPr>
                <w:rFonts w:asciiTheme="minorHAnsi" w:eastAsiaTheme="minorHAnsi" w:hAnsiTheme="minorHAnsi" w:cstheme="minorBidi"/>
                <w:sz w:val="22"/>
                <w:szCs w:val="22"/>
                <w:lang w:val="en-US" w:eastAsia="en-US"/>
              </w:rPr>
              <w:t>$715,500</w:t>
            </w:r>
          </w:p>
        </w:tc>
        <w:tc>
          <w:tcPr>
            <w:tcW w:w="0" w:type="auto"/>
          </w:tcPr>
          <w:p w14:paraId="599B1258" w14:textId="77777777" w:rsidR="00942B24" w:rsidRPr="008539E2" w:rsidRDefault="00942B24" w:rsidP="00F9489D">
            <w:pPr>
              <w:rPr>
                <w:rFonts w:asciiTheme="minorHAnsi" w:eastAsiaTheme="minorHAnsi" w:hAnsiTheme="minorHAnsi" w:cstheme="minorBidi"/>
                <w:sz w:val="22"/>
                <w:szCs w:val="22"/>
                <w:lang w:val="en-US" w:eastAsia="en-US"/>
              </w:rPr>
            </w:pPr>
            <w:r w:rsidRPr="008539E2">
              <w:rPr>
                <w:rFonts w:asciiTheme="minorHAnsi" w:eastAsiaTheme="minorHAnsi" w:hAnsiTheme="minorHAnsi" w:cstheme="minorBidi"/>
                <w:sz w:val="22"/>
                <w:szCs w:val="22"/>
                <w:lang w:val="en-US" w:eastAsia="en-US"/>
              </w:rPr>
              <w:t>$159,150</w:t>
            </w:r>
          </w:p>
        </w:tc>
        <w:tc>
          <w:tcPr>
            <w:tcW w:w="0" w:type="auto"/>
          </w:tcPr>
          <w:p w14:paraId="2D1BA139" w14:textId="77777777" w:rsidR="00942B24" w:rsidRPr="008539E2" w:rsidRDefault="00942B24" w:rsidP="00F9489D">
            <w:pPr>
              <w:rPr>
                <w:rFonts w:asciiTheme="minorHAnsi" w:eastAsiaTheme="minorHAnsi" w:hAnsiTheme="minorHAnsi" w:cstheme="minorBidi"/>
                <w:sz w:val="22"/>
                <w:szCs w:val="22"/>
                <w:lang w:val="en-US" w:eastAsia="en-US"/>
              </w:rPr>
            </w:pPr>
            <w:r w:rsidRPr="008539E2">
              <w:rPr>
                <w:rFonts w:asciiTheme="minorHAnsi" w:eastAsiaTheme="minorHAnsi" w:hAnsiTheme="minorHAnsi" w:cstheme="minorBidi"/>
                <w:sz w:val="22"/>
                <w:szCs w:val="22"/>
                <w:lang w:val="en-US" w:eastAsia="en-US"/>
              </w:rPr>
              <w:t>$1,182,450</w:t>
            </w:r>
          </w:p>
        </w:tc>
      </w:tr>
    </w:tbl>
    <w:p w14:paraId="0A4877D5" w14:textId="77777777" w:rsidR="00942B24" w:rsidRPr="008539E2" w:rsidRDefault="00942B24" w:rsidP="00942B24">
      <w:pPr>
        <w:pStyle w:val="NoSpacing"/>
      </w:pPr>
    </w:p>
    <w:p w14:paraId="1929EAF1" w14:textId="77777777" w:rsidR="00942B24" w:rsidRPr="008539E2" w:rsidRDefault="00942B24" w:rsidP="00942B24">
      <w:pPr>
        <w:pStyle w:val="Heading4"/>
        <w:spacing w:after="120"/>
        <w:rPr>
          <w:lang w:eastAsia="en-AU"/>
        </w:rPr>
      </w:pPr>
      <w:r w:rsidRPr="008539E2">
        <w:rPr>
          <w:lang w:eastAsia="en-AU"/>
        </w:rPr>
        <w:t xml:space="preserve">Annual energy savings because of the determination </w:t>
      </w:r>
    </w:p>
    <w:p w14:paraId="7826DABE" w14:textId="5E14E6A3" w:rsidR="00942B24" w:rsidRPr="008539E2" w:rsidRDefault="00942B24" w:rsidP="00942B24">
      <w:pPr>
        <w:rPr>
          <w:lang w:eastAsia="en-AU"/>
        </w:rPr>
      </w:pPr>
      <w:r w:rsidRPr="008539E2">
        <w:rPr>
          <w:lang w:eastAsia="en-AU"/>
        </w:rPr>
        <w:t xml:space="preserve">The annual energy savings realised because of the determination is 40 kWh per computer monitor. This figure was provided by </w:t>
      </w:r>
      <w:r w:rsidR="00175358" w:rsidRPr="008539E2">
        <w:rPr>
          <w:lang w:eastAsia="en-AU"/>
        </w:rPr>
        <w:t>New Zealand</w:t>
      </w:r>
      <w:r w:rsidRPr="008539E2">
        <w:rPr>
          <w:lang w:eastAsia="en-AU"/>
        </w:rPr>
        <w:t xml:space="preserve"> and is estimated from New Zealand efficiencies and sales data. This figure was used as a proxy for the Australian market and the energy savings from computer monitors sold in Australia.</w:t>
      </w:r>
    </w:p>
    <w:p w14:paraId="05A297E6" w14:textId="77777777" w:rsidR="00942B24" w:rsidRPr="008539E2" w:rsidRDefault="00942B24" w:rsidP="00942B24">
      <w:pPr>
        <w:pStyle w:val="Heading4"/>
        <w:spacing w:after="120"/>
        <w:rPr>
          <w:lang w:eastAsia="en-AU"/>
        </w:rPr>
      </w:pPr>
      <w:r w:rsidRPr="008539E2">
        <w:rPr>
          <w:lang w:eastAsia="en-AU"/>
        </w:rPr>
        <w:t>Sales and Registration</w:t>
      </w:r>
    </w:p>
    <w:p w14:paraId="34E0C1FE" w14:textId="7DDF1483" w:rsidR="00900237" w:rsidRPr="008539E2" w:rsidRDefault="00942B24" w:rsidP="00267AC1">
      <w:r w:rsidRPr="008539E2">
        <w:t xml:space="preserve">Annual retail sales of computer monitors is </w:t>
      </w:r>
      <w:r w:rsidR="00D72EF7" w:rsidRPr="008539E2">
        <w:t xml:space="preserve">estimated </w:t>
      </w:r>
      <w:r w:rsidRPr="008539E2">
        <w:t xml:space="preserve">to be 445,000 per year based on GfK data. The GfK data, however, is only for retail sales and does not include commercial sales. </w:t>
      </w:r>
      <w:r w:rsidR="0034731D" w:rsidRPr="008539E2">
        <w:t xml:space="preserve">There is no readily available data for commercial sales, so </w:t>
      </w:r>
      <w:r w:rsidR="004E2FA2" w:rsidRPr="008539E2">
        <w:t xml:space="preserve">this high level analysis assumes that </w:t>
      </w:r>
      <w:r w:rsidRPr="008539E2">
        <w:t>commercial sales</w:t>
      </w:r>
      <w:r w:rsidR="004E2FA2" w:rsidRPr="008539E2">
        <w:t xml:space="preserve"> equal</w:t>
      </w:r>
      <w:r w:rsidRPr="008539E2">
        <w:t xml:space="preserve"> retail sales.</w:t>
      </w:r>
    </w:p>
    <w:p w14:paraId="12B26702" w14:textId="551E1E33" w:rsidR="00267AC1" w:rsidRPr="008539E2" w:rsidRDefault="00267AC1" w:rsidP="00267AC1">
      <w:r w:rsidRPr="008539E2">
        <w:t xml:space="preserve">There has been a steady increase in monitor sales over the </w:t>
      </w:r>
      <w:r w:rsidR="00D72EF7" w:rsidRPr="008539E2">
        <w:t xml:space="preserve">period </w:t>
      </w:r>
      <w:r w:rsidRPr="008539E2">
        <w:t xml:space="preserve">of the determination. </w:t>
      </w:r>
      <w:r w:rsidR="00175358" w:rsidRPr="008539E2">
        <w:t>Computer monitors are assumed to be replaced every five years</w:t>
      </w:r>
      <w:r w:rsidR="00D72EF7" w:rsidRPr="008539E2">
        <w:t xml:space="preserve"> on average</w:t>
      </w:r>
      <w:r w:rsidR="00175358" w:rsidRPr="008539E2">
        <w:t>.</w:t>
      </w:r>
    </w:p>
    <w:p w14:paraId="61267E15" w14:textId="7F798029" w:rsidR="00267AC1" w:rsidRPr="008539E2" w:rsidRDefault="00175358" w:rsidP="00267AC1">
      <w:r w:rsidRPr="008539E2">
        <w:t xml:space="preserve">The Australian and New Zealand computer markets are small compared with the international market. </w:t>
      </w:r>
      <w:r w:rsidR="00267AC1" w:rsidRPr="008539E2">
        <w:t>There were over 16 million computer monitors imported into Australia from 2010 to 2019</w:t>
      </w:r>
      <w:r w:rsidRPr="008539E2">
        <w:t>.</w:t>
      </w:r>
      <w:r w:rsidR="00267AC1" w:rsidRPr="008539E2">
        <w:t xml:space="preserve"> This includes computer monitors that are out of scope of the determination, such as digital signage.</w:t>
      </w:r>
    </w:p>
    <w:p w14:paraId="1A48F77F" w14:textId="136B3631" w:rsidR="00942B24" w:rsidRPr="008539E2" w:rsidRDefault="00942B24" w:rsidP="00175358">
      <w:r w:rsidRPr="008539E2">
        <w:t>The number of monitors registered under GEMS is 270 per year. The registration fee cost to business is $440 per registration.</w:t>
      </w:r>
    </w:p>
    <w:p w14:paraId="7C4B794E" w14:textId="77777777" w:rsidR="00942B24" w:rsidRPr="008539E2" w:rsidRDefault="00942B24" w:rsidP="00942B24">
      <w:pPr>
        <w:pStyle w:val="Heading4"/>
        <w:spacing w:after="120"/>
        <w:rPr>
          <w:lang w:eastAsia="en-AU"/>
        </w:rPr>
      </w:pPr>
      <w:r w:rsidRPr="008539E2">
        <w:rPr>
          <w:lang w:eastAsia="en-AU"/>
        </w:rPr>
        <w:t>Cost to Business</w:t>
      </w:r>
    </w:p>
    <w:p w14:paraId="3A9B3214" w14:textId="360FD64D" w:rsidR="00942B24" w:rsidRPr="008539E2" w:rsidRDefault="00942B24" w:rsidP="0050205A">
      <w:r w:rsidRPr="008539E2">
        <w:t xml:space="preserve">It is assumed there is no additional cost to business for new software, training or changes to administrative practices, because the determination has been in operation since 2014. The administrative cost to business of registration, compliance and labelling </w:t>
      </w:r>
      <w:r w:rsidR="00D72EF7" w:rsidRPr="008539E2">
        <w:t xml:space="preserve">is </w:t>
      </w:r>
      <w:r w:rsidRPr="008539E2">
        <w:t xml:space="preserve">estimated </w:t>
      </w:r>
      <w:r w:rsidR="00D72EF7" w:rsidRPr="008539E2">
        <w:t xml:space="preserve">to be </w:t>
      </w:r>
      <w:r w:rsidRPr="008539E2">
        <w:t>$189,000 per year.</w:t>
      </w:r>
    </w:p>
    <w:p w14:paraId="6EDD09B2" w14:textId="3A1A6935" w:rsidR="00942B24" w:rsidRPr="008539E2" w:rsidRDefault="00942B24" w:rsidP="00942B24">
      <w:r w:rsidRPr="008539E2">
        <w:t>The cost to business of testing a monitor in an approved laboratory is $2,650, based on GEMS compliance costs.</w:t>
      </w:r>
      <w:r w:rsidRPr="008539E2">
        <w:rPr>
          <w:rFonts w:ascii="Arial" w:hAnsi="Arial" w:cs="Arial"/>
        </w:rPr>
        <w:t xml:space="preserve"> </w:t>
      </w:r>
      <w:r w:rsidRPr="008539E2">
        <w:t xml:space="preserve">It is assumed that all registered products require testing. The total cost to business of the determination is </w:t>
      </w:r>
      <w:r w:rsidR="00916975" w:rsidRPr="008539E2">
        <w:t xml:space="preserve">estimated to be </w:t>
      </w:r>
      <w:r w:rsidRPr="008539E2">
        <w:t>$1,023,300 per year.</w:t>
      </w:r>
    </w:p>
    <w:p w14:paraId="30C9E91A" w14:textId="77777777" w:rsidR="00942B24" w:rsidRPr="008539E2" w:rsidRDefault="00942B24" w:rsidP="00942B24">
      <w:pPr>
        <w:pStyle w:val="Heading4"/>
        <w:spacing w:after="120"/>
        <w:rPr>
          <w:lang w:eastAsia="en-AU"/>
        </w:rPr>
      </w:pPr>
      <w:r w:rsidRPr="008539E2">
        <w:rPr>
          <w:lang w:eastAsia="en-AU"/>
        </w:rPr>
        <w:t>Cost to Government</w:t>
      </w:r>
    </w:p>
    <w:p w14:paraId="4D00529A" w14:textId="189D2004" w:rsidR="00942B24" w:rsidRPr="008539E2" w:rsidRDefault="00942B24" w:rsidP="00942B24">
      <w:r w:rsidRPr="008539E2">
        <w:t xml:space="preserve">The yearly government administration and compliance cost is estimated at $159,150 based on internal cost estimates for GEMS compliance and registration. Annual compliance costs for computer monitors </w:t>
      </w:r>
      <w:r w:rsidR="00D72EF7" w:rsidRPr="008539E2">
        <w:t xml:space="preserve">are </w:t>
      </w:r>
      <w:r w:rsidRPr="008539E2">
        <w:t>estimated to be $45,750. The government cost per registration is $420 according to the 2017 GEMS fee review.</w:t>
      </w:r>
    </w:p>
    <w:p w14:paraId="1ED14352" w14:textId="507DA284" w:rsidR="00671656" w:rsidRPr="008539E2" w:rsidRDefault="00671656" w:rsidP="00671656">
      <w:pPr>
        <w:pStyle w:val="Heading2"/>
        <w:spacing w:before="240"/>
      </w:pPr>
      <w:bookmarkStart w:id="3" w:name="_Toc74131480"/>
      <w:r w:rsidRPr="008539E2">
        <w:t>Policy Options</w:t>
      </w:r>
      <w:bookmarkEnd w:id="3"/>
    </w:p>
    <w:p w14:paraId="7ED0927E" w14:textId="5EE1FD56" w:rsidR="00671656" w:rsidRPr="008539E2" w:rsidRDefault="00671656" w:rsidP="00671656">
      <w:pPr>
        <w:rPr>
          <w:rFonts w:eastAsia="Times New Roman" w:cs="Arial"/>
          <w:lang w:val="x-none"/>
        </w:rPr>
      </w:pPr>
      <w:r w:rsidRPr="008539E2">
        <w:t xml:space="preserve">The policy options for regulating the energy efficiency of </w:t>
      </w:r>
      <w:r w:rsidR="0062663C" w:rsidRPr="008539E2">
        <w:t xml:space="preserve">computer monitors </w:t>
      </w:r>
      <w:r w:rsidRPr="008539E2">
        <w:rPr>
          <w:rFonts w:eastAsia="Times New Roman" w:cs="Arial"/>
          <w:lang w:val="x-none"/>
        </w:rPr>
        <w:t>include</w:t>
      </w:r>
      <w:r w:rsidRPr="008539E2">
        <w:rPr>
          <w:rFonts w:eastAsia="Times New Roman" w:cs="Arial"/>
        </w:rPr>
        <w:t>:</w:t>
      </w:r>
      <w:r w:rsidRPr="008539E2">
        <w:rPr>
          <w:rFonts w:eastAsia="Times New Roman" w:cs="Arial"/>
          <w:lang w:val="x-none"/>
        </w:rPr>
        <w:t xml:space="preserve"> </w:t>
      </w:r>
      <w:r w:rsidRPr="008539E2">
        <w:rPr>
          <w:rFonts w:eastAsia="Times New Roman" w:cs="Arial"/>
        </w:rPr>
        <w:t xml:space="preserve">expanding the scope, </w:t>
      </w:r>
      <w:r w:rsidRPr="008539E2">
        <w:rPr>
          <w:rFonts w:eastAsia="Times New Roman" w:cs="Arial"/>
          <w:lang w:val="x-none"/>
        </w:rPr>
        <w:t>increasing</w:t>
      </w:r>
      <w:r w:rsidRPr="008539E2">
        <w:rPr>
          <w:rFonts w:eastAsia="Times New Roman" w:cs="Arial"/>
        </w:rPr>
        <w:t xml:space="preserve"> </w:t>
      </w:r>
      <w:r w:rsidR="00471591" w:rsidRPr="008539E2">
        <w:rPr>
          <w:rFonts w:eastAsia="Times New Roman" w:cs="Arial"/>
        </w:rPr>
        <w:t>the</w:t>
      </w:r>
      <w:r w:rsidRPr="008539E2">
        <w:rPr>
          <w:rFonts w:eastAsia="Times New Roman" w:cs="Arial"/>
          <w:lang w:val="x-none"/>
        </w:rPr>
        <w:t xml:space="preserve"> </w:t>
      </w:r>
      <w:r w:rsidRPr="008539E2">
        <w:rPr>
          <w:rFonts w:eastAsia="Times New Roman" w:cs="Arial"/>
        </w:rPr>
        <w:t>MEPS</w:t>
      </w:r>
      <w:r w:rsidRPr="008539E2">
        <w:rPr>
          <w:rFonts w:eastAsia="Times New Roman" w:cs="Arial"/>
          <w:lang w:val="x-none"/>
        </w:rPr>
        <w:t>,</w:t>
      </w:r>
      <w:r w:rsidRPr="008539E2">
        <w:rPr>
          <w:rFonts w:eastAsia="Times New Roman" w:cs="Arial"/>
        </w:rPr>
        <w:t xml:space="preserve"> renewing the determination unchanged, or allowing the determination to expire</w:t>
      </w:r>
      <w:r w:rsidRPr="008539E2">
        <w:rPr>
          <w:rFonts w:eastAsia="Times New Roman" w:cs="Arial"/>
          <w:lang w:val="x-none"/>
        </w:rPr>
        <w:t>.</w:t>
      </w:r>
    </w:p>
    <w:p w14:paraId="4A74A676" w14:textId="77777777" w:rsidR="00B42534" w:rsidRPr="008539E2" w:rsidRDefault="00B42534" w:rsidP="00E96662">
      <w:pPr>
        <w:pStyle w:val="E3Heading3"/>
        <w:keepNext/>
        <w:rPr>
          <w:iCs/>
          <w:color w:val="000000"/>
          <w:sz w:val="24"/>
          <w:szCs w:val="19"/>
          <w:lang w:val="en-US" w:eastAsia="en-AU"/>
        </w:rPr>
      </w:pPr>
      <w:r w:rsidRPr="008539E2">
        <w:rPr>
          <w:iCs/>
          <w:color w:val="000000"/>
          <w:sz w:val="24"/>
          <w:szCs w:val="19"/>
          <w:lang w:val="en-US" w:eastAsia="en-AU"/>
        </w:rPr>
        <w:t>Renewing the Determination</w:t>
      </w:r>
    </w:p>
    <w:p w14:paraId="7822E923" w14:textId="77777777" w:rsidR="00B42534" w:rsidRPr="008539E2" w:rsidRDefault="00B42534" w:rsidP="00B42534">
      <w:r w:rsidRPr="008539E2">
        <w:t>Renewing the determination with minimal changes would continue to support consumer choice by providing information through the energy rating label (ERL). There is still value in having an ERL to provide consumers with information on energy efficiency, when purchasing a computer monitor. The ERL is an easy way to communicate the difference in energy efficiency between different models, because the ERL is widely recognised and generally understood by consumers. There is little cost to businesses in continuing to use the ERL, because the business processes to design and display the label are already in place.</w:t>
      </w:r>
    </w:p>
    <w:p w14:paraId="16F1144A" w14:textId="77777777" w:rsidR="008539E2" w:rsidRDefault="008539E2" w:rsidP="00B42534">
      <w:pPr>
        <w:pStyle w:val="E3Heading3"/>
        <w:rPr>
          <w:iCs/>
          <w:color w:val="000000"/>
          <w:sz w:val="24"/>
          <w:szCs w:val="19"/>
          <w:lang w:val="en-US" w:eastAsia="en-AU"/>
        </w:rPr>
      </w:pPr>
    </w:p>
    <w:p w14:paraId="6E15C122" w14:textId="4C5BCFEF" w:rsidR="00B42534" w:rsidRPr="008539E2" w:rsidRDefault="00B42534" w:rsidP="00B42534">
      <w:pPr>
        <w:pStyle w:val="E3Heading3"/>
        <w:rPr>
          <w:iCs/>
          <w:color w:val="000000"/>
          <w:sz w:val="24"/>
          <w:szCs w:val="19"/>
          <w:lang w:val="en-US" w:eastAsia="en-AU"/>
        </w:rPr>
      </w:pPr>
      <w:r w:rsidRPr="008539E2">
        <w:rPr>
          <w:iCs/>
          <w:color w:val="000000"/>
          <w:sz w:val="24"/>
          <w:szCs w:val="19"/>
          <w:lang w:val="en-US" w:eastAsia="en-AU"/>
        </w:rPr>
        <w:t>Increasing the MEPS and scope</w:t>
      </w:r>
    </w:p>
    <w:p w14:paraId="539F1688" w14:textId="1EC0BBD0" w:rsidR="00B42534" w:rsidRPr="008539E2" w:rsidRDefault="00B42534" w:rsidP="00B42534">
      <w:r w:rsidRPr="008539E2">
        <w:t>The MEPS and the energy efficiency of the star rating could be increased. The most common star rating for registered computer monitors is 6 stars with a small number registered above 8 stars and a few below 2.5 stars. Raising the MEPS and recalculating the star rating so that a monitor that currently earns 3 stars becomes a 1 star product, would remove all monitors with only 1 to 2.5 stars. This would reduce the number of registered monitors on the market by 91.</w:t>
      </w:r>
    </w:p>
    <w:p w14:paraId="19304FE0" w14:textId="742368A7" w:rsidR="00B42534" w:rsidRPr="008539E2" w:rsidRDefault="00B42534" w:rsidP="00B42534">
      <w:r w:rsidRPr="008539E2">
        <w:t xml:space="preserve">The scope of the determination could be expanded to include signage display screens, </w:t>
      </w:r>
      <w:r w:rsidR="00471591" w:rsidRPr="008539E2">
        <w:t>such as</w:t>
      </w:r>
      <w:r w:rsidRPr="008539E2">
        <w:t xml:space="preserve"> those used in stores to display menus. These screens can be imported as computer monitors or TVs (if they have a television tuner). There is little information available about the number of signage display screens sold in Australia and New Zealand.</w:t>
      </w:r>
    </w:p>
    <w:p w14:paraId="6D751080" w14:textId="2FCD3009" w:rsidR="00B42534" w:rsidRPr="008539E2" w:rsidRDefault="00B42534" w:rsidP="00B42534">
      <w:r w:rsidRPr="008539E2">
        <w:t xml:space="preserve">Increasing the scope of the determination or increasing the MEPS would require a full </w:t>
      </w:r>
      <w:r w:rsidR="00D14CD9">
        <w:t>Regulatory Impact Statement (RIS)</w:t>
      </w:r>
      <w:r w:rsidR="00D14CD9" w:rsidRPr="008539E2">
        <w:t xml:space="preserve"> </w:t>
      </w:r>
      <w:r w:rsidRPr="008539E2">
        <w:t>process. A full cost benefit analysis and consideration of these option</w:t>
      </w:r>
      <w:r w:rsidR="009E77AE" w:rsidRPr="008539E2">
        <w:t>s</w:t>
      </w:r>
      <w:r w:rsidRPr="008539E2">
        <w:t xml:space="preserve"> is outside the scope of this review.</w:t>
      </w:r>
    </w:p>
    <w:p w14:paraId="606EA7CC" w14:textId="0D72BCD1" w:rsidR="00942B24" w:rsidRPr="008539E2" w:rsidRDefault="00942B24" w:rsidP="00671656">
      <w:pPr>
        <w:pStyle w:val="Heading2"/>
        <w:spacing w:before="240"/>
      </w:pPr>
      <w:r w:rsidRPr="008539E2">
        <w:t>Conclusions</w:t>
      </w:r>
    </w:p>
    <w:p w14:paraId="102819B9" w14:textId="45C642F3" w:rsidR="00942B24" w:rsidRPr="008539E2" w:rsidRDefault="00942B24" w:rsidP="00942B24">
      <w:r w:rsidRPr="008539E2">
        <w:rPr>
          <w:lang w:eastAsia="en-AU"/>
        </w:rPr>
        <w:t xml:space="preserve">Allowing the determination to </w:t>
      </w:r>
      <w:r w:rsidRPr="008539E2">
        <w:rPr>
          <w:rFonts w:eastAsia="Times New Roman" w:cs="Arial"/>
        </w:rPr>
        <w:t>sunset</w:t>
      </w:r>
      <w:r w:rsidRPr="008539E2">
        <w:rPr>
          <w:lang w:eastAsia="en-AU"/>
        </w:rPr>
        <w:t xml:space="preserve"> could increase the overall energy use of computer monitors, increasing the total cost to the community. </w:t>
      </w:r>
      <w:r w:rsidRPr="008539E2">
        <w:t>Renewing the determination with minimal changes would continue to support consumer choice by providing information through the ERL. This analysis shows that there is still value in having an ERL to provide consumers with information on energy efficiency. While the savings per monitor purchased are small relative to the average purchase price of the monitor, there is still a benefit to the community in cumulative energy savings</w:t>
      </w:r>
      <w:r w:rsidR="00471591" w:rsidRPr="008539E2">
        <w:t>,</w:t>
      </w:r>
      <w:r w:rsidRPr="008539E2">
        <w:t xml:space="preserve"> because of the number of monitors sold each year.</w:t>
      </w:r>
    </w:p>
    <w:p w14:paraId="6C6E8698" w14:textId="6ED7D309" w:rsidR="0050731E" w:rsidRPr="008539E2" w:rsidRDefault="00270533" w:rsidP="0074509C">
      <w:pPr>
        <w:sectPr w:rsidR="0050731E" w:rsidRPr="008539E2" w:rsidSect="000F7C8A">
          <w:footerReference w:type="first" r:id="rId23"/>
          <w:type w:val="continuous"/>
          <w:pgSz w:w="11907" w:h="16840" w:code="9"/>
          <w:pgMar w:top="1134" w:right="1134" w:bottom="1418" w:left="1134" w:header="709" w:footer="709" w:gutter="0"/>
          <w:cols w:space="720"/>
          <w:titlePg/>
          <w:docGrid w:linePitch="360"/>
        </w:sectPr>
      </w:pPr>
      <w:r>
        <w:rPr>
          <w:lang w:eastAsia="en-AU"/>
        </w:rPr>
        <w:t>If no further information is received from stakeholders, the review is likely to recommend</w:t>
      </w:r>
      <w:r w:rsidR="00D14CD9">
        <w:rPr>
          <w:lang w:eastAsia="en-AU"/>
        </w:rPr>
        <w:t xml:space="preserve"> a full analysis is undertaken to determine the costs and benefits of increasing the MEPS and labelling requirements</w:t>
      </w:r>
      <w:r w:rsidR="00400688">
        <w:rPr>
          <w:lang w:eastAsia="en-AU"/>
        </w:rPr>
        <w:t xml:space="preserve">. </w:t>
      </w:r>
      <w:r w:rsidR="00400688">
        <w:t xml:space="preserve">The determination is likely to be retained, pending any </w:t>
      </w:r>
      <w:r w:rsidR="00812194">
        <w:t>RIS</w:t>
      </w:r>
      <w:r w:rsidR="00400688">
        <w:t xml:space="preserve"> process.</w:t>
      </w:r>
    </w:p>
    <w:p w14:paraId="5C19BE32" w14:textId="77777777" w:rsidR="007E22DF" w:rsidRPr="008539E2" w:rsidRDefault="007E22DF" w:rsidP="003C469D">
      <w:pPr>
        <w:pStyle w:val="E3BodyText"/>
      </w:pPr>
    </w:p>
    <w:p w14:paraId="62A264F8" w14:textId="77777777" w:rsidR="007E22DF" w:rsidRPr="008539E2" w:rsidRDefault="007E22DF" w:rsidP="003C469D">
      <w:pPr>
        <w:pStyle w:val="E3BodyText"/>
      </w:pPr>
      <w:r w:rsidRPr="008539E2">
        <w:rPr>
          <w:noProof/>
          <w:lang w:eastAsia="en-AU"/>
        </w:rPr>
        <mc:AlternateContent>
          <mc:Choice Requires="wps">
            <w:drawing>
              <wp:inline distT="0" distB="0" distL="0" distR="0" wp14:anchorId="36323810" wp14:editId="3F9D8E36">
                <wp:extent cx="6154783" cy="1772920"/>
                <wp:effectExtent l="0" t="0" r="0" b="508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4783" cy="177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D0FAF" w14:textId="384D0C45" w:rsidR="00066C8C" w:rsidRDefault="00C229EF" w:rsidP="000A7ABB">
                            <w:pPr>
                              <w:pStyle w:val="E3BackCoverTitle"/>
                            </w:pPr>
                            <w:r>
                              <w:t xml:space="preserve">Public Consultation Paper: Review of the </w:t>
                            </w:r>
                            <w:r w:rsidR="00886CBB">
                              <w:t xml:space="preserve">GEMS </w:t>
                            </w:r>
                            <w:r>
                              <w:t xml:space="preserve">Computer Monitors </w:t>
                            </w:r>
                            <w:r w:rsidR="00886CBB">
                              <w:t>Determination</w:t>
                            </w:r>
                          </w:p>
                          <w:p w14:paraId="462F6AEA" w14:textId="77777777" w:rsidR="00066C8C" w:rsidRPr="00855D6B" w:rsidRDefault="00066C8C" w:rsidP="000A7ABB">
                            <w:pPr>
                              <w:pStyle w:val="E3BackCoverTitle"/>
                            </w:pPr>
                            <w:r w:rsidRPr="00855D6B">
                              <w:t>www.energyrating.gov.au</w:t>
                            </w:r>
                          </w:p>
                        </w:txbxContent>
                      </wps:txbx>
                      <wps:bodyPr rot="0" vert="horz" wrap="square" lIns="91440" tIns="45720" rIns="91440" bIns="45720" anchor="ctr" anchorCtr="0" upright="1">
                        <a:noAutofit/>
                      </wps:bodyPr>
                    </wps:wsp>
                  </a:graphicData>
                </a:graphic>
              </wp:inline>
            </w:drawing>
          </mc:Choice>
          <mc:Fallback>
            <w:pict>
              <v:shape w14:anchorId="36323810" id="Text Box 2" o:spid="_x0000_s1028" type="#_x0000_t202" style="width:484.65pt;height:13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14vAIAAMM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" filled="f" stroked="f">
                <v:textbox>
                  <w:txbxContent>
                    <w:p w14:paraId="0D5D0FAF" w14:textId="384D0C45" w:rsidR="00066C8C" w:rsidRDefault="00C229EF" w:rsidP="000A7ABB">
                      <w:pPr>
                        <w:pStyle w:val="E3BackCoverTitle"/>
                      </w:pPr>
                      <w:r>
                        <w:t xml:space="preserve">Public Consultation Paper: Review of the </w:t>
                      </w:r>
                      <w:r w:rsidR="00886CBB">
                        <w:t xml:space="preserve">GEMS </w:t>
                      </w:r>
                      <w:r>
                        <w:t xml:space="preserve">Computer Monitors </w:t>
                      </w:r>
                      <w:r w:rsidR="00886CBB">
                        <w:t>Determination</w:t>
                      </w:r>
                    </w:p>
                    <w:p w14:paraId="462F6AEA" w14:textId="77777777" w:rsidR="00066C8C" w:rsidRPr="00855D6B" w:rsidRDefault="00066C8C" w:rsidP="000A7ABB">
                      <w:pPr>
                        <w:pStyle w:val="E3BackCoverTitle"/>
                      </w:pPr>
                      <w:r w:rsidRPr="00855D6B">
                        <w:t>www.energyrating.gov.au</w:t>
                      </w:r>
                    </w:p>
                  </w:txbxContent>
                </v:textbox>
                <w10:anchorlock/>
              </v:shape>
            </w:pict>
          </mc:Fallback>
        </mc:AlternateContent>
      </w:r>
    </w:p>
    <w:p w14:paraId="0B087203" w14:textId="77777777" w:rsidR="007E22DF" w:rsidRPr="008539E2" w:rsidRDefault="007E22DF" w:rsidP="003C469D">
      <w:pPr>
        <w:pStyle w:val="E3BodyText"/>
        <w:spacing w:before="4400"/>
      </w:pPr>
    </w:p>
    <w:p w14:paraId="5E0A907D" w14:textId="77777777" w:rsidR="007E22DF" w:rsidRPr="008539E2" w:rsidRDefault="007E22DF" w:rsidP="003C469D">
      <w:pPr>
        <w:pStyle w:val="E3BodyText"/>
      </w:pPr>
    </w:p>
    <w:p w14:paraId="3BC3B1D5" w14:textId="6D00C85C" w:rsidR="007E22DF" w:rsidRDefault="007E22DF" w:rsidP="00886CBB">
      <w:r w:rsidRPr="008539E2">
        <w:rPr>
          <w:noProof/>
          <w:lang w:eastAsia="en-AU"/>
        </w:rPr>
        <mc:AlternateContent>
          <mc:Choice Requires="wps">
            <w:drawing>
              <wp:inline distT="0" distB="0" distL="0" distR="0" wp14:anchorId="1A6583A3" wp14:editId="4377CBC5">
                <wp:extent cx="6149340" cy="493395"/>
                <wp:effectExtent l="0" t="0" r="22860" b="14605"/>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58A3A" w14:textId="77777777" w:rsidR="00066C8C" w:rsidRDefault="00066C8C" w:rsidP="0016451B">
                            <w:pPr>
                              <w:pStyle w:val="E3Subtitle"/>
                              <w:jc w:val="center"/>
                            </w:pPr>
                            <w:r>
                              <w:t>A joint initiative of Australian, State and Territory and New Zealand Governments</w:t>
                            </w:r>
                          </w:p>
                        </w:txbxContent>
                      </wps:txbx>
                      <wps:bodyPr rot="0" vert="horz" wrap="square" lIns="0" tIns="0" rIns="0" bIns="0" anchor="b" anchorCtr="0" upright="1">
                        <a:noAutofit/>
                      </wps:bodyPr>
                    </wps:wsp>
                  </a:graphicData>
                </a:graphic>
              </wp:inline>
            </w:drawing>
          </mc:Choice>
          <mc:Fallback>
            <w:pict>
              <v:shape w14:anchorId="1A6583A3" id="Text Box 3" o:spid="_x0000_s1029" type="#_x0000_t202" style="width:484.2pt;height:38.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" filled="f" stroked="f">
                <v:textbox inset="0,0,0,0">
                  <w:txbxContent>
                    <w:p w14:paraId="4B858A3A" w14:textId="77777777" w:rsidR="00066C8C" w:rsidRDefault="00066C8C" w:rsidP="0016451B">
                      <w:pPr>
                        <w:pStyle w:val="E3Subtitle"/>
                        <w:jc w:val="center"/>
                      </w:pPr>
                      <w:r>
                        <w:t>A joint initiative of Australian, State and Territory and New Zealand Governments</w:t>
                      </w:r>
                    </w:p>
                  </w:txbxContent>
                </v:textbox>
                <w10:anchorlock/>
              </v:shape>
            </w:pict>
          </mc:Fallback>
        </mc:AlternateContent>
      </w:r>
    </w:p>
    <w:p w14:paraId="5D8A063A" w14:textId="77777777" w:rsidR="0016451B" w:rsidRPr="007E22DF" w:rsidRDefault="0016451B" w:rsidP="007E22DF"/>
    <w:sectPr w:rsidR="0016451B" w:rsidRPr="007E22DF" w:rsidSect="000F7C8A">
      <w:headerReference w:type="even" r:id="rId24"/>
      <w:headerReference w:type="default" r:id="rId25"/>
      <w:headerReference w:type="first" r:id="rId26"/>
      <w:footerReference w:type="first" r:id="rId27"/>
      <w:pgSz w:w="11907" w:h="16840" w:code="9"/>
      <w:pgMar w:top="5812" w:right="1134" w:bottom="1418" w:left="1134" w:header="709" w:footer="709"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2B1EB4" w14:textId="77777777" w:rsidR="00066C8C" w:rsidRDefault="00066C8C" w:rsidP="000A7ABB">
      <w:r>
        <w:separator/>
      </w:r>
    </w:p>
    <w:p w14:paraId="774592DD" w14:textId="77777777" w:rsidR="00066C8C" w:rsidRDefault="00066C8C" w:rsidP="000A7ABB"/>
    <w:p w14:paraId="43202052" w14:textId="77777777" w:rsidR="00066C8C" w:rsidRDefault="00066C8C" w:rsidP="000A7ABB"/>
  </w:endnote>
  <w:endnote w:type="continuationSeparator" w:id="0">
    <w:p w14:paraId="7A4649AD" w14:textId="77777777" w:rsidR="00066C8C" w:rsidRDefault="00066C8C" w:rsidP="000A7ABB">
      <w:r>
        <w:continuationSeparator/>
      </w:r>
    </w:p>
    <w:p w14:paraId="75855BB8" w14:textId="77777777" w:rsidR="00066C8C" w:rsidRDefault="00066C8C" w:rsidP="000A7ABB"/>
    <w:p w14:paraId="181C9503" w14:textId="77777777" w:rsidR="00066C8C" w:rsidRDefault="00066C8C" w:rsidP="000A7ABB"/>
  </w:endnote>
  <w:endnote w:type="continuationNotice" w:id="1">
    <w:p w14:paraId="170D8B32" w14:textId="77777777" w:rsidR="00066C8C" w:rsidRDefault="00066C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BR Arrows">
    <w:altName w:val="Cambria Math"/>
    <w:charset w:val="00"/>
    <w:family w:val="auto"/>
    <w:pitch w:val="variable"/>
    <w:sig w:usb0="A00000A7" w:usb1="5000004A" w:usb2="00000000" w:usb3="00000000" w:csb0="0000011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Helvetica Neue Light">
    <w:altName w:val="Corbel"/>
    <w:charset w:val="00"/>
    <w:family w:val="auto"/>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PMincho">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806E24" w14:textId="0126CBC0" w:rsidR="00066C8C" w:rsidRDefault="00B75728" w:rsidP="00D14B3E">
    <w:pPr>
      <w:pStyle w:val="Footer"/>
      <w:tabs>
        <w:tab w:val="clear" w:pos="4320"/>
        <w:tab w:val="clear" w:pos="8640"/>
      </w:tabs>
    </w:pPr>
    <w:r>
      <w:pict w14:anchorId="5C99AA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1.55pt" o:hrpct="0" o:hralign="center" o:hr="t">
          <v:imagedata r:id="rId1" o:title="Default Line"/>
        </v:shape>
      </w:pict>
    </w:r>
    <w:r w:rsidR="0090708C">
      <w:t>Public Consultation Paper:</w:t>
    </w:r>
    <w:r w:rsidR="0090708C" w:rsidRPr="000F1833">
      <w:t xml:space="preserve"> </w:t>
    </w:r>
    <w:r w:rsidR="0090708C">
      <w:t xml:space="preserve">Review of </w:t>
    </w:r>
    <w:r w:rsidR="00A07724">
      <w:t xml:space="preserve">the </w:t>
    </w:r>
    <w:r w:rsidR="00C229EF">
      <w:t xml:space="preserve">GEMS </w:t>
    </w:r>
    <w:r w:rsidR="00A07724">
      <w:t>Computer Monitors</w:t>
    </w:r>
    <w:r w:rsidR="0090708C">
      <w:t xml:space="preserve"> Determination</w:t>
    </w:r>
    <w:r w:rsidR="00066C8C">
      <w:tab/>
    </w:r>
    <w:r w:rsidR="00066C8C">
      <w:tab/>
    </w:r>
    <w:r w:rsidR="00066C8C" w:rsidRPr="002D3654">
      <w:rPr>
        <w:rStyle w:val="PageNumber"/>
      </w:rPr>
      <w:fldChar w:fldCharType="begin"/>
    </w:r>
    <w:r w:rsidR="00066C8C" w:rsidRPr="002D3654">
      <w:rPr>
        <w:rStyle w:val="PageNumber"/>
      </w:rPr>
      <w:instrText xml:space="preserve"> PAGE </w:instrText>
    </w:r>
    <w:r w:rsidR="00066C8C" w:rsidRPr="002D3654">
      <w:rPr>
        <w:rStyle w:val="PageNumber"/>
      </w:rPr>
      <w:fldChar w:fldCharType="separate"/>
    </w:r>
    <w:r>
      <w:rPr>
        <w:rStyle w:val="PageNumber"/>
        <w:noProof/>
      </w:rPr>
      <w:t>3</w:t>
    </w:r>
    <w:r w:rsidR="00066C8C" w:rsidRPr="002D3654">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6070B" w14:textId="77777777" w:rsidR="00066C8C" w:rsidRPr="00E638CE" w:rsidRDefault="00066C8C" w:rsidP="000A7ABB">
    <w:pPr>
      <w:pStyle w:val="E3CoverFooter"/>
    </w:pPr>
    <w:r>
      <w:t>A joint initiative of Australian, State and Territory</w:t>
    </w:r>
    <w:r>
      <w:br/>
      <w:t>and New Zealand Governments.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42997" w14:textId="245A1F63" w:rsidR="00066C8C" w:rsidRPr="00D14FB0" w:rsidRDefault="00066C8C" w:rsidP="00636F61">
    <w:pPr>
      <w:pStyle w:val="Footer"/>
      <w:tabs>
        <w:tab w:val="clear" w:pos="4320"/>
        <w:tab w:val="clear" w:pos="8640"/>
      </w:tabs>
    </w:pPr>
    <w:r>
      <w:rPr>
        <w:noProof/>
        <w:lang w:eastAsia="en-AU"/>
      </w:rPr>
      <mc:AlternateContent>
        <mc:Choice Requires="wps">
          <w:drawing>
            <wp:anchor distT="0" distB="0" distL="114300" distR="114300" simplePos="0" relativeHeight="251658243" behindDoc="1" locked="0" layoutInCell="1" allowOverlap="1" wp14:anchorId="6777521B" wp14:editId="6795D2B6">
              <wp:simplePos x="0" y="0"/>
              <wp:positionH relativeFrom="page">
                <wp:posOffset>723900</wp:posOffset>
              </wp:positionH>
              <wp:positionV relativeFrom="page">
                <wp:posOffset>1745615</wp:posOffset>
              </wp:positionV>
              <wp:extent cx="6153150" cy="8098971"/>
              <wp:effectExtent l="0" t="0" r="0" b="0"/>
              <wp:wrapNone/>
              <wp:docPr id="3" name="Rectangle 3" descr="decorative element" title=" "/>
              <wp:cNvGraphicFramePr/>
              <a:graphic xmlns:a="http://schemas.openxmlformats.org/drawingml/2006/main">
                <a:graphicData uri="http://schemas.microsoft.com/office/word/2010/wordprocessingShape">
                  <wps:wsp>
                    <wps:cNvSpPr/>
                    <wps:spPr>
                      <a:xfrm>
                        <a:off x="0" y="0"/>
                        <a:ext cx="6153150" cy="8098971"/>
                      </a:xfrm>
                      <a:prstGeom prst="rect">
                        <a:avLst/>
                      </a:prstGeom>
                      <a:solidFill>
                        <a:schemeClr val="accent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0ADD7" id="Rectangle 3" o:spid="_x0000_s1026" alt="Title:   - Description: decorative element" style="position:absolute;margin-left:57pt;margin-top:137.45pt;width:484.5pt;height:637.7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" fillcolor="#fff0b4 [3208]" stroked="f">
              <w10:wrap anchorx="page" anchory="page"/>
            </v:rect>
          </w:pict>
        </mc:Fallback>
      </mc:AlternateContent>
    </w:r>
    <w:r w:rsidR="00B75728">
      <w:pict w14:anchorId="79C188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1.55pt;height:1.55pt" o:hrpct="0" o:hralign="center" o:hr="t">
          <v:imagedata r:id="rId1" o:title="Default Line"/>
        </v:shape>
      </w:pict>
    </w:r>
    <w:r w:rsidR="00886CBB">
      <w:t>Public Consultation Paper</w:t>
    </w:r>
    <w:r>
      <w:t>:</w:t>
    </w:r>
    <w:r w:rsidRPr="000F1833">
      <w:t xml:space="preserve"> </w:t>
    </w:r>
    <w:r w:rsidR="00886CBB">
      <w:t xml:space="preserve">Review </w:t>
    </w:r>
    <w:r w:rsidR="0090708C">
      <w:t xml:space="preserve">of </w:t>
    </w:r>
    <w:r w:rsidR="00A07724">
      <w:t xml:space="preserve">the </w:t>
    </w:r>
    <w:r w:rsidR="00C229EF">
      <w:t xml:space="preserve">GEMS </w:t>
    </w:r>
    <w:r w:rsidR="00A07724">
      <w:t>Computer Monitors</w:t>
    </w:r>
    <w:r w:rsidR="00886CBB">
      <w:t xml:space="preserve"> Determination</w:t>
    </w:r>
    <w:r>
      <w:tab/>
    </w:r>
    <w:r>
      <w:tab/>
    </w:r>
    <w:r w:rsidRPr="002D3654">
      <w:rPr>
        <w:rStyle w:val="PageNumber"/>
      </w:rPr>
      <w:fldChar w:fldCharType="begin"/>
    </w:r>
    <w:r w:rsidRPr="002D3654">
      <w:rPr>
        <w:rStyle w:val="PageNumber"/>
      </w:rPr>
      <w:instrText xml:space="preserve"> PAGE </w:instrText>
    </w:r>
    <w:r w:rsidRPr="002D3654">
      <w:rPr>
        <w:rStyle w:val="PageNumber"/>
      </w:rPr>
      <w:fldChar w:fldCharType="separate"/>
    </w:r>
    <w:r w:rsidR="00B75728">
      <w:rPr>
        <w:rStyle w:val="PageNumber"/>
        <w:noProof/>
      </w:rPr>
      <w:t>ii</w:t>
    </w:r>
    <w:r w:rsidRPr="002D3654">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F363B7" w14:textId="77777777" w:rsidR="00066C8C" w:rsidRPr="00D14FB0" w:rsidRDefault="00B75728" w:rsidP="00636F61">
    <w:pPr>
      <w:pStyle w:val="Footer"/>
      <w:tabs>
        <w:tab w:val="clear" w:pos="4320"/>
        <w:tab w:val="clear" w:pos="8640"/>
      </w:tabs>
    </w:pPr>
    <w:r>
      <w:pict w14:anchorId="30ED48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04.5pt;height:1.55pt" o:hrpct="0" o:hralign="center" o:hr="t">
          <v:imagedata r:id="rId1" o:title="Default Line"/>
        </v:shape>
      </w:pict>
    </w:r>
    <w:r w:rsidR="00066C8C" w:rsidRPr="000F1833">
      <w:t xml:space="preserve"> </w:t>
    </w:r>
    <w:r w:rsidR="00066C8C">
      <w:t>Product Profile:</w:t>
    </w:r>
    <w:r w:rsidR="00066C8C" w:rsidRPr="000F1833">
      <w:t xml:space="preserve"> Residential Space Heaters in Australia &amp; New Zealand</w:t>
    </w:r>
    <w:r w:rsidR="00066C8C">
      <w:tab/>
    </w:r>
    <w:r w:rsidR="00066C8C">
      <w:tab/>
    </w:r>
    <w:r w:rsidR="00066C8C" w:rsidRPr="002D3654">
      <w:rPr>
        <w:rStyle w:val="PageNumber"/>
      </w:rPr>
      <w:fldChar w:fldCharType="begin"/>
    </w:r>
    <w:r w:rsidR="00066C8C" w:rsidRPr="002D3654">
      <w:rPr>
        <w:rStyle w:val="PageNumber"/>
      </w:rPr>
      <w:instrText xml:space="preserve"> PAGE </w:instrText>
    </w:r>
    <w:r w:rsidR="00066C8C" w:rsidRPr="002D3654">
      <w:rPr>
        <w:rStyle w:val="PageNumber"/>
      </w:rPr>
      <w:fldChar w:fldCharType="separate"/>
    </w:r>
    <w:r w:rsidR="00886CBB">
      <w:rPr>
        <w:rStyle w:val="PageNumber"/>
        <w:noProof/>
      </w:rPr>
      <w:t>3</w:t>
    </w:r>
    <w:r w:rsidR="00066C8C" w:rsidRPr="002D3654">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C3CA2" w14:textId="77777777" w:rsidR="00066C8C" w:rsidRPr="00881F6E" w:rsidRDefault="00066C8C" w:rsidP="00881F6E">
    <w:pPr>
      <w:pStyle w:val="E3FootnoteText"/>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93B695" w14:textId="77777777" w:rsidR="00066C8C" w:rsidRDefault="00066C8C" w:rsidP="000A7ABB">
      <w:r>
        <w:separator/>
      </w:r>
    </w:p>
  </w:footnote>
  <w:footnote w:type="continuationSeparator" w:id="0">
    <w:p w14:paraId="16665F18" w14:textId="77777777" w:rsidR="00066C8C" w:rsidRDefault="00066C8C" w:rsidP="000A7ABB">
      <w:r>
        <w:continuationSeparator/>
      </w:r>
    </w:p>
    <w:p w14:paraId="705ACF31" w14:textId="77777777" w:rsidR="00066C8C" w:rsidRDefault="00066C8C" w:rsidP="000A7ABB"/>
    <w:p w14:paraId="66CB82D5" w14:textId="77777777" w:rsidR="00066C8C" w:rsidRDefault="00066C8C" w:rsidP="000A7ABB"/>
  </w:footnote>
  <w:footnote w:type="continuationNotice" w:id="1">
    <w:p w14:paraId="180E1752" w14:textId="77777777" w:rsidR="00066C8C" w:rsidRDefault="00066C8C">
      <w:pPr>
        <w:spacing w:after="0" w:line="240" w:lineRule="auto"/>
      </w:pPr>
    </w:p>
  </w:footnote>
  <w:footnote w:id="2">
    <w:p w14:paraId="771CAC54" w14:textId="77777777" w:rsidR="00542D50" w:rsidRDefault="00542D50" w:rsidP="00542D50">
      <w:pPr>
        <w:pStyle w:val="FootnoteText"/>
      </w:pPr>
      <w:r>
        <w:rPr>
          <w:rStyle w:val="FootnoteReference"/>
        </w:rPr>
        <w:footnoteRef/>
      </w:r>
      <w:r>
        <w:t xml:space="preserve"> </w:t>
      </w:r>
      <w:hyperlink r:id="rId1" w:anchor="sunsetting" w:history="1">
        <w:r w:rsidRPr="00791D2A">
          <w:rPr>
            <w:rStyle w:val="Hyperlink"/>
          </w:rPr>
          <w:t>Explanation of sunsetting on the Attorney General’s website</w:t>
        </w:r>
      </w:hyperlink>
      <w:r>
        <w:t xml:space="preserve"> </w:t>
      </w:r>
    </w:p>
  </w:footnote>
  <w:footnote w:id="3">
    <w:p w14:paraId="11539D53" w14:textId="77777777" w:rsidR="00542D50" w:rsidRDefault="00542D50" w:rsidP="00542D50">
      <w:pPr>
        <w:pStyle w:val="FootnoteText"/>
      </w:pPr>
      <w:r>
        <w:rPr>
          <w:rStyle w:val="FootnoteReference"/>
        </w:rPr>
        <w:footnoteRef/>
      </w:r>
      <w:r>
        <w:t xml:space="preserve"> </w:t>
      </w:r>
      <w:hyperlink r:id="rId2" w:history="1">
        <w:r w:rsidRPr="00244951">
          <w:rPr>
            <w:rStyle w:val="Hyperlink"/>
          </w:rPr>
          <w:t>https://www.ag.gov.au/sites/default/files/2020-07/Guide%20to%20Managing%20Sunsetting%20of%20Legislative%20Instruments.pdf</w:t>
        </w:r>
      </w:hyperlink>
      <w:r>
        <w:t xml:space="preserve"> </w:t>
      </w:r>
    </w:p>
  </w:footnote>
  <w:footnote w:id="4">
    <w:p w14:paraId="01CF267C" w14:textId="77777777" w:rsidR="00486F0B" w:rsidRDefault="00486F0B" w:rsidP="00486F0B">
      <w:pPr>
        <w:pStyle w:val="FootnoteText"/>
      </w:pPr>
      <w:r>
        <w:rPr>
          <w:rStyle w:val="FootnoteReference"/>
        </w:rPr>
        <w:footnoteRef/>
      </w:r>
      <w:r>
        <w:t xml:space="preserve">GfK </w:t>
      </w:r>
      <w:r w:rsidRPr="00257052">
        <w:t>POS Market Intelligence: Monitors, STB and PCs</w:t>
      </w:r>
      <w:r>
        <w:t>,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CB924" w14:textId="3D7CF2F5" w:rsidR="00066C8C" w:rsidRDefault="00066C8C" w:rsidP="000A7ABB">
    <w:r>
      <w:rPr>
        <w:noProof/>
        <w:lang w:eastAsia="en-AU"/>
      </w:rPr>
      <w:drawing>
        <wp:anchor distT="0" distB="0" distL="114300" distR="114300" simplePos="0" relativeHeight="251658241" behindDoc="1" locked="0" layoutInCell="1" allowOverlap="1" wp14:anchorId="7264FD26" wp14:editId="37667B93">
          <wp:simplePos x="0" y="0"/>
          <wp:positionH relativeFrom="page">
            <wp:align>left</wp:align>
          </wp:positionH>
          <wp:positionV relativeFrom="page">
            <wp:posOffset>34290</wp:posOffset>
          </wp:positionV>
          <wp:extent cx="7560000" cy="10692000"/>
          <wp:effectExtent l="0" t="0" r="3175" b="0"/>
          <wp:wrapNone/>
          <wp:docPr id="11" name="Picture 4" descr="Equipment Energy Efficiency (E3) Program logo and decorative banner including graphics of assorted appliances"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3 Product Profile cov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E2679E" w14:textId="4A078A43" w:rsidR="00066C8C" w:rsidRDefault="00066C8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A86AF" w14:textId="1E4FFDF0" w:rsidR="00066C8C" w:rsidRDefault="00066C8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D040B" w14:textId="4FFA226D" w:rsidR="00066C8C" w:rsidRDefault="00066C8C" w:rsidP="000A7ABB">
    <w:r>
      <w:rPr>
        <w:noProof/>
        <w:lang w:eastAsia="en-AU"/>
      </w:rPr>
      <w:drawing>
        <wp:anchor distT="0" distB="0" distL="114300" distR="114300" simplePos="0" relativeHeight="251658242" behindDoc="1" locked="1" layoutInCell="0" allowOverlap="1" wp14:anchorId="2304DFA1" wp14:editId="0D03D7B7">
          <wp:simplePos x="0" y="0"/>
          <wp:positionH relativeFrom="page">
            <wp:align>center</wp:align>
          </wp:positionH>
          <wp:positionV relativeFrom="page">
            <wp:align>top</wp:align>
          </wp:positionV>
          <wp:extent cx="6122670" cy="1796415"/>
          <wp:effectExtent l="0" t="0" r="0" b="0"/>
          <wp:wrapTopAndBottom/>
          <wp:docPr id="229" name="Picture 5" descr="decorative element"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3 Chapter Start - productProfile.jpg"/>
                  <pic:cNvPicPr>
                    <a:picLocks noChangeAspect="1" noChangeArrowheads="1"/>
                  </pic:cNvPicPr>
                </pic:nvPicPr>
                <pic:blipFill>
                  <a:blip r:embed="rId1">
                    <a:biLevel thresh="25000"/>
                    <a:extLst>
                      <a:ext uri="{28A0092B-C50C-407E-A947-70E740481C1C}">
                        <a14:useLocalDpi xmlns:a14="http://schemas.microsoft.com/office/drawing/2010/main" val="0"/>
                      </a:ext>
                    </a:extLst>
                  </a:blip>
                  <a:srcRect/>
                  <a:stretch>
                    <a:fillRect/>
                  </a:stretch>
                </pic:blipFill>
                <pic:spPr bwMode="auto">
                  <a:xfrm>
                    <a:off x="0" y="0"/>
                    <a:ext cx="6122670" cy="1796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67D40" w14:textId="2E6C390C" w:rsidR="00066C8C" w:rsidRDefault="00066C8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1B12B" w14:textId="08D557A5" w:rsidR="00066C8C" w:rsidRDefault="00066C8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8BFD6" w14:textId="499E1FF4" w:rsidR="00066C8C" w:rsidRDefault="00066C8C" w:rsidP="000A7ABB">
    <w:r>
      <w:rPr>
        <w:noProof/>
        <w:lang w:eastAsia="en-AU"/>
      </w:rPr>
      <w:drawing>
        <wp:anchor distT="0" distB="0" distL="114300" distR="114300" simplePos="0" relativeHeight="251658240" behindDoc="1" locked="1" layoutInCell="0" allowOverlap="0" wp14:anchorId="6FB9A33C" wp14:editId="57933C35">
          <wp:simplePos x="0" y="0"/>
          <wp:positionH relativeFrom="page">
            <wp:align>right</wp:align>
          </wp:positionH>
          <wp:positionV relativeFrom="page">
            <wp:posOffset>4432300</wp:posOffset>
          </wp:positionV>
          <wp:extent cx="7597775" cy="10687050"/>
          <wp:effectExtent l="0" t="0" r="3175" b="0"/>
          <wp:wrapNone/>
          <wp:docPr id="231" name="Picture 231" descr="Final page decorative element. Includes the words: Product Profile: Residential Space Heaters in Australia and New Zealand, www.energyrating.gov.au, a joint initiative of Australian, State and Territory and New Zealand Governments."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3_back-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775"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C090001"/>
    <w:lvl w:ilvl="0">
      <w:start w:val="1"/>
      <w:numFmt w:val="bullet"/>
      <w:lvlText w:val=""/>
      <w:lvlJc w:val="left"/>
      <w:pPr>
        <w:ind w:left="786" w:hanging="360"/>
      </w:pPr>
      <w:rPr>
        <w:rFonts w:ascii="Symbol" w:hAnsi="Symbol" w:hint="default"/>
        <w:color w:val="auto"/>
      </w:rPr>
    </w:lvl>
  </w:abstractNum>
  <w:abstractNum w:abstractNumId="1" w15:restartNumberingAfterBreak="0">
    <w:nsid w:val="02010B03"/>
    <w:multiLevelType w:val="hybridMultilevel"/>
    <w:tmpl w:val="57C6B3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2FA6951"/>
    <w:multiLevelType w:val="hybridMultilevel"/>
    <w:tmpl w:val="7EC488C8"/>
    <w:lvl w:ilvl="0" w:tplc="66843AA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63229E"/>
    <w:multiLevelType w:val="hybridMultilevel"/>
    <w:tmpl w:val="78BA0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2B0357"/>
    <w:multiLevelType w:val="hybridMultilevel"/>
    <w:tmpl w:val="85EAF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9D362D"/>
    <w:multiLevelType w:val="hybridMultilevel"/>
    <w:tmpl w:val="62CC8C9C"/>
    <w:lvl w:ilvl="0" w:tplc="B4E41D12">
      <w:start w:val="1"/>
      <w:numFmt w:val="bullet"/>
      <w:pStyle w:val="E3Bullets"/>
      <w:lvlText w:val="•"/>
      <w:lvlJc w:val="left"/>
      <w:pPr>
        <w:ind w:left="1041" w:hanging="360"/>
      </w:pPr>
      <w:rPr>
        <w:rFonts w:ascii="Georgia" w:hAnsi="Georgia" w:hint="default"/>
        <w:color w:val="auto"/>
      </w:rPr>
    </w:lvl>
    <w:lvl w:ilvl="1" w:tplc="04090003">
      <w:start w:val="1"/>
      <w:numFmt w:val="bullet"/>
      <w:lvlText w:val="o"/>
      <w:lvlJc w:val="left"/>
      <w:pPr>
        <w:ind w:left="2121" w:hanging="360"/>
      </w:pPr>
      <w:rPr>
        <w:rFonts w:ascii="Courier New" w:hAnsi="Courier New" w:cs="Courier New" w:hint="default"/>
      </w:rPr>
    </w:lvl>
    <w:lvl w:ilvl="2" w:tplc="04090005" w:tentative="1">
      <w:start w:val="1"/>
      <w:numFmt w:val="bullet"/>
      <w:lvlText w:val=""/>
      <w:lvlJc w:val="left"/>
      <w:pPr>
        <w:ind w:left="2841" w:hanging="360"/>
      </w:pPr>
      <w:rPr>
        <w:rFonts w:ascii="Wingdings" w:hAnsi="Wingdings" w:hint="default"/>
      </w:rPr>
    </w:lvl>
    <w:lvl w:ilvl="3" w:tplc="04090001" w:tentative="1">
      <w:start w:val="1"/>
      <w:numFmt w:val="bullet"/>
      <w:lvlText w:val=""/>
      <w:lvlJc w:val="left"/>
      <w:pPr>
        <w:ind w:left="3561" w:hanging="360"/>
      </w:pPr>
      <w:rPr>
        <w:rFonts w:ascii="Symbol" w:hAnsi="Symbol" w:hint="default"/>
      </w:rPr>
    </w:lvl>
    <w:lvl w:ilvl="4" w:tplc="04090003" w:tentative="1">
      <w:start w:val="1"/>
      <w:numFmt w:val="bullet"/>
      <w:lvlText w:val="o"/>
      <w:lvlJc w:val="left"/>
      <w:pPr>
        <w:ind w:left="4281" w:hanging="360"/>
      </w:pPr>
      <w:rPr>
        <w:rFonts w:ascii="Courier New" w:hAnsi="Courier New" w:cs="Courier New" w:hint="default"/>
      </w:rPr>
    </w:lvl>
    <w:lvl w:ilvl="5" w:tplc="04090005" w:tentative="1">
      <w:start w:val="1"/>
      <w:numFmt w:val="bullet"/>
      <w:lvlText w:val=""/>
      <w:lvlJc w:val="left"/>
      <w:pPr>
        <w:ind w:left="5001" w:hanging="360"/>
      </w:pPr>
      <w:rPr>
        <w:rFonts w:ascii="Wingdings" w:hAnsi="Wingdings" w:hint="default"/>
      </w:rPr>
    </w:lvl>
    <w:lvl w:ilvl="6" w:tplc="04090001" w:tentative="1">
      <w:start w:val="1"/>
      <w:numFmt w:val="bullet"/>
      <w:lvlText w:val=""/>
      <w:lvlJc w:val="left"/>
      <w:pPr>
        <w:ind w:left="5721" w:hanging="360"/>
      </w:pPr>
      <w:rPr>
        <w:rFonts w:ascii="Symbol" w:hAnsi="Symbol" w:hint="default"/>
      </w:rPr>
    </w:lvl>
    <w:lvl w:ilvl="7" w:tplc="04090003" w:tentative="1">
      <w:start w:val="1"/>
      <w:numFmt w:val="bullet"/>
      <w:lvlText w:val="o"/>
      <w:lvlJc w:val="left"/>
      <w:pPr>
        <w:ind w:left="6441" w:hanging="360"/>
      </w:pPr>
      <w:rPr>
        <w:rFonts w:ascii="Courier New" w:hAnsi="Courier New" w:cs="Courier New" w:hint="default"/>
      </w:rPr>
    </w:lvl>
    <w:lvl w:ilvl="8" w:tplc="04090005" w:tentative="1">
      <w:start w:val="1"/>
      <w:numFmt w:val="bullet"/>
      <w:lvlText w:val=""/>
      <w:lvlJc w:val="left"/>
      <w:pPr>
        <w:ind w:left="7161" w:hanging="360"/>
      </w:pPr>
      <w:rPr>
        <w:rFonts w:ascii="Wingdings" w:hAnsi="Wingdings" w:hint="default"/>
      </w:rPr>
    </w:lvl>
  </w:abstractNum>
  <w:abstractNum w:abstractNumId="6" w15:restartNumberingAfterBreak="0">
    <w:nsid w:val="0C013BCC"/>
    <w:multiLevelType w:val="hybridMultilevel"/>
    <w:tmpl w:val="16D4163C"/>
    <w:lvl w:ilvl="0" w:tplc="A59A9358">
      <w:numFmt w:val="bullet"/>
      <w:lvlText w:val="-"/>
      <w:lvlJc w:val="left"/>
      <w:pPr>
        <w:ind w:left="720" w:hanging="360"/>
      </w:pPr>
      <w:rPr>
        <w:rFonts w:ascii="Georgia" w:eastAsia="Calibri" w:hAnsi="Georgia" w:cs="Georgi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1D6622"/>
    <w:multiLevelType w:val="hybridMultilevel"/>
    <w:tmpl w:val="CCC88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860493"/>
    <w:multiLevelType w:val="hybridMultilevel"/>
    <w:tmpl w:val="3E7223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481469"/>
    <w:multiLevelType w:val="hybridMultilevel"/>
    <w:tmpl w:val="482C5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CB64EA"/>
    <w:multiLevelType w:val="hybridMultilevel"/>
    <w:tmpl w:val="C6902D8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1" w15:restartNumberingAfterBreak="0">
    <w:nsid w:val="1677049E"/>
    <w:multiLevelType w:val="hybridMultilevel"/>
    <w:tmpl w:val="02D03FAE"/>
    <w:lvl w:ilvl="0" w:tplc="2BA0F328">
      <w:numFmt w:val="bullet"/>
      <w:lvlText w:val="-"/>
      <w:lvlJc w:val="left"/>
      <w:pPr>
        <w:ind w:left="720" w:hanging="360"/>
      </w:pPr>
      <w:rPr>
        <w:rFonts w:ascii="Georgia" w:eastAsia="Calibri" w:hAnsi="Georgia" w:cs="Georgi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541D94"/>
    <w:multiLevelType w:val="hybridMultilevel"/>
    <w:tmpl w:val="D130D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0E53E3"/>
    <w:multiLevelType w:val="hybridMultilevel"/>
    <w:tmpl w:val="00FC04F2"/>
    <w:lvl w:ilvl="0" w:tplc="0C09000F">
      <w:start w:val="1"/>
      <w:numFmt w:val="decimal"/>
      <w:lvlText w:val="%1."/>
      <w:lvlJc w:val="left"/>
      <w:pPr>
        <w:ind w:left="770" w:hanging="360"/>
      </w:pPr>
    </w:lvl>
    <w:lvl w:ilvl="1" w:tplc="0C090019" w:tentative="1">
      <w:start w:val="1"/>
      <w:numFmt w:val="lowerLetter"/>
      <w:lvlText w:val="%2."/>
      <w:lvlJc w:val="left"/>
      <w:pPr>
        <w:ind w:left="1490" w:hanging="360"/>
      </w:p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14" w15:restartNumberingAfterBreak="0">
    <w:nsid w:val="1B9148AC"/>
    <w:multiLevelType w:val="hybridMultilevel"/>
    <w:tmpl w:val="4DDC81A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1CB752A9"/>
    <w:multiLevelType w:val="hybridMultilevel"/>
    <w:tmpl w:val="F4FAC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B8003C"/>
    <w:multiLevelType w:val="hybridMultilevel"/>
    <w:tmpl w:val="94C24AB2"/>
    <w:lvl w:ilvl="0" w:tplc="0E621DB0">
      <w:start w:val="1"/>
      <w:numFmt w:val="bullet"/>
      <w:lvlText w:val=""/>
      <w:lvlJc w:val="left"/>
      <w:pPr>
        <w:tabs>
          <w:tab w:val="num" w:pos="1494"/>
        </w:tabs>
        <w:ind w:left="1494" w:hanging="360"/>
      </w:pPr>
      <w:rPr>
        <w:rFonts w:ascii="Symbol" w:hAnsi="Symbol"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D17299C"/>
    <w:multiLevelType w:val="hybridMultilevel"/>
    <w:tmpl w:val="05667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D741FD5"/>
    <w:multiLevelType w:val="hybridMultilevel"/>
    <w:tmpl w:val="5EEC1644"/>
    <w:lvl w:ilvl="0" w:tplc="819A774E">
      <w:start w:val="8"/>
      <w:numFmt w:val="bullet"/>
      <w:lvlText w:val="-"/>
      <w:lvlJc w:val="left"/>
      <w:pPr>
        <w:ind w:left="720" w:hanging="360"/>
      </w:pPr>
      <w:rPr>
        <w:rFonts w:ascii="Cambria" w:eastAsia="Calibri" w:hAnsi="Cambria" w:cs="Georgi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DA916F6"/>
    <w:multiLevelType w:val="hybridMultilevel"/>
    <w:tmpl w:val="460CA05C"/>
    <w:lvl w:ilvl="0" w:tplc="1992340C">
      <w:start w:val="1"/>
      <w:numFmt w:val="bullet"/>
      <w:lvlText w:val=""/>
      <w:lvlJc w:val="left"/>
      <w:pPr>
        <w:ind w:left="1854" w:hanging="360"/>
      </w:pPr>
      <w:rPr>
        <w:rFonts w:ascii="Symbol" w:hAnsi="Symbol" w:hint="default"/>
      </w:rPr>
    </w:lvl>
    <w:lvl w:ilvl="1" w:tplc="0A361444">
      <w:start w:val="1"/>
      <w:numFmt w:val="decimal"/>
      <w:lvlText w:val="%2."/>
      <w:lvlJc w:val="left"/>
      <w:pPr>
        <w:tabs>
          <w:tab w:val="num" w:pos="1440"/>
        </w:tabs>
        <w:ind w:left="1440" w:hanging="720"/>
      </w:pPr>
    </w:lvl>
    <w:lvl w:ilvl="2" w:tplc="B53EA51E">
      <w:start w:val="1"/>
      <w:numFmt w:val="decimal"/>
      <w:lvlText w:val="%3."/>
      <w:lvlJc w:val="left"/>
      <w:pPr>
        <w:tabs>
          <w:tab w:val="num" w:pos="2160"/>
        </w:tabs>
        <w:ind w:left="2160" w:hanging="720"/>
      </w:pPr>
    </w:lvl>
    <w:lvl w:ilvl="3" w:tplc="DB4EFACA">
      <w:start w:val="1"/>
      <w:numFmt w:val="bullet"/>
      <w:lvlText w:val=""/>
      <w:lvlJc w:val="left"/>
      <w:pPr>
        <w:tabs>
          <w:tab w:val="num" w:pos="2880"/>
        </w:tabs>
        <w:ind w:left="2880" w:hanging="720"/>
      </w:pPr>
      <w:rPr>
        <w:rFonts w:ascii="Symbol" w:hAnsi="Symbol" w:hint="default"/>
      </w:rPr>
    </w:lvl>
    <w:lvl w:ilvl="4" w:tplc="A5788236">
      <w:start w:val="1"/>
      <w:numFmt w:val="decimal"/>
      <w:lvlText w:val="%5."/>
      <w:lvlJc w:val="left"/>
      <w:pPr>
        <w:tabs>
          <w:tab w:val="num" w:pos="3600"/>
        </w:tabs>
        <w:ind w:left="3600" w:hanging="720"/>
      </w:pPr>
    </w:lvl>
    <w:lvl w:ilvl="5" w:tplc="C57CB88E">
      <w:start w:val="1"/>
      <w:numFmt w:val="decimal"/>
      <w:lvlText w:val="%6."/>
      <w:lvlJc w:val="left"/>
      <w:pPr>
        <w:tabs>
          <w:tab w:val="num" w:pos="4320"/>
        </w:tabs>
        <w:ind w:left="4320" w:hanging="720"/>
      </w:pPr>
    </w:lvl>
    <w:lvl w:ilvl="6" w:tplc="C42AF31C">
      <w:start w:val="1"/>
      <w:numFmt w:val="decimal"/>
      <w:lvlText w:val="%7."/>
      <w:lvlJc w:val="left"/>
      <w:pPr>
        <w:tabs>
          <w:tab w:val="num" w:pos="5040"/>
        </w:tabs>
        <w:ind w:left="5040" w:hanging="720"/>
      </w:pPr>
    </w:lvl>
    <w:lvl w:ilvl="7" w:tplc="12EC4C30">
      <w:start w:val="1"/>
      <w:numFmt w:val="decimal"/>
      <w:lvlText w:val="%8."/>
      <w:lvlJc w:val="left"/>
      <w:pPr>
        <w:tabs>
          <w:tab w:val="num" w:pos="5760"/>
        </w:tabs>
        <w:ind w:left="5760" w:hanging="720"/>
      </w:pPr>
    </w:lvl>
    <w:lvl w:ilvl="8" w:tplc="3386E15C">
      <w:start w:val="1"/>
      <w:numFmt w:val="decimal"/>
      <w:lvlText w:val="%9."/>
      <w:lvlJc w:val="left"/>
      <w:pPr>
        <w:tabs>
          <w:tab w:val="num" w:pos="6480"/>
        </w:tabs>
        <w:ind w:left="6480" w:hanging="720"/>
      </w:pPr>
    </w:lvl>
  </w:abstractNum>
  <w:abstractNum w:abstractNumId="20" w15:restartNumberingAfterBreak="0">
    <w:nsid w:val="1E0018D2"/>
    <w:multiLevelType w:val="multilevel"/>
    <w:tmpl w:val="4C445E9E"/>
    <w:lvl w:ilvl="0">
      <w:start w:val="1"/>
      <w:numFmt w:val="decimal"/>
      <w:lvlText w:val="%1."/>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38A2E05"/>
    <w:multiLevelType w:val="hybridMultilevel"/>
    <w:tmpl w:val="65B65D84"/>
    <w:lvl w:ilvl="0" w:tplc="819A774E">
      <w:start w:val="8"/>
      <w:numFmt w:val="bullet"/>
      <w:lvlText w:val="-"/>
      <w:lvlJc w:val="left"/>
      <w:pPr>
        <w:ind w:left="720" w:hanging="360"/>
      </w:pPr>
      <w:rPr>
        <w:rFonts w:ascii="Cambria" w:eastAsia="Calibri" w:hAnsi="Cambria" w:cs="Georgi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5963683"/>
    <w:multiLevelType w:val="hybridMultilevel"/>
    <w:tmpl w:val="16C6F8BE"/>
    <w:lvl w:ilvl="0" w:tplc="71DEBBF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7C0228A"/>
    <w:multiLevelType w:val="hybridMultilevel"/>
    <w:tmpl w:val="FEB2BA10"/>
    <w:lvl w:ilvl="0" w:tplc="724674F6">
      <w:start w:val="1"/>
      <w:numFmt w:val="bullet"/>
      <w:lvlText w:val=""/>
      <w:lvlJc w:val="left"/>
      <w:pPr>
        <w:ind w:left="360" w:hanging="360"/>
      </w:pPr>
      <w:rPr>
        <w:rFonts w:ascii="Symbol" w:hAnsi="Symbol" w:hint="default"/>
        <w:color w:val="E31F26"/>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C64210"/>
    <w:multiLevelType w:val="hybridMultilevel"/>
    <w:tmpl w:val="346C5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B5A59D2"/>
    <w:multiLevelType w:val="hybridMultilevel"/>
    <w:tmpl w:val="0C7652A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2C2E2304"/>
    <w:multiLevelType w:val="hybridMultilevel"/>
    <w:tmpl w:val="384E6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C6268B1"/>
    <w:multiLevelType w:val="hybridMultilevel"/>
    <w:tmpl w:val="E438BC2C"/>
    <w:lvl w:ilvl="0" w:tplc="EB387A72">
      <w:start w:val="1"/>
      <w:numFmt w:val="bullet"/>
      <w:lvlText w:val="∙"/>
      <w:lvlJc w:val="left"/>
      <w:pPr>
        <w:ind w:left="720" w:hanging="360"/>
      </w:pPr>
      <w:rPr>
        <w:rFonts w:ascii="Georgia" w:hAnsi="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0D4FD8"/>
    <w:multiLevelType w:val="multilevel"/>
    <w:tmpl w:val="E320DF42"/>
    <w:lvl w:ilvl="0">
      <w:start w:val="1"/>
      <w:numFmt w:val="decimal"/>
      <w:pStyle w:val="Heading1"/>
      <w:lvlText w:val="%1."/>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FF346F3"/>
    <w:multiLevelType w:val="hybridMultilevel"/>
    <w:tmpl w:val="49E67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442134B"/>
    <w:multiLevelType w:val="multilevel"/>
    <w:tmpl w:val="031E01EC"/>
    <w:lvl w:ilvl="0">
      <w:start w:val="1"/>
      <w:numFmt w:val="bullet"/>
      <w:pStyle w:val="Bullets"/>
      <w:lvlText w:val="6"/>
      <w:lvlJc w:val="left"/>
      <w:pPr>
        <w:ind w:left="720" w:hanging="363"/>
      </w:pPr>
      <w:rPr>
        <w:rFonts w:ascii="CBR Arrows" w:hAnsi="CBR Arrows" w:hint="default"/>
        <w:color w:val="C1001A" w:themeColor="accent1"/>
        <w:sz w:val="24"/>
      </w:rPr>
    </w:lvl>
    <w:lvl w:ilvl="1">
      <w:start w:val="1"/>
      <w:numFmt w:val="bullet"/>
      <w:lvlText w:val="7"/>
      <w:lvlJc w:val="left"/>
      <w:pPr>
        <w:ind w:left="1060" w:hanging="363"/>
      </w:pPr>
      <w:rPr>
        <w:rFonts w:ascii="CBR Arrows" w:hAnsi="CBR Arrows" w:hint="default"/>
        <w:color w:val="A6A6A6" w:themeColor="background1" w:themeShade="A6"/>
        <w:sz w:val="24"/>
      </w:rPr>
    </w:lvl>
    <w:lvl w:ilvl="2">
      <w:start w:val="1"/>
      <w:numFmt w:val="bullet"/>
      <w:lvlText w:val="8"/>
      <w:lvlJc w:val="left"/>
      <w:pPr>
        <w:ind w:left="1400" w:hanging="363"/>
      </w:pPr>
      <w:rPr>
        <w:rFonts w:ascii="CBR Arrows" w:hAnsi="CBR Arrows" w:hint="default"/>
        <w:color w:val="A6A6A6" w:themeColor="background1" w:themeShade="A6"/>
        <w:sz w:val="24"/>
      </w:rPr>
    </w:lvl>
    <w:lvl w:ilvl="3">
      <w:start w:val="1"/>
      <w:numFmt w:val="bullet"/>
      <w:lvlText w:val="3"/>
      <w:lvlJc w:val="left"/>
      <w:pPr>
        <w:ind w:left="1740" w:hanging="363"/>
      </w:pPr>
      <w:rPr>
        <w:rFonts w:ascii="CBR Arrows" w:hAnsi="CBR Arrows" w:hint="default"/>
        <w:color w:val="A6A6A6" w:themeColor="background1" w:themeShade="A6"/>
        <w:sz w:val="24"/>
      </w:rPr>
    </w:lvl>
    <w:lvl w:ilvl="4">
      <w:start w:val="1"/>
      <w:numFmt w:val="bullet"/>
      <w:lvlText w:val="4"/>
      <w:lvlJc w:val="left"/>
      <w:pPr>
        <w:ind w:left="2080" w:hanging="363"/>
      </w:pPr>
      <w:rPr>
        <w:rFonts w:ascii="CBR Arrows" w:hAnsi="CBR Arrows" w:hint="default"/>
        <w:color w:val="A6A6A6" w:themeColor="background1" w:themeShade="A6"/>
        <w:sz w:val="24"/>
      </w:rPr>
    </w:lvl>
    <w:lvl w:ilvl="5">
      <w:start w:val="1"/>
      <w:numFmt w:val="bullet"/>
      <w:lvlText w:val=""/>
      <w:lvlJc w:val="left"/>
      <w:pPr>
        <w:ind w:left="2420" w:hanging="363"/>
      </w:pPr>
      <w:rPr>
        <w:rFonts w:ascii="Wingdings" w:hAnsi="Wingdings" w:hint="default"/>
      </w:rPr>
    </w:lvl>
    <w:lvl w:ilvl="6">
      <w:start w:val="1"/>
      <w:numFmt w:val="bullet"/>
      <w:lvlText w:val=""/>
      <w:lvlJc w:val="left"/>
      <w:pPr>
        <w:ind w:left="2760" w:hanging="363"/>
      </w:pPr>
      <w:rPr>
        <w:rFonts w:ascii="Symbol" w:hAnsi="Symbol" w:hint="default"/>
      </w:rPr>
    </w:lvl>
    <w:lvl w:ilvl="7">
      <w:start w:val="1"/>
      <w:numFmt w:val="bullet"/>
      <w:lvlText w:val="o"/>
      <w:lvlJc w:val="left"/>
      <w:pPr>
        <w:ind w:left="3100" w:hanging="363"/>
      </w:pPr>
      <w:rPr>
        <w:rFonts w:ascii="Courier New" w:hAnsi="Courier New" w:cs="Courier New" w:hint="default"/>
      </w:rPr>
    </w:lvl>
    <w:lvl w:ilvl="8">
      <w:start w:val="1"/>
      <w:numFmt w:val="bullet"/>
      <w:lvlText w:val=""/>
      <w:lvlJc w:val="left"/>
      <w:pPr>
        <w:ind w:left="3440" w:hanging="363"/>
      </w:pPr>
      <w:rPr>
        <w:rFonts w:ascii="Wingdings" w:hAnsi="Wingdings" w:hint="default"/>
      </w:rPr>
    </w:lvl>
  </w:abstractNum>
  <w:abstractNum w:abstractNumId="31" w15:restartNumberingAfterBreak="0">
    <w:nsid w:val="36093842"/>
    <w:multiLevelType w:val="hybridMultilevel"/>
    <w:tmpl w:val="8CBEC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74C0CDC"/>
    <w:multiLevelType w:val="hybridMultilevel"/>
    <w:tmpl w:val="6DE678C0"/>
    <w:lvl w:ilvl="0" w:tplc="3C40ECB6">
      <w:start w:val="1"/>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377838B5"/>
    <w:multiLevelType w:val="hybridMultilevel"/>
    <w:tmpl w:val="0E8C6A7E"/>
    <w:lvl w:ilvl="0" w:tplc="38EE5602">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8705128"/>
    <w:multiLevelType w:val="hybridMultilevel"/>
    <w:tmpl w:val="80407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8874AEF"/>
    <w:multiLevelType w:val="hybridMultilevel"/>
    <w:tmpl w:val="574C930A"/>
    <w:lvl w:ilvl="0" w:tplc="4AC4C08C">
      <w:start w:val="8"/>
      <w:numFmt w:val="bullet"/>
      <w:lvlText w:val="-"/>
      <w:lvlJc w:val="left"/>
      <w:pPr>
        <w:ind w:left="720" w:hanging="360"/>
      </w:pPr>
      <w:rPr>
        <w:rFonts w:ascii="Georgia" w:eastAsia="Calibri" w:hAnsi="Georgia" w:cs="Georgi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A3D650B"/>
    <w:multiLevelType w:val="multilevel"/>
    <w:tmpl w:val="436E6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BE21D51"/>
    <w:multiLevelType w:val="hybridMultilevel"/>
    <w:tmpl w:val="DFF0B526"/>
    <w:lvl w:ilvl="0" w:tplc="CE72976A">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3C8F720E"/>
    <w:multiLevelType w:val="hybridMultilevel"/>
    <w:tmpl w:val="740C56B4"/>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9" w15:restartNumberingAfterBreak="0">
    <w:nsid w:val="404A0E0D"/>
    <w:multiLevelType w:val="hybridMultilevel"/>
    <w:tmpl w:val="85C69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522663F"/>
    <w:multiLevelType w:val="hybridMultilevel"/>
    <w:tmpl w:val="7AE8A1D4"/>
    <w:lvl w:ilvl="0" w:tplc="BC42BBEE">
      <w:start w:val="1"/>
      <w:numFmt w:val="bullet"/>
      <w:pStyle w:val="EEATbullets"/>
      <w:lvlText w:val="•"/>
      <w:lvlJc w:val="left"/>
      <w:pPr>
        <w:ind w:left="360" w:hanging="360"/>
      </w:pPr>
      <w:rPr>
        <w:rFonts w:ascii="Calibri" w:hAnsi="Calibri" w:hint="default"/>
        <w:color w:val="0070C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5D12AEE"/>
    <w:multiLevelType w:val="hybridMultilevel"/>
    <w:tmpl w:val="317A7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BD270E2"/>
    <w:multiLevelType w:val="hybridMultilevel"/>
    <w:tmpl w:val="DB28481C"/>
    <w:lvl w:ilvl="0" w:tplc="71DEBBF6">
      <w:numFmt w:val="bullet"/>
      <w:lvlText w:val="-"/>
      <w:lvlJc w:val="left"/>
      <w:pPr>
        <w:ind w:left="770" w:hanging="360"/>
      </w:pPr>
      <w:rPr>
        <w:rFonts w:ascii="Calibri" w:eastAsiaTheme="minorHAnsi" w:hAnsi="Calibri" w:cs="Calibri"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3" w15:restartNumberingAfterBreak="0">
    <w:nsid w:val="4C2F5E80"/>
    <w:multiLevelType w:val="hybridMultilevel"/>
    <w:tmpl w:val="266A1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C3E3009"/>
    <w:multiLevelType w:val="hybridMultilevel"/>
    <w:tmpl w:val="1E5CFE2A"/>
    <w:lvl w:ilvl="0" w:tplc="0C09000F">
      <w:start w:val="1"/>
      <w:numFmt w:val="decimal"/>
      <w:lvlText w:val="%1."/>
      <w:lvlJc w:val="left"/>
      <w:pPr>
        <w:ind w:left="36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EFC4D20"/>
    <w:multiLevelType w:val="hybridMultilevel"/>
    <w:tmpl w:val="0E041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15E414D"/>
    <w:multiLevelType w:val="hybridMultilevel"/>
    <w:tmpl w:val="E364F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7356411"/>
    <w:multiLevelType w:val="hybridMultilevel"/>
    <w:tmpl w:val="41585E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591D6D2F"/>
    <w:multiLevelType w:val="hybridMultilevel"/>
    <w:tmpl w:val="CB84153E"/>
    <w:lvl w:ilvl="0" w:tplc="0C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9" w15:restartNumberingAfterBreak="0">
    <w:nsid w:val="5A9D0569"/>
    <w:multiLevelType w:val="hybridMultilevel"/>
    <w:tmpl w:val="9FAE5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E4F4BED"/>
    <w:multiLevelType w:val="hybridMultilevel"/>
    <w:tmpl w:val="9DFEAABA"/>
    <w:lvl w:ilvl="0" w:tplc="38463200">
      <w:start w:val="1"/>
      <w:numFmt w:val="decimal"/>
      <w:lvlText w:val="%1."/>
      <w:lvlJc w:val="left"/>
      <w:pPr>
        <w:ind w:left="964" w:hanging="360"/>
      </w:pPr>
      <w:rPr>
        <w:rFonts w:hint="default"/>
        <w:color w:val="auto"/>
      </w:rPr>
    </w:lvl>
    <w:lvl w:ilvl="1" w:tplc="04090003" w:tentative="1">
      <w:start w:val="1"/>
      <w:numFmt w:val="bullet"/>
      <w:lvlText w:val="o"/>
      <w:lvlJc w:val="left"/>
      <w:pPr>
        <w:ind w:left="1684" w:hanging="360"/>
      </w:pPr>
      <w:rPr>
        <w:rFonts w:ascii="Courier New" w:hAnsi="Courier New" w:cs="Courier New" w:hint="default"/>
      </w:rPr>
    </w:lvl>
    <w:lvl w:ilvl="2" w:tplc="04090005" w:tentative="1">
      <w:start w:val="1"/>
      <w:numFmt w:val="bullet"/>
      <w:lvlText w:val=""/>
      <w:lvlJc w:val="left"/>
      <w:pPr>
        <w:ind w:left="2404" w:hanging="360"/>
      </w:pPr>
      <w:rPr>
        <w:rFonts w:ascii="Wingdings" w:hAnsi="Wingdings" w:hint="default"/>
      </w:rPr>
    </w:lvl>
    <w:lvl w:ilvl="3" w:tplc="04090001" w:tentative="1">
      <w:start w:val="1"/>
      <w:numFmt w:val="bullet"/>
      <w:lvlText w:val=""/>
      <w:lvlJc w:val="left"/>
      <w:pPr>
        <w:ind w:left="3124" w:hanging="360"/>
      </w:pPr>
      <w:rPr>
        <w:rFonts w:ascii="Symbol" w:hAnsi="Symbol" w:hint="default"/>
      </w:rPr>
    </w:lvl>
    <w:lvl w:ilvl="4" w:tplc="04090003" w:tentative="1">
      <w:start w:val="1"/>
      <w:numFmt w:val="bullet"/>
      <w:lvlText w:val="o"/>
      <w:lvlJc w:val="left"/>
      <w:pPr>
        <w:ind w:left="3844" w:hanging="360"/>
      </w:pPr>
      <w:rPr>
        <w:rFonts w:ascii="Courier New" w:hAnsi="Courier New" w:cs="Courier New" w:hint="default"/>
      </w:rPr>
    </w:lvl>
    <w:lvl w:ilvl="5" w:tplc="04090005" w:tentative="1">
      <w:start w:val="1"/>
      <w:numFmt w:val="bullet"/>
      <w:lvlText w:val=""/>
      <w:lvlJc w:val="left"/>
      <w:pPr>
        <w:ind w:left="4564" w:hanging="360"/>
      </w:pPr>
      <w:rPr>
        <w:rFonts w:ascii="Wingdings" w:hAnsi="Wingdings" w:hint="default"/>
      </w:rPr>
    </w:lvl>
    <w:lvl w:ilvl="6" w:tplc="04090001" w:tentative="1">
      <w:start w:val="1"/>
      <w:numFmt w:val="bullet"/>
      <w:lvlText w:val=""/>
      <w:lvlJc w:val="left"/>
      <w:pPr>
        <w:ind w:left="5284" w:hanging="360"/>
      </w:pPr>
      <w:rPr>
        <w:rFonts w:ascii="Symbol" w:hAnsi="Symbol" w:hint="default"/>
      </w:rPr>
    </w:lvl>
    <w:lvl w:ilvl="7" w:tplc="04090003" w:tentative="1">
      <w:start w:val="1"/>
      <w:numFmt w:val="bullet"/>
      <w:lvlText w:val="o"/>
      <w:lvlJc w:val="left"/>
      <w:pPr>
        <w:ind w:left="6004" w:hanging="360"/>
      </w:pPr>
      <w:rPr>
        <w:rFonts w:ascii="Courier New" w:hAnsi="Courier New" w:cs="Courier New" w:hint="default"/>
      </w:rPr>
    </w:lvl>
    <w:lvl w:ilvl="8" w:tplc="04090005" w:tentative="1">
      <w:start w:val="1"/>
      <w:numFmt w:val="bullet"/>
      <w:lvlText w:val=""/>
      <w:lvlJc w:val="left"/>
      <w:pPr>
        <w:ind w:left="6724" w:hanging="360"/>
      </w:pPr>
      <w:rPr>
        <w:rFonts w:ascii="Wingdings" w:hAnsi="Wingdings" w:hint="default"/>
      </w:rPr>
    </w:lvl>
  </w:abstractNum>
  <w:abstractNum w:abstractNumId="51" w15:restartNumberingAfterBreak="0">
    <w:nsid w:val="62161F70"/>
    <w:multiLevelType w:val="hybridMultilevel"/>
    <w:tmpl w:val="9B0A799A"/>
    <w:lvl w:ilvl="0" w:tplc="71DEBBF6">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4322B0F"/>
    <w:multiLevelType w:val="multilevel"/>
    <w:tmpl w:val="1B8E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5456429"/>
    <w:multiLevelType w:val="multilevel"/>
    <w:tmpl w:val="987C45B0"/>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4" w15:restartNumberingAfterBreak="0">
    <w:nsid w:val="6B22399B"/>
    <w:multiLevelType w:val="hybridMultilevel"/>
    <w:tmpl w:val="5E961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BB558C6"/>
    <w:multiLevelType w:val="hybridMultilevel"/>
    <w:tmpl w:val="D95AF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D1E7989"/>
    <w:multiLevelType w:val="hybridMultilevel"/>
    <w:tmpl w:val="7B6AFB4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7" w15:restartNumberingAfterBreak="0">
    <w:nsid w:val="6D34227D"/>
    <w:multiLevelType w:val="hybridMultilevel"/>
    <w:tmpl w:val="7B001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DA40B5F"/>
    <w:multiLevelType w:val="multilevel"/>
    <w:tmpl w:val="DCF0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10D60BB"/>
    <w:multiLevelType w:val="hybridMultilevel"/>
    <w:tmpl w:val="6E36783C"/>
    <w:lvl w:ilvl="0" w:tplc="A060000E">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4830431"/>
    <w:multiLevelType w:val="hybridMultilevel"/>
    <w:tmpl w:val="1DD4AF5C"/>
    <w:lvl w:ilvl="0" w:tplc="71DEBBF6">
      <w:numFmt w:val="bullet"/>
      <w:lvlText w:val="-"/>
      <w:lvlJc w:val="left"/>
      <w:pPr>
        <w:ind w:left="720" w:hanging="360"/>
      </w:pPr>
      <w:rPr>
        <w:rFonts w:ascii="Calibri" w:eastAsiaTheme="minorHAnsi" w:hAnsi="Calibri" w:cs="Calibr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1" w15:restartNumberingAfterBreak="0">
    <w:nsid w:val="77B23D62"/>
    <w:multiLevelType w:val="hybridMultilevel"/>
    <w:tmpl w:val="0DF48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AD81442"/>
    <w:multiLevelType w:val="hybridMultilevel"/>
    <w:tmpl w:val="C810869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7C2B4833"/>
    <w:multiLevelType w:val="hybridMultilevel"/>
    <w:tmpl w:val="088EA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D1137D6"/>
    <w:multiLevelType w:val="hybridMultilevel"/>
    <w:tmpl w:val="85243D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F703B69"/>
    <w:multiLevelType w:val="hybridMultilevel"/>
    <w:tmpl w:val="D8A84A78"/>
    <w:lvl w:ilvl="0" w:tplc="670A6F94">
      <w:start w:val="1"/>
      <w:numFmt w:val="bullet"/>
      <w:pStyle w:val="E3SubSubBullets"/>
      <w:lvlText w:val="▪"/>
      <w:lvlJc w:val="left"/>
      <w:pPr>
        <w:ind w:left="964" w:hanging="360"/>
      </w:pPr>
      <w:rPr>
        <w:rFonts w:ascii="Georgia" w:hAnsi="Georgia" w:cs="Times New Roman" w:hint="default"/>
        <w:color w:val="FF0000"/>
      </w:rPr>
    </w:lvl>
    <w:lvl w:ilvl="1" w:tplc="04090003" w:tentative="1">
      <w:start w:val="1"/>
      <w:numFmt w:val="bullet"/>
      <w:lvlText w:val="o"/>
      <w:lvlJc w:val="left"/>
      <w:pPr>
        <w:ind w:left="1684" w:hanging="360"/>
      </w:pPr>
      <w:rPr>
        <w:rFonts w:ascii="Courier New" w:hAnsi="Courier New" w:cs="Courier New" w:hint="default"/>
      </w:rPr>
    </w:lvl>
    <w:lvl w:ilvl="2" w:tplc="04090005" w:tentative="1">
      <w:start w:val="1"/>
      <w:numFmt w:val="bullet"/>
      <w:lvlText w:val=""/>
      <w:lvlJc w:val="left"/>
      <w:pPr>
        <w:ind w:left="2404" w:hanging="360"/>
      </w:pPr>
      <w:rPr>
        <w:rFonts w:ascii="Wingdings" w:hAnsi="Wingdings" w:hint="default"/>
      </w:rPr>
    </w:lvl>
    <w:lvl w:ilvl="3" w:tplc="04090001" w:tentative="1">
      <w:start w:val="1"/>
      <w:numFmt w:val="bullet"/>
      <w:lvlText w:val=""/>
      <w:lvlJc w:val="left"/>
      <w:pPr>
        <w:ind w:left="3124" w:hanging="360"/>
      </w:pPr>
      <w:rPr>
        <w:rFonts w:ascii="Symbol" w:hAnsi="Symbol" w:hint="default"/>
      </w:rPr>
    </w:lvl>
    <w:lvl w:ilvl="4" w:tplc="04090003" w:tentative="1">
      <w:start w:val="1"/>
      <w:numFmt w:val="bullet"/>
      <w:lvlText w:val="o"/>
      <w:lvlJc w:val="left"/>
      <w:pPr>
        <w:ind w:left="3844" w:hanging="360"/>
      </w:pPr>
      <w:rPr>
        <w:rFonts w:ascii="Courier New" w:hAnsi="Courier New" w:cs="Courier New" w:hint="default"/>
      </w:rPr>
    </w:lvl>
    <w:lvl w:ilvl="5" w:tplc="04090005" w:tentative="1">
      <w:start w:val="1"/>
      <w:numFmt w:val="bullet"/>
      <w:lvlText w:val=""/>
      <w:lvlJc w:val="left"/>
      <w:pPr>
        <w:ind w:left="4564" w:hanging="360"/>
      </w:pPr>
      <w:rPr>
        <w:rFonts w:ascii="Wingdings" w:hAnsi="Wingdings" w:hint="default"/>
      </w:rPr>
    </w:lvl>
    <w:lvl w:ilvl="6" w:tplc="04090001" w:tentative="1">
      <w:start w:val="1"/>
      <w:numFmt w:val="bullet"/>
      <w:lvlText w:val=""/>
      <w:lvlJc w:val="left"/>
      <w:pPr>
        <w:ind w:left="5284" w:hanging="360"/>
      </w:pPr>
      <w:rPr>
        <w:rFonts w:ascii="Symbol" w:hAnsi="Symbol" w:hint="default"/>
      </w:rPr>
    </w:lvl>
    <w:lvl w:ilvl="7" w:tplc="04090003" w:tentative="1">
      <w:start w:val="1"/>
      <w:numFmt w:val="bullet"/>
      <w:lvlText w:val="o"/>
      <w:lvlJc w:val="left"/>
      <w:pPr>
        <w:ind w:left="6004" w:hanging="360"/>
      </w:pPr>
      <w:rPr>
        <w:rFonts w:ascii="Courier New" w:hAnsi="Courier New" w:cs="Courier New" w:hint="default"/>
      </w:rPr>
    </w:lvl>
    <w:lvl w:ilvl="8" w:tplc="04090005" w:tentative="1">
      <w:start w:val="1"/>
      <w:numFmt w:val="bullet"/>
      <w:lvlText w:val=""/>
      <w:lvlJc w:val="left"/>
      <w:pPr>
        <w:ind w:left="6724" w:hanging="360"/>
      </w:pPr>
      <w:rPr>
        <w:rFonts w:ascii="Wingdings" w:hAnsi="Wingdings" w:hint="default"/>
      </w:rPr>
    </w:lvl>
  </w:abstractNum>
  <w:num w:numId="1">
    <w:abstractNumId w:val="27"/>
  </w:num>
  <w:num w:numId="2">
    <w:abstractNumId w:val="27"/>
  </w:num>
  <w:num w:numId="3">
    <w:abstractNumId w:val="28"/>
  </w:num>
  <w:num w:numId="4">
    <w:abstractNumId w:val="28"/>
  </w:num>
  <w:num w:numId="5">
    <w:abstractNumId w:val="0"/>
  </w:num>
  <w:num w:numId="6">
    <w:abstractNumId w:val="0"/>
  </w:num>
  <w:num w:numId="7">
    <w:abstractNumId w:val="0"/>
  </w:num>
  <w:num w:numId="8">
    <w:abstractNumId w:val="23"/>
  </w:num>
  <w:num w:numId="9">
    <w:abstractNumId w:val="5"/>
  </w:num>
  <w:num w:numId="10">
    <w:abstractNumId w:val="31"/>
  </w:num>
  <w:num w:numId="11">
    <w:abstractNumId w:val="65"/>
  </w:num>
  <w:num w:numId="12">
    <w:abstractNumId w:val="20"/>
  </w:num>
  <w:num w:numId="13">
    <w:abstractNumId w:val="43"/>
  </w:num>
  <w:num w:numId="14">
    <w:abstractNumId w:val="33"/>
  </w:num>
  <w:num w:numId="15">
    <w:abstractNumId w:val="37"/>
  </w:num>
  <w:num w:numId="16">
    <w:abstractNumId w:val="4"/>
  </w:num>
  <w:num w:numId="17">
    <w:abstractNumId w:val="16"/>
  </w:num>
  <w:num w:numId="18">
    <w:abstractNumId w:val="1"/>
  </w:num>
  <w:num w:numId="19">
    <w:abstractNumId w:val="55"/>
  </w:num>
  <w:num w:numId="20">
    <w:abstractNumId w:val="46"/>
  </w:num>
  <w:num w:numId="21">
    <w:abstractNumId w:val="42"/>
  </w:num>
  <w:num w:numId="22">
    <w:abstractNumId w:val="51"/>
  </w:num>
  <w:num w:numId="23">
    <w:abstractNumId w:val="45"/>
  </w:num>
  <w:num w:numId="24">
    <w:abstractNumId w:val="8"/>
  </w:num>
  <w:num w:numId="25">
    <w:abstractNumId w:val="59"/>
  </w:num>
  <w:num w:numId="26">
    <w:abstractNumId w:val="25"/>
  </w:num>
  <w:num w:numId="27">
    <w:abstractNumId w:val="13"/>
  </w:num>
  <w:num w:numId="28">
    <w:abstractNumId w:val="48"/>
  </w:num>
  <w:num w:numId="29">
    <w:abstractNumId w:val="38"/>
  </w:num>
  <w:num w:numId="30">
    <w:abstractNumId w:val="57"/>
  </w:num>
  <w:num w:numId="31">
    <w:abstractNumId w:val="39"/>
  </w:num>
  <w:num w:numId="32">
    <w:abstractNumId w:val="7"/>
  </w:num>
  <w:num w:numId="33">
    <w:abstractNumId w:val="15"/>
  </w:num>
  <w:num w:numId="34">
    <w:abstractNumId w:val="34"/>
  </w:num>
  <w:num w:numId="35">
    <w:abstractNumId w:val="26"/>
  </w:num>
  <w:num w:numId="36">
    <w:abstractNumId w:val="29"/>
  </w:num>
  <w:num w:numId="37">
    <w:abstractNumId w:val="63"/>
  </w:num>
  <w:num w:numId="38">
    <w:abstractNumId w:val="9"/>
  </w:num>
  <w:num w:numId="39">
    <w:abstractNumId w:val="47"/>
  </w:num>
  <w:num w:numId="40">
    <w:abstractNumId w:val="50"/>
  </w:num>
  <w:num w:numId="41">
    <w:abstractNumId w:val="3"/>
  </w:num>
  <w:num w:numId="42">
    <w:abstractNumId w:val="24"/>
  </w:num>
  <w:num w:numId="43">
    <w:abstractNumId w:val="41"/>
  </w:num>
  <w:num w:numId="44">
    <w:abstractNumId w:val="12"/>
  </w:num>
  <w:num w:numId="45">
    <w:abstractNumId w:val="61"/>
  </w:num>
  <w:num w:numId="46">
    <w:abstractNumId w:val="64"/>
  </w:num>
  <w:num w:numId="47">
    <w:abstractNumId w:val="19"/>
  </w:num>
  <w:num w:numId="48">
    <w:abstractNumId w:val="30"/>
  </w:num>
  <w:num w:numId="49">
    <w:abstractNumId w:val="11"/>
  </w:num>
  <w:num w:numId="50">
    <w:abstractNumId w:val="58"/>
  </w:num>
  <w:num w:numId="51">
    <w:abstractNumId w:val="52"/>
  </w:num>
  <w:num w:numId="52">
    <w:abstractNumId w:val="36"/>
  </w:num>
  <w:num w:numId="53">
    <w:abstractNumId w:val="10"/>
  </w:num>
  <w:num w:numId="54">
    <w:abstractNumId w:val="2"/>
  </w:num>
  <w:num w:numId="55">
    <w:abstractNumId w:val="60"/>
  </w:num>
  <w:num w:numId="56">
    <w:abstractNumId w:val="22"/>
  </w:num>
  <w:num w:numId="57">
    <w:abstractNumId w:val="18"/>
  </w:num>
  <w:num w:numId="58">
    <w:abstractNumId w:val="6"/>
  </w:num>
  <w:num w:numId="59">
    <w:abstractNumId w:val="17"/>
  </w:num>
  <w:num w:numId="60">
    <w:abstractNumId w:val="35"/>
  </w:num>
  <w:num w:numId="61">
    <w:abstractNumId w:val="32"/>
  </w:num>
  <w:num w:numId="62">
    <w:abstractNumId w:val="54"/>
  </w:num>
  <w:num w:numId="63">
    <w:abstractNumId w:val="49"/>
  </w:num>
  <w:num w:numId="64">
    <w:abstractNumId w:val="21"/>
  </w:num>
  <w:num w:numId="65">
    <w:abstractNumId w:val="0"/>
  </w:num>
  <w:num w:numId="6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4"/>
  </w:num>
  <w:num w:numId="68">
    <w:abstractNumId w:val="14"/>
  </w:num>
  <w:num w:numId="69">
    <w:abstractNumId w:val="53"/>
  </w:num>
  <w:num w:numId="70">
    <w:abstractNumId w:val="40"/>
  </w:num>
  <w:num w:numId="71">
    <w:abstractNumId w:val="6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removePersonalInformation/>
  <w:removeDateAndTime/>
  <w:hideSpellingErrors/>
  <w:hideGrammaticalErrors/>
  <w:defaultTabStop w:val="720"/>
  <w:drawingGridHorizontalSpacing w:val="95"/>
  <w:displayHorizontalDrawingGridEvery w:val="2"/>
  <w:characterSpacingControl w:val="doNotCompress"/>
  <w:hdrShapeDefaults>
    <o:shapedefaults v:ext="edit" spidmax="88068" style="mso-position-horizontal-relative:page;mso-position-vertical-relative:page;v-text-anchor:bottom" o:allowincell="f" o:allowoverlap="f" fill="f" fillcolor="white" stroke="f">
      <v:fill color="white" on="f"/>
      <v:stroke on="f"/>
      <v:textbox inset="0,0,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OzNDE0NDM0NTEwMzZW0lEKTi0uzszPAykwNKsFAMALyyQtAAAA"/>
  </w:docVars>
  <w:rsids>
    <w:rsidRoot w:val="003A6567"/>
    <w:rsid w:val="00000BC0"/>
    <w:rsid w:val="00001DF6"/>
    <w:rsid w:val="000031A6"/>
    <w:rsid w:val="000054E5"/>
    <w:rsid w:val="0000572C"/>
    <w:rsid w:val="00005748"/>
    <w:rsid w:val="00007265"/>
    <w:rsid w:val="000117A1"/>
    <w:rsid w:val="00011ED8"/>
    <w:rsid w:val="000126EA"/>
    <w:rsid w:val="000132F5"/>
    <w:rsid w:val="00013607"/>
    <w:rsid w:val="00013761"/>
    <w:rsid w:val="000143A3"/>
    <w:rsid w:val="00014F02"/>
    <w:rsid w:val="00015DEE"/>
    <w:rsid w:val="00016220"/>
    <w:rsid w:val="00016471"/>
    <w:rsid w:val="000173D7"/>
    <w:rsid w:val="000174A5"/>
    <w:rsid w:val="00024773"/>
    <w:rsid w:val="00025C56"/>
    <w:rsid w:val="0002682C"/>
    <w:rsid w:val="00031A51"/>
    <w:rsid w:val="00032EA3"/>
    <w:rsid w:val="00036241"/>
    <w:rsid w:val="00036EBC"/>
    <w:rsid w:val="00042210"/>
    <w:rsid w:val="0004303B"/>
    <w:rsid w:val="0004383D"/>
    <w:rsid w:val="0004384F"/>
    <w:rsid w:val="00044841"/>
    <w:rsid w:val="00044B48"/>
    <w:rsid w:val="00045DEE"/>
    <w:rsid w:val="0004796A"/>
    <w:rsid w:val="000501A2"/>
    <w:rsid w:val="000520D5"/>
    <w:rsid w:val="00053321"/>
    <w:rsid w:val="0005384E"/>
    <w:rsid w:val="00054B64"/>
    <w:rsid w:val="00060AB5"/>
    <w:rsid w:val="000629E6"/>
    <w:rsid w:val="00062EC2"/>
    <w:rsid w:val="00062FE5"/>
    <w:rsid w:val="00064D1D"/>
    <w:rsid w:val="000660DA"/>
    <w:rsid w:val="00066B8A"/>
    <w:rsid w:val="00066C8C"/>
    <w:rsid w:val="00067FE9"/>
    <w:rsid w:val="000705CD"/>
    <w:rsid w:val="00070E25"/>
    <w:rsid w:val="00071510"/>
    <w:rsid w:val="00072348"/>
    <w:rsid w:val="00077658"/>
    <w:rsid w:val="00077DEB"/>
    <w:rsid w:val="0008064E"/>
    <w:rsid w:val="00084030"/>
    <w:rsid w:val="00086F0B"/>
    <w:rsid w:val="0008761D"/>
    <w:rsid w:val="000923FC"/>
    <w:rsid w:val="00097ED5"/>
    <w:rsid w:val="000A0093"/>
    <w:rsid w:val="000A0740"/>
    <w:rsid w:val="000A0843"/>
    <w:rsid w:val="000A2210"/>
    <w:rsid w:val="000A2AA5"/>
    <w:rsid w:val="000A3C4D"/>
    <w:rsid w:val="000A44EA"/>
    <w:rsid w:val="000A7ABB"/>
    <w:rsid w:val="000A7B58"/>
    <w:rsid w:val="000B29EA"/>
    <w:rsid w:val="000B3A98"/>
    <w:rsid w:val="000B4C1D"/>
    <w:rsid w:val="000B4F1B"/>
    <w:rsid w:val="000B5238"/>
    <w:rsid w:val="000B59C2"/>
    <w:rsid w:val="000B5AFD"/>
    <w:rsid w:val="000B63A4"/>
    <w:rsid w:val="000C0894"/>
    <w:rsid w:val="000C0BF5"/>
    <w:rsid w:val="000C0CE7"/>
    <w:rsid w:val="000C181C"/>
    <w:rsid w:val="000C2BAA"/>
    <w:rsid w:val="000C309E"/>
    <w:rsid w:val="000C63A8"/>
    <w:rsid w:val="000C6EBF"/>
    <w:rsid w:val="000C741A"/>
    <w:rsid w:val="000D108B"/>
    <w:rsid w:val="000D3A25"/>
    <w:rsid w:val="000D5EBA"/>
    <w:rsid w:val="000D60E9"/>
    <w:rsid w:val="000D6F0F"/>
    <w:rsid w:val="000E100D"/>
    <w:rsid w:val="000E11CB"/>
    <w:rsid w:val="000E22D4"/>
    <w:rsid w:val="000E24FC"/>
    <w:rsid w:val="000E2569"/>
    <w:rsid w:val="000E346D"/>
    <w:rsid w:val="000E3BDC"/>
    <w:rsid w:val="000E4303"/>
    <w:rsid w:val="000E4465"/>
    <w:rsid w:val="000E52F9"/>
    <w:rsid w:val="000E5B1E"/>
    <w:rsid w:val="000E5BF0"/>
    <w:rsid w:val="000E5FC5"/>
    <w:rsid w:val="000E76E0"/>
    <w:rsid w:val="000F147E"/>
    <w:rsid w:val="000F1833"/>
    <w:rsid w:val="000F1ACF"/>
    <w:rsid w:val="000F2EAF"/>
    <w:rsid w:val="000F32CA"/>
    <w:rsid w:val="000F4C63"/>
    <w:rsid w:val="000F5DA7"/>
    <w:rsid w:val="000F7C8A"/>
    <w:rsid w:val="00100A20"/>
    <w:rsid w:val="00101382"/>
    <w:rsid w:val="001016A0"/>
    <w:rsid w:val="00101E97"/>
    <w:rsid w:val="001025F6"/>
    <w:rsid w:val="001033FD"/>
    <w:rsid w:val="0010487E"/>
    <w:rsid w:val="0010501E"/>
    <w:rsid w:val="00106C77"/>
    <w:rsid w:val="00107DD1"/>
    <w:rsid w:val="00110F8F"/>
    <w:rsid w:val="0011119A"/>
    <w:rsid w:val="001112D0"/>
    <w:rsid w:val="00113D4D"/>
    <w:rsid w:val="00116C05"/>
    <w:rsid w:val="00117C82"/>
    <w:rsid w:val="00117FAD"/>
    <w:rsid w:val="0012141A"/>
    <w:rsid w:val="00121D3A"/>
    <w:rsid w:val="001229E7"/>
    <w:rsid w:val="0012425C"/>
    <w:rsid w:val="0012613F"/>
    <w:rsid w:val="00127ACB"/>
    <w:rsid w:val="00127B6D"/>
    <w:rsid w:val="001304A0"/>
    <w:rsid w:val="00131B5D"/>
    <w:rsid w:val="00132442"/>
    <w:rsid w:val="00132DE9"/>
    <w:rsid w:val="0013450C"/>
    <w:rsid w:val="00135085"/>
    <w:rsid w:val="00135118"/>
    <w:rsid w:val="00137423"/>
    <w:rsid w:val="001375B6"/>
    <w:rsid w:val="0013793C"/>
    <w:rsid w:val="001401CB"/>
    <w:rsid w:val="00140FFF"/>
    <w:rsid w:val="0014538A"/>
    <w:rsid w:val="00145690"/>
    <w:rsid w:val="001457B2"/>
    <w:rsid w:val="0014593B"/>
    <w:rsid w:val="00146446"/>
    <w:rsid w:val="00146C6D"/>
    <w:rsid w:val="00147EA3"/>
    <w:rsid w:val="0015101C"/>
    <w:rsid w:val="001519AD"/>
    <w:rsid w:val="00152CDE"/>
    <w:rsid w:val="00153487"/>
    <w:rsid w:val="00153E1D"/>
    <w:rsid w:val="00154C91"/>
    <w:rsid w:val="001561B7"/>
    <w:rsid w:val="00156B83"/>
    <w:rsid w:val="00161C96"/>
    <w:rsid w:val="00161F89"/>
    <w:rsid w:val="00162830"/>
    <w:rsid w:val="001628D8"/>
    <w:rsid w:val="001629DD"/>
    <w:rsid w:val="0016451B"/>
    <w:rsid w:val="00164D84"/>
    <w:rsid w:val="0016505B"/>
    <w:rsid w:val="00165CE0"/>
    <w:rsid w:val="001667A7"/>
    <w:rsid w:val="001674C6"/>
    <w:rsid w:val="00167F0B"/>
    <w:rsid w:val="0017034A"/>
    <w:rsid w:val="00171C7F"/>
    <w:rsid w:val="00173AF5"/>
    <w:rsid w:val="00174074"/>
    <w:rsid w:val="001746CE"/>
    <w:rsid w:val="00174C03"/>
    <w:rsid w:val="00175358"/>
    <w:rsid w:val="00175FCF"/>
    <w:rsid w:val="00176C0D"/>
    <w:rsid w:val="001771F3"/>
    <w:rsid w:val="001808C5"/>
    <w:rsid w:val="001838A5"/>
    <w:rsid w:val="0018441D"/>
    <w:rsid w:val="00184642"/>
    <w:rsid w:val="0018492F"/>
    <w:rsid w:val="00185ADF"/>
    <w:rsid w:val="00190EC9"/>
    <w:rsid w:val="00191125"/>
    <w:rsid w:val="0019140F"/>
    <w:rsid w:val="00192831"/>
    <w:rsid w:val="00192D68"/>
    <w:rsid w:val="0019374D"/>
    <w:rsid w:val="00193B70"/>
    <w:rsid w:val="001940B8"/>
    <w:rsid w:val="0019595F"/>
    <w:rsid w:val="00195AEE"/>
    <w:rsid w:val="00195D8C"/>
    <w:rsid w:val="00195DBA"/>
    <w:rsid w:val="001964DB"/>
    <w:rsid w:val="00196C2D"/>
    <w:rsid w:val="00196DCD"/>
    <w:rsid w:val="00197A37"/>
    <w:rsid w:val="00197E78"/>
    <w:rsid w:val="001A1201"/>
    <w:rsid w:val="001A2F70"/>
    <w:rsid w:val="001A3327"/>
    <w:rsid w:val="001A561E"/>
    <w:rsid w:val="001A5E88"/>
    <w:rsid w:val="001A617F"/>
    <w:rsid w:val="001A6BBB"/>
    <w:rsid w:val="001A7BDA"/>
    <w:rsid w:val="001B0D34"/>
    <w:rsid w:val="001B1DF2"/>
    <w:rsid w:val="001B423D"/>
    <w:rsid w:val="001B6423"/>
    <w:rsid w:val="001B6F53"/>
    <w:rsid w:val="001B77F9"/>
    <w:rsid w:val="001B7853"/>
    <w:rsid w:val="001C2180"/>
    <w:rsid w:val="001C2E0E"/>
    <w:rsid w:val="001C788E"/>
    <w:rsid w:val="001C7977"/>
    <w:rsid w:val="001D0CCF"/>
    <w:rsid w:val="001D0F51"/>
    <w:rsid w:val="001D16A8"/>
    <w:rsid w:val="001D1CD5"/>
    <w:rsid w:val="001D2A5C"/>
    <w:rsid w:val="001D31BD"/>
    <w:rsid w:val="001D40C0"/>
    <w:rsid w:val="001D42EE"/>
    <w:rsid w:val="001D6DEE"/>
    <w:rsid w:val="001D7342"/>
    <w:rsid w:val="001D7910"/>
    <w:rsid w:val="001E02A9"/>
    <w:rsid w:val="001E1D43"/>
    <w:rsid w:val="001E286F"/>
    <w:rsid w:val="001E309C"/>
    <w:rsid w:val="001E3102"/>
    <w:rsid w:val="001E32FE"/>
    <w:rsid w:val="001E4A43"/>
    <w:rsid w:val="001E5FBA"/>
    <w:rsid w:val="001E682E"/>
    <w:rsid w:val="001E6A28"/>
    <w:rsid w:val="001F030E"/>
    <w:rsid w:val="001F0B5C"/>
    <w:rsid w:val="001F19E0"/>
    <w:rsid w:val="001F1BD6"/>
    <w:rsid w:val="001F4CCE"/>
    <w:rsid w:val="001F4CFA"/>
    <w:rsid w:val="001F4DB3"/>
    <w:rsid w:val="001F5895"/>
    <w:rsid w:val="001F60FF"/>
    <w:rsid w:val="001F69FE"/>
    <w:rsid w:val="002001C8"/>
    <w:rsid w:val="00200F41"/>
    <w:rsid w:val="00201985"/>
    <w:rsid w:val="0020204A"/>
    <w:rsid w:val="00202488"/>
    <w:rsid w:val="00202595"/>
    <w:rsid w:val="00202DD3"/>
    <w:rsid w:val="00204F35"/>
    <w:rsid w:val="00205641"/>
    <w:rsid w:val="00207665"/>
    <w:rsid w:val="002135A1"/>
    <w:rsid w:val="00213C15"/>
    <w:rsid w:val="00214527"/>
    <w:rsid w:val="002158F8"/>
    <w:rsid w:val="002165DA"/>
    <w:rsid w:val="0022080C"/>
    <w:rsid w:val="0022103D"/>
    <w:rsid w:val="00221AED"/>
    <w:rsid w:val="00222026"/>
    <w:rsid w:val="0022212E"/>
    <w:rsid w:val="002244E5"/>
    <w:rsid w:val="00224A1A"/>
    <w:rsid w:val="00224A72"/>
    <w:rsid w:val="00227DE4"/>
    <w:rsid w:val="0023021B"/>
    <w:rsid w:val="00230540"/>
    <w:rsid w:val="0023093D"/>
    <w:rsid w:val="002313E7"/>
    <w:rsid w:val="00231986"/>
    <w:rsid w:val="00232C55"/>
    <w:rsid w:val="0023418E"/>
    <w:rsid w:val="00234994"/>
    <w:rsid w:val="00237E03"/>
    <w:rsid w:val="0024157E"/>
    <w:rsid w:val="00241EFF"/>
    <w:rsid w:val="00243143"/>
    <w:rsid w:val="00243C7D"/>
    <w:rsid w:val="0024462F"/>
    <w:rsid w:val="002467D3"/>
    <w:rsid w:val="00246BE8"/>
    <w:rsid w:val="00247737"/>
    <w:rsid w:val="002505CB"/>
    <w:rsid w:val="00251507"/>
    <w:rsid w:val="00252A26"/>
    <w:rsid w:val="00252EBB"/>
    <w:rsid w:val="00253411"/>
    <w:rsid w:val="00253819"/>
    <w:rsid w:val="00253CE2"/>
    <w:rsid w:val="00255B67"/>
    <w:rsid w:val="00255CEB"/>
    <w:rsid w:val="00257597"/>
    <w:rsid w:val="00257F4F"/>
    <w:rsid w:val="002602C6"/>
    <w:rsid w:val="0026479B"/>
    <w:rsid w:val="00267AC1"/>
    <w:rsid w:val="0027026A"/>
    <w:rsid w:val="0027042B"/>
    <w:rsid w:val="00270533"/>
    <w:rsid w:val="002715B0"/>
    <w:rsid w:val="00272006"/>
    <w:rsid w:val="00272313"/>
    <w:rsid w:val="00272C4D"/>
    <w:rsid w:val="0027333C"/>
    <w:rsid w:val="00273F90"/>
    <w:rsid w:val="00274B51"/>
    <w:rsid w:val="00274BE1"/>
    <w:rsid w:val="0027594F"/>
    <w:rsid w:val="00280E93"/>
    <w:rsid w:val="00281475"/>
    <w:rsid w:val="002830F3"/>
    <w:rsid w:val="00283493"/>
    <w:rsid w:val="00284ABD"/>
    <w:rsid w:val="002901CC"/>
    <w:rsid w:val="00291D5E"/>
    <w:rsid w:val="002937F7"/>
    <w:rsid w:val="00294530"/>
    <w:rsid w:val="00295E66"/>
    <w:rsid w:val="0029667B"/>
    <w:rsid w:val="002A051D"/>
    <w:rsid w:val="002A0F6A"/>
    <w:rsid w:val="002A4034"/>
    <w:rsid w:val="002A6022"/>
    <w:rsid w:val="002A6E29"/>
    <w:rsid w:val="002A7F9E"/>
    <w:rsid w:val="002B070D"/>
    <w:rsid w:val="002B0EC1"/>
    <w:rsid w:val="002B26BF"/>
    <w:rsid w:val="002B35F2"/>
    <w:rsid w:val="002B42BB"/>
    <w:rsid w:val="002B4AA2"/>
    <w:rsid w:val="002B4E56"/>
    <w:rsid w:val="002B4FB8"/>
    <w:rsid w:val="002B5883"/>
    <w:rsid w:val="002B5A25"/>
    <w:rsid w:val="002B77F7"/>
    <w:rsid w:val="002C1680"/>
    <w:rsid w:val="002C36B8"/>
    <w:rsid w:val="002C4BA1"/>
    <w:rsid w:val="002C5C7E"/>
    <w:rsid w:val="002C5F7C"/>
    <w:rsid w:val="002C6C48"/>
    <w:rsid w:val="002D20A6"/>
    <w:rsid w:val="002D219F"/>
    <w:rsid w:val="002D3EAE"/>
    <w:rsid w:val="002D51FB"/>
    <w:rsid w:val="002D533C"/>
    <w:rsid w:val="002D53A9"/>
    <w:rsid w:val="002D6067"/>
    <w:rsid w:val="002D78C5"/>
    <w:rsid w:val="002E1236"/>
    <w:rsid w:val="002E2556"/>
    <w:rsid w:val="002E2BDB"/>
    <w:rsid w:val="002E2FD8"/>
    <w:rsid w:val="002E33FE"/>
    <w:rsid w:val="002E4925"/>
    <w:rsid w:val="002E5D66"/>
    <w:rsid w:val="002E620A"/>
    <w:rsid w:val="002E6D09"/>
    <w:rsid w:val="002E757F"/>
    <w:rsid w:val="002F1D42"/>
    <w:rsid w:val="002F3312"/>
    <w:rsid w:val="002F6CEF"/>
    <w:rsid w:val="002F6F95"/>
    <w:rsid w:val="00300F59"/>
    <w:rsid w:val="00302279"/>
    <w:rsid w:val="003034BF"/>
    <w:rsid w:val="003036CA"/>
    <w:rsid w:val="003050DF"/>
    <w:rsid w:val="00305453"/>
    <w:rsid w:val="00306132"/>
    <w:rsid w:val="00306F77"/>
    <w:rsid w:val="0030792E"/>
    <w:rsid w:val="00310736"/>
    <w:rsid w:val="003114D6"/>
    <w:rsid w:val="0031284B"/>
    <w:rsid w:val="00315854"/>
    <w:rsid w:val="00316B0A"/>
    <w:rsid w:val="003177FA"/>
    <w:rsid w:val="003229FF"/>
    <w:rsid w:val="003230DB"/>
    <w:rsid w:val="00324B50"/>
    <w:rsid w:val="003256EF"/>
    <w:rsid w:val="00325970"/>
    <w:rsid w:val="00325A10"/>
    <w:rsid w:val="00325DCF"/>
    <w:rsid w:val="0032628D"/>
    <w:rsid w:val="00326DA1"/>
    <w:rsid w:val="00326DFE"/>
    <w:rsid w:val="00330B3D"/>
    <w:rsid w:val="00335212"/>
    <w:rsid w:val="00336352"/>
    <w:rsid w:val="00336558"/>
    <w:rsid w:val="00336590"/>
    <w:rsid w:val="00337067"/>
    <w:rsid w:val="003408D9"/>
    <w:rsid w:val="003415CC"/>
    <w:rsid w:val="00341673"/>
    <w:rsid w:val="00341F6E"/>
    <w:rsid w:val="00342488"/>
    <w:rsid w:val="0034255D"/>
    <w:rsid w:val="00342CD8"/>
    <w:rsid w:val="003433B3"/>
    <w:rsid w:val="00344249"/>
    <w:rsid w:val="003460D2"/>
    <w:rsid w:val="003464D9"/>
    <w:rsid w:val="00346BA0"/>
    <w:rsid w:val="0034731D"/>
    <w:rsid w:val="00352427"/>
    <w:rsid w:val="00353EFB"/>
    <w:rsid w:val="0035660C"/>
    <w:rsid w:val="0035666F"/>
    <w:rsid w:val="0035679B"/>
    <w:rsid w:val="00356AC6"/>
    <w:rsid w:val="003570E6"/>
    <w:rsid w:val="00361043"/>
    <w:rsid w:val="00361778"/>
    <w:rsid w:val="003617F4"/>
    <w:rsid w:val="00361C16"/>
    <w:rsid w:val="003654D3"/>
    <w:rsid w:val="0036772D"/>
    <w:rsid w:val="0037101B"/>
    <w:rsid w:val="00371A70"/>
    <w:rsid w:val="00371AA1"/>
    <w:rsid w:val="003725B2"/>
    <w:rsid w:val="00374483"/>
    <w:rsid w:val="00375338"/>
    <w:rsid w:val="00376736"/>
    <w:rsid w:val="00377152"/>
    <w:rsid w:val="003809E7"/>
    <w:rsid w:val="00383C2D"/>
    <w:rsid w:val="00384211"/>
    <w:rsid w:val="00385958"/>
    <w:rsid w:val="00386567"/>
    <w:rsid w:val="00387290"/>
    <w:rsid w:val="003873EC"/>
    <w:rsid w:val="00390693"/>
    <w:rsid w:val="003928EA"/>
    <w:rsid w:val="00392C3A"/>
    <w:rsid w:val="00396F67"/>
    <w:rsid w:val="003A1C70"/>
    <w:rsid w:val="003A2546"/>
    <w:rsid w:val="003A2CB8"/>
    <w:rsid w:val="003A3E89"/>
    <w:rsid w:val="003A3F2A"/>
    <w:rsid w:val="003A5727"/>
    <w:rsid w:val="003A6567"/>
    <w:rsid w:val="003A65F1"/>
    <w:rsid w:val="003A6C56"/>
    <w:rsid w:val="003A7501"/>
    <w:rsid w:val="003B0270"/>
    <w:rsid w:val="003B1A3B"/>
    <w:rsid w:val="003B203E"/>
    <w:rsid w:val="003B2F78"/>
    <w:rsid w:val="003B2FD6"/>
    <w:rsid w:val="003B3188"/>
    <w:rsid w:val="003B4702"/>
    <w:rsid w:val="003B666D"/>
    <w:rsid w:val="003C05C1"/>
    <w:rsid w:val="003C0C29"/>
    <w:rsid w:val="003C30F2"/>
    <w:rsid w:val="003C33E6"/>
    <w:rsid w:val="003C33F5"/>
    <w:rsid w:val="003C343C"/>
    <w:rsid w:val="003C39F6"/>
    <w:rsid w:val="003C3AF0"/>
    <w:rsid w:val="003C469D"/>
    <w:rsid w:val="003C5B0E"/>
    <w:rsid w:val="003C63AC"/>
    <w:rsid w:val="003C7CEF"/>
    <w:rsid w:val="003D14E6"/>
    <w:rsid w:val="003D1F16"/>
    <w:rsid w:val="003D207E"/>
    <w:rsid w:val="003D2F1B"/>
    <w:rsid w:val="003D4ECE"/>
    <w:rsid w:val="003D64D2"/>
    <w:rsid w:val="003D6BCD"/>
    <w:rsid w:val="003D7098"/>
    <w:rsid w:val="003E0A71"/>
    <w:rsid w:val="003E1787"/>
    <w:rsid w:val="003E3DA2"/>
    <w:rsid w:val="003E4756"/>
    <w:rsid w:val="003E4827"/>
    <w:rsid w:val="003E5EF5"/>
    <w:rsid w:val="003E65C1"/>
    <w:rsid w:val="003E7703"/>
    <w:rsid w:val="003E7ABA"/>
    <w:rsid w:val="003F2B1D"/>
    <w:rsid w:val="003F3EA2"/>
    <w:rsid w:val="003F563E"/>
    <w:rsid w:val="003F5EED"/>
    <w:rsid w:val="003F614E"/>
    <w:rsid w:val="003F66BD"/>
    <w:rsid w:val="003F7383"/>
    <w:rsid w:val="0040039E"/>
    <w:rsid w:val="00400688"/>
    <w:rsid w:val="004019EC"/>
    <w:rsid w:val="00403930"/>
    <w:rsid w:val="00403C3C"/>
    <w:rsid w:val="004068DE"/>
    <w:rsid w:val="00410831"/>
    <w:rsid w:val="00420723"/>
    <w:rsid w:val="00421FA7"/>
    <w:rsid w:val="004220AB"/>
    <w:rsid w:val="004230C6"/>
    <w:rsid w:val="00423BA5"/>
    <w:rsid w:val="00423CFA"/>
    <w:rsid w:val="00424663"/>
    <w:rsid w:val="004252FC"/>
    <w:rsid w:val="0042549E"/>
    <w:rsid w:val="00426816"/>
    <w:rsid w:val="00426A11"/>
    <w:rsid w:val="00426E8B"/>
    <w:rsid w:val="00431139"/>
    <w:rsid w:val="00431560"/>
    <w:rsid w:val="00431EE5"/>
    <w:rsid w:val="00433115"/>
    <w:rsid w:val="0043395C"/>
    <w:rsid w:val="00433D44"/>
    <w:rsid w:val="004341FB"/>
    <w:rsid w:val="00434A35"/>
    <w:rsid w:val="0043618D"/>
    <w:rsid w:val="0044029D"/>
    <w:rsid w:val="004414CD"/>
    <w:rsid w:val="00443956"/>
    <w:rsid w:val="004450A6"/>
    <w:rsid w:val="00445931"/>
    <w:rsid w:val="00446454"/>
    <w:rsid w:val="00446832"/>
    <w:rsid w:val="004478B6"/>
    <w:rsid w:val="00450894"/>
    <w:rsid w:val="0045137F"/>
    <w:rsid w:val="00452142"/>
    <w:rsid w:val="0045411E"/>
    <w:rsid w:val="004546CB"/>
    <w:rsid w:val="00455D83"/>
    <w:rsid w:val="00457101"/>
    <w:rsid w:val="00461C8B"/>
    <w:rsid w:val="0046689B"/>
    <w:rsid w:val="00466A3C"/>
    <w:rsid w:val="004670F7"/>
    <w:rsid w:val="004677E3"/>
    <w:rsid w:val="0047068C"/>
    <w:rsid w:val="00471591"/>
    <w:rsid w:val="00472115"/>
    <w:rsid w:val="00472828"/>
    <w:rsid w:val="0047284D"/>
    <w:rsid w:val="00472AF4"/>
    <w:rsid w:val="00474B8A"/>
    <w:rsid w:val="00476F5E"/>
    <w:rsid w:val="00480B33"/>
    <w:rsid w:val="00480F88"/>
    <w:rsid w:val="00482E27"/>
    <w:rsid w:val="004830FD"/>
    <w:rsid w:val="00483A18"/>
    <w:rsid w:val="004858B3"/>
    <w:rsid w:val="004860B0"/>
    <w:rsid w:val="00486F0B"/>
    <w:rsid w:val="00487BE4"/>
    <w:rsid w:val="00487DC3"/>
    <w:rsid w:val="0049076F"/>
    <w:rsid w:val="00490886"/>
    <w:rsid w:val="004913BC"/>
    <w:rsid w:val="0049150C"/>
    <w:rsid w:val="00492595"/>
    <w:rsid w:val="004943A8"/>
    <w:rsid w:val="00494AF3"/>
    <w:rsid w:val="00496ACC"/>
    <w:rsid w:val="00496E10"/>
    <w:rsid w:val="00497721"/>
    <w:rsid w:val="004A156F"/>
    <w:rsid w:val="004A15C1"/>
    <w:rsid w:val="004A272C"/>
    <w:rsid w:val="004A314E"/>
    <w:rsid w:val="004A3CA7"/>
    <w:rsid w:val="004A3DEB"/>
    <w:rsid w:val="004A529C"/>
    <w:rsid w:val="004A7BA9"/>
    <w:rsid w:val="004B0276"/>
    <w:rsid w:val="004B13EE"/>
    <w:rsid w:val="004B17F8"/>
    <w:rsid w:val="004B1C7D"/>
    <w:rsid w:val="004B2574"/>
    <w:rsid w:val="004B3EBE"/>
    <w:rsid w:val="004B5065"/>
    <w:rsid w:val="004B6074"/>
    <w:rsid w:val="004B6C9F"/>
    <w:rsid w:val="004B729E"/>
    <w:rsid w:val="004B77E3"/>
    <w:rsid w:val="004B7B23"/>
    <w:rsid w:val="004C088F"/>
    <w:rsid w:val="004C1AF8"/>
    <w:rsid w:val="004C23DC"/>
    <w:rsid w:val="004C42A2"/>
    <w:rsid w:val="004C4A7D"/>
    <w:rsid w:val="004C5CC7"/>
    <w:rsid w:val="004C6508"/>
    <w:rsid w:val="004D03D9"/>
    <w:rsid w:val="004D292F"/>
    <w:rsid w:val="004D3FBC"/>
    <w:rsid w:val="004D43C0"/>
    <w:rsid w:val="004D43FD"/>
    <w:rsid w:val="004D583A"/>
    <w:rsid w:val="004D590D"/>
    <w:rsid w:val="004E060A"/>
    <w:rsid w:val="004E0C5B"/>
    <w:rsid w:val="004E12FE"/>
    <w:rsid w:val="004E1809"/>
    <w:rsid w:val="004E28F9"/>
    <w:rsid w:val="004E2A40"/>
    <w:rsid w:val="004E2FA2"/>
    <w:rsid w:val="004E4275"/>
    <w:rsid w:val="004E4F17"/>
    <w:rsid w:val="004E505C"/>
    <w:rsid w:val="004E50E4"/>
    <w:rsid w:val="004E701A"/>
    <w:rsid w:val="004E7DAB"/>
    <w:rsid w:val="004E7EDD"/>
    <w:rsid w:val="004F2107"/>
    <w:rsid w:val="004F2496"/>
    <w:rsid w:val="004F2CDF"/>
    <w:rsid w:val="004F33E4"/>
    <w:rsid w:val="004F419D"/>
    <w:rsid w:val="004F43F9"/>
    <w:rsid w:val="004F5459"/>
    <w:rsid w:val="004F57B4"/>
    <w:rsid w:val="004F5B71"/>
    <w:rsid w:val="004F7CDD"/>
    <w:rsid w:val="00500D45"/>
    <w:rsid w:val="00501AB7"/>
    <w:rsid w:val="0050205A"/>
    <w:rsid w:val="00502306"/>
    <w:rsid w:val="00503E6E"/>
    <w:rsid w:val="005045DD"/>
    <w:rsid w:val="00506349"/>
    <w:rsid w:val="0050731E"/>
    <w:rsid w:val="00507A01"/>
    <w:rsid w:val="00507B90"/>
    <w:rsid w:val="00510B7A"/>
    <w:rsid w:val="005110CA"/>
    <w:rsid w:val="0051238C"/>
    <w:rsid w:val="00512BE3"/>
    <w:rsid w:val="00512C1C"/>
    <w:rsid w:val="00512DCC"/>
    <w:rsid w:val="00512F2B"/>
    <w:rsid w:val="00513F1F"/>
    <w:rsid w:val="0051562E"/>
    <w:rsid w:val="00515889"/>
    <w:rsid w:val="00516656"/>
    <w:rsid w:val="00516928"/>
    <w:rsid w:val="00516FF5"/>
    <w:rsid w:val="0051758E"/>
    <w:rsid w:val="005178A9"/>
    <w:rsid w:val="00520976"/>
    <w:rsid w:val="00521995"/>
    <w:rsid w:val="00521F00"/>
    <w:rsid w:val="005231EC"/>
    <w:rsid w:val="00524095"/>
    <w:rsid w:val="00525695"/>
    <w:rsid w:val="005259B9"/>
    <w:rsid w:val="005328DD"/>
    <w:rsid w:val="00533A75"/>
    <w:rsid w:val="005343A5"/>
    <w:rsid w:val="00534451"/>
    <w:rsid w:val="0053660E"/>
    <w:rsid w:val="00537AEE"/>
    <w:rsid w:val="00537F04"/>
    <w:rsid w:val="00542D50"/>
    <w:rsid w:val="005458C4"/>
    <w:rsid w:val="00545C3A"/>
    <w:rsid w:val="0054695D"/>
    <w:rsid w:val="005476DD"/>
    <w:rsid w:val="00552E7C"/>
    <w:rsid w:val="0055525C"/>
    <w:rsid w:val="00555A1D"/>
    <w:rsid w:val="0055711D"/>
    <w:rsid w:val="0056077B"/>
    <w:rsid w:val="005608DA"/>
    <w:rsid w:val="00560D54"/>
    <w:rsid w:val="005611FF"/>
    <w:rsid w:val="00561283"/>
    <w:rsid w:val="0056159A"/>
    <w:rsid w:val="00561DC3"/>
    <w:rsid w:val="00562087"/>
    <w:rsid w:val="00562FD5"/>
    <w:rsid w:val="00563B87"/>
    <w:rsid w:val="00565EB6"/>
    <w:rsid w:val="00567146"/>
    <w:rsid w:val="005706C3"/>
    <w:rsid w:val="00570D56"/>
    <w:rsid w:val="00572C4C"/>
    <w:rsid w:val="005746BB"/>
    <w:rsid w:val="005756ED"/>
    <w:rsid w:val="00576327"/>
    <w:rsid w:val="0057724B"/>
    <w:rsid w:val="00577B27"/>
    <w:rsid w:val="005809F2"/>
    <w:rsid w:val="00580A9C"/>
    <w:rsid w:val="00582D4B"/>
    <w:rsid w:val="00582DA7"/>
    <w:rsid w:val="00583919"/>
    <w:rsid w:val="00583B7D"/>
    <w:rsid w:val="0058476A"/>
    <w:rsid w:val="00584D68"/>
    <w:rsid w:val="00585610"/>
    <w:rsid w:val="00585FF2"/>
    <w:rsid w:val="005862D1"/>
    <w:rsid w:val="00587B29"/>
    <w:rsid w:val="00590C58"/>
    <w:rsid w:val="0059205D"/>
    <w:rsid w:val="00596995"/>
    <w:rsid w:val="00597FDB"/>
    <w:rsid w:val="005A09EF"/>
    <w:rsid w:val="005A16D8"/>
    <w:rsid w:val="005A18AA"/>
    <w:rsid w:val="005A291A"/>
    <w:rsid w:val="005A334C"/>
    <w:rsid w:val="005A3EE7"/>
    <w:rsid w:val="005A6D8B"/>
    <w:rsid w:val="005B06B3"/>
    <w:rsid w:val="005B2728"/>
    <w:rsid w:val="005B43D3"/>
    <w:rsid w:val="005B6797"/>
    <w:rsid w:val="005B7EAC"/>
    <w:rsid w:val="005B7FE0"/>
    <w:rsid w:val="005C0161"/>
    <w:rsid w:val="005C1BD9"/>
    <w:rsid w:val="005C311C"/>
    <w:rsid w:val="005C3E5D"/>
    <w:rsid w:val="005C44F3"/>
    <w:rsid w:val="005C4D03"/>
    <w:rsid w:val="005C576F"/>
    <w:rsid w:val="005C5913"/>
    <w:rsid w:val="005C6636"/>
    <w:rsid w:val="005C74D9"/>
    <w:rsid w:val="005D0E12"/>
    <w:rsid w:val="005D1730"/>
    <w:rsid w:val="005D1831"/>
    <w:rsid w:val="005D1F36"/>
    <w:rsid w:val="005D2787"/>
    <w:rsid w:val="005D295B"/>
    <w:rsid w:val="005D2CB4"/>
    <w:rsid w:val="005D32E0"/>
    <w:rsid w:val="005D3A71"/>
    <w:rsid w:val="005D4ACE"/>
    <w:rsid w:val="005D5745"/>
    <w:rsid w:val="005D7D95"/>
    <w:rsid w:val="005E0FFE"/>
    <w:rsid w:val="005E1051"/>
    <w:rsid w:val="005E19C9"/>
    <w:rsid w:val="005E3A1C"/>
    <w:rsid w:val="005E4379"/>
    <w:rsid w:val="005E64DD"/>
    <w:rsid w:val="005E6C99"/>
    <w:rsid w:val="005E7011"/>
    <w:rsid w:val="005E7171"/>
    <w:rsid w:val="005F0A41"/>
    <w:rsid w:val="005F11E9"/>
    <w:rsid w:val="005F3410"/>
    <w:rsid w:val="005F352E"/>
    <w:rsid w:val="005F3A8F"/>
    <w:rsid w:val="005F6665"/>
    <w:rsid w:val="005F6D70"/>
    <w:rsid w:val="00600205"/>
    <w:rsid w:val="00601B18"/>
    <w:rsid w:val="0060241E"/>
    <w:rsid w:val="00602ACD"/>
    <w:rsid w:val="00602CA8"/>
    <w:rsid w:val="00602E8F"/>
    <w:rsid w:val="006031C9"/>
    <w:rsid w:val="00605BDF"/>
    <w:rsid w:val="006064BF"/>
    <w:rsid w:val="00606523"/>
    <w:rsid w:val="0060733C"/>
    <w:rsid w:val="00607360"/>
    <w:rsid w:val="00612BD4"/>
    <w:rsid w:val="00614201"/>
    <w:rsid w:val="00614F06"/>
    <w:rsid w:val="00616795"/>
    <w:rsid w:val="00616D03"/>
    <w:rsid w:val="00616E90"/>
    <w:rsid w:val="00617A72"/>
    <w:rsid w:val="0062053B"/>
    <w:rsid w:val="00620AB1"/>
    <w:rsid w:val="00620D34"/>
    <w:rsid w:val="0062204A"/>
    <w:rsid w:val="006227CC"/>
    <w:rsid w:val="006233A0"/>
    <w:rsid w:val="00623A31"/>
    <w:rsid w:val="006247D3"/>
    <w:rsid w:val="0062663C"/>
    <w:rsid w:val="006303E1"/>
    <w:rsid w:val="00630FFC"/>
    <w:rsid w:val="006310BA"/>
    <w:rsid w:val="00631CC7"/>
    <w:rsid w:val="00635219"/>
    <w:rsid w:val="006352B3"/>
    <w:rsid w:val="00635575"/>
    <w:rsid w:val="006365C6"/>
    <w:rsid w:val="0063660F"/>
    <w:rsid w:val="00636F61"/>
    <w:rsid w:val="006375DD"/>
    <w:rsid w:val="00640258"/>
    <w:rsid w:val="00640FD0"/>
    <w:rsid w:val="00641294"/>
    <w:rsid w:val="00643C8D"/>
    <w:rsid w:val="00643E7D"/>
    <w:rsid w:val="00645B0C"/>
    <w:rsid w:val="006461E5"/>
    <w:rsid w:val="0064636C"/>
    <w:rsid w:val="00646C0A"/>
    <w:rsid w:val="00650CCC"/>
    <w:rsid w:val="00650E23"/>
    <w:rsid w:val="006523D9"/>
    <w:rsid w:val="00655B23"/>
    <w:rsid w:val="00656E45"/>
    <w:rsid w:val="00657371"/>
    <w:rsid w:val="00661EB5"/>
    <w:rsid w:val="00662847"/>
    <w:rsid w:val="00663B62"/>
    <w:rsid w:val="0066492D"/>
    <w:rsid w:val="0066507C"/>
    <w:rsid w:val="00665820"/>
    <w:rsid w:val="006659C2"/>
    <w:rsid w:val="00665F63"/>
    <w:rsid w:val="00667325"/>
    <w:rsid w:val="00670395"/>
    <w:rsid w:val="006704A8"/>
    <w:rsid w:val="006715E4"/>
    <w:rsid w:val="00671656"/>
    <w:rsid w:val="00674CE3"/>
    <w:rsid w:val="006756D4"/>
    <w:rsid w:val="00675C03"/>
    <w:rsid w:val="00675EFD"/>
    <w:rsid w:val="00677452"/>
    <w:rsid w:val="0067757E"/>
    <w:rsid w:val="00677A9E"/>
    <w:rsid w:val="00680123"/>
    <w:rsid w:val="006808C0"/>
    <w:rsid w:val="00684899"/>
    <w:rsid w:val="00684BF0"/>
    <w:rsid w:val="006857B2"/>
    <w:rsid w:val="00685B47"/>
    <w:rsid w:val="00686246"/>
    <w:rsid w:val="00686DC8"/>
    <w:rsid w:val="0068735F"/>
    <w:rsid w:val="006873DF"/>
    <w:rsid w:val="00687660"/>
    <w:rsid w:val="006909CD"/>
    <w:rsid w:val="00690D9C"/>
    <w:rsid w:val="0069133C"/>
    <w:rsid w:val="00691A9A"/>
    <w:rsid w:val="00691C2D"/>
    <w:rsid w:val="00691E0B"/>
    <w:rsid w:val="00693AFA"/>
    <w:rsid w:val="00693D8F"/>
    <w:rsid w:val="00695EAB"/>
    <w:rsid w:val="00696D36"/>
    <w:rsid w:val="006A0F46"/>
    <w:rsid w:val="006A19A4"/>
    <w:rsid w:val="006A2694"/>
    <w:rsid w:val="006A326E"/>
    <w:rsid w:val="006A3792"/>
    <w:rsid w:val="006A3D0F"/>
    <w:rsid w:val="006A6628"/>
    <w:rsid w:val="006A7754"/>
    <w:rsid w:val="006B044C"/>
    <w:rsid w:val="006B1D2D"/>
    <w:rsid w:val="006B3E53"/>
    <w:rsid w:val="006B6142"/>
    <w:rsid w:val="006B71BC"/>
    <w:rsid w:val="006C17CB"/>
    <w:rsid w:val="006C2499"/>
    <w:rsid w:val="006C27C8"/>
    <w:rsid w:val="006C3349"/>
    <w:rsid w:val="006C5295"/>
    <w:rsid w:val="006C5551"/>
    <w:rsid w:val="006C6474"/>
    <w:rsid w:val="006C7FF7"/>
    <w:rsid w:val="006D1444"/>
    <w:rsid w:val="006D2BCE"/>
    <w:rsid w:val="006D2C3A"/>
    <w:rsid w:val="006D3FE1"/>
    <w:rsid w:val="006D471F"/>
    <w:rsid w:val="006D472B"/>
    <w:rsid w:val="006D55D5"/>
    <w:rsid w:val="006E1804"/>
    <w:rsid w:val="006E4E3C"/>
    <w:rsid w:val="006E5132"/>
    <w:rsid w:val="006E520C"/>
    <w:rsid w:val="006E73E5"/>
    <w:rsid w:val="006F028B"/>
    <w:rsid w:val="006F08EE"/>
    <w:rsid w:val="006F0EE6"/>
    <w:rsid w:val="006F1A78"/>
    <w:rsid w:val="006F1B82"/>
    <w:rsid w:val="006F1FC3"/>
    <w:rsid w:val="006F3D73"/>
    <w:rsid w:val="006F416C"/>
    <w:rsid w:val="006F443F"/>
    <w:rsid w:val="006F4986"/>
    <w:rsid w:val="006F5E27"/>
    <w:rsid w:val="006F7114"/>
    <w:rsid w:val="00700CA8"/>
    <w:rsid w:val="007010E3"/>
    <w:rsid w:val="00701162"/>
    <w:rsid w:val="0070188D"/>
    <w:rsid w:val="00701D29"/>
    <w:rsid w:val="00702961"/>
    <w:rsid w:val="0070584D"/>
    <w:rsid w:val="00707475"/>
    <w:rsid w:val="0070785C"/>
    <w:rsid w:val="0071188B"/>
    <w:rsid w:val="00714055"/>
    <w:rsid w:val="00714915"/>
    <w:rsid w:val="00714CB9"/>
    <w:rsid w:val="0071638E"/>
    <w:rsid w:val="00716B18"/>
    <w:rsid w:val="00717F2C"/>
    <w:rsid w:val="0072040C"/>
    <w:rsid w:val="00720BAE"/>
    <w:rsid w:val="00720C13"/>
    <w:rsid w:val="00720CC4"/>
    <w:rsid w:val="0072166C"/>
    <w:rsid w:val="00721900"/>
    <w:rsid w:val="00722A1B"/>
    <w:rsid w:val="00723C3C"/>
    <w:rsid w:val="00723F28"/>
    <w:rsid w:val="00727304"/>
    <w:rsid w:val="0072783C"/>
    <w:rsid w:val="00727F82"/>
    <w:rsid w:val="00730090"/>
    <w:rsid w:val="0073205A"/>
    <w:rsid w:val="00732A90"/>
    <w:rsid w:val="0073602E"/>
    <w:rsid w:val="00737204"/>
    <w:rsid w:val="00740696"/>
    <w:rsid w:val="00741038"/>
    <w:rsid w:val="007419AD"/>
    <w:rsid w:val="00741C7F"/>
    <w:rsid w:val="00742D44"/>
    <w:rsid w:val="007442DB"/>
    <w:rsid w:val="0074509C"/>
    <w:rsid w:val="007457A8"/>
    <w:rsid w:val="00745890"/>
    <w:rsid w:val="00745F31"/>
    <w:rsid w:val="00751145"/>
    <w:rsid w:val="00751806"/>
    <w:rsid w:val="00754206"/>
    <w:rsid w:val="0075428D"/>
    <w:rsid w:val="0075478D"/>
    <w:rsid w:val="00755631"/>
    <w:rsid w:val="007560A8"/>
    <w:rsid w:val="00756AC8"/>
    <w:rsid w:val="00757206"/>
    <w:rsid w:val="00757E4A"/>
    <w:rsid w:val="00760245"/>
    <w:rsid w:val="007602A5"/>
    <w:rsid w:val="00760D0D"/>
    <w:rsid w:val="007621BC"/>
    <w:rsid w:val="0076245D"/>
    <w:rsid w:val="00763914"/>
    <w:rsid w:val="00763F2F"/>
    <w:rsid w:val="007643B2"/>
    <w:rsid w:val="007655CF"/>
    <w:rsid w:val="007662BD"/>
    <w:rsid w:val="0077067B"/>
    <w:rsid w:val="00770DF3"/>
    <w:rsid w:val="00772003"/>
    <w:rsid w:val="00773A6B"/>
    <w:rsid w:val="00774690"/>
    <w:rsid w:val="00775332"/>
    <w:rsid w:val="00775432"/>
    <w:rsid w:val="00775C54"/>
    <w:rsid w:val="00776A9C"/>
    <w:rsid w:val="0077718E"/>
    <w:rsid w:val="007775C8"/>
    <w:rsid w:val="00780C01"/>
    <w:rsid w:val="00786073"/>
    <w:rsid w:val="00791839"/>
    <w:rsid w:val="00791E28"/>
    <w:rsid w:val="0079385A"/>
    <w:rsid w:val="0079566F"/>
    <w:rsid w:val="00796193"/>
    <w:rsid w:val="007A0783"/>
    <w:rsid w:val="007A47E8"/>
    <w:rsid w:val="007A5F55"/>
    <w:rsid w:val="007A76CC"/>
    <w:rsid w:val="007A7791"/>
    <w:rsid w:val="007B2B0A"/>
    <w:rsid w:val="007B301F"/>
    <w:rsid w:val="007B43B0"/>
    <w:rsid w:val="007B5336"/>
    <w:rsid w:val="007B5A3D"/>
    <w:rsid w:val="007B710B"/>
    <w:rsid w:val="007B76D2"/>
    <w:rsid w:val="007C19D1"/>
    <w:rsid w:val="007C1DAD"/>
    <w:rsid w:val="007C4372"/>
    <w:rsid w:val="007C5CBF"/>
    <w:rsid w:val="007C5E7D"/>
    <w:rsid w:val="007D10CE"/>
    <w:rsid w:val="007D18FF"/>
    <w:rsid w:val="007D27CA"/>
    <w:rsid w:val="007D3F7C"/>
    <w:rsid w:val="007D4545"/>
    <w:rsid w:val="007D4A92"/>
    <w:rsid w:val="007D50FB"/>
    <w:rsid w:val="007D78F5"/>
    <w:rsid w:val="007E1005"/>
    <w:rsid w:val="007E22DF"/>
    <w:rsid w:val="007E31DB"/>
    <w:rsid w:val="007E3E72"/>
    <w:rsid w:val="007E4944"/>
    <w:rsid w:val="007F024A"/>
    <w:rsid w:val="007F0500"/>
    <w:rsid w:val="007F2DC8"/>
    <w:rsid w:val="007F48BB"/>
    <w:rsid w:val="0080048B"/>
    <w:rsid w:val="008008B3"/>
    <w:rsid w:val="00801330"/>
    <w:rsid w:val="00802CBF"/>
    <w:rsid w:val="00802D6B"/>
    <w:rsid w:val="00803270"/>
    <w:rsid w:val="00803BCF"/>
    <w:rsid w:val="008051A2"/>
    <w:rsid w:val="00807BC4"/>
    <w:rsid w:val="00811501"/>
    <w:rsid w:val="00812194"/>
    <w:rsid w:val="00812771"/>
    <w:rsid w:val="008136F7"/>
    <w:rsid w:val="00813DA0"/>
    <w:rsid w:val="0081419E"/>
    <w:rsid w:val="00814B02"/>
    <w:rsid w:val="008156AB"/>
    <w:rsid w:val="008202CB"/>
    <w:rsid w:val="00820AA7"/>
    <w:rsid w:val="00821941"/>
    <w:rsid w:val="00821F61"/>
    <w:rsid w:val="00822516"/>
    <w:rsid w:val="0082269F"/>
    <w:rsid w:val="008235D4"/>
    <w:rsid w:val="00823F42"/>
    <w:rsid w:val="0082694A"/>
    <w:rsid w:val="00827A3C"/>
    <w:rsid w:val="008300BB"/>
    <w:rsid w:val="008304BE"/>
    <w:rsid w:val="00830B59"/>
    <w:rsid w:val="00832756"/>
    <w:rsid w:val="008334FE"/>
    <w:rsid w:val="00833C34"/>
    <w:rsid w:val="0083460B"/>
    <w:rsid w:val="008351A5"/>
    <w:rsid w:val="00835C3B"/>
    <w:rsid w:val="00836166"/>
    <w:rsid w:val="00837238"/>
    <w:rsid w:val="00841D3E"/>
    <w:rsid w:val="008424FC"/>
    <w:rsid w:val="0084384B"/>
    <w:rsid w:val="008441C8"/>
    <w:rsid w:val="00845D8B"/>
    <w:rsid w:val="00845E22"/>
    <w:rsid w:val="00846F89"/>
    <w:rsid w:val="0085061C"/>
    <w:rsid w:val="008539E2"/>
    <w:rsid w:val="00854022"/>
    <w:rsid w:val="00854554"/>
    <w:rsid w:val="00855886"/>
    <w:rsid w:val="00856022"/>
    <w:rsid w:val="00856084"/>
    <w:rsid w:val="00856BDF"/>
    <w:rsid w:val="00856FBF"/>
    <w:rsid w:val="00860682"/>
    <w:rsid w:val="00862FFD"/>
    <w:rsid w:val="0086318B"/>
    <w:rsid w:val="00864161"/>
    <w:rsid w:val="00864848"/>
    <w:rsid w:val="0086756D"/>
    <w:rsid w:val="008675DA"/>
    <w:rsid w:val="00867AC9"/>
    <w:rsid w:val="0087092B"/>
    <w:rsid w:val="00870DE3"/>
    <w:rsid w:val="008739D7"/>
    <w:rsid w:val="00873C43"/>
    <w:rsid w:val="00873FA0"/>
    <w:rsid w:val="00874549"/>
    <w:rsid w:val="00874938"/>
    <w:rsid w:val="008756D9"/>
    <w:rsid w:val="008768D9"/>
    <w:rsid w:val="00877010"/>
    <w:rsid w:val="00877726"/>
    <w:rsid w:val="00881F6E"/>
    <w:rsid w:val="00884D38"/>
    <w:rsid w:val="00885C71"/>
    <w:rsid w:val="00886CBB"/>
    <w:rsid w:val="00886EA2"/>
    <w:rsid w:val="00887F8B"/>
    <w:rsid w:val="00890799"/>
    <w:rsid w:val="00890A4C"/>
    <w:rsid w:val="0089210B"/>
    <w:rsid w:val="008929FA"/>
    <w:rsid w:val="00893347"/>
    <w:rsid w:val="0089340F"/>
    <w:rsid w:val="008947C8"/>
    <w:rsid w:val="00894B9C"/>
    <w:rsid w:val="00895CB5"/>
    <w:rsid w:val="00896458"/>
    <w:rsid w:val="00897536"/>
    <w:rsid w:val="00897FAB"/>
    <w:rsid w:val="008A13BE"/>
    <w:rsid w:val="008A1488"/>
    <w:rsid w:val="008A1983"/>
    <w:rsid w:val="008A21EE"/>
    <w:rsid w:val="008A221A"/>
    <w:rsid w:val="008A22A9"/>
    <w:rsid w:val="008A249D"/>
    <w:rsid w:val="008A2851"/>
    <w:rsid w:val="008A31E6"/>
    <w:rsid w:val="008A41D8"/>
    <w:rsid w:val="008A46ED"/>
    <w:rsid w:val="008A789F"/>
    <w:rsid w:val="008B1C9B"/>
    <w:rsid w:val="008B261A"/>
    <w:rsid w:val="008B3B6C"/>
    <w:rsid w:val="008B4637"/>
    <w:rsid w:val="008B5C5E"/>
    <w:rsid w:val="008B5F76"/>
    <w:rsid w:val="008B6100"/>
    <w:rsid w:val="008B712A"/>
    <w:rsid w:val="008B7F96"/>
    <w:rsid w:val="008C02D7"/>
    <w:rsid w:val="008C14E0"/>
    <w:rsid w:val="008C2DBF"/>
    <w:rsid w:val="008C3432"/>
    <w:rsid w:val="008C41EC"/>
    <w:rsid w:val="008C62D3"/>
    <w:rsid w:val="008C676E"/>
    <w:rsid w:val="008C6776"/>
    <w:rsid w:val="008C6886"/>
    <w:rsid w:val="008C70E0"/>
    <w:rsid w:val="008C7E84"/>
    <w:rsid w:val="008D1179"/>
    <w:rsid w:val="008D1D82"/>
    <w:rsid w:val="008D1E2C"/>
    <w:rsid w:val="008D2C01"/>
    <w:rsid w:val="008D30B8"/>
    <w:rsid w:val="008D5288"/>
    <w:rsid w:val="008D57FA"/>
    <w:rsid w:val="008D58FD"/>
    <w:rsid w:val="008D6552"/>
    <w:rsid w:val="008E2BE6"/>
    <w:rsid w:val="008E2FC3"/>
    <w:rsid w:val="008E33FE"/>
    <w:rsid w:val="008E4200"/>
    <w:rsid w:val="008E5F9B"/>
    <w:rsid w:val="008E6047"/>
    <w:rsid w:val="008E72DE"/>
    <w:rsid w:val="008F03E0"/>
    <w:rsid w:val="008F5587"/>
    <w:rsid w:val="008F75A0"/>
    <w:rsid w:val="00900237"/>
    <w:rsid w:val="0090096F"/>
    <w:rsid w:val="00901BE8"/>
    <w:rsid w:val="00903A4A"/>
    <w:rsid w:val="00904C79"/>
    <w:rsid w:val="009053E5"/>
    <w:rsid w:val="00905DA5"/>
    <w:rsid w:val="0090708C"/>
    <w:rsid w:val="00907E52"/>
    <w:rsid w:val="00911BFA"/>
    <w:rsid w:val="00912E6F"/>
    <w:rsid w:val="00913040"/>
    <w:rsid w:val="00913364"/>
    <w:rsid w:val="00913D6D"/>
    <w:rsid w:val="00914804"/>
    <w:rsid w:val="00915CB5"/>
    <w:rsid w:val="00916975"/>
    <w:rsid w:val="009224A0"/>
    <w:rsid w:val="009224BD"/>
    <w:rsid w:val="009228A6"/>
    <w:rsid w:val="009233E3"/>
    <w:rsid w:val="009233ED"/>
    <w:rsid w:val="00924D6E"/>
    <w:rsid w:val="00925FD6"/>
    <w:rsid w:val="00927429"/>
    <w:rsid w:val="0093015E"/>
    <w:rsid w:val="0093175A"/>
    <w:rsid w:val="00931A55"/>
    <w:rsid w:val="009332A5"/>
    <w:rsid w:val="00933A03"/>
    <w:rsid w:val="0093542A"/>
    <w:rsid w:val="0093578C"/>
    <w:rsid w:val="00935A24"/>
    <w:rsid w:val="00936545"/>
    <w:rsid w:val="00940FBD"/>
    <w:rsid w:val="00942B24"/>
    <w:rsid w:val="0094350E"/>
    <w:rsid w:val="0094387C"/>
    <w:rsid w:val="00943D99"/>
    <w:rsid w:val="00943F92"/>
    <w:rsid w:val="009458B0"/>
    <w:rsid w:val="00946F49"/>
    <w:rsid w:val="00950A87"/>
    <w:rsid w:val="00952915"/>
    <w:rsid w:val="00953407"/>
    <w:rsid w:val="00953FBC"/>
    <w:rsid w:val="00954098"/>
    <w:rsid w:val="00954E31"/>
    <w:rsid w:val="00955576"/>
    <w:rsid w:val="00956B01"/>
    <w:rsid w:val="00957C7B"/>
    <w:rsid w:val="009603B0"/>
    <w:rsid w:val="00961440"/>
    <w:rsid w:val="00961848"/>
    <w:rsid w:val="0096334B"/>
    <w:rsid w:val="00964C9E"/>
    <w:rsid w:val="00965105"/>
    <w:rsid w:val="009659C9"/>
    <w:rsid w:val="009714EA"/>
    <w:rsid w:val="00971EE2"/>
    <w:rsid w:val="00971F90"/>
    <w:rsid w:val="0097201E"/>
    <w:rsid w:val="009721C6"/>
    <w:rsid w:val="00972A45"/>
    <w:rsid w:val="00972FD0"/>
    <w:rsid w:val="00973AF1"/>
    <w:rsid w:val="00974471"/>
    <w:rsid w:val="00974854"/>
    <w:rsid w:val="00975F77"/>
    <w:rsid w:val="00976C96"/>
    <w:rsid w:val="0097713B"/>
    <w:rsid w:val="00977F9E"/>
    <w:rsid w:val="00983A66"/>
    <w:rsid w:val="00983E1A"/>
    <w:rsid w:val="00986B86"/>
    <w:rsid w:val="00987B5E"/>
    <w:rsid w:val="00991440"/>
    <w:rsid w:val="00993FF2"/>
    <w:rsid w:val="0099504D"/>
    <w:rsid w:val="009955F9"/>
    <w:rsid w:val="00995B48"/>
    <w:rsid w:val="00996283"/>
    <w:rsid w:val="00996D25"/>
    <w:rsid w:val="00996E53"/>
    <w:rsid w:val="009978E0"/>
    <w:rsid w:val="009A13E4"/>
    <w:rsid w:val="009A2AEB"/>
    <w:rsid w:val="009A2F27"/>
    <w:rsid w:val="009A314A"/>
    <w:rsid w:val="009A38A0"/>
    <w:rsid w:val="009A4208"/>
    <w:rsid w:val="009A7FA2"/>
    <w:rsid w:val="009A7FFE"/>
    <w:rsid w:val="009B0DF5"/>
    <w:rsid w:val="009B1632"/>
    <w:rsid w:val="009B1884"/>
    <w:rsid w:val="009B2FD5"/>
    <w:rsid w:val="009B459A"/>
    <w:rsid w:val="009B47DA"/>
    <w:rsid w:val="009B4917"/>
    <w:rsid w:val="009B50BB"/>
    <w:rsid w:val="009B52C2"/>
    <w:rsid w:val="009B7C57"/>
    <w:rsid w:val="009C06D1"/>
    <w:rsid w:val="009C565A"/>
    <w:rsid w:val="009C79CB"/>
    <w:rsid w:val="009D00EA"/>
    <w:rsid w:val="009D0707"/>
    <w:rsid w:val="009D0D9A"/>
    <w:rsid w:val="009D10B3"/>
    <w:rsid w:val="009D16B8"/>
    <w:rsid w:val="009D2637"/>
    <w:rsid w:val="009D3136"/>
    <w:rsid w:val="009D70C3"/>
    <w:rsid w:val="009D7906"/>
    <w:rsid w:val="009D7908"/>
    <w:rsid w:val="009E205B"/>
    <w:rsid w:val="009E40E2"/>
    <w:rsid w:val="009E4C29"/>
    <w:rsid w:val="009E517B"/>
    <w:rsid w:val="009E6B3E"/>
    <w:rsid w:val="009E77AE"/>
    <w:rsid w:val="009E7B2D"/>
    <w:rsid w:val="009F02B8"/>
    <w:rsid w:val="009F15A3"/>
    <w:rsid w:val="009F17F9"/>
    <w:rsid w:val="009F189D"/>
    <w:rsid w:val="009F2735"/>
    <w:rsid w:val="009F3FE8"/>
    <w:rsid w:val="009F4762"/>
    <w:rsid w:val="009F5B08"/>
    <w:rsid w:val="009F6465"/>
    <w:rsid w:val="009F6F3C"/>
    <w:rsid w:val="009F715F"/>
    <w:rsid w:val="00A004A6"/>
    <w:rsid w:val="00A03DE4"/>
    <w:rsid w:val="00A05863"/>
    <w:rsid w:val="00A05D5E"/>
    <w:rsid w:val="00A05D6C"/>
    <w:rsid w:val="00A0722B"/>
    <w:rsid w:val="00A07724"/>
    <w:rsid w:val="00A11135"/>
    <w:rsid w:val="00A13732"/>
    <w:rsid w:val="00A149F1"/>
    <w:rsid w:val="00A151DB"/>
    <w:rsid w:val="00A1560E"/>
    <w:rsid w:val="00A17BCF"/>
    <w:rsid w:val="00A2164E"/>
    <w:rsid w:val="00A219E2"/>
    <w:rsid w:val="00A236FA"/>
    <w:rsid w:val="00A237B5"/>
    <w:rsid w:val="00A2709F"/>
    <w:rsid w:val="00A271A2"/>
    <w:rsid w:val="00A27A31"/>
    <w:rsid w:val="00A30B83"/>
    <w:rsid w:val="00A30FA5"/>
    <w:rsid w:val="00A31BB8"/>
    <w:rsid w:val="00A33467"/>
    <w:rsid w:val="00A34AB5"/>
    <w:rsid w:val="00A35569"/>
    <w:rsid w:val="00A36DA7"/>
    <w:rsid w:val="00A376AF"/>
    <w:rsid w:val="00A37A9B"/>
    <w:rsid w:val="00A37E0E"/>
    <w:rsid w:val="00A40816"/>
    <w:rsid w:val="00A4276E"/>
    <w:rsid w:val="00A43624"/>
    <w:rsid w:val="00A443F4"/>
    <w:rsid w:val="00A45226"/>
    <w:rsid w:val="00A463FB"/>
    <w:rsid w:val="00A47F5D"/>
    <w:rsid w:val="00A51E09"/>
    <w:rsid w:val="00A5445D"/>
    <w:rsid w:val="00A56966"/>
    <w:rsid w:val="00A57D1B"/>
    <w:rsid w:val="00A603C8"/>
    <w:rsid w:val="00A6146E"/>
    <w:rsid w:val="00A61F29"/>
    <w:rsid w:val="00A63A99"/>
    <w:rsid w:val="00A7025F"/>
    <w:rsid w:val="00A712CF"/>
    <w:rsid w:val="00A7213D"/>
    <w:rsid w:val="00A72FFE"/>
    <w:rsid w:val="00A74370"/>
    <w:rsid w:val="00A754B6"/>
    <w:rsid w:val="00A7692B"/>
    <w:rsid w:val="00A7782D"/>
    <w:rsid w:val="00A8099B"/>
    <w:rsid w:val="00A8168A"/>
    <w:rsid w:val="00A82545"/>
    <w:rsid w:val="00A825CF"/>
    <w:rsid w:val="00A8304B"/>
    <w:rsid w:val="00A84A0A"/>
    <w:rsid w:val="00A84D56"/>
    <w:rsid w:val="00A854E2"/>
    <w:rsid w:val="00A866AC"/>
    <w:rsid w:val="00A8722E"/>
    <w:rsid w:val="00A87EEA"/>
    <w:rsid w:val="00A90354"/>
    <w:rsid w:val="00A924AF"/>
    <w:rsid w:val="00A92EC9"/>
    <w:rsid w:val="00A93903"/>
    <w:rsid w:val="00A93C67"/>
    <w:rsid w:val="00A94062"/>
    <w:rsid w:val="00A94524"/>
    <w:rsid w:val="00A95E80"/>
    <w:rsid w:val="00A9607B"/>
    <w:rsid w:val="00A970F4"/>
    <w:rsid w:val="00A971DE"/>
    <w:rsid w:val="00A97572"/>
    <w:rsid w:val="00AA1002"/>
    <w:rsid w:val="00AB1444"/>
    <w:rsid w:val="00AB16E6"/>
    <w:rsid w:val="00AB2221"/>
    <w:rsid w:val="00AB461B"/>
    <w:rsid w:val="00AB55B3"/>
    <w:rsid w:val="00AB77CD"/>
    <w:rsid w:val="00AC01E0"/>
    <w:rsid w:val="00AC324F"/>
    <w:rsid w:val="00AC3CDC"/>
    <w:rsid w:val="00AC56C8"/>
    <w:rsid w:val="00AC5B70"/>
    <w:rsid w:val="00AC66A3"/>
    <w:rsid w:val="00AC6F27"/>
    <w:rsid w:val="00AC7024"/>
    <w:rsid w:val="00AC703B"/>
    <w:rsid w:val="00AC72E8"/>
    <w:rsid w:val="00AC7707"/>
    <w:rsid w:val="00AD0AFA"/>
    <w:rsid w:val="00AD168A"/>
    <w:rsid w:val="00AD264B"/>
    <w:rsid w:val="00AD3BC8"/>
    <w:rsid w:val="00AD4351"/>
    <w:rsid w:val="00AD56D9"/>
    <w:rsid w:val="00AE1B64"/>
    <w:rsid w:val="00AE1E3A"/>
    <w:rsid w:val="00AE70CE"/>
    <w:rsid w:val="00AF37BD"/>
    <w:rsid w:val="00AF4301"/>
    <w:rsid w:val="00AF5AD3"/>
    <w:rsid w:val="00AF7D26"/>
    <w:rsid w:val="00B004E1"/>
    <w:rsid w:val="00B02C2D"/>
    <w:rsid w:val="00B0423B"/>
    <w:rsid w:val="00B04D57"/>
    <w:rsid w:val="00B05B3D"/>
    <w:rsid w:val="00B05BE1"/>
    <w:rsid w:val="00B062DE"/>
    <w:rsid w:val="00B06F8D"/>
    <w:rsid w:val="00B10D5E"/>
    <w:rsid w:val="00B11BEA"/>
    <w:rsid w:val="00B1270D"/>
    <w:rsid w:val="00B13BCB"/>
    <w:rsid w:val="00B14715"/>
    <w:rsid w:val="00B14C54"/>
    <w:rsid w:val="00B169FC"/>
    <w:rsid w:val="00B215E7"/>
    <w:rsid w:val="00B21D80"/>
    <w:rsid w:val="00B21F05"/>
    <w:rsid w:val="00B21FFF"/>
    <w:rsid w:val="00B227F4"/>
    <w:rsid w:val="00B25906"/>
    <w:rsid w:val="00B262CB"/>
    <w:rsid w:val="00B27404"/>
    <w:rsid w:val="00B277E8"/>
    <w:rsid w:val="00B312F0"/>
    <w:rsid w:val="00B318E0"/>
    <w:rsid w:val="00B331D5"/>
    <w:rsid w:val="00B336B3"/>
    <w:rsid w:val="00B34B33"/>
    <w:rsid w:val="00B350AE"/>
    <w:rsid w:val="00B4100B"/>
    <w:rsid w:val="00B42534"/>
    <w:rsid w:val="00B4269A"/>
    <w:rsid w:val="00B427CC"/>
    <w:rsid w:val="00B43421"/>
    <w:rsid w:val="00B440E7"/>
    <w:rsid w:val="00B44AF4"/>
    <w:rsid w:val="00B44E81"/>
    <w:rsid w:val="00B45AE3"/>
    <w:rsid w:val="00B45D06"/>
    <w:rsid w:val="00B4670A"/>
    <w:rsid w:val="00B470A4"/>
    <w:rsid w:val="00B500C5"/>
    <w:rsid w:val="00B51416"/>
    <w:rsid w:val="00B51F53"/>
    <w:rsid w:val="00B52C36"/>
    <w:rsid w:val="00B53D39"/>
    <w:rsid w:val="00B55645"/>
    <w:rsid w:val="00B579B9"/>
    <w:rsid w:val="00B57F21"/>
    <w:rsid w:val="00B60725"/>
    <w:rsid w:val="00B60A3C"/>
    <w:rsid w:val="00B61852"/>
    <w:rsid w:val="00B64222"/>
    <w:rsid w:val="00B64C8D"/>
    <w:rsid w:val="00B676EF"/>
    <w:rsid w:val="00B729A0"/>
    <w:rsid w:val="00B749C8"/>
    <w:rsid w:val="00B75728"/>
    <w:rsid w:val="00B75CA9"/>
    <w:rsid w:val="00B76134"/>
    <w:rsid w:val="00B765DD"/>
    <w:rsid w:val="00B77B31"/>
    <w:rsid w:val="00B8011E"/>
    <w:rsid w:val="00B81CBC"/>
    <w:rsid w:val="00B83429"/>
    <w:rsid w:val="00B83486"/>
    <w:rsid w:val="00B8361B"/>
    <w:rsid w:val="00B84B88"/>
    <w:rsid w:val="00B85ABC"/>
    <w:rsid w:val="00B8642F"/>
    <w:rsid w:val="00B86589"/>
    <w:rsid w:val="00B962E4"/>
    <w:rsid w:val="00B963CA"/>
    <w:rsid w:val="00B9661A"/>
    <w:rsid w:val="00B96D54"/>
    <w:rsid w:val="00BA2205"/>
    <w:rsid w:val="00BA2893"/>
    <w:rsid w:val="00BA3451"/>
    <w:rsid w:val="00BA5529"/>
    <w:rsid w:val="00BA5F64"/>
    <w:rsid w:val="00BA6627"/>
    <w:rsid w:val="00BA7EA7"/>
    <w:rsid w:val="00BB4BA0"/>
    <w:rsid w:val="00BB522B"/>
    <w:rsid w:val="00BB5916"/>
    <w:rsid w:val="00BB6322"/>
    <w:rsid w:val="00BB6958"/>
    <w:rsid w:val="00BB69B6"/>
    <w:rsid w:val="00BB6EED"/>
    <w:rsid w:val="00BC0715"/>
    <w:rsid w:val="00BC29BF"/>
    <w:rsid w:val="00BC702A"/>
    <w:rsid w:val="00BD0722"/>
    <w:rsid w:val="00BD0994"/>
    <w:rsid w:val="00BD0CDF"/>
    <w:rsid w:val="00BD0EC7"/>
    <w:rsid w:val="00BD27D7"/>
    <w:rsid w:val="00BD404A"/>
    <w:rsid w:val="00BD46DA"/>
    <w:rsid w:val="00BD5D74"/>
    <w:rsid w:val="00BD76BA"/>
    <w:rsid w:val="00BE0560"/>
    <w:rsid w:val="00BE1630"/>
    <w:rsid w:val="00BE1CBC"/>
    <w:rsid w:val="00BE2889"/>
    <w:rsid w:val="00BE331B"/>
    <w:rsid w:val="00BE39BB"/>
    <w:rsid w:val="00BE79FB"/>
    <w:rsid w:val="00BF01DF"/>
    <w:rsid w:val="00BF02BE"/>
    <w:rsid w:val="00BF1F4A"/>
    <w:rsid w:val="00BF29C0"/>
    <w:rsid w:val="00BF7742"/>
    <w:rsid w:val="00BF7AA2"/>
    <w:rsid w:val="00BF7DEC"/>
    <w:rsid w:val="00C04F14"/>
    <w:rsid w:val="00C06BCD"/>
    <w:rsid w:val="00C0770E"/>
    <w:rsid w:val="00C11A99"/>
    <w:rsid w:val="00C11C60"/>
    <w:rsid w:val="00C14F9B"/>
    <w:rsid w:val="00C15B64"/>
    <w:rsid w:val="00C1616D"/>
    <w:rsid w:val="00C17720"/>
    <w:rsid w:val="00C200BA"/>
    <w:rsid w:val="00C207E8"/>
    <w:rsid w:val="00C208C6"/>
    <w:rsid w:val="00C229EF"/>
    <w:rsid w:val="00C2390D"/>
    <w:rsid w:val="00C23CED"/>
    <w:rsid w:val="00C2431E"/>
    <w:rsid w:val="00C2766B"/>
    <w:rsid w:val="00C27BF4"/>
    <w:rsid w:val="00C30351"/>
    <w:rsid w:val="00C30B77"/>
    <w:rsid w:val="00C30C4A"/>
    <w:rsid w:val="00C31BDB"/>
    <w:rsid w:val="00C327AA"/>
    <w:rsid w:val="00C32ACB"/>
    <w:rsid w:val="00C32FF5"/>
    <w:rsid w:val="00C358A4"/>
    <w:rsid w:val="00C35948"/>
    <w:rsid w:val="00C369BB"/>
    <w:rsid w:val="00C37006"/>
    <w:rsid w:val="00C401EB"/>
    <w:rsid w:val="00C42FEE"/>
    <w:rsid w:val="00C458B0"/>
    <w:rsid w:val="00C45DF9"/>
    <w:rsid w:val="00C46641"/>
    <w:rsid w:val="00C475A3"/>
    <w:rsid w:val="00C504B6"/>
    <w:rsid w:val="00C51251"/>
    <w:rsid w:val="00C512CE"/>
    <w:rsid w:val="00C51DC2"/>
    <w:rsid w:val="00C5456C"/>
    <w:rsid w:val="00C55289"/>
    <w:rsid w:val="00C557BA"/>
    <w:rsid w:val="00C567C4"/>
    <w:rsid w:val="00C5688B"/>
    <w:rsid w:val="00C575EE"/>
    <w:rsid w:val="00C607FC"/>
    <w:rsid w:val="00C60E02"/>
    <w:rsid w:val="00C616C8"/>
    <w:rsid w:val="00C64B84"/>
    <w:rsid w:val="00C64EFC"/>
    <w:rsid w:val="00C7189E"/>
    <w:rsid w:val="00C74EF1"/>
    <w:rsid w:val="00C759BE"/>
    <w:rsid w:val="00C7676A"/>
    <w:rsid w:val="00C76FA5"/>
    <w:rsid w:val="00C773CC"/>
    <w:rsid w:val="00C77981"/>
    <w:rsid w:val="00C779E3"/>
    <w:rsid w:val="00C81CC9"/>
    <w:rsid w:val="00C827EB"/>
    <w:rsid w:val="00C841B1"/>
    <w:rsid w:val="00C8473E"/>
    <w:rsid w:val="00C84D6F"/>
    <w:rsid w:val="00C85056"/>
    <w:rsid w:val="00C875A4"/>
    <w:rsid w:val="00C87682"/>
    <w:rsid w:val="00C9035B"/>
    <w:rsid w:val="00C90384"/>
    <w:rsid w:val="00C938FC"/>
    <w:rsid w:val="00C946D3"/>
    <w:rsid w:val="00C94CEB"/>
    <w:rsid w:val="00C97B6A"/>
    <w:rsid w:val="00CA1457"/>
    <w:rsid w:val="00CA15E8"/>
    <w:rsid w:val="00CA19FD"/>
    <w:rsid w:val="00CA2F28"/>
    <w:rsid w:val="00CA33BE"/>
    <w:rsid w:val="00CA549E"/>
    <w:rsid w:val="00CA75C7"/>
    <w:rsid w:val="00CB2220"/>
    <w:rsid w:val="00CB2DBF"/>
    <w:rsid w:val="00CB4845"/>
    <w:rsid w:val="00CB515D"/>
    <w:rsid w:val="00CB6D29"/>
    <w:rsid w:val="00CB7144"/>
    <w:rsid w:val="00CC00B7"/>
    <w:rsid w:val="00CC1F6A"/>
    <w:rsid w:val="00CC1FA9"/>
    <w:rsid w:val="00CC2818"/>
    <w:rsid w:val="00CC5529"/>
    <w:rsid w:val="00CC6CA3"/>
    <w:rsid w:val="00CC7619"/>
    <w:rsid w:val="00CD0400"/>
    <w:rsid w:val="00CD0B9C"/>
    <w:rsid w:val="00CD1A4D"/>
    <w:rsid w:val="00CD2E52"/>
    <w:rsid w:val="00CD3776"/>
    <w:rsid w:val="00CD3EF6"/>
    <w:rsid w:val="00CD6BE5"/>
    <w:rsid w:val="00CD6F94"/>
    <w:rsid w:val="00CD7098"/>
    <w:rsid w:val="00CE07FB"/>
    <w:rsid w:val="00CE1C92"/>
    <w:rsid w:val="00CE2126"/>
    <w:rsid w:val="00CE5024"/>
    <w:rsid w:val="00CE576B"/>
    <w:rsid w:val="00CE674E"/>
    <w:rsid w:val="00CE7178"/>
    <w:rsid w:val="00CE7351"/>
    <w:rsid w:val="00CF0377"/>
    <w:rsid w:val="00CF057A"/>
    <w:rsid w:val="00CF2607"/>
    <w:rsid w:val="00CF3028"/>
    <w:rsid w:val="00CF3238"/>
    <w:rsid w:val="00CF36E3"/>
    <w:rsid w:val="00CF5A3D"/>
    <w:rsid w:val="00CF5C3E"/>
    <w:rsid w:val="00CF73D1"/>
    <w:rsid w:val="00CF797E"/>
    <w:rsid w:val="00D0011E"/>
    <w:rsid w:val="00D00B9F"/>
    <w:rsid w:val="00D00FF0"/>
    <w:rsid w:val="00D01DF2"/>
    <w:rsid w:val="00D01EE6"/>
    <w:rsid w:val="00D0261E"/>
    <w:rsid w:val="00D02EC3"/>
    <w:rsid w:val="00D03741"/>
    <w:rsid w:val="00D04D0C"/>
    <w:rsid w:val="00D075F6"/>
    <w:rsid w:val="00D10060"/>
    <w:rsid w:val="00D104D6"/>
    <w:rsid w:val="00D10F51"/>
    <w:rsid w:val="00D12078"/>
    <w:rsid w:val="00D12FEB"/>
    <w:rsid w:val="00D1301E"/>
    <w:rsid w:val="00D1311A"/>
    <w:rsid w:val="00D14B3E"/>
    <w:rsid w:val="00D14CD9"/>
    <w:rsid w:val="00D14FB0"/>
    <w:rsid w:val="00D151F7"/>
    <w:rsid w:val="00D17D20"/>
    <w:rsid w:val="00D207BE"/>
    <w:rsid w:val="00D213C3"/>
    <w:rsid w:val="00D2140F"/>
    <w:rsid w:val="00D21B39"/>
    <w:rsid w:val="00D239D9"/>
    <w:rsid w:val="00D247C0"/>
    <w:rsid w:val="00D2690C"/>
    <w:rsid w:val="00D27AE8"/>
    <w:rsid w:val="00D307DD"/>
    <w:rsid w:val="00D30C59"/>
    <w:rsid w:val="00D311D2"/>
    <w:rsid w:val="00D31451"/>
    <w:rsid w:val="00D31FDE"/>
    <w:rsid w:val="00D3408F"/>
    <w:rsid w:val="00D3432D"/>
    <w:rsid w:val="00D34389"/>
    <w:rsid w:val="00D405A5"/>
    <w:rsid w:val="00D40852"/>
    <w:rsid w:val="00D40DB3"/>
    <w:rsid w:val="00D41ECD"/>
    <w:rsid w:val="00D4495E"/>
    <w:rsid w:val="00D45699"/>
    <w:rsid w:val="00D457AF"/>
    <w:rsid w:val="00D4743D"/>
    <w:rsid w:val="00D50443"/>
    <w:rsid w:val="00D51E83"/>
    <w:rsid w:val="00D51FC3"/>
    <w:rsid w:val="00D535CE"/>
    <w:rsid w:val="00D54AC8"/>
    <w:rsid w:val="00D55077"/>
    <w:rsid w:val="00D5575C"/>
    <w:rsid w:val="00D5586C"/>
    <w:rsid w:val="00D56D97"/>
    <w:rsid w:val="00D56F30"/>
    <w:rsid w:val="00D56F44"/>
    <w:rsid w:val="00D57050"/>
    <w:rsid w:val="00D57EC9"/>
    <w:rsid w:val="00D6161C"/>
    <w:rsid w:val="00D61635"/>
    <w:rsid w:val="00D62AFC"/>
    <w:rsid w:val="00D63873"/>
    <w:rsid w:val="00D64A75"/>
    <w:rsid w:val="00D70043"/>
    <w:rsid w:val="00D701EF"/>
    <w:rsid w:val="00D7041F"/>
    <w:rsid w:val="00D70536"/>
    <w:rsid w:val="00D710E4"/>
    <w:rsid w:val="00D72711"/>
    <w:rsid w:val="00D729FD"/>
    <w:rsid w:val="00D72EF7"/>
    <w:rsid w:val="00D74F0B"/>
    <w:rsid w:val="00D753DA"/>
    <w:rsid w:val="00D76551"/>
    <w:rsid w:val="00D7760E"/>
    <w:rsid w:val="00D77DEB"/>
    <w:rsid w:val="00D808E8"/>
    <w:rsid w:val="00D819AC"/>
    <w:rsid w:val="00D82A86"/>
    <w:rsid w:val="00D845FF"/>
    <w:rsid w:val="00D861E2"/>
    <w:rsid w:val="00D91000"/>
    <w:rsid w:val="00D916CE"/>
    <w:rsid w:val="00D94B37"/>
    <w:rsid w:val="00D95425"/>
    <w:rsid w:val="00DA0521"/>
    <w:rsid w:val="00DA3FD4"/>
    <w:rsid w:val="00DA4FC3"/>
    <w:rsid w:val="00DA51E1"/>
    <w:rsid w:val="00DA71C6"/>
    <w:rsid w:val="00DA7375"/>
    <w:rsid w:val="00DB0D68"/>
    <w:rsid w:val="00DB1EDE"/>
    <w:rsid w:val="00DB6A2A"/>
    <w:rsid w:val="00DB6AAC"/>
    <w:rsid w:val="00DB7E45"/>
    <w:rsid w:val="00DC01C1"/>
    <w:rsid w:val="00DC0280"/>
    <w:rsid w:val="00DC1801"/>
    <w:rsid w:val="00DC35A0"/>
    <w:rsid w:val="00DC36E4"/>
    <w:rsid w:val="00DC39D0"/>
    <w:rsid w:val="00DC4130"/>
    <w:rsid w:val="00DC43B4"/>
    <w:rsid w:val="00DC45F2"/>
    <w:rsid w:val="00DC4A72"/>
    <w:rsid w:val="00DC5CA3"/>
    <w:rsid w:val="00DC70DD"/>
    <w:rsid w:val="00DC79C3"/>
    <w:rsid w:val="00DD13DC"/>
    <w:rsid w:val="00DD1C33"/>
    <w:rsid w:val="00DD1F91"/>
    <w:rsid w:val="00DD3EFB"/>
    <w:rsid w:val="00DD52D0"/>
    <w:rsid w:val="00DD6A21"/>
    <w:rsid w:val="00DD6A72"/>
    <w:rsid w:val="00DD709C"/>
    <w:rsid w:val="00DD7476"/>
    <w:rsid w:val="00DE00B0"/>
    <w:rsid w:val="00DE09E2"/>
    <w:rsid w:val="00DE1B34"/>
    <w:rsid w:val="00DE219C"/>
    <w:rsid w:val="00DE2BAC"/>
    <w:rsid w:val="00DE380D"/>
    <w:rsid w:val="00DE65B6"/>
    <w:rsid w:val="00DE6701"/>
    <w:rsid w:val="00DE6DF6"/>
    <w:rsid w:val="00DE7A49"/>
    <w:rsid w:val="00DF0378"/>
    <w:rsid w:val="00DF03C4"/>
    <w:rsid w:val="00DF1987"/>
    <w:rsid w:val="00DF266F"/>
    <w:rsid w:val="00DF27DA"/>
    <w:rsid w:val="00DF5FC5"/>
    <w:rsid w:val="00DF66C9"/>
    <w:rsid w:val="00DF7235"/>
    <w:rsid w:val="00DF7380"/>
    <w:rsid w:val="00DF794C"/>
    <w:rsid w:val="00E001C8"/>
    <w:rsid w:val="00E009AE"/>
    <w:rsid w:val="00E00B19"/>
    <w:rsid w:val="00E00CE8"/>
    <w:rsid w:val="00E012C2"/>
    <w:rsid w:val="00E02B0F"/>
    <w:rsid w:val="00E02D88"/>
    <w:rsid w:val="00E052A5"/>
    <w:rsid w:val="00E058AF"/>
    <w:rsid w:val="00E07021"/>
    <w:rsid w:val="00E072D4"/>
    <w:rsid w:val="00E1074B"/>
    <w:rsid w:val="00E10CE9"/>
    <w:rsid w:val="00E142B4"/>
    <w:rsid w:val="00E158A9"/>
    <w:rsid w:val="00E17BE5"/>
    <w:rsid w:val="00E212E4"/>
    <w:rsid w:val="00E21EDF"/>
    <w:rsid w:val="00E2359E"/>
    <w:rsid w:val="00E23EBA"/>
    <w:rsid w:val="00E25DF4"/>
    <w:rsid w:val="00E308EB"/>
    <w:rsid w:val="00E30D2F"/>
    <w:rsid w:val="00E32318"/>
    <w:rsid w:val="00E33F9C"/>
    <w:rsid w:val="00E34FF6"/>
    <w:rsid w:val="00E360CA"/>
    <w:rsid w:val="00E36F74"/>
    <w:rsid w:val="00E373A8"/>
    <w:rsid w:val="00E375CA"/>
    <w:rsid w:val="00E40994"/>
    <w:rsid w:val="00E40FD7"/>
    <w:rsid w:val="00E41BA7"/>
    <w:rsid w:val="00E423C7"/>
    <w:rsid w:val="00E45327"/>
    <w:rsid w:val="00E46248"/>
    <w:rsid w:val="00E46658"/>
    <w:rsid w:val="00E46C8C"/>
    <w:rsid w:val="00E47F83"/>
    <w:rsid w:val="00E5276F"/>
    <w:rsid w:val="00E54A31"/>
    <w:rsid w:val="00E54F21"/>
    <w:rsid w:val="00E55296"/>
    <w:rsid w:val="00E5572F"/>
    <w:rsid w:val="00E56224"/>
    <w:rsid w:val="00E564F3"/>
    <w:rsid w:val="00E577EB"/>
    <w:rsid w:val="00E60C0E"/>
    <w:rsid w:val="00E638CE"/>
    <w:rsid w:val="00E63DFA"/>
    <w:rsid w:val="00E65A3B"/>
    <w:rsid w:val="00E663D7"/>
    <w:rsid w:val="00E66F4B"/>
    <w:rsid w:val="00E70E30"/>
    <w:rsid w:val="00E70F7E"/>
    <w:rsid w:val="00E71D88"/>
    <w:rsid w:val="00E750FB"/>
    <w:rsid w:val="00E767C0"/>
    <w:rsid w:val="00E76FC4"/>
    <w:rsid w:val="00E80CF6"/>
    <w:rsid w:val="00E82594"/>
    <w:rsid w:val="00E827E1"/>
    <w:rsid w:val="00E82C6B"/>
    <w:rsid w:val="00E8374F"/>
    <w:rsid w:val="00E85838"/>
    <w:rsid w:val="00E8640A"/>
    <w:rsid w:val="00E86826"/>
    <w:rsid w:val="00E87E0A"/>
    <w:rsid w:val="00E87FB3"/>
    <w:rsid w:val="00E91E34"/>
    <w:rsid w:val="00E92B5B"/>
    <w:rsid w:val="00E9353E"/>
    <w:rsid w:val="00E95B37"/>
    <w:rsid w:val="00E96236"/>
    <w:rsid w:val="00E9659C"/>
    <w:rsid w:val="00E96662"/>
    <w:rsid w:val="00E97435"/>
    <w:rsid w:val="00EA11C6"/>
    <w:rsid w:val="00EA16B9"/>
    <w:rsid w:val="00EA1700"/>
    <w:rsid w:val="00EA1DB8"/>
    <w:rsid w:val="00EA2D1E"/>
    <w:rsid w:val="00EA4DBB"/>
    <w:rsid w:val="00EA610D"/>
    <w:rsid w:val="00EB0865"/>
    <w:rsid w:val="00EB0FF2"/>
    <w:rsid w:val="00EB1263"/>
    <w:rsid w:val="00EB1F28"/>
    <w:rsid w:val="00EB2C49"/>
    <w:rsid w:val="00EB5923"/>
    <w:rsid w:val="00EB65C6"/>
    <w:rsid w:val="00EB7244"/>
    <w:rsid w:val="00EB7444"/>
    <w:rsid w:val="00EB7778"/>
    <w:rsid w:val="00EB77C0"/>
    <w:rsid w:val="00EB7C3B"/>
    <w:rsid w:val="00EC0F40"/>
    <w:rsid w:val="00EC1787"/>
    <w:rsid w:val="00EC181D"/>
    <w:rsid w:val="00EC383D"/>
    <w:rsid w:val="00EC5063"/>
    <w:rsid w:val="00EC5B5B"/>
    <w:rsid w:val="00EC7C1C"/>
    <w:rsid w:val="00EC7F74"/>
    <w:rsid w:val="00ED01F6"/>
    <w:rsid w:val="00ED0826"/>
    <w:rsid w:val="00ED18DA"/>
    <w:rsid w:val="00ED47D7"/>
    <w:rsid w:val="00ED4E27"/>
    <w:rsid w:val="00ED51DC"/>
    <w:rsid w:val="00ED5C42"/>
    <w:rsid w:val="00ED5DCA"/>
    <w:rsid w:val="00ED5DFF"/>
    <w:rsid w:val="00ED6D16"/>
    <w:rsid w:val="00EE0920"/>
    <w:rsid w:val="00EE1360"/>
    <w:rsid w:val="00EE293C"/>
    <w:rsid w:val="00EE3008"/>
    <w:rsid w:val="00EE3AF6"/>
    <w:rsid w:val="00EE5C6A"/>
    <w:rsid w:val="00EE669B"/>
    <w:rsid w:val="00EE73F2"/>
    <w:rsid w:val="00EF02D9"/>
    <w:rsid w:val="00EF0C20"/>
    <w:rsid w:val="00EF30AE"/>
    <w:rsid w:val="00EF371F"/>
    <w:rsid w:val="00EF407C"/>
    <w:rsid w:val="00EF41DD"/>
    <w:rsid w:val="00EF5935"/>
    <w:rsid w:val="00EF5A05"/>
    <w:rsid w:val="00EF67A1"/>
    <w:rsid w:val="00EF7E13"/>
    <w:rsid w:val="00EF7E51"/>
    <w:rsid w:val="00F02752"/>
    <w:rsid w:val="00F02D7B"/>
    <w:rsid w:val="00F049C7"/>
    <w:rsid w:val="00F06A90"/>
    <w:rsid w:val="00F0703C"/>
    <w:rsid w:val="00F114C4"/>
    <w:rsid w:val="00F11BCC"/>
    <w:rsid w:val="00F12BC2"/>
    <w:rsid w:val="00F135F2"/>
    <w:rsid w:val="00F1415C"/>
    <w:rsid w:val="00F16686"/>
    <w:rsid w:val="00F202E4"/>
    <w:rsid w:val="00F2031A"/>
    <w:rsid w:val="00F21849"/>
    <w:rsid w:val="00F24498"/>
    <w:rsid w:val="00F267AB"/>
    <w:rsid w:val="00F26C8E"/>
    <w:rsid w:val="00F27028"/>
    <w:rsid w:val="00F270B4"/>
    <w:rsid w:val="00F30A8A"/>
    <w:rsid w:val="00F30B7E"/>
    <w:rsid w:val="00F31C0F"/>
    <w:rsid w:val="00F3283F"/>
    <w:rsid w:val="00F3770D"/>
    <w:rsid w:val="00F4157C"/>
    <w:rsid w:val="00F43704"/>
    <w:rsid w:val="00F43FE2"/>
    <w:rsid w:val="00F45CD4"/>
    <w:rsid w:val="00F46224"/>
    <w:rsid w:val="00F46F55"/>
    <w:rsid w:val="00F47939"/>
    <w:rsid w:val="00F50607"/>
    <w:rsid w:val="00F51B40"/>
    <w:rsid w:val="00F57229"/>
    <w:rsid w:val="00F60206"/>
    <w:rsid w:val="00F6043A"/>
    <w:rsid w:val="00F623B3"/>
    <w:rsid w:val="00F62A96"/>
    <w:rsid w:val="00F63417"/>
    <w:rsid w:val="00F64015"/>
    <w:rsid w:val="00F65054"/>
    <w:rsid w:val="00F65D20"/>
    <w:rsid w:val="00F66389"/>
    <w:rsid w:val="00F669B1"/>
    <w:rsid w:val="00F66A0F"/>
    <w:rsid w:val="00F66C21"/>
    <w:rsid w:val="00F67E5C"/>
    <w:rsid w:val="00F7082A"/>
    <w:rsid w:val="00F7101F"/>
    <w:rsid w:val="00F71A37"/>
    <w:rsid w:val="00F738E6"/>
    <w:rsid w:val="00F756D6"/>
    <w:rsid w:val="00F75A2F"/>
    <w:rsid w:val="00F75EFE"/>
    <w:rsid w:val="00F761BC"/>
    <w:rsid w:val="00F80295"/>
    <w:rsid w:val="00F80F92"/>
    <w:rsid w:val="00F813BC"/>
    <w:rsid w:val="00F8159A"/>
    <w:rsid w:val="00F81DDF"/>
    <w:rsid w:val="00F82692"/>
    <w:rsid w:val="00F8450A"/>
    <w:rsid w:val="00F85DB0"/>
    <w:rsid w:val="00F86618"/>
    <w:rsid w:val="00F872C6"/>
    <w:rsid w:val="00F925B4"/>
    <w:rsid w:val="00F9275A"/>
    <w:rsid w:val="00F946FA"/>
    <w:rsid w:val="00F95A5F"/>
    <w:rsid w:val="00FA085E"/>
    <w:rsid w:val="00FA09AB"/>
    <w:rsid w:val="00FA0B3D"/>
    <w:rsid w:val="00FA0CE1"/>
    <w:rsid w:val="00FA0FE3"/>
    <w:rsid w:val="00FA31D5"/>
    <w:rsid w:val="00FA347F"/>
    <w:rsid w:val="00FA36C1"/>
    <w:rsid w:val="00FA46C6"/>
    <w:rsid w:val="00FA5692"/>
    <w:rsid w:val="00FA58C1"/>
    <w:rsid w:val="00FA5E55"/>
    <w:rsid w:val="00FB0CE5"/>
    <w:rsid w:val="00FB0F70"/>
    <w:rsid w:val="00FB187B"/>
    <w:rsid w:val="00FB2CBA"/>
    <w:rsid w:val="00FB340F"/>
    <w:rsid w:val="00FB3BEF"/>
    <w:rsid w:val="00FB42F5"/>
    <w:rsid w:val="00FB50BD"/>
    <w:rsid w:val="00FB588F"/>
    <w:rsid w:val="00FB63E8"/>
    <w:rsid w:val="00FB79AB"/>
    <w:rsid w:val="00FC03E9"/>
    <w:rsid w:val="00FC16CC"/>
    <w:rsid w:val="00FC2D7C"/>
    <w:rsid w:val="00FC3B31"/>
    <w:rsid w:val="00FC4762"/>
    <w:rsid w:val="00FC7896"/>
    <w:rsid w:val="00FD1B28"/>
    <w:rsid w:val="00FD23A8"/>
    <w:rsid w:val="00FD2481"/>
    <w:rsid w:val="00FD397D"/>
    <w:rsid w:val="00FD5D35"/>
    <w:rsid w:val="00FD5EB2"/>
    <w:rsid w:val="00FD67DD"/>
    <w:rsid w:val="00FD78C1"/>
    <w:rsid w:val="00FD79B4"/>
    <w:rsid w:val="00FE0898"/>
    <w:rsid w:val="00FE0E06"/>
    <w:rsid w:val="00FE2A2F"/>
    <w:rsid w:val="00FE3165"/>
    <w:rsid w:val="00FE3741"/>
    <w:rsid w:val="00FE4A53"/>
    <w:rsid w:val="00FE4B57"/>
    <w:rsid w:val="00FE5B25"/>
    <w:rsid w:val="00FE6A23"/>
    <w:rsid w:val="00FF068C"/>
    <w:rsid w:val="00FF16BD"/>
    <w:rsid w:val="00FF2E13"/>
    <w:rsid w:val="00FF44AA"/>
    <w:rsid w:val="00FF4E91"/>
    <w:rsid w:val="00FF585B"/>
    <w:rsid w:val="00FF5A79"/>
    <w:rsid w:val="00FF6166"/>
    <w:rsid w:val="00FF681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8068" style="mso-position-horizontal-relative:page;mso-position-vertical-relative:page;v-text-anchor:bottom" o:allowincell="f" o:allowoverlap="f" fill="f" fillcolor="white" stroke="f">
      <v:fill color="white" on="f"/>
      <v:stroke on="f"/>
      <v:textbox inset="0,0,0,0"/>
    </o:shapedefaults>
    <o:shapelayout v:ext="edit">
      <o:idmap v:ext="edit" data="1"/>
    </o:shapelayout>
  </w:shapeDefaults>
  <w:decimalSymbol w:val="."/>
  <w:listSeparator w:val=","/>
  <w14:docId w14:val="0BC13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lsdException w:name="heading 3" w:semiHidden="1" w:uiPriority="9" w:unhideWhenUsed="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159A"/>
    <w:pPr>
      <w:autoSpaceDE w:val="0"/>
      <w:autoSpaceDN w:val="0"/>
      <w:adjustRightInd w:val="0"/>
      <w:spacing w:after="113" w:line="300" w:lineRule="auto"/>
    </w:pPr>
    <w:rPr>
      <w:rFonts w:ascii="Georgia" w:hAnsi="Georgia" w:cs="Georgia"/>
      <w:color w:val="000000"/>
      <w:sz w:val="24"/>
      <w:szCs w:val="19"/>
    </w:rPr>
  </w:style>
  <w:style w:type="paragraph" w:styleId="Heading1">
    <w:name w:val="heading 1"/>
    <w:basedOn w:val="Normal"/>
    <w:next w:val="Normal"/>
    <w:link w:val="Heading1Char"/>
    <w:rsid w:val="002B35F2"/>
    <w:pPr>
      <w:keepNext/>
      <w:keepLines/>
      <w:numPr>
        <w:numId w:val="4"/>
      </w:numPr>
      <w:spacing w:after="0"/>
      <w:outlineLvl w:val="0"/>
    </w:pPr>
    <w:rPr>
      <w:rFonts w:ascii="Helvetica" w:eastAsia="Times New Roman" w:hAnsi="Helvetica"/>
      <w:b/>
      <w:bCs/>
      <w:color w:val="F2F2F2"/>
      <w:sz w:val="40"/>
      <w:szCs w:val="32"/>
    </w:rPr>
  </w:style>
  <w:style w:type="paragraph" w:styleId="Heading2">
    <w:name w:val="heading 2"/>
    <w:basedOn w:val="E3Heading2"/>
    <w:next w:val="E3BodyText"/>
    <w:link w:val="Heading2Char"/>
    <w:uiPriority w:val="9"/>
    <w:unhideWhenUsed/>
    <w:rsid w:val="00EE1360"/>
    <w:pPr>
      <w:keepNext/>
      <w:tabs>
        <w:tab w:val="left" w:pos="425"/>
      </w:tabs>
      <w:spacing w:before="300"/>
      <w:outlineLvl w:val="1"/>
    </w:pPr>
    <w:rPr>
      <w:rFonts w:eastAsia="Times New Roman"/>
      <w:bCs/>
    </w:rPr>
  </w:style>
  <w:style w:type="paragraph" w:styleId="Heading3">
    <w:name w:val="heading 3"/>
    <w:basedOn w:val="E3Heading4"/>
    <w:next w:val="E3BodyText"/>
    <w:link w:val="Heading3Char"/>
    <w:uiPriority w:val="9"/>
    <w:unhideWhenUsed/>
    <w:rsid w:val="00B729A0"/>
    <w:pPr>
      <w:keepNext/>
      <w:keepLines/>
      <w:spacing w:before="113"/>
      <w:outlineLvl w:val="2"/>
    </w:pPr>
    <w:rPr>
      <w:rFonts w:eastAsia="Times New Roman"/>
      <w:bCs w:val="0"/>
      <w:color w:val="DA001D" w:themeColor="accent2"/>
    </w:rPr>
  </w:style>
  <w:style w:type="paragraph" w:styleId="Heading4">
    <w:name w:val="heading 4"/>
    <w:basedOn w:val="E3Heading4"/>
    <w:next w:val="Normal"/>
    <w:link w:val="Heading4Char"/>
    <w:rsid w:val="00B729A0"/>
    <w:pPr>
      <w:keepNext/>
      <w:keepLines/>
      <w:spacing w:before="113"/>
      <w:outlineLvl w:val="3"/>
    </w:pPr>
    <w:rPr>
      <w:rFonts w:eastAsia="Times New Roman"/>
      <w:bCs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B35F2"/>
    <w:rPr>
      <w:rFonts w:ascii="Helvetica" w:eastAsia="Times New Roman" w:hAnsi="Helvetica"/>
      <w:b/>
      <w:bCs/>
      <w:color w:val="F2F2F2"/>
      <w:sz w:val="40"/>
      <w:szCs w:val="32"/>
    </w:rPr>
  </w:style>
  <w:style w:type="paragraph" w:customStyle="1" w:styleId="E3Heading2">
    <w:name w:val="E3 Heading 2"/>
    <w:basedOn w:val="E3Heading1"/>
    <w:next w:val="E3BodyText"/>
    <w:qFormat/>
    <w:rsid w:val="00097ED5"/>
    <w:pPr>
      <w:keepNext w:val="0"/>
      <w:keepLines/>
      <w:widowControl w:val="0"/>
      <w:spacing w:line="240" w:lineRule="auto"/>
      <w:contextualSpacing/>
    </w:pPr>
    <w:rPr>
      <w:rFonts w:cs="Arial"/>
      <w:color w:val="000000" w:themeColor="text1"/>
      <w:sz w:val="32"/>
      <w:szCs w:val="26"/>
    </w:rPr>
  </w:style>
  <w:style w:type="paragraph" w:customStyle="1" w:styleId="E3Heading1">
    <w:name w:val="E3 Heading 1"/>
    <w:basedOn w:val="Normal"/>
    <w:next w:val="E3BodyText"/>
    <w:qFormat/>
    <w:rsid w:val="00097ED5"/>
    <w:pPr>
      <w:keepNext/>
      <w:suppressLineNumbers/>
      <w:suppressAutoHyphens/>
      <w:spacing w:after="160"/>
    </w:pPr>
    <w:rPr>
      <w:rFonts w:ascii="Helvetica" w:hAnsi="Helvetica" w:cs="Helvetica"/>
      <w:b/>
      <w:sz w:val="40"/>
      <w:szCs w:val="40"/>
    </w:rPr>
  </w:style>
  <w:style w:type="paragraph" w:customStyle="1" w:styleId="E3BodyText">
    <w:name w:val="E3 Body Text"/>
    <w:qFormat/>
    <w:rsid w:val="00A7782D"/>
    <w:pPr>
      <w:autoSpaceDE w:val="0"/>
      <w:autoSpaceDN w:val="0"/>
      <w:adjustRightInd w:val="0"/>
      <w:spacing w:after="113" w:line="300" w:lineRule="auto"/>
    </w:pPr>
    <w:rPr>
      <w:rFonts w:ascii="Georgia" w:hAnsi="Georgia" w:cs="Georgia"/>
      <w:color w:val="000000"/>
      <w:sz w:val="24"/>
      <w:szCs w:val="19"/>
    </w:rPr>
  </w:style>
  <w:style w:type="character" w:customStyle="1" w:styleId="Heading2Char">
    <w:name w:val="Heading 2 Char"/>
    <w:link w:val="Heading2"/>
    <w:uiPriority w:val="9"/>
    <w:rsid w:val="00EE1360"/>
    <w:rPr>
      <w:rFonts w:ascii="Helvetica" w:eastAsia="Times New Roman" w:hAnsi="Helvetica" w:cs="Arial"/>
      <w:b/>
      <w:bCs/>
      <w:color w:val="000000" w:themeColor="text1"/>
      <w:sz w:val="28"/>
      <w:szCs w:val="26"/>
      <w:lang w:val="en-US"/>
    </w:rPr>
  </w:style>
  <w:style w:type="paragraph" w:customStyle="1" w:styleId="E3Heading4">
    <w:name w:val="E3 Heading 4"/>
    <w:basedOn w:val="Default"/>
    <w:qFormat/>
    <w:rsid w:val="00EE1360"/>
    <w:pPr>
      <w:spacing w:after="113"/>
    </w:pPr>
    <w:rPr>
      <w:rFonts w:ascii="Georgia" w:hAnsi="Georgia" w:cs="Georgia"/>
      <w:b/>
      <w:bCs/>
      <w:szCs w:val="19"/>
    </w:rPr>
  </w:style>
  <w:style w:type="paragraph" w:customStyle="1" w:styleId="Default">
    <w:name w:val="Default"/>
    <w:rsid w:val="009B2FD5"/>
    <w:pPr>
      <w:widowControl w:val="0"/>
      <w:autoSpaceDE w:val="0"/>
      <w:autoSpaceDN w:val="0"/>
      <w:adjustRightInd w:val="0"/>
    </w:pPr>
    <w:rPr>
      <w:rFonts w:ascii="Arial" w:hAnsi="Arial" w:cs="Arial"/>
      <w:color w:val="000000"/>
      <w:sz w:val="24"/>
      <w:szCs w:val="24"/>
      <w:lang w:val="en-US"/>
    </w:rPr>
  </w:style>
  <w:style w:type="character" w:customStyle="1" w:styleId="Heading3Char">
    <w:name w:val="Heading 3 Char"/>
    <w:link w:val="Heading3"/>
    <w:uiPriority w:val="9"/>
    <w:rsid w:val="00B729A0"/>
    <w:rPr>
      <w:rFonts w:ascii="Georgia" w:eastAsia="Times New Roman" w:hAnsi="Georgia" w:cs="Georgia"/>
      <w:b/>
      <w:color w:val="DA001D" w:themeColor="accent2"/>
      <w:sz w:val="24"/>
      <w:szCs w:val="19"/>
      <w:lang w:val="en-US"/>
    </w:rPr>
  </w:style>
  <w:style w:type="character" w:customStyle="1" w:styleId="Heading4Char">
    <w:name w:val="Heading 4 Char"/>
    <w:link w:val="Heading4"/>
    <w:rsid w:val="00B729A0"/>
    <w:rPr>
      <w:rFonts w:ascii="Georgia" w:eastAsia="Times New Roman" w:hAnsi="Georgia" w:cs="Georgia"/>
      <w:b/>
      <w:iCs/>
      <w:color w:val="000000"/>
      <w:sz w:val="24"/>
      <w:szCs w:val="19"/>
      <w:lang w:val="en-US"/>
    </w:rPr>
  </w:style>
  <w:style w:type="paragraph" w:customStyle="1" w:styleId="E3Bullets">
    <w:name w:val="E3 Bullets"/>
    <w:basedOn w:val="E3BodyText"/>
    <w:link w:val="E3BulletsChar"/>
    <w:qFormat/>
    <w:rsid w:val="00C827EB"/>
    <w:pPr>
      <w:numPr>
        <w:numId w:val="9"/>
      </w:numPr>
      <w:spacing w:after="120"/>
      <w:ind w:left="227" w:hanging="227"/>
      <w:contextualSpacing/>
    </w:pPr>
  </w:style>
  <w:style w:type="character" w:customStyle="1" w:styleId="E3BulletsChar">
    <w:name w:val="E3 Bullets Char"/>
    <w:link w:val="E3Bullets"/>
    <w:rsid w:val="00C827EB"/>
    <w:rPr>
      <w:rFonts w:ascii="Georgia" w:hAnsi="Georgia" w:cs="Georgia"/>
      <w:color w:val="000000"/>
      <w:sz w:val="24"/>
      <w:szCs w:val="19"/>
    </w:rPr>
  </w:style>
  <w:style w:type="paragraph" w:customStyle="1" w:styleId="E3BodyIntroductionText">
    <w:name w:val="E3 Body Introduction Text"/>
    <w:basedOn w:val="E3BodyText"/>
    <w:qFormat/>
    <w:rsid w:val="00620D34"/>
    <w:pPr>
      <w:widowControl w:val="0"/>
    </w:pPr>
    <w:rPr>
      <w:i/>
      <w:iCs/>
    </w:rPr>
  </w:style>
  <w:style w:type="character" w:styleId="CommentReference">
    <w:name w:val="annotation reference"/>
    <w:uiPriority w:val="99"/>
    <w:unhideWhenUsed/>
    <w:rsid w:val="00B729A0"/>
    <w:rPr>
      <w:sz w:val="20"/>
      <w:szCs w:val="16"/>
    </w:rPr>
  </w:style>
  <w:style w:type="paragraph" w:styleId="CommentText">
    <w:name w:val="annotation text"/>
    <w:basedOn w:val="Normal"/>
    <w:link w:val="CommentTextChar"/>
    <w:uiPriority w:val="99"/>
    <w:unhideWhenUsed/>
    <w:rsid w:val="00E76FC4"/>
    <w:pPr>
      <w:spacing w:after="200" w:line="240" w:lineRule="auto"/>
    </w:pPr>
    <w:rPr>
      <w:rFonts w:ascii="Cambria" w:hAnsi="Cambria"/>
      <w:sz w:val="20"/>
      <w:szCs w:val="20"/>
    </w:rPr>
  </w:style>
  <w:style w:type="character" w:customStyle="1" w:styleId="CommentTextChar">
    <w:name w:val="Comment Text Char"/>
    <w:link w:val="CommentText"/>
    <w:uiPriority w:val="99"/>
    <w:rsid w:val="00E76FC4"/>
    <w:rPr>
      <w:rFonts w:ascii="Cambria" w:hAnsi="Cambria" w:cs="Georgia"/>
      <w:color w:val="000000"/>
    </w:rPr>
  </w:style>
  <w:style w:type="paragraph" w:customStyle="1" w:styleId="E3ChapterTitle">
    <w:name w:val="E3 Chapter Title"/>
    <w:basedOn w:val="Heading1"/>
    <w:next w:val="E3BodyText"/>
    <w:qFormat/>
    <w:rsid w:val="003C469D"/>
    <w:pPr>
      <w:numPr>
        <w:numId w:val="0"/>
      </w:numPr>
      <w:spacing w:before="120" w:after="1440"/>
      <w:ind w:left="567"/>
    </w:pPr>
    <w:rPr>
      <w:color w:val="464749" w:themeColor="accent6"/>
    </w:rPr>
  </w:style>
  <w:style w:type="paragraph" w:customStyle="1" w:styleId="E3CoverFooter">
    <w:name w:val="E3 Cover Footer"/>
    <w:basedOn w:val="Normal"/>
    <w:qFormat/>
    <w:rsid w:val="006715E4"/>
    <w:rPr>
      <w:rFonts w:ascii="Helvetica" w:hAnsi="Helvetica"/>
      <w:b/>
      <w:color w:val="808080"/>
    </w:rPr>
  </w:style>
  <w:style w:type="paragraph" w:styleId="FootnoteText">
    <w:name w:val="footnote text"/>
    <w:basedOn w:val="E3BodyText"/>
    <w:link w:val="FootnoteTextChar"/>
    <w:uiPriority w:val="99"/>
    <w:rsid w:val="00B729A0"/>
    <w:pPr>
      <w:spacing w:after="0"/>
    </w:pPr>
    <w:rPr>
      <w:color w:val="000000" w:themeColor="text1"/>
      <w:sz w:val="19"/>
    </w:rPr>
  </w:style>
  <w:style w:type="character" w:customStyle="1" w:styleId="FootnoteTextChar">
    <w:name w:val="Footnote Text Char"/>
    <w:link w:val="FootnoteText"/>
    <w:uiPriority w:val="99"/>
    <w:rsid w:val="00B729A0"/>
    <w:rPr>
      <w:rFonts w:ascii="Georgia" w:hAnsi="Georgia" w:cs="Georgia"/>
      <w:color w:val="000000" w:themeColor="text1"/>
      <w:sz w:val="19"/>
      <w:szCs w:val="19"/>
      <w:lang w:val="en-US"/>
    </w:rPr>
  </w:style>
  <w:style w:type="paragraph" w:customStyle="1" w:styleId="E3FootnoteText">
    <w:name w:val="E3 Footnote Text"/>
    <w:basedOn w:val="FootnoteText"/>
    <w:qFormat/>
    <w:rsid w:val="00324B50"/>
    <w:rPr>
      <w:sz w:val="20"/>
    </w:rPr>
  </w:style>
  <w:style w:type="paragraph" w:customStyle="1" w:styleId="E3Heading3">
    <w:name w:val="E3 Heading 3"/>
    <w:basedOn w:val="Heading2"/>
    <w:next w:val="Normal"/>
    <w:qFormat/>
    <w:rsid w:val="00336352"/>
    <w:pPr>
      <w:keepNext w:val="0"/>
      <w:spacing w:before="0"/>
    </w:pPr>
    <w:rPr>
      <w:rFonts w:ascii="Georgia" w:hAnsi="Georgia" w:cs="Georgia"/>
      <w:bCs w:val="0"/>
      <w:color w:val="auto"/>
      <w:sz w:val="28"/>
      <w:szCs w:val="22"/>
    </w:rPr>
  </w:style>
  <w:style w:type="paragraph" w:customStyle="1" w:styleId="E3SubBullets">
    <w:name w:val="E3 Sub Bullets"/>
    <w:basedOn w:val="E3Bullets"/>
    <w:qFormat/>
    <w:rsid w:val="008424FC"/>
    <w:pPr>
      <w:numPr>
        <w:numId w:val="0"/>
      </w:numPr>
    </w:pPr>
  </w:style>
  <w:style w:type="paragraph" w:styleId="Subtitle">
    <w:name w:val="Subtitle"/>
    <w:basedOn w:val="Normal"/>
    <w:next w:val="Normal"/>
    <w:link w:val="SubtitleChar"/>
    <w:rsid w:val="006715E4"/>
    <w:rPr>
      <w:rFonts w:ascii="Helvetica" w:hAnsi="Helvetica"/>
      <w:b/>
    </w:rPr>
  </w:style>
  <w:style w:type="character" w:customStyle="1" w:styleId="SubtitleChar">
    <w:name w:val="Subtitle Char"/>
    <w:link w:val="Subtitle"/>
    <w:rsid w:val="006715E4"/>
    <w:rPr>
      <w:rFonts w:ascii="Helvetica" w:eastAsia="Cambria" w:hAnsi="Helvetica" w:cs="Times New Roman"/>
      <w:b/>
      <w:sz w:val="24"/>
      <w:szCs w:val="24"/>
    </w:rPr>
  </w:style>
  <w:style w:type="paragraph" w:customStyle="1" w:styleId="E3Subtitle">
    <w:name w:val="E3 Sub title"/>
    <w:qFormat/>
    <w:rsid w:val="00675EFD"/>
    <w:pPr>
      <w:spacing w:after="200" w:line="276" w:lineRule="auto"/>
    </w:pPr>
    <w:rPr>
      <w:rFonts w:ascii="Helvetica" w:eastAsia="Cambria" w:hAnsi="Helvetica"/>
      <w:b/>
      <w:sz w:val="24"/>
      <w:szCs w:val="24"/>
    </w:rPr>
  </w:style>
  <w:style w:type="paragraph" w:customStyle="1" w:styleId="E3Title">
    <w:name w:val="E3 Title"/>
    <w:basedOn w:val="Normal"/>
    <w:rsid w:val="00FA58C1"/>
    <w:pPr>
      <w:spacing w:after="0"/>
    </w:pPr>
    <w:rPr>
      <w:rFonts w:ascii="Helvetica" w:hAnsi="Helvetica"/>
      <w:b/>
      <w:color w:val="F2F2F2"/>
      <w:sz w:val="60"/>
    </w:rPr>
  </w:style>
  <w:style w:type="paragraph" w:styleId="Title">
    <w:name w:val="Title"/>
    <w:basedOn w:val="Heading1"/>
    <w:next w:val="Normal"/>
    <w:link w:val="TitleChar"/>
    <w:rsid w:val="006715E4"/>
    <w:pPr>
      <w:numPr>
        <w:numId w:val="0"/>
      </w:numPr>
    </w:pPr>
  </w:style>
  <w:style w:type="character" w:customStyle="1" w:styleId="TitleChar">
    <w:name w:val="Title Char"/>
    <w:link w:val="Title"/>
    <w:rsid w:val="006715E4"/>
    <w:rPr>
      <w:rFonts w:ascii="Helvetica" w:eastAsia="Times New Roman" w:hAnsi="Helvetica" w:cs="Times New Roman"/>
      <w:b/>
      <w:bCs/>
      <w:color w:val="F2F2F2"/>
      <w:sz w:val="40"/>
      <w:szCs w:val="32"/>
    </w:rPr>
  </w:style>
  <w:style w:type="paragraph" w:customStyle="1" w:styleId="E3TOCTitle">
    <w:name w:val="E3 TOC Title"/>
    <w:basedOn w:val="E3ChapterTitle"/>
    <w:rsid w:val="00776A9C"/>
  </w:style>
  <w:style w:type="paragraph" w:customStyle="1" w:styleId="E3Underline">
    <w:name w:val="E3 Underline"/>
    <w:basedOn w:val="E3BodyText"/>
    <w:rsid w:val="00324B50"/>
    <w:pPr>
      <w:tabs>
        <w:tab w:val="left" w:pos="480"/>
      </w:tabs>
    </w:pPr>
    <w:rPr>
      <w:b/>
      <w:i/>
      <w:u w:val="single"/>
    </w:rPr>
  </w:style>
  <w:style w:type="paragraph" w:styleId="Footer">
    <w:name w:val="footer"/>
    <w:basedOn w:val="E3BodyText"/>
    <w:link w:val="FooterChar"/>
    <w:uiPriority w:val="99"/>
    <w:unhideWhenUsed/>
    <w:rsid w:val="00B729A0"/>
    <w:pPr>
      <w:tabs>
        <w:tab w:val="center" w:pos="4320"/>
        <w:tab w:val="right" w:pos="8640"/>
      </w:tabs>
      <w:spacing w:after="0" w:line="240" w:lineRule="auto"/>
      <w:jc w:val="right"/>
    </w:pPr>
    <w:rPr>
      <w:rFonts w:ascii="Helvetica" w:hAnsi="Helvetica"/>
      <w:b/>
      <w:sz w:val="20"/>
    </w:rPr>
  </w:style>
  <w:style w:type="character" w:customStyle="1" w:styleId="FooterChar">
    <w:name w:val="Footer Char"/>
    <w:link w:val="Footer"/>
    <w:uiPriority w:val="99"/>
    <w:rsid w:val="00B729A0"/>
    <w:rPr>
      <w:rFonts w:ascii="Helvetica" w:hAnsi="Helvetica" w:cs="Georgia"/>
      <w:b/>
      <w:color w:val="000000"/>
      <w:szCs w:val="19"/>
      <w:lang w:val="en-US"/>
    </w:rPr>
  </w:style>
  <w:style w:type="character" w:styleId="FootnoteReference">
    <w:name w:val="footnote reference"/>
    <w:aliases w:val="NO"/>
    <w:uiPriority w:val="99"/>
    <w:rsid w:val="006715E4"/>
    <w:rPr>
      <w:vertAlign w:val="superscript"/>
    </w:rPr>
  </w:style>
  <w:style w:type="character" w:styleId="Hyperlink">
    <w:name w:val="Hyperlink"/>
    <w:uiPriority w:val="99"/>
    <w:unhideWhenUsed/>
    <w:rsid w:val="00B729A0"/>
    <w:rPr>
      <w:color w:val="3366FF"/>
      <w:u w:val="single"/>
    </w:rPr>
  </w:style>
  <w:style w:type="character" w:styleId="PageNumber">
    <w:name w:val="page number"/>
    <w:rsid w:val="00324B50"/>
    <w:rPr>
      <w:rFonts w:ascii="Georgia" w:hAnsi="Georgia"/>
      <w:b/>
      <w:i/>
      <w:sz w:val="20"/>
    </w:rPr>
  </w:style>
  <w:style w:type="table" w:styleId="TableGrid">
    <w:name w:val="Table Grid"/>
    <w:aliases w:val="Table Grid no borders,none,CV table,EY Table,DPS Table Grid"/>
    <w:basedOn w:val="TableNormal"/>
    <w:uiPriority w:val="59"/>
    <w:rsid w:val="006715E4"/>
    <w:pPr>
      <w:spacing w:before="40" w:after="40"/>
    </w:pPr>
    <w:rPr>
      <w:rFonts w:ascii="Helvetica Neue Light" w:eastAsia="Times New Roman" w:hAnsi="Helvetica Neue Light"/>
      <w:sz w:val="17"/>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3TableHeading">
    <w:name w:val="E3 Table Heading"/>
    <w:basedOn w:val="E3BodyText"/>
    <w:qFormat/>
    <w:locked/>
    <w:rsid w:val="005259B9"/>
    <w:pPr>
      <w:spacing w:before="60" w:after="60" w:line="240" w:lineRule="auto"/>
      <w:jc w:val="center"/>
    </w:pPr>
    <w:rPr>
      <w:rFonts w:ascii="Helvetica" w:eastAsia="Times New Roman" w:hAnsi="Helvetica" w:cs="Helvetica"/>
      <w:b/>
      <w:color w:val="FFFFFF" w:themeColor="background1"/>
      <w:sz w:val="22"/>
      <w:szCs w:val="14"/>
    </w:rPr>
  </w:style>
  <w:style w:type="paragraph" w:styleId="TableofAuthorities">
    <w:name w:val="table of authorities"/>
    <w:basedOn w:val="Normal"/>
    <w:next w:val="Normal"/>
    <w:rsid w:val="006715E4"/>
    <w:pPr>
      <w:spacing w:after="0"/>
      <w:ind w:left="190" w:hanging="190"/>
    </w:pPr>
  </w:style>
  <w:style w:type="paragraph" w:styleId="TableofFigures">
    <w:name w:val="table of figures"/>
    <w:basedOn w:val="E3BodyText"/>
    <w:next w:val="Normal"/>
    <w:uiPriority w:val="99"/>
    <w:rsid w:val="00FE2A2F"/>
    <w:pPr>
      <w:spacing w:after="0"/>
    </w:pPr>
  </w:style>
  <w:style w:type="paragraph" w:customStyle="1" w:styleId="E3TableSubHeading">
    <w:name w:val="E3 Table Sub Heading"/>
    <w:basedOn w:val="E3TableHeading"/>
    <w:qFormat/>
    <w:locked/>
    <w:rsid w:val="00EC181D"/>
    <w:rPr>
      <w:rFonts w:ascii="Georgia" w:hAnsi="Georgia"/>
      <w:b w:val="0"/>
      <w:color w:val="000000" w:themeColor="text1"/>
    </w:rPr>
  </w:style>
  <w:style w:type="paragraph" w:customStyle="1" w:styleId="E3Tabletext">
    <w:name w:val="E3 Table text"/>
    <w:basedOn w:val="E3BodyText"/>
    <w:qFormat/>
    <w:locked/>
    <w:rsid w:val="00B312F0"/>
    <w:pPr>
      <w:tabs>
        <w:tab w:val="left" w:pos="3293"/>
      </w:tabs>
      <w:spacing w:before="60" w:after="60" w:line="240" w:lineRule="auto"/>
      <w:contextualSpacing/>
    </w:pPr>
    <w:rPr>
      <w:rFonts w:eastAsia="Times New Roman"/>
      <w:color w:val="000000" w:themeColor="text1"/>
      <w:sz w:val="20"/>
      <w:szCs w:val="14"/>
      <w:lang w:eastAsia="en-AU"/>
    </w:rPr>
  </w:style>
  <w:style w:type="paragraph" w:styleId="TOC1">
    <w:name w:val="toc 1"/>
    <w:basedOn w:val="E3BodyText"/>
    <w:next w:val="TOC2"/>
    <w:link w:val="TOC1Char"/>
    <w:autoRedefine/>
    <w:uiPriority w:val="39"/>
    <w:qFormat/>
    <w:rsid w:val="00A7782D"/>
    <w:pPr>
      <w:widowControl w:val="0"/>
      <w:tabs>
        <w:tab w:val="right" w:leader="dot" w:pos="9629"/>
      </w:tabs>
      <w:spacing w:before="120" w:after="0" w:line="276" w:lineRule="auto"/>
    </w:pPr>
    <w:rPr>
      <w:rFonts w:ascii="Helvetica" w:hAnsi="Helvetica"/>
      <w:b/>
      <w:caps/>
      <w:color w:val="000000" w:themeColor="text1"/>
    </w:rPr>
  </w:style>
  <w:style w:type="paragraph" w:styleId="TOC2">
    <w:name w:val="toc 2"/>
    <w:basedOn w:val="E3BodyText"/>
    <w:next w:val="E3BodyText"/>
    <w:autoRedefine/>
    <w:uiPriority w:val="39"/>
    <w:qFormat/>
    <w:rsid w:val="00B729A0"/>
    <w:pPr>
      <w:widowControl w:val="0"/>
      <w:spacing w:after="0" w:line="276" w:lineRule="auto"/>
      <w:ind w:left="200"/>
    </w:pPr>
    <w:rPr>
      <w:szCs w:val="22"/>
    </w:rPr>
  </w:style>
  <w:style w:type="paragraph" w:styleId="TOC3">
    <w:name w:val="toc 3"/>
    <w:basedOn w:val="TOC2"/>
    <w:next w:val="E3BodyText"/>
    <w:autoRedefine/>
    <w:uiPriority w:val="39"/>
    <w:qFormat/>
    <w:rsid w:val="00B729A0"/>
    <w:pPr>
      <w:ind w:left="380"/>
    </w:pPr>
  </w:style>
  <w:style w:type="paragraph" w:styleId="TOC4">
    <w:name w:val="toc 4"/>
    <w:basedOn w:val="TOC3"/>
    <w:next w:val="Normal"/>
    <w:autoRedefine/>
    <w:uiPriority w:val="39"/>
    <w:unhideWhenUsed/>
    <w:rsid w:val="002A7F9E"/>
    <w:pPr>
      <w:ind w:left="567"/>
    </w:pPr>
    <w:rPr>
      <w:rFonts w:eastAsia="MS Mincho"/>
      <w:lang w:eastAsia="en-AU"/>
    </w:rPr>
  </w:style>
  <w:style w:type="paragraph" w:styleId="BalloonText">
    <w:name w:val="Balloon Text"/>
    <w:basedOn w:val="Normal"/>
    <w:link w:val="BalloonTextChar"/>
    <w:uiPriority w:val="99"/>
    <w:semiHidden/>
    <w:unhideWhenUsed/>
    <w:rsid w:val="00C3035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30351"/>
    <w:rPr>
      <w:rFonts w:ascii="Tahoma" w:eastAsia="Cambria" w:hAnsi="Tahoma" w:cs="Tahoma"/>
      <w:sz w:val="16"/>
      <w:szCs w:val="16"/>
    </w:rPr>
  </w:style>
  <w:style w:type="paragraph" w:styleId="DocumentMap">
    <w:name w:val="Document Map"/>
    <w:basedOn w:val="Normal"/>
    <w:link w:val="DocumentMapChar"/>
    <w:uiPriority w:val="99"/>
    <w:semiHidden/>
    <w:unhideWhenUsed/>
    <w:rsid w:val="009E6B3E"/>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9E6B3E"/>
    <w:rPr>
      <w:rFonts w:ascii="Tahoma" w:eastAsia="Cambria" w:hAnsi="Tahoma" w:cs="Tahoma"/>
      <w:sz w:val="16"/>
      <w:szCs w:val="16"/>
    </w:rPr>
  </w:style>
  <w:style w:type="paragraph" w:customStyle="1" w:styleId="E3TableTitles">
    <w:name w:val="E3 Table Titles"/>
    <w:basedOn w:val="E3BodyText"/>
    <w:qFormat/>
    <w:rsid w:val="00EC181D"/>
    <w:pPr>
      <w:spacing w:before="360" w:line="276" w:lineRule="auto"/>
    </w:pPr>
    <w:rPr>
      <w:rFonts w:eastAsia="Cambria"/>
      <w:b/>
      <w:bCs/>
      <w:sz w:val="21"/>
    </w:rPr>
  </w:style>
  <w:style w:type="paragraph" w:styleId="TOCHeading">
    <w:name w:val="TOC Heading"/>
    <w:basedOn w:val="E3TOCTitle"/>
    <w:next w:val="Normal"/>
    <w:uiPriority w:val="39"/>
    <w:unhideWhenUsed/>
    <w:rsid w:val="00C2766B"/>
    <w:pPr>
      <w:spacing w:before="480" w:line="276" w:lineRule="auto"/>
      <w:outlineLvl w:val="9"/>
    </w:pPr>
    <w:rPr>
      <w:rFonts w:eastAsia="MS Gothic" w:cs="Helvetica"/>
      <w:color w:val="auto"/>
      <w:sz w:val="26"/>
      <w:szCs w:val="26"/>
    </w:rPr>
  </w:style>
  <w:style w:type="paragraph" w:customStyle="1" w:styleId="E3Figuretitles">
    <w:name w:val="E3 Figure titles"/>
    <w:qFormat/>
    <w:rsid w:val="00A43624"/>
    <w:pPr>
      <w:keepNext/>
      <w:spacing w:after="200" w:line="276" w:lineRule="auto"/>
    </w:pPr>
    <w:rPr>
      <w:rFonts w:ascii="Georgia" w:eastAsia="Cambria" w:hAnsi="Georgia"/>
      <w:b/>
      <w:bCs/>
    </w:rPr>
  </w:style>
  <w:style w:type="paragraph" w:customStyle="1" w:styleId="E3SubSubBullets">
    <w:name w:val="E3 Sub Sub Bullets"/>
    <w:basedOn w:val="E3SubBullets"/>
    <w:qFormat/>
    <w:rsid w:val="0016451B"/>
    <w:pPr>
      <w:numPr>
        <w:numId w:val="11"/>
      </w:numPr>
    </w:pPr>
  </w:style>
  <w:style w:type="paragraph" w:customStyle="1" w:styleId="E3Caption">
    <w:name w:val="E3 Caption"/>
    <w:basedOn w:val="Normal"/>
    <w:qFormat/>
    <w:rsid w:val="00EE1360"/>
    <w:pPr>
      <w:spacing w:before="120" w:after="240" w:line="240" w:lineRule="auto"/>
    </w:pPr>
    <w:rPr>
      <w:bCs/>
      <w:i/>
      <w:sz w:val="20"/>
      <w:szCs w:val="16"/>
    </w:rPr>
  </w:style>
  <w:style w:type="character" w:styleId="FollowedHyperlink">
    <w:name w:val="FollowedHyperlink"/>
    <w:uiPriority w:val="99"/>
    <w:semiHidden/>
    <w:unhideWhenUsed/>
    <w:rsid w:val="00506349"/>
    <w:rPr>
      <w:color w:val="800080"/>
      <w:u w:val="single"/>
    </w:rPr>
  </w:style>
  <w:style w:type="paragraph" w:customStyle="1" w:styleId="E3BackCoverTitle">
    <w:name w:val="E3 Back Cover Title"/>
    <w:basedOn w:val="E3ChapterTitle"/>
    <w:rsid w:val="008D1179"/>
    <w:pPr>
      <w:spacing w:after="240"/>
      <w:jc w:val="center"/>
    </w:pPr>
    <w:rPr>
      <w:color w:val="F2F2F2" w:themeColor="background2"/>
      <w:sz w:val="32"/>
    </w:rPr>
  </w:style>
  <w:style w:type="paragraph" w:styleId="TOC5">
    <w:name w:val="toc 5"/>
    <w:basedOn w:val="TOC4"/>
    <w:next w:val="E3BodyText"/>
    <w:autoRedefine/>
    <w:uiPriority w:val="39"/>
    <w:unhideWhenUsed/>
    <w:rsid w:val="00B729A0"/>
    <w:pPr>
      <w:ind w:left="760"/>
    </w:pPr>
  </w:style>
  <w:style w:type="paragraph" w:styleId="TOC6">
    <w:name w:val="toc 6"/>
    <w:basedOn w:val="Normal"/>
    <w:next w:val="Normal"/>
    <w:autoRedefine/>
    <w:uiPriority w:val="39"/>
    <w:unhideWhenUsed/>
    <w:rsid w:val="005A16D8"/>
    <w:pPr>
      <w:ind w:left="950"/>
    </w:pPr>
  </w:style>
  <w:style w:type="paragraph" w:styleId="TOC7">
    <w:name w:val="toc 7"/>
    <w:basedOn w:val="Normal"/>
    <w:next w:val="Normal"/>
    <w:autoRedefine/>
    <w:uiPriority w:val="39"/>
    <w:unhideWhenUsed/>
    <w:rsid w:val="005A16D8"/>
    <w:pPr>
      <w:ind w:left="1140"/>
    </w:pPr>
  </w:style>
  <w:style w:type="paragraph" w:styleId="TOC8">
    <w:name w:val="toc 8"/>
    <w:basedOn w:val="Normal"/>
    <w:next w:val="Normal"/>
    <w:autoRedefine/>
    <w:uiPriority w:val="39"/>
    <w:unhideWhenUsed/>
    <w:rsid w:val="005A16D8"/>
    <w:pPr>
      <w:ind w:left="1330"/>
    </w:pPr>
  </w:style>
  <w:style w:type="paragraph" w:styleId="TOC9">
    <w:name w:val="toc 9"/>
    <w:basedOn w:val="Normal"/>
    <w:next w:val="Normal"/>
    <w:autoRedefine/>
    <w:uiPriority w:val="39"/>
    <w:unhideWhenUsed/>
    <w:rsid w:val="005A16D8"/>
    <w:pPr>
      <w:ind w:left="1520"/>
    </w:pPr>
  </w:style>
  <w:style w:type="paragraph" w:customStyle="1" w:styleId="E3MainIntro">
    <w:name w:val="E3 Main Intro"/>
    <w:basedOn w:val="Normal"/>
    <w:qFormat/>
    <w:rsid w:val="00324B50"/>
    <w:pPr>
      <w:widowControl w:val="0"/>
      <w:spacing w:line="240" w:lineRule="auto"/>
    </w:pPr>
    <w:rPr>
      <w:rFonts w:ascii="Helvetica" w:hAnsi="Helvetica" w:cs="Arial"/>
      <w:b/>
    </w:rPr>
  </w:style>
  <w:style w:type="paragraph" w:styleId="NormalWeb">
    <w:name w:val="Normal (Web)"/>
    <w:basedOn w:val="Normal"/>
    <w:uiPriority w:val="99"/>
    <w:semiHidden/>
    <w:unhideWhenUsed/>
    <w:rsid w:val="00EC181D"/>
    <w:pPr>
      <w:spacing w:before="100" w:beforeAutospacing="1" w:after="100" w:afterAutospacing="1" w:line="240" w:lineRule="auto"/>
    </w:pPr>
    <w:rPr>
      <w:rFonts w:ascii="Times" w:hAnsi="Times"/>
      <w:sz w:val="20"/>
      <w:szCs w:val="20"/>
    </w:rPr>
  </w:style>
  <w:style w:type="paragraph" w:styleId="Header">
    <w:name w:val="header"/>
    <w:basedOn w:val="Normal"/>
    <w:link w:val="HeaderChar"/>
    <w:uiPriority w:val="99"/>
    <w:unhideWhenUsed/>
    <w:rsid w:val="003C469D"/>
    <w:pPr>
      <w:tabs>
        <w:tab w:val="center" w:pos="4320"/>
        <w:tab w:val="right" w:pos="8640"/>
      </w:tabs>
      <w:spacing w:after="0" w:line="240" w:lineRule="auto"/>
    </w:pPr>
  </w:style>
  <w:style w:type="character" w:customStyle="1" w:styleId="HeaderChar">
    <w:name w:val="Header Char"/>
    <w:basedOn w:val="DefaultParagraphFont"/>
    <w:link w:val="Header"/>
    <w:uiPriority w:val="99"/>
    <w:rsid w:val="003C469D"/>
    <w:rPr>
      <w:rFonts w:ascii="Georgia" w:eastAsia="Cambria" w:hAnsi="Georgia"/>
      <w:sz w:val="19"/>
      <w:szCs w:val="24"/>
    </w:rPr>
  </w:style>
  <w:style w:type="paragraph" w:customStyle="1" w:styleId="E3InternalCoverPage">
    <w:name w:val="E3 Internal Cover Page"/>
    <w:basedOn w:val="Normal"/>
    <w:qFormat/>
    <w:rsid w:val="003C469D"/>
    <w:pPr>
      <w:tabs>
        <w:tab w:val="left" w:pos="5812"/>
      </w:tabs>
      <w:ind w:left="142" w:right="4110"/>
    </w:pPr>
    <w:rPr>
      <w:sz w:val="22"/>
    </w:rPr>
  </w:style>
  <w:style w:type="paragraph" w:styleId="Revision">
    <w:name w:val="Revision"/>
    <w:hidden/>
    <w:uiPriority w:val="99"/>
    <w:semiHidden/>
    <w:rsid w:val="00FA58C1"/>
    <w:rPr>
      <w:rFonts w:ascii="Georgia" w:eastAsia="Cambria" w:hAnsi="Georgia"/>
      <w:sz w:val="19"/>
      <w:szCs w:val="24"/>
    </w:rPr>
  </w:style>
  <w:style w:type="paragraph" w:customStyle="1" w:styleId="E3Note">
    <w:name w:val="E3 Note"/>
    <w:basedOn w:val="Normal"/>
    <w:next w:val="E3BodyText"/>
    <w:qFormat/>
    <w:rsid w:val="00097ED5"/>
    <w:pPr>
      <w:pBdr>
        <w:top w:val="single" w:sz="4" w:space="10" w:color="FF0000"/>
        <w:bottom w:val="single" w:sz="4" w:space="10" w:color="FF0000"/>
      </w:pBdr>
      <w:ind w:left="851" w:hanging="851"/>
      <w:jc w:val="both"/>
    </w:pPr>
    <w:rPr>
      <w:sz w:val="22"/>
    </w:rPr>
  </w:style>
  <w:style w:type="paragraph" w:styleId="Caption">
    <w:name w:val="caption"/>
    <w:basedOn w:val="Normal"/>
    <w:next w:val="Normal"/>
    <w:unhideWhenUsed/>
    <w:qFormat/>
    <w:rsid w:val="00B277E8"/>
    <w:pPr>
      <w:spacing w:after="200" w:line="240" w:lineRule="auto"/>
    </w:pPr>
    <w:rPr>
      <w:b/>
      <w:bCs/>
      <w:color w:val="C1001A" w:themeColor="accent1"/>
      <w:sz w:val="18"/>
      <w:szCs w:val="18"/>
    </w:rPr>
  </w:style>
  <w:style w:type="character" w:styleId="EndnoteReference">
    <w:name w:val="endnote reference"/>
    <w:basedOn w:val="DefaultParagraphFont"/>
    <w:uiPriority w:val="99"/>
    <w:semiHidden/>
    <w:unhideWhenUsed/>
    <w:rsid w:val="00A1560E"/>
    <w:rPr>
      <w:vertAlign w:val="superscript"/>
    </w:rPr>
  </w:style>
  <w:style w:type="paragraph" w:customStyle="1" w:styleId="Bullets-Major">
    <w:name w:val="Bullets - Major"/>
    <w:basedOn w:val="E3Bullets"/>
    <w:qFormat/>
    <w:rsid w:val="00F66389"/>
  </w:style>
  <w:style w:type="paragraph" w:styleId="ListParagraph">
    <w:name w:val="List Paragraph"/>
    <w:aliases w:val="Recommendation,List Paragraph1,List Paragraph11,L,Number,Bulleted Para,CV text,Dot pt,F5 List Paragraph,FooterText,List Paragraph111,List Paragraph2,Medium Grid 1 - Accent 21,NFP GP Bulleted List,Numbered Paragraph,numbered,列出段落,列出段落1,b,?"/>
    <w:basedOn w:val="Normal"/>
    <w:link w:val="ListParagraphChar"/>
    <w:uiPriority w:val="34"/>
    <w:qFormat/>
    <w:rsid w:val="00D2140F"/>
    <w:pPr>
      <w:autoSpaceDE/>
      <w:autoSpaceDN/>
      <w:adjustRightInd/>
      <w:spacing w:after="120" w:line="276" w:lineRule="auto"/>
      <w:ind w:left="720"/>
      <w:contextualSpacing/>
    </w:pPr>
    <w:rPr>
      <w:rFonts w:ascii="Calibri" w:eastAsiaTheme="minorHAnsi" w:hAnsi="Calibri" w:cs="Times New Roman"/>
      <w:color w:val="auto"/>
      <w:sz w:val="22"/>
      <w:szCs w:val="20"/>
    </w:rPr>
  </w:style>
  <w:style w:type="character" w:customStyle="1" w:styleId="ListParagraphChar">
    <w:name w:val="List Paragraph Char"/>
    <w:aliases w:val="Recommendation Char,List Paragraph1 Char,List Paragraph11 Char,L Char,Number Char,Bulleted Para Char,CV text Char,Dot pt Char,F5 List Paragraph Char,FooterText Char,List Paragraph111 Char,List Paragraph2 Char,Numbered Paragraph Char"/>
    <w:link w:val="ListParagraph"/>
    <w:uiPriority w:val="34"/>
    <w:qFormat/>
    <w:locked/>
    <w:rsid w:val="00D2140F"/>
    <w:rPr>
      <w:rFonts w:eastAsiaTheme="minorHAnsi"/>
      <w:sz w:val="22"/>
    </w:rPr>
  </w:style>
  <w:style w:type="paragraph" w:styleId="NoSpacing">
    <w:name w:val="No Spacing"/>
    <w:aliases w:val="Heading Paragraph"/>
    <w:link w:val="NoSpacingChar"/>
    <w:uiPriority w:val="1"/>
    <w:qFormat/>
    <w:rsid w:val="00D2140F"/>
    <w:pPr>
      <w:autoSpaceDE w:val="0"/>
      <w:autoSpaceDN w:val="0"/>
      <w:adjustRightInd w:val="0"/>
    </w:pPr>
    <w:rPr>
      <w:rFonts w:ascii="Georgia" w:hAnsi="Georgia" w:cs="Georgia"/>
      <w:color w:val="000000"/>
      <w:sz w:val="24"/>
      <w:szCs w:val="19"/>
      <w:lang w:val="en-US"/>
    </w:rPr>
  </w:style>
  <w:style w:type="paragraph" w:customStyle="1" w:styleId="Bullets-Minor">
    <w:name w:val="Bullets - Minor"/>
    <w:basedOn w:val="E3SubBullets"/>
    <w:link w:val="Bullets-MinorChar"/>
    <w:qFormat/>
    <w:rsid w:val="002D20A6"/>
  </w:style>
  <w:style w:type="character" w:customStyle="1" w:styleId="Bullets-MinorChar">
    <w:name w:val="Bullets - Minor Char"/>
    <w:basedOn w:val="DefaultParagraphFont"/>
    <w:link w:val="Bullets-Minor"/>
    <w:rsid w:val="002D20A6"/>
    <w:rPr>
      <w:rFonts w:ascii="Georgia" w:hAnsi="Georgia" w:cs="Georgia"/>
      <w:color w:val="000000"/>
      <w:sz w:val="24"/>
      <w:szCs w:val="19"/>
      <w:lang w:val="en-US"/>
    </w:rPr>
  </w:style>
  <w:style w:type="table" w:customStyle="1" w:styleId="GridTable1Light-Accent51">
    <w:name w:val="Grid Table 1 Light - Accent 51"/>
    <w:basedOn w:val="TableNormal"/>
    <w:uiPriority w:val="46"/>
    <w:rsid w:val="00D2140F"/>
    <w:rPr>
      <w:rFonts w:ascii="Times New Roman" w:eastAsiaTheme="minorHAnsi" w:hAnsi="Times New Roman"/>
    </w:rPr>
    <w:tblPr>
      <w:tblStyleRowBandSize w:val="1"/>
      <w:tblStyleColBandSize w:val="1"/>
      <w:tblBorders>
        <w:top w:val="single" w:sz="4" w:space="0" w:color="FFF9E1" w:themeColor="accent5" w:themeTint="66"/>
        <w:left w:val="single" w:sz="4" w:space="0" w:color="FFF9E1" w:themeColor="accent5" w:themeTint="66"/>
        <w:bottom w:val="single" w:sz="4" w:space="0" w:color="FFF9E1" w:themeColor="accent5" w:themeTint="66"/>
        <w:right w:val="single" w:sz="4" w:space="0" w:color="FFF9E1" w:themeColor="accent5" w:themeTint="66"/>
        <w:insideH w:val="single" w:sz="4" w:space="0" w:color="FFF9E1" w:themeColor="accent5" w:themeTint="66"/>
        <w:insideV w:val="single" w:sz="4" w:space="0" w:color="FFF9E1" w:themeColor="accent5" w:themeTint="66"/>
      </w:tblBorders>
    </w:tblPr>
    <w:tblStylePr w:type="firstRow">
      <w:rPr>
        <w:b/>
        <w:bCs/>
      </w:rPr>
      <w:tblPr/>
      <w:tcPr>
        <w:tcBorders>
          <w:bottom w:val="single" w:sz="12" w:space="0" w:color="FFF6D2" w:themeColor="accent5" w:themeTint="99"/>
        </w:tcBorders>
      </w:tcPr>
    </w:tblStylePr>
    <w:tblStylePr w:type="lastRow">
      <w:rPr>
        <w:b/>
        <w:bCs/>
      </w:rPr>
      <w:tblPr/>
      <w:tcPr>
        <w:tcBorders>
          <w:top w:val="double" w:sz="2" w:space="0" w:color="FFF6D2" w:themeColor="accent5" w:themeTint="99"/>
        </w:tcBorders>
      </w:tcPr>
    </w:tblStylePr>
    <w:tblStylePr w:type="firstCol">
      <w:rPr>
        <w:b/>
        <w:bCs/>
      </w:rPr>
    </w:tblStylePr>
    <w:tblStylePr w:type="lastCol">
      <w:rPr>
        <w:b/>
        <w:bCs/>
      </w:rPr>
    </w:tblStylePr>
  </w:style>
  <w:style w:type="paragraph" w:customStyle="1" w:styleId="TableText">
    <w:name w:val="TableText"/>
    <w:basedOn w:val="Normal"/>
    <w:qFormat/>
    <w:rsid w:val="007B710B"/>
    <w:pPr>
      <w:keepNext/>
      <w:autoSpaceDE/>
      <w:autoSpaceDN/>
      <w:adjustRightInd/>
      <w:spacing w:before="20" w:after="20" w:line="240" w:lineRule="auto"/>
    </w:pPr>
    <w:rPr>
      <w:rFonts w:ascii="Calibri" w:eastAsiaTheme="minorHAnsi" w:hAnsi="Calibri" w:cs="Times New Roman"/>
      <w:color w:val="auto"/>
      <w:sz w:val="18"/>
      <w:szCs w:val="18"/>
    </w:rPr>
  </w:style>
  <w:style w:type="paragraph" w:customStyle="1" w:styleId="Non-TOCheading3">
    <w:name w:val="Non-TOC heading 3"/>
    <w:basedOn w:val="Heading3"/>
    <w:qFormat/>
    <w:rsid w:val="00515889"/>
    <w:pPr>
      <w:widowControl/>
      <w:autoSpaceDE/>
      <w:autoSpaceDN/>
      <w:adjustRightInd/>
      <w:spacing w:before="200" w:after="120"/>
    </w:pPr>
    <w:rPr>
      <w:rFonts w:ascii="Calibri" w:eastAsiaTheme="majorEastAsia" w:hAnsi="Calibri" w:cstheme="majorBidi"/>
      <w:b w:val="0"/>
      <w:bCs/>
      <w:color w:val="auto"/>
      <w:sz w:val="28"/>
      <w:szCs w:val="20"/>
      <w:lang w:val="en-AU"/>
    </w:rPr>
  </w:style>
  <w:style w:type="table" w:customStyle="1" w:styleId="E3Profile">
    <w:name w:val="E3 Profile"/>
    <w:basedOn w:val="TableNormal"/>
    <w:uiPriority w:val="99"/>
    <w:rsid w:val="0071491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tblPr/>
      <w:tcPr>
        <w:shd w:val="clear" w:color="auto" w:fill="000000" w:themeFill="text1"/>
      </w:tcPr>
    </w:tblStylePr>
  </w:style>
  <w:style w:type="character" w:customStyle="1" w:styleId="NoSpacingChar">
    <w:name w:val="No Spacing Char"/>
    <w:aliases w:val="Heading Paragraph Char"/>
    <w:basedOn w:val="DefaultParagraphFont"/>
    <w:link w:val="NoSpacing"/>
    <w:uiPriority w:val="1"/>
    <w:rsid w:val="00B8011E"/>
    <w:rPr>
      <w:rFonts w:ascii="Georgia" w:hAnsi="Georgia" w:cs="Georgia"/>
      <w:color w:val="000000"/>
      <w:sz w:val="24"/>
      <w:szCs w:val="19"/>
      <w:lang w:val="en-US"/>
    </w:rPr>
  </w:style>
  <w:style w:type="character" w:customStyle="1" w:styleId="TOC1Char">
    <w:name w:val="TOC 1 Char"/>
    <w:basedOn w:val="DefaultParagraphFont"/>
    <w:link w:val="TOC1"/>
    <w:uiPriority w:val="39"/>
    <w:rsid w:val="00B8011E"/>
    <w:rPr>
      <w:rFonts w:ascii="Helvetica" w:hAnsi="Helvetica" w:cs="Georgia"/>
      <w:b/>
      <w:caps/>
      <w:color w:val="000000" w:themeColor="text1"/>
      <w:sz w:val="24"/>
      <w:szCs w:val="19"/>
    </w:rPr>
  </w:style>
  <w:style w:type="paragraph" w:styleId="CommentSubject">
    <w:name w:val="annotation subject"/>
    <w:basedOn w:val="CommentText"/>
    <w:next w:val="CommentText"/>
    <w:link w:val="CommentSubjectChar"/>
    <w:uiPriority w:val="99"/>
    <w:semiHidden/>
    <w:unhideWhenUsed/>
    <w:rsid w:val="004913BC"/>
    <w:pPr>
      <w:spacing w:after="113"/>
    </w:pPr>
    <w:rPr>
      <w:rFonts w:ascii="Georgia" w:hAnsi="Georgia"/>
      <w:b/>
      <w:bCs/>
    </w:rPr>
  </w:style>
  <w:style w:type="character" w:customStyle="1" w:styleId="CommentSubjectChar">
    <w:name w:val="Comment Subject Char"/>
    <w:basedOn w:val="CommentTextChar"/>
    <w:link w:val="CommentSubject"/>
    <w:uiPriority w:val="99"/>
    <w:semiHidden/>
    <w:rsid w:val="004913BC"/>
    <w:rPr>
      <w:rFonts w:ascii="Georgia" w:eastAsia="Cambria" w:hAnsi="Georgia" w:cs="Georgia"/>
      <w:b/>
      <w:bCs/>
      <w:color w:val="000000"/>
      <w:sz w:val="20"/>
      <w:szCs w:val="20"/>
      <w:lang w:val="en-AU"/>
    </w:rPr>
  </w:style>
  <w:style w:type="paragraph" w:customStyle="1" w:styleId="Bullets">
    <w:name w:val="Bullets"/>
    <w:basedOn w:val="Normal"/>
    <w:qFormat/>
    <w:rsid w:val="004913BC"/>
    <w:pPr>
      <w:numPr>
        <w:numId w:val="48"/>
      </w:numPr>
      <w:autoSpaceDE/>
      <w:autoSpaceDN/>
      <w:adjustRightInd/>
      <w:spacing w:before="120" w:after="120" w:line="360" w:lineRule="auto"/>
      <w:contextualSpacing/>
    </w:pPr>
    <w:rPr>
      <w:rFonts w:ascii="Arial" w:eastAsiaTheme="majorEastAsia" w:hAnsi="Arial" w:cstheme="majorBidi"/>
      <w:iCs/>
      <w:color w:val="616365"/>
      <w:sz w:val="20"/>
      <w:szCs w:val="20"/>
    </w:rPr>
  </w:style>
  <w:style w:type="character" w:styleId="Emphasis">
    <w:name w:val="Emphasis"/>
    <w:basedOn w:val="DefaultParagraphFont"/>
    <w:uiPriority w:val="20"/>
    <w:qFormat/>
    <w:rsid w:val="00FC2D7C"/>
    <w:rPr>
      <w:i/>
      <w:iCs/>
    </w:rPr>
  </w:style>
  <w:style w:type="character" w:customStyle="1" w:styleId="hgkelc">
    <w:name w:val="hgkelc"/>
    <w:basedOn w:val="DefaultParagraphFont"/>
    <w:rsid w:val="00480B33"/>
  </w:style>
  <w:style w:type="character" w:styleId="Strong">
    <w:name w:val="Strong"/>
    <w:basedOn w:val="DefaultParagraphFont"/>
    <w:uiPriority w:val="22"/>
    <w:qFormat/>
    <w:rsid w:val="0062204A"/>
    <w:rPr>
      <w:b/>
      <w:bCs/>
    </w:rPr>
  </w:style>
  <w:style w:type="character" w:customStyle="1" w:styleId="UnresolvedMention1">
    <w:name w:val="Unresolved Mention1"/>
    <w:basedOn w:val="DefaultParagraphFont"/>
    <w:uiPriority w:val="99"/>
    <w:semiHidden/>
    <w:unhideWhenUsed/>
    <w:rsid w:val="00B14715"/>
    <w:rPr>
      <w:color w:val="605E5C"/>
      <w:shd w:val="clear" w:color="auto" w:fill="E1DFDD"/>
    </w:rPr>
  </w:style>
  <w:style w:type="character" w:customStyle="1" w:styleId="UnresolvedMention2">
    <w:name w:val="Unresolved Mention2"/>
    <w:basedOn w:val="DefaultParagraphFont"/>
    <w:uiPriority w:val="99"/>
    <w:semiHidden/>
    <w:unhideWhenUsed/>
    <w:rsid w:val="00FB0CE5"/>
    <w:rPr>
      <w:color w:val="605E5C"/>
      <w:shd w:val="clear" w:color="auto" w:fill="E1DFDD"/>
    </w:rPr>
  </w:style>
  <w:style w:type="character" w:customStyle="1" w:styleId="UnresolvedMention3">
    <w:name w:val="Unresolved Mention3"/>
    <w:basedOn w:val="DefaultParagraphFont"/>
    <w:uiPriority w:val="99"/>
    <w:semiHidden/>
    <w:unhideWhenUsed/>
    <w:rsid w:val="00036241"/>
    <w:rPr>
      <w:color w:val="605E5C"/>
      <w:shd w:val="clear" w:color="auto" w:fill="E1DFDD"/>
    </w:rPr>
  </w:style>
  <w:style w:type="paragraph" w:styleId="ListNumber">
    <w:name w:val="List Number"/>
    <w:basedOn w:val="Normal"/>
    <w:uiPriority w:val="99"/>
    <w:qFormat/>
    <w:rsid w:val="00942B24"/>
    <w:pPr>
      <w:numPr>
        <w:numId w:val="69"/>
      </w:numPr>
      <w:autoSpaceDE/>
      <w:autoSpaceDN/>
      <w:adjustRightInd/>
      <w:spacing w:after="200" w:line="276" w:lineRule="auto"/>
    </w:pPr>
    <w:rPr>
      <w:rFonts w:ascii="Arial" w:hAnsi="Arial" w:cs="Times New Roman"/>
      <w:color w:val="auto"/>
      <w:sz w:val="22"/>
      <w:szCs w:val="22"/>
    </w:rPr>
  </w:style>
  <w:style w:type="paragraph" w:styleId="ListNumber2">
    <w:name w:val="List Number 2"/>
    <w:basedOn w:val="Normal"/>
    <w:uiPriority w:val="99"/>
    <w:rsid w:val="00942B24"/>
    <w:pPr>
      <w:numPr>
        <w:ilvl w:val="1"/>
        <w:numId w:val="69"/>
      </w:numPr>
      <w:autoSpaceDE/>
      <w:autoSpaceDN/>
      <w:adjustRightInd/>
      <w:spacing w:after="200" w:line="276" w:lineRule="auto"/>
    </w:pPr>
    <w:rPr>
      <w:rFonts w:ascii="Arial" w:hAnsi="Arial" w:cs="Times New Roman"/>
      <w:color w:val="auto"/>
      <w:sz w:val="22"/>
      <w:szCs w:val="22"/>
    </w:rPr>
  </w:style>
  <w:style w:type="paragraph" w:styleId="ListNumber3">
    <w:name w:val="List Number 3"/>
    <w:basedOn w:val="Normal"/>
    <w:uiPriority w:val="99"/>
    <w:rsid w:val="00942B24"/>
    <w:pPr>
      <w:numPr>
        <w:ilvl w:val="2"/>
        <w:numId w:val="69"/>
      </w:numPr>
      <w:autoSpaceDE/>
      <w:autoSpaceDN/>
      <w:adjustRightInd/>
      <w:spacing w:after="200" w:line="276" w:lineRule="auto"/>
    </w:pPr>
    <w:rPr>
      <w:rFonts w:ascii="Arial" w:hAnsi="Arial" w:cs="Times New Roman"/>
      <w:color w:val="auto"/>
      <w:sz w:val="22"/>
      <w:szCs w:val="22"/>
    </w:rPr>
  </w:style>
  <w:style w:type="paragraph" w:styleId="ListNumber4">
    <w:name w:val="List Number 4"/>
    <w:basedOn w:val="Normal"/>
    <w:uiPriority w:val="99"/>
    <w:rsid w:val="00942B24"/>
    <w:pPr>
      <w:numPr>
        <w:ilvl w:val="3"/>
        <w:numId w:val="69"/>
      </w:numPr>
      <w:autoSpaceDE/>
      <w:autoSpaceDN/>
      <w:adjustRightInd/>
      <w:spacing w:after="200" w:line="276" w:lineRule="auto"/>
    </w:pPr>
    <w:rPr>
      <w:rFonts w:ascii="Arial" w:hAnsi="Arial" w:cs="Times New Roman"/>
      <w:color w:val="auto"/>
      <w:sz w:val="22"/>
      <w:szCs w:val="22"/>
    </w:rPr>
  </w:style>
  <w:style w:type="paragraph" w:styleId="ListNumber5">
    <w:name w:val="List Number 5"/>
    <w:basedOn w:val="Normal"/>
    <w:uiPriority w:val="99"/>
    <w:rsid w:val="00942B24"/>
    <w:pPr>
      <w:numPr>
        <w:ilvl w:val="4"/>
        <w:numId w:val="69"/>
      </w:numPr>
      <w:autoSpaceDE/>
      <w:autoSpaceDN/>
      <w:adjustRightInd/>
      <w:spacing w:after="200" w:line="276" w:lineRule="auto"/>
    </w:pPr>
    <w:rPr>
      <w:rFonts w:ascii="Arial" w:hAnsi="Arial" w:cs="Times New Roman"/>
      <w:color w:val="auto"/>
      <w:sz w:val="22"/>
      <w:szCs w:val="22"/>
    </w:rPr>
  </w:style>
  <w:style w:type="paragraph" w:customStyle="1" w:styleId="EEATbullets">
    <w:name w:val="EEAT bullets"/>
    <w:basedOn w:val="Normal"/>
    <w:qFormat/>
    <w:rsid w:val="00942B24"/>
    <w:pPr>
      <w:numPr>
        <w:numId w:val="70"/>
      </w:numPr>
      <w:autoSpaceDE/>
      <w:autoSpaceDN/>
      <w:adjustRightInd/>
      <w:spacing w:before="60" w:after="60" w:line="240" w:lineRule="auto"/>
    </w:pPr>
    <w:rPr>
      <w:rFonts w:ascii="Calibri" w:eastAsia="Cambria" w:hAnsi="Calibri" w:cs="Times New Roman"/>
      <w:color w:val="auto"/>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7982">
      <w:bodyDiv w:val="1"/>
      <w:marLeft w:val="0"/>
      <w:marRight w:val="0"/>
      <w:marTop w:val="0"/>
      <w:marBottom w:val="0"/>
      <w:divBdr>
        <w:top w:val="none" w:sz="0" w:space="0" w:color="auto"/>
        <w:left w:val="none" w:sz="0" w:space="0" w:color="auto"/>
        <w:bottom w:val="none" w:sz="0" w:space="0" w:color="auto"/>
        <w:right w:val="none" w:sz="0" w:space="0" w:color="auto"/>
      </w:divBdr>
    </w:div>
    <w:div w:id="90585554">
      <w:bodyDiv w:val="1"/>
      <w:marLeft w:val="0"/>
      <w:marRight w:val="0"/>
      <w:marTop w:val="0"/>
      <w:marBottom w:val="0"/>
      <w:divBdr>
        <w:top w:val="none" w:sz="0" w:space="0" w:color="auto"/>
        <w:left w:val="none" w:sz="0" w:space="0" w:color="auto"/>
        <w:bottom w:val="none" w:sz="0" w:space="0" w:color="auto"/>
        <w:right w:val="none" w:sz="0" w:space="0" w:color="auto"/>
      </w:divBdr>
    </w:div>
    <w:div w:id="112556121">
      <w:bodyDiv w:val="1"/>
      <w:marLeft w:val="0"/>
      <w:marRight w:val="0"/>
      <w:marTop w:val="0"/>
      <w:marBottom w:val="0"/>
      <w:divBdr>
        <w:top w:val="none" w:sz="0" w:space="0" w:color="auto"/>
        <w:left w:val="none" w:sz="0" w:space="0" w:color="auto"/>
        <w:bottom w:val="none" w:sz="0" w:space="0" w:color="auto"/>
        <w:right w:val="none" w:sz="0" w:space="0" w:color="auto"/>
      </w:divBdr>
      <w:divsChild>
        <w:div w:id="690256454">
          <w:marLeft w:val="0"/>
          <w:marRight w:val="0"/>
          <w:marTop w:val="0"/>
          <w:marBottom w:val="0"/>
          <w:divBdr>
            <w:top w:val="none" w:sz="0" w:space="0" w:color="auto"/>
            <w:left w:val="none" w:sz="0" w:space="0" w:color="auto"/>
            <w:bottom w:val="none" w:sz="0" w:space="0" w:color="auto"/>
            <w:right w:val="none" w:sz="0" w:space="0" w:color="auto"/>
          </w:divBdr>
          <w:divsChild>
            <w:div w:id="1390422510">
              <w:marLeft w:val="0"/>
              <w:marRight w:val="0"/>
              <w:marTop w:val="0"/>
              <w:marBottom w:val="0"/>
              <w:divBdr>
                <w:top w:val="none" w:sz="0" w:space="0" w:color="auto"/>
                <w:left w:val="none" w:sz="0" w:space="0" w:color="auto"/>
                <w:bottom w:val="none" w:sz="0" w:space="0" w:color="auto"/>
                <w:right w:val="none" w:sz="0" w:space="0" w:color="auto"/>
              </w:divBdr>
              <w:divsChild>
                <w:div w:id="1280986656">
                  <w:marLeft w:val="0"/>
                  <w:marRight w:val="0"/>
                  <w:marTop w:val="0"/>
                  <w:marBottom w:val="0"/>
                  <w:divBdr>
                    <w:top w:val="none" w:sz="0" w:space="0" w:color="auto"/>
                    <w:left w:val="none" w:sz="0" w:space="0" w:color="auto"/>
                    <w:bottom w:val="none" w:sz="0" w:space="0" w:color="auto"/>
                    <w:right w:val="none" w:sz="0" w:space="0" w:color="auto"/>
                  </w:divBdr>
                  <w:divsChild>
                    <w:div w:id="638654574">
                      <w:marLeft w:val="0"/>
                      <w:marRight w:val="0"/>
                      <w:marTop w:val="0"/>
                      <w:marBottom w:val="0"/>
                      <w:divBdr>
                        <w:top w:val="none" w:sz="0" w:space="0" w:color="auto"/>
                        <w:left w:val="none" w:sz="0" w:space="0" w:color="auto"/>
                        <w:bottom w:val="none" w:sz="0" w:space="0" w:color="auto"/>
                        <w:right w:val="none" w:sz="0" w:space="0" w:color="auto"/>
                      </w:divBdr>
                      <w:divsChild>
                        <w:div w:id="1717578562">
                          <w:marLeft w:val="0"/>
                          <w:marRight w:val="0"/>
                          <w:marTop w:val="0"/>
                          <w:marBottom w:val="0"/>
                          <w:divBdr>
                            <w:top w:val="none" w:sz="0" w:space="0" w:color="auto"/>
                            <w:left w:val="none" w:sz="0" w:space="0" w:color="auto"/>
                            <w:bottom w:val="none" w:sz="0" w:space="0" w:color="auto"/>
                            <w:right w:val="none" w:sz="0" w:space="0" w:color="auto"/>
                          </w:divBdr>
                          <w:divsChild>
                            <w:div w:id="432285494">
                              <w:marLeft w:val="0"/>
                              <w:marRight w:val="0"/>
                              <w:marTop w:val="0"/>
                              <w:marBottom w:val="0"/>
                              <w:divBdr>
                                <w:top w:val="none" w:sz="0" w:space="0" w:color="auto"/>
                                <w:left w:val="none" w:sz="0" w:space="0" w:color="auto"/>
                                <w:bottom w:val="none" w:sz="0" w:space="0" w:color="auto"/>
                                <w:right w:val="none" w:sz="0" w:space="0" w:color="auto"/>
                              </w:divBdr>
                              <w:divsChild>
                                <w:div w:id="2143499432">
                                  <w:marLeft w:val="0"/>
                                  <w:marRight w:val="0"/>
                                  <w:marTop w:val="0"/>
                                  <w:marBottom w:val="0"/>
                                  <w:divBdr>
                                    <w:top w:val="none" w:sz="0" w:space="0" w:color="auto"/>
                                    <w:left w:val="none" w:sz="0" w:space="0" w:color="auto"/>
                                    <w:bottom w:val="none" w:sz="0" w:space="0" w:color="auto"/>
                                    <w:right w:val="none" w:sz="0" w:space="0" w:color="auto"/>
                                  </w:divBdr>
                                  <w:divsChild>
                                    <w:div w:id="965158855">
                                      <w:marLeft w:val="0"/>
                                      <w:marRight w:val="0"/>
                                      <w:marTop w:val="0"/>
                                      <w:marBottom w:val="0"/>
                                      <w:divBdr>
                                        <w:top w:val="none" w:sz="0" w:space="0" w:color="auto"/>
                                        <w:left w:val="none" w:sz="0" w:space="0" w:color="auto"/>
                                        <w:bottom w:val="none" w:sz="0" w:space="0" w:color="auto"/>
                                        <w:right w:val="none" w:sz="0" w:space="0" w:color="auto"/>
                                      </w:divBdr>
                                      <w:divsChild>
                                        <w:div w:id="2107380672">
                                          <w:marLeft w:val="0"/>
                                          <w:marRight w:val="0"/>
                                          <w:marTop w:val="0"/>
                                          <w:marBottom w:val="0"/>
                                          <w:divBdr>
                                            <w:top w:val="none" w:sz="0" w:space="0" w:color="auto"/>
                                            <w:left w:val="none" w:sz="0" w:space="0" w:color="auto"/>
                                            <w:bottom w:val="none" w:sz="0" w:space="0" w:color="auto"/>
                                            <w:right w:val="none" w:sz="0" w:space="0" w:color="auto"/>
                                          </w:divBdr>
                                          <w:divsChild>
                                            <w:div w:id="485362355">
                                              <w:marLeft w:val="0"/>
                                              <w:marRight w:val="0"/>
                                              <w:marTop w:val="0"/>
                                              <w:marBottom w:val="0"/>
                                              <w:divBdr>
                                                <w:top w:val="none" w:sz="0" w:space="0" w:color="auto"/>
                                                <w:left w:val="none" w:sz="0" w:space="0" w:color="auto"/>
                                                <w:bottom w:val="none" w:sz="0" w:space="0" w:color="auto"/>
                                                <w:right w:val="none" w:sz="0" w:space="0" w:color="auto"/>
                                              </w:divBdr>
                                              <w:divsChild>
                                                <w:div w:id="1088423367">
                                                  <w:marLeft w:val="0"/>
                                                  <w:marRight w:val="0"/>
                                                  <w:marTop w:val="0"/>
                                                  <w:marBottom w:val="0"/>
                                                  <w:divBdr>
                                                    <w:top w:val="none" w:sz="0" w:space="0" w:color="auto"/>
                                                    <w:left w:val="none" w:sz="0" w:space="0" w:color="auto"/>
                                                    <w:bottom w:val="none" w:sz="0" w:space="0" w:color="auto"/>
                                                    <w:right w:val="none" w:sz="0" w:space="0" w:color="auto"/>
                                                  </w:divBdr>
                                                  <w:divsChild>
                                                    <w:div w:id="112403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783562">
      <w:bodyDiv w:val="1"/>
      <w:marLeft w:val="0"/>
      <w:marRight w:val="0"/>
      <w:marTop w:val="0"/>
      <w:marBottom w:val="0"/>
      <w:divBdr>
        <w:top w:val="none" w:sz="0" w:space="0" w:color="auto"/>
        <w:left w:val="none" w:sz="0" w:space="0" w:color="auto"/>
        <w:bottom w:val="none" w:sz="0" w:space="0" w:color="auto"/>
        <w:right w:val="none" w:sz="0" w:space="0" w:color="auto"/>
      </w:divBdr>
    </w:div>
    <w:div w:id="156190020">
      <w:bodyDiv w:val="1"/>
      <w:marLeft w:val="0"/>
      <w:marRight w:val="0"/>
      <w:marTop w:val="0"/>
      <w:marBottom w:val="0"/>
      <w:divBdr>
        <w:top w:val="none" w:sz="0" w:space="0" w:color="auto"/>
        <w:left w:val="none" w:sz="0" w:space="0" w:color="auto"/>
        <w:bottom w:val="none" w:sz="0" w:space="0" w:color="auto"/>
        <w:right w:val="none" w:sz="0" w:space="0" w:color="auto"/>
      </w:divBdr>
    </w:div>
    <w:div w:id="437680765">
      <w:bodyDiv w:val="1"/>
      <w:marLeft w:val="0"/>
      <w:marRight w:val="0"/>
      <w:marTop w:val="0"/>
      <w:marBottom w:val="0"/>
      <w:divBdr>
        <w:top w:val="none" w:sz="0" w:space="0" w:color="auto"/>
        <w:left w:val="none" w:sz="0" w:space="0" w:color="auto"/>
        <w:bottom w:val="none" w:sz="0" w:space="0" w:color="auto"/>
        <w:right w:val="none" w:sz="0" w:space="0" w:color="auto"/>
      </w:divBdr>
      <w:divsChild>
        <w:div w:id="1936941570">
          <w:marLeft w:val="0"/>
          <w:marRight w:val="0"/>
          <w:marTop w:val="0"/>
          <w:marBottom w:val="0"/>
          <w:divBdr>
            <w:top w:val="none" w:sz="0" w:space="0" w:color="auto"/>
            <w:left w:val="none" w:sz="0" w:space="0" w:color="auto"/>
            <w:bottom w:val="none" w:sz="0" w:space="0" w:color="auto"/>
            <w:right w:val="none" w:sz="0" w:space="0" w:color="auto"/>
          </w:divBdr>
          <w:divsChild>
            <w:div w:id="872881544">
              <w:marLeft w:val="0"/>
              <w:marRight w:val="0"/>
              <w:marTop w:val="0"/>
              <w:marBottom w:val="0"/>
              <w:divBdr>
                <w:top w:val="none" w:sz="0" w:space="0" w:color="auto"/>
                <w:left w:val="none" w:sz="0" w:space="0" w:color="auto"/>
                <w:bottom w:val="none" w:sz="0" w:space="0" w:color="auto"/>
                <w:right w:val="none" w:sz="0" w:space="0" w:color="auto"/>
              </w:divBdr>
              <w:divsChild>
                <w:div w:id="1810782329">
                  <w:marLeft w:val="0"/>
                  <w:marRight w:val="0"/>
                  <w:marTop w:val="0"/>
                  <w:marBottom w:val="0"/>
                  <w:divBdr>
                    <w:top w:val="none" w:sz="0" w:space="0" w:color="auto"/>
                    <w:left w:val="none" w:sz="0" w:space="0" w:color="auto"/>
                    <w:bottom w:val="none" w:sz="0" w:space="0" w:color="auto"/>
                    <w:right w:val="none" w:sz="0" w:space="0" w:color="auto"/>
                  </w:divBdr>
                  <w:divsChild>
                    <w:div w:id="996373428">
                      <w:marLeft w:val="0"/>
                      <w:marRight w:val="0"/>
                      <w:marTop w:val="0"/>
                      <w:marBottom w:val="0"/>
                      <w:divBdr>
                        <w:top w:val="none" w:sz="0" w:space="0" w:color="auto"/>
                        <w:left w:val="none" w:sz="0" w:space="0" w:color="auto"/>
                        <w:bottom w:val="none" w:sz="0" w:space="0" w:color="auto"/>
                        <w:right w:val="none" w:sz="0" w:space="0" w:color="auto"/>
                      </w:divBdr>
                      <w:divsChild>
                        <w:div w:id="1103723236">
                          <w:marLeft w:val="0"/>
                          <w:marRight w:val="0"/>
                          <w:marTop w:val="0"/>
                          <w:marBottom w:val="0"/>
                          <w:divBdr>
                            <w:top w:val="none" w:sz="0" w:space="0" w:color="auto"/>
                            <w:left w:val="none" w:sz="0" w:space="0" w:color="auto"/>
                            <w:bottom w:val="none" w:sz="0" w:space="0" w:color="auto"/>
                            <w:right w:val="none" w:sz="0" w:space="0" w:color="auto"/>
                          </w:divBdr>
                          <w:divsChild>
                            <w:div w:id="1594511828">
                              <w:marLeft w:val="0"/>
                              <w:marRight w:val="0"/>
                              <w:marTop w:val="0"/>
                              <w:marBottom w:val="0"/>
                              <w:divBdr>
                                <w:top w:val="none" w:sz="0" w:space="0" w:color="auto"/>
                                <w:left w:val="none" w:sz="0" w:space="0" w:color="auto"/>
                                <w:bottom w:val="none" w:sz="0" w:space="0" w:color="auto"/>
                                <w:right w:val="none" w:sz="0" w:space="0" w:color="auto"/>
                              </w:divBdr>
                              <w:divsChild>
                                <w:div w:id="1921788630">
                                  <w:marLeft w:val="0"/>
                                  <w:marRight w:val="0"/>
                                  <w:marTop w:val="0"/>
                                  <w:marBottom w:val="0"/>
                                  <w:divBdr>
                                    <w:top w:val="none" w:sz="0" w:space="0" w:color="auto"/>
                                    <w:left w:val="none" w:sz="0" w:space="0" w:color="auto"/>
                                    <w:bottom w:val="none" w:sz="0" w:space="0" w:color="auto"/>
                                    <w:right w:val="none" w:sz="0" w:space="0" w:color="auto"/>
                                  </w:divBdr>
                                  <w:divsChild>
                                    <w:div w:id="1277522031">
                                      <w:marLeft w:val="0"/>
                                      <w:marRight w:val="0"/>
                                      <w:marTop w:val="0"/>
                                      <w:marBottom w:val="0"/>
                                      <w:divBdr>
                                        <w:top w:val="none" w:sz="0" w:space="0" w:color="auto"/>
                                        <w:left w:val="none" w:sz="0" w:space="0" w:color="auto"/>
                                        <w:bottom w:val="none" w:sz="0" w:space="0" w:color="auto"/>
                                        <w:right w:val="none" w:sz="0" w:space="0" w:color="auto"/>
                                      </w:divBdr>
                                      <w:divsChild>
                                        <w:div w:id="264044776">
                                          <w:marLeft w:val="0"/>
                                          <w:marRight w:val="0"/>
                                          <w:marTop w:val="0"/>
                                          <w:marBottom w:val="0"/>
                                          <w:divBdr>
                                            <w:top w:val="none" w:sz="0" w:space="0" w:color="auto"/>
                                            <w:left w:val="none" w:sz="0" w:space="0" w:color="auto"/>
                                            <w:bottom w:val="none" w:sz="0" w:space="0" w:color="auto"/>
                                            <w:right w:val="none" w:sz="0" w:space="0" w:color="auto"/>
                                          </w:divBdr>
                                          <w:divsChild>
                                            <w:div w:id="1704213976">
                                              <w:marLeft w:val="0"/>
                                              <w:marRight w:val="0"/>
                                              <w:marTop w:val="0"/>
                                              <w:marBottom w:val="0"/>
                                              <w:divBdr>
                                                <w:top w:val="none" w:sz="0" w:space="0" w:color="auto"/>
                                                <w:left w:val="none" w:sz="0" w:space="0" w:color="auto"/>
                                                <w:bottom w:val="none" w:sz="0" w:space="0" w:color="auto"/>
                                                <w:right w:val="none" w:sz="0" w:space="0" w:color="auto"/>
                                              </w:divBdr>
                                              <w:divsChild>
                                                <w:div w:id="476185119">
                                                  <w:marLeft w:val="0"/>
                                                  <w:marRight w:val="0"/>
                                                  <w:marTop w:val="0"/>
                                                  <w:marBottom w:val="0"/>
                                                  <w:divBdr>
                                                    <w:top w:val="none" w:sz="0" w:space="0" w:color="auto"/>
                                                    <w:left w:val="none" w:sz="0" w:space="0" w:color="auto"/>
                                                    <w:bottom w:val="none" w:sz="0" w:space="0" w:color="auto"/>
                                                    <w:right w:val="none" w:sz="0" w:space="0" w:color="auto"/>
                                                  </w:divBdr>
                                                  <w:divsChild>
                                                    <w:div w:id="132037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6615851">
      <w:bodyDiv w:val="1"/>
      <w:marLeft w:val="0"/>
      <w:marRight w:val="0"/>
      <w:marTop w:val="0"/>
      <w:marBottom w:val="0"/>
      <w:divBdr>
        <w:top w:val="none" w:sz="0" w:space="0" w:color="auto"/>
        <w:left w:val="none" w:sz="0" w:space="0" w:color="auto"/>
        <w:bottom w:val="none" w:sz="0" w:space="0" w:color="auto"/>
        <w:right w:val="none" w:sz="0" w:space="0" w:color="auto"/>
      </w:divBdr>
    </w:div>
    <w:div w:id="806051743">
      <w:bodyDiv w:val="1"/>
      <w:marLeft w:val="0"/>
      <w:marRight w:val="0"/>
      <w:marTop w:val="0"/>
      <w:marBottom w:val="0"/>
      <w:divBdr>
        <w:top w:val="none" w:sz="0" w:space="0" w:color="auto"/>
        <w:left w:val="none" w:sz="0" w:space="0" w:color="auto"/>
        <w:bottom w:val="none" w:sz="0" w:space="0" w:color="auto"/>
        <w:right w:val="none" w:sz="0" w:space="0" w:color="auto"/>
      </w:divBdr>
    </w:div>
    <w:div w:id="1354458642">
      <w:bodyDiv w:val="1"/>
      <w:marLeft w:val="0"/>
      <w:marRight w:val="0"/>
      <w:marTop w:val="0"/>
      <w:marBottom w:val="0"/>
      <w:divBdr>
        <w:top w:val="none" w:sz="0" w:space="0" w:color="auto"/>
        <w:left w:val="none" w:sz="0" w:space="0" w:color="auto"/>
        <w:bottom w:val="none" w:sz="0" w:space="0" w:color="auto"/>
        <w:right w:val="none" w:sz="0" w:space="0" w:color="auto"/>
      </w:divBdr>
    </w:div>
    <w:div w:id="1464152476">
      <w:bodyDiv w:val="1"/>
      <w:marLeft w:val="0"/>
      <w:marRight w:val="0"/>
      <w:marTop w:val="0"/>
      <w:marBottom w:val="0"/>
      <w:divBdr>
        <w:top w:val="none" w:sz="0" w:space="0" w:color="auto"/>
        <w:left w:val="none" w:sz="0" w:space="0" w:color="auto"/>
        <w:bottom w:val="none" w:sz="0" w:space="0" w:color="auto"/>
        <w:right w:val="none" w:sz="0" w:space="0" w:color="auto"/>
      </w:divBdr>
      <w:divsChild>
        <w:div w:id="1809545503">
          <w:marLeft w:val="0"/>
          <w:marRight w:val="0"/>
          <w:marTop w:val="0"/>
          <w:marBottom w:val="0"/>
          <w:divBdr>
            <w:top w:val="none" w:sz="0" w:space="0" w:color="auto"/>
            <w:left w:val="none" w:sz="0" w:space="0" w:color="auto"/>
            <w:bottom w:val="none" w:sz="0" w:space="0" w:color="auto"/>
            <w:right w:val="none" w:sz="0" w:space="0" w:color="auto"/>
          </w:divBdr>
          <w:divsChild>
            <w:div w:id="567155717">
              <w:marLeft w:val="0"/>
              <w:marRight w:val="0"/>
              <w:marTop w:val="0"/>
              <w:marBottom w:val="0"/>
              <w:divBdr>
                <w:top w:val="none" w:sz="0" w:space="0" w:color="auto"/>
                <w:left w:val="none" w:sz="0" w:space="0" w:color="auto"/>
                <w:bottom w:val="none" w:sz="0" w:space="0" w:color="auto"/>
                <w:right w:val="none" w:sz="0" w:space="0" w:color="auto"/>
              </w:divBdr>
              <w:divsChild>
                <w:div w:id="783614366">
                  <w:marLeft w:val="0"/>
                  <w:marRight w:val="0"/>
                  <w:marTop w:val="0"/>
                  <w:marBottom w:val="0"/>
                  <w:divBdr>
                    <w:top w:val="none" w:sz="0" w:space="0" w:color="auto"/>
                    <w:left w:val="none" w:sz="0" w:space="0" w:color="auto"/>
                    <w:bottom w:val="none" w:sz="0" w:space="0" w:color="auto"/>
                    <w:right w:val="none" w:sz="0" w:space="0" w:color="auto"/>
                  </w:divBdr>
                  <w:divsChild>
                    <w:div w:id="1557743198">
                      <w:marLeft w:val="0"/>
                      <w:marRight w:val="0"/>
                      <w:marTop w:val="0"/>
                      <w:marBottom w:val="0"/>
                      <w:divBdr>
                        <w:top w:val="none" w:sz="0" w:space="0" w:color="auto"/>
                        <w:left w:val="none" w:sz="0" w:space="0" w:color="auto"/>
                        <w:bottom w:val="none" w:sz="0" w:space="0" w:color="auto"/>
                        <w:right w:val="none" w:sz="0" w:space="0" w:color="auto"/>
                      </w:divBdr>
                      <w:divsChild>
                        <w:div w:id="472915686">
                          <w:marLeft w:val="0"/>
                          <w:marRight w:val="0"/>
                          <w:marTop w:val="0"/>
                          <w:marBottom w:val="0"/>
                          <w:divBdr>
                            <w:top w:val="none" w:sz="0" w:space="0" w:color="auto"/>
                            <w:left w:val="none" w:sz="0" w:space="0" w:color="auto"/>
                            <w:bottom w:val="none" w:sz="0" w:space="0" w:color="auto"/>
                            <w:right w:val="none" w:sz="0" w:space="0" w:color="auto"/>
                          </w:divBdr>
                          <w:divsChild>
                            <w:div w:id="1442065655">
                              <w:marLeft w:val="2700"/>
                              <w:marRight w:val="3960"/>
                              <w:marTop w:val="0"/>
                              <w:marBottom w:val="0"/>
                              <w:divBdr>
                                <w:top w:val="none" w:sz="0" w:space="0" w:color="auto"/>
                                <w:left w:val="none" w:sz="0" w:space="0" w:color="auto"/>
                                <w:bottom w:val="none" w:sz="0" w:space="0" w:color="auto"/>
                                <w:right w:val="none" w:sz="0" w:space="0" w:color="auto"/>
                              </w:divBdr>
                              <w:divsChild>
                                <w:div w:id="2007782645">
                                  <w:marLeft w:val="0"/>
                                  <w:marRight w:val="0"/>
                                  <w:marTop w:val="0"/>
                                  <w:marBottom w:val="0"/>
                                  <w:divBdr>
                                    <w:top w:val="none" w:sz="0" w:space="0" w:color="auto"/>
                                    <w:left w:val="none" w:sz="0" w:space="0" w:color="auto"/>
                                    <w:bottom w:val="none" w:sz="0" w:space="0" w:color="auto"/>
                                    <w:right w:val="none" w:sz="0" w:space="0" w:color="auto"/>
                                  </w:divBdr>
                                  <w:divsChild>
                                    <w:div w:id="1482502354">
                                      <w:marLeft w:val="0"/>
                                      <w:marRight w:val="0"/>
                                      <w:marTop w:val="0"/>
                                      <w:marBottom w:val="0"/>
                                      <w:divBdr>
                                        <w:top w:val="none" w:sz="0" w:space="0" w:color="auto"/>
                                        <w:left w:val="none" w:sz="0" w:space="0" w:color="auto"/>
                                        <w:bottom w:val="none" w:sz="0" w:space="0" w:color="auto"/>
                                        <w:right w:val="none" w:sz="0" w:space="0" w:color="auto"/>
                                      </w:divBdr>
                                      <w:divsChild>
                                        <w:div w:id="236018450">
                                          <w:marLeft w:val="0"/>
                                          <w:marRight w:val="0"/>
                                          <w:marTop w:val="0"/>
                                          <w:marBottom w:val="0"/>
                                          <w:divBdr>
                                            <w:top w:val="none" w:sz="0" w:space="0" w:color="auto"/>
                                            <w:left w:val="none" w:sz="0" w:space="0" w:color="auto"/>
                                            <w:bottom w:val="none" w:sz="0" w:space="0" w:color="auto"/>
                                            <w:right w:val="none" w:sz="0" w:space="0" w:color="auto"/>
                                          </w:divBdr>
                                          <w:divsChild>
                                            <w:div w:id="1685858741">
                                              <w:marLeft w:val="0"/>
                                              <w:marRight w:val="0"/>
                                              <w:marTop w:val="90"/>
                                              <w:marBottom w:val="0"/>
                                              <w:divBdr>
                                                <w:top w:val="none" w:sz="0" w:space="0" w:color="auto"/>
                                                <w:left w:val="none" w:sz="0" w:space="0" w:color="auto"/>
                                                <w:bottom w:val="none" w:sz="0" w:space="0" w:color="auto"/>
                                                <w:right w:val="none" w:sz="0" w:space="0" w:color="auto"/>
                                              </w:divBdr>
                                              <w:divsChild>
                                                <w:div w:id="1374620158">
                                                  <w:marLeft w:val="0"/>
                                                  <w:marRight w:val="0"/>
                                                  <w:marTop w:val="0"/>
                                                  <w:marBottom w:val="420"/>
                                                  <w:divBdr>
                                                    <w:top w:val="none" w:sz="0" w:space="0" w:color="auto"/>
                                                    <w:left w:val="none" w:sz="0" w:space="0" w:color="auto"/>
                                                    <w:bottom w:val="none" w:sz="0" w:space="0" w:color="auto"/>
                                                    <w:right w:val="none" w:sz="0" w:space="0" w:color="auto"/>
                                                  </w:divBdr>
                                                  <w:divsChild>
                                                    <w:div w:id="227571205">
                                                      <w:marLeft w:val="0"/>
                                                      <w:marRight w:val="0"/>
                                                      <w:marTop w:val="0"/>
                                                      <w:marBottom w:val="0"/>
                                                      <w:divBdr>
                                                        <w:top w:val="none" w:sz="0" w:space="0" w:color="auto"/>
                                                        <w:left w:val="none" w:sz="0" w:space="0" w:color="auto"/>
                                                        <w:bottom w:val="none" w:sz="0" w:space="0" w:color="auto"/>
                                                        <w:right w:val="none" w:sz="0" w:space="0" w:color="auto"/>
                                                      </w:divBdr>
                                                      <w:divsChild>
                                                        <w:div w:id="889655671">
                                                          <w:marLeft w:val="0"/>
                                                          <w:marRight w:val="0"/>
                                                          <w:marTop w:val="0"/>
                                                          <w:marBottom w:val="0"/>
                                                          <w:divBdr>
                                                            <w:top w:val="none" w:sz="0" w:space="0" w:color="auto"/>
                                                            <w:left w:val="none" w:sz="0" w:space="0" w:color="auto"/>
                                                            <w:bottom w:val="none" w:sz="0" w:space="0" w:color="auto"/>
                                                            <w:right w:val="none" w:sz="0" w:space="0" w:color="auto"/>
                                                          </w:divBdr>
                                                          <w:divsChild>
                                                            <w:div w:id="175779367">
                                                              <w:marLeft w:val="0"/>
                                                              <w:marRight w:val="0"/>
                                                              <w:marTop w:val="0"/>
                                                              <w:marBottom w:val="0"/>
                                                              <w:divBdr>
                                                                <w:top w:val="none" w:sz="0" w:space="0" w:color="auto"/>
                                                                <w:left w:val="none" w:sz="0" w:space="0" w:color="auto"/>
                                                                <w:bottom w:val="none" w:sz="0" w:space="0" w:color="auto"/>
                                                                <w:right w:val="none" w:sz="0" w:space="0" w:color="auto"/>
                                                              </w:divBdr>
                                                              <w:divsChild>
                                                                <w:div w:id="2037390755">
                                                                  <w:marLeft w:val="0"/>
                                                                  <w:marRight w:val="0"/>
                                                                  <w:marTop w:val="0"/>
                                                                  <w:marBottom w:val="0"/>
                                                                  <w:divBdr>
                                                                    <w:top w:val="none" w:sz="0" w:space="0" w:color="auto"/>
                                                                    <w:left w:val="none" w:sz="0" w:space="0" w:color="auto"/>
                                                                    <w:bottom w:val="none" w:sz="0" w:space="0" w:color="auto"/>
                                                                    <w:right w:val="none" w:sz="0" w:space="0" w:color="auto"/>
                                                                  </w:divBdr>
                                                                  <w:divsChild>
                                                                    <w:div w:id="1024525575">
                                                                      <w:marLeft w:val="0"/>
                                                                      <w:marRight w:val="0"/>
                                                                      <w:marTop w:val="0"/>
                                                                      <w:marBottom w:val="0"/>
                                                                      <w:divBdr>
                                                                        <w:top w:val="none" w:sz="0" w:space="0" w:color="auto"/>
                                                                        <w:left w:val="none" w:sz="0" w:space="0" w:color="auto"/>
                                                                        <w:bottom w:val="none" w:sz="0" w:space="0" w:color="auto"/>
                                                                        <w:right w:val="none" w:sz="0" w:space="0" w:color="auto"/>
                                                                      </w:divBdr>
                                                                      <w:divsChild>
                                                                        <w:div w:id="48842058">
                                                                          <w:marLeft w:val="0"/>
                                                                          <w:marRight w:val="0"/>
                                                                          <w:marTop w:val="0"/>
                                                                          <w:marBottom w:val="0"/>
                                                                          <w:divBdr>
                                                                            <w:top w:val="none" w:sz="0" w:space="0" w:color="auto"/>
                                                                            <w:left w:val="none" w:sz="0" w:space="0" w:color="auto"/>
                                                                            <w:bottom w:val="none" w:sz="0" w:space="0" w:color="auto"/>
                                                                            <w:right w:val="none" w:sz="0" w:space="0" w:color="auto"/>
                                                                          </w:divBdr>
                                                                          <w:divsChild>
                                                                            <w:div w:id="1935894068">
                                                                              <w:marLeft w:val="0"/>
                                                                              <w:marRight w:val="0"/>
                                                                              <w:marTop w:val="0"/>
                                                                              <w:marBottom w:val="0"/>
                                                                              <w:divBdr>
                                                                                <w:top w:val="none" w:sz="0" w:space="0" w:color="auto"/>
                                                                                <w:left w:val="none" w:sz="0" w:space="0" w:color="auto"/>
                                                                                <w:bottom w:val="none" w:sz="0" w:space="0" w:color="auto"/>
                                                                                <w:right w:val="none" w:sz="0" w:space="0" w:color="auto"/>
                                                                              </w:divBdr>
                                                                              <w:divsChild>
                                                                                <w:div w:id="2084718186">
                                                                                  <w:marLeft w:val="0"/>
                                                                                  <w:marRight w:val="0"/>
                                                                                  <w:marTop w:val="0"/>
                                                                                  <w:marBottom w:val="0"/>
                                                                                  <w:divBdr>
                                                                                    <w:top w:val="none" w:sz="0" w:space="0" w:color="auto"/>
                                                                                    <w:left w:val="none" w:sz="0" w:space="0" w:color="auto"/>
                                                                                    <w:bottom w:val="none" w:sz="0" w:space="0" w:color="auto"/>
                                                                                    <w:right w:val="none" w:sz="0" w:space="0" w:color="auto"/>
                                                                                  </w:divBdr>
                                                                                  <w:divsChild>
                                                                                    <w:div w:id="1113861823">
                                                                                      <w:marLeft w:val="0"/>
                                                                                      <w:marRight w:val="0"/>
                                                                                      <w:marTop w:val="0"/>
                                                                                      <w:marBottom w:val="0"/>
                                                                                      <w:divBdr>
                                                                                        <w:top w:val="none" w:sz="0" w:space="0" w:color="auto"/>
                                                                                        <w:left w:val="none" w:sz="0" w:space="0" w:color="auto"/>
                                                                                        <w:bottom w:val="none" w:sz="0" w:space="0" w:color="auto"/>
                                                                                        <w:right w:val="none" w:sz="0" w:space="0" w:color="auto"/>
                                                                                      </w:divBdr>
                                                                                      <w:divsChild>
                                                                                        <w:div w:id="37975407">
                                                                                          <w:marLeft w:val="0"/>
                                                                                          <w:marRight w:val="0"/>
                                                                                          <w:marTop w:val="0"/>
                                                                                          <w:marBottom w:val="0"/>
                                                                                          <w:divBdr>
                                                                                            <w:top w:val="none" w:sz="0" w:space="0" w:color="auto"/>
                                                                                            <w:left w:val="none" w:sz="0" w:space="0" w:color="auto"/>
                                                                                            <w:bottom w:val="none" w:sz="0" w:space="0" w:color="auto"/>
                                                                                            <w:right w:val="none" w:sz="0" w:space="0" w:color="auto"/>
                                                                                          </w:divBdr>
                                                                                          <w:divsChild>
                                                                                            <w:div w:id="2089617148">
                                                                                              <w:marLeft w:val="0"/>
                                                                                              <w:marRight w:val="0"/>
                                                                                              <w:marTop w:val="0"/>
                                                                                              <w:marBottom w:val="0"/>
                                                                                              <w:divBdr>
                                                                                                <w:top w:val="none" w:sz="0" w:space="0" w:color="auto"/>
                                                                                                <w:left w:val="none" w:sz="0" w:space="0" w:color="auto"/>
                                                                                                <w:bottom w:val="none" w:sz="0" w:space="0" w:color="auto"/>
                                                                                                <w:right w:val="none" w:sz="0" w:space="0" w:color="auto"/>
                                                                                              </w:divBdr>
                                                                                              <w:divsChild>
                                                                                                <w:div w:id="1971595050">
                                                                                                  <w:marLeft w:val="0"/>
                                                                                                  <w:marRight w:val="0"/>
                                                                                                  <w:marTop w:val="0"/>
                                                                                                  <w:marBottom w:val="0"/>
                                                                                                  <w:divBdr>
                                                                                                    <w:top w:val="none" w:sz="0" w:space="0" w:color="auto"/>
                                                                                                    <w:left w:val="none" w:sz="0" w:space="0" w:color="auto"/>
                                                                                                    <w:bottom w:val="none" w:sz="0" w:space="0" w:color="auto"/>
                                                                                                    <w:right w:val="none" w:sz="0" w:space="0" w:color="auto"/>
                                                                                                  </w:divBdr>
                                                                                                  <w:divsChild>
                                                                                                    <w:div w:id="2060009062">
                                                                                                      <w:marLeft w:val="0"/>
                                                                                                      <w:marRight w:val="0"/>
                                                                                                      <w:marTop w:val="0"/>
                                                                                                      <w:marBottom w:val="0"/>
                                                                                                      <w:divBdr>
                                                                                                        <w:top w:val="none" w:sz="0" w:space="0" w:color="auto"/>
                                                                                                        <w:left w:val="none" w:sz="0" w:space="0" w:color="auto"/>
                                                                                                        <w:bottom w:val="none" w:sz="0" w:space="0" w:color="auto"/>
                                                                                                        <w:right w:val="none" w:sz="0" w:space="0" w:color="auto"/>
                                                                                                      </w:divBdr>
                                                                                                      <w:divsChild>
                                                                                                        <w:div w:id="271404227">
                                                                                                          <w:marLeft w:val="0"/>
                                                                                                          <w:marRight w:val="0"/>
                                                                                                          <w:marTop w:val="0"/>
                                                                                                          <w:marBottom w:val="0"/>
                                                                                                          <w:divBdr>
                                                                                                            <w:top w:val="none" w:sz="0" w:space="0" w:color="auto"/>
                                                                                                            <w:left w:val="none" w:sz="0" w:space="0" w:color="auto"/>
                                                                                                            <w:bottom w:val="none" w:sz="0" w:space="0" w:color="auto"/>
                                                                                                            <w:right w:val="none" w:sz="0" w:space="0" w:color="auto"/>
                                                                                                          </w:divBdr>
                                                                                                          <w:divsChild>
                                                                                                            <w:div w:id="1996031907">
                                                                                                              <w:marLeft w:val="0"/>
                                                                                                              <w:marRight w:val="0"/>
                                                                                                              <w:marTop w:val="0"/>
                                                                                                              <w:marBottom w:val="0"/>
                                                                                                              <w:divBdr>
                                                                                                                <w:top w:val="none" w:sz="0" w:space="0" w:color="auto"/>
                                                                                                                <w:left w:val="none" w:sz="0" w:space="0" w:color="auto"/>
                                                                                                                <w:bottom w:val="none" w:sz="0" w:space="0" w:color="auto"/>
                                                                                                                <w:right w:val="none" w:sz="0" w:space="0" w:color="auto"/>
                                                                                                              </w:divBdr>
                                                                                                              <w:divsChild>
                                                                                                                <w:div w:id="885720945">
                                                                                                                  <w:marLeft w:val="0"/>
                                                                                                                  <w:marRight w:val="0"/>
                                                                                                                  <w:marTop w:val="0"/>
                                                                                                                  <w:marBottom w:val="0"/>
                                                                                                                  <w:divBdr>
                                                                                                                    <w:top w:val="none" w:sz="0" w:space="0" w:color="auto"/>
                                                                                                                    <w:left w:val="none" w:sz="0" w:space="0" w:color="auto"/>
                                                                                                                    <w:bottom w:val="none" w:sz="0" w:space="0" w:color="auto"/>
                                                                                                                    <w:right w:val="none" w:sz="0" w:space="0" w:color="auto"/>
                                                                                                                  </w:divBdr>
                                                                                                                  <w:divsChild>
                                                                                                                    <w:div w:id="225338723">
                                                                                                                      <w:marLeft w:val="300"/>
                                                                                                                      <w:marRight w:val="0"/>
                                                                                                                      <w:marTop w:val="0"/>
                                                                                                                      <w:marBottom w:val="0"/>
                                                                                                                      <w:divBdr>
                                                                                                                        <w:top w:val="none" w:sz="0" w:space="0" w:color="auto"/>
                                                                                                                        <w:left w:val="none" w:sz="0" w:space="0" w:color="auto"/>
                                                                                                                        <w:bottom w:val="none" w:sz="0" w:space="0" w:color="auto"/>
                                                                                                                        <w:right w:val="none" w:sz="0" w:space="0" w:color="auto"/>
                                                                                                                      </w:divBdr>
                                                                                                                      <w:divsChild>
                                                                                                                        <w:div w:id="273556526">
                                                                                                                          <w:marLeft w:val="0"/>
                                                                                                                          <w:marRight w:val="0"/>
                                                                                                                          <w:marTop w:val="0"/>
                                                                                                                          <w:marBottom w:val="0"/>
                                                                                                                          <w:divBdr>
                                                                                                                            <w:top w:val="none" w:sz="0" w:space="0" w:color="auto"/>
                                                                                                                            <w:left w:val="none" w:sz="0" w:space="0" w:color="auto"/>
                                                                                                                            <w:bottom w:val="none" w:sz="0" w:space="0" w:color="auto"/>
                                                                                                                            <w:right w:val="none" w:sz="0" w:space="0" w:color="auto"/>
                                                                                                                          </w:divBdr>
                                                                                                                          <w:divsChild>
                                                                                                                            <w:div w:id="15881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6438028">
      <w:bodyDiv w:val="1"/>
      <w:marLeft w:val="0"/>
      <w:marRight w:val="0"/>
      <w:marTop w:val="0"/>
      <w:marBottom w:val="0"/>
      <w:divBdr>
        <w:top w:val="none" w:sz="0" w:space="0" w:color="auto"/>
        <w:left w:val="none" w:sz="0" w:space="0" w:color="auto"/>
        <w:bottom w:val="none" w:sz="0" w:space="0" w:color="auto"/>
        <w:right w:val="none" w:sz="0" w:space="0" w:color="auto"/>
      </w:divBdr>
    </w:div>
    <w:div w:id="1516072650">
      <w:bodyDiv w:val="1"/>
      <w:marLeft w:val="0"/>
      <w:marRight w:val="0"/>
      <w:marTop w:val="0"/>
      <w:marBottom w:val="0"/>
      <w:divBdr>
        <w:top w:val="none" w:sz="0" w:space="0" w:color="auto"/>
        <w:left w:val="none" w:sz="0" w:space="0" w:color="auto"/>
        <w:bottom w:val="none" w:sz="0" w:space="0" w:color="auto"/>
        <w:right w:val="none" w:sz="0" w:space="0" w:color="auto"/>
      </w:divBdr>
    </w:div>
    <w:div w:id="1535190052">
      <w:bodyDiv w:val="1"/>
      <w:marLeft w:val="0"/>
      <w:marRight w:val="0"/>
      <w:marTop w:val="0"/>
      <w:marBottom w:val="0"/>
      <w:divBdr>
        <w:top w:val="none" w:sz="0" w:space="0" w:color="auto"/>
        <w:left w:val="none" w:sz="0" w:space="0" w:color="auto"/>
        <w:bottom w:val="none" w:sz="0" w:space="0" w:color="auto"/>
        <w:right w:val="none" w:sz="0" w:space="0" w:color="auto"/>
      </w:divBdr>
    </w:div>
    <w:div w:id="1745182514">
      <w:bodyDiv w:val="1"/>
      <w:marLeft w:val="0"/>
      <w:marRight w:val="0"/>
      <w:marTop w:val="0"/>
      <w:marBottom w:val="0"/>
      <w:divBdr>
        <w:top w:val="none" w:sz="0" w:space="0" w:color="auto"/>
        <w:left w:val="none" w:sz="0" w:space="0" w:color="auto"/>
        <w:bottom w:val="none" w:sz="0" w:space="0" w:color="auto"/>
        <w:right w:val="none" w:sz="0" w:space="0" w:color="auto"/>
      </w:divBdr>
    </w:div>
    <w:div w:id="1897665335">
      <w:bodyDiv w:val="1"/>
      <w:marLeft w:val="0"/>
      <w:marRight w:val="0"/>
      <w:marTop w:val="0"/>
      <w:marBottom w:val="0"/>
      <w:divBdr>
        <w:top w:val="none" w:sz="0" w:space="0" w:color="auto"/>
        <w:left w:val="none" w:sz="0" w:space="0" w:color="auto"/>
        <w:bottom w:val="none" w:sz="0" w:space="0" w:color="auto"/>
        <w:right w:val="none" w:sz="0" w:space="0" w:color="auto"/>
      </w:divBdr>
    </w:div>
    <w:div w:id="2027974382">
      <w:bodyDiv w:val="1"/>
      <w:marLeft w:val="0"/>
      <w:marRight w:val="0"/>
      <w:marTop w:val="0"/>
      <w:marBottom w:val="0"/>
      <w:divBdr>
        <w:top w:val="none" w:sz="0" w:space="0" w:color="auto"/>
        <w:left w:val="none" w:sz="0" w:space="0" w:color="auto"/>
        <w:bottom w:val="none" w:sz="0" w:space="0" w:color="auto"/>
        <w:right w:val="none" w:sz="0" w:space="0" w:color="auto"/>
      </w:divBdr>
    </w:div>
    <w:div w:id="2073959876">
      <w:bodyDiv w:val="1"/>
      <w:marLeft w:val="0"/>
      <w:marRight w:val="0"/>
      <w:marTop w:val="0"/>
      <w:marBottom w:val="0"/>
      <w:divBdr>
        <w:top w:val="none" w:sz="0" w:space="0" w:color="auto"/>
        <w:left w:val="none" w:sz="0" w:space="0" w:color="auto"/>
        <w:bottom w:val="none" w:sz="0" w:space="0" w:color="auto"/>
        <w:right w:val="none" w:sz="0" w:space="0" w:color="auto"/>
      </w:divBdr>
      <w:divsChild>
        <w:div w:id="10306861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consult.industry.gov.au/" TargetMode="Externa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energyrating.gov.au" TargetMode="Externa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yperlink" Target="http://creativecommons.org/licences/by/3.0/au" TargetMode="External"/><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www.ag.gov.au/sites/default/files/2020-07/Guide%20to%20Managing%20Sunsetting%20of%20Legislative%20Instruments.pdf" TargetMode="External"/><Relationship Id="rId1" Type="http://schemas.openxmlformats.org/officeDocument/2006/relationships/hyperlink" Target="https://www.ag.gov.au/legal-system/administrative-law/legislation-act-200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E3 Theme Colours">
  <a:themeElements>
    <a:clrScheme name="E3 Theme Colours">
      <a:dk1>
        <a:sysClr val="windowText" lastClr="000000"/>
      </a:dk1>
      <a:lt1>
        <a:sysClr val="window" lastClr="FFFFFF"/>
      </a:lt1>
      <a:dk2>
        <a:srgbClr val="000000"/>
      </a:dk2>
      <a:lt2>
        <a:srgbClr val="F2F2F2"/>
      </a:lt2>
      <a:accent1>
        <a:srgbClr val="C1001A"/>
      </a:accent1>
      <a:accent2>
        <a:srgbClr val="DA001D"/>
      </a:accent2>
      <a:accent3>
        <a:srgbClr val="EA6C1B"/>
      </a:accent3>
      <a:accent4>
        <a:srgbClr val="FEB610"/>
      </a:accent4>
      <a:accent5>
        <a:srgbClr val="FFF0B4"/>
      </a:accent5>
      <a:accent6>
        <a:srgbClr val="464749"/>
      </a:accent6>
      <a:hlink>
        <a:srgbClr val="5DBDE1"/>
      </a:hlink>
      <a:folHlink>
        <a:srgbClr val="0092D3"/>
      </a:folHlink>
    </a:clrScheme>
    <a:fontScheme name="Civic">
      <a:majorFont>
        <a:latin typeface="Georgia"/>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华文新魏"/>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db9bed2e36e4a93af574aeb444da63e xmlns="a36bd50b-1532-4c22-b385-5c082c960938">
      <Terms xmlns="http://schemas.microsoft.com/office/infopath/2007/PartnerControls"/>
    </adb9bed2e36e4a93af574aeb444da63e>
    <n99e4c9942c6404eb103464a00e6097b xmlns="a36bd50b-1532-4c22-b385-5c082c960938">
      <Terms xmlns="http://schemas.microsoft.com/office/infopath/2007/PartnerControls"/>
    </n99e4c9942c6404eb103464a00e6097b>
    <d8e408ae2551469fa177069ace196e9c xmlns="d92934b5-032c-4da3-958e-788fdb9771c1">
      <Terms xmlns="http://schemas.microsoft.com/office/infopath/2007/PartnerControls"/>
    </d8e408ae2551469fa177069ace196e9c>
    <IconOverlay xmlns="http://schemas.microsoft.com/sharepoint/v4" xsi:nil="true"/>
    <pe2555c81638466f9eb614edb9ecde52 xmlns="a36bd50b-1532-4c22-b385-5c082c960938">
      <Terms xmlns="http://schemas.microsoft.com/office/infopath/2007/PartnerControls">
        <TermInfo xmlns="http://schemas.microsoft.com/office/infopath/2007/PartnerControls">
          <TermName xmlns="http://schemas.microsoft.com/office/infopath/2007/PartnerControls">Analysis</TermName>
          <TermId xmlns="http://schemas.microsoft.com/office/infopath/2007/PartnerControls">48c54089-4c01-49cb-b266-0173afb66157</TermId>
        </TermInfo>
      </Terms>
    </pe2555c81638466f9eb614edb9ecde52>
    <aa25a1a23adf4c92a153145de6afe324 xmlns="a36bd50b-1532-4c22-b385-5c082c960938">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g7bcb40ba23249a78edca7d43a67c1c9 xmlns="a36bd50b-1532-4c22-b385-5c082c960938">
      <Terms xmlns="http://schemas.microsoft.com/office/infopath/2007/PartnerControls">
        <TermInfo xmlns="http://schemas.microsoft.com/office/infopath/2007/PartnerControls">
          <TermName xmlns="http://schemas.microsoft.com/office/infopath/2007/PartnerControls">Stakeholder Engagement</TermName>
          <TermId xmlns="http://schemas.microsoft.com/office/infopath/2007/PartnerControls">e5a94374-c5c6-45f9-9ba5-263eb5e10d1f</TermId>
        </TermInfo>
      </Terms>
    </g7bcb40ba23249a78edca7d43a67c1c9>
    <TaxCatchAll xmlns="a36bd50b-1532-4c22-b385-5c082c960938">
      <Value>62</Value>
      <Value>1755</Value>
      <Value>30</Value>
      <Value>1</Value>
      <Value>1639</Value>
    </TaxCatchAll>
    <leb4c332ed06408dafad04730a3b9e00 xmlns="d92934b5-032c-4da3-958e-788fdb9771c1">
      <Terms xmlns="http://schemas.microsoft.com/office/infopath/2007/PartnerControls">
        <TermInfo xmlns="http://schemas.microsoft.com/office/infopath/2007/PartnerControls">
          <TermName xmlns="http://schemas.microsoft.com/office/infopath/2007/PartnerControls">Computer monitors</TermName>
          <TermId xmlns="http://schemas.microsoft.com/office/infopath/2007/PartnerControls">0659846c-f6ca-41f4-906c-bc139c70be77</TermId>
        </TermInfo>
      </Terms>
    </leb4c332ed06408dafad04730a3b9e00>
    <d959b245ae7347a9bb899583b2761f43 xmlns="d92934b5-032c-4da3-958e-788fdb9771c1">
      <Terms xmlns="http://schemas.microsoft.com/office/infopath/2007/PartnerControls">
        <TermInfo xmlns="http://schemas.microsoft.com/office/infopath/2007/PartnerControls">
          <TermName xmlns="http://schemas.microsoft.com/office/infopath/2007/PartnerControls">Sunsetting Determinations</TermName>
          <TermId xmlns="http://schemas.microsoft.com/office/infopath/2007/PartnerControls">545b94c5-2b76-403f-89ff-531bab1de569</TermId>
        </TermInfo>
      </Terms>
    </d959b245ae7347a9bb899583b2761f43>
    <Comment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6D55852D93604AA440876A3B15BB43" ma:contentTypeVersion="21" ma:contentTypeDescription="Create a new document." ma:contentTypeScope="" ma:versionID="6612dd64b3ca4deef73209f2210693cf">
  <xsd:schema xmlns:xsd="http://www.w3.org/2001/XMLSchema" xmlns:xs="http://www.w3.org/2001/XMLSchema" xmlns:p="http://schemas.microsoft.com/office/2006/metadata/properties" xmlns:ns1="http://schemas.microsoft.com/sharepoint/v3" xmlns:ns2="a36bd50b-1532-4c22-b385-5c082c960938" xmlns:ns3="d92934b5-032c-4da3-958e-788fdb9771c1" xmlns:ns4="http://schemas.microsoft.com/sharepoint/v4" targetNamespace="http://schemas.microsoft.com/office/2006/metadata/properties" ma:root="true" ma:fieldsID="7494688dd2142d3ac922c821c8476fcb" ns1:_="" ns2:_="" ns3:_="" ns4:_="">
    <xsd:import namespace="http://schemas.microsoft.com/sharepoint/v3"/>
    <xsd:import namespace="a36bd50b-1532-4c22-b385-5c082c960938"/>
    <xsd:import namespace="d92934b5-032c-4da3-958e-788fdb9771c1"/>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d959b245ae7347a9bb899583b2761f43" minOccurs="0"/>
                <xsd:element ref="ns3:SharedWithUsers" minOccurs="0"/>
                <xsd:element ref="ns3:d8e408ae2551469fa177069ace196e9c" minOccurs="0"/>
                <xsd:element ref="ns3:leb4c332ed06408dafad04730a3b9e00"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bd50b-1532-4c22-b385-5c082c9609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02e8ca0a-ece4-4eeb-9587-75e521e14479}" ma:internalName="TaxCatchAll" ma:showField="CatchAllData" ma:web="d92934b5-032c-4da3-958e-788fdb9771c1">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67a04eba-df4a-46cb-bbde-98e4bc5c05ed"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92934b5-032c-4da3-958e-788fdb9771c1" elementFormDefault="qualified">
    <xsd:import namespace="http://schemas.microsoft.com/office/2006/documentManagement/types"/>
    <xsd:import namespace="http://schemas.microsoft.com/office/infopath/2007/PartnerControls"/>
    <xsd:element name="d959b245ae7347a9bb899583b2761f43" ma:index="24" nillable="true" ma:taxonomy="true" ma:internalName="d959b245ae7347a9bb899583b2761f43" ma:taxonomyFieldName="DocHub_GemsPolicyWorkTopic" ma:displayName="Work Topic" ma:indexed="true" ma:default="" ma:fieldId="{d959b245-ae73-47a9-bb89-9583b2761f43}" ma:sspId="fb0313f7-9433-48c0-866e-9e0bbee59a50" ma:termSetId="5bce6a8f-e6af-49e8-884e-ab24cad2d901" ma:anchorId="63aa08f8-3af4-4e20-bf8b-47a137170358" ma:open="true" ma:isKeyword="false">
      <xsd:complexType>
        <xsd:sequence>
          <xsd:element ref="pc:Terms" minOccurs="0" maxOccurs="1"/>
        </xsd:sequence>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8e408ae2551469fa177069ace196e9c" ma:index="27" nillable="true" ma:taxonomy="true" ma:internalName="d8e408ae2551469fa177069ace196e9c" ma:taxonomyFieldName="DocHub_RegionCountry" ma:displayName="Region / Country" ma:indexed="true" ma:fieldId="{d8e408ae-2551-469f-a177-069ace196e9c}" ma:sspId="fb0313f7-9433-48c0-866e-9e0bbee59a50" ma:termSetId="dfb3c815-0d58-4d79-855d-8ebb6c91cf6d" ma:anchorId="00000000-0000-0000-0000-000000000000" ma:open="false" ma:isKeyword="false">
      <xsd:complexType>
        <xsd:sequence>
          <xsd:element ref="pc:Terms" minOccurs="0" maxOccurs="1"/>
        </xsd:sequence>
      </xsd:complexType>
    </xsd:element>
    <xsd:element name="leb4c332ed06408dafad04730a3b9e00" ma:index="29" nillable="true" ma:taxonomy="true" ma:internalName="leb4c332ed06408dafad04730a3b9e00" ma:taxonomyFieldName="DocHub_GemsPolicyProducts" ma:displayName="Product" ma:indexed="true" ma:default="" ma:fieldId="{5eb4c332-ed06-408d-afad-04730a3b9e00}" ma:sspId="fb0313f7-9433-48c0-866e-9e0bbee59a50" ma:termSetId="5bce6a8f-e6af-49e8-884e-ab24cad2d901" ma:anchorId="45bd36b5-9df9-4b44-b525-b6eabdc90c7b"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96B8D-DECC-45AD-AA7D-2AEF9F2DD131}">
  <ds:schemaRefs>
    <ds:schemaRef ds:uri="http://schemas.microsoft.com/office/2006/documentManagement/types"/>
    <ds:schemaRef ds:uri="d92934b5-032c-4da3-958e-788fdb9771c1"/>
    <ds:schemaRef ds:uri="http://purl.org/dc/elements/1.1/"/>
    <ds:schemaRef ds:uri="http://schemas.microsoft.com/office/2006/metadata/properties"/>
    <ds:schemaRef ds:uri="a36bd50b-1532-4c22-b385-5c082c960938"/>
    <ds:schemaRef ds:uri="http://schemas.microsoft.com/sharepoint/v3"/>
    <ds:schemaRef ds:uri="http://schemas.microsoft.com/sharepoint/v4"/>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8ADB8D85-62BD-43E6-AB55-C8E4C05F91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bd50b-1532-4c22-b385-5c082c960938"/>
    <ds:schemaRef ds:uri="d92934b5-032c-4da3-958e-788fdb9771c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B4A6FF-8D75-4A57-87B8-9955411E8FF6}">
  <ds:schemaRefs>
    <ds:schemaRef ds:uri="http://schemas.microsoft.com/sharepoint/events"/>
  </ds:schemaRefs>
</ds:datastoreItem>
</file>

<file path=customXml/itemProps4.xml><?xml version="1.0" encoding="utf-8"?>
<ds:datastoreItem xmlns:ds="http://schemas.openxmlformats.org/officeDocument/2006/customXml" ds:itemID="{E8303E39-5B9A-4F99-8955-C4F8DD36FE9C}">
  <ds:schemaRefs>
    <ds:schemaRef ds:uri="http://schemas.microsoft.com/sharepoint/v3/contenttype/forms"/>
  </ds:schemaRefs>
</ds:datastoreItem>
</file>

<file path=customXml/itemProps5.xml><?xml version="1.0" encoding="utf-8"?>
<ds:datastoreItem xmlns:ds="http://schemas.openxmlformats.org/officeDocument/2006/customXml" ds:itemID="{7BB9CC05-0B7A-46F3-8235-FCE198C97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1841</Words>
  <Characters>10494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12311</CharactersWithSpaces>
  <SharedDoc>false</SharedDoc>
  <HyperlinkBase/>
  <HLinks>
    <vt:vector size="18" baseType="variant">
      <vt:variant>
        <vt:i4>1441804</vt:i4>
      </vt:variant>
      <vt:variant>
        <vt:i4>62</vt:i4>
      </vt:variant>
      <vt:variant>
        <vt:i4>0</vt:i4>
      </vt:variant>
      <vt:variant>
        <vt:i4>5</vt:i4>
      </vt:variant>
      <vt:variant>
        <vt:lpwstr/>
      </vt:variant>
      <vt:variant>
        <vt:lpwstr>_Toc297748974</vt:lpwstr>
      </vt:variant>
      <vt:variant>
        <vt:i4>4063274</vt:i4>
      </vt:variant>
      <vt:variant>
        <vt:i4>6</vt:i4>
      </vt:variant>
      <vt:variant>
        <vt:i4>0</vt:i4>
      </vt:variant>
      <vt:variant>
        <vt:i4>5</vt:i4>
      </vt:variant>
      <vt:variant>
        <vt:lpwstr>http://www.energyrating.gov.au</vt:lpwstr>
      </vt:variant>
      <vt:variant>
        <vt:lpwstr/>
      </vt:variant>
      <vt:variant>
        <vt:i4>327724</vt:i4>
      </vt:variant>
      <vt:variant>
        <vt:i4>0</vt:i4>
      </vt:variant>
      <vt:variant>
        <vt:i4>0</vt:i4>
      </vt:variant>
      <vt:variant>
        <vt:i4>5</vt:i4>
      </vt:variant>
      <vt:variant>
        <vt:lpwstr>http://creativecommons.org/licences/by/3.0/au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2021-11-16T03:28:00Z</dcterms:created>
  <dcterms:modified xsi:type="dcterms:W3CDTF">2021-11-16T03:28:00Z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0x010100896D55852D93604AA440876A3B15BB43</vt:lpwstr>
  </property>
  <property fmtid="{D5CDD505-2E9C-101B-9397-08002B2CF9AE}" pid="3" name="DocHub_Year">
    <vt:lpwstr/>
  </property>
  <property fmtid="{D5CDD505-2E9C-101B-9397-08002B2CF9AE}" pid="4" name="DocHub_RegionCountry">
    <vt:lpwstr/>
  </property>
  <property fmtid="{D5CDD505-2E9C-101B-9397-08002B2CF9AE}" pid="5" name="DocHub_DocumentType">
    <vt:lpwstr>62;#Analysis|48c54089-4c01-49cb-b266-0173afb66157</vt:lpwstr>
  </property>
  <property fmtid="{D5CDD505-2E9C-101B-9397-08002B2CF9AE}" pid="6" name="DocHub_SecurityClassification">
    <vt:lpwstr>1;#OFFICIAL|6106d03b-a1a0-4e30-9d91-d5e9fb4314f9</vt:lpwstr>
  </property>
  <property fmtid="{D5CDD505-2E9C-101B-9397-08002B2CF9AE}" pid="7" name="DocHub_Keywords">
    <vt:lpwstr/>
  </property>
  <property fmtid="{D5CDD505-2E9C-101B-9397-08002B2CF9AE}" pid="8" name="DocHub_GemsPolicyWorkTopic">
    <vt:lpwstr>1639;#Sunsetting Determinations|545b94c5-2b76-403f-89ff-531bab1de569</vt:lpwstr>
  </property>
  <property fmtid="{D5CDD505-2E9C-101B-9397-08002B2CF9AE}" pid="9" name="DocHub_GemsPolicyProducts">
    <vt:lpwstr>1755;#Computer monitors|0659846c-f6ca-41f4-906c-bc139c70be77</vt:lpwstr>
  </property>
  <property fmtid="{D5CDD505-2E9C-101B-9397-08002B2CF9AE}" pid="10" name="DocHub_WorkActivity">
    <vt:lpwstr>30;#Stakeholder Engagement|e5a94374-c5c6-45f9-9ba5-263eb5e10d1f</vt:lpwstr>
  </property>
</Properties>
</file>