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82429113" w:displacedByCustomXml="next"/>
    <w:bookmarkStart w:id="1" w:name="_Toc80861879" w:displacedByCustomXml="next"/>
    <w:bookmarkStart w:id="2" w:name="_Toc79653405" w:displacedByCustomXml="next"/>
    <w:bookmarkStart w:id="3" w:name="_Toc79587904" w:displacedByCustomXml="next"/>
    <w:bookmarkStart w:id="4" w:name="_Toc79585251" w:displacedByCustomXml="next"/>
    <w:bookmarkStart w:id="5" w:name="_Toc79585295" w:displacedByCustomXml="next"/>
    <w:bookmarkStart w:id="6" w:name="_Toc79586123" w:displacedByCustomXml="next"/>
    <w:bookmarkStart w:id="7" w:name="_Toc79494502" w:displacedByCustomXml="next"/>
    <w:bookmarkStart w:id="8" w:name="_Toc79494437" w:displacedByCustomXml="next"/>
    <w:bookmarkStart w:id="9" w:name="_Toc79137172" w:displacedByCustomXml="next"/>
    <w:bookmarkStart w:id="10" w:name="_Toc19289776" w:displacedByCustomXml="next"/>
    <w:bookmarkStart w:id="11" w:name="_Toc19289643" w:displacedByCustomXml="next"/>
    <w:bookmarkStart w:id="12" w:name="_Toc79656399" w:displacedByCustomXml="next"/>
    <w:bookmarkStart w:id="13" w:name="_Toc79667962" w:displacedByCustomXml="next"/>
    <w:sdt>
      <w:sdtPr>
        <w:rPr>
          <w:rFonts w:asciiTheme="minorHAnsi" w:eastAsiaTheme="minorHAnsi" w:hAnsiTheme="minorHAnsi" w:cstheme="minorBidi"/>
          <w:color w:val="auto"/>
          <w:sz w:val="22"/>
          <w:szCs w:val="22"/>
        </w:rPr>
        <w:id w:val="-2088995269"/>
        <w:docPartObj>
          <w:docPartGallery w:val="Cover Pages"/>
          <w:docPartUnique/>
        </w:docPartObj>
      </w:sdtPr>
      <w:sdtEndPr/>
      <w:sdtContent>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71EA08AE" w14:textId="2E604B03" w:rsidR="0068286F" w:rsidRDefault="0068286F" w:rsidP="00484645">
          <w:pPr>
            <w:pStyle w:val="Heading1"/>
            <w:rPr>
              <w:rFonts w:eastAsiaTheme="minorHAnsi"/>
            </w:rPr>
          </w:pPr>
        </w:p>
        <w:p w14:paraId="5C9BB798" w14:textId="77777777" w:rsidR="00484645" w:rsidRDefault="00484645" w:rsidP="00484645"/>
        <w:p w14:paraId="0102A30F" w14:textId="77777777" w:rsidR="00484645" w:rsidRDefault="00484645" w:rsidP="00484645">
          <w:pPr>
            <w:pStyle w:val="Heading1"/>
          </w:pPr>
        </w:p>
        <w:p w14:paraId="7C70B1B6" w14:textId="77777777" w:rsidR="00484645" w:rsidRDefault="00484645" w:rsidP="00484645">
          <w:pPr>
            <w:pStyle w:val="Heading1"/>
          </w:pPr>
        </w:p>
        <w:p w14:paraId="0A5E91AD" w14:textId="77777777" w:rsidR="00484645" w:rsidRDefault="00484645" w:rsidP="00484645">
          <w:pPr>
            <w:pStyle w:val="Heading1"/>
          </w:pPr>
        </w:p>
        <w:p w14:paraId="2D3ACD05" w14:textId="5156B677" w:rsidR="00484645" w:rsidRDefault="00484645" w:rsidP="00484645">
          <w:pPr>
            <w:pStyle w:val="Heading1"/>
          </w:pPr>
          <w:bookmarkStart w:id="14" w:name="_Toc93658146"/>
          <w:r>
            <w:t>Minimum Stockholding Obligation (MSO)</w:t>
          </w:r>
          <w:bookmarkEnd w:id="14"/>
        </w:p>
        <w:p w14:paraId="43D80578" w14:textId="22AE9C26" w:rsidR="00484645" w:rsidRDefault="00484645" w:rsidP="00484645">
          <w:pPr>
            <w:pStyle w:val="Heading3"/>
          </w:pPr>
          <w:r>
            <w:t xml:space="preserve">Public Consultation – </w:t>
          </w:r>
          <w:r w:rsidR="002024BD">
            <w:t>Explanatory Note</w:t>
          </w:r>
        </w:p>
        <w:p w14:paraId="03016E9E" w14:textId="77777777" w:rsidR="00484645" w:rsidRDefault="00484645" w:rsidP="00484645"/>
        <w:p w14:paraId="2CFBC9F1" w14:textId="77777777" w:rsidR="00484645" w:rsidRDefault="00484645" w:rsidP="00484645"/>
        <w:p w14:paraId="527EF2CC" w14:textId="77777777" w:rsidR="00484645" w:rsidRDefault="00484645" w:rsidP="00484645"/>
        <w:p w14:paraId="3A5BEF80" w14:textId="72967C0B" w:rsidR="00697567" w:rsidRPr="00A540AE" w:rsidRDefault="00D6067E" w:rsidP="00A540AE">
          <w:pPr>
            <w:pStyle w:val="Subtitle"/>
          </w:pPr>
          <w:r>
            <w:t>Rules Overview</w:t>
          </w:r>
        </w:p>
        <w:p w14:paraId="73FFD7BD" w14:textId="77777777" w:rsidR="00697567" w:rsidRDefault="00697567" w:rsidP="00A540AE">
          <w:pPr>
            <w:pStyle w:val="Subtitle"/>
          </w:pPr>
        </w:p>
        <w:p w14:paraId="3904707C" w14:textId="77777777" w:rsidR="00900AFC" w:rsidRPr="00900AFC" w:rsidRDefault="00900AFC" w:rsidP="00900AFC"/>
        <w:p w14:paraId="7A5C2494" w14:textId="77777777" w:rsidR="0068286F" w:rsidRPr="00FE7F44" w:rsidRDefault="000D53E0" w:rsidP="00FE7F44">
          <w:pPr>
            <w:pStyle w:val="Authoranddate"/>
          </w:pPr>
          <w:r>
            <w:t>Liquid Fuels</w:t>
          </w:r>
          <w:r w:rsidR="00900AFC">
            <w:t xml:space="preserve"> Branch</w:t>
          </w:r>
        </w:p>
        <w:p w14:paraId="3BF4324F" w14:textId="0D135F0A" w:rsidR="0068286F" w:rsidRPr="00FE7F44" w:rsidRDefault="00DF0912" w:rsidP="00FE7F44">
          <w:pPr>
            <w:pStyle w:val="Authoranddate"/>
          </w:pPr>
          <w:r>
            <w:t>January</w:t>
          </w:r>
          <w:r w:rsidR="00900AFC">
            <w:t xml:space="preserve"> 2021</w:t>
          </w:r>
        </w:p>
        <w:p w14:paraId="223AD3F2" w14:textId="77777777" w:rsidR="000F2564" w:rsidRDefault="0068286F" w:rsidP="000F2564">
          <w:r w:rsidRPr="00806473">
            <w:br w:type="page"/>
          </w:r>
        </w:p>
        <w:p w14:paraId="45E1BD2F" w14:textId="77777777" w:rsidR="00E3027E" w:rsidRPr="000719FA" w:rsidRDefault="00E3027E" w:rsidP="000719FA">
          <w:pPr>
            <w:pStyle w:val="Heading2"/>
            <w:rPr>
              <w:sz w:val="48"/>
              <w:szCs w:val="32"/>
            </w:rPr>
          </w:pPr>
          <w:bookmarkStart w:id="15" w:name="_Toc19289646"/>
          <w:bookmarkStart w:id="16" w:name="_Toc19289779"/>
          <w:bookmarkStart w:id="17" w:name="_Toc79137173"/>
          <w:bookmarkStart w:id="18" w:name="_Toc79585252"/>
          <w:bookmarkStart w:id="19" w:name="_Toc79585296"/>
          <w:bookmarkStart w:id="20" w:name="_Toc79586124"/>
          <w:bookmarkStart w:id="21" w:name="_Toc79587905"/>
          <w:bookmarkStart w:id="22" w:name="_Toc79653406"/>
          <w:bookmarkStart w:id="23" w:name="_Toc79656400"/>
          <w:bookmarkStart w:id="24" w:name="_Toc79667963"/>
          <w:bookmarkStart w:id="25" w:name="_Toc80861880"/>
          <w:bookmarkStart w:id="26" w:name="_Toc82429114"/>
          <w:bookmarkStart w:id="27" w:name="_Toc93658147"/>
          <w:r w:rsidRPr="000719FA">
            <w:rPr>
              <w:sz w:val="48"/>
              <w:szCs w:val="32"/>
            </w:rPr>
            <w:lastRenderedPageBreak/>
            <w:t>Contents</w:t>
          </w:r>
          <w:bookmarkEnd w:id="15"/>
          <w:bookmarkEnd w:id="16"/>
          <w:bookmarkEnd w:id="17"/>
          <w:bookmarkEnd w:id="18"/>
          <w:bookmarkEnd w:id="19"/>
          <w:bookmarkEnd w:id="20"/>
          <w:bookmarkEnd w:id="21"/>
          <w:bookmarkEnd w:id="22"/>
          <w:bookmarkEnd w:id="23"/>
          <w:bookmarkEnd w:id="24"/>
          <w:bookmarkEnd w:id="25"/>
          <w:bookmarkEnd w:id="26"/>
          <w:bookmarkEnd w:id="27"/>
        </w:p>
        <w:p w14:paraId="47BB204E" w14:textId="7782F398" w:rsidR="002024BD" w:rsidRDefault="00E3027E" w:rsidP="002024BD">
          <w:pPr>
            <w:pStyle w:val="TOC1"/>
            <w:rPr>
              <w:rFonts w:eastAsiaTheme="minorEastAsia"/>
              <w:noProof/>
              <w:lang w:eastAsia="en-AU"/>
            </w:rPr>
          </w:pPr>
          <w:r>
            <w:fldChar w:fldCharType="begin"/>
          </w:r>
          <w:r>
            <w:instrText xml:space="preserve"> TOC \o "1-2" \h \z \u </w:instrText>
          </w:r>
          <w:r>
            <w:fldChar w:fldCharType="separate"/>
          </w:r>
        </w:p>
        <w:p w14:paraId="70D33796" w14:textId="77777777" w:rsidR="002024BD" w:rsidRDefault="000C2EC6">
          <w:pPr>
            <w:pStyle w:val="TOC1"/>
            <w:rPr>
              <w:rFonts w:eastAsiaTheme="minorEastAsia"/>
              <w:noProof/>
              <w:lang w:eastAsia="en-AU"/>
            </w:rPr>
          </w:pPr>
          <w:hyperlink w:anchor="_Toc93658149" w:history="1">
            <w:r w:rsidR="002024BD" w:rsidRPr="006C3BC5">
              <w:rPr>
                <w:rStyle w:val="Hyperlink"/>
                <w:noProof/>
              </w:rPr>
              <w:t>Introduction</w:t>
            </w:r>
            <w:r w:rsidR="002024BD">
              <w:rPr>
                <w:noProof/>
                <w:webHidden/>
              </w:rPr>
              <w:tab/>
            </w:r>
            <w:r w:rsidR="002024BD">
              <w:rPr>
                <w:noProof/>
                <w:webHidden/>
              </w:rPr>
              <w:fldChar w:fldCharType="begin"/>
            </w:r>
            <w:r w:rsidR="002024BD">
              <w:rPr>
                <w:noProof/>
                <w:webHidden/>
              </w:rPr>
              <w:instrText xml:space="preserve"> PAGEREF _Toc93658149 \h </w:instrText>
            </w:r>
            <w:r w:rsidR="002024BD">
              <w:rPr>
                <w:noProof/>
                <w:webHidden/>
              </w:rPr>
            </w:r>
            <w:r w:rsidR="002024BD">
              <w:rPr>
                <w:noProof/>
                <w:webHidden/>
              </w:rPr>
              <w:fldChar w:fldCharType="separate"/>
            </w:r>
            <w:r w:rsidR="00795D21">
              <w:rPr>
                <w:noProof/>
                <w:webHidden/>
              </w:rPr>
              <w:t>2</w:t>
            </w:r>
            <w:r w:rsidR="002024BD">
              <w:rPr>
                <w:noProof/>
                <w:webHidden/>
              </w:rPr>
              <w:fldChar w:fldCharType="end"/>
            </w:r>
          </w:hyperlink>
        </w:p>
        <w:p w14:paraId="72085ADE" w14:textId="77777777" w:rsidR="002024BD" w:rsidRDefault="000C2EC6">
          <w:pPr>
            <w:pStyle w:val="TOC1"/>
            <w:rPr>
              <w:rFonts w:eastAsiaTheme="minorEastAsia"/>
              <w:noProof/>
              <w:lang w:eastAsia="en-AU"/>
            </w:rPr>
          </w:pPr>
          <w:hyperlink w:anchor="_Toc93658150" w:history="1">
            <w:r w:rsidR="002024BD" w:rsidRPr="006C3BC5">
              <w:rPr>
                <w:rStyle w:val="Hyperlink"/>
                <w:noProof/>
              </w:rPr>
              <w:t>Overview of the MSO Rules</w:t>
            </w:r>
            <w:r w:rsidR="002024BD">
              <w:rPr>
                <w:noProof/>
                <w:webHidden/>
              </w:rPr>
              <w:tab/>
            </w:r>
            <w:r w:rsidR="002024BD">
              <w:rPr>
                <w:noProof/>
                <w:webHidden/>
              </w:rPr>
              <w:fldChar w:fldCharType="begin"/>
            </w:r>
            <w:r w:rsidR="002024BD">
              <w:rPr>
                <w:noProof/>
                <w:webHidden/>
              </w:rPr>
              <w:instrText xml:space="preserve"> PAGEREF _Toc93658150 \h </w:instrText>
            </w:r>
            <w:r w:rsidR="002024BD">
              <w:rPr>
                <w:noProof/>
                <w:webHidden/>
              </w:rPr>
            </w:r>
            <w:r w:rsidR="002024BD">
              <w:rPr>
                <w:noProof/>
                <w:webHidden/>
              </w:rPr>
              <w:fldChar w:fldCharType="separate"/>
            </w:r>
            <w:r w:rsidR="00795D21">
              <w:rPr>
                <w:noProof/>
                <w:webHidden/>
              </w:rPr>
              <w:t>3</w:t>
            </w:r>
            <w:r w:rsidR="002024BD">
              <w:rPr>
                <w:noProof/>
                <w:webHidden/>
              </w:rPr>
              <w:fldChar w:fldCharType="end"/>
            </w:r>
          </w:hyperlink>
        </w:p>
        <w:p w14:paraId="4592EDB6" w14:textId="77777777" w:rsidR="002024BD" w:rsidRDefault="000C2EC6">
          <w:pPr>
            <w:pStyle w:val="TOC2"/>
            <w:tabs>
              <w:tab w:val="right" w:leader="dot" w:pos="9016"/>
            </w:tabs>
            <w:rPr>
              <w:rFonts w:eastAsiaTheme="minorEastAsia"/>
              <w:noProof/>
              <w:lang w:eastAsia="en-AU"/>
            </w:rPr>
          </w:pPr>
          <w:hyperlink w:anchor="_Toc93658151" w:history="1">
            <w:r w:rsidR="002024BD" w:rsidRPr="006C3BC5">
              <w:rPr>
                <w:rStyle w:val="Hyperlink"/>
                <w:noProof/>
              </w:rPr>
              <w:t>Changes in 2024</w:t>
            </w:r>
            <w:r w:rsidR="002024BD">
              <w:rPr>
                <w:noProof/>
                <w:webHidden/>
              </w:rPr>
              <w:tab/>
            </w:r>
            <w:r w:rsidR="002024BD">
              <w:rPr>
                <w:noProof/>
                <w:webHidden/>
              </w:rPr>
              <w:fldChar w:fldCharType="begin"/>
            </w:r>
            <w:r w:rsidR="002024BD">
              <w:rPr>
                <w:noProof/>
                <w:webHidden/>
              </w:rPr>
              <w:instrText xml:space="preserve"> PAGEREF _Toc93658151 \h </w:instrText>
            </w:r>
            <w:r w:rsidR="002024BD">
              <w:rPr>
                <w:noProof/>
                <w:webHidden/>
              </w:rPr>
            </w:r>
            <w:r w:rsidR="002024BD">
              <w:rPr>
                <w:noProof/>
                <w:webHidden/>
              </w:rPr>
              <w:fldChar w:fldCharType="separate"/>
            </w:r>
            <w:r w:rsidR="00795D21">
              <w:rPr>
                <w:noProof/>
                <w:webHidden/>
              </w:rPr>
              <w:t>7</w:t>
            </w:r>
            <w:r w:rsidR="002024BD">
              <w:rPr>
                <w:noProof/>
                <w:webHidden/>
              </w:rPr>
              <w:fldChar w:fldCharType="end"/>
            </w:r>
          </w:hyperlink>
        </w:p>
        <w:p w14:paraId="30B62AB9" w14:textId="77777777" w:rsidR="002024BD" w:rsidRDefault="000C2EC6">
          <w:pPr>
            <w:pStyle w:val="TOC1"/>
            <w:rPr>
              <w:rFonts w:eastAsiaTheme="minorEastAsia"/>
              <w:noProof/>
              <w:lang w:eastAsia="en-AU"/>
            </w:rPr>
          </w:pPr>
          <w:hyperlink w:anchor="_Toc93658152" w:history="1">
            <w:r w:rsidR="002024BD" w:rsidRPr="006C3BC5">
              <w:rPr>
                <w:rStyle w:val="Hyperlink"/>
                <w:noProof/>
              </w:rPr>
              <w:t>Compliance and Enforcement Framework</w:t>
            </w:r>
            <w:r w:rsidR="002024BD">
              <w:rPr>
                <w:noProof/>
                <w:webHidden/>
              </w:rPr>
              <w:tab/>
            </w:r>
            <w:r w:rsidR="002024BD">
              <w:rPr>
                <w:noProof/>
                <w:webHidden/>
              </w:rPr>
              <w:fldChar w:fldCharType="begin"/>
            </w:r>
            <w:r w:rsidR="002024BD">
              <w:rPr>
                <w:noProof/>
                <w:webHidden/>
              </w:rPr>
              <w:instrText xml:space="preserve"> PAGEREF _Toc93658152 \h </w:instrText>
            </w:r>
            <w:r w:rsidR="002024BD">
              <w:rPr>
                <w:noProof/>
                <w:webHidden/>
              </w:rPr>
            </w:r>
            <w:r w:rsidR="002024BD">
              <w:rPr>
                <w:noProof/>
                <w:webHidden/>
              </w:rPr>
              <w:fldChar w:fldCharType="separate"/>
            </w:r>
            <w:r w:rsidR="00795D21">
              <w:rPr>
                <w:noProof/>
                <w:webHidden/>
              </w:rPr>
              <w:t>7</w:t>
            </w:r>
            <w:r w:rsidR="002024BD">
              <w:rPr>
                <w:noProof/>
                <w:webHidden/>
              </w:rPr>
              <w:fldChar w:fldCharType="end"/>
            </w:r>
          </w:hyperlink>
        </w:p>
        <w:p w14:paraId="66333A3B" w14:textId="77777777" w:rsidR="000F2564" w:rsidRDefault="00E3027E" w:rsidP="00E3027E">
          <w:r>
            <w:fldChar w:fldCharType="end"/>
          </w:r>
        </w:p>
        <w:p w14:paraId="564DE331" w14:textId="77777777" w:rsidR="00900AFC" w:rsidRDefault="00900AFC" w:rsidP="00B251DB"/>
        <w:p w14:paraId="0511AF03" w14:textId="77777777" w:rsidR="00900AFC" w:rsidRDefault="00900AFC" w:rsidP="00B251DB"/>
        <w:p w14:paraId="374AB366" w14:textId="77777777" w:rsidR="00D6067E" w:rsidRDefault="00D6067E" w:rsidP="00900AFC">
          <w:pPr>
            <w:pStyle w:val="Heading2"/>
            <w:rPr>
              <w:szCs w:val="40"/>
            </w:rPr>
          </w:pPr>
          <w:bookmarkStart w:id="28" w:name="_Toc79137174"/>
          <w:bookmarkStart w:id="29" w:name="_Toc79585253"/>
          <w:bookmarkStart w:id="30" w:name="_Toc79585297"/>
          <w:bookmarkStart w:id="31" w:name="_Toc79586125"/>
          <w:bookmarkStart w:id="32" w:name="_Toc79587906"/>
          <w:bookmarkStart w:id="33" w:name="_Toc79653407"/>
          <w:bookmarkStart w:id="34" w:name="_Toc79656401"/>
          <w:bookmarkStart w:id="35" w:name="_Toc79667964"/>
          <w:bookmarkStart w:id="36" w:name="_Toc80861881"/>
          <w:bookmarkStart w:id="37" w:name="_Toc82429115"/>
        </w:p>
        <w:p w14:paraId="47D132BC" w14:textId="77777777" w:rsidR="00D6067E" w:rsidRDefault="00D6067E" w:rsidP="00900AFC">
          <w:pPr>
            <w:pStyle w:val="Heading2"/>
            <w:rPr>
              <w:szCs w:val="40"/>
            </w:rPr>
          </w:pPr>
        </w:p>
        <w:p w14:paraId="3F94389A" w14:textId="77777777" w:rsidR="00D6067E" w:rsidRDefault="00D6067E" w:rsidP="00900AFC">
          <w:pPr>
            <w:pStyle w:val="Heading2"/>
            <w:rPr>
              <w:szCs w:val="40"/>
            </w:rPr>
          </w:pPr>
        </w:p>
        <w:p w14:paraId="344C51C6" w14:textId="77777777" w:rsidR="00D6067E" w:rsidRDefault="00D6067E" w:rsidP="00900AFC">
          <w:pPr>
            <w:pStyle w:val="Heading2"/>
            <w:rPr>
              <w:szCs w:val="40"/>
            </w:rPr>
          </w:pPr>
        </w:p>
        <w:p w14:paraId="6EE9ECFF" w14:textId="77777777" w:rsidR="00D6067E" w:rsidRDefault="00D6067E" w:rsidP="00900AFC">
          <w:pPr>
            <w:pStyle w:val="Heading2"/>
            <w:rPr>
              <w:szCs w:val="40"/>
            </w:rPr>
          </w:pPr>
        </w:p>
        <w:p w14:paraId="39D5A47C" w14:textId="77777777" w:rsidR="009934D4" w:rsidRDefault="009934D4" w:rsidP="00900AFC">
          <w:pPr>
            <w:pStyle w:val="Heading2"/>
            <w:rPr>
              <w:szCs w:val="40"/>
            </w:rPr>
          </w:pPr>
        </w:p>
        <w:p w14:paraId="5413EB48" w14:textId="77777777" w:rsidR="009934D4" w:rsidRDefault="009934D4" w:rsidP="00900AFC">
          <w:pPr>
            <w:pStyle w:val="Heading2"/>
            <w:rPr>
              <w:szCs w:val="40"/>
            </w:rPr>
          </w:pPr>
        </w:p>
        <w:p w14:paraId="1B3618E0" w14:textId="77777777" w:rsidR="009934D4" w:rsidRDefault="009934D4" w:rsidP="00900AFC">
          <w:pPr>
            <w:pStyle w:val="Heading2"/>
            <w:rPr>
              <w:szCs w:val="40"/>
            </w:rPr>
          </w:pPr>
        </w:p>
        <w:p w14:paraId="7CA43DFA" w14:textId="77777777" w:rsidR="00EE3142" w:rsidRDefault="00EE3142" w:rsidP="00900AFC">
          <w:pPr>
            <w:pStyle w:val="Heading2"/>
            <w:rPr>
              <w:szCs w:val="40"/>
            </w:rPr>
          </w:pPr>
        </w:p>
        <w:p w14:paraId="5866240C" w14:textId="77777777" w:rsidR="00EE3142" w:rsidRDefault="00EE3142" w:rsidP="00900AFC">
          <w:pPr>
            <w:pStyle w:val="Heading2"/>
            <w:rPr>
              <w:szCs w:val="40"/>
            </w:rPr>
          </w:pPr>
        </w:p>
        <w:p w14:paraId="1273C243" w14:textId="77777777" w:rsidR="00900AFC" w:rsidRPr="00E01DB0" w:rsidRDefault="00900AFC" w:rsidP="00900AFC">
          <w:pPr>
            <w:pStyle w:val="Heading2"/>
            <w:rPr>
              <w:szCs w:val="40"/>
            </w:rPr>
          </w:pPr>
          <w:bookmarkStart w:id="38" w:name="_Toc93658148"/>
          <w:r w:rsidRPr="00E01DB0">
            <w:rPr>
              <w:szCs w:val="40"/>
            </w:rPr>
            <w:t>Disclaimer</w:t>
          </w:r>
          <w:bookmarkEnd w:id="28"/>
          <w:bookmarkEnd w:id="29"/>
          <w:bookmarkEnd w:id="30"/>
          <w:bookmarkEnd w:id="31"/>
          <w:bookmarkEnd w:id="32"/>
          <w:bookmarkEnd w:id="33"/>
          <w:bookmarkEnd w:id="34"/>
          <w:bookmarkEnd w:id="35"/>
          <w:bookmarkEnd w:id="36"/>
          <w:bookmarkEnd w:id="37"/>
          <w:bookmarkEnd w:id="38"/>
        </w:p>
        <w:p w14:paraId="7DF03258" w14:textId="77777777" w:rsidR="00174B13" w:rsidRDefault="00900AFC" w:rsidP="00174B13">
          <w:r>
            <w:t xml:space="preserve">The Australian Government as represented by the Department of Industry, Science, Energy and Resources </w:t>
          </w:r>
          <w:r w:rsidR="00174B13">
            <w:t xml:space="preserve">(the Department) </w:t>
          </w:r>
          <w:r>
            <w:t>has exercised due care and skill in the preparation and compilation of the information and data in this paper.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paper. The reader should rely on their own inquiries to independently confirm the information and comment on which they intend to act. This paper does not indicate commitment by the Australian Government to a particular course of action.</w:t>
          </w:r>
        </w:p>
      </w:sdtContent>
    </w:sdt>
    <w:p w14:paraId="02C8480B" w14:textId="77777777" w:rsidR="00174B13" w:rsidRPr="002A1C8C" w:rsidRDefault="00174B13" w:rsidP="00174B13">
      <w:r w:rsidRPr="00174B13">
        <w:t xml:space="preserve"> </w:t>
      </w:r>
    </w:p>
    <w:p w14:paraId="1CF00E49" w14:textId="31E78ED6" w:rsidR="00900AFC" w:rsidRPr="00E01DB0" w:rsidRDefault="00900AFC" w:rsidP="00CF1E23">
      <w:pPr>
        <w:pStyle w:val="Heading1"/>
        <w:spacing w:before="360" w:after="360"/>
        <w:rPr>
          <w:sz w:val="40"/>
          <w:szCs w:val="40"/>
        </w:rPr>
      </w:pPr>
      <w:bookmarkStart w:id="39" w:name="_Toc79586126"/>
      <w:bookmarkStart w:id="40" w:name="_Toc79656402"/>
      <w:bookmarkStart w:id="41" w:name="_Toc79667965"/>
      <w:bookmarkStart w:id="42" w:name="_Toc93658149"/>
      <w:bookmarkStart w:id="43" w:name="_Toc19023741"/>
      <w:r w:rsidRPr="00E01DB0">
        <w:rPr>
          <w:sz w:val="40"/>
          <w:szCs w:val="40"/>
        </w:rPr>
        <w:lastRenderedPageBreak/>
        <w:t>Introduction</w:t>
      </w:r>
      <w:bookmarkEnd w:id="39"/>
      <w:bookmarkEnd w:id="40"/>
      <w:bookmarkEnd w:id="41"/>
      <w:bookmarkEnd w:id="42"/>
    </w:p>
    <w:p w14:paraId="4060D1D3" w14:textId="2904126F" w:rsidR="00174B13" w:rsidRDefault="00D6067E" w:rsidP="00174B13">
      <w:r>
        <w:t xml:space="preserve">The minimum stockholding obligation (MSO) is established by the </w:t>
      </w:r>
      <w:r w:rsidRPr="00900AFC">
        <w:rPr>
          <w:i/>
        </w:rPr>
        <w:t>Fuel Security Act 2021</w:t>
      </w:r>
      <w:r>
        <w:t xml:space="preserve"> (the Act), which commenced on 30 June 2021. </w:t>
      </w:r>
      <w:r w:rsidR="00174B13">
        <w:t xml:space="preserve">This </w:t>
      </w:r>
      <w:r>
        <w:t>overview</w:t>
      </w:r>
      <w:r w:rsidR="00174B13">
        <w:t xml:space="preserve"> has been developed to </w:t>
      </w:r>
      <w:r w:rsidR="00692478">
        <w:t>provide a</w:t>
      </w:r>
      <w:r>
        <w:t xml:space="preserve"> </w:t>
      </w:r>
      <w:r w:rsidR="00DF0912">
        <w:t>summary</w:t>
      </w:r>
      <w:r>
        <w:t xml:space="preserve"> </w:t>
      </w:r>
      <w:r w:rsidR="00DF0912">
        <w:t>of the</w:t>
      </w:r>
      <w:r>
        <w:t xml:space="preserve"> key </w:t>
      </w:r>
      <w:r w:rsidR="00DF0912">
        <w:t>detail</w:t>
      </w:r>
      <w:r>
        <w:t xml:space="preserve"> </w:t>
      </w:r>
      <w:r w:rsidR="00DF0912">
        <w:t>contained within the</w:t>
      </w:r>
      <w:r>
        <w:t xml:space="preserve"> </w:t>
      </w:r>
      <w:r w:rsidR="00927481">
        <w:t xml:space="preserve">Exposure Draft of the </w:t>
      </w:r>
      <w:r>
        <w:t>Fuel Security (Minimum Stockholding Obli</w:t>
      </w:r>
      <w:r w:rsidR="00DF0912">
        <w:t>gation) Rules 2022</w:t>
      </w:r>
      <w:r>
        <w:t>.</w:t>
      </w:r>
      <w:r w:rsidR="00174B13">
        <w:t xml:space="preserve"> </w:t>
      </w:r>
    </w:p>
    <w:p w14:paraId="5D5E542E" w14:textId="69AF5E9F" w:rsidR="00174B13" w:rsidRDefault="00DE162D" w:rsidP="00174B13">
      <w:r>
        <w:t xml:space="preserve">Information on the Act and the </w:t>
      </w:r>
      <w:r w:rsidR="001B5C0B">
        <w:t xml:space="preserve">Australian Government’s </w:t>
      </w:r>
      <w:r>
        <w:t xml:space="preserve">Fuel Security Package can be found at </w:t>
      </w:r>
      <w:r w:rsidRPr="00DE162D">
        <w:rPr>
          <w:u w:val="single"/>
        </w:rPr>
        <w:t>https://www.energy.gov.au/government-priorities/energy-security/australias-fuel-security-package</w:t>
      </w:r>
      <w:r w:rsidR="00592449">
        <w:t>.</w:t>
      </w:r>
    </w:p>
    <w:p w14:paraId="06D06253" w14:textId="2508AA55" w:rsidR="00B35E43" w:rsidRPr="00150333" w:rsidRDefault="00B35E43" w:rsidP="00B35E43">
      <w:pPr>
        <w:rPr>
          <w:caps/>
        </w:rPr>
      </w:pPr>
      <w:r w:rsidRPr="003F117E">
        <w:t xml:space="preserve">The </w:t>
      </w:r>
      <w:r>
        <w:t>Department is seeking to achieve a fit-for-</w:t>
      </w:r>
      <w:r w:rsidRPr="003F117E">
        <w:t xml:space="preserve">purpose national framework that </w:t>
      </w:r>
      <w:r>
        <w:t>supports Australia’s fuel security</w:t>
      </w:r>
      <w:r w:rsidRPr="003F117E">
        <w:t xml:space="preserve">. </w:t>
      </w:r>
      <w:r w:rsidRPr="0026204A">
        <w:t>Implementing an MSO for fuel stocks</w:t>
      </w:r>
      <w:r w:rsidR="00927481">
        <w:t>, along with securing Australia’s refining capability through the Fuel Security Service Payment scheme,</w:t>
      </w:r>
      <w:r w:rsidRPr="0026204A">
        <w:t xml:space="preserve"> will protect fuel consumers and the Australian economy through ensuring ongoing fuel availability in the event of supply disruptions. Government, industry and consumers will all benefit from greater certainty of stocks held </w:t>
      </w:r>
      <w:r w:rsidR="00B15F2C">
        <w:t>across</w:t>
      </w:r>
      <w:r w:rsidRPr="0026204A">
        <w:t xml:space="preserve"> Australia at any point in time.</w:t>
      </w:r>
    </w:p>
    <w:p w14:paraId="0358B610" w14:textId="77777777" w:rsidR="00762396" w:rsidRDefault="00762396" w:rsidP="00762396">
      <w:r>
        <w:t xml:space="preserve">The Department has engaged with the fuel industry </w:t>
      </w:r>
      <w:r w:rsidR="00DE162D">
        <w:t>on the MSO policy and design</w:t>
      </w:r>
      <w:r>
        <w:t xml:space="preserve"> in recent months, as part of an ongoing engagement process. </w:t>
      </w:r>
    </w:p>
    <w:p w14:paraId="40D2CA6F" w14:textId="77777777" w:rsidR="004E7635" w:rsidRPr="004E7635" w:rsidRDefault="004E7635" w:rsidP="003F117E">
      <w:pPr>
        <w:pStyle w:val="Heading3"/>
        <w:spacing w:before="360" w:after="160"/>
      </w:pPr>
      <w:r w:rsidRPr="004E7635">
        <w:t>About the MSO</w:t>
      </w:r>
    </w:p>
    <w:p w14:paraId="71ACED12" w14:textId="77777777" w:rsidR="004E7635" w:rsidRDefault="004E7635" w:rsidP="004E7635">
      <w:r>
        <w:t>The primary objectives</w:t>
      </w:r>
      <w:r w:rsidR="00EA1E77">
        <w:t xml:space="preserve"> of </w:t>
      </w:r>
      <w:r w:rsidR="00A06A48">
        <w:t xml:space="preserve">implementing </w:t>
      </w:r>
      <w:r w:rsidR="00954E18">
        <w:t>the</w:t>
      </w:r>
      <w:r w:rsidR="00EA1E77">
        <w:t xml:space="preserve"> MSO</w:t>
      </w:r>
      <w:r>
        <w:t xml:space="preserve"> </w:t>
      </w:r>
      <w:r w:rsidR="00A06A48">
        <w:t xml:space="preserve">in </w:t>
      </w:r>
      <w:r w:rsidR="00EA1E77">
        <w:t>Australia</w:t>
      </w:r>
      <w:r>
        <w:t xml:space="preserve"> are to:</w:t>
      </w:r>
    </w:p>
    <w:p w14:paraId="120FC932" w14:textId="07CDF014" w:rsidR="004E7635" w:rsidRDefault="004E7635" w:rsidP="00EA1E77">
      <w:pPr>
        <w:pStyle w:val="ListParagraph"/>
        <w:numPr>
          <w:ilvl w:val="0"/>
          <w:numId w:val="18"/>
        </w:numPr>
        <w:spacing w:after="200" w:line="276" w:lineRule="auto"/>
      </w:pPr>
      <w:r>
        <w:t xml:space="preserve">Provide certainty to fuel consumers and governments of the minimum stocks of key </w:t>
      </w:r>
      <w:r w:rsidR="00EA1E77">
        <w:t xml:space="preserve">transport </w:t>
      </w:r>
      <w:r>
        <w:t xml:space="preserve">fuels (diesel, petrol and jet fuel) </w:t>
      </w:r>
      <w:r w:rsidR="0085336C">
        <w:t>ensuring availability</w:t>
      </w:r>
      <w:r>
        <w:t xml:space="preserve"> to Australia</w:t>
      </w:r>
      <w:r w:rsidR="00AF4DD7">
        <w:t>ns</w:t>
      </w:r>
      <w:r>
        <w:t>.</w:t>
      </w:r>
    </w:p>
    <w:p w14:paraId="02A64E2C" w14:textId="77777777" w:rsidR="004E7635" w:rsidRDefault="004E7635" w:rsidP="00EA1E77">
      <w:pPr>
        <w:pStyle w:val="ListParagraph"/>
        <w:numPr>
          <w:ilvl w:val="0"/>
          <w:numId w:val="18"/>
        </w:numPr>
        <w:spacing w:after="200" w:line="276" w:lineRule="auto"/>
      </w:pPr>
      <w:r>
        <w:t xml:space="preserve">Improve our baseline </w:t>
      </w:r>
      <w:r w:rsidR="00ED3379">
        <w:t xml:space="preserve">supply chain </w:t>
      </w:r>
      <w:r>
        <w:t xml:space="preserve">resilience for these fuels, and significantly increase diesel </w:t>
      </w:r>
      <w:r w:rsidR="00C93FEE">
        <w:t xml:space="preserve">stocks </w:t>
      </w:r>
      <w:r>
        <w:t>by 40% from a pre</w:t>
      </w:r>
      <w:r>
        <w:noBreakHyphen/>
        <w:t xml:space="preserve">COVID-19 business-as-usual baseline. </w:t>
      </w:r>
    </w:p>
    <w:p w14:paraId="41119AA4" w14:textId="77777777" w:rsidR="004E7635" w:rsidRDefault="004E7635" w:rsidP="00EA1E77">
      <w:pPr>
        <w:pStyle w:val="ListParagraph"/>
        <w:numPr>
          <w:ilvl w:val="0"/>
          <w:numId w:val="18"/>
        </w:numPr>
        <w:spacing w:after="200" w:line="276" w:lineRule="auto"/>
      </w:pPr>
      <w:r>
        <w:t xml:space="preserve">Allow market participants to manage the required stock levels within their own supply chains without the Australian Government becoming a fuel market participant. </w:t>
      </w:r>
      <w:r w:rsidR="00954E18">
        <w:t>I</w:t>
      </w:r>
      <w:r>
        <w:t xml:space="preserve">ndustry is best placed to manage fuel stocks, while the Government maintains certain powers to control mandated stocks in times of emergency through legislative mechanisms under </w:t>
      </w:r>
      <w:r w:rsidRPr="002119ED">
        <w:t>the</w:t>
      </w:r>
      <w:r w:rsidR="00954E18">
        <w:t xml:space="preserve"> Act and the</w:t>
      </w:r>
      <w:r w:rsidRPr="002119ED">
        <w:t xml:space="preserve"> </w:t>
      </w:r>
      <w:r w:rsidRPr="002119ED">
        <w:rPr>
          <w:i/>
        </w:rPr>
        <w:t>Liquid Fuels Emergency Act</w:t>
      </w:r>
      <w:r w:rsidR="002119ED" w:rsidRPr="002119ED">
        <w:rPr>
          <w:i/>
        </w:rPr>
        <w:t xml:space="preserve"> 1984</w:t>
      </w:r>
      <w:r>
        <w:t xml:space="preserve">. </w:t>
      </w:r>
    </w:p>
    <w:p w14:paraId="5B66694F" w14:textId="77777777" w:rsidR="00B90FC1" w:rsidRDefault="008B6C90" w:rsidP="00B90FC1">
      <w:pPr>
        <w:pStyle w:val="ListParagraph"/>
        <w:numPr>
          <w:ilvl w:val="0"/>
          <w:numId w:val="18"/>
        </w:numPr>
        <w:spacing w:after="200" w:line="276" w:lineRule="auto"/>
      </w:pPr>
      <w:r>
        <w:t>Contribute to</w:t>
      </w:r>
      <w:r w:rsidR="004E7635">
        <w:t xml:space="preserve"> Australia meet</w:t>
      </w:r>
      <w:r w:rsidR="00EA1E77">
        <w:t>ing</w:t>
      </w:r>
      <w:r w:rsidR="004E7635">
        <w:t xml:space="preserve"> its oil stockholding obligations as a member of the International Energy Agency (IEA). </w:t>
      </w:r>
    </w:p>
    <w:p w14:paraId="561B9CD1" w14:textId="77777777" w:rsidR="00751E64" w:rsidRDefault="00751E64">
      <w:pPr>
        <w:rPr>
          <w:rFonts w:asciiTheme="majorHAnsi" w:eastAsiaTheme="majorEastAsia" w:hAnsiTheme="majorHAnsi" w:cstheme="majorBidi"/>
          <w:color w:val="005677" w:themeColor="text2"/>
          <w:sz w:val="40"/>
          <w:szCs w:val="40"/>
        </w:rPr>
      </w:pPr>
      <w:bookmarkStart w:id="44" w:name="_Toc79586131"/>
      <w:bookmarkStart w:id="45" w:name="_Toc79656406"/>
      <w:bookmarkStart w:id="46" w:name="_Toc79667969"/>
    </w:p>
    <w:p w14:paraId="7C5BDBCF" w14:textId="77777777" w:rsidR="00751E64" w:rsidRDefault="00751E64">
      <w:pPr>
        <w:rPr>
          <w:rFonts w:asciiTheme="majorHAnsi" w:eastAsiaTheme="majorEastAsia" w:hAnsiTheme="majorHAnsi" w:cstheme="majorBidi"/>
          <w:color w:val="005677" w:themeColor="text2"/>
          <w:sz w:val="40"/>
          <w:szCs w:val="40"/>
        </w:rPr>
      </w:pPr>
    </w:p>
    <w:p w14:paraId="6B0C84E4" w14:textId="77777777" w:rsidR="00751E64" w:rsidRDefault="00751E64">
      <w:pPr>
        <w:rPr>
          <w:rFonts w:asciiTheme="majorHAnsi" w:eastAsiaTheme="majorEastAsia" w:hAnsiTheme="majorHAnsi" w:cstheme="majorBidi"/>
          <w:color w:val="005677" w:themeColor="text2"/>
          <w:sz w:val="40"/>
          <w:szCs w:val="40"/>
        </w:rPr>
      </w:pPr>
    </w:p>
    <w:p w14:paraId="5A52FFDC" w14:textId="77777777" w:rsidR="00751E64" w:rsidRDefault="00751E64">
      <w:pPr>
        <w:rPr>
          <w:rFonts w:asciiTheme="majorHAnsi" w:eastAsiaTheme="majorEastAsia" w:hAnsiTheme="majorHAnsi" w:cstheme="majorBidi"/>
          <w:color w:val="005677" w:themeColor="text2"/>
          <w:sz w:val="40"/>
          <w:szCs w:val="40"/>
        </w:rPr>
      </w:pPr>
    </w:p>
    <w:p w14:paraId="329B32EE" w14:textId="77777777" w:rsidR="00751E64" w:rsidRDefault="00751E64" w:rsidP="00751E64">
      <w:pPr>
        <w:pStyle w:val="Heading1"/>
        <w:spacing w:before="360" w:after="360"/>
        <w:rPr>
          <w:sz w:val="40"/>
          <w:szCs w:val="40"/>
        </w:rPr>
      </w:pPr>
      <w:bookmarkStart w:id="47" w:name="_Toc93658150"/>
      <w:r>
        <w:rPr>
          <w:sz w:val="40"/>
          <w:szCs w:val="40"/>
        </w:rPr>
        <w:lastRenderedPageBreak/>
        <w:t xml:space="preserve">Overview of the </w:t>
      </w:r>
      <w:r w:rsidRPr="00E01DB0">
        <w:rPr>
          <w:sz w:val="40"/>
          <w:szCs w:val="40"/>
        </w:rPr>
        <w:t xml:space="preserve">MSO </w:t>
      </w:r>
      <w:r>
        <w:rPr>
          <w:sz w:val="40"/>
          <w:szCs w:val="40"/>
        </w:rPr>
        <w:t>Rules</w:t>
      </w:r>
      <w:bookmarkEnd w:id="47"/>
      <w:r w:rsidRPr="00E01DB0">
        <w:rPr>
          <w:sz w:val="40"/>
          <w:szCs w:val="40"/>
        </w:rPr>
        <w:t xml:space="preserve"> </w:t>
      </w:r>
    </w:p>
    <w:p w14:paraId="7512F83C" w14:textId="3160734E" w:rsidR="004941B8" w:rsidRDefault="00751E64" w:rsidP="00751E64">
      <w:r>
        <w:t>A national level obligation will be established for corporate importing and refining entities that operate in Australia</w:t>
      </w:r>
      <w:r w:rsidR="004941B8">
        <w:t xml:space="preserve"> in relation to gasoline (petrol), kerosene (jet fuel) and diesel transport fuels</w:t>
      </w:r>
      <w:r>
        <w:t xml:space="preserve">. </w:t>
      </w:r>
      <w:r w:rsidR="004941B8">
        <w:t xml:space="preserve">If captured by the scheme, these entities will then be required to </w:t>
      </w:r>
      <w:r w:rsidR="001B5C0B">
        <w:t xml:space="preserve">hold </w:t>
      </w:r>
      <w:r w:rsidR="004941B8">
        <w:t xml:space="preserve">a minimum quantity of these fuels nationally. The Minister will set a national consumption cover day target, and each regulated entity will have a specific obligation determined by reference to the national target and their own historical operations. </w:t>
      </w:r>
    </w:p>
    <w:p w14:paraId="291FC22B" w14:textId="7DC74395" w:rsidR="004941B8" w:rsidRDefault="004941B8" w:rsidP="004941B8">
      <w:pPr>
        <w:pStyle w:val="Heading3"/>
      </w:pPr>
      <w:r>
        <w:t>Application of the MSO</w:t>
      </w:r>
    </w:p>
    <w:p w14:paraId="18A37AA9" w14:textId="1938410E" w:rsidR="004941B8" w:rsidRPr="004941B8" w:rsidRDefault="004941B8" w:rsidP="00EE3142">
      <w:pPr>
        <w:pStyle w:val="Heading4"/>
        <w:spacing w:after="240"/>
      </w:pPr>
      <w:r>
        <w:t>Minister sets quantity</w:t>
      </w:r>
    </w:p>
    <w:p w14:paraId="3EF2D1B8" w14:textId="673E709B" w:rsidR="004941B8" w:rsidRDefault="004941B8" w:rsidP="00751E64">
      <w:r>
        <w:t xml:space="preserve">The Minister will set the consumption cover day </w:t>
      </w:r>
      <w:r w:rsidR="000E30D6">
        <w:t xml:space="preserve">(CCD) </w:t>
      </w:r>
      <w:r>
        <w:t>quantity via notifiable instrument. The indicative target days for each fuel type are:</w:t>
      </w:r>
    </w:p>
    <w:p w14:paraId="6256256E" w14:textId="0C48C70E" w:rsidR="004941B8" w:rsidRDefault="004941B8" w:rsidP="004941B8">
      <w:pPr>
        <w:pStyle w:val="ListParagraph"/>
        <w:numPr>
          <w:ilvl w:val="0"/>
          <w:numId w:val="45"/>
        </w:numPr>
      </w:pPr>
      <w:r>
        <w:t xml:space="preserve">24 </w:t>
      </w:r>
      <w:r w:rsidR="000E30D6">
        <w:t>CCDs</w:t>
      </w:r>
      <w:r>
        <w:t xml:space="preserve"> of petrol</w:t>
      </w:r>
    </w:p>
    <w:p w14:paraId="13463BA9" w14:textId="7CD68A17" w:rsidR="004941B8" w:rsidRDefault="004941B8" w:rsidP="004941B8">
      <w:pPr>
        <w:pStyle w:val="ListParagraph"/>
        <w:numPr>
          <w:ilvl w:val="0"/>
          <w:numId w:val="45"/>
        </w:numPr>
      </w:pPr>
      <w:r>
        <w:t xml:space="preserve">24 </w:t>
      </w:r>
      <w:r w:rsidR="000E30D6">
        <w:t>CCDs</w:t>
      </w:r>
      <w:r>
        <w:t xml:space="preserve"> of jet fuel</w:t>
      </w:r>
    </w:p>
    <w:p w14:paraId="1E3C762F" w14:textId="3F36A574" w:rsidR="004941B8" w:rsidRDefault="004941B8" w:rsidP="004941B8">
      <w:pPr>
        <w:pStyle w:val="ListParagraph"/>
        <w:numPr>
          <w:ilvl w:val="0"/>
          <w:numId w:val="45"/>
        </w:numPr>
      </w:pPr>
      <w:r>
        <w:t xml:space="preserve">20 </w:t>
      </w:r>
      <w:r w:rsidR="000E30D6">
        <w:t>CCDs</w:t>
      </w:r>
      <w:r>
        <w:t xml:space="preserve"> of diesel</w:t>
      </w:r>
    </w:p>
    <w:p w14:paraId="677D1039" w14:textId="3D0C3569" w:rsidR="00AD27C4" w:rsidRDefault="00AD27C4" w:rsidP="00AD27C4">
      <w:r>
        <w:t>This baseline aligns with</w:t>
      </w:r>
      <w:r w:rsidRPr="00B5342C">
        <w:t xml:space="preserve"> the average consumption cove</w:t>
      </w:r>
      <w:r>
        <w:t xml:space="preserve">r </w:t>
      </w:r>
      <w:r w:rsidRPr="00B5342C">
        <w:t>stockholdings in Australia during the 2018 and 2019 calendar years (24 month average)</w:t>
      </w:r>
      <w:r>
        <w:t xml:space="preserve">, based on data reported through </w:t>
      </w:r>
      <w:r w:rsidRPr="00D55AF4">
        <w:t>the</w:t>
      </w:r>
      <w:r>
        <w:t xml:space="preserve"> </w:t>
      </w:r>
      <w:r w:rsidRPr="00AD27C4">
        <w:rPr>
          <w:i/>
        </w:rPr>
        <w:t>Petroleum and Other Fuels Reporting Act 2017.</w:t>
      </w:r>
      <w:r w:rsidRPr="00817F13">
        <w:t xml:space="preserve"> </w:t>
      </w:r>
      <w:r w:rsidR="000E30D6">
        <w:t>There will also be a 40% increase in the diesel CCD target from 1 July 2024</w:t>
      </w:r>
      <w:r w:rsidR="00D324E9">
        <w:t>, as well as an increase to reflect stock being held on water</w:t>
      </w:r>
      <w:r w:rsidR="000E30D6">
        <w:t>.</w:t>
      </w:r>
      <w:r w:rsidR="00A80542">
        <w:t xml:space="preserve"> </w:t>
      </w:r>
      <w:r w:rsidR="001B5C0B">
        <w:t>Other increases to CCDs may also be required subject to this consultation process and final policy settings.</w:t>
      </w:r>
    </w:p>
    <w:p w14:paraId="45454F9B" w14:textId="77777777" w:rsidR="000C2EC6" w:rsidRPr="00D240EC" w:rsidRDefault="000C2EC6" w:rsidP="000C2EC6">
      <w:pPr>
        <w:rPr>
          <w:rStyle w:val="Strong"/>
          <w:rFonts w:eastAsia="Calibri" w:cstheme="minorHAnsi"/>
          <w:b w:val="0"/>
        </w:rPr>
      </w:pPr>
      <w:r w:rsidRPr="00D240EC">
        <w:rPr>
          <w:rStyle w:val="Strong"/>
          <w:rFonts w:eastAsia="Calibri" w:cstheme="minorHAnsi"/>
          <w:b w:val="0"/>
        </w:rPr>
        <w:t xml:space="preserve">NB: </w:t>
      </w:r>
      <w:r>
        <w:rPr>
          <w:rStyle w:val="Strong"/>
          <w:rFonts w:eastAsia="Calibri" w:cstheme="minorHAnsi"/>
          <w:b w:val="0"/>
        </w:rPr>
        <w:t xml:space="preserve">CCDs cannot </w:t>
      </w:r>
      <w:bookmarkStart w:id="48" w:name="_GoBack"/>
      <w:bookmarkEnd w:id="48"/>
      <w:r>
        <w:rPr>
          <w:rStyle w:val="Strong"/>
          <w:rFonts w:eastAsia="Calibri" w:cstheme="minorHAnsi"/>
          <w:b w:val="0"/>
        </w:rPr>
        <w:t xml:space="preserve">be compared to IEA days used to measure the 90-day stockholding obligation as set by the International Energy Agency. </w:t>
      </w:r>
    </w:p>
    <w:p w14:paraId="6BEDE3FA" w14:textId="0F0BC940" w:rsidR="004941B8" w:rsidRDefault="000C2EC6" w:rsidP="000C2EC6">
      <w:pPr>
        <w:pStyle w:val="Heading4"/>
        <w:spacing w:after="240"/>
      </w:pPr>
      <w:r>
        <w:t xml:space="preserve"> </w:t>
      </w:r>
      <w:r w:rsidR="004941B8">
        <w:t xml:space="preserve">The MSO is triggered </w:t>
      </w:r>
    </w:p>
    <w:p w14:paraId="4B6E22D3" w14:textId="2DD65822" w:rsidR="004941B8" w:rsidRDefault="004941B8" w:rsidP="00751E64">
      <w:r>
        <w:t xml:space="preserve">Importing and refining entities will be </w:t>
      </w:r>
      <w:r w:rsidR="001B5C0B">
        <w:t>regulated</w:t>
      </w:r>
      <w:r>
        <w:t xml:space="preserve"> by the scheme if they fulfil certain requirements:</w:t>
      </w:r>
    </w:p>
    <w:p w14:paraId="21A4A82A" w14:textId="1C21FEF3" w:rsidR="004941B8" w:rsidRDefault="004941B8" w:rsidP="004941B8">
      <w:pPr>
        <w:pStyle w:val="ListParagraph"/>
        <w:numPr>
          <w:ilvl w:val="0"/>
          <w:numId w:val="44"/>
        </w:numPr>
      </w:pPr>
      <w:r>
        <w:t xml:space="preserve">They import or refine petrol, jet fuel </w:t>
      </w:r>
      <w:r w:rsidR="00DA1CD7">
        <w:t>and/</w:t>
      </w:r>
      <w:r>
        <w:t>or diesel.</w:t>
      </w:r>
    </w:p>
    <w:p w14:paraId="6B35EF3A" w14:textId="343A7BA3" w:rsidR="004941B8" w:rsidRDefault="004941B8" w:rsidP="004941B8">
      <w:pPr>
        <w:pStyle w:val="ListParagraph"/>
        <w:numPr>
          <w:ilvl w:val="0"/>
          <w:numId w:val="44"/>
        </w:numPr>
      </w:pPr>
      <w:r>
        <w:t>In any calendar year (the ‘trigger assessment period’) they import or refine volumes above the set thresholds for any (or all) of the three MSO fuel types:</w:t>
      </w:r>
    </w:p>
    <w:p w14:paraId="3F6E2D03" w14:textId="6800EA87" w:rsidR="004941B8" w:rsidRDefault="004941B8" w:rsidP="004941B8">
      <w:pPr>
        <w:pStyle w:val="ListParagraph"/>
        <w:numPr>
          <w:ilvl w:val="1"/>
          <w:numId w:val="44"/>
        </w:numPr>
      </w:pPr>
      <w:r>
        <w:t>300</w:t>
      </w:r>
      <w:r w:rsidR="00581A78">
        <w:t xml:space="preserve"> megalitres (ML)</w:t>
      </w:r>
      <w:r>
        <w:t xml:space="preserve"> of petrol</w:t>
      </w:r>
    </w:p>
    <w:p w14:paraId="1E3B81D4" w14:textId="72E50E6F" w:rsidR="004941B8" w:rsidRDefault="004941B8" w:rsidP="004941B8">
      <w:pPr>
        <w:pStyle w:val="ListParagraph"/>
        <w:numPr>
          <w:ilvl w:val="1"/>
          <w:numId w:val="44"/>
        </w:numPr>
      </w:pPr>
      <w:r>
        <w:t xml:space="preserve">400 </w:t>
      </w:r>
      <w:r w:rsidR="00581A78">
        <w:t>ML</w:t>
      </w:r>
      <w:r>
        <w:t xml:space="preserve"> of jet fuel</w:t>
      </w:r>
    </w:p>
    <w:p w14:paraId="7F0F544E" w14:textId="1E979F5C" w:rsidR="004941B8" w:rsidRDefault="004941B8" w:rsidP="004941B8">
      <w:pPr>
        <w:pStyle w:val="ListParagraph"/>
        <w:numPr>
          <w:ilvl w:val="1"/>
          <w:numId w:val="44"/>
        </w:numPr>
      </w:pPr>
      <w:r>
        <w:t xml:space="preserve">350 </w:t>
      </w:r>
      <w:r w:rsidR="00581A78">
        <w:t>ML</w:t>
      </w:r>
      <w:r>
        <w:t xml:space="preserve"> of diesel</w:t>
      </w:r>
    </w:p>
    <w:p w14:paraId="7E9E61C9" w14:textId="2CD93736" w:rsidR="002A7A59" w:rsidRPr="00AE6CA5" w:rsidRDefault="002A7A59" w:rsidP="004941B8">
      <w:r>
        <w:t xml:space="preserve">Import figures will be </w:t>
      </w:r>
      <w:r w:rsidR="00AE6CA5">
        <w:t>based off the total imports for each entity during the</w:t>
      </w:r>
      <w:r w:rsidR="00DA1CD7">
        <w:t xml:space="preserve"> 2019 or</w:t>
      </w:r>
      <w:r w:rsidR="00AE6CA5">
        <w:t xml:space="preserve"> </w:t>
      </w:r>
      <w:r w:rsidR="00AE6CA5" w:rsidRPr="00DA1CD7">
        <w:t>2021</w:t>
      </w:r>
      <w:r w:rsidR="00AE6CA5">
        <w:t xml:space="preserve"> calendar year</w:t>
      </w:r>
      <w:r w:rsidR="00DA1CD7">
        <w:t>s</w:t>
      </w:r>
      <w:r w:rsidR="00AE6CA5">
        <w:t xml:space="preserve">, as declared through the </w:t>
      </w:r>
      <w:r>
        <w:t>Nature 10 (N10) and Nature 30 (N30) customs declarations</w:t>
      </w:r>
      <w:r w:rsidR="00AE6CA5">
        <w:t xml:space="preserve"> to the Australian Border Force. Subsequent years will use data provided through the amendment of the </w:t>
      </w:r>
      <w:r w:rsidR="00AE6CA5">
        <w:rPr>
          <w:i/>
        </w:rPr>
        <w:t>Petroleum and Other Fuels Reporting Rules</w:t>
      </w:r>
      <w:r w:rsidR="00AE6CA5">
        <w:t xml:space="preserve">, which have also been released for public consultation. </w:t>
      </w:r>
    </w:p>
    <w:p w14:paraId="126340BA" w14:textId="5079BD3E" w:rsidR="00AE6CA5" w:rsidRDefault="00AE6CA5" w:rsidP="004941B8">
      <w:r>
        <w:t xml:space="preserve">Production figures will be based off the total production values provided by the refiners to the Department through the </w:t>
      </w:r>
      <w:r>
        <w:rPr>
          <w:i/>
        </w:rPr>
        <w:t xml:space="preserve">Petroleum and Other Fuels Reporting </w:t>
      </w:r>
      <w:r w:rsidRPr="00AE6CA5">
        <w:rPr>
          <w:i/>
        </w:rPr>
        <w:t>Rules</w:t>
      </w:r>
      <w:r>
        <w:t xml:space="preserve"> </w:t>
      </w:r>
      <w:r w:rsidRPr="00AE6CA5">
        <w:t>through</w:t>
      </w:r>
      <w:r>
        <w:t xml:space="preserve"> their normal monthly reporting processes.</w:t>
      </w:r>
    </w:p>
    <w:p w14:paraId="4EE9D6F7" w14:textId="2C87D3F0" w:rsidR="00AE6CA5" w:rsidRDefault="004941B8">
      <w:pPr>
        <w:rPr>
          <w:rFonts w:asciiTheme="majorHAnsi" w:eastAsiaTheme="majorEastAsia" w:hAnsiTheme="majorHAnsi" w:cstheme="majorBidi"/>
          <w:iCs/>
          <w:color w:val="005677" w:themeColor="text2"/>
          <w:sz w:val="28"/>
          <w:szCs w:val="28"/>
        </w:rPr>
      </w:pPr>
      <w:r>
        <w:lastRenderedPageBreak/>
        <w:t>In the first year of operation, the Secretary of the Department will advise each entity that they have triggered the obligation, and notify them of their expected MSO designa</w:t>
      </w:r>
      <w:r w:rsidR="00DA1CD7">
        <w:t xml:space="preserve">ted quantity for each fuel type, based on their 2021 data, </w:t>
      </w:r>
      <w:r>
        <w:t>using the formula below.</w:t>
      </w:r>
    </w:p>
    <w:p w14:paraId="26D1C39B" w14:textId="695DCF62" w:rsidR="004941B8" w:rsidRDefault="004941B8" w:rsidP="00EE3142">
      <w:pPr>
        <w:pStyle w:val="Heading4"/>
        <w:spacing w:after="240"/>
      </w:pPr>
      <w:r>
        <w:t>Designated quantity formula</w:t>
      </w:r>
    </w:p>
    <w:p w14:paraId="7BBC159E" w14:textId="28EE7FA4" w:rsidR="00581A78" w:rsidRPr="00581A78" w:rsidRDefault="00581A78" w:rsidP="00581A78">
      <w:r>
        <w:t>To determine an entity’s MSO for each fuel type, the following formula will be used:</w:t>
      </w:r>
    </w:p>
    <w:p w14:paraId="17D1E5CE" w14:textId="77777777" w:rsidR="00581A78" w:rsidRDefault="004941B8" w:rsidP="004941B8">
      <w:pPr>
        <w:pStyle w:val="Heading4"/>
      </w:pPr>
      <w:r>
        <w:rPr>
          <w:noProof/>
          <w:lang w:eastAsia="en-AU"/>
        </w:rPr>
        <w:drawing>
          <wp:inline distT="0" distB="0" distL="0" distR="0" wp14:anchorId="0948547D" wp14:editId="36DDE447">
            <wp:extent cx="5731510" cy="8648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864870"/>
                    </a:xfrm>
                    <a:prstGeom prst="rect">
                      <a:avLst/>
                    </a:prstGeom>
                  </pic:spPr>
                </pic:pic>
              </a:graphicData>
            </a:graphic>
          </wp:inline>
        </w:drawing>
      </w:r>
      <w:r>
        <w:t xml:space="preserve"> </w:t>
      </w:r>
    </w:p>
    <w:p w14:paraId="5F9DD4AA" w14:textId="77777777" w:rsidR="00514073" w:rsidRDefault="00514073" w:rsidP="00581A78">
      <w:pPr>
        <w:rPr>
          <w:b/>
        </w:rPr>
      </w:pPr>
    </w:p>
    <w:p w14:paraId="60A3736B" w14:textId="77777777" w:rsidR="00581A78" w:rsidRPr="00581A78" w:rsidRDefault="00581A78" w:rsidP="00581A78">
      <w:pPr>
        <w:rPr>
          <w:b/>
        </w:rPr>
      </w:pPr>
      <w:r w:rsidRPr="00581A78">
        <w:rPr>
          <w:b/>
        </w:rPr>
        <w:t>Worked example:</w:t>
      </w:r>
    </w:p>
    <w:p w14:paraId="1A42DC34" w14:textId="6148C29F" w:rsidR="00581A78" w:rsidRDefault="00581A78" w:rsidP="00581A78">
      <w:r>
        <w:t>Entity A imports 500ML of petrol</w:t>
      </w:r>
      <w:r w:rsidR="00DA1CD7">
        <w:t xml:space="preserve"> in 2021.</w:t>
      </w:r>
    </w:p>
    <w:p w14:paraId="3C72160D" w14:textId="5BC4F2D6" w:rsidR="00581A78" w:rsidRDefault="00581A78" w:rsidP="00581A78">
      <w:r>
        <w:t xml:space="preserve">500 ML </w:t>
      </w:r>
      <w:r>
        <w:rPr>
          <w:rFonts w:cstheme="minorHAnsi"/>
        </w:rPr>
        <w:t>÷</w:t>
      </w:r>
      <w:r>
        <w:t xml:space="preserve"> 365 </w:t>
      </w:r>
      <w:r>
        <w:rPr>
          <w:rFonts w:cstheme="minorHAnsi"/>
        </w:rPr>
        <w:t>×</w:t>
      </w:r>
      <w:r>
        <w:t xml:space="preserve"> 24 CCD = </w:t>
      </w:r>
      <w:r w:rsidRPr="00581A78">
        <w:rPr>
          <w:b/>
        </w:rPr>
        <w:t>33ML for petrol</w:t>
      </w:r>
      <w:r>
        <w:t xml:space="preserve"> (rounded to the nearest ML). </w:t>
      </w:r>
    </w:p>
    <w:p w14:paraId="0EA6CD06" w14:textId="572342C3" w:rsidR="00581A78" w:rsidRDefault="00581A78" w:rsidP="00581A78">
      <w:r>
        <w:t>Therefore Entity A has an MSO of 33ML for petrol. This is the minimum volume of stock that Entity A is required to hold on each ‘obligation day’</w:t>
      </w:r>
      <w:r w:rsidR="00D324E9">
        <w:t xml:space="preserve"> – the day they are required to confirm their stockholdings (see below)</w:t>
      </w:r>
      <w:r>
        <w:t xml:space="preserve">. </w:t>
      </w:r>
    </w:p>
    <w:p w14:paraId="4E81E274" w14:textId="12AF15BA" w:rsidR="00581A78" w:rsidRDefault="00581A78" w:rsidP="00581A78">
      <w:r>
        <w:t xml:space="preserve">The Secretary is required to provide each regulated entity with at least 3 months’ notice before the obligation period begins, allowing time to amend business processes as required to meet the MSO. </w:t>
      </w:r>
    </w:p>
    <w:p w14:paraId="3A8AB445" w14:textId="4B0849F9" w:rsidR="00581A78" w:rsidRDefault="00581A78" w:rsidP="00EE3142">
      <w:pPr>
        <w:pStyle w:val="Heading4"/>
        <w:spacing w:after="240"/>
      </w:pPr>
      <w:r>
        <w:t>Stockholding</w:t>
      </w:r>
    </w:p>
    <w:p w14:paraId="0DC7F4D5" w14:textId="1D7A2DEC" w:rsidR="00581A78" w:rsidRDefault="00514073" w:rsidP="00581A78">
      <w:r>
        <w:t xml:space="preserve">Once an entity </w:t>
      </w:r>
      <w:r w:rsidR="001B5C0B">
        <w:t>has become regulated</w:t>
      </w:r>
      <w:r>
        <w:t xml:space="preserve"> under the scheme, and their MSO for each relevant fuel type has been set, </w:t>
      </w:r>
      <w:r w:rsidR="005C72F2">
        <w:t xml:space="preserve">each entity will need to report their stockholding levels for each obligation day, ensuring they are above their MSO for each fuel type. </w:t>
      </w:r>
      <w:r>
        <w:t xml:space="preserve"> </w:t>
      </w:r>
    </w:p>
    <w:p w14:paraId="3025CC0B" w14:textId="28AAC555" w:rsidR="00A52F51" w:rsidRPr="000D5A13" w:rsidRDefault="00A52F51" w:rsidP="00A52F51">
      <w:pPr>
        <w:rPr>
          <w:szCs w:val="24"/>
        </w:rPr>
      </w:pPr>
      <w:r w:rsidRPr="000D5A13">
        <w:rPr>
          <w:szCs w:val="24"/>
        </w:rPr>
        <w:t xml:space="preserve">To </w:t>
      </w:r>
      <w:r>
        <w:rPr>
          <w:szCs w:val="24"/>
        </w:rPr>
        <w:t>achieve</w:t>
      </w:r>
      <w:r w:rsidRPr="000D5A13">
        <w:rPr>
          <w:szCs w:val="24"/>
        </w:rPr>
        <w:t xml:space="preserve"> a balance between the </w:t>
      </w:r>
      <w:r>
        <w:rPr>
          <w:szCs w:val="24"/>
        </w:rPr>
        <w:t xml:space="preserve">MSO policy intent </w:t>
      </w:r>
      <w:r w:rsidRPr="000D5A13">
        <w:rPr>
          <w:szCs w:val="24"/>
        </w:rPr>
        <w:t xml:space="preserve">and </w:t>
      </w:r>
      <w:r>
        <w:rPr>
          <w:szCs w:val="24"/>
        </w:rPr>
        <w:t>the</w:t>
      </w:r>
      <w:r w:rsidRPr="000D5A13">
        <w:rPr>
          <w:szCs w:val="24"/>
        </w:rPr>
        <w:t xml:space="preserve"> impacts on industry, the preliminary position is to establish a </w:t>
      </w:r>
      <w:r>
        <w:rPr>
          <w:szCs w:val="24"/>
        </w:rPr>
        <w:t>fortnightly</w:t>
      </w:r>
      <w:r w:rsidRPr="000D5A13">
        <w:rPr>
          <w:szCs w:val="24"/>
        </w:rPr>
        <w:t xml:space="preserve"> </w:t>
      </w:r>
      <w:r>
        <w:rPr>
          <w:szCs w:val="24"/>
        </w:rPr>
        <w:t>o</w:t>
      </w:r>
      <w:r w:rsidRPr="000D5A13">
        <w:rPr>
          <w:szCs w:val="24"/>
        </w:rPr>
        <w:t xml:space="preserve">bligation </w:t>
      </w:r>
      <w:r>
        <w:rPr>
          <w:szCs w:val="24"/>
        </w:rPr>
        <w:t>d</w:t>
      </w:r>
      <w:r w:rsidRPr="000D5A13">
        <w:rPr>
          <w:szCs w:val="24"/>
        </w:rPr>
        <w:t>ay</w:t>
      </w:r>
      <w:r>
        <w:rPr>
          <w:szCs w:val="24"/>
        </w:rPr>
        <w:t xml:space="preserve"> for the first two years, before moving to a weekly obligation from 1 July 2024</w:t>
      </w:r>
      <w:r w:rsidRPr="000D5A13">
        <w:rPr>
          <w:szCs w:val="24"/>
        </w:rPr>
        <w:t xml:space="preserve">. </w:t>
      </w:r>
    </w:p>
    <w:p w14:paraId="4C16755A" w14:textId="351399B1" w:rsidR="00A52F51" w:rsidRDefault="005C72F2" w:rsidP="00581A78">
      <w:pPr>
        <w:rPr>
          <w:szCs w:val="24"/>
        </w:rPr>
      </w:pPr>
      <w:r>
        <w:t xml:space="preserve">The Department has </w:t>
      </w:r>
      <w:r w:rsidR="00A52F51">
        <w:t>allowed a</w:t>
      </w:r>
      <w:r>
        <w:t xml:space="preserve"> </w:t>
      </w:r>
      <w:r w:rsidR="00A52F51">
        <w:rPr>
          <w:szCs w:val="24"/>
        </w:rPr>
        <w:t>range of circumstances where petrol, jet fuel and diesel products can be counted toward an entity’s MSO including:</w:t>
      </w:r>
    </w:p>
    <w:p w14:paraId="656D81A6" w14:textId="206A9173" w:rsidR="00A52F51" w:rsidRDefault="00A52F51" w:rsidP="00A52F51">
      <w:pPr>
        <w:pStyle w:val="ListParagraph"/>
        <w:numPr>
          <w:ilvl w:val="0"/>
          <w:numId w:val="44"/>
        </w:numPr>
      </w:pPr>
      <w:r>
        <w:t>Pipeline stocks</w:t>
      </w:r>
    </w:p>
    <w:p w14:paraId="0C5127A5" w14:textId="29B59AE7" w:rsidR="00A52F51" w:rsidRDefault="00A52F51" w:rsidP="00A52F51">
      <w:pPr>
        <w:pStyle w:val="ListParagraph"/>
        <w:numPr>
          <w:ilvl w:val="0"/>
          <w:numId w:val="44"/>
        </w:numPr>
      </w:pPr>
      <w:r>
        <w:t>Stocks on a vessel within Australia’s exclusive economic zone</w:t>
      </w:r>
    </w:p>
    <w:p w14:paraId="37044E8F" w14:textId="2764027A" w:rsidR="00A52F51" w:rsidRDefault="00EE3142" w:rsidP="00A52F51">
      <w:pPr>
        <w:pStyle w:val="ListParagraph"/>
        <w:numPr>
          <w:ilvl w:val="0"/>
          <w:numId w:val="44"/>
        </w:numPr>
      </w:pPr>
      <w:r>
        <w:t>Intermediary market stocks: s</w:t>
      </w:r>
      <w:r w:rsidR="00A52F51">
        <w:t xml:space="preserve">tocks where a legally enforceable arrangement is in place to allow the entity to count it towards their MSO (eg. reserved/quarantined stock, or in a situation where the entity is entitled to take ownership of the stock but it is not yet in their possession). </w:t>
      </w:r>
    </w:p>
    <w:p w14:paraId="017C66DF" w14:textId="62DB562F" w:rsidR="00A52F51" w:rsidRDefault="00A52F51" w:rsidP="00A52F51">
      <w:pPr>
        <w:pStyle w:val="ListParagraph"/>
        <w:numPr>
          <w:ilvl w:val="0"/>
          <w:numId w:val="44"/>
        </w:numPr>
      </w:pPr>
      <w:r>
        <w:t xml:space="preserve">Refiners can also include crude and unfinished product if it is </w:t>
      </w:r>
      <w:r w:rsidR="00C333F1">
        <w:t xml:space="preserve">located at the refinery, as it can be converted into refined product </w:t>
      </w:r>
      <w:r w:rsidR="001B5C0B">
        <w:t>at location</w:t>
      </w:r>
      <w:r w:rsidR="00C333F1">
        <w:t xml:space="preserve">. </w:t>
      </w:r>
    </w:p>
    <w:p w14:paraId="0696B218" w14:textId="0CA4AA74" w:rsidR="007D7E27" w:rsidRDefault="007D7E27" w:rsidP="00EE3142">
      <w:pPr>
        <w:pStyle w:val="Heading4"/>
        <w:spacing w:after="240"/>
      </w:pPr>
      <w:r>
        <w:t>Intermediary Market</w:t>
      </w:r>
    </w:p>
    <w:p w14:paraId="38595F06" w14:textId="77777777" w:rsidR="007D7E27" w:rsidRDefault="007D7E27" w:rsidP="007D7E27">
      <w:r w:rsidRPr="003442DF">
        <w:t xml:space="preserve">To support the implementation of the MSO, the Act establishes </w:t>
      </w:r>
      <w:r>
        <w:t xml:space="preserve">a mechanism for stocks which are outside of an entity’s direct control to be able to be counted toward their MSO.  </w:t>
      </w:r>
    </w:p>
    <w:p w14:paraId="579F3F92" w14:textId="77777777" w:rsidR="007D7E27" w:rsidRDefault="007D7E27" w:rsidP="007D7E27">
      <w:r>
        <w:lastRenderedPageBreak/>
        <w:t xml:space="preserve">The concept recognises an entities stockholding may (from time-to-time) be below their required MSO, and the need for a flexible industry-led option to resolve non-compliance in these instances. This would also allow entities who hold stocks above their required amounts to assist other entities to meet their MSO and support the national requirement through commercial arrangements. </w:t>
      </w:r>
    </w:p>
    <w:p w14:paraId="1356AE71" w14:textId="77777777" w:rsidR="007D7E27" w:rsidRDefault="007D7E27" w:rsidP="007D7E27">
      <w:r>
        <w:t>Flexibility in meeting the MSO through third party arrangements will provide opportunity for companies to minimise compliance costs, capture economies of scale and or adjust the size and location of their fuel stocks.</w:t>
      </w:r>
    </w:p>
    <w:p w14:paraId="7F6ED5D3" w14:textId="699D9244" w:rsidR="007D7E27" w:rsidRDefault="00B20417" w:rsidP="007D7E27">
      <w:r>
        <w:t>Through the Rules, the Government will enable the</w:t>
      </w:r>
      <w:r w:rsidR="007D7E27">
        <w:t xml:space="preserve"> intermediary market</w:t>
      </w:r>
      <w:r>
        <w:t xml:space="preserve">, but it is not the intended for the Government to become a market player or for the market to be heavily regulated. </w:t>
      </w:r>
      <w:r w:rsidR="007D7E27">
        <w:t xml:space="preserve"> It is the Department’s preliminary position that industry is best placed to establish processes to enable arrangements. However, the intermediary market framework will be closely monitored and subject to change</w:t>
      </w:r>
      <w:r>
        <w:t xml:space="preserve"> if deemed necessary</w:t>
      </w:r>
      <w:r w:rsidR="007D7E27">
        <w:t xml:space="preserve">. </w:t>
      </w:r>
    </w:p>
    <w:p w14:paraId="678A55F4" w14:textId="58423603" w:rsidR="007D7E27" w:rsidRDefault="007D7E27" w:rsidP="007D7E27">
      <w:r>
        <w:t xml:space="preserve">Auditable and accurate systems that ensure stocks are not counted twice will be </w:t>
      </w:r>
      <w:r w:rsidR="001B5C0B">
        <w:t>required</w:t>
      </w:r>
      <w:r>
        <w:t>.</w:t>
      </w:r>
    </w:p>
    <w:p w14:paraId="411066AE" w14:textId="77777777" w:rsidR="007D7E27" w:rsidRDefault="007D7E27" w:rsidP="007D7E27">
      <w:r>
        <w:t xml:space="preserve">Through a light-handed regulatory approach of the intermediary market, innovation within the market to deliver stockholding accounting solutions that work best for the industry can be developed. </w:t>
      </w:r>
    </w:p>
    <w:p w14:paraId="2D3FF069" w14:textId="77777777" w:rsidR="007D7E27" w:rsidRDefault="007D7E27" w:rsidP="007D7E27">
      <w:r>
        <w:t xml:space="preserve">The below table outlines the main anticipated responsibilities of buyers and sellers in the intermediary market.  </w:t>
      </w:r>
    </w:p>
    <w:tbl>
      <w:tblPr>
        <w:tblStyle w:val="GridTable4-Accent1"/>
        <w:tblW w:w="0" w:type="auto"/>
        <w:tblLook w:val="04A0" w:firstRow="1" w:lastRow="0" w:firstColumn="1" w:lastColumn="0" w:noHBand="0" w:noVBand="1"/>
      </w:tblPr>
      <w:tblGrid>
        <w:gridCol w:w="4390"/>
        <w:gridCol w:w="4536"/>
      </w:tblGrid>
      <w:tr w:rsidR="007D7E27" w14:paraId="67F1CE0F" w14:textId="77777777" w:rsidTr="00BB1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14:paraId="08F6C5C3" w14:textId="77777777" w:rsidR="007D7E27" w:rsidRDefault="007D7E27" w:rsidP="00BB1143">
            <w:pPr>
              <w:spacing w:before="120" w:after="120"/>
            </w:pPr>
            <w:r>
              <w:t>Intermediary Market - Seller</w:t>
            </w:r>
          </w:p>
        </w:tc>
        <w:tc>
          <w:tcPr>
            <w:tcW w:w="4536" w:type="dxa"/>
          </w:tcPr>
          <w:p w14:paraId="7E0D869A" w14:textId="77777777" w:rsidR="007D7E27" w:rsidRDefault="007D7E27" w:rsidP="00BB1143">
            <w:pPr>
              <w:spacing w:before="120" w:after="120"/>
              <w:cnfStyle w:val="100000000000" w:firstRow="1" w:lastRow="0" w:firstColumn="0" w:lastColumn="0" w:oddVBand="0" w:evenVBand="0" w:oddHBand="0" w:evenHBand="0" w:firstRowFirstColumn="0" w:firstRowLastColumn="0" w:lastRowFirstColumn="0" w:lastRowLastColumn="0"/>
            </w:pPr>
            <w:r>
              <w:t>Intermediary Market - Buyer</w:t>
            </w:r>
          </w:p>
        </w:tc>
      </w:tr>
      <w:tr w:rsidR="007D7E27" w14:paraId="73D85A5C" w14:textId="77777777" w:rsidTr="00BB1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27B0910" w14:textId="77777777" w:rsidR="007D7E27" w:rsidRPr="006715E1" w:rsidRDefault="007D7E27" w:rsidP="00BB1143">
            <w:pPr>
              <w:spacing w:before="120" w:after="120"/>
              <w:rPr>
                <w:b w:val="0"/>
              </w:rPr>
            </w:pPr>
            <w:r w:rsidRPr="006715E1">
              <w:rPr>
                <w:b w:val="0"/>
              </w:rPr>
              <w:t>Have the stock available and stored in Australia.</w:t>
            </w:r>
          </w:p>
        </w:tc>
        <w:tc>
          <w:tcPr>
            <w:tcW w:w="4536" w:type="dxa"/>
          </w:tcPr>
          <w:p w14:paraId="05178F12" w14:textId="77777777" w:rsidR="007D7E27" w:rsidRDefault="007D7E27" w:rsidP="00BB1143">
            <w:pPr>
              <w:spacing w:before="120" w:after="120"/>
              <w:cnfStyle w:val="000000100000" w:firstRow="0" w:lastRow="0" w:firstColumn="0" w:lastColumn="0" w:oddVBand="0" w:evenVBand="0" w:oddHBand="1" w:evenHBand="0" w:firstRowFirstColumn="0" w:firstRowLastColumn="0" w:lastRowFirstColumn="0" w:lastRowLastColumn="0"/>
            </w:pPr>
            <w:r>
              <w:t xml:space="preserve">Establish a reasonable assurance that the stock exists. </w:t>
            </w:r>
          </w:p>
        </w:tc>
      </w:tr>
      <w:tr w:rsidR="007D7E27" w14:paraId="689BBC53" w14:textId="77777777" w:rsidTr="00BB1143">
        <w:tc>
          <w:tcPr>
            <w:cnfStyle w:val="001000000000" w:firstRow="0" w:lastRow="0" w:firstColumn="1" w:lastColumn="0" w:oddVBand="0" w:evenVBand="0" w:oddHBand="0" w:evenHBand="0" w:firstRowFirstColumn="0" w:firstRowLastColumn="0" w:lastRowFirstColumn="0" w:lastRowLastColumn="0"/>
            <w:tcW w:w="4390" w:type="dxa"/>
          </w:tcPr>
          <w:p w14:paraId="4E0F7DCC" w14:textId="77777777" w:rsidR="007D7E27" w:rsidRPr="006715E1" w:rsidRDefault="007D7E27" w:rsidP="00BB1143">
            <w:pPr>
              <w:spacing w:before="120" w:after="120"/>
              <w:rPr>
                <w:b w:val="0"/>
              </w:rPr>
            </w:pPr>
            <w:r w:rsidRPr="006715E1">
              <w:rPr>
                <w:b w:val="0"/>
              </w:rPr>
              <w:t xml:space="preserve">Ensure stocks made available through intermediary market are counted only </w:t>
            </w:r>
            <w:r>
              <w:rPr>
                <w:b w:val="0"/>
              </w:rPr>
              <w:t>once</w:t>
            </w:r>
            <w:r w:rsidRPr="006715E1">
              <w:rPr>
                <w:b w:val="0"/>
              </w:rPr>
              <w:t xml:space="preserve">.  </w:t>
            </w:r>
          </w:p>
        </w:tc>
        <w:tc>
          <w:tcPr>
            <w:tcW w:w="4536" w:type="dxa"/>
          </w:tcPr>
          <w:p w14:paraId="4359D70C" w14:textId="77777777" w:rsidR="007D7E27" w:rsidRDefault="007D7E27" w:rsidP="00BB1143">
            <w:pPr>
              <w:spacing w:before="120" w:after="120"/>
              <w:cnfStyle w:val="000000000000" w:firstRow="0" w:lastRow="0" w:firstColumn="0" w:lastColumn="0" w:oddVBand="0" w:evenVBand="0" w:oddHBand="0" w:evenHBand="0" w:firstRowFirstColumn="0" w:firstRowLastColumn="0" w:lastRowFirstColumn="0" w:lastRowLastColumn="0"/>
            </w:pPr>
            <w:r>
              <w:t>Ensure arrangements for reliance on intermediary market are detailed with MSO Compliance Plan.</w:t>
            </w:r>
          </w:p>
        </w:tc>
      </w:tr>
      <w:tr w:rsidR="007D7E27" w14:paraId="5AD07C6A" w14:textId="77777777" w:rsidTr="00BB1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994BB9B" w14:textId="77777777" w:rsidR="007D7E27" w:rsidRPr="006715E1" w:rsidRDefault="007D7E27" w:rsidP="00BB1143">
            <w:pPr>
              <w:spacing w:before="120" w:after="120"/>
              <w:rPr>
                <w:b w:val="0"/>
              </w:rPr>
            </w:pPr>
            <w:r w:rsidRPr="006715E1">
              <w:rPr>
                <w:b w:val="0"/>
              </w:rPr>
              <w:t xml:space="preserve">Report seller data to the </w:t>
            </w:r>
            <w:r>
              <w:rPr>
                <w:b w:val="0"/>
              </w:rPr>
              <w:t>Regulator.</w:t>
            </w:r>
            <w:r w:rsidRPr="006715E1">
              <w:rPr>
                <w:b w:val="0"/>
              </w:rPr>
              <w:t xml:space="preserve"> </w:t>
            </w:r>
          </w:p>
        </w:tc>
        <w:tc>
          <w:tcPr>
            <w:tcW w:w="4536" w:type="dxa"/>
          </w:tcPr>
          <w:p w14:paraId="19EE0207" w14:textId="77777777" w:rsidR="007D7E27" w:rsidRDefault="007D7E27" w:rsidP="00BB1143">
            <w:pPr>
              <w:spacing w:before="120" w:after="120"/>
              <w:cnfStyle w:val="000000100000" w:firstRow="0" w:lastRow="0" w:firstColumn="0" w:lastColumn="0" w:oddVBand="0" w:evenVBand="0" w:oddHBand="1" w:evenHBand="0" w:firstRowFirstColumn="0" w:firstRowLastColumn="0" w:lastRowFirstColumn="0" w:lastRowLastColumn="0"/>
            </w:pPr>
            <w:r>
              <w:t xml:space="preserve">Report buyer data to the Regulator. </w:t>
            </w:r>
          </w:p>
        </w:tc>
      </w:tr>
      <w:tr w:rsidR="007D7E27" w14:paraId="333C8C30" w14:textId="77777777" w:rsidTr="00BB1143">
        <w:tc>
          <w:tcPr>
            <w:cnfStyle w:val="001000000000" w:firstRow="0" w:lastRow="0" w:firstColumn="1" w:lastColumn="0" w:oddVBand="0" w:evenVBand="0" w:oddHBand="0" w:evenHBand="0" w:firstRowFirstColumn="0" w:firstRowLastColumn="0" w:lastRowFirstColumn="0" w:lastRowLastColumn="0"/>
            <w:tcW w:w="4390" w:type="dxa"/>
          </w:tcPr>
          <w:p w14:paraId="0B41DF5A" w14:textId="77777777" w:rsidR="007D7E27" w:rsidRPr="006715E1" w:rsidRDefault="007D7E27" w:rsidP="00BB1143">
            <w:pPr>
              <w:spacing w:before="120" w:after="120"/>
              <w:rPr>
                <w:b w:val="0"/>
              </w:rPr>
            </w:pPr>
            <w:r w:rsidRPr="006715E1">
              <w:rPr>
                <w:b w:val="0"/>
              </w:rPr>
              <w:t>Establish legally enforceable arrangements with buyers</w:t>
            </w:r>
            <w:r>
              <w:rPr>
                <w:b w:val="0"/>
              </w:rPr>
              <w:t>.</w:t>
            </w:r>
          </w:p>
        </w:tc>
        <w:tc>
          <w:tcPr>
            <w:tcW w:w="4536" w:type="dxa"/>
          </w:tcPr>
          <w:p w14:paraId="7922484C" w14:textId="77777777" w:rsidR="007D7E27" w:rsidRDefault="007D7E27" w:rsidP="00BB1143">
            <w:pPr>
              <w:spacing w:before="120" w:after="120"/>
              <w:cnfStyle w:val="000000000000" w:firstRow="0" w:lastRow="0" w:firstColumn="0" w:lastColumn="0" w:oddVBand="0" w:evenVBand="0" w:oddHBand="0" w:evenHBand="0" w:firstRowFirstColumn="0" w:firstRowLastColumn="0" w:lastRowFirstColumn="0" w:lastRowLastColumn="0"/>
            </w:pPr>
            <w:r>
              <w:t>Establish legally enforceable arrangements with sellers.</w:t>
            </w:r>
          </w:p>
        </w:tc>
      </w:tr>
    </w:tbl>
    <w:p w14:paraId="096A345E" w14:textId="77777777" w:rsidR="00EE3142" w:rsidRPr="007D7E27" w:rsidRDefault="00EE3142" w:rsidP="007D7E27"/>
    <w:p w14:paraId="735D452A" w14:textId="77777777" w:rsidR="002A7A59" w:rsidRDefault="002A7A59" w:rsidP="00EE3142">
      <w:pPr>
        <w:pStyle w:val="Heading4"/>
        <w:spacing w:after="240"/>
      </w:pPr>
      <w:r>
        <w:t>Reporting</w:t>
      </w:r>
    </w:p>
    <w:p w14:paraId="2D6E53F6" w14:textId="77777777" w:rsidR="002A7A59" w:rsidRDefault="002A7A59" w:rsidP="002A7A59">
      <w:r>
        <w:t xml:space="preserve">Reporting requirements have been developed through consequential amendments to the </w:t>
      </w:r>
      <w:r>
        <w:rPr>
          <w:i/>
        </w:rPr>
        <w:t>Petroleum and Other Fuels Reporting Rules 2017</w:t>
      </w:r>
      <w:r>
        <w:t xml:space="preserve">. The draft rules and explanatory statement are also published for consultation. </w:t>
      </w:r>
    </w:p>
    <w:p w14:paraId="11433915" w14:textId="77777777" w:rsidR="006010AA" w:rsidRDefault="006010AA" w:rsidP="00EE3142">
      <w:pPr>
        <w:pStyle w:val="Heading4"/>
        <w:spacing w:after="240"/>
      </w:pPr>
      <w:r>
        <w:t>Extenuating Circumstances</w:t>
      </w:r>
    </w:p>
    <w:p w14:paraId="4D7F0DFA" w14:textId="779C5E12" w:rsidR="009E3AAE" w:rsidRDefault="009E3AAE" w:rsidP="009E3AAE">
      <w:r w:rsidRPr="00D7070F">
        <w:t>The Act establishes a framework to support circumstances when a</w:t>
      </w:r>
      <w:r>
        <w:t xml:space="preserve"> suspension or temporary reduction </w:t>
      </w:r>
      <w:r w:rsidRPr="00D7070F">
        <w:t>may be requ</w:t>
      </w:r>
      <w:r>
        <w:t>ired due</w:t>
      </w:r>
      <w:r w:rsidRPr="00D7070F">
        <w:t xml:space="preserve"> to extenuating circumstances outside of the control of the entity.  </w:t>
      </w:r>
      <w:r w:rsidR="009B4BF3">
        <w:t>For example:</w:t>
      </w:r>
    </w:p>
    <w:tbl>
      <w:tblPr>
        <w:tblStyle w:val="GridTable4-Accent1"/>
        <w:tblW w:w="0" w:type="auto"/>
        <w:tblLook w:val="04A0" w:firstRow="1" w:lastRow="0" w:firstColumn="1" w:lastColumn="0" w:noHBand="0" w:noVBand="1"/>
      </w:tblPr>
      <w:tblGrid>
        <w:gridCol w:w="4463"/>
        <w:gridCol w:w="4463"/>
      </w:tblGrid>
      <w:tr w:rsidR="000E30D6" w14:paraId="321FCF0F" w14:textId="77777777" w:rsidTr="00D41F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3" w:type="dxa"/>
            <w:vAlign w:val="center"/>
          </w:tcPr>
          <w:p w14:paraId="133E8C49" w14:textId="77777777" w:rsidR="000E30D6" w:rsidRDefault="000E30D6" w:rsidP="00D41F11">
            <w:pPr>
              <w:jc w:val="center"/>
            </w:pPr>
            <w:r>
              <w:lastRenderedPageBreak/>
              <w:t>Scenario</w:t>
            </w:r>
          </w:p>
        </w:tc>
        <w:tc>
          <w:tcPr>
            <w:tcW w:w="4463" w:type="dxa"/>
            <w:vAlign w:val="center"/>
          </w:tcPr>
          <w:p w14:paraId="61987DD2" w14:textId="77777777" w:rsidR="000E30D6" w:rsidRDefault="000E30D6" w:rsidP="00D41F11">
            <w:pPr>
              <w:jc w:val="center"/>
              <w:cnfStyle w:val="100000000000" w:firstRow="1" w:lastRow="0" w:firstColumn="0" w:lastColumn="0" w:oddVBand="0" w:evenVBand="0" w:oddHBand="0" w:evenHBand="0" w:firstRowFirstColumn="0" w:firstRowLastColumn="0" w:lastRowFirstColumn="0" w:lastRowLastColumn="0"/>
            </w:pPr>
            <w:r>
              <w:t>Resolution</w:t>
            </w:r>
          </w:p>
        </w:tc>
      </w:tr>
      <w:tr w:rsidR="000E30D6" w14:paraId="507C012E" w14:textId="77777777" w:rsidTr="00D41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3" w:type="dxa"/>
            <w:vAlign w:val="center"/>
          </w:tcPr>
          <w:p w14:paraId="09575043" w14:textId="41675232" w:rsidR="000E30D6" w:rsidRPr="006715E1" w:rsidRDefault="00DC5DAF" w:rsidP="00D41F11">
            <w:pPr>
              <w:spacing w:before="40" w:after="40"/>
              <w:jc w:val="center"/>
              <w:rPr>
                <w:b w:val="0"/>
              </w:rPr>
            </w:pPr>
            <w:r>
              <w:rPr>
                <w:b w:val="0"/>
              </w:rPr>
              <w:t xml:space="preserve">There is a likely </w:t>
            </w:r>
            <w:r w:rsidR="001B7930">
              <w:rPr>
                <w:b w:val="0"/>
              </w:rPr>
              <w:t xml:space="preserve">national </w:t>
            </w:r>
            <w:r>
              <w:rPr>
                <w:b w:val="0"/>
              </w:rPr>
              <w:t>disruption to supply of a product, or current disruption of supply</w:t>
            </w:r>
          </w:p>
        </w:tc>
        <w:tc>
          <w:tcPr>
            <w:tcW w:w="4463" w:type="dxa"/>
            <w:vAlign w:val="center"/>
          </w:tcPr>
          <w:p w14:paraId="75AEDDB3" w14:textId="5064A5F5" w:rsidR="000E30D6" w:rsidRDefault="00DC5DAF" w:rsidP="00EE3142">
            <w:pPr>
              <w:spacing w:before="40" w:after="40"/>
              <w:jc w:val="center"/>
              <w:cnfStyle w:val="000000100000" w:firstRow="0" w:lastRow="0" w:firstColumn="0" w:lastColumn="0" w:oddVBand="0" w:evenVBand="0" w:oddHBand="1" w:evenHBand="0" w:firstRowFirstColumn="0" w:firstRowLastColumn="0" w:lastRowFirstColumn="0" w:lastRowLastColumn="0"/>
            </w:pPr>
            <w:r>
              <w:t xml:space="preserve">The Minister can suspend the MSO (s26 of the MSO Rules and s27 of the </w:t>
            </w:r>
            <w:r w:rsidRPr="00EE3142">
              <w:t>Act</w:t>
            </w:r>
            <w:r>
              <w:t>)</w:t>
            </w:r>
          </w:p>
        </w:tc>
      </w:tr>
      <w:tr w:rsidR="001B7930" w14:paraId="507C7CC0" w14:textId="77777777" w:rsidTr="00D41F11">
        <w:tc>
          <w:tcPr>
            <w:cnfStyle w:val="001000000000" w:firstRow="0" w:lastRow="0" w:firstColumn="1" w:lastColumn="0" w:oddVBand="0" w:evenVBand="0" w:oddHBand="0" w:evenHBand="0" w:firstRowFirstColumn="0" w:firstRowLastColumn="0" w:lastRowFirstColumn="0" w:lastRowLastColumn="0"/>
            <w:tcW w:w="4463" w:type="dxa"/>
            <w:vAlign w:val="center"/>
          </w:tcPr>
          <w:p w14:paraId="54B42FD9" w14:textId="3B1FFF1B" w:rsidR="001B7930" w:rsidRDefault="001B7930" w:rsidP="00D41F11">
            <w:pPr>
              <w:spacing w:before="40" w:after="40"/>
              <w:jc w:val="center"/>
              <w:rPr>
                <w:b w:val="0"/>
              </w:rPr>
            </w:pPr>
            <w:r>
              <w:rPr>
                <w:b w:val="0"/>
              </w:rPr>
              <w:t>There is a localised disruption of supply</w:t>
            </w:r>
          </w:p>
        </w:tc>
        <w:tc>
          <w:tcPr>
            <w:tcW w:w="4463" w:type="dxa"/>
            <w:vAlign w:val="center"/>
          </w:tcPr>
          <w:p w14:paraId="1F9C768B" w14:textId="439863A1" w:rsidR="001B7930" w:rsidRDefault="001B7930" w:rsidP="001B5C0B">
            <w:pPr>
              <w:spacing w:before="40" w:after="40"/>
              <w:jc w:val="center"/>
              <w:cnfStyle w:val="000000000000" w:firstRow="0" w:lastRow="0" w:firstColumn="0" w:lastColumn="0" w:oddVBand="0" w:evenVBand="0" w:oddHBand="0" w:evenHBand="0" w:firstRowFirstColumn="0" w:firstRowLastColumn="0" w:lastRowFirstColumn="0" w:lastRowLastColumn="0"/>
            </w:pPr>
            <w:r>
              <w:t xml:space="preserve">The entity </w:t>
            </w:r>
            <w:r w:rsidR="001B5C0B">
              <w:t>may apply</w:t>
            </w:r>
            <w:r>
              <w:t xml:space="preserve"> to the Secretary for </w:t>
            </w:r>
            <w:r w:rsidR="001B5C0B">
              <w:t>a</w:t>
            </w:r>
            <w:r>
              <w:t xml:space="preserve"> suspension of their MSO (s27 and s28 of the MSO Rules)</w:t>
            </w:r>
          </w:p>
        </w:tc>
      </w:tr>
      <w:tr w:rsidR="00DC5DAF" w14:paraId="69441C0C" w14:textId="77777777" w:rsidTr="00D41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3" w:type="dxa"/>
            <w:vAlign w:val="center"/>
          </w:tcPr>
          <w:p w14:paraId="6DAF638A" w14:textId="1DE8B1F5" w:rsidR="00DC5DAF" w:rsidRDefault="00DC5DAF" w:rsidP="00DC5DAF">
            <w:pPr>
              <w:spacing w:before="40" w:after="40"/>
              <w:jc w:val="center"/>
              <w:rPr>
                <w:b w:val="0"/>
              </w:rPr>
            </w:pPr>
            <w:r>
              <w:rPr>
                <w:b w:val="0"/>
              </w:rPr>
              <w:t>Tank inspections are required</w:t>
            </w:r>
          </w:p>
        </w:tc>
        <w:tc>
          <w:tcPr>
            <w:tcW w:w="4463" w:type="dxa"/>
            <w:vAlign w:val="center"/>
          </w:tcPr>
          <w:p w14:paraId="7C8A8603" w14:textId="5814442D" w:rsidR="00DC5DAF" w:rsidRDefault="00DC5DAF" w:rsidP="001B5C0B">
            <w:pPr>
              <w:spacing w:before="40" w:after="40"/>
              <w:jc w:val="center"/>
              <w:cnfStyle w:val="000000100000" w:firstRow="0" w:lastRow="0" w:firstColumn="0" w:lastColumn="0" w:oddVBand="0" w:evenVBand="0" w:oddHBand="1" w:evenHBand="0" w:firstRowFirstColumn="0" w:firstRowLastColumn="0" w:lastRowFirstColumn="0" w:lastRowLastColumn="0"/>
            </w:pPr>
            <w:r>
              <w:t xml:space="preserve">The entity </w:t>
            </w:r>
            <w:r w:rsidR="001B5C0B">
              <w:t>may</w:t>
            </w:r>
            <w:r>
              <w:t xml:space="preserve"> apply for a temporary reduction in quantity of stocks (s24 of the MSO Rules)</w:t>
            </w:r>
          </w:p>
        </w:tc>
      </w:tr>
      <w:tr w:rsidR="00DC5DAF" w14:paraId="4A0C292A" w14:textId="77777777" w:rsidTr="00D41F11">
        <w:tc>
          <w:tcPr>
            <w:cnfStyle w:val="001000000000" w:firstRow="0" w:lastRow="0" w:firstColumn="1" w:lastColumn="0" w:oddVBand="0" w:evenVBand="0" w:oddHBand="0" w:evenHBand="0" w:firstRowFirstColumn="0" w:firstRowLastColumn="0" w:lastRowFirstColumn="0" w:lastRowLastColumn="0"/>
            <w:tcW w:w="4463" w:type="dxa"/>
            <w:vAlign w:val="center"/>
          </w:tcPr>
          <w:p w14:paraId="117DA4E4" w14:textId="0790B785" w:rsidR="00DC5DAF" w:rsidRDefault="00DC5DAF" w:rsidP="00DC5DAF">
            <w:pPr>
              <w:spacing w:before="40" w:after="40"/>
              <w:jc w:val="center"/>
            </w:pPr>
            <w:r>
              <w:rPr>
                <w:b w:val="0"/>
              </w:rPr>
              <w:t>Significant shipping disruption due to unforeseen circumstances</w:t>
            </w:r>
          </w:p>
        </w:tc>
        <w:tc>
          <w:tcPr>
            <w:tcW w:w="4463" w:type="dxa"/>
            <w:vAlign w:val="center"/>
          </w:tcPr>
          <w:p w14:paraId="1C2B73F4" w14:textId="4C127565" w:rsidR="00DC5DAF" w:rsidRDefault="00DC5DAF" w:rsidP="001B5C0B">
            <w:pPr>
              <w:spacing w:before="40" w:after="40"/>
              <w:jc w:val="center"/>
              <w:cnfStyle w:val="000000000000" w:firstRow="0" w:lastRow="0" w:firstColumn="0" w:lastColumn="0" w:oddVBand="0" w:evenVBand="0" w:oddHBand="0" w:evenHBand="0" w:firstRowFirstColumn="0" w:firstRowLastColumn="0" w:lastRowFirstColumn="0" w:lastRowLastColumn="0"/>
            </w:pPr>
            <w:r>
              <w:t xml:space="preserve">The entity </w:t>
            </w:r>
            <w:r w:rsidR="001B5C0B">
              <w:t>may</w:t>
            </w:r>
            <w:r>
              <w:t xml:space="preserve"> apply for a temporary reduction in quantity of stocks (s24 of the MSO Rules)</w:t>
            </w:r>
          </w:p>
        </w:tc>
      </w:tr>
      <w:tr w:rsidR="00DC5DAF" w14:paraId="2C3D98CE" w14:textId="77777777" w:rsidTr="00D41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3" w:type="dxa"/>
            <w:vAlign w:val="center"/>
          </w:tcPr>
          <w:p w14:paraId="66523B64" w14:textId="4483859F" w:rsidR="00DC5DAF" w:rsidRDefault="00DC5DAF" w:rsidP="00DC5DAF">
            <w:pPr>
              <w:spacing w:before="40" w:after="40"/>
              <w:jc w:val="center"/>
              <w:rPr>
                <w:b w:val="0"/>
              </w:rPr>
            </w:pPr>
            <w:r>
              <w:rPr>
                <w:b w:val="0"/>
              </w:rPr>
              <w:t xml:space="preserve">Repairs are required for damaged infrastructure </w:t>
            </w:r>
          </w:p>
        </w:tc>
        <w:tc>
          <w:tcPr>
            <w:tcW w:w="4463" w:type="dxa"/>
            <w:vAlign w:val="center"/>
          </w:tcPr>
          <w:p w14:paraId="7BBD67A1" w14:textId="4F2C87E8" w:rsidR="00DC5DAF" w:rsidRDefault="00DC5DAF" w:rsidP="001B5C0B">
            <w:pPr>
              <w:spacing w:before="40" w:after="40"/>
              <w:jc w:val="center"/>
              <w:cnfStyle w:val="000000100000" w:firstRow="0" w:lastRow="0" w:firstColumn="0" w:lastColumn="0" w:oddVBand="0" w:evenVBand="0" w:oddHBand="1" w:evenHBand="0" w:firstRowFirstColumn="0" w:firstRowLastColumn="0" w:lastRowFirstColumn="0" w:lastRowLastColumn="0"/>
            </w:pPr>
            <w:r>
              <w:t xml:space="preserve">The entity </w:t>
            </w:r>
            <w:r w:rsidR="001B5C0B">
              <w:t>may</w:t>
            </w:r>
            <w:r>
              <w:t xml:space="preserve"> apply for a temporary reduction in quantity of stocks (s24 of the MSO Rules)</w:t>
            </w:r>
          </w:p>
        </w:tc>
      </w:tr>
      <w:tr w:rsidR="00DC5DAF" w14:paraId="1D389B56" w14:textId="77777777" w:rsidTr="00D41F11">
        <w:tc>
          <w:tcPr>
            <w:cnfStyle w:val="001000000000" w:firstRow="0" w:lastRow="0" w:firstColumn="1" w:lastColumn="0" w:oddVBand="0" w:evenVBand="0" w:oddHBand="0" w:evenHBand="0" w:firstRowFirstColumn="0" w:firstRowLastColumn="0" w:lastRowFirstColumn="0" w:lastRowLastColumn="0"/>
            <w:tcW w:w="4463" w:type="dxa"/>
            <w:vAlign w:val="center"/>
          </w:tcPr>
          <w:p w14:paraId="404623F1" w14:textId="03234420" w:rsidR="00DC5DAF" w:rsidRDefault="00DC5DAF" w:rsidP="00DC5DAF">
            <w:pPr>
              <w:spacing w:before="40" w:after="40"/>
              <w:jc w:val="center"/>
              <w:rPr>
                <w:b w:val="0"/>
              </w:rPr>
            </w:pPr>
            <w:r>
              <w:rPr>
                <w:b w:val="0"/>
              </w:rPr>
              <w:t>Supplied fuel stock does not meet the necessary fuel quality standards</w:t>
            </w:r>
          </w:p>
        </w:tc>
        <w:tc>
          <w:tcPr>
            <w:tcW w:w="4463" w:type="dxa"/>
            <w:vAlign w:val="center"/>
          </w:tcPr>
          <w:p w14:paraId="5DDDB369" w14:textId="06009E11" w:rsidR="00DC5DAF" w:rsidRDefault="00DC5DAF" w:rsidP="001B5C0B">
            <w:pPr>
              <w:spacing w:before="40" w:after="40"/>
              <w:jc w:val="center"/>
              <w:cnfStyle w:val="000000000000" w:firstRow="0" w:lastRow="0" w:firstColumn="0" w:lastColumn="0" w:oddVBand="0" w:evenVBand="0" w:oddHBand="0" w:evenHBand="0" w:firstRowFirstColumn="0" w:firstRowLastColumn="0" w:lastRowFirstColumn="0" w:lastRowLastColumn="0"/>
            </w:pPr>
            <w:r>
              <w:t xml:space="preserve">The entity </w:t>
            </w:r>
            <w:r w:rsidR="001B5C0B">
              <w:t>may</w:t>
            </w:r>
            <w:r>
              <w:t xml:space="preserve"> apply for a temporary reduction in quantity of stocks (s24 of the MSO Rules)</w:t>
            </w:r>
          </w:p>
        </w:tc>
      </w:tr>
      <w:tr w:rsidR="00DC5DAF" w14:paraId="0E124811" w14:textId="77777777" w:rsidTr="00D41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3" w:type="dxa"/>
            <w:vAlign w:val="center"/>
          </w:tcPr>
          <w:p w14:paraId="1FAC0411" w14:textId="4E414A94" w:rsidR="00DC5DAF" w:rsidRDefault="00DC5DAF" w:rsidP="00DC5DAF">
            <w:pPr>
              <w:spacing w:before="40" w:after="40"/>
              <w:jc w:val="center"/>
              <w:rPr>
                <w:b w:val="0"/>
              </w:rPr>
            </w:pPr>
            <w:r>
              <w:rPr>
                <w:b w:val="0"/>
              </w:rPr>
              <w:t>A major contract changes hands</w:t>
            </w:r>
          </w:p>
        </w:tc>
        <w:tc>
          <w:tcPr>
            <w:tcW w:w="4463" w:type="dxa"/>
            <w:vAlign w:val="center"/>
          </w:tcPr>
          <w:p w14:paraId="2524C124" w14:textId="483C5979" w:rsidR="00DC5DAF" w:rsidRDefault="00DC5DAF" w:rsidP="00DC5DAF">
            <w:pPr>
              <w:spacing w:before="40" w:after="40"/>
              <w:jc w:val="center"/>
              <w:cnfStyle w:val="000000100000" w:firstRow="0" w:lastRow="0" w:firstColumn="0" w:lastColumn="0" w:oddVBand="0" w:evenVBand="0" w:oddHBand="1" w:evenHBand="0" w:firstRowFirstColumn="0" w:firstRowLastColumn="0" w:lastRowFirstColumn="0" w:lastRowLastColumn="0"/>
            </w:pPr>
            <w:r>
              <w:t xml:space="preserve">If an entity loses a contract, they can apply to have their MSO divided with the new contract owners, or apply to have their MSO varied to reflect the change (s39 of the MSO Rules). </w:t>
            </w:r>
          </w:p>
        </w:tc>
      </w:tr>
    </w:tbl>
    <w:p w14:paraId="64079DD3" w14:textId="77777777" w:rsidR="000E30D6" w:rsidRDefault="000E30D6" w:rsidP="009E3AAE"/>
    <w:p w14:paraId="21979E62" w14:textId="7D08B524" w:rsidR="009B4BF3" w:rsidRDefault="009B4BF3" w:rsidP="009E3AAE">
      <w:r>
        <w:t xml:space="preserve">Further transitional arrangements have been </w:t>
      </w:r>
      <w:r w:rsidR="001B5C0B">
        <w:t>developed</w:t>
      </w:r>
      <w:r>
        <w:t xml:space="preserve"> to help entities </w:t>
      </w:r>
      <w:r w:rsidR="001B5C0B">
        <w:t>transition into the scheme over</w:t>
      </w:r>
      <w:r>
        <w:t xml:space="preserve"> the first two years of the scheme’s operation, which are discussed in the </w:t>
      </w:r>
      <w:r w:rsidR="001F0307">
        <w:t>following</w:t>
      </w:r>
      <w:r>
        <w:t xml:space="preserve"> section. </w:t>
      </w:r>
    </w:p>
    <w:p w14:paraId="3C0A3A6B" w14:textId="77777777" w:rsidR="00D324E9" w:rsidRDefault="00D324E9" w:rsidP="00D324E9">
      <w:pPr>
        <w:pStyle w:val="Heading4"/>
        <w:spacing w:after="240"/>
      </w:pPr>
      <w:r>
        <w:t>Transitional Arrangements</w:t>
      </w:r>
    </w:p>
    <w:p w14:paraId="6F6FE98B" w14:textId="77777777" w:rsidR="00D324E9" w:rsidRDefault="00D324E9" w:rsidP="00D324E9">
      <w:r>
        <w:t>The Department</w:t>
      </w:r>
      <w:r w:rsidRPr="003F117E">
        <w:t xml:space="preserve"> acknowledges the</w:t>
      </w:r>
      <w:r>
        <w:t xml:space="preserve"> implementation of the </w:t>
      </w:r>
      <w:r w:rsidRPr="003F117E">
        <w:t xml:space="preserve">MSO is likely to have </w:t>
      </w:r>
      <w:r>
        <w:t>a range of</w:t>
      </w:r>
      <w:r w:rsidRPr="003F117E">
        <w:t xml:space="preserve"> impacts for different industry participants depending on business models, storage infrastructure, and contractual arrangements with clients, amongst other matters.</w:t>
      </w:r>
    </w:p>
    <w:p w14:paraId="335F6F0F" w14:textId="77777777" w:rsidR="00D324E9" w:rsidRDefault="00D324E9" w:rsidP="00D324E9">
      <w:r>
        <w:t xml:space="preserve">It is anticipated the MSO CCDs will initially be set at levels that are largely able to be met by industry, minimising the need for transitional arrangements for most entities. The intermediary market is also envisioned to be a key aspect of the framework to assist entities through this phase. </w:t>
      </w:r>
    </w:p>
    <w:p w14:paraId="5A3E715A" w14:textId="77777777" w:rsidR="00272B10" w:rsidRDefault="00272B10" w:rsidP="00D324E9">
      <w:r>
        <w:t>There are two automatic industry-wide transitional arrangements allowed by the rules:</w:t>
      </w:r>
    </w:p>
    <w:p w14:paraId="6221BC67" w14:textId="47BE9884" w:rsidR="00272B10" w:rsidRDefault="00272B10" w:rsidP="00272B10">
      <w:pPr>
        <w:pStyle w:val="ListParagraph"/>
        <w:numPr>
          <w:ilvl w:val="0"/>
          <w:numId w:val="47"/>
        </w:numPr>
      </w:pPr>
      <w:r>
        <w:t>As touched on above, the obligation day will initially be fortnightly, before moving to a weekly obligation day from 1 July 2024.</w:t>
      </w:r>
    </w:p>
    <w:p w14:paraId="3635C475" w14:textId="412E0F77" w:rsidR="00272B10" w:rsidRDefault="00272B10" w:rsidP="00272B10">
      <w:pPr>
        <w:pStyle w:val="ListParagraph"/>
        <w:numPr>
          <w:ilvl w:val="0"/>
          <w:numId w:val="47"/>
        </w:numPr>
      </w:pPr>
      <w:r>
        <w:t xml:space="preserve">The initial CCDs will not include the increase in stock to adjust for the allowance of stock within the EEZ to be counted towards an entity’s MSO. </w:t>
      </w:r>
    </w:p>
    <w:p w14:paraId="6F346C23" w14:textId="43EC7A6F" w:rsidR="00D324E9" w:rsidRDefault="00D324E9" w:rsidP="00D324E9">
      <w:r>
        <w:t xml:space="preserve">There are </w:t>
      </w:r>
      <w:r w:rsidR="00272B10">
        <w:t xml:space="preserve">also </w:t>
      </w:r>
      <w:r>
        <w:t>two sections of the rules that could be utilised before 1 July 2024 under certain circumstances:</w:t>
      </w:r>
    </w:p>
    <w:p w14:paraId="492564D0" w14:textId="77777777" w:rsidR="00D324E9" w:rsidRPr="000329E2" w:rsidRDefault="00D324E9" w:rsidP="00D324E9">
      <w:pPr>
        <w:pStyle w:val="ListParagraph"/>
        <w:numPr>
          <w:ilvl w:val="0"/>
          <w:numId w:val="46"/>
        </w:numPr>
        <w:rPr>
          <w:b/>
        </w:rPr>
      </w:pPr>
      <w:r w:rsidRPr="000329E2">
        <w:rPr>
          <w:b/>
        </w:rPr>
        <w:t>Designated quantity – circumstances impacting MSO entity at commencement (s21 of the MSO Rules)</w:t>
      </w:r>
    </w:p>
    <w:p w14:paraId="293288A4" w14:textId="4E9E3484" w:rsidR="00D324E9" w:rsidRPr="006E4E84" w:rsidRDefault="00D324E9" w:rsidP="006E4E84">
      <w:pPr>
        <w:pStyle w:val="ListParagraph"/>
        <w:ind w:firstLine="0"/>
      </w:pPr>
      <w:r>
        <w:t xml:space="preserve">This section can only be used if an entity can prove they have attempted to prepare for the MSO and have done their due diligence by testing the market to meet their obligation in the </w:t>
      </w:r>
      <w:r>
        <w:lastRenderedPageBreak/>
        <w:t>first instance. If these elements are satisfied, the entity can apply to have their MSO reduced by either 20% of the MSO, or 15ML (whichever is smaller). There is a limit on the available reduction to quantity to ensure the MSO still maintains an adequate fuel security benefit for Australia in the first two years of operation. The entity will also need to provide the Secretary with a credible path to compliance within the next 2 years, with details provided in their MSO compliance plan.</w:t>
      </w:r>
    </w:p>
    <w:p w14:paraId="12B0CE61" w14:textId="77777777" w:rsidR="00D324E9" w:rsidRDefault="00D324E9" w:rsidP="00D324E9">
      <w:pPr>
        <w:pStyle w:val="ListParagraph"/>
        <w:numPr>
          <w:ilvl w:val="0"/>
          <w:numId w:val="46"/>
        </w:numPr>
        <w:rPr>
          <w:b/>
        </w:rPr>
      </w:pPr>
      <w:r>
        <w:rPr>
          <w:b/>
        </w:rPr>
        <w:t>Additional transitional reduction in quantity of stocks (s25 of the MSO Rules)</w:t>
      </w:r>
    </w:p>
    <w:p w14:paraId="23EA07B4" w14:textId="77777777" w:rsidR="00D324E9" w:rsidRPr="00D66A43" w:rsidRDefault="00D324E9" w:rsidP="00D324E9">
      <w:pPr>
        <w:pStyle w:val="ListParagraph"/>
        <w:ind w:firstLine="0"/>
      </w:pPr>
      <w:r w:rsidRPr="00D66A43">
        <w:t>This section</w:t>
      </w:r>
      <w:r>
        <w:t xml:space="preserve"> acknowledges the data the Department receives from the Australian Border Force may not be completely reflective of what is occurring in practice. Therefore this section allows entity’s to amend their import data if they are able to prove that the figure should be different. </w:t>
      </w:r>
    </w:p>
    <w:p w14:paraId="7A1C0509" w14:textId="77777777" w:rsidR="00D324E9" w:rsidRDefault="00D324E9" w:rsidP="00D324E9">
      <w:pPr>
        <w:pStyle w:val="Heading2"/>
      </w:pPr>
      <w:bookmarkStart w:id="49" w:name="_Toc93658151"/>
      <w:r>
        <w:t>Changes in 2024</w:t>
      </w:r>
      <w:bookmarkEnd w:id="49"/>
    </w:p>
    <w:p w14:paraId="1FFA1126" w14:textId="77777777" w:rsidR="00D324E9" w:rsidRPr="00835996" w:rsidRDefault="00D324E9" w:rsidP="00D324E9">
      <w:r>
        <w:t>From 1 July 2024 a range of changes to the MSO framework will occur at the same time:</w:t>
      </w:r>
    </w:p>
    <w:p w14:paraId="5770A16A" w14:textId="77777777" w:rsidR="00D324E9" w:rsidRDefault="00D324E9" w:rsidP="00D324E9">
      <w:pPr>
        <w:pStyle w:val="Heading4"/>
      </w:pPr>
      <w:r>
        <w:t>EEZ CCD increase</w:t>
      </w:r>
    </w:p>
    <w:p w14:paraId="16ED4BB5" w14:textId="77777777" w:rsidR="00D324E9" w:rsidRDefault="00D324E9" w:rsidP="00D324E9">
      <w:r>
        <w:t xml:space="preserve">The national baseline CCD calculation does not include any stock held within the EEZ. The Department has allowed refined stock within the EEZ to be counted towards an entity’s MSO, which should help entity’s transition into the scheme. However, from 1 July 2024, the CCD figure will be adjusted to reflect stock being held on water to ensure national stock levels on land do not decrease. </w:t>
      </w:r>
    </w:p>
    <w:p w14:paraId="287E1D52" w14:textId="77777777" w:rsidR="00D324E9" w:rsidRPr="00835996" w:rsidRDefault="00D324E9" w:rsidP="00D324E9">
      <w:pPr>
        <w:pStyle w:val="Heading4"/>
      </w:pPr>
      <w:r>
        <w:t>40% d</w:t>
      </w:r>
      <w:r w:rsidRPr="00041D4E">
        <w:t xml:space="preserve">iesel </w:t>
      </w:r>
      <w:r>
        <w:t xml:space="preserve">CCD </w:t>
      </w:r>
      <w:r w:rsidRPr="00041D4E">
        <w:t xml:space="preserve">increase </w:t>
      </w:r>
    </w:p>
    <w:p w14:paraId="09379FF8" w14:textId="77777777" w:rsidR="00D324E9" w:rsidRPr="00835996" w:rsidRDefault="00D324E9" w:rsidP="00D324E9">
      <w:r>
        <w:t xml:space="preserve">Further to the EEZ increase, the Government announced there would be a significant increase in diesel stocks by 40% from the pre-COVID-19 business-as-usual baseline. This is reflected in the draft notifiable instrument released for public consultation. </w:t>
      </w:r>
    </w:p>
    <w:p w14:paraId="3600A404" w14:textId="77777777" w:rsidR="00D324E9" w:rsidRPr="00FB24BD" w:rsidRDefault="00D324E9" w:rsidP="00D324E9">
      <w:pPr>
        <w:pStyle w:val="Heading4"/>
      </w:pPr>
      <w:r>
        <w:t>No further transitional arrangements</w:t>
      </w:r>
    </w:p>
    <w:p w14:paraId="51A10CC3" w14:textId="69E8B0D8" w:rsidR="00D324E9" w:rsidRDefault="00D324E9" w:rsidP="00D324E9">
      <w:r>
        <w:t xml:space="preserve">Transitional arrangements allowed through section 21 and 25 of the MSO Rules (listed above) will no longer be applicable. </w:t>
      </w:r>
    </w:p>
    <w:p w14:paraId="6F0098AA" w14:textId="77777777" w:rsidR="001B5C0B" w:rsidRPr="00E01DB0" w:rsidRDefault="001B5C0B" w:rsidP="001B5C0B">
      <w:pPr>
        <w:pStyle w:val="Heading1"/>
        <w:spacing w:before="360" w:after="360"/>
        <w:rPr>
          <w:sz w:val="40"/>
          <w:szCs w:val="40"/>
        </w:rPr>
      </w:pPr>
      <w:bookmarkStart w:id="50" w:name="_Toc79656409"/>
      <w:bookmarkStart w:id="51" w:name="_Toc79667972"/>
      <w:bookmarkStart w:id="52" w:name="_Toc93658152"/>
      <w:r w:rsidRPr="00E01DB0">
        <w:rPr>
          <w:sz w:val="40"/>
          <w:szCs w:val="40"/>
        </w:rPr>
        <w:t>Compliance and Enforcement Framework</w:t>
      </w:r>
      <w:bookmarkEnd w:id="50"/>
      <w:bookmarkEnd w:id="51"/>
      <w:bookmarkEnd w:id="52"/>
    </w:p>
    <w:p w14:paraId="04ED986A" w14:textId="77777777" w:rsidR="001B5C0B" w:rsidRDefault="001B5C0B" w:rsidP="001B5C0B">
      <w:r w:rsidRPr="0077661A">
        <w:t xml:space="preserve">The Act establishes the audit and compliance framework for the MSO scheme.  It ensures the </w:t>
      </w:r>
      <w:r>
        <w:t>Department</w:t>
      </w:r>
      <w:r w:rsidRPr="0077661A">
        <w:t xml:space="preserve"> has a number of </w:t>
      </w:r>
      <w:r>
        <w:t xml:space="preserve">scalable response options to address instances of non-compliance.  </w:t>
      </w:r>
    </w:p>
    <w:p w14:paraId="29FCC84A" w14:textId="77777777" w:rsidR="001B5C0B" w:rsidRDefault="001B5C0B" w:rsidP="001B5C0B">
      <w:r>
        <w:t xml:space="preserve">At the highest level, civil penalty provisions for not meeting an MSO have been set to directly relate to an entity’s obligation. This ensures the costs of non-compliance incentivise an entity to meet its MSO, while also ensuring it does not disproportionally impact smaller market players. </w:t>
      </w:r>
    </w:p>
    <w:p w14:paraId="0458ED64" w14:textId="4E5C6624" w:rsidR="001B5C0B" w:rsidRDefault="001B5C0B" w:rsidP="001B5C0B">
      <w:r>
        <w:t xml:space="preserve">The MSO Rules also provide an anti-avoidance provision, where a company can be captured by the scheme if the Secretary determines they are operating with a purpose of avoiding the trigger thresholds (see section 16 of the MSO Rules). </w:t>
      </w:r>
    </w:p>
    <w:p w14:paraId="3BE91973" w14:textId="286B0AAD" w:rsidR="009934D4" w:rsidRPr="009934D4" w:rsidRDefault="009934D4" w:rsidP="00EE3142">
      <w:pPr>
        <w:pStyle w:val="Heading4"/>
        <w:spacing w:after="240"/>
      </w:pPr>
      <w:r>
        <w:t>Compliance Plan</w:t>
      </w:r>
    </w:p>
    <w:p w14:paraId="371BFC88" w14:textId="32304999" w:rsidR="00AF3C99" w:rsidRDefault="00AF3C99" w:rsidP="009E3AAE">
      <w:r>
        <w:t xml:space="preserve">The MSO compliance plan </w:t>
      </w:r>
      <w:r w:rsidR="00D324E9">
        <w:t xml:space="preserve">is an important aspect of a regulated entity’s MSO compliance governance framework. </w:t>
      </w:r>
      <w:r>
        <w:t>A regulated entity must provide a copy of their compliance plan t</w:t>
      </w:r>
      <w:r w:rsidR="00D324E9">
        <w:t xml:space="preserve">o the Secretary by 31 July 2022. An outline of compliance plan requirements is </w:t>
      </w:r>
      <w:r w:rsidR="00CE3729">
        <w:t>below</w:t>
      </w:r>
      <w:r w:rsidR="00D324E9">
        <w:t>:</w:t>
      </w:r>
    </w:p>
    <w:p w14:paraId="15134AC4" w14:textId="40561DF8" w:rsidR="00293870" w:rsidRPr="00D324E9" w:rsidRDefault="007D7E27" w:rsidP="00CE3729">
      <w:pPr>
        <w:pStyle w:val="Caption"/>
        <w:rPr>
          <w:szCs w:val="22"/>
        </w:rPr>
        <w:sectPr w:rsidR="00293870" w:rsidRPr="00D324E9" w:rsidSect="00293870">
          <w:footerReference w:type="default" r:id="rId13"/>
          <w:type w:val="continuous"/>
          <w:pgSz w:w="11906" w:h="16838"/>
          <w:pgMar w:top="1276" w:right="1440" w:bottom="1440" w:left="1440" w:header="851" w:footer="708" w:gutter="0"/>
          <w:pgNumType w:start="0"/>
          <w:cols w:space="708"/>
          <w:titlePg/>
          <w:docGrid w:linePitch="360"/>
        </w:sectPr>
      </w:pPr>
      <w:r>
        <w:rPr>
          <w:noProof/>
          <w:lang w:eastAsia="en-AU"/>
        </w:rPr>
        <w:lastRenderedPageBreak/>
        <w:drawing>
          <wp:inline distT="0" distB="0" distL="0" distR="0" wp14:anchorId="72C3B9C2" wp14:editId="574155D3">
            <wp:extent cx="5731510" cy="8850763"/>
            <wp:effectExtent l="0" t="0" r="21590" b="76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C5B85BB" w14:textId="488C2C24" w:rsidR="004D3B0F" w:rsidRPr="005B4078" w:rsidRDefault="00293870" w:rsidP="002024BD">
      <w:pPr>
        <w:ind w:firstLine="360"/>
      </w:pPr>
      <w:r w:rsidRPr="00293870">
        <w:rPr>
          <w:rFonts w:asciiTheme="majorHAnsi" w:eastAsiaTheme="majorEastAsia" w:hAnsiTheme="majorHAnsi" w:cstheme="majorBidi"/>
          <w:color w:val="005677" w:themeColor="text2"/>
          <w:sz w:val="40"/>
          <w:szCs w:val="40"/>
        </w:rPr>
        <w:lastRenderedPageBreak/>
        <w:t>Flowchart</w:t>
      </w:r>
      <w:r>
        <w:rPr>
          <w:rFonts w:asciiTheme="majorHAnsi" w:eastAsiaTheme="majorEastAsia" w:hAnsiTheme="majorHAnsi" w:cstheme="majorBidi"/>
          <w:color w:val="005677" w:themeColor="text2"/>
          <w:sz w:val="40"/>
          <w:szCs w:val="40"/>
        </w:rPr>
        <w:t xml:space="preserve"> </w:t>
      </w:r>
      <w:r w:rsidR="00FC766F">
        <w:rPr>
          <w:rFonts w:asciiTheme="majorHAnsi" w:eastAsiaTheme="majorEastAsia" w:hAnsiTheme="majorHAnsi" w:cstheme="majorBidi"/>
          <w:color w:val="005677" w:themeColor="text2"/>
          <w:sz w:val="28"/>
          <w:szCs w:val="28"/>
        </w:rPr>
        <w:t>–</w:t>
      </w:r>
      <w:r w:rsidR="00692478">
        <w:rPr>
          <w:rFonts w:asciiTheme="majorHAnsi" w:eastAsiaTheme="majorEastAsia" w:hAnsiTheme="majorHAnsi" w:cstheme="majorBidi"/>
          <w:color w:val="005677" w:themeColor="text2"/>
          <w:sz w:val="28"/>
          <w:szCs w:val="28"/>
        </w:rPr>
        <w:t xml:space="preserve"> </w:t>
      </w:r>
      <w:r w:rsidR="00FC766F">
        <w:rPr>
          <w:rFonts w:asciiTheme="majorHAnsi" w:eastAsiaTheme="majorEastAsia" w:hAnsiTheme="majorHAnsi" w:cstheme="majorBidi"/>
          <w:color w:val="005677" w:themeColor="text2"/>
          <w:sz w:val="28"/>
          <w:szCs w:val="28"/>
        </w:rPr>
        <w:t>operation of</w:t>
      </w:r>
      <w:r w:rsidR="00692478">
        <w:rPr>
          <w:rFonts w:asciiTheme="majorHAnsi" w:eastAsiaTheme="majorEastAsia" w:hAnsiTheme="majorHAnsi" w:cstheme="majorBidi"/>
          <w:color w:val="005677" w:themeColor="text2"/>
          <w:sz w:val="28"/>
          <w:szCs w:val="28"/>
        </w:rPr>
        <w:t xml:space="preserve"> the</w:t>
      </w:r>
      <w:r w:rsidR="00FC766F">
        <w:rPr>
          <w:rFonts w:asciiTheme="majorHAnsi" w:eastAsiaTheme="majorEastAsia" w:hAnsiTheme="majorHAnsi" w:cstheme="majorBidi"/>
          <w:color w:val="005677" w:themeColor="text2"/>
          <w:sz w:val="28"/>
          <w:szCs w:val="28"/>
        </w:rPr>
        <w:t xml:space="preserve"> MSO (from 2023 – the </w:t>
      </w:r>
      <w:r w:rsidR="00692478">
        <w:rPr>
          <w:rFonts w:asciiTheme="majorHAnsi" w:eastAsiaTheme="majorEastAsia" w:hAnsiTheme="majorHAnsi" w:cstheme="majorBidi"/>
          <w:color w:val="005677" w:themeColor="text2"/>
          <w:sz w:val="28"/>
          <w:szCs w:val="28"/>
        </w:rPr>
        <w:t xml:space="preserve">first year will operate </w:t>
      </w:r>
      <w:r w:rsidR="00BC1933">
        <w:rPr>
          <w:rFonts w:asciiTheme="majorHAnsi" w:eastAsiaTheme="majorEastAsia" w:hAnsiTheme="majorHAnsi" w:cstheme="majorBidi"/>
          <w:color w:val="005677" w:themeColor="text2"/>
          <w:sz w:val="28"/>
          <w:szCs w:val="28"/>
        </w:rPr>
        <w:t xml:space="preserve">slightly </w:t>
      </w:r>
      <w:r w:rsidR="00692478">
        <w:rPr>
          <w:rFonts w:asciiTheme="majorHAnsi" w:eastAsiaTheme="majorEastAsia" w:hAnsiTheme="majorHAnsi" w:cstheme="majorBidi"/>
          <w:color w:val="005677" w:themeColor="text2"/>
          <w:sz w:val="28"/>
          <w:szCs w:val="28"/>
        </w:rPr>
        <w:t>differently)</w:t>
      </w:r>
      <w:r>
        <w:t xml:space="preserve"> </w:t>
      </w:r>
      <w:r w:rsidR="002024BD">
        <w:rPr>
          <w:sz w:val="40"/>
          <w:szCs w:val="40"/>
        </w:rPr>
        <w:object w:dxaOrig="9607" w:dyaOrig="5399" w14:anchorId="1CE34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3pt;height:434.05pt" o:ole="">
            <v:imagedata r:id="rId19" o:title=""/>
          </v:shape>
          <o:OLEObject Type="Embed" ProgID="PowerPoint.Slide.12" ShapeID="_x0000_i1025" DrawAspect="Content" ObjectID="_1704791175" r:id="rId20"/>
        </w:object>
      </w:r>
      <w:bookmarkEnd w:id="43"/>
      <w:bookmarkEnd w:id="44"/>
      <w:bookmarkEnd w:id="45"/>
      <w:bookmarkEnd w:id="46"/>
    </w:p>
    <w:sectPr w:rsidR="004D3B0F" w:rsidRPr="005B4078" w:rsidSect="002024BD">
      <w:pgSz w:w="16838" w:h="11906" w:orient="landscape"/>
      <w:pgMar w:top="720" w:right="720" w:bottom="720" w:left="720" w:header="85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9B430" w14:textId="77777777" w:rsidR="00DF0912" w:rsidRDefault="00DF0912" w:rsidP="00B251DB">
      <w:pPr>
        <w:spacing w:after="0" w:line="240" w:lineRule="auto"/>
      </w:pPr>
      <w:r>
        <w:separator/>
      </w:r>
    </w:p>
  </w:endnote>
  <w:endnote w:type="continuationSeparator" w:id="0">
    <w:p w14:paraId="58707AF1" w14:textId="77777777" w:rsidR="00DF0912" w:rsidRDefault="00DF0912" w:rsidP="00B251DB">
      <w:pPr>
        <w:spacing w:after="0" w:line="240" w:lineRule="auto"/>
      </w:pPr>
      <w:r>
        <w:continuationSeparator/>
      </w:r>
    </w:p>
  </w:endnote>
  <w:endnote w:type="continuationNotice" w:id="1">
    <w:p w14:paraId="4510438A" w14:textId="77777777" w:rsidR="00DF0912" w:rsidRDefault="00DF0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FABE6" w14:textId="47982F92" w:rsidR="00DF0912" w:rsidRDefault="000C2EC6" w:rsidP="00BD0F8A">
    <w:pPr>
      <w:pStyle w:val="Footer"/>
      <w:jc w:val="right"/>
      <w:rPr>
        <w:noProof/>
      </w:rPr>
    </w:pPr>
    <w:sdt>
      <w:sdtPr>
        <w:alias w:val="Title"/>
        <w:tag w:val=""/>
        <w:id w:val="-1608199146"/>
        <w:placeholder>
          <w:docPart w:val="72EA9495F1294B26A2716C5E67377D4E"/>
        </w:placeholder>
        <w:dataBinding w:prefixMappings="xmlns:ns0='http://purl.org/dc/elements/1.1/' xmlns:ns1='http://schemas.openxmlformats.org/package/2006/metadata/core-properties' " w:xpath="/ns1:coreProperties[1]/ns0:title[1]" w:storeItemID="{6C3C8BC8-F283-45AE-878A-BAB7291924A1}"/>
        <w:text/>
      </w:sdtPr>
      <w:sdtEndPr/>
      <w:sdtContent>
        <w:r w:rsidR="00EE3142">
          <w:t>Minimum</w:t>
        </w:r>
        <w:r w:rsidR="00AD1CF9">
          <w:t xml:space="preserve"> Stockholding </w:t>
        </w:r>
        <w:r w:rsidR="00CB1D54">
          <w:t>O</w:t>
        </w:r>
        <w:r w:rsidR="00AD1CF9">
          <w:t>bligation (MSO)</w:t>
        </w:r>
      </w:sdtContent>
    </w:sdt>
    <w:r w:rsidR="00DF0912">
      <w:tab/>
      <w:t>industry.gov.au</w:t>
    </w:r>
    <w:r w:rsidR="00DF0912">
      <w:tab/>
    </w:r>
    <w:sdt>
      <w:sdtPr>
        <w:id w:val="-885716570"/>
        <w:docPartObj>
          <w:docPartGallery w:val="Page Numbers (Bottom of Page)"/>
          <w:docPartUnique/>
        </w:docPartObj>
      </w:sdtPr>
      <w:sdtEndPr>
        <w:rPr>
          <w:noProof/>
        </w:rPr>
      </w:sdtEndPr>
      <w:sdtContent>
        <w:r w:rsidR="00DF0912">
          <w:fldChar w:fldCharType="begin"/>
        </w:r>
        <w:r w:rsidR="00DF0912">
          <w:instrText xml:space="preserve"> PAGE   \* MERGEFORMAT </w:instrText>
        </w:r>
        <w:r w:rsidR="00DF0912">
          <w:fldChar w:fldCharType="separate"/>
        </w:r>
        <w:r>
          <w:rPr>
            <w:noProof/>
          </w:rPr>
          <w:t>3</w:t>
        </w:r>
        <w:r w:rsidR="00DF091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A805C" w14:textId="77777777" w:rsidR="00DF0912" w:rsidRDefault="00DF0912" w:rsidP="00B251DB">
      <w:pPr>
        <w:spacing w:after="0" w:line="240" w:lineRule="auto"/>
      </w:pPr>
      <w:r>
        <w:separator/>
      </w:r>
    </w:p>
  </w:footnote>
  <w:footnote w:type="continuationSeparator" w:id="0">
    <w:p w14:paraId="33098FE9" w14:textId="77777777" w:rsidR="00DF0912" w:rsidRDefault="00DF0912" w:rsidP="00B251DB">
      <w:pPr>
        <w:spacing w:after="0" w:line="240" w:lineRule="auto"/>
      </w:pPr>
      <w:r>
        <w:continuationSeparator/>
      </w:r>
    </w:p>
  </w:footnote>
  <w:footnote w:type="continuationNotice" w:id="1">
    <w:p w14:paraId="61478884" w14:textId="77777777" w:rsidR="00DF0912" w:rsidRDefault="00DF091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123BA"/>
    <w:multiLevelType w:val="hybridMultilevel"/>
    <w:tmpl w:val="4218E2E2"/>
    <w:lvl w:ilvl="0" w:tplc="39B083A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F71974"/>
    <w:multiLevelType w:val="hybridMultilevel"/>
    <w:tmpl w:val="2FAA0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D433D4"/>
    <w:multiLevelType w:val="hybridMultilevel"/>
    <w:tmpl w:val="B4BAB706"/>
    <w:lvl w:ilvl="0" w:tplc="A8BE1980">
      <w:start w:val="1"/>
      <w:numFmt w:val="decimal"/>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6586DDC"/>
    <w:multiLevelType w:val="hybridMultilevel"/>
    <w:tmpl w:val="D73A7C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8F75DA"/>
    <w:multiLevelType w:val="hybridMultilevel"/>
    <w:tmpl w:val="4D10E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2E3102"/>
    <w:multiLevelType w:val="hybridMultilevel"/>
    <w:tmpl w:val="CB90D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84E1E"/>
    <w:multiLevelType w:val="hybridMultilevel"/>
    <w:tmpl w:val="EB3C016A"/>
    <w:lvl w:ilvl="0" w:tplc="1F6CF76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1A4476"/>
    <w:multiLevelType w:val="hybridMultilevel"/>
    <w:tmpl w:val="AA7CF44E"/>
    <w:lvl w:ilvl="0" w:tplc="9D321C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D5A01"/>
    <w:multiLevelType w:val="hybridMultilevel"/>
    <w:tmpl w:val="68424800"/>
    <w:lvl w:ilvl="0" w:tplc="C8BEA78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0F0F96"/>
    <w:multiLevelType w:val="hybridMultilevel"/>
    <w:tmpl w:val="1674D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3152D8"/>
    <w:multiLevelType w:val="hybridMultilevel"/>
    <w:tmpl w:val="B4BAB706"/>
    <w:lvl w:ilvl="0" w:tplc="A8BE1980">
      <w:start w:val="1"/>
      <w:numFmt w:val="decimal"/>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D2304C"/>
    <w:multiLevelType w:val="hybridMultilevel"/>
    <w:tmpl w:val="F18C26D0"/>
    <w:lvl w:ilvl="0" w:tplc="C00069D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46D04ACB"/>
    <w:multiLevelType w:val="hybridMultilevel"/>
    <w:tmpl w:val="1A4E6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EC5D73"/>
    <w:multiLevelType w:val="hybridMultilevel"/>
    <w:tmpl w:val="C032F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9503FA"/>
    <w:multiLevelType w:val="hybridMultilevel"/>
    <w:tmpl w:val="B1405FEE"/>
    <w:lvl w:ilvl="0" w:tplc="ABF212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EF22A7"/>
    <w:multiLevelType w:val="hybridMultilevel"/>
    <w:tmpl w:val="3EB293E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B52C5"/>
    <w:multiLevelType w:val="hybridMultilevel"/>
    <w:tmpl w:val="7102D8B2"/>
    <w:lvl w:ilvl="0" w:tplc="0C4C38B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635562"/>
    <w:multiLevelType w:val="hybridMultilevel"/>
    <w:tmpl w:val="8034C35C"/>
    <w:lvl w:ilvl="0" w:tplc="86420A1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9" w15:restartNumberingAfterBreak="0">
    <w:nsid w:val="5AFB05C7"/>
    <w:multiLevelType w:val="hybridMultilevel"/>
    <w:tmpl w:val="F1AAB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2A2BA9"/>
    <w:multiLevelType w:val="hybridMultilevel"/>
    <w:tmpl w:val="24986736"/>
    <w:lvl w:ilvl="0" w:tplc="80FA7C6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7054EC"/>
    <w:multiLevelType w:val="hybridMultilevel"/>
    <w:tmpl w:val="1674D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E65643"/>
    <w:multiLevelType w:val="hybridMultilevel"/>
    <w:tmpl w:val="11B4ABF8"/>
    <w:lvl w:ilvl="0" w:tplc="8C5049FE">
      <w:start w:val="1"/>
      <w:numFmt w:val="lowerLetter"/>
      <w:lvlText w:val="%1."/>
      <w:lvlJc w:val="left"/>
      <w:pPr>
        <w:ind w:left="862" w:hanging="360"/>
      </w:pPr>
      <w:rPr>
        <w:rFonts w:hint="default"/>
        <w:b w: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6" w15:restartNumberingAfterBreak="0">
    <w:nsid w:val="6EF03A16"/>
    <w:multiLevelType w:val="hybridMultilevel"/>
    <w:tmpl w:val="40F8C32A"/>
    <w:lvl w:ilvl="0" w:tplc="E4FC12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096FFC"/>
    <w:multiLevelType w:val="hybridMultilevel"/>
    <w:tmpl w:val="D1845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833DB"/>
    <w:multiLevelType w:val="hybridMultilevel"/>
    <w:tmpl w:val="250813B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7C9B2163"/>
    <w:multiLevelType w:val="hybridMultilevel"/>
    <w:tmpl w:val="B4BAB706"/>
    <w:lvl w:ilvl="0" w:tplc="A8BE1980">
      <w:start w:val="1"/>
      <w:numFmt w:val="decimal"/>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1" w15:restartNumberingAfterBreak="0">
    <w:nsid w:val="7E5D7FED"/>
    <w:multiLevelType w:val="hybridMultilevel"/>
    <w:tmpl w:val="F7644EBA"/>
    <w:lvl w:ilvl="0" w:tplc="3BB030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C927A4"/>
    <w:multiLevelType w:val="hybridMultilevel"/>
    <w:tmpl w:val="FF32D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6"/>
  </w:num>
  <w:num w:numId="4">
    <w:abstractNumId w:val="18"/>
  </w:num>
  <w:num w:numId="5">
    <w:abstractNumId w:val="31"/>
  </w:num>
  <w:num w:numId="6">
    <w:abstractNumId w:val="7"/>
  </w:num>
  <w:num w:numId="7">
    <w:abstractNumId w:val="0"/>
  </w:num>
  <w:num w:numId="8">
    <w:abstractNumId w:val="6"/>
  </w:num>
  <w:num w:numId="9">
    <w:abstractNumId w:val="23"/>
  </w:num>
  <w:num w:numId="10">
    <w:abstractNumId w:val="27"/>
  </w:num>
  <w:num w:numId="11">
    <w:abstractNumId w:val="11"/>
  </w:num>
  <w:num w:numId="12">
    <w:abstractNumId w:val="39"/>
  </w:num>
  <w:num w:numId="13">
    <w:abstractNumId w:val="32"/>
  </w:num>
  <w:num w:numId="14">
    <w:abstractNumId w:val="16"/>
  </w:num>
  <w:num w:numId="15">
    <w:abstractNumId w:val="33"/>
  </w:num>
  <w:num w:numId="16">
    <w:abstractNumId w:val="34"/>
  </w:num>
  <w:num w:numId="17">
    <w:abstractNumId w:val="27"/>
  </w:num>
  <w:num w:numId="18">
    <w:abstractNumId w:val="38"/>
  </w:num>
  <w:num w:numId="19">
    <w:abstractNumId w:val="27"/>
  </w:num>
  <w:num w:numId="20">
    <w:abstractNumId w:val="14"/>
  </w:num>
  <w:num w:numId="21">
    <w:abstractNumId w:val="27"/>
  </w:num>
  <w:num w:numId="22">
    <w:abstractNumId w:val="24"/>
  </w:num>
  <w:num w:numId="23">
    <w:abstractNumId w:val="37"/>
  </w:num>
  <w:num w:numId="24">
    <w:abstractNumId w:val="27"/>
  </w:num>
  <w:num w:numId="25">
    <w:abstractNumId w:val="30"/>
  </w:num>
  <w:num w:numId="26">
    <w:abstractNumId w:val="20"/>
  </w:num>
  <w:num w:numId="27">
    <w:abstractNumId w:val="3"/>
  </w:num>
  <w:num w:numId="28">
    <w:abstractNumId w:val="40"/>
  </w:num>
  <w:num w:numId="29">
    <w:abstractNumId w:val="19"/>
  </w:num>
  <w:num w:numId="30">
    <w:abstractNumId w:val="12"/>
  </w:num>
  <w:num w:numId="31">
    <w:abstractNumId w:val="17"/>
  </w:num>
  <w:num w:numId="32">
    <w:abstractNumId w:val="22"/>
  </w:num>
  <w:num w:numId="33">
    <w:abstractNumId w:val="4"/>
  </w:num>
  <w:num w:numId="34">
    <w:abstractNumId w:val="28"/>
  </w:num>
  <w:num w:numId="35">
    <w:abstractNumId w:val="10"/>
  </w:num>
  <w:num w:numId="36">
    <w:abstractNumId w:val="8"/>
  </w:num>
  <w:num w:numId="37">
    <w:abstractNumId w:val="42"/>
  </w:num>
  <w:num w:numId="38">
    <w:abstractNumId w:val="1"/>
  </w:num>
  <w:num w:numId="39">
    <w:abstractNumId w:val="36"/>
  </w:num>
  <w:num w:numId="40">
    <w:abstractNumId w:val="35"/>
  </w:num>
  <w:num w:numId="41">
    <w:abstractNumId w:val="21"/>
  </w:num>
  <w:num w:numId="42">
    <w:abstractNumId w:val="5"/>
  </w:num>
  <w:num w:numId="43">
    <w:abstractNumId w:val="9"/>
  </w:num>
  <w:num w:numId="44">
    <w:abstractNumId w:val="25"/>
  </w:num>
  <w:num w:numId="45">
    <w:abstractNumId w:val="41"/>
  </w:num>
  <w:num w:numId="46">
    <w:abstractNumId w:val="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ttachedTemplate r:id="rId1"/>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FC"/>
    <w:rsid w:val="0000119B"/>
    <w:rsid w:val="00004BFE"/>
    <w:rsid w:val="000052B1"/>
    <w:rsid w:val="00010438"/>
    <w:rsid w:val="00010D6A"/>
    <w:rsid w:val="0001634C"/>
    <w:rsid w:val="00017D7C"/>
    <w:rsid w:val="000229F5"/>
    <w:rsid w:val="000251B8"/>
    <w:rsid w:val="00027118"/>
    <w:rsid w:val="00031CA9"/>
    <w:rsid w:val="000325FF"/>
    <w:rsid w:val="00032732"/>
    <w:rsid w:val="00032995"/>
    <w:rsid w:val="000329E2"/>
    <w:rsid w:val="000332C1"/>
    <w:rsid w:val="00035F20"/>
    <w:rsid w:val="000401E2"/>
    <w:rsid w:val="00041D4E"/>
    <w:rsid w:val="00043ADE"/>
    <w:rsid w:val="0005022A"/>
    <w:rsid w:val="00050C31"/>
    <w:rsid w:val="000552B3"/>
    <w:rsid w:val="00061574"/>
    <w:rsid w:val="00061824"/>
    <w:rsid w:val="00065C64"/>
    <w:rsid w:val="00067A34"/>
    <w:rsid w:val="00070326"/>
    <w:rsid w:val="0007067B"/>
    <w:rsid w:val="000711B3"/>
    <w:rsid w:val="0007195C"/>
    <w:rsid w:val="000719FA"/>
    <w:rsid w:val="00073783"/>
    <w:rsid w:val="000738A5"/>
    <w:rsid w:val="000755AA"/>
    <w:rsid w:val="00080E99"/>
    <w:rsid w:val="00081D07"/>
    <w:rsid w:val="00086E3B"/>
    <w:rsid w:val="00092569"/>
    <w:rsid w:val="00095228"/>
    <w:rsid w:val="0009539F"/>
    <w:rsid w:val="000A0794"/>
    <w:rsid w:val="000B1B77"/>
    <w:rsid w:val="000B292A"/>
    <w:rsid w:val="000B4102"/>
    <w:rsid w:val="000B53C1"/>
    <w:rsid w:val="000B655A"/>
    <w:rsid w:val="000C0B9F"/>
    <w:rsid w:val="000C1E17"/>
    <w:rsid w:val="000C2EC6"/>
    <w:rsid w:val="000C3494"/>
    <w:rsid w:val="000C6269"/>
    <w:rsid w:val="000D06B7"/>
    <w:rsid w:val="000D53E0"/>
    <w:rsid w:val="000E30D6"/>
    <w:rsid w:val="000E599A"/>
    <w:rsid w:val="000E5B1A"/>
    <w:rsid w:val="000E601A"/>
    <w:rsid w:val="000E6242"/>
    <w:rsid w:val="000F2564"/>
    <w:rsid w:val="000F3B55"/>
    <w:rsid w:val="000F48C2"/>
    <w:rsid w:val="000F7D67"/>
    <w:rsid w:val="00101ABC"/>
    <w:rsid w:val="0010241F"/>
    <w:rsid w:val="00103753"/>
    <w:rsid w:val="00113573"/>
    <w:rsid w:val="00114A01"/>
    <w:rsid w:val="00115906"/>
    <w:rsid w:val="00116D0B"/>
    <w:rsid w:val="0012116F"/>
    <w:rsid w:val="00122000"/>
    <w:rsid w:val="00124458"/>
    <w:rsid w:val="001246E2"/>
    <w:rsid w:val="00131E39"/>
    <w:rsid w:val="001335C1"/>
    <w:rsid w:val="00134401"/>
    <w:rsid w:val="00141048"/>
    <w:rsid w:val="00144197"/>
    <w:rsid w:val="00150159"/>
    <w:rsid w:val="00150333"/>
    <w:rsid w:val="00150F32"/>
    <w:rsid w:val="001519A6"/>
    <w:rsid w:val="00152A78"/>
    <w:rsid w:val="0015372C"/>
    <w:rsid w:val="00153C15"/>
    <w:rsid w:val="00157883"/>
    <w:rsid w:val="0016595A"/>
    <w:rsid w:val="00167F57"/>
    <w:rsid w:val="00170935"/>
    <w:rsid w:val="00173FEA"/>
    <w:rsid w:val="00174B13"/>
    <w:rsid w:val="00174B91"/>
    <w:rsid w:val="001764A7"/>
    <w:rsid w:val="00177DEA"/>
    <w:rsid w:val="0018450F"/>
    <w:rsid w:val="00184E58"/>
    <w:rsid w:val="00185BD9"/>
    <w:rsid w:val="00187F79"/>
    <w:rsid w:val="00190C5A"/>
    <w:rsid w:val="00192C8D"/>
    <w:rsid w:val="00193BA1"/>
    <w:rsid w:val="00194046"/>
    <w:rsid w:val="001942AB"/>
    <w:rsid w:val="00194712"/>
    <w:rsid w:val="001A0B7D"/>
    <w:rsid w:val="001A10E5"/>
    <w:rsid w:val="001A1C3E"/>
    <w:rsid w:val="001A2564"/>
    <w:rsid w:val="001A459E"/>
    <w:rsid w:val="001A7943"/>
    <w:rsid w:val="001B2A6F"/>
    <w:rsid w:val="001B2C92"/>
    <w:rsid w:val="001B5C0B"/>
    <w:rsid w:val="001B5EE5"/>
    <w:rsid w:val="001B6C9A"/>
    <w:rsid w:val="001B71F7"/>
    <w:rsid w:val="001B7644"/>
    <w:rsid w:val="001B7930"/>
    <w:rsid w:val="001C29C4"/>
    <w:rsid w:val="001C4604"/>
    <w:rsid w:val="001D216A"/>
    <w:rsid w:val="001D2E82"/>
    <w:rsid w:val="001D7A44"/>
    <w:rsid w:val="001E0D17"/>
    <w:rsid w:val="001E0DA8"/>
    <w:rsid w:val="001E6718"/>
    <w:rsid w:val="001E72F7"/>
    <w:rsid w:val="001E7B3E"/>
    <w:rsid w:val="001F0307"/>
    <w:rsid w:val="001F0910"/>
    <w:rsid w:val="001F284B"/>
    <w:rsid w:val="001F5AB1"/>
    <w:rsid w:val="00201B5C"/>
    <w:rsid w:val="002024BD"/>
    <w:rsid w:val="00203EF7"/>
    <w:rsid w:val="00204A6B"/>
    <w:rsid w:val="00205DF3"/>
    <w:rsid w:val="00206E01"/>
    <w:rsid w:val="002119ED"/>
    <w:rsid w:val="002126B5"/>
    <w:rsid w:val="00216758"/>
    <w:rsid w:val="002206EE"/>
    <w:rsid w:val="0022083E"/>
    <w:rsid w:val="00220948"/>
    <w:rsid w:val="00222D0B"/>
    <w:rsid w:val="00223B33"/>
    <w:rsid w:val="00226D0A"/>
    <w:rsid w:val="002308B6"/>
    <w:rsid w:val="00232F79"/>
    <w:rsid w:val="00236719"/>
    <w:rsid w:val="00241D3D"/>
    <w:rsid w:val="00251BA6"/>
    <w:rsid w:val="00252ED8"/>
    <w:rsid w:val="00254DA8"/>
    <w:rsid w:val="00257FEA"/>
    <w:rsid w:val="0026617A"/>
    <w:rsid w:val="002665E6"/>
    <w:rsid w:val="0027289A"/>
    <w:rsid w:val="00272B04"/>
    <w:rsid w:val="00272B10"/>
    <w:rsid w:val="002759FE"/>
    <w:rsid w:val="00290572"/>
    <w:rsid w:val="00293870"/>
    <w:rsid w:val="00294720"/>
    <w:rsid w:val="0029494A"/>
    <w:rsid w:val="002949B7"/>
    <w:rsid w:val="00296277"/>
    <w:rsid w:val="002970B1"/>
    <w:rsid w:val="002A09B6"/>
    <w:rsid w:val="002A7A59"/>
    <w:rsid w:val="002B0F62"/>
    <w:rsid w:val="002B200F"/>
    <w:rsid w:val="002B257D"/>
    <w:rsid w:val="002B5C69"/>
    <w:rsid w:val="002C3942"/>
    <w:rsid w:val="002C4768"/>
    <w:rsid w:val="002D0345"/>
    <w:rsid w:val="002D1809"/>
    <w:rsid w:val="002D230B"/>
    <w:rsid w:val="002D26B3"/>
    <w:rsid w:val="002D4AF4"/>
    <w:rsid w:val="002D7256"/>
    <w:rsid w:val="002E0192"/>
    <w:rsid w:val="002E3949"/>
    <w:rsid w:val="002E5095"/>
    <w:rsid w:val="002F2C91"/>
    <w:rsid w:val="002F301D"/>
    <w:rsid w:val="002F3882"/>
    <w:rsid w:val="002F5007"/>
    <w:rsid w:val="002F6D3F"/>
    <w:rsid w:val="00302796"/>
    <w:rsid w:val="00302937"/>
    <w:rsid w:val="003040D8"/>
    <w:rsid w:val="003044EE"/>
    <w:rsid w:val="0030675D"/>
    <w:rsid w:val="003120D0"/>
    <w:rsid w:val="00312B3D"/>
    <w:rsid w:val="00315AFA"/>
    <w:rsid w:val="00316CE4"/>
    <w:rsid w:val="003204C7"/>
    <w:rsid w:val="003223AD"/>
    <w:rsid w:val="00323734"/>
    <w:rsid w:val="00324EF7"/>
    <w:rsid w:val="003344F2"/>
    <w:rsid w:val="003359DB"/>
    <w:rsid w:val="003361DB"/>
    <w:rsid w:val="00336507"/>
    <w:rsid w:val="00336F99"/>
    <w:rsid w:val="00337759"/>
    <w:rsid w:val="00343198"/>
    <w:rsid w:val="003442DF"/>
    <w:rsid w:val="00344F68"/>
    <w:rsid w:val="00344FFF"/>
    <w:rsid w:val="00345579"/>
    <w:rsid w:val="0035030E"/>
    <w:rsid w:val="003519F3"/>
    <w:rsid w:val="00352567"/>
    <w:rsid w:val="00354C4D"/>
    <w:rsid w:val="003566DD"/>
    <w:rsid w:val="00357C71"/>
    <w:rsid w:val="00361A12"/>
    <w:rsid w:val="00365243"/>
    <w:rsid w:val="00371610"/>
    <w:rsid w:val="00375E51"/>
    <w:rsid w:val="0038132D"/>
    <w:rsid w:val="00390A83"/>
    <w:rsid w:val="00391C1F"/>
    <w:rsid w:val="00392C12"/>
    <w:rsid w:val="00393C4B"/>
    <w:rsid w:val="003944FF"/>
    <w:rsid w:val="003A0D94"/>
    <w:rsid w:val="003A25BF"/>
    <w:rsid w:val="003A7068"/>
    <w:rsid w:val="003B300D"/>
    <w:rsid w:val="003B4052"/>
    <w:rsid w:val="003B4E2E"/>
    <w:rsid w:val="003B59A5"/>
    <w:rsid w:val="003C24B5"/>
    <w:rsid w:val="003D0C93"/>
    <w:rsid w:val="003D1F7E"/>
    <w:rsid w:val="003D258C"/>
    <w:rsid w:val="003D38ED"/>
    <w:rsid w:val="003D4D6D"/>
    <w:rsid w:val="003E19CD"/>
    <w:rsid w:val="003E1E24"/>
    <w:rsid w:val="003E3384"/>
    <w:rsid w:val="003E687F"/>
    <w:rsid w:val="003E6988"/>
    <w:rsid w:val="003F0C61"/>
    <w:rsid w:val="003F117E"/>
    <w:rsid w:val="003F24F9"/>
    <w:rsid w:val="003F559E"/>
    <w:rsid w:val="003F69CF"/>
    <w:rsid w:val="00402128"/>
    <w:rsid w:val="00403EAC"/>
    <w:rsid w:val="004105F7"/>
    <w:rsid w:val="004113F5"/>
    <w:rsid w:val="004230A8"/>
    <w:rsid w:val="00426242"/>
    <w:rsid w:val="0043231E"/>
    <w:rsid w:val="004332C2"/>
    <w:rsid w:val="0043357B"/>
    <w:rsid w:val="00437D81"/>
    <w:rsid w:val="00441D98"/>
    <w:rsid w:val="00445366"/>
    <w:rsid w:val="004528C1"/>
    <w:rsid w:val="0045479A"/>
    <w:rsid w:val="004632E9"/>
    <w:rsid w:val="00463551"/>
    <w:rsid w:val="0046506F"/>
    <w:rsid w:val="00466368"/>
    <w:rsid w:val="0046678C"/>
    <w:rsid w:val="004677C6"/>
    <w:rsid w:val="004711F5"/>
    <w:rsid w:val="00471353"/>
    <w:rsid w:val="0047148A"/>
    <w:rsid w:val="00472BE6"/>
    <w:rsid w:val="00475D1F"/>
    <w:rsid w:val="004836BB"/>
    <w:rsid w:val="00484645"/>
    <w:rsid w:val="00484924"/>
    <w:rsid w:val="00484F95"/>
    <w:rsid w:val="00491274"/>
    <w:rsid w:val="004941B8"/>
    <w:rsid w:val="0049491D"/>
    <w:rsid w:val="004A4A5D"/>
    <w:rsid w:val="004A568D"/>
    <w:rsid w:val="004B0B4B"/>
    <w:rsid w:val="004B113F"/>
    <w:rsid w:val="004B1228"/>
    <w:rsid w:val="004B4254"/>
    <w:rsid w:val="004C39F9"/>
    <w:rsid w:val="004C449B"/>
    <w:rsid w:val="004C7A1F"/>
    <w:rsid w:val="004D0342"/>
    <w:rsid w:val="004D0D04"/>
    <w:rsid w:val="004D2CCD"/>
    <w:rsid w:val="004D3187"/>
    <w:rsid w:val="004D3B0F"/>
    <w:rsid w:val="004D6C71"/>
    <w:rsid w:val="004E142B"/>
    <w:rsid w:val="004E6851"/>
    <w:rsid w:val="004E75D2"/>
    <w:rsid w:val="004E7635"/>
    <w:rsid w:val="004F1264"/>
    <w:rsid w:val="004F5BAE"/>
    <w:rsid w:val="00500EF0"/>
    <w:rsid w:val="00500F31"/>
    <w:rsid w:val="005012E0"/>
    <w:rsid w:val="0050265F"/>
    <w:rsid w:val="00503FBD"/>
    <w:rsid w:val="005054A7"/>
    <w:rsid w:val="005060F3"/>
    <w:rsid w:val="00506B27"/>
    <w:rsid w:val="00506DA7"/>
    <w:rsid w:val="005071BA"/>
    <w:rsid w:val="00510FC3"/>
    <w:rsid w:val="0051373C"/>
    <w:rsid w:val="00514073"/>
    <w:rsid w:val="00514100"/>
    <w:rsid w:val="00516B0E"/>
    <w:rsid w:val="00525019"/>
    <w:rsid w:val="00530B30"/>
    <w:rsid w:val="005405B4"/>
    <w:rsid w:val="005409BA"/>
    <w:rsid w:val="005411AC"/>
    <w:rsid w:val="005412B0"/>
    <w:rsid w:val="00541B7A"/>
    <w:rsid w:val="00541D3E"/>
    <w:rsid w:val="00547C7B"/>
    <w:rsid w:val="00551FCC"/>
    <w:rsid w:val="00552671"/>
    <w:rsid w:val="005546DE"/>
    <w:rsid w:val="00554910"/>
    <w:rsid w:val="00554FE8"/>
    <w:rsid w:val="00571276"/>
    <w:rsid w:val="00573AB8"/>
    <w:rsid w:val="005741B6"/>
    <w:rsid w:val="00574A0C"/>
    <w:rsid w:val="0057555A"/>
    <w:rsid w:val="005755D6"/>
    <w:rsid w:val="00581718"/>
    <w:rsid w:val="00581A78"/>
    <w:rsid w:val="005832F4"/>
    <w:rsid w:val="00584B74"/>
    <w:rsid w:val="005859D1"/>
    <w:rsid w:val="00586155"/>
    <w:rsid w:val="00587842"/>
    <w:rsid w:val="0059013D"/>
    <w:rsid w:val="00592136"/>
    <w:rsid w:val="00592449"/>
    <w:rsid w:val="00592A39"/>
    <w:rsid w:val="00592BA6"/>
    <w:rsid w:val="0059448F"/>
    <w:rsid w:val="005A1042"/>
    <w:rsid w:val="005A11D5"/>
    <w:rsid w:val="005A1E64"/>
    <w:rsid w:val="005A209E"/>
    <w:rsid w:val="005A276B"/>
    <w:rsid w:val="005A7507"/>
    <w:rsid w:val="005B1441"/>
    <w:rsid w:val="005B4078"/>
    <w:rsid w:val="005B50D0"/>
    <w:rsid w:val="005B775F"/>
    <w:rsid w:val="005B7988"/>
    <w:rsid w:val="005C0309"/>
    <w:rsid w:val="005C39B1"/>
    <w:rsid w:val="005C72F2"/>
    <w:rsid w:val="005D0AB3"/>
    <w:rsid w:val="005E477B"/>
    <w:rsid w:val="006010AA"/>
    <w:rsid w:val="00603DDF"/>
    <w:rsid w:val="00607188"/>
    <w:rsid w:val="006106D0"/>
    <w:rsid w:val="00611FA3"/>
    <w:rsid w:val="00614F48"/>
    <w:rsid w:val="00615922"/>
    <w:rsid w:val="00634359"/>
    <w:rsid w:val="006345D4"/>
    <w:rsid w:val="006370CC"/>
    <w:rsid w:val="0064386C"/>
    <w:rsid w:val="006563F1"/>
    <w:rsid w:val="006616EF"/>
    <w:rsid w:val="00661814"/>
    <w:rsid w:val="00666324"/>
    <w:rsid w:val="006715E1"/>
    <w:rsid w:val="00671D1D"/>
    <w:rsid w:val="006729C1"/>
    <w:rsid w:val="00673E70"/>
    <w:rsid w:val="00680FF6"/>
    <w:rsid w:val="00682532"/>
    <w:rsid w:val="0068286F"/>
    <w:rsid w:val="00692478"/>
    <w:rsid w:val="00692E9B"/>
    <w:rsid w:val="0069323D"/>
    <w:rsid w:val="006944F0"/>
    <w:rsid w:val="006949D2"/>
    <w:rsid w:val="00697567"/>
    <w:rsid w:val="006A0235"/>
    <w:rsid w:val="006A03FA"/>
    <w:rsid w:val="006A0ACB"/>
    <w:rsid w:val="006A31E5"/>
    <w:rsid w:val="006B3604"/>
    <w:rsid w:val="006B4D61"/>
    <w:rsid w:val="006B7DF0"/>
    <w:rsid w:val="006C192D"/>
    <w:rsid w:val="006C1ACE"/>
    <w:rsid w:val="006C3E41"/>
    <w:rsid w:val="006C4C9C"/>
    <w:rsid w:val="006D2221"/>
    <w:rsid w:val="006D353B"/>
    <w:rsid w:val="006D3F51"/>
    <w:rsid w:val="006D6B8F"/>
    <w:rsid w:val="006D79EE"/>
    <w:rsid w:val="006E1E6A"/>
    <w:rsid w:val="006E1F93"/>
    <w:rsid w:val="006E3354"/>
    <w:rsid w:val="006E4001"/>
    <w:rsid w:val="006E4E84"/>
    <w:rsid w:val="006E6F20"/>
    <w:rsid w:val="006F01FF"/>
    <w:rsid w:val="006F099E"/>
    <w:rsid w:val="006F44BF"/>
    <w:rsid w:val="006F58A5"/>
    <w:rsid w:val="006F5AF3"/>
    <w:rsid w:val="006F5D13"/>
    <w:rsid w:val="006F5D26"/>
    <w:rsid w:val="006F7418"/>
    <w:rsid w:val="00700314"/>
    <w:rsid w:val="00701D26"/>
    <w:rsid w:val="0070388D"/>
    <w:rsid w:val="00706987"/>
    <w:rsid w:val="00706E17"/>
    <w:rsid w:val="00711349"/>
    <w:rsid w:val="00712F51"/>
    <w:rsid w:val="00714412"/>
    <w:rsid w:val="00714682"/>
    <w:rsid w:val="00717896"/>
    <w:rsid w:val="00720A98"/>
    <w:rsid w:val="00720FAC"/>
    <w:rsid w:val="007215D2"/>
    <w:rsid w:val="00723C5D"/>
    <w:rsid w:val="007273E5"/>
    <w:rsid w:val="00730A2E"/>
    <w:rsid w:val="00740FC6"/>
    <w:rsid w:val="00741C34"/>
    <w:rsid w:val="00742DCC"/>
    <w:rsid w:val="00747352"/>
    <w:rsid w:val="0075131D"/>
    <w:rsid w:val="00751E64"/>
    <w:rsid w:val="007520FE"/>
    <w:rsid w:val="00753902"/>
    <w:rsid w:val="00753F95"/>
    <w:rsid w:val="0075423A"/>
    <w:rsid w:val="007549D7"/>
    <w:rsid w:val="00760EA7"/>
    <w:rsid w:val="00760FCF"/>
    <w:rsid w:val="00761062"/>
    <w:rsid w:val="00762396"/>
    <w:rsid w:val="007642A4"/>
    <w:rsid w:val="007754E7"/>
    <w:rsid w:val="0077661A"/>
    <w:rsid w:val="00781CCC"/>
    <w:rsid w:val="007833EE"/>
    <w:rsid w:val="007877D7"/>
    <w:rsid w:val="007878D0"/>
    <w:rsid w:val="00795D21"/>
    <w:rsid w:val="007A0E0D"/>
    <w:rsid w:val="007A3E58"/>
    <w:rsid w:val="007B4B95"/>
    <w:rsid w:val="007B5386"/>
    <w:rsid w:val="007B553F"/>
    <w:rsid w:val="007B58EF"/>
    <w:rsid w:val="007B67F5"/>
    <w:rsid w:val="007C7049"/>
    <w:rsid w:val="007C7468"/>
    <w:rsid w:val="007C7AE7"/>
    <w:rsid w:val="007D6597"/>
    <w:rsid w:val="007D6B6E"/>
    <w:rsid w:val="007D7482"/>
    <w:rsid w:val="007D7E27"/>
    <w:rsid w:val="007E2738"/>
    <w:rsid w:val="007E4BF7"/>
    <w:rsid w:val="007E4C99"/>
    <w:rsid w:val="007E5C7F"/>
    <w:rsid w:val="007F11EA"/>
    <w:rsid w:val="007F1580"/>
    <w:rsid w:val="007F2E06"/>
    <w:rsid w:val="007F3319"/>
    <w:rsid w:val="007F3B52"/>
    <w:rsid w:val="007F40FD"/>
    <w:rsid w:val="007F7A1E"/>
    <w:rsid w:val="00801EA5"/>
    <w:rsid w:val="00802DA7"/>
    <w:rsid w:val="00802DB3"/>
    <w:rsid w:val="00803F05"/>
    <w:rsid w:val="008043A2"/>
    <w:rsid w:val="0080562D"/>
    <w:rsid w:val="00806473"/>
    <w:rsid w:val="00810099"/>
    <w:rsid w:val="00814AB4"/>
    <w:rsid w:val="00816E80"/>
    <w:rsid w:val="0081792B"/>
    <w:rsid w:val="00817F13"/>
    <w:rsid w:val="0082003C"/>
    <w:rsid w:val="0082010E"/>
    <w:rsid w:val="008225F7"/>
    <w:rsid w:val="00824182"/>
    <w:rsid w:val="00824979"/>
    <w:rsid w:val="00825C95"/>
    <w:rsid w:val="0082724A"/>
    <w:rsid w:val="0082726E"/>
    <w:rsid w:val="0082752E"/>
    <w:rsid w:val="00833402"/>
    <w:rsid w:val="00835996"/>
    <w:rsid w:val="00840EB0"/>
    <w:rsid w:val="00844C73"/>
    <w:rsid w:val="0084551D"/>
    <w:rsid w:val="008469D9"/>
    <w:rsid w:val="00850780"/>
    <w:rsid w:val="008520C1"/>
    <w:rsid w:val="008527EF"/>
    <w:rsid w:val="0085336C"/>
    <w:rsid w:val="00853A7A"/>
    <w:rsid w:val="00854DFB"/>
    <w:rsid w:val="00855A53"/>
    <w:rsid w:val="00855D3A"/>
    <w:rsid w:val="00856C65"/>
    <w:rsid w:val="00860156"/>
    <w:rsid w:val="0086363F"/>
    <w:rsid w:val="008652D6"/>
    <w:rsid w:val="0088288C"/>
    <w:rsid w:val="00884B51"/>
    <w:rsid w:val="0089114A"/>
    <w:rsid w:val="00891D7E"/>
    <w:rsid w:val="00892B6E"/>
    <w:rsid w:val="00897D46"/>
    <w:rsid w:val="008A0626"/>
    <w:rsid w:val="008A0C54"/>
    <w:rsid w:val="008A4AC6"/>
    <w:rsid w:val="008B113D"/>
    <w:rsid w:val="008B1AF5"/>
    <w:rsid w:val="008B3DAF"/>
    <w:rsid w:val="008B4C68"/>
    <w:rsid w:val="008B6754"/>
    <w:rsid w:val="008B6C90"/>
    <w:rsid w:val="008C5A69"/>
    <w:rsid w:val="008C70BB"/>
    <w:rsid w:val="008D05B4"/>
    <w:rsid w:val="008D2EC7"/>
    <w:rsid w:val="008D5006"/>
    <w:rsid w:val="008D5AD4"/>
    <w:rsid w:val="008D6CE8"/>
    <w:rsid w:val="008E3CA0"/>
    <w:rsid w:val="008E3EEC"/>
    <w:rsid w:val="008F5772"/>
    <w:rsid w:val="00900AFC"/>
    <w:rsid w:val="00902136"/>
    <w:rsid w:val="009040A6"/>
    <w:rsid w:val="00904943"/>
    <w:rsid w:val="00907FF3"/>
    <w:rsid w:val="0091052A"/>
    <w:rsid w:val="00910ABD"/>
    <w:rsid w:val="00911F5C"/>
    <w:rsid w:val="009123BA"/>
    <w:rsid w:val="00912B8B"/>
    <w:rsid w:val="00913397"/>
    <w:rsid w:val="0091367C"/>
    <w:rsid w:val="00914030"/>
    <w:rsid w:val="00914916"/>
    <w:rsid w:val="00921C7E"/>
    <w:rsid w:val="00922840"/>
    <w:rsid w:val="009240B8"/>
    <w:rsid w:val="0092525D"/>
    <w:rsid w:val="00927481"/>
    <w:rsid w:val="00932FC0"/>
    <w:rsid w:val="00934739"/>
    <w:rsid w:val="00946F5D"/>
    <w:rsid w:val="00952C8D"/>
    <w:rsid w:val="009540B0"/>
    <w:rsid w:val="00954E18"/>
    <w:rsid w:val="00955D5E"/>
    <w:rsid w:val="00956294"/>
    <w:rsid w:val="00957C7F"/>
    <w:rsid w:val="00961BB1"/>
    <w:rsid w:val="00963CD9"/>
    <w:rsid w:val="0096479B"/>
    <w:rsid w:val="0097247F"/>
    <w:rsid w:val="00974105"/>
    <w:rsid w:val="00974B5C"/>
    <w:rsid w:val="0098040D"/>
    <w:rsid w:val="00981566"/>
    <w:rsid w:val="009834CC"/>
    <w:rsid w:val="00985A41"/>
    <w:rsid w:val="009934D4"/>
    <w:rsid w:val="00994E8B"/>
    <w:rsid w:val="009A07F6"/>
    <w:rsid w:val="009A3210"/>
    <w:rsid w:val="009A5424"/>
    <w:rsid w:val="009A549D"/>
    <w:rsid w:val="009B00A2"/>
    <w:rsid w:val="009B0F67"/>
    <w:rsid w:val="009B1023"/>
    <w:rsid w:val="009B2FC5"/>
    <w:rsid w:val="009B340F"/>
    <w:rsid w:val="009B4BF3"/>
    <w:rsid w:val="009C05D4"/>
    <w:rsid w:val="009C2BE6"/>
    <w:rsid w:val="009C7F76"/>
    <w:rsid w:val="009D06B9"/>
    <w:rsid w:val="009E0EED"/>
    <w:rsid w:val="009E3AAE"/>
    <w:rsid w:val="009E409D"/>
    <w:rsid w:val="009E4B59"/>
    <w:rsid w:val="009E4FAD"/>
    <w:rsid w:val="009E6913"/>
    <w:rsid w:val="009F0C5F"/>
    <w:rsid w:val="009F1252"/>
    <w:rsid w:val="009F41FA"/>
    <w:rsid w:val="009F79E3"/>
    <w:rsid w:val="00A03795"/>
    <w:rsid w:val="00A06A48"/>
    <w:rsid w:val="00A06D90"/>
    <w:rsid w:val="00A10679"/>
    <w:rsid w:val="00A1269A"/>
    <w:rsid w:val="00A1372B"/>
    <w:rsid w:val="00A16E2D"/>
    <w:rsid w:val="00A214F6"/>
    <w:rsid w:val="00A2182D"/>
    <w:rsid w:val="00A22FFE"/>
    <w:rsid w:val="00A24948"/>
    <w:rsid w:val="00A259F2"/>
    <w:rsid w:val="00A26497"/>
    <w:rsid w:val="00A31A5E"/>
    <w:rsid w:val="00A341E5"/>
    <w:rsid w:val="00A44539"/>
    <w:rsid w:val="00A4582A"/>
    <w:rsid w:val="00A47C5D"/>
    <w:rsid w:val="00A512DD"/>
    <w:rsid w:val="00A512F3"/>
    <w:rsid w:val="00A52F3D"/>
    <w:rsid w:val="00A52F51"/>
    <w:rsid w:val="00A540AE"/>
    <w:rsid w:val="00A54B8C"/>
    <w:rsid w:val="00A566AB"/>
    <w:rsid w:val="00A607E8"/>
    <w:rsid w:val="00A6412C"/>
    <w:rsid w:val="00A64C67"/>
    <w:rsid w:val="00A71255"/>
    <w:rsid w:val="00A731BB"/>
    <w:rsid w:val="00A77C7E"/>
    <w:rsid w:val="00A80542"/>
    <w:rsid w:val="00A811AB"/>
    <w:rsid w:val="00A82C13"/>
    <w:rsid w:val="00A84414"/>
    <w:rsid w:val="00A86DAD"/>
    <w:rsid w:val="00A872C2"/>
    <w:rsid w:val="00A901E8"/>
    <w:rsid w:val="00A90B87"/>
    <w:rsid w:val="00A90D1E"/>
    <w:rsid w:val="00A92906"/>
    <w:rsid w:val="00A93CD2"/>
    <w:rsid w:val="00A93F84"/>
    <w:rsid w:val="00A941F0"/>
    <w:rsid w:val="00A961BB"/>
    <w:rsid w:val="00A96283"/>
    <w:rsid w:val="00AA49C5"/>
    <w:rsid w:val="00AA740C"/>
    <w:rsid w:val="00AB12F3"/>
    <w:rsid w:val="00AB18AA"/>
    <w:rsid w:val="00AB4DC4"/>
    <w:rsid w:val="00AB5517"/>
    <w:rsid w:val="00AB6905"/>
    <w:rsid w:val="00AC210B"/>
    <w:rsid w:val="00AC3474"/>
    <w:rsid w:val="00AC3687"/>
    <w:rsid w:val="00AC7DFF"/>
    <w:rsid w:val="00AD1CF9"/>
    <w:rsid w:val="00AD27C4"/>
    <w:rsid w:val="00AD552D"/>
    <w:rsid w:val="00AD73C5"/>
    <w:rsid w:val="00AE6CA5"/>
    <w:rsid w:val="00AE720C"/>
    <w:rsid w:val="00AE7453"/>
    <w:rsid w:val="00AE78C9"/>
    <w:rsid w:val="00AF1BAB"/>
    <w:rsid w:val="00AF3C99"/>
    <w:rsid w:val="00AF4DD7"/>
    <w:rsid w:val="00AF4E48"/>
    <w:rsid w:val="00B01BCA"/>
    <w:rsid w:val="00B01CAA"/>
    <w:rsid w:val="00B06741"/>
    <w:rsid w:val="00B124D8"/>
    <w:rsid w:val="00B13261"/>
    <w:rsid w:val="00B147B9"/>
    <w:rsid w:val="00B15F2C"/>
    <w:rsid w:val="00B16374"/>
    <w:rsid w:val="00B20417"/>
    <w:rsid w:val="00B20693"/>
    <w:rsid w:val="00B20AC3"/>
    <w:rsid w:val="00B23CD9"/>
    <w:rsid w:val="00B244E2"/>
    <w:rsid w:val="00B245D0"/>
    <w:rsid w:val="00B24EB1"/>
    <w:rsid w:val="00B251DB"/>
    <w:rsid w:val="00B26C25"/>
    <w:rsid w:val="00B271CA"/>
    <w:rsid w:val="00B27CAA"/>
    <w:rsid w:val="00B31A2A"/>
    <w:rsid w:val="00B32BEC"/>
    <w:rsid w:val="00B32EE2"/>
    <w:rsid w:val="00B332B1"/>
    <w:rsid w:val="00B35C0C"/>
    <w:rsid w:val="00B35E43"/>
    <w:rsid w:val="00B44E61"/>
    <w:rsid w:val="00B45BA3"/>
    <w:rsid w:val="00B47856"/>
    <w:rsid w:val="00B51B31"/>
    <w:rsid w:val="00B5342C"/>
    <w:rsid w:val="00B678DC"/>
    <w:rsid w:val="00B704B8"/>
    <w:rsid w:val="00B70AF4"/>
    <w:rsid w:val="00B745F5"/>
    <w:rsid w:val="00B74B44"/>
    <w:rsid w:val="00B82152"/>
    <w:rsid w:val="00B82899"/>
    <w:rsid w:val="00B82BB4"/>
    <w:rsid w:val="00B84C69"/>
    <w:rsid w:val="00B84D70"/>
    <w:rsid w:val="00B87EBF"/>
    <w:rsid w:val="00B90FC1"/>
    <w:rsid w:val="00B92C61"/>
    <w:rsid w:val="00B93968"/>
    <w:rsid w:val="00B9757E"/>
    <w:rsid w:val="00BA1DED"/>
    <w:rsid w:val="00BA3EB1"/>
    <w:rsid w:val="00BB13C6"/>
    <w:rsid w:val="00BB6C6A"/>
    <w:rsid w:val="00BC1933"/>
    <w:rsid w:val="00BC2D50"/>
    <w:rsid w:val="00BC2D6D"/>
    <w:rsid w:val="00BC44DB"/>
    <w:rsid w:val="00BC4C64"/>
    <w:rsid w:val="00BC6BEA"/>
    <w:rsid w:val="00BD0F8A"/>
    <w:rsid w:val="00BD5021"/>
    <w:rsid w:val="00BD6CA2"/>
    <w:rsid w:val="00BE1A17"/>
    <w:rsid w:val="00BE389F"/>
    <w:rsid w:val="00BE6EEA"/>
    <w:rsid w:val="00BE7165"/>
    <w:rsid w:val="00BF5E34"/>
    <w:rsid w:val="00C03A4D"/>
    <w:rsid w:val="00C05248"/>
    <w:rsid w:val="00C1479C"/>
    <w:rsid w:val="00C168C4"/>
    <w:rsid w:val="00C20503"/>
    <w:rsid w:val="00C226B8"/>
    <w:rsid w:val="00C247E2"/>
    <w:rsid w:val="00C24A3C"/>
    <w:rsid w:val="00C24F8A"/>
    <w:rsid w:val="00C309D3"/>
    <w:rsid w:val="00C333F1"/>
    <w:rsid w:val="00C33C7A"/>
    <w:rsid w:val="00C369D5"/>
    <w:rsid w:val="00C40A43"/>
    <w:rsid w:val="00C4111F"/>
    <w:rsid w:val="00C42382"/>
    <w:rsid w:val="00C4440B"/>
    <w:rsid w:val="00C5215D"/>
    <w:rsid w:val="00C521F0"/>
    <w:rsid w:val="00C62BF9"/>
    <w:rsid w:val="00C6472A"/>
    <w:rsid w:val="00C65761"/>
    <w:rsid w:val="00C71DDC"/>
    <w:rsid w:val="00C72001"/>
    <w:rsid w:val="00C75C61"/>
    <w:rsid w:val="00C804E5"/>
    <w:rsid w:val="00C85CB7"/>
    <w:rsid w:val="00C93FEE"/>
    <w:rsid w:val="00C959C1"/>
    <w:rsid w:val="00C9611F"/>
    <w:rsid w:val="00C9774F"/>
    <w:rsid w:val="00CA02A9"/>
    <w:rsid w:val="00CB17A5"/>
    <w:rsid w:val="00CB1D54"/>
    <w:rsid w:val="00CB47F7"/>
    <w:rsid w:val="00CB6719"/>
    <w:rsid w:val="00CB697D"/>
    <w:rsid w:val="00CB6AA8"/>
    <w:rsid w:val="00CC545A"/>
    <w:rsid w:val="00CC5906"/>
    <w:rsid w:val="00CC5B2E"/>
    <w:rsid w:val="00CC7494"/>
    <w:rsid w:val="00CD075B"/>
    <w:rsid w:val="00CD1BF8"/>
    <w:rsid w:val="00CD2B9C"/>
    <w:rsid w:val="00CD72DF"/>
    <w:rsid w:val="00CE3729"/>
    <w:rsid w:val="00CE3833"/>
    <w:rsid w:val="00CF1E23"/>
    <w:rsid w:val="00CF7AA4"/>
    <w:rsid w:val="00D038F1"/>
    <w:rsid w:val="00D05F52"/>
    <w:rsid w:val="00D06476"/>
    <w:rsid w:val="00D06A27"/>
    <w:rsid w:val="00D157EC"/>
    <w:rsid w:val="00D15BDD"/>
    <w:rsid w:val="00D171E9"/>
    <w:rsid w:val="00D17C0F"/>
    <w:rsid w:val="00D220CF"/>
    <w:rsid w:val="00D275B5"/>
    <w:rsid w:val="00D32028"/>
    <w:rsid w:val="00D324E9"/>
    <w:rsid w:val="00D3253F"/>
    <w:rsid w:val="00D41146"/>
    <w:rsid w:val="00D41C12"/>
    <w:rsid w:val="00D52F8E"/>
    <w:rsid w:val="00D53DD4"/>
    <w:rsid w:val="00D55AF4"/>
    <w:rsid w:val="00D56591"/>
    <w:rsid w:val="00D6067E"/>
    <w:rsid w:val="00D64B3A"/>
    <w:rsid w:val="00D66A43"/>
    <w:rsid w:val="00D66D27"/>
    <w:rsid w:val="00D7070F"/>
    <w:rsid w:val="00D841E9"/>
    <w:rsid w:val="00D85E38"/>
    <w:rsid w:val="00D874F6"/>
    <w:rsid w:val="00D87E9E"/>
    <w:rsid w:val="00D909BC"/>
    <w:rsid w:val="00D92D73"/>
    <w:rsid w:val="00D930B1"/>
    <w:rsid w:val="00D93108"/>
    <w:rsid w:val="00D934E5"/>
    <w:rsid w:val="00D93627"/>
    <w:rsid w:val="00D93683"/>
    <w:rsid w:val="00D93817"/>
    <w:rsid w:val="00D97220"/>
    <w:rsid w:val="00DA0610"/>
    <w:rsid w:val="00DA1CD7"/>
    <w:rsid w:val="00DA26F0"/>
    <w:rsid w:val="00DA39CE"/>
    <w:rsid w:val="00DB3675"/>
    <w:rsid w:val="00DC073A"/>
    <w:rsid w:val="00DC444A"/>
    <w:rsid w:val="00DC4783"/>
    <w:rsid w:val="00DC4E84"/>
    <w:rsid w:val="00DC5DAF"/>
    <w:rsid w:val="00DD06C1"/>
    <w:rsid w:val="00DD18C1"/>
    <w:rsid w:val="00DD3438"/>
    <w:rsid w:val="00DD3D87"/>
    <w:rsid w:val="00DE162D"/>
    <w:rsid w:val="00DE2013"/>
    <w:rsid w:val="00DE287F"/>
    <w:rsid w:val="00DE5341"/>
    <w:rsid w:val="00DE5449"/>
    <w:rsid w:val="00DF0912"/>
    <w:rsid w:val="00DF3257"/>
    <w:rsid w:val="00DF60E5"/>
    <w:rsid w:val="00DF69E1"/>
    <w:rsid w:val="00DF7196"/>
    <w:rsid w:val="00DF71AF"/>
    <w:rsid w:val="00E01D7D"/>
    <w:rsid w:val="00E01DB0"/>
    <w:rsid w:val="00E0466A"/>
    <w:rsid w:val="00E10187"/>
    <w:rsid w:val="00E2134D"/>
    <w:rsid w:val="00E22194"/>
    <w:rsid w:val="00E23C92"/>
    <w:rsid w:val="00E3027E"/>
    <w:rsid w:val="00E32099"/>
    <w:rsid w:val="00E412F3"/>
    <w:rsid w:val="00E44333"/>
    <w:rsid w:val="00E44C29"/>
    <w:rsid w:val="00E44D61"/>
    <w:rsid w:val="00E475CF"/>
    <w:rsid w:val="00E5255D"/>
    <w:rsid w:val="00E52F40"/>
    <w:rsid w:val="00E53C3C"/>
    <w:rsid w:val="00E55C35"/>
    <w:rsid w:val="00E564D6"/>
    <w:rsid w:val="00E66949"/>
    <w:rsid w:val="00E67D9A"/>
    <w:rsid w:val="00E71192"/>
    <w:rsid w:val="00E725FD"/>
    <w:rsid w:val="00E748B6"/>
    <w:rsid w:val="00E75475"/>
    <w:rsid w:val="00E7670D"/>
    <w:rsid w:val="00E81E53"/>
    <w:rsid w:val="00E82B80"/>
    <w:rsid w:val="00E852E1"/>
    <w:rsid w:val="00E90D24"/>
    <w:rsid w:val="00E931A8"/>
    <w:rsid w:val="00E93EE4"/>
    <w:rsid w:val="00E95145"/>
    <w:rsid w:val="00EA1406"/>
    <w:rsid w:val="00EA1E77"/>
    <w:rsid w:val="00EA25F2"/>
    <w:rsid w:val="00EB1566"/>
    <w:rsid w:val="00EC15DF"/>
    <w:rsid w:val="00EC1CF7"/>
    <w:rsid w:val="00EC222D"/>
    <w:rsid w:val="00EC4069"/>
    <w:rsid w:val="00EC4D7F"/>
    <w:rsid w:val="00EC58D5"/>
    <w:rsid w:val="00EC7526"/>
    <w:rsid w:val="00ED2695"/>
    <w:rsid w:val="00ED3379"/>
    <w:rsid w:val="00EE1ADC"/>
    <w:rsid w:val="00EE3142"/>
    <w:rsid w:val="00EE3E41"/>
    <w:rsid w:val="00EE4425"/>
    <w:rsid w:val="00EF0EE3"/>
    <w:rsid w:val="00EF1357"/>
    <w:rsid w:val="00F008E1"/>
    <w:rsid w:val="00F00A35"/>
    <w:rsid w:val="00F00D91"/>
    <w:rsid w:val="00F01826"/>
    <w:rsid w:val="00F076CD"/>
    <w:rsid w:val="00F100A4"/>
    <w:rsid w:val="00F1253F"/>
    <w:rsid w:val="00F12E0F"/>
    <w:rsid w:val="00F15487"/>
    <w:rsid w:val="00F163A9"/>
    <w:rsid w:val="00F164F2"/>
    <w:rsid w:val="00F174F0"/>
    <w:rsid w:val="00F17886"/>
    <w:rsid w:val="00F21D98"/>
    <w:rsid w:val="00F22340"/>
    <w:rsid w:val="00F22BB9"/>
    <w:rsid w:val="00F2317C"/>
    <w:rsid w:val="00F251E5"/>
    <w:rsid w:val="00F26D86"/>
    <w:rsid w:val="00F31DC2"/>
    <w:rsid w:val="00F328AF"/>
    <w:rsid w:val="00F3645C"/>
    <w:rsid w:val="00F4320A"/>
    <w:rsid w:val="00F45B45"/>
    <w:rsid w:val="00F4640C"/>
    <w:rsid w:val="00F47F56"/>
    <w:rsid w:val="00F50888"/>
    <w:rsid w:val="00F642F6"/>
    <w:rsid w:val="00F64747"/>
    <w:rsid w:val="00F711DA"/>
    <w:rsid w:val="00F73BBB"/>
    <w:rsid w:val="00F74157"/>
    <w:rsid w:val="00F808D1"/>
    <w:rsid w:val="00F80A6F"/>
    <w:rsid w:val="00F82757"/>
    <w:rsid w:val="00F8418F"/>
    <w:rsid w:val="00F84817"/>
    <w:rsid w:val="00F87020"/>
    <w:rsid w:val="00F87F8C"/>
    <w:rsid w:val="00F92469"/>
    <w:rsid w:val="00F9311C"/>
    <w:rsid w:val="00F93786"/>
    <w:rsid w:val="00F93B18"/>
    <w:rsid w:val="00F94A85"/>
    <w:rsid w:val="00F976DF"/>
    <w:rsid w:val="00FA4F0A"/>
    <w:rsid w:val="00FA7109"/>
    <w:rsid w:val="00FA7D28"/>
    <w:rsid w:val="00FB24A7"/>
    <w:rsid w:val="00FB24BD"/>
    <w:rsid w:val="00FB42C9"/>
    <w:rsid w:val="00FB4322"/>
    <w:rsid w:val="00FB52ED"/>
    <w:rsid w:val="00FC170A"/>
    <w:rsid w:val="00FC1950"/>
    <w:rsid w:val="00FC23D7"/>
    <w:rsid w:val="00FC401A"/>
    <w:rsid w:val="00FC539C"/>
    <w:rsid w:val="00FC766F"/>
    <w:rsid w:val="00FD261A"/>
    <w:rsid w:val="00FD7E15"/>
    <w:rsid w:val="00FD7F72"/>
    <w:rsid w:val="00FE01C3"/>
    <w:rsid w:val="00FE090A"/>
    <w:rsid w:val="00FE1414"/>
    <w:rsid w:val="00FE3108"/>
    <w:rsid w:val="00FE31E5"/>
    <w:rsid w:val="00FE3B74"/>
    <w:rsid w:val="00FE70D8"/>
    <w:rsid w:val="00FE78FB"/>
    <w:rsid w:val="00FE7DB2"/>
    <w:rsid w:val="00FE7F44"/>
    <w:rsid w:val="00FF5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EB67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A540AE"/>
    <w:rPr>
      <w:rFonts w:eastAsiaTheme="minorEastAsia"/>
      <w:color w:val="FFFFFF" w:themeColor="background1"/>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List Bullet Cab,CAB - List Bullet,Recommendation,List Paragraph1,Bulleted Para,NFP GP Bulleted List,bullet point list,Bulletr List Paragraph,FooterText,L,List Paragraph11,List Paragraph2,List Paragraph21,Listeafsnit1,Paragraphe de liste1"/>
    <w:basedOn w:val="Normal"/>
    <w:link w:val="ListParagraphChar"/>
    <w:uiPriority w:val="34"/>
    <w:qFormat/>
    <w:rsid w:val="004632E9"/>
    <w:pPr>
      <w:ind w:left="720" w:hanging="360"/>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character" w:customStyle="1" w:styleId="ListParagraphChar">
    <w:name w:val="List Paragraph Char"/>
    <w:aliases w:val="List Bullet Cab Char,CAB - List Bullet Char,Recommendation Char,List Paragraph1 Char,Bulleted Para Char,NFP GP Bulleted List Char,bullet point list Char,Bulletr List Paragraph Char,FooterText Char,L Char,List Paragraph11 Char"/>
    <w:basedOn w:val="DefaultParagraphFont"/>
    <w:link w:val="ListParagraph"/>
    <w:uiPriority w:val="34"/>
    <w:qFormat/>
    <w:rsid w:val="00900AFC"/>
  </w:style>
  <w:style w:type="character" w:styleId="CommentReference">
    <w:name w:val="annotation reference"/>
    <w:basedOn w:val="DefaultParagraphFont"/>
    <w:uiPriority w:val="99"/>
    <w:semiHidden/>
    <w:unhideWhenUsed/>
    <w:rsid w:val="002759FE"/>
    <w:rPr>
      <w:sz w:val="16"/>
      <w:szCs w:val="16"/>
    </w:rPr>
  </w:style>
  <w:style w:type="paragraph" w:styleId="CommentText">
    <w:name w:val="annotation text"/>
    <w:basedOn w:val="Normal"/>
    <w:link w:val="CommentTextChar"/>
    <w:uiPriority w:val="99"/>
    <w:semiHidden/>
    <w:unhideWhenUsed/>
    <w:rsid w:val="002759FE"/>
    <w:pPr>
      <w:spacing w:line="240" w:lineRule="auto"/>
    </w:pPr>
    <w:rPr>
      <w:sz w:val="20"/>
      <w:szCs w:val="20"/>
    </w:rPr>
  </w:style>
  <w:style w:type="character" w:customStyle="1" w:styleId="CommentTextChar">
    <w:name w:val="Comment Text Char"/>
    <w:basedOn w:val="DefaultParagraphFont"/>
    <w:link w:val="CommentText"/>
    <w:uiPriority w:val="99"/>
    <w:semiHidden/>
    <w:rsid w:val="002759FE"/>
    <w:rPr>
      <w:sz w:val="20"/>
      <w:szCs w:val="20"/>
    </w:rPr>
  </w:style>
  <w:style w:type="paragraph" w:styleId="CommentSubject">
    <w:name w:val="annotation subject"/>
    <w:basedOn w:val="CommentText"/>
    <w:next w:val="CommentText"/>
    <w:link w:val="CommentSubjectChar"/>
    <w:uiPriority w:val="99"/>
    <w:semiHidden/>
    <w:unhideWhenUsed/>
    <w:rsid w:val="002759FE"/>
    <w:rPr>
      <w:b/>
      <w:bCs/>
    </w:rPr>
  </w:style>
  <w:style w:type="character" w:customStyle="1" w:styleId="CommentSubjectChar">
    <w:name w:val="Comment Subject Char"/>
    <w:basedOn w:val="CommentTextChar"/>
    <w:link w:val="CommentSubject"/>
    <w:uiPriority w:val="99"/>
    <w:semiHidden/>
    <w:rsid w:val="002759FE"/>
    <w:rPr>
      <w:b/>
      <w:bCs/>
      <w:sz w:val="20"/>
      <w:szCs w:val="20"/>
    </w:rPr>
  </w:style>
  <w:style w:type="paragraph" w:customStyle="1" w:styleId="definition">
    <w:name w:val="definition"/>
    <w:basedOn w:val="Normal"/>
    <w:rsid w:val="00F508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t_Para"/>
    <w:basedOn w:val="Normal"/>
    <w:rsid w:val="00F508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1A0B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B7D"/>
    <w:rPr>
      <w:sz w:val="20"/>
      <w:szCs w:val="20"/>
    </w:rPr>
  </w:style>
  <w:style w:type="character" w:styleId="FootnoteReference">
    <w:name w:val="footnote reference"/>
    <w:basedOn w:val="DefaultParagraphFont"/>
    <w:uiPriority w:val="99"/>
    <w:semiHidden/>
    <w:unhideWhenUsed/>
    <w:rsid w:val="001A0B7D"/>
    <w:rPr>
      <w:vertAlign w:val="superscript"/>
    </w:rPr>
  </w:style>
  <w:style w:type="character" w:styleId="IntenseReference">
    <w:name w:val="Intense Reference"/>
    <w:basedOn w:val="DefaultParagraphFont"/>
    <w:uiPriority w:val="32"/>
    <w:qFormat/>
    <w:rsid w:val="00E52F40"/>
    <w:rPr>
      <w:b/>
      <w:bCs/>
      <w:smallCaps/>
      <w:color w:val="939598" w:themeColor="accent1"/>
      <w:spacing w:val="5"/>
    </w:rPr>
  </w:style>
  <w:style w:type="character" w:styleId="IntenseEmphasis">
    <w:name w:val="Intense Emphasis"/>
    <w:basedOn w:val="DefaultParagraphFont"/>
    <w:uiPriority w:val="21"/>
    <w:qFormat/>
    <w:rsid w:val="00E52F40"/>
    <w:rPr>
      <w:i/>
      <w:iCs/>
      <w:color w:val="939598" w:themeColor="accent1"/>
    </w:rPr>
  </w:style>
  <w:style w:type="table" w:customStyle="1" w:styleId="GridTable4-Accent11">
    <w:name w:val="Grid Table 4 - Accent 11"/>
    <w:basedOn w:val="TableNormal"/>
    <w:next w:val="GridTable4-Accent1"/>
    <w:uiPriority w:val="49"/>
    <w:rsid w:val="00E52F40"/>
    <w:pPr>
      <w:spacing w:after="0" w:line="240" w:lineRule="auto"/>
    </w:pPr>
    <w:tblPr>
      <w:tblStyleRowBandSize w:val="1"/>
      <w:tblStyleColBandSize w:val="1"/>
      <w:tblBorders>
        <w:top w:val="single" w:sz="4" w:space="0" w:color="BEBFC1"/>
        <w:left w:val="single" w:sz="4" w:space="0" w:color="BEBFC1"/>
        <w:bottom w:val="single" w:sz="4" w:space="0" w:color="BEBFC1"/>
        <w:right w:val="single" w:sz="4" w:space="0" w:color="BEBFC1"/>
        <w:insideH w:val="single" w:sz="4" w:space="0" w:color="BEBFC1"/>
        <w:insideV w:val="single" w:sz="4" w:space="0" w:color="BEBFC1"/>
      </w:tblBorders>
    </w:tblPr>
    <w:tblStylePr w:type="firstRow">
      <w:rPr>
        <w:b/>
        <w:bCs/>
        <w:color w:val="FFFFFF"/>
      </w:rPr>
      <w:tblPr/>
      <w:tcPr>
        <w:tcBorders>
          <w:top w:val="single" w:sz="4" w:space="0" w:color="939598"/>
          <w:left w:val="single" w:sz="4" w:space="0" w:color="939598"/>
          <w:bottom w:val="single" w:sz="4" w:space="0" w:color="939598"/>
          <w:right w:val="single" w:sz="4" w:space="0" w:color="939598"/>
          <w:insideH w:val="nil"/>
          <w:insideV w:val="nil"/>
        </w:tcBorders>
        <w:shd w:val="clear" w:color="auto" w:fill="939598"/>
      </w:tcPr>
    </w:tblStylePr>
    <w:tblStylePr w:type="lastRow">
      <w:rPr>
        <w:b/>
        <w:bCs/>
      </w:rPr>
      <w:tblPr/>
      <w:tcPr>
        <w:tcBorders>
          <w:top w:val="double" w:sz="4" w:space="0" w:color="939598"/>
        </w:tcBorders>
      </w:tcPr>
    </w:tblStylePr>
    <w:tblStylePr w:type="firstCol">
      <w:rPr>
        <w:b/>
        <w:bCs/>
      </w:rPr>
    </w:tblStylePr>
    <w:tblStylePr w:type="lastCol">
      <w:rPr>
        <w:b/>
        <w:bCs/>
      </w:rPr>
    </w:tblStylePr>
    <w:tblStylePr w:type="band1Vert">
      <w:tblPr/>
      <w:tcPr>
        <w:shd w:val="clear" w:color="auto" w:fill="E9E9EA"/>
      </w:tcPr>
    </w:tblStylePr>
    <w:tblStylePr w:type="band1Horz">
      <w:tblPr/>
      <w:tcPr>
        <w:shd w:val="clear" w:color="auto" w:fill="E9E9EA"/>
      </w:tcPr>
    </w:tblStylePr>
  </w:style>
  <w:style w:type="paragraph" w:styleId="Revision">
    <w:name w:val="Revision"/>
    <w:hidden/>
    <w:uiPriority w:val="99"/>
    <w:semiHidden/>
    <w:rsid w:val="00B15F2C"/>
    <w:pPr>
      <w:spacing w:after="0" w:line="240" w:lineRule="auto"/>
    </w:pPr>
  </w:style>
  <w:style w:type="paragraph" w:customStyle="1" w:styleId="h5Section">
    <w:name w:val="h5_Section"/>
    <w:aliases w:val="ActHead 5,s"/>
    <w:basedOn w:val="Normal"/>
    <w:next w:val="Normal"/>
    <w:link w:val="ActHead5Char"/>
    <w:qFormat/>
    <w:rsid w:val="009934D4"/>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nMain">
    <w:name w:val="n_Main"/>
    <w:aliases w:val="n"/>
    <w:basedOn w:val="Normal"/>
    <w:rsid w:val="009934D4"/>
    <w:pPr>
      <w:spacing w:before="120" w:after="0" w:line="240" w:lineRule="auto"/>
      <w:ind w:left="1985" w:hanging="851"/>
    </w:pPr>
    <w:rPr>
      <w:rFonts w:ascii="Times New Roman" w:eastAsia="Times New Roman" w:hAnsi="Times New Roman" w:cs="Times New Roman"/>
      <w:sz w:val="18"/>
      <w:szCs w:val="20"/>
      <w:lang w:eastAsia="en-AU"/>
    </w:rPr>
  </w:style>
  <w:style w:type="paragraph" w:customStyle="1" w:styleId="tMain">
    <w:name w:val="t_Main"/>
    <w:aliases w:val="subsection,ss,Subsection"/>
    <w:basedOn w:val="Normal"/>
    <w:link w:val="subsectionChar"/>
    <w:qFormat/>
    <w:rsid w:val="009934D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tMain"/>
    <w:locked/>
    <w:rsid w:val="009934D4"/>
    <w:rPr>
      <w:rFonts w:ascii="Times New Roman" w:eastAsia="Times New Roman" w:hAnsi="Times New Roman" w:cs="Times New Roman"/>
      <w:szCs w:val="20"/>
      <w:lang w:eastAsia="en-AU"/>
    </w:rPr>
  </w:style>
  <w:style w:type="character" w:customStyle="1" w:styleId="ActHead5Char">
    <w:name w:val="ActHead 5 Char"/>
    <w:aliases w:val="s Char"/>
    <w:link w:val="h5Section"/>
    <w:rsid w:val="009934D4"/>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3164">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32181316">
      <w:bodyDiv w:val="1"/>
      <w:marLeft w:val="0"/>
      <w:marRight w:val="0"/>
      <w:marTop w:val="0"/>
      <w:marBottom w:val="0"/>
      <w:divBdr>
        <w:top w:val="none" w:sz="0" w:space="0" w:color="auto"/>
        <w:left w:val="none" w:sz="0" w:space="0" w:color="auto"/>
        <w:bottom w:val="none" w:sz="0" w:space="0" w:color="auto"/>
        <w:right w:val="none" w:sz="0" w:space="0" w:color="auto"/>
      </w:divBdr>
    </w:div>
    <w:div w:id="1510412181">
      <w:bodyDiv w:val="1"/>
      <w:marLeft w:val="0"/>
      <w:marRight w:val="0"/>
      <w:marTop w:val="0"/>
      <w:marBottom w:val="0"/>
      <w:divBdr>
        <w:top w:val="none" w:sz="0" w:space="0" w:color="auto"/>
        <w:left w:val="none" w:sz="0" w:space="0" w:color="auto"/>
        <w:bottom w:val="none" w:sz="0" w:space="0" w:color="auto"/>
        <w:right w:val="none" w:sz="0" w:space="0" w:color="auto"/>
      </w:divBdr>
    </w:div>
    <w:div w:id="1654605175">
      <w:bodyDiv w:val="1"/>
      <w:marLeft w:val="0"/>
      <w:marRight w:val="0"/>
      <w:marTop w:val="0"/>
      <w:marBottom w:val="0"/>
      <w:divBdr>
        <w:top w:val="none" w:sz="0" w:space="0" w:color="auto"/>
        <w:left w:val="none" w:sz="0" w:space="0" w:color="auto"/>
        <w:bottom w:val="none" w:sz="0" w:space="0" w:color="auto"/>
        <w:right w:val="none" w:sz="0" w:space="0" w:color="auto"/>
      </w:divBdr>
    </w:div>
    <w:div w:id="17790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package" Target="embeddings/Microsoft_PowerPoint_Slide1.sl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Report%20colour.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C1A3DD-8BBD-4C53-9C96-1772E298E385}" type="doc">
      <dgm:prSet loTypeId="urn:microsoft.com/office/officeart/2005/8/layout/vList5" loCatId="list" qsTypeId="urn:microsoft.com/office/officeart/2005/8/quickstyle/simple1" qsCatId="simple" csTypeId="urn:microsoft.com/office/officeart/2005/8/colors/colorful2" csCatId="colorful" phldr="1"/>
      <dgm:spPr/>
      <dgm:t>
        <a:bodyPr/>
        <a:lstStyle/>
        <a:p>
          <a:endParaRPr lang="en-AU"/>
        </a:p>
      </dgm:t>
    </dgm:pt>
    <dgm:pt modelId="{B523D5AF-9646-4EC8-8A26-B286AB42A52D}">
      <dgm:prSet phldrT="[Text]"/>
      <dgm:spPr/>
      <dgm:t>
        <a:bodyPr/>
        <a:lstStyle/>
        <a:p>
          <a:r>
            <a:rPr lang="en-AU"/>
            <a:t>Outline</a:t>
          </a:r>
        </a:p>
      </dgm:t>
    </dgm:pt>
    <dgm:pt modelId="{CB9B942E-78AA-47C2-909E-4276ABA4F798}" type="parTrans" cxnId="{BF48DEF0-C9A1-40F2-A074-0C2E7E252E61}">
      <dgm:prSet/>
      <dgm:spPr/>
      <dgm:t>
        <a:bodyPr/>
        <a:lstStyle/>
        <a:p>
          <a:endParaRPr lang="en-AU"/>
        </a:p>
      </dgm:t>
    </dgm:pt>
    <dgm:pt modelId="{8DA0E02F-BCA0-4D61-A2AF-1A51ACD9A921}" type="sibTrans" cxnId="{BF48DEF0-C9A1-40F2-A074-0C2E7E252E61}">
      <dgm:prSet/>
      <dgm:spPr/>
      <dgm:t>
        <a:bodyPr/>
        <a:lstStyle/>
        <a:p>
          <a:endParaRPr lang="en-AU"/>
        </a:p>
      </dgm:t>
    </dgm:pt>
    <dgm:pt modelId="{AA3B4613-E8CF-4866-ABDD-EE420A52F0D8}">
      <dgm:prSet phldrT="[Text]"/>
      <dgm:spPr/>
      <dgm:t>
        <a:bodyPr/>
        <a:lstStyle/>
        <a:p>
          <a:r>
            <a:rPr lang="en-AU"/>
            <a:t>Outline of organisational structure of entity</a:t>
          </a:r>
        </a:p>
      </dgm:t>
    </dgm:pt>
    <dgm:pt modelId="{4B6AC31F-BF61-4FC6-8614-053AF8B20365}" type="parTrans" cxnId="{7579AC85-3B75-447E-B8D6-464B24494796}">
      <dgm:prSet/>
      <dgm:spPr/>
      <dgm:t>
        <a:bodyPr/>
        <a:lstStyle/>
        <a:p>
          <a:endParaRPr lang="en-AU"/>
        </a:p>
      </dgm:t>
    </dgm:pt>
    <dgm:pt modelId="{29F5AC66-21AE-44A0-BF64-AE2149527630}" type="sibTrans" cxnId="{7579AC85-3B75-447E-B8D6-464B24494796}">
      <dgm:prSet/>
      <dgm:spPr/>
      <dgm:t>
        <a:bodyPr/>
        <a:lstStyle/>
        <a:p>
          <a:endParaRPr lang="en-AU"/>
        </a:p>
      </dgm:t>
    </dgm:pt>
    <dgm:pt modelId="{B662D99E-1333-42B4-8519-C6CB914FADA2}">
      <dgm:prSet phldrT="[Text]"/>
      <dgm:spPr/>
      <dgm:t>
        <a:bodyPr/>
        <a:lstStyle/>
        <a:p>
          <a:r>
            <a:rPr lang="en-AU"/>
            <a:t>Signed statement acknowledging organisational commitment to the plan</a:t>
          </a:r>
        </a:p>
      </dgm:t>
    </dgm:pt>
    <dgm:pt modelId="{812B50D4-D0FE-48BB-9FF5-866E98C127C1}" type="parTrans" cxnId="{0BCDC02A-0ED8-4229-83B4-DF84891B3682}">
      <dgm:prSet/>
      <dgm:spPr/>
      <dgm:t>
        <a:bodyPr/>
        <a:lstStyle/>
        <a:p>
          <a:endParaRPr lang="en-AU"/>
        </a:p>
      </dgm:t>
    </dgm:pt>
    <dgm:pt modelId="{BF7E6594-E51C-4E41-94B8-0013D8178A23}" type="sibTrans" cxnId="{0BCDC02A-0ED8-4229-83B4-DF84891B3682}">
      <dgm:prSet/>
      <dgm:spPr/>
      <dgm:t>
        <a:bodyPr/>
        <a:lstStyle/>
        <a:p>
          <a:endParaRPr lang="en-AU"/>
        </a:p>
      </dgm:t>
    </dgm:pt>
    <dgm:pt modelId="{B5F58DAF-1BE4-4685-84E5-6BC5350F6C7E}">
      <dgm:prSet phldrT="[Text]"/>
      <dgm:spPr/>
      <dgm:t>
        <a:bodyPr/>
        <a:lstStyle/>
        <a:p>
          <a:r>
            <a:rPr lang="en-AU"/>
            <a:t>Process for review to keep the plan up to date</a:t>
          </a:r>
        </a:p>
      </dgm:t>
    </dgm:pt>
    <dgm:pt modelId="{F4446DAC-7B87-4F09-9746-E4506A2A9C5F}" type="parTrans" cxnId="{EE4F4DDE-1C71-4299-8AAC-17CAEF4833CC}">
      <dgm:prSet/>
      <dgm:spPr/>
      <dgm:t>
        <a:bodyPr/>
        <a:lstStyle/>
        <a:p>
          <a:endParaRPr lang="en-AU"/>
        </a:p>
      </dgm:t>
    </dgm:pt>
    <dgm:pt modelId="{C14C8956-DB5E-4858-8B98-161545824D70}" type="sibTrans" cxnId="{EE4F4DDE-1C71-4299-8AAC-17CAEF4833CC}">
      <dgm:prSet/>
      <dgm:spPr/>
      <dgm:t>
        <a:bodyPr/>
        <a:lstStyle/>
        <a:p>
          <a:endParaRPr lang="en-AU"/>
        </a:p>
      </dgm:t>
    </dgm:pt>
    <dgm:pt modelId="{A909C984-7E3B-40E0-BBB7-4ED99DFCD221}">
      <dgm:prSet phldrT="[Text]"/>
      <dgm:spPr/>
      <dgm:t>
        <a:bodyPr/>
        <a:lstStyle/>
        <a:p>
          <a:r>
            <a:rPr lang="en-AU"/>
            <a:t>Planned/Scheduled Major Outages</a:t>
          </a:r>
        </a:p>
      </dgm:t>
    </dgm:pt>
    <dgm:pt modelId="{F79D902F-DA5A-4CE0-B964-370EF7D87EEC}" type="parTrans" cxnId="{BC8ADE14-CAFC-449A-9B8C-AB46BE36F4AA}">
      <dgm:prSet/>
      <dgm:spPr/>
      <dgm:t>
        <a:bodyPr/>
        <a:lstStyle/>
        <a:p>
          <a:endParaRPr lang="en-AU"/>
        </a:p>
      </dgm:t>
    </dgm:pt>
    <dgm:pt modelId="{B111E1AF-B3B2-452D-91D6-35C5265123D9}" type="sibTrans" cxnId="{BC8ADE14-CAFC-449A-9B8C-AB46BE36F4AA}">
      <dgm:prSet/>
      <dgm:spPr/>
      <dgm:t>
        <a:bodyPr/>
        <a:lstStyle/>
        <a:p>
          <a:endParaRPr lang="en-AU"/>
        </a:p>
      </dgm:t>
    </dgm:pt>
    <dgm:pt modelId="{F8BA17BA-E43B-4B83-AC44-A49AA13A2AFA}">
      <dgm:prSet phldrT="[Text]"/>
      <dgm:spPr/>
      <dgm:t>
        <a:bodyPr/>
        <a:lstStyle/>
        <a:p>
          <a:r>
            <a:rPr lang="en-AU"/>
            <a:t>Overview of current practices</a:t>
          </a:r>
        </a:p>
      </dgm:t>
    </dgm:pt>
    <dgm:pt modelId="{83370078-D45C-4252-B8D6-C2D96A0BBF92}" type="parTrans" cxnId="{E1F0EAAE-100E-4C3D-AD15-BECFBA7A00FA}">
      <dgm:prSet/>
      <dgm:spPr/>
      <dgm:t>
        <a:bodyPr/>
        <a:lstStyle/>
        <a:p>
          <a:endParaRPr lang="en-AU"/>
        </a:p>
      </dgm:t>
    </dgm:pt>
    <dgm:pt modelId="{E9CA96FB-9A01-481F-9A8B-45A2AC3FDFB0}" type="sibTrans" cxnId="{E1F0EAAE-100E-4C3D-AD15-BECFBA7A00FA}">
      <dgm:prSet/>
      <dgm:spPr/>
      <dgm:t>
        <a:bodyPr/>
        <a:lstStyle/>
        <a:p>
          <a:endParaRPr lang="en-AU"/>
        </a:p>
      </dgm:t>
    </dgm:pt>
    <dgm:pt modelId="{8142A6DF-B164-4BE5-BCA8-E1ACDEE52ABB}">
      <dgm:prSet phldrT="[Text]"/>
      <dgm:spPr/>
      <dgm:t>
        <a:bodyPr/>
        <a:lstStyle/>
        <a:p>
          <a:r>
            <a:rPr lang="en-AU"/>
            <a:t>Importing frequency</a:t>
          </a:r>
        </a:p>
      </dgm:t>
    </dgm:pt>
    <dgm:pt modelId="{23D389B6-E37D-4E12-ADAB-8E94BAEF3EDA}" type="parTrans" cxnId="{846B269B-86DC-4E9D-9298-8BB1DC01D301}">
      <dgm:prSet/>
      <dgm:spPr/>
      <dgm:t>
        <a:bodyPr/>
        <a:lstStyle/>
        <a:p>
          <a:endParaRPr lang="en-AU"/>
        </a:p>
      </dgm:t>
    </dgm:pt>
    <dgm:pt modelId="{C64899ED-E977-48EA-A176-052400DFAA4C}" type="sibTrans" cxnId="{846B269B-86DC-4E9D-9298-8BB1DC01D301}">
      <dgm:prSet/>
      <dgm:spPr/>
      <dgm:t>
        <a:bodyPr/>
        <a:lstStyle/>
        <a:p>
          <a:endParaRPr lang="en-AU"/>
        </a:p>
      </dgm:t>
    </dgm:pt>
    <dgm:pt modelId="{888F0689-2C57-439C-84E8-BCC47131375D}">
      <dgm:prSet phldrT="[Text]"/>
      <dgm:spPr/>
      <dgm:t>
        <a:bodyPr/>
        <a:lstStyle/>
        <a:p>
          <a:r>
            <a:rPr lang="en-AU"/>
            <a:t>Location of facilities that store MSO products</a:t>
          </a:r>
        </a:p>
      </dgm:t>
    </dgm:pt>
    <dgm:pt modelId="{AC1106C5-7AC6-47E5-BAF8-0B99B3F6EBBE}" type="parTrans" cxnId="{0BF8E2D7-97B4-4075-B2DB-398839CE5400}">
      <dgm:prSet/>
      <dgm:spPr/>
      <dgm:t>
        <a:bodyPr/>
        <a:lstStyle/>
        <a:p>
          <a:endParaRPr lang="en-AU"/>
        </a:p>
      </dgm:t>
    </dgm:pt>
    <dgm:pt modelId="{A18AF41F-D095-48FD-920B-A2BB5B931AF4}" type="sibTrans" cxnId="{0BF8E2D7-97B4-4075-B2DB-398839CE5400}">
      <dgm:prSet/>
      <dgm:spPr/>
      <dgm:t>
        <a:bodyPr/>
        <a:lstStyle/>
        <a:p>
          <a:endParaRPr lang="en-AU"/>
        </a:p>
      </dgm:t>
    </dgm:pt>
    <dgm:pt modelId="{D3AD4EDD-E48C-4BAF-BAB6-EA9051862CFB}">
      <dgm:prSet phldrT="[Text]"/>
      <dgm:spPr/>
      <dgm:t>
        <a:bodyPr/>
        <a:lstStyle/>
        <a:p>
          <a:r>
            <a:rPr lang="en-AU"/>
            <a:t>Details of significant ongoing contracts</a:t>
          </a:r>
        </a:p>
      </dgm:t>
    </dgm:pt>
    <dgm:pt modelId="{E171F0A9-C985-4CBE-8C62-01754DB81DFA}" type="parTrans" cxnId="{F837BEC2-AB31-41DC-AB48-C285C3AD4502}">
      <dgm:prSet/>
      <dgm:spPr/>
      <dgm:t>
        <a:bodyPr/>
        <a:lstStyle/>
        <a:p>
          <a:endParaRPr lang="en-AU"/>
        </a:p>
      </dgm:t>
    </dgm:pt>
    <dgm:pt modelId="{FAC693CB-8ADA-43C0-9809-BBA4EE03FEF0}" type="sibTrans" cxnId="{F837BEC2-AB31-41DC-AB48-C285C3AD4502}">
      <dgm:prSet/>
      <dgm:spPr/>
      <dgm:t>
        <a:bodyPr/>
        <a:lstStyle/>
        <a:p>
          <a:endParaRPr lang="en-AU"/>
        </a:p>
      </dgm:t>
    </dgm:pt>
    <dgm:pt modelId="{68F271D8-AA44-49BC-9E80-EBEE6FB2E474}">
      <dgm:prSet phldrT="[Text]"/>
      <dgm:spPr/>
      <dgm:t>
        <a:bodyPr/>
        <a:lstStyle/>
        <a:p>
          <a:r>
            <a:rPr lang="en-AU"/>
            <a:t>Details of fluctuations in storage of MSO products</a:t>
          </a:r>
        </a:p>
      </dgm:t>
    </dgm:pt>
    <dgm:pt modelId="{5DA1F746-4BF1-4D18-A19D-C541A3E95845}" type="parTrans" cxnId="{08DE0B61-72AE-4D10-9B02-9645E59295CE}">
      <dgm:prSet/>
      <dgm:spPr/>
      <dgm:t>
        <a:bodyPr/>
        <a:lstStyle/>
        <a:p>
          <a:endParaRPr lang="en-AU"/>
        </a:p>
      </dgm:t>
    </dgm:pt>
    <dgm:pt modelId="{ADE062DC-3453-47F5-B857-75C6BAC8BE69}" type="sibTrans" cxnId="{08DE0B61-72AE-4D10-9B02-9645E59295CE}">
      <dgm:prSet/>
      <dgm:spPr/>
      <dgm:t>
        <a:bodyPr/>
        <a:lstStyle/>
        <a:p>
          <a:endParaRPr lang="en-AU"/>
        </a:p>
      </dgm:t>
    </dgm:pt>
    <dgm:pt modelId="{E6C08D6B-A56E-476F-8EAA-325945B7FDB6}">
      <dgm:prSet phldrT="[Text]"/>
      <dgm:spPr/>
      <dgm:t>
        <a:bodyPr/>
        <a:lstStyle/>
        <a:p>
          <a:r>
            <a:rPr lang="en-AU"/>
            <a:t>Compliance pathway</a:t>
          </a:r>
        </a:p>
      </dgm:t>
    </dgm:pt>
    <dgm:pt modelId="{7634B3C1-05EB-403B-8CA7-B1F0AF70BD1F}" type="parTrans" cxnId="{D2D4EC63-760E-4B88-98CE-44B8C00F4BD7}">
      <dgm:prSet/>
      <dgm:spPr/>
      <dgm:t>
        <a:bodyPr/>
        <a:lstStyle/>
        <a:p>
          <a:endParaRPr lang="en-AU"/>
        </a:p>
      </dgm:t>
    </dgm:pt>
    <dgm:pt modelId="{A95EA93C-20D1-47CA-AEB8-1F126E19E3DF}" type="sibTrans" cxnId="{D2D4EC63-760E-4B88-98CE-44B8C00F4BD7}">
      <dgm:prSet/>
      <dgm:spPr/>
      <dgm:t>
        <a:bodyPr/>
        <a:lstStyle/>
        <a:p>
          <a:endParaRPr lang="en-AU"/>
        </a:p>
      </dgm:t>
    </dgm:pt>
    <dgm:pt modelId="{94331B3A-7BB5-4368-8161-805F07166349}">
      <dgm:prSet phldrT="[Text]"/>
      <dgm:spPr/>
      <dgm:t>
        <a:bodyPr/>
        <a:lstStyle/>
        <a:p>
          <a:r>
            <a:rPr lang="en-AU"/>
            <a:t>Steps and strategies taken to comply with MSO, including in the event of non-compliance</a:t>
          </a:r>
        </a:p>
      </dgm:t>
    </dgm:pt>
    <dgm:pt modelId="{60DF409F-139F-433D-98E0-71AD8F0939C3}" type="parTrans" cxnId="{2EF2E869-F87F-4286-BFD4-39ED0A4CB78F}">
      <dgm:prSet/>
      <dgm:spPr/>
      <dgm:t>
        <a:bodyPr/>
        <a:lstStyle/>
        <a:p>
          <a:endParaRPr lang="en-AU"/>
        </a:p>
      </dgm:t>
    </dgm:pt>
    <dgm:pt modelId="{343EED13-A132-46AA-88ED-8E3EBAAC684B}" type="sibTrans" cxnId="{2EF2E869-F87F-4286-BFD4-39ED0A4CB78F}">
      <dgm:prSet/>
      <dgm:spPr/>
      <dgm:t>
        <a:bodyPr/>
        <a:lstStyle/>
        <a:p>
          <a:endParaRPr lang="en-AU"/>
        </a:p>
      </dgm:t>
    </dgm:pt>
    <dgm:pt modelId="{6EEEF3A6-7CAD-4416-A846-743590A25383}">
      <dgm:prSet phldrT="[Text]"/>
      <dgm:spPr/>
      <dgm:t>
        <a:bodyPr/>
        <a:lstStyle/>
        <a:p>
          <a:r>
            <a:rPr lang="en-AU"/>
            <a:t>If currently non-compliant, the steps and strategies that are being undertaken to return to compliance and avoid future non-compliance</a:t>
          </a:r>
        </a:p>
      </dgm:t>
    </dgm:pt>
    <dgm:pt modelId="{93E2AE68-F95E-4A1A-9162-19FAA6C5F448}" type="parTrans" cxnId="{8C9312A6-B2E2-42C1-A575-0286AF9CCE2F}">
      <dgm:prSet/>
      <dgm:spPr/>
      <dgm:t>
        <a:bodyPr/>
        <a:lstStyle/>
        <a:p>
          <a:endParaRPr lang="en-AU"/>
        </a:p>
      </dgm:t>
    </dgm:pt>
    <dgm:pt modelId="{0C51A3CD-CB17-40A5-B9F7-922E8633CA93}" type="sibTrans" cxnId="{8C9312A6-B2E2-42C1-A575-0286AF9CCE2F}">
      <dgm:prSet/>
      <dgm:spPr/>
      <dgm:t>
        <a:bodyPr/>
        <a:lstStyle/>
        <a:p>
          <a:endParaRPr lang="en-AU"/>
        </a:p>
      </dgm:t>
    </dgm:pt>
    <dgm:pt modelId="{3D6BD256-7E96-4F98-B881-0483C33B69D0}">
      <dgm:prSet phldrT="[Text]"/>
      <dgm:spPr/>
      <dgm:t>
        <a:bodyPr/>
        <a:lstStyle/>
        <a:p>
          <a:r>
            <a:rPr lang="en-AU"/>
            <a:t>Data collection, reporting and record keeping</a:t>
          </a:r>
        </a:p>
      </dgm:t>
    </dgm:pt>
    <dgm:pt modelId="{E12252DD-1E4B-4BFE-A264-DB7E78D94677}" type="parTrans" cxnId="{3914B15E-3651-47D7-8CB3-A3D81E3E32A3}">
      <dgm:prSet/>
      <dgm:spPr/>
      <dgm:t>
        <a:bodyPr/>
        <a:lstStyle/>
        <a:p>
          <a:endParaRPr lang="en-AU"/>
        </a:p>
      </dgm:t>
    </dgm:pt>
    <dgm:pt modelId="{E3F08EB2-24E5-4452-AE37-C8FFD9B44EC4}" type="sibTrans" cxnId="{3914B15E-3651-47D7-8CB3-A3D81E3E32A3}">
      <dgm:prSet/>
      <dgm:spPr/>
      <dgm:t>
        <a:bodyPr/>
        <a:lstStyle/>
        <a:p>
          <a:endParaRPr lang="en-AU"/>
        </a:p>
      </dgm:t>
    </dgm:pt>
    <dgm:pt modelId="{B5E62727-DF63-4A5B-9716-AB852B882D8E}">
      <dgm:prSet phldrT="[Text]"/>
      <dgm:spPr/>
      <dgm:t>
        <a:bodyPr/>
        <a:lstStyle/>
        <a:p>
          <a:r>
            <a:rPr lang="en-AU"/>
            <a:t>Methodology and practise for counting stock</a:t>
          </a:r>
        </a:p>
      </dgm:t>
    </dgm:pt>
    <dgm:pt modelId="{6D7199BF-6579-412F-8E23-6CC970F026B2}" type="parTrans" cxnId="{D77284F1-1D51-4E64-819C-BAF4686E31CF}">
      <dgm:prSet/>
      <dgm:spPr/>
      <dgm:t>
        <a:bodyPr/>
        <a:lstStyle/>
        <a:p>
          <a:endParaRPr lang="en-AU"/>
        </a:p>
      </dgm:t>
    </dgm:pt>
    <dgm:pt modelId="{01D2E7BE-441C-4179-A857-358CD1494E75}" type="sibTrans" cxnId="{D77284F1-1D51-4E64-819C-BAF4686E31CF}">
      <dgm:prSet/>
      <dgm:spPr/>
      <dgm:t>
        <a:bodyPr/>
        <a:lstStyle/>
        <a:p>
          <a:endParaRPr lang="en-AU"/>
        </a:p>
      </dgm:t>
    </dgm:pt>
    <dgm:pt modelId="{F712D15F-E351-4373-B636-A6C0BFF9D4E9}">
      <dgm:prSet phldrT="[Text]"/>
      <dgm:spPr/>
      <dgm:t>
        <a:bodyPr/>
        <a:lstStyle/>
        <a:p>
          <a:r>
            <a:rPr lang="en-AU"/>
            <a:t>How to ensure accurate reporting for all stock intended to be counted (including within the EEZ, pipelines and co-located stock)</a:t>
          </a:r>
        </a:p>
      </dgm:t>
    </dgm:pt>
    <dgm:pt modelId="{A2E37828-C1CE-4454-8157-AD9C0F2DF05A}" type="parTrans" cxnId="{831E9088-747E-4B0A-B9DD-1B48EF97DB64}">
      <dgm:prSet/>
      <dgm:spPr/>
      <dgm:t>
        <a:bodyPr/>
        <a:lstStyle/>
        <a:p>
          <a:endParaRPr lang="en-AU"/>
        </a:p>
      </dgm:t>
    </dgm:pt>
    <dgm:pt modelId="{4AB55296-FC0D-49A4-B915-3352BD2E4856}" type="sibTrans" cxnId="{831E9088-747E-4B0A-B9DD-1B48EF97DB64}">
      <dgm:prSet/>
      <dgm:spPr/>
      <dgm:t>
        <a:bodyPr/>
        <a:lstStyle/>
        <a:p>
          <a:endParaRPr lang="en-AU"/>
        </a:p>
      </dgm:t>
    </dgm:pt>
    <dgm:pt modelId="{2FBE393E-7FE0-40AD-AB42-D52F5689F2E1}">
      <dgm:prSet phldrT="[Text]"/>
      <dgm:spPr/>
      <dgm:t>
        <a:bodyPr/>
        <a:lstStyle/>
        <a:p>
          <a:r>
            <a:rPr lang="en-AU"/>
            <a:t>Description of the quality assurance process and the reporting approvals required</a:t>
          </a:r>
        </a:p>
      </dgm:t>
    </dgm:pt>
    <dgm:pt modelId="{B6338AB3-4398-4319-9448-117109E59EDB}" type="parTrans" cxnId="{6E7479FD-E63B-40EE-AB13-B0A70C5A8AC8}">
      <dgm:prSet/>
      <dgm:spPr/>
      <dgm:t>
        <a:bodyPr/>
        <a:lstStyle/>
        <a:p>
          <a:endParaRPr lang="en-AU"/>
        </a:p>
      </dgm:t>
    </dgm:pt>
    <dgm:pt modelId="{8F1A6C6D-E61F-489C-88C5-2B3019C39C27}" type="sibTrans" cxnId="{6E7479FD-E63B-40EE-AB13-B0A70C5A8AC8}">
      <dgm:prSet/>
      <dgm:spPr/>
      <dgm:t>
        <a:bodyPr/>
        <a:lstStyle/>
        <a:p>
          <a:endParaRPr lang="en-AU"/>
        </a:p>
      </dgm:t>
    </dgm:pt>
    <dgm:pt modelId="{179A6D33-6C0B-49C8-BFF3-776C8FF3ECCE}">
      <dgm:prSet phldrT="[Text]"/>
      <dgm:spPr/>
      <dgm:t>
        <a:bodyPr/>
        <a:lstStyle/>
        <a:p>
          <a:r>
            <a:rPr lang="en-AU"/>
            <a:t>The process for advising the Secretary on expected MSO quantities and how reporting of intermediary market stock is managed</a:t>
          </a:r>
        </a:p>
      </dgm:t>
    </dgm:pt>
    <dgm:pt modelId="{D214BC22-279D-4631-B565-632C4A4C40C6}" type="parTrans" cxnId="{1721B9E6-B97D-48DD-86FE-F845FB78323E}">
      <dgm:prSet/>
      <dgm:spPr/>
      <dgm:t>
        <a:bodyPr/>
        <a:lstStyle/>
        <a:p>
          <a:endParaRPr lang="en-AU"/>
        </a:p>
      </dgm:t>
    </dgm:pt>
    <dgm:pt modelId="{18B12F46-012B-4469-B6D6-862E5222DF02}" type="sibTrans" cxnId="{1721B9E6-B97D-48DD-86FE-F845FB78323E}">
      <dgm:prSet/>
      <dgm:spPr/>
      <dgm:t>
        <a:bodyPr/>
        <a:lstStyle/>
        <a:p>
          <a:endParaRPr lang="en-AU"/>
        </a:p>
      </dgm:t>
    </dgm:pt>
    <dgm:pt modelId="{2D4A6B3A-E888-4CE7-8C27-4C977A6FC68B}">
      <dgm:prSet phldrT="[Text]"/>
      <dgm:spPr/>
      <dgm:t>
        <a:bodyPr/>
        <a:lstStyle/>
        <a:p>
          <a:r>
            <a:rPr lang="en-AU"/>
            <a:t>Schedules for any known tank, pipeline or refinery outages. eg. for maintenance </a:t>
          </a:r>
        </a:p>
      </dgm:t>
    </dgm:pt>
    <dgm:pt modelId="{449762F9-0ADD-4587-9086-062F746AC67A}" type="parTrans" cxnId="{EB7D9FFD-0733-4D96-8FC4-5231FB1301E9}">
      <dgm:prSet/>
      <dgm:spPr/>
      <dgm:t>
        <a:bodyPr/>
        <a:lstStyle/>
        <a:p>
          <a:endParaRPr lang="en-AU"/>
        </a:p>
      </dgm:t>
    </dgm:pt>
    <dgm:pt modelId="{327E359E-6C08-471A-A668-3C528F12F4B7}" type="sibTrans" cxnId="{EB7D9FFD-0733-4D96-8FC4-5231FB1301E9}">
      <dgm:prSet/>
      <dgm:spPr/>
      <dgm:t>
        <a:bodyPr/>
        <a:lstStyle/>
        <a:p>
          <a:endParaRPr lang="en-AU"/>
        </a:p>
      </dgm:t>
    </dgm:pt>
    <dgm:pt modelId="{95CE5401-BA38-4198-8DE4-E451CCFA90A4}">
      <dgm:prSet phldrT="[Text]"/>
      <dgm:spPr/>
      <dgm:t>
        <a:bodyPr/>
        <a:lstStyle/>
        <a:p>
          <a:r>
            <a:rPr lang="en-AU"/>
            <a:t>List of key people, their role and contact details</a:t>
          </a:r>
        </a:p>
      </dgm:t>
    </dgm:pt>
    <dgm:pt modelId="{03420518-7302-4F5A-8417-88555CA4C811}" type="parTrans" cxnId="{9A5382EB-8263-4224-AFA2-ABC98D7A862E}">
      <dgm:prSet/>
      <dgm:spPr/>
      <dgm:t>
        <a:bodyPr/>
        <a:lstStyle/>
        <a:p>
          <a:endParaRPr lang="en-AU"/>
        </a:p>
      </dgm:t>
    </dgm:pt>
    <dgm:pt modelId="{18E949B3-5807-4231-A176-2EC6FD18A76B}" type="sibTrans" cxnId="{9A5382EB-8263-4224-AFA2-ABC98D7A862E}">
      <dgm:prSet/>
      <dgm:spPr/>
      <dgm:t>
        <a:bodyPr/>
        <a:lstStyle/>
        <a:p>
          <a:endParaRPr lang="en-AU"/>
        </a:p>
      </dgm:t>
    </dgm:pt>
    <dgm:pt modelId="{7CCCE309-1BA3-4628-93A6-92BE3FB0AA94}">
      <dgm:prSet phldrT="[Text]"/>
      <dgm:spPr/>
      <dgm:t>
        <a:bodyPr/>
        <a:lstStyle/>
        <a:p>
          <a:r>
            <a:rPr lang="en-AU"/>
            <a:t>Volume of capacity to store each MSO product</a:t>
          </a:r>
        </a:p>
      </dgm:t>
    </dgm:pt>
    <dgm:pt modelId="{56473A84-CD26-49AC-9840-4A695519304F}" type="parTrans" cxnId="{4F1F87FD-9FE4-4469-ABF6-2ECE0A550CCF}">
      <dgm:prSet/>
      <dgm:spPr/>
      <dgm:t>
        <a:bodyPr/>
        <a:lstStyle/>
        <a:p>
          <a:endParaRPr lang="en-AU"/>
        </a:p>
      </dgm:t>
    </dgm:pt>
    <dgm:pt modelId="{09499380-9710-4995-B68F-40057742D25B}" type="sibTrans" cxnId="{4F1F87FD-9FE4-4469-ABF6-2ECE0A550CCF}">
      <dgm:prSet/>
      <dgm:spPr/>
      <dgm:t>
        <a:bodyPr/>
        <a:lstStyle/>
        <a:p>
          <a:endParaRPr lang="en-AU"/>
        </a:p>
      </dgm:t>
    </dgm:pt>
    <dgm:pt modelId="{66FDB703-E02D-40F1-92BB-D223E7974E0F}">
      <dgm:prSet phldrT="[Text]"/>
      <dgm:spPr/>
      <dgm:t>
        <a:bodyPr/>
        <a:lstStyle/>
        <a:p>
          <a:r>
            <a:rPr lang="en-AU"/>
            <a:t>Contingency planning information </a:t>
          </a:r>
        </a:p>
      </dgm:t>
    </dgm:pt>
    <dgm:pt modelId="{98E6CBB0-E1C9-47CA-9E0F-5253EF51FC5B}" type="parTrans" cxnId="{64CA3016-2BD7-4EC9-8418-32664E68DE65}">
      <dgm:prSet/>
      <dgm:spPr/>
      <dgm:t>
        <a:bodyPr/>
        <a:lstStyle/>
        <a:p>
          <a:endParaRPr lang="en-AU"/>
        </a:p>
      </dgm:t>
    </dgm:pt>
    <dgm:pt modelId="{ADE963D9-26A3-4E9B-B9EF-10C0C2052887}" type="sibTrans" cxnId="{64CA3016-2BD7-4EC9-8418-32664E68DE65}">
      <dgm:prSet/>
      <dgm:spPr/>
      <dgm:t>
        <a:bodyPr/>
        <a:lstStyle/>
        <a:p>
          <a:endParaRPr lang="en-AU"/>
        </a:p>
      </dgm:t>
    </dgm:pt>
    <dgm:pt modelId="{6AD974C6-C51C-44C7-85CF-BC8B885C5490}">
      <dgm:prSet phldrT="[Text]"/>
      <dgm:spPr/>
      <dgm:t>
        <a:bodyPr/>
        <a:lstStyle/>
        <a:p>
          <a:r>
            <a:rPr lang="en-AU"/>
            <a:t>Intermediary market approach and processes</a:t>
          </a:r>
        </a:p>
      </dgm:t>
    </dgm:pt>
    <dgm:pt modelId="{425CB8AE-6947-4930-A561-24E3E81732F9}" type="parTrans" cxnId="{90125E84-E97A-493A-B3B8-F99E4F05804C}">
      <dgm:prSet/>
      <dgm:spPr/>
      <dgm:t>
        <a:bodyPr/>
        <a:lstStyle/>
        <a:p>
          <a:endParaRPr lang="en-AU"/>
        </a:p>
      </dgm:t>
    </dgm:pt>
    <dgm:pt modelId="{36DBFF8E-733C-4BCF-BB50-AF2768E69BA7}" type="sibTrans" cxnId="{90125E84-E97A-493A-B3B8-F99E4F05804C}">
      <dgm:prSet/>
      <dgm:spPr/>
      <dgm:t>
        <a:bodyPr/>
        <a:lstStyle/>
        <a:p>
          <a:endParaRPr lang="en-AU"/>
        </a:p>
      </dgm:t>
    </dgm:pt>
    <dgm:pt modelId="{6561EFFA-6B1D-41E9-8067-A6AA2A4BDE36}">
      <dgm:prSet phldrT="[Text]"/>
      <dgm:spPr/>
      <dgm:t>
        <a:bodyPr/>
        <a:lstStyle/>
        <a:p>
          <a:r>
            <a:rPr lang="en-AU"/>
            <a:t>Arrangements for keeping records in an auditable form and how they can be accessed</a:t>
          </a:r>
        </a:p>
      </dgm:t>
    </dgm:pt>
    <dgm:pt modelId="{B9322D7B-BEEC-4EA1-A9A7-B78440C20738}" type="parTrans" cxnId="{C41169D3-1A45-4C47-AD9B-129E56516D64}">
      <dgm:prSet/>
      <dgm:spPr/>
      <dgm:t>
        <a:bodyPr/>
        <a:lstStyle/>
        <a:p>
          <a:endParaRPr lang="en-AU"/>
        </a:p>
      </dgm:t>
    </dgm:pt>
    <dgm:pt modelId="{45055074-25A5-4833-B425-15D9B630BD6A}" type="sibTrans" cxnId="{C41169D3-1A45-4C47-AD9B-129E56516D64}">
      <dgm:prSet/>
      <dgm:spPr/>
      <dgm:t>
        <a:bodyPr/>
        <a:lstStyle/>
        <a:p>
          <a:endParaRPr lang="en-AU"/>
        </a:p>
      </dgm:t>
    </dgm:pt>
    <dgm:pt modelId="{DB786A3E-165C-4B33-8A30-553D2386E6AB}" type="pres">
      <dgm:prSet presAssocID="{58C1A3DD-8BBD-4C53-9C96-1772E298E385}" presName="Name0" presStyleCnt="0">
        <dgm:presLayoutVars>
          <dgm:dir/>
          <dgm:animLvl val="lvl"/>
          <dgm:resizeHandles val="exact"/>
        </dgm:presLayoutVars>
      </dgm:prSet>
      <dgm:spPr/>
      <dgm:t>
        <a:bodyPr/>
        <a:lstStyle/>
        <a:p>
          <a:endParaRPr lang="en-AU"/>
        </a:p>
      </dgm:t>
    </dgm:pt>
    <dgm:pt modelId="{85743B25-6FD1-40E7-B4C7-53DD262538E0}" type="pres">
      <dgm:prSet presAssocID="{B523D5AF-9646-4EC8-8A26-B286AB42A52D}" presName="linNode" presStyleCnt="0"/>
      <dgm:spPr/>
      <dgm:t>
        <a:bodyPr/>
        <a:lstStyle/>
        <a:p>
          <a:endParaRPr lang="en-AU"/>
        </a:p>
      </dgm:t>
    </dgm:pt>
    <dgm:pt modelId="{44A21C7E-8708-4A96-8B14-3D54540E3CEC}" type="pres">
      <dgm:prSet presAssocID="{B523D5AF-9646-4EC8-8A26-B286AB42A52D}" presName="parentText" presStyleLbl="node1" presStyleIdx="0" presStyleCnt="5">
        <dgm:presLayoutVars>
          <dgm:chMax val="1"/>
          <dgm:bulletEnabled val="1"/>
        </dgm:presLayoutVars>
      </dgm:prSet>
      <dgm:spPr/>
      <dgm:t>
        <a:bodyPr/>
        <a:lstStyle/>
        <a:p>
          <a:endParaRPr lang="en-AU"/>
        </a:p>
      </dgm:t>
    </dgm:pt>
    <dgm:pt modelId="{6AE8EBBE-3928-4E8A-9376-A50349727204}" type="pres">
      <dgm:prSet presAssocID="{B523D5AF-9646-4EC8-8A26-B286AB42A52D}" presName="descendantText" presStyleLbl="alignAccFollowNode1" presStyleIdx="0" presStyleCnt="5">
        <dgm:presLayoutVars>
          <dgm:bulletEnabled val="1"/>
        </dgm:presLayoutVars>
      </dgm:prSet>
      <dgm:spPr/>
      <dgm:t>
        <a:bodyPr/>
        <a:lstStyle/>
        <a:p>
          <a:endParaRPr lang="en-AU"/>
        </a:p>
      </dgm:t>
    </dgm:pt>
    <dgm:pt modelId="{7DAF6ADB-3CAA-4D6F-B21A-B1CA6C492B9F}" type="pres">
      <dgm:prSet presAssocID="{8DA0E02F-BCA0-4D61-A2AF-1A51ACD9A921}" presName="sp" presStyleCnt="0"/>
      <dgm:spPr/>
      <dgm:t>
        <a:bodyPr/>
        <a:lstStyle/>
        <a:p>
          <a:endParaRPr lang="en-AU"/>
        </a:p>
      </dgm:t>
    </dgm:pt>
    <dgm:pt modelId="{1B0BB38F-2880-4C57-A6F0-909424658CAC}" type="pres">
      <dgm:prSet presAssocID="{F8BA17BA-E43B-4B83-AC44-A49AA13A2AFA}" presName="linNode" presStyleCnt="0"/>
      <dgm:spPr/>
      <dgm:t>
        <a:bodyPr/>
        <a:lstStyle/>
        <a:p>
          <a:endParaRPr lang="en-AU"/>
        </a:p>
      </dgm:t>
    </dgm:pt>
    <dgm:pt modelId="{9D2C776E-A720-4491-B7B3-FBB5551946C5}" type="pres">
      <dgm:prSet presAssocID="{F8BA17BA-E43B-4B83-AC44-A49AA13A2AFA}" presName="parentText" presStyleLbl="node1" presStyleIdx="1" presStyleCnt="5" custLinFactNeighborX="-1244">
        <dgm:presLayoutVars>
          <dgm:chMax val="1"/>
          <dgm:bulletEnabled val="1"/>
        </dgm:presLayoutVars>
      </dgm:prSet>
      <dgm:spPr/>
      <dgm:t>
        <a:bodyPr/>
        <a:lstStyle/>
        <a:p>
          <a:endParaRPr lang="en-AU"/>
        </a:p>
      </dgm:t>
    </dgm:pt>
    <dgm:pt modelId="{3A48B3D0-E2EA-409F-BBC7-3B1431BFBAFD}" type="pres">
      <dgm:prSet presAssocID="{F8BA17BA-E43B-4B83-AC44-A49AA13A2AFA}" presName="descendantText" presStyleLbl="alignAccFollowNode1" presStyleIdx="1" presStyleCnt="5">
        <dgm:presLayoutVars>
          <dgm:bulletEnabled val="1"/>
        </dgm:presLayoutVars>
      </dgm:prSet>
      <dgm:spPr/>
      <dgm:t>
        <a:bodyPr/>
        <a:lstStyle/>
        <a:p>
          <a:endParaRPr lang="en-AU"/>
        </a:p>
      </dgm:t>
    </dgm:pt>
    <dgm:pt modelId="{4DA84B38-652B-4E50-B745-018DC82C5E66}" type="pres">
      <dgm:prSet presAssocID="{E9CA96FB-9A01-481F-9A8B-45A2AC3FDFB0}" presName="sp" presStyleCnt="0"/>
      <dgm:spPr/>
      <dgm:t>
        <a:bodyPr/>
        <a:lstStyle/>
        <a:p>
          <a:endParaRPr lang="en-AU"/>
        </a:p>
      </dgm:t>
    </dgm:pt>
    <dgm:pt modelId="{EEAE9EF5-C23C-4ADF-9AEB-B8BF05A36DD1}" type="pres">
      <dgm:prSet presAssocID="{E6C08D6B-A56E-476F-8EAA-325945B7FDB6}" presName="linNode" presStyleCnt="0"/>
      <dgm:spPr/>
      <dgm:t>
        <a:bodyPr/>
        <a:lstStyle/>
        <a:p>
          <a:endParaRPr lang="en-AU"/>
        </a:p>
      </dgm:t>
    </dgm:pt>
    <dgm:pt modelId="{989245AA-63F1-472D-A905-6CE7C81542E2}" type="pres">
      <dgm:prSet presAssocID="{E6C08D6B-A56E-476F-8EAA-325945B7FDB6}" presName="parentText" presStyleLbl="node1" presStyleIdx="2" presStyleCnt="5">
        <dgm:presLayoutVars>
          <dgm:chMax val="1"/>
          <dgm:bulletEnabled val="1"/>
        </dgm:presLayoutVars>
      </dgm:prSet>
      <dgm:spPr/>
      <dgm:t>
        <a:bodyPr/>
        <a:lstStyle/>
        <a:p>
          <a:endParaRPr lang="en-AU"/>
        </a:p>
      </dgm:t>
    </dgm:pt>
    <dgm:pt modelId="{B744D3B3-768E-458F-8D31-14EFAF845B0B}" type="pres">
      <dgm:prSet presAssocID="{E6C08D6B-A56E-476F-8EAA-325945B7FDB6}" presName="descendantText" presStyleLbl="alignAccFollowNode1" presStyleIdx="2" presStyleCnt="5">
        <dgm:presLayoutVars>
          <dgm:bulletEnabled val="1"/>
        </dgm:presLayoutVars>
      </dgm:prSet>
      <dgm:spPr/>
      <dgm:t>
        <a:bodyPr/>
        <a:lstStyle/>
        <a:p>
          <a:endParaRPr lang="en-AU"/>
        </a:p>
      </dgm:t>
    </dgm:pt>
    <dgm:pt modelId="{E42E45A5-1151-42C7-8680-DFF1984828D3}" type="pres">
      <dgm:prSet presAssocID="{A95EA93C-20D1-47CA-AEB8-1F126E19E3DF}" presName="sp" presStyleCnt="0"/>
      <dgm:spPr/>
      <dgm:t>
        <a:bodyPr/>
        <a:lstStyle/>
        <a:p>
          <a:endParaRPr lang="en-AU"/>
        </a:p>
      </dgm:t>
    </dgm:pt>
    <dgm:pt modelId="{F9A5DDB1-FA1B-46DA-931D-B92A13A0D977}" type="pres">
      <dgm:prSet presAssocID="{3D6BD256-7E96-4F98-B881-0483C33B69D0}" presName="linNode" presStyleCnt="0"/>
      <dgm:spPr/>
      <dgm:t>
        <a:bodyPr/>
        <a:lstStyle/>
        <a:p>
          <a:endParaRPr lang="en-AU"/>
        </a:p>
      </dgm:t>
    </dgm:pt>
    <dgm:pt modelId="{311176E3-0F71-4888-9813-DB3EEC16CC52}" type="pres">
      <dgm:prSet presAssocID="{3D6BD256-7E96-4F98-B881-0483C33B69D0}" presName="parentText" presStyleLbl="node1" presStyleIdx="3" presStyleCnt="5">
        <dgm:presLayoutVars>
          <dgm:chMax val="1"/>
          <dgm:bulletEnabled val="1"/>
        </dgm:presLayoutVars>
      </dgm:prSet>
      <dgm:spPr/>
      <dgm:t>
        <a:bodyPr/>
        <a:lstStyle/>
        <a:p>
          <a:endParaRPr lang="en-AU"/>
        </a:p>
      </dgm:t>
    </dgm:pt>
    <dgm:pt modelId="{9DFB8466-FA32-4CB3-8A53-A7A00D8CB794}" type="pres">
      <dgm:prSet presAssocID="{3D6BD256-7E96-4F98-B881-0483C33B69D0}" presName="descendantText" presStyleLbl="alignAccFollowNode1" presStyleIdx="3" presStyleCnt="5">
        <dgm:presLayoutVars>
          <dgm:bulletEnabled val="1"/>
        </dgm:presLayoutVars>
      </dgm:prSet>
      <dgm:spPr/>
      <dgm:t>
        <a:bodyPr/>
        <a:lstStyle/>
        <a:p>
          <a:endParaRPr lang="en-AU"/>
        </a:p>
      </dgm:t>
    </dgm:pt>
    <dgm:pt modelId="{AE02CC31-463B-44BA-8688-FA455123DBE8}" type="pres">
      <dgm:prSet presAssocID="{E3F08EB2-24E5-4452-AE37-C8FFD9B44EC4}" presName="sp" presStyleCnt="0"/>
      <dgm:spPr/>
      <dgm:t>
        <a:bodyPr/>
        <a:lstStyle/>
        <a:p>
          <a:endParaRPr lang="en-AU"/>
        </a:p>
      </dgm:t>
    </dgm:pt>
    <dgm:pt modelId="{4BE5A49E-B91D-4AAA-844C-9FA8F74390B3}" type="pres">
      <dgm:prSet presAssocID="{A909C984-7E3B-40E0-BBB7-4ED99DFCD221}" presName="linNode" presStyleCnt="0"/>
      <dgm:spPr/>
      <dgm:t>
        <a:bodyPr/>
        <a:lstStyle/>
        <a:p>
          <a:endParaRPr lang="en-AU"/>
        </a:p>
      </dgm:t>
    </dgm:pt>
    <dgm:pt modelId="{09B14A7E-820B-4DDF-BF1F-5842B2511EEF}" type="pres">
      <dgm:prSet presAssocID="{A909C984-7E3B-40E0-BBB7-4ED99DFCD221}" presName="parentText" presStyleLbl="node1" presStyleIdx="4" presStyleCnt="5">
        <dgm:presLayoutVars>
          <dgm:chMax val="1"/>
          <dgm:bulletEnabled val="1"/>
        </dgm:presLayoutVars>
      </dgm:prSet>
      <dgm:spPr/>
      <dgm:t>
        <a:bodyPr/>
        <a:lstStyle/>
        <a:p>
          <a:endParaRPr lang="en-AU"/>
        </a:p>
      </dgm:t>
    </dgm:pt>
    <dgm:pt modelId="{9D30B5BA-7D9A-4F8C-A47B-50B3B473FB6A}" type="pres">
      <dgm:prSet presAssocID="{A909C984-7E3B-40E0-BBB7-4ED99DFCD221}" presName="descendantText" presStyleLbl="alignAccFollowNode1" presStyleIdx="4" presStyleCnt="5" custLinFactNeighborX="1804" custLinFactNeighborY="0">
        <dgm:presLayoutVars>
          <dgm:bulletEnabled val="1"/>
        </dgm:presLayoutVars>
      </dgm:prSet>
      <dgm:spPr/>
      <dgm:t>
        <a:bodyPr/>
        <a:lstStyle/>
        <a:p>
          <a:endParaRPr lang="en-AU"/>
        </a:p>
      </dgm:t>
    </dgm:pt>
  </dgm:ptLst>
  <dgm:cxnLst>
    <dgm:cxn modelId="{8A56EB82-FB89-400C-A3A2-2B101CF74F4C}" type="presOf" srcId="{6561EFFA-6B1D-41E9-8067-A6AA2A4BDE36}" destId="{9DFB8466-FA32-4CB3-8A53-A7A00D8CB794}" srcOrd="0" destOrd="4" presId="urn:microsoft.com/office/officeart/2005/8/layout/vList5"/>
    <dgm:cxn modelId="{C41169D3-1A45-4C47-AD9B-129E56516D64}" srcId="{3D6BD256-7E96-4F98-B881-0483C33B69D0}" destId="{6561EFFA-6B1D-41E9-8067-A6AA2A4BDE36}" srcOrd="4" destOrd="0" parTransId="{B9322D7B-BEEC-4EA1-A9A7-B78440C20738}" sibTransId="{45055074-25A5-4833-B425-15D9B630BD6A}"/>
    <dgm:cxn modelId="{90125E84-E97A-493A-B3B8-F99E4F05804C}" srcId="{E6C08D6B-A56E-476F-8EAA-325945B7FDB6}" destId="{6AD974C6-C51C-44C7-85CF-BC8B885C5490}" srcOrd="3" destOrd="0" parTransId="{425CB8AE-6947-4930-A561-24E3E81732F9}" sibTransId="{36DBFF8E-733C-4BCF-BB50-AF2768E69BA7}"/>
    <dgm:cxn modelId="{AC46F368-7269-409B-B19F-83F6451F1C86}" type="presOf" srcId="{6AD974C6-C51C-44C7-85CF-BC8B885C5490}" destId="{B744D3B3-768E-458F-8D31-14EFAF845B0B}" srcOrd="0" destOrd="3" presId="urn:microsoft.com/office/officeart/2005/8/layout/vList5"/>
    <dgm:cxn modelId="{F837BEC2-AB31-41DC-AB48-C285C3AD4502}" srcId="{F8BA17BA-E43B-4B83-AC44-A49AA13A2AFA}" destId="{D3AD4EDD-E48C-4BAF-BAB6-EA9051862CFB}" srcOrd="4" destOrd="0" parTransId="{E171F0A9-C985-4CBE-8C62-01754DB81DFA}" sibTransId="{FAC693CB-8ADA-43C0-9809-BBA4EE03FEF0}"/>
    <dgm:cxn modelId="{7D481AA1-5092-4840-8DE9-F84D98197A3B}" type="presOf" srcId="{179A6D33-6C0B-49C8-BFF3-776C8FF3ECCE}" destId="{9DFB8466-FA32-4CB3-8A53-A7A00D8CB794}" srcOrd="0" destOrd="3" presId="urn:microsoft.com/office/officeart/2005/8/layout/vList5"/>
    <dgm:cxn modelId="{BE60DE17-CF9B-4F88-87DF-C43A78A2A127}" type="presOf" srcId="{B5F58DAF-1BE4-4685-84E5-6BC5350F6C7E}" destId="{6AE8EBBE-3928-4E8A-9376-A50349727204}" srcOrd="0" destOrd="2" presId="urn:microsoft.com/office/officeart/2005/8/layout/vList5"/>
    <dgm:cxn modelId="{EB7D9FFD-0733-4D96-8FC4-5231FB1301E9}" srcId="{A909C984-7E3B-40E0-BBB7-4ED99DFCD221}" destId="{2D4A6B3A-E888-4CE7-8C27-4C977A6FC68B}" srcOrd="0" destOrd="0" parTransId="{449762F9-0ADD-4587-9086-062F746AC67A}" sibTransId="{327E359E-6C08-471A-A668-3C528F12F4B7}"/>
    <dgm:cxn modelId="{78F13EFD-D41B-4B5A-825F-6EDE3D18ADE3}" type="presOf" srcId="{AA3B4613-E8CF-4866-ABDD-EE420A52F0D8}" destId="{6AE8EBBE-3928-4E8A-9376-A50349727204}" srcOrd="0" destOrd="0" presId="urn:microsoft.com/office/officeart/2005/8/layout/vList5"/>
    <dgm:cxn modelId="{816D13BB-273F-4C0D-9E58-7E2509203A16}" type="presOf" srcId="{B5E62727-DF63-4A5B-9716-AB852B882D8E}" destId="{9DFB8466-FA32-4CB3-8A53-A7A00D8CB794}" srcOrd="0" destOrd="0" presId="urn:microsoft.com/office/officeart/2005/8/layout/vList5"/>
    <dgm:cxn modelId="{831E9088-747E-4B0A-B9DD-1B48EF97DB64}" srcId="{3D6BD256-7E96-4F98-B881-0483C33B69D0}" destId="{F712D15F-E351-4373-B636-A6C0BFF9D4E9}" srcOrd="1" destOrd="0" parTransId="{A2E37828-C1CE-4454-8157-AD9C0F2DF05A}" sibTransId="{4AB55296-FC0D-49A4-B915-3352BD2E4856}"/>
    <dgm:cxn modelId="{1721B9E6-B97D-48DD-86FE-F845FB78323E}" srcId="{3D6BD256-7E96-4F98-B881-0483C33B69D0}" destId="{179A6D33-6C0B-49C8-BFF3-776C8FF3ECCE}" srcOrd="3" destOrd="0" parTransId="{D214BC22-279D-4631-B565-632C4A4C40C6}" sibTransId="{18B12F46-012B-4469-B6D6-862E5222DF02}"/>
    <dgm:cxn modelId="{38F70BCE-8C44-44A5-A82A-6D218FC96D48}" type="presOf" srcId="{2FBE393E-7FE0-40AD-AB42-D52F5689F2E1}" destId="{9DFB8466-FA32-4CB3-8A53-A7A00D8CB794}" srcOrd="0" destOrd="2" presId="urn:microsoft.com/office/officeart/2005/8/layout/vList5"/>
    <dgm:cxn modelId="{64CA3016-2BD7-4EC9-8418-32664E68DE65}" srcId="{E6C08D6B-A56E-476F-8EAA-325945B7FDB6}" destId="{66FDB703-E02D-40F1-92BB-D223E7974E0F}" srcOrd="1" destOrd="0" parTransId="{98E6CBB0-E1C9-47CA-9E0F-5253EF51FC5B}" sibTransId="{ADE963D9-26A3-4E9B-B9EF-10C0C2052887}"/>
    <dgm:cxn modelId="{1D7F47C3-27B5-47C1-AD70-862F5516601B}" type="presOf" srcId="{58C1A3DD-8BBD-4C53-9C96-1772E298E385}" destId="{DB786A3E-165C-4B33-8A30-553D2386E6AB}" srcOrd="0" destOrd="0" presId="urn:microsoft.com/office/officeart/2005/8/layout/vList5"/>
    <dgm:cxn modelId="{7F6916A0-CA77-42E1-AC73-39DA48AE270D}" type="presOf" srcId="{F8BA17BA-E43B-4B83-AC44-A49AA13A2AFA}" destId="{9D2C776E-A720-4491-B7B3-FBB5551946C5}" srcOrd="0" destOrd="0" presId="urn:microsoft.com/office/officeart/2005/8/layout/vList5"/>
    <dgm:cxn modelId="{08DE0B61-72AE-4D10-9B02-9645E59295CE}" srcId="{F8BA17BA-E43B-4B83-AC44-A49AA13A2AFA}" destId="{68F271D8-AA44-49BC-9E80-EBEE6FB2E474}" srcOrd="3" destOrd="0" parTransId="{5DA1F746-4BF1-4D18-A19D-C541A3E95845}" sibTransId="{ADE062DC-3453-47F5-B857-75C6BAC8BE69}"/>
    <dgm:cxn modelId="{2D132F83-551E-4EDF-BA4E-5DEFC52076FA}" type="presOf" srcId="{D3AD4EDD-E48C-4BAF-BAB6-EA9051862CFB}" destId="{3A48B3D0-E2EA-409F-BBC7-3B1431BFBAFD}" srcOrd="0" destOrd="4" presId="urn:microsoft.com/office/officeart/2005/8/layout/vList5"/>
    <dgm:cxn modelId="{F0B952B0-CB8A-47C6-8618-8E303DE40348}" type="presOf" srcId="{95CE5401-BA38-4198-8DE4-E451CCFA90A4}" destId="{6AE8EBBE-3928-4E8A-9376-A50349727204}" srcOrd="0" destOrd="1" presId="urn:microsoft.com/office/officeart/2005/8/layout/vList5"/>
    <dgm:cxn modelId="{6E7479FD-E63B-40EE-AB13-B0A70C5A8AC8}" srcId="{3D6BD256-7E96-4F98-B881-0483C33B69D0}" destId="{2FBE393E-7FE0-40AD-AB42-D52F5689F2E1}" srcOrd="2" destOrd="0" parTransId="{B6338AB3-4398-4319-9448-117109E59EDB}" sibTransId="{8F1A6C6D-E61F-489C-88C5-2B3019C39C27}"/>
    <dgm:cxn modelId="{F6606DCC-A0BC-47A8-A269-55D7C01C1DA5}" type="presOf" srcId="{66FDB703-E02D-40F1-92BB-D223E7974E0F}" destId="{B744D3B3-768E-458F-8D31-14EFAF845B0B}" srcOrd="0" destOrd="1" presId="urn:microsoft.com/office/officeart/2005/8/layout/vList5"/>
    <dgm:cxn modelId="{3914B15E-3651-47D7-8CB3-A3D81E3E32A3}" srcId="{58C1A3DD-8BBD-4C53-9C96-1772E298E385}" destId="{3D6BD256-7E96-4F98-B881-0483C33B69D0}" srcOrd="3" destOrd="0" parTransId="{E12252DD-1E4B-4BFE-A264-DB7E78D94677}" sibTransId="{E3F08EB2-24E5-4452-AE37-C8FFD9B44EC4}"/>
    <dgm:cxn modelId="{0D7B3B86-99CC-4D7F-A147-B1EB02A4A661}" type="presOf" srcId="{8142A6DF-B164-4BE5-BCA8-E1ACDEE52ABB}" destId="{3A48B3D0-E2EA-409F-BBC7-3B1431BFBAFD}" srcOrd="0" destOrd="0" presId="urn:microsoft.com/office/officeart/2005/8/layout/vList5"/>
    <dgm:cxn modelId="{EE4F4DDE-1C71-4299-8AAC-17CAEF4833CC}" srcId="{B523D5AF-9646-4EC8-8A26-B286AB42A52D}" destId="{B5F58DAF-1BE4-4685-84E5-6BC5350F6C7E}" srcOrd="2" destOrd="0" parTransId="{F4446DAC-7B87-4F09-9746-E4506A2A9C5F}" sibTransId="{C14C8956-DB5E-4858-8B98-161545824D70}"/>
    <dgm:cxn modelId="{2EF2E869-F87F-4286-BFD4-39ED0A4CB78F}" srcId="{E6C08D6B-A56E-476F-8EAA-325945B7FDB6}" destId="{94331B3A-7BB5-4368-8161-805F07166349}" srcOrd="0" destOrd="0" parTransId="{60DF409F-139F-433D-98E0-71AD8F0939C3}" sibTransId="{343EED13-A132-46AA-88ED-8E3EBAAC684B}"/>
    <dgm:cxn modelId="{8C9312A6-B2E2-42C1-A575-0286AF9CCE2F}" srcId="{E6C08D6B-A56E-476F-8EAA-325945B7FDB6}" destId="{6EEEF3A6-7CAD-4416-A846-743590A25383}" srcOrd="2" destOrd="0" parTransId="{93E2AE68-F95E-4A1A-9162-19FAA6C5F448}" sibTransId="{0C51A3CD-CB17-40A5-B9F7-922E8633CA93}"/>
    <dgm:cxn modelId="{E1F0EAAE-100E-4C3D-AD15-BECFBA7A00FA}" srcId="{58C1A3DD-8BBD-4C53-9C96-1772E298E385}" destId="{F8BA17BA-E43B-4B83-AC44-A49AA13A2AFA}" srcOrd="1" destOrd="0" parTransId="{83370078-D45C-4252-B8D6-C2D96A0BBF92}" sibTransId="{E9CA96FB-9A01-481F-9A8B-45A2AC3FDFB0}"/>
    <dgm:cxn modelId="{846B269B-86DC-4E9D-9298-8BB1DC01D301}" srcId="{F8BA17BA-E43B-4B83-AC44-A49AA13A2AFA}" destId="{8142A6DF-B164-4BE5-BCA8-E1ACDEE52ABB}" srcOrd="0" destOrd="0" parTransId="{23D389B6-E37D-4E12-ADAB-8E94BAEF3EDA}" sibTransId="{C64899ED-E977-48EA-A176-052400DFAA4C}"/>
    <dgm:cxn modelId="{11D391EB-109E-4758-9979-6DA73FAB14EA}" type="presOf" srcId="{888F0689-2C57-439C-84E8-BCC47131375D}" destId="{3A48B3D0-E2EA-409F-BBC7-3B1431BFBAFD}" srcOrd="0" destOrd="2" presId="urn:microsoft.com/office/officeart/2005/8/layout/vList5"/>
    <dgm:cxn modelId="{7579AC85-3B75-447E-B8D6-464B24494796}" srcId="{B523D5AF-9646-4EC8-8A26-B286AB42A52D}" destId="{AA3B4613-E8CF-4866-ABDD-EE420A52F0D8}" srcOrd="0" destOrd="0" parTransId="{4B6AC31F-BF61-4FC6-8614-053AF8B20365}" sibTransId="{29F5AC66-21AE-44A0-BF64-AE2149527630}"/>
    <dgm:cxn modelId="{BC8ADE14-CAFC-449A-9B8C-AB46BE36F4AA}" srcId="{58C1A3DD-8BBD-4C53-9C96-1772E298E385}" destId="{A909C984-7E3B-40E0-BBB7-4ED99DFCD221}" srcOrd="4" destOrd="0" parTransId="{F79D902F-DA5A-4CE0-B964-370EF7D87EEC}" sibTransId="{B111E1AF-B3B2-452D-91D6-35C5265123D9}"/>
    <dgm:cxn modelId="{3A9DF819-BBDC-4A18-AD7C-3963EA0057EB}" type="presOf" srcId="{F712D15F-E351-4373-B636-A6C0BFF9D4E9}" destId="{9DFB8466-FA32-4CB3-8A53-A7A00D8CB794}" srcOrd="0" destOrd="1" presId="urn:microsoft.com/office/officeart/2005/8/layout/vList5"/>
    <dgm:cxn modelId="{1829E7F4-0554-4768-BE36-61896C2CFB80}" type="presOf" srcId="{7CCCE309-1BA3-4628-93A6-92BE3FB0AA94}" destId="{3A48B3D0-E2EA-409F-BBC7-3B1431BFBAFD}" srcOrd="0" destOrd="1" presId="urn:microsoft.com/office/officeart/2005/8/layout/vList5"/>
    <dgm:cxn modelId="{69478D4E-F4EF-45B4-9152-1AF363243047}" type="presOf" srcId="{E6C08D6B-A56E-476F-8EAA-325945B7FDB6}" destId="{989245AA-63F1-472D-A905-6CE7C81542E2}" srcOrd="0" destOrd="0" presId="urn:microsoft.com/office/officeart/2005/8/layout/vList5"/>
    <dgm:cxn modelId="{0BF8E2D7-97B4-4075-B2DB-398839CE5400}" srcId="{F8BA17BA-E43B-4B83-AC44-A49AA13A2AFA}" destId="{888F0689-2C57-439C-84E8-BCC47131375D}" srcOrd="2" destOrd="0" parTransId="{AC1106C5-7AC6-47E5-BAF8-0B99B3F6EBBE}" sibTransId="{A18AF41F-D095-48FD-920B-A2BB5B931AF4}"/>
    <dgm:cxn modelId="{E0DB3094-0DE9-4864-B1F0-89BBCF440C21}" type="presOf" srcId="{B523D5AF-9646-4EC8-8A26-B286AB42A52D}" destId="{44A21C7E-8708-4A96-8B14-3D54540E3CEC}" srcOrd="0" destOrd="0" presId="urn:microsoft.com/office/officeart/2005/8/layout/vList5"/>
    <dgm:cxn modelId="{4AFEF6FF-E7EC-41D3-9518-F97D8BE1C7F7}" type="presOf" srcId="{A909C984-7E3B-40E0-BBB7-4ED99DFCD221}" destId="{09B14A7E-820B-4DDF-BF1F-5842B2511EEF}" srcOrd="0" destOrd="0" presId="urn:microsoft.com/office/officeart/2005/8/layout/vList5"/>
    <dgm:cxn modelId="{135E6B23-5C95-4E71-9EE3-3AF350FB7A04}" type="presOf" srcId="{B662D99E-1333-42B4-8519-C6CB914FADA2}" destId="{6AE8EBBE-3928-4E8A-9376-A50349727204}" srcOrd="0" destOrd="3" presId="urn:microsoft.com/office/officeart/2005/8/layout/vList5"/>
    <dgm:cxn modelId="{DB656C8C-F4C6-465D-A09D-1FCBA861AB3A}" type="presOf" srcId="{6EEEF3A6-7CAD-4416-A846-743590A25383}" destId="{B744D3B3-768E-458F-8D31-14EFAF845B0B}" srcOrd="0" destOrd="2" presId="urn:microsoft.com/office/officeart/2005/8/layout/vList5"/>
    <dgm:cxn modelId="{525D902B-0735-4800-8A07-7FAD141252E6}" type="presOf" srcId="{3D6BD256-7E96-4F98-B881-0483C33B69D0}" destId="{311176E3-0F71-4888-9813-DB3EEC16CC52}" srcOrd="0" destOrd="0" presId="urn:microsoft.com/office/officeart/2005/8/layout/vList5"/>
    <dgm:cxn modelId="{69F0F9F7-C30F-45BC-9FE7-342FD7BECB06}" type="presOf" srcId="{68F271D8-AA44-49BC-9E80-EBEE6FB2E474}" destId="{3A48B3D0-E2EA-409F-BBC7-3B1431BFBAFD}" srcOrd="0" destOrd="3" presId="urn:microsoft.com/office/officeart/2005/8/layout/vList5"/>
    <dgm:cxn modelId="{D77284F1-1D51-4E64-819C-BAF4686E31CF}" srcId="{3D6BD256-7E96-4F98-B881-0483C33B69D0}" destId="{B5E62727-DF63-4A5B-9716-AB852B882D8E}" srcOrd="0" destOrd="0" parTransId="{6D7199BF-6579-412F-8E23-6CC970F026B2}" sibTransId="{01D2E7BE-441C-4179-A857-358CD1494E75}"/>
    <dgm:cxn modelId="{9A5382EB-8263-4224-AFA2-ABC98D7A862E}" srcId="{B523D5AF-9646-4EC8-8A26-B286AB42A52D}" destId="{95CE5401-BA38-4198-8DE4-E451CCFA90A4}" srcOrd="1" destOrd="0" parTransId="{03420518-7302-4F5A-8417-88555CA4C811}" sibTransId="{18E949B3-5807-4231-A176-2EC6FD18A76B}"/>
    <dgm:cxn modelId="{4F1F87FD-9FE4-4469-ABF6-2ECE0A550CCF}" srcId="{F8BA17BA-E43B-4B83-AC44-A49AA13A2AFA}" destId="{7CCCE309-1BA3-4628-93A6-92BE3FB0AA94}" srcOrd="1" destOrd="0" parTransId="{56473A84-CD26-49AC-9840-4A695519304F}" sibTransId="{09499380-9710-4995-B68F-40057742D25B}"/>
    <dgm:cxn modelId="{0BCDC02A-0ED8-4229-83B4-DF84891B3682}" srcId="{B523D5AF-9646-4EC8-8A26-B286AB42A52D}" destId="{B662D99E-1333-42B4-8519-C6CB914FADA2}" srcOrd="3" destOrd="0" parTransId="{812B50D4-D0FE-48BB-9FF5-866E98C127C1}" sibTransId="{BF7E6594-E51C-4E41-94B8-0013D8178A23}"/>
    <dgm:cxn modelId="{BF48DEF0-C9A1-40F2-A074-0C2E7E252E61}" srcId="{58C1A3DD-8BBD-4C53-9C96-1772E298E385}" destId="{B523D5AF-9646-4EC8-8A26-B286AB42A52D}" srcOrd="0" destOrd="0" parTransId="{CB9B942E-78AA-47C2-909E-4276ABA4F798}" sibTransId="{8DA0E02F-BCA0-4D61-A2AF-1A51ACD9A921}"/>
    <dgm:cxn modelId="{D2D4EC63-760E-4B88-98CE-44B8C00F4BD7}" srcId="{58C1A3DD-8BBD-4C53-9C96-1772E298E385}" destId="{E6C08D6B-A56E-476F-8EAA-325945B7FDB6}" srcOrd="2" destOrd="0" parTransId="{7634B3C1-05EB-403B-8CA7-B1F0AF70BD1F}" sibTransId="{A95EA93C-20D1-47CA-AEB8-1F126E19E3DF}"/>
    <dgm:cxn modelId="{85FE1CC4-5FDB-49ED-BBA5-8743025E001C}" type="presOf" srcId="{2D4A6B3A-E888-4CE7-8C27-4C977A6FC68B}" destId="{9D30B5BA-7D9A-4F8C-A47B-50B3B473FB6A}" srcOrd="0" destOrd="0" presId="urn:microsoft.com/office/officeart/2005/8/layout/vList5"/>
    <dgm:cxn modelId="{7C57BC63-7B2D-46EC-8704-56882CA933A3}" type="presOf" srcId="{94331B3A-7BB5-4368-8161-805F07166349}" destId="{B744D3B3-768E-458F-8D31-14EFAF845B0B}" srcOrd="0" destOrd="0" presId="urn:microsoft.com/office/officeart/2005/8/layout/vList5"/>
    <dgm:cxn modelId="{2E1A5013-4C75-4F5E-BAE2-57D5D1129A8A}" type="presParOf" srcId="{DB786A3E-165C-4B33-8A30-553D2386E6AB}" destId="{85743B25-6FD1-40E7-B4C7-53DD262538E0}" srcOrd="0" destOrd="0" presId="urn:microsoft.com/office/officeart/2005/8/layout/vList5"/>
    <dgm:cxn modelId="{901D9E07-0496-461D-A855-907B12AFCAB7}" type="presParOf" srcId="{85743B25-6FD1-40E7-B4C7-53DD262538E0}" destId="{44A21C7E-8708-4A96-8B14-3D54540E3CEC}" srcOrd="0" destOrd="0" presId="urn:microsoft.com/office/officeart/2005/8/layout/vList5"/>
    <dgm:cxn modelId="{EC2F38D1-9DC2-4993-8A31-9068CA8EE97F}" type="presParOf" srcId="{85743B25-6FD1-40E7-B4C7-53DD262538E0}" destId="{6AE8EBBE-3928-4E8A-9376-A50349727204}" srcOrd="1" destOrd="0" presId="urn:microsoft.com/office/officeart/2005/8/layout/vList5"/>
    <dgm:cxn modelId="{15954B0B-39BC-4EC5-BBAF-91EFE523590D}" type="presParOf" srcId="{DB786A3E-165C-4B33-8A30-553D2386E6AB}" destId="{7DAF6ADB-3CAA-4D6F-B21A-B1CA6C492B9F}" srcOrd="1" destOrd="0" presId="urn:microsoft.com/office/officeart/2005/8/layout/vList5"/>
    <dgm:cxn modelId="{3A2C2E68-3C66-4D4E-B17A-54A069EAF957}" type="presParOf" srcId="{DB786A3E-165C-4B33-8A30-553D2386E6AB}" destId="{1B0BB38F-2880-4C57-A6F0-909424658CAC}" srcOrd="2" destOrd="0" presId="urn:microsoft.com/office/officeart/2005/8/layout/vList5"/>
    <dgm:cxn modelId="{573ED816-1349-46BB-A81B-2B3739647100}" type="presParOf" srcId="{1B0BB38F-2880-4C57-A6F0-909424658CAC}" destId="{9D2C776E-A720-4491-B7B3-FBB5551946C5}" srcOrd="0" destOrd="0" presId="urn:microsoft.com/office/officeart/2005/8/layout/vList5"/>
    <dgm:cxn modelId="{F8E24A7F-3D63-40D6-9F73-C3E747D288BA}" type="presParOf" srcId="{1B0BB38F-2880-4C57-A6F0-909424658CAC}" destId="{3A48B3D0-E2EA-409F-BBC7-3B1431BFBAFD}" srcOrd="1" destOrd="0" presId="urn:microsoft.com/office/officeart/2005/8/layout/vList5"/>
    <dgm:cxn modelId="{C571ADEC-FD03-48EF-83C7-A245B56AF9F0}" type="presParOf" srcId="{DB786A3E-165C-4B33-8A30-553D2386E6AB}" destId="{4DA84B38-652B-4E50-B745-018DC82C5E66}" srcOrd="3" destOrd="0" presId="urn:microsoft.com/office/officeart/2005/8/layout/vList5"/>
    <dgm:cxn modelId="{3699F3F6-78E5-4181-AD66-74AB6D76DD74}" type="presParOf" srcId="{DB786A3E-165C-4B33-8A30-553D2386E6AB}" destId="{EEAE9EF5-C23C-4ADF-9AEB-B8BF05A36DD1}" srcOrd="4" destOrd="0" presId="urn:microsoft.com/office/officeart/2005/8/layout/vList5"/>
    <dgm:cxn modelId="{553E8221-680D-4F5B-B389-E98D5F9A84A8}" type="presParOf" srcId="{EEAE9EF5-C23C-4ADF-9AEB-B8BF05A36DD1}" destId="{989245AA-63F1-472D-A905-6CE7C81542E2}" srcOrd="0" destOrd="0" presId="urn:microsoft.com/office/officeart/2005/8/layout/vList5"/>
    <dgm:cxn modelId="{D3BB4271-6FC2-458D-BC2B-B75E98C362CE}" type="presParOf" srcId="{EEAE9EF5-C23C-4ADF-9AEB-B8BF05A36DD1}" destId="{B744D3B3-768E-458F-8D31-14EFAF845B0B}" srcOrd="1" destOrd="0" presId="urn:microsoft.com/office/officeart/2005/8/layout/vList5"/>
    <dgm:cxn modelId="{4E959983-72EB-4121-BA66-B7B4988EAEF5}" type="presParOf" srcId="{DB786A3E-165C-4B33-8A30-553D2386E6AB}" destId="{E42E45A5-1151-42C7-8680-DFF1984828D3}" srcOrd="5" destOrd="0" presId="urn:microsoft.com/office/officeart/2005/8/layout/vList5"/>
    <dgm:cxn modelId="{C3A8CB1C-016C-4634-B21F-486562F3FD07}" type="presParOf" srcId="{DB786A3E-165C-4B33-8A30-553D2386E6AB}" destId="{F9A5DDB1-FA1B-46DA-931D-B92A13A0D977}" srcOrd="6" destOrd="0" presId="urn:microsoft.com/office/officeart/2005/8/layout/vList5"/>
    <dgm:cxn modelId="{DAC0DDBB-510D-473E-9DC2-2A595250ED91}" type="presParOf" srcId="{F9A5DDB1-FA1B-46DA-931D-B92A13A0D977}" destId="{311176E3-0F71-4888-9813-DB3EEC16CC52}" srcOrd="0" destOrd="0" presId="urn:microsoft.com/office/officeart/2005/8/layout/vList5"/>
    <dgm:cxn modelId="{C5F48434-A621-4639-965E-4D834444F6A1}" type="presParOf" srcId="{F9A5DDB1-FA1B-46DA-931D-B92A13A0D977}" destId="{9DFB8466-FA32-4CB3-8A53-A7A00D8CB794}" srcOrd="1" destOrd="0" presId="urn:microsoft.com/office/officeart/2005/8/layout/vList5"/>
    <dgm:cxn modelId="{E8590224-F3AC-421D-9169-783B5B1E53B8}" type="presParOf" srcId="{DB786A3E-165C-4B33-8A30-553D2386E6AB}" destId="{AE02CC31-463B-44BA-8688-FA455123DBE8}" srcOrd="7" destOrd="0" presId="urn:microsoft.com/office/officeart/2005/8/layout/vList5"/>
    <dgm:cxn modelId="{3420CA20-BB4E-4D54-820A-CDDB78285330}" type="presParOf" srcId="{DB786A3E-165C-4B33-8A30-553D2386E6AB}" destId="{4BE5A49E-B91D-4AAA-844C-9FA8F74390B3}" srcOrd="8" destOrd="0" presId="urn:microsoft.com/office/officeart/2005/8/layout/vList5"/>
    <dgm:cxn modelId="{700F9DE3-BCB3-4719-908D-C52096BC93CD}" type="presParOf" srcId="{4BE5A49E-B91D-4AAA-844C-9FA8F74390B3}" destId="{09B14A7E-820B-4DDF-BF1F-5842B2511EEF}" srcOrd="0" destOrd="0" presId="urn:microsoft.com/office/officeart/2005/8/layout/vList5"/>
    <dgm:cxn modelId="{F913A0C8-F297-4C1F-9DB0-8586B53D21E0}" type="presParOf" srcId="{4BE5A49E-B91D-4AAA-844C-9FA8F74390B3}" destId="{9D30B5BA-7D9A-4F8C-A47B-50B3B473FB6A}"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E8EBBE-3928-4E8A-9376-A50349727204}">
      <dsp:nvSpPr>
        <dsp:cNvPr id="0" name=""/>
        <dsp:cNvSpPr/>
      </dsp:nvSpPr>
      <dsp:spPr>
        <a:xfrm rot="5400000">
          <a:off x="3217197" y="-979906"/>
          <a:ext cx="1360459" cy="3668166"/>
        </a:xfrm>
        <a:prstGeom prst="round2Same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AU" sz="800" kern="1200"/>
            <a:t>Outline of organisational structure of entity</a:t>
          </a:r>
        </a:p>
        <a:p>
          <a:pPr marL="57150" lvl="1" indent="-57150" algn="l" defTabSz="355600">
            <a:lnSpc>
              <a:spcPct val="90000"/>
            </a:lnSpc>
            <a:spcBef>
              <a:spcPct val="0"/>
            </a:spcBef>
            <a:spcAft>
              <a:spcPct val="15000"/>
            </a:spcAft>
            <a:buChar char="••"/>
          </a:pPr>
          <a:r>
            <a:rPr lang="en-AU" sz="800" kern="1200"/>
            <a:t>List of key people, their role and contact details</a:t>
          </a:r>
        </a:p>
        <a:p>
          <a:pPr marL="57150" lvl="1" indent="-57150" algn="l" defTabSz="355600">
            <a:lnSpc>
              <a:spcPct val="90000"/>
            </a:lnSpc>
            <a:spcBef>
              <a:spcPct val="0"/>
            </a:spcBef>
            <a:spcAft>
              <a:spcPct val="15000"/>
            </a:spcAft>
            <a:buChar char="••"/>
          </a:pPr>
          <a:r>
            <a:rPr lang="en-AU" sz="800" kern="1200"/>
            <a:t>Process for review to keep the plan up to date</a:t>
          </a:r>
        </a:p>
        <a:p>
          <a:pPr marL="57150" lvl="1" indent="-57150" algn="l" defTabSz="355600">
            <a:lnSpc>
              <a:spcPct val="90000"/>
            </a:lnSpc>
            <a:spcBef>
              <a:spcPct val="0"/>
            </a:spcBef>
            <a:spcAft>
              <a:spcPct val="15000"/>
            </a:spcAft>
            <a:buChar char="••"/>
          </a:pPr>
          <a:r>
            <a:rPr lang="en-AU" sz="800" kern="1200"/>
            <a:t>Signed statement acknowledging organisational commitment to the plan</a:t>
          </a:r>
        </a:p>
      </dsp:txBody>
      <dsp:txXfrm rot="-5400000">
        <a:off x="2063344" y="240359"/>
        <a:ext cx="3601754" cy="1227635"/>
      </dsp:txXfrm>
    </dsp:sp>
    <dsp:sp modelId="{44A21C7E-8708-4A96-8B14-3D54540E3CEC}">
      <dsp:nvSpPr>
        <dsp:cNvPr id="0" name=""/>
        <dsp:cNvSpPr/>
      </dsp:nvSpPr>
      <dsp:spPr>
        <a:xfrm>
          <a:off x="0" y="3889"/>
          <a:ext cx="2063343" cy="170057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AU" sz="1700" kern="1200"/>
            <a:t>Outline</a:t>
          </a:r>
        </a:p>
      </dsp:txBody>
      <dsp:txXfrm>
        <a:off x="83015" y="86904"/>
        <a:ext cx="1897313" cy="1534543"/>
      </dsp:txXfrm>
    </dsp:sp>
    <dsp:sp modelId="{3A48B3D0-E2EA-409F-BBC7-3B1431BFBAFD}">
      <dsp:nvSpPr>
        <dsp:cNvPr id="0" name=""/>
        <dsp:cNvSpPr/>
      </dsp:nvSpPr>
      <dsp:spPr>
        <a:xfrm rot="5400000">
          <a:off x="3217197" y="805695"/>
          <a:ext cx="1360459" cy="3668166"/>
        </a:xfrm>
        <a:prstGeom prst="round2SameRect">
          <a:avLst/>
        </a:prstGeom>
        <a:solidFill>
          <a:schemeClr val="accent2">
            <a:tint val="40000"/>
            <a:alpha val="90000"/>
            <a:hueOff val="-565660"/>
            <a:satOff val="4126"/>
            <a:lumOff val="734"/>
            <a:alphaOff val="0"/>
          </a:schemeClr>
        </a:solidFill>
        <a:ln w="12700" cap="flat" cmpd="sng" algn="ctr">
          <a:solidFill>
            <a:schemeClr val="accent2">
              <a:tint val="40000"/>
              <a:alpha val="90000"/>
              <a:hueOff val="-565660"/>
              <a:satOff val="4126"/>
              <a:lumOff val="73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AU" sz="800" kern="1200"/>
            <a:t>Importing frequency</a:t>
          </a:r>
        </a:p>
        <a:p>
          <a:pPr marL="57150" lvl="1" indent="-57150" algn="l" defTabSz="355600">
            <a:lnSpc>
              <a:spcPct val="90000"/>
            </a:lnSpc>
            <a:spcBef>
              <a:spcPct val="0"/>
            </a:spcBef>
            <a:spcAft>
              <a:spcPct val="15000"/>
            </a:spcAft>
            <a:buChar char="••"/>
          </a:pPr>
          <a:r>
            <a:rPr lang="en-AU" sz="800" kern="1200"/>
            <a:t>Volume of capacity to store each MSO product</a:t>
          </a:r>
        </a:p>
        <a:p>
          <a:pPr marL="57150" lvl="1" indent="-57150" algn="l" defTabSz="355600">
            <a:lnSpc>
              <a:spcPct val="90000"/>
            </a:lnSpc>
            <a:spcBef>
              <a:spcPct val="0"/>
            </a:spcBef>
            <a:spcAft>
              <a:spcPct val="15000"/>
            </a:spcAft>
            <a:buChar char="••"/>
          </a:pPr>
          <a:r>
            <a:rPr lang="en-AU" sz="800" kern="1200"/>
            <a:t>Location of facilities that store MSO products</a:t>
          </a:r>
        </a:p>
        <a:p>
          <a:pPr marL="57150" lvl="1" indent="-57150" algn="l" defTabSz="355600">
            <a:lnSpc>
              <a:spcPct val="90000"/>
            </a:lnSpc>
            <a:spcBef>
              <a:spcPct val="0"/>
            </a:spcBef>
            <a:spcAft>
              <a:spcPct val="15000"/>
            </a:spcAft>
            <a:buChar char="••"/>
          </a:pPr>
          <a:r>
            <a:rPr lang="en-AU" sz="800" kern="1200"/>
            <a:t>Details of fluctuations in storage of MSO products</a:t>
          </a:r>
        </a:p>
        <a:p>
          <a:pPr marL="57150" lvl="1" indent="-57150" algn="l" defTabSz="355600">
            <a:lnSpc>
              <a:spcPct val="90000"/>
            </a:lnSpc>
            <a:spcBef>
              <a:spcPct val="0"/>
            </a:spcBef>
            <a:spcAft>
              <a:spcPct val="15000"/>
            </a:spcAft>
            <a:buChar char="••"/>
          </a:pPr>
          <a:r>
            <a:rPr lang="en-AU" sz="800" kern="1200"/>
            <a:t>Details of significant ongoing contracts</a:t>
          </a:r>
        </a:p>
      </dsp:txBody>
      <dsp:txXfrm rot="-5400000">
        <a:off x="2063344" y="2025960"/>
        <a:ext cx="3601754" cy="1227635"/>
      </dsp:txXfrm>
    </dsp:sp>
    <dsp:sp modelId="{9D2C776E-A720-4491-B7B3-FBB5551946C5}">
      <dsp:nvSpPr>
        <dsp:cNvPr id="0" name=""/>
        <dsp:cNvSpPr/>
      </dsp:nvSpPr>
      <dsp:spPr>
        <a:xfrm>
          <a:off x="0" y="1789492"/>
          <a:ext cx="2063343" cy="1700573"/>
        </a:xfrm>
        <a:prstGeom prst="roundRect">
          <a:avLst/>
        </a:prstGeom>
        <a:solidFill>
          <a:schemeClr val="accent2">
            <a:hueOff val="-356215"/>
            <a:satOff val="-7670"/>
            <a:lumOff val="5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AU" sz="1700" kern="1200"/>
            <a:t>Overview of current practices</a:t>
          </a:r>
        </a:p>
      </dsp:txBody>
      <dsp:txXfrm>
        <a:off x="83015" y="1872507"/>
        <a:ext cx="1897313" cy="1534543"/>
      </dsp:txXfrm>
    </dsp:sp>
    <dsp:sp modelId="{B744D3B3-768E-458F-8D31-14EFAF845B0B}">
      <dsp:nvSpPr>
        <dsp:cNvPr id="0" name=""/>
        <dsp:cNvSpPr/>
      </dsp:nvSpPr>
      <dsp:spPr>
        <a:xfrm rot="5400000">
          <a:off x="3217197" y="2591298"/>
          <a:ext cx="1360459" cy="3668166"/>
        </a:xfrm>
        <a:prstGeom prst="round2SameRect">
          <a:avLst/>
        </a:prstGeom>
        <a:solidFill>
          <a:schemeClr val="accent2">
            <a:tint val="40000"/>
            <a:alpha val="90000"/>
            <a:hueOff val="-1131319"/>
            <a:satOff val="8253"/>
            <a:lumOff val="1467"/>
            <a:alphaOff val="0"/>
          </a:schemeClr>
        </a:solidFill>
        <a:ln w="12700" cap="flat" cmpd="sng" algn="ctr">
          <a:solidFill>
            <a:schemeClr val="accent2">
              <a:tint val="40000"/>
              <a:alpha val="90000"/>
              <a:hueOff val="-1131319"/>
              <a:satOff val="8253"/>
              <a:lumOff val="146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AU" sz="800" kern="1200"/>
            <a:t>Steps and strategies taken to comply with MSO, including in the event of non-compliance</a:t>
          </a:r>
        </a:p>
        <a:p>
          <a:pPr marL="57150" lvl="1" indent="-57150" algn="l" defTabSz="355600">
            <a:lnSpc>
              <a:spcPct val="90000"/>
            </a:lnSpc>
            <a:spcBef>
              <a:spcPct val="0"/>
            </a:spcBef>
            <a:spcAft>
              <a:spcPct val="15000"/>
            </a:spcAft>
            <a:buChar char="••"/>
          </a:pPr>
          <a:r>
            <a:rPr lang="en-AU" sz="800" kern="1200"/>
            <a:t>Contingency planning information </a:t>
          </a:r>
        </a:p>
        <a:p>
          <a:pPr marL="57150" lvl="1" indent="-57150" algn="l" defTabSz="355600">
            <a:lnSpc>
              <a:spcPct val="90000"/>
            </a:lnSpc>
            <a:spcBef>
              <a:spcPct val="0"/>
            </a:spcBef>
            <a:spcAft>
              <a:spcPct val="15000"/>
            </a:spcAft>
            <a:buChar char="••"/>
          </a:pPr>
          <a:r>
            <a:rPr lang="en-AU" sz="800" kern="1200"/>
            <a:t>If currently non-compliant, the steps and strategies that are being undertaken to return to compliance and avoid future non-compliance</a:t>
          </a:r>
        </a:p>
        <a:p>
          <a:pPr marL="57150" lvl="1" indent="-57150" algn="l" defTabSz="355600">
            <a:lnSpc>
              <a:spcPct val="90000"/>
            </a:lnSpc>
            <a:spcBef>
              <a:spcPct val="0"/>
            </a:spcBef>
            <a:spcAft>
              <a:spcPct val="15000"/>
            </a:spcAft>
            <a:buChar char="••"/>
          </a:pPr>
          <a:r>
            <a:rPr lang="en-AU" sz="800" kern="1200"/>
            <a:t>Intermediary market approach and processes</a:t>
          </a:r>
        </a:p>
      </dsp:txBody>
      <dsp:txXfrm rot="-5400000">
        <a:off x="2063344" y="3811563"/>
        <a:ext cx="3601754" cy="1227635"/>
      </dsp:txXfrm>
    </dsp:sp>
    <dsp:sp modelId="{989245AA-63F1-472D-A905-6CE7C81542E2}">
      <dsp:nvSpPr>
        <dsp:cNvPr id="0" name=""/>
        <dsp:cNvSpPr/>
      </dsp:nvSpPr>
      <dsp:spPr>
        <a:xfrm>
          <a:off x="0" y="3575094"/>
          <a:ext cx="2063343" cy="1700573"/>
        </a:xfrm>
        <a:prstGeom prst="roundRect">
          <a:avLst/>
        </a:prstGeom>
        <a:solidFill>
          <a:schemeClr val="accent2">
            <a:hueOff val="-712430"/>
            <a:satOff val="-15341"/>
            <a:lumOff val="111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AU" sz="1700" kern="1200"/>
            <a:t>Compliance pathway</a:t>
          </a:r>
        </a:p>
      </dsp:txBody>
      <dsp:txXfrm>
        <a:off x="83015" y="3658109"/>
        <a:ext cx="1897313" cy="1534543"/>
      </dsp:txXfrm>
    </dsp:sp>
    <dsp:sp modelId="{9DFB8466-FA32-4CB3-8A53-A7A00D8CB794}">
      <dsp:nvSpPr>
        <dsp:cNvPr id="0" name=""/>
        <dsp:cNvSpPr/>
      </dsp:nvSpPr>
      <dsp:spPr>
        <a:xfrm rot="5400000">
          <a:off x="3217197" y="4376900"/>
          <a:ext cx="1360459" cy="3668166"/>
        </a:xfrm>
        <a:prstGeom prst="round2SameRect">
          <a:avLst/>
        </a:prstGeom>
        <a:solidFill>
          <a:schemeClr val="accent2">
            <a:tint val="40000"/>
            <a:alpha val="90000"/>
            <a:hueOff val="-1696979"/>
            <a:satOff val="12380"/>
            <a:lumOff val="2201"/>
            <a:alphaOff val="0"/>
          </a:schemeClr>
        </a:solidFill>
        <a:ln w="12700" cap="flat" cmpd="sng" algn="ctr">
          <a:solidFill>
            <a:schemeClr val="accent2">
              <a:tint val="40000"/>
              <a:alpha val="90000"/>
              <a:hueOff val="-1696979"/>
              <a:satOff val="12380"/>
              <a:lumOff val="220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AU" sz="800" kern="1200"/>
            <a:t>Methodology and practise for counting stock</a:t>
          </a:r>
        </a:p>
        <a:p>
          <a:pPr marL="57150" lvl="1" indent="-57150" algn="l" defTabSz="355600">
            <a:lnSpc>
              <a:spcPct val="90000"/>
            </a:lnSpc>
            <a:spcBef>
              <a:spcPct val="0"/>
            </a:spcBef>
            <a:spcAft>
              <a:spcPct val="15000"/>
            </a:spcAft>
            <a:buChar char="••"/>
          </a:pPr>
          <a:r>
            <a:rPr lang="en-AU" sz="800" kern="1200"/>
            <a:t>How to ensure accurate reporting for all stock intended to be counted (including within the EEZ, pipelines and co-located stock)</a:t>
          </a:r>
        </a:p>
        <a:p>
          <a:pPr marL="57150" lvl="1" indent="-57150" algn="l" defTabSz="355600">
            <a:lnSpc>
              <a:spcPct val="90000"/>
            </a:lnSpc>
            <a:spcBef>
              <a:spcPct val="0"/>
            </a:spcBef>
            <a:spcAft>
              <a:spcPct val="15000"/>
            </a:spcAft>
            <a:buChar char="••"/>
          </a:pPr>
          <a:r>
            <a:rPr lang="en-AU" sz="800" kern="1200"/>
            <a:t>Description of the quality assurance process and the reporting approvals required</a:t>
          </a:r>
        </a:p>
        <a:p>
          <a:pPr marL="57150" lvl="1" indent="-57150" algn="l" defTabSz="355600">
            <a:lnSpc>
              <a:spcPct val="90000"/>
            </a:lnSpc>
            <a:spcBef>
              <a:spcPct val="0"/>
            </a:spcBef>
            <a:spcAft>
              <a:spcPct val="15000"/>
            </a:spcAft>
            <a:buChar char="••"/>
          </a:pPr>
          <a:r>
            <a:rPr lang="en-AU" sz="800" kern="1200"/>
            <a:t>The process for advising the Secretary on expected MSO quantities and how reporting of intermediary market stock is managed</a:t>
          </a:r>
        </a:p>
        <a:p>
          <a:pPr marL="57150" lvl="1" indent="-57150" algn="l" defTabSz="355600">
            <a:lnSpc>
              <a:spcPct val="90000"/>
            </a:lnSpc>
            <a:spcBef>
              <a:spcPct val="0"/>
            </a:spcBef>
            <a:spcAft>
              <a:spcPct val="15000"/>
            </a:spcAft>
            <a:buChar char="••"/>
          </a:pPr>
          <a:r>
            <a:rPr lang="en-AU" sz="800" kern="1200"/>
            <a:t>Arrangements for keeping records in an auditable form and how they can be accessed</a:t>
          </a:r>
        </a:p>
      </dsp:txBody>
      <dsp:txXfrm rot="-5400000">
        <a:off x="2063344" y="5597165"/>
        <a:ext cx="3601754" cy="1227635"/>
      </dsp:txXfrm>
    </dsp:sp>
    <dsp:sp modelId="{311176E3-0F71-4888-9813-DB3EEC16CC52}">
      <dsp:nvSpPr>
        <dsp:cNvPr id="0" name=""/>
        <dsp:cNvSpPr/>
      </dsp:nvSpPr>
      <dsp:spPr>
        <a:xfrm>
          <a:off x="0" y="5360697"/>
          <a:ext cx="2063343" cy="1700573"/>
        </a:xfrm>
        <a:prstGeom prst="roundRect">
          <a:avLst/>
        </a:prstGeom>
        <a:solidFill>
          <a:schemeClr val="accent2">
            <a:hueOff val="-1068644"/>
            <a:satOff val="-23011"/>
            <a:lumOff val="16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AU" sz="1700" kern="1200"/>
            <a:t>Data collection, reporting and record keeping</a:t>
          </a:r>
        </a:p>
      </dsp:txBody>
      <dsp:txXfrm>
        <a:off x="83015" y="5443712"/>
        <a:ext cx="1897313" cy="1534543"/>
      </dsp:txXfrm>
    </dsp:sp>
    <dsp:sp modelId="{9D30B5BA-7D9A-4F8C-A47B-50B3B473FB6A}">
      <dsp:nvSpPr>
        <dsp:cNvPr id="0" name=""/>
        <dsp:cNvSpPr/>
      </dsp:nvSpPr>
      <dsp:spPr>
        <a:xfrm rot="5400000">
          <a:off x="3217197" y="6162503"/>
          <a:ext cx="1360459" cy="3668166"/>
        </a:xfrm>
        <a:prstGeom prst="round2SameRect">
          <a:avLst/>
        </a:prstGeom>
        <a:solidFill>
          <a:schemeClr val="accent2">
            <a:tint val="40000"/>
            <a:alpha val="90000"/>
            <a:hueOff val="-2262639"/>
            <a:satOff val="16506"/>
            <a:lumOff val="2935"/>
            <a:alphaOff val="0"/>
          </a:schemeClr>
        </a:solidFill>
        <a:ln w="12700" cap="flat" cmpd="sng" algn="ctr">
          <a:solidFill>
            <a:schemeClr val="accent2">
              <a:tint val="40000"/>
              <a:alpha val="90000"/>
              <a:hueOff val="-2262639"/>
              <a:satOff val="16506"/>
              <a:lumOff val="293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AU" sz="800" kern="1200"/>
            <a:t>Schedules for any known tank, pipeline or refinery outages. eg. for maintenance </a:t>
          </a:r>
        </a:p>
      </dsp:txBody>
      <dsp:txXfrm rot="-5400000">
        <a:off x="2063344" y="7382768"/>
        <a:ext cx="3601754" cy="1227635"/>
      </dsp:txXfrm>
    </dsp:sp>
    <dsp:sp modelId="{09B14A7E-820B-4DDF-BF1F-5842B2511EEF}">
      <dsp:nvSpPr>
        <dsp:cNvPr id="0" name=""/>
        <dsp:cNvSpPr/>
      </dsp:nvSpPr>
      <dsp:spPr>
        <a:xfrm>
          <a:off x="0" y="7146299"/>
          <a:ext cx="2063343" cy="1700573"/>
        </a:xfrm>
        <a:prstGeom prst="roundRect">
          <a:avLst/>
        </a:prstGeom>
        <a:solidFill>
          <a:schemeClr val="accent2">
            <a:hueOff val="-1424859"/>
            <a:satOff val="-30682"/>
            <a:lumOff val="2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AU" sz="1700" kern="1200"/>
            <a:t>Planned/Scheduled Major Outages</a:t>
          </a:r>
        </a:p>
      </dsp:txBody>
      <dsp:txXfrm>
        <a:off x="83015" y="7229314"/>
        <a:ext cx="1897313" cy="153454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EA9495F1294B26A2716C5E67377D4E"/>
        <w:category>
          <w:name w:val="General"/>
          <w:gallery w:val="placeholder"/>
        </w:category>
        <w:types>
          <w:type w:val="bbPlcHdr"/>
        </w:types>
        <w:behaviors>
          <w:behavior w:val="content"/>
        </w:behaviors>
        <w:guid w:val="{72CD745B-0B74-4536-822A-CF109B0B94FF}"/>
      </w:docPartPr>
      <w:docPartBody>
        <w:p w:rsidR="00BC59D6" w:rsidRDefault="00BC59D6">
          <w:pPr>
            <w:pStyle w:val="72EA9495F1294B26A2716C5E67377D4E"/>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D6"/>
    <w:rsid w:val="00043B8C"/>
    <w:rsid w:val="00110315"/>
    <w:rsid w:val="001465D1"/>
    <w:rsid w:val="001A0C0E"/>
    <w:rsid w:val="001A41CD"/>
    <w:rsid w:val="001C5D80"/>
    <w:rsid w:val="002928E6"/>
    <w:rsid w:val="00296EE5"/>
    <w:rsid w:val="00314B7E"/>
    <w:rsid w:val="00346B0E"/>
    <w:rsid w:val="004546DC"/>
    <w:rsid w:val="004C3C8A"/>
    <w:rsid w:val="00516838"/>
    <w:rsid w:val="00690B8D"/>
    <w:rsid w:val="006A1503"/>
    <w:rsid w:val="006F2C74"/>
    <w:rsid w:val="007111FC"/>
    <w:rsid w:val="007420F6"/>
    <w:rsid w:val="0076120E"/>
    <w:rsid w:val="007C540D"/>
    <w:rsid w:val="00871AFB"/>
    <w:rsid w:val="008E1DC6"/>
    <w:rsid w:val="008E6B48"/>
    <w:rsid w:val="00954045"/>
    <w:rsid w:val="009D339F"/>
    <w:rsid w:val="00A92C53"/>
    <w:rsid w:val="00B44658"/>
    <w:rsid w:val="00B47C66"/>
    <w:rsid w:val="00BC59D6"/>
    <w:rsid w:val="00C74A9C"/>
    <w:rsid w:val="00D61F11"/>
    <w:rsid w:val="00DE2FE9"/>
    <w:rsid w:val="00EA5D6D"/>
    <w:rsid w:val="00F16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EA9495F1294B26A2716C5E67377D4E">
    <w:name w:val="72EA9495F1294B26A2716C5E67377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14</Value>
      <Value>6</Value>
    </TaxCatchAll>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504420310318f38fe6dbf636560b313c">
  <xsd:schema xmlns:xsd="http://www.w3.org/2001/XMLSchema" xmlns:xs="http://www.w3.org/2001/XMLSchema" xmlns:p="http://schemas.microsoft.com/office/2006/metadata/properties" xmlns:ns1="http://schemas.microsoft.com/sharepoint/v3" xmlns:ns2="a36bd50b-1532-4c22-b385-5c082c960938" xmlns:ns3="http://schemas.microsoft.com/sharepoint/v4" xmlns:ns4="45b2e695-1792-485e-89e0-1e9284144441" targetNamespace="http://schemas.microsoft.com/office/2006/metadata/properties" ma:root="true" ma:fieldsID="4f549d0585a036c0d1cad5137f0bd946" ns1:_="" ns2:_="" ns3:_="" ns4:_="">
    <xsd:import namespace="http://schemas.microsoft.com/sharepoint/v3"/>
    <xsd:import namespace="a36bd50b-1532-4c22-b385-5c082c960938"/>
    <xsd:import namespace="http://schemas.microsoft.com/sharepoint/v4"/>
    <xsd:import namespace="45b2e695-1792-485e-89e0-1e928414444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fb05c7bd-122c-45c5-a4ff-f373218121b7}" ma:internalName="TaxCatchAll" ma:showField="CatchAllData" ma:web="45b2e695-1792-485e-89e0-1e928414444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11e0090-b7f1-4eb5-8270-2f011ad855c4"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b2e695-1792-485e-89e0-1e9284144441"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9AB4-4499-4869-80A2-EB9AB10E4520}">
  <ds:schemaRefs>
    <ds:schemaRef ds:uri="http://schemas.microsoft.com/sharepoint/events"/>
  </ds:schemaRefs>
</ds:datastoreItem>
</file>

<file path=customXml/itemProps2.xml><?xml version="1.0" encoding="utf-8"?>
<ds:datastoreItem xmlns:ds="http://schemas.openxmlformats.org/officeDocument/2006/customXml" ds:itemID="{7FAF50F2-E9B4-46A0-ACBE-F0366A01C6CD}">
  <ds:schemaRefs>
    <ds:schemaRef ds:uri="http://schemas.microsoft.com/sharepoint/v3/contenttype/forms"/>
  </ds:schemaRefs>
</ds:datastoreItem>
</file>

<file path=customXml/itemProps3.xml><?xml version="1.0" encoding="utf-8"?>
<ds:datastoreItem xmlns:ds="http://schemas.openxmlformats.org/officeDocument/2006/customXml" ds:itemID="{2E51AA93-6A13-48B1-BF42-0F9C602B1BB5}">
  <ds:schemaRef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b2e695-1792-485e-89e0-1e9284144441"/>
    <ds:schemaRef ds:uri="http://www.w3.org/XML/1998/namespace"/>
    <ds:schemaRef ds:uri="http://purl.org/dc/dcmitype/"/>
  </ds:schemaRefs>
</ds:datastoreItem>
</file>

<file path=customXml/itemProps4.xml><?xml version="1.0" encoding="utf-8"?>
<ds:datastoreItem xmlns:ds="http://schemas.openxmlformats.org/officeDocument/2006/customXml" ds:itemID="{CAC9FCD9-F39E-47E6-9429-5865BCBF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http://schemas.microsoft.com/sharepoint/v4"/>
    <ds:schemaRef ds:uri="45b2e695-1792-485e-89e0-1e9284144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D92E2C-F561-44C1-B164-60CD23A0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Report colour</Template>
  <TotalTime>0</TotalTime>
  <Pages>10</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Minimum Stockholding Obligation (MSO)</vt:lpstr>
    </vt:vector>
  </TitlesOfParts>
  <Manager/>
  <Company/>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Stockholding Obligation (MSO)</dc:title>
  <dc:subject/>
  <dc:creator/>
  <cp:keywords/>
  <dc:description/>
  <cp:lastModifiedBy/>
  <cp:revision>1</cp:revision>
  <dcterms:created xsi:type="dcterms:W3CDTF">2022-01-26T21:41:00Z</dcterms:created>
  <dcterms:modified xsi:type="dcterms:W3CDTF">2022-01-27T01:20:00Z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DocumentType">
    <vt:lpwstr>6;#Report|116a9244-cef6-47ce-a9a5-088c9cf21292</vt:lpwstr>
  </property>
  <property fmtid="{D5CDD505-2E9C-101B-9397-08002B2CF9AE}" pid="5" name="DocHub_SecurityClassification">
    <vt:lpwstr>14;#OFFICIAL:Sensitive|11f6fb0b-52ce-4109-8f7f-521b2a62f692</vt:lpwstr>
  </property>
  <property fmtid="{D5CDD505-2E9C-101B-9397-08002B2CF9AE}" pid="6" name="DocHub_Keywords">
    <vt:lpwstr/>
  </property>
  <property fmtid="{D5CDD505-2E9C-101B-9397-08002B2CF9AE}" pid="7" name="DocHub_WorkActivity">
    <vt:lpwstr/>
  </property>
</Properties>
</file>