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EDC8D" w14:textId="1E80A7DF" w:rsidR="000611C3" w:rsidRPr="000611C3" w:rsidRDefault="00D636C3" w:rsidP="000611C3">
      <w:pPr>
        <w:spacing w:after="200" w:line="276"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DRAFT </w:t>
      </w:r>
      <w:r w:rsidR="000611C3" w:rsidRPr="000611C3">
        <w:rPr>
          <w:rFonts w:ascii="Times New Roman" w:eastAsia="Calibri" w:hAnsi="Times New Roman" w:cs="Times New Roman"/>
          <w:b/>
          <w:sz w:val="24"/>
          <w:szCs w:val="24"/>
          <w:u w:val="single"/>
        </w:rPr>
        <w:t>EXPLANATORY STATEMENT</w:t>
      </w:r>
    </w:p>
    <w:p w14:paraId="519FE783" w14:textId="5C6858EE" w:rsidR="000611C3" w:rsidRPr="000611C3" w:rsidRDefault="000611C3" w:rsidP="000611C3">
      <w:pPr>
        <w:spacing w:before="240" w:after="240" w:line="276" w:lineRule="auto"/>
        <w:jc w:val="center"/>
        <w:rPr>
          <w:rFonts w:ascii="Times New Roman" w:eastAsia="Calibri" w:hAnsi="Times New Roman" w:cs="Times New Roman"/>
          <w:sz w:val="24"/>
          <w:szCs w:val="24"/>
          <w:u w:val="single"/>
        </w:rPr>
      </w:pPr>
      <w:r w:rsidRPr="000611C3">
        <w:rPr>
          <w:rFonts w:ascii="Times New Roman" w:eastAsia="Calibri" w:hAnsi="Times New Roman" w:cs="Times New Roman"/>
          <w:sz w:val="24"/>
          <w:szCs w:val="24"/>
          <w:u w:val="single"/>
        </w:rPr>
        <w:t xml:space="preserve">Issued by the authority of the Minister for </w:t>
      </w:r>
      <w:r w:rsidR="00962201">
        <w:rPr>
          <w:rFonts w:ascii="Times New Roman" w:eastAsia="Calibri" w:hAnsi="Times New Roman" w:cs="Times New Roman"/>
          <w:sz w:val="24"/>
          <w:szCs w:val="24"/>
          <w:u w:val="single"/>
        </w:rPr>
        <w:t xml:space="preserve">Industry, </w:t>
      </w:r>
      <w:r w:rsidRPr="000611C3">
        <w:rPr>
          <w:rFonts w:ascii="Times New Roman" w:eastAsia="Calibri" w:hAnsi="Times New Roman" w:cs="Times New Roman"/>
          <w:sz w:val="24"/>
          <w:szCs w:val="24"/>
          <w:u w:val="single"/>
        </w:rPr>
        <w:t>Energy and Emissions Reduction</w:t>
      </w:r>
    </w:p>
    <w:p w14:paraId="7E8161B4" w14:textId="7AE68729" w:rsidR="000611C3" w:rsidRPr="00DF3626" w:rsidRDefault="000611C3" w:rsidP="000611C3">
      <w:pPr>
        <w:spacing w:before="240" w:after="240" w:line="276" w:lineRule="auto"/>
        <w:jc w:val="center"/>
        <w:rPr>
          <w:rFonts w:ascii="Times New Roman" w:eastAsia="Calibri" w:hAnsi="Times New Roman" w:cs="Times New Roman"/>
          <w:i/>
          <w:sz w:val="24"/>
          <w:szCs w:val="24"/>
        </w:rPr>
      </w:pPr>
      <w:r w:rsidRPr="00DF3626">
        <w:rPr>
          <w:rFonts w:ascii="Times New Roman" w:eastAsia="Calibri" w:hAnsi="Times New Roman" w:cs="Times New Roman"/>
          <w:i/>
          <w:sz w:val="24"/>
          <w:szCs w:val="24"/>
        </w:rPr>
        <w:t>Petroleum and Other Fuels Reporting Act 2017</w:t>
      </w:r>
    </w:p>
    <w:p w14:paraId="448E43C8" w14:textId="299C9A52" w:rsidR="000611C3" w:rsidRPr="00DF3626" w:rsidRDefault="000611C3" w:rsidP="000611C3">
      <w:pPr>
        <w:spacing w:before="240" w:after="240" w:line="276" w:lineRule="auto"/>
        <w:jc w:val="center"/>
        <w:rPr>
          <w:rFonts w:ascii="Times New Roman" w:eastAsia="Calibri" w:hAnsi="Times New Roman" w:cs="Times New Roman"/>
          <w:i/>
          <w:sz w:val="24"/>
          <w:szCs w:val="24"/>
        </w:rPr>
      </w:pPr>
      <w:r w:rsidRPr="00DF3626">
        <w:rPr>
          <w:rFonts w:ascii="Times New Roman" w:eastAsia="Calibri" w:hAnsi="Times New Roman" w:cs="Times New Roman"/>
          <w:i/>
          <w:sz w:val="24"/>
          <w:szCs w:val="24"/>
        </w:rPr>
        <w:t>Petroleum and Other Fuels Reporting Amendment (</w:t>
      </w:r>
      <w:r w:rsidR="00A9111C">
        <w:rPr>
          <w:rFonts w:ascii="Times New Roman" w:eastAsia="Calibri" w:hAnsi="Times New Roman" w:cs="Times New Roman"/>
          <w:i/>
          <w:sz w:val="24"/>
          <w:szCs w:val="24"/>
        </w:rPr>
        <w:t>Minimum Stockholding Obligation) Rule</w:t>
      </w:r>
      <w:r w:rsidR="0000564E">
        <w:rPr>
          <w:rFonts w:ascii="Times New Roman" w:eastAsia="Calibri" w:hAnsi="Times New Roman" w:cs="Times New Roman"/>
          <w:i/>
          <w:sz w:val="24"/>
          <w:szCs w:val="24"/>
        </w:rPr>
        <w:t>s</w:t>
      </w:r>
      <w:r w:rsidR="00A9111C">
        <w:rPr>
          <w:rFonts w:ascii="Times New Roman" w:eastAsia="Calibri" w:hAnsi="Times New Roman" w:cs="Times New Roman"/>
          <w:i/>
          <w:sz w:val="24"/>
          <w:szCs w:val="24"/>
        </w:rPr>
        <w:t xml:space="preserve"> 2022</w:t>
      </w:r>
    </w:p>
    <w:p w14:paraId="20CB2035" w14:textId="77777777" w:rsidR="000611C3" w:rsidRPr="000611C3" w:rsidRDefault="000611C3" w:rsidP="000611C3">
      <w:pPr>
        <w:spacing w:before="240" w:after="240" w:line="276" w:lineRule="auto"/>
        <w:rPr>
          <w:rFonts w:ascii="Times New Roman" w:eastAsia="Calibri" w:hAnsi="Times New Roman" w:cs="Times New Roman"/>
          <w:b/>
          <w:sz w:val="24"/>
          <w:szCs w:val="24"/>
          <w:u w:val="single"/>
        </w:rPr>
      </w:pPr>
      <w:r w:rsidRPr="000611C3">
        <w:rPr>
          <w:rFonts w:ascii="Times New Roman" w:eastAsia="Calibri" w:hAnsi="Times New Roman" w:cs="Times New Roman"/>
          <w:b/>
          <w:sz w:val="24"/>
          <w:szCs w:val="24"/>
          <w:u w:val="single"/>
        </w:rPr>
        <w:t>Purpose and Operation</w:t>
      </w:r>
    </w:p>
    <w:p w14:paraId="03DB1C2B" w14:textId="1DAF2DB0" w:rsidR="00366DEE" w:rsidRDefault="000611C3" w:rsidP="000611C3">
      <w:pPr>
        <w:spacing w:before="120" w:after="12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 xml:space="preserve">The </w:t>
      </w:r>
      <w:r>
        <w:rPr>
          <w:rFonts w:ascii="Times New Roman" w:eastAsia="Calibri" w:hAnsi="Times New Roman" w:cs="Times New Roman"/>
          <w:i/>
          <w:sz w:val="24"/>
          <w:szCs w:val="24"/>
        </w:rPr>
        <w:t>Petroleum and Other Fuels Reporting Amendment (</w:t>
      </w:r>
      <w:r w:rsidR="00A9111C">
        <w:rPr>
          <w:rFonts w:ascii="Times New Roman" w:eastAsia="Calibri" w:hAnsi="Times New Roman" w:cs="Times New Roman"/>
          <w:i/>
          <w:sz w:val="24"/>
          <w:szCs w:val="24"/>
        </w:rPr>
        <w:t>Minimum Stockholding Obligation</w:t>
      </w:r>
      <w:r>
        <w:rPr>
          <w:rFonts w:ascii="Times New Roman" w:eastAsia="Calibri" w:hAnsi="Times New Roman" w:cs="Times New Roman"/>
          <w:i/>
          <w:sz w:val="24"/>
          <w:szCs w:val="24"/>
        </w:rPr>
        <w:t>)</w:t>
      </w:r>
      <w:r w:rsidRPr="000611C3">
        <w:rPr>
          <w:rFonts w:ascii="Times New Roman" w:eastAsia="Calibri" w:hAnsi="Times New Roman" w:cs="Times New Roman"/>
          <w:i/>
          <w:sz w:val="24"/>
          <w:szCs w:val="24"/>
        </w:rPr>
        <w:t xml:space="preserve"> Rule</w:t>
      </w:r>
      <w:r w:rsidR="0000564E">
        <w:rPr>
          <w:rFonts w:ascii="Times New Roman" w:eastAsia="Calibri" w:hAnsi="Times New Roman" w:cs="Times New Roman"/>
          <w:i/>
          <w:sz w:val="24"/>
          <w:szCs w:val="24"/>
        </w:rPr>
        <w:t>s</w:t>
      </w:r>
      <w:r w:rsidRPr="000611C3">
        <w:rPr>
          <w:rFonts w:ascii="Times New Roman" w:eastAsia="Calibri" w:hAnsi="Times New Roman" w:cs="Times New Roman"/>
          <w:i/>
          <w:sz w:val="24"/>
          <w:szCs w:val="24"/>
        </w:rPr>
        <w:t xml:space="preserve"> </w:t>
      </w:r>
      <w:r w:rsidR="00BA5696" w:rsidRPr="000611C3">
        <w:rPr>
          <w:rFonts w:ascii="Times New Roman" w:eastAsia="Calibri" w:hAnsi="Times New Roman" w:cs="Times New Roman"/>
          <w:i/>
          <w:sz w:val="24"/>
          <w:szCs w:val="24"/>
        </w:rPr>
        <w:t>202</w:t>
      </w:r>
      <w:r w:rsidR="00BA5696">
        <w:rPr>
          <w:rFonts w:ascii="Times New Roman" w:eastAsia="Calibri" w:hAnsi="Times New Roman" w:cs="Times New Roman"/>
          <w:i/>
          <w:sz w:val="24"/>
          <w:szCs w:val="24"/>
        </w:rPr>
        <w:t>2</w:t>
      </w:r>
      <w:r w:rsidR="00BA5696" w:rsidRPr="000611C3">
        <w:rPr>
          <w:rFonts w:ascii="Times New Roman" w:eastAsia="Calibri" w:hAnsi="Times New Roman" w:cs="Times New Roman"/>
          <w:sz w:val="24"/>
          <w:szCs w:val="24"/>
        </w:rPr>
        <w:t xml:space="preserve"> </w:t>
      </w:r>
      <w:r w:rsidRPr="000611C3">
        <w:rPr>
          <w:rFonts w:ascii="Times New Roman" w:eastAsia="Calibri" w:hAnsi="Times New Roman" w:cs="Times New Roman"/>
          <w:sz w:val="24"/>
          <w:szCs w:val="24"/>
        </w:rPr>
        <w:t>(the Rule</w:t>
      </w:r>
      <w:r w:rsidR="0000564E">
        <w:rPr>
          <w:rFonts w:ascii="Times New Roman" w:eastAsia="Calibri" w:hAnsi="Times New Roman" w:cs="Times New Roman"/>
          <w:sz w:val="24"/>
          <w:szCs w:val="24"/>
        </w:rPr>
        <w:t>s</w:t>
      </w:r>
      <w:r w:rsidRPr="000611C3">
        <w:rPr>
          <w:rFonts w:ascii="Times New Roman" w:eastAsia="Calibri" w:hAnsi="Times New Roman" w:cs="Times New Roman"/>
          <w:sz w:val="24"/>
          <w:szCs w:val="24"/>
        </w:rPr>
        <w:t xml:space="preserve">) </w:t>
      </w:r>
      <w:r w:rsidR="0037380B">
        <w:rPr>
          <w:rFonts w:ascii="Times New Roman" w:eastAsia="Calibri" w:hAnsi="Times New Roman" w:cs="Times New Roman"/>
          <w:sz w:val="24"/>
          <w:szCs w:val="24"/>
        </w:rPr>
        <w:t xml:space="preserve">amend the </w:t>
      </w:r>
      <w:r w:rsidR="0037380B" w:rsidRPr="0037380B">
        <w:rPr>
          <w:rFonts w:ascii="Times New Roman" w:eastAsia="Calibri" w:hAnsi="Times New Roman" w:cs="Times New Roman"/>
          <w:i/>
          <w:sz w:val="24"/>
          <w:szCs w:val="24"/>
        </w:rPr>
        <w:t>Petroleum and Other Fuels Reporting Rules 2017</w:t>
      </w:r>
      <w:r w:rsidR="0037380B">
        <w:rPr>
          <w:rFonts w:ascii="Times New Roman" w:eastAsia="Calibri" w:hAnsi="Times New Roman" w:cs="Times New Roman"/>
          <w:sz w:val="24"/>
          <w:szCs w:val="24"/>
        </w:rPr>
        <w:t xml:space="preserve"> (the principal POFR Rules) by prescribing</w:t>
      </w:r>
      <w:r w:rsidRPr="0037380B">
        <w:rPr>
          <w:rFonts w:ascii="Times New Roman" w:eastAsia="Calibri" w:hAnsi="Times New Roman" w:cs="Times New Roman"/>
          <w:sz w:val="24"/>
          <w:szCs w:val="24"/>
        </w:rPr>
        <w:t xml:space="preserve"> various matters for the purposes of the </w:t>
      </w:r>
      <w:r w:rsidR="00A9111C">
        <w:rPr>
          <w:rFonts w:ascii="Times New Roman" w:eastAsia="Calibri" w:hAnsi="Times New Roman" w:cs="Times New Roman"/>
          <w:sz w:val="24"/>
          <w:szCs w:val="24"/>
        </w:rPr>
        <w:t>minimum stockholding obligation</w:t>
      </w:r>
      <w:r w:rsidRPr="0037380B">
        <w:rPr>
          <w:rFonts w:ascii="Times New Roman" w:eastAsia="Calibri" w:hAnsi="Times New Roman" w:cs="Times New Roman"/>
          <w:sz w:val="24"/>
          <w:szCs w:val="24"/>
        </w:rPr>
        <w:t xml:space="preserve"> </w:t>
      </w:r>
      <w:r w:rsidR="0037380B" w:rsidRPr="0037380B">
        <w:rPr>
          <w:rFonts w:ascii="Times New Roman" w:eastAsia="Calibri" w:hAnsi="Times New Roman" w:cs="Times New Roman"/>
          <w:sz w:val="24"/>
          <w:szCs w:val="24"/>
        </w:rPr>
        <w:t>(</w:t>
      </w:r>
      <w:r w:rsidR="00A9111C">
        <w:rPr>
          <w:rFonts w:ascii="Times New Roman" w:eastAsia="Calibri" w:hAnsi="Times New Roman" w:cs="Times New Roman"/>
          <w:sz w:val="24"/>
          <w:szCs w:val="24"/>
        </w:rPr>
        <w:t>MSO</w:t>
      </w:r>
      <w:r w:rsidR="0037380B" w:rsidRPr="0037380B">
        <w:rPr>
          <w:rFonts w:ascii="Times New Roman" w:eastAsia="Calibri" w:hAnsi="Times New Roman" w:cs="Times New Roman"/>
          <w:sz w:val="24"/>
          <w:szCs w:val="24"/>
        </w:rPr>
        <w:t xml:space="preserve">) </w:t>
      </w:r>
      <w:r w:rsidR="00DD1E68">
        <w:rPr>
          <w:rFonts w:ascii="Times New Roman" w:eastAsia="Calibri" w:hAnsi="Times New Roman" w:cs="Times New Roman"/>
          <w:sz w:val="24"/>
          <w:szCs w:val="24"/>
        </w:rPr>
        <w:t xml:space="preserve">reporting </w:t>
      </w:r>
      <w:r w:rsidRPr="0037380B">
        <w:rPr>
          <w:rFonts w:ascii="Times New Roman" w:eastAsia="Calibri" w:hAnsi="Times New Roman" w:cs="Times New Roman"/>
          <w:sz w:val="24"/>
          <w:szCs w:val="24"/>
        </w:rPr>
        <w:t xml:space="preserve">aspects of the </w:t>
      </w:r>
      <w:r w:rsidRPr="0037380B">
        <w:rPr>
          <w:rFonts w:ascii="Times New Roman" w:eastAsia="Calibri" w:hAnsi="Times New Roman" w:cs="Times New Roman"/>
          <w:i/>
          <w:sz w:val="24"/>
          <w:szCs w:val="24"/>
        </w:rPr>
        <w:t>Petroleum</w:t>
      </w:r>
      <w:r w:rsidRPr="000611C3">
        <w:rPr>
          <w:rFonts w:ascii="Times New Roman" w:eastAsia="Calibri" w:hAnsi="Times New Roman" w:cs="Times New Roman"/>
          <w:i/>
          <w:sz w:val="24"/>
          <w:szCs w:val="24"/>
        </w:rPr>
        <w:t xml:space="preserve"> and Other Fuels Reporting Act 2017</w:t>
      </w:r>
      <w:r w:rsidRPr="000611C3">
        <w:rPr>
          <w:rFonts w:ascii="Times New Roman" w:eastAsia="Calibri" w:hAnsi="Times New Roman" w:cs="Times New Roman"/>
          <w:sz w:val="24"/>
          <w:szCs w:val="24"/>
        </w:rPr>
        <w:t xml:space="preserve"> (</w:t>
      </w:r>
      <w:r w:rsidR="00366DEE">
        <w:rPr>
          <w:rFonts w:ascii="Times New Roman" w:eastAsia="Calibri" w:hAnsi="Times New Roman" w:cs="Times New Roman"/>
          <w:sz w:val="24"/>
          <w:szCs w:val="24"/>
        </w:rPr>
        <w:t xml:space="preserve">POFR </w:t>
      </w:r>
      <w:r w:rsidRPr="000611C3">
        <w:rPr>
          <w:rFonts w:ascii="Times New Roman" w:eastAsia="Calibri" w:hAnsi="Times New Roman" w:cs="Times New Roman"/>
          <w:sz w:val="24"/>
          <w:szCs w:val="24"/>
        </w:rPr>
        <w:t>Act)</w:t>
      </w:r>
      <w:r w:rsidR="002317BA">
        <w:rPr>
          <w:rFonts w:ascii="Times New Roman" w:eastAsia="Calibri" w:hAnsi="Times New Roman" w:cs="Times New Roman"/>
          <w:sz w:val="24"/>
          <w:szCs w:val="24"/>
        </w:rPr>
        <w:t>.</w:t>
      </w:r>
    </w:p>
    <w:p w14:paraId="19A09A26" w14:textId="0532C7A2" w:rsidR="000611C3" w:rsidRPr="000611C3" w:rsidRDefault="002317BA" w:rsidP="000611C3">
      <w:pPr>
        <w:spacing w:before="120" w:after="120" w:line="276" w:lineRule="auto"/>
        <w:rPr>
          <w:rFonts w:ascii="Times New Roman" w:eastAsia="Calibri" w:hAnsi="Times New Roman" w:cs="Times New Roman"/>
          <w:sz w:val="24"/>
          <w:szCs w:val="24"/>
        </w:rPr>
      </w:pPr>
      <w:r>
        <w:rPr>
          <w:rFonts w:ascii="Times New Roman" w:eastAsia="Calibri" w:hAnsi="Times New Roman" w:cs="Times New Roman"/>
          <w:sz w:val="24"/>
          <w:szCs w:val="24"/>
        </w:rPr>
        <w:t>In particular, the</w:t>
      </w:r>
      <w:r w:rsidR="000611C3" w:rsidRPr="000611C3">
        <w:rPr>
          <w:rFonts w:ascii="Times New Roman" w:eastAsia="Calibri" w:hAnsi="Times New Roman" w:cs="Times New Roman"/>
          <w:sz w:val="24"/>
          <w:szCs w:val="24"/>
        </w:rPr>
        <w:t xml:space="preserve"> Rule</w:t>
      </w:r>
      <w:r w:rsidR="00962201">
        <w:rPr>
          <w:rFonts w:ascii="Times New Roman" w:eastAsia="Calibri" w:hAnsi="Times New Roman" w:cs="Times New Roman"/>
          <w:sz w:val="24"/>
          <w:szCs w:val="24"/>
        </w:rPr>
        <w:t>s</w:t>
      </w:r>
      <w:r w:rsidR="000611C3" w:rsidRPr="000611C3">
        <w:rPr>
          <w:rFonts w:ascii="Times New Roman" w:eastAsia="Calibri" w:hAnsi="Times New Roman" w:cs="Times New Roman"/>
          <w:sz w:val="24"/>
          <w:szCs w:val="24"/>
        </w:rPr>
        <w:t xml:space="preserve"> </w:t>
      </w:r>
      <w:r w:rsidR="00366DEE">
        <w:rPr>
          <w:rFonts w:ascii="Times New Roman" w:eastAsia="Calibri" w:hAnsi="Times New Roman" w:cs="Times New Roman"/>
          <w:sz w:val="24"/>
          <w:szCs w:val="24"/>
        </w:rPr>
        <w:t>amend the principal POFR Rules by</w:t>
      </w:r>
      <w:r w:rsidR="0037380B">
        <w:rPr>
          <w:rFonts w:ascii="Times New Roman" w:eastAsia="Calibri" w:hAnsi="Times New Roman" w:cs="Times New Roman"/>
          <w:sz w:val="24"/>
          <w:szCs w:val="24"/>
        </w:rPr>
        <w:t xml:space="preserve"> inserting</w:t>
      </w:r>
      <w:r w:rsidR="000611C3" w:rsidRPr="000611C3">
        <w:rPr>
          <w:rFonts w:ascii="Times New Roman" w:eastAsia="Calibri" w:hAnsi="Times New Roman" w:cs="Times New Roman"/>
          <w:sz w:val="24"/>
          <w:szCs w:val="24"/>
        </w:rPr>
        <w:t>:</w:t>
      </w:r>
    </w:p>
    <w:p w14:paraId="414669F0" w14:textId="12B9F4E0" w:rsidR="000611C3" w:rsidRPr="0037380B" w:rsidRDefault="0037380B" w:rsidP="0037380B">
      <w:pPr>
        <w:numPr>
          <w:ilvl w:val="0"/>
          <w:numId w:val="4"/>
        </w:numPr>
        <w:spacing w:before="120" w:after="12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new </w:t>
      </w:r>
      <w:r w:rsidR="00366DEE" w:rsidRPr="0037380B">
        <w:rPr>
          <w:rFonts w:ascii="Times New Roman" w:eastAsia="Calibri" w:hAnsi="Times New Roman" w:cs="Times New Roman"/>
          <w:sz w:val="24"/>
          <w:szCs w:val="24"/>
        </w:rPr>
        <w:t xml:space="preserve">definitions of </w:t>
      </w:r>
      <w:r w:rsidR="009F7B1D">
        <w:rPr>
          <w:rFonts w:ascii="Times New Roman" w:eastAsia="Calibri" w:hAnsi="Times New Roman" w:cs="Times New Roman"/>
          <w:sz w:val="24"/>
          <w:szCs w:val="24"/>
        </w:rPr>
        <w:t xml:space="preserve">several </w:t>
      </w:r>
      <w:r w:rsidR="00366DEE" w:rsidRPr="0037380B">
        <w:rPr>
          <w:rFonts w:ascii="Times New Roman" w:eastAsia="Calibri" w:hAnsi="Times New Roman" w:cs="Times New Roman"/>
          <w:sz w:val="24"/>
          <w:szCs w:val="24"/>
        </w:rPr>
        <w:t xml:space="preserve">terms </w:t>
      </w:r>
      <w:r w:rsidRPr="0037380B">
        <w:rPr>
          <w:rFonts w:ascii="Times New Roman" w:eastAsia="Calibri" w:hAnsi="Times New Roman" w:cs="Times New Roman"/>
          <w:sz w:val="24"/>
          <w:szCs w:val="24"/>
        </w:rPr>
        <w:t xml:space="preserve">to ensure </w:t>
      </w:r>
      <w:r w:rsidR="009F7B1D">
        <w:rPr>
          <w:rFonts w:ascii="Times New Roman" w:eastAsia="Calibri" w:hAnsi="Times New Roman" w:cs="Times New Roman"/>
          <w:sz w:val="24"/>
          <w:szCs w:val="24"/>
        </w:rPr>
        <w:t xml:space="preserve">key </w:t>
      </w:r>
      <w:r w:rsidRPr="0037380B">
        <w:rPr>
          <w:rFonts w:ascii="Times New Roman" w:eastAsia="Calibri" w:hAnsi="Times New Roman" w:cs="Times New Roman"/>
          <w:sz w:val="24"/>
          <w:szCs w:val="24"/>
        </w:rPr>
        <w:t>terminology is defined consistently across the</w:t>
      </w:r>
      <w:r>
        <w:rPr>
          <w:rFonts w:ascii="Times New Roman" w:eastAsia="Calibri" w:hAnsi="Times New Roman" w:cs="Times New Roman"/>
          <w:sz w:val="24"/>
          <w:szCs w:val="24"/>
        </w:rPr>
        <w:t xml:space="preserve"> </w:t>
      </w:r>
      <w:r w:rsidR="0005660A">
        <w:rPr>
          <w:rFonts w:ascii="Times New Roman" w:eastAsia="Calibri" w:hAnsi="Times New Roman" w:cs="Times New Roman"/>
          <w:sz w:val="24"/>
          <w:szCs w:val="24"/>
        </w:rPr>
        <w:t>laws establishing</w:t>
      </w:r>
      <w:r w:rsidRPr="0037380B">
        <w:rPr>
          <w:rFonts w:ascii="Times New Roman" w:eastAsia="Calibri" w:hAnsi="Times New Roman" w:cs="Times New Roman"/>
          <w:sz w:val="24"/>
          <w:szCs w:val="24"/>
        </w:rPr>
        <w:t xml:space="preserve"> the </w:t>
      </w:r>
      <w:r w:rsidR="00A9111C">
        <w:rPr>
          <w:rFonts w:ascii="Times New Roman" w:eastAsia="Calibri" w:hAnsi="Times New Roman" w:cs="Times New Roman"/>
          <w:sz w:val="24"/>
          <w:szCs w:val="24"/>
        </w:rPr>
        <w:t>MSO</w:t>
      </w:r>
      <w:r w:rsidRPr="0037380B">
        <w:rPr>
          <w:rFonts w:ascii="Times New Roman" w:eastAsia="Calibri" w:hAnsi="Times New Roman" w:cs="Times New Roman"/>
          <w:sz w:val="24"/>
          <w:szCs w:val="24"/>
        </w:rPr>
        <w:t xml:space="preserve"> scheme, including under the </w:t>
      </w:r>
      <w:r w:rsidRPr="0037380B">
        <w:rPr>
          <w:rFonts w:ascii="Times New Roman" w:eastAsia="Calibri" w:hAnsi="Times New Roman" w:cs="Times New Roman"/>
          <w:i/>
          <w:sz w:val="24"/>
          <w:szCs w:val="24"/>
        </w:rPr>
        <w:t xml:space="preserve">Fuel Security Act 2021 </w:t>
      </w:r>
      <w:r w:rsidRPr="0037380B">
        <w:rPr>
          <w:rFonts w:ascii="Times New Roman" w:eastAsia="Calibri" w:hAnsi="Times New Roman" w:cs="Times New Roman"/>
          <w:sz w:val="24"/>
          <w:szCs w:val="24"/>
        </w:rPr>
        <w:t xml:space="preserve">(FS Act), the </w:t>
      </w:r>
      <w:r w:rsidRPr="0037380B">
        <w:rPr>
          <w:rFonts w:ascii="Times New Roman" w:eastAsia="Calibri" w:hAnsi="Times New Roman" w:cs="Times New Roman"/>
          <w:i/>
          <w:sz w:val="24"/>
          <w:szCs w:val="24"/>
        </w:rPr>
        <w:t>Fuel Security (</w:t>
      </w:r>
      <w:r w:rsidR="00A9111C">
        <w:rPr>
          <w:rFonts w:ascii="Times New Roman" w:eastAsia="Calibri" w:hAnsi="Times New Roman" w:cs="Times New Roman"/>
          <w:i/>
          <w:sz w:val="24"/>
          <w:szCs w:val="24"/>
        </w:rPr>
        <w:t>Minimum Stockholding Obligation</w:t>
      </w:r>
      <w:r w:rsidRPr="0037380B">
        <w:rPr>
          <w:rFonts w:ascii="Times New Roman" w:eastAsia="Calibri" w:hAnsi="Times New Roman" w:cs="Times New Roman"/>
          <w:i/>
          <w:sz w:val="24"/>
          <w:szCs w:val="24"/>
        </w:rPr>
        <w:t>) Rule</w:t>
      </w:r>
      <w:r w:rsidR="0000564E">
        <w:rPr>
          <w:rFonts w:ascii="Times New Roman" w:eastAsia="Calibri" w:hAnsi="Times New Roman" w:cs="Times New Roman"/>
          <w:i/>
          <w:sz w:val="24"/>
          <w:szCs w:val="24"/>
        </w:rPr>
        <w:t>s</w:t>
      </w:r>
      <w:r w:rsidRPr="0037380B">
        <w:rPr>
          <w:rFonts w:ascii="Times New Roman" w:eastAsia="Calibri" w:hAnsi="Times New Roman" w:cs="Times New Roman"/>
          <w:i/>
          <w:sz w:val="24"/>
          <w:szCs w:val="24"/>
        </w:rPr>
        <w:t xml:space="preserve"> </w:t>
      </w:r>
      <w:r w:rsidR="00BA5696" w:rsidRPr="0037380B">
        <w:rPr>
          <w:rFonts w:ascii="Times New Roman" w:eastAsia="Calibri" w:hAnsi="Times New Roman" w:cs="Times New Roman"/>
          <w:i/>
          <w:sz w:val="24"/>
          <w:szCs w:val="24"/>
        </w:rPr>
        <w:t>202</w:t>
      </w:r>
      <w:r w:rsidR="00BA5696">
        <w:rPr>
          <w:rFonts w:ascii="Times New Roman" w:eastAsia="Calibri" w:hAnsi="Times New Roman" w:cs="Times New Roman"/>
          <w:i/>
          <w:sz w:val="24"/>
          <w:szCs w:val="24"/>
        </w:rPr>
        <w:t>2</w:t>
      </w:r>
      <w:r w:rsidR="00BA5696" w:rsidRPr="0037380B">
        <w:rPr>
          <w:rFonts w:ascii="Times New Roman" w:eastAsia="Calibri" w:hAnsi="Times New Roman" w:cs="Times New Roman"/>
          <w:sz w:val="24"/>
          <w:szCs w:val="24"/>
        </w:rPr>
        <w:t xml:space="preserve"> </w:t>
      </w:r>
      <w:r w:rsidRPr="0037380B">
        <w:rPr>
          <w:rFonts w:ascii="Times New Roman" w:eastAsia="Calibri" w:hAnsi="Times New Roman" w:cs="Times New Roman"/>
          <w:sz w:val="24"/>
          <w:szCs w:val="24"/>
        </w:rPr>
        <w:t>(</w:t>
      </w:r>
      <w:r w:rsidR="00A9111C">
        <w:rPr>
          <w:rFonts w:ascii="Times New Roman" w:eastAsia="Calibri" w:hAnsi="Times New Roman" w:cs="Times New Roman"/>
          <w:sz w:val="24"/>
          <w:szCs w:val="24"/>
        </w:rPr>
        <w:t>MSO</w:t>
      </w:r>
      <w:r w:rsidRPr="0037380B">
        <w:rPr>
          <w:rFonts w:ascii="Times New Roman" w:eastAsia="Calibri" w:hAnsi="Times New Roman" w:cs="Times New Roman"/>
          <w:sz w:val="24"/>
          <w:szCs w:val="24"/>
        </w:rPr>
        <w:t xml:space="preserve"> Rule</w:t>
      </w:r>
      <w:r w:rsidR="0000564E">
        <w:rPr>
          <w:rFonts w:ascii="Times New Roman" w:eastAsia="Calibri" w:hAnsi="Times New Roman" w:cs="Times New Roman"/>
          <w:sz w:val="24"/>
          <w:szCs w:val="24"/>
        </w:rPr>
        <w:t>s</w:t>
      </w:r>
      <w:r w:rsidRPr="0037380B">
        <w:rPr>
          <w:rFonts w:ascii="Times New Roman" w:eastAsia="Calibri" w:hAnsi="Times New Roman" w:cs="Times New Roman"/>
          <w:sz w:val="24"/>
          <w:szCs w:val="24"/>
        </w:rPr>
        <w:t>) and the principal POFR Rules</w:t>
      </w:r>
      <w:r w:rsidR="00366DEE" w:rsidRPr="0037380B">
        <w:rPr>
          <w:rFonts w:ascii="Times New Roman" w:eastAsia="Calibri" w:hAnsi="Times New Roman" w:cs="Times New Roman"/>
          <w:sz w:val="24"/>
          <w:szCs w:val="24"/>
        </w:rPr>
        <w:t>, where</w:t>
      </w:r>
      <w:r w:rsidR="002317BA">
        <w:rPr>
          <w:rFonts w:ascii="Times New Roman" w:eastAsia="Calibri" w:hAnsi="Times New Roman" w:cs="Times New Roman"/>
          <w:sz w:val="24"/>
          <w:szCs w:val="24"/>
        </w:rPr>
        <w:t>ver</w:t>
      </w:r>
      <w:r w:rsidR="00366DEE" w:rsidRPr="0037380B">
        <w:rPr>
          <w:rFonts w:ascii="Times New Roman" w:eastAsia="Calibri" w:hAnsi="Times New Roman" w:cs="Times New Roman"/>
          <w:sz w:val="24"/>
          <w:szCs w:val="24"/>
        </w:rPr>
        <w:t xml:space="preserve"> appropriate;</w:t>
      </w:r>
    </w:p>
    <w:p w14:paraId="6048F842" w14:textId="3B6C8E28" w:rsidR="00C23984" w:rsidRDefault="0037380B" w:rsidP="0037380B">
      <w:pPr>
        <w:numPr>
          <w:ilvl w:val="0"/>
          <w:numId w:val="4"/>
        </w:numPr>
        <w:spacing w:before="120" w:after="120" w:line="276" w:lineRule="auto"/>
        <w:contextualSpacing/>
        <w:rPr>
          <w:rFonts w:ascii="Times New Roman" w:eastAsia="Calibri" w:hAnsi="Times New Roman" w:cs="Times New Roman"/>
          <w:sz w:val="24"/>
          <w:szCs w:val="24"/>
        </w:rPr>
      </w:pPr>
      <w:r w:rsidRPr="0037380B">
        <w:rPr>
          <w:rFonts w:ascii="Times New Roman" w:eastAsia="Calibri" w:hAnsi="Times New Roman" w:cs="Times New Roman"/>
          <w:sz w:val="24"/>
          <w:szCs w:val="24"/>
        </w:rPr>
        <w:t>new reporting provisions to</w:t>
      </w:r>
      <w:r>
        <w:rPr>
          <w:rFonts w:ascii="Times New Roman" w:eastAsia="Calibri" w:hAnsi="Times New Roman" w:cs="Times New Roman"/>
          <w:sz w:val="24"/>
          <w:szCs w:val="24"/>
        </w:rPr>
        <w:t xml:space="preserve"> require </w:t>
      </w:r>
      <w:r w:rsidR="0027715F">
        <w:rPr>
          <w:rFonts w:ascii="Times New Roman" w:eastAsia="Calibri" w:hAnsi="Times New Roman" w:cs="Times New Roman"/>
          <w:sz w:val="24"/>
          <w:szCs w:val="24"/>
        </w:rPr>
        <w:t>importers</w:t>
      </w:r>
      <w:r w:rsidR="0054079D">
        <w:rPr>
          <w:rFonts w:ascii="Times New Roman" w:eastAsia="Calibri" w:hAnsi="Times New Roman" w:cs="Times New Roman"/>
          <w:sz w:val="24"/>
          <w:szCs w:val="24"/>
        </w:rPr>
        <w:t xml:space="preserve"> and</w:t>
      </w:r>
      <w:r w:rsidR="0027715F">
        <w:rPr>
          <w:rFonts w:ascii="Times New Roman" w:eastAsia="Calibri" w:hAnsi="Times New Roman" w:cs="Times New Roman"/>
          <w:sz w:val="24"/>
          <w:szCs w:val="24"/>
        </w:rPr>
        <w:t xml:space="preserve"> </w:t>
      </w:r>
      <w:r>
        <w:rPr>
          <w:rFonts w:ascii="Times New Roman" w:eastAsia="Calibri" w:hAnsi="Times New Roman" w:cs="Times New Roman"/>
          <w:sz w:val="24"/>
          <w:szCs w:val="24"/>
        </w:rPr>
        <w:t>refinery operators</w:t>
      </w:r>
      <w:r w:rsidR="00042053">
        <w:rPr>
          <w:rFonts w:ascii="Times New Roman" w:eastAsia="Calibri" w:hAnsi="Times New Roman" w:cs="Times New Roman"/>
          <w:sz w:val="24"/>
          <w:szCs w:val="24"/>
        </w:rPr>
        <w:t xml:space="preserve"> (refiners)</w:t>
      </w:r>
      <w:r w:rsidR="00C23984">
        <w:rPr>
          <w:rFonts w:ascii="Times New Roman" w:eastAsia="Calibri" w:hAnsi="Times New Roman" w:cs="Times New Roman"/>
          <w:sz w:val="24"/>
          <w:szCs w:val="24"/>
        </w:rPr>
        <w:t xml:space="preserve"> </w:t>
      </w:r>
      <w:r w:rsidR="009008B5">
        <w:rPr>
          <w:rFonts w:ascii="Times New Roman" w:eastAsia="Calibri" w:hAnsi="Times New Roman" w:cs="Times New Roman"/>
          <w:sz w:val="24"/>
          <w:szCs w:val="24"/>
        </w:rPr>
        <w:t xml:space="preserve"> who are subject to the MSO</w:t>
      </w:r>
      <w:r w:rsidR="0054079D">
        <w:rPr>
          <w:rFonts w:ascii="Times New Roman" w:eastAsia="Calibri" w:hAnsi="Times New Roman" w:cs="Times New Roman"/>
          <w:sz w:val="24"/>
          <w:szCs w:val="24"/>
        </w:rPr>
        <w:t xml:space="preserve"> under the FS Act,</w:t>
      </w:r>
      <w:r w:rsidR="009008B5">
        <w:rPr>
          <w:rFonts w:ascii="Times New Roman" w:eastAsia="Calibri" w:hAnsi="Times New Roman" w:cs="Times New Roman"/>
          <w:sz w:val="24"/>
          <w:szCs w:val="24"/>
        </w:rPr>
        <w:t xml:space="preserve"> </w:t>
      </w:r>
      <w:r w:rsidR="00C23984">
        <w:rPr>
          <w:rFonts w:ascii="Times New Roman" w:eastAsia="Calibri" w:hAnsi="Times New Roman" w:cs="Times New Roman"/>
          <w:sz w:val="24"/>
          <w:szCs w:val="24"/>
        </w:rPr>
        <w:t>and third-</w:t>
      </w:r>
      <w:r w:rsidR="0027715F">
        <w:rPr>
          <w:rFonts w:ascii="Times New Roman" w:eastAsia="Calibri" w:hAnsi="Times New Roman" w:cs="Times New Roman"/>
          <w:sz w:val="24"/>
          <w:szCs w:val="24"/>
        </w:rPr>
        <w:t>party</w:t>
      </w:r>
      <w:r>
        <w:rPr>
          <w:rFonts w:ascii="Times New Roman" w:eastAsia="Calibri" w:hAnsi="Times New Roman" w:cs="Times New Roman"/>
          <w:sz w:val="24"/>
          <w:szCs w:val="24"/>
        </w:rPr>
        <w:t xml:space="preserve"> </w:t>
      </w:r>
      <w:r w:rsidR="00C23984">
        <w:rPr>
          <w:rFonts w:ascii="Times New Roman" w:eastAsia="Calibri" w:hAnsi="Times New Roman" w:cs="Times New Roman"/>
          <w:sz w:val="24"/>
          <w:szCs w:val="24"/>
        </w:rPr>
        <w:t>‘intermediary market’ participants</w:t>
      </w:r>
      <w:r w:rsidR="005F4814">
        <w:rPr>
          <w:rFonts w:ascii="Times New Roman" w:eastAsia="Calibri" w:hAnsi="Times New Roman" w:cs="Times New Roman"/>
          <w:sz w:val="24"/>
          <w:szCs w:val="24"/>
        </w:rPr>
        <w:t xml:space="preserve"> (e</w:t>
      </w:r>
      <w:r w:rsidR="007259B5">
        <w:rPr>
          <w:rFonts w:ascii="Times New Roman" w:eastAsia="Calibri" w:hAnsi="Times New Roman" w:cs="Times New Roman"/>
          <w:sz w:val="24"/>
          <w:szCs w:val="24"/>
        </w:rPr>
        <w:t>.</w:t>
      </w:r>
      <w:r w:rsidR="005F4814">
        <w:rPr>
          <w:rFonts w:ascii="Times New Roman" w:eastAsia="Calibri" w:hAnsi="Times New Roman" w:cs="Times New Roman"/>
          <w:sz w:val="24"/>
          <w:szCs w:val="24"/>
        </w:rPr>
        <w:t>g. liquid fuel storage providers)</w:t>
      </w:r>
      <w:r w:rsidR="0054079D">
        <w:rPr>
          <w:rFonts w:ascii="Times New Roman" w:eastAsia="Calibri" w:hAnsi="Times New Roman" w:cs="Times New Roman"/>
          <w:sz w:val="24"/>
          <w:szCs w:val="24"/>
        </w:rPr>
        <w:t>,</w:t>
      </w:r>
      <w:r w:rsidR="00C23984">
        <w:rPr>
          <w:rFonts w:ascii="Times New Roman" w:eastAsia="Calibri" w:hAnsi="Times New Roman" w:cs="Times New Roman"/>
          <w:sz w:val="24"/>
          <w:szCs w:val="24"/>
        </w:rPr>
        <w:t xml:space="preserve"> </w:t>
      </w:r>
      <w:r w:rsidR="002317BA">
        <w:rPr>
          <w:rFonts w:ascii="Times New Roman" w:eastAsia="Calibri" w:hAnsi="Times New Roman" w:cs="Times New Roman"/>
          <w:sz w:val="24"/>
          <w:szCs w:val="24"/>
        </w:rPr>
        <w:t xml:space="preserve">to report </w:t>
      </w:r>
      <w:r>
        <w:rPr>
          <w:rFonts w:ascii="Times New Roman" w:eastAsia="Calibri" w:hAnsi="Times New Roman" w:cs="Times New Roman"/>
          <w:sz w:val="24"/>
          <w:szCs w:val="24"/>
        </w:rPr>
        <w:t>information</w:t>
      </w:r>
      <w:r w:rsidRPr="0037380B">
        <w:rPr>
          <w:rFonts w:ascii="Times New Roman" w:eastAsia="Calibri" w:hAnsi="Times New Roman" w:cs="Times New Roman"/>
          <w:sz w:val="24"/>
          <w:szCs w:val="24"/>
        </w:rPr>
        <w:t xml:space="preserve"> concerning</w:t>
      </w:r>
      <w:r w:rsidR="00C23984">
        <w:rPr>
          <w:rFonts w:ascii="Times New Roman" w:eastAsia="Calibri" w:hAnsi="Times New Roman" w:cs="Times New Roman"/>
          <w:sz w:val="24"/>
          <w:szCs w:val="24"/>
        </w:rPr>
        <w:t>:</w:t>
      </w:r>
    </w:p>
    <w:p w14:paraId="6BEE60E9" w14:textId="3A98FC8A" w:rsidR="0037380B" w:rsidRDefault="0037380B" w:rsidP="00C23984">
      <w:pPr>
        <w:numPr>
          <w:ilvl w:val="1"/>
          <w:numId w:val="4"/>
        </w:numPr>
        <w:spacing w:before="120" w:after="120" w:line="276" w:lineRule="auto"/>
        <w:contextualSpacing/>
        <w:rPr>
          <w:rFonts w:ascii="Times New Roman" w:eastAsia="Calibri" w:hAnsi="Times New Roman" w:cs="Times New Roman"/>
          <w:sz w:val="24"/>
          <w:szCs w:val="24"/>
        </w:rPr>
      </w:pPr>
      <w:r w:rsidRPr="0037380B">
        <w:rPr>
          <w:rFonts w:ascii="Times New Roman" w:eastAsia="Calibri" w:hAnsi="Times New Roman" w:cs="Times New Roman"/>
          <w:sz w:val="24"/>
          <w:szCs w:val="24"/>
        </w:rPr>
        <w:t>the</w:t>
      </w:r>
      <w:r w:rsidR="0054079D">
        <w:rPr>
          <w:rFonts w:ascii="Times New Roman" w:eastAsia="Calibri" w:hAnsi="Times New Roman" w:cs="Times New Roman"/>
          <w:sz w:val="24"/>
          <w:szCs w:val="24"/>
        </w:rPr>
        <w:t>ir</w:t>
      </w:r>
      <w:r w:rsidRPr="0037380B">
        <w:rPr>
          <w:rFonts w:ascii="Times New Roman" w:eastAsia="Calibri" w:hAnsi="Times New Roman" w:cs="Times New Roman"/>
          <w:sz w:val="24"/>
          <w:szCs w:val="24"/>
        </w:rPr>
        <w:t xml:space="preserve"> </w:t>
      </w:r>
      <w:r w:rsidR="00C23984">
        <w:rPr>
          <w:rFonts w:ascii="Times New Roman" w:eastAsia="Calibri" w:hAnsi="Times New Roman" w:cs="Times New Roman"/>
          <w:sz w:val="24"/>
          <w:szCs w:val="24"/>
        </w:rPr>
        <w:t>stockholding</w:t>
      </w:r>
      <w:r w:rsidR="0054079D">
        <w:rPr>
          <w:rFonts w:ascii="Times New Roman" w:eastAsia="Calibri" w:hAnsi="Times New Roman" w:cs="Times New Roman"/>
          <w:sz w:val="24"/>
          <w:szCs w:val="24"/>
        </w:rPr>
        <w:t>s</w:t>
      </w:r>
      <w:r w:rsidRPr="0037380B">
        <w:rPr>
          <w:rFonts w:ascii="Times New Roman" w:eastAsia="Calibri" w:hAnsi="Times New Roman" w:cs="Times New Roman"/>
          <w:sz w:val="24"/>
          <w:szCs w:val="24"/>
        </w:rPr>
        <w:t xml:space="preserve"> of </w:t>
      </w:r>
      <w:r w:rsidR="009F7B1D">
        <w:rPr>
          <w:rFonts w:ascii="Times New Roman" w:eastAsia="Calibri" w:hAnsi="Times New Roman" w:cs="Times New Roman"/>
          <w:sz w:val="24"/>
          <w:szCs w:val="24"/>
        </w:rPr>
        <w:t>“</w:t>
      </w:r>
      <w:r w:rsidR="00C23984">
        <w:rPr>
          <w:rFonts w:ascii="Times New Roman" w:eastAsia="Calibri" w:hAnsi="Times New Roman" w:cs="Times New Roman"/>
          <w:sz w:val="24"/>
          <w:szCs w:val="24"/>
        </w:rPr>
        <w:t>MSO</w:t>
      </w:r>
      <w:r w:rsidRPr="0037380B">
        <w:rPr>
          <w:rFonts w:ascii="Times New Roman" w:eastAsia="Calibri" w:hAnsi="Times New Roman" w:cs="Times New Roman"/>
          <w:sz w:val="24"/>
          <w:szCs w:val="24"/>
        </w:rPr>
        <w:t xml:space="preserve"> </w:t>
      </w:r>
      <w:r w:rsidR="00C23984">
        <w:rPr>
          <w:rFonts w:ascii="Times New Roman" w:eastAsia="Calibri" w:hAnsi="Times New Roman" w:cs="Times New Roman"/>
          <w:sz w:val="24"/>
          <w:szCs w:val="24"/>
        </w:rPr>
        <w:t>products</w:t>
      </w:r>
      <w:r w:rsidR="009F7B1D">
        <w:rPr>
          <w:rFonts w:ascii="Times New Roman" w:eastAsia="Calibri" w:hAnsi="Times New Roman" w:cs="Times New Roman"/>
          <w:sz w:val="24"/>
          <w:szCs w:val="24"/>
        </w:rPr>
        <w:t>”</w:t>
      </w:r>
      <w:r w:rsidR="002317BA">
        <w:rPr>
          <w:rFonts w:ascii="Times New Roman" w:eastAsia="Calibri" w:hAnsi="Times New Roman" w:cs="Times New Roman"/>
          <w:sz w:val="24"/>
          <w:szCs w:val="24"/>
        </w:rPr>
        <w:t xml:space="preserve"> (as defined under the FS Act</w:t>
      </w:r>
      <w:r w:rsidR="005F4814">
        <w:rPr>
          <w:rFonts w:ascii="Times New Roman" w:eastAsia="Calibri" w:hAnsi="Times New Roman" w:cs="Times New Roman"/>
          <w:sz w:val="24"/>
          <w:szCs w:val="24"/>
        </w:rPr>
        <w:t>, and including stocks of feedstock that meet the requirements of section 25 of the FS Act</w:t>
      </w:r>
      <w:r w:rsidR="002317BA">
        <w:rPr>
          <w:rFonts w:ascii="Times New Roman" w:eastAsia="Calibri" w:hAnsi="Times New Roman" w:cs="Times New Roman"/>
          <w:sz w:val="24"/>
          <w:szCs w:val="24"/>
        </w:rPr>
        <w:t xml:space="preserve">) on a </w:t>
      </w:r>
      <w:r w:rsidR="00C23984">
        <w:rPr>
          <w:rFonts w:ascii="Times New Roman" w:eastAsia="Calibri" w:hAnsi="Times New Roman" w:cs="Times New Roman"/>
          <w:sz w:val="24"/>
          <w:szCs w:val="24"/>
        </w:rPr>
        <w:t>periodic</w:t>
      </w:r>
      <w:r w:rsidR="002317BA">
        <w:rPr>
          <w:rFonts w:ascii="Times New Roman" w:eastAsia="Calibri" w:hAnsi="Times New Roman" w:cs="Times New Roman"/>
          <w:sz w:val="24"/>
          <w:szCs w:val="24"/>
        </w:rPr>
        <w:t xml:space="preserve"> basis</w:t>
      </w:r>
      <w:r w:rsidRPr="0037380B">
        <w:rPr>
          <w:rFonts w:ascii="Times New Roman" w:eastAsia="Calibri" w:hAnsi="Times New Roman" w:cs="Times New Roman"/>
          <w:sz w:val="24"/>
          <w:szCs w:val="24"/>
        </w:rPr>
        <w:t>;</w:t>
      </w:r>
      <w:r w:rsidR="00DD1E68">
        <w:rPr>
          <w:rFonts w:ascii="Times New Roman" w:eastAsia="Calibri" w:hAnsi="Times New Roman" w:cs="Times New Roman"/>
          <w:sz w:val="24"/>
          <w:szCs w:val="24"/>
        </w:rPr>
        <w:t xml:space="preserve"> and</w:t>
      </w:r>
    </w:p>
    <w:p w14:paraId="27494FA0" w14:textId="77777777" w:rsidR="00360748" w:rsidRDefault="00360748" w:rsidP="00C23984">
      <w:pPr>
        <w:numPr>
          <w:ilvl w:val="1"/>
          <w:numId w:val="4"/>
        </w:numPr>
        <w:spacing w:before="120" w:after="12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storage information, including capacity and location data, relating to the storage of MSO products on a periodic basis; and</w:t>
      </w:r>
    </w:p>
    <w:p w14:paraId="61F7ABE5" w14:textId="004FDB8A" w:rsidR="00A95253" w:rsidRDefault="00AB6D76" w:rsidP="00C23984">
      <w:pPr>
        <w:numPr>
          <w:ilvl w:val="1"/>
          <w:numId w:val="4"/>
        </w:numPr>
        <w:spacing w:before="120" w:after="12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any </w:t>
      </w:r>
      <w:r w:rsidR="00A95253">
        <w:rPr>
          <w:rFonts w:ascii="Times New Roman" w:eastAsia="Calibri" w:hAnsi="Times New Roman" w:cs="Times New Roman"/>
          <w:sz w:val="24"/>
          <w:szCs w:val="24"/>
        </w:rPr>
        <w:t xml:space="preserve">Australian controlling corporation of </w:t>
      </w:r>
      <w:r>
        <w:rPr>
          <w:rFonts w:ascii="Times New Roman" w:eastAsia="Calibri" w:hAnsi="Times New Roman" w:cs="Times New Roman"/>
          <w:sz w:val="24"/>
          <w:szCs w:val="24"/>
        </w:rPr>
        <w:t xml:space="preserve">a </w:t>
      </w:r>
      <w:r w:rsidR="00A95253">
        <w:rPr>
          <w:rFonts w:ascii="Times New Roman" w:eastAsia="Calibri" w:hAnsi="Times New Roman" w:cs="Times New Roman"/>
          <w:sz w:val="24"/>
          <w:szCs w:val="24"/>
        </w:rPr>
        <w:t>regulated importer</w:t>
      </w:r>
      <w:r w:rsidR="00A95253" w:rsidDel="00AB6D7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 </w:t>
      </w:r>
      <w:r w:rsidR="00A95253">
        <w:rPr>
          <w:rFonts w:ascii="Times New Roman" w:eastAsia="Calibri" w:hAnsi="Times New Roman" w:cs="Times New Roman"/>
          <w:sz w:val="24"/>
          <w:szCs w:val="24"/>
        </w:rPr>
        <w:t>refiner; and</w:t>
      </w:r>
    </w:p>
    <w:p w14:paraId="7B1EC30E" w14:textId="4D13A77B" w:rsidR="00C23984" w:rsidRPr="0037380B" w:rsidRDefault="00A95253" w:rsidP="00C23984">
      <w:pPr>
        <w:numPr>
          <w:ilvl w:val="1"/>
          <w:numId w:val="4"/>
        </w:numPr>
        <w:spacing w:before="120" w:after="12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total imports values for each MSO product in the previous calendar year on a yearly basis; and</w:t>
      </w:r>
    </w:p>
    <w:p w14:paraId="010EC848" w14:textId="7426A8A1" w:rsidR="00366DEE" w:rsidRPr="004135F1" w:rsidRDefault="002317BA" w:rsidP="004135F1">
      <w:pPr>
        <w:numPr>
          <w:ilvl w:val="0"/>
          <w:numId w:val="4"/>
        </w:numPr>
        <w:spacing w:before="120" w:after="12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new auditing provisions </w:t>
      </w:r>
      <w:r w:rsidR="00A95253">
        <w:rPr>
          <w:rFonts w:ascii="Times New Roman" w:eastAsia="Calibri" w:hAnsi="Times New Roman" w:cs="Times New Roman"/>
          <w:sz w:val="24"/>
          <w:szCs w:val="24"/>
        </w:rPr>
        <w:t>allowing</w:t>
      </w:r>
      <w:r>
        <w:rPr>
          <w:rFonts w:ascii="Times New Roman" w:eastAsia="Calibri" w:hAnsi="Times New Roman" w:cs="Times New Roman"/>
          <w:sz w:val="24"/>
          <w:szCs w:val="24"/>
        </w:rPr>
        <w:t xml:space="preserve"> </w:t>
      </w:r>
      <w:r w:rsidR="0037380B" w:rsidRPr="0037380B">
        <w:rPr>
          <w:rFonts w:ascii="Times New Roman" w:eastAsia="Calibri" w:hAnsi="Times New Roman" w:cs="Times New Roman"/>
          <w:sz w:val="24"/>
          <w:szCs w:val="24"/>
        </w:rPr>
        <w:t>the conduct of audits of</w:t>
      </w:r>
      <w:r>
        <w:rPr>
          <w:rFonts w:ascii="Times New Roman" w:eastAsia="Calibri" w:hAnsi="Times New Roman" w:cs="Times New Roman"/>
          <w:sz w:val="24"/>
          <w:szCs w:val="24"/>
        </w:rPr>
        <w:t xml:space="preserve"> reports submitted by refiners, </w:t>
      </w:r>
      <w:r w:rsidR="00A95253">
        <w:rPr>
          <w:rFonts w:ascii="Times New Roman" w:eastAsia="Calibri" w:hAnsi="Times New Roman" w:cs="Times New Roman"/>
          <w:sz w:val="24"/>
          <w:szCs w:val="24"/>
        </w:rPr>
        <w:t xml:space="preserve">importers and intermediary market participants, </w:t>
      </w:r>
      <w:r w:rsidR="004135F1" w:rsidRPr="004135F1">
        <w:rPr>
          <w:rFonts w:ascii="Times New Roman" w:eastAsia="Calibri" w:hAnsi="Times New Roman" w:cs="Times New Roman"/>
          <w:sz w:val="24"/>
          <w:szCs w:val="24"/>
        </w:rPr>
        <w:t>where the Secretary holds concerns about the accuracy of information provided in such report</w:t>
      </w:r>
      <w:r w:rsidR="004135F1">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164F3280" w14:textId="77777777" w:rsidR="000611C3" w:rsidRPr="000611C3" w:rsidRDefault="000611C3" w:rsidP="000611C3">
      <w:pPr>
        <w:spacing w:before="240" w:after="240" w:line="276" w:lineRule="auto"/>
        <w:rPr>
          <w:rFonts w:ascii="Times New Roman" w:eastAsia="Calibri" w:hAnsi="Times New Roman" w:cs="Times New Roman"/>
          <w:b/>
          <w:sz w:val="24"/>
          <w:szCs w:val="24"/>
          <w:u w:val="single"/>
        </w:rPr>
      </w:pPr>
      <w:r w:rsidRPr="000611C3">
        <w:rPr>
          <w:rFonts w:ascii="Times New Roman" w:eastAsia="Calibri" w:hAnsi="Times New Roman" w:cs="Times New Roman"/>
          <w:b/>
          <w:sz w:val="24"/>
          <w:szCs w:val="24"/>
          <w:u w:val="single"/>
        </w:rPr>
        <w:t>Authority</w:t>
      </w:r>
    </w:p>
    <w:p w14:paraId="7751035B" w14:textId="598D6462" w:rsidR="000611C3" w:rsidRPr="000611C3" w:rsidRDefault="000611C3" w:rsidP="000611C3">
      <w:pPr>
        <w:spacing w:before="120" w:after="12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Th</w:t>
      </w:r>
      <w:r w:rsidR="00DD1E68">
        <w:rPr>
          <w:rFonts w:ascii="Times New Roman" w:eastAsia="Calibri" w:hAnsi="Times New Roman" w:cs="Times New Roman"/>
          <w:sz w:val="24"/>
          <w:szCs w:val="24"/>
        </w:rPr>
        <w:t xml:space="preserve">is </w:t>
      </w:r>
      <w:r w:rsidRPr="000611C3">
        <w:rPr>
          <w:rFonts w:ascii="Times New Roman" w:eastAsia="Calibri" w:hAnsi="Times New Roman" w:cs="Times New Roman"/>
          <w:sz w:val="24"/>
          <w:szCs w:val="24"/>
        </w:rPr>
        <w:t xml:space="preserve">Rule </w:t>
      </w:r>
      <w:r w:rsidR="00DD1E68">
        <w:rPr>
          <w:rFonts w:ascii="Times New Roman" w:eastAsia="Calibri" w:hAnsi="Times New Roman" w:cs="Times New Roman"/>
          <w:sz w:val="24"/>
          <w:szCs w:val="24"/>
        </w:rPr>
        <w:t>is</w:t>
      </w:r>
      <w:r w:rsidR="006152D8">
        <w:rPr>
          <w:rFonts w:ascii="Times New Roman" w:eastAsia="Calibri" w:hAnsi="Times New Roman" w:cs="Times New Roman"/>
          <w:sz w:val="24"/>
          <w:szCs w:val="24"/>
        </w:rPr>
        <w:t xml:space="preserve"> made pursuant to</w:t>
      </w:r>
      <w:r w:rsidRPr="000611C3">
        <w:rPr>
          <w:rFonts w:ascii="Times New Roman" w:eastAsia="Calibri" w:hAnsi="Times New Roman" w:cs="Times New Roman"/>
          <w:sz w:val="24"/>
          <w:szCs w:val="24"/>
        </w:rPr>
        <w:t xml:space="preserve"> the </w:t>
      </w:r>
      <w:r w:rsidR="00366DEE">
        <w:rPr>
          <w:rFonts w:ascii="Times New Roman" w:eastAsia="Calibri" w:hAnsi="Times New Roman" w:cs="Times New Roman"/>
          <w:sz w:val="24"/>
          <w:szCs w:val="24"/>
        </w:rPr>
        <w:t xml:space="preserve">POFR </w:t>
      </w:r>
      <w:r w:rsidR="008F6027">
        <w:rPr>
          <w:rFonts w:ascii="Times New Roman" w:eastAsia="Calibri" w:hAnsi="Times New Roman" w:cs="Times New Roman"/>
          <w:sz w:val="24"/>
          <w:szCs w:val="24"/>
        </w:rPr>
        <w:t>Act</w:t>
      </w:r>
      <w:r w:rsidR="002C4AAF">
        <w:rPr>
          <w:rFonts w:ascii="Times New Roman" w:eastAsia="Calibri" w:hAnsi="Times New Roman" w:cs="Times New Roman"/>
          <w:sz w:val="24"/>
          <w:szCs w:val="24"/>
        </w:rPr>
        <w:t>.</w:t>
      </w:r>
      <w:r w:rsidR="008F6027">
        <w:rPr>
          <w:rFonts w:ascii="Times New Roman" w:eastAsia="Calibri" w:hAnsi="Times New Roman" w:cs="Times New Roman"/>
          <w:sz w:val="24"/>
          <w:szCs w:val="24"/>
        </w:rPr>
        <w:t xml:space="preserve"> </w:t>
      </w:r>
      <w:r w:rsidR="002C4AAF">
        <w:rPr>
          <w:rFonts w:ascii="Times New Roman" w:eastAsia="Calibri" w:hAnsi="Times New Roman" w:cs="Times New Roman"/>
          <w:sz w:val="24"/>
          <w:szCs w:val="24"/>
        </w:rPr>
        <w:t>I</w:t>
      </w:r>
      <w:r w:rsidR="008F6027">
        <w:rPr>
          <w:rFonts w:ascii="Times New Roman" w:eastAsia="Calibri" w:hAnsi="Times New Roman" w:cs="Times New Roman"/>
          <w:sz w:val="24"/>
          <w:szCs w:val="24"/>
        </w:rPr>
        <w:t>n particular</w:t>
      </w:r>
      <w:r w:rsidR="002C4AAF">
        <w:rPr>
          <w:rFonts w:ascii="Times New Roman" w:eastAsia="Calibri" w:hAnsi="Times New Roman" w:cs="Times New Roman"/>
          <w:sz w:val="24"/>
          <w:szCs w:val="24"/>
        </w:rPr>
        <w:t>,</w:t>
      </w:r>
      <w:r w:rsidR="008F6027">
        <w:rPr>
          <w:rFonts w:ascii="Times New Roman" w:eastAsia="Calibri" w:hAnsi="Times New Roman" w:cs="Times New Roman"/>
          <w:sz w:val="24"/>
          <w:szCs w:val="24"/>
        </w:rPr>
        <w:t xml:space="preserve"> section 41 </w:t>
      </w:r>
      <w:r w:rsidR="00E216CA">
        <w:rPr>
          <w:rFonts w:ascii="Times New Roman" w:eastAsia="Calibri" w:hAnsi="Times New Roman" w:cs="Times New Roman"/>
          <w:sz w:val="24"/>
          <w:szCs w:val="24"/>
        </w:rPr>
        <w:t xml:space="preserve">of that Act </w:t>
      </w:r>
      <w:r w:rsidR="008F6027">
        <w:rPr>
          <w:rFonts w:ascii="Times New Roman" w:eastAsia="Calibri" w:hAnsi="Times New Roman" w:cs="Times New Roman"/>
          <w:sz w:val="24"/>
          <w:szCs w:val="24"/>
        </w:rPr>
        <w:t xml:space="preserve">includes the power for the Minister to make legislative rules. Additionally, </w:t>
      </w:r>
      <w:r w:rsidR="002C4AAF">
        <w:rPr>
          <w:rFonts w:ascii="Times New Roman" w:eastAsia="Calibri" w:hAnsi="Times New Roman" w:cs="Times New Roman"/>
          <w:sz w:val="24"/>
          <w:szCs w:val="24"/>
        </w:rPr>
        <w:t>the Rule</w:t>
      </w:r>
      <w:r w:rsidR="007D6540">
        <w:rPr>
          <w:rFonts w:ascii="Times New Roman" w:eastAsia="Calibri" w:hAnsi="Times New Roman" w:cs="Times New Roman"/>
          <w:sz w:val="24"/>
          <w:szCs w:val="24"/>
        </w:rPr>
        <w:t xml:space="preserve"> is authorised under</w:t>
      </w:r>
      <w:r w:rsidR="008F6027">
        <w:rPr>
          <w:rFonts w:ascii="Times New Roman" w:eastAsia="Calibri" w:hAnsi="Times New Roman" w:cs="Times New Roman"/>
          <w:sz w:val="24"/>
          <w:szCs w:val="24"/>
        </w:rPr>
        <w:t xml:space="preserve"> section 13B of the POFR Act, </w:t>
      </w:r>
      <w:r w:rsidR="007D6540">
        <w:rPr>
          <w:rFonts w:ascii="Times New Roman" w:eastAsia="Calibri" w:hAnsi="Times New Roman" w:cs="Times New Roman"/>
          <w:sz w:val="24"/>
          <w:szCs w:val="24"/>
        </w:rPr>
        <w:t>which</w:t>
      </w:r>
      <w:r w:rsidR="008F6027">
        <w:rPr>
          <w:rFonts w:ascii="Times New Roman" w:eastAsia="Calibri" w:hAnsi="Times New Roman" w:cs="Times New Roman"/>
          <w:sz w:val="24"/>
          <w:szCs w:val="24"/>
        </w:rPr>
        <w:t xml:space="preserve"> </w:t>
      </w:r>
      <w:r w:rsidR="002C4AAF">
        <w:rPr>
          <w:rFonts w:ascii="Times New Roman" w:eastAsia="Calibri" w:hAnsi="Times New Roman" w:cs="Times New Roman"/>
          <w:sz w:val="24"/>
          <w:szCs w:val="24"/>
        </w:rPr>
        <w:t xml:space="preserve">enables </w:t>
      </w:r>
      <w:r w:rsidR="008F6027">
        <w:rPr>
          <w:rFonts w:ascii="Times New Roman" w:eastAsia="Calibri" w:hAnsi="Times New Roman" w:cs="Times New Roman"/>
          <w:sz w:val="24"/>
          <w:szCs w:val="24"/>
        </w:rPr>
        <w:t>rules relating to c</w:t>
      </w:r>
      <w:r w:rsidR="008F6027" w:rsidRPr="008F6027">
        <w:rPr>
          <w:rFonts w:ascii="Times New Roman" w:eastAsia="Calibri" w:hAnsi="Times New Roman" w:cs="Times New Roman"/>
          <w:sz w:val="24"/>
          <w:szCs w:val="24"/>
        </w:rPr>
        <w:t>ompliance audi</w:t>
      </w:r>
      <w:r w:rsidR="00735A45">
        <w:rPr>
          <w:rFonts w:ascii="Times New Roman" w:eastAsia="Calibri" w:hAnsi="Times New Roman" w:cs="Times New Roman"/>
          <w:sz w:val="24"/>
          <w:szCs w:val="24"/>
        </w:rPr>
        <w:t>ts relating to the FS Act</w:t>
      </w:r>
      <w:r w:rsidR="008F6027">
        <w:rPr>
          <w:rFonts w:ascii="Times New Roman" w:eastAsia="Calibri" w:hAnsi="Times New Roman" w:cs="Times New Roman"/>
          <w:sz w:val="24"/>
          <w:szCs w:val="24"/>
        </w:rPr>
        <w:t xml:space="preserve"> </w:t>
      </w:r>
      <w:r w:rsidR="002C4AAF">
        <w:rPr>
          <w:rFonts w:ascii="Times New Roman" w:eastAsia="Calibri" w:hAnsi="Times New Roman" w:cs="Times New Roman"/>
          <w:sz w:val="24"/>
          <w:szCs w:val="24"/>
        </w:rPr>
        <w:t xml:space="preserve">to </w:t>
      </w:r>
      <w:r w:rsidR="008F6027">
        <w:rPr>
          <w:rFonts w:ascii="Times New Roman" w:eastAsia="Calibri" w:hAnsi="Times New Roman" w:cs="Times New Roman"/>
          <w:sz w:val="24"/>
          <w:szCs w:val="24"/>
        </w:rPr>
        <w:t>be made.</w:t>
      </w:r>
    </w:p>
    <w:p w14:paraId="1A1D1D44" w14:textId="77777777" w:rsidR="005F4814" w:rsidRDefault="005F4814" w:rsidP="007D27D0">
      <w:pPr>
        <w:spacing w:before="120" w:after="120" w:line="276" w:lineRule="auto"/>
        <w:rPr>
          <w:rFonts w:ascii="Times New Roman" w:eastAsia="Calibri" w:hAnsi="Times New Roman" w:cs="Times New Roman"/>
          <w:b/>
          <w:sz w:val="24"/>
          <w:szCs w:val="24"/>
          <w:u w:val="single"/>
        </w:rPr>
      </w:pPr>
    </w:p>
    <w:p w14:paraId="02FD945D" w14:textId="24DFBC01" w:rsidR="00A50EF0" w:rsidRDefault="00A50EF0" w:rsidP="00A50EF0">
      <w:pPr>
        <w:rPr>
          <w:rFonts w:ascii="Times New Roman" w:eastAsia="Calibri" w:hAnsi="Times New Roman" w:cs="Times New Roman"/>
          <w:sz w:val="24"/>
          <w:szCs w:val="24"/>
        </w:rPr>
      </w:pPr>
    </w:p>
    <w:p w14:paraId="2B7A7F68" w14:textId="4F7D1E60" w:rsidR="7A37929F" w:rsidRPr="00791267" w:rsidRDefault="05A6DE22">
      <w:pPr>
        <w:rPr>
          <w:rFonts w:ascii="Times New Roman" w:eastAsia="Calibri" w:hAnsi="Times New Roman" w:cs="Times New Roman"/>
          <w:b/>
          <w:sz w:val="24"/>
          <w:szCs w:val="24"/>
        </w:rPr>
      </w:pPr>
      <w:bookmarkStart w:id="0" w:name="_GoBack"/>
      <w:bookmarkEnd w:id="0"/>
      <w:r w:rsidRPr="00791267">
        <w:rPr>
          <w:rFonts w:ascii="Times New Roman" w:eastAsia="Calibri" w:hAnsi="Times New Roman" w:cs="Times New Roman"/>
          <w:b/>
          <w:sz w:val="24"/>
          <w:szCs w:val="24"/>
        </w:rPr>
        <w:t>GLOSSARY</w:t>
      </w:r>
    </w:p>
    <w:p w14:paraId="73A375C5" w14:textId="4F7D1E60" w:rsidR="7D6A7118" w:rsidRPr="00791267" w:rsidRDefault="7D6A7118">
      <w:pPr>
        <w:rPr>
          <w:rFonts w:ascii="Times New Roman" w:eastAsia="Calibri" w:hAnsi="Times New Roman" w:cs="Times New Roman"/>
          <w:sz w:val="24"/>
          <w:szCs w:val="24"/>
        </w:rPr>
      </w:pPr>
    </w:p>
    <w:tbl>
      <w:tblPr>
        <w:tblStyle w:val="GridTable1Light"/>
        <w:tblW w:w="0" w:type="auto"/>
        <w:tblLook w:val="04A0" w:firstRow="1" w:lastRow="0" w:firstColumn="1" w:lastColumn="0" w:noHBand="0" w:noVBand="1"/>
      </w:tblPr>
      <w:tblGrid>
        <w:gridCol w:w="4508"/>
        <w:gridCol w:w="4508"/>
      </w:tblGrid>
      <w:tr w:rsidR="0315B737" w:rsidRPr="00791267" w14:paraId="51A05F42" w14:textId="77777777" w:rsidTr="00876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4C61699" w14:textId="2BE3A8B7" w:rsidR="0315B737" w:rsidRPr="00791267" w:rsidRDefault="0315B737" w:rsidP="0315B737">
            <w:pPr>
              <w:rPr>
                <w:rFonts w:ascii="Times New Roman" w:eastAsia="Calibri" w:hAnsi="Times New Roman" w:cs="Times New Roman"/>
                <w:bCs w:val="0"/>
                <w:sz w:val="24"/>
                <w:szCs w:val="24"/>
              </w:rPr>
            </w:pPr>
            <w:r w:rsidRPr="00791267">
              <w:rPr>
                <w:rFonts w:ascii="Times New Roman" w:eastAsia="Calibri" w:hAnsi="Times New Roman" w:cs="Times New Roman"/>
                <w:bCs w:val="0"/>
                <w:sz w:val="24"/>
                <w:szCs w:val="24"/>
              </w:rPr>
              <w:t>Abbreviation</w:t>
            </w:r>
          </w:p>
        </w:tc>
        <w:tc>
          <w:tcPr>
            <w:tcW w:w="4508" w:type="dxa"/>
          </w:tcPr>
          <w:p w14:paraId="756CEB3E" w14:textId="7F94B564" w:rsidR="0315B737" w:rsidRPr="00791267" w:rsidRDefault="0315B737" w:rsidP="0315B737">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791267">
              <w:rPr>
                <w:rFonts w:ascii="Times New Roman" w:eastAsia="Calibri" w:hAnsi="Times New Roman" w:cs="Times New Roman"/>
                <w:bCs w:val="0"/>
                <w:sz w:val="24"/>
                <w:szCs w:val="24"/>
              </w:rPr>
              <w:t>Definition</w:t>
            </w:r>
          </w:p>
        </w:tc>
      </w:tr>
      <w:tr w:rsidR="007E185B" w:rsidRPr="00791267" w14:paraId="34247A1E"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5747C848" w14:textId="4166C2AB" w:rsidR="007E185B" w:rsidRPr="007E185B" w:rsidRDefault="007E185B" w:rsidP="0315B737">
            <w:pPr>
              <w:rPr>
                <w:rFonts w:ascii="Times New Roman" w:eastAsia="Calibri" w:hAnsi="Times New Roman" w:cs="Times New Roman"/>
                <w:b w:val="0"/>
                <w:sz w:val="24"/>
                <w:szCs w:val="24"/>
              </w:rPr>
            </w:pPr>
            <w:r w:rsidRPr="007E185B">
              <w:rPr>
                <w:rFonts w:ascii="Times New Roman" w:eastAsia="Calibri" w:hAnsi="Times New Roman" w:cs="Times New Roman"/>
                <w:b w:val="0"/>
                <w:sz w:val="24"/>
                <w:szCs w:val="24"/>
              </w:rPr>
              <w:t>ACCC</w:t>
            </w:r>
          </w:p>
        </w:tc>
        <w:tc>
          <w:tcPr>
            <w:tcW w:w="4508" w:type="dxa"/>
          </w:tcPr>
          <w:p w14:paraId="77DB53A3" w14:textId="1E46FC48" w:rsidR="007E185B" w:rsidRPr="00791267" w:rsidRDefault="007E185B" w:rsidP="0315B73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Australian Competition and Consumer Commission </w:t>
            </w:r>
          </w:p>
        </w:tc>
      </w:tr>
      <w:tr w:rsidR="05A6DE22" w:rsidRPr="00791267" w14:paraId="49D9FDCD"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09F0BCF3" w14:textId="378420D6" w:rsidR="05A6DE22" w:rsidRPr="00791267" w:rsidRDefault="05A6DE22">
            <w:pPr>
              <w:rPr>
                <w:rFonts w:ascii="Times New Roman" w:eastAsia="Calibri" w:hAnsi="Times New Roman" w:cs="Times New Roman"/>
                <w:b w:val="0"/>
                <w:bCs w:val="0"/>
                <w:sz w:val="24"/>
                <w:szCs w:val="24"/>
              </w:rPr>
            </w:pPr>
            <w:r w:rsidRPr="00791267">
              <w:rPr>
                <w:rFonts w:ascii="Times New Roman" w:eastAsia="Calibri" w:hAnsi="Times New Roman" w:cs="Times New Roman"/>
                <w:b w:val="0"/>
                <w:bCs w:val="0"/>
                <w:sz w:val="24"/>
                <w:szCs w:val="24"/>
              </w:rPr>
              <w:t xml:space="preserve">FS Act </w:t>
            </w:r>
          </w:p>
        </w:tc>
        <w:tc>
          <w:tcPr>
            <w:tcW w:w="4508" w:type="dxa"/>
          </w:tcPr>
          <w:p w14:paraId="4D873EA3" w14:textId="3434506C" w:rsidR="05A6DE22" w:rsidRPr="00791267" w:rsidRDefault="05A6DE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791267">
              <w:rPr>
                <w:rFonts w:ascii="Times New Roman" w:eastAsia="Calibri" w:hAnsi="Times New Roman" w:cs="Times New Roman"/>
                <w:i/>
                <w:sz w:val="24"/>
                <w:szCs w:val="24"/>
              </w:rPr>
              <w:t>Fuel Security Act 2021</w:t>
            </w:r>
          </w:p>
        </w:tc>
      </w:tr>
      <w:tr w:rsidR="009F7B1D" w:rsidRPr="00791267" w14:paraId="5B1B500D"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7C7FADAE" w14:textId="382ACE9B" w:rsidR="009F7B1D" w:rsidRPr="009F7B1D" w:rsidRDefault="009F7B1D">
            <w:pPr>
              <w:rPr>
                <w:rFonts w:ascii="Times New Roman" w:eastAsia="Calibri" w:hAnsi="Times New Roman" w:cs="Times New Roman"/>
                <w:b w:val="0"/>
                <w:sz w:val="24"/>
                <w:szCs w:val="24"/>
              </w:rPr>
            </w:pPr>
            <w:r w:rsidRPr="009F7B1D">
              <w:rPr>
                <w:rFonts w:ascii="Times New Roman" w:eastAsia="Calibri" w:hAnsi="Times New Roman" w:cs="Times New Roman"/>
                <w:b w:val="0"/>
                <w:sz w:val="24"/>
                <w:szCs w:val="24"/>
              </w:rPr>
              <w:t>Minister</w:t>
            </w:r>
          </w:p>
        </w:tc>
        <w:tc>
          <w:tcPr>
            <w:tcW w:w="4508" w:type="dxa"/>
          </w:tcPr>
          <w:p w14:paraId="4936EC7D" w14:textId="1B9DD6AE" w:rsidR="009F7B1D" w:rsidRPr="009F7B1D" w:rsidRDefault="009F7B1D" w:rsidP="009F7B1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7B1D">
              <w:rPr>
                <w:rFonts w:ascii="Times New Roman" w:eastAsia="Calibri" w:hAnsi="Times New Roman" w:cs="Times New Roman"/>
                <w:sz w:val="24"/>
                <w:szCs w:val="24"/>
              </w:rPr>
              <w:t xml:space="preserve">The Minister that is responsible for administering the POFR Act and the </w:t>
            </w:r>
            <w:r>
              <w:rPr>
                <w:rFonts w:ascii="Times New Roman" w:eastAsia="Calibri" w:hAnsi="Times New Roman" w:cs="Times New Roman"/>
                <w:sz w:val="24"/>
                <w:szCs w:val="24"/>
              </w:rPr>
              <w:t xml:space="preserve">principal POFR </w:t>
            </w:r>
            <w:r w:rsidRPr="009F7B1D">
              <w:rPr>
                <w:rFonts w:ascii="Times New Roman" w:eastAsia="Calibri" w:hAnsi="Times New Roman" w:cs="Times New Roman"/>
                <w:sz w:val="24"/>
                <w:szCs w:val="24"/>
              </w:rPr>
              <w:t>Rule</w:t>
            </w:r>
            <w:r>
              <w:rPr>
                <w:rFonts w:ascii="Times New Roman" w:eastAsia="Calibri" w:hAnsi="Times New Roman" w:cs="Times New Roman"/>
                <w:sz w:val="24"/>
                <w:szCs w:val="24"/>
              </w:rPr>
              <w:t>s</w:t>
            </w:r>
            <w:r w:rsidRPr="009F7B1D">
              <w:rPr>
                <w:rFonts w:ascii="Times New Roman" w:eastAsia="Calibri" w:hAnsi="Times New Roman" w:cs="Times New Roman"/>
                <w:sz w:val="24"/>
                <w:szCs w:val="24"/>
              </w:rPr>
              <w:t xml:space="preserve"> (presently, the Minister for </w:t>
            </w:r>
            <w:r w:rsidR="00EA171D">
              <w:rPr>
                <w:rFonts w:ascii="Times New Roman" w:eastAsia="Calibri" w:hAnsi="Times New Roman" w:cs="Times New Roman"/>
                <w:sz w:val="24"/>
                <w:szCs w:val="24"/>
              </w:rPr>
              <w:t xml:space="preserve">Industry, </w:t>
            </w:r>
            <w:r w:rsidRPr="009F7B1D">
              <w:rPr>
                <w:rFonts w:ascii="Times New Roman" w:eastAsia="Calibri" w:hAnsi="Times New Roman" w:cs="Times New Roman"/>
                <w:sz w:val="24"/>
                <w:szCs w:val="24"/>
              </w:rPr>
              <w:t>Energy and Emissions Reduction)</w:t>
            </w:r>
          </w:p>
        </w:tc>
      </w:tr>
      <w:tr w:rsidR="008763A1" w:rsidRPr="00791267" w14:paraId="2B673397"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58264CE5" w14:textId="06F0EFCB" w:rsidR="008763A1" w:rsidRPr="008763A1" w:rsidRDefault="008763A1">
            <w:pPr>
              <w:rPr>
                <w:rFonts w:ascii="Times New Roman" w:eastAsia="Calibri" w:hAnsi="Times New Roman" w:cs="Times New Roman"/>
                <w:b w:val="0"/>
                <w:sz w:val="24"/>
                <w:szCs w:val="24"/>
              </w:rPr>
            </w:pPr>
            <w:r w:rsidRPr="008763A1">
              <w:rPr>
                <w:rFonts w:ascii="Times New Roman" w:eastAsia="Calibri" w:hAnsi="Times New Roman" w:cs="Times New Roman"/>
                <w:b w:val="0"/>
                <w:sz w:val="24"/>
                <w:szCs w:val="24"/>
              </w:rPr>
              <w:t xml:space="preserve">MSO </w:t>
            </w:r>
          </w:p>
        </w:tc>
        <w:tc>
          <w:tcPr>
            <w:tcW w:w="4508" w:type="dxa"/>
          </w:tcPr>
          <w:p w14:paraId="5060C4B5" w14:textId="642BFD4F" w:rsidR="008763A1" w:rsidRPr="009F7B1D" w:rsidRDefault="008763A1" w:rsidP="009F7B1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Minimum stockholding obligation</w:t>
            </w:r>
          </w:p>
        </w:tc>
      </w:tr>
      <w:tr w:rsidR="008763A1" w:rsidRPr="00791267" w14:paraId="56C9BDED"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595EDCB9" w14:textId="073A8D67" w:rsidR="008763A1" w:rsidRPr="008763A1" w:rsidRDefault="008763A1">
            <w:pPr>
              <w:rPr>
                <w:rFonts w:ascii="Times New Roman" w:eastAsia="Calibri" w:hAnsi="Times New Roman" w:cs="Times New Roman"/>
                <w:b w:val="0"/>
                <w:sz w:val="24"/>
                <w:szCs w:val="24"/>
              </w:rPr>
            </w:pPr>
            <w:r w:rsidRPr="008763A1">
              <w:rPr>
                <w:rFonts w:ascii="Times New Roman" w:eastAsia="Calibri" w:hAnsi="Times New Roman" w:cs="Times New Roman"/>
                <w:b w:val="0"/>
                <w:sz w:val="24"/>
                <w:szCs w:val="24"/>
              </w:rPr>
              <w:t>MSO Rule</w:t>
            </w:r>
            <w:r w:rsidR="00F761A7">
              <w:rPr>
                <w:rFonts w:ascii="Times New Roman" w:eastAsia="Calibri" w:hAnsi="Times New Roman" w:cs="Times New Roman"/>
                <w:b w:val="0"/>
                <w:sz w:val="24"/>
                <w:szCs w:val="24"/>
              </w:rPr>
              <w:t>s</w:t>
            </w:r>
          </w:p>
        </w:tc>
        <w:tc>
          <w:tcPr>
            <w:tcW w:w="4508" w:type="dxa"/>
          </w:tcPr>
          <w:p w14:paraId="274680D9" w14:textId="5A53EE46" w:rsidR="008763A1" w:rsidRPr="0002522B" w:rsidRDefault="008763A1" w:rsidP="008763A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91267">
              <w:rPr>
                <w:rFonts w:ascii="Times New Roman" w:eastAsia="Calibri" w:hAnsi="Times New Roman" w:cs="Times New Roman"/>
                <w:i/>
                <w:sz w:val="24"/>
                <w:szCs w:val="24"/>
              </w:rPr>
              <w:t>Fuel Security (</w:t>
            </w:r>
            <w:r>
              <w:rPr>
                <w:rFonts w:ascii="Times New Roman" w:eastAsia="Calibri" w:hAnsi="Times New Roman" w:cs="Times New Roman"/>
                <w:i/>
                <w:sz w:val="24"/>
                <w:szCs w:val="24"/>
              </w:rPr>
              <w:t>Minimum Stockholding Obligation) Rule</w:t>
            </w:r>
            <w:r w:rsidR="0000564E">
              <w:rPr>
                <w:rFonts w:ascii="Times New Roman" w:eastAsia="Calibri" w:hAnsi="Times New Roman" w:cs="Times New Roman"/>
                <w:i/>
                <w:sz w:val="24"/>
                <w:szCs w:val="24"/>
              </w:rPr>
              <w:t>s</w:t>
            </w:r>
            <w:r>
              <w:rPr>
                <w:rFonts w:ascii="Times New Roman" w:eastAsia="Calibri" w:hAnsi="Times New Roman" w:cs="Times New Roman"/>
                <w:i/>
                <w:sz w:val="24"/>
                <w:szCs w:val="24"/>
              </w:rPr>
              <w:t xml:space="preserve"> 2022</w:t>
            </w:r>
          </w:p>
        </w:tc>
      </w:tr>
      <w:tr w:rsidR="05A6DE22" w:rsidRPr="00791267" w14:paraId="4FCDDDEF"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7443CF12" w14:textId="378420D6" w:rsidR="05A6DE22" w:rsidRPr="00791267" w:rsidRDefault="05A6DE22">
            <w:pPr>
              <w:rPr>
                <w:rFonts w:ascii="Times New Roman" w:eastAsia="Calibri" w:hAnsi="Times New Roman" w:cs="Times New Roman"/>
                <w:b w:val="0"/>
                <w:bCs w:val="0"/>
                <w:sz w:val="24"/>
                <w:szCs w:val="24"/>
              </w:rPr>
            </w:pPr>
            <w:r w:rsidRPr="00791267">
              <w:rPr>
                <w:rFonts w:ascii="Times New Roman" w:eastAsia="Calibri" w:hAnsi="Times New Roman" w:cs="Times New Roman"/>
                <w:b w:val="0"/>
                <w:bCs w:val="0"/>
                <w:sz w:val="24"/>
                <w:szCs w:val="24"/>
              </w:rPr>
              <w:t>NGER (Audit) Determination</w:t>
            </w:r>
          </w:p>
        </w:tc>
        <w:tc>
          <w:tcPr>
            <w:tcW w:w="4508" w:type="dxa"/>
          </w:tcPr>
          <w:p w14:paraId="4BF50FDE" w14:textId="5F2E7531" w:rsidR="05A6DE22" w:rsidRPr="00791267" w:rsidRDefault="05A6DE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791267">
              <w:rPr>
                <w:rFonts w:ascii="Times New Roman" w:eastAsia="Calibri" w:hAnsi="Times New Roman" w:cs="Times New Roman"/>
                <w:i/>
                <w:sz w:val="24"/>
                <w:szCs w:val="24"/>
              </w:rPr>
              <w:t>National Greenhouse and Energy Reporting (Audit) Determination 2009</w:t>
            </w:r>
          </w:p>
        </w:tc>
      </w:tr>
      <w:tr w:rsidR="05A6DE22" w:rsidRPr="00791267" w14:paraId="0927EF6F"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1C808779" w14:textId="378420D6" w:rsidR="05A6DE22" w:rsidRPr="00791267" w:rsidRDefault="05A6DE22">
            <w:pPr>
              <w:rPr>
                <w:rFonts w:ascii="Times New Roman" w:eastAsia="Calibri" w:hAnsi="Times New Roman" w:cs="Times New Roman"/>
                <w:b w:val="0"/>
                <w:bCs w:val="0"/>
                <w:sz w:val="24"/>
                <w:szCs w:val="24"/>
              </w:rPr>
            </w:pPr>
            <w:r w:rsidRPr="00791267">
              <w:rPr>
                <w:rFonts w:ascii="Times New Roman" w:eastAsia="Calibri" w:hAnsi="Times New Roman" w:cs="Times New Roman"/>
                <w:b w:val="0"/>
                <w:bCs w:val="0"/>
                <w:sz w:val="24"/>
                <w:szCs w:val="24"/>
              </w:rPr>
              <w:t>POFR Act</w:t>
            </w:r>
          </w:p>
        </w:tc>
        <w:tc>
          <w:tcPr>
            <w:tcW w:w="4508" w:type="dxa"/>
          </w:tcPr>
          <w:p w14:paraId="7FC0D4DB" w14:textId="736F6039" w:rsidR="05A6DE22" w:rsidRPr="00791267" w:rsidRDefault="05A6DE22" w:rsidP="00EA171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91267">
              <w:rPr>
                <w:rFonts w:ascii="Times New Roman" w:eastAsia="Calibri" w:hAnsi="Times New Roman" w:cs="Times New Roman"/>
                <w:i/>
                <w:sz w:val="24"/>
                <w:szCs w:val="24"/>
              </w:rPr>
              <w:t>Petroleum and Other Fuels Reporting Act 2017</w:t>
            </w:r>
            <w:r w:rsidR="002F1BE4" w:rsidRPr="00791267" w:rsidDel="002F1BE4">
              <w:rPr>
                <w:rFonts w:ascii="Times New Roman" w:eastAsia="Calibri" w:hAnsi="Times New Roman" w:cs="Times New Roman"/>
                <w:sz w:val="24"/>
                <w:szCs w:val="24"/>
              </w:rPr>
              <w:t xml:space="preserve"> </w:t>
            </w:r>
          </w:p>
        </w:tc>
      </w:tr>
      <w:tr w:rsidR="05A6DE22" w:rsidRPr="00791267" w14:paraId="4FF50012"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561A8EB0" w14:textId="378420D6" w:rsidR="05A6DE22" w:rsidRPr="00791267" w:rsidRDefault="05A6DE22">
            <w:pPr>
              <w:rPr>
                <w:rFonts w:ascii="Times New Roman" w:eastAsia="Calibri" w:hAnsi="Times New Roman" w:cs="Times New Roman"/>
                <w:b w:val="0"/>
                <w:bCs w:val="0"/>
                <w:sz w:val="24"/>
                <w:szCs w:val="24"/>
              </w:rPr>
            </w:pPr>
            <w:r w:rsidRPr="00791267">
              <w:rPr>
                <w:rFonts w:ascii="Times New Roman" w:eastAsia="Calibri" w:hAnsi="Times New Roman" w:cs="Times New Roman"/>
                <w:b w:val="0"/>
                <w:bCs w:val="0"/>
                <w:sz w:val="24"/>
                <w:szCs w:val="24"/>
              </w:rPr>
              <w:t>principal POFR Rules</w:t>
            </w:r>
          </w:p>
        </w:tc>
        <w:tc>
          <w:tcPr>
            <w:tcW w:w="4508" w:type="dxa"/>
          </w:tcPr>
          <w:p w14:paraId="47DBB406" w14:textId="64696A41" w:rsidR="05A6DE22" w:rsidRPr="00791267" w:rsidRDefault="05A6DE22" w:rsidP="00F606B0">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91267">
              <w:rPr>
                <w:rFonts w:ascii="Times New Roman" w:eastAsia="Calibri" w:hAnsi="Times New Roman" w:cs="Times New Roman"/>
                <w:i/>
                <w:sz w:val="24"/>
                <w:szCs w:val="24"/>
              </w:rPr>
              <w:t>Petroleum and Other Fuels Reporting Rules 2017</w:t>
            </w:r>
            <w:r w:rsidR="00791267">
              <w:rPr>
                <w:rFonts w:ascii="Times New Roman" w:eastAsia="Calibri" w:hAnsi="Times New Roman" w:cs="Times New Roman"/>
                <w:sz w:val="24"/>
                <w:szCs w:val="24"/>
              </w:rPr>
              <w:t xml:space="preserve">, as amended by </w:t>
            </w:r>
            <w:r w:rsidR="00F606B0">
              <w:rPr>
                <w:rFonts w:ascii="Times New Roman" w:eastAsia="Calibri" w:hAnsi="Times New Roman" w:cs="Times New Roman"/>
                <w:sz w:val="24"/>
                <w:szCs w:val="24"/>
              </w:rPr>
              <w:t xml:space="preserve">these </w:t>
            </w:r>
            <w:r w:rsidR="00791267">
              <w:rPr>
                <w:rFonts w:ascii="Times New Roman" w:eastAsia="Calibri" w:hAnsi="Times New Roman" w:cs="Times New Roman"/>
                <w:sz w:val="24"/>
                <w:szCs w:val="24"/>
              </w:rPr>
              <w:t>Rule</w:t>
            </w:r>
            <w:r w:rsidR="00F606B0">
              <w:rPr>
                <w:rFonts w:ascii="Times New Roman" w:eastAsia="Calibri" w:hAnsi="Times New Roman" w:cs="Times New Roman"/>
                <w:sz w:val="24"/>
                <w:szCs w:val="24"/>
              </w:rPr>
              <w:t>s</w:t>
            </w:r>
          </w:p>
        </w:tc>
      </w:tr>
      <w:tr w:rsidR="05A6DE22" w:rsidRPr="00791267" w14:paraId="0E25E992"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27AFF69A" w14:textId="3DE04670" w:rsidR="05A6DE22" w:rsidRPr="00791267" w:rsidRDefault="05A6DE22">
            <w:pPr>
              <w:rPr>
                <w:rFonts w:ascii="Times New Roman" w:eastAsia="Calibri" w:hAnsi="Times New Roman" w:cs="Times New Roman"/>
                <w:b w:val="0"/>
                <w:bCs w:val="0"/>
                <w:sz w:val="24"/>
                <w:szCs w:val="24"/>
              </w:rPr>
            </w:pPr>
            <w:r w:rsidRPr="00791267" w:rsidDel="00F606B0">
              <w:rPr>
                <w:rFonts w:ascii="Times New Roman" w:eastAsia="Calibri" w:hAnsi="Times New Roman" w:cs="Times New Roman"/>
                <w:b w:val="0"/>
                <w:bCs w:val="0"/>
                <w:sz w:val="24"/>
                <w:szCs w:val="24"/>
              </w:rPr>
              <w:t>the/</w:t>
            </w:r>
            <w:r w:rsidR="00F606B0">
              <w:rPr>
                <w:rFonts w:ascii="Times New Roman" w:eastAsia="Calibri" w:hAnsi="Times New Roman" w:cs="Times New Roman"/>
                <w:b w:val="0"/>
                <w:bCs w:val="0"/>
                <w:sz w:val="24"/>
                <w:szCs w:val="24"/>
              </w:rPr>
              <w:t>these</w:t>
            </w:r>
            <w:r w:rsidRPr="00791267">
              <w:rPr>
                <w:rFonts w:ascii="Times New Roman" w:eastAsia="Calibri" w:hAnsi="Times New Roman" w:cs="Times New Roman"/>
                <w:b w:val="0"/>
                <w:bCs w:val="0"/>
                <w:sz w:val="24"/>
                <w:szCs w:val="24"/>
              </w:rPr>
              <w:t xml:space="preserve"> Rule</w:t>
            </w:r>
            <w:r w:rsidR="00F606B0">
              <w:rPr>
                <w:rFonts w:ascii="Times New Roman" w:eastAsia="Calibri" w:hAnsi="Times New Roman" w:cs="Times New Roman"/>
                <w:b w:val="0"/>
                <w:bCs w:val="0"/>
                <w:sz w:val="24"/>
                <w:szCs w:val="24"/>
              </w:rPr>
              <w:t>s</w:t>
            </w:r>
          </w:p>
        </w:tc>
        <w:tc>
          <w:tcPr>
            <w:tcW w:w="4508" w:type="dxa"/>
          </w:tcPr>
          <w:p w14:paraId="23727BF2" w14:textId="6AD3567E" w:rsidR="05A6DE22" w:rsidRPr="00791267" w:rsidRDefault="05A6DE22" w:rsidP="008763A1">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791267">
              <w:rPr>
                <w:rFonts w:ascii="Times New Roman" w:eastAsia="Calibri" w:hAnsi="Times New Roman" w:cs="Times New Roman"/>
                <w:i/>
                <w:sz w:val="24"/>
                <w:szCs w:val="24"/>
              </w:rPr>
              <w:t>Petroleum and Other Fuels Reporting Amendment (</w:t>
            </w:r>
            <w:r w:rsidR="008763A1">
              <w:rPr>
                <w:rFonts w:ascii="Times New Roman" w:eastAsia="Calibri" w:hAnsi="Times New Roman" w:cs="Times New Roman"/>
                <w:i/>
                <w:sz w:val="24"/>
                <w:szCs w:val="24"/>
              </w:rPr>
              <w:t>Minimum Stockholding Obligation) Rule</w:t>
            </w:r>
            <w:r w:rsidR="0000564E">
              <w:rPr>
                <w:rFonts w:ascii="Times New Roman" w:eastAsia="Calibri" w:hAnsi="Times New Roman" w:cs="Times New Roman"/>
                <w:i/>
                <w:sz w:val="24"/>
                <w:szCs w:val="24"/>
              </w:rPr>
              <w:t>s</w:t>
            </w:r>
            <w:r w:rsidR="008763A1">
              <w:rPr>
                <w:rFonts w:ascii="Times New Roman" w:eastAsia="Calibri" w:hAnsi="Times New Roman" w:cs="Times New Roman"/>
                <w:i/>
                <w:sz w:val="24"/>
                <w:szCs w:val="24"/>
              </w:rPr>
              <w:t xml:space="preserve"> 2022</w:t>
            </w:r>
          </w:p>
        </w:tc>
      </w:tr>
      <w:tr w:rsidR="009F7B1D" w:rsidRPr="00791267" w14:paraId="403880E9" w14:textId="77777777" w:rsidTr="008763A1">
        <w:tc>
          <w:tcPr>
            <w:cnfStyle w:val="001000000000" w:firstRow="0" w:lastRow="0" w:firstColumn="1" w:lastColumn="0" w:oddVBand="0" w:evenVBand="0" w:oddHBand="0" w:evenHBand="0" w:firstRowFirstColumn="0" w:firstRowLastColumn="0" w:lastRowFirstColumn="0" w:lastRowLastColumn="0"/>
            <w:tcW w:w="4508" w:type="dxa"/>
          </w:tcPr>
          <w:p w14:paraId="4875F506" w14:textId="1B4EA66B" w:rsidR="009F7B1D" w:rsidRPr="009F7B1D" w:rsidRDefault="009F7B1D">
            <w:pPr>
              <w:rPr>
                <w:rFonts w:ascii="Times New Roman" w:eastAsia="Calibri" w:hAnsi="Times New Roman" w:cs="Times New Roman"/>
                <w:b w:val="0"/>
                <w:sz w:val="24"/>
                <w:szCs w:val="24"/>
              </w:rPr>
            </w:pPr>
            <w:r w:rsidRPr="009F7B1D">
              <w:rPr>
                <w:rFonts w:ascii="Times New Roman" w:eastAsia="Calibri" w:hAnsi="Times New Roman" w:cs="Times New Roman"/>
                <w:b w:val="0"/>
                <w:sz w:val="24"/>
                <w:szCs w:val="24"/>
              </w:rPr>
              <w:t>Secretary</w:t>
            </w:r>
          </w:p>
        </w:tc>
        <w:tc>
          <w:tcPr>
            <w:tcW w:w="4508" w:type="dxa"/>
          </w:tcPr>
          <w:p w14:paraId="7045C8E2" w14:textId="56D404FE" w:rsidR="009F7B1D" w:rsidRPr="009F7B1D" w:rsidRDefault="009F7B1D" w:rsidP="009F7B1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7B1D">
              <w:rPr>
                <w:rFonts w:ascii="Times New Roman" w:eastAsia="Calibri" w:hAnsi="Times New Roman" w:cs="Times New Roman"/>
                <w:sz w:val="24"/>
                <w:szCs w:val="24"/>
              </w:rPr>
              <w:t>The Secretary of the Department that is responsible for administering the POFR Act and principal POFR Rules (presently, the Department of Industry, Science, Energy and Resources).</w:t>
            </w:r>
          </w:p>
        </w:tc>
      </w:tr>
    </w:tbl>
    <w:p w14:paraId="16033D50" w14:textId="2538C963" w:rsidR="6C21EC60" w:rsidRDefault="6C21EC60"/>
    <w:p w14:paraId="64C5C2C0" w14:textId="2538C963" w:rsidR="7A37929F" w:rsidRDefault="7A37929F">
      <w:r>
        <w:br w:type="page"/>
      </w:r>
    </w:p>
    <w:p w14:paraId="1BC804F7" w14:textId="26D7386E" w:rsidR="000611C3" w:rsidRPr="000611C3" w:rsidRDefault="000611C3" w:rsidP="000611C3">
      <w:pPr>
        <w:spacing w:before="240" w:after="24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u w:val="single"/>
        </w:rPr>
        <w:lastRenderedPageBreak/>
        <w:t xml:space="preserve">Details of the </w:t>
      </w:r>
      <w:r w:rsidR="00BC0018" w:rsidRPr="00BC0018">
        <w:rPr>
          <w:rFonts w:ascii="Times New Roman" w:eastAsia="Calibri" w:hAnsi="Times New Roman" w:cs="Times New Roman"/>
          <w:b/>
          <w:i/>
          <w:sz w:val="24"/>
          <w:szCs w:val="24"/>
          <w:u w:val="single"/>
        </w:rPr>
        <w:t>Petroleum and Other Fuels Reporting Amendment (</w:t>
      </w:r>
      <w:r w:rsidR="00A71E46">
        <w:rPr>
          <w:rFonts w:ascii="Times New Roman" w:eastAsia="Calibri" w:hAnsi="Times New Roman" w:cs="Times New Roman"/>
          <w:b/>
          <w:i/>
          <w:sz w:val="24"/>
          <w:szCs w:val="24"/>
          <w:u w:val="single"/>
        </w:rPr>
        <w:t>Minimum Stockholding Obligation) Rule</w:t>
      </w:r>
      <w:r w:rsidR="0000564E">
        <w:rPr>
          <w:rFonts w:ascii="Times New Roman" w:eastAsia="Calibri" w:hAnsi="Times New Roman" w:cs="Times New Roman"/>
          <w:b/>
          <w:i/>
          <w:sz w:val="24"/>
          <w:szCs w:val="24"/>
          <w:u w:val="single"/>
        </w:rPr>
        <w:t>s</w:t>
      </w:r>
      <w:r w:rsidR="00A71E46">
        <w:rPr>
          <w:rFonts w:ascii="Times New Roman" w:eastAsia="Calibri" w:hAnsi="Times New Roman" w:cs="Times New Roman"/>
          <w:b/>
          <w:i/>
          <w:sz w:val="24"/>
          <w:szCs w:val="24"/>
          <w:u w:val="single"/>
        </w:rPr>
        <w:t xml:space="preserve"> 2022</w:t>
      </w:r>
    </w:p>
    <w:p w14:paraId="63733026" w14:textId="77777777" w:rsidR="000611C3" w:rsidRPr="000611C3" w:rsidRDefault="000611C3" w:rsidP="000611C3">
      <w:pPr>
        <w:spacing w:before="240" w:after="240" w:line="276" w:lineRule="auto"/>
        <w:rPr>
          <w:rFonts w:ascii="Times New Roman" w:eastAsia="Calibri" w:hAnsi="Times New Roman" w:cs="Times New Roman"/>
          <w:b/>
          <w:sz w:val="24"/>
          <w:szCs w:val="24"/>
        </w:rPr>
      </w:pPr>
      <w:r w:rsidRPr="00347228">
        <w:rPr>
          <w:rFonts w:ascii="Times New Roman" w:eastAsia="Calibri" w:hAnsi="Times New Roman" w:cs="Times New Roman"/>
          <w:b/>
          <w:sz w:val="24"/>
          <w:szCs w:val="24"/>
        </w:rPr>
        <w:t>PART 1 – PRELIMINARY</w:t>
      </w:r>
    </w:p>
    <w:p w14:paraId="550B1964" w14:textId="77777777" w:rsidR="000611C3" w:rsidRPr="000611C3" w:rsidRDefault="000611C3" w:rsidP="000611C3">
      <w:pPr>
        <w:spacing w:before="360" w:after="20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rPr>
        <w:t>Section 1 – Name</w:t>
      </w:r>
    </w:p>
    <w:p w14:paraId="25D9E746" w14:textId="06763734" w:rsidR="000611C3" w:rsidRPr="000611C3" w:rsidRDefault="000611C3" w:rsidP="000611C3">
      <w:pPr>
        <w:spacing w:before="240" w:after="20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 xml:space="preserve">This section specifies the name of this instrument made under the </w:t>
      </w:r>
      <w:r w:rsidR="00F606B0">
        <w:rPr>
          <w:rFonts w:ascii="Times New Roman" w:eastAsia="Calibri" w:hAnsi="Times New Roman" w:cs="Times New Roman"/>
          <w:sz w:val="24"/>
          <w:szCs w:val="24"/>
        </w:rPr>
        <w:t xml:space="preserve">POFR </w:t>
      </w:r>
      <w:r w:rsidRPr="000611C3">
        <w:rPr>
          <w:rFonts w:ascii="Times New Roman" w:eastAsia="Calibri" w:hAnsi="Times New Roman" w:cs="Times New Roman"/>
          <w:sz w:val="24"/>
          <w:szCs w:val="24"/>
        </w:rPr>
        <w:t xml:space="preserve">Act as the </w:t>
      </w:r>
      <w:r w:rsidR="00BC0018" w:rsidRPr="00BC0018">
        <w:rPr>
          <w:rFonts w:ascii="Times New Roman" w:eastAsia="Calibri" w:hAnsi="Times New Roman" w:cs="Times New Roman"/>
          <w:i/>
          <w:sz w:val="24"/>
          <w:szCs w:val="24"/>
        </w:rPr>
        <w:t>Petroleum and Other Fuels Reporting Amendment (</w:t>
      </w:r>
      <w:r w:rsidR="00A71E46">
        <w:rPr>
          <w:rFonts w:ascii="Times New Roman" w:eastAsia="Calibri" w:hAnsi="Times New Roman" w:cs="Times New Roman"/>
          <w:i/>
          <w:sz w:val="24"/>
          <w:szCs w:val="24"/>
        </w:rPr>
        <w:t>Minimum Stockholding Obligation</w:t>
      </w:r>
      <w:r w:rsidR="00BC0018" w:rsidRPr="00BC0018">
        <w:rPr>
          <w:rFonts w:ascii="Times New Roman" w:eastAsia="Calibri" w:hAnsi="Times New Roman" w:cs="Times New Roman"/>
          <w:i/>
          <w:sz w:val="24"/>
          <w:szCs w:val="24"/>
        </w:rPr>
        <w:t>) Rule</w:t>
      </w:r>
      <w:r w:rsidR="00A71E46">
        <w:rPr>
          <w:rFonts w:ascii="Times New Roman" w:eastAsia="Calibri" w:hAnsi="Times New Roman" w:cs="Times New Roman"/>
          <w:i/>
          <w:sz w:val="24"/>
          <w:szCs w:val="24"/>
        </w:rPr>
        <w:t>s</w:t>
      </w:r>
      <w:r w:rsidR="00BC0018" w:rsidRPr="00BC0018">
        <w:rPr>
          <w:rFonts w:ascii="Times New Roman" w:eastAsia="Calibri" w:hAnsi="Times New Roman" w:cs="Times New Roman"/>
          <w:i/>
          <w:sz w:val="24"/>
          <w:szCs w:val="24"/>
        </w:rPr>
        <w:t xml:space="preserve"> 202</w:t>
      </w:r>
      <w:r w:rsidR="00A71E46">
        <w:rPr>
          <w:rFonts w:ascii="Times New Roman" w:eastAsia="Calibri" w:hAnsi="Times New Roman" w:cs="Times New Roman"/>
          <w:i/>
          <w:sz w:val="24"/>
          <w:szCs w:val="24"/>
        </w:rPr>
        <w:t>2</w:t>
      </w:r>
      <w:r w:rsidR="00BC0018" w:rsidRPr="00BC0018">
        <w:rPr>
          <w:rFonts w:ascii="Times New Roman" w:eastAsia="Calibri" w:hAnsi="Times New Roman" w:cs="Times New Roman"/>
          <w:i/>
          <w:sz w:val="24"/>
          <w:szCs w:val="24"/>
        </w:rPr>
        <w:t xml:space="preserve"> </w:t>
      </w:r>
      <w:r w:rsidRPr="000611C3">
        <w:rPr>
          <w:rFonts w:ascii="Times New Roman" w:eastAsia="Calibri" w:hAnsi="Times New Roman" w:cs="Times New Roman"/>
          <w:sz w:val="24"/>
          <w:szCs w:val="24"/>
        </w:rPr>
        <w:t>(the Rule</w:t>
      </w:r>
      <w:r w:rsidR="00F606B0">
        <w:rPr>
          <w:rFonts w:ascii="Times New Roman" w:eastAsia="Calibri" w:hAnsi="Times New Roman" w:cs="Times New Roman"/>
          <w:sz w:val="24"/>
          <w:szCs w:val="24"/>
        </w:rPr>
        <w:t>s</w:t>
      </w:r>
      <w:r w:rsidRPr="000611C3">
        <w:rPr>
          <w:rFonts w:ascii="Times New Roman" w:eastAsia="Calibri" w:hAnsi="Times New Roman" w:cs="Times New Roman"/>
          <w:sz w:val="24"/>
          <w:szCs w:val="24"/>
        </w:rPr>
        <w:t>)</w:t>
      </w:r>
      <w:r w:rsidRPr="000611C3">
        <w:rPr>
          <w:rFonts w:ascii="Times New Roman" w:eastAsia="Calibri" w:hAnsi="Times New Roman" w:cs="Times New Roman"/>
          <w:i/>
          <w:sz w:val="24"/>
          <w:szCs w:val="24"/>
        </w:rPr>
        <w:t>.</w:t>
      </w:r>
    </w:p>
    <w:p w14:paraId="338A2905" w14:textId="77777777" w:rsidR="000611C3" w:rsidRPr="000611C3" w:rsidRDefault="000611C3" w:rsidP="000611C3">
      <w:pPr>
        <w:tabs>
          <w:tab w:val="left" w:pos="5220"/>
        </w:tabs>
        <w:spacing w:before="240" w:after="20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rPr>
        <w:t>Section 2 – Commencement</w:t>
      </w:r>
    </w:p>
    <w:p w14:paraId="56546E52" w14:textId="2494A5F5" w:rsidR="000611C3" w:rsidRPr="000611C3" w:rsidRDefault="000611C3" w:rsidP="000611C3">
      <w:pPr>
        <w:spacing w:before="240" w:after="100" w:afterAutospacing="1"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This section provides that the Rule</w:t>
      </w:r>
      <w:r w:rsidR="00F606B0">
        <w:rPr>
          <w:rFonts w:ascii="Times New Roman" w:eastAsia="Calibri" w:hAnsi="Times New Roman" w:cs="Times New Roman"/>
          <w:sz w:val="24"/>
          <w:szCs w:val="24"/>
        </w:rPr>
        <w:t>s</w:t>
      </w:r>
      <w:r w:rsidRPr="000611C3">
        <w:rPr>
          <w:rFonts w:ascii="Times New Roman" w:eastAsia="Calibri" w:hAnsi="Times New Roman" w:cs="Times New Roman"/>
          <w:sz w:val="24"/>
          <w:szCs w:val="24"/>
        </w:rPr>
        <w:t xml:space="preserve"> commenced on </w:t>
      </w:r>
      <w:r w:rsidRPr="000611C3">
        <w:rPr>
          <w:rFonts w:ascii="Times New Roman" w:eastAsia="Calibri" w:hAnsi="Times New Roman" w:cs="Times New Roman"/>
          <w:color w:val="000000"/>
          <w:sz w:val="24"/>
          <w:szCs w:val="24"/>
        </w:rPr>
        <w:t xml:space="preserve">the day after </w:t>
      </w:r>
      <w:r w:rsidR="00F606B0">
        <w:rPr>
          <w:rFonts w:ascii="Times New Roman" w:eastAsia="Calibri" w:hAnsi="Times New Roman" w:cs="Times New Roman"/>
          <w:color w:val="000000"/>
          <w:sz w:val="24"/>
          <w:szCs w:val="24"/>
        </w:rPr>
        <w:t xml:space="preserve">they </w:t>
      </w:r>
      <w:r w:rsidR="006C7B0E">
        <w:rPr>
          <w:rFonts w:ascii="Times New Roman" w:eastAsia="Calibri" w:hAnsi="Times New Roman" w:cs="Times New Roman"/>
          <w:color w:val="000000"/>
          <w:sz w:val="24"/>
          <w:szCs w:val="24"/>
        </w:rPr>
        <w:t>were</w:t>
      </w:r>
      <w:r w:rsidRPr="000611C3">
        <w:rPr>
          <w:rFonts w:ascii="Times New Roman" w:eastAsia="Calibri" w:hAnsi="Times New Roman" w:cs="Times New Roman"/>
          <w:color w:val="000000"/>
          <w:sz w:val="24"/>
          <w:szCs w:val="24"/>
        </w:rPr>
        <w:t xml:space="preserve"> registered on the Federal Register of Legislation</w:t>
      </w:r>
      <w:r w:rsidRPr="000611C3">
        <w:rPr>
          <w:rFonts w:ascii="Times New Roman" w:eastAsia="Calibri" w:hAnsi="Times New Roman" w:cs="Times New Roman"/>
          <w:sz w:val="24"/>
          <w:szCs w:val="24"/>
        </w:rPr>
        <w:t>.</w:t>
      </w:r>
    </w:p>
    <w:p w14:paraId="001920E6" w14:textId="77777777" w:rsidR="000611C3" w:rsidRPr="000611C3" w:rsidRDefault="000611C3" w:rsidP="000611C3">
      <w:pPr>
        <w:tabs>
          <w:tab w:val="left" w:pos="2610"/>
        </w:tabs>
        <w:spacing w:before="240" w:after="20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rPr>
        <w:t>Section 3 – Authority</w:t>
      </w:r>
    </w:p>
    <w:p w14:paraId="5F0FDA9D" w14:textId="1E8479A1" w:rsidR="000611C3" w:rsidRPr="000611C3" w:rsidRDefault="000611C3" w:rsidP="000611C3">
      <w:pPr>
        <w:spacing w:before="240" w:after="20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This section sets out the provision of the</w:t>
      </w:r>
      <w:r w:rsidR="0005660A">
        <w:rPr>
          <w:rFonts w:ascii="Times New Roman" w:eastAsia="Calibri" w:hAnsi="Times New Roman" w:cs="Times New Roman"/>
          <w:sz w:val="24"/>
          <w:szCs w:val="24"/>
        </w:rPr>
        <w:t xml:space="preserve"> POFR</w:t>
      </w:r>
      <w:r w:rsidRPr="000611C3">
        <w:rPr>
          <w:rFonts w:ascii="Times New Roman" w:eastAsia="Calibri" w:hAnsi="Times New Roman" w:cs="Times New Roman"/>
          <w:sz w:val="24"/>
          <w:szCs w:val="24"/>
        </w:rPr>
        <w:t xml:space="preserve"> Act under which the</w:t>
      </w:r>
      <w:r w:rsidR="00F606B0">
        <w:rPr>
          <w:rFonts w:ascii="Times New Roman" w:eastAsia="Calibri" w:hAnsi="Times New Roman" w:cs="Times New Roman"/>
          <w:sz w:val="24"/>
          <w:szCs w:val="24"/>
        </w:rPr>
        <w:t>se</w:t>
      </w:r>
      <w:r w:rsidRPr="000611C3">
        <w:rPr>
          <w:rFonts w:ascii="Times New Roman" w:eastAsia="Calibri" w:hAnsi="Times New Roman" w:cs="Times New Roman"/>
          <w:sz w:val="24"/>
          <w:szCs w:val="24"/>
        </w:rPr>
        <w:t xml:space="preserve"> Rule</w:t>
      </w:r>
      <w:r w:rsidR="00F606B0">
        <w:rPr>
          <w:rFonts w:ascii="Times New Roman" w:eastAsia="Calibri" w:hAnsi="Times New Roman" w:cs="Times New Roman"/>
          <w:sz w:val="24"/>
          <w:szCs w:val="24"/>
        </w:rPr>
        <w:t>s</w:t>
      </w:r>
      <w:r w:rsidRPr="000611C3">
        <w:rPr>
          <w:rFonts w:ascii="Times New Roman" w:eastAsia="Calibri" w:hAnsi="Times New Roman" w:cs="Times New Roman"/>
          <w:sz w:val="24"/>
          <w:szCs w:val="24"/>
        </w:rPr>
        <w:t xml:space="preserve"> </w:t>
      </w:r>
      <w:r w:rsidR="00F606B0">
        <w:rPr>
          <w:rFonts w:ascii="Times New Roman" w:eastAsia="Calibri" w:hAnsi="Times New Roman" w:cs="Times New Roman"/>
          <w:sz w:val="24"/>
          <w:szCs w:val="24"/>
        </w:rPr>
        <w:t>are</w:t>
      </w:r>
      <w:r w:rsidR="00F606B0" w:rsidRPr="000611C3">
        <w:rPr>
          <w:rFonts w:ascii="Times New Roman" w:eastAsia="Calibri" w:hAnsi="Times New Roman" w:cs="Times New Roman"/>
          <w:sz w:val="24"/>
          <w:szCs w:val="24"/>
        </w:rPr>
        <w:t xml:space="preserve"> </w:t>
      </w:r>
      <w:r w:rsidRPr="000611C3">
        <w:rPr>
          <w:rFonts w:ascii="Times New Roman" w:eastAsia="Calibri" w:hAnsi="Times New Roman" w:cs="Times New Roman"/>
          <w:sz w:val="24"/>
          <w:szCs w:val="24"/>
        </w:rPr>
        <w:t>made</w:t>
      </w:r>
      <w:r w:rsidR="002C4AAF">
        <w:rPr>
          <w:rFonts w:ascii="Times New Roman" w:eastAsia="Calibri" w:hAnsi="Times New Roman" w:cs="Times New Roman"/>
          <w:sz w:val="24"/>
          <w:szCs w:val="24"/>
        </w:rPr>
        <w:t>. It references</w:t>
      </w:r>
      <w:r w:rsidR="007E233E">
        <w:rPr>
          <w:rFonts w:ascii="Times New Roman" w:eastAsia="Calibri" w:hAnsi="Times New Roman" w:cs="Times New Roman"/>
          <w:sz w:val="24"/>
          <w:szCs w:val="24"/>
        </w:rPr>
        <w:t xml:space="preserve"> </w:t>
      </w:r>
      <w:r w:rsidR="00A1056A">
        <w:rPr>
          <w:rFonts w:ascii="Times New Roman" w:eastAsia="Calibri" w:hAnsi="Times New Roman" w:cs="Times New Roman"/>
          <w:sz w:val="24"/>
          <w:szCs w:val="24"/>
        </w:rPr>
        <w:t>section 41</w:t>
      </w:r>
      <w:r w:rsidR="007E233E">
        <w:rPr>
          <w:rFonts w:ascii="Times New Roman" w:eastAsia="Calibri" w:hAnsi="Times New Roman" w:cs="Times New Roman"/>
          <w:sz w:val="24"/>
          <w:szCs w:val="24"/>
        </w:rPr>
        <w:t xml:space="preserve"> of the </w:t>
      </w:r>
      <w:r w:rsidR="00FE0374">
        <w:rPr>
          <w:rFonts w:ascii="Times New Roman" w:eastAsia="Calibri" w:hAnsi="Times New Roman" w:cs="Times New Roman"/>
          <w:sz w:val="24"/>
          <w:szCs w:val="24"/>
        </w:rPr>
        <w:t xml:space="preserve">POFR </w:t>
      </w:r>
      <w:r w:rsidR="007E233E">
        <w:rPr>
          <w:rFonts w:ascii="Times New Roman" w:eastAsia="Calibri" w:hAnsi="Times New Roman" w:cs="Times New Roman"/>
          <w:sz w:val="24"/>
          <w:szCs w:val="24"/>
        </w:rPr>
        <w:t>Act</w:t>
      </w:r>
      <w:r w:rsidR="007259B5">
        <w:rPr>
          <w:rFonts w:ascii="Times New Roman" w:eastAsia="Calibri" w:hAnsi="Times New Roman" w:cs="Times New Roman"/>
          <w:sz w:val="24"/>
          <w:szCs w:val="24"/>
        </w:rPr>
        <w:t>, which</w:t>
      </w:r>
      <w:r w:rsidR="007E233E">
        <w:rPr>
          <w:rFonts w:ascii="Times New Roman" w:eastAsia="Calibri" w:hAnsi="Times New Roman" w:cs="Times New Roman"/>
          <w:sz w:val="24"/>
          <w:szCs w:val="24"/>
        </w:rPr>
        <w:t xml:space="preserve"> </w:t>
      </w:r>
      <w:r w:rsidR="00735A45">
        <w:rPr>
          <w:rFonts w:ascii="Times New Roman" w:eastAsia="Calibri" w:hAnsi="Times New Roman" w:cs="Times New Roman"/>
          <w:sz w:val="24"/>
          <w:szCs w:val="24"/>
        </w:rPr>
        <w:t>confers power on the Minister to make legislative rules</w:t>
      </w:r>
      <w:r w:rsidR="002C4AAF">
        <w:rPr>
          <w:rFonts w:ascii="Times New Roman" w:eastAsia="Calibri" w:hAnsi="Times New Roman" w:cs="Times New Roman"/>
          <w:sz w:val="24"/>
          <w:szCs w:val="24"/>
        </w:rPr>
        <w:t xml:space="preserve"> prescribing matters required or permitted to be prescribed, or necessary or convenient to be prescribed for carrying out the POFR Act</w:t>
      </w:r>
      <w:r w:rsidRPr="000611C3">
        <w:rPr>
          <w:rFonts w:ascii="Times New Roman" w:eastAsia="Calibri" w:hAnsi="Times New Roman" w:cs="Times New Roman"/>
          <w:sz w:val="24"/>
          <w:szCs w:val="24"/>
        </w:rPr>
        <w:t>.</w:t>
      </w:r>
      <w:r w:rsidR="00A1056A">
        <w:rPr>
          <w:rFonts w:ascii="Times New Roman" w:eastAsia="Calibri" w:hAnsi="Times New Roman" w:cs="Times New Roman"/>
          <w:sz w:val="24"/>
          <w:szCs w:val="24"/>
        </w:rPr>
        <w:t xml:space="preserve"> </w:t>
      </w:r>
      <w:r w:rsidR="00A1056A">
        <w:rPr>
          <w:rFonts w:ascii="Times New Roman" w:hAnsi="Times New Roman" w:cs="Times New Roman"/>
          <w:sz w:val="24"/>
          <w:szCs w:val="24"/>
        </w:rPr>
        <w:t xml:space="preserve">The power to make rules under this section includes the power to amend or revoke rules that have already been made, with any doubt about this resolved by subsection 33(3) of the </w:t>
      </w:r>
      <w:r w:rsidR="00A1056A">
        <w:rPr>
          <w:rFonts w:ascii="Times New Roman" w:hAnsi="Times New Roman" w:cs="Times New Roman"/>
          <w:i/>
          <w:iCs/>
          <w:sz w:val="24"/>
          <w:szCs w:val="24"/>
        </w:rPr>
        <w:t>Acts Interpretation Act 1901</w:t>
      </w:r>
      <w:r w:rsidR="00A1056A">
        <w:rPr>
          <w:rFonts w:ascii="Times New Roman" w:hAnsi="Times New Roman" w:cs="Times New Roman"/>
          <w:sz w:val="24"/>
          <w:szCs w:val="24"/>
        </w:rPr>
        <w:t>.</w:t>
      </w:r>
    </w:p>
    <w:p w14:paraId="7E42A8AD" w14:textId="26E230E7" w:rsidR="000611C3" w:rsidRPr="000611C3" w:rsidRDefault="000611C3" w:rsidP="000611C3">
      <w:pPr>
        <w:spacing w:before="240" w:after="20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rPr>
        <w:t xml:space="preserve">Section 4 – </w:t>
      </w:r>
      <w:r w:rsidR="00924BCE">
        <w:rPr>
          <w:rFonts w:ascii="Times New Roman" w:eastAsia="Calibri" w:hAnsi="Times New Roman" w:cs="Times New Roman"/>
          <w:b/>
          <w:sz w:val="24"/>
          <w:szCs w:val="24"/>
        </w:rPr>
        <w:t>Schedules</w:t>
      </w:r>
    </w:p>
    <w:p w14:paraId="5E4DF50C" w14:textId="04ECF74F" w:rsidR="000611C3" w:rsidRPr="000611C3" w:rsidRDefault="000611C3" w:rsidP="000611C3">
      <w:pPr>
        <w:spacing w:before="240" w:after="20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 xml:space="preserve">This section </w:t>
      </w:r>
      <w:r w:rsidR="00383373">
        <w:rPr>
          <w:rFonts w:ascii="Times New Roman" w:eastAsia="Calibri" w:hAnsi="Times New Roman" w:cs="Times New Roman"/>
          <w:sz w:val="24"/>
          <w:szCs w:val="24"/>
        </w:rPr>
        <w:t xml:space="preserve">is a machinery clause that </w:t>
      </w:r>
      <w:r w:rsidRPr="000611C3">
        <w:rPr>
          <w:rFonts w:ascii="Times New Roman" w:eastAsia="Calibri" w:hAnsi="Times New Roman" w:cs="Times New Roman"/>
          <w:sz w:val="24"/>
          <w:szCs w:val="24"/>
        </w:rPr>
        <w:t xml:space="preserve">provides </w:t>
      </w:r>
      <w:r w:rsidR="00924BCE" w:rsidRPr="00924BCE">
        <w:rPr>
          <w:rFonts w:ascii="Times New Roman" w:eastAsia="Calibri" w:hAnsi="Times New Roman" w:cs="Times New Roman"/>
          <w:sz w:val="24"/>
          <w:szCs w:val="24"/>
        </w:rPr>
        <w:t xml:space="preserve">that the Schedules to the </w:t>
      </w:r>
      <w:r w:rsidR="00924BCE">
        <w:rPr>
          <w:rFonts w:ascii="Times New Roman" w:eastAsia="Calibri" w:hAnsi="Times New Roman" w:cs="Times New Roman"/>
          <w:sz w:val="24"/>
          <w:szCs w:val="24"/>
        </w:rPr>
        <w:t>Rule</w:t>
      </w:r>
      <w:r w:rsidR="00D42871">
        <w:rPr>
          <w:rFonts w:ascii="Times New Roman" w:eastAsia="Calibri" w:hAnsi="Times New Roman" w:cs="Times New Roman"/>
          <w:sz w:val="24"/>
          <w:szCs w:val="24"/>
        </w:rPr>
        <w:t>s</w:t>
      </w:r>
      <w:r w:rsidR="00924BCE" w:rsidRPr="00924BCE">
        <w:rPr>
          <w:rFonts w:ascii="Times New Roman" w:eastAsia="Calibri" w:hAnsi="Times New Roman" w:cs="Times New Roman"/>
          <w:sz w:val="24"/>
          <w:szCs w:val="24"/>
        </w:rPr>
        <w:t xml:space="preserve"> amend or repeal the </w:t>
      </w:r>
      <w:r w:rsidR="00924BCE">
        <w:rPr>
          <w:rFonts w:ascii="Times New Roman" w:eastAsia="Calibri" w:hAnsi="Times New Roman" w:cs="Times New Roman"/>
          <w:sz w:val="24"/>
          <w:szCs w:val="24"/>
        </w:rPr>
        <w:t>instruments</w:t>
      </w:r>
      <w:r w:rsidR="00924BCE" w:rsidRPr="00924BCE">
        <w:rPr>
          <w:rFonts w:ascii="Times New Roman" w:eastAsia="Calibri" w:hAnsi="Times New Roman" w:cs="Times New Roman"/>
          <w:sz w:val="24"/>
          <w:szCs w:val="24"/>
        </w:rPr>
        <w:t xml:space="preserve"> referred to therein in the manner set out in the Schedules.</w:t>
      </w:r>
      <w:r w:rsidR="00924BCE">
        <w:rPr>
          <w:rFonts w:ascii="Times New Roman" w:eastAsia="Calibri" w:hAnsi="Times New Roman" w:cs="Times New Roman"/>
          <w:sz w:val="24"/>
          <w:szCs w:val="24"/>
        </w:rPr>
        <w:t xml:space="preserve"> </w:t>
      </w:r>
    </w:p>
    <w:p w14:paraId="6FBEC578" w14:textId="77777777" w:rsidR="000611C3" w:rsidRPr="000611C3" w:rsidRDefault="000611C3" w:rsidP="000611C3">
      <w:pPr>
        <w:spacing w:before="240" w:after="240" w:line="276" w:lineRule="auto"/>
        <w:rPr>
          <w:rFonts w:ascii="Times New Roman" w:eastAsia="Calibri" w:hAnsi="Times New Roman" w:cs="Times New Roman"/>
          <w:b/>
          <w:sz w:val="24"/>
          <w:szCs w:val="24"/>
        </w:rPr>
      </w:pPr>
    </w:p>
    <w:p w14:paraId="04AA6CF5" w14:textId="77777777" w:rsidR="000611C3" w:rsidRPr="000611C3" w:rsidRDefault="000611C3" w:rsidP="000611C3">
      <w:pPr>
        <w:spacing w:before="240" w:after="240" w:line="276" w:lineRule="auto"/>
        <w:rPr>
          <w:rFonts w:ascii="Times New Roman" w:eastAsia="Calibri" w:hAnsi="Times New Roman" w:cs="Times New Roman"/>
          <w:b/>
          <w:sz w:val="24"/>
          <w:szCs w:val="24"/>
        </w:rPr>
        <w:sectPr w:rsidR="000611C3" w:rsidRPr="000611C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689D0A7" w14:textId="77777777" w:rsidR="00CD6248" w:rsidRDefault="00CD6248" w:rsidP="008577C4">
      <w:pPr>
        <w:pStyle w:val="Heading3"/>
        <w:spacing w:before="0"/>
        <w:rPr>
          <w:rFonts w:cs="Times New Roman"/>
          <w:b w:val="0"/>
        </w:rPr>
      </w:pPr>
      <w:bookmarkStart w:id="1" w:name="_Toc71639704"/>
      <w:bookmarkStart w:id="2" w:name="_Toc71641182"/>
      <w:bookmarkStart w:id="3" w:name="_Toc71641806"/>
      <w:bookmarkStart w:id="4" w:name="_Toc72136626"/>
    </w:p>
    <w:p w14:paraId="052A1AAF" w14:textId="7748EF34" w:rsidR="00924BCE" w:rsidRPr="009410E6" w:rsidRDefault="00924BCE" w:rsidP="008577C4">
      <w:pPr>
        <w:pStyle w:val="Heading3"/>
        <w:spacing w:before="0"/>
        <w:rPr>
          <w:rFonts w:cs="Times New Roman"/>
          <w:b w:val="0"/>
        </w:rPr>
      </w:pPr>
      <w:r w:rsidRPr="009410E6">
        <w:rPr>
          <w:rFonts w:cs="Times New Roman"/>
          <w:b w:val="0"/>
        </w:rPr>
        <w:t>Schedule 1—Amendments</w:t>
      </w:r>
      <w:bookmarkStart w:id="5" w:name="_Toc69378704"/>
      <w:bookmarkEnd w:id="1"/>
      <w:bookmarkEnd w:id="2"/>
      <w:bookmarkEnd w:id="3"/>
      <w:bookmarkEnd w:id="4"/>
    </w:p>
    <w:p w14:paraId="757D0610" w14:textId="77777777" w:rsidR="00924BCE" w:rsidRPr="009410E6" w:rsidRDefault="00924BCE" w:rsidP="00791267">
      <w:pPr>
        <w:spacing w:before="360" w:after="0" w:line="276" w:lineRule="auto"/>
        <w:rPr>
          <w:rFonts w:ascii="Times New Roman" w:hAnsi="Times New Roman" w:cs="Times New Roman"/>
          <w:b/>
          <w:i/>
          <w:sz w:val="24"/>
          <w:szCs w:val="24"/>
        </w:rPr>
      </w:pPr>
      <w:bookmarkStart w:id="6" w:name="_Toc74748974"/>
      <w:bookmarkEnd w:id="5"/>
      <w:r w:rsidRPr="009410E6">
        <w:rPr>
          <w:rFonts w:ascii="Times New Roman" w:hAnsi="Times New Roman" w:cs="Times New Roman"/>
          <w:b/>
          <w:i/>
          <w:sz w:val="24"/>
          <w:szCs w:val="24"/>
        </w:rPr>
        <w:t>Petroleum and Other Fuels Reporting Rules 2017</w:t>
      </w:r>
      <w:bookmarkEnd w:id="6"/>
    </w:p>
    <w:p w14:paraId="08E625E9" w14:textId="77E49058" w:rsidR="00924BCE" w:rsidRPr="008577C4" w:rsidRDefault="00924BCE" w:rsidP="00791267">
      <w:pPr>
        <w:spacing w:before="360" w:after="0" w:line="276" w:lineRule="auto"/>
        <w:rPr>
          <w:rFonts w:ascii="Times New Roman" w:hAnsi="Times New Roman" w:cs="Times New Roman"/>
          <w:b/>
          <w:sz w:val="24"/>
          <w:szCs w:val="24"/>
        </w:rPr>
      </w:pPr>
      <w:r w:rsidRPr="009410E6">
        <w:rPr>
          <w:rFonts w:ascii="Times New Roman" w:hAnsi="Times New Roman" w:cs="Times New Roman"/>
          <w:b/>
          <w:sz w:val="24"/>
          <w:szCs w:val="24"/>
        </w:rPr>
        <w:t>Item 1 – Section 4</w:t>
      </w:r>
    </w:p>
    <w:p w14:paraId="3B4E6CD6" w14:textId="376D4EAD" w:rsidR="00924BCE" w:rsidRDefault="008577C4" w:rsidP="009B2BB2">
      <w:pPr>
        <w:spacing w:before="240" w:after="100" w:afterAutospacing="1" w:line="276" w:lineRule="auto"/>
        <w:rPr>
          <w:rFonts w:ascii="Times New Roman" w:eastAsia="Calibri" w:hAnsi="Times New Roman" w:cs="Times New Roman"/>
          <w:sz w:val="24"/>
          <w:szCs w:val="24"/>
        </w:rPr>
      </w:pPr>
      <w:r w:rsidRPr="009B2BB2">
        <w:rPr>
          <w:rFonts w:ascii="Times New Roman" w:eastAsia="Calibri" w:hAnsi="Times New Roman" w:cs="Times New Roman"/>
          <w:sz w:val="24"/>
          <w:szCs w:val="24"/>
        </w:rPr>
        <w:t xml:space="preserve">This item inserts new definitions of </w:t>
      </w:r>
      <w:r w:rsidR="000C39A8" w:rsidRPr="009B2BB2">
        <w:rPr>
          <w:rFonts w:ascii="Times New Roman" w:eastAsia="Calibri" w:hAnsi="Times New Roman" w:cs="Times New Roman"/>
          <w:sz w:val="24"/>
          <w:szCs w:val="24"/>
        </w:rPr>
        <w:t xml:space="preserve">key </w:t>
      </w:r>
      <w:r w:rsidRPr="009B2BB2">
        <w:rPr>
          <w:rFonts w:ascii="Times New Roman" w:eastAsia="Calibri" w:hAnsi="Times New Roman" w:cs="Times New Roman"/>
          <w:sz w:val="24"/>
          <w:szCs w:val="24"/>
        </w:rPr>
        <w:t xml:space="preserve">phrases </w:t>
      </w:r>
      <w:r w:rsidR="00791267">
        <w:rPr>
          <w:rFonts w:ascii="Times New Roman" w:eastAsia="Calibri" w:hAnsi="Times New Roman" w:cs="Times New Roman"/>
          <w:sz w:val="24"/>
          <w:szCs w:val="24"/>
        </w:rPr>
        <w:t xml:space="preserve">relating to the </w:t>
      </w:r>
      <w:r w:rsidR="009410E6">
        <w:rPr>
          <w:rFonts w:ascii="Times New Roman" w:eastAsia="Calibri" w:hAnsi="Times New Roman" w:cs="Times New Roman"/>
          <w:sz w:val="24"/>
          <w:szCs w:val="24"/>
        </w:rPr>
        <w:t>MSO</w:t>
      </w:r>
      <w:r w:rsidR="00791267">
        <w:rPr>
          <w:rFonts w:ascii="Times New Roman" w:eastAsia="Calibri" w:hAnsi="Times New Roman" w:cs="Times New Roman"/>
          <w:sz w:val="24"/>
          <w:szCs w:val="24"/>
        </w:rPr>
        <w:t xml:space="preserve"> scheme </w:t>
      </w:r>
      <w:r w:rsidRPr="009B2BB2">
        <w:rPr>
          <w:rFonts w:ascii="Times New Roman" w:eastAsia="Calibri" w:hAnsi="Times New Roman" w:cs="Times New Roman"/>
          <w:sz w:val="24"/>
          <w:szCs w:val="24"/>
        </w:rPr>
        <w:t xml:space="preserve">into the definitions provision of the </w:t>
      </w:r>
      <w:r w:rsidR="00611932">
        <w:rPr>
          <w:rFonts w:ascii="Times New Roman" w:eastAsia="Calibri" w:hAnsi="Times New Roman" w:cs="Times New Roman"/>
          <w:sz w:val="24"/>
          <w:szCs w:val="24"/>
        </w:rPr>
        <w:t xml:space="preserve">principal </w:t>
      </w:r>
      <w:r w:rsidRPr="009B2BB2">
        <w:rPr>
          <w:rFonts w:ascii="Times New Roman" w:eastAsia="Calibri" w:hAnsi="Times New Roman" w:cs="Times New Roman"/>
          <w:sz w:val="24"/>
          <w:szCs w:val="24"/>
        </w:rPr>
        <w:t xml:space="preserve">POFR </w:t>
      </w:r>
      <w:r w:rsidR="00611932">
        <w:rPr>
          <w:rFonts w:ascii="Times New Roman" w:eastAsia="Calibri" w:hAnsi="Times New Roman" w:cs="Times New Roman"/>
          <w:sz w:val="24"/>
          <w:szCs w:val="24"/>
        </w:rPr>
        <w:t>R</w:t>
      </w:r>
      <w:r w:rsidRPr="009B2BB2">
        <w:rPr>
          <w:rFonts w:ascii="Times New Roman" w:eastAsia="Calibri" w:hAnsi="Times New Roman" w:cs="Times New Roman"/>
          <w:sz w:val="24"/>
          <w:szCs w:val="24"/>
        </w:rPr>
        <w:t>ules</w:t>
      </w:r>
      <w:r w:rsidR="00CF0FC6">
        <w:rPr>
          <w:rFonts w:ascii="Times New Roman" w:eastAsia="Calibri" w:hAnsi="Times New Roman" w:cs="Times New Roman"/>
          <w:sz w:val="24"/>
          <w:szCs w:val="24"/>
        </w:rPr>
        <w:t>. The primary purpose of these amendments is to ensure phrases such as “</w:t>
      </w:r>
      <w:r w:rsidR="009410E6">
        <w:rPr>
          <w:rFonts w:ascii="Times New Roman" w:eastAsia="Calibri" w:hAnsi="Times New Roman" w:cs="Times New Roman"/>
          <w:i/>
          <w:sz w:val="24"/>
          <w:szCs w:val="24"/>
        </w:rPr>
        <w:t>MSO product</w:t>
      </w:r>
      <w:r w:rsidR="00CF0FC6">
        <w:rPr>
          <w:rFonts w:ascii="Times New Roman" w:eastAsia="Calibri" w:hAnsi="Times New Roman" w:cs="Times New Roman"/>
          <w:sz w:val="24"/>
          <w:szCs w:val="24"/>
        </w:rPr>
        <w:t>”</w:t>
      </w:r>
      <w:r w:rsidR="009410E6">
        <w:rPr>
          <w:rFonts w:ascii="Times New Roman" w:eastAsia="Calibri" w:hAnsi="Times New Roman" w:cs="Times New Roman"/>
          <w:sz w:val="24"/>
          <w:szCs w:val="24"/>
        </w:rPr>
        <w:t>, “</w:t>
      </w:r>
      <w:r w:rsidR="009410E6">
        <w:rPr>
          <w:rFonts w:ascii="Times New Roman" w:eastAsia="Calibri" w:hAnsi="Times New Roman" w:cs="Times New Roman"/>
          <w:i/>
          <w:sz w:val="24"/>
          <w:szCs w:val="24"/>
        </w:rPr>
        <w:t>MSO activity</w:t>
      </w:r>
      <w:r w:rsidR="009410E6">
        <w:rPr>
          <w:rFonts w:ascii="Times New Roman" w:eastAsia="Calibri" w:hAnsi="Times New Roman" w:cs="Times New Roman"/>
          <w:sz w:val="24"/>
          <w:szCs w:val="24"/>
        </w:rPr>
        <w:t>”</w:t>
      </w:r>
      <w:r w:rsidR="00CF0FC6">
        <w:rPr>
          <w:rFonts w:ascii="Times New Roman" w:eastAsia="Calibri" w:hAnsi="Times New Roman" w:cs="Times New Roman"/>
          <w:sz w:val="24"/>
          <w:szCs w:val="24"/>
        </w:rPr>
        <w:t xml:space="preserve"> and “</w:t>
      </w:r>
      <w:r w:rsidR="009410E6">
        <w:rPr>
          <w:rFonts w:ascii="Times New Roman" w:eastAsia="Calibri" w:hAnsi="Times New Roman" w:cs="Times New Roman"/>
          <w:i/>
          <w:sz w:val="24"/>
          <w:szCs w:val="24"/>
        </w:rPr>
        <w:t>obligation day</w:t>
      </w:r>
      <w:r w:rsidR="00CF0FC6">
        <w:rPr>
          <w:rFonts w:ascii="Times New Roman" w:eastAsia="Calibri" w:hAnsi="Times New Roman" w:cs="Times New Roman"/>
          <w:sz w:val="24"/>
          <w:szCs w:val="24"/>
        </w:rPr>
        <w:t xml:space="preserve">” are defined consistently across the laws </w:t>
      </w:r>
      <w:r w:rsidR="0005660A">
        <w:rPr>
          <w:rFonts w:ascii="Times New Roman" w:eastAsia="Calibri" w:hAnsi="Times New Roman" w:cs="Times New Roman"/>
          <w:sz w:val="24"/>
          <w:szCs w:val="24"/>
        </w:rPr>
        <w:t>establishing</w:t>
      </w:r>
      <w:r w:rsidR="00CF0FC6">
        <w:rPr>
          <w:rFonts w:ascii="Times New Roman" w:eastAsia="Calibri" w:hAnsi="Times New Roman" w:cs="Times New Roman"/>
          <w:sz w:val="24"/>
          <w:szCs w:val="24"/>
        </w:rPr>
        <w:t xml:space="preserve"> the </w:t>
      </w:r>
      <w:r w:rsidR="009410E6">
        <w:rPr>
          <w:rFonts w:ascii="Times New Roman" w:eastAsia="Calibri" w:hAnsi="Times New Roman" w:cs="Times New Roman"/>
          <w:sz w:val="24"/>
          <w:szCs w:val="24"/>
        </w:rPr>
        <w:t>MSO</w:t>
      </w:r>
      <w:r w:rsidR="00CF0FC6">
        <w:rPr>
          <w:rFonts w:ascii="Times New Roman" w:eastAsia="Calibri" w:hAnsi="Times New Roman" w:cs="Times New Roman"/>
          <w:sz w:val="24"/>
          <w:szCs w:val="24"/>
        </w:rPr>
        <w:t xml:space="preserve"> scheme, including </w:t>
      </w:r>
      <w:r w:rsidR="00791267">
        <w:rPr>
          <w:rFonts w:ascii="Times New Roman" w:eastAsia="Calibri" w:hAnsi="Times New Roman" w:cs="Times New Roman"/>
          <w:sz w:val="24"/>
          <w:szCs w:val="24"/>
        </w:rPr>
        <w:t xml:space="preserve">under </w:t>
      </w:r>
      <w:r w:rsidR="00CF0FC6">
        <w:rPr>
          <w:rFonts w:ascii="Times New Roman" w:eastAsia="Calibri" w:hAnsi="Times New Roman" w:cs="Times New Roman"/>
          <w:sz w:val="24"/>
          <w:szCs w:val="24"/>
        </w:rPr>
        <w:t>the</w:t>
      </w:r>
      <w:r w:rsidR="002C4AAF">
        <w:rPr>
          <w:rFonts w:ascii="Times New Roman" w:eastAsia="Calibri" w:hAnsi="Times New Roman" w:cs="Times New Roman"/>
          <w:sz w:val="24"/>
          <w:szCs w:val="24"/>
        </w:rPr>
        <w:t xml:space="preserve"> FS Act</w:t>
      </w:r>
      <w:r w:rsidR="00CF0FC6">
        <w:rPr>
          <w:rFonts w:ascii="Times New Roman" w:eastAsia="Calibri" w:hAnsi="Times New Roman" w:cs="Times New Roman"/>
          <w:sz w:val="24"/>
          <w:szCs w:val="24"/>
        </w:rPr>
        <w:t xml:space="preserve">, the </w:t>
      </w:r>
      <w:r w:rsidR="009410E6">
        <w:rPr>
          <w:rFonts w:ascii="Times New Roman" w:eastAsia="Calibri" w:hAnsi="Times New Roman" w:cs="Times New Roman"/>
          <w:sz w:val="24"/>
          <w:szCs w:val="24"/>
        </w:rPr>
        <w:t>MSO</w:t>
      </w:r>
      <w:r w:rsidR="00CF0FC6">
        <w:rPr>
          <w:rFonts w:ascii="Times New Roman" w:eastAsia="Calibri" w:hAnsi="Times New Roman" w:cs="Times New Roman"/>
          <w:sz w:val="24"/>
          <w:szCs w:val="24"/>
        </w:rPr>
        <w:t xml:space="preserve"> Rule</w:t>
      </w:r>
      <w:r w:rsidR="009410E6">
        <w:rPr>
          <w:rFonts w:ascii="Times New Roman" w:eastAsia="Calibri" w:hAnsi="Times New Roman" w:cs="Times New Roman"/>
          <w:sz w:val="24"/>
          <w:szCs w:val="24"/>
        </w:rPr>
        <w:t>s</w:t>
      </w:r>
      <w:r w:rsidR="00CF0FC6">
        <w:rPr>
          <w:rFonts w:ascii="Times New Roman" w:eastAsia="Calibri" w:hAnsi="Times New Roman" w:cs="Times New Roman"/>
          <w:sz w:val="24"/>
          <w:szCs w:val="24"/>
        </w:rPr>
        <w:t xml:space="preserve"> and the principal POFR Rules.</w:t>
      </w:r>
    </w:p>
    <w:p w14:paraId="64C0BD11" w14:textId="178BEFB2" w:rsidR="00A1056A" w:rsidRDefault="00A1056A" w:rsidP="009B2BB2">
      <w:pPr>
        <w:spacing w:before="240" w:after="100" w:afterAutospacing="1"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Pr="00791267">
        <w:rPr>
          <w:rFonts w:ascii="Times New Roman" w:eastAsia="Calibri" w:hAnsi="Times New Roman" w:cs="Times New Roman"/>
          <w:i/>
          <w:sz w:val="24"/>
          <w:szCs w:val="24"/>
        </w:rPr>
        <w:t>Fuel Security (</w:t>
      </w:r>
      <w:r w:rsidR="009410E6">
        <w:rPr>
          <w:rFonts w:ascii="Times New Roman" w:eastAsia="Calibri" w:hAnsi="Times New Roman" w:cs="Times New Roman"/>
          <w:i/>
          <w:sz w:val="24"/>
          <w:szCs w:val="24"/>
        </w:rPr>
        <w:t>Minimum Stockholding Obligation</w:t>
      </w:r>
      <w:r w:rsidRPr="00791267">
        <w:rPr>
          <w:rFonts w:ascii="Times New Roman" w:eastAsia="Calibri" w:hAnsi="Times New Roman" w:cs="Times New Roman"/>
          <w:i/>
          <w:sz w:val="24"/>
          <w:szCs w:val="24"/>
        </w:rPr>
        <w:t>) Rule</w:t>
      </w:r>
      <w:r w:rsidR="009410E6">
        <w:rPr>
          <w:rFonts w:ascii="Times New Roman" w:eastAsia="Calibri" w:hAnsi="Times New Roman" w:cs="Times New Roman"/>
          <w:i/>
          <w:sz w:val="24"/>
          <w:szCs w:val="24"/>
        </w:rPr>
        <w:t>s</w:t>
      </w:r>
      <w:r w:rsidRPr="00791267">
        <w:rPr>
          <w:rFonts w:ascii="Times New Roman" w:eastAsia="Calibri" w:hAnsi="Times New Roman" w:cs="Times New Roman"/>
          <w:i/>
          <w:sz w:val="24"/>
          <w:szCs w:val="24"/>
        </w:rPr>
        <w:t xml:space="preserve"> 202</w:t>
      </w:r>
      <w:r w:rsidR="009410E6">
        <w:rPr>
          <w:rFonts w:ascii="Times New Roman" w:eastAsia="Calibri" w:hAnsi="Times New Roman" w:cs="Times New Roman"/>
          <w:i/>
          <w:sz w:val="24"/>
          <w:szCs w:val="24"/>
        </w:rPr>
        <w:t>2</w:t>
      </w:r>
      <w:r>
        <w:rPr>
          <w:rFonts w:ascii="Times New Roman" w:eastAsia="Calibri" w:hAnsi="Times New Roman" w:cs="Times New Roman"/>
          <w:i/>
          <w:sz w:val="24"/>
          <w:szCs w:val="24"/>
        </w:rPr>
        <w:t xml:space="preserve"> </w:t>
      </w:r>
      <w:r w:rsidR="009410E6">
        <w:rPr>
          <w:rFonts w:ascii="Times New Roman" w:eastAsia="Calibri" w:hAnsi="Times New Roman" w:cs="Times New Roman"/>
          <w:sz w:val="24"/>
          <w:szCs w:val="24"/>
        </w:rPr>
        <w:t xml:space="preserve">is a legislative instrument </w:t>
      </w:r>
      <w:r>
        <w:rPr>
          <w:rFonts w:ascii="Times New Roman" w:eastAsia="Calibri" w:hAnsi="Times New Roman" w:cs="Times New Roman"/>
          <w:sz w:val="24"/>
          <w:szCs w:val="24"/>
        </w:rPr>
        <w:t xml:space="preserve">incorporated from time to time and available at </w:t>
      </w:r>
      <w:hyperlink r:id="rId18" w:history="1">
        <w:r w:rsidRPr="00B86997">
          <w:rPr>
            <w:rStyle w:val="Hyperlink"/>
            <w:rFonts w:ascii="Times New Roman" w:eastAsia="Calibri" w:hAnsi="Times New Roman" w:cs="Times New Roman"/>
            <w:sz w:val="24"/>
            <w:szCs w:val="24"/>
          </w:rPr>
          <w:t>www.legislation.gov.au</w:t>
        </w:r>
      </w:hyperlink>
      <w:r>
        <w:rPr>
          <w:rFonts w:ascii="Times New Roman" w:eastAsia="Calibri" w:hAnsi="Times New Roman" w:cs="Times New Roman"/>
          <w:sz w:val="24"/>
          <w:szCs w:val="24"/>
        </w:rPr>
        <w:t xml:space="preserve">. </w:t>
      </w:r>
    </w:p>
    <w:p w14:paraId="5F99AB7C" w14:textId="41FFAEC0" w:rsidR="009410E6" w:rsidRDefault="009410E6" w:rsidP="009410E6">
      <w:pPr>
        <w:spacing w:before="360" w:after="0" w:line="276" w:lineRule="auto"/>
        <w:rPr>
          <w:rFonts w:ascii="Times New Roman" w:hAnsi="Times New Roman" w:cs="Times New Roman"/>
          <w:b/>
          <w:sz w:val="24"/>
          <w:szCs w:val="24"/>
        </w:rPr>
      </w:pPr>
      <w:r>
        <w:rPr>
          <w:rFonts w:ascii="Times New Roman" w:hAnsi="Times New Roman" w:cs="Times New Roman"/>
          <w:b/>
          <w:sz w:val="24"/>
          <w:szCs w:val="24"/>
        </w:rPr>
        <w:t>Item 2</w:t>
      </w:r>
      <w:r w:rsidRPr="009410E6">
        <w:rPr>
          <w:rFonts w:ascii="Times New Roman" w:hAnsi="Times New Roman" w:cs="Times New Roman"/>
          <w:b/>
          <w:sz w:val="24"/>
          <w:szCs w:val="24"/>
        </w:rPr>
        <w:t xml:space="preserve"> – </w:t>
      </w:r>
      <w:r w:rsidR="00645F17">
        <w:rPr>
          <w:rFonts w:ascii="Times New Roman" w:hAnsi="Times New Roman" w:cs="Times New Roman"/>
          <w:b/>
          <w:sz w:val="24"/>
          <w:szCs w:val="24"/>
        </w:rPr>
        <w:t>At the end of s</w:t>
      </w:r>
      <w:r w:rsidRPr="009410E6">
        <w:rPr>
          <w:rFonts w:ascii="Times New Roman" w:hAnsi="Times New Roman" w:cs="Times New Roman"/>
          <w:b/>
          <w:sz w:val="24"/>
          <w:szCs w:val="24"/>
        </w:rPr>
        <w:t xml:space="preserve">ection </w:t>
      </w:r>
      <w:r w:rsidR="00645F17">
        <w:rPr>
          <w:rFonts w:ascii="Times New Roman" w:hAnsi="Times New Roman" w:cs="Times New Roman"/>
          <w:b/>
          <w:sz w:val="24"/>
          <w:szCs w:val="24"/>
        </w:rPr>
        <w:t>5</w:t>
      </w:r>
    </w:p>
    <w:p w14:paraId="49B7840C" w14:textId="391C9589" w:rsidR="00645F17" w:rsidRDefault="005178ED" w:rsidP="009410E6">
      <w:pPr>
        <w:spacing w:before="360" w:after="0" w:line="276" w:lineRule="auto"/>
        <w:rPr>
          <w:rFonts w:ascii="Times New Roman" w:hAnsi="Times New Roman" w:cs="Times New Roman"/>
          <w:sz w:val="24"/>
          <w:szCs w:val="24"/>
        </w:rPr>
      </w:pPr>
      <w:r>
        <w:rPr>
          <w:rFonts w:ascii="Times New Roman" w:hAnsi="Times New Roman" w:cs="Times New Roman"/>
          <w:sz w:val="24"/>
          <w:szCs w:val="24"/>
        </w:rPr>
        <w:t>This item amends section 5 of the principal POFR Rules</w:t>
      </w:r>
      <w:r w:rsidR="00EA171D">
        <w:rPr>
          <w:rFonts w:ascii="Times New Roman" w:hAnsi="Times New Roman" w:cs="Times New Roman"/>
          <w:sz w:val="24"/>
          <w:szCs w:val="24"/>
        </w:rPr>
        <w:t>. That section</w:t>
      </w:r>
      <w:r>
        <w:rPr>
          <w:rFonts w:ascii="Times New Roman" w:hAnsi="Times New Roman" w:cs="Times New Roman"/>
          <w:sz w:val="24"/>
          <w:szCs w:val="24"/>
        </w:rPr>
        <w:t xml:space="preserve"> prescribes</w:t>
      </w:r>
      <w:r w:rsidR="002C4AAF" w:rsidRPr="002C4AAF">
        <w:rPr>
          <w:rFonts w:ascii="Times New Roman" w:hAnsi="Times New Roman" w:cs="Times New Roman"/>
          <w:sz w:val="24"/>
          <w:szCs w:val="24"/>
        </w:rPr>
        <w:t xml:space="preserve"> </w:t>
      </w:r>
      <w:r w:rsidR="002C4AAF">
        <w:rPr>
          <w:rFonts w:ascii="Times New Roman" w:hAnsi="Times New Roman" w:cs="Times New Roman"/>
          <w:sz w:val="24"/>
          <w:szCs w:val="24"/>
        </w:rPr>
        <w:t>additional categories of covered activities</w:t>
      </w:r>
      <w:r>
        <w:rPr>
          <w:rFonts w:ascii="Times New Roman" w:hAnsi="Times New Roman" w:cs="Times New Roman"/>
          <w:sz w:val="24"/>
          <w:szCs w:val="24"/>
        </w:rPr>
        <w:t xml:space="preserve"> f</w:t>
      </w:r>
      <w:r w:rsidRPr="005178ED">
        <w:rPr>
          <w:rFonts w:ascii="Times New Roman" w:hAnsi="Times New Roman" w:cs="Times New Roman"/>
          <w:sz w:val="24"/>
          <w:szCs w:val="24"/>
        </w:rPr>
        <w:t xml:space="preserve">or the purposes of paragraph (g) of the definition of </w:t>
      </w:r>
      <w:r w:rsidR="00EA171D">
        <w:rPr>
          <w:rFonts w:ascii="Times New Roman" w:hAnsi="Times New Roman" w:cs="Times New Roman"/>
          <w:sz w:val="24"/>
          <w:szCs w:val="24"/>
        </w:rPr>
        <w:t>“</w:t>
      </w:r>
      <w:r w:rsidRPr="00EA171D">
        <w:rPr>
          <w:rFonts w:ascii="Times New Roman" w:hAnsi="Times New Roman" w:cs="Times New Roman"/>
          <w:i/>
          <w:sz w:val="24"/>
          <w:szCs w:val="24"/>
        </w:rPr>
        <w:t>covered activity</w:t>
      </w:r>
      <w:r w:rsidR="00EA171D">
        <w:rPr>
          <w:rFonts w:ascii="Times New Roman" w:hAnsi="Times New Roman" w:cs="Times New Roman"/>
          <w:sz w:val="24"/>
          <w:szCs w:val="24"/>
        </w:rPr>
        <w:t>”</w:t>
      </w:r>
      <w:r w:rsidRPr="005178ED">
        <w:rPr>
          <w:rFonts w:ascii="Times New Roman" w:hAnsi="Times New Roman" w:cs="Times New Roman"/>
          <w:sz w:val="24"/>
          <w:szCs w:val="24"/>
        </w:rPr>
        <w:t xml:space="preserve"> in subsection 5(1) of the </w:t>
      </w:r>
      <w:r>
        <w:rPr>
          <w:rFonts w:ascii="Times New Roman" w:hAnsi="Times New Roman" w:cs="Times New Roman"/>
          <w:sz w:val="24"/>
          <w:szCs w:val="24"/>
        </w:rPr>
        <w:t xml:space="preserve">POFR </w:t>
      </w:r>
      <w:r w:rsidRPr="005178ED">
        <w:rPr>
          <w:rFonts w:ascii="Times New Roman" w:hAnsi="Times New Roman" w:cs="Times New Roman"/>
          <w:sz w:val="24"/>
          <w:szCs w:val="24"/>
        </w:rPr>
        <w:t>Act</w:t>
      </w:r>
      <w:r>
        <w:rPr>
          <w:rFonts w:ascii="Times New Roman" w:hAnsi="Times New Roman" w:cs="Times New Roman"/>
          <w:sz w:val="24"/>
          <w:szCs w:val="24"/>
        </w:rPr>
        <w:t xml:space="preserve">. The effect of this amendment is to </w:t>
      </w:r>
      <w:r w:rsidR="00EA171D">
        <w:rPr>
          <w:rFonts w:ascii="Times New Roman" w:hAnsi="Times New Roman" w:cs="Times New Roman"/>
          <w:sz w:val="24"/>
          <w:szCs w:val="24"/>
        </w:rPr>
        <w:t xml:space="preserve">prescribe the activity of storing stocks as a “covered activity” under the POFR Act (noting the activities of refining and importing covered products are already covered activities under the POFR Act). This, in turn, enables </w:t>
      </w:r>
      <w:r>
        <w:rPr>
          <w:rFonts w:ascii="Times New Roman" w:hAnsi="Times New Roman" w:cs="Times New Roman"/>
          <w:sz w:val="24"/>
          <w:szCs w:val="24"/>
        </w:rPr>
        <w:t xml:space="preserve">reporting obligations </w:t>
      </w:r>
      <w:r w:rsidR="00EA171D">
        <w:rPr>
          <w:rFonts w:ascii="Times New Roman" w:hAnsi="Times New Roman" w:cs="Times New Roman"/>
          <w:sz w:val="24"/>
          <w:szCs w:val="24"/>
        </w:rPr>
        <w:t xml:space="preserve">under the POFR Act and principal POFR Rules to be extended to require reporting by </w:t>
      </w:r>
      <w:r w:rsidR="0012390D">
        <w:rPr>
          <w:rFonts w:ascii="Times New Roman" w:hAnsi="Times New Roman" w:cs="Times New Roman"/>
          <w:sz w:val="24"/>
          <w:szCs w:val="24"/>
        </w:rPr>
        <w:t xml:space="preserve">an </w:t>
      </w:r>
      <w:r w:rsidR="00215A2F">
        <w:rPr>
          <w:rFonts w:ascii="Times New Roman" w:hAnsi="Times New Roman" w:cs="Times New Roman"/>
          <w:sz w:val="24"/>
          <w:szCs w:val="24"/>
        </w:rPr>
        <w:t>entities</w:t>
      </w:r>
      <w:r w:rsidR="0012390D">
        <w:rPr>
          <w:rFonts w:ascii="Times New Roman" w:hAnsi="Times New Roman" w:cs="Times New Roman"/>
          <w:sz w:val="24"/>
          <w:szCs w:val="24"/>
        </w:rPr>
        <w:t xml:space="preserve"> that store stock for the MSO which are held by an entity subject to the MSO, such as an intermediary market participant. </w:t>
      </w:r>
    </w:p>
    <w:p w14:paraId="4EF6D874" w14:textId="22127204" w:rsidR="00AF65AE" w:rsidRDefault="00AF65AE" w:rsidP="009410E6">
      <w:pPr>
        <w:spacing w:before="360" w:after="0" w:line="276" w:lineRule="auto"/>
        <w:rPr>
          <w:rFonts w:ascii="Times New Roman" w:hAnsi="Times New Roman" w:cs="Times New Roman"/>
          <w:sz w:val="24"/>
          <w:szCs w:val="24"/>
        </w:rPr>
      </w:pPr>
      <w:r w:rsidRPr="004B0154">
        <w:rPr>
          <w:rFonts w:ascii="Times New Roman" w:hAnsi="Times New Roman" w:cs="Times New Roman"/>
          <w:sz w:val="24"/>
          <w:szCs w:val="24"/>
        </w:rPr>
        <w:t xml:space="preserve">The POFR Act defines the covered activity of ‘holding stock’ as both keeping a covered product in storage (subject to some exceptions), </w:t>
      </w:r>
      <w:r w:rsidR="00875E79" w:rsidRPr="004B0154">
        <w:rPr>
          <w:rFonts w:ascii="Times New Roman" w:hAnsi="Times New Roman" w:cs="Times New Roman"/>
          <w:sz w:val="24"/>
          <w:szCs w:val="24"/>
        </w:rPr>
        <w:t>or</w:t>
      </w:r>
      <w:r w:rsidRPr="004B0154">
        <w:rPr>
          <w:rFonts w:ascii="Times New Roman" w:hAnsi="Times New Roman" w:cs="Times New Roman"/>
          <w:sz w:val="24"/>
          <w:szCs w:val="24"/>
        </w:rPr>
        <w:t xml:space="preserve"> holding a contractual right to take possession of a covered product. The addition of an extra ‘covered activity’ of storing stock does not refer to holding a contractual right to take possession of the product, but only physically keeping the product in storage. </w:t>
      </w:r>
      <w:r w:rsidR="00875E79" w:rsidRPr="004B0154">
        <w:rPr>
          <w:rFonts w:ascii="Times New Roman" w:hAnsi="Times New Roman" w:cs="Times New Roman"/>
          <w:sz w:val="24"/>
          <w:szCs w:val="24"/>
        </w:rPr>
        <w:t>It also covers storage that may be relevant to the MSO but would be covered by the exceptions in the POFR Act, such as certain pipeline storage.</w:t>
      </w:r>
    </w:p>
    <w:p w14:paraId="20BEABDE" w14:textId="3F0EC388" w:rsidR="00C34270" w:rsidRDefault="00C34270" w:rsidP="00C34270">
      <w:pPr>
        <w:spacing w:before="360" w:after="0" w:line="276" w:lineRule="auto"/>
        <w:rPr>
          <w:rFonts w:ascii="Times New Roman" w:hAnsi="Times New Roman" w:cs="Times New Roman"/>
          <w:b/>
          <w:sz w:val="24"/>
          <w:szCs w:val="24"/>
        </w:rPr>
      </w:pPr>
      <w:r>
        <w:rPr>
          <w:rFonts w:ascii="Times New Roman" w:hAnsi="Times New Roman" w:cs="Times New Roman"/>
          <w:b/>
          <w:sz w:val="24"/>
          <w:szCs w:val="24"/>
        </w:rPr>
        <w:t>Item 3</w:t>
      </w:r>
      <w:r w:rsidRPr="009410E6">
        <w:rPr>
          <w:rFonts w:ascii="Times New Roman" w:hAnsi="Times New Roman" w:cs="Times New Roman"/>
          <w:b/>
          <w:sz w:val="24"/>
          <w:szCs w:val="24"/>
        </w:rPr>
        <w:t xml:space="preserve"> – </w:t>
      </w:r>
      <w:r>
        <w:rPr>
          <w:rFonts w:ascii="Times New Roman" w:hAnsi="Times New Roman" w:cs="Times New Roman"/>
          <w:b/>
          <w:sz w:val="24"/>
          <w:szCs w:val="24"/>
        </w:rPr>
        <w:t>Paragraph 19C(4)(a)</w:t>
      </w:r>
    </w:p>
    <w:p w14:paraId="65ECD570" w14:textId="6CED500F" w:rsidR="00C34270" w:rsidRPr="00C34270" w:rsidRDefault="00C34270" w:rsidP="009410E6">
      <w:pPr>
        <w:spacing w:before="360" w:after="0" w:line="276" w:lineRule="auto"/>
        <w:rPr>
          <w:rFonts w:ascii="Times New Roman" w:hAnsi="Times New Roman" w:cs="Times New Roman"/>
          <w:sz w:val="24"/>
          <w:szCs w:val="24"/>
        </w:rPr>
      </w:pPr>
      <w:r>
        <w:rPr>
          <w:rFonts w:ascii="Times New Roman" w:hAnsi="Times New Roman" w:cs="Times New Roman"/>
          <w:sz w:val="24"/>
          <w:szCs w:val="24"/>
        </w:rPr>
        <w:t xml:space="preserve">This item </w:t>
      </w:r>
      <w:r w:rsidR="00E12CBE">
        <w:rPr>
          <w:rFonts w:ascii="Times New Roman" w:hAnsi="Times New Roman" w:cs="Times New Roman"/>
          <w:sz w:val="24"/>
          <w:szCs w:val="24"/>
        </w:rPr>
        <w:t>corrects</w:t>
      </w:r>
      <w:r>
        <w:rPr>
          <w:rFonts w:ascii="Times New Roman" w:hAnsi="Times New Roman" w:cs="Times New Roman"/>
          <w:sz w:val="24"/>
          <w:szCs w:val="24"/>
        </w:rPr>
        <w:t xml:space="preserve"> a</w:t>
      </w:r>
      <w:r w:rsidR="00E12CBE">
        <w:rPr>
          <w:rFonts w:ascii="Times New Roman" w:hAnsi="Times New Roman" w:cs="Times New Roman"/>
          <w:sz w:val="24"/>
          <w:szCs w:val="24"/>
        </w:rPr>
        <w:t xml:space="preserve"> minor</w:t>
      </w:r>
      <w:r>
        <w:rPr>
          <w:rFonts w:ascii="Times New Roman" w:hAnsi="Times New Roman" w:cs="Times New Roman"/>
          <w:sz w:val="24"/>
          <w:szCs w:val="24"/>
        </w:rPr>
        <w:t xml:space="preserve"> typographical error</w:t>
      </w:r>
      <w:r w:rsidR="00215A2F">
        <w:rPr>
          <w:rFonts w:ascii="Times New Roman" w:hAnsi="Times New Roman" w:cs="Times New Roman"/>
          <w:sz w:val="24"/>
          <w:szCs w:val="24"/>
        </w:rPr>
        <w:t xml:space="preserve"> in paragraph 19C(4)(a) of the principal POFR Rules,</w:t>
      </w:r>
      <w:r>
        <w:rPr>
          <w:rFonts w:ascii="Times New Roman" w:hAnsi="Times New Roman" w:cs="Times New Roman"/>
          <w:sz w:val="24"/>
          <w:szCs w:val="24"/>
        </w:rPr>
        <w:t xml:space="preserve"> by inserting the word ‘than’. </w:t>
      </w:r>
    </w:p>
    <w:p w14:paraId="21F87B83" w14:textId="699AF4F2" w:rsidR="008577C4" w:rsidRPr="00C34270" w:rsidRDefault="009410E6" w:rsidP="00C34270">
      <w:pPr>
        <w:spacing w:before="360" w:after="0" w:line="276" w:lineRule="auto"/>
        <w:rPr>
          <w:rFonts w:ascii="Times New Roman" w:hAnsi="Times New Roman" w:cs="Times New Roman"/>
          <w:b/>
          <w:sz w:val="24"/>
          <w:szCs w:val="24"/>
        </w:rPr>
      </w:pPr>
      <w:r w:rsidRPr="00C34270">
        <w:rPr>
          <w:rFonts w:ascii="Times New Roman" w:hAnsi="Times New Roman" w:cs="Times New Roman"/>
          <w:b/>
          <w:sz w:val="24"/>
          <w:szCs w:val="24"/>
        </w:rPr>
        <w:t>Item 4</w:t>
      </w:r>
      <w:r w:rsidR="008577C4" w:rsidRPr="00C34270">
        <w:rPr>
          <w:rFonts w:ascii="Times New Roman" w:hAnsi="Times New Roman" w:cs="Times New Roman"/>
          <w:b/>
          <w:sz w:val="24"/>
          <w:szCs w:val="24"/>
        </w:rPr>
        <w:t xml:space="preserve"> – At the end of Division 3 of Part 2</w:t>
      </w:r>
    </w:p>
    <w:p w14:paraId="18C7C4FA" w14:textId="77777777" w:rsidR="00FB1D38" w:rsidRDefault="00FB1D38" w:rsidP="000C39A8">
      <w:pPr>
        <w:spacing w:after="0" w:line="276" w:lineRule="auto"/>
        <w:ind w:left="357" w:hanging="357"/>
        <w:rPr>
          <w:rFonts w:ascii="Times New Roman" w:hAnsi="Times New Roman" w:cs="Times New Roman"/>
          <w:i/>
          <w:sz w:val="24"/>
          <w:szCs w:val="24"/>
        </w:rPr>
      </w:pPr>
      <w:bookmarkStart w:id="7" w:name="_Toc497725301"/>
      <w:bookmarkStart w:id="8" w:name="_Toc74748975"/>
    </w:p>
    <w:p w14:paraId="25095685" w14:textId="16650654" w:rsidR="000C39A8" w:rsidRPr="000C39A8" w:rsidRDefault="000C39A8" w:rsidP="000C39A8">
      <w:pPr>
        <w:spacing w:after="0" w:line="276" w:lineRule="auto"/>
        <w:ind w:left="357" w:hanging="357"/>
        <w:rPr>
          <w:rFonts w:ascii="Times New Roman" w:hAnsi="Times New Roman" w:cs="Times New Roman"/>
          <w:i/>
          <w:sz w:val="24"/>
          <w:szCs w:val="24"/>
        </w:rPr>
      </w:pPr>
      <w:r>
        <w:rPr>
          <w:rFonts w:ascii="Times New Roman" w:hAnsi="Times New Roman" w:cs="Times New Roman"/>
          <w:i/>
          <w:sz w:val="24"/>
          <w:szCs w:val="24"/>
        </w:rPr>
        <w:lastRenderedPageBreak/>
        <w:t xml:space="preserve">New </w:t>
      </w:r>
      <w:r w:rsidRPr="000C39A8">
        <w:rPr>
          <w:rFonts w:ascii="Times New Roman" w:hAnsi="Times New Roman" w:cs="Times New Roman"/>
          <w:i/>
          <w:sz w:val="24"/>
          <w:szCs w:val="24"/>
        </w:rPr>
        <w:t xml:space="preserve">Subdivision </w:t>
      </w:r>
      <w:r w:rsidR="009410E6">
        <w:rPr>
          <w:rFonts w:ascii="Times New Roman" w:hAnsi="Times New Roman" w:cs="Times New Roman"/>
          <w:i/>
          <w:sz w:val="24"/>
          <w:szCs w:val="24"/>
        </w:rPr>
        <w:t>D</w:t>
      </w:r>
      <w:r w:rsidRPr="000C39A8">
        <w:rPr>
          <w:rFonts w:ascii="Times New Roman" w:hAnsi="Times New Roman" w:cs="Times New Roman"/>
          <w:i/>
          <w:sz w:val="24"/>
          <w:szCs w:val="24"/>
        </w:rPr>
        <w:t>—Reports</w:t>
      </w:r>
      <w:bookmarkEnd w:id="7"/>
      <w:r w:rsidRPr="000C39A8">
        <w:rPr>
          <w:rFonts w:ascii="Times New Roman" w:hAnsi="Times New Roman" w:cs="Times New Roman"/>
          <w:i/>
          <w:sz w:val="24"/>
          <w:szCs w:val="24"/>
        </w:rPr>
        <w:t xml:space="preserve"> related to </w:t>
      </w:r>
      <w:bookmarkEnd w:id="8"/>
      <w:r w:rsidR="009410E6">
        <w:rPr>
          <w:rFonts w:ascii="Times New Roman" w:hAnsi="Times New Roman" w:cs="Times New Roman"/>
          <w:i/>
          <w:sz w:val="24"/>
          <w:szCs w:val="24"/>
        </w:rPr>
        <w:t>MSO products</w:t>
      </w:r>
    </w:p>
    <w:p w14:paraId="593FBDEF" w14:textId="6D709E39" w:rsidR="00611932" w:rsidRDefault="009B2BB2" w:rsidP="009B2BB2">
      <w:pPr>
        <w:spacing w:before="240" w:after="100" w:afterAutospacing="1" w:line="276" w:lineRule="auto"/>
        <w:rPr>
          <w:rFonts w:ascii="Times New Roman" w:eastAsia="Calibri" w:hAnsi="Times New Roman" w:cs="Times New Roman"/>
          <w:sz w:val="24"/>
          <w:szCs w:val="24"/>
        </w:rPr>
      </w:pPr>
      <w:bookmarkStart w:id="9" w:name="_Toc497725302"/>
      <w:bookmarkStart w:id="10" w:name="_Toc74748976"/>
      <w:r w:rsidRPr="009B2BB2">
        <w:rPr>
          <w:rFonts w:ascii="Times New Roman" w:eastAsia="Calibri" w:hAnsi="Times New Roman" w:cs="Times New Roman"/>
          <w:sz w:val="24"/>
          <w:szCs w:val="24"/>
        </w:rPr>
        <w:t>Thi</w:t>
      </w:r>
      <w:r w:rsidR="00C34270">
        <w:rPr>
          <w:rFonts w:ascii="Times New Roman" w:eastAsia="Calibri" w:hAnsi="Times New Roman" w:cs="Times New Roman"/>
          <w:sz w:val="24"/>
          <w:szCs w:val="24"/>
        </w:rPr>
        <w:t>s item inserts new Subdivision D</w:t>
      </w:r>
      <w:r w:rsidRPr="009B2BB2">
        <w:rPr>
          <w:rFonts w:ascii="Times New Roman" w:eastAsia="Calibri" w:hAnsi="Times New Roman" w:cs="Times New Roman"/>
          <w:sz w:val="24"/>
          <w:szCs w:val="24"/>
        </w:rPr>
        <w:t xml:space="preserve"> </w:t>
      </w:r>
      <w:r w:rsidR="001E1662">
        <w:rPr>
          <w:rFonts w:ascii="Times New Roman" w:eastAsia="Calibri" w:hAnsi="Times New Roman" w:cs="Times New Roman"/>
          <w:sz w:val="24"/>
          <w:szCs w:val="24"/>
        </w:rPr>
        <w:t>(</w:t>
      </w:r>
      <w:r w:rsidRPr="009B2BB2">
        <w:rPr>
          <w:rFonts w:ascii="Times New Roman" w:eastAsia="Calibri" w:hAnsi="Times New Roman" w:cs="Times New Roman"/>
          <w:sz w:val="24"/>
          <w:szCs w:val="24"/>
        </w:rPr>
        <w:t xml:space="preserve">Reports related to </w:t>
      </w:r>
      <w:r w:rsidR="00C34270">
        <w:rPr>
          <w:rFonts w:ascii="Times New Roman" w:eastAsia="Calibri" w:hAnsi="Times New Roman" w:cs="Times New Roman"/>
          <w:sz w:val="24"/>
          <w:szCs w:val="24"/>
        </w:rPr>
        <w:t xml:space="preserve">MSO </w:t>
      </w:r>
      <w:r w:rsidR="002C4AAF">
        <w:rPr>
          <w:rFonts w:ascii="Times New Roman" w:eastAsia="Calibri" w:hAnsi="Times New Roman" w:cs="Times New Roman"/>
          <w:sz w:val="24"/>
          <w:szCs w:val="24"/>
        </w:rPr>
        <w:t>p</w:t>
      </w:r>
      <w:r w:rsidR="00C34270">
        <w:rPr>
          <w:rFonts w:ascii="Times New Roman" w:eastAsia="Calibri" w:hAnsi="Times New Roman" w:cs="Times New Roman"/>
          <w:sz w:val="24"/>
          <w:szCs w:val="24"/>
        </w:rPr>
        <w:t>roducts</w:t>
      </w:r>
      <w:r w:rsidR="001E1662">
        <w:rPr>
          <w:rFonts w:ascii="Times New Roman" w:eastAsia="Calibri" w:hAnsi="Times New Roman" w:cs="Times New Roman"/>
          <w:sz w:val="24"/>
          <w:szCs w:val="24"/>
        </w:rPr>
        <w:t>)</w:t>
      </w:r>
      <w:r w:rsidRPr="009B2BB2">
        <w:rPr>
          <w:rFonts w:ascii="Times New Roman" w:eastAsia="Calibri" w:hAnsi="Times New Roman" w:cs="Times New Roman"/>
          <w:sz w:val="24"/>
          <w:szCs w:val="24"/>
        </w:rPr>
        <w:t xml:space="preserve"> into Division 3 </w:t>
      </w:r>
      <w:r w:rsidR="001E1662">
        <w:rPr>
          <w:rFonts w:ascii="Times New Roman" w:eastAsia="Calibri" w:hAnsi="Times New Roman" w:cs="Times New Roman"/>
          <w:sz w:val="24"/>
          <w:szCs w:val="24"/>
        </w:rPr>
        <w:t>(</w:t>
      </w:r>
      <w:r w:rsidRPr="009B2BB2">
        <w:rPr>
          <w:rFonts w:ascii="Times New Roman" w:eastAsia="Calibri" w:hAnsi="Times New Roman" w:cs="Times New Roman"/>
          <w:sz w:val="24"/>
          <w:szCs w:val="24"/>
        </w:rPr>
        <w:t>Reports</w:t>
      </w:r>
      <w:r w:rsidR="001E1662">
        <w:rPr>
          <w:rFonts w:ascii="Times New Roman" w:eastAsia="Calibri" w:hAnsi="Times New Roman" w:cs="Times New Roman"/>
          <w:sz w:val="24"/>
          <w:szCs w:val="24"/>
        </w:rPr>
        <w:t>)</w:t>
      </w:r>
      <w:r w:rsidRPr="009B2BB2">
        <w:rPr>
          <w:rFonts w:ascii="Times New Roman" w:eastAsia="Calibri" w:hAnsi="Times New Roman" w:cs="Times New Roman"/>
          <w:sz w:val="24"/>
          <w:szCs w:val="24"/>
        </w:rPr>
        <w:t xml:space="preserve"> of </w:t>
      </w:r>
      <w:r w:rsidR="001E1662">
        <w:rPr>
          <w:rFonts w:ascii="Times New Roman" w:eastAsia="Calibri" w:hAnsi="Times New Roman" w:cs="Times New Roman"/>
          <w:sz w:val="24"/>
          <w:szCs w:val="24"/>
        </w:rPr>
        <w:t>Part 2 (</w:t>
      </w:r>
      <w:r w:rsidRPr="009B2BB2">
        <w:rPr>
          <w:rFonts w:ascii="Times New Roman" w:eastAsia="Calibri" w:hAnsi="Times New Roman" w:cs="Times New Roman"/>
          <w:sz w:val="24"/>
          <w:szCs w:val="24"/>
        </w:rPr>
        <w:t>Reports of fuel information</w:t>
      </w:r>
      <w:r w:rsidR="001E1662">
        <w:rPr>
          <w:rFonts w:ascii="Times New Roman" w:eastAsia="Calibri" w:hAnsi="Times New Roman" w:cs="Times New Roman"/>
          <w:sz w:val="24"/>
          <w:szCs w:val="24"/>
        </w:rPr>
        <w:t>)</w:t>
      </w:r>
      <w:r w:rsidRPr="009B2BB2">
        <w:rPr>
          <w:rFonts w:ascii="Times New Roman" w:eastAsia="Calibri" w:hAnsi="Times New Roman" w:cs="Times New Roman"/>
          <w:sz w:val="24"/>
          <w:szCs w:val="24"/>
        </w:rPr>
        <w:t xml:space="preserve"> of the </w:t>
      </w:r>
      <w:r w:rsidR="00611932">
        <w:rPr>
          <w:rFonts w:ascii="Times New Roman" w:eastAsia="Calibri" w:hAnsi="Times New Roman" w:cs="Times New Roman"/>
          <w:sz w:val="24"/>
          <w:szCs w:val="24"/>
        </w:rPr>
        <w:t xml:space="preserve">principal </w:t>
      </w:r>
      <w:r w:rsidRPr="009B2BB2">
        <w:rPr>
          <w:rFonts w:ascii="Times New Roman" w:eastAsia="Calibri" w:hAnsi="Times New Roman" w:cs="Times New Roman"/>
          <w:sz w:val="24"/>
          <w:szCs w:val="24"/>
        </w:rPr>
        <w:t>POFR Rules</w:t>
      </w:r>
      <w:r w:rsidR="00611932">
        <w:rPr>
          <w:rFonts w:ascii="Times New Roman" w:eastAsia="Calibri" w:hAnsi="Times New Roman" w:cs="Times New Roman"/>
          <w:sz w:val="24"/>
          <w:szCs w:val="24"/>
        </w:rPr>
        <w:t>. The new subdivision</w:t>
      </w:r>
      <w:r>
        <w:rPr>
          <w:rFonts w:ascii="Times New Roman" w:eastAsia="Calibri" w:hAnsi="Times New Roman" w:cs="Times New Roman"/>
          <w:sz w:val="24"/>
          <w:szCs w:val="24"/>
        </w:rPr>
        <w:t xml:space="preserve"> compris</w:t>
      </w:r>
      <w:r w:rsidR="00611932">
        <w:rPr>
          <w:rFonts w:ascii="Times New Roman" w:eastAsia="Calibri" w:hAnsi="Times New Roman" w:cs="Times New Roman"/>
          <w:sz w:val="24"/>
          <w:szCs w:val="24"/>
        </w:rPr>
        <w:t>es</w:t>
      </w:r>
      <w:r w:rsidR="00C34270">
        <w:rPr>
          <w:rFonts w:ascii="Times New Roman" w:eastAsia="Calibri" w:hAnsi="Times New Roman" w:cs="Times New Roman"/>
          <w:sz w:val="24"/>
          <w:szCs w:val="24"/>
        </w:rPr>
        <w:t xml:space="preserve"> new sections 19D-19J</w:t>
      </w:r>
      <w:r w:rsidR="00611932">
        <w:rPr>
          <w:rFonts w:ascii="Times New Roman" w:eastAsia="Calibri" w:hAnsi="Times New Roman" w:cs="Times New Roman"/>
          <w:sz w:val="24"/>
          <w:szCs w:val="24"/>
        </w:rPr>
        <w:t>,</w:t>
      </w:r>
      <w:r>
        <w:rPr>
          <w:rFonts w:ascii="Times New Roman" w:eastAsia="Calibri" w:hAnsi="Times New Roman" w:cs="Times New Roman"/>
          <w:sz w:val="24"/>
          <w:szCs w:val="24"/>
        </w:rPr>
        <w:t xml:space="preserve"> which </w:t>
      </w:r>
      <w:r w:rsidR="00611932">
        <w:rPr>
          <w:rFonts w:ascii="Times New Roman" w:eastAsia="Calibri" w:hAnsi="Times New Roman" w:cs="Times New Roman"/>
          <w:sz w:val="24"/>
          <w:szCs w:val="24"/>
        </w:rPr>
        <w:t>provide for:</w:t>
      </w:r>
    </w:p>
    <w:p w14:paraId="05CE163A" w14:textId="4EFEBEC0" w:rsidR="008141D3" w:rsidRDefault="00611932" w:rsidP="000A1339">
      <w:pPr>
        <w:pStyle w:val="ListParagraph"/>
        <w:numPr>
          <w:ilvl w:val="0"/>
          <w:numId w:val="28"/>
        </w:numPr>
        <w:spacing w:before="240" w:after="100" w:afterAutospacing="1"/>
        <w:rPr>
          <w:rFonts w:ascii="Times New Roman" w:eastAsia="Calibri" w:hAnsi="Times New Roman" w:cs="Times New Roman"/>
          <w:sz w:val="24"/>
          <w:szCs w:val="24"/>
        </w:rPr>
      </w:pPr>
      <w:r w:rsidRPr="000A1339">
        <w:rPr>
          <w:rFonts w:ascii="Times New Roman" w:eastAsia="Calibri" w:hAnsi="Times New Roman" w:cs="Times New Roman"/>
          <w:sz w:val="24"/>
          <w:szCs w:val="24"/>
        </w:rPr>
        <w:t>giving</w:t>
      </w:r>
      <w:r w:rsidR="00B844C8">
        <w:rPr>
          <w:rFonts w:ascii="Times New Roman" w:eastAsia="Calibri" w:hAnsi="Times New Roman" w:cs="Times New Roman"/>
          <w:sz w:val="24"/>
          <w:szCs w:val="24"/>
        </w:rPr>
        <w:t xml:space="preserve"> </w:t>
      </w:r>
      <w:r w:rsidRPr="000A1339">
        <w:rPr>
          <w:rFonts w:ascii="Times New Roman" w:eastAsia="Calibri" w:hAnsi="Times New Roman" w:cs="Times New Roman"/>
          <w:sz w:val="24"/>
          <w:szCs w:val="24"/>
        </w:rPr>
        <w:t xml:space="preserve">reports </w:t>
      </w:r>
      <w:r w:rsidR="00B844C8">
        <w:rPr>
          <w:rFonts w:ascii="Times New Roman" w:eastAsia="Calibri" w:hAnsi="Times New Roman" w:cs="Times New Roman"/>
          <w:sz w:val="24"/>
          <w:szCs w:val="24"/>
        </w:rPr>
        <w:t xml:space="preserve">to the Secretary </w:t>
      </w:r>
      <w:r w:rsidRPr="000A1339">
        <w:rPr>
          <w:rFonts w:ascii="Times New Roman" w:eastAsia="Calibri" w:hAnsi="Times New Roman" w:cs="Times New Roman"/>
          <w:sz w:val="24"/>
          <w:szCs w:val="24"/>
        </w:rPr>
        <w:t>concerning</w:t>
      </w:r>
      <w:r w:rsidR="008141D3">
        <w:rPr>
          <w:rFonts w:ascii="Times New Roman" w:eastAsia="Calibri" w:hAnsi="Times New Roman" w:cs="Times New Roman"/>
          <w:sz w:val="24"/>
          <w:szCs w:val="24"/>
        </w:rPr>
        <w:t>:</w:t>
      </w:r>
    </w:p>
    <w:p w14:paraId="5B425FCE" w14:textId="3CD7C142" w:rsidR="00611932" w:rsidRDefault="008141D3" w:rsidP="008141D3">
      <w:pPr>
        <w:pStyle w:val="ListParagraph"/>
        <w:numPr>
          <w:ilvl w:val="1"/>
          <w:numId w:val="28"/>
        </w:num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MSO obligation day stockholding data;</w:t>
      </w:r>
    </w:p>
    <w:p w14:paraId="566DDA2C" w14:textId="5FA6B3E0" w:rsidR="008141D3" w:rsidRDefault="008141D3" w:rsidP="008141D3">
      <w:pPr>
        <w:pStyle w:val="ListParagraph"/>
        <w:numPr>
          <w:ilvl w:val="1"/>
          <w:numId w:val="28"/>
        </w:num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MSO annual activity data;</w:t>
      </w:r>
    </w:p>
    <w:p w14:paraId="3C1DD978" w14:textId="065B9CF8" w:rsidR="008141D3" w:rsidRDefault="008141D3" w:rsidP="008141D3">
      <w:pPr>
        <w:pStyle w:val="ListParagraph"/>
        <w:numPr>
          <w:ilvl w:val="1"/>
          <w:numId w:val="28"/>
        </w:num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New MSO entities;</w:t>
      </w:r>
    </w:p>
    <w:p w14:paraId="6D122B72" w14:textId="1D0C5D8C" w:rsidR="008141D3" w:rsidRDefault="008141D3" w:rsidP="008141D3">
      <w:pPr>
        <w:pStyle w:val="ListParagraph"/>
        <w:numPr>
          <w:ilvl w:val="1"/>
          <w:numId w:val="28"/>
        </w:num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Intermediary market participants; </w:t>
      </w:r>
    </w:p>
    <w:p w14:paraId="65CBA75B" w14:textId="155212D9" w:rsidR="008141D3" w:rsidRPr="000A1339" w:rsidRDefault="008141D3" w:rsidP="008141D3">
      <w:pPr>
        <w:pStyle w:val="ListParagraph"/>
        <w:numPr>
          <w:ilvl w:val="1"/>
          <w:numId w:val="28"/>
        </w:num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Potential intermediary market participants</w:t>
      </w:r>
      <w:r w:rsidR="004D1FA3">
        <w:rPr>
          <w:rFonts w:ascii="Times New Roman" w:eastAsia="Calibri" w:hAnsi="Times New Roman" w:cs="Times New Roman"/>
          <w:sz w:val="24"/>
          <w:szCs w:val="24"/>
        </w:rPr>
        <w:t>; and</w:t>
      </w:r>
    </w:p>
    <w:p w14:paraId="3B59F899" w14:textId="42AF33F4" w:rsidR="008141D3" w:rsidRDefault="00611932" w:rsidP="000A1339">
      <w:pPr>
        <w:pStyle w:val="ListParagraph"/>
        <w:numPr>
          <w:ilvl w:val="0"/>
          <w:numId w:val="28"/>
        </w:numPr>
        <w:spacing w:before="240" w:after="100" w:afterAutospacing="1"/>
        <w:rPr>
          <w:rFonts w:ascii="Times New Roman" w:eastAsia="Calibri" w:hAnsi="Times New Roman" w:cs="Times New Roman"/>
          <w:sz w:val="24"/>
          <w:szCs w:val="24"/>
        </w:rPr>
      </w:pPr>
      <w:r w:rsidRPr="000A1339">
        <w:rPr>
          <w:rFonts w:ascii="Times New Roman" w:eastAsia="Calibri" w:hAnsi="Times New Roman" w:cs="Times New Roman"/>
          <w:sz w:val="24"/>
          <w:szCs w:val="24"/>
        </w:rPr>
        <w:t xml:space="preserve">the </w:t>
      </w:r>
      <w:r w:rsidR="004D1FA3">
        <w:rPr>
          <w:rFonts w:ascii="Times New Roman" w:eastAsia="Calibri" w:hAnsi="Times New Roman" w:cs="Times New Roman"/>
          <w:sz w:val="24"/>
          <w:szCs w:val="24"/>
        </w:rPr>
        <w:t xml:space="preserve">reporting </w:t>
      </w:r>
      <w:r w:rsidR="008141D3">
        <w:rPr>
          <w:rFonts w:ascii="Times New Roman" w:eastAsia="Calibri" w:hAnsi="Times New Roman" w:cs="Times New Roman"/>
          <w:sz w:val="24"/>
          <w:szCs w:val="24"/>
        </w:rPr>
        <w:t>timeframes</w:t>
      </w:r>
      <w:r w:rsidR="004D1FA3">
        <w:rPr>
          <w:rFonts w:ascii="Times New Roman" w:eastAsia="Calibri" w:hAnsi="Times New Roman" w:cs="Times New Roman"/>
          <w:sz w:val="24"/>
          <w:szCs w:val="24"/>
        </w:rPr>
        <w:t>;</w:t>
      </w:r>
      <w:r w:rsidR="008141D3">
        <w:rPr>
          <w:rFonts w:ascii="Times New Roman" w:eastAsia="Calibri" w:hAnsi="Times New Roman" w:cs="Times New Roman"/>
          <w:sz w:val="24"/>
          <w:szCs w:val="24"/>
        </w:rPr>
        <w:t xml:space="preserve"> </w:t>
      </w:r>
    </w:p>
    <w:p w14:paraId="39B070A7" w14:textId="49CD86D8" w:rsidR="009B2BB2" w:rsidRDefault="000A1339" w:rsidP="000A1339">
      <w:pPr>
        <w:pStyle w:val="ListParagraph"/>
        <w:numPr>
          <w:ilvl w:val="0"/>
          <w:numId w:val="28"/>
        </w:numPr>
        <w:spacing w:before="240" w:after="100" w:afterAutospacing="1"/>
        <w:rPr>
          <w:rFonts w:ascii="Times New Roman" w:eastAsia="Calibri" w:hAnsi="Times New Roman" w:cs="Times New Roman"/>
          <w:sz w:val="24"/>
          <w:szCs w:val="24"/>
        </w:rPr>
      </w:pPr>
      <w:r w:rsidRPr="000A1339">
        <w:rPr>
          <w:rFonts w:ascii="Times New Roman" w:eastAsia="Calibri" w:hAnsi="Times New Roman" w:cs="Times New Roman"/>
          <w:sz w:val="24"/>
          <w:szCs w:val="24"/>
        </w:rPr>
        <w:t>the conduct of</w:t>
      </w:r>
      <w:r w:rsidR="00611932" w:rsidRPr="000A1339">
        <w:rPr>
          <w:rFonts w:ascii="Times New Roman" w:eastAsia="Calibri" w:hAnsi="Times New Roman" w:cs="Times New Roman"/>
          <w:sz w:val="24"/>
          <w:szCs w:val="24"/>
        </w:rPr>
        <w:t xml:space="preserve"> audits of any </w:t>
      </w:r>
      <w:r w:rsidRPr="000A1339">
        <w:rPr>
          <w:rFonts w:ascii="Times New Roman" w:eastAsia="Calibri" w:hAnsi="Times New Roman" w:cs="Times New Roman"/>
          <w:sz w:val="24"/>
          <w:szCs w:val="24"/>
        </w:rPr>
        <w:t xml:space="preserve">reports </w:t>
      </w:r>
      <w:r w:rsidR="00611932" w:rsidRPr="000A1339">
        <w:rPr>
          <w:rFonts w:ascii="Times New Roman" w:eastAsia="Calibri" w:hAnsi="Times New Roman" w:cs="Times New Roman"/>
          <w:sz w:val="24"/>
          <w:szCs w:val="24"/>
        </w:rPr>
        <w:t xml:space="preserve">which </w:t>
      </w:r>
      <w:r w:rsidRPr="000A1339">
        <w:rPr>
          <w:rFonts w:ascii="Times New Roman" w:eastAsia="Calibri" w:hAnsi="Times New Roman" w:cs="Times New Roman"/>
          <w:sz w:val="24"/>
          <w:szCs w:val="24"/>
        </w:rPr>
        <w:t xml:space="preserve">give rise to concerns about the accuracy of </w:t>
      </w:r>
      <w:r w:rsidR="00CF0FC6">
        <w:rPr>
          <w:rFonts w:ascii="Times New Roman" w:eastAsia="Calibri" w:hAnsi="Times New Roman" w:cs="Times New Roman"/>
          <w:sz w:val="24"/>
          <w:szCs w:val="24"/>
        </w:rPr>
        <w:t>information reported under the new subdivision</w:t>
      </w:r>
      <w:r>
        <w:rPr>
          <w:rFonts w:ascii="Times New Roman" w:eastAsia="Calibri" w:hAnsi="Times New Roman" w:cs="Times New Roman"/>
          <w:sz w:val="24"/>
          <w:szCs w:val="24"/>
        </w:rPr>
        <w:t>.</w:t>
      </w:r>
    </w:p>
    <w:p w14:paraId="73D40020" w14:textId="77777777" w:rsidR="009D132C" w:rsidRDefault="00CF0FC6" w:rsidP="00245508">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Appropriately, t</w:t>
      </w:r>
      <w:r w:rsidR="00245508">
        <w:rPr>
          <w:rFonts w:ascii="Times New Roman" w:eastAsia="Calibri" w:hAnsi="Times New Roman" w:cs="Times New Roman"/>
          <w:sz w:val="24"/>
          <w:szCs w:val="24"/>
        </w:rPr>
        <w:t>he new subdivision follow</w:t>
      </w:r>
      <w:r w:rsidR="004D1FA3">
        <w:rPr>
          <w:rFonts w:ascii="Times New Roman" w:eastAsia="Calibri" w:hAnsi="Times New Roman" w:cs="Times New Roman"/>
          <w:sz w:val="24"/>
          <w:szCs w:val="24"/>
        </w:rPr>
        <w:t>s from</w:t>
      </w:r>
      <w:r w:rsidR="009D132C">
        <w:rPr>
          <w:rFonts w:ascii="Times New Roman" w:eastAsia="Calibri" w:hAnsi="Times New Roman" w:cs="Times New Roman"/>
          <w:sz w:val="24"/>
          <w:szCs w:val="24"/>
        </w:rPr>
        <w:t>:</w:t>
      </w:r>
    </w:p>
    <w:p w14:paraId="7944FC75" w14:textId="2426B47F" w:rsidR="009D132C" w:rsidRPr="009D132C" w:rsidRDefault="00245508" w:rsidP="009D132C">
      <w:pPr>
        <w:pStyle w:val="ListParagraph"/>
        <w:numPr>
          <w:ilvl w:val="0"/>
          <w:numId w:val="39"/>
        </w:numPr>
        <w:spacing w:before="240" w:after="100" w:afterAutospacing="1"/>
        <w:rPr>
          <w:rFonts w:ascii="Times New Roman" w:eastAsia="Calibri" w:hAnsi="Times New Roman" w:cs="Times New Roman"/>
          <w:sz w:val="24"/>
          <w:szCs w:val="24"/>
        </w:rPr>
      </w:pPr>
      <w:r w:rsidRPr="009D132C">
        <w:rPr>
          <w:rFonts w:ascii="Times New Roman" w:eastAsia="Calibri" w:hAnsi="Times New Roman" w:cs="Times New Roman"/>
          <w:sz w:val="24"/>
          <w:szCs w:val="24"/>
        </w:rPr>
        <w:t xml:space="preserve">Subdivision B (Reports) </w:t>
      </w:r>
      <w:r w:rsidR="00FB1D38" w:rsidRPr="009D132C">
        <w:rPr>
          <w:rFonts w:ascii="Times New Roman" w:eastAsia="Calibri" w:hAnsi="Times New Roman" w:cs="Times New Roman"/>
          <w:sz w:val="24"/>
          <w:szCs w:val="24"/>
        </w:rPr>
        <w:t>of the principal POFR Rules</w:t>
      </w:r>
      <w:r w:rsidR="009D132C">
        <w:rPr>
          <w:rFonts w:ascii="Times New Roman" w:eastAsia="Calibri" w:hAnsi="Times New Roman" w:cs="Times New Roman"/>
          <w:sz w:val="24"/>
          <w:szCs w:val="24"/>
        </w:rPr>
        <w:t>,</w:t>
      </w:r>
      <w:r w:rsidR="00FB1D38" w:rsidRPr="009D132C">
        <w:rPr>
          <w:rFonts w:ascii="Times New Roman" w:eastAsia="Calibri" w:hAnsi="Times New Roman" w:cs="Times New Roman"/>
          <w:sz w:val="24"/>
          <w:szCs w:val="24"/>
        </w:rPr>
        <w:t xml:space="preserve"> </w:t>
      </w:r>
      <w:r w:rsidRPr="009D132C">
        <w:rPr>
          <w:rFonts w:ascii="Times New Roman" w:eastAsia="Calibri" w:hAnsi="Times New Roman" w:cs="Times New Roman"/>
          <w:sz w:val="24"/>
          <w:szCs w:val="24"/>
        </w:rPr>
        <w:t xml:space="preserve">relating to other kinds of </w:t>
      </w:r>
      <w:r w:rsidR="00CF0FC6" w:rsidRPr="009D132C">
        <w:rPr>
          <w:rFonts w:ascii="Times New Roman" w:eastAsia="Calibri" w:hAnsi="Times New Roman" w:cs="Times New Roman"/>
          <w:sz w:val="24"/>
          <w:szCs w:val="24"/>
        </w:rPr>
        <w:t>matters</w:t>
      </w:r>
      <w:r w:rsidRPr="009D132C">
        <w:rPr>
          <w:rFonts w:ascii="Times New Roman" w:eastAsia="Calibri" w:hAnsi="Times New Roman" w:cs="Times New Roman"/>
          <w:sz w:val="24"/>
          <w:szCs w:val="24"/>
        </w:rPr>
        <w:t xml:space="preserve"> required to be reported by regulated entities </w:t>
      </w:r>
      <w:r w:rsidR="00CF0FC6" w:rsidRPr="009D132C">
        <w:rPr>
          <w:rFonts w:ascii="Times New Roman" w:eastAsia="Calibri" w:hAnsi="Times New Roman" w:cs="Times New Roman"/>
          <w:sz w:val="24"/>
          <w:szCs w:val="24"/>
        </w:rPr>
        <w:t xml:space="preserve">regarding covered activities undertaken in relation to covered products </w:t>
      </w:r>
      <w:r w:rsidRPr="009D132C">
        <w:rPr>
          <w:rFonts w:ascii="Times New Roman" w:eastAsia="Calibri" w:hAnsi="Times New Roman" w:cs="Times New Roman"/>
          <w:sz w:val="24"/>
          <w:szCs w:val="24"/>
        </w:rPr>
        <w:t>under the principal POFR Rules</w:t>
      </w:r>
      <w:r w:rsidR="009D132C">
        <w:rPr>
          <w:rFonts w:ascii="Times New Roman" w:eastAsia="Calibri" w:hAnsi="Times New Roman" w:cs="Times New Roman"/>
          <w:sz w:val="24"/>
          <w:szCs w:val="24"/>
        </w:rPr>
        <w:t>; and</w:t>
      </w:r>
    </w:p>
    <w:p w14:paraId="4F11E60A" w14:textId="1F50B453" w:rsidR="00245508" w:rsidRPr="009D132C" w:rsidRDefault="004D1FA3" w:rsidP="009D132C">
      <w:pPr>
        <w:pStyle w:val="ListParagraph"/>
        <w:numPr>
          <w:ilvl w:val="0"/>
          <w:numId w:val="39"/>
        </w:numPr>
        <w:spacing w:before="240" w:after="100" w:afterAutospacing="1"/>
        <w:rPr>
          <w:rFonts w:ascii="Times New Roman" w:eastAsia="Calibri" w:hAnsi="Times New Roman" w:cs="Times New Roman"/>
          <w:sz w:val="24"/>
          <w:szCs w:val="24"/>
        </w:rPr>
      </w:pPr>
      <w:r w:rsidRPr="009D132C">
        <w:rPr>
          <w:rFonts w:ascii="Times New Roman" w:eastAsia="Calibri" w:hAnsi="Times New Roman" w:cs="Times New Roman"/>
          <w:sz w:val="24"/>
          <w:szCs w:val="24"/>
        </w:rPr>
        <w:t>Subdivision C (Reports related to Fuel Security Services Payment)</w:t>
      </w:r>
      <w:r w:rsidR="00541A23" w:rsidRPr="009D132C">
        <w:rPr>
          <w:rFonts w:ascii="Times New Roman" w:eastAsia="Calibri" w:hAnsi="Times New Roman" w:cs="Times New Roman"/>
          <w:sz w:val="24"/>
          <w:szCs w:val="24"/>
        </w:rPr>
        <w:t xml:space="preserve">, </w:t>
      </w:r>
      <w:r w:rsidR="0054079D" w:rsidRPr="009D132C">
        <w:rPr>
          <w:rFonts w:ascii="Times New Roman" w:eastAsia="Calibri" w:hAnsi="Times New Roman" w:cs="Times New Roman"/>
          <w:sz w:val="24"/>
          <w:szCs w:val="24"/>
        </w:rPr>
        <w:t xml:space="preserve">which </w:t>
      </w:r>
      <w:r w:rsidR="00042053">
        <w:rPr>
          <w:rFonts w:ascii="Times New Roman" w:eastAsia="Calibri" w:hAnsi="Times New Roman" w:cs="Times New Roman"/>
          <w:sz w:val="24"/>
          <w:szCs w:val="24"/>
        </w:rPr>
        <w:t>establishes other</w:t>
      </w:r>
      <w:r w:rsidR="0054079D" w:rsidRPr="009D132C">
        <w:rPr>
          <w:rFonts w:ascii="Times New Roman" w:eastAsia="Calibri" w:hAnsi="Times New Roman" w:cs="Times New Roman"/>
          <w:sz w:val="24"/>
          <w:szCs w:val="24"/>
        </w:rPr>
        <w:t xml:space="preserve"> report</w:t>
      </w:r>
      <w:r w:rsidR="00787781">
        <w:rPr>
          <w:rFonts w:ascii="Times New Roman" w:eastAsia="Calibri" w:hAnsi="Times New Roman" w:cs="Times New Roman"/>
          <w:sz w:val="24"/>
          <w:szCs w:val="24"/>
        </w:rPr>
        <w:t>ing obligations under</w:t>
      </w:r>
      <w:r w:rsidR="00A42F00" w:rsidRPr="009D132C">
        <w:rPr>
          <w:rFonts w:ascii="Times New Roman" w:eastAsia="Calibri" w:hAnsi="Times New Roman" w:cs="Times New Roman"/>
          <w:sz w:val="24"/>
          <w:szCs w:val="24"/>
        </w:rPr>
        <w:t xml:space="preserve"> </w:t>
      </w:r>
      <w:r w:rsidRPr="009D132C">
        <w:rPr>
          <w:rFonts w:ascii="Times New Roman" w:eastAsia="Calibri" w:hAnsi="Times New Roman" w:cs="Times New Roman"/>
          <w:sz w:val="24"/>
          <w:szCs w:val="24"/>
        </w:rPr>
        <w:t>the FS Act</w:t>
      </w:r>
      <w:r w:rsidR="00541A23" w:rsidRPr="009D132C">
        <w:rPr>
          <w:rFonts w:ascii="Times New Roman" w:eastAsia="Calibri" w:hAnsi="Times New Roman" w:cs="Times New Roman"/>
          <w:sz w:val="24"/>
          <w:szCs w:val="24"/>
        </w:rPr>
        <w:t>.</w:t>
      </w:r>
    </w:p>
    <w:p w14:paraId="50086F36" w14:textId="2846D14A" w:rsidR="00FB1D38" w:rsidRDefault="000C39A8" w:rsidP="00FB1D38">
      <w:pPr>
        <w:spacing w:after="0" w:line="276" w:lineRule="auto"/>
        <w:ind w:left="357" w:hanging="357"/>
        <w:jc w:val="both"/>
        <w:rPr>
          <w:rFonts w:ascii="Times New Roman" w:hAnsi="Times New Roman" w:cs="Times New Roman"/>
          <w:i/>
          <w:sz w:val="24"/>
          <w:szCs w:val="24"/>
        </w:rPr>
      </w:pPr>
      <w:r>
        <w:rPr>
          <w:rFonts w:ascii="Times New Roman" w:hAnsi="Times New Roman" w:cs="Times New Roman"/>
          <w:i/>
          <w:sz w:val="24"/>
          <w:szCs w:val="24"/>
        </w:rPr>
        <w:t xml:space="preserve">New section </w:t>
      </w:r>
      <w:r w:rsidR="00541A23">
        <w:rPr>
          <w:rFonts w:ascii="Times New Roman" w:hAnsi="Times New Roman" w:cs="Times New Roman"/>
          <w:i/>
          <w:sz w:val="24"/>
          <w:szCs w:val="24"/>
        </w:rPr>
        <w:t>19D</w:t>
      </w:r>
      <w:r w:rsidR="00D07C09">
        <w:rPr>
          <w:rFonts w:ascii="Times New Roman" w:hAnsi="Times New Roman" w:cs="Times New Roman"/>
          <w:i/>
          <w:sz w:val="24"/>
          <w:szCs w:val="24"/>
        </w:rPr>
        <w:t xml:space="preserve"> </w:t>
      </w:r>
      <w:r w:rsidR="00FB1D38">
        <w:rPr>
          <w:rFonts w:ascii="Times New Roman" w:hAnsi="Times New Roman" w:cs="Times New Roman"/>
          <w:i/>
          <w:sz w:val="24"/>
          <w:szCs w:val="24"/>
        </w:rPr>
        <w:t xml:space="preserve"> </w:t>
      </w:r>
      <w:bookmarkEnd w:id="9"/>
      <w:bookmarkEnd w:id="10"/>
      <w:r w:rsidR="00541A23">
        <w:rPr>
          <w:rFonts w:ascii="Times New Roman" w:hAnsi="Times New Roman" w:cs="Times New Roman"/>
          <w:i/>
          <w:sz w:val="24"/>
          <w:szCs w:val="24"/>
        </w:rPr>
        <w:t>MSO reporting</w:t>
      </w:r>
    </w:p>
    <w:p w14:paraId="2E4C1EE4" w14:textId="77777777" w:rsidR="00C02E55" w:rsidRDefault="010262BF" w:rsidP="00FB1D38">
      <w:pPr>
        <w:spacing w:before="240" w:after="100" w:afterAutospacing="1" w:line="276" w:lineRule="auto"/>
        <w:rPr>
          <w:rFonts w:ascii="Times New Roman" w:hAnsi="Times New Roman" w:cs="Times New Roman"/>
          <w:sz w:val="24"/>
          <w:szCs w:val="24"/>
        </w:rPr>
      </w:pPr>
      <w:r w:rsidRPr="00870641">
        <w:rPr>
          <w:rFonts w:ascii="Times New Roman" w:hAnsi="Times New Roman" w:cs="Times New Roman"/>
          <w:sz w:val="24"/>
          <w:szCs w:val="24"/>
        </w:rPr>
        <w:t>This item inserts</w:t>
      </w:r>
      <w:r w:rsidRPr="00870641">
        <w:rPr>
          <w:rFonts w:ascii="Times New Roman" w:eastAsia="Calibri" w:hAnsi="Times New Roman" w:cs="Times New Roman"/>
          <w:sz w:val="24"/>
          <w:szCs w:val="24"/>
        </w:rPr>
        <w:t xml:space="preserve"> </w:t>
      </w:r>
      <w:r w:rsidR="006D09FE" w:rsidRPr="00870641">
        <w:rPr>
          <w:rFonts w:ascii="Times New Roman" w:hAnsi="Times New Roman" w:cs="Times New Roman"/>
          <w:sz w:val="24"/>
          <w:szCs w:val="24"/>
        </w:rPr>
        <w:t>new section 19D</w:t>
      </w:r>
      <w:r w:rsidRPr="00870641">
        <w:rPr>
          <w:rFonts w:ascii="Times New Roman" w:hAnsi="Times New Roman" w:cs="Times New Roman"/>
          <w:sz w:val="24"/>
          <w:szCs w:val="24"/>
        </w:rPr>
        <w:t xml:space="preserve"> into the principal POFR Rules. </w:t>
      </w:r>
    </w:p>
    <w:p w14:paraId="0097A168" w14:textId="3B7DD774" w:rsidR="00870641" w:rsidRDefault="00C02E55" w:rsidP="00FB1D38">
      <w:pPr>
        <w:spacing w:before="240" w:after="100" w:afterAutospacing="1" w:line="276" w:lineRule="auto"/>
        <w:rPr>
          <w:rFonts w:ascii="Times New Roman" w:eastAsia="Calibri" w:hAnsi="Times New Roman" w:cs="Times New Roman"/>
          <w:sz w:val="24"/>
          <w:szCs w:val="24"/>
        </w:rPr>
      </w:pPr>
      <w:r>
        <w:rPr>
          <w:rFonts w:ascii="Times New Roman" w:hAnsi="Times New Roman" w:cs="Times New Roman"/>
          <w:sz w:val="24"/>
          <w:szCs w:val="24"/>
        </w:rPr>
        <w:t xml:space="preserve">Subsection </w:t>
      </w:r>
      <w:r w:rsidR="006D09FE" w:rsidRPr="00870641">
        <w:rPr>
          <w:rFonts w:ascii="Times New Roman" w:eastAsia="Calibri" w:hAnsi="Times New Roman" w:cs="Times New Roman"/>
          <w:sz w:val="24"/>
          <w:szCs w:val="24"/>
        </w:rPr>
        <w:t>19D</w:t>
      </w:r>
      <w:r>
        <w:rPr>
          <w:rFonts w:ascii="Times New Roman" w:eastAsia="Calibri" w:hAnsi="Times New Roman" w:cs="Times New Roman"/>
          <w:sz w:val="24"/>
          <w:szCs w:val="24"/>
        </w:rPr>
        <w:t>(1)</w:t>
      </w:r>
      <w:r w:rsidR="010262BF" w:rsidRPr="00870641">
        <w:rPr>
          <w:rFonts w:ascii="Times New Roman" w:eastAsia="Calibri" w:hAnsi="Times New Roman" w:cs="Times New Roman"/>
          <w:sz w:val="24"/>
          <w:szCs w:val="24"/>
        </w:rPr>
        <w:t xml:space="preserve"> </w:t>
      </w:r>
      <w:r w:rsidR="00296E00">
        <w:rPr>
          <w:rFonts w:ascii="Times New Roman" w:eastAsia="Calibri" w:hAnsi="Times New Roman" w:cs="Times New Roman"/>
          <w:sz w:val="24"/>
          <w:szCs w:val="24"/>
        </w:rPr>
        <w:t>provides</w:t>
      </w:r>
      <w:r w:rsidR="010262BF" w:rsidRPr="00870641">
        <w:rPr>
          <w:rFonts w:ascii="Times New Roman" w:eastAsia="Calibri" w:hAnsi="Times New Roman" w:cs="Times New Roman"/>
          <w:sz w:val="24"/>
          <w:szCs w:val="24"/>
        </w:rPr>
        <w:t xml:space="preserve"> </w:t>
      </w:r>
      <w:r w:rsidR="00D878AD">
        <w:rPr>
          <w:rFonts w:ascii="Times New Roman" w:eastAsia="Calibri" w:hAnsi="Times New Roman" w:cs="Times New Roman"/>
          <w:sz w:val="24"/>
          <w:szCs w:val="24"/>
        </w:rPr>
        <w:t>that new</w:t>
      </w:r>
      <w:r w:rsidR="00D878AD" w:rsidRPr="00D878AD">
        <w:rPr>
          <w:rFonts w:ascii="Times New Roman" w:eastAsia="Calibri" w:hAnsi="Times New Roman" w:cs="Times New Roman"/>
          <w:sz w:val="24"/>
          <w:szCs w:val="24"/>
        </w:rPr>
        <w:t xml:space="preserve"> Subdivision </w:t>
      </w:r>
      <w:r w:rsidR="00D878AD">
        <w:rPr>
          <w:rFonts w:ascii="Times New Roman" w:eastAsia="Calibri" w:hAnsi="Times New Roman" w:cs="Times New Roman"/>
          <w:sz w:val="24"/>
          <w:szCs w:val="24"/>
        </w:rPr>
        <w:t xml:space="preserve">D </w:t>
      </w:r>
      <w:r w:rsidR="00D878AD" w:rsidRPr="00D878AD">
        <w:rPr>
          <w:rFonts w:ascii="Times New Roman" w:eastAsia="Calibri" w:hAnsi="Times New Roman" w:cs="Times New Roman"/>
          <w:sz w:val="24"/>
          <w:szCs w:val="24"/>
        </w:rPr>
        <w:t xml:space="preserve">sets out </w:t>
      </w:r>
      <w:r w:rsidR="00D878AD">
        <w:rPr>
          <w:rFonts w:ascii="Times New Roman" w:eastAsia="Calibri" w:hAnsi="Times New Roman" w:cs="Times New Roman"/>
          <w:sz w:val="24"/>
          <w:szCs w:val="24"/>
        </w:rPr>
        <w:t xml:space="preserve">additional </w:t>
      </w:r>
      <w:r w:rsidR="00D878AD" w:rsidRPr="00D878AD">
        <w:rPr>
          <w:rFonts w:ascii="Times New Roman" w:eastAsia="Calibri" w:hAnsi="Times New Roman" w:cs="Times New Roman"/>
          <w:sz w:val="24"/>
          <w:szCs w:val="24"/>
        </w:rPr>
        <w:t>reporting requirements for section 11</w:t>
      </w:r>
      <w:r w:rsidR="0008294B">
        <w:rPr>
          <w:rFonts w:ascii="Times New Roman" w:eastAsia="Calibri" w:hAnsi="Times New Roman" w:cs="Times New Roman"/>
          <w:sz w:val="24"/>
          <w:szCs w:val="24"/>
        </w:rPr>
        <w:t xml:space="preserve"> of the POFR Act</w:t>
      </w:r>
      <w:r w:rsidR="00D878AD">
        <w:rPr>
          <w:rFonts w:ascii="Times New Roman" w:eastAsia="Calibri" w:hAnsi="Times New Roman" w:cs="Times New Roman"/>
          <w:sz w:val="24"/>
          <w:szCs w:val="24"/>
        </w:rPr>
        <w:t>,</w:t>
      </w:r>
      <w:r w:rsidR="00D878AD" w:rsidRPr="00D878AD">
        <w:rPr>
          <w:rFonts w:ascii="Times New Roman" w:eastAsia="Calibri" w:hAnsi="Times New Roman" w:cs="Times New Roman"/>
          <w:sz w:val="24"/>
          <w:szCs w:val="24"/>
        </w:rPr>
        <w:t xml:space="preserve"> and auditing arrangements for section 13B of </w:t>
      </w:r>
      <w:r w:rsidR="0008294B">
        <w:rPr>
          <w:rFonts w:ascii="Times New Roman" w:eastAsia="Calibri" w:hAnsi="Times New Roman" w:cs="Times New Roman"/>
          <w:sz w:val="24"/>
          <w:szCs w:val="24"/>
        </w:rPr>
        <w:t>that</w:t>
      </w:r>
      <w:r w:rsidR="00D878AD">
        <w:rPr>
          <w:rFonts w:ascii="Times New Roman" w:eastAsia="Calibri" w:hAnsi="Times New Roman" w:cs="Times New Roman"/>
          <w:sz w:val="24"/>
          <w:szCs w:val="24"/>
        </w:rPr>
        <w:t xml:space="preserve"> </w:t>
      </w:r>
      <w:r w:rsidR="00D878AD" w:rsidRPr="00D878AD">
        <w:rPr>
          <w:rFonts w:ascii="Times New Roman" w:eastAsia="Calibri" w:hAnsi="Times New Roman" w:cs="Times New Roman"/>
          <w:sz w:val="24"/>
          <w:szCs w:val="24"/>
        </w:rPr>
        <w:t>Act</w:t>
      </w:r>
      <w:r w:rsidR="0008294B">
        <w:rPr>
          <w:rFonts w:ascii="Times New Roman" w:eastAsia="Calibri" w:hAnsi="Times New Roman" w:cs="Times New Roman"/>
          <w:sz w:val="24"/>
          <w:szCs w:val="24"/>
        </w:rPr>
        <w:t>,</w:t>
      </w:r>
      <w:r w:rsidR="00D878AD" w:rsidRPr="00D878AD">
        <w:rPr>
          <w:rFonts w:ascii="Times New Roman" w:eastAsia="Calibri" w:hAnsi="Times New Roman" w:cs="Times New Roman"/>
          <w:sz w:val="24"/>
          <w:szCs w:val="24"/>
        </w:rPr>
        <w:t xml:space="preserve"> to support the MSO</w:t>
      </w:r>
      <w:r w:rsidR="00D878AD">
        <w:rPr>
          <w:rFonts w:ascii="Times New Roman" w:eastAsia="Calibri" w:hAnsi="Times New Roman" w:cs="Times New Roman"/>
          <w:sz w:val="24"/>
          <w:szCs w:val="24"/>
        </w:rPr>
        <w:t xml:space="preserve"> scheme</w:t>
      </w:r>
      <w:r w:rsidR="0008294B">
        <w:rPr>
          <w:rFonts w:ascii="Times New Roman" w:eastAsia="Calibri" w:hAnsi="Times New Roman" w:cs="Times New Roman"/>
          <w:sz w:val="24"/>
          <w:szCs w:val="24"/>
        </w:rPr>
        <w:t xml:space="preserve"> established under the FS Act</w:t>
      </w:r>
      <w:r w:rsidR="00D878AD">
        <w:rPr>
          <w:rFonts w:ascii="Times New Roman" w:eastAsia="Calibri" w:hAnsi="Times New Roman" w:cs="Times New Roman"/>
          <w:sz w:val="24"/>
          <w:szCs w:val="24"/>
        </w:rPr>
        <w:t>.</w:t>
      </w:r>
    </w:p>
    <w:p w14:paraId="4537E928" w14:textId="02A32C03" w:rsidR="00600B18" w:rsidRDefault="00496900" w:rsidP="005F4814">
      <w:pPr>
        <w:spacing w:before="240" w:after="100" w:afterAutospacing="1" w:line="276" w:lineRule="auto"/>
        <w:rPr>
          <w:rFonts w:ascii="Times New Roman" w:eastAsia="Calibri" w:hAnsi="Times New Roman" w:cs="Times New Roman"/>
          <w:sz w:val="24"/>
          <w:szCs w:val="24"/>
        </w:rPr>
      </w:pPr>
      <w:r>
        <w:rPr>
          <w:rFonts w:ascii="Times New Roman" w:eastAsia="Calibri" w:hAnsi="Times New Roman" w:cs="Times New Roman"/>
          <w:sz w:val="24"/>
          <w:szCs w:val="24"/>
        </w:rPr>
        <w:t>Subsection 19D(2)</w:t>
      </w:r>
      <w:r w:rsidR="00E17D4F">
        <w:rPr>
          <w:rFonts w:ascii="Times New Roman" w:eastAsia="Calibri" w:hAnsi="Times New Roman" w:cs="Times New Roman"/>
          <w:sz w:val="24"/>
          <w:szCs w:val="24"/>
        </w:rPr>
        <w:t xml:space="preserve"> </w:t>
      </w:r>
      <w:r w:rsidR="00296E00">
        <w:rPr>
          <w:rFonts w:ascii="Times New Roman" w:eastAsia="Calibri" w:hAnsi="Times New Roman" w:cs="Times New Roman"/>
          <w:sz w:val="24"/>
          <w:szCs w:val="24"/>
        </w:rPr>
        <w:t>provides</w:t>
      </w:r>
      <w:r w:rsidR="00E17D4F">
        <w:rPr>
          <w:rFonts w:ascii="Times New Roman" w:eastAsia="Calibri" w:hAnsi="Times New Roman" w:cs="Times New Roman"/>
          <w:sz w:val="24"/>
          <w:szCs w:val="24"/>
        </w:rPr>
        <w:t xml:space="preserve"> </w:t>
      </w:r>
      <w:r w:rsidR="00042127">
        <w:rPr>
          <w:rFonts w:ascii="Times New Roman" w:eastAsia="Calibri" w:hAnsi="Times New Roman" w:cs="Times New Roman"/>
          <w:sz w:val="24"/>
          <w:szCs w:val="24"/>
        </w:rPr>
        <w:t xml:space="preserve">some flexible options </w:t>
      </w:r>
      <w:r w:rsidR="00E17D4F">
        <w:rPr>
          <w:rFonts w:ascii="Times New Roman" w:eastAsia="Calibri" w:hAnsi="Times New Roman" w:cs="Times New Roman"/>
          <w:sz w:val="24"/>
          <w:szCs w:val="24"/>
        </w:rPr>
        <w:t xml:space="preserve">for </w:t>
      </w:r>
      <w:r w:rsidR="00A40F8A">
        <w:rPr>
          <w:rFonts w:ascii="Times New Roman" w:eastAsia="Calibri" w:hAnsi="Times New Roman" w:cs="Times New Roman"/>
          <w:sz w:val="24"/>
          <w:szCs w:val="24"/>
        </w:rPr>
        <w:t xml:space="preserve">calculating volumes of </w:t>
      </w:r>
      <w:r w:rsidR="0008294B">
        <w:rPr>
          <w:rFonts w:ascii="Times New Roman" w:eastAsia="Calibri" w:hAnsi="Times New Roman" w:cs="Times New Roman"/>
          <w:sz w:val="24"/>
          <w:szCs w:val="24"/>
        </w:rPr>
        <w:t xml:space="preserve">MSO </w:t>
      </w:r>
      <w:r w:rsidR="00A40F8A">
        <w:rPr>
          <w:rFonts w:ascii="Times New Roman" w:eastAsia="Calibri" w:hAnsi="Times New Roman" w:cs="Times New Roman"/>
          <w:sz w:val="24"/>
          <w:szCs w:val="24"/>
        </w:rPr>
        <w:t>stocks, which are required to be reported under new Subdivision D</w:t>
      </w:r>
      <w:r w:rsidR="00787781">
        <w:rPr>
          <w:rFonts w:ascii="Times New Roman" w:eastAsia="Calibri" w:hAnsi="Times New Roman" w:cs="Times New Roman"/>
          <w:sz w:val="24"/>
          <w:szCs w:val="24"/>
        </w:rPr>
        <w:t>,</w:t>
      </w:r>
      <w:r w:rsidR="00A40F8A">
        <w:rPr>
          <w:rFonts w:ascii="Times New Roman" w:eastAsia="Calibri" w:hAnsi="Times New Roman" w:cs="Times New Roman"/>
          <w:sz w:val="24"/>
          <w:szCs w:val="24"/>
        </w:rPr>
        <w:t xml:space="preserve"> in megalitres.</w:t>
      </w:r>
      <w:r w:rsidR="00042127">
        <w:rPr>
          <w:rFonts w:ascii="Times New Roman" w:eastAsia="Calibri" w:hAnsi="Times New Roman" w:cs="Times New Roman"/>
          <w:sz w:val="24"/>
          <w:szCs w:val="24"/>
        </w:rPr>
        <w:t xml:space="preserve"> </w:t>
      </w:r>
      <w:r w:rsidR="00296E00" w:rsidRPr="00042127">
        <w:rPr>
          <w:rFonts w:ascii="Times New Roman" w:eastAsia="Calibri" w:hAnsi="Times New Roman" w:cs="Times New Roman"/>
          <w:sz w:val="24"/>
          <w:szCs w:val="24"/>
        </w:rPr>
        <w:t xml:space="preserve">During </w:t>
      </w:r>
      <w:r w:rsidR="00E17D4F" w:rsidRPr="00042127">
        <w:rPr>
          <w:rFonts w:ascii="Times New Roman" w:eastAsia="Calibri" w:hAnsi="Times New Roman" w:cs="Times New Roman"/>
          <w:sz w:val="24"/>
          <w:szCs w:val="24"/>
        </w:rPr>
        <w:t>consultation</w:t>
      </w:r>
      <w:r w:rsidR="00296E00" w:rsidRPr="00042127">
        <w:rPr>
          <w:rFonts w:ascii="Times New Roman" w:eastAsia="Calibri" w:hAnsi="Times New Roman" w:cs="Times New Roman"/>
          <w:sz w:val="24"/>
          <w:szCs w:val="24"/>
        </w:rPr>
        <w:t xml:space="preserve"> on the draft Rules</w:t>
      </w:r>
      <w:r w:rsidR="00E17D4F" w:rsidRPr="00042127">
        <w:rPr>
          <w:rFonts w:ascii="Times New Roman" w:eastAsia="Calibri" w:hAnsi="Times New Roman" w:cs="Times New Roman"/>
          <w:sz w:val="24"/>
          <w:szCs w:val="24"/>
        </w:rPr>
        <w:t xml:space="preserve">, </w:t>
      </w:r>
      <w:r w:rsidR="00787781" w:rsidRPr="00042127">
        <w:rPr>
          <w:rFonts w:ascii="Times New Roman" w:eastAsia="Calibri" w:hAnsi="Times New Roman" w:cs="Times New Roman"/>
          <w:sz w:val="24"/>
          <w:szCs w:val="24"/>
        </w:rPr>
        <w:t>some stakeholders</w:t>
      </w:r>
      <w:r w:rsidR="00E17D4F" w:rsidRPr="00042127">
        <w:rPr>
          <w:rFonts w:ascii="Times New Roman" w:eastAsia="Calibri" w:hAnsi="Times New Roman" w:cs="Times New Roman"/>
          <w:sz w:val="24"/>
          <w:szCs w:val="24"/>
        </w:rPr>
        <w:t xml:space="preserve"> requested that reported volumes </w:t>
      </w:r>
      <w:r w:rsidR="00A40F8A" w:rsidRPr="00042127">
        <w:rPr>
          <w:rFonts w:ascii="Times New Roman" w:eastAsia="Calibri" w:hAnsi="Times New Roman" w:cs="Times New Roman"/>
          <w:sz w:val="24"/>
          <w:szCs w:val="24"/>
        </w:rPr>
        <w:t xml:space="preserve">of stocks </w:t>
      </w:r>
      <w:r w:rsidR="00E17D4F" w:rsidRPr="00042127">
        <w:rPr>
          <w:rFonts w:ascii="Times New Roman" w:eastAsia="Calibri" w:hAnsi="Times New Roman" w:cs="Times New Roman"/>
          <w:sz w:val="24"/>
          <w:szCs w:val="24"/>
        </w:rPr>
        <w:t xml:space="preserve">for the MSO be </w:t>
      </w:r>
      <w:r w:rsidR="00042127">
        <w:rPr>
          <w:rFonts w:ascii="Times New Roman" w:eastAsia="Calibri" w:hAnsi="Times New Roman" w:cs="Times New Roman"/>
          <w:sz w:val="24"/>
          <w:szCs w:val="24"/>
        </w:rPr>
        <w:t xml:space="preserve">reported </w:t>
      </w:r>
      <w:r w:rsidR="00E17D4F" w:rsidRPr="00042127">
        <w:rPr>
          <w:rFonts w:ascii="Times New Roman" w:eastAsia="Calibri" w:hAnsi="Times New Roman" w:cs="Times New Roman"/>
          <w:sz w:val="24"/>
          <w:szCs w:val="24"/>
        </w:rPr>
        <w:t xml:space="preserve">in megalitres, rather than tonnes </w:t>
      </w:r>
      <w:r w:rsidR="00A40F8A" w:rsidRPr="00042127">
        <w:rPr>
          <w:rFonts w:ascii="Times New Roman" w:eastAsia="Calibri" w:hAnsi="Times New Roman" w:cs="Times New Roman"/>
          <w:sz w:val="24"/>
          <w:szCs w:val="24"/>
        </w:rPr>
        <w:t>(</w:t>
      </w:r>
      <w:r w:rsidR="00042127" w:rsidRPr="00042127">
        <w:rPr>
          <w:rFonts w:ascii="Times New Roman" w:eastAsia="Calibri" w:hAnsi="Times New Roman" w:cs="Times New Roman"/>
          <w:sz w:val="24"/>
          <w:szCs w:val="24"/>
        </w:rPr>
        <w:t>i.e.</w:t>
      </w:r>
      <w:r w:rsidR="00A40F8A" w:rsidRPr="00042127">
        <w:rPr>
          <w:rFonts w:ascii="Times New Roman" w:eastAsia="Calibri" w:hAnsi="Times New Roman" w:cs="Times New Roman"/>
          <w:sz w:val="24"/>
          <w:szCs w:val="24"/>
        </w:rPr>
        <w:t xml:space="preserve"> the </w:t>
      </w:r>
      <w:r w:rsidR="00042127" w:rsidRPr="00042127">
        <w:rPr>
          <w:rFonts w:ascii="Times New Roman" w:eastAsia="Calibri" w:hAnsi="Times New Roman" w:cs="Times New Roman"/>
          <w:sz w:val="24"/>
          <w:szCs w:val="24"/>
        </w:rPr>
        <w:t xml:space="preserve">alternative </w:t>
      </w:r>
      <w:r w:rsidR="00A40F8A" w:rsidRPr="00042127">
        <w:rPr>
          <w:rFonts w:ascii="Times New Roman" w:eastAsia="Calibri" w:hAnsi="Times New Roman" w:cs="Times New Roman"/>
          <w:sz w:val="24"/>
          <w:szCs w:val="24"/>
        </w:rPr>
        <w:t xml:space="preserve">unit of measurement </w:t>
      </w:r>
      <w:r w:rsidR="00F528FE">
        <w:rPr>
          <w:rFonts w:ascii="Times New Roman" w:eastAsia="Calibri" w:hAnsi="Times New Roman" w:cs="Times New Roman"/>
          <w:sz w:val="24"/>
          <w:szCs w:val="24"/>
        </w:rPr>
        <w:t>required to be reported</w:t>
      </w:r>
      <w:r w:rsidR="00042127" w:rsidRPr="00042127">
        <w:rPr>
          <w:rFonts w:ascii="Times New Roman" w:eastAsia="Calibri" w:hAnsi="Times New Roman" w:cs="Times New Roman"/>
          <w:sz w:val="24"/>
          <w:szCs w:val="24"/>
        </w:rPr>
        <w:t xml:space="preserve"> </w:t>
      </w:r>
      <w:r w:rsidR="00A40F8A" w:rsidRPr="00042127">
        <w:rPr>
          <w:rFonts w:ascii="Times New Roman" w:eastAsia="Calibri" w:hAnsi="Times New Roman" w:cs="Times New Roman"/>
          <w:sz w:val="24"/>
          <w:szCs w:val="24"/>
        </w:rPr>
        <w:t xml:space="preserve">under </w:t>
      </w:r>
      <w:r w:rsidR="00F87FA8">
        <w:rPr>
          <w:rFonts w:ascii="Times New Roman" w:eastAsia="Calibri" w:hAnsi="Times New Roman" w:cs="Times New Roman"/>
          <w:sz w:val="24"/>
          <w:szCs w:val="24"/>
        </w:rPr>
        <w:t>other provisions of</w:t>
      </w:r>
      <w:r w:rsidR="00A40F8A" w:rsidRPr="00042127">
        <w:rPr>
          <w:rFonts w:ascii="Times New Roman" w:eastAsia="Calibri" w:hAnsi="Times New Roman" w:cs="Times New Roman"/>
          <w:sz w:val="24"/>
          <w:szCs w:val="24"/>
        </w:rPr>
        <w:t xml:space="preserve"> </w:t>
      </w:r>
      <w:r w:rsidR="00516B57">
        <w:rPr>
          <w:rFonts w:ascii="Times New Roman" w:eastAsia="Calibri" w:hAnsi="Times New Roman" w:cs="Times New Roman"/>
          <w:sz w:val="24"/>
          <w:szCs w:val="24"/>
        </w:rPr>
        <w:t xml:space="preserve">the </w:t>
      </w:r>
      <w:r w:rsidR="00042127" w:rsidRPr="00042127">
        <w:rPr>
          <w:rFonts w:ascii="Times New Roman" w:eastAsia="Calibri" w:hAnsi="Times New Roman" w:cs="Times New Roman"/>
          <w:sz w:val="24"/>
          <w:szCs w:val="24"/>
        </w:rPr>
        <w:t xml:space="preserve">principal </w:t>
      </w:r>
      <w:r w:rsidR="00E17D4F" w:rsidRPr="00042127">
        <w:rPr>
          <w:rFonts w:ascii="Times New Roman" w:eastAsia="Calibri" w:hAnsi="Times New Roman" w:cs="Times New Roman"/>
          <w:sz w:val="24"/>
          <w:szCs w:val="24"/>
        </w:rPr>
        <w:t xml:space="preserve">POFR </w:t>
      </w:r>
      <w:r w:rsidR="00042127" w:rsidRPr="00042127">
        <w:rPr>
          <w:rFonts w:ascii="Times New Roman" w:eastAsia="Calibri" w:hAnsi="Times New Roman" w:cs="Times New Roman"/>
          <w:sz w:val="24"/>
          <w:szCs w:val="24"/>
        </w:rPr>
        <w:t>Rules</w:t>
      </w:r>
      <w:r w:rsidR="00A40F8A" w:rsidRPr="00042127">
        <w:rPr>
          <w:rFonts w:ascii="Times New Roman" w:eastAsia="Calibri" w:hAnsi="Times New Roman" w:cs="Times New Roman"/>
          <w:sz w:val="24"/>
          <w:szCs w:val="24"/>
        </w:rPr>
        <w:t>)</w:t>
      </w:r>
      <w:r w:rsidR="00E17D4F" w:rsidRPr="00042127">
        <w:rPr>
          <w:rFonts w:ascii="Times New Roman" w:eastAsia="Calibri" w:hAnsi="Times New Roman" w:cs="Times New Roman"/>
          <w:sz w:val="24"/>
          <w:szCs w:val="24"/>
        </w:rPr>
        <w:t xml:space="preserve">. However, as megalitre volumes can change with temperature, pressure and density, </w:t>
      </w:r>
      <w:r w:rsidR="00A40F8A" w:rsidRPr="00042127">
        <w:rPr>
          <w:rFonts w:ascii="Times New Roman" w:eastAsia="Calibri" w:hAnsi="Times New Roman" w:cs="Times New Roman"/>
          <w:sz w:val="24"/>
          <w:szCs w:val="24"/>
        </w:rPr>
        <w:t>subsection 19D(2)</w:t>
      </w:r>
      <w:r w:rsidR="00296E00" w:rsidRPr="00042127">
        <w:rPr>
          <w:rFonts w:ascii="Times New Roman" w:eastAsia="Calibri" w:hAnsi="Times New Roman" w:cs="Times New Roman"/>
          <w:sz w:val="24"/>
          <w:szCs w:val="24"/>
        </w:rPr>
        <w:t xml:space="preserve"> </w:t>
      </w:r>
      <w:r w:rsidR="00E17D4F" w:rsidRPr="00042127">
        <w:rPr>
          <w:rFonts w:ascii="Times New Roman" w:eastAsia="Calibri" w:hAnsi="Times New Roman" w:cs="Times New Roman"/>
          <w:sz w:val="24"/>
          <w:szCs w:val="24"/>
        </w:rPr>
        <w:t>allow</w:t>
      </w:r>
      <w:r w:rsidR="00F87FA8">
        <w:rPr>
          <w:rFonts w:ascii="Times New Roman" w:eastAsia="Calibri" w:hAnsi="Times New Roman" w:cs="Times New Roman"/>
          <w:sz w:val="24"/>
          <w:szCs w:val="24"/>
        </w:rPr>
        <w:t>s</w:t>
      </w:r>
      <w:r w:rsidR="00E17D4F" w:rsidRPr="00042127">
        <w:rPr>
          <w:rFonts w:ascii="Times New Roman" w:eastAsia="Calibri" w:hAnsi="Times New Roman" w:cs="Times New Roman"/>
          <w:sz w:val="24"/>
          <w:szCs w:val="24"/>
        </w:rPr>
        <w:t xml:space="preserve"> for </w:t>
      </w:r>
      <w:r w:rsidR="00042127" w:rsidRPr="00042127">
        <w:rPr>
          <w:rFonts w:ascii="Times New Roman" w:eastAsia="Calibri" w:hAnsi="Times New Roman" w:cs="Times New Roman"/>
          <w:sz w:val="24"/>
          <w:szCs w:val="24"/>
        </w:rPr>
        <w:t>possible alternative</w:t>
      </w:r>
      <w:r w:rsidR="00E17D4F" w:rsidRPr="00042127">
        <w:rPr>
          <w:rFonts w:ascii="Times New Roman" w:eastAsia="Calibri" w:hAnsi="Times New Roman" w:cs="Times New Roman"/>
          <w:sz w:val="24"/>
          <w:szCs w:val="24"/>
        </w:rPr>
        <w:t xml:space="preserve"> </w:t>
      </w:r>
      <w:r w:rsidR="00042127" w:rsidRPr="00042127">
        <w:rPr>
          <w:rFonts w:ascii="Times New Roman" w:eastAsia="Calibri" w:hAnsi="Times New Roman" w:cs="Times New Roman"/>
          <w:sz w:val="24"/>
          <w:szCs w:val="24"/>
        </w:rPr>
        <w:t xml:space="preserve">calculation and conversion </w:t>
      </w:r>
      <w:r w:rsidR="00E17D4F" w:rsidRPr="00042127">
        <w:rPr>
          <w:rFonts w:ascii="Times New Roman" w:eastAsia="Calibri" w:hAnsi="Times New Roman" w:cs="Times New Roman"/>
          <w:sz w:val="24"/>
          <w:szCs w:val="24"/>
        </w:rPr>
        <w:t>mechanisms</w:t>
      </w:r>
      <w:r w:rsidR="00042127">
        <w:rPr>
          <w:rFonts w:ascii="Times New Roman" w:eastAsia="Calibri" w:hAnsi="Times New Roman" w:cs="Times New Roman"/>
          <w:sz w:val="24"/>
          <w:szCs w:val="24"/>
        </w:rPr>
        <w:t>. It</w:t>
      </w:r>
      <w:r w:rsidR="00E17D4F" w:rsidRPr="00042127">
        <w:rPr>
          <w:rFonts w:ascii="Times New Roman" w:eastAsia="Calibri" w:hAnsi="Times New Roman" w:cs="Times New Roman"/>
          <w:sz w:val="24"/>
          <w:szCs w:val="24"/>
        </w:rPr>
        <w:t xml:space="preserve"> </w:t>
      </w:r>
      <w:r w:rsidR="00042127">
        <w:rPr>
          <w:rFonts w:ascii="Times New Roman" w:eastAsia="Calibri" w:hAnsi="Times New Roman" w:cs="Times New Roman"/>
          <w:sz w:val="24"/>
          <w:szCs w:val="24"/>
        </w:rPr>
        <w:t xml:space="preserve">aims to </w:t>
      </w:r>
      <w:r w:rsidR="00600B18" w:rsidRPr="00042127">
        <w:rPr>
          <w:rFonts w:ascii="Times New Roman" w:eastAsia="Calibri" w:hAnsi="Times New Roman" w:cs="Times New Roman"/>
          <w:sz w:val="24"/>
          <w:szCs w:val="24"/>
        </w:rPr>
        <w:t>reduc</w:t>
      </w:r>
      <w:r w:rsidR="00042127">
        <w:rPr>
          <w:rFonts w:ascii="Times New Roman" w:eastAsia="Calibri" w:hAnsi="Times New Roman" w:cs="Times New Roman"/>
          <w:sz w:val="24"/>
          <w:szCs w:val="24"/>
        </w:rPr>
        <w:t>e</w:t>
      </w:r>
      <w:r w:rsidR="00600B18" w:rsidRPr="00042127">
        <w:rPr>
          <w:rFonts w:ascii="Times New Roman" w:eastAsia="Calibri" w:hAnsi="Times New Roman" w:cs="Times New Roman"/>
          <w:sz w:val="24"/>
          <w:szCs w:val="24"/>
        </w:rPr>
        <w:t xml:space="preserve"> regulatory burden </w:t>
      </w:r>
      <w:r w:rsidR="00042127">
        <w:rPr>
          <w:rFonts w:ascii="Times New Roman" w:eastAsia="Calibri" w:hAnsi="Times New Roman" w:cs="Times New Roman"/>
          <w:sz w:val="24"/>
          <w:szCs w:val="24"/>
        </w:rPr>
        <w:t>for industry,</w:t>
      </w:r>
      <w:r w:rsidR="0008294B">
        <w:rPr>
          <w:rFonts w:ascii="Times New Roman" w:eastAsia="Calibri" w:hAnsi="Times New Roman" w:cs="Times New Roman"/>
          <w:sz w:val="24"/>
          <w:szCs w:val="24"/>
        </w:rPr>
        <w:t xml:space="preserve"> </w:t>
      </w:r>
      <w:r w:rsidR="00042127" w:rsidRPr="00042127">
        <w:rPr>
          <w:rFonts w:ascii="Times New Roman" w:eastAsia="Calibri" w:hAnsi="Times New Roman" w:cs="Times New Roman"/>
          <w:sz w:val="24"/>
          <w:szCs w:val="24"/>
        </w:rPr>
        <w:t>while still</w:t>
      </w:r>
      <w:r w:rsidR="00600B18" w:rsidRPr="00042127">
        <w:rPr>
          <w:rFonts w:ascii="Times New Roman" w:eastAsia="Calibri" w:hAnsi="Times New Roman" w:cs="Times New Roman"/>
          <w:sz w:val="24"/>
          <w:szCs w:val="24"/>
        </w:rPr>
        <w:t xml:space="preserve"> ensuring accurate </w:t>
      </w:r>
      <w:r w:rsidR="0008294B">
        <w:rPr>
          <w:rFonts w:ascii="Times New Roman" w:eastAsia="Calibri" w:hAnsi="Times New Roman" w:cs="Times New Roman"/>
          <w:sz w:val="24"/>
          <w:szCs w:val="24"/>
        </w:rPr>
        <w:t xml:space="preserve">and consistent </w:t>
      </w:r>
      <w:r w:rsidR="00600B18" w:rsidRPr="00042127">
        <w:rPr>
          <w:rFonts w:ascii="Times New Roman" w:eastAsia="Calibri" w:hAnsi="Times New Roman" w:cs="Times New Roman"/>
          <w:sz w:val="24"/>
          <w:szCs w:val="24"/>
        </w:rPr>
        <w:t>reporting</w:t>
      </w:r>
      <w:r w:rsidR="00042127">
        <w:rPr>
          <w:rFonts w:ascii="Times New Roman" w:eastAsia="Calibri" w:hAnsi="Times New Roman" w:cs="Times New Roman"/>
          <w:sz w:val="24"/>
          <w:szCs w:val="24"/>
        </w:rPr>
        <w:t xml:space="preserve"> of stock volumes, by providing for conversion of data already used by regulated entities</w:t>
      </w:r>
      <w:r w:rsidR="00600B18" w:rsidRPr="00042127">
        <w:rPr>
          <w:rFonts w:ascii="Times New Roman" w:eastAsia="Calibri" w:hAnsi="Times New Roman" w:cs="Times New Roman"/>
          <w:sz w:val="24"/>
          <w:szCs w:val="24"/>
        </w:rPr>
        <w:t xml:space="preserve">. </w:t>
      </w:r>
      <w:r w:rsidR="0008294B">
        <w:rPr>
          <w:rFonts w:ascii="Times New Roman" w:eastAsia="Calibri" w:hAnsi="Times New Roman" w:cs="Times New Roman"/>
          <w:sz w:val="24"/>
          <w:szCs w:val="24"/>
        </w:rPr>
        <w:t xml:space="preserve">Specifically, subsection 19D(2) allows reporting entities </w:t>
      </w:r>
      <w:r w:rsidR="00600B18">
        <w:rPr>
          <w:rFonts w:ascii="Times New Roman" w:eastAsia="Calibri" w:hAnsi="Times New Roman" w:cs="Times New Roman"/>
          <w:sz w:val="24"/>
          <w:szCs w:val="24"/>
        </w:rPr>
        <w:t xml:space="preserve">to choose the most appropriate </w:t>
      </w:r>
      <w:r w:rsidR="0008294B">
        <w:rPr>
          <w:rFonts w:ascii="Times New Roman" w:eastAsia="Calibri" w:hAnsi="Times New Roman" w:cs="Times New Roman"/>
          <w:sz w:val="24"/>
          <w:szCs w:val="24"/>
        </w:rPr>
        <w:t xml:space="preserve">calculation </w:t>
      </w:r>
      <w:r w:rsidR="00600B18">
        <w:rPr>
          <w:rFonts w:ascii="Times New Roman" w:eastAsia="Calibri" w:hAnsi="Times New Roman" w:cs="Times New Roman"/>
          <w:sz w:val="24"/>
          <w:szCs w:val="24"/>
        </w:rPr>
        <w:t>mechanism to align with their current reporting practices. They can either:</w:t>
      </w:r>
    </w:p>
    <w:p w14:paraId="6DEAFD04" w14:textId="419DDE8F" w:rsidR="00600B18" w:rsidRDefault="00600B18" w:rsidP="00042D0C">
      <w:pPr>
        <w:pStyle w:val="ListParagraph"/>
        <w:numPr>
          <w:ilvl w:val="0"/>
          <w:numId w:val="38"/>
        </w:numPr>
        <w:spacing w:before="240" w:after="0"/>
        <w:rPr>
          <w:rFonts w:ascii="Times New Roman" w:eastAsia="Calibri" w:hAnsi="Times New Roman" w:cs="Times New Roman"/>
          <w:sz w:val="24"/>
          <w:szCs w:val="24"/>
        </w:rPr>
      </w:pPr>
      <w:r w:rsidRPr="00600B18">
        <w:rPr>
          <w:rFonts w:ascii="Times New Roman" w:eastAsia="Calibri" w:hAnsi="Times New Roman" w:cs="Times New Roman"/>
          <w:sz w:val="24"/>
          <w:szCs w:val="24"/>
        </w:rPr>
        <w:lastRenderedPageBreak/>
        <w:t xml:space="preserve">choose to convert the </w:t>
      </w:r>
      <w:r w:rsidR="00F87FA8">
        <w:rPr>
          <w:rFonts w:ascii="Times New Roman" w:eastAsia="Calibri" w:hAnsi="Times New Roman" w:cs="Times New Roman"/>
          <w:sz w:val="24"/>
          <w:szCs w:val="24"/>
        </w:rPr>
        <w:t xml:space="preserve">volumes of </w:t>
      </w:r>
      <w:r w:rsidRPr="00600B18">
        <w:rPr>
          <w:rFonts w:ascii="Times New Roman" w:eastAsia="Calibri" w:hAnsi="Times New Roman" w:cs="Times New Roman"/>
          <w:sz w:val="24"/>
          <w:szCs w:val="24"/>
        </w:rPr>
        <w:t>fuel</w:t>
      </w:r>
      <w:r w:rsidR="00F87FA8">
        <w:rPr>
          <w:rFonts w:ascii="Times New Roman" w:eastAsia="Calibri" w:hAnsi="Times New Roman" w:cs="Times New Roman"/>
          <w:sz w:val="24"/>
          <w:szCs w:val="24"/>
        </w:rPr>
        <w:t xml:space="preserve"> stocks</w:t>
      </w:r>
      <w:r w:rsidRPr="00600B18">
        <w:rPr>
          <w:rFonts w:ascii="Times New Roman" w:eastAsia="Calibri" w:hAnsi="Times New Roman" w:cs="Times New Roman"/>
          <w:sz w:val="24"/>
          <w:szCs w:val="24"/>
        </w:rPr>
        <w:t xml:space="preserve"> to megalitres from other measurements in a way that is consistent with their reporting arrangements fo</w:t>
      </w:r>
      <w:r>
        <w:rPr>
          <w:rFonts w:ascii="Times New Roman" w:eastAsia="Calibri" w:hAnsi="Times New Roman" w:cs="Times New Roman"/>
          <w:sz w:val="24"/>
          <w:szCs w:val="24"/>
        </w:rPr>
        <w:t>r excise or customs duty for those</w:t>
      </w:r>
      <w:r w:rsidRPr="00600B18">
        <w:rPr>
          <w:rFonts w:ascii="Times New Roman" w:eastAsia="Calibri" w:hAnsi="Times New Roman" w:cs="Times New Roman"/>
          <w:sz w:val="24"/>
          <w:szCs w:val="24"/>
        </w:rPr>
        <w:t xml:space="preserve"> fuel products</w:t>
      </w:r>
      <w:r>
        <w:rPr>
          <w:rFonts w:ascii="Times New Roman" w:eastAsia="Calibri" w:hAnsi="Times New Roman" w:cs="Times New Roman"/>
          <w:sz w:val="24"/>
          <w:szCs w:val="24"/>
        </w:rPr>
        <w:t>, or</w:t>
      </w:r>
    </w:p>
    <w:p w14:paraId="60B00CE8" w14:textId="7AD6467D" w:rsidR="00600B18" w:rsidRDefault="00600B18" w:rsidP="00600B18">
      <w:pPr>
        <w:pStyle w:val="ListParagraph"/>
        <w:numPr>
          <w:ilvl w:val="0"/>
          <w:numId w:val="38"/>
        </w:num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use a calculation that is consistent with standard industry practice used by the entity for other commercial or business reporting requirements. </w:t>
      </w:r>
    </w:p>
    <w:p w14:paraId="4356FA8A" w14:textId="39652E41" w:rsidR="00042D0C" w:rsidRDefault="00042D0C" w:rsidP="00042D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The note to </w:t>
      </w:r>
      <w:r w:rsidR="006E5576">
        <w:rPr>
          <w:rFonts w:ascii="Times New Roman" w:eastAsia="Calibri" w:hAnsi="Times New Roman" w:cs="Times New Roman"/>
          <w:sz w:val="24"/>
          <w:szCs w:val="24"/>
        </w:rPr>
        <w:t>paragraph 19D(2)(b) advises the different information</w:t>
      </w:r>
      <w:r w:rsidR="00E359BB">
        <w:rPr>
          <w:rFonts w:ascii="Times New Roman" w:eastAsia="Calibri" w:hAnsi="Times New Roman" w:cs="Times New Roman"/>
          <w:sz w:val="24"/>
          <w:szCs w:val="24"/>
        </w:rPr>
        <w:t xml:space="preserve"> (e.g. standard temperature and pressure)</w:t>
      </w:r>
      <w:r w:rsidR="006E5576">
        <w:rPr>
          <w:rFonts w:ascii="Times New Roman" w:eastAsia="Calibri" w:hAnsi="Times New Roman" w:cs="Times New Roman"/>
          <w:sz w:val="24"/>
          <w:szCs w:val="24"/>
        </w:rPr>
        <w:t xml:space="preserve"> that may be required when </w:t>
      </w:r>
      <w:r w:rsidR="00E359BB">
        <w:rPr>
          <w:rFonts w:ascii="Times New Roman" w:eastAsia="Calibri" w:hAnsi="Times New Roman" w:cs="Times New Roman"/>
          <w:sz w:val="24"/>
          <w:szCs w:val="24"/>
        </w:rPr>
        <w:t>converting</w:t>
      </w:r>
      <w:r w:rsidR="006E5576">
        <w:rPr>
          <w:rFonts w:ascii="Times New Roman" w:eastAsia="Calibri" w:hAnsi="Times New Roman" w:cs="Times New Roman"/>
          <w:sz w:val="24"/>
          <w:szCs w:val="24"/>
        </w:rPr>
        <w:t xml:space="preserve"> </w:t>
      </w:r>
      <w:r w:rsidR="00E359BB">
        <w:rPr>
          <w:rFonts w:ascii="Times New Roman" w:eastAsia="Calibri" w:hAnsi="Times New Roman" w:cs="Times New Roman"/>
          <w:sz w:val="24"/>
          <w:szCs w:val="24"/>
        </w:rPr>
        <w:t xml:space="preserve">MSO stock volumes </w:t>
      </w:r>
      <w:r w:rsidR="006E5576">
        <w:rPr>
          <w:rFonts w:ascii="Times New Roman" w:eastAsia="Calibri" w:hAnsi="Times New Roman" w:cs="Times New Roman"/>
          <w:sz w:val="24"/>
          <w:szCs w:val="24"/>
        </w:rPr>
        <w:t xml:space="preserve">from tonnes into </w:t>
      </w:r>
      <w:r w:rsidR="00E359BB">
        <w:rPr>
          <w:rFonts w:ascii="Times New Roman" w:eastAsia="Calibri" w:hAnsi="Times New Roman" w:cs="Times New Roman"/>
          <w:sz w:val="24"/>
          <w:szCs w:val="24"/>
        </w:rPr>
        <w:t>megalitres</w:t>
      </w:r>
      <w:r w:rsidR="006E5576">
        <w:rPr>
          <w:rFonts w:ascii="Times New Roman" w:eastAsia="Calibri" w:hAnsi="Times New Roman" w:cs="Times New Roman"/>
          <w:sz w:val="24"/>
          <w:szCs w:val="24"/>
        </w:rPr>
        <w:t xml:space="preserve">. </w:t>
      </w:r>
    </w:p>
    <w:p w14:paraId="1CB67E34" w14:textId="1BFB4FFE" w:rsidR="006E5576" w:rsidRDefault="006E5576" w:rsidP="006E5576">
      <w:pPr>
        <w:spacing w:after="0" w:line="276" w:lineRule="auto"/>
        <w:ind w:left="357" w:hanging="357"/>
        <w:jc w:val="both"/>
        <w:rPr>
          <w:rFonts w:ascii="Times New Roman" w:hAnsi="Times New Roman" w:cs="Times New Roman"/>
          <w:i/>
          <w:sz w:val="24"/>
          <w:szCs w:val="24"/>
        </w:rPr>
      </w:pPr>
      <w:r>
        <w:rPr>
          <w:rFonts w:ascii="Times New Roman" w:hAnsi="Times New Roman" w:cs="Times New Roman"/>
          <w:i/>
          <w:sz w:val="24"/>
          <w:szCs w:val="24"/>
        </w:rPr>
        <w:t>New section 19E  Reports</w:t>
      </w:r>
      <w:r w:rsidR="00B62FBD" w:rsidRPr="000C39A8">
        <w:rPr>
          <w:rFonts w:ascii="Times New Roman" w:hAnsi="Times New Roman" w:cs="Times New Roman"/>
          <w:i/>
          <w:sz w:val="24"/>
          <w:szCs w:val="24"/>
        </w:rPr>
        <w:t>—</w:t>
      </w:r>
      <w:r>
        <w:rPr>
          <w:rFonts w:ascii="Times New Roman" w:hAnsi="Times New Roman" w:cs="Times New Roman"/>
          <w:i/>
          <w:sz w:val="24"/>
          <w:szCs w:val="24"/>
        </w:rPr>
        <w:t xml:space="preserve">MSO </w:t>
      </w:r>
      <w:r w:rsidR="00B62FBD">
        <w:rPr>
          <w:rFonts w:ascii="Times New Roman" w:hAnsi="Times New Roman" w:cs="Times New Roman"/>
          <w:i/>
          <w:sz w:val="24"/>
          <w:szCs w:val="24"/>
        </w:rPr>
        <w:t>obligation day stockholding data</w:t>
      </w:r>
    </w:p>
    <w:p w14:paraId="09AB2243" w14:textId="63B43069" w:rsidR="006E5576" w:rsidRDefault="00B62FBD" w:rsidP="00042D0C">
      <w:pPr>
        <w:spacing w:before="240" w:after="100" w:afterAutospacing="1"/>
        <w:rPr>
          <w:rFonts w:ascii="Times New Roman" w:eastAsia="Calibri" w:hAnsi="Times New Roman" w:cs="Times New Roman"/>
          <w:sz w:val="24"/>
          <w:szCs w:val="24"/>
        </w:rPr>
      </w:pPr>
      <w:r w:rsidRPr="00907B76">
        <w:rPr>
          <w:rFonts w:ascii="Times New Roman" w:eastAsia="Calibri" w:hAnsi="Times New Roman" w:cs="Times New Roman"/>
          <w:sz w:val="24"/>
          <w:szCs w:val="24"/>
        </w:rPr>
        <w:t>This i</w:t>
      </w:r>
      <w:r>
        <w:rPr>
          <w:rFonts w:ascii="Times New Roman" w:eastAsia="Calibri" w:hAnsi="Times New Roman" w:cs="Times New Roman"/>
          <w:sz w:val="24"/>
          <w:szCs w:val="24"/>
        </w:rPr>
        <w:t>tem also inserts new section 19E</w:t>
      </w:r>
      <w:r w:rsidRPr="00907B76">
        <w:rPr>
          <w:rFonts w:ascii="Times New Roman" w:eastAsia="Calibri" w:hAnsi="Times New Roman" w:cs="Times New Roman"/>
          <w:sz w:val="24"/>
          <w:szCs w:val="24"/>
        </w:rPr>
        <w:t xml:space="preserve"> into the principal POFR Rules.</w:t>
      </w:r>
      <w:r w:rsidR="00E57041">
        <w:rPr>
          <w:rFonts w:ascii="Times New Roman" w:eastAsia="Calibri" w:hAnsi="Times New Roman" w:cs="Times New Roman"/>
          <w:sz w:val="24"/>
          <w:szCs w:val="24"/>
        </w:rPr>
        <w:t xml:space="preserve"> </w:t>
      </w:r>
    </w:p>
    <w:p w14:paraId="4F149565" w14:textId="1472DF28" w:rsidR="00E57041" w:rsidRDefault="00E57041" w:rsidP="00042D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 19E(1) </w:t>
      </w:r>
      <w:r w:rsidR="00F055DF">
        <w:rPr>
          <w:rFonts w:ascii="Times New Roman" w:eastAsia="Calibri" w:hAnsi="Times New Roman" w:cs="Times New Roman"/>
          <w:sz w:val="24"/>
          <w:szCs w:val="24"/>
        </w:rPr>
        <w:t xml:space="preserve">provides </w:t>
      </w:r>
      <w:r>
        <w:rPr>
          <w:rFonts w:ascii="Times New Roman" w:eastAsia="Calibri" w:hAnsi="Times New Roman" w:cs="Times New Roman"/>
          <w:sz w:val="24"/>
          <w:szCs w:val="24"/>
        </w:rPr>
        <w:t xml:space="preserve">that regulated entities that are </w:t>
      </w:r>
      <w:r w:rsidR="00F055DF">
        <w:rPr>
          <w:rFonts w:ascii="Times New Roman" w:eastAsia="Calibri" w:hAnsi="Times New Roman" w:cs="Times New Roman"/>
          <w:sz w:val="24"/>
          <w:szCs w:val="24"/>
        </w:rPr>
        <w:t xml:space="preserve">subject to </w:t>
      </w:r>
      <w:r>
        <w:rPr>
          <w:rFonts w:ascii="Times New Roman" w:eastAsia="Calibri" w:hAnsi="Times New Roman" w:cs="Times New Roman"/>
          <w:sz w:val="24"/>
          <w:szCs w:val="24"/>
        </w:rPr>
        <w:t xml:space="preserve">the MSO under the FS Act (i.e. the importers and refiners </w:t>
      </w:r>
      <w:r w:rsidR="00FF626F">
        <w:rPr>
          <w:rFonts w:ascii="Times New Roman" w:eastAsia="Calibri" w:hAnsi="Times New Roman" w:cs="Times New Roman"/>
          <w:sz w:val="24"/>
          <w:szCs w:val="24"/>
        </w:rPr>
        <w:t xml:space="preserve">operating in Australia </w:t>
      </w:r>
      <w:r w:rsidR="002C4AAF">
        <w:rPr>
          <w:rFonts w:ascii="Times New Roman" w:eastAsia="Calibri" w:hAnsi="Times New Roman" w:cs="Times New Roman"/>
          <w:sz w:val="24"/>
          <w:szCs w:val="24"/>
        </w:rPr>
        <w:t xml:space="preserve">that </w:t>
      </w:r>
      <w:r>
        <w:rPr>
          <w:rFonts w:ascii="Times New Roman" w:eastAsia="Calibri" w:hAnsi="Times New Roman" w:cs="Times New Roman"/>
          <w:sz w:val="24"/>
          <w:szCs w:val="24"/>
        </w:rPr>
        <w:t xml:space="preserve">have triggered the obligation under section 10 of the FS Act), must report specified information to the Secretary within 72 hours from the end of each obligation day. </w:t>
      </w:r>
      <w:r w:rsidR="00F055DF">
        <w:rPr>
          <w:rFonts w:ascii="Times New Roman" w:eastAsia="Calibri" w:hAnsi="Times New Roman" w:cs="Times New Roman"/>
          <w:sz w:val="24"/>
          <w:szCs w:val="24"/>
        </w:rPr>
        <w:t>Under section 14 of the MSO Rules, t</w:t>
      </w:r>
      <w:r w:rsidRPr="00313A88">
        <w:rPr>
          <w:rFonts w:ascii="Times New Roman" w:eastAsia="Calibri" w:hAnsi="Times New Roman" w:cs="Times New Roman"/>
          <w:sz w:val="24"/>
          <w:szCs w:val="24"/>
        </w:rPr>
        <w:t xml:space="preserve">he obligation day frequency is </w:t>
      </w:r>
      <w:r w:rsidR="00FF626F" w:rsidRPr="00313A88">
        <w:rPr>
          <w:rFonts w:ascii="Times New Roman" w:eastAsia="Calibri" w:hAnsi="Times New Roman" w:cs="Times New Roman"/>
          <w:sz w:val="24"/>
          <w:szCs w:val="24"/>
        </w:rPr>
        <w:t xml:space="preserve">fortnightly from 4 July 2022 – 1 July 2024, before changing to weekly </w:t>
      </w:r>
      <w:r w:rsidR="00313A88">
        <w:rPr>
          <w:rFonts w:ascii="Times New Roman" w:eastAsia="Calibri" w:hAnsi="Times New Roman" w:cs="Times New Roman"/>
          <w:sz w:val="24"/>
          <w:szCs w:val="24"/>
        </w:rPr>
        <w:t xml:space="preserve">from </w:t>
      </w:r>
      <w:r w:rsidR="00C71DFA">
        <w:rPr>
          <w:rFonts w:ascii="Times New Roman" w:eastAsia="Calibri" w:hAnsi="Times New Roman" w:cs="Times New Roman"/>
          <w:sz w:val="24"/>
          <w:szCs w:val="24"/>
        </w:rPr>
        <w:t>1</w:t>
      </w:r>
      <w:r w:rsidR="00FF626F" w:rsidRPr="00313A88">
        <w:rPr>
          <w:rFonts w:ascii="Times New Roman" w:eastAsia="Calibri" w:hAnsi="Times New Roman" w:cs="Times New Roman"/>
          <w:sz w:val="24"/>
          <w:szCs w:val="24"/>
        </w:rPr>
        <w:t xml:space="preserve"> July 2024.</w:t>
      </w:r>
      <w:r w:rsidR="00567EC3" w:rsidRPr="00567EC3">
        <w:t xml:space="preserve"> </w:t>
      </w:r>
      <w:r w:rsidR="00567EC3" w:rsidRPr="00567EC3">
        <w:rPr>
          <w:rFonts w:ascii="Times New Roman" w:eastAsia="Calibri" w:hAnsi="Times New Roman" w:cs="Times New Roman"/>
          <w:sz w:val="24"/>
          <w:szCs w:val="24"/>
        </w:rPr>
        <w:t xml:space="preserve">The report must be provided by the entity that undertook the </w:t>
      </w:r>
      <w:r w:rsidR="000C7702">
        <w:rPr>
          <w:rFonts w:ascii="Times New Roman" w:eastAsia="Calibri" w:hAnsi="Times New Roman" w:cs="Times New Roman"/>
          <w:sz w:val="24"/>
          <w:szCs w:val="24"/>
        </w:rPr>
        <w:t xml:space="preserve">covered activity of </w:t>
      </w:r>
      <w:r w:rsidR="00567EC3" w:rsidRPr="00567EC3">
        <w:rPr>
          <w:rFonts w:ascii="Times New Roman" w:eastAsia="Calibri" w:hAnsi="Times New Roman" w:cs="Times New Roman"/>
          <w:sz w:val="24"/>
          <w:szCs w:val="24"/>
        </w:rPr>
        <w:t xml:space="preserve">refining or importing </w:t>
      </w:r>
      <w:r w:rsidR="000C7702">
        <w:rPr>
          <w:rFonts w:ascii="Times New Roman" w:eastAsia="Calibri" w:hAnsi="Times New Roman" w:cs="Times New Roman"/>
          <w:sz w:val="24"/>
          <w:szCs w:val="24"/>
        </w:rPr>
        <w:t xml:space="preserve">the MSO product </w:t>
      </w:r>
      <w:r w:rsidR="00567EC3" w:rsidRPr="00567EC3">
        <w:rPr>
          <w:rFonts w:ascii="Times New Roman" w:eastAsia="Calibri" w:hAnsi="Times New Roman" w:cs="Times New Roman"/>
          <w:sz w:val="24"/>
          <w:szCs w:val="24"/>
        </w:rPr>
        <w:t>(as applicable)</w:t>
      </w:r>
      <w:r w:rsidR="00567EC3">
        <w:rPr>
          <w:rFonts w:ascii="Times New Roman" w:eastAsia="Calibri" w:hAnsi="Times New Roman" w:cs="Times New Roman"/>
          <w:sz w:val="24"/>
          <w:szCs w:val="24"/>
        </w:rPr>
        <w:t>.</w:t>
      </w:r>
      <w:r w:rsidR="00FF626F">
        <w:rPr>
          <w:rFonts w:ascii="Times New Roman" w:eastAsia="Calibri" w:hAnsi="Times New Roman" w:cs="Times New Roman"/>
          <w:sz w:val="24"/>
          <w:szCs w:val="24"/>
        </w:rPr>
        <w:t xml:space="preserve"> </w:t>
      </w:r>
    </w:p>
    <w:p w14:paraId="523F7710" w14:textId="5E69F9F3" w:rsidR="006E5576" w:rsidRDefault="00B17F0C" w:rsidP="00B17F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 19E(2) </w:t>
      </w:r>
      <w:r w:rsidR="00F055DF">
        <w:rPr>
          <w:rFonts w:ascii="Times New Roman" w:eastAsia="Calibri" w:hAnsi="Times New Roman" w:cs="Times New Roman"/>
          <w:sz w:val="24"/>
          <w:szCs w:val="24"/>
        </w:rPr>
        <w:t xml:space="preserve">provides </w:t>
      </w:r>
      <w:r>
        <w:rPr>
          <w:rFonts w:ascii="Times New Roman" w:eastAsia="Calibri" w:hAnsi="Times New Roman" w:cs="Times New Roman"/>
          <w:sz w:val="24"/>
          <w:szCs w:val="24"/>
        </w:rPr>
        <w:t xml:space="preserve">that </w:t>
      </w:r>
      <w:r w:rsidR="00F055DF">
        <w:rPr>
          <w:rFonts w:ascii="Times New Roman" w:eastAsia="Calibri" w:hAnsi="Times New Roman" w:cs="Times New Roman"/>
          <w:sz w:val="24"/>
          <w:szCs w:val="24"/>
        </w:rPr>
        <w:t xml:space="preserve">the 72 hour reporting timeframe excludes any </w:t>
      </w:r>
      <w:r w:rsidR="00F87FA8">
        <w:rPr>
          <w:rFonts w:ascii="Times New Roman" w:eastAsia="Calibri" w:hAnsi="Times New Roman" w:cs="Times New Roman"/>
          <w:sz w:val="24"/>
          <w:szCs w:val="24"/>
        </w:rPr>
        <w:t xml:space="preserve">periods that are </w:t>
      </w:r>
      <w:r w:rsidR="00F055DF">
        <w:rPr>
          <w:rFonts w:ascii="Times New Roman" w:eastAsia="Calibri" w:hAnsi="Times New Roman" w:cs="Times New Roman"/>
          <w:sz w:val="24"/>
          <w:szCs w:val="24"/>
        </w:rPr>
        <w:t>public holidays in the Australian Capital Territory</w:t>
      </w:r>
      <w:r>
        <w:rPr>
          <w:rFonts w:ascii="Times New Roman" w:eastAsia="Calibri" w:hAnsi="Times New Roman" w:cs="Times New Roman"/>
          <w:sz w:val="24"/>
          <w:szCs w:val="24"/>
        </w:rPr>
        <w:t>. As the MSO is a national obligation, the Australian Capital Territory has been chosen to standardise the reporting timing for each regulated entity</w:t>
      </w:r>
      <w:r w:rsidR="00A329CC">
        <w:rPr>
          <w:rFonts w:ascii="Times New Roman" w:eastAsia="Calibri" w:hAnsi="Times New Roman" w:cs="Times New Roman"/>
          <w:sz w:val="24"/>
          <w:szCs w:val="24"/>
        </w:rPr>
        <w:t>; as</w:t>
      </w:r>
      <w:r>
        <w:rPr>
          <w:rFonts w:ascii="Times New Roman" w:eastAsia="Calibri" w:hAnsi="Times New Roman" w:cs="Times New Roman"/>
          <w:sz w:val="24"/>
          <w:szCs w:val="24"/>
        </w:rPr>
        <w:t xml:space="preserve"> </w:t>
      </w:r>
      <w:r w:rsidR="00D74E96">
        <w:rPr>
          <w:rFonts w:ascii="Times New Roman" w:eastAsia="Calibri" w:hAnsi="Times New Roman" w:cs="Times New Roman"/>
          <w:sz w:val="24"/>
          <w:szCs w:val="24"/>
        </w:rPr>
        <w:t>it</w:t>
      </w:r>
      <w:r>
        <w:rPr>
          <w:rFonts w:ascii="Times New Roman" w:eastAsia="Calibri" w:hAnsi="Times New Roman" w:cs="Times New Roman"/>
          <w:sz w:val="24"/>
          <w:szCs w:val="24"/>
        </w:rPr>
        <w:t xml:space="preserve"> is </w:t>
      </w:r>
      <w:r w:rsidR="00A329CC">
        <w:rPr>
          <w:rFonts w:ascii="Times New Roman" w:eastAsia="Calibri" w:hAnsi="Times New Roman" w:cs="Times New Roman"/>
          <w:sz w:val="24"/>
          <w:szCs w:val="24"/>
        </w:rPr>
        <w:t xml:space="preserve">the jurisdiction </w:t>
      </w:r>
      <w:r>
        <w:rPr>
          <w:rFonts w:ascii="Times New Roman" w:eastAsia="Calibri" w:hAnsi="Times New Roman" w:cs="Times New Roman"/>
          <w:sz w:val="24"/>
          <w:szCs w:val="24"/>
        </w:rPr>
        <w:t xml:space="preserve">where scheme will be administered, it will capture the national public holidays including Christmas Day, New Year’s Day and Easter, and it </w:t>
      </w:r>
      <w:r w:rsidR="00D74E96">
        <w:rPr>
          <w:rFonts w:ascii="Times New Roman" w:eastAsia="Calibri" w:hAnsi="Times New Roman" w:cs="Times New Roman"/>
          <w:sz w:val="24"/>
          <w:szCs w:val="24"/>
        </w:rPr>
        <w:t>celebrates a</w:t>
      </w:r>
      <w:r w:rsidR="00C959D5">
        <w:rPr>
          <w:rFonts w:ascii="Times New Roman" w:eastAsia="Calibri" w:hAnsi="Times New Roman" w:cs="Times New Roman"/>
          <w:sz w:val="24"/>
          <w:szCs w:val="24"/>
        </w:rPr>
        <w:t xml:space="preserve"> </w:t>
      </w:r>
      <w:r>
        <w:rPr>
          <w:rFonts w:ascii="Times New Roman" w:eastAsia="Calibri" w:hAnsi="Times New Roman" w:cs="Times New Roman"/>
          <w:sz w:val="24"/>
          <w:szCs w:val="24"/>
        </w:rPr>
        <w:t>number of</w:t>
      </w:r>
      <w:r w:rsidR="0012390D">
        <w:rPr>
          <w:rFonts w:ascii="Times New Roman" w:eastAsia="Calibri" w:hAnsi="Times New Roman" w:cs="Times New Roman"/>
          <w:sz w:val="24"/>
          <w:szCs w:val="24"/>
        </w:rPr>
        <w:t xml:space="preserve"> other</w:t>
      </w:r>
      <w:r>
        <w:rPr>
          <w:rFonts w:ascii="Times New Roman" w:eastAsia="Calibri" w:hAnsi="Times New Roman" w:cs="Times New Roman"/>
          <w:sz w:val="24"/>
          <w:szCs w:val="24"/>
        </w:rPr>
        <w:t xml:space="preserve"> public holidays. </w:t>
      </w:r>
      <w:r w:rsidRPr="00B17F0C">
        <w:rPr>
          <w:rFonts w:ascii="Times New Roman" w:eastAsia="Calibri" w:hAnsi="Times New Roman" w:cs="Times New Roman"/>
          <w:sz w:val="24"/>
          <w:szCs w:val="24"/>
        </w:rPr>
        <w:t xml:space="preserve"> </w:t>
      </w:r>
    </w:p>
    <w:p w14:paraId="3E27DEBC" w14:textId="41289141" w:rsidR="002877A6" w:rsidRDefault="00C959D5" w:rsidP="00B17F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 19E(3) </w:t>
      </w:r>
      <w:r w:rsidR="00F87FA8" w:rsidRPr="00F87FA8">
        <w:rPr>
          <w:rFonts w:ascii="Times New Roman" w:eastAsia="Calibri" w:hAnsi="Times New Roman" w:cs="Times New Roman"/>
          <w:sz w:val="24"/>
          <w:szCs w:val="24"/>
        </w:rPr>
        <w:t>set</w:t>
      </w:r>
      <w:r w:rsidR="00A329CC">
        <w:rPr>
          <w:rFonts w:ascii="Times New Roman" w:eastAsia="Calibri" w:hAnsi="Times New Roman" w:cs="Times New Roman"/>
          <w:sz w:val="24"/>
          <w:szCs w:val="24"/>
        </w:rPr>
        <w:t>s</w:t>
      </w:r>
      <w:r w:rsidR="00F87FA8" w:rsidRPr="00F87FA8">
        <w:rPr>
          <w:rFonts w:ascii="Times New Roman" w:eastAsia="Calibri" w:hAnsi="Times New Roman" w:cs="Times New Roman"/>
          <w:sz w:val="24"/>
          <w:szCs w:val="24"/>
        </w:rPr>
        <w:t xml:space="preserve"> out the specific categories of fuel information that </w:t>
      </w:r>
      <w:r w:rsidR="002C4AAF">
        <w:rPr>
          <w:rFonts w:ascii="Times New Roman" w:eastAsia="Calibri" w:hAnsi="Times New Roman" w:cs="Times New Roman"/>
          <w:sz w:val="24"/>
          <w:szCs w:val="24"/>
        </w:rPr>
        <w:t>is</w:t>
      </w:r>
      <w:r w:rsidR="002C4AAF" w:rsidRPr="00F87FA8">
        <w:rPr>
          <w:rFonts w:ascii="Times New Roman" w:eastAsia="Calibri" w:hAnsi="Times New Roman" w:cs="Times New Roman"/>
          <w:sz w:val="24"/>
          <w:szCs w:val="24"/>
        </w:rPr>
        <w:t xml:space="preserve"> </w:t>
      </w:r>
      <w:r w:rsidR="00F87FA8" w:rsidRPr="00F87FA8">
        <w:rPr>
          <w:rFonts w:ascii="Times New Roman" w:eastAsia="Calibri" w:hAnsi="Times New Roman" w:cs="Times New Roman"/>
          <w:sz w:val="24"/>
          <w:szCs w:val="24"/>
        </w:rPr>
        <w:t xml:space="preserve">required to be reported by </w:t>
      </w:r>
      <w:r w:rsidR="00F87FA8">
        <w:rPr>
          <w:rFonts w:ascii="Times New Roman" w:eastAsia="Calibri" w:hAnsi="Times New Roman" w:cs="Times New Roman"/>
          <w:sz w:val="24"/>
          <w:szCs w:val="24"/>
        </w:rPr>
        <w:t>r</w:t>
      </w:r>
      <w:r w:rsidR="00C35FFC">
        <w:rPr>
          <w:rFonts w:ascii="Times New Roman" w:eastAsia="Calibri" w:hAnsi="Times New Roman" w:cs="Times New Roman"/>
          <w:sz w:val="24"/>
          <w:szCs w:val="24"/>
        </w:rPr>
        <w:t xml:space="preserve">egulated entities, </w:t>
      </w:r>
      <w:r w:rsidR="00C35FFC" w:rsidRPr="00C35FFC">
        <w:rPr>
          <w:rFonts w:ascii="Times New Roman" w:eastAsia="Calibri" w:hAnsi="Times New Roman" w:cs="Times New Roman"/>
          <w:sz w:val="24"/>
          <w:szCs w:val="24"/>
        </w:rPr>
        <w:t>relating to an entity’s MSO obligation day stockholding</w:t>
      </w:r>
      <w:r>
        <w:rPr>
          <w:rFonts w:ascii="Times New Roman" w:eastAsia="Calibri" w:hAnsi="Times New Roman" w:cs="Times New Roman"/>
          <w:sz w:val="24"/>
          <w:szCs w:val="24"/>
        </w:rPr>
        <w:t>.</w:t>
      </w:r>
      <w:r w:rsidR="002877A6">
        <w:rPr>
          <w:rFonts w:ascii="Times New Roman" w:eastAsia="Calibri" w:hAnsi="Times New Roman" w:cs="Times New Roman"/>
          <w:sz w:val="24"/>
          <w:szCs w:val="24"/>
        </w:rPr>
        <w:t xml:space="preserve"> This includes a breakdown of stock</w:t>
      </w:r>
      <w:r w:rsidR="00A329CC">
        <w:rPr>
          <w:rFonts w:ascii="Times New Roman" w:eastAsia="Calibri" w:hAnsi="Times New Roman" w:cs="Times New Roman"/>
          <w:sz w:val="24"/>
          <w:szCs w:val="24"/>
        </w:rPr>
        <w:t>s for each MSO product</w:t>
      </w:r>
      <w:r w:rsidR="002877A6">
        <w:rPr>
          <w:rFonts w:ascii="Times New Roman" w:eastAsia="Calibri" w:hAnsi="Times New Roman" w:cs="Times New Roman"/>
          <w:sz w:val="24"/>
          <w:szCs w:val="24"/>
        </w:rPr>
        <w:t xml:space="preserve"> held </w:t>
      </w:r>
      <w:r w:rsidR="00A329CC">
        <w:rPr>
          <w:rFonts w:ascii="Times New Roman" w:eastAsia="Calibri" w:hAnsi="Times New Roman" w:cs="Times New Roman"/>
          <w:sz w:val="24"/>
          <w:szCs w:val="24"/>
        </w:rPr>
        <w:t xml:space="preserve">by a regulated entity in accordance with </w:t>
      </w:r>
      <w:r w:rsidR="002877A6">
        <w:rPr>
          <w:rFonts w:ascii="Times New Roman" w:eastAsia="Calibri" w:hAnsi="Times New Roman" w:cs="Times New Roman"/>
          <w:sz w:val="24"/>
          <w:szCs w:val="24"/>
        </w:rPr>
        <w:t xml:space="preserve">Division 5 of </w:t>
      </w:r>
      <w:r w:rsidR="00A329CC">
        <w:rPr>
          <w:rFonts w:ascii="Times New Roman" w:eastAsia="Calibri" w:hAnsi="Times New Roman" w:cs="Times New Roman"/>
          <w:sz w:val="24"/>
          <w:szCs w:val="24"/>
        </w:rPr>
        <w:t xml:space="preserve">Part 2 of </w:t>
      </w:r>
      <w:r w:rsidR="002877A6">
        <w:rPr>
          <w:rFonts w:ascii="Times New Roman" w:eastAsia="Calibri" w:hAnsi="Times New Roman" w:cs="Times New Roman"/>
          <w:sz w:val="24"/>
          <w:szCs w:val="24"/>
        </w:rPr>
        <w:t>the FS Act. For importers, this includes:</w:t>
      </w:r>
    </w:p>
    <w:tbl>
      <w:tblPr>
        <w:tblStyle w:val="GridTable3"/>
        <w:tblW w:w="0" w:type="auto"/>
        <w:tblLook w:val="04A0" w:firstRow="1" w:lastRow="0" w:firstColumn="1" w:lastColumn="0" w:noHBand="0" w:noVBand="1"/>
      </w:tblPr>
      <w:tblGrid>
        <w:gridCol w:w="4508"/>
        <w:gridCol w:w="4508"/>
      </w:tblGrid>
      <w:tr w:rsidR="002877A6" w14:paraId="171AFA81" w14:textId="77777777" w:rsidTr="002877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1089A267" w14:textId="1C6A487C" w:rsidR="002877A6" w:rsidRDefault="00A329CC" w:rsidP="00B17F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Provision </w:t>
            </w:r>
            <w:r w:rsidR="002877A6">
              <w:rPr>
                <w:rFonts w:ascii="Times New Roman" w:eastAsia="Calibri" w:hAnsi="Times New Roman" w:cs="Times New Roman"/>
                <w:sz w:val="24"/>
                <w:szCs w:val="24"/>
              </w:rPr>
              <w:t>of the FS Act</w:t>
            </w:r>
          </w:p>
        </w:tc>
        <w:tc>
          <w:tcPr>
            <w:tcW w:w="4508" w:type="dxa"/>
          </w:tcPr>
          <w:p w14:paraId="0B27F627" w14:textId="141A6F54" w:rsidR="002877A6" w:rsidRDefault="002877A6" w:rsidP="00B17F0C">
            <w:pPr>
              <w:spacing w:before="240" w:after="100" w:afterAutospacing="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MSO product/s (to the nearest megalitre)</w:t>
            </w:r>
          </w:p>
        </w:tc>
      </w:tr>
      <w:tr w:rsidR="002877A6" w14:paraId="054E3173" w14:textId="77777777" w:rsidTr="00287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108F385" w14:textId="58266A3E" w:rsidR="002877A6" w:rsidRDefault="002877A6" w:rsidP="00B17F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Holder and owner of stocks (s22)</w:t>
            </w:r>
          </w:p>
        </w:tc>
        <w:tc>
          <w:tcPr>
            <w:tcW w:w="4508" w:type="dxa"/>
          </w:tcPr>
          <w:p w14:paraId="4F72E1D3" w14:textId="54C6B2CD" w:rsidR="002877A6" w:rsidRDefault="002877A6" w:rsidP="00B17F0C">
            <w:pPr>
              <w:spacing w:before="240"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Gasoline, Kerosene and Diesel</w:t>
            </w:r>
          </w:p>
        </w:tc>
      </w:tr>
      <w:tr w:rsidR="002877A6" w14:paraId="3F551562" w14:textId="77777777" w:rsidTr="002877A6">
        <w:tc>
          <w:tcPr>
            <w:cnfStyle w:val="001000000000" w:firstRow="0" w:lastRow="0" w:firstColumn="1" w:lastColumn="0" w:oddVBand="0" w:evenVBand="0" w:oddHBand="0" w:evenHBand="0" w:firstRowFirstColumn="0" w:firstRowLastColumn="0" w:lastRowFirstColumn="0" w:lastRowLastColumn="0"/>
            <w:tcW w:w="4508" w:type="dxa"/>
          </w:tcPr>
          <w:p w14:paraId="23CBC6E5" w14:textId="65C639FD" w:rsidR="002877A6" w:rsidRDefault="002877A6" w:rsidP="00B17F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Entitled to take ownership of stock (s23)</w:t>
            </w:r>
          </w:p>
        </w:tc>
        <w:tc>
          <w:tcPr>
            <w:tcW w:w="4508" w:type="dxa"/>
          </w:tcPr>
          <w:p w14:paraId="5B9A08EB" w14:textId="00AB7EBF" w:rsidR="002877A6" w:rsidRDefault="002877A6" w:rsidP="00B17F0C">
            <w:pPr>
              <w:spacing w:before="240"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Gasoline, Kerosene and Diesel</w:t>
            </w:r>
          </w:p>
        </w:tc>
      </w:tr>
      <w:tr w:rsidR="002877A6" w14:paraId="3D2015E5" w14:textId="77777777" w:rsidTr="00287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E222DAA" w14:textId="41DD32E1" w:rsidR="002877A6" w:rsidRDefault="002877A6" w:rsidP="00B17F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Reserved or quarantined stock (s24)</w:t>
            </w:r>
          </w:p>
        </w:tc>
        <w:tc>
          <w:tcPr>
            <w:tcW w:w="4508" w:type="dxa"/>
          </w:tcPr>
          <w:p w14:paraId="403E9D29" w14:textId="5DF5B309" w:rsidR="002877A6" w:rsidRDefault="002877A6" w:rsidP="00B17F0C">
            <w:pPr>
              <w:spacing w:before="240"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Gasoline, Kerosene and Diesel</w:t>
            </w:r>
          </w:p>
        </w:tc>
      </w:tr>
      <w:tr w:rsidR="002877A6" w14:paraId="2D237899" w14:textId="77777777" w:rsidTr="002877A6">
        <w:tc>
          <w:tcPr>
            <w:cnfStyle w:val="001000000000" w:firstRow="0" w:lastRow="0" w:firstColumn="1" w:lastColumn="0" w:oddVBand="0" w:evenVBand="0" w:oddHBand="0" w:evenHBand="0" w:firstRowFirstColumn="0" w:firstRowLastColumn="0" w:lastRowFirstColumn="0" w:lastRowLastColumn="0"/>
            <w:tcW w:w="4508" w:type="dxa"/>
          </w:tcPr>
          <w:p w14:paraId="12F4D087" w14:textId="24F0478D" w:rsidR="002877A6" w:rsidRDefault="002877A6" w:rsidP="00B17F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Pipeline stock (s20(1)(b)(iii))</w:t>
            </w:r>
          </w:p>
        </w:tc>
        <w:tc>
          <w:tcPr>
            <w:tcW w:w="4508" w:type="dxa"/>
          </w:tcPr>
          <w:p w14:paraId="54F098D1" w14:textId="30F5BDD2" w:rsidR="002877A6" w:rsidRDefault="002877A6" w:rsidP="00B17F0C">
            <w:pPr>
              <w:spacing w:before="240"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Gasoline, Kerosene and Diesel</w:t>
            </w:r>
          </w:p>
        </w:tc>
      </w:tr>
      <w:tr w:rsidR="002877A6" w14:paraId="5D3A66CC" w14:textId="77777777" w:rsidTr="00287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4D643EC" w14:textId="4351F08B" w:rsidR="002877A6" w:rsidRDefault="002877A6" w:rsidP="00B17F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Exclusive Economic Zone stock (s21(b))</w:t>
            </w:r>
          </w:p>
        </w:tc>
        <w:tc>
          <w:tcPr>
            <w:tcW w:w="4508" w:type="dxa"/>
          </w:tcPr>
          <w:p w14:paraId="6AF8935E" w14:textId="24A981B0" w:rsidR="002877A6" w:rsidRDefault="002877A6" w:rsidP="00B17F0C">
            <w:pPr>
              <w:spacing w:before="240"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Gasoline, Kerosene and Diesel </w:t>
            </w:r>
          </w:p>
        </w:tc>
      </w:tr>
    </w:tbl>
    <w:p w14:paraId="540139D5" w14:textId="77777777" w:rsidR="002877A6" w:rsidRDefault="002877A6" w:rsidP="00B17F0C">
      <w:pPr>
        <w:spacing w:before="240" w:after="100" w:afterAutospacing="1"/>
        <w:rPr>
          <w:rFonts w:ascii="Times New Roman" w:eastAsia="Calibri" w:hAnsi="Times New Roman" w:cs="Times New Roman"/>
          <w:sz w:val="24"/>
          <w:szCs w:val="24"/>
        </w:rPr>
      </w:pPr>
    </w:p>
    <w:p w14:paraId="61E96D36" w14:textId="73D91DA2" w:rsidR="002877A6" w:rsidRDefault="002877A6" w:rsidP="00B17F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 refiners, this includes:</w:t>
      </w:r>
    </w:p>
    <w:tbl>
      <w:tblPr>
        <w:tblStyle w:val="GridTable3"/>
        <w:tblW w:w="0" w:type="auto"/>
        <w:tblLook w:val="04A0" w:firstRow="1" w:lastRow="0" w:firstColumn="1" w:lastColumn="0" w:noHBand="0" w:noVBand="1"/>
      </w:tblPr>
      <w:tblGrid>
        <w:gridCol w:w="4508"/>
        <w:gridCol w:w="4508"/>
      </w:tblGrid>
      <w:tr w:rsidR="002877A6" w14:paraId="0E316D73" w14:textId="77777777" w:rsidTr="006D0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23C018C5" w14:textId="71D14BEA" w:rsidR="002877A6" w:rsidRDefault="00042053" w:rsidP="006D0798">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Provision </w:t>
            </w:r>
            <w:r w:rsidR="002877A6">
              <w:rPr>
                <w:rFonts w:ascii="Times New Roman" w:eastAsia="Calibri" w:hAnsi="Times New Roman" w:cs="Times New Roman"/>
                <w:sz w:val="24"/>
                <w:szCs w:val="24"/>
              </w:rPr>
              <w:t>of the FS Act</w:t>
            </w:r>
          </w:p>
        </w:tc>
        <w:tc>
          <w:tcPr>
            <w:tcW w:w="4508" w:type="dxa"/>
          </w:tcPr>
          <w:p w14:paraId="1B83110A" w14:textId="77777777" w:rsidR="002877A6" w:rsidRDefault="002877A6" w:rsidP="006D0798">
            <w:pPr>
              <w:spacing w:before="240" w:after="100" w:afterAutospacing="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MSO product/s (to the nearest megalitre)</w:t>
            </w:r>
          </w:p>
        </w:tc>
      </w:tr>
      <w:tr w:rsidR="002877A6" w14:paraId="025DC03E" w14:textId="77777777" w:rsidTr="006D0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9408CD4" w14:textId="77777777" w:rsidR="002877A6" w:rsidRDefault="002877A6" w:rsidP="006D0798">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Holder and owner of stocks (s22)</w:t>
            </w:r>
          </w:p>
        </w:tc>
        <w:tc>
          <w:tcPr>
            <w:tcW w:w="4508" w:type="dxa"/>
          </w:tcPr>
          <w:p w14:paraId="5C674F65" w14:textId="77777777" w:rsidR="002877A6" w:rsidRDefault="002877A6" w:rsidP="006D0798">
            <w:pPr>
              <w:spacing w:before="240"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Gasoline, Kerosene and Diesel</w:t>
            </w:r>
          </w:p>
        </w:tc>
      </w:tr>
      <w:tr w:rsidR="002877A6" w14:paraId="7FB5DD79" w14:textId="77777777" w:rsidTr="006D0798">
        <w:tc>
          <w:tcPr>
            <w:cnfStyle w:val="001000000000" w:firstRow="0" w:lastRow="0" w:firstColumn="1" w:lastColumn="0" w:oddVBand="0" w:evenVBand="0" w:oddHBand="0" w:evenHBand="0" w:firstRowFirstColumn="0" w:firstRowLastColumn="0" w:lastRowFirstColumn="0" w:lastRowLastColumn="0"/>
            <w:tcW w:w="4508" w:type="dxa"/>
          </w:tcPr>
          <w:p w14:paraId="61A4C93D" w14:textId="77777777" w:rsidR="002877A6" w:rsidRDefault="002877A6" w:rsidP="006D0798">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Entitled to take ownership of stock (s23)</w:t>
            </w:r>
          </w:p>
        </w:tc>
        <w:tc>
          <w:tcPr>
            <w:tcW w:w="4508" w:type="dxa"/>
          </w:tcPr>
          <w:p w14:paraId="09C90447" w14:textId="77777777" w:rsidR="002877A6" w:rsidRDefault="002877A6" w:rsidP="006D0798">
            <w:pPr>
              <w:spacing w:before="240"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Gasoline, Kerosene and Diesel</w:t>
            </w:r>
          </w:p>
        </w:tc>
      </w:tr>
      <w:tr w:rsidR="002877A6" w14:paraId="42DA1D2A" w14:textId="77777777" w:rsidTr="006D0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EFE684F" w14:textId="77777777" w:rsidR="002877A6" w:rsidRDefault="002877A6" w:rsidP="006D0798">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Reserved or quarantined stock (s24)</w:t>
            </w:r>
          </w:p>
        </w:tc>
        <w:tc>
          <w:tcPr>
            <w:tcW w:w="4508" w:type="dxa"/>
          </w:tcPr>
          <w:p w14:paraId="00F49A8F" w14:textId="77777777" w:rsidR="002877A6" w:rsidRDefault="002877A6" w:rsidP="006D0798">
            <w:pPr>
              <w:spacing w:before="240"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Gasoline, Kerosene and Diesel</w:t>
            </w:r>
          </w:p>
        </w:tc>
      </w:tr>
      <w:tr w:rsidR="002877A6" w14:paraId="50EC4B4D" w14:textId="77777777" w:rsidTr="006D0798">
        <w:tc>
          <w:tcPr>
            <w:cnfStyle w:val="001000000000" w:firstRow="0" w:lastRow="0" w:firstColumn="1" w:lastColumn="0" w:oddVBand="0" w:evenVBand="0" w:oddHBand="0" w:evenHBand="0" w:firstRowFirstColumn="0" w:firstRowLastColumn="0" w:lastRowFirstColumn="0" w:lastRowLastColumn="0"/>
            <w:tcW w:w="4508" w:type="dxa"/>
          </w:tcPr>
          <w:p w14:paraId="449DBD75" w14:textId="77777777" w:rsidR="002877A6" w:rsidRDefault="002877A6" w:rsidP="006D0798">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Pipeline stock (s20(1)(b)(iii))</w:t>
            </w:r>
          </w:p>
        </w:tc>
        <w:tc>
          <w:tcPr>
            <w:tcW w:w="4508" w:type="dxa"/>
          </w:tcPr>
          <w:p w14:paraId="727A17B4" w14:textId="77777777" w:rsidR="002877A6" w:rsidRDefault="002877A6" w:rsidP="006D0798">
            <w:pPr>
              <w:spacing w:before="240"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Gasoline, Kerosene and Diesel</w:t>
            </w:r>
          </w:p>
        </w:tc>
      </w:tr>
      <w:tr w:rsidR="002877A6" w14:paraId="3B793351" w14:textId="77777777" w:rsidTr="006D0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411AD01" w14:textId="2EEB0391" w:rsidR="002877A6" w:rsidRDefault="002877A6" w:rsidP="006D0798">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Crude stock (s25)</w:t>
            </w:r>
          </w:p>
        </w:tc>
        <w:tc>
          <w:tcPr>
            <w:tcW w:w="4508" w:type="dxa"/>
          </w:tcPr>
          <w:p w14:paraId="0526C5A6" w14:textId="77777777" w:rsidR="002877A6" w:rsidRDefault="002877A6" w:rsidP="006D0798">
            <w:pPr>
              <w:spacing w:before="240"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Gasoline, Kerosene and Diesel </w:t>
            </w:r>
          </w:p>
        </w:tc>
      </w:tr>
      <w:tr w:rsidR="002877A6" w14:paraId="0544FEA4" w14:textId="77777777" w:rsidTr="006D0798">
        <w:tc>
          <w:tcPr>
            <w:cnfStyle w:val="001000000000" w:firstRow="0" w:lastRow="0" w:firstColumn="1" w:lastColumn="0" w:oddVBand="0" w:evenVBand="0" w:oddHBand="0" w:evenHBand="0" w:firstRowFirstColumn="0" w:firstRowLastColumn="0" w:lastRowFirstColumn="0" w:lastRowLastColumn="0"/>
            <w:tcW w:w="4508" w:type="dxa"/>
          </w:tcPr>
          <w:p w14:paraId="6B1AF4E4" w14:textId="14AA05B3" w:rsidR="002877A6" w:rsidRDefault="002877A6" w:rsidP="006D0798">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Unfinished product stock (s25)</w:t>
            </w:r>
          </w:p>
        </w:tc>
        <w:tc>
          <w:tcPr>
            <w:tcW w:w="4508" w:type="dxa"/>
          </w:tcPr>
          <w:p w14:paraId="0431CAFD" w14:textId="59A96E81" w:rsidR="002877A6" w:rsidRDefault="002877A6" w:rsidP="006D0798">
            <w:pPr>
              <w:spacing w:before="240"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Gasoline, Kerosene and Diesel</w:t>
            </w:r>
          </w:p>
        </w:tc>
      </w:tr>
    </w:tbl>
    <w:p w14:paraId="2FF3389E" w14:textId="77777777" w:rsidR="0019182C" w:rsidRDefault="0019182C" w:rsidP="00167788">
      <w:pPr>
        <w:spacing w:before="240" w:after="100" w:afterAutospacing="1"/>
        <w:rPr>
          <w:rFonts w:ascii="Times New Roman" w:eastAsia="Calibri" w:hAnsi="Times New Roman" w:cs="Times New Roman"/>
          <w:sz w:val="24"/>
          <w:szCs w:val="24"/>
        </w:rPr>
      </w:pPr>
    </w:p>
    <w:p w14:paraId="54D935B0" w14:textId="20CFDE7E" w:rsidR="00975367" w:rsidRDefault="00975367" w:rsidP="00167788">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This information</w:t>
      </w:r>
      <w:r w:rsidRPr="00975367">
        <w:rPr>
          <w:rFonts w:ascii="Times New Roman" w:eastAsia="Calibri" w:hAnsi="Times New Roman" w:cs="Times New Roman"/>
          <w:sz w:val="24"/>
          <w:szCs w:val="24"/>
        </w:rPr>
        <w:t xml:space="preserve"> </w:t>
      </w:r>
      <w:r>
        <w:rPr>
          <w:rFonts w:ascii="Times New Roman" w:eastAsia="Calibri" w:hAnsi="Times New Roman" w:cs="Times New Roman"/>
          <w:sz w:val="24"/>
          <w:szCs w:val="24"/>
        </w:rPr>
        <w:t>is required to be reported, along with the total volume</w:t>
      </w:r>
      <w:r w:rsidR="00A329CC">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each </w:t>
      </w:r>
      <w:r w:rsidR="00F528FE">
        <w:rPr>
          <w:rFonts w:ascii="Times New Roman" w:eastAsia="Calibri" w:hAnsi="Times New Roman" w:cs="Times New Roman"/>
          <w:sz w:val="24"/>
          <w:szCs w:val="24"/>
        </w:rPr>
        <w:t xml:space="preserve">MSO </w:t>
      </w:r>
      <w:r>
        <w:rPr>
          <w:rFonts w:ascii="Times New Roman" w:eastAsia="Calibri" w:hAnsi="Times New Roman" w:cs="Times New Roman"/>
          <w:sz w:val="24"/>
          <w:szCs w:val="24"/>
        </w:rPr>
        <w:t>product, so that the figure can be compared against the entity’s MSO for each product to determine whether they are compliant or non-compliant</w:t>
      </w:r>
      <w:r w:rsidR="000C7702">
        <w:rPr>
          <w:rFonts w:ascii="Times New Roman" w:eastAsia="Calibri" w:hAnsi="Times New Roman" w:cs="Times New Roman"/>
          <w:sz w:val="24"/>
          <w:szCs w:val="24"/>
        </w:rPr>
        <w:t xml:space="preserve"> under the FS Act</w:t>
      </w:r>
      <w:r>
        <w:rPr>
          <w:rFonts w:ascii="Times New Roman" w:eastAsia="Calibri" w:hAnsi="Times New Roman" w:cs="Times New Roman"/>
          <w:sz w:val="24"/>
          <w:szCs w:val="24"/>
        </w:rPr>
        <w:t xml:space="preserve">. </w:t>
      </w:r>
    </w:p>
    <w:p w14:paraId="3F4AD34E" w14:textId="61973A20" w:rsidR="00E44BA1" w:rsidRDefault="00E44BA1" w:rsidP="00B17F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If any stock is being held </w:t>
      </w:r>
      <w:r w:rsidR="00363860">
        <w:rPr>
          <w:rFonts w:ascii="Times New Roman" w:eastAsia="Calibri" w:hAnsi="Times New Roman" w:cs="Times New Roman"/>
          <w:sz w:val="24"/>
          <w:szCs w:val="24"/>
        </w:rPr>
        <w:t xml:space="preserve">by another entity </w:t>
      </w:r>
      <w:r>
        <w:rPr>
          <w:rFonts w:ascii="Times New Roman" w:eastAsia="Calibri" w:hAnsi="Times New Roman" w:cs="Times New Roman"/>
          <w:sz w:val="24"/>
          <w:szCs w:val="24"/>
        </w:rPr>
        <w:t>through a legally enforceable arrangement under section 23 or section 24 of the FS Act, the names of the entities</w:t>
      </w:r>
      <w:r w:rsidR="000C7702" w:rsidRPr="000C77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who are holding the stock </w:t>
      </w:r>
      <w:r w:rsidR="000C7702" w:rsidRPr="000C7702">
        <w:rPr>
          <w:rFonts w:ascii="Times New Roman" w:eastAsia="Calibri" w:hAnsi="Times New Roman" w:cs="Times New Roman"/>
          <w:sz w:val="24"/>
          <w:szCs w:val="24"/>
        </w:rPr>
        <w:t>(</w:t>
      </w:r>
      <w:r w:rsidR="002C4AAF">
        <w:rPr>
          <w:rFonts w:ascii="Times New Roman" w:eastAsia="Calibri" w:hAnsi="Times New Roman" w:cs="Times New Roman"/>
          <w:sz w:val="24"/>
          <w:szCs w:val="24"/>
        </w:rPr>
        <w:t xml:space="preserve">i.e. </w:t>
      </w:r>
      <w:r w:rsidR="000C7702">
        <w:rPr>
          <w:rFonts w:ascii="Times New Roman" w:eastAsia="Calibri" w:hAnsi="Times New Roman" w:cs="Times New Roman"/>
          <w:sz w:val="24"/>
          <w:szCs w:val="24"/>
        </w:rPr>
        <w:t>the</w:t>
      </w:r>
      <w:r w:rsidR="000C7702" w:rsidRPr="000C7702">
        <w:rPr>
          <w:rFonts w:ascii="Times New Roman" w:eastAsia="Calibri" w:hAnsi="Times New Roman" w:cs="Times New Roman"/>
          <w:sz w:val="24"/>
          <w:szCs w:val="24"/>
        </w:rPr>
        <w:t xml:space="preserve"> intermediary market participant</w:t>
      </w:r>
      <w:r w:rsidR="000C7702">
        <w:rPr>
          <w:rFonts w:ascii="Times New Roman" w:eastAsia="Calibri" w:hAnsi="Times New Roman" w:cs="Times New Roman"/>
          <w:sz w:val="24"/>
          <w:szCs w:val="24"/>
        </w:rPr>
        <w:t>)</w:t>
      </w:r>
      <w:r w:rsidR="000C7702" w:rsidRPr="000C77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must also be reported. </w:t>
      </w:r>
    </w:p>
    <w:p w14:paraId="5BC86789" w14:textId="65DBAB6A" w:rsidR="00363860" w:rsidRDefault="00975367" w:rsidP="00B17F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Further, r</w:t>
      </w:r>
      <w:r w:rsidR="00E44BA1">
        <w:rPr>
          <w:rFonts w:ascii="Times New Roman" w:eastAsia="Calibri" w:hAnsi="Times New Roman" w:cs="Times New Roman"/>
          <w:sz w:val="24"/>
          <w:szCs w:val="24"/>
        </w:rPr>
        <w:t>egulated entities must also report if they are holding stock on behalf of another regulated entity under section 23 or section 24 of the FS Act</w:t>
      </w:r>
      <w:r w:rsidR="00363860">
        <w:rPr>
          <w:rFonts w:ascii="Times New Roman" w:eastAsia="Calibri" w:hAnsi="Times New Roman" w:cs="Times New Roman"/>
          <w:sz w:val="24"/>
          <w:szCs w:val="24"/>
        </w:rPr>
        <w:t xml:space="preserve">, by providing the names and volumes of each </w:t>
      </w:r>
      <w:r w:rsidR="00A329CC">
        <w:rPr>
          <w:rFonts w:ascii="Times New Roman" w:eastAsia="Calibri" w:hAnsi="Times New Roman" w:cs="Times New Roman"/>
          <w:sz w:val="24"/>
          <w:szCs w:val="24"/>
        </w:rPr>
        <w:t xml:space="preserve">MSO </w:t>
      </w:r>
      <w:r w:rsidR="00363860">
        <w:rPr>
          <w:rFonts w:ascii="Times New Roman" w:eastAsia="Calibri" w:hAnsi="Times New Roman" w:cs="Times New Roman"/>
          <w:sz w:val="24"/>
          <w:szCs w:val="24"/>
        </w:rPr>
        <w:t xml:space="preserve">product being held on </w:t>
      </w:r>
      <w:r w:rsidR="00CB5EB2">
        <w:rPr>
          <w:rFonts w:ascii="Times New Roman" w:eastAsia="Calibri" w:hAnsi="Times New Roman" w:cs="Times New Roman"/>
          <w:sz w:val="24"/>
          <w:szCs w:val="24"/>
        </w:rPr>
        <w:t xml:space="preserve">the other entity’s </w:t>
      </w:r>
      <w:r w:rsidR="00363860">
        <w:rPr>
          <w:rFonts w:ascii="Times New Roman" w:eastAsia="Calibri" w:hAnsi="Times New Roman" w:cs="Times New Roman"/>
          <w:sz w:val="24"/>
          <w:szCs w:val="24"/>
        </w:rPr>
        <w:t>behalf</w:t>
      </w:r>
      <w:r>
        <w:rPr>
          <w:rFonts w:ascii="Times New Roman" w:eastAsia="Calibri" w:hAnsi="Times New Roman" w:cs="Times New Roman"/>
          <w:sz w:val="24"/>
          <w:szCs w:val="24"/>
        </w:rPr>
        <w:t xml:space="preserve"> on the obligation day</w:t>
      </w:r>
      <w:r w:rsidR="00363860">
        <w:rPr>
          <w:rFonts w:ascii="Times New Roman" w:eastAsia="Calibri" w:hAnsi="Times New Roman" w:cs="Times New Roman"/>
          <w:sz w:val="24"/>
          <w:szCs w:val="24"/>
        </w:rPr>
        <w:t>.</w:t>
      </w:r>
      <w:r>
        <w:rPr>
          <w:rFonts w:ascii="Times New Roman" w:eastAsia="Calibri" w:hAnsi="Times New Roman" w:cs="Times New Roman"/>
          <w:sz w:val="24"/>
          <w:szCs w:val="24"/>
        </w:rPr>
        <w:t xml:space="preserve"> This will be used to cross-check the volumes and ensure there is no double-counting of stock. </w:t>
      </w:r>
      <w:r w:rsidR="00363860">
        <w:rPr>
          <w:rFonts w:ascii="Times New Roman" w:eastAsia="Calibri" w:hAnsi="Times New Roman" w:cs="Times New Roman"/>
          <w:sz w:val="24"/>
          <w:szCs w:val="24"/>
        </w:rPr>
        <w:t xml:space="preserve"> </w:t>
      </w:r>
    </w:p>
    <w:p w14:paraId="33ABEC54" w14:textId="7624416B" w:rsidR="002C4AAF" w:rsidRDefault="002C4AAF" w:rsidP="00B17F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Regulated entities must report the volumes for crude oil and unfinished refinery product if feedstocks at a refinery are treated as stocks of an MSO product under section 25 of the FS Act. They must also report the volumes of any MSO products stored in the pipeline or in a vessel covered by section 8 of the MSO Rules, which are excluded stocks within the meaning of section 20 of the FS Act. This will provide information about the type and volume of MSO products that are held by regulated entities but do not count towards the stock they hold for the minimum stockholding obligation.</w:t>
      </w:r>
    </w:p>
    <w:p w14:paraId="7C0F018E" w14:textId="5E27CEEB" w:rsidR="00363860" w:rsidRDefault="00363860" w:rsidP="00B17F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Finally, if </w:t>
      </w:r>
      <w:r w:rsidR="00042053">
        <w:rPr>
          <w:rFonts w:ascii="Times New Roman" w:eastAsia="Calibri" w:hAnsi="Times New Roman" w:cs="Times New Roman"/>
          <w:sz w:val="24"/>
          <w:szCs w:val="24"/>
        </w:rPr>
        <w:t xml:space="preserve">a </w:t>
      </w:r>
      <w:r>
        <w:rPr>
          <w:rFonts w:ascii="Times New Roman" w:eastAsia="Calibri" w:hAnsi="Times New Roman" w:cs="Times New Roman"/>
          <w:sz w:val="24"/>
          <w:szCs w:val="24"/>
        </w:rPr>
        <w:t>regulated entity has become aware of any e</w:t>
      </w:r>
      <w:r w:rsidR="002877A6">
        <w:rPr>
          <w:rFonts w:ascii="Times New Roman" w:eastAsia="Calibri" w:hAnsi="Times New Roman" w:cs="Times New Roman"/>
          <w:sz w:val="24"/>
          <w:szCs w:val="24"/>
        </w:rPr>
        <w:t>rrors</w:t>
      </w:r>
      <w:r>
        <w:rPr>
          <w:rFonts w:ascii="Times New Roman" w:eastAsia="Calibri" w:hAnsi="Times New Roman" w:cs="Times New Roman"/>
          <w:sz w:val="24"/>
          <w:szCs w:val="24"/>
        </w:rPr>
        <w:t xml:space="preserve"> in their previous </w:t>
      </w:r>
      <w:r w:rsidR="00042053" w:rsidRPr="00042053">
        <w:rPr>
          <w:rFonts w:ascii="Times New Roman" w:eastAsia="Calibri" w:hAnsi="Times New Roman" w:cs="Times New Roman"/>
          <w:sz w:val="24"/>
          <w:szCs w:val="24"/>
        </w:rPr>
        <w:t xml:space="preserve">MSO obligation day stockholding data </w:t>
      </w:r>
      <w:r>
        <w:rPr>
          <w:rFonts w:ascii="Times New Roman" w:eastAsia="Calibri" w:hAnsi="Times New Roman" w:cs="Times New Roman"/>
          <w:sz w:val="24"/>
          <w:szCs w:val="24"/>
        </w:rPr>
        <w:t>report, this must be disclosed to the Secretary, and updated figures must be provided.</w:t>
      </w:r>
    </w:p>
    <w:p w14:paraId="4E147A98" w14:textId="287ABEE4" w:rsidR="002877A6" w:rsidRDefault="00363860" w:rsidP="00B17F0C">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 19E(4) clarifies that </w:t>
      </w:r>
      <w:r w:rsidR="00F528FE">
        <w:rPr>
          <w:rFonts w:ascii="Times New Roman" w:eastAsia="Calibri" w:hAnsi="Times New Roman" w:cs="Times New Roman"/>
          <w:sz w:val="24"/>
          <w:szCs w:val="24"/>
        </w:rPr>
        <w:t xml:space="preserve">the classes of information required to be reported under new </w:t>
      </w:r>
      <w:r w:rsidR="00F528FE" w:rsidRPr="00F528FE">
        <w:rPr>
          <w:rFonts w:ascii="Times New Roman" w:eastAsia="Calibri" w:hAnsi="Times New Roman" w:cs="Times New Roman"/>
          <w:sz w:val="24"/>
          <w:szCs w:val="24"/>
        </w:rPr>
        <w:t>paragraph</w:t>
      </w:r>
      <w:r w:rsidR="00F528FE">
        <w:rPr>
          <w:rFonts w:ascii="Times New Roman" w:eastAsia="Calibri" w:hAnsi="Times New Roman" w:cs="Times New Roman"/>
          <w:sz w:val="24"/>
          <w:szCs w:val="24"/>
        </w:rPr>
        <w:t>s 19E</w:t>
      </w:r>
      <w:r w:rsidR="00F528FE" w:rsidRPr="00F528FE">
        <w:rPr>
          <w:rFonts w:ascii="Times New Roman" w:eastAsia="Calibri" w:hAnsi="Times New Roman" w:cs="Times New Roman"/>
          <w:sz w:val="24"/>
          <w:szCs w:val="24"/>
        </w:rPr>
        <w:t xml:space="preserve">(3)(b) </w:t>
      </w:r>
      <w:r w:rsidR="00F528FE">
        <w:rPr>
          <w:rFonts w:ascii="Times New Roman" w:eastAsia="Calibri" w:hAnsi="Times New Roman" w:cs="Times New Roman"/>
          <w:sz w:val="24"/>
          <w:szCs w:val="24"/>
        </w:rPr>
        <w:t xml:space="preserve">and </w:t>
      </w:r>
      <w:r w:rsidR="00F528FE" w:rsidRPr="00F528FE">
        <w:rPr>
          <w:rFonts w:ascii="Times New Roman" w:eastAsia="Calibri" w:hAnsi="Times New Roman" w:cs="Times New Roman"/>
          <w:sz w:val="24"/>
          <w:szCs w:val="24"/>
        </w:rPr>
        <w:t xml:space="preserve">(e) </w:t>
      </w:r>
      <w:r w:rsidR="00F528FE">
        <w:rPr>
          <w:rFonts w:ascii="Times New Roman" w:eastAsia="Calibri" w:hAnsi="Times New Roman" w:cs="Times New Roman"/>
          <w:sz w:val="24"/>
          <w:szCs w:val="24"/>
        </w:rPr>
        <w:t>satisfy the</w:t>
      </w:r>
      <w:r w:rsidR="00C71DFA">
        <w:rPr>
          <w:rFonts w:ascii="Times New Roman" w:eastAsia="Calibri" w:hAnsi="Times New Roman" w:cs="Times New Roman"/>
          <w:sz w:val="24"/>
          <w:szCs w:val="24"/>
        </w:rPr>
        <w:t xml:space="preserve"> reporting requirements </w:t>
      </w:r>
      <w:r w:rsidR="00F528FE">
        <w:rPr>
          <w:rFonts w:ascii="Times New Roman" w:eastAsia="Calibri" w:hAnsi="Times New Roman" w:cs="Times New Roman"/>
          <w:sz w:val="24"/>
          <w:szCs w:val="24"/>
        </w:rPr>
        <w:t>for</w:t>
      </w:r>
      <w:r w:rsidR="00C71DFA">
        <w:rPr>
          <w:rFonts w:ascii="Times New Roman" w:eastAsia="Calibri" w:hAnsi="Times New Roman" w:cs="Times New Roman"/>
          <w:sz w:val="24"/>
          <w:szCs w:val="24"/>
        </w:rPr>
        <w:t xml:space="preserve"> </w:t>
      </w:r>
      <w:r w:rsidR="00F528FE">
        <w:rPr>
          <w:rFonts w:ascii="Times New Roman" w:eastAsia="Calibri" w:hAnsi="Times New Roman" w:cs="Times New Roman"/>
          <w:sz w:val="24"/>
          <w:szCs w:val="24"/>
        </w:rPr>
        <w:t xml:space="preserve">paragraph </w:t>
      </w:r>
      <w:r w:rsidR="00C71DFA">
        <w:rPr>
          <w:rFonts w:ascii="Times New Roman" w:eastAsia="Calibri" w:hAnsi="Times New Roman" w:cs="Times New Roman"/>
          <w:sz w:val="24"/>
          <w:szCs w:val="24"/>
        </w:rPr>
        <w:t xml:space="preserve">24(d) of the FS Act. </w:t>
      </w:r>
      <w:r>
        <w:rPr>
          <w:rFonts w:ascii="Times New Roman" w:eastAsia="Calibri" w:hAnsi="Times New Roman" w:cs="Times New Roman"/>
          <w:sz w:val="24"/>
          <w:szCs w:val="24"/>
        </w:rPr>
        <w:t xml:space="preserve"> </w:t>
      </w:r>
    </w:p>
    <w:p w14:paraId="7E0A7B4C" w14:textId="77777777" w:rsidR="0019182C" w:rsidRDefault="0019182C">
      <w:pPr>
        <w:rPr>
          <w:rFonts w:ascii="Times New Roman" w:hAnsi="Times New Roman" w:cs="Times New Roman"/>
          <w:i/>
          <w:sz w:val="24"/>
          <w:szCs w:val="24"/>
        </w:rPr>
      </w:pPr>
      <w:r>
        <w:rPr>
          <w:rFonts w:ascii="Times New Roman" w:hAnsi="Times New Roman" w:cs="Times New Roman"/>
          <w:i/>
          <w:sz w:val="24"/>
          <w:szCs w:val="24"/>
        </w:rPr>
        <w:br w:type="page"/>
      </w:r>
    </w:p>
    <w:p w14:paraId="42ECEA1D" w14:textId="7C30FA97" w:rsidR="00A3733C" w:rsidRDefault="00A3733C" w:rsidP="00A3733C">
      <w:pPr>
        <w:spacing w:after="0" w:line="276" w:lineRule="auto"/>
        <w:ind w:left="357" w:hanging="357"/>
        <w:jc w:val="both"/>
        <w:rPr>
          <w:rFonts w:ascii="Times New Roman" w:hAnsi="Times New Roman" w:cs="Times New Roman"/>
          <w:i/>
          <w:sz w:val="24"/>
          <w:szCs w:val="24"/>
        </w:rPr>
      </w:pPr>
      <w:r>
        <w:rPr>
          <w:rFonts w:ascii="Times New Roman" w:hAnsi="Times New Roman" w:cs="Times New Roman"/>
          <w:i/>
          <w:sz w:val="24"/>
          <w:szCs w:val="24"/>
        </w:rPr>
        <w:lastRenderedPageBreak/>
        <w:t>New section 19F  Reports</w:t>
      </w:r>
      <w:r w:rsidRPr="000C39A8">
        <w:rPr>
          <w:rFonts w:ascii="Times New Roman" w:hAnsi="Times New Roman" w:cs="Times New Roman"/>
          <w:i/>
          <w:sz w:val="24"/>
          <w:szCs w:val="24"/>
        </w:rPr>
        <w:t>—</w:t>
      </w:r>
      <w:r>
        <w:rPr>
          <w:rFonts w:ascii="Times New Roman" w:hAnsi="Times New Roman" w:cs="Times New Roman"/>
          <w:i/>
          <w:sz w:val="24"/>
          <w:szCs w:val="24"/>
        </w:rPr>
        <w:t>MSO annual activity data</w:t>
      </w:r>
    </w:p>
    <w:p w14:paraId="4A03AEE0" w14:textId="23B80153" w:rsidR="005932FD" w:rsidRDefault="005932FD" w:rsidP="005932FD">
      <w:pPr>
        <w:spacing w:before="240" w:after="100" w:afterAutospacing="1"/>
        <w:rPr>
          <w:rFonts w:ascii="Times New Roman" w:eastAsia="Calibri" w:hAnsi="Times New Roman" w:cs="Times New Roman"/>
          <w:sz w:val="24"/>
          <w:szCs w:val="24"/>
        </w:rPr>
      </w:pPr>
      <w:r w:rsidRPr="00907B76">
        <w:rPr>
          <w:rFonts w:ascii="Times New Roman" w:eastAsia="Calibri" w:hAnsi="Times New Roman" w:cs="Times New Roman"/>
          <w:sz w:val="24"/>
          <w:szCs w:val="24"/>
        </w:rPr>
        <w:t>This i</w:t>
      </w:r>
      <w:r>
        <w:rPr>
          <w:rFonts w:ascii="Times New Roman" w:eastAsia="Calibri" w:hAnsi="Times New Roman" w:cs="Times New Roman"/>
          <w:sz w:val="24"/>
          <w:szCs w:val="24"/>
        </w:rPr>
        <w:t>tem also inserts new section 19F</w:t>
      </w:r>
      <w:r w:rsidRPr="00907B76">
        <w:rPr>
          <w:rFonts w:ascii="Times New Roman" w:eastAsia="Calibri" w:hAnsi="Times New Roman" w:cs="Times New Roman"/>
          <w:sz w:val="24"/>
          <w:szCs w:val="24"/>
        </w:rPr>
        <w:t xml:space="preserve"> into the principal POFR Rules.</w:t>
      </w:r>
      <w:r>
        <w:rPr>
          <w:rFonts w:ascii="Times New Roman" w:eastAsia="Calibri" w:hAnsi="Times New Roman" w:cs="Times New Roman"/>
          <w:sz w:val="24"/>
          <w:szCs w:val="24"/>
        </w:rPr>
        <w:t xml:space="preserve"> </w:t>
      </w:r>
    </w:p>
    <w:p w14:paraId="55027C98" w14:textId="4D541023" w:rsidR="005932FD" w:rsidRDefault="005932FD" w:rsidP="005932FD">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 19F(1) </w:t>
      </w:r>
      <w:r w:rsidR="00E13096">
        <w:rPr>
          <w:rFonts w:ascii="Times New Roman" w:eastAsia="Calibri" w:hAnsi="Times New Roman" w:cs="Times New Roman"/>
          <w:sz w:val="24"/>
          <w:szCs w:val="24"/>
        </w:rPr>
        <w:t xml:space="preserve">provides </w:t>
      </w:r>
      <w:r>
        <w:rPr>
          <w:rFonts w:ascii="Times New Roman" w:eastAsia="Calibri" w:hAnsi="Times New Roman" w:cs="Times New Roman"/>
          <w:sz w:val="24"/>
          <w:szCs w:val="24"/>
        </w:rPr>
        <w:t xml:space="preserve">that regulated entities that are </w:t>
      </w:r>
      <w:r w:rsidR="00E13096">
        <w:rPr>
          <w:rFonts w:ascii="Times New Roman" w:eastAsia="Calibri" w:hAnsi="Times New Roman" w:cs="Times New Roman"/>
          <w:sz w:val="24"/>
          <w:szCs w:val="24"/>
        </w:rPr>
        <w:t>subject to</w:t>
      </w:r>
      <w:r>
        <w:rPr>
          <w:rFonts w:ascii="Times New Roman" w:eastAsia="Calibri" w:hAnsi="Times New Roman" w:cs="Times New Roman"/>
          <w:sz w:val="24"/>
          <w:szCs w:val="24"/>
        </w:rPr>
        <w:t xml:space="preserve"> the MSO under the FS Act (i.e. the importers and refiners operating in Australia who have triggered the obligation under section 10 of the FS Act), must report specified information to the Secretary within 21 days after the end of the calendar year.</w:t>
      </w:r>
      <w:r w:rsidR="00567EC3" w:rsidRPr="00567EC3">
        <w:t xml:space="preserve"> </w:t>
      </w:r>
      <w:r w:rsidR="00567EC3" w:rsidRPr="00567EC3">
        <w:rPr>
          <w:rFonts w:ascii="Times New Roman" w:eastAsia="Calibri" w:hAnsi="Times New Roman" w:cs="Times New Roman"/>
          <w:sz w:val="24"/>
          <w:szCs w:val="24"/>
        </w:rPr>
        <w:t xml:space="preserve">The report must be provided by the entity that undertook the </w:t>
      </w:r>
      <w:r w:rsidR="000C7702">
        <w:rPr>
          <w:rFonts w:ascii="Times New Roman" w:eastAsia="Calibri" w:hAnsi="Times New Roman" w:cs="Times New Roman"/>
          <w:sz w:val="24"/>
          <w:szCs w:val="24"/>
        </w:rPr>
        <w:t xml:space="preserve">covered activity of </w:t>
      </w:r>
      <w:r w:rsidR="00567EC3" w:rsidRPr="00567EC3">
        <w:rPr>
          <w:rFonts w:ascii="Times New Roman" w:eastAsia="Calibri" w:hAnsi="Times New Roman" w:cs="Times New Roman"/>
          <w:sz w:val="24"/>
          <w:szCs w:val="24"/>
        </w:rPr>
        <w:t xml:space="preserve">refining or importing </w:t>
      </w:r>
      <w:r w:rsidR="000C7702">
        <w:rPr>
          <w:rFonts w:ascii="Times New Roman" w:eastAsia="Calibri" w:hAnsi="Times New Roman" w:cs="Times New Roman"/>
          <w:sz w:val="24"/>
          <w:szCs w:val="24"/>
        </w:rPr>
        <w:t xml:space="preserve">the MSO product </w:t>
      </w:r>
      <w:r w:rsidR="00567EC3" w:rsidRPr="00567EC3">
        <w:rPr>
          <w:rFonts w:ascii="Times New Roman" w:eastAsia="Calibri" w:hAnsi="Times New Roman" w:cs="Times New Roman"/>
          <w:sz w:val="24"/>
          <w:szCs w:val="24"/>
        </w:rPr>
        <w:t>(as applicable)</w:t>
      </w:r>
      <w:r w:rsidR="002C4AAF">
        <w:rPr>
          <w:rFonts w:ascii="Times New Roman" w:eastAsia="Calibri" w:hAnsi="Times New Roman" w:cs="Times New Roman"/>
          <w:sz w:val="24"/>
          <w:szCs w:val="24"/>
        </w:rPr>
        <w:t>.</w:t>
      </w:r>
      <w:r w:rsidRPr="005932FD">
        <w:rPr>
          <w:rFonts w:ascii="Times New Roman" w:eastAsia="Calibri" w:hAnsi="Times New Roman" w:cs="Times New Roman"/>
          <w:sz w:val="24"/>
          <w:szCs w:val="24"/>
        </w:rPr>
        <w:t xml:space="preserve"> </w:t>
      </w:r>
    </w:p>
    <w:p w14:paraId="2AF27737" w14:textId="3AF92EDF" w:rsidR="00E44BD3" w:rsidRDefault="005932FD" w:rsidP="005932FD">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 19F(2) </w:t>
      </w:r>
      <w:r w:rsidR="00C35FFC" w:rsidRPr="00C35FFC">
        <w:rPr>
          <w:rFonts w:ascii="Times New Roman" w:eastAsia="Calibri" w:hAnsi="Times New Roman" w:cs="Times New Roman"/>
          <w:sz w:val="24"/>
          <w:szCs w:val="24"/>
        </w:rPr>
        <w:t xml:space="preserve">sets out the specific categories of fuel information that </w:t>
      </w:r>
      <w:r w:rsidR="002C4AAF">
        <w:rPr>
          <w:rFonts w:ascii="Times New Roman" w:eastAsia="Calibri" w:hAnsi="Times New Roman" w:cs="Times New Roman"/>
          <w:sz w:val="24"/>
          <w:szCs w:val="24"/>
        </w:rPr>
        <w:t>is</w:t>
      </w:r>
      <w:r w:rsidR="002C4AAF" w:rsidRPr="00C35FFC">
        <w:rPr>
          <w:rFonts w:ascii="Times New Roman" w:eastAsia="Calibri" w:hAnsi="Times New Roman" w:cs="Times New Roman"/>
          <w:sz w:val="24"/>
          <w:szCs w:val="24"/>
        </w:rPr>
        <w:t xml:space="preserve"> </w:t>
      </w:r>
      <w:r w:rsidR="00C35FFC" w:rsidRPr="00C35FFC">
        <w:rPr>
          <w:rFonts w:ascii="Times New Roman" w:eastAsia="Calibri" w:hAnsi="Times New Roman" w:cs="Times New Roman"/>
          <w:sz w:val="24"/>
          <w:szCs w:val="24"/>
        </w:rPr>
        <w:t>required to be reported by regulated entities</w:t>
      </w:r>
      <w:r>
        <w:rPr>
          <w:rFonts w:ascii="Times New Roman" w:eastAsia="Calibri" w:hAnsi="Times New Roman" w:cs="Times New Roman"/>
          <w:sz w:val="24"/>
          <w:szCs w:val="24"/>
        </w:rPr>
        <w:t>. This includes</w:t>
      </w:r>
      <w:r w:rsidR="00E44BD3">
        <w:rPr>
          <w:rFonts w:ascii="Times New Roman" w:eastAsia="Calibri" w:hAnsi="Times New Roman" w:cs="Times New Roman"/>
          <w:sz w:val="24"/>
          <w:szCs w:val="24"/>
        </w:rPr>
        <w:t>:</w:t>
      </w:r>
    </w:p>
    <w:p w14:paraId="330C339A" w14:textId="0D741A4A" w:rsidR="00492C0E" w:rsidRDefault="00E44BD3" w:rsidP="006D0798">
      <w:pPr>
        <w:pStyle w:val="ListParagraph"/>
        <w:numPr>
          <w:ilvl w:val="0"/>
          <w:numId w:val="38"/>
        </w:numPr>
        <w:spacing w:before="240" w:after="100" w:afterAutospacing="1"/>
        <w:rPr>
          <w:rFonts w:ascii="Times New Roman" w:eastAsia="Calibri" w:hAnsi="Times New Roman" w:cs="Times New Roman"/>
          <w:sz w:val="24"/>
          <w:szCs w:val="24"/>
        </w:rPr>
      </w:pPr>
      <w:r w:rsidRPr="00E44BD3">
        <w:rPr>
          <w:rFonts w:ascii="Times New Roman" w:eastAsia="Calibri" w:hAnsi="Times New Roman" w:cs="Times New Roman"/>
          <w:sz w:val="24"/>
          <w:szCs w:val="24"/>
        </w:rPr>
        <w:t>The total import and</w:t>
      </w:r>
      <w:r>
        <w:rPr>
          <w:rFonts w:ascii="Times New Roman" w:eastAsia="Calibri" w:hAnsi="Times New Roman" w:cs="Times New Roman"/>
          <w:sz w:val="24"/>
          <w:szCs w:val="24"/>
        </w:rPr>
        <w:t>/or</w:t>
      </w:r>
      <w:r w:rsidRPr="00E44BD3">
        <w:rPr>
          <w:rFonts w:ascii="Times New Roman" w:eastAsia="Calibri" w:hAnsi="Times New Roman" w:cs="Times New Roman"/>
          <w:sz w:val="24"/>
          <w:szCs w:val="24"/>
        </w:rPr>
        <w:t xml:space="preserve"> production volumes </w:t>
      </w:r>
      <w:r w:rsidR="007C302D">
        <w:rPr>
          <w:rFonts w:ascii="Times New Roman" w:eastAsia="Calibri" w:hAnsi="Times New Roman" w:cs="Times New Roman"/>
          <w:sz w:val="24"/>
          <w:szCs w:val="24"/>
        </w:rPr>
        <w:t xml:space="preserve">for each MSO product (gasoline, kerosene and diesel) </w:t>
      </w:r>
      <w:r w:rsidR="00492C0E">
        <w:rPr>
          <w:rFonts w:ascii="Times New Roman" w:eastAsia="Calibri" w:hAnsi="Times New Roman" w:cs="Times New Roman"/>
          <w:sz w:val="24"/>
          <w:szCs w:val="24"/>
        </w:rPr>
        <w:t>from the previous calendar year.</w:t>
      </w:r>
      <w:r w:rsidR="00492C0E" w:rsidRPr="00492C0E">
        <w:rPr>
          <w:rFonts w:ascii="Times New Roman" w:eastAsia="Calibri" w:hAnsi="Times New Roman" w:cs="Times New Roman"/>
          <w:sz w:val="24"/>
          <w:szCs w:val="24"/>
        </w:rPr>
        <w:t xml:space="preserve"> </w:t>
      </w:r>
      <w:r w:rsidR="00492C0E">
        <w:rPr>
          <w:rFonts w:ascii="Times New Roman" w:eastAsia="Calibri" w:hAnsi="Times New Roman" w:cs="Times New Roman"/>
          <w:sz w:val="24"/>
          <w:szCs w:val="24"/>
        </w:rPr>
        <w:t xml:space="preserve">These figures </w:t>
      </w:r>
      <w:r w:rsidR="0061600E">
        <w:rPr>
          <w:rFonts w:ascii="Times New Roman" w:eastAsia="Calibri" w:hAnsi="Times New Roman" w:cs="Times New Roman"/>
          <w:sz w:val="24"/>
          <w:szCs w:val="24"/>
        </w:rPr>
        <w:t>must</w:t>
      </w:r>
      <w:r w:rsidR="00492C0E">
        <w:rPr>
          <w:rFonts w:ascii="Times New Roman" w:eastAsia="Calibri" w:hAnsi="Times New Roman" w:cs="Times New Roman"/>
          <w:sz w:val="24"/>
          <w:szCs w:val="24"/>
        </w:rPr>
        <w:t xml:space="preserve"> be reported to the nearest megalitre.</w:t>
      </w:r>
    </w:p>
    <w:p w14:paraId="66A8B90D" w14:textId="5B5E369A" w:rsidR="002877A6" w:rsidRDefault="00492C0E" w:rsidP="00492C0E">
      <w:pPr>
        <w:pStyle w:val="ListParagraph"/>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This information will be </w:t>
      </w:r>
      <w:r w:rsidR="00E44BD3" w:rsidRPr="00E44BD3">
        <w:rPr>
          <w:rFonts w:ascii="Times New Roman" w:eastAsia="Calibri" w:hAnsi="Times New Roman" w:cs="Times New Roman"/>
          <w:sz w:val="24"/>
          <w:szCs w:val="24"/>
        </w:rPr>
        <w:t xml:space="preserve">used to </w:t>
      </w:r>
      <w:r w:rsidRPr="00975367">
        <w:rPr>
          <w:rFonts w:ascii="Times New Roman" w:eastAsia="Calibri" w:hAnsi="Times New Roman" w:cs="Times New Roman"/>
          <w:sz w:val="24"/>
          <w:szCs w:val="24"/>
        </w:rPr>
        <w:t xml:space="preserve">check whether the </w:t>
      </w:r>
      <w:r w:rsidR="00C35FFC">
        <w:rPr>
          <w:rFonts w:ascii="Times New Roman" w:eastAsia="Calibri" w:hAnsi="Times New Roman" w:cs="Times New Roman"/>
          <w:sz w:val="24"/>
          <w:szCs w:val="24"/>
        </w:rPr>
        <w:t xml:space="preserve">MSO trigger </w:t>
      </w:r>
      <w:r w:rsidRPr="00975367">
        <w:rPr>
          <w:rFonts w:ascii="Times New Roman" w:eastAsia="Calibri" w:hAnsi="Times New Roman" w:cs="Times New Roman"/>
          <w:sz w:val="24"/>
          <w:szCs w:val="24"/>
        </w:rPr>
        <w:t>thresholds</w:t>
      </w:r>
      <w:r>
        <w:rPr>
          <w:rFonts w:ascii="Times New Roman" w:eastAsia="Calibri" w:hAnsi="Times New Roman" w:cs="Times New Roman"/>
          <w:sz w:val="24"/>
          <w:szCs w:val="24"/>
        </w:rPr>
        <w:t xml:space="preserve"> have been exceeded</w:t>
      </w:r>
      <w:r w:rsidR="00C35FFC">
        <w:rPr>
          <w:rFonts w:ascii="Times New Roman" w:eastAsia="Calibri" w:hAnsi="Times New Roman" w:cs="Times New Roman"/>
          <w:sz w:val="24"/>
          <w:szCs w:val="24"/>
        </w:rPr>
        <w:t xml:space="preserve"> for each MSO product</w:t>
      </w:r>
      <w:r>
        <w:rPr>
          <w:rFonts w:ascii="Times New Roman" w:eastAsia="Calibri" w:hAnsi="Times New Roman" w:cs="Times New Roman"/>
          <w:sz w:val="24"/>
          <w:szCs w:val="24"/>
        </w:rPr>
        <w:t xml:space="preserve">, and </w:t>
      </w:r>
      <w:r w:rsidR="00C35FFC">
        <w:rPr>
          <w:rFonts w:ascii="Times New Roman" w:eastAsia="Calibri" w:hAnsi="Times New Roman" w:cs="Times New Roman"/>
          <w:sz w:val="24"/>
          <w:szCs w:val="24"/>
        </w:rPr>
        <w:t xml:space="preserve">if so, </w:t>
      </w:r>
      <w:r>
        <w:rPr>
          <w:rFonts w:ascii="Times New Roman" w:eastAsia="Calibri" w:hAnsi="Times New Roman" w:cs="Times New Roman"/>
          <w:sz w:val="24"/>
          <w:szCs w:val="24"/>
        </w:rPr>
        <w:t xml:space="preserve">to </w:t>
      </w:r>
      <w:r w:rsidR="00E44BD3" w:rsidRPr="00E44BD3">
        <w:rPr>
          <w:rFonts w:ascii="Times New Roman" w:eastAsia="Calibri" w:hAnsi="Times New Roman" w:cs="Times New Roman"/>
          <w:sz w:val="24"/>
          <w:szCs w:val="24"/>
        </w:rPr>
        <w:t xml:space="preserve">calculate </w:t>
      </w:r>
      <w:r w:rsidR="007C302D">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entity’s </w:t>
      </w:r>
      <w:r w:rsidR="007C302D">
        <w:rPr>
          <w:rFonts w:ascii="Times New Roman" w:eastAsia="Calibri" w:hAnsi="Times New Roman" w:cs="Times New Roman"/>
          <w:sz w:val="24"/>
          <w:szCs w:val="24"/>
        </w:rPr>
        <w:t xml:space="preserve">designated quantity for </w:t>
      </w:r>
      <w:r w:rsidR="00E44BD3" w:rsidRPr="00E44BD3">
        <w:rPr>
          <w:rFonts w:ascii="Times New Roman" w:eastAsia="Calibri" w:hAnsi="Times New Roman" w:cs="Times New Roman"/>
          <w:sz w:val="24"/>
          <w:szCs w:val="24"/>
        </w:rPr>
        <w:t xml:space="preserve">each MSO </w:t>
      </w:r>
      <w:r w:rsidR="007C302D">
        <w:rPr>
          <w:rFonts w:ascii="Times New Roman" w:eastAsia="Calibri" w:hAnsi="Times New Roman" w:cs="Times New Roman"/>
          <w:sz w:val="24"/>
          <w:szCs w:val="24"/>
        </w:rPr>
        <w:t>product</w:t>
      </w:r>
      <w:r w:rsidR="00C35FFC">
        <w:rPr>
          <w:rFonts w:ascii="Times New Roman" w:eastAsia="Calibri" w:hAnsi="Times New Roman" w:cs="Times New Roman"/>
          <w:sz w:val="24"/>
          <w:szCs w:val="24"/>
        </w:rPr>
        <w:t xml:space="preserve"> in accordance with section</w:t>
      </w:r>
      <w:r w:rsidR="0019182C">
        <w:rPr>
          <w:rFonts w:ascii="Times New Roman" w:eastAsia="Calibri" w:hAnsi="Times New Roman" w:cs="Times New Roman"/>
          <w:sz w:val="24"/>
          <w:szCs w:val="24"/>
        </w:rPr>
        <w:t>s</w:t>
      </w:r>
      <w:r w:rsidR="00C35FFC">
        <w:rPr>
          <w:rFonts w:ascii="Times New Roman" w:eastAsia="Calibri" w:hAnsi="Times New Roman" w:cs="Times New Roman"/>
          <w:sz w:val="24"/>
          <w:szCs w:val="24"/>
        </w:rPr>
        <w:t xml:space="preserve"> 1</w:t>
      </w:r>
      <w:r w:rsidR="0019182C">
        <w:rPr>
          <w:rFonts w:ascii="Times New Roman" w:eastAsia="Calibri" w:hAnsi="Times New Roman" w:cs="Times New Roman"/>
          <w:sz w:val="24"/>
          <w:szCs w:val="24"/>
        </w:rPr>
        <w:t>0 or 15</w:t>
      </w:r>
      <w:r w:rsidR="00C35FFC">
        <w:rPr>
          <w:rFonts w:ascii="Times New Roman" w:eastAsia="Calibri" w:hAnsi="Times New Roman" w:cs="Times New Roman"/>
          <w:sz w:val="24"/>
          <w:szCs w:val="24"/>
        </w:rPr>
        <w:t xml:space="preserve"> of the FS Act</w:t>
      </w:r>
      <w:r w:rsidR="007C302D">
        <w:rPr>
          <w:rFonts w:ascii="Times New Roman" w:eastAsia="Calibri" w:hAnsi="Times New Roman" w:cs="Times New Roman"/>
          <w:sz w:val="24"/>
          <w:szCs w:val="24"/>
        </w:rPr>
        <w:t>.</w:t>
      </w:r>
      <w:r w:rsidR="00E44BD3" w:rsidRPr="00E44BD3">
        <w:rPr>
          <w:rFonts w:ascii="Times New Roman" w:eastAsia="Calibri" w:hAnsi="Times New Roman" w:cs="Times New Roman"/>
          <w:sz w:val="24"/>
          <w:szCs w:val="24"/>
        </w:rPr>
        <w:t xml:space="preserve"> </w:t>
      </w:r>
    </w:p>
    <w:p w14:paraId="1911AA32" w14:textId="3DCF6EFA" w:rsidR="00492C0E" w:rsidRDefault="007E185B" w:rsidP="006D0798">
      <w:pPr>
        <w:pStyle w:val="ListParagraph"/>
        <w:numPr>
          <w:ilvl w:val="0"/>
          <w:numId w:val="38"/>
        </w:num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Storage information regarding the total storage capacity for each MSO product, the location of any storage site the entity owns, leases or uses, the breakdown of the storage capacity for each MSO product at each site, whether the site is owned, leased or used</w:t>
      </w:r>
      <w:r w:rsidR="0061600E">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whether the site is open-access </w:t>
      </w:r>
      <w:r w:rsidR="0061600E">
        <w:rPr>
          <w:rFonts w:ascii="Times New Roman" w:eastAsia="Calibri" w:hAnsi="Times New Roman" w:cs="Times New Roman"/>
          <w:sz w:val="24"/>
          <w:szCs w:val="24"/>
        </w:rPr>
        <w:t xml:space="preserve">(i.e. it is also possible for </w:t>
      </w:r>
      <w:r>
        <w:rPr>
          <w:rFonts w:ascii="Times New Roman" w:eastAsia="Calibri" w:hAnsi="Times New Roman" w:cs="Times New Roman"/>
          <w:sz w:val="24"/>
          <w:szCs w:val="24"/>
        </w:rPr>
        <w:t xml:space="preserve">other </w:t>
      </w:r>
      <w:r w:rsidR="00F45CB2">
        <w:rPr>
          <w:rFonts w:ascii="Times New Roman" w:eastAsia="Calibri" w:hAnsi="Times New Roman" w:cs="Times New Roman"/>
          <w:sz w:val="24"/>
          <w:szCs w:val="24"/>
        </w:rPr>
        <w:t>entities</w:t>
      </w:r>
      <w:r>
        <w:rPr>
          <w:rFonts w:ascii="Times New Roman" w:eastAsia="Calibri" w:hAnsi="Times New Roman" w:cs="Times New Roman"/>
          <w:sz w:val="24"/>
          <w:szCs w:val="24"/>
        </w:rPr>
        <w:t xml:space="preserve"> </w:t>
      </w:r>
      <w:r w:rsidR="0061600E">
        <w:rPr>
          <w:rFonts w:ascii="Times New Roman" w:eastAsia="Calibri" w:hAnsi="Times New Roman" w:cs="Times New Roman"/>
          <w:sz w:val="24"/>
          <w:szCs w:val="24"/>
        </w:rPr>
        <w:t>to</w:t>
      </w:r>
      <w:r>
        <w:rPr>
          <w:rFonts w:ascii="Times New Roman" w:eastAsia="Calibri" w:hAnsi="Times New Roman" w:cs="Times New Roman"/>
          <w:sz w:val="24"/>
          <w:szCs w:val="24"/>
        </w:rPr>
        <w:t xml:space="preserve"> s</w:t>
      </w:r>
      <w:r w:rsidR="00492C0E">
        <w:rPr>
          <w:rFonts w:ascii="Times New Roman" w:eastAsia="Calibri" w:hAnsi="Times New Roman" w:cs="Times New Roman"/>
          <w:sz w:val="24"/>
          <w:szCs w:val="24"/>
        </w:rPr>
        <w:t>t</w:t>
      </w:r>
      <w:r>
        <w:rPr>
          <w:rFonts w:ascii="Times New Roman" w:eastAsia="Calibri" w:hAnsi="Times New Roman" w:cs="Times New Roman"/>
          <w:sz w:val="24"/>
          <w:szCs w:val="24"/>
        </w:rPr>
        <w:t>ore MSO products at the site</w:t>
      </w:r>
      <w:r w:rsidR="0061600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7C1A404F" w14:textId="45A4C24F" w:rsidR="007C302D" w:rsidRDefault="007E185B" w:rsidP="00492C0E">
      <w:pPr>
        <w:pStyle w:val="ListParagraph"/>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This data was previously collected by the </w:t>
      </w:r>
      <w:r w:rsidRPr="007E185B">
        <w:rPr>
          <w:rFonts w:ascii="Times New Roman" w:eastAsia="Calibri" w:hAnsi="Times New Roman" w:cs="Times New Roman"/>
          <w:sz w:val="24"/>
          <w:szCs w:val="24"/>
        </w:rPr>
        <w:t>ACCC</w:t>
      </w:r>
      <w:r>
        <w:rPr>
          <w:rFonts w:ascii="Times New Roman" w:eastAsia="Calibri" w:hAnsi="Times New Roman" w:cs="Times New Roman"/>
          <w:sz w:val="24"/>
          <w:szCs w:val="24"/>
        </w:rPr>
        <w:t xml:space="preserve"> and shared with the Department</w:t>
      </w:r>
      <w:r w:rsidR="002C4AAF">
        <w:rPr>
          <w:rFonts w:ascii="Times New Roman" w:eastAsia="Calibri" w:hAnsi="Times New Roman" w:cs="Times New Roman"/>
          <w:sz w:val="24"/>
          <w:szCs w:val="24"/>
        </w:rPr>
        <w:t xml:space="preserve"> under s 95ZPA of the </w:t>
      </w:r>
      <w:r w:rsidR="002C4AAF">
        <w:rPr>
          <w:rFonts w:ascii="Times New Roman" w:eastAsia="Calibri" w:hAnsi="Times New Roman" w:cs="Times New Roman"/>
          <w:i/>
          <w:sz w:val="24"/>
          <w:szCs w:val="24"/>
        </w:rPr>
        <w:t>Competition and Consumer Act 2010</w:t>
      </w:r>
      <w:r w:rsidR="002C4AAF">
        <w:rPr>
          <w:rFonts w:ascii="Times New Roman" w:eastAsia="Calibri" w:hAnsi="Times New Roman" w:cs="Times New Roman"/>
          <w:sz w:val="24"/>
          <w:szCs w:val="24"/>
        </w:rPr>
        <w:t>, which gives an authorised entrusted person the discretion to disclose information that will assist the Department to exercise its functions under the POFR Act and FS Act.</w:t>
      </w:r>
      <w:r>
        <w:rPr>
          <w:rFonts w:ascii="Times New Roman" w:eastAsia="Calibri" w:hAnsi="Times New Roman" w:cs="Times New Roman"/>
          <w:sz w:val="24"/>
          <w:szCs w:val="24"/>
        </w:rPr>
        <w:t xml:space="preserve"> </w:t>
      </w:r>
      <w:r w:rsidR="002C4AAF">
        <w:rPr>
          <w:rFonts w:ascii="Times New Roman" w:eastAsia="Calibri" w:hAnsi="Times New Roman" w:cs="Times New Roman"/>
          <w:sz w:val="24"/>
          <w:szCs w:val="24"/>
        </w:rPr>
        <w:t>H</w:t>
      </w:r>
      <w:r>
        <w:rPr>
          <w:rFonts w:ascii="Times New Roman" w:eastAsia="Calibri" w:hAnsi="Times New Roman" w:cs="Times New Roman"/>
          <w:sz w:val="24"/>
          <w:szCs w:val="24"/>
        </w:rPr>
        <w:t>owever</w:t>
      </w:r>
      <w:r w:rsidR="002C4AAF">
        <w:rPr>
          <w:rFonts w:ascii="Times New Roman" w:eastAsia="Calibri" w:hAnsi="Times New Roman" w:cs="Times New Roman"/>
          <w:sz w:val="24"/>
          <w:szCs w:val="24"/>
        </w:rPr>
        <w:t>,</w:t>
      </w:r>
      <w:r>
        <w:rPr>
          <w:rFonts w:ascii="Times New Roman" w:eastAsia="Calibri" w:hAnsi="Times New Roman" w:cs="Times New Roman"/>
          <w:sz w:val="24"/>
          <w:szCs w:val="24"/>
        </w:rPr>
        <w:t xml:space="preserve"> under new arrangements</w:t>
      </w:r>
      <w:r w:rsidR="00492C0E">
        <w:rPr>
          <w:rFonts w:ascii="Times New Roman" w:eastAsia="Calibri" w:hAnsi="Times New Roman" w:cs="Times New Roman"/>
          <w:sz w:val="24"/>
          <w:szCs w:val="24"/>
        </w:rPr>
        <w:t xml:space="preserve"> to streamline the process</w:t>
      </w:r>
      <w:r>
        <w:rPr>
          <w:rFonts w:ascii="Times New Roman" w:eastAsia="Calibri" w:hAnsi="Times New Roman" w:cs="Times New Roman"/>
          <w:sz w:val="24"/>
          <w:szCs w:val="24"/>
        </w:rPr>
        <w:t>, the Department will now be collecting the data and shar</w:t>
      </w:r>
      <w:r w:rsidR="0012390D">
        <w:rPr>
          <w:rFonts w:ascii="Times New Roman" w:eastAsia="Calibri" w:hAnsi="Times New Roman" w:cs="Times New Roman"/>
          <w:sz w:val="24"/>
          <w:szCs w:val="24"/>
        </w:rPr>
        <w:t>e</w:t>
      </w:r>
      <w:r>
        <w:rPr>
          <w:rFonts w:ascii="Times New Roman" w:eastAsia="Calibri" w:hAnsi="Times New Roman" w:cs="Times New Roman"/>
          <w:sz w:val="24"/>
          <w:szCs w:val="24"/>
        </w:rPr>
        <w:t xml:space="preserve"> it with the ACCC. </w:t>
      </w:r>
      <w:r w:rsidR="00492C0E">
        <w:rPr>
          <w:rFonts w:ascii="Times New Roman" w:eastAsia="Calibri" w:hAnsi="Times New Roman" w:cs="Times New Roman"/>
          <w:sz w:val="24"/>
          <w:szCs w:val="24"/>
        </w:rPr>
        <w:t xml:space="preserve">This </w:t>
      </w:r>
      <w:r w:rsidR="00F45CB2">
        <w:rPr>
          <w:rFonts w:ascii="Times New Roman" w:eastAsia="Calibri" w:hAnsi="Times New Roman" w:cs="Times New Roman"/>
          <w:sz w:val="24"/>
          <w:szCs w:val="24"/>
        </w:rPr>
        <w:t xml:space="preserve">aligns with the objectives of the FS Act, as it </w:t>
      </w:r>
      <w:r w:rsidR="00492C0E">
        <w:rPr>
          <w:rFonts w:ascii="Times New Roman" w:eastAsia="Calibri" w:hAnsi="Times New Roman" w:cs="Times New Roman"/>
          <w:sz w:val="24"/>
          <w:szCs w:val="24"/>
        </w:rPr>
        <w:t xml:space="preserve">will give the Department a greater understanding of the overall </w:t>
      </w:r>
      <w:r w:rsidR="0061600E">
        <w:rPr>
          <w:rFonts w:ascii="Times New Roman" w:eastAsia="Calibri" w:hAnsi="Times New Roman" w:cs="Times New Roman"/>
          <w:sz w:val="24"/>
          <w:szCs w:val="24"/>
        </w:rPr>
        <w:t xml:space="preserve">fuel </w:t>
      </w:r>
      <w:r w:rsidR="00492C0E">
        <w:rPr>
          <w:rFonts w:ascii="Times New Roman" w:eastAsia="Calibri" w:hAnsi="Times New Roman" w:cs="Times New Roman"/>
          <w:sz w:val="24"/>
          <w:szCs w:val="24"/>
        </w:rPr>
        <w:t>storage capacity</w:t>
      </w:r>
      <w:r w:rsidR="00F45CB2">
        <w:rPr>
          <w:rFonts w:ascii="Times New Roman" w:eastAsia="Calibri" w:hAnsi="Times New Roman" w:cs="Times New Roman"/>
          <w:sz w:val="24"/>
          <w:szCs w:val="24"/>
        </w:rPr>
        <w:t>,</w:t>
      </w:r>
      <w:r w:rsidR="00492C0E">
        <w:rPr>
          <w:rFonts w:ascii="Times New Roman" w:eastAsia="Calibri" w:hAnsi="Times New Roman" w:cs="Times New Roman"/>
          <w:sz w:val="24"/>
          <w:szCs w:val="24"/>
        </w:rPr>
        <w:t xml:space="preserve"> and </w:t>
      </w:r>
      <w:r w:rsidR="00F45CB2">
        <w:rPr>
          <w:rFonts w:ascii="Times New Roman" w:eastAsia="Calibri" w:hAnsi="Times New Roman" w:cs="Times New Roman"/>
          <w:sz w:val="24"/>
          <w:szCs w:val="24"/>
        </w:rPr>
        <w:t xml:space="preserve">therefore </w:t>
      </w:r>
      <w:r w:rsidR="00492C0E">
        <w:rPr>
          <w:rFonts w:ascii="Times New Roman" w:eastAsia="Calibri" w:hAnsi="Times New Roman" w:cs="Times New Roman"/>
          <w:sz w:val="24"/>
          <w:szCs w:val="24"/>
        </w:rPr>
        <w:t>fuel security capacity</w:t>
      </w:r>
      <w:r w:rsidR="00F45CB2">
        <w:rPr>
          <w:rFonts w:ascii="Times New Roman" w:eastAsia="Calibri" w:hAnsi="Times New Roman" w:cs="Times New Roman"/>
          <w:sz w:val="24"/>
          <w:szCs w:val="24"/>
        </w:rPr>
        <w:t>,</w:t>
      </w:r>
      <w:r w:rsidR="00492C0E">
        <w:rPr>
          <w:rFonts w:ascii="Times New Roman" w:eastAsia="Calibri" w:hAnsi="Times New Roman" w:cs="Times New Roman"/>
          <w:sz w:val="24"/>
          <w:szCs w:val="24"/>
        </w:rPr>
        <w:t xml:space="preserve"> for </w:t>
      </w:r>
      <w:r w:rsidR="0061600E">
        <w:rPr>
          <w:rFonts w:ascii="Times New Roman" w:eastAsia="Calibri" w:hAnsi="Times New Roman" w:cs="Times New Roman"/>
          <w:sz w:val="24"/>
          <w:szCs w:val="24"/>
        </w:rPr>
        <w:t>Australia</w:t>
      </w:r>
      <w:r w:rsidR="00492C0E">
        <w:rPr>
          <w:rFonts w:ascii="Times New Roman" w:eastAsia="Calibri" w:hAnsi="Times New Roman" w:cs="Times New Roman"/>
          <w:sz w:val="24"/>
          <w:szCs w:val="24"/>
        </w:rPr>
        <w:t xml:space="preserve">. </w:t>
      </w:r>
    </w:p>
    <w:p w14:paraId="5E000C6F" w14:textId="441C9A9C" w:rsidR="00D6014F" w:rsidRPr="00975367" w:rsidRDefault="000505B3" w:rsidP="000577CC">
      <w:pPr>
        <w:pStyle w:val="ListParagraph"/>
        <w:numPr>
          <w:ilvl w:val="0"/>
          <w:numId w:val="38"/>
        </w:num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Further</w:t>
      </w:r>
      <w:r w:rsidR="00975367" w:rsidRPr="00975367">
        <w:rPr>
          <w:rFonts w:ascii="Times New Roman" w:eastAsia="Calibri" w:hAnsi="Times New Roman" w:cs="Times New Roman"/>
          <w:sz w:val="24"/>
          <w:szCs w:val="24"/>
        </w:rPr>
        <w:t xml:space="preserve"> details of </w:t>
      </w:r>
      <w:r>
        <w:rPr>
          <w:rFonts w:ascii="Times New Roman" w:eastAsia="Calibri" w:hAnsi="Times New Roman" w:cs="Times New Roman"/>
          <w:sz w:val="24"/>
          <w:szCs w:val="24"/>
        </w:rPr>
        <w:t>any</w:t>
      </w:r>
      <w:r w:rsidR="00975367" w:rsidRPr="00975367">
        <w:rPr>
          <w:rFonts w:ascii="Times New Roman" w:eastAsia="Calibri" w:hAnsi="Times New Roman" w:cs="Times New Roman"/>
          <w:sz w:val="24"/>
          <w:szCs w:val="24"/>
        </w:rPr>
        <w:t xml:space="preserve"> legally enforceable arrangements </w:t>
      </w:r>
      <w:r>
        <w:rPr>
          <w:rFonts w:ascii="Times New Roman" w:eastAsia="Calibri" w:hAnsi="Times New Roman" w:cs="Times New Roman"/>
          <w:sz w:val="24"/>
          <w:szCs w:val="24"/>
        </w:rPr>
        <w:t>entered into by regulated entities regarding storage of stocks</w:t>
      </w:r>
      <w:r w:rsidR="00F767DC">
        <w:rPr>
          <w:rFonts w:ascii="Times New Roman" w:eastAsia="Calibri" w:hAnsi="Times New Roman" w:cs="Times New Roman"/>
          <w:sz w:val="24"/>
          <w:szCs w:val="24"/>
        </w:rPr>
        <w:t xml:space="preserve"> by another entity</w:t>
      </w:r>
      <w:r>
        <w:rPr>
          <w:rFonts w:ascii="Times New Roman" w:eastAsia="Calibri" w:hAnsi="Times New Roman" w:cs="Times New Roman"/>
          <w:sz w:val="24"/>
          <w:szCs w:val="24"/>
        </w:rPr>
        <w:t>, including the identities of the contracting parties</w:t>
      </w:r>
      <w:r w:rsidR="000577CC">
        <w:rPr>
          <w:rFonts w:ascii="Times New Roman" w:eastAsia="Calibri" w:hAnsi="Times New Roman" w:cs="Times New Roman"/>
          <w:sz w:val="24"/>
          <w:szCs w:val="24"/>
        </w:rPr>
        <w:t xml:space="preserve"> (including any intermediary market participant who stores the stock on behalf of the </w:t>
      </w:r>
      <w:r w:rsidR="000C7702">
        <w:rPr>
          <w:rFonts w:ascii="Times New Roman" w:eastAsia="Calibri" w:hAnsi="Times New Roman" w:cs="Times New Roman"/>
          <w:sz w:val="24"/>
          <w:szCs w:val="24"/>
        </w:rPr>
        <w:t>importer or refiner that is</w:t>
      </w:r>
      <w:r w:rsidR="000577CC">
        <w:rPr>
          <w:rFonts w:ascii="Times New Roman" w:eastAsia="Calibri" w:hAnsi="Times New Roman" w:cs="Times New Roman"/>
          <w:sz w:val="24"/>
          <w:szCs w:val="24"/>
        </w:rPr>
        <w:t xml:space="preserve"> subject to the MSO)</w:t>
      </w:r>
      <w:r w:rsidR="00975367" w:rsidRPr="00975367">
        <w:rPr>
          <w:rFonts w:ascii="Times New Roman" w:eastAsia="Calibri" w:hAnsi="Times New Roman" w:cs="Times New Roman"/>
          <w:sz w:val="24"/>
          <w:szCs w:val="24"/>
        </w:rPr>
        <w:t xml:space="preserve">, volumes </w:t>
      </w:r>
      <w:r>
        <w:rPr>
          <w:rFonts w:ascii="Times New Roman" w:eastAsia="Calibri" w:hAnsi="Times New Roman" w:cs="Times New Roman"/>
          <w:sz w:val="24"/>
          <w:szCs w:val="24"/>
        </w:rPr>
        <w:t xml:space="preserve">of MSO products being stored, </w:t>
      </w:r>
      <w:r w:rsidR="00975367" w:rsidRPr="00975367">
        <w:rPr>
          <w:rFonts w:ascii="Times New Roman" w:eastAsia="Calibri" w:hAnsi="Times New Roman" w:cs="Times New Roman"/>
          <w:sz w:val="24"/>
          <w:szCs w:val="24"/>
        </w:rPr>
        <w:t>and time periods for the arrangements</w:t>
      </w:r>
      <w:r w:rsidR="00337820" w:rsidRPr="00975367">
        <w:rPr>
          <w:rFonts w:ascii="Times New Roman" w:eastAsia="Calibri" w:hAnsi="Times New Roman" w:cs="Times New Roman"/>
          <w:sz w:val="24"/>
          <w:szCs w:val="24"/>
        </w:rPr>
        <w:t>.</w:t>
      </w:r>
      <w:r w:rsidR="00975367" w:rsidRPr="00975367">
        <w:rPr>
          <w:rFonts w:ascii="Times New Roman" w:eastAsia="Calibri" w:hAnsi="Times New Roman" w:cs="Times New Roman"/>
          <w:sz w:val="24"/>
          <w:szCs w:val="24"/>
        </w:rPr>
        <w:t xml:space="preserve"> This will give the Secretary an understanding of how the intermediary </w:t>
      </w:r>
      <w:r>
        <w:rPr>
          <w:rFonts w:ascii="Times New Roman" w:eastAsia="Calibri" w:hAnsi="Times New Roman" w:cs="Times New Roman"/>
          <w:sz w:val="24"/>
          <w:szCs w:val="24"/>
        </w:rPr>
        <w:t xml:space="preserve">fuel </w:t>
      </w:r>
      <w:r w:rsidR="00975367" w:rsidRPr="00975367">
        <w:rPr>
          <w:rFonts w:ascii="Times New Roman" w:eastAsia="Calibri" w:hAnsi="Times New Roman" w:cs="Times New Roman"/>
          <w:sz w:val="24"/>
          <w:szCs w:val="24"/>
        </w:rPr>
        <w:t>market is operating</w:t>
      </w:r>
      <w:r>
        <w:rPr>
          <w:rFonts w:ascii="Times New Roman" w:eastAsia="Calibri" w:hAnsi="Times New Roman" w:cs="Times New Roman"/>
          <w:sz w:val="24"/>
          <w:szCs w:val="24"/>
        </w:rPr>
        <w:t>, to complement</w:t>
      </w:r>
      <w:r w:rsidR="00975367" w:rsidRPr="00975367">
        <w:rPr>
          <w:rFonts w:ascii="Times New Roman" w:eastAsia="Calibri" w:hAnsi="Times New Roman" w:cs="Times New Roman"/>
          <w:sz w:val="24"/>
          <w:szCs w:val="24"/>
        </w:rPr>
        <w:t xml:space="preserve"> the snapshot of data </w:t>
      </w:r>
      <w:r>
        <w:rPr>
          <w:rFonts w:ascii="Times New Roman" w:eastAsia="Calibri" w:hAnsi="Times New Roman" w:cs="Times New Roman"/>
          <w:sz w:val="24"/>
          <w:szCs w:val="24"/>
        </w:rPr>
        <w:t xml:space="preserve">(i.e. names of other entities holding stock on behalf of a regulated entity and volumes of such stock) </w:t>
      </w:r>
      <w:r w:rsidR="00975367" w:rsidRPr="00975367">
        <w:rPr>
          <w:rFonts w:ascii="Times New Roman" w:eastAsia="Calibri" w:hAnsi="Times New Roman" w:cs="Times New Roman"/>
          <w:sz w:val="24"/>
          <w:szCs w:val="24"/>
        </w:rPr>
        <w:t xml:space="preserve">provided </w:t>
      </w:r>
      <w:r>
        <w:rPr>
          <w:rFonts w:ascii="Times New Roman" w:eastAsia="Calibri" w:hAnsi="Times New Roman" w:cs="Times New Roman"/>
          <w:sz w:val="24"/>
          <w:szCs w:val="24"/>
        </w:rPr>
        <w:t>under new paragraphs</w:t>
      </w:r>
      <w:r w:rsidR="00975367" w:rsidRPr="00975367">
        <w:rPr>
          <w:rFonts w:ascii="Times New Roman" w:eastAsia="Calibri" w:hAnsi="Times New Roman" w:cs="Times New Roman"/>
          <w:sz w:val="24"/>
          <w:szCs w:val="24"/>
        </w:rPr>
        <w:t xml:space="preserve"> 19E(3)(c) and 19E(3)(d)</w:t>
      </w:r>
      <w:r>
        <w:rPr>
          <w:rFonts w:ascii="Times New Roman" w:eastAsia="Calibri" w:hAnsi="Times New Roman" w:cs="Times New Roman"/>
          <w:sz w:val="24"/>
          <w:szCs w:val="24"/>
        </w:rPr>
        <w:t xml:space="preserve"> of the principal POFR Rules</w:t>
      </w:r>
      <w:r w:rsidR="00975367" w:rsidRPr="00975367">
        <w:rPr>
          <w:rFonts w:ascii="Times New Roman" w:eastAsia="Calibri" w:hAnsi="Times New Roman" w:cs="Times New Roman"/>
          <w:sz w:val="24"/>
          <w:szCs w:val="24"/>
        </w:rPr>
        <w:t xml:space="preserve">. </w:t>
      </w:r>
    </w:p>
    <w:p w14:paraId="442888A6" w14:textId="45AECB44" w:rsidR="00337820" w:rsidRDefault="00337820" w:rsidP="006D0798">
      <w:pPr>
        <w:pStyle w:val="ListParagraph"/>
        <w:numPr>
          <w:ilvl w:val="0"/>
          <w:numId w:val="38"/>
        </w:num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Any changes to the Australian controlling corporation (defined under section 8 of the FS Act), including name and contact details for the new entity. </w:t>
      </w:r>
    </w:p>
    <w:p w14:paraId="20D06E6F" w14:textId="1A8BC617" w:rsidR="00492C0E" w:rsidRPr="00E44BD3" w:rsidRDefault="00492C0E" w:rsidP="00492C0E">
      <w:pPr>
        <w:pStyle w:val="ListParagraph"/>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If this information has not already been shared with the Department at the time of the change, this provides an opportunity for the entity to update these details. As the Australian controlling corporation is also liable for any failure to comply with the MSO, this provides the necessary information for the Department to get in touch with them if required. </w:t>
      </w:r>
    </w:p>
    <w:p w14:paraId="7EE7CD0C" w14:textId="5EBA9A07" w:rsidR="005932FD" w:rsidRDefault="00FF652B" w:rsidP="005932FD">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Paragraph 19F(2)(a) specifies that</w:t>
      </w:r>
      <w:r w:rsidR="00C279FF">
        <w:rPr>
          <w:rFonts w:ascii="Times New Roman" w:eastAsia="Calibri" w:hAnsi="Times New Roman" w:cs="Times New Roman"/>
          <w:sz w:val="24"/>
          <w:szCs w:val="24"/>
        </w:rPr>
        <w:t>, for annual reports submitted by importers,</w:t>
      </w:r>
      <w:r>
        <w:rPr>
          <w:rFonts w:ascii="Times New Roman" w:eastAsia="Calibri" w:hAnsi="Times New Roman" w:cs="Times New Roman"/>
          <w:sz w:val="24"/>
          <w:szCs w:val="24"/>
        </w:rPr>
        <w:t xml:space="preserve"> the total import values should be based </w:t>
      </w:r>
      <w:r w:rsidR="000505B3">
        <w:rPr>
          <w:rFonts w:ascii="Times New Roman" w:eastAsia="Calibri" w:hAnsi="Times New Roman" w:cs="Times New Roman"/>
          <w:sz w:val="24"/>
          <w:szCs w:val="24"/>
        </w:rPr>
        <w:t xml:space="preserve">on </w:t>
      </w:r>
      <w:r>
        <w:rPr>
          <w:rFonts w:ascii="Times New Roman" w:eastAsia="Calibri" w:hAnsi="Times New Roman" w:cs="Times New Roman"/>
          <w:sz w:val="24"/>
          <w:szCs w:val="24"/>
        </w:rPr>
        <w:t xml:space="preserve">the </w:t>
      </w:r>
      <w:r w:rsidR="007E185B">
        <w:rPr>
          <w:rFonts w:ascii="Times New Roman" w:eastAsia="Calibri" w:hAnsi="Times New Roman" w:cs="Times New Roman"/>
          <w:sz w:val="24"/>
          <w:szCs w:val="24"/>
        </w:rPr>
        <w:t xml:space="preserve">import declaration (N10) </w:t>
      </w:r>
      <w:r>
        <w:rPr>
          <w:rFonts w:ascii="Times New Roman" w:eastAsia="Calibri" w:hAnsi="Times New Roman" w:cs="Times New Roman"/>
          <w:sz w:val="24"/>
          <w:szCs w:val="24"/>
        </w:rPr>
        <w:t xml:space="preserve">and </w:t>
      </w:r>
      <w:r w:rsidR="007E185B">
        <w:rPr>
          <w:rFonts w:ascii="Times New Roman" w:eastAsia="Calibri" w:hAnsi="Times New Roman" w:cs="Times New Roman"/>
          <w:sz w:val="24"/>
          <w:szCs w:val="24"/>
        </w:rPr>
        <w:t>the import declaration out of warehouse (N</w:t>
      </w:r>
      <w:r>
        <w:rPr>
          <w:rFonts w:ascii="Times New Roman" w:eastAsia="Calibri" w:hAnsi="Times New Roman" w:cs="Times New Roman"/>
          <w:sz w:val="24"/>
          <w:szCs w:val="24"/>
        </w:rPr>
        <w:t>30</w:t>
      </w:r>
      <w:r w:rsidR="007E185B">
        <w:rPr>
          <w:rFonts w:ascii="Times New Roman" w:eastAsia="Calibri" w:hAnsi="Times New Roman" w:cs="Times New Roman"/>
          <w:sz w:val="24"/>
          <w:szCs w:val="24"/>
        </w:rPr>
        <w:t>) forms</w:t>
      </w:r>
      <w:r>
        <w:rPr>
          <w:rFonts w:ascii="Times New Roman" w:eastAsia="Calibri" w:hAnsi="Times New Roman" w:cs="Times New Roman"/>
          <w:sz w:val="24"/>
          <w:szCs w:val="24"/>
        </w:rPr>
        <w:t xml:space="preserve"> provided to the Australian Border Force</w:t>
      </w:r>
      <w:r w:rsidR="007E185B">
        <w:rPr>
          <w:rFonts w:ascii="Times New Roman" w:eastAsia="Calibri" w:hAnsi="Times New Roman" w:cs="Times New Roman"/>
          <w:sz w:val="24"/>
          <w:szCs w:val="24"/>
        </w:rPr>
        <w:t xml:space="preserve"> (ABF)</w:t>
      </w:r>
      <w:r>
        <w:rPr>
          <w:rFonts w:ascii="Times New Roman" w:eastAsia="Calibri" w:hAnsi="Times New Roman" w:cs="Times New Roman"/>
          <w:sz w:val="24"/>
          <w:szCs w:val="24"/>
        </w:rPr>
        <w:t>. This can then be cross-c</w:t>
      </w:r>
      <w:r w:rsidR="007E185B">
        <w:rPr>
          <w:rFonts w:ascii="Times New Roman" w:eastAsia="Calibri" w:hAnsi="Times New Roman" w:cs="Times New Roman"/>
          <w:sz w:val="24"/>
          <w:szCs w:val="24"/>
        </w:rPr>
        <w:t>hecked against the data that ABF share</w:t>
      </w:r>
      <w:r w:rsidR="000505B3">
        <w:rPr>
          <w:rFonts w:ascii="Times New Roman" w:eastAsia="Calibri" w:hAnsi="Times New Roman" w:cs="Times New Roman"/>
          <w:sz w:val="24"/>
          <w:szCs w:val="24"/>
        </w:rPr>
        <w:t>s</w:t>
      </w:r>
      <w:r w:rsidR="007E185B">
        <w:rPr>
          <w:rFonts w:ascii="Times New Roman" w:eastAsia="Calibri" w:hAnsi="Times New Roman" w:cs="Times New Roman"/>
          <w:sz w:val="24"/>
          <w:szCs w:val="24"/>
        </w:rPr>
        <w:t xml:space="preserve"> with the Department</w:t>
      </w:r>
      <w:r w:rsidR="002C4AAF">
        <w:rPr>
          <w:rFonts w:ascii="Times New Roman" w:eastAsia="Calibri" w:hAnsi="Times New Roman" w:cs="Times New Roman"/>
          <w:sz w:val="24"/>
          <w:szCs w:val="24"/>
        </w:rPr>
        <w:t xml:space="preserve"> under section 31 of the POFR Act</w:t>
      </w:r>
      <w:r w:rsidR="007E185B">
        <w:rPr>
          <w:rFonts w:ascii="Times New Roman" w:eastAsia="Calibri" w:hAnsi="Times New Roman" w:cs="Times New Roman"/>
          <w:sz w:val="24"/>
          <w:szCs w:val="24"/>
        </w:rPr>
        <w:t xml:space="preserve">. </w:t>
      </w:r>
    </w:p>
    <w:p w14:paraId="09E5AEA8" w14:textId="0CD70BE6" w:rsidR="00337820" w:rsidRDefault="00337820" w:rsidP="005932FD">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It is </w:t>
      </w:r>
      <w:r w:rsidR="00C279FF">
        <w:rPr>
          <w:rFonts w:ascii="Times New Roman" w:eastAsia="Calibri" w:hAnsi="Times New Roman" w:cs="Times New Roman"/>
          <w:sz w:val="24"/>
          <w:szCs w:val="24"/>
        </w:rPr>
        <w:t xml:space="preserve">intended </w:t>
      </w:r>
      <w:r>
        <w:rPr>
          <w:rFonts w:ascii="Times New Roman" w:eastAsia="Calibri" w:hAnsi="Times New Roman" w:cs="Times New Roman"/>
          <w:sz w:val="24"/>
          <w:szCs w:val="24"/>
        </w:rPr>
        <w:t xml:space="preserve">that the values reported by a refiner under paragraph 19F(2)(b) </w:t>
      </w:r>
      <w:r w:rsidR="00C279FF">
        <w:rPr>
          <w:rFonts w:ascii="Times New Roman" w:eastAsia="Calibri" w:hAnsi="Times New Roman" w:cs="Times New Roman"/>
          <w:sz w:val="24"/>
          <w:szCs w:val="24"/>
        </w:rPr>
        <w:t xml:space="preserve">will </w:t>
      </w:r>
      <w:r>
        <w:rPr>
          <w:rFonts w:ascii="Times New Roman" w:eastAsia="Calibri" w:hAnsi="Times New Roman" w:cs="Times New Roman"/>
          <w:sz w:val="24"/>
          <w:szCs w:val="24"/>
        </w:rPr>
        <w:t xml:space="preserve">be </w:t>
      </w:r>
      <w:r w:rsidR="00C279FF">
        <w:rPr>
          <w:rFonts w:ascii="Times New Roman" w:eastAsia="Calibri" w:hAnsi="Times New Roman" w:cs="Times New Roman"/>
          <w:sz w:val="24"/>
          <w:szCs w:val="24"/>
        </w:rPr>
        <w:t xml:space="preserve">able to be </w:t>
      </w:r>
      <w:r>
        <w:rPr>
          <w:rFonts w:ascii="Times New Roman" w:eastAsia="Calibri" w:hAnsi="Times New Roman" w:cs="Times New Roman"/>
          <w:sz w:val="24"/>
          <w:szCs w:val="24"/>
        </w:rPr>
        <w:t xml:space="preserve">calculated </w:t>
      </w:r>
      <w:r w:rsidR="00C279FF">
        <w:rPr>
          <w:rFonts w:ascii="Times New Roman" w:eastAsia="Calibri" w:hAnsi="Times New Roman" w:cs="Times New Roman"/>
          <w:sz w:val="24"/>
          <w:szCs w:val="24"/>
        </w:rPr>
        <w:t xml:space="preserve">by adding the </w:t>
      </w:r>
      <w:r>
        <w:rPr>
          <w:rFonts w:ascii="Times New Roman" w:eastAsia="Calibri" w:hAnsi="Times New Roman" w:cs="Times New Roman"/>
          <w:sz w:val="24"/>
          <w:szCs w:val="24"/>
        </w:rPr>
        <w:t xml:space="preserve">monthly production data </w:t>
      </w:r>
      <w:r w:rsidR="00C279FF">
        <w:rPr>
          <w:rFonts w:ascii="Times New Roman" w:eastAsia="Calibri" w:hAnsi="Times New Roman" w:cs="Times New Roman"/>
          <w:sz w:val="24"/>
          <w:szCs w:val="24"/>
        </w:rPr>
        <w:t xml:space="preserve">for the previous year that will have already been </w:t>
      </w:r>
      <w:r>
        <w:rPr>
          <w:rFonts w:ascii="Times New Roman" w:eastAsia="Calibri" w:hAnsi="Times New Roman" w:cs="Times New Roman"/>
          <w:sz w:val="24"/>
          <w:szCs w:val="24"/>
        </w:rPr>
        <w:t xml:space="preserve">reported under </w:t>
      </w:r>
      <w:r w:rsidR="00C279FF">
        <w:rPr>
          <w:rFonts w:ascii="Times New Roman" w:eastAsia="Calibri" w:hAnsi="Times New Roman" w:cs="Times New Roman"/>
          <w:sz w:val="24"/>
          <w:szCs w:val="24"/>
        </w:rPr>
        <w:t>S</w:t>
      </w:r>
      <w:r w:rsidR="00F767DC">
        <w:rPr>
          <w:rFonts w:ascii="Times New Roman" w:eastAsia="Calibri" w:hAnsi="Times New Roman" w:cs="Times New Roman"/>
          <w:sz w:val="24"/>
          <w:szCs w:val="24"/>
        </w:rPr>
        <w:t>ubdiv</w:t>
      </w:r>
      <w:r w:rsidR="00875E79">
        <w:rPr>
          <w:rFonts w:ascii="Times New Roman" w:eastAsia="Calibri" w:hAnsi="Times New Roman" w:cs="Times New Roman"/>
          <w:sz w:val="24"/>
          <w:szCs w:val="24"/>
        </w:rPr>
        <w:t>ision</w:t>
      </w:r>
      <w:r w:rsidR="00F767DC">
        <w:rPr>
          <w:rFonts w:ascii="Times New Roman" w:eastAsia="Calibri" w:hAnsi="Times New Roman" w:cs="Times New Roman"/>
          <w:sz w:val="24"/>
          <w:szCs w:val="24"/>
        </w:rPr>
        <w:t xml:space="preserve"> B</w:t>
      </w:r>
      <w:r w:rsidR="00875E79">
        <w:rPr>
          <w:rFonts w:ascii="Times New Roman" w:eastAsia="Calibri" w:hAnsi="Times New Roman" w:cs="Times New Roman"/>
          <w:sz w:val="24"/>
          <w:szCs w:val="24"/>
        </w:rPr>
        <w:t xml:space="preserve"> of </w:t>
      </w:r>
      <w:r w:rsidR="00C279FF">
        <w:rPr>
          <w:rFonts w:ascii="Times New Roman" w:eastAsia="Calibri" w:hAnsi="Times New Roman" w:cs="Times New Roman"/>
          <w:sz w:val="24"/>
          <w:szCs w:val="24"/>
        </w:rPr>
        <w:t>Div</w:t>
      </w:r>
      <w:r w:rsidR="00875E79">
        <w:rPr>
          <w:rFonts w:ascii="Times New Roman" w:eastAsia="Calibri" w:hAnsi="Times New Roman" w:cs="Times New Roman"/>
          <w:sz w:val="24"/>
          <w:szCs w:val="24"/>
        </w:rPr>
        <w:t>ision</w:t>
      </w:r>
      <w:r w:rsidR="00C279FF">
        <w:rPr>
          <w:rFonts w:ascii="Times New Roman" w:eastAsia="Calibri" w:hAnsi="Times New Roman" w:cs="Times New Roman"/>
          <w:sz w:val="24"/>
          <w:szCs w:val="24"/>
        </w:rPr>
        <w:t xml:space="preserve"> 3</w:t>
      </w:r>
      <w:r w:rsidR="00875E79">
        <w:rPr>
          <w:rFonts w:ascii="Times New Roman" w:eastAsia="Calibri" w:hAnsi="Times New Roman" w:cs="Times New Roman"/>
          <w:sz w:val="24"/>
          <w:szCs w:val="24"/>
        </w:rPr>
        <w:t xml:space="preserve"> of</w:t>
      </w:r>
      <w:r w:rsidR="00C279FF">
        <w:rPr>
          <w:rFonts w:ascii="Times New Roman" w:eastAsia="Calibri" w:hAnsi="Times New Roman" w:cs="Times New Roman"/>
          <w:sz w:val="24"/>
          <w:szCs w:val="24"/>
        </w:rPr>
        <w:t xml:space="preserve"> </w:t>
      </w:r>
      <w:r w:rsidR="00C279FF" w:rsidRPr="00C279FF">
        <w:rPr>
          <w:rFonts w:ascii="Times New Roman" w:eastAsia="Calibri" w:hAnsi="Times New Roman" w:cs="Times New Roman"/>
          <w:sz w:val="24"/>
          <w:szCs w:val="24"/>
        </w:rPr>
        <w:t xml:space="preserve">Part 2 of </w:t>
      </w:r>
      <w:r>
        <w:rPr>
          <w:rFonts w:ascii="Times New Roman" w:eastAsia="Calibri" w:hAnsi="Times New Roman" w:cs="Times New Roman"/>
          <w:sz w:val="24"/>
          <w:szCs w:val="24"/>
        </w:rPr>
        <w:t xml:space="preserve">the principal POFR </w:t>
      </w:r>
      <w:r w:rsidR="00C279FF">
        <w:rPr>
          <w:rFonts w:ascii="Times New Roman" w:eastAsia="Calibri" w:hAnsi="Times New Roman" w:cs="Times New Roman"/>
          <w:sz w:val="24"/>
          <w:szCs w:val="24"/>
        </w:rPr>
        <w:t xml:space="preserve">Rules </w:t>
      </w:r>
      <w:r>
        <w:rPr>
          <w:rFonts w:ascii="Times New Roman" w:eastAsia="Calibri" w:hAnsi="Times New Roman" w:cs="Times New Roman"/>
          <w:sz w:val="24"/>
          <w:szCs w:val="24"/>
        </w:rPr>
        <w:t xml:space="preserve">(with the </w:t>
      </w:r>
      <w:r w:rsidR="00C279FF">
        <w:rPr>
          <w:rFonts w:ascii="Times New Roman" w:eastAsia="Calibri" w:hAnsi="Times New Roman" w:cs="Times New Roman"/>
          <w:sz w:val="24"/>
          <w:szCs w:val="24"/>
        </w:rPr>
        <w:t xml:space="preserve">expectation that this data reporting field will be </w:t>
      </w:r>
      <w:r>
        <w:rPr>
          <w:rFonts w:ascii="Times New Roman" w:eastAsia="Calibri" w:hAnsi="Times New Roman" w:cs="Times New Roman"/>
          <w:sz w:val="24"/>
          <w:szCs w:val="24"/>
        </w:rPr>
        <w:t xml:space="preserve">automatically </w:t>
      </w:r>
      <w:r w:rsidR="00C279FF">
        <w:rPr>
          <w:rFonts w:ascii="Times New Roman" w:eastAsia="Calibri" w:hAnsi="Times New Roman" w:cs="Times New Roman"/>
          <w:sz w:val="24"/>
          <w:szCs w:val="24"/>
        </w:rPr>
        <w:t xml:space="preserve">populated </w:t>
      </w:r>
      <w:r>
        <w:rPr>
          <w:rFonts w:ascii="Times New Roman" w:eastAsia="Calibri" w:hAnsi="Times New Roman" w:cs="Times New Roman"/>
          <w:sz w:val="24"/>
          <w:szCs w:val="24"/>
        </w:rPr>
        <w:t xml:space="preserve">in the </w:t>
      </w:r>
      <w:r w:rsidR="00C279FF">
        <w:rPr>
          <w:rFonts w:ascii="Times New Roman" w:eastAsia="Calibri" w:hAnsi="Times New Roman" w:cs="Times New Roman"/>
          <w:sz w:val="24"/>
          <w:szCs w:val="24"/>
        </w:rPr>
        <w:t xml:space="preserve">Department’s online </w:t>
      </w:r>
      <w:r>
        <w:rPr>
          <w:rFonts w:ascii="Times New Roman" w:eastAsia="Calibri" w:hAnsi="Times New Roman" w:cs="Times New Roman"/>
          <w:sz w:val="24"/>
          <w:szCs w:val="24"/>
        </w:rPr>
        <w:t>reporting system).</w:t>
      </w:r>
    </w:p>
    <w:p w14:paraId="52F6700F" w14:textId="1A10D566" w:rsidR="00337820" w:rsidRDefault="00337820" w:rsidP="005932FD">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Subsection 19F(3) specifies that the</w:t>
      </w:r>
      <w:r w:rsidR="007950F7">
        <w:rPr>
          <w:rFonts w:ascii="Times New Roman" w:eastAsia="Calibri" w:hAnsi="Times New Roman" w:cs="Times New Roman"/>
          <w:sz w:val="24"/>
          <w:szCs w:val="24"/>
        </w:rPr>
        <w:t xml:space="preserve"> new</w:t>
      </w:r>
      <w:r>
        <w:rPr>
          <w:rFonts w:ascii="Times New Roman" w:eastAsia="Calibri" w:hAnsi="Times New Roman" w:cs="Times New Roman"/>
          <w:sz w:val="24"/>
          <w:szCs w:val="24"/>
        </w:rPr>
        <w:t xml:space="preserve"> annual reporting requirements </w:t>
      </w:r>
      <w:r w:rsidR="007950F7">
        <w:rPr>
          <w:rFonts w:ascii="Times New Roman" w:eastAsia="Calibri" w:hAnsi="Times New Roman" w:cs="Times New Roman"/>
          <w:sz w:val="24"/>
          <w:szCs w:val="24"/>
        </w:rPr>
        <w:t>apply</w:t>
      </w:r>
      <w:r w:rsidR="007950F7" w:rsidRPr="007950F7">
        <w:rPr>
          <w:rFonts w:ascii="Times New Roman" w:eastAsia="Calibri" w:hAnsi="Times New Roman" w:cs="Times New Roman"/>
          <w:sz w:val="24"/>
          <w:szCs w:val="24"/>
        </w:rPr>
        <w:t xml:space="preserve"> in relation to the 2022 calendar year and subsequent calendar years</w:t>
      </w:r>
      <w:r w:rsidR="007950F7">
        <w:rPr>
          <w:rFonts w:ascii="Times New Roman" w:eastAsia="Calibri" w:hAnsi="Times New Roman" w:cs="Times New Roman"/>
          <w:sz w:val="24"/>
          <w:szCs w:val="24"/>
        </w:rPr>
        <w:t xml:space="preserve">, so that they </w:t>
      </w:r>
      <w:r>
        <w:rPr>
          <w:rFonts w:ascii="Times New Roman" w:eastAsia="Calibri" w:hAnsi="Times New Roman" w:cs="Times New Roman"/>
          <w:sz w:val="24"/>
          <w:szCs w:val="24"/>
        </w:rPr>
        <w:t>do</w:t>
      </w:r>
      <w:r w:rsidR="002C4AAF">
        <w:rPr>
          <w:rFonts w:ascii="Times New Roman" w:eastAsia="Calibri" w:hAnsi="Times New Roman" w:cs="Times New Roman"/>
          <w:sz w:val="24"/>
          <w:szCs w:val="24"/>
        </w:rPr>
        <w:t xml:space="preserve"> not</w:t>
      </w:r>
      <w:r>
        <w:rPr>
          <w:rFonts w:ascii="Times New Roman" w:eastAsia="Calibri" w:hAnsi="Times New Roman" w:cs="Times New Roman"/>
          <w:sz w:val="24"/>
          <w:szCs w:val="24"/>
        </w:rPr>
        <w:t xml:space="preserve"> start until 2023</w:t>
      </w:r>
      <w:r w:rsidR="002C4AA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950F7">
        <w:rPr>
          <w:rFonts w:ascii="Times New Roman" w:eastAsia="Calibri" w:hAnsi="Times New Roman" w:cs="Times New Roman"/>
          <w:sz w:val="24"/>
          <w:szCs w:val="24"/>
        </w:rPr>
        <w:t xml:space="preserve">i.e. </w:t>
      </w:r>
      <w:r>
        <w:rPr>
          <w:rFonts w:ascii="Times New Roman" w:eastAsia="Calibri" w:hAnsi="Times New Roman" w:cs="Times New Roman"/>
          <w:sz w:val="24"/>
          <w:szCs w:val="24"/>
        </w:rPr>
        <w:t>after the first year of operation of the MSO</w:t>
      </w:r>
      <w:r w:rsidR="007950F7">
        <w:rPr>
          <w:rFonts w:ascii="Times New Roman" w:eastAsia="Calibri" w:hAnsi="Times New Roman" w:cs="Times New Roman"/>
          <w:sz w:val="24"/>
          <w:szCs w:val="24"/>
        </w:rPr>
        <w:t xml:space="preserve"> scheme</w:t>
      </w:r>
      <w:r>
        <w:rPr>
          <w:rFonts w:ascii="Times New Roman" w:eastAsia="Calibri" w:hAnsi="Times New Roman" w:cs="Times New Roman"/>
          <w:sz w:val="24"/>
          <w:szCs w:val="24"/>
        </w:rPr>
        <w:t xml:space="preserve">. </w:t>
      </w:r>
    </w:p>
    <w:p w14:paraId="47D52E3D" w14:textId="349E09AA" w:rsidR="00337820" w:rsidRDefault="00337820" w:rsidP="00337820">
      <w:pPr>
        <w:spacing w:after="0" w:line="276" w:lineRule="auto"/>
        <w:ind w:left="357" w:hanging="357"/>
        <w:jc w:val="both"/>
        <w:rPr>
          <w:rFonts w:ascii="Times New Roman" w:hAnsi="Times New Roman" w:cs="Times New Roman"/>
          <w:i/>
          <w:sz w:val="24"/>
          <w:szCs w:val="24"/>
        </w:rPr>
      </w:pPr>
      <w:r>
        <w:rPr>
          <w:rFonts w:ascii="Times New Roman" w:hAnsi="Times New Roman" w:cs="Times New Roman"/>
          <w:i/>
          <w:sz w:val="24"/>
          <w:szCs w:val="24"/>
        </w:rPr>
        <w:t>New section 19G  Reports</w:t>
      </w:r>
      <w:r w:rsidRPr="000C39A8">
        <w:rPr>
          <w:rFonts w:ascii="Times New Roman" w:hAnsi="Times New Roman" w:cs="Times New Roman"/>
          <w:i/>
          <w:sz w:val="24"/>
          <w:szCs w:val="24"/>
        </w:rPr>
        <w:t>—</w:t>
      </w:r>
      <w:r w:rsidR="00C60366">
        <w:rPr>
          <w:rFonts w:ascii="Times New Roman" w:hAnsi="Times New Roman" w:cs="Times New Roman"/>
          <w:i/>
          <w:sz w:val="24"/>
          <w:szCs w:val="24"/>
        </w:rPr>
        <w:t>New MSO entities</w:t>
      </w:r>
    </w:p>
    <w:p w14:paraId="6DA11A9E" w14:textId="2C55D250" w:rsidR="00F767DC" w:rsidRDefault="00F767DC" w:rsidP="00B73A4A">
      <w:pPr>
        <w:spacing w:before="240" w:after="100" w:afterAutospacing="1"/>
        <w:rPr>
          <w:rFonts w:ascii="Times New Roman" w:eastAsia="Calibri" w:hAnsi="Times New Roman" w:cs="Times New Roman"/>
          <w:sz w:val="24"/>
          <w:szCs w:val="24"/>
        </w:rPr>
      </w:pPr>
      <w:r w:rsidRPr="00F767DC">
        <w:rPr>
          <w:rFonts w:ascii="Times New Roman" w:eastAsia="Calibri" w:hAnsi="Times New Roman" w:cs="Times New Roman"/>
          <w:sz w:val="24"/>
          <w:szCs w:val="24"/>
        </w:rPr>
        <w:t>This item also inserts new section 19</w:t>
      </w:r>
      <w:r>
        <w:rPr>
          <w:rFonts w:ascii="Times New Roman" w:eastAsia="Calibri" w:hAnsi="Times New Roman" w:cs="Times New Roman"/>
          <w:sz w:val="24"/>
          <w:szCs w:val="24"/>
        </w:rPr>
        <w:t>G</w:t>
      </w:r>
      <w:r w:rsidRPr="00F767DC">
        <w:rPr>
          <w:rFonts w:ascii="Times New Roman" w:eastAsia="Calibri" w:hAnsi="Times New Roman" w:cs="Times New Roman"/>
          <w:sz w:val="24"/>
          <w:szCs w:val="24"/>
        </w:rPr>
        <w:t xml:space="preserve"> into the principal POFR Rules.</w:t>
      </w:r>
    </w:p>
    <w:p w14:paraId="7552673E" w14:textId="5AA2281F" w:rsidR="00B73A4A" w:rsidRDefault="00B73A4A" w:rsidP="00B73A4A">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 19G(1) </w:t>
      </w:r>
      <w:r w:rsidR="00F767DC">
        <w:rPr>
          <w:rFonts w:ascii="Times New Roman" w:eastAsia="Calibri" w:hAnsi="Times New Roman" w:cs="Times New Roman"/>
          <w:sz w:val="24"/>
          <w:szCs w:val="24"/>
        </w:rPr>
        <w:t xml:space="preserve">provides </w:t>
      </w:r>
      <w:r>
        <w:rPr>
          <w:rFonts w:ascii="Times New Roman" w:eastAsia="Calibri" w:hAnsi="Times New Roman" w:cs="Times New Roman"/>
          <w:sz w:val="24"/>
          <w:szCs w:val="24"/>
        </w:rPr>
        <w:t xml:space="preserve">that importers and refiners operating in Australia who have imported or refined more than the threshold value </w:t>
      </w:r>
      <w:r w:rsidR="00F767DC">
        <w:rPr>
          <w:rFonts w:ascii="Times New Roman" w:eastAsia="Calibri" w:hAnsi="Times New Roman" w:cs="Times New Roman"/>
          <w:sz w:val="24"/>
          <w:szCs w:val="24"/>
        </w:rPr>
        <w:t>of an</w:t>
      </w:r>
      <w:r>
        <w:rPr>
          <w:rFonts w:ascii="Times New Roman" w:eastAsia="Calibri" w:hAnsi="Times New Roman" w:cs="Times New Roman"/>
          <w:sz w:val="24"/>
          <w:szCs w:val="24"/>
        </w:rPr>
        <w:t xml:space="preserve"> MSO product </w:t>
      </w:r>
      <w:r w:rsidR="00F767DC">
        <w:rPr>
          <w:rFonts w:ascii="Times New Roman" w:eastAsia="Calibri" w:hAnsi="Times New Roman" w:cs="Times New Roman"/>
          <w:sz w:val="24"/>
          <w:szCs w:val="24"/>
        </w:rPr>
        <w:t xml:space="preserve">during a calendar year </w:t>
      </w:r>
      <w:r>
        <w:rPr>
          <w:rFonts w:ascii="Times New Roman" w:eastAsia="Calibri" w:hAnsi="Times New Roman" w:cs="Times New Roman"/>
          <w:sz w:val="24"/>
          <w:szCs w:val="24"/>
        </w:rPr>
        <w:t>(</w:t>
      </w:r>
      <w:r w:rsidR="00F767DC">
        <w:rPr>
          <w:rFonts w:ascii="Times New Roman" w:eastAsia="Calibri" w:hAnsi="Times New Roman" w:cs="Times New Roman"/>
          <w:sz w:val="24"/>
          <w:szCs w:val="24"/>
        </w:rPr>
        <w:t xml:space="preserve">i.e. </w:t>
      </w:r>
      <w:r>
        <w:rPr>
          <w:rFonts w:ascii="Times New Roman" w:eastAsia="Calibri" w:hAnsi="Times New Roman" w:cs="Times New Roman"/>
          <w:sz w:val="24"/>
          <w:szCs w:val="24"/>
        </w:rPr>
        <w:t>300 megalitres of gasoline, 350 megali</w:t>
      </w:r>
      <w:r w:rsidR="00BA5696">
        <w:rPr>
          <w:rFonts w:ascii="Times New Roman" w:eastAsia="Calibri" w:hAnsi="Times New Roman" w:cs="Times New Roman"/>
          <w:sz w:val="24"/>
          <w:szCs w:val="24"/>
        </w:rPr>
        <w:t>t</w:t>
      </w:r>
      <w:r>
        <w:rPr>
          <w:rFonts w:ascii="Times New Roman" w:eastAsia="Calibri" w:hAnsi="Times New Roman" w:cs="Times New Roman"/>
          <w:sz w:val="24"/>
          <w:szCs w:val="24"/>
        </w:rPr>
        <w:t>res of diesel and/or 400 megalitres of kerosene</w:t>
      </w:r>
      <w:r w:rsidR="00F767DC">
        <w:rPr>
          <w:rFonts w:ascii="Times New Roman" w:eastAsia="Calibri" w:hAnsi="Times New Roman" w:cs="Times New Roman"/>
          <w:sz w:val="24"/>
          <w:szCs w:val="24"/>
        </w:rPr>
        <w:t>, per</w:t>
      </w:r>
      <w:r>
        <w:rPr>
          <w:rFonts w:ascii="Times New Roman" w:eastAsia="Calibri" w:hAnsi="Times New Roman" w:cs="Times New Roman"/>
          <w:sz w:val="24"/>
          <w:szCs w:val="24"/>
        </w:rPr>
        <w:t xml:space="preserve"> section 16 of the </w:t>
      </w:r>
      <w:r w:rsidRPr="00F761A7">
        <w:rPr>
          <w:rFonts w:ascii="Times New Roman" w:eastAsia="Calibri" w:hAnsi="Times New Roman" w:cs="Times New Roman"/>
          <w:sz w:val="24"/>
          <w:szCs w:val="24"/>
        </w:rPr>
        <w:t>MSO Rules</w:t>
      </w:r>
      <w:r>
        <w:rPr>
          <w:rFonts w:ascii="Times New Roman" w:eastAsia="Calibri" w:hAnsi="Times New Roman" w:cs="Times New Roman"/>
          <w:sz w:val="24"/>
          <w:szCs w:val="24"/>
        </w:rPr>
        <w:t>), must report specified information to the Secretary within 21 days after the end of the calendar year.</w:t>
      </w:r>
      <w:r w:rsidRPr="005932F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This subsection </w:t>
      </w:r>
      <w:r w:rsidR="00F761A7">
        <w:rPr>
          <w:rFonts w:ascii="Times New Roman" w:eastAsia="Calibri" w:hAnsi="Times New Roman" w:cs="Times New Roman"/>
          <w:sz w:val="24"/>
          <w:szCs w:val="24"/>
        </w:rPr>
        <w:t xml:space="preserve">specifically applies to entities that </w:t>
      </w:r>
      <w:r w:rsidR="00E032F9">
        <w:rPr>
          <w:rFonts w:ascii="Times New Roman" w:eastAsia="Calibri" w:hAnsi="Times New Roman" w:cs="Times New Roman"/>
          <w:sz w:val="24"/>
          <w:szCs w:val="24"/>
        </w:rPr>
        <w:t>were not</w:t>
      </w:r>
      <w:r w:rsidR="00F761A7">
        <w:rPr>
          <w:rFonts w:ascii="Times New Roman" w:eastAsia="Calibri" w:hAnsi="Times New Roman" w:cs="Times New Roman"/>
          <w:sz w:val="24"/>
          <w:szCs w:val="24"/>
        </w:rPr>
        <w:t xml:space="preserve"> subject to the MSO</w:t>
      </w:r>
      <w:r w:rsidR="00E032F9">
        <w:rPr>
          <w:rFonts w:ascii="Times New Roman" w:eastAsia="Calibri" w:hAnsi="Times New Roman" w:cs="Times New Roman"/>
          <w:sz w:val="24"/>
          <w:szCs w:val="24"/>
        </w:rPr>
        <w:t xml:space="preserve"> during the </w:t>
      </w:r>
      <w:r w:rsidR="000A298C">
        <w:rPr>
          <w:rFonts w:ascii="Times New Roman" w:eastAsia="Calibri" w:hAnsi="Times New Roman" w:cs="Times New Roman"/>
          <w:sz w:val="24"/>
          <w:szCs w:val="24"/>
        </w:rPr>
        <w:t xml:space="preserve">financial </w:t>
      </w:r>
      <w:r w:rsidR="00E032F9">
        <w:rPr>
          <w:rFonts w:ascii="Times New Roman" w:eastAsia="Calibri" w:hAnsi="Times New Roman" w:cs="Times New Roman"/>
          <w:sz w:val="24"/>
          <w:szCs w:val="24"/>
        </w:rPr>
        <w:t>year</w:t>
      </w:r>
      <w:r w:rsidR="006D0798">
        <w:rPr>
          <w:rFonts w:ascii="Times New Roman" w:eastAsia="Calibri" w:hAnsi="Times New Roman" w:cs="Times New Roman"/>
          <w:sz w:val="24"/>
          <w:szCs w:val="24"/>
        </w:rPr>
        <w:t xml:space="preserve">, but </w:t>
      </w:r>
      <w:r w:rsidR="00E032F9">
        <w:rPr>
          <w:rFonts w:ascii="Times New Roman" w:eastAsia="Calibri" w:hAnsi="Times New Roman" w:cs="Times New Roman"/>
          <w:sz w:val="24"/>
          <w:szCs w:val="24"/>
        </w:rPr>
        <w:t>have refined or imported the quantities of MSO product that will trigger the MSO under section 10 of the FS Act</w:t>
      </w:r>
      <w:r w:rsidR="000A298C">
        <w:rPr>
          <w:rFonts w:ascii="Times New Roman" w:eastAsia="Calibri" w:hAnsi="Times New Roman" w:cs="Times New Roman"/>
          <w:sz w:val="24"/>
          <w:szCs w:val="24"/>
        </w:rPr>
        <w:t xml:space="preserve"> during the previous calendar year</w:t>
      </w:r>
      <w:r w:rsidR="006D0798">
        <w:rPr>
          <w:rFonts w:ascii="Times New Roman" w:eastAsia="Calibri" w:hAnsi="Times New Roman" w:cs="Times New Roman"/>
          <w:sz w:val="24"/>
          <w:szCs w:val="24"/>
        </w:rPr>
        <w:t xml:space="preserve">. </w:t>
      </w:r>
      <w:r w:rsidR="00567EC3">
        <w:rPr>
          <w:rFonts w:ascii="Times New Roman" w:eastAsia="Calibri" w:hAnsi="Times New Roman" w:cs="Times New Roman"/>
          <w:sz w:val="24"/>
          <w:szCs w:val="24"/>
        </w:rPr>
        <w:t xml:space="preserve">The report must be provided by the entity that undertook the </w:t>
      </w:r>
      <w:r w:rsidR="000C7702">
        <w:rPr>
          <w:rFonts w:ascii="Times New Roman" w:eastAsia="Calibri" w:hAnsi="Times New Roman" w:cs="Times New Roman"/>
          <w:sz w:val="24"/>
          <w:szCs w:val="24"/>
        </w:rPr>
        <w:t xml:space="preserve">covered activity of </w:t>
      </w:r>
      <w:r w:rsidR="00567EC3">
        <w:rPr>
          <w:rFonts w:ascii="Times New Roman" w:eastAsia="Calibri" w:hAnsi="Times New Roman" w:cs="Times New Roman"/>
          <w:sz w:val="24"/>
          <w:szCs w:val="24"/>
        </w:rPr>
        <w:t xml:space="preserve">refining or importing </w:t>
      </w:r>
      <w:r w:rsidR="000C7702">
        <w:rPr>
          <w:rFonts w:ascii="Times New Roman" w:eastAsia="Calibri" w:hAnsi="Times New Roman" w:cs="Times New Roman"/>
          <w:sz w:val="24"/>
          <w:szCs w:val="24"/>
        </w:rPr>
        <w:t xml:space="preserve">the MSO product </w:t>
      </w:r>
      <w:r w:rsidR="00567EC3">
        <w:rPr>
          <w:rFonts w:ascii="Times New Roman" w:eastAsia="Calibri" w:hAnsi="Times New Roman" w:cs="Times New Roman"/>
          <w:sz w:val="24"/>
          <w:szCs w:val="24"/>
        </w:rPr>
        <w:t>(as applicable)</w:t>
      </w:r>
      <w:r>
        <w:rPr>
          <w:rFonts w:ascii="Times New Roman" w:eastAsia="Calibri" w:hAnsi="Times New Roman" w:cs="Times New Roman"/>
          <w:sz w:val="24"/>
          <w:szCs w:val="24"/>
        </w:rPr>
        <w:t xml:space="preserve">. </w:t>
      </w:r>
    </w:p>
    <w:p w14:paraId="754FBBF1" w14:textId="12D773F0" w:rsidR="00B73A4A" w:rsidRDefault="00B73A4A" w:rsidP="00B73A4A">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Subsection 19</w:t>
      </w:r>
      <w:r w:rsidR="00682783">
        <w:rPr>
          <w:rFonts w:ascii="Times New Roman" w:eastAsia="Calibri" w:hAnsi="Times New Roman" w:cs="Times New Roman"/>
          <w:sz w:val="24"/>
          <w:szCs w:val="24"/>
        </w:rPr>
        <w:t>G</w:t>
      </w:r>
      <w:r>
        <w:rPr>
          <w:rFonts w:ascii="Times New Roman" w:eastAsia="Calibri" w:hAnsi="Times New Roman" w:cs="Times New Roman"/>
          <w:sz w:val="24"/>
          <w:szCs w:val="24"/>
        </w:rPr>
        <w:t xml:space="preserve">(2) </w:t>
      </w:r>
      <w:r w:rsidR="00E032F9" w:rsidRPr="00E032F9">
        <w:rPr>
          <w:rFonts w:ascii="Times New Roman" w:eastAsia="Calibri" w:hAnsi="Times New Roman" w:cs="Times New Roman"/>
          <w:sz w:val="24"/>
          <w:szCs w:val="24"/>
        </w:rPr>
        <w:t xml:space="preserve">sets out the specific categories of fuel information that </w:t>
      </w:r>
      <w:r w:rsidR="002C4AAF">
        <w:rPr>
          <w:rFonts w:ascii="Times New Roman" w:eastAsia="Calibri" w:hAnsi="Times New Roman" w:cs="Times New Roman"/>
          <w:sz w:val="24"/>
          <w:szCs w:val="24"/>
        </w:rPr>
        <w:t>is</w:t>
      </w:r>
      <w:r w:rsidR="002C4AAF" w:rsidRPr="00E032F9">
        <w:rPr>
          <w:rFonts w:ascii="Times New Roman" w:eastAsia="Calibri" w:hAnsi="Times New Roman" w:cs="Times New Roman"/>
          <w:sz w:val="24"/>
          <w:szCs w:val="24"/>
        </w:rPr>
        <w:t xml:space="preserve"> </w:t>
      </w:r>
      <w:r w:rsidR="00E032F9" w:rsidRPr="00E032F9">
        <w:rPr>
          <w:rFonts w:ascii="Times New Roman" w:eastAsia="Calibri" w:hAnsi="Times New Roman" w:cs="Times New Roman"/>
          <w:sz w:val="24"/>
          <w:szCs w:val="24"/>
        </w:rPr>
        <w:t xml:space="preserve">required to be reported </w:t>
      </w:r>
      <w:r w:rsidR="00E032F9">
        <w:rPr>
          <w:rFonts w:ascii="Times New Roman" w:eastAsia="Calibri" w:hAnsi="Times New Roman" w:cs="Times New Roman"/>
          <w:sz w:val="24"/>
          <w:szCs w:val="24"/>
        </w:rPr>
        <w:t>in the above circumstances</w:t>
      </w:r>
      <w:r>
        <w:rPr>
          <w:rFonts w:ascii="Times New Roman" w:eastAsia="Calibri" w:hAnsi="Times New Roman" w:cs="Times New Roman"/>
          <w:sz w:val="24"/>
          <w:szCs w:val="24"/>
        </w:rPr>
        <w:t>. This includes:</w:t>
      </w:r>
    </w:p>
    <w:p w14:paraId="518FDDB3" w14:textId="439C3B69" w:rsidR="006D0798" w:rsidRDefault="006D0798" w:rsidP="006D0798">
      <w:pPr>
        <w:pStyle w:val="ListParagraph"/>
        <w:numPr>
          <w:ilvl w:val="0"/>
          <w:numId w:val="38"/>
        </w:numPr>
        <w:spacing w:before="240" w:after="100" w:afterAutospacing="1"/>
        <w:rPr>
          <w:rFonts w:ascii="Times New Roman" w:eastAsia="Calibri" w:hAnsi="Times New Roman" w:cs="Times New Roman"/>
          <w:sz w:val="24"/>
          <w:szCs w:val="24"/>
        </w:rPr>
      </w:pPr>
      <w:r w:rsidRPr="00E44BD3">
        <w:rPr>
          <w:rFonts w:ascii="Times New Roman" w:eastAsia="Calibri" w:hAnsi="Times New Roman" w:cs="Times New Roman"/>
          <w:sz w:val="24"/>
          <w:szCs w:val="24"/>
        </w:rPr>
        <w:t>The total import and</w:t>
      </w:r>
      <w:r>
        <w:rPr>
          <w:rFonts w:ascii="Times New Roman" w:eastAsia="Calibri" w:hAnsi="Times New Roman" w:cs="Times New Roman"/>
          <w:sz w:val="24"/>
          <w:szCs w:val="24"/>
        </w:rPr>
        <w:t>/or</w:t>
      </w:r>
      <w:r w:rsidRPr="00E44BD3">
        <w:rPr>
          <w:rFonts w:ascii="Times New Roman" w:eastAsia="Calibri" w:hAnsi="Times New Roman" w:cs="Times New Roman"/>
          <w:sz w:val="24"/>
          <w:szCs w:val="24"/>
        </w:rPr>
        <w:t xml:space="preserve"> production volumes </w:t>
      </w:r>
      <w:r>
        <w:rPr>
          <w:rFonts w:ascii="Times New Roman" w:eastAsia="Calibri" w:hAnsi="Times New Roman" w:cs="Times New Roman"/>
          <w:sz w:val="24"/>
          <w:szCs w:val="24"/>
        </w:rPr>
        <w:t>for each MSO product (gasoline, kerosene and diesel) from the previous calendar year.</w:t>
      </w:r>
      <w:r w:rsidRPr="00492C0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These figures </w:t>
      </w:r>
      <w:r w:rsidR="00567EC3">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be reported to the nearest megalitre.</w:t>
      </w:r>
    </w:p>
    <w:p w14:paraId="1738F2F2" w14:textId="214D90F0" w:rsidR="006D0798" w:rsidRDefault="006D0798" w:rsidP="006D0798">
      <w:pPr>
        <w:pStyle w:val="ListParagraph"/>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This information will be </w:t>
      </w:r>
      <w:r w:rsidRPr="00E44BD3">
        <w:rPr>
          <w:rFonts w:ascii="Times New Roman" w:eastAsia="Calibri" w:hAnsi="Times New Roman" w:cs="Times New Roman"/>
          <w:sz w:val="24"/>
          <w:szCs w:val="24"/>
        </w:rPr>
        <w:t xml:space="preserve">used to </w:t>
      </w:r>
      <w:r w:rsidRPr="00975367">
        <w:rPr>
          <w:rFonts w:ascii="Times New Roman" w:eastAsia="Calibri" w:hAnsi="Times New Roman" w:cs="Times New Roman"/>
          <w:sz w:val="24"/>
          <w:szCs w:val="24"/>
        </w:rPr>
        <w:t xml:space="preserve">check whether the </w:t>
      </w:r>
      <w:r w:rsidR="00567EC3" w:rsidRPr="00567EC3">
        <w:rPr>
          <w:rFonts w:ascii="Times New Roman" w:eastAsia="Calibri" w:hAnsi="Times New Roman" w:cs="Times New Roman"/>
          <w:sz w:val="24"/>
          <w:szCs w:val="24"/>
        </w:rPr>
        <w:t xml:space="preserve">MSO trigger </w:t>
      </w:r>
      <w:r w:rsidRPr="00975367">
        <w:rPr>
          <w:rFonts w:ascii="Times New Roman" w:eastAsia="Calibri" w:hAnsi="Times New Roman" w:cs="Times New Roman"/>
          <w:sz w:val="24"/>
          <w:szCs w:val="24"/>
        </w:rPr>
        <w:t>thresholds</w:t>
      </w:r>
      <w:r>
        <w:rPr>
          <w:rFonts w:ascii="Times New Roman" w:eastAsia="Calibri" w:hAnsi="Times New Roman" w:cs="Times New Roman"/>
          <w:sz w:val="24"/>
          <w:szCs w:val="24"/>
        </w:rPr>
        <w:t xml:space="preserve"> have been exceeded </w:t>
      </w:r>
      <w:r w:rsidR="00567EC3">
        <w:rPr>
          <w:rFonts w:ascii="Times New Roman" w:eastAsia="Calibri" w:hAnsi="Times New Roman" w:cs="Times New Roman"/>
          <w:sz w:val="24"/>
          <w:szCs w:val="24"/>
        </w:rPr>
        <w:t>for each MSO product</w:t>
      </w:r>
      <w:r>
        <w:rPr>
          <w:rFonts w:ascii="Times New Roman" w:eastAsia="Calibri" w:hAnsi="Times New Roman" w:cs="Times New Roman"/>
          <w:sz w:val="24"/>
          <w:szCs w:val="24"/>
        </w:rPr>
        <w:t xml:space="preserve"> and</w:t>
      </w:r>
      <w:r w:rsidR="00567EC3">
        <w:rPr>
          <w:rFonts w:ascii="Times New Roman" w:eastAsia="Calibri" w:hAnsi="Times New Roman" w:cs="Times New Roman"/>
          <w:sz w:val="24"/>
          <w:szCs w:val="24"/>
        </w:rPr>
        <w:t>, if so,</w:t>
      </w:r>
      <w:r>
        <w:rPr>
          <w:rFonts w:ascii="Times New Roman" w:eastAsia="Calibri" w:hAnsi="Times New Roman" w:cs="Times New Roman"/>
          <w:sz w:val="24"/>
          <w:szCs w:val="24"/>
        </w:rPr>
        <w:t xml:space="preserve"> it will be used to </w:t>
      </w:r>
      <w:r w:rsidRPr="00E44BD3">
        <w:rPr>
          <w:rFonts w:ascii="Times New Roman" w:eastAsia="Calibri" w:hAnsi="Times New Roman" w:cs="Times New Roman"/>
          <w:sz w:val="24"/>
          <w:szCs w:val="24"/>
        </w:rPr>
        <w:t xml:space="preserve">calculate </w:t>
      </w:r>
      <w:r>
        <w:rPr>
          <w:rFonts w:ascii="Times New Roman" w:eastAsia="Calibri" w:hAnsi="Times New Roman" w:cs="Times New Roman"/>
          <w:sz w:val="24"/>
          <w:szCs w:val="24"/>
        </w:rPr>
        <w:t xml:space="preserve">the entity’s designated quantity for </w:t>
      </w:r>
      <w:r w:rsidRPr="00E44BD3">
        <w:rPr>
          <w:rFonts w:ascii="Times New Roman" w:eastAsia="Calibri" w:hAnsi="Times New Roman" w:cs="Times New Roman"/>
          <w:sz w:val="24"/>
          <w:szCs w:val="24"/>
        </w:rPr>
        <w:t xml:space="preserve">each MSO </w:t>
      </w:r>
      <w:r>
        <w:rPr>
          <w:rFonts w:ascii="Times New Roman" w:eastAsia="Calibri" w:hAnsi="Times New Roman" w:cs="Times New Roman"/>
          <w:sz w:val="24"/>
          <w:szCs w:val="24"/>
        </w:rPr>
        <w:t>product</w:t>
      </w:r>
      <w:r w:rsidR="00567EC3" w:rsidRPr="00567EC3">
        <w:t xml:space="preserve"> </w:t>
      </w:r>
      <w:r w:rsidR="00567EC3" w:rsidRPr="00567EC3">
        <w:rPr>
          <w:rFonts w:ascii="Times New Roman" w:eastAsia="Calibri" w:hAnsi="Times New Roman" w:cs="Times New Roman"/>
          <w:sz w:val="24"/>
          <w:szCs w:val="24"/>
        </w:rPr>
        <w:t>in accordance with section 1</w:t>
      </w:r>
      <w:r w:rsidR="000A298C">
        <w:rPr>
          <w:rFonts w:ascii="Times New Roman" w:eastAsia="Calibri" w:hAnsi="Times New Roman" w:cs="Times New Roman"/>
          <w:sz w:val="24"/>
          <w:szCs w:val="24"/>
        </w:rPr>
        <w:t>0</w:t>
      </w:r>
      <w:r w:rsidR="00567EC3" w:rsidRPr="00567EC3">
        <w:rPr>
          <w:rFonts w:ascii="Times New Roman" w:eastAsia="Calibri" w:hAnsi="Times New Roman" w:cs="Times New Roman"/>
          <w:sz w:val="24"/>
          <w:szCs w:val="24"/>
        </w:rPr>
        <w:t xml:space="preserve"> of the FS Act</w:t>
      </w:r>
      <w:r>
        <w:rPr>
          <w:rFonts w:ascii="Times New Roman" w:eastAsia="Calibri" w:hAnsi="Times New Roman" w:cs="Times New Roman"/>
          <w:sz w:val="24"/>
          <w:szCs w:val="24"/>
        </w:rPr>
        <w:t>.</w:t>
      </w:r>
      <w:r w:rsidRPr="00E44BD3">
        <w:rPr>
          <w:rFonts w:ascii="Times New Roman" w:eastAsia="Calibri" w:hAnsi="Times New Roman" w:cs="Times New Roman"/>
          <w:sz w:val="24"/>
          <w:szCs w:val="24"/>
        </w:rPr>
        <w:t xml:space="preserve"> </w:t>
      </w:r>
    </w:p>
    <w:p w14:paraId="162816CC" w14:textId="79EE4C52" w:rsidR="00B73A4A" w:rsidRDefault="006D0798" w:rsidP="006D0798">
      <w:pPr>
        <w:pStyle w:val="ListParagraph"/>
        <w:numPr>
          <w:ilvl w:val="0"/>
          <w:numId w:val="38"/>
        </w:numPr>
        <w:spacing w:before="240" w:after="100" w:afterAutospacing="1"/>
        <w:rPr>
          <w:rFonts w:ascii="Times New Roman" w:eastAsia="Calibri" w:hAnsi="Times New Roman" w:cs="Times New Roman"/>
          <w:sz w:val="24"/>
          <w:szCs w:val="24"/>
        </w:rPr>
      </w:pPr>
      <w:r w:rsidRPr="006D0798">
        <w:rPr>
          <w:rFonts w:ascii="Times New Roman" w:eastAsia="Calibri" w:hAnsi="Times New Roman" w:cs="Times New Roman"/>
          <w:sz w:val="24"/>
          <w:szCs w:val="24"/>
        </w:rPr>
        <w:lastRenderedPageBreak/>
        <w:t xml:space="preserve">Storage information regarding the total storage capacity for each MSO product as well as the breakdown of the storage capacity at each location.  </w:t>
      </w:r>
    </w:p>
    <w:p w14:paraId="27E88984" w14:textId="69B36E72" w:rsidR="006D0798" w:rsidRDefault="006D0798" w:rsidP="006D0798">
      <w:pPr>
        <w:pStyle w:val="ListParagraph"/>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By collecting this information the Department will gain a greater understanding of the overall </w:t>
      </w:r>
      <w:r w:rsidR="00567EC3">
        <w:rPr>
          <w:rFonts w:ascii="Times New Roman" w:eastAsia="Calibri" w:hAnsi="Times New Roman" w:cs="Times New Roman"/>
          <w:sz w:val="24"/>
          <w:szCs w:val="24"/>
        </w:rPr>
        <w:t xml:space="preserve">fuel </w:t>
      </w:r>
      <w:r>
        <w:rPr>
          <w:rFonts w:ascii="Times New Roman" w:eastAsia="Calibri" w:hAnsi="Times New Roman" w:cs="Times New Roman"/>
          <w:sz w:val="24"/>
          <w:szCs w:val="24"/>
        </w:rPr>
        <w:t xml:space="preserve">storage capacity, and therefore fuel security capacity, for Australia. </w:t>
      </w:r>
    </w:p>
    <w:p w14:paraId="18FA5C72" w14:textId="398EAD1F" w:rsidR="006D0798" w:rsidRDefault="006D0798" w:rsidP="006D0798">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Paragraph 19G(2)(a) specifies that the total import values should be based </w:t>
      </w:r>
      <w:r w:rsidR="00E032F9">
        <w:rPr>
          <w:rFonts w:ascii="Times New Roman" w:eastAsia="Calibri" w:hAnsi="Times New Roman" w:cs="Times New Roman"/>
          <w:sz w:val="24"/>
          <w:szCs w:val="24"/>
        </w:rPr>
        <w:t xml:space="preserve">on </w:t>
      </w:r>
      <w:r>
        <w:rPr>
          <w:rFonts w:ascii="Times New Roman" w:eastAsia="Calibri" w:hAnsi="Times New Roman" w:cs="Times New Roman"/>
          <w:sz w:val="24"/>
          <w:szCs w:val="24"/>
        </w:rPr>
        <w:t>the import declaration (N10) and the import declaration out of warehouse (N30) forms provided to the Australian Border Force (ABF). This can then be cross-checked against the data that ABF share</w:t>
      </w:r>
      <w:r w:rsidR="00E032F9">
        <w:rPr>
          <w:rFonts w:ascii="Times New Roman" w:eastAsia="Calibri" w:hAnsi="Times New Roman" w:cs="Times New Roman"/>
          <w:sz w:val="24"/>
          <w:szCs w:val="24"/>
        </w:rPr>
        <w:t>s</w:t>
      </w:r>
      <w:r>
        <w:rPr>
          <w:rFonts w:ascii="Times New Roman" w:eastAsia="Calibri" w:hAnsi="Times New Roman" w:cs="Times New Roman"/>
          <w:sz w:val="24"/>
          <w:szCs w:val="24"/>
        </w:rPr>
        <w:t xml:space="preserve"> with the Department</w:t>
      </w:r>
      <w:r w:rsidR="002C4AAF">
        <w:rPr>
          <w:rFonts w:ascii="Times New Roman" w:eastAsia="Calibri" w:hAnsi="Times New Roman" w:cs="Times New Roman"/>
          <w:sz w:val="24"/>
          <w:szCs w:val="24"/>
        </w:rPr>
        <w:t>, as permitted by section 31 of the POFR Act</w:t>
      </w:r>
      <w:r>
        <w:rPr>
          <w:rFonts w:ascii="Times New Roman" w:eastAsia="Calibri" w:hAnsi="Times New Roman" w:cs="Times New Roman"/>
          <w:sz w:val="24"/>
          <w:szCs w:val="24"/>
        </w:rPr>
        <w:t xml:space="preserve">. </w:t>
      </w:r>
    </w:p>
    <w:p w14:paraId="2F658ACE" w14:textId="1494B309" w:rsidR="00B73A4A" w:rsidRDefault="00B73A4A" w:rsidP="00B73A4A">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 19G(3) specifies that the </w:t>
      </w:r>
      <w:r w:rsidR="00E032F9">
        <w:rPr>
          <w:rFonts w:ascii="Times New Roman" w:eastAsia="Calibri" w:hAnsi="Times New Roman" w:cs="Times New Roman"/>
          <w:sz w:val="24"/>
          <w:szCs w:val="24"/>
        </w:rPr>
        <w:t xml:space="preserve">new </w:t>
      </w:r>
      <w:r>
        <w:rPr>
          <w:rFonts w:ascii="Times New Roman" w:eastAsia="Calibri" w:hAnsi="Times New Roman" w:cs="Times New Roman"/>
          <w:sz w:val="24"/>
          <w:szCs w:val="24"/>
        </w:rPr>
        <w:t xml:space="preserve">reporting requirements </w:t>
      </w:r>
      <w:r w:rsidR="00E032F9" w:rsidRPr="00E032F9">
        <w:rPr>
          <w:rFonts w:ascii="Times New Roman" w:eastAsia="Calibri" w:hAnsi="Times New Roman" w:cs="Times New Roman"/>
          <w:sz w:val="24"/>
          <w:szCs w:val="24"/>
        </w:rPr>
        <w:t xml:space="preserve">apply in relation to the 2022 calendar year and subsequent calendar years, so that they </w:t>
      </w:r>
      <w:r>
        <w:rPr>
          <w:rFonts w:ascii="Times New Roman" w:eastAsia="Calibri" w:hAnsi="Times New Roman" w:cs="Times New Roman"/>
          <w:sz w:val="24"/>
          <w:szCs w:val="24"/>
        </w:rPr>
        <w:t>don’t start until 2023</w:t>
      </w:r>
      <w:r w:rsidR="00E032F9">
        <w:rPr>
          <w:rFonts w:ascii="Times New Roman" w:eastAsia="Calibri" w:hAnsi="Times New Roman" w:cs="Times New Roman"/>
          <w:sz w:val="24"/>
          <w:szCs w:val="24"/>
        </w:rPr>
        <w:t xml:space="preserve"> i.e.</w:t>
      </w:r>
      <w:r>
        <w:rPr>
          <w:rFonts w:ascii="Times New Roman" w:eastAsia="Calibri" w:hAnsi="Times New Roman" w:cs="Times New Roman"/>
          <w:sz w:val="24"/>
          <w:szCs w:val="24"/>
        </w:rPr>
        <w:t xml:space="preserve"> after the first year of operation of the MSO</w:t>
      </w:r>
      <w:r w:rsidR="00E032F9">
        <w:rPr>
          <w:rFonts w:ascii="Times New Roman" w:eastAsia="Calibri" w:hAnsi="Times New Roman" w:cs="Times New Roman"/>
          <w:sz w:val="24"/>
          <w:szCs w:val="24"/>
        </w:rPr>
        <w:t xml:space="preserve"> scheme</w:t>
      </w:r>
      <w:r>
        <w:rPr>
          <w:rFonts w:ascii="Times New Roman" w:eastAsia="Calibri" w:hAnsi="Times New Roman" w:cs="Times New Roman"/>
          <w:sz w:val="24"/>
          <w:szCs w:val="24"/>
        </w:rPr>
        <w:t xml:space="preserve">. </w:t>
      </w:r>
    </w:p>
    <w:p w14:paraId="2CA58314" w14:textId="3CB9DB64" w:rsidR="006D0798" w:rsidRDefault="006D0798" w:rsidP="006D0798">
      <w:pPr>
        <w:spacing w:after="0" w:line="276" w:lineRule="auto"/>
        <w:ind w:left="357" w:hanging="357"/>
        <w:jc w:val="both"/>
        <w:rPr>
          <w:rFonts w:ascii="Times New Roman" w:hAnsi="Times New Roman" w:cs="Times New Roman"/>
          <w:i/>
          <w:sz w:val="24"/>
          <w:szCs w:val="24"/>
        </w:rPr>
      </w:pPr>
      <w:r>
        <w:rPr>
          <w:rFonts w:ascii="Times New Roman" w:hAnsi="Times New Roman" w:cs="Times New Roman"/>
          <w:i/>
          <w:sz w:val="24"/>
          <w:szCs w:val="24"/>
        </w:rPr>
        <w:t>New section 19H  Reports</w:t>
      </w:r>
      <w:r w:rsidRPr="000C39A8">
        <w:rPr>
          <w:rFonts w:ascii="Times New Roman" w:hAnsi="Times New Roman" w:cs="Times New Roman"/>
          <w:i/>
          <w:sz w:val="24"/>
          <w:szCs w:val="24"/>
        </w:rPr>
        <w:t>—</w:t>
      </w:r>
      <w:r>
        <w:rPr>
          <w:rFonts w:ascii="Times New Roman" w:hAnsi="Times New Roman" w:cs="Times New Roman"/>
          <w:i/>
          <w:sz w:val="24"/>
          <w:szCs w:val="24"/>
        </w:rPr>
        <w:t>Intermediary market participants</w:t>
      </w:r>
    </w:p>
    <w:p w14:paraId="78AC05EC" w14:textId="5574F356" w:rsidR="006D0798" w:rsidRDefault="006D0798" w:rsidP="006D0798">
      <w:pPr>
        <w:spacing w:before="240" w:after="100" w:afterAutospacing="1"/>
        <w:rPr>
          <w:rFonts w:ascii="Times New Roman" w:eastAsia="Calibri" w:hAnsi="Times New Roman" w:cs="Times New Roman"/>
          <w:sz w:val="24"/>
          <w:szCs w:val="24"/>
        </w:rPr>
      </w:pPr>
      <w:r w:rsidRPr="00907B76">
        <w:rPr>
          <w:rFonts w:ascii="Times New Roman" w:eastAsia="Calibri" w:hAnsi="Times New Roman" w:cs="Times New Roman"/>
          <w:sz w:val="24"/>
          <w:szCs w:val="24"/>
        </w:rPr>
        <w:t>This i</w:t>
      </w:r>
      <w:r>
        <w:rPr>
          <w:rFonts w:ascii="Times New Roman" w:eastAsia="Calibri" w:hAnsi="Times New Roman" w:cs="Times New Roman"/>
          <w:sz w:val="24"/>
          <w:szCs w:val="24"/>
        </w:rPr>
        <w:t>tem also inserts new section 19H</w:t>
      </w:r>
      <w:r w:rsidRPr="00907B76">
        <w:rPr>
          <w:rFonts w:ascii="Times New Roman" w:eastAsia="Calibri" w:hAnsi="Times New Roman" w:cs="Times New Roman"/>
          <w:sz w:val="24"/>
          <w:szCs w:val="24"/>
        </w:rPr>
        <w:t xml:space="preserve"> into the principal POFR Rules.</w:t>
      </w:r>
      <w:r>
        <w:rPr>
          <w:rFonts w:ascii="Times New Roman" w:eastAsia="Calibri" w:hAnsi="Times New Roman" w:cs="Times New Roman"/>
          <w:sz w:val="24"/>
          <w:szCs w:val="24"/>
        </w:rPr>
        <w:t xml:space="preserve"> </w:t>
      </w:r>
    </w:p>
    <w:p w14:paraId="4C0B59F0" w14:textId="6E0F89BD" w:rsidR="00F41784" w:rsidRDefault="00074186" w:rsidP="002A43A8">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Under s</w:t>
      </w:r>
      <w:r w:rsidR="00E66F85">
        <w:rPr>
          <w:rFonts w:ascii="Times New Roman" w:eastAsia="Calibri" w:hAnsi="Times New Roman" w:cs="Times New Roman"/>
          <w:sz w:val="24"/>
          <w:szCs w:val="24"/>
        </w:rPr>
        <w:t>ubsection 19H</w:t>
      </w:r>
      <w:r w:rsidR="006D0798">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the owner of stocks of MSO products that </w:t>
      </w:r>
      <w:r w:rsidR="002A43A8">
        <w:rPr>
          <w:rFonts w:ascii="Times New Roman" w:eastAsia="Calibri" w:hAnsi="Times New Roman" w:cs="Times New Roman"/>
          <w:sz w:val="24"/>
          <w:szCs w:val="24"/>
        </w:rPr>
        <w:t>have been stored</w:t>
      </w:r>
      <w:r w:rsidR="00F41784">
        <w:rPr>
          <w:rFonts w:ascii="Times New Roman" w:eastAsia="Calibri" w:hAnsi="Times New Roman" w:cs="Times New Roman"/>
          <w:sz w:val="24"/>
          <w:szCs w:val="24"/>
        </w:rPr>
        <w:t>,</w:t>
      </w:r>
      <w:r w:rsidR="002A43A8">
        <w:rPr>
          <w:rFonts w:ascii="Times New Roman" w:eastAsia="Calibri" w:hAnsi="Times New Roman" w:cs="Times New Roman"/>
          <w:sz w:val="24"/>
          <w:szCs w:val="24"/>
        </w:rPr>
        <w:t xml:space="preserve"> </w:t>
      </w:r>
      <w:r w:rsidR="00F41784" w:rsidRPr="00F41784">
        <w:rPr>
          <w:rFonts w:ascii="Times New Roman" w:eastAsia="Calibri" w:hAnsi="Times New Roman" w:cs="Times New Roman"/>
          <w:sz w:val="24"/>
          <w:szCs w:val="24"/>
        </w:rPr>
        <w:t>in the previous 6-month period (i.e. 1 July – 31 December or 1 January – 30 June)</w:t>
      </w:r>
      <w:r w:rsidR="00F41784">
        <w:rPr>
          <w:rFonts w:ascii="Times New Roman" w:eastAsia="Calibri" w:hAnsi="Times New Roman" w:cs="Times New Roman"/>
          <w:sz w:val="24"/>
          <w:szCs w:val="24"/>
        </w:rPr>
        <w:t>,</w:t>
      </w:r>
      <w:r w:rsidR="00F41784" w:rsidRPr="00F41784">
        <w:rPr>
          <w:rFonts w:ascii="Times New Roman" w:eastAsia="Calibri" w:hAnsi="Times New Roman" w:cs="Times New Roman"/>
          <w:sz w:val="24"/>
          <w:szCs w:val="24"/>
        </w:rPr>
        <w:t xml:space="preserve"> </w:t>
      </w:r>
      <w:r w:rsidR="002A43A8">
        <w:rPr>
          <w:rFonts w:ascii="Times New Roman" w:eastAsia="Calibri" w:hAnsi="Times New Roman" w:cs="Times New Roman"/>
          <w:sz w:val="24"/>
          <w:szCs w:val="24"/>
        </w:rPr>
        <w:t xml:space="preserve">by an entity </w:t>
      </w:r>
      <w:r w:rsidR="002C4AAF">
        <w:rPr>
          <w:rFonts w:ascii="Times New Roman" w:eastAsia="Calibri" w:hAnsi="Times New Roman" w:cs="Times New Roman"/>
          <w:sz w:val="24"/>
          <w:szCs w:val="24"/>
        </w:rPr>
        <w:t xml:space="preserve">that </w:t>
      </w:r>
      <w:r w:rsidR="002A43A8">
        <w:rPr>
          <w:rFonts w:ascii="Times New Roman" w:eastAsia="Calibri" w:hAnsi="Times New Roman" w:cs="Times New Roman"/>
          <w:sz w:val="24"/>
          <w:szCs w:val="24"/>
        </w:rPr>
        <w:t>is not subject to the MSO for those products</w:t>
      </w:r>
      <w:r w:rsidR="002C4AAF">
        <w:rPr>
          <w:rFonts w:ascii="Times New Roman" w:eastAsia="Calibri" w:hAnsi="Times New Roman" w:cs="Times New Roman"/>
          <w:sz w:val="24"/>
          <w:szCs w:val="24"/>
        </w:rPr>
        <w:t xml:space="preserve"> for another entity that is subject to the MSO</w:t>
      </w:r>
      <w:r w:rsidR="00F41784">
        <w:rPr>
          <w:rFonts w:ascii="Times New Roman" w:eastAsia="Calibri" w:hAnsi="Times New Roman" w:cs="Times New Roman"/>
          <w:sz w:val="24"/>
          <w:szCs w:val="24"/>
        </w:rPr>
        <w:t xml:space="preserve"> – and such storage is</w:t>
      </w:r>
      <w:r>
        <w:rPr>
          <w:rFonts w:ascii="Times New Roman" w:eastAsia="Calibri" w:hAnsi="Times New Roman" w:cs="Times New Roman"/>
          <w:sz w:val="24"/>
          <w:szCs w:val="24"/>
        </w:rPr>
        <w:t xml:space="preserve"> </w:t>
      </w:r>
      <w:r w:rsidR="00F41784">
        <w:rPr>
          <w:rFonts w:ascii="Times New Roman" w:eastAsia="Calibri" w:hAnsi="Times New Roman" w:cs="Times New Roman"/>
          <w:sz w:val="24"/>
          <w:szCs w:val="24"/>
        </w:rPr>
        <w:t>pursuant to a legally enforceable arrangement</w:t>
      </w:r>
      <w:r w:rsidR="00F41784" w:rsidRPr="00F41784">
        <w:rPr>
          <w:rFonts w:ascii="Times New Roman" w:eastAsia="Calibri" w:hAnsi="Times New Roman" w:cs="Times New Roman"/>
          <w:sz w:val="24"/>
          <w:szCs w:val="24"/>
        </w:rPr>
        <w:t xml:space="preserve"> under section 23 and/or section 24 of the FS Act</w:t>
      </w:r>
      <w:r w:rsidR="00F41784">
        <w:rPr>
          <w:rFonts w:ascii="Times New Roman" w:eastAsia="Calibri" w:hAnsi="Times New Roman" w:cs="Times New Roman"/>
          <w:sz w:val="24"/>
          <w:szCs w:val="24"/>
        </w:rPr>
        <w:t xml:space="preserve"> – </w:t>
      </w:r>
      <w:r w:rsidR="002A43A8">
        <w:rPr>
          <w:rFonts w:ascii="Times New Roman" w:eastAsia="Calibri" w:hAnsi="Times New Roman" w:cs="Times New Roman"/>
          <w:sz w:val="24"/>
          <w:szCs w:val="24"/>
        </w:rPr>
        <w:t>must report specified information to the Secretary</w:t>
      </w:r>
      <w:r w:rsidR="00112E00">
        <w:rPr>
          <w:rFonts w:ascii="Times New Roman" w:eastAsia="Calibri" w:hAnsi="Times New Roman" w:cs="Times New Roman"/>
          <w:sz w:val="24"/>
          <w:szCs w:val="24"/>
        </w:rPr>
        <w:t xml:space="preserve"> within 21 days </w:t>
      </w:r>
      <w:r w:rsidR="00C052EF">
        <w:rPr>
          <w:rFonts w:ascii="Times New Roman" w:eastAsia="Calibri" w:hAnsi="Times New Roman" w:cs="Times New Roman"/>
          <w:sz w:val="24"/>
          <w:szCs w:val="24"/>
        </w:rPr>
        <w:t>from</w:t>
      </w:r>
      <w:r w:rsidR="00112E00">
        <w:rPr>
          <w:rFonts w:ascii="Times New Roman" w:eastAsia="Calibri" w:hAnsi="Times New Roman" w:cs="Times New Roman"/>
          <w:sz w:val="24"/>
          <w:szCs w:val="24"/>
        </w:rPr>
        <w:t xml:space="preserve"> the end of the </w:t>
      </w:r>
      <w:r w:rsidR="00F41784">
        <w:rPr>
          <w:rFonts w:ascii="Times New Roman" w:eastAsia="Calibri" w:hAnsi="Times New Roman" w:cs="Times New Roman"/>
          <w:sz w:val="24"/>
          <w:szCs w:val="24"/>
        </w:rPr>
        <w:t>relevant</w:t>
      </w:r>
      <w:r w:rsidR="002A43A8">
        <w:rPr>
          <w:rFonts w:ascii="Times New Roman" w:eastAsia="Calibri" w:hAnsi="Times New Roman" w:cs="Times New Roman"/>
          <w:sz w:val="24"/>
          <w:szCs w:val="24"/>
        </w:rPr>
        <w:t xml:space="preserve"> </w:t>
      </w:r>
      <w:r w:rsidR="00112E00">
        <w:rPr>
          <w:rFonts w:ascii="Times New Roman" w:eastAsia="Calibri" w:hAnsi="Times New Roman" w:cs="Times New Roman"/>
          <w:sz w:val="24"/>
          <w:szCs w:val="24"/>
        </w:rPr>
        <w:t xml:space="preserve">6-month period. </w:t>
      </w:r>
    </w:p>
    <w:p w14:paraId="7D2B4B7C" w14:textId="65240AAC" w:rsidR="00225E11" w:rsidRDefault="00225E11" w:rsidP="00225E11">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 19H(2) </w:t>
      </w:r>
      <w:r w:rsidR="00074186" w:rsidRPr="00074186">
        <w:rPr>
          <w:rFonts w:ascii="Times New Roman" w:eastAsia="Calibri" w:hAnsi="Times New Roman" w:cs="Times New Roman"/>
          <w:sz w:val="24"/>
          <w:szCs w:val="24"/>
        </w:rPr>
        <w:t xml:space="preserve">sets out the specific categories of fuel information that </w:t>
      </w:r>
      <w:r w:rsidR="002C4AAF">
        <w:rPr>
          <w:rFonts w:ascii="Times New Roman" w:eastAsia="Calibri" w:hAnsi="Times New Roman" w:cs="Times New Roman"/>
          <w:sz w:val="24"/>
          <w:szCs w:val="24"/>
        </w:rPr>
        <w:t>is</w:t>
      </w:r>
      <w:r w:rsidR="002C4AAF" w:rsidRPr="00074186">
        <w:rPr>
          <w:rFonts w:ascii="Times New Roman" w:eastAsia="Calibri" w:hAnsi="Times New Roman" w:cs="Times New Roman"/>
          <w:sz w:val="24"/>
          <w:szCs w:val="24"/>
        </w:rPr>
        <w:t xml:space="preserve"> </w:t>
      </w:r>
      <w:r w:rsidR="00074186" w:rsidRPr="00074186">
        <w:rPr>
          <w:rFonts w:ascii="Times New Roman" w:eastAsia="Calibri" w:hAnsi="Times New Roman" w:cs="Times New Roman"/>
          <w:sz w:val="24"/>
          <w:szCs w:val="24"/>
        </w:rPr>
        <w:t>required to be reported in the above circumstances</w:t>
      </w:r>
      <w:r>
        <w:rPr>
          <w:rFonts w:ascii="Times New Roman" w:eastAsia="Calibri" w:hAnsi="Times New Roman" w:cs="Times New Roman"/>
          <w:sz w:val="24"/>
          <w:szCs w:val="24"/>
        </w:rPr>
        <w:t>. This includes:</w:t>
      </w:r>
    </w:p>
    <w:p w14:paraId="4A029C66" w14:textId="45555D21" w:rsidR="00972A22" w:rsidRDefault="00225E11" w:rsidP="00074186">
      <w:pPr>
        <w:pStyle w:val="ListParagraph"/>
        <w:numPr>
          <w:ilvl w:val="0"/>
          <w:numId w:val="38"/>
        </w:numPr>
        <w:spacing w:before="240" w:after="100" w:afterAutospacing="1"/>
        <w:rPr>
          <w:rFonts w:ascii="Times New Roman" w:eastAsia="Calibri" w:hAnsi="Times New Roman" w:cs="Times New Roman"/>
          <w:sz w:val="24"/>
          <w:szCs w:val="24"/>
        </w:rPr>
      </w:pPr>
      <w:r w:rsidRPr="00972A22">
        <w:rPr>
          <w:rFonts w:ascii="Times New Roman" w:eastAsia="Calibri" w:hAnsi="Times New Roman" w:cs="Times New Roman"/>
          <w:sz w:val="24"/>
          <w:szCs w:val="24"/>
        </w:rPr>
        <w:t>Storage information regarding the total storage capacity for each MSO product, the location</w:t>
      </w:r>
      <w:r w:rsidR="0019182C">
        <w:rPr>
          <w:rFonts w:ascii="Times New Roman" w:eastAsia="Calibri" w:hAnsi="Times New Roman" w:cs="Times New Roman"/>
          <w:sz w:val="24"/>
          <w:szCs w:val="24"/>
        </w:rPr>
        <w:t xml:space="preserve"> of any storage site the entity</w:t>
      </w:r>
      <w:r w:rsidR="009B7430">
        <w:rPr>
          <w:rFonts w:ascii="Times New Roman" w:eastAsia="Calibri" w:hAnsi="Times New Roman" w:cs="Times New Roman"/>
          <w:sz w:val="24"/>
          <w:szCs w:val="24"/>
        </w:rPr>
        <w:t xml:space="preserve"> undertaking the covered activity of storing stocks </w:t>
      </w:r>
      <w:r w:rsidRPr="00972A22">
        <w:rPr>
          <w:rFonts w:ascii="Times New Roman" w:eastAsia="Calibri" w:hAnsi="Times New Roman" w:cs="Times New Roman"/>
          <w:sz w:val="24"/>
          <w:szCs w:val="24"/>
        </w:rPr>
        <w:t>owns, leases or uses, the breakdown of the storage capacity for each MSO product at each site, whether the site is owned, leased or used</w:t>
      </w:r>
      <w:r w:rsidR="006F72A4">
        <w:rPr>
          <w:rFonts w:ascii="Times New Roman" w:eastAsia="Calibri" w:hAnsi="Times New Roman" w:cs="Times New Roman"/>
          <w:sz w:val="24"/>
          <w:szCs w:val="24"/>
        </w:rPr>
        <w:t>,</w:t>
      </w:r>
      <w:r w:rsidRPr="00972A22">
        <w:rPr>
          <w:rFonts w:ascii="Times New Roman" w:eastAsia="Calibri" w:hAnsi="Times New Roman" w:cs="Times New Roman"/>
          <w:sz w:val="24"/>
          <w:szCs w:val="24"/>
        </w:rPr>
        <w:t xml:space="preserve"> and whether the site is open-access </w:t>
      </w:r>
      <w:r w:rsidR="00074186">
        <w:rPr>
          <w:rFonts w:ascii="Times New Roman" w:eastAsia="Calibri" w:hAnsi="Times New Roman" w:cs="Times New Roman"/>
          <w:sz w:val="24"/>
          <w:szCs w:val="24"/>
        </w:rPr>
        <w:t>(i.e. it is also possible for</w:t>
      </w:r>
      <w:r w:rsidR="00074186" w:rsidRPr="00972A22">
        <w:rPr>
          <w:rFonts w:ascii="Times New Roman" w:eastAsia="Calibri" w:hAnsi="Times New Roman" w:cs="Times New Roman"/>
          <w:sz w:val="24"/>
          <w:szCs w:val="24"/>
        </w:rPr>
        <w:t xml:space="preserve"> </w:t>
      </w:r>
      <w:r w:rsidRPr="00972A22">
        <w:rPr>
          <w:rFonts w:ascii="Times New Roman" w:eastAsia="Calibri" w:hAnsi="Times New Roman" w:cs="Times New Roman"/>
          <w:sz w:val="24"/>
          <w:szCs w:val="24"/>
        </w:rPr>
        <w:t xml:space="preserve">other entities </w:t>
      </w:r>
      <w:r w:rsidR="00074186">
        <w:rPr>
          <w:rFonts w:ascii="Times New Roman" w:eastAsia="Calibri" w:hAnsi="Times New Roman" w:cs="Times New Roman"/>
          <w:sz w:val="24"/>
          <w:szCs w:val="24"/>
        </w:rPr>
        <w:t>to</w:t>
      </w:r>
      <w:r w:rsidRPr="00972A22">
        <w:rPr>
          <w:rFonts w:ascii="Times New Roman" w:eastAsia="Calibri" w:hAnsi="Times New Roman" w:cs="Times New Roman"/>
          <w:sz w:val="24"/>
          <w:szCs w:val="24"/>
        </w:rPr>
        <w:t xml:space="preserve"> store MSO products at the site</w:t>
      </w:r>
      <w:r w:rsidR="00074186">
        <w:rPr>
          <w:rFonts w:ascii="Times New Roman" w:eastAsia="Calibri" w:hAnsi="Times New Roman" w:cs="Times New Roman"/>
          <w:sz w:val="24"/>
          <w:szCs w:val="24"/>
        </w:rPr>
        <w:t>)</w:t>
      </w:r>
      <w:r w:rsidRPr="00972A22">
        <w:rPr>
          <w:rFonts w:ascii="Times New Roman" w:eastAsia="Calibri" w:hAnsi="Times New Roman" w:cs="Times New Roman"/>
          <w:sz w:val="24"/>
          <w:szCs w:val="24"/>
        </w:rPr>
        <w:t xml:space="preserve">. </w:t>
      </w:r>
    </w:p>
    <w:p w14:paraId="5CA81883" w14:textId="7F765E59" w:rsidR="00225E11" w:rsidRPr="00972A22" w:rsidRDefault="00225E11" w:rsidP="00972A22">
      <w:pPr>
        <w:pStyle w:val="ListParagraph"/>
        <w:spacing w:before="240" w:after="100" w:afterAutospacing="1"/>
        <w:rPr>
          <w:rFonts w:ascii="Times New Roman" w:eastAsia="Calibri" w:hAnsi="Times New Roman" w:cs="Times New Roman"/>
          <w:sz w:val="24"/>
          <w:szCs w:val="24"/>
        </w:rPr>
      </w:pPr>
      <w:r w:rsidRPr="00972A22">
        <w:rPr>
          <w:rFonts w:ascii="Times New Roman" w:eastAsia="Calibri" w:hAnsi="Times New Roman" w:cs="Times New Roman"/>
          <w:sz w:val="24"/>
          <w:szCs w:val="24"/>
        </w:rPr>
        <w:t>This data was previously collected by the ACCC and shared with the Department</w:t>
      </w:r>
      <w:r w:rsidR="002C4AAF">
        <w:rPr>
          <w:rFonts w:ascii="Times New Roman" w:eastAsia="Calibri" w:hAnsi="Times New Roman" w:cs="Times New Roman"/>
          <w:sz w:val="24"/>
          <w:szCs w:val="24"/>
        </w:rPr>
        <w:t xml:space="preserve"> pursuant to section 95ZPA of the </w:t>
      </w:r>
      <w:r w:rsidR="002C4AAF">
        <w:rPr>
          <w:rFonts w:ascii="Times New Roman" w:eastAsia="Calibri" w:hAnsi="Times New Roman" w:cs="Times New Roman"/>
          <w:i/>
          <w:sz w:val="24"/>
          <w:szCs w:val="24"/>
        </w:rPr>
        <w:t>Competition and Consumer Act 2010</w:t>
      </w:r>
      <w:r w:rsidRPr="00972A22">
        <w:rPr>
          <w:rFonts w:ascii="Times New Roman" w:eastAsia="Calibri" w:hAnsi="Times New Roman" w:cs="Times New Roman"/>
          <w:sz w:val="24"/>
          <w:szCs w:val="24"/>
        </w:rPr>
        <w:t xml:space="preserve">, however under new arrangements to streamline the process, the Department will now be collecting the data and sharing it with the ACCC. This aligns with the objectives of the FS Act, as it will give the Department a greater understanding of the overall storage capacity, and therefore fuel security capacity, for the country. </w:t>
      </w:r>
    </w:p>
    <w:p w14:paraId="0FF8A068" w14:textId="718EECC2" w:rsidR="00972A22" w:rsidRDefault="00972A22" w:rsidP="002D0DD6">
      <w:pPr>
        <w:pStyle w:val="ListParagraph"/>
        <w:numPr>
          <w:ilvl w:val="0"/>
          <w:numId w:val="38"/>
        </w:numPr>
        <w:spacing w:before="240" w:after="100" w:afterAutospacing="1"/>
        <w:rPr>
          <w:rFonts w:ascii="Times New Roman" w:eastAsia="Calibri" w:hAnsi="Times New Roman" w:cs="Times New Roman"/>
          <w:sz w:val="24"/>
          <w:szCs w:val="24"/>
        </w:rPr>
      </w:pPr>
      <w:r w:rsidRPr="00972A22">
        <w:rPr>
          <w:rFonts w:ascii="Times New Roman" w:eastAsia="Calibri" w:hAnsi="Times New Roman" w:cs="Times New Roman"/>
          <w:sz w:val="24"/>
          <w:szCs w:val="24"/>
        </w:rPr>
        <w:t>Details regarding any legally enforceable arrangements that were in place over the previous 6-mo</w:t>
      </w:r>
      <w:r>
        <w:rPr>
          <w:rFonts w:ascii="Times New Roman" w:eastAsia="Calibri" w:hAnsi="Times New Roman" w:cs="Times New Roman"/>
          <w:sz w:val="24"/>
          <w:szCs w:val="24"/>
        </w:rPr>
        <w:t>nth period</w:t>
      </w:r>
      <w:r w:rsidR="00F4185D">
        <w:rPr>
          <w:rFonts w:ascii="Times New Roman" w:eastAsia="Calibri" w:hAnsi="Times New Roman" w:cs="Times New Roman"/>
          <w:sz w:val="24"/>
          <w:szCs w:val="24"/>
        </w:rPr>
        <w:t xml:space="preserve"> including the </w:t>
      </w:r>
      <w:r w:rsidR="002D0DD6" w:rsidRPr="002D0DD6">
        <w:rPr>
          <w:rFonts w:ascii="Times New Roman" w:eastAsia="Calibri" w:hAnsi="Times New Roman" w:cs="Times New Roman"/>
          <w:sz w:val="24"/>
          <w:szCs w:val="24"/>
        </w:rPr>
        <w:t>identities of the contracting parties (including any intermediary market participant who store</w:t>
      </w:r>
      <w:r w:rsidR="002D0DD6">
        <w:rPr>
          <w:rFonts w:ascii="Times New Roman" w:eastAsia="Calibri" w:hAnsi="Times New Roman" w:cs="Times New Roman"/>
          <w:sz w:val="24"/>
          <w:szCs w:val="24"/>
        </w:rPr>
        <w:t>d</w:t>
      </w:r>
      <w:r w:rsidR="002D0DD6" w:rsidRPr="002D0DD6">
        <w:rPr>
          <w:rFonts w:ascii="Times New Roman" w:eastAsia="Calibri" w:hAnsi="Times New Roman" w:cs="Times New Roman"/>
          <w:sz w:val="24"/>
          <w:szCs w:val="24"/>
        </w:rPr>
        <w:t xml:space="preserve"> the stock on behalf of the importer or refiner that is subject to the MSO)</w:t>
      </w:r>
      <w:r w:rsidR="00F4185D">
        <w:rPr>
          <w:rFonts w:ascii="Times New Roman" w:eastAsia="Calibri" w:hAnsi="Times New Roman" w:cs="Times New Roman"/>
          <w:sz w:val="24"/>
          <w:szCs w:val="24"/>
        </w:rPr>
        <w:t xml:space="preserve">, the volumes of each MSO product stored, and the time periods of the arrangements. </w:t>
      </w:r>
    </w:p>
    <w:p w14:paraId="04DAF614" w14:textId="7E834E75" w:rsidR="003D66FB" w:rsidRPr="00972A22" w:rsidRDefault="003D66FB" w:rsidP="003D66FB">
      <w:pPr>
        <w:pStyle w:val="ListParagraph"/>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This data will be used to cross-check the information that </w:t>
      </w:r>
      <w:r w:rsidR="009B7430">
        <w:rPr>
          <w:rFonts w:ascii="Times New Roman" w:eastAsia="Calibri" w:hAnsi="Times New Roman" w:cs="Times New Roman"/>
          <w:sz w:val="24"/>
          <w:szCs w:val="24"/>
        </w:rPr>
        <w:t xml:space="preserve">importers and refiners </w:t>
      </w:r>
      <w:r w:rsidR="00BD4DEC">
        <w:rPr>
          <w:rFonts w:ascii="Times New Roman" w:eastAsia="Calibri" w:hAnsi="Times New Roman" w:cs="Times New Roman"/>
          <w:sz w:val="24"/>
          <w:szCs w:val="24"/>
        </w:rPr>
        <w:t>provide</w:t>
      </w:r>
      <w:r w:rsidR="002D0DD6">
        <w:rPr>
          <w:rFonts w:ascii="Times New Roman" w:eastAsia="Calibri" w:hAnsi="Times New Roman" w:cs="Times New Roman"/>
          <w:sz w:val="24"/>
          <w:szCs w:val="24"/>
        </w:rPr>
        <w:t xml:space="preserve"> under new section</w:t>
      </w:r>
      <w:r w:rsidR="009B7430">
        <w:rPr>
          <w:rFonts w:ascii="Times New Roman" w:eastAsia="Calibri" w:hAnsi="Times New Roman" w:cs="Times New Roman"/>
          <w:sz w:val="24"/>
          <w:szCs w:val="24"/>
        </w:rPr>
        <w:t>s 19E and</w:t>
      </w:r>
      <w:r w:rsidR="002D0DD6">
        <w:rPr>
          <w:rFonts w:ascii="Times New Roman" w:eastAsia="Calibri" w:hAnsi="Times New Roman" w:cs="Times New Roman"/>
          <w:sz w:val="24"/>
          <w:szCs w:val="24"/>
        </w:rPr>
        <w:t xml:space="preserve"> 19F of the principal POFR Rules</w:t>
      </w:r>
      <w:r w:rsidR="00BD4DEC">
        <w:rPr>
          <w:rFonts w:ascii="Times New Roman" w:eastAsia="Calibri" w:hAnsi="Times New Roman" w:cs="Times New Roman"/>
          <w:sz w:val="24"/>
          <w:szCs w:val="24"/>
        </w:rPr>
        <w:t>.</w:t>
      </w:r>
    </w:p>
    <w:p w14:paraId="7F1B1D4B" w14:textId="066883B5" w:rsidR="00225E11" w:rsidRDefault="00BD4DEC" w:rsidP="006D0798">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Subsection 19H(3) specifies that the 6-month periods that will require reports start from 1 July 2022 to 31 December 2022 (</w:t>
      </w:r>
      <w:r w:rsidR="00F41784">
        <w:rPr>
          <w:rFonts w:ascii="Times New Roman" w:eastAsia="Calibri" w:hAnsi="Times New Roman" w:cs="Times New Roman"/>
          <w:sz w:val="24"/>
          <w:szCs w:val="24"/>
        </w:rPr>
        <w:t xml:space="preserve">so that </w:t>
      </w:r>
      <w:r>
        <w:rPr>
          <w:rFonts w:ascii="Times New Roman" w:eastAsia="Calibri" w:hAnsi="Times New Roman" w:cs="Times New Roman"/>
          <w:sz w:val="24"/>
          <w:szCs w:val="24"/>
        </w:rPr>
        <w:t xml:space="preserve">the first </w:t>
      </w:r>
      <w:r w:rsidR="00F41784">
        <w:rPr>
          <w:rFonts w:ascii="Times New Roman" w:eastAsia="Calibri" w:hAnsi="Times New Roman" w:cs="Times New Roman"/>
          <w:sz w:val="24"/>
          <w:szCs w:val="24"/>
        </w:rPr>
        <w:t xml:space="preserve">such </w:t>
      </w:r>
      <w:r>
        <w:rPr>
          <w:rFonts w:ascii="Times New Roman" w:eastAsia="Calibri" w:hAnsi="Times New Roman" w:cs="Times New Roman"/>
          <w:sz w:val="24"/>
          <w:szCs w:val="24"/>
        </w:rPr>
        <w:t>report</w:t>
      </w:r>
      <w:r w:rsidR="00F41784">
        <w:rPr>
          <w:rFonts w:ascii="Times New Roman" w:eastAsia="Calibri" w:hAnsi="Times New Roman" w:cs="Times New Roman"/>
          <w:sz w:val="24"/>
          <w:szCs w:val="24"/>
        </w:rPr>
        <w:t>s</w:t>
      </w:r>
      <w:r>
        <w:rPr>
          <w:rFonts w:ascii="Times New Roman" w:eastAsia="Calibri" w:hAnsi="Times New Roman" w:cs="Times New Roman"/>
          <w:sz w:val="24"/>
          <w:szCs w:val="24"/>
        </w:rPr>
        <w:t xml:space="preserve"> will need to be submitted to the Secretary by no later than 21 January 2023). Each subsequent 6-month period from 1 January </w:t>
      </w:r>
      <w:r w:rsidR="002C4AAF">
        <w:rPr>
          <w:rFonts w:ascii="Times New Roman" w:eastAsia="Calibri" w:hAnsi="Times New Roman" w:cs="Times New Roman"/>
          <w:sz w:val="24"/>
          <w:szCs w:val="24"/>
        </w:rPr>
        <w:t>to</w:t>
      </w:r>
      <w:r>
        <w:rPr>
          <w:rFonts w:ascii="Times New Roman" w:eastAsia="Calibri" w:hAnsi="Times New Roman" w:cs="Times New Roman"/>
          <w:sz w:val="24"/>
          <w:szCs w:val="24"/>
        </w:rPr>
        <w:t xml:space="preserve"> 30 June and from 1 July </w:t>
      </w:r>
      <w:r w:rsidR="002C4AAF">
        <w:rPr>
          <w:rFonts w:ascii="Times New Roman" w:eastAsia="Calibri" w:hAnsi="Times New Roman" w:cs="Times New Roman"/>
          <w:sz w:val="24"/>
          <w:szCs w:val="24"/>
        </w:rPr>
        <w:t>to</w:t>
      </w:r>
      <w:r>
        <w:rPr>
          <w:rFonts w:ascii="Times New Roman" w:eastAsia="Calibri" w:hAnsi="Times New Roman" w:cs="Times New Roman"/>
          <w:sz w:val="24"/>
          <w:szCs w:val="24"/>
        </w:rPr>
        <w:t xml:space="preserve"> 31 December will require a report if the conditions </w:t>
      </w:r>
      <w:r w:rsidR="000577CC">
        <w:rPr>
          <w:rFonts w:ascii="Times New Roman" w:eastAsia="Calibri" w:hAnsi="Times New Roman" w:cs="Times New Roman"/>
          <w:sz w:val="24"/>
          <w:szCs w:val="24"/>
        </w:rPr>
        <w:t xml:space="preserve">referred to </w:t>
      </w:r>
      <w:r>
        <w:rPr>
          <w:rFonts w:ascii="Times New Roman" w:eastAsia="Calibri" w:hAnsi="Times New Roman" w:cs="Times New Roman"/>
          <w:sz w:val="24"/>
          <w:szCs w:val="24"/>
        </w:rPr>
        <w:t xml:space="preserve">above have been met.  </w:t>
      </w:r>
    </w:p>
    <w:p w14:paraId="2507643C" w14:textId="2CF88F42" w:rsidR="00BD4DEC" w:rsidRDefault="00BD4DEC" w:rsidP="00BD4DEC">
      <w:pPr>
        <w:spacing w:after="0" w:line="276" w:lineRule="auto"/>
        <w:ind w:left="357" w:hanging="357"/>
        <w:jc w:val="both"/>
        <w:rPr>
          <w:rFonts w:ascii="Times New Roman" w:hAnsi="Times New Roman" w:cs="Times New Roman"/>
          <w:i/>
          <w:sz w:val="24"/>
          <w:szCs w:val="24"/>
        </w:rPr>
      </w:pPr>
      <w:r>
        <w:rPr>
          <w:rFonts w:ascii="Times New Roman" w:hAnsi="Times New Roman" w:cs="Times New Roman"/>
          <w:i/>
          <w:sz w:val="24"/>
          <w:szCs w:val="24"/>
        </w:rPr>
        <w:t>New section 19I  Reports</w:t>
      </w:r>
      <w:r w:rsidRPr="000C39A8">
        <w:rPr>
          <w:rFonts w:ascii="Times New Roman" w:hAnsi="Times New Roman" w:cs="Times New Roman"/>
          <w:i/>
          <w:sz w:val="24"/>
          <w:szCs w:val="24"/>
        </w:rPr>
        <w:t>—</w:t>
      </w:r>
      <w:r>
        <w:rPr>
          <w:rFonts w:ascii="Times New Roman" w:hAnsi="Times New Roman" w:cs="Times New Roman"/>
          <w:i/>
          <w:sz w:val="24"/>
          <w:szCs w:val="24"/>
        </w:rPr>
        <w:t>Potential intermediary market participants</w:t>
      </w:r>
    </w:p>
    <w:p w14:paraId="3B0D4BFA" w14:textId="4EA67B09" w:rsidR="00AE0F1D" w:rsidRDefault="00AE0F1D" w:rsidP="00AE0F1D">
      <w:pPr>
        <w:spacing w:before="240" w:after="100" w:afterAutospacing="1"/>
        <w:rPr>
          <w:rFonts w:ascii="Times New Roman" w:eastAsia="Calibri" w:hAnsi="Times New Roman" w:cs="Times New Roman"/>
          <w:sz w:val="24"/>
          <w:szCs w:val="24"/>
        </w:rPr>
      </w:pPr>
      <w:r w:rsidRPr="00907B76">
        <w:rPr>
          <w:rFonts w:ascii="Times New Roman" w:eastAsia="Calibri" w:hAnsi="Times New Roman" w:cs="Times New Roman"/>
          <w:sz w:val="24"/>
          <w:szCs w:val="24"/>
        </w:rPr>
        <w:t>This i</w:t>
      </w:r>
      <w:r>
        <w:rPr>
          <w:rFonts w:ascii="Times New Roman" w:eastAsia="Calibri" w:hAnsi="Times New Roman" w:cs="Times New Roman"/>
          <w:sz w:val="24"/>
          <w:szCs w:val="24"/>
        </w:rPr>
        <w:t>tem also inserts new section 19I</w:t>
      </w:r>
      <w:r w:rsidRPr="00907B76">
        <w:rPr>
          <w:rFonts w:ascii="Times New Roman" w:eastAsia="Calibri" w:hAnsi="Times New Roman" w:cs="Times New Roman"/>
          <w:sz w:val="24"/>
          <w:szCs w:val="24"/>
        </w:rPr>
        <w:t xml:space="preserve"> into the principal POFR Rules.</w:t>
      </w:r>
      <w:r>
        <w:rPr>
          <w:rFonts w:ascii="Times New Roman" w:eastAsia="Calibri" w:hAnsi="Times New Roman" w:cs="Times New Roman"/>
          <w:sz w:val="24"/>
          <w:szCs w:val="24"/>
        </w:rPr>
        <w:t xml:space="preserve"> </w:t>
      </w:r>
    </w:p>
    <w:p w14:paraId="0F3FFE31" w14:textId="21DD358F" w:rsidR="00BD4DEC" w:rsidRDefault="00D377CB" w:rsidP="006D0798">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 19I(1) </w:t>
      </w:r>
      <w:r w:rsidR="0031633C">
        <w:rPr>
          <w:rFonts w:ascii="Times New Roman" w:eastAsia="Calibri" w:hAnsi="Times New Roman" w:cs="Times New Roman"/>
          <w:sz w:val="24"/>
          <w:szCs w:val="24"/>
        </w:rPr>
        <w:t xml:space="preserve">provides </w:t>
      </w:r>
      <w:r>
        <w:rPr>
          <w:rFonts w:ascii="Times New Roman" w:eastAsia="Calibri" w:hAnsi="Times New Roman" w:cs="Times New Roman"/>
          <w:sz w:val="24"/>
          <w:szCs w:val="24"/>
        </w:rPr>
        <w:t xml:space="preserve">that entities are </w:t>
      </w:r>
      <w:r w:rsidR="0031633C">
        <w:rPr>
          <w:rFonts w:ascii="Times New Roman" w:eastAsia="Calibri" w:hAnsi="Times New Roman" w:cs="Times New Roman"/>
          <w:sz w:val="24"/>
          <w:szCs w:val="24"/>
        </w:rPr>
        <w:t xml:space="preserve">subject to reporting obligations under </w:t>
      </w:r>
      <w:r>
        <w:rPr>
          <w:rFonts w:ascii="Times New Roman" w:eastAsia="Calibri" w:hAnsi="Times New Roman" w:cs="Times New Roman"/>
          <w:sz w:val="24"/>
          <w:szCs w:val="24"/>
        </w:rPr>
        <w:t xml:space="preserve">this section if they undertake the covered activity of </w:t>
      </w:r>
      <w:r w:rsidR="0002522B">
        <w:rPr>
          <w:rFonts w:ascii="Times New Roman" w:eastAsia="Calibri" w:hAnsi="Times New Roman" w:cs="Times New Roman"/>
          <w:sz w:val="24"/>
          <w:szCs w:val="24"/>
        </w:rPr>
        <w:t>holding</w:t>
      </w:r>
      <w:r>
        <w:rPr>
          <w:rFonts w:ascii="Times New Roman" w:eastAsia="Calibri" w:hAnsi="Times New Roman" w:cs="Times New Roman"/>
          <w:sz w:val="24"/>
          <w:szCs w:val="24"/>
        </w:rPr>
        <w:t xml:space="preserve"> stocks </w:t>
      </w:r>
      <w:r w:rsidR="00193C81">
        <w:rPr>
          <w:rFonts w:ascii="Times New Roman" w:eastAsia="Calibri" w:hAnsi="Times New Roman" w:cs="Times New Roman"/>
          <w:sz w:val="24"/>
          <w:szCs w:val="24"/>
        </w:rPr>
        <w:t>at any time from 1 July 2022 to 30 June 2023</w:t>
      </w:r>
      <w:r>
        <w:rPr>
          <w:rFonts w:ascii="Times New Roman" w:eastAsia="Calibri" w:hAnsi="Times New Roman" w:cs="Times New Roman"/>
          <w:sz w:val="24"/>
          <w:szCs w:val="24"/>
        </w:rPr>
        <w:t>, and are capable of storing stock of MSO products on behalf of another entity.</w:t>
      </w:r>
      <w:r w:rsidR="00193C81">
        <w:rPr>
          <w:rFonts w:ascii="Times New Roman" w:eastAsia="Calibri" w:hAnsi="Times New Roman" w:cs="Times New Roman"/>
          <w:sz w:val="24"/>
          <w:szCs w:val="24"/>
        </w:rPr>
        <w:t xml:space="preserve"> Unlike section 19H, this section specifies that the reporting requirement will only be triggered once, </w:t>
      </w:r>
      <w:r w:rsidR="00AE0F1D">
        <w:rPr>
          <w:rFonts w:ascii="Times New Roman" w:eastAsia="Calibri" w:hAnsi="Times New Roman" w:cs="Times New Roman"/>
          <w:sz w:val="24"/>
          <w:szCs w:val="24"/>
        </w:rPr>
        <w:t xml:space="preserve">where an entity is not subject to the MSO under the FS Act, and has not stored MSO products on behalf of another entity that is subject to the MSO under the FS Act. </w:t>
      </w:r>
      <w:r>
        <w:rPr>
          <w:rFonts w:ascii="Times New Roman" w:eastAsia="Calibri" w:hAnsi="Times New Roman" w:cs="Times New Roman"/>
          <w:sz w:val="24"/>
          <w:szCs w:val="24"/>
        </w:rPr>
        <w:t xml:space="preserve">If the entity is captured by these conditions, they must report specified information to the Secretary </w:t>
      </w:r>
      <w:r w:rsidR="00AE0F1D">
        <w:rPr>
          <w:rFonts w:ascii="Times New Roman" w:eastAsia="Calibri" w:hAnsi="Times New Roman" w:cs="Times New Roman"/>
          <w:sz w:val="24"/>
          <w:szCs w:val="24"/>
        </w:rPr>
        <w:t>by</w:t>
      </w:r>
      <w:r>
        <w:rPr>
          <w:rFonts w:ascii="Times New Roman" w:eastAsia="Calibri" w:hAnsi="Times New Roman" w:cs="Times New Roman"/>
          <w:sz w:val="24"/>
          <w:szCs w:val="24"/>
        </w:rPr>
        <w:t xml:space="preserve"> 21 </w:t>
      </w:r>
      <w:r w:rsidR="00AE0F1D">
        <w:rPr>
          <w:rFonts w:ascii="Times New Roman" w:eastAsia="Calibri" w:hAnsi="Times New Roman" w:cs="Times New Roman"/>
          <w:sz w:val="24"/>
          <w:szCs w:val="24"/>
        </w:rPr>
        <w:t xml:space="preserve">July 2023 (21 days </w:t>
      </w:r>
      <w:r w:rsidR="002C4AAF">
        <w:rPr>
          <w:rFonts w:ascii="Times New Roman" w:eastAsia="Calibri" w:hAnsi="Times New Roman" w:cs="Times New Roman"/>
          <w:sz w:val="24"/>
          <w:szCs w:val="24"/>
        </w:rPr>
        <w:t xml:space="preserve">after </w:t>
      </w:r>
      <w:r w:rsidR="00AE0F1D">
        <w:rPr>
          <w:rFonts w:ascii="Times New Roman" w:eastAsia="Calibri" w:hAnsi="Times New Roman" w:cs="Times New Roman"/>
          <w:sz w:val="24"/>
          <w:szCs w:val="24"/>
        </w:rPr>
        <w:t>the end of the financial year)</w:t>
      </w:r>
      <w:r>
        <w:rPr>
          <w:rFonts w:ascii="Times New Roman" w:eastAsia="Calibri" w:hAnsi="Times New Roman" w:cs="Times New Roman"/>
          <w:sz w:val="24"/>
          <w:szCs w:val="24"/>
        </w:rPr>
        <w:t>.</w:t>
      </w:r>
      <w:r w:rsidR="00AE0F1D" w:rsidRPr="00AE0F1D">
        <w:rPr>
          <w:rFonts w:ascii="Times New Roman" w:eastAsia="Calibri" w:hAnsi="Times New Roman" w:cs="Times New Roman"/>
          <w:sz w:val="24"/>
          <w:szCs w:val="24"/>
        </w:rPr>
        <w:t xml:space="preserve"> </w:t>
      </w:r>
      <w:r w:rsidR="00DB3D1A" w:rsidRPr="00DB3D1A">
        <w:rPr>
          <w:rFonts w:ascii="Times New Roman" w:eastAsia="Calibri" w:hAnsi="Times New Roman" w:cs="Times New Roman"/>
          <w:sz w:val="24"/>
          <w:szCs w:val="24"/>
        </w:rPr>
        <w:t>The report must be provided by the entity that undertook the covered activity of</w:t>
      </w:r>
      <w:r w:rsidR="00DB3D1A" w:rsidRPr="00DB3D1A">
        <w:t xml:space="preserve"> </w:t>
      </w:r>
      <w:r w:rsidR="00DB3D1A" w:rsidRPr="00DB3D1A">
        <w:rPr>
          <w:rFonts w:ascii="Times New Roman" w:eastAsia="Calibri" w:hAnsi="Times New Roman" w:cs="Times New Roman"/>
          <w:sz w:val="24"/>
          <w:szCs w:val="24"/>
        </w:rPr>
        <w:t>holding stocks of covered products that are MSO products</w:t>
      </w:r>
      <w:r w:rsidR="00DB3D1A">
        <w:rPr>
          <w:rFonts w:ascii="Times New Roman" w:eastAsia="Calibri" w:hAnsi="Times New Roman" w:cs="Times New Roman"/>
          <w:sz w:val="24"/>
          <w:szCs w:val="24"/>
        </w:rPr>
        <w:t>.</w:t>
      </w:r>
      <w:r w:rsidR="00DB3D1A" w:rsidRPr="00DB3D1A" w:rsidDel="00DB3D1A">
        <w:rPr>
          <w:rFonts w:ascii="Times New Roman" w:eastAsia="Calibri" w:hAnsi="Times New Roman" w:cs="Times New Roman"/>
          <w:sz w:val="24"/>
          <w:szCs w:val="24"/>
        </w:rPr>
        <w:t xml:space="preserve"> </w:t>
      </w:r>
    </w:p>
    <w:p w14:paraId="343594DC" w14:textId="3E5C760E" w:rsidR="00AE0F1D" w:rsidRDefault="00AE0F1D" w:rsidP="00AE0F1D">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 19I(2) </w:t>
      </w:r>
      <w:r w:rsidR="004545FA" w:rsidRPr="004545FA">
        <w:rPr>
          <w:rFonts w:ascii="Times New Roman" w:eastAsia="Calibri" w:hAnsi="Times New Roman" w:cs="Times New Roman"/>
          <w:sz w:val="24"/>
          <w:szCs w:val="24"/>
        </w:rPr>
        <w:t xml:space="preserve">sets out the specific categories of fuel information that </w:t>
      </w:r>
      <w:r w:rsidR="002C4AAF">
        <w:rPr>
          <w:rFonts w:ascii="Times New Roman" w:eastAsia="Calibri" w:hAnsi="Times New Roman" w:cs="Times New Roman"/>
          <w:sz w:val="24"/>
          <w:szCs w:val="24"/>
        </w:rPr>
        <w:t>is</w:t>
      </w:r>
      <w:r w:rsidR="002C4AAF" w:rsidRPr="004545FA">
        <w:rPr>
          <w:rFonts w:ascii="Times New Roman" w:eastAsia="Calibri" w:hAnsi="Times New Roman" w:cs="Times New Roman"/>
          <w:sz w:val="24"/>
          <w:szCs w:val="24"/>
        </w:rPr>
        <w:t xml:space="preserve"> </w:t>
      </w:r>
      <w:r w:rsidR="004545FA" w:rsidRPr="004545FA">
        <w:rPr>
          <w:rFonts w:ascii="Times New Roman" w:eastAsia="Calibri" w:hAnsi="Times New Roman" w:cs="Times New Roman"/>
          <w:sz w:val="24"/>
          <w:szCs w:val="24"/>
        </w:rPr>
        <w:t>required to be reported in the above circumstances</w:t>
      </w:r>
      <w:r>
        <w:rPr>
          <w:rFonts w:ascii="Times New Roman" w:eastAsia="Calibri" w:hAnsi="Times New Roman" w:cs="Times New Roman"/>
          <w:sz w:val="24"/>
          <w:szCs w:val="24"/>
        </w:rPr>
        <w:t>. This includes:</w:t>
      </w:r>
    </w:p>
    <w:p w14:paraId="069C9C95" w14:textId="5BCCE838" w:rsidR="00AE0F1D" w:rsidRDefault="00AE0F1D" w:rsidP="004545FA">
      <w:pPr>
        <w:pStyle w:val="ListParagraph"/>
        <w:numPr>
          <w:ilvl w:val="0"/>
          <w:numId w:val="38"/>
        </w:numPr>
        <w:spacing w:before="240" w:after="100" w:afterAutospacing="1"/>
        <w:rPr>
          <w:rFonts w:ascii="Times New Roman" w:eastAsia="Calibri" w:hAnsi="Times New Roman" w:cs="Times New Roman"/>
          <w:sz w:val="24"/>
          <w:szCs w:val="24"/>
        </w:rPr>
      </w:pPr>
      <w:r w:rsidRPr="00972A22">
        <w:rPr>
          <w:rFonts w:ascii="Times New Roman" w:eastAsia="Calibri" w:hAnsi="Times New Roman" w:cs="Times New Roman"/>
          <w:sz w:val="24"/>
          <w:szCs w:val="24"/>
        </w:rPr>
        <w:t>Storage information regarding the total storage capacity for each MSO product</w:t>
      </w:r>
      <w:r>
        <w:rPr>
          <w:rFonts w:ascii="Times New Roman" w:eastAsia="Calibri" w:hAnsi="Times New Roman" w:cs="Times New Roman"/>
          <w:sz w:val="24"/>
          <w:szCs w:val="24"/>
        </w:rPr>
        <w:t xml:space="preserve"> on 30 June 2023</w:t>
      </w:r>
      <w:r w:rsidRPr="00972A22">
        <w:rPr>
          <w:rFonts w:ascii="Times New Roman" w:eastAsia="Calibri" w:hAnsi="Times New Roman" w:cs="Times New Roman"/>
          <w:sz w:val="24"/>
          <w:szCs w:val="24"/>
        </w:rPr>
        <w:t xml:space="preserve">, the location of any storage site the entity owns, leases or uses, the breakdown of the storage capacity for each MSO product at each site, whether the site is owned, leased or </w:t>
      </w:r>
      <w:r w:rsidR="004545FA" w:rsidRPr="00972A22">
        <w:rPr>
          <w:rFonts w:ascii="Times New Roman" w:eastAsia="Calibri" w:hAnsi="Times New Roman" w:cs="Times New Roman"/>
          <w:sz w:val="24"/>
          <w:szCs w:val="24"/>
        </w:rPr>
        <w:t>used</w:t>
      </w:r>
      <w:r w:rsidR="004545FA">
        <w:rPr>
          <w:rFonts w:ascii="Times New Roman" w:eastAsia="Calibri" w:hAnsi="Times New Roman" w:cs="Times New Roman"/>
          <w:sz w:val="24"/>
          <w:szCs w:val="24"/>
        </w:rPr>
        <w:t xml:space="preserve">, </w:t>
      </w:r>
      <w:r w:rsidRPr="00972A22">
        <w:rPr>
          <w:rFonts w:ascii="Times New Roman" w:eastAsia="Calibri" w:hAnsi="Times New Roman" w:cs="Times New Roman"/>
          <w:sz w:val="24"/>
          <w:szCs w:val="24"/>
        </w:rPr>
        <w:t xml:space="preserve">and whether the site is open-access </w:t>
      </w:r>
      <w:r w:rsidR="004545FA">
        <w:rPr>
          <w:rFonts w:ascii="Times New Roman" w:eastAsia="Calibri" w:hAnsi="Times New Roman" w:cs="Times New Roman"/>
          <w:sz w:val="24"/>
          <w:szCs w:val="24"/>
        </w:rPr>
        <w:t>(i.e.</w:t>
      </w:r>
      <w:r w:rsidRPr="00972A22">
        <w:rPr>
          <w:rFonts w:ascii="Times New Roman" w:eastAsia="Calibri" w:hAnsi="Times New Roman" w:cs="Times New Roman"/>
          <w:sz w:val="24"/>
          <w:szCs w:val="24"/>
        </w:rPr>
        <w:t xml:space="preserve"> </w:t>
      </w:r>
      <w:r w:rsidR="004545FA" w:rsidRPr="004545FA">
        <w:rPr>
          <w:rFonts w:ascii="Times New Roman" w:eastAsia="Calibri" w:hAnsi="Times New Roman" w:cs="Times New Roman"/>
          <w:sz w:val="24"/>
          <w:szCs w:val="24"/>
        </w:rPr>
        <w:t xml:space="preserve">it is also possible for </w:t>
      </w:r>
      <w:r w:rsidRPr="00972A22">
        <w:rPr>
          <w:rFonts w:ascii="Times New Roman" w:eastAsia="Calibri" w:hAnsi="Times New Roman" w:cs="Times New Roman"/>
          <w:sz w:val="24"/>
          <w:szCs w:val="24"/>
        </w:rPr>
        <w:t xml:space="preserve">other entities </w:t>
      </w:r>
      <w:r w:rsidR="004545FA">
        <w:rPr>
          <w:rFonts w:ascii="Times New Roman" w:eastAsia="Calibri" w:hAnsi="Times New Roman" w:cs="Times New Roman"/>
          <w:sz w:val="24"/>
          <w:szCs w:val="24"/>
        </w:rPr>
        <w:t>to</w:t>
      </w:r>
      <w:r w:rsidRPr="00972A22">
        <w:rPr>
          <w:rFonts w:ascii="Times New Roman" w:eastAsia="Calibri" w:hAnsi="Times New Roman" w:cs="Times New Roman"/>
          <w:sz w:val="24"/>
          <w:szCs w:val="24"/>
        </w:rPr>
        <w:t xml:space="preserve"> store MSO products at the site</w:t>
      </w:r>
      <w:r w:rsidR="004545FA">
        <w:rPr>
          <w:rFonts w:ascii="Times New Roman" w:eastAsia="Calibri" w:hAnsi="Times New Roman" w:cs="Times New Roman"/>
          <w:sz w:val="24"/>
          <w:szCs w:val="24"/>
        </w:rPr>
        <w:t>)</w:t>
      </w:r>
      <w:r w:rsidRPr="00972A22">
        <w:rPr>
          <w:rFonts w:ascii="Times New Roman" w:eastAsia="Calibri" w:hAnsi="Times New Roman" w:cs="Times New Roman"/>
          <w:sz w:val="24"/>
          <w:szCs w:val="24"/>
        </w:rPr>
        <w:t xml:space="preserve">. </w:t>
      </w:r>
    </w:p>
    <w:p w14:paraId="412FBFBE" w14:textId="4BF30F64" w:rsidR="00AE0F1D" w:rsidRDefault="00AE0F1D" w:rsidP="00AE0F1D">
      <w:pPr>
        <w:pStyle w:val="ListParagraph"/>
        <w:spacing w:before="240" w:after="100" w:afterAutospacing="1"/>
        <w:rPr>
          <w:rFonts w:ascii="Times New Roman" w:eastAsia="Calibri" w:hAnsi="Times New Roman" w:cs="Times New Roman"/>
          <w:sz w:val="24"/>
          <w:szCs w:val="24"/>
        </w:rPr>
      </w:pPr>
      <w:r w:rsidRPr="00972A22">
        <w:rPr>
          <w:rFonts w:ascii="Times New Roman" w:eastAsia="Calibri" w:hAnsi="Times New Roman" w:cs="Times New Roman"/>
          <w:sz w:val="24"/>
          <w:szCs w:val="24"/>
        </w:rPr>
        <w:t>This data was previously collected by the ACCC and shared with the Department</w:t>
      </w:r>
      <w:r w:rsidR="002C4AAF">
        <w:rPr>
          <w:rFonts w:ascii="Times New Roman" w:eastAsia="Calibri" w:hAnsi="Times New Roman" w:cs="Times New Roman"/>
          <w:sz w:val="24"/>
          <w:szCs w:val="24"/>
        </w:rPr>
        <w:t xml:space="preserve"> pursuant to section 95ZPA of the </w:t>
      </w:r>
      <w:r w:rsidR="002C4AAF">
        <w:rPr>
          <w:rFonts w:ascii="Times New Roman" w:eastAsia="Calibri" w:hAnsi="Times New Roman" w:cs="Times New Roman"/>
          <w:i/>
          <w:sz w:val="24"/>
          <w:szCs w:val="24"/>
        </w:rPr>
        <w:t>Competition and Consumer Act 2010</w:t>
      </w:r>
      <w:r w:rsidRPr="00972A22">
        <w:rPr>
          <w:rFonts w:ascii="Times New Roman" w:eastAsia="Calibri" w:hAnsi="Times New Roman" w:cs="Times New Roman"/>
          <w:sz w:val="24"/>
          <w:szCs w:val="24"/>
        </w:rPr>
        <w:t xml:space="preserve">, however under new arrangements to streamline the process, the Department will now be collecting the data and sharing it with the ACCC. This aligns with the objectives of the FS Act, as it will give the Department a greater understanding of the overall storage capacity, and therefore fuel security capacity, for </w:t>
      </w:r>
      <w:r w:rsidR="004545FA">
        <w:rPr>
          <w:rFonts w:ascii="Times New Roman" w:eastAsia="Calibri" w:hAnsi="Times New Roman" w:cs="Times New Roman"/>
          <w:sz w:val="24"/>
          <w:szCs w:val="24"/>
        </w:rPr>
        <w:t>Australia</w:t>
      </w:r>
      <w:r w:rsidRPr="00972A22">
        <w:rPr>
          <w:rFonts w:ascii="Times New Roman" w:eastAsia="Calibri" w:hAnsi="Times New Roman" w:cs="Times New Roman"/>
          <w:sz w:val="24"/>
          <w:szCs w:val="24"/>
        </w:rPr>
        <w:t xml:space="preserve">. </w:t>
      </w:r>
    </w:p>
    <w:p w14:paraId="02121B69" w14:textId="68EC0B39" w:rsidR="00AE0F1D" w:rsidRPr="00972A22" w:rsidRDefault="00AE0F1D" w:rsidP="00AE0F1D">
      <w:pPr>
        <w:pStyle w:val="ListParagraph"/>
        <w:numPr>
          <w:ilvl w:val="0"/>
          <w:numId w:val="38"/>
        </w:num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 xml:space="preserve">A brief description of why the site/s have not stored stock for MSO entities under legally enforceable arrangements allowed under section 23 or 24 of the FS Act is also required, which will provide a more holistic view of the storage availability in the </w:t>
      </w:r>
      <w:r w:rsidR="004545FA">
        <w:rPr>
          <w:rFonts w:ascii="Times New Roman" w:eastAsia="Calibri" w:hAnsi="Times New Roman" w:cs="Times New Roman"/>
          <w:sz w:val="24"/>
          <w:szCs w:val="24"/>
        </w:rPr>
        <w:t xml:space="preserve">fuel </w:t>
      </w:r>
      <w:r>
        <w:rPr>
          <w:rFonts w:ascii="Times New Roman" w:eastAsia="Calibri" w:hAnsi="Times New Roman" w:cs="Times New Roman"/>
          <w:sz w:val="24"/>
          <w:szCs w:val="24"/>
        </w:rPr>
        <w:t xml:space="preserve">market. It is expected that some storage sites may never be able to participate in the intermediary market due to other influencing factors, even if they are technically capable of storing MSO products on behalf of another entity. </w:t>
      </w:r>
    </w:p>
    <w:p w14:paraId="6EFB4919" w14:textId="77777777" w:rsidR="0019182C" w:rsidRDefault="0019182C">
      <w:pPr>
        <w:rPr>
          <w:rFonts w:ascii="Times New Roman" w:hAnsi="Times New Roman" w:cs="Times New Roman"/>
          <w:i/>
          <w:sz w:val="24"/>
          <w:szCs w:val="24"/>
        </w:rPr>
      </w:pPr>
      <w:r>
        <w:rPr>
          <w:rFonts w:ascii="Times New Roman" w:hAnsi="Times New Roman" w:cs="Times New Roman"/>
          <w:i/>
          <w:sz w:val="24"/>
          <w:szCs w:val="24"/>
        </w:rPr>
        <w:br w:type="page"/>
      </w:r>
    </w:p>
    <w:p w14:paraId="323C04A1" w14:textId="76E29F04" w:rsidR="00B27472" w:rsidRPr="00B27472" w:rsidRDefault="00B27472" w:rsidP="00B27472">
      <w:pPr>
        <w:spacing w:before="240" w:after="100" w:afterAutospacing="1"/>
        <w:rPr>
          <w:rFonts w:ascii="Times New Roman" w:eastAsia="Calibri" w:hAnsi="Times New Roman" w:cs="Times New Roman"/>
          <w:sz w:val="24"/>
          <w:szCs w:val="24"/>
        </w:rPr>
      </w:pPr>
      <w:r>
        <w:rPr>
          <w:rFonts w:ascii="Times New Roman" w:hAnsi="Times New Roman" w:cs="Times New Roman"/>
          <w:i/>
          <w:sz w:val="24"/>
          <w:szCs w:val="24"/>
        </w:rPr>
        <w:lastRenderedPageBreak/>
        <w:t>New section 19J</w:t>
      </w:r>
      <w:r w:rsidRPr="000C39A8">
        <w:rPr>
          <w:rFonts w:ascii="Times New Roman" w:hAnsi="Times New Roman" w:cs="Times New Roman"/>
          <w:i/>
          <w:sz w:val="24"/>
          <w:szCs w:val="24"/>
        </w:rPr>
        <w:t xml:space="preserve">  Audit of </w:t>
      </w:r>
      <w:r>
        <w:rPr>
          <w:rFonts w:ascii="Times New Roman" w:hAnsi="Times New Roman" w:cs="Times New Roman"/>
          <w:i/>
          <w:sz w:val="24"/>
          <w:szCs w:val="24"/>
        </w:rPr>
        <w:t>MSO</w:t>
      </w:r>
      <w:r w:rsidRPr="000C39A8">
        <w:rPr>
          <w:rFonts w:ascii="Times New Roman" w:hAnsi="Times New Roman" w:cs="Times New Roman"/>
          <w:i/>
          <w:sz w:val="24"/>
          <w:szCs w:val="24"/>
        </w:rPr>
        <w:t xml:space="preserve"> reports if concern about reports</w:t>
      </w:r>
    </w:p>
    <w:p w14:paraId="438A7333" w14:textId="728ED23E" w:rsidR="00B27472" w:rsidRPr="00883F01" w:rsidRDefault="00B27472" w:rsidP="00B27472">
      <w:pPr>
        <w:spacing w:before="240" w:after="100" w:afterAutospacing="1" w:line="276" w:lineRule="auto"/>
        <w:rPr>
          <w:rFonts w:ascii="Times New Roman" w:hAnsi="Times New Roman" w:cs="Times New Roman"/>
          <w:sz w:val="24"/>
          <w:szCs w:val="24"/>
        </w:rPr>
      </w:pPr>
      <w:r w:rsidRPr="002D6C18">
        <w:rPr>
          <w:rFonts w:ascii="Times New Roman" w:eastAsia="Calibri" w:hAnsi="Times New Roman" w:cs="Times New Roman"/>
          <w:sz w:val="24"/>
          <w:szCs w:val="24"/>
        </w:rPr>
        <w:t>This i</w:t>
      </w:r>
      <w:r>
        <w:rPr>
          <w:rFonts w:ascii="Times New Roman" w:eastAsia="Calibri" w:hAnsi="Times New Roman" w:cs="Times New Roman"/>
          <w:sz w:val="24"/>
          <w:szCs w:val="24"/>
        </w:rPr>
        <w:t>tem also inserts new section 19J</w:t>
      </w:r>
      <w:r w:rsidRPr="002D6C18">
        <w:rPr>
          <w:rFonts w:ascii="Times New Roman" w:eastAsia="Calibri" w:hAnsi="Times New Roman" w:cs="Times New Roman"/>
          <w:sz w:val="24"/>
          <w:szCs w:val="24"/>
        </w:rPr>
        <w:t xml:space="preserve"> into the principal POFR Rules.</w:t>
      </w:r>
    </w:p>
    <w:p w14:paraId="6A61EF0A" w14:textId="5C3697A6" w:rsidR="00916E6A" w:rsidRDefault="00B27472" w:rsidP="00B27472">
      <w:pPr>
        <w:spacing w:before="240" w:after="100" w:afterAutospacing="1" w:line="276" w:lineRule="auto"/>
        <w:rPr>
          <w:rFonts w:ascii="Times New Roman" w:eastAsia="Calibri" w:hAnsi="Times New Roman" w:cs="Times New Roman"/>
          <w:sz w:val="24"/>
          <w:szCs w:val="24"/>
        </w:rPr>
      </w:pPr>
      <w:r>
        <w:rPr>
          <w:rFonts w:ascii="Times New Roman" w:eastAsia="Calibri" w:hAnsi="Times New Roman" w:cs="Times New Roman"/>
          <w:sz w:val="24"/>
          <w:szCs w:val="24"/>
        </w:rPr>
        <w:t>Section 19J makes provision for the preparation of audit reports,</w:t>
      </w:r>
      <w:r w:rsidRPr="00907B76">
        <w:rPr>
          <w:rFonts w:ascii="Times New Roman" w:eastAsia="Calibri" w:hAnsi="Times New Roman" w:cs="Times New Roman"/>
          <w:sz w:val="24"/>
          <w:szCs w:val="24"/>
        </w:rPr>
        <w:t xml:space="preserve"> for the purpose of subsection 13B(1) of the POFR Act</w:t>
      </w:r>
      <w:r>
        <w:rPr>
          <w:rFonts w:ascii="Times New Roman" w:eastAsia="Calibri" w:hAnsi="Times New Roman" w:cs="Times New Roman"/>
          <w:sz w:val="24"/>
          <w:szCs w:val="24"/>
        </w:rPr>
        <w:t xml:space="preserve">, </w:t>
      </w:r>
      <w:r w:rsidRPr="00907B76">
        <w:rPr>
          <w:rFonts w:ascii="Times New Roman" w:eastAsia="Calibri" w:hAnsi="Times New Roman" w:cs="Times New Roman"/>
          <w:sz w:val="24"/>
          <w:szCs w:val="24"/>
        </w:rPr>
        <w:t>in relation to the auditing of compliance with section 11 of the POFR Act</w:t>
      </w:r>
      <w:r>
        <w:rPr>
          <w:rFonts w:ascii="Times New Roman" w:eastAsia="Calibri" w:hAnsi="Times New Roman" w:cs="Times New Roman"/>
          <w:sz w:val="24"/>
          <w:szCs w:val="24"/>
        </w:rPr>
        <w:t xml:space="preserve"> </w:t>
      </w:r>
      <w:r w:rsidRPr="00907B76">
        <w:rPr>
          <w:rFonts w:ascii="Times New Roman" w:eastAsia="Calibri" w:hAnsi="Times New Roman" w:cs="Times New Roman"/>
          <w:sz w:val="24"/>
          <w:szCs w:val="24"/>
        </w:rPr>
        <w:t xml:space="preserve">so far as that section relates to the giving of reports that relate to </w:t>
      </w:r>
      <w:r w:rsidR="00916E6A" w:rsidRPr="00916E6A">
        <w:rPr>
          <w:rFonts w:ascii="Times New Roman" w:eastAsia="Calibri" w:hAnsi="Times New Roman" w:cs="Times New Roman"/>
          <w:sz w:val="24"/>
          <w:szCs w:val="24"/>
        </w:rPr>
        <w:t>MSO activities undertaken in relation to MSO products by regulated entities</w:t>
      </w:r>
      <w:r w:rsidRPr="00907B7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C249566" w14:textId="1AA7FFB9" w:rsidR="00B27472" w:rsidRDefault="00B27472" w:rsidP="00B27472">
      <w:pPr>
        <w:spacing w:before="240" w:after="100" w:afterAutospacing="1" w:line="276" w:lineRule="auto"/>
        <w:rPr>
          <w:rFonts w:ascii="Times New Roman" w:eastAsia="Calibri" w:hAnsi="Times New Roman" w:cs="Times New Roman"/>
          <w:sz w:val="24"/>
          <w:szCs w:val="24"/>
        </w:rPr>
      </w:pPr>
      <w:r>
        <w:rPr>
          <w:rFonts w:ascii="Times New Roman" w:eastAsia="Calibri" w:hAnsi="Times New Roman" w:cs="Times New Roman"/>
          <w:sz w:val="24"/>
          <w:szCs w:val="24"/>
        </w:rPr>
        <w:t>Section 19J empowers the Secretary to request audits of particular reports made under sections 19E</w:t>
      </w:r>
      <w:r w:rsidR="00916E6A">
        <w:rPr>
          <w:rFonts w:ascii="Times New Roman" w:eastAsia="Calibri" w:hAnsi="Times New Roman" w:cs="Times New Roman"/>
          <w:sz w:val="24"/>
          <w:szCs w:val="24"/>
        </w:rPr>
        <w:t xml:space="preserve"> (</w:t>
      </w:r>
      <w:r w:rsidR="00916E6A" w:rsidRPr="00916E6A">
        <w:rPr>
          <w:rFonts w:ascii="Times New Roman" w:eastAsia="Calibri" w:hAnsi="Times New Roman" w:cs="Times New Roman"/>
          <w:sz w:val="24"/>
          <w:szCs w:val="24"/>
        </w:rPr>
        <w:t>MSO obligation day stockholding data</w:t>
      </w:r>
      <w:r w:rsidR="00916E6A">
        <w:rPr>
          <w:rFonts w:ascii="Times New Roman" w:eastAsia="Calibri" w:hAnsi="Times New Roman" w:cs="Times New Roman"/>
          <w:sz w:val="24"/>
          <w:szCs w:val="24"/>
        </w:rPr>
        <w:t>)</w:t>
      </w:r>
      <w:r>
        <w:rPr>
          <w:rFonts w:ascii="Times New Roman" w:eastAsia="Calibri" w:hAnsi="Times New Roman" w:cs="Times New Roman"/>
          <w:sz w:val="24"/>
          <w:szCs w:val="24"/>
        </w:rPr>
        <w:t>, 19F</w:t>
      </w:r>
      <w:r w:rsidR="00916E6A">
        <w:rPr>
          <w:rFonts w:ascii="Times New Roman" w:eastAsia="Calibri" w:hAnsi="Times New Roman" w:cs="Times New Roman"/>
          <w:sz w:val="24"/>
          <w:szCs w:val="24"/>
        </w:rPr>
        <w:t xml:space="preserve"> (</w:t>
      </w:r>
      <w:r w:rsidR="00916E6A" w:rsidRPr="00916E6A">
        <w:rPr>
          <w:rFonts w:ascii="Times New Roman" w:eastAsia="Calibri" w:hAnsi="Times New Roman" w:cs="Times New Roman"/>
          <w:sz w:val="24"/>
          <w:szCs w:val="24"/>
        </w:rPr>
        <w:t>MSO annual activity data</w:t>
      </w:r>
      <w:r w:rsidR="00916E6A">
        <w:rPr>
          <w:rFonts w:ascii="Times New Roman" w:eastAsia="Calibri" w:hAnsi="Times New Roman" w:cs="Times New Roman"/>
          <w:sz w:val="24"/>
          <w:szCs w:val="24"/>
        </w:rPr>
        <w:t>)</w:t>
      </w:r>
      <w:r>
        <w:rPr>
          <w:rFonts w:ascii="Times New Roman" w:eastAsia="Calibri" w:hAnsi="Times New Roman" w:cs="Times New Roman"/>
          <w:sz w:val="24"/>
          <w:szCs w:val="24"/>
        </w:rPr>
        <w:t xml:space="preserve"> or 19H </w:t>
      </w:r>
      <w:r w:rsidR="00916E6A">
        <w:rPr>
          <w:rFonts w:ascii="Times New Roman" w:eastAsia="Calibri" w:hAnsi="Times New Roman" w:cs="Times New Roman"/>
          <w:sz w:val="24"/>
          <w:szCs w:val="24"/>
        </w:rPr>
        <w:t>(</w:t>
      </w:r>
      <w:r w:rsidR="00916E6A" w:rsidRPr="00916E6A">
        <w:rPr>
          <w:rFonts w:ascii="Times New Roman" w:eastAsia="Calibri" w:hAnsi="Times New Roman" w:cs="Times New Roman"/>
          <w:sz w:val="24"/>
          <w:szCs w:val="24"/>
        </w:rPr>
        <w:t>Intermediary market participants</w:t>
      </w:r>
      <w:r w:rsidR="00916E6A">
        <w:rPr>
          <w:rFonts w:ascii="Times New Roman" w:eastAsia="Calibri" w:hAnsi="Times New Roman" w:cs="Times New Roman"/>
          <w:sz w:val="24"/>
          <w:szCs w:val="24"/>
        </w:rPr>
        <w:t xml:space="preserve">) </w:t>
      </w:r>
      <w:r>
        <w:rPr>
          <w:rFonts w:ascii="Times New Roman" w:eastAsia="Calibri" w:hAnsi="Times New Roman" w:cs="Times New Roman"/>
          <w:sz w:val="24"/>
          <w:szCs w:val="24"/>
        </w:rPr>
        <w:t>of the principal POFR Rules, where the Secretary holds concerns about the accuracy of information provided in any such report. In these circumstances, the Secretary may request the person who submitted the report to obtain an audit report in relation to either the report which is being questioned for accuracy, or the next report that will be submitted under the same section (19E, 19F or 19H). This request must be made in writing.</w:t>
      </w:r>
    </w:p>
    <w:p w14:paraId="1D85BDDD" w14:textId="7B2A61BF" w:rsidR="00B27472" w:rsidRDefault="00B27472" w:rsidP="00B27472">
      <w:pPr>
        <w:spacing w:before="240" w:after="100" w:afterAutospacing="1" w:line="276" w:lineRule="auto"/>
        <w:rPr>
          <w:rFonts w:ascii="Times New Roman" w:eastAsia="Calibri" w:hAnsi="Times New Roman" w:cs="Times New Roman"/>
          <w:sz w:val="24"/>
          <w:szCs w:val="24"/>
        </w:rPr>
      </w:pPr>
      <w:r>
        <w:rPr>
          <w:rFonts w:ascii="Times New Roman" w:eastAsia="Calibri" w:hAnsi="Times New Roman" w:cs="Times New Roman"/>
          <w:sz w:val="24"/>
          <w:szCs w:val="24"/>
        </w:rPr>
        <w:t>Subsection 19J</w:t>
      </w:r>
      <w:r w:rsidRPr="00907B76">
        <w:rPr>
          <w:rFonts w:ascii="Times New Roman" w:eastAsia="Calibri" w:hAnsi="Times New Roman" w:cs="Times New Roman"/>
          <w:sz w:val="24"/>
          <w:szCs w:val="24"/>
        </w:rPr>
        <w:t>(2) provide</w:t>
      </w:r>
      <w:r>
        <w:rPr>
          <w:rFonts w:ascii="Times New Roman" w:eastAsia="Calibri" w:hAnsi="Times New Roman" w:cs="Times New Roman"/>
          <w:sz w:val="24"/>
          <w:szCs w:val="24"/>
        </w:rPr>
        <w:t>s</w:t>
      </w:r>
      <w:r w:rsidRPr="00907B76">
        <w:rPr>
          <w:rFonts w:ascii="Times New Roman" w:eastAsia="Calibri" w:hAnsi="Times New Roman" w:cs="Times New Roman"/>
          <w:sz w:val="24"/>
          <w:szCs w:val="24"/>
        </w:rPr>
        <w:t xml:space="preserve"> that the audit report must be prepared by a registered greenhouse and energy auditor in accordance with the requirements for reasonable assurance engagements under the NGER (Audit) Determination</w:t>
      </w:r>
      <w:r>
        <w:rPr>
          <w:rFonts w:ascii="Times New Roman" w:eastAsia="Calibri" w:hAnsi="Times New Roman" w:cs="Times New Roman"/>
          <w:sz w:val="24"/>
          <w:szCs w:val="24"/>
        </w:rPr>
        <w:t xml:space="preserve">. </w:t>
      </w:r>
    </w:p>
    <w:p w14:paraId="2ED18D28" w14:textId="313DAEA3" w:rsidR="00B27472" w:rsidRDefault="00B27472" w:rsidP="00B27472">
      <w:pPr>
        <w:spacing w:before="240" w:after="100" w:afterAutospacing="1" w:line="276" w:lineRule="auto"/>
        <w:rPr>
          <w:rFonts w:ascii="Times New Roman" w:eastAsia="Calibri" w:hAnsi="Times New Roman" w:cs="Times New Roman"/>
          <w:sz w:val="24"/>
          <w:szCs w:val="24"/>
        </w:rPr>
      </w:pPr>
      <w:r>
        <w:rPr>
          <w:rFonts w:ascii="Times New Roman" w:eastAsia="Calibri" w:hAnsi="Times New Roman" w:cs="Times New Roman"/>
          <w:sz w:val="24"/>
          <w:szCs w:val="24"/>
        </w:rPr>
        <w:t>Subsection 19J(3) provides that the audit report</w:t>
      </w:r>
      <w:r w:rsidRPr="00907B76">
        <w:rPr>
          <w:rFonts w:ascii="Times New Roman" w:eastAsia="Calibri" w:hAnsi="Times New Roman" w:cs="Times New Roman"/>
          <w:sz w:val="24"/>
          <w:szCs w:val="24"/>
        </w:rPr>
        <w:t xml:space="preserve"> must report whether reported </w:t>
      </w:r>
      <w:r>
        <w:rPr>
          <w:rFonts w:ascii="Times New Roman" w:eastAsia="Calibri" w:hAnsi="Times New Roman" w:cs="Times New Roman"/>
          <w:sz w:val="24"/>
          <w:szCs w:val="24"/>
        </w:rPr>
        <w:t>MSO</w:t>
      </w:r>
      <w:r w:rsidRPr="00907B76">
        <w:rPr>
          <w:rFonts w:ascii="Times New Roman" w:eastAsia="Calibri" w:hAnsi="Times New Roman" w:cs="Times New Roman"/>
          <w:sz w:val="24"/>
          <w:szCs w:val="24"/>
        </w:rPr>
        <w:t xml:space="preserve"> information complied with the requirements of </w:t>
      </w:r>
      <w:r>
        <w:rPr>
          <w:rFonts w:ascii="Times New Roman" w:eastAsia="Calibri" w:hAnsi="Times New Roman" w:cs="Times New Roman"/>
          <w:sz w:val="24"/>
          <w:szCs w:val="24"/>
        </w:rPr>
        <w:t>Subdivision D</w:t>
      </w:r>
      <w:r w:rsidRPr="00907B76">
        <w:rPr>
          <w:rFonts w:ascii="Times New Roman" w:eastAsia="Calibri" w:hAnsi="Times New Roman" w:cs="Times New Roman"/>
          <w:sz w:val="24"/>
          <w:szCs w:val="24"/>
        </w:rPr>
        <w:t xml:space="preserve"> and was fairly presented. </w:t>
      </w:r>
      <w:r w:rsidRPr="010262BF">
        <w:rPr>
          <w:rFonts w:ascii="Times New Roman" w:eastAsia="Times New Roman" w:hAnsi="Times New Roman" w:cs="Times New Roman"/>
          <w:sz w:val="24"/>
          <w:szCs w:val="24"/>
        </w:rPr>
        <w:t xml:space="preserve">This would include (if appropriate in the circumstances) a reasonable assurance conclusion that there is no misstatement in the matter being audited that is material or pervasive enough to affect the matter being audited as a whole. </w:t>
      </w:r>
      <w:r w:rsidRPr="00907B76">
        <w:rPr>
          <w:rFonts w:ascii="Times New Roman" w:eastAsia="Calibri" w:hAnsi="Times New Roman" w:cs="Times New Roman"/>
          <w:sz w:val="24"/>
          <w:szCs w:val="24"/>
        </w:rPr>
        <w:t xml:space="preserve">The use of registered national greenhouse and energy auditors recognises the significant skills this category of auditors have with energy auditing relevant to </w:t>
      </w:r>
      <w:r w:rsidRPr="00B27472">
        <w:rPr>
          <w:rFonts w:ascii="Times New Roman" w:eastAsia="Calibri" w:hAnsi="Times New Roman" w:cs="Times New Roman"/>
          <w:sz w:val="24"/>
          <w:szCs w:val="24"/>
        </w:rPr>
        <w:t xml:space="preserve">the </w:t>
      </w:r>
      <w:r>
        <w:rPr>
          <w:rFonts w:ascii="Times New Roman" w:eastAsia="Calibri" w:hAnsi="Times New Roman" w:cs="Times New Roman"/>
          <w:sz w:val="24"/>
          <w:szCs w:val="24"/>
        </w:rPr>
        <w:t>MSO</w:t>
      </w:r>
      <w:r w:rsidRPr="00907B76">
        <w:rPr>
          <w:rFonts w:ascii="Times New Roman" w:eastAsia="Calibri" w:hAnsi="Times New Roman" w:cs="Times New Roman"/>
          <w:sz w:val="24"/>
          <w:szCs w:val="24"/>
        </w:rPr>
        <w:t>.</w:t>
      </w:r>
      <w:r>
        <w:rPr>
          <w:rFonts w:ascii="Times New Roman" w:eastAsia="Calibri" w:hAnsi="Times New Roman" w:cs="Times New Roman"/>
          <w:sz w:val="24"/>
          <w:szCs w:val="24"/>
        </w:rPr>
        <w:t xml:space="preserve"> These auditors already apply the NGER (Audit) Determination standard for greenhouse and energy audits, safeguard audits and audits under the Emissions Reduction Fund. Whether the information was ‘fairly presented’ would take into account the understanding of that term in auditing, including that matters of substance are reflected in the presentation of the information.</w:t>
      </w:r>
    </w:p>
    <w:p w14:paraId="3786E85E" w14:textId="015C04C7" w:rsidR="00CF181D" w:rsidRDefault="00B27472" w:rsidP="00B27472">
      <w:pPr>
        <w:spacing w:before="240" w:after="100" w:afterAutospacing="1" w:line="276" w:lineRule="auto"/>
        <w:rPr>
          <w:rFonts w:ascii="Times New Roman" w:eastAsia="Calibri" w:hAnsi="Times New Roman" w:cs="Times New Roman"/>
          <w:sz w:val="24"/>
          <w:szCs w:val="24"/>
        </w:rPr>
      </w:pPr>
      <w:r>
        <w:rPr>
          <w:rFonts w:ascii="Times New Roman" w:eastAsia="Calibri" w:hAnsi="Times New Roman" w:cs="Times New Roman"/>
          <w:sz w:val="24"/>
          <w:szCs w:val="24"/>
        </w:rPr>
        <w:t>Subsection 19J</w:t>
      </w:r>
      <w:r w:rsidRPr="00907B76">
        <w:rPr>
          <w:rFonts w:ascii="Times New Roman" w:eastAsia="Calibri" w:hAnsi="Times New Roman" w:cs="Times New Roman"/>
          <w:sz w:val="24"/>
          <w:szCs w:val="24"/>
        </w:rPr>
        <w:t xml:space="preserve">(4) of the principal POFR Rules requires </w:t>
      </w:r>
      <w:r w:rsidR="002C4AAF">
        <w:rPr>
          <w:rFonts w:ascii="Times New Roman" w:eastAsia="Calibri" w:hAnsi="Times New Roman" w:cs="Times New Roman"/>
          <w:sz w:val="24"/>
          <w:szCs w:val="24"/>
        </w:rPr>
        <w:t xml:space="preserve">that </w:t>
      </w:r>
      <w:r w:rsidRPr="00907B76">
        <w:rPr>
          <w:rFonts w:ascii="Times New Roman" w:eastAsia="Calibri" w:hAnsi="Times New Roman" w:cs="Times New Roman"/>
          <w:sz w:val="24"/>
          <w:szCs w:val="24"/>
        </w:rPr>
        <w:t xml:space="preserve">the report </w:t>
      </w:r>
      <w:r w:rsidR="002C4AAF">
        <w:rPr>
          <w:rFonts w:ascii="Times New Roman" w:eastAsia="Calibri" w:hAnsi="Times New Roman" w:cs="Times New Roman"/>
          <w:sz w:val="24"/>
          <w:szCs w:val="24"/>
        </w:rPr>
        <w:t>is</w:t>
      </w:r>
      <w:r w:rsidRPr="00907B76">
        <w:rPr>
          <w:rFonts w:ascii="Times New Roman" w:eastAsia="Calibri" w:hAnsi="Times New Roman" w:cs="Times New Roman"/>
          <w:sz w:val="24"/>
          <w:szCs w:val="24"/>
        </w:rPr>
        <w:t xml:space="preserve"> provided to the Secretary </w:t>
      </w:r>
      <w:r w:rsidR="00CF181D">
        <w:rPr>
          <w:rFonts w:ascii="Times New Roman" w:eastAsia="Calibri" w:hAnsi="Times New Roman" w:cs="Times New Roman"/>
          <w:sz w:val="24"/>
          <w:szCs w:val="24"/>
        </w:rPr>
        <w:t>within specified timeframes; namely:</w:t>
      </w:r>
    </w:p>
    <w:p w14:paraId="564F7CC2" w14:textId="3167971F" w:rsidR="00CF181D" w:rsidRDefault="00787781" w:rsidP="00916E6A">
      <w:pPr>
        <w:pStyle w:val="ListParagraph"/>
        <w:numPr>
          <w:ilvl w:val="0"/>
          <w:numId w:val="38"/>
        </w:num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if</w:t>
      </w:r>
      <w:r w:rsidR="00CF181D" w:rsidRPr="00CF181D">
        <w:rPr>
          <w:rFonts w:ascii="Times New Roman" w:eastAsia="Calibri" w:hAnsi="Times New Roman" w:cs="Times New Roman"/>
          <w:sz w:val="24"/>
          <w:szCs w:val="24"/>
        </w:rPr>
        <w:t xml:space="preserve"> the Secretary has requested an audit of a report that has already been provided under section 19E, 19F or 19H</w:t>
      </w:r>
      <w:r>
        <w:rPr>
          <w:rFonts w:ascii="Times New Roman" w:eastAsia="Calibri" w:hAnsi="Times New Roman" w:cs="Times New Roman"/>
          <w:sz w:val="24"/>
          <w:szCs w:val="24"/>
        </w:rPr>
        <w:t xml:space="preserve"> – no later than</w:t>
      </w:r>
      <w:r w:rsidR="002C4AAF">
        <w:rPr>
          <w:rFonts w:ascii="Times New Roman" w:eastAsia="Calibri" w:hAnsi="Times New Roman" w:cs="Times New Roman"/>
          <w:sz w:val="24"/>
          <w:szCs w:val="24"/>
        </w:rPr>
        <w:t xml:space="preserve"> </w:t>
      </w:r>
      <w:r w:rsidR="00CF181D" w:rsidRPr="00CF181D">
        <w:rPr>
          <w:rFonts w:ascii="Times New Roman" w:eastAsia="Calibri" w:hAnsi="Times New Roman" w:cs="Times New Roman"/>
          <w:sz w:val="24"/>
          <w:szCs w:val="24"/>
        </w:rPr>
        <w:t xml:space="preserve">90 days </w:t>
      </w:r>
      <w:r>
        <w:rPr>
          <w:rFonts w:ascii="Times New Roman" w:eastAsia="Calibri" w:hAnsi="Times New Roman" w:cs="Times New Roman"/>
          <w:sz w:val="24"/>
          <w:szCs w:val="24"/>
        </w:rPr>
        <w:t>after being requested</w:t>
      </w:r>
      <w:r w:rsidR="00CF181D" w:rsidRPr="00CF181D">
        <w:rPr>
          <w:rFonts w:ascii="Times New Roman" w:eastAsia="Calibri" w:hAnsi="Times New Roman" w:cs="Times New Roman"/>
          <w:sz w:val="24"/>
          <w:szCs w:val="24"/>
        </w:rPr>
        <w:t xml:space="preserve"> </w:t>
      </w:r>
    </w:p>
    <w:p w14:paraId="2BAE91D0" w14:textId="625EB0B1" w:rsidR="00CF181D" w:rsidRDefault="00787781" w:rsidP="00787781">
      <w:pPr>
        <w:pStyle w:val="ListParagraph"/>
        <w:numPr>
          <w:ilvl w:val="0"/>
          <w:numId w:val="38"/>
        </w:num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if</w:t>
      </w:r>
      <w:r w:rsidR="00CF181D" w:rsidRPr="00CF181D">
        <w:rPr>
          <w:rFonts w:ascii="Times New Roman" w:eastAsia="Calibri" w:hAnsi="Times New Roman" w:cs="Times New Roman"/>
          <w:sz w:val="24"/>
          <w:szCs w:val="24"/>
        </w:rPr>
        <w:t xml:space="preserve"> the Secretary has requested an audit of a report that has not yet been provided under section 19E, 19F or 19H</w:t>
      </w:r>
      <w:r>
        <w:rPr>
          <w:rFonts w:ascii="Times New Roman" w:eastAsia="Calibri" w:hAnsi="Times New Roman" w:cs="Times New Roman"/>
          <w:sz w:val="24"/>
          <w:szCs w:val="24"/>
        </w:rPr>
        <w:t xml:space="preserve"> </w:t>
      </w:r>
      <w:r w:rsidR="002C4AA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87781">
        <w:rPr>
          <w:rFonts w:ascii="Times New Roman" w:eastAsia="Calibri" w:hAnsi="Times New Roman" w:cs="Times New Roman"/>
          <w:sz w:val="24"/>
          <w:szCs w:val="24"/>
        </w:rPr>
        <w:t>no later than 60 days after the day the report was due to be provided</w:t>
      </w:r>
      <w:r w:rsidR="00CF181D" w:rsidRPr="00CF181D">
        <w:rPr>
          <w:rFonts w:ascii="Times New Roman" w:eastAsia="Calibri" w:hAnsi="Times New Roman" w:cs="Times New Roman"/>
          <w:sz w:val="24"/>
          <w:szCs w:val="24"/>
        </w:rPr>
        <w:t xml:space="preserve">, </w:t>
      </w:r>
      <w:r>
        <w:rPr>
          <w:rFonts w:ascii="Times New Roman" w:eastAsia="Calibri" w:hAnsi="Times New Roman" w:cs="Times New Roman"/>
          <w:sz w:val="24"/>
          <w:szCs w:val="24"/>
        </w:rPr>
        <w:t>although an alternative</w:t>
      </w:r>
      <w:r w:rsidR="00CF181D" w:rsidRPr="00CF181D">
        <w:rPr>
          <w:rFonts w:ascii="Times New Roman" w:eastAsia="Calibri" w:hAnsi="Times New Roman" w:cs="Times New Roman"/>
          <w:sz w:val="24"/>
          <w:szCs w:val="24"/>
        </w:rPr>
        <w:t xml:space="preserve"> timeframe </w:t>
      </w:r>
      <w:r>
        <w:rPr>
          <w:rFonts w:ascii="Times New Roman" w:eastAsia="Calibri" w:hAnsi="Times New Roman" w:cs="Times New Roman"/>
          <w:sz w:val="24"/>
          <w:szCs w:val="24"/>
        </w:rPr>
        <w:t>may</w:t>
      </w:r>
      <w:r w:rsidRPr="00CF181D">
        <w:rPr>
          <w:rFonts w:ascii="Times New Roman" w:eastAsia="Calibri" w:hAnsi="Times New Roman" w:cs="Times New Roman"/>
          <w:sz w:val="24"/>
          <w:szCs w:val="24"/>
        </w:rPr>
        <w:t xml:space="preserve"> </w:t>
      </w:r>
      <w:r w:rsidR="00CF181D" w:rsidRPr="00CF181D">
        <w:rPr>
          <w:rFonts w:ascii="Times New Roman" w:eastAsia="Calibri" w:hAnsi="Times New Roman" w:cs="Times New Roman"/>
          <w:sz w:val="24"/>
          <w:szCs w:val="24"/>
        </w:rPr>
        <w:t xml:space="preserve">be negotiated between the person and the Secretary. </w:t>
      </w:r>
    </w:p>
    <w:p w14:paraId="7439C31B" w14:textId="631C9866" w:rsidR="00B27472" w:rsidRPr="00CF181D" w:rsidRDefault="00CF181D" w:rsidP="00CF181D">
      <w:pPr>
        <w:spacing w:before="240" w:after="100" w:afterAutospacing="1"/>
        <w:rPr>
          <w:rFonts w:ascii="Times New Roman" w:eastAsia="Calibri" w:hAnsi="Times New Roman" w:cs="Times New Roman"/>
          <w:sz w:val="24"/>
          <w:szCs w:val="24"/>
        </w:rPr>
      </w:pPr>
      <w:r w:rsidRPr="00CF181D">
        <w:rPr>
          <w:rFonts w:ascii="Times New Roman" w:eastAsia="Calibri" w:hAnsi="Times New Roman" w:cs="Times New Roman"/>
          <w:sz w:val="24"/>
          <w:szCs w:val="24"/>
        </w:rPr>
        <w:lastRenderedPageBreak/>
        <w:t>More time is given to prepare audits of past reports as it is understood that digging up older documentation and files may be more time consuming than providing current information</w:t>
      </w:r>
      <w:r w:rsidR="00B27472" w:rsidRPr="00CF181D">
        <w:rPr>
          <w:rFonts w:ascii="Times New Roman" w:eastAsia="Calibri" w:hAnsi="Times New Roman" w:cs="Times New Roman"/>
          <w:sz w:val="24"/>
          <w:szCs w:val="24"/>
        </w:rPr>
        <w:t>.</w:t>
      </w:r>
    </w:p>
    <w:p w14:paraId="66FED6F2" w14:textId="77777777" w:rsidR="00B27472" w:rsidRDefault="00B27472" w:rsidP="00B27472">
      <w:pPr>
        <w:spacing w:before="240" w:after="100" w:afterAutospacing="1" w:line="276" w:lineRule="auto"/>
        <w:rPr>
          <w:rFonts w:ascii="Times New Roman" w:hAnsi="Times New Roman" w:cs="Times New Roman"/>
          <w:sz w:val="24"/>
          <w:szCs w:val="24"/>
        </w:rPr>
      </w:pPr>
      <w:r w:rsidRPr="00907B76">
        <w:rPr>
          <w:rFonts w:ascii="Times New Roman" w:eastAsia="Calibri" w:hAnsi="Times New Roman" w:cs="Times New Roman"/>
          <w:sz w:val="24"/>
          <w:szCs w:val="24"/>
        </w:rPr>
        <w:t>These audit reporting provisions complement, and are supported by, the duties applying under sections 13C and 13D of the POFR Act for persons to provide reasonable facilities and assistance for audits and to comply with requirements in relation to reports of audits.</w:t>
      </w:r>
      <w:r w:rsidRPr="010262BF">
        <w:rPr>
          <w:rFonts w:ascii="Times New Roman" w:eastAsia="Times New Roman" w:hAnsi="Times New Roman" w:cs="Times New Roman"/>
          <w:sz w:val="24"/>
          <w:szCs w:val="24"/>
        </w:rPr>
        <w:t xml:space="preserve"> </w:t>
      </w:r>
    </w:p>
    <w:p w14:paraId="66F37323" w14:textId="77777777" w:rsidR="00B27472" w:rsidRDefault="00B27472" w:rsidP="00B27472">
      <w:pPr>
        <w:spacing w:before="240" w:after="100" w:afterAutospacing="1" w:line="276" w:lineRule="auto"/>
        <w:rPr>
          <w:rFonts w:ascii="Times New Roman" w:eastAsia="Calibri" w:hAnsi="Times New Roman" w:cs="Times New Roman"/>
          <w:sz w:val="24"/>
          <w:szCs w:val="24"/>
        </w:rPr>
      </w:pPr>
      <w:r>
        <w:rPr>
          <w:rFonts w:ascii="Times New Roman" w:eastAsia="Calibri" w:hAnsi="Times New Roman" w:cs="Times New Roman"/>
          <w:sz w:val="24"/>
          <w:szCs w:val="24"/>
        </w:rPr>
        <w:t>Under subsection 19J</w:t>
      </w:r>
      <w:r w:rsidRPr="002D6C18">
        <w:rPr>
          <w:rFonts w:ascii="Times New Roman" w:eastAsia="Calibri" w:hAnsi="Times New Roman" w:cs="Times New Roman"/>
          <w:sz w:val="24"/>
          <w:szCs w:val="24"/>
        </w:rPr>
        <w:t>(5), the Secretary is limited to requesting such an audit once per financial year, unless a significant discrepancy is identified in the fuel information reported which would justify further audit requests to be made.</w:t>
      </w:r>
    </w:p>
    <w:p w14:paraId="1C80DE8A" w14:textId="27BEA0F9" w:rsidR="004D1B44" w:rsidRDefault="00CF181D" w:rsidP="001009B7">
      <w:pPr>
        <w:spacing w:before="240" w:after="100" w:afterAutospacing="1" w:line="276" w:lineRule="auto"/>
        <w:rPr>
          <w:rFonts w:ascii="Times New Roman" w:eastAsia="Times New Roman" w:hAnsi="Times New Roman" w:cs="Times New Roman"/>
          <w:sz w:val="24"/>
          <w:szCs w:val="24"/>
        </w:rPr>
      </w:pPr>
      <w:r w:rsidRPr="002D6C18">
        <w:rPr>
          <w:rFonts w:ascii="Times New Roman" w:eastAsia="Calibri" w:hAnsi="Times New Roman" w:cs="Times New Roman"/>
          <w:sz w:val="24"/>
          <w:szCs w:val="24"/>
        </w:rPr>
        <w:t xml:space="preserve">As the </w:t>
      </w:r>
      <w:r>
        <w:rPr>
          <w:rFonts w:ascii="Times New Roman" w:eastAsia="Calibri" w:hAnsi="Times New Roman" w:cs="Times New Roman"/>
          <w:sz w:val="24"/>
          <w:szCs w:val="24"/>
        </w:rPr>
        <w:t>MSO</w:t>
      </w:r>
      <w:r w:rsidRPr="002D6C18">
        <w:rPr>
          <w:rFonts w:ascii="Times New Roman" w:eastAsia="Calibri" w:hAnsi="Times New Roman" w:cs="Times New Roman"/>
          <w:sz w:val="24"/>
          <w:szCs w:val="24"/>
        </w:rPr>
        <w:t xml:space="preserve"> scheme develops over time, the need for audits can be reassessed to ensure they are proportionate and do not impose unnecessary costs or regulatory burden.</w:t>
      </w:r>
      <w:r w:rsidRPr="010262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these audits are a compliance activity, there is no merits review of the decision to request such reports. </w:t>
      </w:r>
    </w:p>
    <w:p w14:paraId="1452C872" w14:textId="31A9655E" w:rsidR="0002522B" w:rsidRDefault="0002522B" w:rsidP="001009B7">
      <w:pPr>
        <w:spacing w:before="240" w:after="100" w:afterAutospacing="1"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NGER (Audit) Determination is already defined by the POFR Rules and incorporated as in force from time to time. It is available from </w:t>
      </w:r>
      <w:hyperlink r:id="rId19" w:history="1">
        <w:r w:rsidRPr="000C44D1">
          <w:rPr>
            <w:rStyle w:val="Hyperlink"/>
            <w:rFonts w:ascii="Times New Roman" w:eastAsia="Calibri" w:hAnsi="Times New Roman" w:cs="Times New Roman"/>
            <w:sz w:val="24"/>
            <w:szCs w:val="24"/>
          </w:rPr>
          <w:t>www.legislation.gov.au</w:t>
        </w:r>
      </w:hyperlink>
      <w:r>
        <w:rPr>
          <w:rFonts w:ascii="Times New Roman" w:eastAsia="Calibri" w:hAnsi="Times New Roman" w:cs="Times New Roman"/>
          <w:sz w:val="24"/>
          <w:szCs w:val="24"/>
        </w:rPr>
        <w:t xml:space="preserve">. </w:t>
      </w:r>
    </w:p>
    <w:p w14:paraId="755CC262" w14:textId="01250F71" w:rsidR="00BB7A37" w:rsidRDefault="00BB7A37" w:rsidP="001009B7">
      <w:pPr>
        <w:spacing w:before="240" w:after="100" w:afterAutospacing="1" w:line="276" w:lineRule="auto"/>
        <w:rPr>
          <w:rFonts w:ascii="Times New Roman" w:eastAsia="Calibri" w:hAnsi="Times New Roman" w:cs="Times New Roman"/>
          <w:sz w:val="24"/>
          <w:szCs w:val="24"/>
        </w:rPr>
      </w:pPr>
    </w:p>
    <w:p w14:paraId="50A5BBDE" w14:textId="76322136" w:rsidR="00BB7A37" w:rsidRPr="001009B7" w:rsidRDefault="00BB7A37" w:rsidP="001009B7">
      <w:pPr>
        <w:spacing w:before="240" w:after="100" w:afterAutospacing="1" w:line="276" w:lineRule="auto"/>
        <w:rPr>
          <w:rFonts w:ascii="Times New Roman" w:eastAsia="Calibri" w:hAnsi="Times New Roman" w:cs="Times New Roman"/>
          <w:sz w:val="24"/>
          <w:szCs w:val="24"/>
        </w:rPr>
      </w:pPr>
    </w:p>
    <w:sectPr w:rsidR="00BB7A37" w:rsidRPr="001009B7" w:rsidSect="00033FDE">
      <w:headerReference w:type="even" r:id="rId20"/>
      <w:head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6F7A8" w14:textId="77777777" w:rsidR="00135104" w:rsidRDefault="00135104" w:rsidP="00033FDE">
      <w:pPr>
        <w:spacing w:after="0" w:line="240" w:lineRule="auto"/>
      </w:pPr>
      <w:r>
        <w:separator/>
      </w:r>
    </w:p>
  </w:endnote>
  <w:endnote w:type="continuationSeparator" w:id="0">
    <w:p w14:paraId="3355DC37" w14:textId="77777777" w:rsidR="00135104" w:rsidRDefault="00135104" w:rsidP="00033FDE">
      <w:pPr>
        <w:spacing w:after="0" w:line="240" w:lineRule="auto"/>
      </w:pPr>
      <w:r>
        <w:continuationSeparator/>
      </w:r>
    </w:p>
  </w:endnote>
  <w:endnote w:type="continuationNotice" w:id="1">
    <w:p w14:paraId="672F96D1" w14:textId="77777777" w:rsidR="00135104" w:rsidRDefault="001351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8D9C8" w14:textId="77777777" w:rsidR="00D636C3" w:rsidRDefault="00D63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232412"/>
      <w:docPartObj>
        <w:docPartGallery w:val="Page Numbers (Bottom of Page)"/>
        <w:docPartUnique/>
      </w:docPartObj>
    </w:sdtPr>
    <w:sdtEndPr>
      <w:rPr>
        <w:noProof/>
      </w:rPr>
    </w:sdtEndPr>
    <w:sdtContent>
      <w:p w14:paraId="58D210AB" w14:textId="752D2281" w:rsidR="00135104" w:rsidRDefault="00135104">
        <w:pPr>
          <w:pStyle w:val="Footer"/>
          <w:jc w:val="center"/>
        </w:pPr>
        <w:r>
          <w:fldChar w:fldCharType="begin"/>
        </w:r>
        <w:r>
          <w:instrText xml:space="preserve"> PAGE   \* MERGEFORMAT </w:instrText>
        </w:r>
        <w:r>
          <w:fldChar w:fldCharType="separate"/>
        </w:r>
        <w:r w:rsidR="00D636C3">
          <w:rPr>
            <w:noProof/>
          </w:rPr>
          <w:t>1</w:t>
        </w:r>
        <w:r>
          <w:rPr>
            <w:noProof/>
          </w:rPr>
          <w:fldChar w:fldCharType="end"/>
        </w:r>
      </w:p>
    </w:sdtContent>
  </w:sdt>
  <w:p w14:paraId="4ED84AC7" w14:textId="77777777" w:rsidR="00135104" w:rsidRDefault="001351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AE130" w14:textId="77777777" w:rsidR="00D636C3" w:rsidRDefault="00D63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9A910" w14:textId="77777777" w:rsidR="00135104" w:rsidRDefault="00135104" w:rsidP="00033FDE">
      <w:pPr>
        <w:spacing w:after="0" w:line="240" w:lineRule="auto"/>
      </w:pPr>
      <w:r>
        <w:separator/>
      </w:r>
    </w:p>
  </w:footnote>
  <w:footnote w:type="continuationSeparator" w:id="0">
    <w:p w14:paraId="20ABA58C" w14:textId="77777777" w:rsidR="00135104" w:rsidRDefault="00135104" w:rsidP="00033FDE">
      <w:pPr>
        <w:spacing w:after="0" w:line="240" w:lineRule="auto"/>
      </w:pPr>
      <w:r>
        <w:continuationSeparator/>
      </w:r>
    </w:p>
  </w:footnote>
  <w:footnote w:type="continuationNotice" w:id="1">
    <w:p w14:paraId="727D03DE" w14:textId="77777777" w:rsidR="00135104" w:rsidRDefault="0013510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963B8" w14:textId="641E76C2" w:rsidR="00D636C3" w:rsidRDefault="00D636C3">
    <w:pPr>
      <w:pStyle w:val="Header"/>
    </w:pPr>
    <w:r>
      <w:rPr>
        <w:noProof/>
      </w:rPr>
      <w:pict w14:anchorId="104C8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56657" o:spid="_x0000_s71682"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0C5F2" w14:textId="030C44E5" w:rsidR="00135104" w:rsidRDefault="00D636C3">
    <w:pPr>
      <w:pStyle w:val="Header"/>
    </w:pPr>
    <w:r>
      <w:rPr>
        <w:noProof/>
      </w:rPr>
      <w:pict w14:anchorId="5574F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56658" o:spid="_x0000_s71683"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p w14:paraId="53D08786" w14:textId="77777777" w:rsidR="00135104" w:rsidRDefault="001351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5A961" w14:textId="65688B9F" w:rsidR="00135104" w:rsidRDefault="00D636C3">
    <w:pPr>
      <w:pStyle w:val="Header"/>
    </w:pPr>
    <w:r>
      <w:rPr>
        <w:noProof/>
      </w:rPr>
      <w:pict w14:anchorId="6DA17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56656" o:spid="_x0000_s71681"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r w:rsidR="00135104">
      <w:rPr>
        <w:noProof/>
        <w:lang w:eastAsia="en-AU"/>
      </w:rPr>
      <w:drawing>
        <wp:inline distT="0" distB="0" distL="0" distR="0" wp14:anchorId="2C2D8998" wp14:editId="6A0468C1">
          <wp:extent cx="2678430" cy="694055"/>
          <wp:effectExtent l="0" t="0" r="7620" b="0"/>
          <wp:docPr id="1" name="Picture 1"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02F93" w14:textId="249ED91B" w:rsidR="00D636C3" w:rsidRDefault="00D636C3">
    <w:pPr>
      <w:pStyle w:val="Header"/>
    </w:pPr>
    <w:r>
      <w:rPr>
        <w:noProof/>
      </w:rPr>
      <w:pict w14:anchorId="04289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56660" o:spid="_x0000_s71685" type="#_x0000_t136" style="position:absolute;margin-left:0;margin-top:0;width:397.65pt;height:238.6pt;rotation:315;z-index:-25164902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45EE" w14:textId="3D88D4D8" w:rsidR="00D636C3" w:rsidRDefault="00D636C3">
    <w:pPr>
      <w:pStyle w:val="Header"/>
    </w:pPr>
    <w:r>
      <w:rPr>
        <w:noProof/>
      </w:rPr>
      <w:pict w14:anchorId="540E2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56661" o:spid="_x0000_s71686" type="#_x0000_t136" style="position:absolute;margin-left:0;margin-top:0;width:397.65pt;height:238.6pt;rotation:315;z-index:-25164697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283C6" w14:textId="5C2E41A2" w:rsidR="00135104" w:rsidRDefault="00D636C3">
    <w:pPr>
      <w:pStyle w:val="Header"/>
    </w:pPr>
    <w:r>
      <w:rPr>
        <w:noProof/>
      </w:rPr>
      <w:pict w14:anchorId="0A6B9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56659" o:spid="_x0000_s71684"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v:shape>
      </w:pict>
    </w:r>
    <w:r w:rsidR="00135104">
      <w:rPr>
        <w:noProof/>
        <w:lang w:eastAsia="en-AU"/>
      </w:rPr>
      <w:drawing>
        <wp:inline distT="0" distB="0" distL="0" distR="0" wp14:anchorId="5A2601F1" wp14:editId="7F257189">
          <wp:extent cx="2678430" cy="694055"/>
          <wp:effectExtent l="0" t="0" r="7620" b="0"/>
          <wp:docPr id="2" name="Picture 2"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EFA"/>
    <w:multiLevelType w:val="hybridMultilevel"/>
    <w:tmpl w:val="EE98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3B0CAC"/>
    <w:multiLevelType w:val="hybridMultilevel"/>
    <w:tmpl w:val="C75EF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85E1F"/>
    <w:multiLevelType w:val="hybridMultilevel"/>
    <w:tmpl w:val="CB2E2BCE"/>
    <w:lvl w:ilvl="0" w:tplc="821E20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D06D7B"/>
    <w:multiLevelType w:val="hybridMultilevel"/>
    <w:tmpl w:val="D0C25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A1EF9"/>
    <w:multiLevelType w:val="hybridMultilevel"/>
    <w:tmpl w:val="F894E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F45EA"/>
    <w:multiLevelType w:val="hybridMultilevel"/>
    <w:tmpl w:val="0B08A09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A41C95"/>
    <w:multiLevelType w:val="hybridMultilevel"/>
    <w:tmpl w:val="52F85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2485D"/>
    <w:multiLevelType w:val="hybridMultilevel"/>
    <w:tmpl w:val="BA40BDEC"/>
    <w:lvl w:ilvl="0" w:tplc="C8BC4DC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33E5E"/>
    <w:multiLevelType w:val="hybridMultilevel"/>
    <w:tmpl w:val="98125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D73E54"/>
    <w:multiLevelType w:val="hybridMultilevel"/>
    <w:tmpl w:val="D2FA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D36272"/>
    <w:multiLevelType w:val="hybridMultilevel"/>
    <w:tmpl w:val="F8E4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304D47"/>
    <w:multiLevelType w:val="hybridMultilevel"/>
    <w:tmpl w:val="CB08A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7A470E"/>
    <w:multiLevelType w:val="hybridMultilevel"/>
    <w:tmpl w:val="F610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436F8F"/>
    <w:multiLevelType w:val="hybridMultilevel"/>
    <w:tmpl w:val="2556A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006D65"/>
    <w:multiLevelType w:val="hybridMultilevel"/>
    <w:tmpl w:val="F03CF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B60A61"/>
    <w:multiLevelType w:val="hybridMultilevel"/>
    <w:tmpl w:val="CED8F16C"/>
    <w:lvl w:ilvl="0" w:tplc="7D56E86E">
      <w:start w:val="1"/>
      <w:numFmt w:val="bullet"/>
      <w:lvlText w:val=""/>
      <w:lvlJc w:val="left"/>
      <w:pPr>
        <w:ind w:left="720" w:hanging="360"/>
      </w:pPr>
      <w:rPr>
        <w:rFonts w:ascii="Symbol" w:hAnsi="Symbol" w:hint="default"/>
      </w:rPr>
    </w:lvl>
    <w:lvl w:ilvl="1" w:tplc="5C768FC2">
      <w:start w:val="1"/>
      <w:numFmt w:val="bullet"/>
      <w:lvlText w:val=""/>
      <w:lvlJc w:val="left"/>
      <w:pPr>
        <w:ind w:left="1440" w:hanging="360"/>
      </w:pPr>
      <w:rPr>
        <w:rFonts w:ascii="Symbol" w:hAnsi="Symbol" w:hint="default"/>
      </w:rPr>
    </w:lvl>
    <w:lvl w:ilvl="2" w:tplc="81C4A8BC">
      <w:start w:val="1"/>
      <w:numFmt w:val="bullet"/>
      <w:lvlText w:val=""/>
      <w:lvlJc w:val="left"/>
      <w:pPr>
        <w:ind w:left="2160" w:hanging="360"/>
      </w:pPr>
      <w:rPr>
        <w:rFonts w:ascii="Wingdings" w:hAnsi="Wingdings" w:hint="default"/>
      </w:rPr>
    </w:lvl>
    <w:lvl w:ilvl="3" w:tplc="C444DA9E">
      <w:start w:val="1"/>
      <w:numFmt w:val="bullet"/>
      <w:lvlText w:val=""/>
      <w:lvlJc w:val="left"/>
      <w:pPr>
        <w:ind w:left="2880" w:hanging="360"/>
      </w:pPr>
      <w:rPr>
        <w:rFonts w:ascii="Symbol" w:hAnsi="Symbol" w:hint="default"/>
      </w:rPr>
    </w:lvl>
    <w:lvl w:ilvl="4" w:tplc="5CB4EE70">
      <w:start w:val="1"/>
      <w:numFmt w:val="bullet"/>
      <w:lvlText w:val="o"/>
      <w:lvlJc w:val="left"/>
      <w:pPr>
        <w:ind w:left="3600" w:hanging="360"/>
      </w:pPr>
      <w:rPr>
        <w:rFonts w:ascii="Courier New" w:hAnsi="Courier New" w:hint="default"/>
      </w:rPr>
    </w:lvl>
    <w:lvl w:ilvl="5" w:tplc="F374486E">
      <w:start w:val="1"/>
      <w:numFmt w:val="bullet"/>
      <w:lvlText w:val=""/>
      <w:lvlJc w:val="left"/>
      <w:pPr>
        <w:ind w:left="4320" w:hanging="360"/>
      </w:pPr>
      <w:rPr>
        <w:rFonts w:ascii="Wingdings" w:hAnsi="Wingdings" w:hint="default"/>
      </w:rPr>
    </w:lvl>
    <w:lvl w:ilvl="6" w:tplc="1836257C">
      <w:start w:val="1"/>
      <w:numFmt w:val="bullet"/>
      <w:lvlText w:val=""/>
      <w:lvlJc w:val="left"/>
      <w:pPr>
        <w:ind w:left="5040" w:hanging="360"/>
      </w:pPr>
      <w:rPr>
        <w:rFonts w:ascii="Symbol" w:hAnsi="Symbol" w:hint="default"/>
      </w:rPr>
    </w:lvl>
    <w:lvl w:ilvl="7" w:tplc="90F45E54">
      <w:start w:val="1"/>
      <w:numFmt w:val="bullet"/>
      <w:lvlText w:val="o"/>
      <w:lvlJc w:val="left"/>
      <w:pPr>
        <w:ind w:left="5760" w:hanging="360"/>
      </w:pPr>
      <w:rPr>
        <w:rFonts w:ascii="Courier New" w:hAnsi="Courier New" w:hint="default"/>
      </w:rPr>
    </w:lvl>
    <w:lvl w:ilvl="8" w:tplc="1E9A3FA4">
      <w:start w:val="1"/>
      <w:numFmt w:val="bullet"/>
      <w:lvlText w:val=""/>
      <w:lvlJc w:val="left"/>
      <w:pPr>
        <w:ind w:left="6480" w:hanging="360"/>
      </w:pPr>
      <w:rPr>
        <w:rFonts w:ascii="Wingdings" w:hAnsi="Wingdings" w:hint="default"/>
      </w:rPr>
    </w:lvl>
  </w:abstractNum>
  <w:abstractNum w:abstractNumId="16" w15:restartNumberingAfterBreak="0">
    <w:nsid w:val="3E3246A8"/>
    <w:multiLevelType w:val="hybridMultilevel"/>
    <w:tmpl w:val="C6181A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782562"/>
    <w:multiLevelType w:val="hybridMultilevel"/>
    <w:tmpl w:val="98046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F15549"/>
    <w:multiLevelType w:val="hybridMultilevel"/>
    <w:tmpl w:val="564C3D54"/>
    <w:lvl w:ilvl="0" w:tplc="7DD82C06">
      <w:start w:val="1"/>
      <w:numFmt w:val="lowerLetter"/>
      <w:lvlText w:val="(%1)"/>
      <w:lvlJc w:val="left"/>
      <w:pPr>
        <w:ind w:left="720" w:hanging="6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9" w15:restartNumberingAfterBreak="0">
    <w:nsid w:val="4B7E59A9"/>
    <w:multiLevelType w:val="hybridMultilevel"/>
    <w:tmpl w:val="CA48AAB8"/>
    <w:lvl w:ilvl="0" w:tplc="E4DC8702">
      <w:start w:val="1"/>
      <w:numFmt w:val="bullet"/>
      <w:lvlText w:val=""/>
      <w:lvlJc w:val="left"/>
      <w:pPr>
        <w:ind w:left="720" w:hanging="360"/>
      </w:pPr>
      <w:rPr>
        <w:rFonts w:ascii="Symbol" w:hAnsi="Symbol" w:hint="default"/>
      </w:rPr>
    </w:lvl>
    <w:lvl w:ilvl="1" w:tplc="0224838A">
      <w:start w:val="1"/>
      <w:numFmt w:val="bullet"/>
      <w:lvlText w:val="o"/>
      <w:lvlJc w:val="left"/>
      <w:pPr>
        <w:ind w:left="1440" w:hanging="360"/>
      </w:pPr>
      <w:rPr>
        <w:rFonts w:ascii="Courier New" w:hAnsi="Courier New" w:hint="default"/>
      </w:rPr>
    </w:lvl>
    <w:lvl w:ilvl="2" w:tplc="C43CDDFE">
      <w:start w:val="1"/>
      <w:numFmt w:val="bullet"/>
      <w:lvlText w:val=""/>
      <w:lvlJc w:val="left"/>
      <w:pPr>
        <w:ind w:left="2160" w:hanging="360"/>
      </w:pPr>
      <w:rPr>
        <w:rFonts w:ascii="Wingdings" w:hAnsi="Wingdings" w:hint="default"/>
      </w:rPr>
    </w:lvl>
    <w:lvl w:ilvl="3" w:tplc="DFFC4204">
      <w:start w:val="1"/>
      <w:numFmt w:val="bullet"/>
      <w:lvlText w:val=""/>
      <w:lvlJc w:val="left"/>
      <w:pPr>
        <w:ind w:left="2880" w:hanging="360"/>
      </w:pPr>
      <w:rPr>
        <w:rFonts w:ascii="Symbol" w:hAnsi="Symbol" w:hint="default"/>
      </w:rPr>
    </w:lvl>
    <w:lvl w:ilvl="4" w:tplc="1E88AAB2">
      <w:start w:val="1"/>
      <w:numFmt w:val="bullet"/>
      <w:lvlText w:val="o"/>
      <w:lvlJc w:val="left"/>
      <w:pPr>
        <w:ind w:left="3600" w:hanging="360"/>
      </w:pPr>
      <w:rPr>
        <w:rFonts w:ascii="Courier New" w:hAnsi="Courier New" w:hint="default"/>
      </w:rPr>
    </w:lvl>
    <w:lvl w:ilvl="5" w:tplc="13A4B754">
      <w:start w:val="1"/>
      <w:numFmt w:val="bullet"/>
      <w:lvlText w:val=""/>
      <w:lvlJc w:val="left"/>
      <w:pPr>
        <w:ind w:left="4320" w:hanging="360"/>
      </w:pPr>
      <w:rPr>
        <w:rFonts w:ascii="Wingdings" w:hAnsi="Wingdings" w:hint="default"/>
      </w:rPr>
    </w:lvl>
    <w:lvl w:ilvl="6" w:tplc="B212F426">
      <w:start w:val="1"/>
      <w:numFmt w:val="bullet"/>
      <w:lvlText w:val=""/>
      <w:lvlJc w:val="left"/>
      <w:pPr>
        <w:ind w:left="5040" w:hanging="360"/>
      </w:pPr>
      <w:rPr>
        <w:rFonts w:ascii="Symbol" w:hAnsi="Symbol" w:hint="default"/>
      </w:rPr>
    </w:lvl>
    <w:lvl w:ilvl="7" w:tplc="D92ABE18">
      <w:start w:val="1"/>
      <w:numFmt w:val="bullet"/>
      <w:lvlText w:val="o"/>
      <w:lvlJc w:val="left"/>
      <w:pPr>
        <w:ind w:left="5760" w:hanging="360"/>
      </w:pPr>
      <w:rPr>
        <w:rFonts w:ascii="Courier New" w:hAnsi="Courier New" w:hint="default"/>
      </w:rPr>
    </w:lvl>
    <w:lvl w:ilvl="8" w:tplc="544EC8C0">
      <w:start w:val="1"/>
      <w:numFmt w:val="bullet"/>
      <w:lvlText w:val=""/>
      <w:lvlJc w:val="left"/>
      <w:pPr>
        <w:ind w:left="6480" w:hanging="360"/>
      </w:pPr>
      <w:rPr>
        <w:rFonts w:ascii="Wingdings" w:hAnsi="Wingdings" w:hint="default"/>
      </w:rPr>
    </w:lvl>
  </w:abstractNum>
  <w:abstractNum w:abstractNumId="20" w15:restartNumberingAfterBreak="0">
    <w:nsid w:val="4BA951FC"/>
    <w:multiLevelType w:val="hybridMultilevel"/>
    <w:tmpl w:val="06B00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A16FDF"/>
    <w:multiLevelType w:val="hybridMultilevel"/>
    <w:tmpl w:val="F926B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501F84"/>
    <w:multiLevelType w:val="hybridMultilevel"/>
    <w:tmpl w:val="A7FAC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014BA7"/>
    <w:multiLevelType w:val="hybridMultilevel"/>
    <w:tmpl w:val="32D0C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2E10FD"/>
    <w:multiLevelType w:val="hybridMultilevel"/>
    <w:tmpl w:val="A154A084"/>
    <w:lvl w:ilvl="0" w:tplc="A6EACFDA">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8B5E09"/>
    <w:multiLevelType w:val="hybridMultilevel"/>
    <w:tmpl w:val="9B58E6BE"/>
    <w:lvl w:ilvl="0" w:tplc="C80C1C58">
      <w:start w:val="1"/>
      <w:numFmt w:val="bullet"/>
      <w:lvlText w:val=""/>
      <w:lvlJc w:val="left"/>
      <w:pPr>
        <w:ind w:left="720" w:hanging="360"/>
      </w:pPr>
      <w:rPr>
        <w:rFonts w:ascii="Symbol" w:hAnsi="Symbol" w:hint="default"/>
      </w:rPr>
    </w:lvl>
    <w:lvl w:ilvl="1" w:tplc="B0F2E390">
      <w:start w:val="1"/>
      <w:numFmt w:val="bullet"/>
      <w:lvlText w:val=""/>
      <w:lvlJc w:val="left"/>
      <w:pPr>
        <w:ind w:left="1440" w:hanging="360"/>
      </w:pPr>
      <w:rPr>
        <w:rFonts w:ascii="Symbol" w:hAnsi="Symbol" w:hint="default"/>
      </w:rPr>
    </w:lvl>
    <w:lvl w:ilvl="2" w:tplc="D0DE858A">
      <w:start w:val="1"/>
      <w:numFmt w:val="bullet"/>
      <w:lvlText w:val=""/>
      <w:lvlJc w:val="left"/>
      <w:pPr>
        <w:ind w:left="2160" w:hanging="360"/>
      </w:pPr>
      <w:rPr>
        <w:rFonts w:ascii="Wingdings" w:hAnsi="Wingdings" w:hint="default"/>
      </w:rPr>
    </w:lvl>
    <w:lvl w:ilvl="3" w:tplc="81EA9100">
      <w:start w:val="1"/>
      <w:numFmt w:val="bullet"/>
      <w:lvlText w:val=""/>
      <w:lvlJc w:val="left"/>
      <w:pPr>
        <w:ind w:left="2880" w:hanging="360"/>
      </w:pPr>
      <w:rPr>
        <w:rFonts w:ascii="Symbol" w:hAnsi="Symbol" w:hint="default"/>
      </w:rPr>
    </w:lvl>
    <w:lvl w:ilvl="4" w:tplc="3AE249E8">
      <w:start w:val="1"/>
      <w:numFmt w:val="bullet"/>
      <w:lvlText w:val="o"/>
      <w:lvlJc w:val="left"/>
      <w:pPr>
        <w:ind w:left="3600" w:hanging="360"/>
      </w:pPr>
      <w:rPr>
        <w:rFonts w:ascii="Courier New" w:hAnsi="Courier New" w:hint="default"/>
      </w:rPr>
    </w:lvl>
    <w:lvl w:ilvl="5" w:tplc="C484B8FE">
      <w:start w:val="1"/>
      <w:numFmt w:val="bullet"/>
      <w:lvlText w:val=""/>
      <w:lvlJc w:val="left"/>
      <w:pPr>
        <w:ind w:left="4320" w:hanging="360"/>
      </w:pPr>
      <w:rPr>
        <w:rFonts w:ascii="Wingdings" w:hAnsi="Wingdings" w:hint="default"/>
      </w:rPr>
    </w:lvl>
    <w:lvl w:ilvl="6" w:tplc="8774F83A">
      <w:start w:val="1"/>
      <w:numFmt w:val="bullet"/>
      <w:lvlText w:val=""/>
      <w:lvlJc w:val="left"/>
      <w:pPr>
        <w:ind w:left="5040" w:hanging="360"/>
      </w:pPr>
      <w:rPr>
        <w:rFonts w:ascii="Symbol" w:hAnsi="Symbol" w:hint="default"/>
      </w:rPr>
    </w:lvl>
    <w:lvl w:ilvl="7" w:tplc="93EC3F14">
      <w:start w:val="1"/>
      <w:numFmt w:val="bullet"/>
      <w:lvlText w:val="o"/>
      <w:lvlJc w:val="left"/>
      <w:pPr>
        <w:ind w:left="5760" w:hanging="360"/>
      </w:pPr>
      <w:rPr>
        <w:rFonts w:ascii="Courier New" w:hAnsi="Courier New" w:hint="default"/>
      </w:rPr>
    </w:lvl>
    <w:lvl w:ilvl="8" w:tplc="5216ABA0">
      <w:start w:val="1"/>
      <w:numFmt w:val="bullet"/>
      <w:lvlText w:val=""/>
      <w:lvlJc w:val="left"/>
      <w:pPr>
        <w:ind w:left="6480" w:hanging="360"/>
      </w:pPr>
      <w:rPr>
        <w:rFonts w:ascii="Wingdings" w:hAnsi="Wingdings" w:hint="default"/>
      </w:rPr>
    </w:lvl>
  </w:abstractNum>
  <w:abstractNum w:abstractNumId="26" w15:restartNumberingAfterBreak="0">
    <w:nsid w:val="56C7669A"/>
    <w:multiLevelType w:val="hybridMultilevel"/>
    <w:tmpl w:val="D484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373612"/>
    <w:multiLevelType w:val="hybridMultilevel"/>
    <w:tmpl w:val="35A2C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4E1D8F"/>
    <w:multiLevelType w:val="hybridMultilevel"/>
    <w:tmpl w:val="D30E4FE4"/>
    <w:lvl w:ilvl="0" w:tplc="F4BEB66C">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E452E6"/>
    <w:multiLevelType w:val="hybridMultilevel"/>
    <w:tmpl w:val="0788702E"/>
    <w:lvl w:ilvl="0" w:tplc="0C090017">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74696F"/>
    <w:multiLevelType w:val="hybridMultilevel"/>
    <w:tmpl w:val="1FA67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9A5F35"/>
    <w:multiLevelType w:val="multilevel"/>
    <w:tmpl w:val="9B5EDE1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07158E"/>
    <w:multiLevelType w:val="hybridMultilevel"/>
    <w:tmpl w:val="18085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6D1DAD"/>
    <w:multiLevelType w:val="hybridMultilevel"/>
    <w:tmpl w:val="61E03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73603C"/>
    <w:multiLevelType w:val="hybridMultilevel"/>
    <w:tmpl w:val="68D67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0C0129"/>
    <w:multiLevelType w:val="hybridMultilevel"/>
    <w:tmpl w:val="3C3C5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E3182"/>
    <w:multiLevelType w:val="hybridMultilevel"/>
    <w:tmpl w:val="EB302368"/>
    <w:lvl w:ilvl="0" w:tplc="C2AE2E7A">
      <w:start w:val="1"/>
      <w:numFmt w:val="bullet"/>
      <w:lvlText w:val=""/>
      <w:lvlJc w:val="left"/>
      <w:pPr>
        <w:ind w:left="720" w:hanging="360"/>
      </w:pPr>
      <w:rPr>
        <w:rFonts w:ascii="Symbol" w:hAnsi="Symbol" w:hint="default"/>
      </w:rPr>
    </w:lvl>
    <w:lvl w:ilvl="1" w:tplc="6BFE4C80">
      <w:start w:val="1"/>
      <w:numFmt w:val="bullet"/>
      <w:lvlText w:val="o"/>
      <w:lvlJc w:val="left"/>
      <w:pPr>
        <w:ind w:left="1440" w:hanging="360"/>
      </w:pPr>
      <w:rPr>
        <w:rFonts w:ascii="Courier New" w:hAnsi="Courier New" w:hint="default"/>
      </w:rPr>
    </w:lvl>
    <w:lvl w:ilvl="2" w:tplc="2546418E">
      <w:start w:val="1"/>
      <w:numFmt w:val="bullet"/>
      <w:lvlText w:val=""/>
      <w:lvlJc w:val="left"/>
      <w:pPr>
        <w:ind w:left="2160" w:hanging="360"/>
      </w:pPr>
      <w:rPr>
        <w:rFonts w:ascii="Wingdings" w:hAnsi="Wingdings" w:hint="default"/>
      </w:rPr>
    </w:lvl>
    <w:lvl w:ilvl="3" w:tplc="4BA09A84">
      <w:start w:val="1"/>
      <w:numFmt w:val="bullet"/>
      <w:lvlText w:val=""/>
      <w:lvlJc w:val="left"/>
      <w:pPr>
        <w:ind w:left="2880" w:hanging="360"/>
      </w:pPr>
      <w:rPr>
        <w:rFonts w:ascii="Symbol" w:hAnsi="Symbol" w:hint="default"/>
      </w:rPr>
    </w:lvl>
    <w:lvl w:ilvl="4" w:tplc="50483CFE">
      <w:start w:val="1"/>
      <w:numFmt w:val="bullet"/>
      <w:lvlText w:val="o"/>
      <w:lvlJc w:val="left"/>
      <w:pPr>
        <w:ind w:left="3600" w:hanging="360"/>
      </w:pPr>
      <w:rPr>
        <w:rFonts w:ascii="Courier New" w:hAnsi="Courier New" w:hint="default"/>
      </w:rPr>
    </w:lvl>
    <w:lvl w:ilvl="5" w:tplc="3A7026D6">
      <w:start w:val="1"/>
      <w:numFmt w:val="bullet"/>
      <w:lvlText w:val=""/>
      <w:lvlJc w:val="left"/>
      <w:pPr>
        <w:ind w:left="4320" w:hanging="360"/>
      </w:pPr>
      <w:rPr>
        <w:rFonts w:ascii="Wingdings" w:hAnsi="Wingdings" w:hint="default"/>
      </w:rPr>
    </w:lvl>
    <w:lvl w:ilvl="6" w:tplc="5FB62ABE">
      <w:start w:val="1"/>
      <w:numFmt w:val="bullet"/>
      <w:lvlText w:val=""/>
      <w:lvlJc w:val="left"/>
      <w:pPr>
        <w:ind w:left="5040" w:hanging="360"/>
      </w:pPr>
      <w:rPr>
        <w:rFonts w:ascii="Symbol" w:hAnsi="Symbol" w:hint="default"/>
      </w:rPr>
    </w:lvl>
    <w:lvl w:ilvl="7" w:tplc="322E7EB0">
      <w:start w:val="1"/>
      <w:numFmt w:val="bullet"/>
      <w:lvlText w:val="o"/>
      <w:lvlJc w:val="left"/>
      <w:pPr>
        <w:ind w:left="5760" w:hanging="360"/>
      </w:pPr>
      <w:rPr>
        <w:rFonts w:ascii="Courier New" w:hAnsi="Courier New" w:hint="default"/>
      </w:rPr>
    </w:lvl>
    <w:lvl w:ilvl="8" w:tplc="B7EEBB40">
      <w:start w:val="1"/>
      <w:numFmt w:val="bullet"/>
      <w:lvlText w:val=""/>
      <w:lvlJc w:val="left"/>
      <w:pPr>
        <w:ind w:left="6480" w:hanging="360"/>
      </w:pPr>
      <w:rPr>
        <w:rFonts w:ascii="Wingdings" w:hAnsi="Wingdings" w:hint="default"/>
      </w:rPr>
    </w:lvl>
  </w:abstractNum>
  <w:abstractNum w:abstractNumId="37" w15:restartNumberingAfterBreak="0">
    <w:nsid w:val="7B9A274D"/>
    <w:multiLevelType w:val="hybridMultilevel"/>
    <w:tmpl w:val="BB94D67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7A0B5A"/>
    <w:multiLevelType w:val="hybridMultilevel"/>
    <w:tmpl w:val="6472D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14"/>
  </w:num>
  <w:num w:numId="4">
    <w:abstractNumId w:val="17"/>
  </w:num>
  <w:num w:numId="5">
    <w:abstractNumId w:val="26"/>
  </w:num>
  <w:num w:numId="6">
    <w:abstractNumId w:val="32"/>
  </w:num>
  <w:num w:numId="7">
    <w:abstractNumId w:val="30"/>
  </w:num>
  <w:num w:numId="8">
    <w:abstractNumId w:val="9"/>
  </w:num>
  <w:num w:numId="9">
    <w:abstractNumId w:val="0"/>
  </w:num>
  <w:num w:numId="10">
    <w:abstractNumId w:val="37"/>
  </w:num>
  <w:num w:numId="11">
    <w:abstractNumId w:val="5"/>
  </w:num>
  <w:num w:numId="12">
    <w:abstractNumId w:val="31"/>
  </w:num>
  <w:num w:numId="13">
    <w:abstractNumId w:val="8"/>
  </w:num>
  <w:num w:numId="14">
    <w:abstractNumId w:val="27"/>
  </w:num>
  <w:num w:numId="15">
    <w:abstractNumId w:val="16"/>
  </w:num>
  <w:num w:numId="16">
    <w:abstractNumId w:val="33"/>
  </w:num>
  <w:num w:numId="17">
    <w:abstractNumId w:val="4"/>
  </w:num>
  <w:num w:numId="18">
    <w:abstractNumId w:val="22"/>
  </w:num>
  <w:num w:numId="19">
    <w:abstractNumId w:val="34"/>
  </w:num>
  <w:num w:numId="20">
    <w:abstractNumId w:val="3"/>
  </w:num>
  <w:num w:numId="21">
    <w:abstractNumId w:val="6"/>
  </w:num>
  <w:num w:numId="22">
    <w:abstractNumId w:val="18"/>
  </w:num>
  <w:num w:numId="23">
    <w:abstractNumId w:val="2"/>
  </w:num>
  <w:num w:numId="24">
    <w:abstractNumId w:val="29"/>
  </w:num>
  <w:num w:numId="25">
    <w:abstractNumId w:val="35"/>
  </w:num>
  <w:num w:numId="26">
    <w:abstractNumId w:val="11"/>
  </w:num>
  <w:num w:numId="27">
    <w:abstractNumId w:val="38"/>
  </w:num>
  <w:num w:numId="28">
    <w:abstractNumId w:val="20"/>
  </w:num>
  <w:num w:numId="29">
    <w:abstractNumId w:val="15"/>
  </w:num>
  <w:num w:numId="30">
    <w:abstractNumId w:val="36"/>
  </w:num>
  <w:num w:numId="31">
    <w:abstractNumId w:val="13"/>
  </w:num>
  <w:num w:numId="32">
    <w:abstractNumId w:val="23"/>
  </w:num>
  <w:num w:numId="33">
    <w:abstractNumId w:val="21"/>
  </w:num>
  <w:num w:numId="34">
    <w:abstractNumId w:val="1"/>
  </w:num>
  <w:num w:numId="35">
    <w:abstractNumId w:val="24"/>
  </w:num>
  <w:num w:numId="36">
    <w:abstractNumId w:val="28"/>
  </w:num>
  <w:num w:numId="37">
    <w:abstractNumId w:val="7"/>
  </w:num>
  <w:num w:numId="38">
    <w:abstractNumId w:val="1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71687"/>
    <o:shapelayout v:ext="edit">
      <o:idmap v:ext="edit" data="7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C3"/>
    <w:rsid w:val="0000564E"/>
    <w:rsid w:val="0002522B"/>
    <w:rsid w:val="00033FDE"/>
    <w:rsid w:val="00041373"/>
    <w:rsid w:val="00042053"/>
    <w:rsid w:val="00042127"/>
    <w:rsid w:val="00042D0C"/>
    <w:rsid w:val="0004404E"/>
    <w:rsid w:val="000505B3"/>
    <w:rsid w:val="00051B28"/>
    <w:rsid w:val="0005660A"/>
    <w:rsid w:val="000577CC"/>
    <w:rsid w:val="0006026B"/>
    <w:rsid w:val="000611C3"/>
    <w:rsid w:val="00074186"/>
    <w:rsid w:val="0008294B"/>
    <w:rsid w:val="000A1339"/>
    <w:rsid w:val="000A298C"/>
    <w:rsid w:val="000C39A8"/>
    <w:rsid w:val="000C7702"/>
    <w:rsid w:val="000E0622"/>
    <w:rsid w:val="001009B7"/>
    <w:rsid w:val="0010273B"/>
    <w:rsid w:val="00112E00"/>
    <w:rsid w:val="0012390D"/>
    <w:rsid w:val="00131E6F"/>
    <w:rsid w:val="00135104"/>
    <w:rsid w:val="00147108"/>
    <w:rsid w:val="00151768"/>
    <w:rsid w:val="001614E2"/>
    <w:rsid w:val="00167788"/>
    <w:rsid w:val="001806EB"/>
    <w:rsid w:val="00182C4B"/>
    <w:rsid w:val="0019182C"/>
    <w:rsid w:val="00193C81"/>
    <w:rsid w:val="001D4D37"/>
    <w:rsid w:val="001E1662"/>
    <w:rsid w:val="00205443"/>
    <w:rsid w:val="0021090C"/>
    <w:rsid w:val="00215A2F"/>
    <w:rsid w:val="00225E11"/>
    <w:rsid w:val="002317BA"/>
    <w:rsid w:val="00244A16"/>
    <w:rsid w:val="00245508"/>
    <w:rsid w:val="002474EA"/>
    <w:rsid w:val="00273956"/>
    <w:rsid w:val="0027715F"/>
    <w:rsid w:val="00283A9B"/>
    <w:rsid w:val="00286CC6"/>
    <w:rsid w:val="002877A6"/>
    <w:rsid w:val="00296E00"/>
    <w:rsid w:val="002A43A8"/>
    <w:rsid w:val="002C4AAF"/>
    <w:rsid w:val="002D0DD6"/>
    <w:rsid w:val="002D6C18"/>
    <w:rsid w:val="002E5F0D"/>
    <w:rsid w:val="002F1BE4"/>
    <w:rsid w:val="00313A88"/>
    <w:rsid w:val="0031633C"/>
    <w:rsid w:val="00324759"/>
    <w:rsid w:val="00326EFA"/>
    <w:rsid w:val="00337820"/>
    <w:rsid w:val="00341AEB"/>
    <w:rsid w:val="00347228"/>
    <w:rsid w:val="00360128"/>
    <w:rsid w:val="00360748"/>
    <w:rsid w:val="003610BF"/>
    <w:rsid w:val="00361CEF"/>
    <w:rsid w:val="00363860"/>
    <w:rsid w:val="00366DEE"/>
    <w:rsid w:val="0037380B"/>
    <w:rsid w:val="003805D6"/>
    <w:rsid w:val="00383373"/>
    <w:rsid w:val="003A0110"/>
    <w:rsid w:val="003A0BBE"/>
    <w:rsid w:val="003C3117"/>
    <w:rsid w:val="003D66FB"/>
    <w:rsid w:val="003E717C"/>
    <w:rsid w:val="003F3C9C"/>
    <w:rsid w:val="004011DF"/>
    <w:rsid w:val="00406009"/>
    <w:rsid w:val="00410F60"/>
    <w:rsid w:val="00411A74"/>
    <w:rsid w:val="004135F1"/>
    <w:rsid w:val="0044141B"/>
    <w:rsid w:val="00447560"/>
    <w:rsid w:val="004522F6"/>
    <w:rsid w:val="004533A7"/>
    <w:rsid w:val="004545FA"/>
    <w:rsid w:val="004827E8"/>
    <w:rsid w:val="00486FD2"/>
    <w:rsid w:val="00492C0E"/>
    <w:rsid w:val="0049553A"/>
    <w:rsid w:val="00496900"/>
    <w:rsid w:val="004A4ED9"/>
    <w:rsid w:val="004B0154"/>
    <w:rsid w:val="004B2897"/>
    <w:rsid w:val="004D14C4"/>
    <w:rsid w:val="004D1B44"/>
    <w:rsid w:val="004D1FA3"/>
    <w:rsid w:val="004F440F"/>
    <w:rsid w:val="0050241C"/>
    <w:rsid w:val="00513753"/>
    <w:rsid w:val="00516B57"/>
    <w:rsid w:val="005178ED"/>
    <w:rsid w:val="005246BE"/>
    <w:rsid w:val="0054079D"/>
    <w:rsid w:val="00541A23"/>
    <w:rsid w:val="00542C02"/>
    <w:rsid w:val="0055715F"/>
    <w:rsid w:val="005671EA"/>
    <w:rsid w:val="00567EC3"/>
    <w:rsid w:val="00571C38"/>
    <w:rsid w:val="0059303E"/>
    <w:rsid w:val="005932FD"/>
    <w:rsid w:val="005A524B"/>
    <w:rsid w:val="005F1578"/>
    <w:rsid w:val="005F3488"/>
    <w:rsid w:val="005F4814"/>
    <w:rsid w:val="005F5A40"/>
    <w:rsid w:val="00600B18"/>
    <w:rsid w:val="00611932"/>
    <w:rsid w:val="006152D8"/>
    <w:rsid w:val="0061600E"/>
    <w:rsid w:val="0063572C"/>
    <w:rsid w:val="006401F2"/>
    <w:rsid w:val="006423C1"/>
    <w:rsid w:val="006433CE"/>
    <w:rsid w:val="00645F17"/>
    <w:rsid w:val="00682783"/>
    <w:rsid w:val="006A3706"/>
    <w:rsid w:val="006A3CD9"/>
    <w:rsid w:val="006B26FD"/>
    <w:rsid w:val="006B478A"/>
    <w:rsid w:val="006C7B0E"/>
    <w:rsid w:val="006D0798"/>
    <w:rsid w:val="006D09FE"/>
    <w:rsid w:val="006E06B0"/>
    <w:rsid w:val="006E5576"/>
    <w:rsid w:val="006F72A4"/>
    <w:rsid w:val="00703F19"/>
    <w:rsid w:val="007217CB"/>
    <w:rsid w:val="007241C8"/>
    <w:rsid w:val="007259B5"/>
    <w:rsid w:val="00726392"/>
    <w:rsid w:val="00735A45"/>
    <w:rsid w:val="00737189"/>
    <w:rsid w:val="00751D67"/>
    <w:rsid w:val="00760FB1"/>
    <w:rsid w:val="00776F31"/>
    <w:rsid w:val="00787781"/>
    <w:rsid w:val="00791267"/>
    <w:rsid w:val="007950F7"/>
    <w:rsid w:val="007B0A33"/>
    <w:rsid w:val="007C302D"/>
    <w:rsid w:val="007D27D0"/>
    <w:rsid w:val="007D6540"/>
    <w:rsid w:val="007E185B"/>
    <w:rsid w:val="007E233E"/>
    <w:rsid w:val="00807569"/>
    <w:rsid w:val="008141D3"/>
    <w:rsid w:val="008577C4"/>
    <w:rsid w:val="00867586"/>
    <w:rsid w:val="00870641"/>
    <w:rsid w:val="00875E79"/>
    <w:rsid w:val="008763A1"/>
    <w:rsid w:val="00877773"/>
    <w:rsid w:val="00883F01"/>
    <w:rsid w:val="008B70F8"/>
    <w:rsid w:val="008D14CA"/>
    <w:rsid w:val="008D4E05"/>
    <w:rsid w:val="008F6027"/>
    <w:rsid w:val="009008B5"/>
    <w:rsid w:val="009010FE"/>
    <w:rsid w:val="009039DC"/>
    <w:rsid w:val="00907B76"/>
    <w:rsid w:val="00916E6A"/>
    <w:rsid w:val="009220EE"/>
    <w:rsid w:val="00924BCE"/>
    <w:rsid w:val="00935432"/>
    <w:rsid w:val="0093669B"/>
    <w:rsid w:val="009410E6"/>
    <w:rsid w:val="009577BC"/>
    <w:rsid w:val="00957F0E"/>
    <w:rsid w:val="00962201"/>
    <w:rsid w:val="009673B8"/>
    <w:rsid w:val="00972A22"/>
    <w:rsid w:val="00975367"/>
    <w:rsid w:val="00980F77"/>
    <w:rsid w:val="0099129B"/>
    <w:rsid w:val="0099507F"/>
    <w:rsid w:val="009B2BB2"/>
    <w:rsid w:val="009B7430"/>
    <w:rsid w:val="009C04FD"/>
    <w:rsid w:val="009D132C"/>
    <w:rsid w:val="009D61A6"/>
    <w:rsid w:val="009E7C0A"/>
    <w:rsid w:val="009F7B1D"/>
    <w:rsid w:val="00A028B3"/>
    <w:rsid w:val="00A1056A"/>
    <w:rsid w:val="00A110DA"/>
    <w:rsid w:val="00A329CC"/>
    <w:rsid w:val="00A36C28"/>
    <w:rsid w:val="00A3733C"/>
    <w:rsid w:val="00A3792F"/>
    <w:rsid w:val="00A40F8A"/>
    <w:rsid w:val="00A42F00"/>
    <w:rsid w:val="00A43E86"/>
    <w:rsid w:val="00A45821"/>
    <w:rsid w:val="00A50EF0"/>
    <w:rsid w:val="00A55EEE"/>
    <w:rsid w:val="00A70350"/>
    <w:rsid w:val="00A71E46"/>
    <w:rsid w:val="00A72BD7"/>
    <w:rsid w:val="00A73910"/>
    <w:rsid w:val="00A75A45"/>
    <w:rsid w:val="00A9111C"/>
    <w:rsid w:val="00A95253"/>
    <w:rsid w:val="00AA23AF"/>
    <w:rsid w:val="00AB6D76"/>
    <w:rsid w:val="00AC04A1"/>
    <w:rsid w:val="00AC7439"/>
    <w:rsid w:val="00AD442C"/>
    <w:rsid w:val="00AE0F1D"/>
    <w:rsid w:val="00AF65AE"/>
    <w:rsid w:val="00B00F7F"/>
    <w:rsid w:val="00B14F26"/>
    <w:rsid w:val="00B16C0C"/>
    <w:rsid w:val="00B17F0C"/>
    <w:rsid w:val="00B27472"/>
    <w:rsid w:val="00B37519"/>
    <w:rsid w:val="00B62FBD"/>
    <w:rsid w:val="00B73A4A"/>
    <w:rsid w:val="00B844C8"/>
    <w:rsid w:val="00B95C1F"/>
    <w:rsid w:val="00B979DE"/>
    <w:rsid w:val="00BA4289"/>
    <w:rsid w:val="00BA5696"/>
    <w:rsid w:val="00BB7A37"/>
    <w:rsid w:val="00BC0018"/>
    <w:rsid w:val="00BD4DEC"/>
    <w:rsid w:val="00C02E55"/>
    <w:rsid w:val="00C0337F"/>
    <w:rsid w:val="00C052EF"/>
    <w:rsid w:val="00C1209B"/>
    <w:rsid w:val="00C1703F"/>
    <w:rsid w:val="00C23984"/>
    <w:rsid w:val="00C25B42"/>
    <w:rsid w:val="00C279FF"/>
    <w:rsid w:val="00C34270"/>
    <w:rsid w:val="00C35FFC"/>
    <w:rsid w:val="00C453BD"/>
    <w:rsid w:val="00C60366"/>
    <w:rsid w:val="00C60D24"/>
    <w:rsid w:val="00C71DFA"/>
    <w:rsid w:val="00C769F8"/>
    <w:rsid w:val="00C959D5"/>
    <w:rsid w:val="00CB5EB2"/>
    <w:rsid w:val="00CC1444"/>
    <w:rsid w:val="00CC38AC"/>
    <w:rsid w:val="00CC6FCC"/>
    <w:rsid w:val="00CD6248"/>
    <w:rsid w:val="00CE449B"/>
    <w:rsid w:val="00CF0FC6"/>
    <w:rsid w:val="00CF181D"/>
    <w:rsid w:val="00CF6BFE"/>
    <w:rsid w:val="00D03B97"/>
    <w:rsid w:val="00D07C09"/>
    <w:rsid w:val="00D12408"/>
    <w:rsid w:val="00D13161"/>
    <w:rsid w:val="00D213D6"/>
    <w:rsid w:val="00D21650"/>
    <w:rsid w:val="00D377CB"/>
    <w:rsid w:val="00D42871"/>
    <w:rsid w:val="00D52924"/>
    <w:rsid w:val="00D6014F"/>
    <w:rsid w:val="00D636C3"/>
    <w:rsid w:val="00D643CC"/>
    <w:rsid w:val="00D67DA2"/>
    <w:rsid w:val="00D67FF3"/>
    <w:rsid w:val="00D74E96"/>
    <w:rsid w:val="00D878AD"/>
    <w:rsid w:val="00DB1642"/>
    <w:rsid w:val="00DB3D1A"/>
    <w:rsid w:val="00DB7136"/>
    <w:rsid w:val="00DC1423"/>
    <w:rsid w:val="00DD1E68"/>
    <w:rsid w:val="00DD4940"/>
    <w:rsid w:val="00DE2716"/>
    <w:rsid w:val="00DE6F4C"/>
    <w:rsid w:val="00DF3626"/>
    <w:rsid w:val="00DF7926"/>
    <w:rsid w:val="00E0057E"/>
    <w:rsid w:val="00E00DEB"/>
    <w:rsid w:val="00E032F9"/>
    <w:rsid w:val="00E03E1B"/>
    <w:rsid w:val="00E12CBE"/>
    <w:rsid w:val="00E13096"/>
    <w:rsid w:val="00E17D4F"/>
    <w:rsid w:val="00E216CA"/>
    <w:rsid w:val="00E359BB"/>
    <w:rsid w:val="00E44BA1"/>
    <w:rsid w:val="00E44BD3"/>
    <w:rsid w:val="00E52BCA"/>
    <w:rsid w:val="00E54023"/>
    <w:rsid w:val="00E57041"/>
    <w:rsid w:val="00E66F85"/>
    <w:rsid w:val="00E7664A"/>
    <w:rsid w:val="00E80902"/>
    <w:rsid w:val="00E853BF"/>
    <w:rsid w:val="00EA171D"/>
    <w:rsid w:val="00EA22E2"/>
    <w:rsid w:val="00EB7327"/>
    <w:rsid w:val="00EC4BEC"/>
    <w:rsid w:val="00EF2036"/>
    <w:rsid w:val="00EF4A81"/>
    <w:rsid w:val="00F055DF"/>
    <w:rsid w:val="00F11C46"/>
    <w:rsid w:val="00F41784"/>
    <w:rsid w:val="00F4185D"/>
    <w:rsid w:val="00F44512"/>
    <w:rsid w:val="00F45CB2"/>
    <w:rsid w:val="00F528FE"/>
    <w:rsid w:val="00F606B0"/>
    <w:rsid w:val="00F761A7"/>
    <w:rsid w:val="00F767DC"/>
    <w:rsid w:val="00F87FA8"/>
    <w:rsid w:val="00FB168A"/>
    <w:rsid w:val="00FB1D38"/>
    <w:rsid w:val="00FB278C"/>
    <w:rsid w:val="00FC0D9A"/>
    <w:rsid w:val="00FD385B"/>
    <w:rsid w:val="00FE0374"/>
    <w:rsid w:val="00FF626F"/>
    <w:rsid w:val="00FF652B"/>
    <w:rsid w:val="010262BF"/>
    <w:rsid w:val="0315B737"/>
    <w:rsid w:val="05A6DE22"/>
    <w:rsid w:val="4523AE5C"/>
    <w:rsid w:val="6C21EC60"/>
    <w:rsid w:val="7A37929F"/>
    <w:rsid w:val="7D6A71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7"/>
    <o:shapelayout v:ext="edit">
      <o:idmap v:ext="edit" data="1"/>
    </o:shapelayout>
  </w:shapeDefaults>
  <w:decimalSymbol w:val="."/>
  <w:listSeparator w:val=","/>
  <w14:docId w14:val="5DEF9C42"/>
  <w15:chartTrackingRefBased/>
  <w15:docId w15:val="{F780EBFA-1087-4D21-AC42-8F884992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8577C4"/>
    <w:pPr>
      <w:keepNext/>
      <w:keepLines/>
      <w:spacing w:before="40" w:after="0" w:line="276" w:lineRule="auto"/>
      <w:outlineLvl w:val="2"/>
    </w:pPr>
    <w:rPr>
      <w:rFonts w:ascii="Times New Roman" w:eastAsiaTheme="majorEastAsia" w:hAnsi="Times New Roman" w:cstheme="majorBidi"/>
      <w:b/>
      <w:sz w:val="24"/>
      <w:szCs w:val="24"/>
      <w:u w:val="single"/>
    </w:rPr>
  </w:style>
  <w:style w:type="paragraph" w:styleId="Heading4">
    <w:name w:val="heading 4"/>
    <w:basedOn w:val="Normal"/>
    <w:next w:val="Normal"/>
    <w:link w:val="Heading4Char"/>
    <w:uiPriority w:val="9"/>
    <w:semiHidden/>
    <w:unhideWhenUsed/>
    <w:qFormat/>
    <w:rsid w:val="00033F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033FD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611C3"/>
  </w:style>
  <w:style w:type="paragraph" w:styleId="ListParagraph">
    <w:name w:val="List Paragraph"/>
    <w:basedOn w:val="Normal"/>
    <w:uiPriority w:val="34"/>
    <w:qFormat/>
    <w:rsid w:val="000611C3"/>
    <w:pPr>
      <w:spacing w:after="200" w:line="276" w:lineRule="auto"/>
      <w:ind w:left="720"/>
      <w:contextualSpacing/>
    </w:pPr>
  </w:style>
  <w:style w:type="paragraph" w:styleId="FootnoteText">
    <w:name w:val="footnote text"/>
    <w:basedOn w:val="Normal"/>
    <w:link w:val="FootnoteTextChar"/>
    <w:uiPriority w:val="99"/>
    <w:semiHidden/>
    <w:unhideWhenUsed/>
    <w:rsid w:val="000611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1C3"/>
    <w:rPr>
      <w:sz w:val="20"/>
      <w:szCs w:val="20"/>
    </w:rPr>
  </w:style>
  <w:style w:type="character" w:styleId="FootnoteReference">
    <w:name w:val="footnote reference"/>
    <w:basedOn w:val="DefaultParagraphFont"/>
    <w:uiPriority w:val="99"/>
    <w:semiHidden/>
    <w:unhideWhenUsed/>
    <w:rsid w:val="000611C3"/>
    <w:rPr>
      <w:vertAlign w:val="superscript"/>
    </w:rPr>
  </w:style>
  <w:style w:type="character" w:styleId="CommentReference">
    <w:name w:val="annotation reference"/>
    <w:basedOn w:val="DefaultParagraphFont"/>
    <w:uiPriority w:val="99"/>
    <w:semiHidden/>
    <w:unhideWhenUsed/>
    <w:rsid w:val="000611C3"/>
    <w:rPr>
      <w:sz w:val="16"/>
      <w:szCs w:val="16"/>
    </w:rPr>
  </w:style>
  <w:style w:type="paragraph" w:styleId="CommentText">
    <w:name w:val="annotation text"/>
    <w:basedOn w:val="Normal"/>
    <w:link w:val="CommentTextChar"/>
    <w:uiPriority w:val="99"/>
    <w:unhideWhenUsed/>
    <w:rsid w:val="000611C3"/>
    <w:pPr>
      <w:spacing w:after="200" w:line="240" w:lineRule="auto"/>
    </w:pPr>
    <w:rPr>
      <w:sz w:val="20"/>
      <w:szCs w:val="20"/>
    </w:rPr>
  </w:style>
  <w:style w:type="character" w:customStyle="1" w:styleId="CommentTextChar">
    <w:name w:val="Comment Text Char"/>
    <w:basedOn w:val="DefaultParagraphFont"/>
    <w:link w:val="CommentText"/>
    <w:uiPriority w:val="99"/>
    <w:rsid w:val="000611C3"/>
    <w:rPr>
      <w:sz w:val="20"/>
      <w:szCs w:val="20"/>
    </w:rPr>
  </w:style>
  <w:style w:type="paragraph" w:styleId="CommentSubject">
    <w:name w:val="annotation subject"/>
    <w:basedOn w:val="CommentText"/>
    <w:next w:val="CommentText"/>
    <w:link w:val="CommentSubjectChar"/>
    <w:uiPriority w:val="99"/>
    <w:semiHidden/>
    <w:unhideWhenUsed/>
    <w:rsid w:val="000611C3"/>
    <w:rPr>
      <w:b/>
      <w:bCs/>
    </w:rPr>
  </w:style>
  <w:style w:type="character" w:customStyle="1" w:styleId="CommentSubjectChar">
    <w:name w:val="Comment Subject Char"/>
    <w:basedOn w:val="CommentTextChar"/>
    <w:link w:val="CommentSubject"/>
    <w:uiPriority w:val="99"/>
    <w:semiHidden/>
    <w:rsid w:val="000611C3"/>
    <w:rPr>
      <w:b/>
      <w:bCs/>
      <w:sz w:val="20"/>
      <w:szCs w:val="20"/>
    </w:rPr>
  </w:style>
  <w:style w:type="paragraph" w:styleId="BalloonText">
    <w:name w:val="Balloon Text"/>
    <w:basedOn w:val="Normal"/>
    <w:link w:val="BalloonTextChar"/>
    <w:uiPriority w:val="99"/>
    <w:semiHidden/>
    <w:unhideWhenUsed/>
    <w:rsid w:val="00061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1C3"/>
    <w:rPr>
      <w:rFonts w:ascii="Segoe UI" w:hAnsi="Segoe UI" w:cs="Segoe UI"/>
      <w:sz w:val="18"/>
      <w:szCs w:val="18"/>
    </w:rPr>
  </w:style>
  <w:style w:type="character" w:customStyle="1" w:styleId="Heading3Char">
    <w:name w:val="Heading 3 Char"/>
    <w:basedOn w:val="DefaultParagraphFont"/>
    <w:link w:val="Heading3"/>
    <w:uiPriority w:val="9"/>
    <w:rsid w:val="008577C4"/>
    <w:rPr>
      <w:rFonts w:ascii="Times New Roman" w:eastAsiaTheme="majorEastAsia" w:hAnsi="Times New Roman" w:cstheme="majorBidi"/>
      <w:b/>
      <w:sz w:val="24"/>
      <w:szCs w:val="24"/>
      <w:u w:val="single"/>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2109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rsid w:val="0021090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739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semiHidden/>
    <w:rsid w:val="00033FDE"/>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033FDE"/>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FC0D9A"/>
    <w:pPr>
      <w:pBdr>
        <w:bottom w:val="single" w:sz="8" w:space="1" w:color="44546A" w:themeColor="text2"/>
      </w:pBdr>
      <w:spacing w:before="360" w:after="120" w:line="240" w:lineRule="auto"/>
      <w:contextualSpacing/>
      <w:outlineLvl w:val="0"/>
    </w:pPr>
    <w:rPr>
      <w:rFonts w:ascii="Calibri" w:eastAsiaTheme="majorEastAsia" w:hAnsi="Calibri" w:cstheme="majorBidi"/>
      <w:color w:val="44546A" w:themeColor="text2"/>
      <w:spacing w:val="-10"/>
      <w:kern w:val="28"/>
      <w:sz w:val="36"/>
      <w:szCs w:val="72"/>
    </w:rPr>
  </w:style>
  <w:style w:type="character" w:customStyle="1" w:styleId="TitleChar">
    <w:name w:val="Title Char"/>
    <w:basedOn w:val="DefaultParagraphFont"/>
    <w:link w:val="Title"/>
    <w:uiPriority w:val="10"/>
    <w:rsid w:val="00FC0D9A"/>
    <w:rPr>
      <w:rFonts w:ascii="Calibri" w:eastAsiaTheme="majorEastAsia" w:hAnsi="Calibri" w:cstheme="majorBidi"/>
      <w:color w:val="44546A" w:themeColor="text2"/>
      <w:spacing w:val="-10"/>
      <w:kern w:val="28"/>
      <w:sz w:val="36"/>
      <w:szCs w:val="72"/>
    </w:rPr>
  </w:style>
  <w:style w:type="paragraph" w:styleId="Header">
    <w:name w:val="header"/>
    <w:basedOn w:val="Normal"/>
    <w:link w:val="HeaderChar"/>
    <w:uiPriority w:val="99"/>
    <w:unhideWhenUsed/>
    <w:rsid w:val="00033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FDE"/>
  </w:style>
  <w:style w:type="paragraph" w:styleId="Footer">
    <w:name w:val="footer"/>
    <w:basedOn w:val="Normal"/>
    <w:link w:val="FooterChar"/>
    <w:uiPriority w:val="99"/>
    <w:unhideWhenUsed/>
    <w:rsid w:val="00033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FDE"/>
  </w:style>
  <w:style w:type="character" w:styleId="FollowedHyperlink">
    <w:name w:val="FollowedHyperlink"/>
    <w:basedOn w:val="DefaultParagraphFont"/>
    <w:uiPriority w:val="99"/>
    <w:semiHidden/>
    <w:unhideWhenUsed/>
    <w:rsid w:val="004D14C4"/>
    <w:rPr>
      <w:color w:val="954F72" w:themeColor="followedHyperlink"/>
      <w:u w:val="single"/>
    </w:rPr>
  </w:style>
  <w:style w:type="table" w:styleId="GridTable1Light-Accent5">
    <w:name w:val="Grid Table 1 Light Accent 5"/>
    <w:basedOn w:val="TableNormal"/>
    <w:uiPriority w:val="46"/>
    <w:rsid w:val="002877A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2877A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2877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49720">
      <w:bodyDiv w:val="1"/>
      <w:marLeft w:val="0"/>
      <w:marRight w:val="0"/>
      <w:marTop w:val="0"/>
      <w:marBottom w:val="0"/>
      <w:divBdr>
        <w:top w:val="none" w:sz="0" w:space="0" w:color="auto"/>
        <w:left w:val="none" w:sz="0" w:space="0" w:color="auto"/>
        <w:bottom w:val="none" w:sz="0" w:space="0" w:color="auto"/>
        <w:right w:val="none" w:sz="0" w:space="0" w:color="auto"/>
      </w:divBdr>
    </w:div>
    <w:div w:id="172617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504420310318f38fe6dbf636560b313c">
  <xsd:schema xmlns:xsd="http://www.w3.org/2001/XMLSchema" xmlns:xs="http://www.w3.org/2001/XMLSchema" xmlns:p="http://schemas.microsoft.com/office/2006/metadata/properties" xmlns:ns1="http://schemas.microsoft.com/sharepoint/v3" xmlns:ns2="a36bd50b-1532-4c22-b385-5c082c960938" xmlns:ns3="http://schemas.microsoft.com/sharepoint/v4" xmlns:ns4="45b2e695-1792-485e-89e0-1e9284144441" targetNamespace="http://schemas.microsoft.com/office/2006/metadata/properties" ma:root="true" ma:fieldsID="4f549d0585a036c0d1cad5137f0bd946" ns1:_="" ns2:_="" ns3:_="" ns4:_="">
    <xsd:import namespace="http://schemas.microsoft.com/sharepoint/v3"/>
    <xsd:import namespace="a36bd50b-1532-4c22-b385-5c082c960938"/>
    <xsd:import namespace="http://schemas.microsoft.com/sharepoint/v4"/>
    <xsd:import namespace="45b2e695-1792-485e-89e0-1e928414444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fb05c7bd-122c-45c5-a4ff-f373218121b7}" ma:internalName="TaxCatchAll" ma:showField="CatchAllData" ma:web="45b2e695-1792-485e-89e0-1e928414444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11e0090-b7f1-4eb5-8270-2f011ad855c4"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b2e695-1792-485e-89e0-1e9284144441"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fuel security</TermName>
          <TermId xmlns="http://schemas.microsoft.com/office/infopath/2007/PartnerControls">88db6dbe-e821-4567-9df6-8571a42d69ce</TermId>
        </TermInfo>
        <TermInfo xmlns="http://schemas.microsoft.com/office/infopath/2007/PartnerControls">
          <TermName xmlns="http://schemas.microsoft.com/office/infopath/2007/PartnerControls">Legislative Instrument</TermName>
          <TermId xmlns="http://schemas.microsoft.com/office/infopath/2007/PartnerControls">9f59c980-65f4-4d19-8c7c-81c379cca7b2</TermId>
        </TermInfo>
      </Terms>
    </adb9bed2e36e4a93af574aeb444da63e>
    <n99e4c9942c6404eb103464a00e6097b xmlns="a36bd50b-1532-4c22-b385-5c082c960938">
      <Terms xmlns="http://schemas.microsoft.com/office/infopath/2007/PartnerControls">
        <TermInfo xmlns="http://schemas.microsoft.com/office/infopath/2007/PartnerControls">
          <TermName>2021</TermName>
          <TermId>712d5b50-1b62-44de-9d3e-74234783b265</TermId>
        </TermInfo>
      </Terms>
    </n99e4c9942c6404eb103464a00e6097b>
    <pe2555c81638466f9eb614edb9ecde52 xmlns="a36bd50b-1532-4c22-b385-5c082c960938">
      <Terms xmlns="http://schemas.microsoft.com/office/infopath/2007/PartnerControls">
        <TermInfo xmlns="http://schemas.microsoft.com/office/infopath/2007/PartnerControls">
          <TermName>Legislative Instrument</TermName>
          <TermId>edbe159b-95f5-40e7-bf23-9dfb62f2e7f0</TermId>
        </TermInfo>
      </Terms>
    </pe2555c81638466f9eb614edb9ecde52>
    <aa25a1a23adf4c92a153145de6afe324 xmlns="a36bd50b-1532-4c22-b385-5c082c960938">
      <Terms xmlns="http://schemas.microsoft.com/office/infopath/2007/PartnerControls">
        <TermInfo xmlns="http://schemas.microsoft.com/office/infopath/2007/PartnerControls">
          <TermName>Legislative secrecy</TermName>
          <TermId>7696ab49-fa39-45c8-8833-1b0d93fa11aa</TermId>
        </TermInfo>
      </Terms>
    </aa25a1a23adf4c92a153145de6afe324>
    <g7bcb40ba23249a78edca7d43a67c1c9 xmlns="a36bd50b-1532-4c22-b385-5c082c960938">
      <Terms xmlns="http://schemas.microsoft.com/office/infopath/2007/PartnerControls">
        <TermInfo xmlns="http://schemas.microsoft.com/office/infopath/2007/PartnerControls">
          <TermName>Legislation and Regulation</TermName>
          <TermId>6cbc66f5-f4a2-4565-a58b-d5f2d2ac9bd0</TermId>
        </TermInfo>
      </Terms>
    </g7bcb40ba23249a78edca7d43a67c1c9>
    <TaxCatchAll xmlns="a36bd50b-1532-4c22-b385-5c082c960938">
      <Value>95</Value>
      <Value>8</Value>
      <Value>208</Value>
      <Value>38</Value>
      <Value>343</Value>
      <Value>340</Value>
    </TaxCatchAll>
    <Comments xmlns="http://schemas.microsoft.com/sharepoint/v3" xsi:nil="true"/>
    <_dlc_DocId xmlns="a36bd50b-1532-4c22-b385-5c082c960938"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94239-93E9-480D-93D3-10EC631B68F2}">
  <ds:schemaRefs>
    <ds:schemaRef ds:uri="http://schemas.microsoft.com/sharepoint/events"/>
  </ds:schemaRefs>
</ds:datastoreItem>
</file>

<file path=customXml/itemProps2.xml><?xml version="1.0" encoding="utf-8"?>
<ds:datastoreItem xmlns:ds="http://schemas.openxmlformats.org/officeDocument/2006/customXml" ds:itemID="{E60BFFAF-C50E-4E25-807A-DCE953C61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http://schemas.microsoft.com/sharepoint/v4"/>
    <ds:schemaRef ds:uri="45b2e695-1792-485e-89e0-1e9284144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DFEFC-07AD-4DF9-AF16-E383BF79165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45b2e695-1792-485e-89e0-1e9284144441"/>
    <ds:schemaRef ds:uri="http://www.w3.org/XML/1998/namespace"/>
    <ds:schemaRef ds:uri="http://purl.org/dc/dcmitype/"/>
  </ds:schemaRefs>
</ds:datastoreItem>
</file>

<file path=customXml/itemProps4.xml><?xml version="1.0" encoding="utf-8"?>
<ds:datastoreItem xmlns:ds="http://schemas.openxmlformats.org/officeDocument/2006/customXml" ds:itemID="{25F9BFC3-3754-4B37-B5F5-4D2CC5D52133}">
  <ds:schemaRefs>
    <ds:schemaRef ds:uri="http://schemas.microsoft.com/sharepoint/v3/contenttype/forms"/>
  </ds:schemaRefs>
</ds:datastoreItem>
</file>

<file path=customXml/itemProps5.xml><?xml version="1.0" encoding="utf-8"?>
<ds:datastoreItem xmlns:ds="http://schemas.openxmlformats.org/officeDocument/2006/customXml" ds:itemID="{95D8B26B-AE0C-42AE-999F-022ABFCB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4466</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Sarah</dc:creator>
  <cp:keywords/>
  <dc:description/>
  <cp:lastModifiedBy>Conrick, Sharnel</cp:lastModifiedBy>
  <cp:revision>3</cp:revision>
  <cp:lastPrinted>2021-06-28T01:44:00Z</cp:lastPrinted>
  <dcterms:created xsi:type="dcterms:W3CDTF">2022-01-26T21:49:00Z</dcterms:created>
  <dcterms:modified xsi:type="dcterms:W3CDTF">2022-01-27T01:28:00Z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FuelSecurityLegislationWorkTopics">
    <vt:lpwstr>2215;#Drafting Instructions|def35bca-22a5-4329-be86-7fa7841fc24c</vt:lpwstr>
  </property>
  <property fmtid="{D5CDD505-2E9C-101B-9397-08002B2CF9AE}" pid="4" name="DocHub_Year">
    <vt:lpwstr>8;#2021|712d5b50-1b62-44de-9d3e-74234783b265</vt:lpwstr>
  </property>
  <property fmtid="{D5CDD505-2E9C-101B-9397-08002B2CF9AE}" pid="5" name="DocHub_WorkActivity">
    <vt:lpwstr>95;#Legislation and Regulation|6cbc66f5-f4a2-4565-a58b-d5f2d2ac9bd0</vt:lpwstr>
  </property>
  <property fmtid="{D5CDD505-2E9C-101B-9397-08002B2CF9AE}" pid="6" name="DocHub_Keywords">
    <vt:lpwstr>38;#fuel security|88db6dbe-e821-4567-9df6-8571a42d69ce;#343;#Legislative Instrument|9f59c980-65f4-4d19-8c7c-81c379cca7b2</vt:lpwstr>
  </property>
  <property fmtid="{D5CDD505-2E9C-101B-9397-08002B2CF9AE}" pid="7" name="DocHub_DocumentType">
    <vt:lpwstr>340;#Legislative Instrument|edbe159b-95f5-40e7-bf23-9dfb62f2e7f0</vt:lpwstr>
  </property>
  <property fmtid="{D5CDD505-2E9C-101B-9397-08002B2CF9AE}" pid="8" name="DocHub_SecurityClassification">
    <vt:lpwstr>208;#Legislative secrecy|7696ab49-fa39-45c8-8833-1b0d93fa11aa</vt:lpwstr>
  </property>
</Properties>
</file>