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FB58A" w14:textId="77777777" w:rsidR="005253CB" w:rsidRDefault="005253CB" w:rsidP="008B679D">
      <w:pPr>
        <w:pStyle w:val="Pa12"/>
        <w:jc w:val="center"/>
        <w:rPr>
          <w:rFonts w:ascii="Times New Roman" w:hAnsi="Times New Roman" w:cs="Times New Roman"/>
          <w:b/>
          <w:bCs/>
          <w:sz w:val="32"/>
          <w:szCs w:val="32"/>
          <w:lang w:val="en-AU"/>
        </w:rPr>
      </w:pPr>
    </w:p>
    <w:p w14:paraId="24644394" w14:textId="77777777" w:rsidR="008B679D" w:rsidRPr="00AB20F0" w:rsidRDefault="004D2BB0" w:rsidP="008B679D">
      <w:pPr>
        <w:pStyle w:val="Pa12"/>
        <w:jc w:val="center"/>
        <w:rPr>
          <w:rFonts w:ascii="Times New Roman" w:hAnsi="Times New Roman" w:cs="Times New Roman"/>
          <w:b/>
          <w:bCs/>
          <w:sz w:val="32"/>
          <w:szCs w:val="32"/>
          <w:lang w:val="en-AU"/>
        </w:rPr>
      </w:pPr>
      <w:r>
        <w:rPr>
          <w:rFonts w:ascii="Times New Roman" w:hAnsi="Times New Roman" w:cs="Times New Roman"/>
          <w:b/>
          <w:bCs/>
          <w:noProof/>
          <w:sz w:val="32"/>
          <w:szCs w:val="32"/>
          <w:lang w:val="en-AU" w:eastAsia="en-AU"/>
        </w:rPr>
        <mc:AlternateContent>
          <mc:Choice Requires="wpg">
            <w:drawing>
              <wp:anchor distT="0" distB="0" distL="114300" distR="114300" simplePos="0" relativeHeight="251670528" behindDoc="0" locked="0" layoutInCell="1" allowOverlap="1" wp14:anchorId="59EF243E" wp14:editId="2153A153">
                <wp:simplePos x="0" y="0"/>
                <wp:positionH relativeFrom="column">
                  <wp:posOffset>13335</wp:posOffset>
                </wp:positionH>
                <wp:positionV relativeFrom="paragraph">
                  <wp:posOffset>68580</wp:posOffset>
                </wp:positionV>
                <wp:extent cx="5419725" cy="1428496"/>
                <wp:effectExtent l="0" t="0" r="9525" b="63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9725" cy="1428496"/>
                          <a:chOff x="441" y="544"/>
                          <a:chExt cx="5553" cy="1548"/>
                        </a:xfrm>
                      </wpg:grpSpPr>
                      <pic:pic xmlns:pic="http://schemas.openxmlformats.org/drawingml/2006/picture">
                        <pic:nvPicPr>
                          <pic:cNvPr id="12"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41" y="544"/>
                            <a:ext cx="1227" cy="89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4"/>
                        <wps:cNvSpPr txBox="1">
                          <a:spLocks noChangeArrowheads="1"/>
                        </wps:cNvSpPr>
                        <wps:spPr bwMode="auto">
                          <a:xfrm>
                            <a:off x="1821" y="692"/>
                            <a:ext cx="4173" cy="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5780"/>
                              </w:tblGrid>
                              <w:tr w:rsidR="00F44233" w:rsidRPr="00E6260A" w14:paraId="0FFB2712" w14:textId="77777777" w:rsidTr="002D0D01">
                                <w:trPr>
                                  <w:trHeight w:hRule="exact" w:val="363"/>
                                </w:trPr>
                                <w:tc>
                                  <w:tcPr>
                                    <w:tcW w:w="5780" w:type="dxa"/>
                                    <w:tcBorders>
                                      <w:top w:val="nil"/>
                                      <w:left w:val="nil"/>
                                      <w:right w:val="nil"/>
                                    </w:tcBorders>
                                  </w:tcPr>
                                  <w:p w14:paraId="5CCF18E6" w14:textId="5D0E864B" w:rsidR="00F44233" w:rsidRPr="00727004" w:rsidRDefault="00F44233" w:rsidP="00727004">
                                    <w:pPr>
                                      <w:jc w:val="center"/>
                                      <w:rPr>
                                        <w:b/>
                                        <w:bCs/>
                                        <w:sz w:val="22"/>
                                        <w:szCs w:val="22"/>
                                      </w:rPr>
                                    </w:pPr>
                                    <w:r w:rsidRPr="00727004">
                                      <w:rPr>
                                        <w:b/>
                                        <w:bCs/>
                                        <w:sz w:val="22"/>
                                        <w:szCs w:val="22"/>
                                      </w:rPr>
                                      <w:t>Australian Government</w:t>
                                    </w:r>
                                  </w:p>
                                </w:tc>
                              </w:tr>
                              <w:tr w:rsidR="00F44233" w:rsidRPr="00573115" w14:paraId="48254AE1" w14:textId="77777777" w:rsidTr="002D0D01">
                                <w:trPr>
                                  <w:trHeight w:hRule="exact" w:val="402"/>
                                </w:trPr>
                                <w:tc>
                                  <w:tcPr>
                                    <w:tcW w:w="5780" w:type="dxa"/>
                                    <w:tcBorders>
                                      <w:left w:val="nil"/>
                                      <w:bottom w:val="nil"/>
                                      <w:right w:val="nil"/>
                                    </w:tcBorders>
                                  </w:tcPr>
                                  <w:p w14:paraId="31168627" w14:textId="716DF984" w:rsidR="00F44233" w:rsidRPr="00727004" w:rsidRDefault="00F44233" w:rsidP="00C21D6C">
                                    <w:pPr>
                                      <w:spacing w:after="240"/>
                                      <w:jc w:val="center"/>
                                      <w:rPr>
                                        <w:b/>
                                        <w:bCs/>
                                        <w:sz w:val="22"/>
                                        <w:szCs w:val="22"/>
                                      </w:rPr>
                                    </w:pPr>
                                    <w:r w:rsidRPr="00727004">
                                      <w:rPr>
                                        <w:b/>
                                        <w:bCs/>
                                        <w:sz w:val="22"/>
                                        <w:szCs w:val="22"/>
                                      </w:rPr>
                                      <w:t>Department of Industry, Science, Energy and Resources</w:t>
                                    </w:r>
                                  </w:p>
                                </w:tc>
                              </w:tr>
                            </w:tbl>
                            <w:p w14:paraId="59B662DE" w14:textId="1716F70A" w:rsidR="00F44233" w:rsidRDefault="00F44233" w:rsidP="00394F4D">
                              <w:pPr>
                                <w:spacing w:before="120"/>
                                <w:jc w:val="center"/>
                                <w:rPr>
                                  <w:b/>
                                  <w:bCs/>
                                  <w:sz w:val="22"/>
                                  <w:szCs w:val="22"/>
                                </w:rPr>
                              </w:pPr>
                              <w:r w:rsidRPr="00727004">
                                <w:rPr>
                                  <w:b/>
                                  <w:bCs/>
                                  <w:sz w:val="22"/>
                                  <w:szCs w:val="22"/>
                                </w:rPr>
                                <w:t xml:space="preserve">Offshore </w:t>
                              </w:r>
                              <w:r>
                                <w:rPr>
                                  <w:b/>
                                  <w:bCs/>
                                  <w:sz w:val="22"/>
                                  <w:szCs w:val="22"/>
                                </w:rPr>
                                <w:t>Infrastructure Registrar</w:t>
                              </w:r>
                            </w:p>
                            <w:p w14:paraId="670FFCB8" w14:textId="77777777" w:rsidR="00F44233" w:rsidRPr="00C21D6C" w:rsidRDefault="00F44233" w:rsidP="00727004">
                              <w:pPr>
                                <w:jc w:val="center"/>
                                <w:rPr>
                                  <w:b/>
                                  <w:bCs/>
                                  <w:sz w:val="16"/>
                                  <w:szCs w:val="16"/>
                                </w:rPr>
                              </w:pPr>
                            </w:p>
                            <w:p w14:paraId="0F258013" w14:textId="11A236A4" w:rsidR="00F44233" w:rsidRPr="00727004" w:rsidRDefault="00F44233" w:rsidP="00394F4D">
                              <w:pPr>
                                <w:spacing w:before="120"/>
                                <w:jc w:val="center"/>
                                <w:rPr>
                                  <w:b/>
                                  <w:bCs/>
                                  <w:sz w:val="22"/>
                                  <w:szCs w:val="22"/>
                                </w:rPr>
                              </w:pPr>
                              <w:r>
                                <w:rPr>
                                  <w:b/>
                                  <w:bCs/>
                                  <w:sz w:val="22"/>
                                  <w:szCs w:val="22"/>
                                </w:rPr>
                                <w:t>Offshore Infrastructure Regulator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EF243E" id="Group 12" o:spid="_x0000_s1026" style="position:absolute;left:0;text-align:left;margin-left:1.05pt;margin-top:5.4pt;width:426.75pt;height:112.5pt;z-index:251670528" coordorigin="441,544" coordsize="5553,1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6pggUQQAAKIKAAAOAAAAZHJzL2Uyb0RvYy54bWykVttu4zYQfS/QfyD0&#10;rlhSaOuCOIvEl2CBtA262w+gJcoiViJVko6dLfrvnSEl27lgN901YJvX4cw5Z4a8+nDoWvLItRFK&#10;zoP4IgoIl6WqhNzOg78+r8MsIMYyWbFWST4PnrgJPlz/+svVvi94ohrVVlwTMCJNse/nQWNtX0wm&#10;pmx4x8yF6rmEyVrpjlno6u2k0mwP1rt2kkTRbLJXuuq1KrkxMLr0k8G1s1/XvLR/1LXhlrTzAHyz&#10;7le73w3+Tq6vWLHVrG9EObjBfsCLjgkJhx5NLZllZKfFK1OdKLUyqrYXpeomqq5FyV0MEE0cvYjm&#10;Tqtd72LZFvttf4QJoH2B0w+bLX9/fNBEVMBdHBDJOuDIHUviBMHZ99sC1tzp/lP/oH2E0LxX5RcD&#10;05OX89jf+sVks/9NVWCP7axy4Bxq3aEJCJscHAdPRw74wZISBqc0ztNkGpAS5mKaZDSfeZbKBqjE&#10;fZSCqzA7pXScWY27p9PLYeuUZjg7YYU/1rk6uHZ91YuygO8AKbReQfp96cEuu9M8GIx077LRMf1l&#10;14fAfs+s2IhW2CenZEAInZKPD6JEpLFzxk4ysgPTeCqJLzG8cZXfwzAmxw2RatEwueU3pockAChh&#10;/ziktdo3nFUGhxGj51Zc95kfm1b0a9G2SB62h4ghj17o8A3QvMaXqtx1XFqftJq3ELySphG9CYgu&#10;eLfhoEH9sQI/SygYFnTTayGtEw6I495YPB1l4vLqnyS7iaI8uQ0X02gR0ihdhTc5TcM0WqU0olm8&#10;iBf/4u6YFjvDARXWLnsxuA6jr5x/M4mGcuPT06U5eWSumHhxgUNOZKOLoDdECH01uvwTsId10Laa&#10;27LBZg1ADuOw+DjhUD8BjZQYSLnvZtGrbECIMJPiJEl9LmT581QAmWhj77jqCDYAd3DTAc0eAWcf&#10;2LgEXZYK2XeBjHGeU5FH+SpbZTSkyWwFVCyX4c16QcPZOk6ny8vlYrGMRyoaUVVcormfZ8IBq1pR&#10;jdo0ertZtNoztHafoQaY07IJKuLkxsje+O+E5shA+IfkADawFsIdZUbxQ+99CsIb6q3q/qlhPQfU&#10;0exZokP98mX4MxJ5qw4kdmVuWIZlmNgDjGPyOgR8Nf5Gep9t9ce9S1hxlvg6O8vdVeAZR2XROB2r&#10;LI3cHXqssv9bWmfEYMa8gz9WtPKZKOFwP/KmNuOERrdJHq5nWRrSNZ2GeRplYRTnt/ksojldrp9r&#10;815I/vPaJPt5kE/hIvu2SCP3eS1SVnTCwsuoFd08yI6LWIF1eyUrl4uWida3zzSN7o9aHv+9plEG&#10;XtPYsofNAaxgc6OqJ1CVVlAK4JEEzzloNEp/DcgenkbzwPy9Y3jRtR8liD6PKcW3lOvQaZpAR5/P&#10;bM5nmCzB1DywAfHNhfXvrx3U920DJ3kZS3UD74RauPJz8gpCwA7knWu5h5ALa3i04UvrvO9WnZ6W&#10;1/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GJAXq3gAAAAgBAAAPAAAAZHJz&#10;L2Rvd25yZXYueG1sTI9BS8NAEIXvgv9hGcGb3aQlJcRsSinqqQi2gnibJtMkNDsbstsk/feOJz3O&#10;e48338s3s+3USINvHRuIFxEo4tJVLdcGPo+vTykoH5Ar7ByTgRt52BT3dzlmlZv4g8ZDqJWUsM/Q&#10;QBNCn2nty4Ys+oXricU7u8FikHOodTXgJOW208soWmuLLcuHBnvaNVReDldr4G3CabuKX8b95by7&#10;fR+T9699TMY8PszbZ1CB5vAXhl98QYdCmE7uypVXnYFlLEGRIxkgdpoka1An0VdJCrrI9f8BxQ8A&#10;AAD//wMAUEsDBAoAAAAAAAAAIQC2CVdrZmUAAGZlAAAUAAAAZHJzL21lZGlhL2ltYWdlMS5wbmeJ&#10;UE5HDQoaCgAAAA1JSERSAAAA6QAAANEIBgAAACkelSMAAAABc1JHQgCuzhzpAAAABGdBTUEAALGP&#10;C/xhBQAAAAlwSFlzAAAh1QAAIdUBBJy0nQAAZPtJREFUeF7t3QW4bUFZN3Ds7i4QFcVuBDuwsEUF&#10;ERUFGwzEQAwUFQsbEzGxO7BBBAMTWzGwFQu7dX/fb3v+l/fOnRU7z97nrvd55jn77L1i1sz7f3tm&#10;3WK10JWiP/7jP1593ud93sV/C10FWkB6xegRj3jE6hVe4RUu/lvoKtAC0itE//3f/71613d919XT&#10;Pu3Trn7pl37p4tuFzp0WkF4h+tM//dPVC73QC61ucYtbrB7wgAdcfLvQudMC0jOjf/u3f7v4dCMx&#10;dQFUe9VXfdXBY//jP/5j9T//8z8X/y106rSA9MzoO77jO1b3ve99V4997GNXT3nKUy6+/T+6853v&#10;fA2kz/qsz7p6/OMff/HL/5nCv/d7v7d62MMetvqQD/mQ1T/+4z9e/LLQqdMC0jOjv/7rv1497/M+&#10;7+pZnuVZVre73e1Wn/VZn7X61V/91dWTn/zk1XM8x3NcA6n2SZ/0Sau//Mu/XH3P93zP6u53v/vq&#10;Vre61eppnuZp1t//7//+78UVFzp1WkB6hnSf+9znOjA+13M91+q1X/u1r/tOe+EXfuHVK73SK133&#10;3Qu8wAusfvu3f/viSgudAy0gPUP6jd/4jRu05tx2z3ve8+IqC50LLSA9Q+Jf3vWud+2CcKw9/dM/&#10;/eoJT3jCxVUWOhdaQHqm9JjHPGb1zM/8zF0wDrU73elOF2cvdE60gPRMSQrljne8YxeMvabA4Sd+&#10;4icuzl7onGgB6ZmSqO0bvdEbdQHZa8/wDM+w+rqv+7qLsxc6J1pAeob0xCc+cXX7299+nU7pAXKo&#10;Sdt8/ud//uo///M/L6600DnQAtIzo8c97nGr29zmNl0Qzmn82A/7sA9b/dM//dPFFRc6dVpAeibE&#10;B1Vt9OIv/uJd8G3SRHlFhxVGLHT6tID0wARcigfUy+5C3/d937d6wRd8wS7otmlM5bvc5S6rf/iH&#10;f7i4w0KnSgtItyR+3ZzSOiV7L/qiL7pOmexCT3rSk1Y/9mM/tvrcz/3c1d3udrd1Ab3rPtMzPVMX&#10;hLUB5HM/93OvXvqlX3r1pm/6pqv73e9+q2/6pm9a/cIv/MLqX//1Xy/usNCp0gLSLYhWvPe97716&#10;//d///W6zSEtqeggRe+f/dmfffHtfsgKFxr64z7u424AZdte4iVeYvXTP/3Tq7/4i7+4OHuhc6IF&#10;pFsQ8L3t277tGgA01D3ucY/VH/3RH138+lR65CMfuU59OM7Kk0PQN37jN14HyF677W1ve3H0QudI&#10;C0i3JCZjBYItS37913/94tfVOnr6uq/7utd+f8/3fM+LX/ZLX/qlX3pdP5i2T/d0T3fddy/1Ui+1&#10;+pd/+ZeLMxY6N1pAuiU99KEPvQ4I2q1vfet18Tv68i//8uvymPe6173W3++bmNG1D3e4wx3WG5GJ&#10;4Oa7W97ylqu/+7u/uzhjoXOjBaRbkkDQMz7jM14HEI3/96hHPWr1Yi/2Ytd9bw3nIeiTP/mTr93D&#10;srT4nV/wBV+wLgX0vQCTCqWFzpMWkG5J//zP/7x6yZd8yWsAqa0H3kOV5H34h3/4+vqEw+///u9f&#10;fPt/0eeP//iPX5u+z//8z7/elWGh86QFpDvQ/e9//xvAONR+8id/8uKs/ZKAFK3du770igi0nRx+&#10;53d+5+LbwxMB8d3f/d1rIcGCePSjH33xy0Lb0ALSHchG1HY66IGybe/3fu+3jgrvmz7ogz5ovT3K&#10;UM6Wxle0ICd6DNKPT/u0T7tuGZ0I+Bd+4Reu/uu//uviqIU2oQWkOxCGtMdQG03tNUUHAjr7Lm5n&#10;4k7t/Pc3f/M3Rwscyd3ygdvntzHal3zJlyx7K21BC0h3pL//+79fvfmbv/kNTNlrGPXTP/3Tr+wq&#10;FFr7Xd7lXbrPrjG7E/1eaD4tIN0DqTp6tmd7ti5jtg1QryKjqoD6mI/5mGsR5aF2qFTUVaYFpHsg&#10;e9jSEj2m7DXF8psSk9UO9ftuUjO7bpStb5a/zTH7X+RFXmQp6t+QFpDugX7u535uvaC6x5S99pqv&#10;+Zob1dHSvK/2aq+23qJTe5VXeZXVO7/zO6/bm7zJm6yXr+W3NIX0OeYVX/EVb/hdFZLf3vIt33L1&#10;Qz/0Qxd32pz+5E/+ZL1DxNwF6HY5XEzezWgB6R7Ibgc9hhxr9smdmxYRwa3nWgkT4ge+93u/93Ug&#10;8ZmvHPrlX/7lG9ahfuAHfuD6N8Li7d7u7daftyERbmAnRJ792Z993QisIa3qt7qz/kLTtIB0D2Qv&#10;2x5DTjVLx37xF3/x4irD5E1p9bw3fMM3XP37v//7xa+r1R/8wR+sCxbqMQ9/+MMvfv0/assH1RpL&#10;CWm7gLQl17PY4Cu+4itWz/M8z3PdPbVFk25OC0j3QHOju72mlK8CrkcKA2pAhqakvVQxfcM3fMM6&#10;B2kX+3pdgSz5Sr9r7/Ee73Hd764hEmup24Mf/OCLO+2PLN97gzd4g+vuqfHdlyVzm9EC0h0JwF7j&#10;NV7jBmac24CFTztGAju245RnrQ04NXW67W8aMzzH+Nw7hgAYe1PbtiSY1tuLiT+8FDVsRgtIdyTM&#10;2L5vZdNmQfZVoz//8z/vbt5t+d5Cm9EC0h3JZl58y5YZ5zbVOVfxNYTf9m3f1n3eQ62rvcq0gHRH&#10;ojGsQOkx5FTzVu6v+qqvupKlcu/wDu/QfWZllAttRgtId6Q/+7M/m9xm0xYqb/EWb7H6xE/8xPWq&#10;kM/5nM9ZffM3f/M6ynmIovvLpt/6rd8afOubzdQW2owWkO5I1mlOVRu91Vu91TqfeTOQIJc1rjVv&#10;m0ZYqU5aaDNaQLojjWmNtAc84AEXR199+rVf+7UbcrZpCh523X/4ZqQFpDvSd33Xd3UZsrb3eq/3&#10;ujj6apPVPW0+tjYL0JelapvTAtIdCMO97/u+b5cha1M7ezO8e+Wxj33stS1Me215q9t2tIB0B7Ka&#10;Y8i0q83OBMfcvuQySABs7FWMz/mcz3nlx+BQtIB0B/Kqhh5D9trP/MzPXJx1Nenbv/3br9tGtG1e&#10;i3GzBM/2TQtIdyBplR5D9prSvatKVtxYftd77rRD7eB/M9AC0i3Ji5imorq1XWUm/bIv+7LRHRks&#10;W6NpF9qOFpBuSR/1UR/VZcihZnH22N5GfDo7+j3oQQ9afcAHfMA6bfPDP/zD62KJUyZa9OVe7uW6&#10;z5z2fM/3fOvKrHMl82IhwmXRpYFUZPRv//ZvzzIk/+QnP3n1Mi/zMl2GHGpKAIcivLSyNA1mrudY&#10;IP2yL/uy67WZp1qZ1L6LptcsiTtnIjgtDbysObg0kKo8sXXHj/zIj1x8cz7kPS9TG261TQVOjW7S&#10;qgohlAm2r6Rom9UkNvl6ylOecnH2aZDotsXjvT6neW4WwTmTnS+8wPl3f/d3L745Ll0aSK38ePmX&#10;f/m1qUSjngvZFX4qSDLUvvM7v3NtNjFnLRSfAmdt/DrlhV516LX8l9l+9Ed/dD0WFpNPbT4GxOf8&#10;Rjfa8053utP6WWxwfhl0qebua73Wa601kk2Tz4WArGXEue1DP/RD1xuE9X47p6Y4w0Lx3s4LbfPM&#10;51xlpBaZqetZbAdj47Vj06UGjmzG5eG9kPccJtIuDK/zOq9zHRNu02zWxXzFwN6X0jYF6taZWqea&#10;70SH6zFDzbkf/dEf3f2tbUP3b5sgli07faYZgfRxj3tcd1F3bUzdr//6r78YvfMl5Yx5nq/+6q9e&#10;f0dI2VFDfOLQdBIgVXh9DiaR5WVjZW9zmy1EmPjv8z7vMzjJNhez6TbyKomP+IiPWH+eIhuOzdmi&#10;kxmnpHGOn+vlyB/5kR+5/mxTNEBtdzDsNcGyP/zDP1yfd870mZ/5mdeeKZt7y3v7/xju2qWC9I3f&#10;+I3XD3rHO97x4pvTJakGwiSTtUsD0ic96UlrwNu7aIpIb69ZnPN6Cjv/SQ9NEXDyJ+e87e0rv/Ir&#10;12tmEZDqy9QaWu1t3uZtztrUDRmjBArt1IgEPfOc3n9zSLpUkL7TO73T+iHvfve7X3xzumQzr0zK&#10;rg1IBc6e8IQnrDXNZ3zGZ6zfETPUmJnv9m7v1v2tbfe4xz3WZmzvt9rsJCg1Irrc+702wSLaFLXb&#10;i441z3UViLWTd9Fyd5CN3Qg5iubQy++OBlLmlb1gbSH5V3/1V+vv8gJc/s4pk4KCua84nNOANHWs&#10;kvzeD8M0FO1Na/09DOEVDfV3vm09Z6zpP5/KvXu/DzX3qab2XJCyEnbZGf/UKEvwAlL8zA05xisz&#10;jgZSD2TiMIpXyKOv+ZqvWZsRwHqqJLon9N4y4S6tgtQetFbS2DGQb5PGBajnANkTn/jEa78zt/iU&#10;9ZyxBjD24rVlS+/3XiNM9WMbkBIghzYDj0m2ffEGd5Vjx6ajgdTrCEycCcy6QmaEKOa7v/u7r/8/&#10;RcLc6fe+WgtSAGx3dX/rt37r9bEJVNG0diYM8T0/+IM/+OK/pxKt3/NdCQHPsUmZIW2hH9uA1PI8&#10;L4O6KmRMvT9HwEzlGB7mrvC5v/d7v3e997LvDuGDHw2kNNK3fMu3rDfjYiJ4GBU4/BbJYr//7M/+&#10;7Pq1Cz6fAgHQLhtft02wxR69c0EqL6d4XR+mQGrDaZrLLn3e2iafVxmmBen3f//3r18H0ZIo+w/+&#10;4A+uzfBdQMo6uAqbYP/Kr/zK6lM/9VPXb6BTgGJ5ooozy/KkyMQUUnXFb1Xssm+6tMCRvXBIpjvf&#10;+c7rsjElciaW3/Wbv/mbF0ddHmFQuUnmecuA2zRv+sb8hNJckKpsIrX57GMgJdSkSASCRB9FVV//&#10;9V9/PaahFqSCdeqCBY4IS28C91p/5i1mw3xXAaR2i1Agvy292Zu92ZoH7nOf+6xffGWcjLVnxL+s&#10;BXl+/zOFDxFEOhpISXUbJntYElzO0cPbaU86gFnJtCOhHvWoR63PkTAmtTDLsUllUUzNfTQAwrTe&#10;iDYXpHxIoOASjIFUesiuCJHiQAt8tWa2BWl9E5x9g1V/8bn8f7vb3W5t3u0CUu+m8WxzSL8Jhaw2&#10;Sfmh1Id88S6vwfiET/iEtYk6RRY59CyLW97yluvnsQACDwMhsAogfdEXfdF6rNX0snjsHHkIOhpI&#10;MWUeWJqA+SB8LaGPPDyNoa41hQ0m6Na3vvXRt4Hka2y74XWvEUZZT7kJSOs1xkAqnaNEj5mLWdT3&#10;CsbVHGgL0p/6qZ+67vq1mQO0C0gJuEc+8pEXZ91IgOeZFQq4B97o1QGLML/927/96lu/9VvXfLCJ&#10;z+dYaT5jN2aGOo7GvO9973vxzVPJZt54kJnrs/gJgXIIs3aIjgZS0t4+NwY+rxrwoGMmER+VdN/m&#10;zdjbEl+MJmmZZZdmCVqk7CFAigi+evwrv/IrX1dN1ILU/Wnqeo5GoCheQAFpZd65INXUvFbzDxj0&#10;yUKDd3zHd1ynnnrnDTUvT1ZRZczmgNUz8ueB/zGPeczFtzeSKLY5Mu/tG+7cRwxFZD3jVYXWMeio&#10;5i7T1Qt7MCRb3jpJAwSoXrdA29TBf9jDHrYeFIn3YxCGSjH1PptKpUz+oUDabi3avnOlBSkA9uqQ&#10;aUCWRI7RD+spQ5uA1LXs1k9r6rtnV/fbO3aTxsoBVmmiMWKtGWvnJO3XI2MjH2z97pBCUKeb3PVD&#10;HvKQi2+PQ0cFaaQqO56N74EFR5TGGSBh++TWHMO0cMwxlghhSIXk7rfv9uqv/uoHB6kUV60SynKy&#10;UAtS5G3f9R6aiHLmiduhH4AW2gSkabe//e1vWNC+j6ZuVmxjiATE4mcbryEi4BIgFKnN3FTCHxYu&#10;EH4Ui+DmsV6ZcTSQ0orMmxR1JyKGcZhXpC6g/vzP//z6eMfEh2UaHZJoctq65xPto4nsZvuNQ4G0&#10;Uu8tbQGpqq873OEOq3vf+95dwPG/+LO0v1LEfYD00I31oxa6JWOaY25729teZ3pX4u/W67VzUUlw&#10;6W53u9t6TqWxjkFHAymnH+hILNJKEbgwvWivSCKnPNEyRBNEuknTHJLcOxL3UE1qybaePZDydaRD&#10;+Fxp7SZnot7GLb/z73sgBUaLw/nzlQJSkXMM5poZX9FjgKzfaVZ6nANINTnoCMJQBSnhU330SoJo&#10;tQxTkKhHxjA8fJe73OUarx6ajgZSlCSwgWD+kOoxAz1wfehqih2ytlcEtBdAOUSzL5Li9xakLAi/&#10;J+VDozuGuS9nqdijgifHtSA1frSgY9vdCQNS+WlmovMJBsUlecub+tT73e9+1+7DqjkXkGosNW8v&#10;T8WVKGxepiWnOVRny6yv75itzxuybJCg9TuBXnPQh6ajgpQZVveqNXCc+5aYn1l1oDGVD0H8s30E&#10;MuY24AHIHkhpNzk9bgCQqnLBbMAjCi7P6hpAwncm7FqQ8vuZbkxVaZhKAalKpGwHcte73nWdgI+r&#10;4ZrMYOb3rW51q3Vg5pxAqnkOq4aYtsCX4Jh5HtN8H/uxH3vtGu0LtgQ565Y5ctJDpvMh6KggRSSS&#10;TZ3ywHJy7eBJLMck87fnb+xKNDjfomqoY7WA1ORL+WAsloVAh4i3Y0htz52iehqfBM+yMYDrmbsY&#10;03X9reMakBJMxtw9pG0e+tCHrgNNTDwrlIAcSC3IV+0UkKqzdr1TB6lmnMQY9JeAJ/SUY46RsTY+&#10;zq+RYIKPwAyf4EdFOejHf/zH19bhoenoIEVWv8QHYKK0SW+/Z1DY/iJr+yb+76H90KEGpICnkEOt&#10;crSYcj6VP44RGFK6JzLKROY3q+Lxu+MwXgUpYFYSAwAutacoIGUC0p7uAYDt2LJsXNu9fA5I5QYJ&#10;2HMAqWZu8ZEyPqasvaV6xGqTURCxteuCcxWEhKzeEjvxvRVbBBwBb2wAn9Y+NB0EpMw0AQoLpQUf&#10;OOaKGUIYQ54rxQ0ib3VZk7yc7wUDDlHHq6xLqsE9DtVMaHzHthFMGF7EVmIfSNtjuAIElWtogN1q&#10;fSAl6S1cwISPf/zjL55wtf6OIGTSooDUfZmyztcPJXPmIq2+Rv8HfuAHroFUUYA9ds8FpJqAGCFl&#10;LFgoLRk7mtBxMgh8cHxR18EKbLoWIerZBZ+ANOtLD+WKVToISOPLRFP5q2zti7/4i69F2ABVfopZ&#10;JT9a/QCaA0PWJHpLBMGYjzFEJKvi80zkoZpIrF0Qb3Ob21zbeqM2gCC8lD4KXIkaCiylAVA9nnYD&#10;3PzuHCA1BnJ3jqlJdr6soMk973nP9f8BqX2OMRwBiTnrPTR9BWLXF0QKSNXVMnnPCaSadbdDm5Lz&#10;K7OChaDkCrAYxAmQQJOyRPERASnXAWwpQ2PI9FXkcGg6mLmryoT0iqmgAR7JXvN4giI0QC1uBlg+&#10;WhLvBkaOMOf5K8Bx//vf/1p0eA5haMDH8OnToRo/BmFsEdTqh2usB5O+a56UsLMHkreW1VpdY8Sa&#10;4dOigJRWESSx2x8hUu+hEaiOlaj/2q/92msgDZ0bSAkd1hweasnYCcjhSwUnBH81/1l3anprJNc8&#10;RbiZQ0L/0HRwn5QEtgl2HTjplTFw0bjVh7DECyMzxQwix93A0jabLENi6vG1al8O0TC6JVKVTG6N&#10;EBIUfKZdQYoIRKBsI44YM8wZkNaKI+fXe2iYWvAIGetzB6km55xSx5b4lgJF9e0CIaCtteXGl1mc&#10;66pAOgYdJXBkIBKs0DCCSOKQuUoDMHlDnHPniXgCNwAAKPNvkxUym7yqcJdGECTFUkkQopqYUiFA&#10;sytIQ4JHdXWGWmgCDrUgBcChhQRM8RzTA6nniytzLo2mFBzqEfDxR6NFY7m1JH6Q63EHjrXu+aAg&#10;jRnGESfthcVj/gqGMKd6hNFqKaD1eipGlBRmIA3QJuv3rK3MAB+6MZGG6IEPfOC146xUYY7uC6RS&#10;KlkSh9H4VxF2LUhp3qS52iYogoZAyjJKJPScmk2uacdKNKXnZZll3SmXCH9acxsyXoo/cq02l3pI&#10;OihIs2VnVqzTnPJ3NIqyvzEtaHlU0gcIcEWIRWajgfmytG478C0REK/3eq93bYAP3ZT+DZHfctwc&#10;kEZjjYFUgIMwdCzgpUKLz5sqmxakY+tJpX3QEEgVBqhcOnSEfN8N8JLjDOGrbNKePXWzp7B0VywT&#10;mYoEAKXA8PGx6KAglSDnh4mGVccd2GhBppjIpOVrTD9JdaADXkEQTn18VyD3diumloXCGBZzM3un&#10;EsoEwpDW2HczkRh4iDYBqeis1zQYnzGQYpgqhFQutdSCNDuwa6K5ou8RCFloPwZSglLpYa5xLk2k&#10;tioHfGkVlvrwRz/60evv8KG54Zv7XUZCTlQcQe5aMBCZD2OgIGTIddsHHRSkpJBUAJOLP5j0AabA&#10;dCK4NnfykHJw/tKgChiYu+x+JjJNKa2T+kqAFnkL8D7lUz7l4o43EkZLiuIYDQOPSdlNQKq8j29r&#10;/MZAKiBG+7mmVILnbQNzLUgtFcR4/E+lgsw5FTSsH34zd2IMpEiVjvxtnuccGrPW1jItGS+mr8Ia&#10;+WFA9PxIhZdxoHTq3KYSCZ9aPIEAnaZtyzJ3oYOBlLak+TBGb7BMrqiadEB2RwdqgBTWZo7xeyzw&#10;VTSOuWyZyN+zyt6AAqci9OS1eqTsLoXRx2hMzWo1tFRBSmDRukMgNfn+St9M+aSkPoHn+HpcqAUp&#10;ZjJubV+5BtIzfpsCKZI/jBl4Lo2wjzasZOWQ/LFWC0NoSeOCuBCJostLy5e6nuAoyhpoW74E5LvS&#10;QUDKlDWZQ5PnoQSTAM7/fFZS2U516mljjgAiLQHszDnVHcraQnXwhsieqO39D9VMWK1W6VEFqUQ6&#10;i2DMJ02bAikmIRgt/u756C1I59AckGLavNPnXBqz9RGPeMTFEzyVuFp+M4+JilcSPScIjT1f37OL&#10;+OJRFg+Bx/JLsHRfdBCQ8ifja1oWxRGnOZm5ihkkh0mjTK6SM74XUDMfkqcLOVZ1EkfesbbFFHwa&#10;01ihbL94jEYzDoX5QxWkUiCEjoor1T0pzdMkyuu1AUxkOL8DuPGt54w1xR/cA/5q7/deUy+sH2Mg&#10;RXLV+9y47Rit7q4YUv1FYNKCPUEH2M6Vd60CU8xF0EkGgeKgZObw5lw6qE+qo0xXKRQmLYYknSWW&#10;fZbvxKjeGM0vErDAfAarR0xXaRg1qcromFq1JrhH0dbHaCnBG6MKUnWhzErBL5qyvoNlqhkD5nDv&#10;t17DfAQgYdn7fai5zxRIkdTPkGtzio3GrJuT4VWLLvBV6sgBTiyE9cEXpVwoHZVuCRQJKmVrGHGB&#10;mML7pIOCtEfAiGFoRFqHNPMXeJl8vcqPSkxgm5ZhNpqX+UGrDlGKyQ/dmEg2l54iIAUW/TLpQCp3&#10;zEc0Nv6fao4TiJMX7f3eazbYAmoprN7vvcaEVvk1B6SIj3ZORQ7JBwMcs9U8sOgQTfrgBz94zaeE&#10;FROXr05LVi1LSQSkApr78kMrHR2kAiWYBVPTpDYZ46i3W19w3G2xktrTSqQasw2zGxzaV061Z2Lk&#10;mEM3z0DqThGQZu0oAgZCy3453v4tyjpGpDwN0PqkU3Qon7SS40Xpme+9MTq1ZtyNN0tOn6VTAkBz&#10;yQqjcXM8vhUZbq03rhg+bktB90VHB6lBkKNT3O1z6lmZfpX4d76Xv8vACZM7L3v8ONdAO05iHYNU&#10;Kce5PxZIx6qMKgEpK6DuzOAZaDh+vJ0ZhoJh3AZpE+mRUwRpiMCsL9k91YY38BDtj6faUk68JC2Y&#10;LVjS+Oly9WP58H3S0UHakjwqTWjxcyVBEQNiEIFTMElUmJmnaiS2P1MFAzJ7HQ8sCZ9bWXMskPJT&#10;5lAFKRM0wQo7LkhJCe44piXAJbAwE7dgHyDlOogG0+K9aGQFqd/1eQ5IkXnh42Vx/yk3Qa8xN0td&#10;ryWH9RyW4LFeknzpIDWZGLA1VaVxFOEDnMEQ1rYWEjhJMMxVCZBVHqlIktAXRWY+1oE9ZKPF51BA&#10;CiyqX5hKQApEWYRAMDHpmVw0rTGS13Meswyw54DUePFbabYWpK4n0GGslMvxvYyteZAvtLxOYUlA&#10;KsCn1nouSJF+O4fV047XqTR9m2OmmgsFCoKVorlAfQj/s0eXDtIxMsmYn6YVZMFAIrwicIqdq2mL&#10;HM9fEyU2AdWfOHSrW260pJ+pVAlIgQSAMAiQCoalZlT/BTBSlUUjAReQySUTRlMgFT0X8HA9Fgiw&#10;OF8awTpfy6xq/60owogEIkEgKMe0DkgJPBVJm4AUmRNld4RsvZ+msumyA00KXXovajolOmmQyrdi&#10;0loUTYtgtrrTeksALQd7LFNXGwIpwcIiUNrnczV3gTc+qQLurHVlfnmGgEwBODD7zMyyumgKpFIi&#10;6Ruwy5MKfDCZgczvtUCeRmGhiAXILYtUczECUqYxwM0Bqb7K+1YilKyfFVFVlSMuIUot+X+ZFUvG&#10;wFifMp0sSFVzqDLCqD6HEkEE3NZEriSto4ayNzGHaBiwR0x5axmZk0zyClIUkCocCLPyS1W/AIj/&#10;Jc8to/IZmJRDToEUwBxvLS7XwU4LQGpM3U9FTd2ixTjT1sBMMNK2hGBAGpoDUmPhelPVYEgVz1Ca&#10;jKY1LiKqh4oYE3pcgVOmkwWpcj7mqv2ISPGWAFQ5lmALhuXP0VY1AFD3Uj10U5TdI74z0GF84f4h&#10;kHqOej3ArjtaxCw0Jsojp0CqCoglEV85PinQupbi/Vxby/tqVNIoyiAMUli+KUilztyDoJlD0he1&#10;L2lqlpngBDPNfyigCtqdMp0sSLOomAZqfU+pFSVyGL8OtiBIrck8Jkjb6HRI/jfHqE4ZAilfsF5v&#10;qAG85VIBKfMf8Nq9dvju7kMzooCUVuWP0iD1uvF3gdIKGSAD9E1BClBK7lxz7sJofWv7k5Z3AyHC&#10;SZCrd9wurV1jemp0kiA10RjMAAqmVLNJIlk+sQ0KCSQJjlQ/9Vgg5UuS+D2qEeYxkIocAkq97lDj&#10;bwekLAdmrNSTdbP6wcowDo6zgzuq0V1BLMsBe9dOk+fUx01B6voJgLnGHDK/hE/bB8Gs6urQ9FP9&#10;1ghruU3N3PSunRZf/JTpYCAVZOiZqXNIkMFAG0R+WoqZMR/pXAfZBMidCkK0dCyQAl22Km0JmBzj&#10;OYZAyiJQcpY1oUMtPqttUQJSVoXcqe8JLmasRcuub6yMj/GrIM19x5jXskDzB+ibgFQpYUCqL20R&#10;e4+4AW1fPIvClZak5IaEmWsYF64Hy4Y7ZJ0na8ZWKNJIgMsX18wDIdpaaqdGBwMpprDb91QB/BCR&#10;ohn8vCGMCSeHiKmlZSxh40+QsD2yKLdO4qGaPg0xY1azCPXTCkAqEBQNQauR5gobLDj2mS8p8NJG&#10;p0VFBX4wX0DK5+wxrUXzgkeYXQqnBSkz0nHMx17Bgd31jaskft0AegqkNHj8XSmcqTJHpNqqNWMJ&#10;h96Y6pPF8vVYjblsLKZyl4S5VJK00NSxp0IHA6mCZZIfkIZSJWNU3+5lr9htCHPWiTxUs9Uoy6FH&#10;KSkT2CKxlZn5n8AJyYumeoUfKKJp29MWpN7DGcYKSNWd1mPSnKvEkEAg0FQMVZBaigbAUj9SENI0&#10;Ode86afIK+1UX5bLbxXMG6MEguZqUn3IvTX+cO+N2/xpsYqeBUCYHGMP3Mugg4FUrsxgmvC669pc&#10;MiEYzARkZcKmZFVGO5mHaIJYQxSQquBBCSTVjawtdPdO0QCQtO/tJuFa2TE9IM17RceacWQ6BqSE&#10;hRcJC8oxi2lz6Q7RVCag4gemOSuFv5xVRkxrgOcXVuKGCEZZU2nxPv/avM/xSQk3wK/9VRJaTVDF&#10;Bmq7x0oMrdbZRhmcAx0MpHyTJOcxXPtCoSkyeUr7nE8rb0PqaetEHqIRRGNlZUxDgZ2Ai6mK2Zi9&#10;IQEvY5XdGTA9QEiL5D5MfAX20dgB6ZxcMP+LtgJSlUg0NfNSkQW/E8BoLxrQ89DYzEqCg9kZ4WFF&#10;kjRIBE4IiIHZvewDJKZAoLTH9QioqxbXjAcyHqLT7hmrghukXDExi7REsS+bDmFCHwykGK0GQlSW&#10;bEp8SgwWE21TOsauDBYBj/nd/Eg+a4JogjgYjSkaEsQRbOEaVLM579bUMKXgUiggVUta+9NrmFzZ&#10;IZASeK7F5+ULAirAWkzPf9QX2lWxA+Giuil9kt4ClnZZofME7wia7BSv+ML1+b5jbxmwm0E16wkw&#10;lpe1mTUvqhSUYCMA9Cdvn0tjvl8WsUS4HdyAQ7yV/mAgRQY1g6iYvIbT5xDtQ8pXxt2EmJF1Ig/R&#10;+EhjJNJYN/omvGxVqhxNjtOYWFzMJ42GjakHtAoDFDUQcrVgIiCl3WKxDDWAzM4Jiu5FfWllJChH&#10;c9XoNGARPjS5xehKBAkZWhtwAAWp6lIr7a/UD62YuQJc92IB0JQ131lJsKf2lZlc02usMFF6FoCx&#10;CzG763mHLkjgW/c2F7BskJnPEtGqG7Mv2htIrVhvUy6CIwnHG3jSZhMy4XNKy4bo0G9P80yYvxJz&#10;lhZJ4APgWkvAyhfai6b3mQDD6IoIaC9RceeQ0LQ07YRBqykVkLr+mMlLSzE7aWEg5YZUZq/EpzNH&#10;QC0QA1hcBtrB+Uxh/qh51hdCkL+b71pSHuj+xslyuJYIhqE5cl3PJyodIVBbfV2HflUrY1/kGUWB&#10;BTFZhSLr3JCQBfjcmfSjvmFhn7QXkPI35aDslpAJ9AAGk7kU/4HEqaATQaRFMCqJrgwNE20aAHC8&#10;4II3hGNoqQwaCFNmADdtJDrA9H5Liz9amR54/EbSe36+XTtxpLLcJm2qMF8e0jG0KvPVNh7Gk5Ya&#10;AlRAimi6BNna/nm1ArC3KZiWzKGyStcRjEp5JSbVP6Y31yOlfuYx5jiNm7xvJRpXKqdNxWF01yFc&#10;qqlbG56RwjFOvVZTNjSYNJHx3hd5Pu5WrBTjolgk82FMmeTpQ90bad+0F5DyX3SUBCYd+T0+q1Zh&#10;9pDGBtLAM9nyoIIZGMm5/oouMu0s4OZjqHsdYlKMDpTMwGy8LVghOjkFrrEGnFad0Ch5UdRYowX1&#10;lbRHTFSMR+pKqOsbJm3zhWqTMb3iciZlzER//c/nEowB2p6bUEFKMJoD23+4Pw1tlQkTMEJxCKTG&#10;l1sh2ss0JTQr4ESaBZKMS/suFdfHqPKxLCnP1CsqQfrBNKRdBaMy723zvTlMYyrrd5tHbZux5PsL&#10;ILkHP3hoe9MpMp4i9njWtf01D9XtslzQmPhdjlb03Fg6hs9uHCM0COqsQ93U5UM7gdQA6JhgiEkm&#10;NWk1ZpvOG1zS1Hc0Bu0gER2G9b3qmJ4WwOgA276kFQPJ+WEc/hHGAiq+qyoZzCpZbaXI1MS2zaAD&#10;VCqcWAG949KqpvZsfDAanQlME0lF+I3GbPdqojlpKM/gd5NcrQyaLeYvH7Zl/grSOdQDKUHnvsBA&#10;Oxm3KiyMPS1pHO1sn3HpUYQToVRzoz6zNmhnhRoZr7Ypa7TIgBBnUaURxIQWASBwxXcnmHspqtqY&#10;2AJ0xo6W5U/2tH1L+JmPHoC6DuADWkhwrW5hamzyO8EQvvA8iBDDW8A8tFpqjLYGKbPUwBs4Ewqw&#10;MeuYrvJWdWMngJRsVqZV/RfnYm7aE8OSpBozg7+SrVAMAtNLWsDvzAvmtQhia04a6DlasG3MrzoZ&#10;zObecZpBl24AaiDzHWFjB/sAQbBDoYNAjedvKc/O/wMEQahsDI6MHeEWC0MkNM+6K0jFC0SeBav4&#10;lhgv5L4Envt6JlplisGzq4QKKxqEwGGuE6buAcDmVG5WCsgigZi6LCxBJ/dVWFHHYIiydC9zAVSu&#10;h+eA2LpV1hyQOca95WOZsCwc5nfLN+ZDLCHzic8AtM6dY6SA0nfCrY4dpQTAzg0gCWsA1RdzuClt&#10;DVL+i056oJh6VDkQehBEigakAGV1RLvtSSXmEInJXJAjcx0DSZqabBNh4Gmg3LNHBMimmzVnaVYl&#10;ErV3rEZIxM9iWnm2MAQJLlDSMsEQYVAaCLNJ5GNUgibEz2bKARnpTJBsC1IaWQSSz2zuVGVljpA5&#10;I2gwGQ2LaTOfY0RbymtbUUKYEngEj2dismLsLK72bIJRGUsLJtxDjMJ9uQoR5IQDENTxQOE/TWWT&#10;cwkU45jgDmvEeAKU+WISByyEnrwwXiMU+JgEojHRb1VgD3/4w2+YQ8X4ATFXh5LQ9zqGqRfOuLmG&#10;4J2CjGplzKWtQQp0OkqSAKcOMXkMAl9FiN/A0A4GPNtnGIi5BGwkGUlrAmikmioI0dB1db2gEeaI&#10;tJvTSN6WGfkQvWM1Naz1eMChIeIPm2jrMms0cIxMnlQDBgIOwbTKmLQS7WF8MSKfdVOQ6hvmxqyi&#10;ksAkDRQCYP6i/gsKqfrahJjH8r8RVgSBt7a3/rgASxidlk16xlz7jiAGGsQMJlxq+glVkCY3yawU&#10;dPMeIeS6BDtecD6wUwLeLYRvfe984wFwPhMuBGwPTICYN30DeVbPiP6Kv1AmlYxndWG2pa1BGqZM&#10;8hqgDK4HIOXtAuizFIzf7OeDcfmMU0SzCH5gKgA1ebXWtRLzQk7PscLwtBppjOHbHd7GGv+zJc5/&#10;71ht6HWLLAD+eY4TGOLrzSWaCKNhdIIwZr5rEgrZuMy1+axzSWQSw5oDYAccJq04guvy880fxiXx&#10;A5I55JmlYcL0AKDeesiSoFUyPgCW4wgMgaisCcb0ATxQVqog5XKE9JvSoB3xAiGgX70UEBBRGgDm&#10;ONeqLlZLgomCk3V/ZNYfHnUuSyKCVf7XfV17V6DuFDiqRMqQ7BhBrS1zlJ9Jq5kED9X6oyHnkq7M&#10;S5PN9OQPAacATKvhKtkJL4EnmguDGBgTVd/MPNaAOtK3kiVhveNNytAib1E8WoLJlvA9SW1i5wYu&#10;PJNAFAb1XhIavVYoGRN1sQBHik9pa8Bm1RhTfnRAAaSsH8E7z4QBBVmGwNUSAUkrJSDEAhDYGeuP&#10;3yI8jTvhUQkvhNEJKKDRtzFNSiCH8JdnEt+gEAgf547xkHvy1blR8qHmi49t3OpY6LtWr+U8gthc&#10;1VLPaFxuVw3WbUN7AykiMfgBeTBM2QuYOE7ETgSW5PQgmIh5RLLSUh6sB2hkkGhNkVTXShAC0zJD&#10;aF0Dr1A8EznW3LuNXGKU1A63DfiHGDHJecKJ4HGN+EGCadUsHyP9YX04j6WA2SoRQsAFIO7JN2pJ&#10;HwkHTMds5HNXE9r4CWwZN34dQTXGzCFzSqAaB9oCuPmcAmVT54t8xw2J78ldEYXlmwo6mTsAY6UR&#10;7oRBKzjq3FhIETL3ifxG+7LMskKGphWs67lNxsa4ci1cn0VDGMrpDgku55hTz1U1ZvaomtqLaw7t&#10;DaQ6wlwRaCCRBB+YVXb6rklgBMhypMwqmkc02ATzGQQ1aNyxB7N0SuoF8wKCiST5MGyWVbkezZGJ&#10;HGtC6O39TEqtna2tXQVSyfOKYDJRkYnjoxMemJPU5QrMAQNrRAADEJi4giNV6Okj8BJutJhoYn7H&#10;4IQCK4PZ3C7jYgoKRumToByXZA7xw7gzzEPCB8jda0igVvLM2cRcS7UWf9m1PCfmxi+0p/kbum6t&#10;sqrrXSkG4ORb4w1+skAed8EzctEILXPe+p3Gjl9LQPhN9ZgqIm6AGETrc4YoFNkEfr58vXtJCboO&#10;0O9KewGpifMwNBJzN4OnMWlEJFsQAKQAiAcCKGQQSC+mSk8zhBRguzYNYEIl7vmkvo/EIy39XvvS&#10;a5i0V65owuL7tY0QaokPpC+0E3B5XuZantv3Uh36pK+CYFMT6DrGg4Yx+RjXOtMWcISjwJfr+otB&#10;aBPpEIGSKhBoKe6IWAFgeJ4h5qvkWfhZiZpnu5o5JnyIMI7vR2jlXIJMOs/40KSEtIiwY4Y0mNx4&#10;5qNNa5i7RN6zwZtnJdCyTpkAaK0nZrH+EWz6iowXgUazGk8CNn1yvvkwN7EOaqM0CELWjAKf1s8n&#10;gCg15jlByfpiYbaCqQtSiV8Mz4zkE5Hgtawr5GImLgGj2phpChf4PZFYmCUMQ8p4MM32kYgWzMMC&#10;2RAZNFKLCUfyApPByiAABvOr7VOvmaye6QNUveNNdutHIaZpNAsmESxSBhmfHOmfccWAxodGZooN&#10;EU1AuzALBSiYT87z3ARjFXyuncIQx9AUKaIPmUMMA8w0ujHzTFUT9UjazPMRwJ6RVtk08mveCfKM&#10;YyvoADbz51jBqLGxSU04fhnriyAQP5OgY/4zneVRWTpVeCHBJc9oDI09MsYUCjPaOYJeUSqEqDFM&#10;X4Ya/pQKqtYKHmHhELz1WMAW26nC7zqQ6pD8DslQTzTpfIY2yUwCenidTPWPUDYNaWkUszaE6ZnA&#10;eXgmgrQMkCRoQ7PIXfEDEj0bIucDKyDwp0yGPrqvycWE9RmGWg06VDJhveNZBqlrrWQS/B4NIYjl&#10;f4NeAwfGmHkHeAAo0BWp3VIqlmhfDEyDinoz15hwpHPVNKS+fCXp3PrMKp4EM9yTKUh7enbX59O2&#10;DIv0lVaT7gEGqRBMGgaiXTEwYYAB3X+ICBX84X7mvLeiZC7pV6wk/RqK/Ifwlb5OEX7mQxpX4+c+&#10;LLrs5N/jSePGJ5VvxrfcE66H5jMtiTdb64dZTWvDFg2tsqtqZHOTub0OpC5GyjtI0IVtLw0R0Krm&#10;aMnEmCRAk5cideuE+0zbYV4at5a3kYDuadL5qMzWKRPQYLsH6e/hXFOkNWYMST+1oVcapiOxeySo&#10;1TsHQKqUC6lOEoEVPTW5LAymKvD2cm4EHolJknoGwrE17WoEM1rFeEqyYwIaMZuOhVwXSEP6QvPz&#10;W40NbcZM830ikLRHq41YSRjWfdIH6RoM6VlpAX6h69IUzF/mKiHs2pX0uVYIqXSqPLIp0WC5FqZu&#10;zdYhMg+spnacW5ICIvxpTnXZuQ9rppLfjX/1yQmrlDT67DkdR+AG5Hg862EFSmOlUmoUDUFKm6ck&#10;9hpIdTx2vtK7qgVJE4yEKWjEuaSDbHjRP9dlOiOTSJLHX2LmYiCd4y+15HgSW04LY2WZEkkUU20I&#10;VGPNgAxJfyZd7xwMOYdc10S11kclEyu9YkIIDEKq9qduK+L5KxFu/B3jxp+LNpGf9D0i0BQTuL5r&#10;ZEUMMt/Z+YE0rya8PhCaMcUwKCCnuWf61TYanpbIfRAtyqLwOw1o3nchKarcT9/asRkirpdgIOFH&#10;sbTCJEQDujb+cC9KipZshTMwGw+4wH81uhti7bEg9JOrgSiqjGEsyxCNGxxSPOgaSPPgAgM9IIrC&#10;upHo2FxiMoZBAJAGQIIDgkxMR9FcjYYyge2mYwbSYLR2v74wjSORmZQZ3DkNwOsGW5Uw91D6RkR5&#10;30TzpYDBRMY0iwXDleDDtESDAJqxYKmQ6KSvaxhjWhMzsI6Mf90iExATBHJ+Cgh8z6Q1FxhQiozw&#10;EIkVpdYIUpFj8+fcOj5pIsBJyRDO+V6comdZbEICQLme+88l/Un8BP+5Tg+o8uNy3am9pel642+s&#10;VNS5nvHliviOgqNQWCesDvPqmKSEWILpf88MV1jjufJu3msg5cs5CeP3KL9zuucQLcL3SGeYppFE&#10;hECkNJPKRGJUUdaALuQ7zJDraAZEICOmMbOCb+z7etxYkwpoo2ghWp5m6513CJAieV+mpckRofVs&#10;AWkvRYSYfQDM7DSePisgxyD66Vy+VHY/YHqHPHuEmnumTjXlnpi0ms0t6Q83wzJE7kU7RxqLzPxW&#10;zSsIuStV09kzb0I1oKjPtH5Lni0mKOHEGhkSLJRbItaaggbg8hnP0/L8VfGYuBSCV4SyY3pZDC4F&#10;XuZKMM+vgTRpjR4IqXFM7cQ2qd4jzNPujRpJjQwC80qEj6QYIhFS0jzXIJGYHc5lFnDwMfQQoIYa&#10;phkK1iBM3jtPY7b1pOo+yIQlES+CC2gsjKGywryaAhMI3dfdCjCO9IO+ijD7zvyFKQAyr4PwPYnv&#10;eGPsnj3mnSKaSkAojbCrATyChIbfhTBw3CfNc/a00RBJV6USTDPertkjrkpqjFkXQ1SFRm1co5ji&#10;xiPPThFFAzNtW6J0zAkhrQ83gJQj3BIGwNjs+SkGNflqKWMGmXQPsclAhtjufCN9k5MjlSWNRScN&#10;dJXQmzRauKeZQgIgvfM0ZuAhtuoIic7GAjFRpLIxbYkmTPBBBBHRbMxM4KurMGp1TlwOlGCbZ7Ih&#10;GYFIuxCorUWzCekvk62tnc7ew9sSgLVBQXw25Lb0yLwTwp451xDIGhpj9+Oyje39DHyJ7muAL2Ie&#10;xSRuwm+VzUjgFBDxMSXTEn/Z3MtasKiugZRT7QYA1ZIIqIBN6+T2iPo32XxI52CWKYB6SHY6KW/A&#10;BZsAk2/AnxECJ5U21Zi9xtccC37p61R0WJoppYuVWBwYSaWKwA7tRCNhCpKYqWVSNMXxvuP3iIrH&#10;9MZEhJFJdS+aqAbxQu5jTBxDGidQow81aON6ieJqVQhL3vuOsKM9zZvn2gWg0lN84db8Jaxt87Ip&#10;6Qum5RfHh25bL289RhSNFEeEPG1svnrE7GUZ9kBcCf9yLQgNGtA4RBFwV9JXmY4QAPbMaOPkOtwY&#10;z38NpBjFRQCizbE5sEauSAETLBChDC6N3U2q01RApkjhQQ960Br4GEX+NE3kks3tgTjxTDVmDObc&#10;VkNONRJRZHFMi/IBBGF659eGoQUhFMJ7Hn9FNvmVnoOvxLyrErvXMC+TiiQWkCEkMATp61yTxSdq&#10;ScorroCxG4pwelaaIvcThQxJ6yR3qR8CTptoOkzGpCXgRULNacz1thkbzD5FmJZFQFADklRIij96&#10;1/VbFUpzyThLr0Twi+bvSnAjJqBP1W00PngPj0yNQZ0v10LXQKrTJhtjMLmGSB5QTiwMci6NtCQ0&#10;prQExmNm9K5x6Eb7kLrC9jQrged7QAKGSiqych6hUPPPLSXfCvC1BFIAI8Ej0doES8bIMcw4oCRk&#10;xwBUm2PHrk8TSUcRVol0967TtqFA5xzCC4JjCkrEGlJJtAu5Jsuz5t/zXWt59YglCdDmNNe4BlKk&#10;cMFE0gw96QTl1b85l8bHY3JOARQ5ppqHl9G4CkxlZm58HX5mtXAqSGnvsaobJq7j+DmqnUKsJ5oE&#10;Q0jfTBEtwP3YxtJhtg9pe+Ynkx3v9c4davqxiT86RNwfhTqKDi6TFEtki1A57Vh814GUZLWCw2CR&#10;vr2aVpPMBInPdKqNVmIZqKWdWlXTEk1BQ/SYBmNg7LZhdGDpNZqwHjvHCmGtcDH0ne9Js3gtfXwj&#10;ueWY0oIU1R1pKdvAuG/K01hOUiSeMS+LmiJLuORlBYS4KRpN3Hvm2pjAUjVDfh2FIMdIm8cF4n/m&#10;fADP/fyuD5q62V1zrqdAcEajx83iGlStex1IEQcac2MKaYCsvatMziSUFhB5NcFpUgECJWl81vr7&#10;sRofQAG/QNcc7dmScwTA5Mjq82h8WtHutikiSDlY22iseix/3rX0U3/5goIONCgQAw6tlzI0BST+&#10;5+dGE9bAkVUvY2SuHCdvF2L2+k6EeI6Zi2g82lTKQpBPgEwqyyoUwZsUprSN+yRHKJYx1QRcXNd5&#10;rqt5Zt9pfu+dd8jGFBe8mtPgJ/2uTYCQNaeJ15hzgokvzFpKoI1AajX6DSBFgJnKDGCVerEC38QK&#10;WByqmUw1ju7Ta/KqAlG95qHVll5Gk8ro9WmTZuKYbnYDkCYRRErxB62XnKbIM61JK2WBuTEbI4LC&#10;ceYQiabTSPz03rYiIUEkZjRh5Rktp3J/qQT8UbUlzceX7zU+Xz323BphSEgaw0M1c8FC7RU3dEGK&#10;SCz+RxtKX9rhGoGoCERqpg0E0cZxMVgwiKXiHJJ6jGg+5yVvR9hhOiV/vWiuoBWBKV9Me9c+3izN&#10;+Bjbocbt4T4MNbgR3R9qcX24DgR93rfTo0GQhmg4OyioOOIzSMDyl9jNh2x8wt7g3SyNpmojhCk+&#10;EAhj7jLD+KVTeUIgdZy/6n3lijEa87ElvpAUwKHSYJifWd+b817Dc3OaFUj3ute9JhtrQiBtqrFm&#10;etZcGnelNetrI1RFiwWl2kYAb+KGTYL0qpNgGX9SaonJaYIEWgRsaonbUCPEmKlp7XlDy6hEav3u&#10;3ooX3NdqFvGAMDQpa8JD+prCfwxnokUD9X2M3IN56560sPNpyUpiDq5T85wkvZQQn5gLBOT12dLk&#10;W3epJFponG5qkFoIza9TbcM8oT1oGOaK7/iBGHfIDNk3uY8gDmHBFwIU5Y8VhIrlBZYASJBCXe7U&#10;/rvOcYzAjwgps1lgLASgAhrMMPcUqVbHyx891rMvNEw3NUhJf6YHf0CZXpbV1QawytxEtHtEm4ki&#10;A5Ioq5I/5qKInfLBGoCgJQXhFAJYbWLZl6BOmx5yTaaudaH6AJA0NpJyoBV9L70EbAI5Q4ly15b3&#10;Fu0WJAJwFWEVfMDuHq7JJ1bxM2aO6YOcp7ZNtc8YmRPWg9UkrAXjqZJNdHRsbe5Vppve3A1hDqZq&#10;FtzWxo+yFK4WDPAHRWCVwvERaWHHMRflmvnu0ipjvjUBoLrGZmxMSpG9ClghfWkTxwJsUiWiue7l&#10;ntITQCdu0CMmuHPtCiAQSDOraAqJFGdplTyde4b0hbUhuktjZycGuVE+s+azPvILFQTQ2vKpc0oA&#10;K4lWEyKsl1ZYek5j2u6McLPQAtKG+H3SOdlJIA0oMKMVPjZooyUxj+in0LmIrPyWfCA/lOal5WhQ&#10;QRtASVpLw4gpRtBoOKF+FV1yqfHxgMyx7m/hPQK4LAKQZ+PTOqbduMs1AFM0l8bW17pjPHJuzHv5&#10;WyT1I7ku5SLI4znTzzlNX/jTxkmARQCltRYq0czGvAWnRijIJ5uXm5UWkP5/wrQidoIqPmNuy9EE&#10;V5iSllhVBuK3WuupioZWarfVQJiKVhAJx2TMYYX0Aj20DZOSFlRIrv7U9QIGAsK91evqT0oxmaKp&#10;GBJ9jJAgHOQiVYlVMNBMBAMzUbUSQaA+NsRHpe1dW3TU/0xfa3bjn8rfCVaxGGhsGo3AYAEwo/XB&#10;2LAELASwcsmxziGE/O6zoJjlXqLSVUggxRbyqZ5PU4jOzLXRAIvlZqcFpP+fhMWV7mEqkdAQsMpB&#10;YlrA9LtytN4ytUo0g9wXE5C5CFgqe0RKe4XwgMWUxpSYNWClxYBKgQNgaHxL5JpWLDmOLwy0NHFq&#10;cEVyCQn7+zKTXdczVJORL838BV7govmSuFecwCf0/DRhfFSA508LLhE+1qHSwszhaH8gdA7NzAwn&#10;mADZdaVVANAzGUPXVayhwCItJY4A6rrt6x5uNrqyIMVMtGPKstL4fe3WjABCkwnsZCUETWipFGYE&#10;ThoEYKLJxkjQAygDSD4kk7hXC+07Gk90FdMTErYYoX0wtXtnVwyA9H6cEO3lO8e6FwHiWEJHSgcg&#10;lLXJowKoZ6kBI/d0vub6wMqntpxNamXIRAUYS7H478bDkiog5Lv2yHjzU1VW8WH1xT25D8bYRmW9&#10;2mNgdpx+D2lUgSv5XlYQocL8TyN0aO5zp5MAKWbgMzH/gKRnPrbENGMyDkVdfc/sChOmYRCVNq2P&#10;o8KKeYlZRF1pKRpNMIV5WlegjBGmkOaIRgYKvp1VLS3xIQWYgCP9w8TykcCleKGt+CEsotX4vvmd&#10;v2prG/4lgeMvxjW2zFTH6EfI90zQXJc2dFwNHNGMrmk9sAirKHjG2ziJevM5PSOw8dN7lkIl2lOl&#10;lGBVtLjIsr6pi6ZJ83x5lQSt3q6gcQxXw04UBFmeI83cAelViAifBEiZO0xKg4u55C5N2FiOTi6R&#10;9LcSwnFAa0Kq9Cd9pTyihWrjT9UJdA2g55vpA4bD5HOLz0MCIDRGCNgEeVrtrb+COOkP4RGwMlOj&#10;sWmJpGI0vmLVOtlfx8J5wg3o/Q/MAOW+fFzXtidUCFiyTYvgFi0YcCCfmbLpVzStlTOAhAg62s6Y&#10;m0P+rfmoczBGhKIFBgRigEZIuS83QVyAoLUrQ3tNwiMLDNpG81rQfVVM5JMxdzFlZUbMIRDSM4MQ&#10;c8ZxTCbn8qn4lcyqShgVaLKhVG00CQ3pHJIco2BG12pBNYcwLbO2msQ0HDOsJRHcCA+MaE8g9/Xc&#10;hET1HQkTAaj0m08Yok3C4EzcbPxFmzOl7fDgf9o15ra/0j65Xn1lX0jVFW2kL/rlGD6y4419AMDn&#10;lLpCzFbAqeWMc8i1svg6fXJfQqy3xpNAIFhybBrNLA3EKrpKtBeQMrtokF4F/yZEuocR0ly3J5n5&#10;l0zRpCUk9h1PgvaIpuRnmUD7zKioAdwEaZh7/DmagpbbhviSTNT0l2aTiuA7tpTdEgSTqsXATBZw&#10;SRAmlLpdDQPzJ92HT1b3ZAJ8r7Dw2c4O2azMfWhHx3sHTY7XWl8y9b3Gpm5cBnzyvr7P6hl+uq1z&#10;kOeQ8nngAx+4/n9TEnBTWxuLQvOZ7ytVVMeJoKmlidykqxpc2gtIDZ7BFTwQTdxGC4WYMTXdgSEV&#10;K7eEQWnZmGhMW4w7VCtbCQhpI+kFTEBiEzCYbc6WpT0Kg0arIIEroCFoWsoyM/7vHGqBpbTPqhbj&#10;YB1vvgdMQLS7hGcLw/OrHcsc1SfaO6tquA6VMDyNyAWpJrDzY8GIuiK+Nh/fb0gkViR5yAKaIkAj&#10;wKSM+LmpriIYCCPR7TlgBPih2Ib5V4vsHiwoAp7Zzpqpz3sqtDdzl2QTDMAAfJOhihMDxCwcGgzf&#10;M7VoNpOjqfbpEUAy8cKsU2RyaSkle8xKWobvi6GAjJ/KlNqG+K7M9ZiU+hPtDrwthfnspjhFxiRm&#10;rCAK5lJrTJixCvhv/DACjRmNaL1sMiYww7c1TpgdYzLJ5X/93u4QaQxEeBVStCSq65y8Fwgo+ZEJ&#10;xDHNWQ+CX9uSebWzIpAZT3NGOBAqfHJWwdh2LwJy8ttcIWMTMo6EIn89eeDaCM6pAKF5xdv7Locc&#10;o736pAYT85DeJr6aJyFRXINHKtJ8Pa0LTIAqpcAXw2xyiC2w7cHrXu7JPBTQwIDSFK0kN9l8Kwwr&#10;kCJtULWu6iD325aYqYJOERb6wi80+fKE7XMyrf0Wc32Mqv/q2Twr7ccSAF5jqgDAWOQ1ksYqG5lx&#10;C9TDpmQx6Qz5Vb8Lks21fpL2yWbR5tD4Z7Nxz++NcunHtuS6/OCMJ8HB2jGH/FFBL4Kit82sYFQs&#10;iCxO8Hw0dKyH2oyt+WA2jxFBbDcFqa26QKFHLa/uQluBFAMyQZkUlWjJmHEmruf0Ay4fCMOQ6gan&#10;SruQyQEi0VESHXNhzOovMrncy4S5roXKgiiqYeQKkevoK61h4kQSmTrtINIQNOy2RKiYwJBUTKKn&#10;fN+a2kDxMaUQxsw3Y5xUBE2ZfVsBlWvhmZilyhUdw8zNswWkNLqAlnRNjRswzWkU1yAEp8hYuiYr&#10;hAZF3Ab3qL6rvDBA7EJ4ggBq18p6NlaCZ8Y/KqoIuppS47IQxviABUFgW0Ch3/qa5rkJUFH8Guzr&#10;EV40tgBNGLcxg0o0ufTPnH2q59AskAqV8wVIMw8sKorxPFxLzIlIMeZjjwFNtsEPE4vqjQWdHK9c&#10;zfWYvkwd15WTk7+jwRFThe+GeQ0iyaePCUZJbfQEgmdiqtNG2xLpXUvugDLmpomt60IRAUagAEn2&#10;LWqJQCI8Er3FJNVCYHIBIOZjYjqG9iZERbUTLWcKY+h2vsynFTmOIQSnGJWmMZaCR0lfJQcrbRIS&#10;mWaS7kKELndEAIul0JK5JQiMjefXf9rbmDhXYBGP4RO7YHKfgJYWlJaj7eV4xyrHQrQwcxtf08Q9&#10;5RNipYicO65aarvQJEgxBZ+DFLfqw+TEjGNaIg43v4t/5XgbmPndOUMPBHgPechDrkk3Eq03GZWY&#10;rLSpcjtbHrofaWWgJbtVDgEHU4RmoD1iJprEuoqlEuDy7zzntoRJadOQCcJg7m1y24AUgIgk+x3A&#10;5DA9A3ABGaFVd4Lni/bGR0E/c9UxGjDKL2KWmnaieVKIUIkABjzzwH0Y8rUwagBp7EMx2/U1RECK&#10;MO9KLBPXJlxrTjuE11gkUQqegWVCaFcrT3qHBaIJdG2S+6a5jUv4VB31kBb1fQJ8FE+1+nahSZDa&#10;+zWSXCE4ySRaiTEAgXOPgfxOchscQQP+ncEj/TFkCDgNlKoTpiwgOVfj7M/JcWFimp1WZb6KJgrE&#10;8L0Ag89pUJlCJJpIZW+rkBDzzP09x7bE3KwgNbmEmOvK3/VMH8KEZHcMcHkWDCnlUCPcNECvYgkZ&#10;T2Pp/BxPaBKO+d/9sx61R4Qd89CYEbaYmUAzzoIk/E0am8DjD9Y8qDlzD89fyXV2ZVLui3vio14u&#10;F+EtPGa8aG/WGeuE5iPoAijH4RfHUQ5zSazB2HhGFkkEJb7HUxXwKrIyD57fvY1h+N+4CfqxCs3b&#10;XJoEKWaTXsH8Bi3fJQpmIkgvE8zviznGFDV4HiwRR0RrxQz0UJLxAknReMAdf3IO0RhSEGFqAoUU&#10;szwLo2F4QaKxQRGMcC7Nvy0JlFWQIrW4nosAGYoaMnWBM5K6Ns/CAmhN5ZZoSKZ6zqPxkofN/+Zs&#10;iIyNFSrZOkWfCSzCj+AzLr5X25z8aCggZe5Xom3bUr5NCZPHGqEUeoFIhF8IO5qXgjCfBDMfXLGF&#10;lBJ+zPPFApwi94tVaH5qDl4AzzgRXnjeHIhpONb3/GTC3/zR9nACuH43ttWHnqKNAkd8QSZv8k9M&#10;IINiMkjv1t/TMcuQSJMQM5B5B1TxxUhrZixJ6KGV5w0RZiOZAJAP6Bya0/UIBbnJmDoArFxujFlc&#10;j69r8HYBqQR+G3wRsBKB5feNkfERzcQ8mJ4vJm9nGdtQrq8lUUzPoNEmlnz5TLLPXSxN0hO4+uw8&#10;jOkvzYTBmMYtMWsJk/ZNcxizd/ymlJSPNhaIMe94AD8SOjQev5MVAbBSSubBMVlJNEVcFDwBdAJP&#10;1cyNi+E3QiDH+k7mgmsWwSlDgWcJD+6L+W2DrmO0EUhpOTcVVSVlJLH9r3qnJYAV+VOWpuyuApXk&#10;22SVPRAz1ywRk4zn+McE509JJfTMZNKs+k89AtI8F7NyW5KakLOtBGCuuY8X504RN4RP7Tm0+LL8&#10;3k3J3AiqYHyBwDHLxvgmWFUJT4iiTxFmFpDqvTkOAQBrzLPUvZ5aAgICAzAJeWWQNJvMAP7gnzNb&#10;jcecV2rgCyYzQaWoAqi4EHiKVcTy0C/8SBnlJUsURhZXiIDz2SkwBDP65pk2oY1AmoCRIIFBifmg&#10;Iy1hGoXRSRrzK4TU+VyOt95STWvbmGY0m0Jx96tFDcxkkTNSjIlMS7uPlI6qoboCg5Zn9tai8h45&#10;Pzv0tUUTglCCBvrL7DHBTJ6edlMo4JlaIqT2FeWboqp10gRNDkk0SF1QECKgx9I6gjspX0wDLIK4&#10;uiY+A4nfpzZc47cTioR4rhkXhDnKCuT+AB7+qlZXS/iHoMnbuVluNHKvH0BJi7quyq4euY/aZvy2&#10;KW0EUv6IKKFOkTRMGoDx8CH5Qf97EJKMTyAwQXpxtDENRq8+lIEV5GGrG2AmL4nIlySxnCc9IPKY&#10;1AYzjNlCqiX9UAeP9jZwU0unDJpnIEw49CFS230ICZFnDER7M28IijZ0z9zzfTWJkHE6FjFXq1Bj&#10;6g9Vfu2LPF+P8US7a944BHRyqvpJ8ws44RFmtjnA6DRYDcgIMDp26g1qNBUfli/qOviKS8XyS94S&#10;WPiKCiHMqUCY6xIabWS7Cgt8l0II2rMSLcqspmWNBWAT6ng5vid+5kboS73uHNoIpMhD5ia0KSZg&#10;1shX0pIBkGCJoFBvAp3veA9sQKl/5pJG4rnuEHOLiAKKc0U1Y5YAZJViooEmdgokfhccqRVSAloG&#10;nSlnYgkJjEVbCqIZbD5agmSItiRoInkvgzAZTRGQYsxNGWJfJJcukJgxDXFbmIlKR8UKKi+Jxhpz&#10;c2n7mKrlCOsxczfEmpAmIcCZ0e4Xa852NyHzTvCzwvj/fHjzp9/4CLirgHO8fKtsBL6u5BoEZHg9&#10;8QHWY3LTLD/fOb+HiTHaGKSV2OIkQ0LUaVIxPSffRACiiUt6Akhbf2aMXIP5Q/JGm5G0gKU/IaZr&#10;zd0NkQHDGJkQfWEmYzD+kokxeRgHc7ECNIIIaEMYKtUrl0UYPrlXjRC7DAI+wSutLbVTNELDE2YY&#10;X3Cvbq5tDvmQxld0PGSeWiulRyw2gMh80mQCN6wgK2l65LqOA2ggV+FFcOsnoYePCAn+rVb5rEee&#10;jWnMD06Qitsk9iEYuCltDVIMQeIkQJGGoXtRPYMcE0PHSSN+AVOHBqD5pooZEPNWYruaJvyHqjFp&#10;OBE2/uAcqj4m05ym5sumFtmkkc6+d11BDiF/34VMHHOXiSXsLpLIp5G2as2oQ1I2LaPtx3KjhyLP&#10;SjMBBSatK2wAgcnIasE/GJ+rAQzAq0rIPDoOnwAbobwJMZNpRXNHmIsT0GwAqm+059Q18Q/hIjrP&#10;beIn41Na1rP16nYJGos1HMvXpai4h9Ga+IPgqHw6l7YCqQFm1zMJK0BNio72iBlrMhxH+yKaCsPL&#10;6QkqDVUEhQyulItUS0rYOOMm2CBm8A2GyR8rNRwihRq0Oy2tekTInl/rPqQ7f4TWJBUFuEI0MOnJ&#10;qoiPrDmfaawvMe0OSYJv7isYFn/oWESD8u+Yl9we2gPYotWMAaGHd1Dy09wSpiEBl0X7qUXuLVMc&#10;I2PMRzQO/FLXYFojAti8iXn0KphaEtlmGbU5biCW+0+U1v+EI/5wvzR17PtwfzYGKWnEjMLI6YzB&#10;YB4wOYckBRNXAphJmBA1kPKbPFxvi4yWaAbHul9yrEClDwCSQZMyANIp0Lfk/qLEkvj6Jp+lThWT&#10;KUZ3H2tOmddSPzWQQYL6nWnFP2n3LiKEamBqWyIgWA4ACBSeWVAj5ZBJixnnKbNsX4RJAYBpyNoQ&#10;JHF//ZGSSJqCKQrAWUOrUN3xGD7lhYKRSMTY/667KUmFAUh8URoQEe7+933rV/YIQPEaHo1Lhr9F&#10;rl0Dn8TlYrY7nlB2D838UyCb8mFLG4NUdJZG1EGahMRiTmDcKaL6I5Uwm3SLByFt56QpaE/mpskF&#10;IiTs7nymdEwLElv/3Aszt8GLITIBfF2pAcKIBMZEBIhiAwOvusnnmMSIpgVCgBahVkZnYph6TGAW&#10;h+fU97G+YGTM4Hp8eukNaQyFEgScABlmFqBT9CA4574ElJbccRgRYK3LJEBYOIQcya5vgD53XMZI&#10;n/mQcXs8r74bR/PFqtAvffBczHBWD+IWYGoChrvj/CyQzzK6sWL2IWJGc1G4O2IT0WbylSwMGQrP&#10;P0VMXtahuaPZWWpcoxSK6Hu7btZzEkx+T6PZaxBsU9oYpMBBU+1iugGDgAytaACYRXPJIJHcldqC&#10;aWV0ivBF3Wi2sXxdJf1iCmEsDGY1jUHWT6aYz8LqwMhEc4xz+Fh+ozEAqxZqCEoAB6CbQMcjEw6Q&#10;JlmAhAYh6TGu6xMCmWSfBa74c8zptmEWQS0Ng+R7xzsvZp/mWVgZoozMeakSATCCjaA0vhF2c4iA&#10;Tl/dn4VjPlLYkR0bCS9g0T9pEsAUvxBcYg0AAV4AMLwluuu8baqWCKRegb+xB7y4SnMoBfOeka+J&#10;1N+yJPFYC3b3EHMBZGPvXE3F07aY2TpwtAuRtJhI52kApsI+CUhJ0qzDpHnnUgCHcWkwn5luNJMW&#10;bSUVgwS7TBjmH/LHkckDAEyszpWfyiLBmK7nr2vQNJhdHpkEJsAswaK15WJp6bYx3QhO1gzfOd87&#10;XtWLlx25J/Oc+eX6ngUTVWHge8wt2EKoOF+facseg9EO6o5pUVZCrTEO0GN1uD4rhAvhM4D6XsGK&#10;aLn+cCFo+bgTxnqboNsQSLchYxuw6RPzluDl0rTKoZJxU7XF0hREiuDfhi4FpFIeYQyTuG/CLMLm&#10;zB0TXTU1S4C2U/drMtuiBCsk9Es1VQIbhApTjfQ38Jgri5FFcB1DA/Z8QExGsnpmpmmeOw2z0qB8&#10;MEBUTjkn1UDrOZZGFmxJekDDQEAbrd2Sc/yeyCUtRijQ4G3/CFPAFtwjuEQxA1hA5GfTwkPaF7Mm&#10;kKb+tW5j2jZCybNnSZwxHXqGMaLxKkj1jb84x8Rtyf1ZSOljhPMx6eggFYAx8TQHP2sT06olGjiF&#10;+fFzEPPSdyG+F+bl07UpIw1QmLaOE8TI9zSbv3V3ACaq/jPDMCzzl/ZLVBKJSDKJBC+qyQPcjuc/&#10;M+sS6BoimkwRBddAMEYOlM/HL2XK0sS0GW1JC7oHU1YdMWDR8IpGhrQRgdXW1wI/P58Vwa9k6aT/&#10;aUxU48ukJYCm4glSKyqMpK3MEwEI8OZOUCfBFiBmYcS64JduQ1KDTNGQeZX7Jgy3Aaq4RvakMh7H&#10;3hX/qCClaRQJeFAmTutbziVpG1qOfxOTqTrwwCPoQwryg5hkNahSG4YAXucgwJE+qH4c5uLX0hgA&#10;Aeg0iHvSQMxhTM3k0ye/u66/KY3kH9PatFhrOtI2QC7qaYld1k6KmAsSqVFOZBLIjZsqKBoqmobv&#10;7fcUcND8hI9+EBg9AmbmZwtiwI9ZJ3XG5MP4tk7xPNnz1rWNKwDywURB9R3Iq0XgeVkvzhfIErxJ&#10;oFFwD0+4XszifG63TplLLCdauZJn1V993EYxsM6Yu/omuruLctmUjgpSk+ZhMcA2ZgyiETFkJhQA&#10;2yIIOTCSntTEDD7TdmEADYCkSSS5q7DwGdhERpmfPptcWhUAI/UJBsxar4thMStmFAxiUgJg+6zG&#10;IdFpCW/ahBCgmQRYUuiPeZmuiCZ1D5HsMAhTO30PSPlAyH2Zi76jeVuSVmLe6nMboeQ78V+dz8xV&#10;pM5ycF/XNb6EADDqs+AKYWVsjJUxocU9C43mWnxiVgENbyz5/iK5NFQEor8Ccj77u22el7mcXHxI&#10;+ke/3HtuILGSOSTIzRUrhsA+Fl2KT7otAShTyyRqGLM3WMwbjI6REM0goCIETyMAkP+HTB/mKO2I&#10;gIlpSkNhdkEAjEU4iJCKBtMOFhWI6jL9hqSsoJH6UWYrkxwA604HNA6NysxkddiRL1o3K0E8f1In&#10;NGCrSQNSgjCre5J7rEQbYDa/C+i0xFIQzPE7rQSQldw7Glh/jBMzkPmrtI7vCbi0TwWhv7UBDovB&#10;fDG9mcEEsP9bi2MOGXuCQayDMKTRjSWNnQXqxnzbta6eWYR4l5TKpnQ2IBW8SQBCI2nHqlEUXGCY&#10;bQjgMHDMtZCJoUUUETC5gXwIkBhXn1XXpB/MRit7VKcAF4HhWWqRg+8Ve2CsKkSYwY7FwG2/UEAq&#10;B8g6ABLaTHliKn5CXAB9SBAnFTmVUh5J0/KNW6JVCC4aXj0qTVXNZs/BfwdcvynTk67xHFwdQT1W&#10;BGEpoptxJEiBeajOFpkD1+QGEB7+EnTu5Z7GghCUXiIkCC6Ar7tViIdEwJ06nQVIMWW2p2ROMcOm&#10;qndM5LapHeDH4MzVTcl9aSbSHIPI99XAimsymTyTNIdnEgASNHGe1ElvAbQ0ShisZwYGpMxzZqbP&#10;tL7+VMKYtLJgDrPPcYot2vRAigt6RfIh1wBiYJbuarePAb6Y9XNJAM8926g7M5tfb+y4FI5JUE4f&#10;WA0sHZozJabZXpbmRCyxBA4d3xvnU6SzACmfk2YTcCK5Y8aSvlIItIX0CKLBgGIbUymEKQWPTOoU&#10;MXFrvgwoSHcgxwwCXJX0j78rIENjqmhxXBrzT31pW2mj0ivH9Ha1CEj5f6yI+NHtShj+J2amTe0S&#10;wI8EsjbHm9pZ121rV0M0qPtg/Pp6DWRuCFZv/96EaPWeD808VXZY18vWRjAJTgnsEZAsEfllgE3g&#10;jCWUaiEt5YmnTmcBUhqG7yeiWcFHEgKTAReIoCWYODQI82qIaDFAZ2rRyMwkEj/XFoFlWk/two4R&#10;+Y/qeWu/ADH7Jgn+tETQEDzOwShKGIE1KR+N34vRQqkd1mrRAHKduAK0pP7LE/pfpVQ0oeNEmvmY&#10;fD5/U0lVFzI7Lhtw9fofSrEHrRTBGUqdLv97yCVoiTAQSR+KRjP/uQ4EiJgBS0UgTaqGuavfzFgp&#10;K5YBgSlaX++Pl/RZk546BzoLkDJdaJ6W+EBSFCS5wTfJiQ5GmlaijRQV8MVq4p50ZiYKeGQhMp8t&#10;r1IYIvcDLnm/1jwTTHJt92n7wcwVIEHuRcLzV2kmfl4CNrUemuZLf6u/5nzCKukBfpfvADmRaAIO&#10;cAFH9VX6o/92s3AMpo9PyTJIXjApnR5JXTmG5nf9kPsTAn5jAc01K2lLEfSU340R4DH7KwAJaSkq&#10;UXmmrkgyASW4SKAQJIAeq0PJ4jnQ2QSOhoiktPomDJYlQ3yblqQsmKHMO5PUa+pKgZkJPbWnjmgk&#10;c895bchf8Mn3BECityER3OwSgCFp3hBGk8vjb8VPxIgCIa6n77Q3oDoP41njyK9UZEGjqq5xjuoY&#10;gAdW4GVh+C5pG2ASIBKocVz8fGOaKLogT0v66BosAMfUwhEEFPqY6PEc0CE+p+M3XZ4W4vIAZwRk&#10;+q8AxGfjqu/4xbwA6znQ2YMUYVaMQHvQDvwrgYYeCdzEfLaouOY5NQCXXqEB+VRjBJhhABq1VhDR&#10;WjQ8UEnhVNIHgSKkSKEm7YFL3hHwMBQCHqYZzS4qypTnWwLZGNHQ7qU53nkAnOooC9L5xxFagOz+&#10;3ArfaW2UleDQB8IhKZ4qEPVZntI1+JZ+J/DmkCIEx7fBrrkkFyvAJmpOeBI+outxBcw5XjFu2XHj&#10;HOhKgFSSPAGMGnChXaVBtiEVKkynIcKMSthoyZTkCfUHWMzm1OrykyvZfjRljBicBkyJHaAAsFTC&#10;FPGjA8Jem3MNwgygmNpWakiRRPCImmZDdGQ8CS45SNqStjfuNGBIMMw4AHui17TyVF+MGzBzHXop&#10;pikCPuY3s5u5rlDCuBNU/H5mflv0UjdtP2W6EiCVmMcMWlb987v4UyJ+IT4MrTWlgRDNPLZ9B3Aq&#10;EnCtFOIzObOgHdMl+CKpH59avwQ3mFxI7hAoMTRhg5Fi/gK6Vz7QXJiOhlWWJ7gC2MxJZupQY9I5&#10;jr/KNMWoAmwCXe7bbraF9I9FQIN6PiYi85Hw4Le6p9SW8fFsLBH+NNJvWtRzA6oAD23GOhlbIYSA&#10;WDxBwAvAW9Ivfq5rxrURxc/8WPggBx0y/hGY5mgb4J8KXQmQWtFCovM3gceEYizMUf1BQQQm2pya&#10;UKkDYBjK8zGpCAF+Lp8s+TcbrIUhMLI+YFTBKkD0F0hyDIbj3/mfSeocaRTVMSLXgBZzdE5zfGpr&#10;xxotCcCiu8x7+Vy5UYUBCVhhbv0DBhqVdUHbGhv+revwdwX2kJQObUYYAroUluir44B2jAgkQaOh&#10;SiMWknEwloSW/6Vd3A8JDKX++qrRlQApJudnkeikOd+GKUbqVwmaahRlaFNJdnuo8lnaqC0iofmM&#10;/DvMK4WTN4C5b/Kr7s0UdCxm0i9BEd9jfn4rH8r6TVpKHhioAU1tsPSHc/m+ltAFGGn8YKacIgLP&#10;iokdB2QJnjC5FR0AYAI5ND7BwrwU4ay+OeASZOqa+cBMcAGZqpX4o/xb/dJHx0lnSbfEkgllXIz7&#10;mK8pIkvQ9jbaRiK/BIKxMdcEnedV2IKYtfrGOqBth2IS50hXAqQhALX8KZUozLsqlWnYVKHIrfXM&#10;qpDoLGZu/RhE6jM9EyVFpDgp79pWlrS1oe4FzKKp/FHmJ1/NOTQf/5dJSZO6JyBURvMdrccPxqAC&#10;Ts4FMBFbn/0ebUJQ+A74CBwaLUD0lxmr3A9wCCJ+KYvE97S4wFn8fOaydAaTGzhZJBk7gTrpIeMF&#10;9HLAqn6QPY6yNpTwAcQhSvGE5++ReXQ9fTbP/E7CqY2ccw88NwESwXLudGVAahJTc2uymXOqT1pK&#10;bo/W6lXuhJJeaZkGcypyEFxRwoeAlQbgizGBRRmlTHyPsbwLhsBgPmNWjC8PqS98v7ZqqUd8SdU4&#10;wKc0TsSS1vMsaXzfMCbw5Y1kGs3s/jQR7UcoEELyyYAXYeYvP1WfpKIEXwA0y96MqzWrNDAfkFZj&#10;2hKAiGCJ9SJABpiCUQQTILY+sPsBHquAsCLIdiH9Nr4ENSvlKtCVASmJmnfTkKQ0QtV0IflJx2A4&#10;/uQQ8auYVzRvrb3F/Ew4hQ+YGwGu1ASAYFJ9kZ/DyKmIAg5mtqCRYFav/naI3FN9r3P5YXxWQoSp&#10;TSh4XveoJYiYX64y40Eb0tzMUcEW/c1WJsA65qcDIOYXbBLdpZUjIICWMPCsrBNRYlqZRjduAmZV&#10;o7kWgST4xNyn5T0TYEmNRVhsQjQrS8M4KVbIEj2CZc77bk+drgxImXzMOAwksMEM61GKyjUA7AEZ&#10;YRa5SX6PEj/RSWkNjMe31TAFs5R5B7DSKHKDmJ4Q8FetKFDzC1OcsClZGcIfBTTBm2qmMzUBxfMI&#10;6oQcIy+YZ2U5tLswsAj8hqmZ0XPNQ88twMQXpZFrsbvmM6GiEolvK5jGatDkZROhjvltnAi9Gj+Y&#10;ovj1iNlLCFoB5LkJyATbaPBzN3uvDEj5gJY+Va3XIykSE2oCBUjGNJrgEt8zDCh6LMDDn9TiuzFh&#10;/Y7paE4mpGS5IMaQEJhLhAX/Uz/4ny3QmaRhSGDzO00pYMUS8L3+M9tbLQXgzEwLAoaCZFPkmrSV&#10;AJaUjTJN42qsuB7u3TbjJJLrOEEzRSibaFDPaM2vHLPzUqfs2oQzISJi7TvPNcUTp05XKnA0h0hf&#10;zG4CSfApxmRKMeEAz/HMMk0eEgj4ltIqNIFI6CZm7BziwzEHaUnarmVmpYsip0xa2pu/maCS/z0n&#10;TdvbZJppaO8f5jlA7Wu3AYIJcIEPeNtmnJi60YSbEMsloGRVIBFtwkYkPCSAFE2d3PW50k0HUkTL&#10;mTxtk0AFppbmETBi+iZYckjC6ISD4AtTuhZX0BpMYCY1zR5fTCNIADD/MwXb/jrfuYCDydttVE6N&#10;+LdZXeT5AHGM5KVZGQodzpluSpCa7KwrzDrUUyWRYiY10xljAqUADf9SoCjRYv4fjRtQ0p60ff5X&#10;ulhri5EKJwEg6Qrm4Taa7ZiULWQ0kfTqw5pH6TembogVJF21LwvhsuimBCkS9meubrsj3bGImcts&#10;leoQ9BKR9T8QJqo7t4nMCmAJrDGJ+XBMROZ/Lak7RWI+R+j4q7opJKIuCGhcLEWsJGi0ib97inTT&#10;gtTkMSX5RqdMUhnMVppQNJVJqt9ZN5vG/5Liqd/VFh8VgzMBpatEWkVnraWdytNeNmXdK6vBbhMV&#10;eHxgZY2eTfzgqtFNC9JzIkAVuAIuqQ2FE7VQAXPKNzLhgVFJIB+Vts0OeQkiadIxAM0Pdd1UKZ0q&#10;WTTuuWl+aa5eqoZ/LZdb01NXhRaQnjhhSP6n3GJAVgGHcZmq9XUXAlwK0JM7lDvO8bW5jtSOINgp&#10;ExPdc9pWZWhV0lWmBaQnTNIvgkNqcvlciiIEiCrQ+GBSKDQNTUvTICZgKo4wuL/Zz8hfwSLlfn6j&#10;dauPd2qkEklZ5CbFDleJFpCeIPGXRSRtvi2oYwWLwJGyQOkYQOODqtphCgIybek3JXkhdcPA63hN&#10;vbEiAp9VMIkYW8DtGNdyj1MMskiTDVWQ3Qy0gPSSiXagMaVHpBFEMYFSYAcQmbnAJXDEl2TCKjxQ&#10;+aRw3/EAJgjE/2xzocoVExWVbrEHFF+U9uTXKg1UtG+7TCkcucdzj4ZeNVpAemSiJUVSrb+UA1XP&#10;CjDKCeNrCv4AkrI5JikzV8GB0kfa1WoY5yhSZ7ZaFZMlaz0SFXZtTZQU2FXhWA8L4HKkKbZnCmeT&#10;s4VOgxaQHpiAUrCDtrR0jskqpcI0VXiuKgYoLAmTXpC7Fb1VV9tqNOaomlhBIqtOAElZIn+Nb6l2&#10;uUfALPJLC4vmKi/M+2HUJ1s8YN0nzaoPNC/wq3nV/4UulxaQHpgs76L1gIjJCiSKCVL0bUcB5q3f&#10;mJxD21kyi61qUYRgBwTbtwA/k5hpDFxDuxGoJKKRaWfCgRDgh7aRUoBU8pjgFK1qKZzAzblX7Zwz&#10;LSA9MCm4t1uBnKXCcmR7E/WkIrPAaamXXRHGopcKGACR5rU42jW0rIBRJjfkSwomuY/jNDssAKLc&#10;ao/4uYol5FIFliw3U35ohQs/eNt37Cy0HS0gPQLxP/mB/E7BHWYns9aKFVqKVp0K1tDANK3dDSzv&#10;QhWkdl6wHM3SNWkYWldjFicizCflfzJrmcy06RDgLKJmIjtflFiElQUg8MQyYLLb7oUJfhULCE6J&#10;FpAemOQwaSTRWKYj01YE1T5JcwvaFTPwExWQC/SklFEkV6RXZFfgR3RWeRzNDcia970oaGAeS9MA&#10;FrDSogr3LYoeApn0jmIHmpuPqqKHiayI3VY1AC9izKRf6HC0gPTAhKFpG4GjbVIbgEyL8iktV6N9&#10;K6ikZ2hjC6Fp1tZkdqxr+N2+SLQ4YFmDaucJedN207RKzrVHsDWztKe/KpxoZ3sdCVapcFrocLSA&#10;9MRJwThQicAq+ZOKqcSXZQYL+DCb7dhvZ3aaUurG7gU+M1uldqRrBKdoQZqdryqyO0W0tl0CvTLD&#10;NWhX/eIjL3RYWkB6wkRDWaGiyWkyadvKG2tj+YnJd9JugkKiwHbGB05amEnsGlntwn+lVUWHtakF&#10;1JVoa6YvgZE9hhc6HC0gPWGyARn/kbZjXgrc9EjqhSa1V5H1sXNeNSj1w3fNbobAvASATpMWkJ4w&#10;KXZI2kTgqe46sA+SF7U/sAAT0/hmXGFyDrSA9IRJAbw9dr3nRJR4oZuTFpAutNCJ0wLShRY6aVqt&#10;/h+l8Mdv3gWRjQAAAABJRU5ErkJgglBLAQItABQABgAIAAAAIQCxgme2CgEAABMCAAATAAAAAAAA&#10;AAAAAAAAAAAAAABbQ29udGVudF9UeXBlc10ueG1sUEsBAi0AFAAGAAgAAAAhADj9If/WAAAAlAEA&#10;AAsAAAAAAAAAAAAAAAAAOwEAAF9yZWxzLy5yZWxzUEsBAi0AFAAGAAgAAAAhAFLqmCBRBAAAogoA&#10;AA4AAAAAAAAAAAAAAAAAOgIAAGRycy9lMm9Eb2MueG1sUEsBAi0AFAAGAAgAAAAhAKomDr68AAAA&#10;IQEAABkAAAAAAAAAAAAAAAAAtwYAAGRycy9fcmVscy9lMm9Eb2MueG1sLnJlbHNQSwECLQAUAAYA&#10;CAAAACEAxiQF6t4AAAAIAQAADwAAAAAAAAAAAAAAAACqBwAAZHJzL2Rvd25yZXYueG1sUEsBAi0A&#10;CgAAAAAAAAAhALYJV2tmZQAAZmUAABQAAAAAAAAAAAAAAAAAtQgAAGRycy9tZWRpYS9pbWFnZTEu&#10;cG5nUEsFBgAAAAAGAAYAfAEAAE1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41;top:544;width:1227;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qp1rCAAAA2wAAAA8AAABkcnMvZG93bnJldi54bWxET01rwkAQvRf8D8sIXopuGmgp0VW0NLQX&#10;C1FzH7NjEszOptk1Sf+9Wyj0No/3OavNaBrRU+dqywqeFhEI4sLqmksFp2M6fwXhPLLGxjIp+CEH&#10;m/XkYYWJtgNn1B98KUIIuwQVVN63iZSuqMigW9iWOHAX2xn0AXal1B0OIdw0Mo6iF2mw5tBQYUtv&#10;FRXXw80oGHHXfD+36Vf+mL2b89nmH+k+V2o2HbdLEJ5G/y/+c3/qMD+G31/CAXJ9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KqdawgAAANsAAAAPAAAAAAAAAAAAAAAAAJ8C&#10;AABkcnMvZG93bnJldi54bWxQSwUGAAAAAAQABAD3AAAAjgMAAAAA&#10;">
                  <v:imagedata r:id="rId14" o:title=""/>
                </v:shape>
                <v:shapetype id="_x0000_t202" coordsize="21600,21600" o:spt="202" path="m,l,21600r21600,l21600,xe">
                  <v:stroke joinstyle="miter"/>
                  <v:path gradientshapeok="t" o:connecttype="rect"/>
                </v:shapetype>
                <v:shape id="Text Box 14" o:spid="_x0000_s1028" type="#_x0000_t202" style="position:absolute;left:1821;top:692;width:4173;height:1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5780"/>
                        </w:tblGrid>
                        <w:tr w:rsidR="00F44233" w:rsidRPr="00E6260A" w14:paraId="0FFB2712" w14:textId="77777777" w:rsidTr="002D0D01">
                          <w:trPr>
                            <w:trHeight w:hRule="exact" w:val="363"/>
                          </w:trPr>
                          <w:tc>
                            <w:tcPr>
                              <w:tcW w:w="5780" w:type="dxa"/>
                              <w:tcBorders>
                                <w:top w:val="nil"/>
                                <w:left w:val="nil"/>
                                <w:right w:val="nil"/>
                              </w:tcBorders>
                            </w:tcPr>
                            <w:p w14:paraId="5CCF18E6" w14:textId="5D0E864B" w:rsidR="00F44233" w:rsidRPr="00727004" w:rsidRDefault="00F44233" w:rsidP="00727004">
                              <w:pPr>
                                <w:jc w:val="center"/>
                                <w:rPr>
                                  <w:b/>
                                  <w:bCs/>
                                  <w:sz w:val="22"/>
                                  <w:szCs w:val="22"/>
                                </w:rPr>
                              </w:pPr>
                              <w:r w:rsidRPr="00727004">
                                <w:rPr>
                                  <w:b/>
                                  <w:bCs/>
                                  <w:sz w:val="22"/>
                                  <w:szCs w:val="22"/>
                                </w:rPr>
                                <w:t>Australian Government</w:t>
                              </w:r>
                            </w:p>
                          </w:tc>
                        </w:tr>
                        <w:tr w:rsidR="00F44233" w:rsidRPr="00573115" w14:paraId="48254AE1" w14:textId="77777777" w:rsidTr="002D0D01">
                          <w:trPr>
                            <w:trHeight w:hRule="exact" w:val="402"/>
                          </w:trPr>
                          <w:tc>
                            <w:tcPr>
                              <w:tcW w:w="5780" w:type="dxa"/>
                              <w:tcBorders>
                                <w:left w:val="nil"/>
                                <w:bottom w:val="nil"/>
                                <w:right w:val="nil"/>
                              </w:tcBorders>
                            </w:tcPr>
                            <w:p w14:paraId="31168627" w14:textId="716DF984" w:rsidR="00F44233" w:rsidRPr="00727004" w:rsidRDefault="00F44233" w:rsidP="00C21D6C">
                              <w:pPr>
                                <w:spacing w:after="240"/>
                                <w:jc w:val="center"/>
                                <w:rPr>
                                  <w:b/>
                                  <w:bCs/>
                                  <w:sz w:val="22"/>
                                  <w:szCs w:val="22"/>
                                </w:rPr>
                              </w:pPr>
                              <w:r w:rsidRPr="00727004">
                                <w:rPr>
                                  <w:b/>
                                  <w:bCs/>
                                  <w:sz w:val="22"/>
                                  <w:szCs w:val="22"/>
                                </w:rPr>
                                <w:t>Department of Industry, Science, Energy and Resources</w:t>
                              </w:r>
                            </w:p>
                          </w:tc>
                        </w:tr>
                      </w:tbl>
                      <w:p w14:paraId="59B662DE" w14:textId="1716F70A" w:rsidR="00F44233" w:rsidRDefault="00F44233" w:rsidP="00394F4D">
                        <w:pPr>
                          <w:spacing w:before="120"/>
                          <w:jc w:val="center"/>
                          <w:rPr>
                            <w:b/>
                            <w:bCs/>
                            <w:sz w:val="22"/>
                            <w:szCs w:val="22"/>
                          </w:rPr>
                        </w:pPr>
                        <w:r w:rsidRPr="00727004">
                          <w:rPr>
                            <w:b/>
                            <w:bCs/>
                            <w:sz w:val="22"/>
                            <w:szCs w:val="22"/>
                          </w:rPr>
                          <w:t xml:space="preserve">Offshore </w:t>
                        </w:r>
                        <w:r>
                          <w:rPr>
                            <w:b/>
                            <w:bCs/>
                            <w:sz w:val="22"/>
                            <w:szCs w:val="22"/>
                          </w:rPr>
                          <w:t>Infrastructure Registrar</w:t>
                        </w:r>
                      </w:p>
                      <w:p w14:paraId="670FFCB8" w14:textId="77777777" w:rsidR="00F44233" w:rsidRPr="00C21D6C" w:rsidRDefault="00F44233" w:rsidP="00727004">
                        <w:pPr>
                          <w:jc w:val="center"/>
                          <w:rPr>
                            <w:b/>
                            <w:bCs/>
                            <w:sz w:val="16"/>
                            <w:szCs w:val="16"/>
                          </w:rPr>
                        </w:pPr>
                      </w:p>
                      <w:p w14:paraId="0F258013" w14:textId="11A236A4" w:rsidR="00F44233" w:rsidRPr="00727004" w:rsidRDefault="00F44233" w:rsidP="00394F4D">
                        <w:pPr>
                          <w:spacing w:before="120"/>
                          <w:jc w:val="center"/>
                          <w:rPr>
                            <w:b/>
                            <w:bCs/>
                            <w:sz w:val="22"/>
                            <w:szCs w:val="22"/>
                          </w:rPr>
                        </w:pPr>
                        <w:r>
                          <w:rPr>
                            <w:b/>
                            <w:bCs/>
                            <w:sz w:val="22"/>
                            <w:szCs w:val="22"/>
                          </w:rPr>
                          <w:t>Offshore Infrastructure Regulator</w:t>
                        </w:r>
                      </w:p>
                    </w:txbxContent>
                  </v:textbox>
                </v:shape>
              </v:group>
            </w:pict>
          </mc:Fallback>
        </mc:AlternateContent>
      </w:r>
    </w:p>
    <w:p w14:paraId="35815371" w14:textId="77777777" w:rsidR="008B679D" w:rsidRPr="00AB20F0" w:rsidRDefault="008B679D" w:rsidP="008B679D"/>
    <w:p w14:paraId="3D6AE540" w14:textId="77777777" w:rsidR="008B679D" w:rsidRPr="00AB20F0" w:rsidRDefault="008B679D" w:rsidP="008B679D"/>
    <w:p w14:paraId="48E9A1DD" w14:textId="77777777" w:rsidR="008B679D" w:rsidRPr="00AB20F0" w:rsidRDefault="008B679D" w:rsidP="008B679D">
      <w:pPr>
        <w:rPr>
          <w:rFonts w:asciiTheme="minorHAnsi" w:hAnsiTheme="minorHAnsi"/>
        </w:rPr>
      </w:pPr>
    </w:p>
    <w:p w14:paraId="45F37E6A" w14:textId="77777777" w:rsidR="005253CB" w:rsidRDefault="005253CB" w:rsidP="008B679D">
      <w:pPr>
        <w:pStyle w:val="Pa12"/>
        <w:jc w:val="center"/>
        <w:rPr>
          <w:rFonts w:asciiTheme="minorHAnsi" w:hAnsiTheme="minorHAnsi" w:cs="Times New Roman"/>
          <w:b/>
          <w:bCs/>
          <w:sz w:val="32"/>
          <w:szCs w:val="32"/>
          <w:lang w:val="en-AU"/>
        </w:rPr>
      </w:pPr>
      <w:bookmarkStart w:id="0" w:name="OLE_LINK4"/>
      <w:bookmarkStart w:id="1" w:name="OLE_LINK5"/>
    </w:p>
    <w:p w14:paraId="09C65E5F" w14:textId="4FDB75BB" w:rsidR="005253CB" w:rsidRDefault="005253CB" w:rsidP="008B679D">
      <w:pPr>
        <w:pStyle w:val="Pa12"/>
        <w:jc w:val="center"/>
        <w:rPr>
          <w:rFonts w:asciiTheme="minorHAnsi" w:hAnsiTheme="minorHAnsi" w:cs="Times New Roman"/>
          <w:b/>
          <w:bCs/>
          <w:sz w:val="32"/>
          <w:szCs w:val="32"/>
          <w:lang w:val="en-AU"/>
        </w:rPr>
      </w:pPr>
    </w:p>
    <w:p w14:paraId="6EC1F965" w14:textId="4CF96FB3" w:rsidR="00E02EA6" w:rsidRDefault="00E02EA6" w:rsidP="00E02EA6"/>
    <w:p w14:paraId="183F0650" w14:textId="44E1EE33" w:rsidR="00E02EA6" w:rsidRDefault="00E02EA6" w:rsidP="00E02EA6"/>
    <w:p w14:paraId="2758CC4F" w14:textId="14A2CD37" w:rsidR="00E02EA6" w:rsidRDefault="00E02EA6" w:rsidP="00E02EA6"/>
    <w:p w14:paraId="44A77AA4" w14:textId="6818C03D" w:rsidR="00E02EA6" w:rsidRDefault="00E02EA6" w:rsidP="00E02EA6"/>
    <w:p w14:paraId="1893DC20" w14:textId="77777777" w:rsidR="00E02EA6" w:rsidRPr="00E02EA6" w:rsidRDefault="00E02EA6" w:rsidP="00E02EA6"/>
    <w:p w14:paraId="1A1F1F95" w14:textId="77777777" w:rsidR="008B679D" w:rsidRPr="0049314F" w:rsidRDefault="008B679D" w:rsidP="008B679D">
      <w:pPr>
        <w:pStyle w:val="Pa12"/>
        <w:jc w:val="center"/>
        <w:rPr>
          <w:rFonts w:asciiTheme="minorHAnsi" w:hAnsiTheme="minorHAnsi" w:cs="Times New Roman"/>
          <w:i/>
          <w:iCs/>
          <w:u w:val="single"/>
          <w:lang w:val="en-AU"/>
        </w:rPr>
      </w:pPr>
      <w:r w:rsidRPr="0049314F">
        <w:rPr>
          <w:rFonts w:asciiTheme="minorHAnsi" w:hAnsiTheme="minorHAnsi" w:cs="Times New Roman"/>
          <w:b/>
          <w:bCs/>
          <w:sz w:val="32"/>
          <w:szCs w:val="32"/>
          <w:lang w:val="en-AU"/>
        </w:rPr>
        <w:t>COST RECOVERY IMPLEMENTATION STATEMENT</w:t>
      </w:r>
    </w:p>
    <w:bookmarkEnd w:id="0"/>
    <w:bookmarkEnd w:id="1"/>
    <w:p w14:paraId="370B4C07" w14:textId="51479578" w:rsidR="008B679D" w:rsidRPr="002D0D01" w:rsidRDefault="002D0D01" w:rsidP="002D0D01">
      <w:pPr>
        <w:pStyle w:val="Title"/>
        <w:jc w:val="center"/>
      </w:pPr>
      <w:r w:rsidRPr="008369ED">
        <w:rPr>
          <w:i/>
          <w:iCs/>
        </w:rPr>
        <w:t xml:space="preserve">Offshore </w:t>
      </w:r>
      <w:r w:rsidR="00A11BE2">
        <w:rPr>
          <w:i/>
          <w:iCs/>
        </w:rPr>
        <w:t>Electricity Infrastructure</w:t>
      </w:r>
      <w:r w:rsidR="0052017F" w:rsidRPr="008369ED">
        <w:rPr>
          <w:i/>
          <w:iCs/>
        </w:rPr>
        <w:t xml:space="preserve"> Act 20</w:t>
      </w:r>
      <w:r w:rsidR="00A11BE2">
        <w:rPr>
          <w:i/>
          <w:iCs/>
        </w:rPr>
        <w:t>21</w:t>
      </w:r>
    </w:p>
    <w:p w14:paraId="47708B86" w14:textId="3CFF14F7" w:rsidR="008B679D" w:rsidRDefault="00FB4351" w:rsidP="008B679D">
      <w:pPr>
        <w:pStyle w:val="Pa4"/>
        <w:widowControl/>
        <w:autoSpaceDE/>
        <w:autoSpaceDN/>
        <w:adjustRightInd/>
        <w:spacing w:after="0" w:line="240" w:lineRule="auto"/>
        <w:jc w:val="center"/>
        <w:rPr>
          <w:rFonts w:asciiTheme="minorHAnsi" w:hAnsiTheme="minorHAnsi"/>
          <w:b/>
          <w:sz w:val="32"/>
          <w:szCs w:val="32"/>
          <w:lang w:val="en-AU"/>
        </w:rPr>
      </w:pPr>
      <w:r>
        <w:rPr>
          <w:rFonts w:asciiTheme="minorHAnsi" w:hAnsiTheme="minorHAnsi"/>
          <w:b/>
          <w:sz w:val="32"/>
          <w:szCs w:val="32"/>
          <w:lang w:val="en-AU"/>
        </w:rPr>
        <w:t>March</w:t>
      </w:r>
      <w:r w:rsidR="00E02EA6">
        <w:rPr>
          <w:rFonts w:asciiTheme="minorHAnsi" w:hAnsiTheme="minorHAnsi"/>
          <w:b/>
          <w:sz w:val="32"/>
          <w:szCs w:val="32"/>
          <w:lang w:val="en-AU"/>
        </w:rPr>
        <w:t xml:space="preserve"> </w:t>
      </w:r>
      <w:r w:rsidR="00A11BE2">
        <w:rPr>
          <w:rFonts w:asciiTheme="minorHAnsi" w:hAnsiTheme="minorHAnsi"/>
          <w:b/>
          <w:sz w:val="32"/>
          <w:szCs w:val="32"/>
          <w:lang w:val="en-AU"/>
        </w:rPr>
        <w:t>2022</w:t>
      </w:r>
    </w:p>
    <w:p w14:paraId="4CF5889B" w14:textId="02868127" w:rsidR="00E02EA6" w:rsidRDefault="00E02EA6" w:rsidP="00E02EA6">
      <w:pPr>
        <w:jc w:val="center"/>
      </w:pPr>
    </w:p>
    <w:p w14:paraId="004FF33F" w14:textId="77777777" w:rsidR="00E02EA6" w:rsidRPr="00E02EA6" w:rsidRDefault="00E02EA6" w:rsidP="00E02EA6"/>
    <w:p w14:paraId="43A56B7F" w14:textId="77777777" w:rsidR="00344E86" w:rsidRPr="005253CB" w:rsidRDefault="00344E86" w:rsidP="005253CB">
      <w:pPr>
        <w:pStyle w:val="Pa12"/>
        <w:jc w:val="center"/>
        <w:rPr>
          <w:rFonts w:asciiTheme="minorHAnsi" w:hAnsiTheme="minorHAnsi"/>
          <w:b/>
          <w:sz w:val="32"/>
          <w:szCs w:val="32"/>
          <w:lang w:val="en-AU"/>
        </w:rPr>
      </w:pPr>
    </w:p>
    <w:tbl>
      <w:tblPr>
        <w:tblStyle w:val="TableGrid"/>
        <w:tblW w:w="0" w:type="auto"/>
        <w:tblInd w:w="279" w:type="dxa"/>
        <w:tblBorders>
          <w:insideH w:val="none" w:sz="0" w:space="0" w:color="auto"/>
          <w:insideV w:val="none" w:sz="0" w:space="0" w:color="auto"/>
        </w:tblBorders>
        <w:tblLook w:val="04A0" w:firstRow="1" w:lastRow="0" w:firstColumn="1" w:lastColumn="0" w:noHBand="0" w:noVBand="1"/>
      </w:tblPr>
      <w:tblGrid>
        <w:gridCol w:w="9209"/>
      </w:tblGrid>
      <w:tr w:rsidR="008B679D" w:rsidRPr="00AB20F0" w14:paraId="42609040" w14:textId="77777777" w:rsidTr="00FD6A1B">
        <w:tc>
          <w:tcPr>
            <w:tcW w:w="9639" w:type="dxa"/>
          </w:tcPr>
          <w:p w14:paraId="3C19BC7B" w14:textId="77777777" w:rsidR="00314066" w:rsidRPr="003D6A7A" w:rsidRDefault="00344E86" w:rsidP="00FF5110">
            <w:pPr>
              <w:spacing w:before="120" w:after="120"/>
              <w:rPr>
                <w:rFonts w:asciiTheme="minorHAnsi" w:eastAsia="SimSun" w:hAnsiTheme="minorHAnsi" w:cstheme="minorHAnsi"/>
              </w:rPr>
            </w:pPr>
            <w:r w:rsidRPr="00D8784E">
              <w:rPr>
                <w:rFonts w:asciiTheme="minorHAnsi" w:eastAsia="SimSun" w:hAnsiTheme="minorHAnsi" w:cstheme="minorHAnsi"/>
              </w:rPr>
              <w:t xml:space="preserve">Cost recovery involves government entities charging individuals or non-government organisations some or all of the efficient costs of a </w:t>
            </w:r>
            <w:r w:rsidR="00FF5110" w:rsidRPr="00D8784E">
              <w:rPr>
                <w:rFonts w:asciiTheme="minorHAnsi" w:eastAsia="SimSun" w:hAnsiTheme="minorHAnsi" w:cstheme="minorHAnsi"/>
              </w:rPr>
              <w:t>regulatory</w:t>
            </w:r>
            <w:r w:rsidRPr="00D8784E">
              <w:rPr>
                <w:rFonts w:asciiTheme="minorHAnsi" w:eastAsia="SimSun" w:hAnsiTheme="minorHAnsi" w:cstheme="minorHAnsi"/>
              </w:rPr>
              <w:t xml:space="preserve"> activity. This may include goods, services or regulation, or a combination of the</w:t>
            </w:r>
            <w:r w:rsidR="00101163" w:rsidRPr="00D8784E">
              <w:rPr>
                <w:rFonts w:asciiTheme="minorHAnsi" w:eastAsia="SimSun" w:hAnsiTheme="minorHAnsi" w:cstheme="minorHAnsi"/>
              </w:rPr>
              <w:t>m</w:t>
            </w:r>
            <w:r w:rsidRPr="00D8784E">
              <w:rPr>
                <w:rFonts w:asciiTheme="minorHAnsi" w:eastAsia="SimSun" w:hAnsiTheme="minorHAnsi" w:cstheme="minorHAnsi"/>
              </w:rPr>
              <w:t xml:space="preserve">. The </w:t>
            </w:r>
            <w:r w:rsidR="009A6F94" w:rsidRPr="00D8784E">
              <w:rPr>
                <w:rFonts w:asciiTheme="minorHAnsi" w:eastAsia="SimSun" w:hAnsiTheme="minorHAnsi" w:cstheme="minorHAnsi"/>
              </w:rPr>
              <w:t>Australian Government</w:t>
            </w:r>
            <w:r w:rsidR="00FF5110" w:rsidRPr="00D8784E">
              <w:rPr>
                <w:rFonts w:asciiTheme="minorHAnsi" w:eastAsia="SimSun" w:hAnsiTheme="minorHAnsi" w:cstheme="minorHAnsi"/>
              </w:rPr>
              <w:t xml:space="preserve"> Charging Framework, which incorporates the</w:t>
            </w:r>
            <w:r w:rsidR="009A6F94" w:rsidRPr="00D8784E">
              <w:rPr>
                <w:rFonts w:asciiTheme="minorHAnsi" w:eastAsia="SimSun" w:hAnsiTheme="minorHAnsi" w:cstheme="minorHAnsi"/>
              </w:rPr>
              <w:t xml:space="preserve"> Cost Recovery Guidelines (</w:t>
            </w:r>
            <w:r w:rsidR="00FC07E0" w:rsidRPr="00D8784E">
              <w:rPr>
                <w:rFonts w:asciiTheme="minorHAnsi" w:eastAsia="SimSun" w:hAnsiTheme="minorHAnsi" w:cstheme="minorHAnsi"/>
              </w:rPr>
              <w:t xml:space="preserve">the </w:t>
            </w:r>
            <w:r w:rsidR="009A6F94" w:rsidRPr="00D8784E">
              <w:rPr>
                <w:rFonts w:asciiTheme="minorHAnsi" w:eastAsia="SimSun" w:hAnsiTheme="minorHAnsi" w:cstheme="minorHAnsi"/>
              </w:rPr>
              <w:t>CRGs)</w:t>
            </w:r>
            <w:r w:rsidRPr="00721210">
              <w:rPr>
                <w:rFonts w:asciiTheme="minorHAnsi" w:eastAsia="SimSun" w:hAnsiTheme="minorHAnsi" w:cstheme="minorHAnsi"/>
                <w:vertAlign w:val="superscript"/>
              </w:rPr>
              <w:footnoteReference w:id="1"/>
            </w:r>
            <w:r w:rsidR="00773EA9" w:rsidRPr="00D8784E">
              <w:rPr>
                <w:rFonts w:asciiTheme="minorHAnsi" w:eastAsia="SimSun" w:hAnsiTheme="minorHAnsi" w:cstheme="minorHAnsi"/>
              </w:rPr>
              <w:t>,</w:t>
            </w:r>
            <w:r w:rsidRPr="00D8784E">
              <w:rPr>
                <w:rFonts w:asciiTheme="minorHAnsi" w:eastAsia="SimSun" w:hAnsiTheme="minorHAnsi" w:cstheme="minorHAnsi"/>
              </w:rPr>
              <w:t xml:space="preserve"> set</w:t>
            </w:r>
            <w:r w:rsidR="00773EA9" w:rsidRPr="00D8784E">
              <w:rPr>
                <w:rFonts w:asciiTheme="minorHAnsi" w:eastAsia="SimSun" w:hAnsiTheme="minorHAnsi" w:cstheme="minorHAnsi"/>
              </w:rPr>
              <w:t>s</w:t>
            </w:r>
            <w:r w:rsidRPr="00D8784E">
              <w:rPr>
                <w:rFonts w:asciiTheme="minorHAnsi" w:eastAsia="SimSun" w:hAnsiTheme="minorHAnsi" w:cstheme="minorHAnsi"/>
              </w:rPr>
              <w:t xml:space="preserve"> out the framework under which government entities design, implement and review </w:t>
            </w:r>
            <w:r w:rsidR="00803D1B" w:rsidRPr="002A241E">
              <w:rPr>
                <w:rFonts w:asciiTheme="minorHAnsi" w:eastAsia="SimSun" w:hAnsiTheme="minorHAnsi" w:cstheme="minorHAnsi"/>
              </w:rPr>
              <w:t>regulatory charging</w:t>
            </w:r>
            <w:r w:rsidRPr="002A241E">
              <w:rPr>
                <w:rFonts w:asciiTheme="minorHAnsi" w:eastAsia="SimSun" w:hAnsiTheme="minorHAnsi" w:cstheme="minorHAnsi"/>
              </w:rPr>
              <w:t xml:space="preserve"> activities.</w:t>
            </w:r>
          </w:p>
        </w:tc>
      </w:tr>
    </w:tbl>
    <w:p w14:paraId="74B81DF8" w14:textId="77777777" w:rsidR="00727004" w:rsidRPr="000A05E3" w:rsidRDefault="00727004" w:rsidP="008B679D">
      <w:pPr>
        <w:spacing w:line="480" w:lineRule="auto"/>
        <w:rPr>
          <w:rFonts w:asciiTheme="minorHAnsi" w:hAnsiTheme="minorHAnsi" w:cstheme="minorHAnsi"/>
        </w:rPr>
        <w:sectPr w:rsidR="00727004" w:rsidRPr="000A05E3" w:rsidSect="00107D3F">
          <w:headerReference w:type="even" r:id="rId15"/>
          <w:headerReference w:type="default" r:id="rId16"/>
          <w:footerReference w:type="even" r:id="rId17"/>
          <w:footerReference w:type="default" r:id="rId18"/>
          <w:headerReference w:type="first" r:id="rId19"/>
          <w:footerReference w:type="first" r:id="rId20"/>
          <w:pgSz w:w="11906" w:h="16838"/>
          <w:pgMar w:top="720" w:right="1274" w:bottom="720" w:left="1134" w:header="708" w:footer="708" w:gutter="0"/>
          <w:cols w:space="708"/>
          <w:docGrid w:linePitch="360"/>
        </w:sectPr>
      </w:pPr>
    </w:p>
    <w:sdt>
      <w:sdtPr>
        <w:rPr>
          <w:rFonts w:asciiTheme="minorHAnsi" w:eastAsia="Times New Roman" w:hAnsiTheme="minorHAnsi" w:cstheme="minorHAnsi"/>
          <w:color w:val="auto"/>
          <w:sz w:val="24"/>
          <w:szCs w:val="24"/>
          <w:lang w:val="en-AU"/>
        </w:rPr>
        <w:id w:val="-1497331534"/>
        <w:docPartObj>
          <w:docPartGallery w:val="Table of Contents"/>
          <w:docPartUnique/>
        </w:docPartObj>
      </w:sdtPr>
      <w:sdtEndPr>
        <w:rPr>
          <w:b/>
          <w:bCs/>
          <w:noProof/>
        </w:rPr>
      </w:sdtEndPr>
      <w:sdtContent>
        <w:p w14:paraId="494E45A5" w14:textId="63A7C854" w:rsidR="00727004" w:rsidRPr="000A05E3" w:rsidRDefault="00814B19">
          <w:pPr>
            <w:pStyle w:val="TOCHeading"/>
            <w:rPr>
              <w:rFonts w:asciiTheme="minorHAnsi" w:hAnsiTheme="minorHAnsi" w:cstheme="minorHAnsi"/>
              <w:b/>
              <w:bCs/>
            </w:rPr>
          </w:pPr>
          <w:r w:rsidRPr="000A05E3">
            <w:rPr>
              <w:rFonts w:asciiTheme="minorHAnsi" w:hAnsiTheme="minorHAnsi" w:cstheme="minorHAnsi"/>
              <w:b/>
              <w:bCs/>
            </w:rPr>
            <w:t>CONTENTS</w:t>
          </w:r>
        </w:p>
        <w:p w14:paraId="58D2B35C" w14:textId="77777777" w:rsidR="00251F03" w:rsidRPr="00251F03" w:rsidRDefault="00DC7D3E">
          <w:pPr>
            <w:pStyle w:val="TOC1"/>
            <w:rPr>
              <w:rFonts w:eastAsiaTheme="minorEastAsia" w:cstheme="minorBidi"/>
              <w:noProof/>
              <w:sz w:val="24"/>
              <w:lang w:eastAsia="en-AU"/>
            </w:rPr>
          </w:pPr>
          <w:r>
            <w:rPr>
              <w:rFonts w:cstheme="minorHAnsi"/>
            </w:rPr>
            <w:fldChar w:fldCharType="begin"/>
          </w:r>
          <w:r>
            <w:rPr>
              <w:rFonts w:cstheme="minorHAnsi"/>
            </w:rPr>
            <w:instrText xml:space="preserve"> TOC \o "1-3" \h \z \u </w:instrText>
          </w:r>
          <w:r>
            <w:rPr>
              <w:rFonts w:cstheme="minorHAnsi"/>
            </w:rPr>
            <w:fldChar w:fldCharType="separate"/>
          </w:r>
          <w:hyperlink w:anchor="_Toc98772148" w:history="1">
            <w:r w:rsidR="00251F03" w:rsidRPr="00251F03">
              <w:rPr>
                <w:rStyle w:val="Hyperlink"/>
                <w:b/>
                <w:bCs/>
                <w:noProof/>
                <w:sz w:val="24"/>
              </w:rPr>
              <w:t>1</w:t>
            </w:r>
            <w:r w:rsidR="00251F03" w:rsidRPr="00251F03">
              <w:rPr>
                <w:rFonts w:eastAsiaTheme="minorEastAsia" w:cstheme="minorBidi"/>
                <w:noProof/>
                <w:sz w:val="24"/>
                <w:lang w:eastAsia="en-AU"/>
              </w:rPr>
              <w:tab/>
            </w:r>
            <w:r w:rsidR="00251F03" w:rsidRPr="00251F03">
              <w:rPr>
                <w:rStyle w:val="Hyperlink"/>
                <w:rFonts w:cstheme="minorHAnsi"/>
                <w:b/>
                <w:bCs/>
                <w:noProof/>
                <w:sz w:val="24"/>
              </w:rPr>
              <w:t>INTRODUCTION</w:t>
            </w:r>
            <w:r w:rsidR="00251F03" w:rsidRPr="00251F03">
              <w:rPr>
                <w:noProof/>
                <w:webHidden/>
                <w:sz w:val="24"/>
              </w:rPr>
              <w:tab/>
            </w:r>
            <w:r w:rsidR="00251F03" w:rsidRPr="00251F03">
              <w:rPr>
                <w:noProof/>
                <w:webHidden/>
                <w:sz w:val="24"/>
              </w:rPr>
              <w:fldChar w:fldCharType="begin"/>
            </w:r>
            <w:r w:rsidR="00251F03" w:rsidRPr="00251F03">
              <w:rPr>
                <w:noProof/>
                <w:webHidden/>
                <w:sz w:val="24"/>
              </w:rPr>
              <w:instrText xml:space="preserve"> PAGEREF _Toc98772148 \h </w:instrText>
            </w:r>
            <w:r w:rsidR="00251F03" w:rsidRPr="00251F03">
              <w:rPr>
                <w:noProof/>
                <w:webHidden/>
                <w:sz w:val="24"/>
              </w:rPr>
            </w:r>
            <w:r w:rsidR="00251F03" w:rsidRPr="00251F03">
              <w:rPr>
                <w:noProof/>
                <w:webHidden/>
                <w:sz w:val="24"/>
              </w:rPr>
              <w:fldChar w:fldCharType="separate"/>
            </w:r>
            <w:r w:rsidR="00251F03" w:rsidRPr="00251F03">
              <w:rPr>
                <w:noProof/>
                <w:webHidden/>
                <w:sz w:val="24"/>
              </w:rPr>
              <w:t>4</w:t>
            </w:r>
            <w:r w:rsidR="00251F03" w:rsidRPr="00251F03">
              <w:rPr>
                <w:noProof/>
                <w:webHidden/>
                <w:sz w:val="24"/>
              </w:rPr>
              <w:fldChar w:fldCharType="end"/>
            </w:r>
          </w:hyperlink>
        </w:p>
        <w:p w14:paraId="2637A518" w14:textId="77777777" w:rsidR="00251F03" w:rsidRPr="00251F03" w:rsidRDefault="00251F03">
          <w:pPr>
            <w:pStyle w:val="TOC2"/>
            <w:rPr>
              <w:rFonts w:eastAsiaTheme="minorEastAsia" w:cstheme="minorBidi"/>
              <w:noProof/>
              <w:lang w:eastAsia="en-AU"/>
            </w:rPr>
          </w:pPr>
          <w:hyperlink w:anchor="_Toc98772149" w:history="1">
            <w:r w:rsidRPr="00251F03">
              <w:rPr>
                <w:rStyle w:val="Hyperlink"/>
                <w:noProof/>
              </w:rPr>
              <w:t>1.1</w:t>
            </w:r>
            <w:r w:rsidRPr="00251F03">
              <w:rPr>
                <w:rFonts w:eastAsiaTheme="minorEastAsia" w:cstheme="minorBidi"/>
                <w:noProof/>
                <w:lang w:eastAsia="en-AU"/>
              </w:rPr>
              <w:tab/>
            </w:r>
            <w:r w:rsidRPr="00251F03">
              <w:rPr>
                <w:rStyle w:val="Hyperlink"/>
                <w:rFonts w:cstheme="minorHAnsi"/>
                <w:noProof/>
              </w:rPr>
              <w:t>Purpose of the CRIS</w:t>
            </w:r>
            <w:r w:rsidRPr="00251F03">
              <w:rPr>
                <w:noProof/>
                <w:webHidden/>
              </w:rPr>
              <w:tab/>
            </w:r>
            <w:r w:rsidRPr="00251F03">
              <w:rPr>
                <w:noProof/>
                <w:webHidden/>
              </w:rPr>
              <w:fldChar w:fldCharType="begin"/>
            </w:r>
            <w:r w:rsidRPr="00251F03">
              <w:rPr>
                <w:noProof/>
                <w:webHidden/>
              </w:rPr>
              <w:instrText xml:space="preserve"> PAGEREF _Toc98772149 \h </w:instrText>
            </w:r>
            <w:r w:rsidRPr="00251F03">
              <w:rPr>
                <w:noProof/>
                <w:webHidden/>
              </w:rPr>
            </w:r>
            <w:r w:rsidRPr="00251F03">
              <w:rPr>
                <w:noProof/>
                <w:webHidden/>
              </w:rPr>
              <w:fldChar w:fldCharType="separate"/>
            </w:r>
            <w:r w:rsidRPr="00251F03">
              <w:rPr>
                <w:noProof/>
                <w:webHidden/>
              </w:rPr>
              <w:t>4</w:t>
            </w:r>
            <w:r w:rsidRPr="00251F03">
              <w:rPr>
                <w:noProof/>
                <w:webHidden/>
              </w:rPr>
              <w:fldChar w:fldCharType="end"/>
            </w:r>
          </w:hyperlink>
        </w:p>
        <w:p w14:paraId="3FC546EF" w14:textId="77777777" w:rsidR="00251F03" w:rsidRPr="00251F03" w:rsidRDefault="00251F03">
          <w:pPr>
            <w:pStyle w:val="TOC1"/>
            <w:rPr>
              <w:rFonts w:eastAsiaTheme="minorEastAsia" w:cstheme="minorBidi"/>
              <w:noProof/>
              <w:sz w:val="24"/>
              <w:lang w:eastAsia="en-AU"/>
            </w:rPr>
          </w:pPr>
          <w:hyperlink w:anchor="_Toc98772150" w:history="1">
            <w:r w:rsidRPr="00251F03">
              <w:rPr>
                <w:rStyle w:val="Hyperlink"/>
                <w:b/>
                <w:bCs/>
                <w:noProof/>
                <w:sz w:val="24"/>
              </w:rPr>
              <w:t>2</w:t>
            </w:r>
            <w:r w:rsidRPr="00251F03">
              <w:rPr>
                <w:rFonts w:eastAsiaTheme="minorEastAsia" w:cstheme="minorBidi"/>
                <w:noProof/>
                <w:sz w:val="24"/>
                <w:lang w:eastAsia="en-AU"/>
              </w:rPr>
              <w:tab/>
            </w:r>
            <w:r w:rsidRPr="00251F03">
              <w:rPr>
                <w:rStyle w:val="Hyperlink"/>
                <w:rFonts w:cstheme="minorHAnsi"/>
                <w:b/>
                <w:bCs/>
                <w:noProof/>
                <w:sz w:val="24"/>
              </w:rPr>
              <w:t>POLICY AND STATUTORY AUTHORITY TO COST RECOVER</w:t>
            </w:r>
            <w:r w:rsidRPr="00251F03">
              <w:rPr>
                <w:noProof/>
                <w:webHidden/>
                <w:sz w:val="24"/>
              </w:rPr>
              <w:tab/>
            </w:r>
            <w:r w:rsidRPr="00251F03">
              <w:rPr>
                <w:noProof/>
                <w:webHidden/>
                <w:sz w:val="24"/>
              </w:rPr>
              <w:fldChar w:fldCharType="begin"/>
            </w:r>
            <w:r w:rsidRPr="00251F03">
              <w:rPr>
                <w:noProof/>
                <w:webHidden/>
                <w:sz w:val="24"/>
              </w:rPr>
              <w:instrText xml:space="preserve"> PAGEREF _Toc98772150 \h </w:instrText>
            </w:r>
            <w:r w:rsidRPr="00251F03">
              <w:rPr>
                <w:noProof/>
                <w:webHidden/>
                <w:sz w:val="24"/>
              </w:rPr>
            </w:r>
            <w:r w:rsidRPr="00251F03">
              <w:rPr>
                <w:noProof/>
                <w:webHidden/>
                <w:sz w:val="24"/>
              </w:rPr>
              <w:fldChar w:fldCharType="separate"/>
            </w:r>
            <w:r w:rsidRPr="00251F03">
              <w:rPr>
                <w:noProof/>
                <w:webHidden/>
                <w:sz w:val="24"/>
              </w:rPr>
              <w:t>4</w:t>
            </w:r>
            <w:r w:rsidRPr="00251F03">
              <w:rPr>
                <w:noProof/>
                <w:webHidden/>
                <w:sz w:val="24"/>
              </w:rPr>
              <w:fldChar w:fldCharType="end"/>
            </w:r>
          </w:hyperlink>
        </w:p>
        <w:p w14:paraId="0E3F2807" w14:textId="77777777" w:rsidR="00251F03" w:rsidRPr="00251F03" w:rsidRDefault="00251F03">
          <w:pPr>
            <w:pStyle w:val="TOC2"/>
            <w:rPr>
              <w:rFonts w:eastAsiaTheme="minorEastAsia" w:cstheme="minorBidi"/>
              <w:noProof/>
              <w:lang w:eastAsia="en-AU"/>
            </w:rPr>
          </w:pPr>
          <w:hyperlink w:anchor="_Toc98772151" w:history="1">
            <w:r w:rsidRPr="00251F03">
              <w:rPr>
                <w:rStyle w:val="Hyperlink"/>
                <w:noProof/>
              </w:rPr>
              <w:t>2.1</w:t>
            </w:r>
            <w:r w:rsidRPr="00251F03">
              <w:rPr>
                <w:rFonts w:eastAsiaTheme="minorEastAsia" w:cstheme="minorBidi"/>
                <w:noProof/>
                <w:lang w:eastAsia="en-AU"/>
              </w:rPr>
              <w:tab/>
            </w:r>
            <w:r w:rsidRPr="00251F03">
              <w:rPr>
                <w:rStyle w:val="Hyperlink"/>
                <w:rFonts w:cstheme="minorHAnsi"/>
                <w:noProof/>
              </w:rPr>
              <w:t>Government policy approval to cost recover the regulatory activity</w:t>
            </w:r>
            <w:r w:rsidRPr="00251F03">
              <w:rPr>
                <w:noProof/>
                <w:webHidden/>
              </w:rPr>
              <w:tab/>
            </w:r>
            <w:r w:rsidRPr="00251F03">
              <w:rPr>
                <w:noProof/>
                <w:webHidden/>
              </w:rPr>
              <w:fldChar w:fldCharType="begin"/>
            </w:r>
            <w:r w:rsidRPr="00251F03">
              <w:rPr>
                <w:noProof/>
                <w:webHidden/>
              </w:rPr>
              <w:instrText xml:space="preserve"> PAGEREF _Toc98772151 \h </w:instrText>
            </w:r>
            <w:r w:rsidRPr="00251F03">
              <w:rPr>
                <w:noProof/>
                <w:webHidden/>
              </w:rPr>
            </w:r>
            <w:r w:rsidRPr="00251F03">
              <w:rPr>
                <w:noProof/>
                <w:webHidden/>
              </w:rPr>
              <w:fldChar w:fldCharType="separate"/>
            </w:r>
            <w:r w:rsidRPr="00251F03">
              <w:rPr>
                <w:noProof/>
                <w:webHidden/>
              </w:rPr>
              <w:t>4</w:t>
            </w:r>
            <w:r w:rsidRPr="00251F03">
              <w:rPr>
                <w:noProof/>
                <w:webHidden/>
              </w:rPr>
              <w:fldChar w:fldCharType="end"/>
            </w:r>
          </w:hyperlink>
        </w:p>
        <w:p w14:paraId="27EF48EB" w14:textId="77777777" w:rsidR="00251F03" w:rsidRPr="00251F03" w:rsidRDefault="00251F03">
          <w:pPr>
            <w:pStyle w:val="TOC2"/>
            <w:rPr>
              <w:rFonts w:eastAsiaTheme="minorEastAsia" w:cstheme="minorBidi"/>
              <w:noProof/>
              <w:lang w:eastAsia="en-AU"/>
            </w:rPr>
          </w:pPr>
          <w:hyperlink w:anchor="_Toc98772152" w:history="1">
            <w:r w:rsidRPr="00251F03">
              <w:rPr>
                <w:rStyle w:val="Hyperlink"/>
                <w:noProof/>
              </w:rPr>
              <w:t>2.2</w:t>
            </w:r>
            <w:r w:rsidRPr="00251F03">
              <w:rPr>
                <w:rFonts w:eastAsiaTheme="minorEastAsia" w:cstheme="minorBidi"/>
                <w:noProof/>
                <w:lang w:eastAsia="en-AU"/>
              </w:rPr>
              <w:tab/>
            </w:r>
            <w:r w:rsidRPr="00251F03">
              <w:rPr>
                <w:rStyle w:val="Hyperlink"/>
                <w:rFonts w:cstheme="minorHAnsi"/>
                <w:noProof/>
              </w:rPr>
              <w:t>Statutory authority to charge</w:t>
            </w:r>
            <w:r w:rsidRPr="00251F03">
              <w:rPr>
                <w:noProof/>
                <w:webHidden/>
              </w:rPr>
              <w:tab/>
            </w:r>
            <w:r w:rsidRPr="00251F03">
              <w:rPr>
                <w:noProof/>
                <w:webHidden/>
              </w:rPr>
              <w:fldChar w:fldCharType="begin"/>
            </w:r>
            <w:r w:rsidRPr="00251F03">
              <w:rPr>
                <w:noProof/>
                <w:webHidden/>
              </w:rPr>
              <w:instrText xml:space="preserve"> PAGEREF _Toc98772152 \h </w:instrText>
            </w:r>
            <w:r w:rsidRPr="00251F03">
              <w:rPr>
                <w:noProof/>
                <w:webHidden/>
              </w:rPr>
            </w:r>
            <w:r w:rsidRPr="00251F03">
              <w:rPr>
                <w:noProof/>
                <w:webHidden/>
              </w:rPr>
              <w:fldChar w:fldCharType="separate"/>
            </w:r>
            <w:r w:rsidRPr="00251F03">
              <w:rPr>
                <w:noProof/>
                <w:webHidden/>
              </w:rPr>
              <w:t>4</w:t>
            </w:r>
            <w:r w:rsidRPr="00251F03">
              <w:rPr>
                <w:noProof/>
                <w:webHidden/>
              </w:rPr>
              <w:fldChar w:fldCharType="end"/>
            </w:r>
          </w:hyperlink>
        </w:p>
        <w:p w14:paraId="21CD37F0" w14:textId="77777777" w:rsidR="00251F03" w:rsidRPr="00251F03" w:rsidRDefault="00251F03">
          <w:pPr>
            <w:pStyle w:val="TOC1"/>
            <w:rPr>
              <w:rFonts w:eastAsiaTheme="minorEastAsia" w:cstheme="minorBidi"/>
              <w:noProof/>
              <w:sz w:val="24"/>
              <w:lang w:eastAsia="en-AU"/>
            </w:rPr>
          </w:pPr>
          <w:hyperlink w:anchor="_Toc98772153" w:history="1">
            <w:r w:rsidRPr="00251F03">
              <w:rPr>
                <w:rStyle w:val="Hyperlink"/>
                <w:b/>
                <w:bCs/>
                <w:noProof/>
                <w:sz w:val="24"/>
              </w:rPr>
              <w:t>3</w:t>
            </w:r>
            <w:r w:rsidRPr="00251F03">
              <w:rPr>
                <w:rFonts w:eastAsiaTheme="minorEastAsia" w:cstheme="minorBidi"/>
                <w:noProof/>
                <w:sz w:val="24"/>
                <w:lang w:eastAsia="en-AU"/>
              </w:rPr>
              <w:tab/>
            </w:r>
            <w:r w:rsidRPr="00251F03">
              <w:rPr>
                <w:rStyle w:val="Hyperlink"/>
                <w:rFonts w:cstheme="minorHAnsi"/>
                <w:b/>
                <w:bCs/>
                <w:noProof/>
                <w:sz w:val="24"/>
              </w:rPr>
              <w:t>KEY FORWARD DATES AND EVENTS</w:t>
            </w:r>
            <w:r w:rsidRPr="00251F03">
              <w:rPr>
                <w:noProof/>
                <w:webHidden/>
                <w:sz w:val="24"/>
              </w:rPr>
              <w:tab/>
            </w:r>
            <w:r w:rsidRPr="00251F03">
              <w:rPr>
                <w:noProof/>
                <w:webHidden/>
                <w:sz w:val="24"/>
              </w:rPr>
              <w:fldChar w:fldCharType="begin"/>
            </w:r>
            <w:r w:rsidRPr="00251F03">
              <w:rPr>
                <w:noProof/>
                <w:webHidden/>
                <w:sz w:val="24"/>
              </w:rPr>
              <w:instrText xml:space="preserve"> PAGEREF _Toc98772153 \h </w:instrText>
            </w:r>
            <w:r w:rsidRPr="00251F03">
              <w:rPr>
                <w:noProof/>
                <w:webHidden/>
                <w:sz w:val="24"/>
              </w:rPr>
            </w:r>
            <w:r w:rsidRPr="00251F03">
              <w:rPr>
                <w:noProof/>
                <w:webHidden/>
                <w:sz w:val="24"/>
              </w:rPr>
              <w:fldChar w:fldCharType="separate"/>
            </w:r>
            <w:r w:rsidRPr="00251F03">
              <w:rPr>
                <w:noProof/>
                <w:webHidden/>
                <w:sz w:val="24"/>
              </w:rPr>
              <w:t>4</w:t>
            </w:r>
            <w:r w:rsidRPr="00251F03">
              <w:rPr>
                <w:noProof/>
                <w:webHidden/>
                <w:sz w:val="24"/>
              </w:rPr>
              <w:fldChar w:fldCharType="end"/>
            </w:r>
          </w:hyperlink>
        </w:p>
        <w:p w14:paraId="58E7C07D" w14:textId="77777777" w:rsidR="00251F03" w:rsidRPr="00251F03" w:rsidRDefault="00251F03">
          <w:pPr>
            <w:pStyle w:val="TOC1"/>
            <w:rPr>
              <w:rFonts w:eastAsiaTheme="minorEastAsia" w:cstheme="minorBidi"/>
              <w:noProof/>
              <w:sz w:val="24"/>
              <w:lang w:eastAsia="en-AU"/>
            </w:rPr>
          </w:pPr>
          <w:hyperlink w:anchor="_Toc98772154" w:history="1">
            <w:r w:rsidRPr="00251F03">
              <w:rPr>
                <w:rStyle w:val="Hyperlink"/>
                <w:b/>
                <w:bCs/>
                <w:noProof/>
                <w:sz w:val="24"/>
              </w:rPr>
              <w:t>4</w:t>
            </w:r>
            <w:r w:rsidRPr="00251F03">
              <w:rPr>
                <w:rFonts w:eastAsiaTheme="minorEastAsia" w:cstheme="minorBidi"/>
                <w:noProof/>
                <w:sz w:val="24"/>
                <w:lang w:eastAsia="en-AU"/>
              </w:rPr>
              <w:tab/>
            </w:r>
            <w:r w:rsidRPr="00251F03">
              <w:rPr>
                <w:rStyle w:val="Hyperlink"/>
                <w:rFonts w:cstheme="minorHAnsi"/>
                <w:b/>
                <w:bCs/>
                <w:noProof/>
                <w:sz w:val="24"/>
              </w:rPr>
              <w:t>CRIS APPROVAL AND CHANGE REGISTER</w:t>
            </w:r>
            <w:r w:rsidRPr="00251F03">
              <w:rPr>
                <w:noProof/>
                <w:webHidden/>
                <w:sz w:val="24"/>
              </w:rPr>
              <w:tab/>
            </w:r>
            <w:r w:rsidRPr="00251F03">
              <w:rPr>
                <w:noProof/>
                <w:webHidden/>
                <w:sz w:val="24"/>
              </w:rPr>
              <w:fldChar w:fldCharType="begin"/>
            </w:r>
            <w:r w:rsidRPr="00251F03">
              <w:rPr>
                <w:noProof/>
                <w:webHidden/>
                <w:sz w:val="24"/>
              </w:rPr>
              <w:instrText xml:space="preserve"> PAGEREF _Toc98772154 \h </w:instrText>
            </w:r>
            <w:r w:rsidRPr="00251F03">
              <w:rPr>
                <w:noProof/>
                <w:webHidden/>
                <w:sz w:val="24"/>
              </w:rPr>
            </w:r>
            <w:r w:rsidRPr="00251F03">
              <w:rPr>
                <w:noProof/>
                <w:webHidden/>
                <w:sz w:val="24"/>
              </w:rPr>
              <w:fldChar w:fldCharType="separate"/>
            </w:r>
            <w:r w:rsidRPr="00251F03">
              <w:rPr>
                <w:noProof/>
                <w:webHidden/>
                <w:sz w:val="24"/>
              </w:rPr>
              <w:t>5</w:t>
            </w:r>
            <w:r w:rsidRPr="00251F03">
              <w:rPr>
                <w:noProof/>
                <w:webHidden/>
                <w:sz w:val="24"/>
              </w:rPr>
              <w:fldChar w:fldCharType="end"/>
            </w:r>
          </w:hyperlink>
        </w:p>
        <w:p w14:paraId="4DD04E21" w14:textId="77777777" w:rsidR="00251F03" w:rsidRPr="00251F03" w:rsidRDefault="00251F03">
          <w:pPr>
            <w:pStyle w:val="TOC1"/>
            <w:rPr>
              <w:rFonts w:eastAsiaTheme="minorEastAsia" w:cstheme="minorBidi"/>
              <w:noProof/>
              <w:sz w:val="24"/>
              <w:lang w:eastAsia="en-AU"/>
            </w:rPr>
          </w:pPr>
          <w:hyperlink w:anchor="_Toc98772155" w:history="1">
            <w:r w:rsidRPr="00251F03">
              <w:rPr>
                <w:rStyle w:val="Hyperlink"/>
                <w:b/>
                <w:bCs/>
                <w:noProof/>
                <w:sz w:val="24"/>
              </w:rPr>
              <w:t>5</w:t>
            </w:r>
            <w:r w:rsidRPr="00251F03">
              <w:rPr>
                <w:rFonts w:eastAsiaTheme="minorEastAsia" w:cstheme="minorBidi"/>
                <w:noProof/>
                <w:sz w:val="24"/>
                <w:lang w:eastAsia="en-AU"/>
              </w:rPr>
              <w:tab/>
            </w:r>
            <w:r w:rsidRPr="00251F03">
              <w:rPr>
                <w:rStyle w:val="Hyperlink"/>
                <w:rFonts w:cstheme="minorHAnsi"/>
                <w:b/>
                <w:bCs/>
                <w:noProof/>
                <w:sz w:val="24"/>
              </w:rPr>
              <w:t>OVERVIEW</w:t>
            </w:r>
            <w:r w:rsidRPr="00251F03">
              <w:rPr>
                <w:noProof/>
                <w:webHidden/>
                <w:sz w:val="24"/>
              </w:rPr>
              <w:tab/>
            </w:r>
            <w:r w:rsidRPr="00251F03">
              <w:rPr>
                <w:noProof/>
                <w:webHidden/>
                <w:sz w:val="24"/>
              </w:rPr>
              <w:fldChar w:fldCharType="begin"/>
            </w:r>
            <w:r w:rsidRPr="00251F03">
              <w:rPr>
                <w:noProof/>
                <w:webHidden/>
                <w:sz w:val="24"/>
              </w:rPr>
              <w:instrText xml:space="preserve"> PAGEREF _Toc98772155 \h </w:instrText>
            </w:r>
            <w:r w:rsidRPr="00251F03">
              <w:rPr>
                <w:noProof/>
                <w:webHidden/>
                <w:sz w:val="24"/>
              </w:rPr>
            </w:r>
            <w:r w:rsidRPr="00251F03">
              <w:rPr>
                <w:noProof/>
                <w:webHidden/>
                <w:sz w:val="24"/>
              </w:rPr>
              <w:fldChar w:fldCharType="separate"/>
            </w:r>
            <w:r w:rsidRPr="00251F03">
              <w:rPr>
                <w:noProof/>
                <w:webHidden/>
                <w:sz w:val="24"/>
              </w:rPr>
              <w:t>5</w:t>
            </w:r>
            <w:r w:rsidRPr="00251F03">
              <w:rPr>
                <w:noProof/>
                <w:webHidden/>
                <w:sz w:val="24"/>
              </w:rPr>
              <w:fldChar w:fldCharType="end"/>
            </w:r>
          </w:hyperlink>
        </w:p>
        <w:p w14:paraId="4B523635" w14:textId="77777777" w:rsidR="00251F03" w:rsidRPr="00251F03" w:rsidRDefault="00251F03">
          <w:pPr>
            <w:pStyle w:val="TOC1"/>
            <w:rPr>
              <w:rFonts w:eastAsiaTheme="minorEastAsia" w:cstheme="minorBidi"/>
              <w:noProof/>
              <w:sz w:val="24"/>
              <w:lang w:eastAsia="en-AU"/>
            </w:rPr>
          </w:pPr>
          <w:hyperlink w:anchor="_Toc98772156" w:history="1">
            <w:r w:rsidRPr="00251F03">
              <w:rPr>
                <w:rStyle w:val="Hyperlink"/>
                <w:b/>
                <w:bCs/>
                <w:noProof/>
                <w:sz w:val="24"/>
              </w:rPr>
              <w:t>6</w:t>
            </w:r>
            <w:r w:rsidRPr="00251F03">
              <w:rPr>
                <w:rFonts w:eastAsiaTheme="minorEastAsia" w:cstheme="minorBidi"/>
                <w:noProof/>
                <w:sz w:val="24"/>
                <w:lang w:eastAsia="en-AU"/>
              </w:rPr>
              <w:tab/>
            </w:r>
            <w:r w:rsidRPr="00251F03">
              <w:rPr>
                <w:rStyle w:val="Hyperlink"/>
                <w:rFonts w:cstheme="minorHAnsi"/>
                <w:b/>
                <w:bCs/>
                <w:noProof/>
                <w:sz w:val="24"/>
              </w:rPr>
              <w:t>OFFSHORE INFRASTRUCTURE REGISTRAR</w:t>
            </w:r>
            <w:r w:rsidRPr="00251F03">
              <w:rPr>
                <w:noProof/>
                <w:webHidden/>
                <w:sz w:val="24"/>
              </w:rPr>
              <w:tab/>
            </w:r>
            <w:r w:rsidRPr="00251F03">
              <w:rPr>
                <w:noProof/>
                <w:webHidden/>
                <w:sz w:val="24"/>
              </w:rPr>
              <w:fldChar w:fldCharType="begin"/>
            </w:r>
            <w:r w:rsidRPr="00251F03">
              <w:rPr>
                <w:noProof/>
                <w:webHidden/>
                <w:sz w:val="24"/>
              </w:rPr>
              <w:instrText xml:space="preserve"> PAGEREF _Toc98772156 \h </w:instrText>
            </w:r>
            <w:r w:rsidRPr="00251F03">
              <w:rPr>
                <w:noProof/>
                <w:webHidden/>
                <w:sz w:val="24"/>
              </w:rPr>
            </w:r>
            <w:r w:rsidRPr="00251F03">
              <w:rPr>
                <w:noProof/>
                <w:webHidden/>
                <w:sz w:val="24"/>
              </w:rPr>
              <w:fldChar w:fldCharType="separate"/>
            </w:r>
            <w:r w:rsidRPr="00251F03">
              <w:rPr>
                <w:noProof/>
                <w:webHidden/>
                <w:sz w:val="24"/>
              </w:rPr>
              <w:t>8</w:t>
            </w:r>
            <w:r w:rsidRPr="00251F03">
              <w:rPr>
                <w:noProof/>
                <w:webHidden/>
                <w:sz w:val="24"/>
              </w:rPr>
              <w:fldChar w:fldCharType="end"/>
            </w:r>
          </w:hyperlink>
        </w:p>
        <w:p w14:paraId="2BF67083" w14:textId="77777777" w:rsidR="00251F03" w:rsidRPr="00251F03" w:rsidRDefault="00251F03">
          <w:pPr>
            <w:pStyle w:val="TOC2"/>
            <w:rPr>
              <w:rFonts w:eastAsiaTheme="minorEastAsia" w:cstheme="minorBidi"/>
              <w:noProof/>
              <w:lang w:eastAsia="en-AU"/>
            </w:rPr>
          </w:pPr>
          <w:hyperlink w:anchor="_Toc98772157" w:history="1">
            <w:r w:rsidRPr="00251F03">
              <w:rPr>
                <w:rStyle w:val="Hyperlink"/>
                <w:noProof/>
              </w:rPr>
              <w:t>6.1</w:t>
            </w:r>
            <w:r w:rsidRPr="00251F03">
              <w:rPr>
                <w:rFonts w:eastAsiaTheme="minorEastAsia" w:cstheme="minorBidi"/>
                <w:noProof/>
                <w:lang w:eastAsia="en-AU"/>
              </w:rPr>
              <w:tab/>
            </w:r>
            <w:r w:rsidRPr="00251F03">
              <w:rPr>
                <w:rStyle w:val="Hyperlink"/>
                <w:rFonts w:cstheme="minorHAnsi"/>
                <w:noProof/>
              </w:rPr>
              <w:t>Description of the regulatory charging activity</w:t>
            </w:r>
            <w:r w:rsidRPr="00251F03">
              <w:rPr>
                <w:noProof/>
                <w:webHidden/>
              </w:rPr>
              <w:tab/>
            </w:r>
            <w:r w:rsidRPr="00251F03">
              <w:rPr>
                <w:noProof/>
                <w:webHidden/>
              </w:rPr>
              <w:fldChar w:fldCharType="begin"/>
            </w:r>
            <w:r w:rsidRPr="00251F03">
              <w:rPr>
                <w:noProof/>
                <w:webHidden/>
              </w:rPr>
              <w:instrText xml:space="preserve"> PAGEREF _Toc98772157 \h </w:instrText>
            </w:r>
            <w:r w:rsidRPr="00251F03">
              <w:rPr>
                <w:noProof/>
                <w:webHidden/>
              </w:rPr>
            </w:r>
            <w:r w:rsidRPr="00251F03">
              <w:rPr>
                <w:noProof/>
                <w:webHidden/>
              </w:rPr>
              <w:fldChar w:fldCharType="separate"/>
            </w:r>
            <w:r w:rsidRPr="00251F03">
              <w:rPr>
                <w:noProof/>
                <w:webHidden/>
              </w:rPr>
              <w:t>8</w:t>
            </w:r>
            <w:r w:rsidRPr="00251F03">
              <w:rPr>
                <w:noProof/>
                <w:webHidden/>
              </w:rPr>
              <w:fldChar w:fldCharType="end"/>
            </w:r>
          </w:hyperlink>
        </w:p>
        <w:p w14:paraId="28472297" w14:textId="77777777" w:rsidR="00251F03" w:rsidRPr="00251F03" w:rsidRDefault="00251F03">
          <w:pPr>
            <w:pStyle w:val="TOC2"/>
            <w:rPr>
              <w:rFonts w:eastAsiaTheme="minorEastAsia" w:cstheme="minorBidi"/>
              <w:noProof/>
              <w:lang w:eastAsia="en-AU"/>
            </w:rPr>
          </w:pPr>
          <w:hyperlink w:anchor="_Toc98772158" w:history="1">
            <w:r w:rsidRPr="00251F03">
              <w:rPr>
                <w:rStyle w:val="Hyperlink"/>
                <w:noProof/>
              </w:rPr>
              <w:t>6.2</w:t>
            </w:r>
            <w:r w:rsidRPr="00251F03">
              <w:rPr>
                <w:rFonts w:eastAsiaTheme="minorEastAsia" w:cstheme="minorBidi"/>
                <w:noProof/>
                <w:lang w:eastAsia="en-AU"/>
              </w:rPr>
              <w:tab/>
            </w:r>
            <w:r w:rsidRPr="00251F03">
              <w:rPr>
                <w:rStyle w:val="Hyperlink"/>
                <w:rFonts w:cstheme="minorHAnsi"/>
                <w:noProof/>
              </w:rPr>
              <w:t>Cost Recovery Model</w:t>
            </w:r>
            <w:r w:rsidRPr="00251F03">
              <w:rPr>
                <w:noProof/>
                <w:webHidden/>
              </w:rPr>
              <w:tab/>
            </w:r>
            <w:r w:rsidRPr="00251F03">
              <w:rPr>
                <w:noProof/>
                <w:webHidden/>
              </w:rPr>
              <w:fldChar w:fldCharType="begin"/>
            </w:r>
            <w:r w:rsidRPr="00251F03">
              <w:rPr>
                <w:noProof/>
                <w:webHidden/>
              </w:rPr>
              <w:instrText xml:space="preserve"> PAGEREF _Toc98772158 \h </w:instrText>
            </w:r>
            <w:r w:rsidRPr="00251F03">
              <w:rPr>
                <w:noProof/>
                <w:webHidden/>
              </w:rPr>
            </w:r>
            <w:r w:rsidRPr="00251F03">
              <w:rPr>
                <w:noProof/>
                <w:webHidden/>
              </w:rPr>
              <w:fldChar w:fldCharType="separate"/>
            </w:r>
            <w:r w:rsidRPr="00251F03">
              <w:rPr>
                <w:noProof/>
                <w:webHidden/>
              </w:rPr>
              <w:t>9</w:t>
            </w:r>
            <w:r w:rsidRPr="00251F03">
              <w:rPr>
                <w:noProof/>
                <w:webHidden/>
              </w:rPr>
              <w:fldChar w:fldCharType="end"/>
            </w:r>
          </w:hyperlink>
        </w:p>
        <w:p w14:paraId="4C06BBE5" w14:textId="77777777" w:rsidR="00251F03" w:rsidRPr="00251F03" w:rsidRDefault="00251F03">
          <w:pPr>
            <w:pStyle w:val="TOC3"/>
            <w:tabs>
              <w:tab w:val="left" w:pos="1320"/>
              <w:tab w:val="right" w:leader="dot" w:pos="9771"/>
            </w:tabs>
            <w:rPr>
              <w:rFonts w:eastAsiaTheme="minorEastAsia" w:cstheme="minorBidi"/>
              <w:noProof/>
              <w:lang w:eastAsia="en-AU"/>
            </w:rPr>
          </w:pPr>
          <w:hyperlink w:anchor="_Toc98772159" w:history="1">
            <w:r w:rsidRPr="00251F03">
              <w:rPr>
                <w:rStyle w:val="Hyperlink"/>
                <w:noProof/>
              </w:rPr>
              <w:t>6.2.1</w:t>
            </w:r>
            <w:r w:rsidRPr="00251F03">
              <w:rPr>
                <w:rFonts w:eastAsiaTheme="minorEastAsia" w:cstheme="minorBidi"/>
                <w:noProof/>
                <w:lang w:eastAsia="en-AU"/>
              </w:rPr>
              <w:tab/>
            </w:r>
            <w:r w:rsidRPr="00251F03">
              <w:rPr>
                <w:rStyle w:val="Hyperlink"/>
                <w:noProof/>
              </w:rPr>
              <w:t>Staffing</w:t>
            </w:r>
            <w:r w:rsidRPr="00251F03">
              <w:rPr>
                <w:noProof/>
                <w:webHidden/>
              </w:rPr>
              <w:tab/>
            </w:r>
            <w:r w:rsidRPr="00251F03">
              <w:rPr>
                <w:noProof/>
                <w:webHidden/>
              </w:rPr>
              <w:fldChar w:fldCharType="begin"/>
            </w:r>
            <w:r w:rsidRPr="00251F03">
              <w:rPr>
                <w:noProof/>
                <w:webHidden/>
              </w:rPr>
              <w:instrText xml:space="preserve"> PAGEREF _Toc98772159 \h </w:instrText>
            </w:r>
            <w:r w:rsidRPr="00251F03">
              <w:rPr>
                <w:noProof/>
                <w:webHidden/>
              </w:rPr>
            </w:r>
            <w:r w:rsidRPr="00251F03">
              <w:rPr>
                <w:noProof/>
                <w:webHidden/>
              </w:rPr>
              <w:fldChar w:fldCharType="separate"/>
            </w:r>
            <w:r w:rsidRPr="00251F03">
              <w:rPr>
                <w:noProof/>
                <w:webHidden/>
              </w:rPr>
              <w:t>9</w:t>
            </w:r>
            <w:r w:rsidRPr="00251F03">
              <w:rPr>
                <w:noProof/>
                <w:webHidden/>
              </w:rPr>
              <w:fldChar w:fldCharType="end"/>
            </w:r>
          </w:hyperlink>
        </w:p>
        <w:p w14:paraId="39630D25" w14:textId="77777777" w:rsidR="00251F03" w:rsidRPr="00251F03" w:rsidRDefault="00251F03">
          <w:pPr>
            <w:pStyle w:val="TOC3"/>
            <w:tabs>
              <w:tab w:val="left" w:pos="1320"/>
              <w:tab w:val="right" w:leader="dot" w:pos="9771"/>
            </w:tabs>
            <w:rPr>
              <w:rFonts w:eastAsiaTheme="minorEastAsia" w:cstheme="minorBidi"/>
              <w:noProof/>
              <w:lang w:eastAsia="en-AU"/>
            </w:rPr>
          </w:pPr>
          <w:hyperlink w:anchor="_Toc98772160" w:history="1">
            <w:r w:rsidRPr="00251F03">
              <w:rPr>
                <w:rStyle w:val="Hyperlink"/>
                <w:noProof/>
              </w:rPr>
              <w:t>6.2.2</w:t>
            </w:r>
            <w:r w:rsidRPr="00251F03">
              <w:rPr>
                <w:rFonts w:eastAsiaTheme="minorEastAsia" w:cstheme="minorBidi"/>
                <w:noProof/>
                <w:lang w:eastAsia="en-AU"/>
              </w:rPr>
              <w:tab/>
            </w:r>
            <w:r w:rsidRPr="00251F03">
              <w:rPr>
                <w:rStyle w:val="Hyperlink"/>
                <w:noProof/>
              </w:rPr>
              <w:t>Outputs and business processes</w:t>
            </w:r>
            <w:r w:rsidRPr="00251F03">
              <w:rPr>
                <w:noProof/>
                <w:webHidden/>
              </w:rPr>
              <w:tab/>
            </w:r>
            <w:r w:rsidRPr="00251F03">
              <w:rPr>
                <w:noProof/>
                <w:webHidden/>
              </w:rPr>
              <w:fldChar w:fldCharType="begin"/>
            </w:r>
            <w:r w:rsidRPr="00251F03">
              <w:rPr>
                <w:noProof/>
                <w:webHidden/>
              </w:rPr>
              <w:instrText xml:space="preserve"> PAGEREF _Toc98772160 \h </w:instrText>
            </w:r>
            <w:r w:rsidRPr="00251F03">
              <w:rPr>
                <w:noProof/>
                <w:webHidden/>
              </w:rPr>
            </w:r>
            <w:r w:rsidRPr="00251F03">
              <w:rPr>
                <w:noProof/>
                <w:webHidden/>
              </w:rPr>
              <w:fldChar w:fldCharType="separate"/>
            </w:r>
            <w:r w:rsidRPr="00251F03">
              <w:rPr>
                <w:noProof/>
                <w:webHidden/>
              </w:rPr>
              <w:t>10</w:t>
            </w:r>
            <w:r w:rsidRPr="00251F03">
              <w:rPr>
                <w:noProof/>
                <w:webHidden/>
              </w:rPr>
              <w:fldChar w:fldCharType="end"/>
            </w:r>
          </w:hyperlink>
        </w:p>
        <w:p w14:paraId="27FC0CD3" w14:textId="77777777" w:rsidR="00251F03" w:rsidRPr="00251F03" w:rsidRDefault="00251F03">
          <w:pPr>
            <w:pStyle w:val="TOC3"/>
            <w:tabs>
              <w:tab w:val="left" w:pos="1320"/>
              <w:tab w:val="right" w:leader="dot" w:pos="9771"/>
            </w:tabs>
            <w:rPr>
              <w:rFonts w:eastAsiaTheme="minorEastAsia" w:cstheme="minorBidi"/>
              <w:noProof/>
              <w:lang w:eastAsia="en-AU"/>
            </w:rPr>
          </w:pPr>
          <w:hyperlink w:anchor="_Toc98772161" w:history="1">
            <w:r w:rsidRPr="00251F03">
              <w:rPr>
                <w:rStyle w:val="Hyperlink"/>
                <w:noProof/>
              </w:rPr>
              <w:t>6.2.3</w:t>
            </w:r>
            <w:r w:rsidRPr="00251F03">
              <w:rPr>
                <w:rFonts w:eastAsiaTheme="minorEastAsia" w:cstheme="minorBidi"/>
                <w:noProof/>
                <w:lang w:eastAsia="en-AU"/>
              </w:rPr>
              <w:tab/>
            </w:r>
            <w:r w:rsidRPr="00251F03">
              <w:rPr>
                <w:rStyle w:val="Hyperlink"/>
                <w:noProof/>
              </w:rPr>
              <w:t>Costs of the regulatory charging activity</w:t>
            </w:r>
            <w:r w:rsidRPr="00251F03">
              <w:rPr>
                <w:noProof/>
                <w:webHidden/>
              </w:rPr>
              <w:tab/>
            </w:r>
            <w:r w:rsidRPr="00251F03">
              <w:rPr>
                <w:noProof/>
                <w:webHidden/>
              </w:rPr>
              <w:fldChar w:fldCharType="begin"/>
            </w:r>
            <w:r w:rsidRPr="00251F03">
              <w:rPr>
                <w:noProof/>
                <w:webHidden/>
              </w:rPr>
              <w:instrText xml:space="preserve"> PAGEREF _Toc98772161 \h </w:instrText>
            </w:r>
            <w:r w:rsidRPr="00251F03">
              <w:rPr>
                <w:noProof/>
                <w:webHidden/>
              </w:rPr>
            </w:r>
            <w:r w:rsidRPr="00251F03">
              <w:rPr>
                <w:noProof/>
                <w:webHidden/>
              </w:rPr>
              <w:fldChar w:fldCharType="separate"/>
            </w:r>
            <w:r w:rsidRPr="00251F03">
              <w:rPr>
                <w:noProof/>
                <w:webHidden/>
              </w:rPr>
              <w:t>12</w:t>
            </w:r>
            <w:r w:rsidRPr="00251F03">
              <w:rPr>
                <w:noProof/>
                <w:webHidden/>
              </w:rPr>
              <w:fldChar w:fldCharType="end"/>
            </w:r>
          </w:hyperlink>
        </w:p>
        <w:p w14:paraId="0B84BFF7" w14:textId="77777777" w:rsidR="00251F03" w:rsidRPr="00251F03" w:rsidRDefault="00251F03">
          <w:pPr>
            <w:pStyle w:val="TOC3"/>
            <w:tabs>
              <w:tab w:val="left" w:pos="1320"/>
              <w:tab w:val="right" w:leader="dot" w:pos="9771"/>
            </w:tabs>
            <w:rPr>
              <w:rFonts w:eastAsiaTheme="minorEastAsia" w:cstheme="minorBidi"/>
              <w:noProof/>
              <w:lang w:eastAsia="en-AU"/>
            </w:rPr>
          </w:pPr>
          <w:hyperlink w:anchor="_Toc98772162" w:history="1">
            <w:r w:rsidRPr="00251F03">
              <w:rPr>
                <w:rStyle w:val="Hyperlink"/>
                <w:noProof/>
              </w:rPr>
              <w:t>6.2.4</w:t>
            </w:r>
            <w:r w:rsidRPr="00251F03">
              <w:rPr>
                <w:rFonts w:eastAsiaTheme="minorEastAsia" w:cstheme="minorBidi"/>
                <w:noProof/>
                <w:lang w:eastAsia="en-AU"/>
              </w:rPr>
              <w:tab/>
            </w:r>
            <w:r w:rsidRPr="00251F03">
              <w:rPr>
                <w:rStyle w:val="Hyperlink"/>
                <w:noProof/>
              </w:rPr>
              <w:t>Costs of the activity</w:t>
            </w:r>
            <w:r w:rsidRPr="00251F03">
              <w:rPr>
                <w:noProof/>
                <w:webHidden/>
              </w:rPr>
              <w:tab/>
            </w:r>
            <w:r w:rsidRPr="00251F03">
              <w:rPr>
                <w:noProof/>
                <w:webHidden/>
              </w:rPr>
              <w:fldChar w:fldCharType="begin"/>
            </w:r>
            <w:r w:rsidRPr="00251F03">
              <w:rPr>
                <w:noProof/>
                <w:webHidden/>
              </w:rPr>
              <w:instrText xml:space="preserve"> PAGEREF _Toc98772162 \h </w:instrText>
            </w:r>
            <w:r w:rsidRPr="00251F03">
              <w:rPr>
                <w:noProof/>
                <w:webHidden/>
              </w:rPr>
            </w:r>
            <w:r w:rsidRPr="00251F03">
              <w:rPr>
                <w:noProof/>
                <w:webHidden/>
              </w:rPr>
              <w:fldChar w:fldCharType="separate"/>
            </w:r>
            <w:r w:rsidRPr="00251F03">
              <w:rPr>
                <w:noProof/>
                <w:webHidden/>
              </w:rPr>
              <w:t>13</w:t>
            </w:r>
            <w:r w:rsidRPr="00251F03">
              <w:rPr>
                <w:noProof/>
                <w:webHidden/>
              </w:rPr>
              <w:fldChar w:fldCharType="end"/>
            </w:r>
          </w:hyperlink>
        </w:p>
        <w:p w14:paraId="7EC51AE1" w14:textId="77777777" w:rsidR="00251F03" w:rsidRPr="00251F03" w:rsidRDefault="00251F03">
          <w:pPr>
            <w:pStyle w:val="TOC3"/>
            <w:tabs>
              <w:tab w:val="left" w:pos="1320"/>
              <w:tab w:val="right" w:leader="dot" w:pos="9771"/>
            </w:tabs>
            <w:rPr>
              <w:rFonts w:eastAsiaTheme="minorEastAsia" w:cstheme="minorBidi"/>
              <w:noProof/>
              <w:lang w:eastAsia="en-AU"/>
            </w:rPr>
          </w:pPr>
          <w:hyperlink w:anchor="_Toc98772163" w:history="1">
            <w:r w:rsidRPr="00251F03">
              <w:rPr>
                <w:rStyle w:val="Hyperlink"/>
                <w:noProof/>
              </w:rPr>
              <w:t>6.2.5</w:t>
            </w:r>
            <w:r w:rsidRPr="00251F03">
              <w:rPr>
                <w:rFonts w:eastAsiaTheme="minorEastAsia" w:cstheme="minorBidi"/>
                <w:noProof/>
                <w:lang w:eastAsia="en-AU"/>
              </w:rPr>
              <w:tab/>
            </w:r>
            <w:r w:rsidRPr="00251F03">
              <w:rPr>
                <w:rStyle w:val="Hyperlink"/>
                <w:noProof/>
              </w:rPr>
              <w:t>Design of regulatory charges</w:t>
            </w:r>
            <w:r w:rsidRPr="00251F03">
              <w:rPr>
                <w:noProof/>
                <w:webHidden/>
              </w:rPr>
              <w:tab/>
            </w:r>
            <w:r w:rsidRPr="00251F03">
              <w:rPr>
                <w:noProof/>
                <w:webHidden/>
              </w:rPr>
              <w:fldChar w:fldCharType="begin"/>
            </w:r>
            <w:r w:rsidRPr="00251F03">
              <w:rPr>
                <w:noProof/>
                <w:webHidden/>
              </w:rPr>
              <w:instrText xml:space="preserve"> PAGEREF _Toc98772163 \h </w:instrText>
            </w:r>
            <w:r w:rsidRPr="00251F03">
              <w:rPr>
                <w:noProof/>
                <w:webHidden/>
              </w:rPr>
            </w:r>
            <w:r w:rsidRPr="00251F03">
              <w:rPr>
                <w:noProof/>
                <w:webHidden/>
              </w:rPr>
              <w:fldChar w:fldCharType="separate"/>
            </w:r>
            <w:r w:rsidRPr="00251F03">
              <w:rPr>
                <w:noProof/>
                <w:webHidden/>
              </w:rPr>
              <w:t>13</w:t>
            </w:r>
            <w:r w:rsidRPr="00251F03">
              <w:rPr>
                <w:noProof/>
                <w:webHidden/>
              </w:rPr>
              <w:fldChar w:fldCharType="end"/>
            </w:r>
          </w:hyperlink>
        </w:p>
        <w:p w14:paraId="6AA513C2" w14:textId="77777777" w:rsidR="00251F03" w:rsidRPr="00251F03" w:rsidRDefault="00251F03">
          <w:pPr>
            <w:pStyle w:val="TOC3"/>
            <w:tabs>
              <w:tab w:val="left" w:pos="1320"/>
              <w:tab w:val="right" w:leader="dot" w:pos="9771"/>
            </w:tabs>
            <w:rPr>
              <w:rFonts w:eastAsiaTheme="minorEastAsia" w:cstheme="minorBidi"/>
              <w:noProof/>
              <w:lang w:eastAsia="en-AU"/>
            </w:rPr>
          </w:pPr>
          <w:hyperlink w:anchor="_Toc98772164" w:history="1">
            <w:r w:rsidRPr="00251F03">
              <w:rPr>
                <w:rStyle w:val="Hyperlink"/>
                <w:noProof/>
              </w:rPr>
              <w:t>6.2.6</w:t>
            </w:r>
            <w:r w:rsidRPr="00251F03">
              <w:rPr>
                <w:rFonts w:eastAsiaTheme="minorEastAsia" w:cstheme="minorBidi"/>
                <w:noProof/>
                <w:lang w:eastAsia="en-AU"/>
              </w:rPr>
              <w:tab/>
            </w:r>
            <w:r w:rsidRPr="00251F03">
              <w:rPr>
                <w:rStyle w:val="Hyperlink"/>
                <w:noProof/>
              </w:rPr>
              <w:t>Cost recovery levy – Registrar</w:t>
            </w:r>
            <w:r w:rsidRPr="00251F03">
              <w:rPr>
                <w:noProof/>
                <w:webHidden/>
              </w:rPr>
              <w:tab/>
            </w:r>
            <w:r w:rsidRPr="00251F03">
              <w:rPr>
                <w:noProof/>
                <w:webHidden/>
              </w:rPr>
              <w:fldChar w:fldCharType="begin"/>
            </w:r>
            <w:r w:rsidRPr="00251F03">
              <w:rPr>
                <w:noProof/>
                <w:webHidden/>
              </w:rPr>
              <w:instrText xml:space="preserve"> PAGEREF _Toc98772164 \h </w:instrText>
            </w:r>
            <w:r w:rsidRPr="00251F03">
              <w:rPr>
                <w:noProof/>
                <w:webHidden/>
              </w:rPr>
            </w:r>
            <w:r w:rsidRPr="00251F03">
              <w:rPr>
                <w:noProof/>
                <w:webHidden/>
              </w:rPr>
              <w:fldChar w:fldCharType="separate"/>
            </w:r>
            <w:r w:rsidRPr="00251F03">
              <w:rPr>
                <w:noProof/>
                <w:webHidden/>
              </w:rPr>
              <w:t>14</w:t>
            </w:r>
            <w:r w:rsidRPr="00251F03">
              <w:rPr>
                <w:noProof/>
                <w:webHidden/>
              </w:rPr>
              <w:fldChar w:fldCharType="end"/>
            </w:r>
          </w:hyperlink>
        </w:p>
        <w:p w14:paraId="59F3FA94" w14:textId="77777777" w:rsidR="00251F03" w:rsidRPr="00251F03" w:rsidRDefault="00251F03">
          <w:pPr>
            <w:pStyle w:val="TOC3"/>
            <w:tabs>
              <w:tab w:val="left" w:pos="1320"/>
              <w:tab w:val="right" w:leader="dot" w:pos="9771"/>
            </w:tabs>
            <w:rPr>
              <w:rFonts w:eastAsiaTheme="minorEastAsia" w:cstheme="minorBidi"/>
              <w:noProof/>
              <w:lang w:eastAsia="en-AU"/>
            </w:rPr>
          </w:pPr>
          <w:hyperlink w:anchor="_Toc98772165" w:history="1">
            <w:r w:rsidRPr="00251F03">
              <w:rPr>
                <w:rStyle w:val="Hyperlink"/>
                <w:noProof/>
              </w:rPr>
              <w:t>6.2.7</w:t>
            </w:r>
            <w:r w:rsidRPr="00251F03">
              <w:rPr>
                <w:rFonts w:eastAsiaTheme="minorEastAsia" w:cstheme="minorBidi"/>
                <w:noProof/>
                <w:lang w:eastAsia="en-AU"/>
              </w:rPr>
              <w:tab/>
            </w:r>
            <w:r w:rsidRPr="00251F03">
              <w:rPr>
                <w:rStyle w:val="Hyperlink"/>
                <w:noProof/>
              </w:rPr>
              <w:t>Cost recovery fees – Registrar</w:t>
            </w:r>
            <w:r w:rsidRPr="00251F03">
              <w:rPr>
                <w:noProof/>
                <w:webHidden/>
              </w:rPr>
              <w:tab/>
            </w:r>
            <w:r w:rsidRPr="00251F03">
              <w:rPr>
                <w:noProof/>
                <w:webHidden/>
              </w:rPr>
              <w:fldChar w:fldCharType="begin"/>
            </w:r>
            <w:r w:rsidRPr="00251F03">
              <w:rPr>
                <w:noProof/>
                <w:webHidden/>
              </w:rPr>
              <w:instrText xml:space="preserve"> PAGEREF _Toc98772165 \h </w:instrText>
            </w:r>
            <w:r w:rsidRPr="00251F03">
              <w:rPr>
                <w:noProof/>
                <w:webHidden/>
              </w:rPr>
            </w:r>
            <w:r w:rsidRPr="00251F03">
              <w:rPr>
                <w:noProof/>
                <w:webHidden/>
              </w:rPr>
              <w:fldChar w:fldCharType="separate"/>
            </w:r>
            <w:r w:rsidRPr="00251F03">
              <w:rPr>
                <w:noProof/>
                <w:webHidden/>
              </w:rPr>
              <w:t>15</w:t>
            </w:r>
            <w:r w:rsidRPr="00251F03">
              <w:rPr>
                <w:noProof/>
                <w:webHidden/>
              </w:rPr>
              <w:fldChar w:fldCharType="end"/>
            </w:r>
          </w:hyperlink>
        </w:p>
        <w:p w14:paraId="7FE0D854" w14:textId="77777777" w:rsidR="00251F03" w:rsidRPr="00251F03" w:rsidRDefault="00251F03">
          <w:pPr>
            <w:pStyle w:val="TOC2"/>
            <w:rPr>
              <w:rFonts w:eastAsiaTheme="minorEastAsia" w:cstheme="minorBidi"/>
              <w:noProof/>
              <w:lang w:eastAsia="en-AU"/>
            </w:rPr>
          </w:pPr>
          <w:hyperlink w:anchor="_Toc98772166" w:history="1">
            <w:r w:rsidRPr="00251F03">
              <w:rPr>
                <w:rStyle w:val="Hyperlink"/>
                <w:noProof/>
              </w:rPr>
              <w:t>6.3</w:t>
            </w:r>
            <w:r w:rsidRPr="00251F03">
              <w:rPr>
                <w:rFonts w:eastAsiaTheme="minorEastAsia" w:cstheme="minorBidi"/>
                <w:noProof/>
                <w:lang w:eastAsia="en-AU"/>
              </w:rPr>
              <w:tab/>
            </w:r>
            <w:r w:rsidRPr="00251F03">
              <w:rPr>
                <w:rStyle w:val="Hyperlink"/>
                <w:rFonts w:cstheme="minorHAnsi"/>
                <w:noProof/>
              </w:rPr>
              <w:t>Risk Assessment</w:t>
            </w:r>
            <w:r w:rsidRPr="00251F03">
              <w:rPr>
                <w:noProof/>
                <w:webHidden/>
              </w:rPr>
              <w:tab/>
            </w:r>
            <w:r w:rsidRPr="00251F03">
              <w:rPr>
                <w:noProof/>
                <w:webHidden/>
              </w:rPr>
              <w:fldChar w:fldCharType="begin"/>
            </w:r>
            <w:r w:rsidRPr="00251F03">
              <w:rPr>
                <w:noProof/>
                <w:webHidden/>
              </w:rPr>
              <w:instrText xml:space="preserve"> PAGEREF _Toc98772166 \h </w:instrText>
            </w:r>
            <w:r w:rsidRPr="00251F03">
              <w:rPr>
                <w:noProof/>
                <w:webHidden/>
              </w:rPr>
            </w:r>
            <w:r w:rsidRPr="00251F03">
              <w:rPr>
                <w:noProof/>
                <w:webHidden/>
              </w:rPr>
              <w:fldChar w:fldCharType="separate"/>
            </w:r>
            <w:r w:rsidRPr="00251F03">
              <w:rPr>
                <w:noProof/>
                <w:webHidden/>
              </w:rPr>
              <w:t>16</w:t>
            </w:r>
            <w:r w:rsidRPr="00251F03">
              <w:rPr>
                <w:noProof/>
                <w:webHidden/>
              </w:rPr>
              <w:fldChar w:fldCharType="end"/>
            </w:r>
          </w:hyperlink>
        </w:p>
        <w:p w14:paraId="6FD8032D" w14:textId="77777777" w:rsidR="00251F03" w:rsidRPr="00251F03" w:rsidRDefault="00251F03">
          <w:pPr>
            <w:pStyle w:val="TOC2"/>
            <w:rPr>
              <w:rFonts w:eastAsiaTheme="minorEastAsia" w:cstheme="minorBidi"/>
              <w:noProof/>
              <w:lang w:eastAsia="en-AU"/>
            </w:rPr>
          </w:pPr>
          <w:hyperlink w:anchor="_Toc98772167" w:history="1">
            <w:r w:rsidRPr="00251F03">
              <w:rPr>
                <w:rStyle w:val="Hyperlink"/>
                <w:noProof/>
              </w:rPr>
              <w:t>6.4</w:t>
            </w:r>
            <w:r w:rsidRPr="00251F03">
              <w:rPr>
                <w:rFonts w:eastAsiaTheme="minorEastAsia" w:cstheme="minorBidi"/>
                <w:noProof/>
                <w:lang w:eastAsia="en-AU"/>
              </w:rPr>
              <w:tab/>
            </w:r>
            <w:r w:rsidRPr="00251F03">
              <w:rPr>
                <w:rStyle w:val="Hyperlink"/>
                <w:rFonts w:cstheme="minorHAnsi"/>
                <w:noProof/>
              </w:rPr>
              <w:t>Stakeholder Engagement</w:t>
            </w:r>
            <w:r w:rsidRPr="00251F03">
              <w:rPr>
                <w:noProof/>
                <w:webHidden/>
              </w:rPr>
              <w:tab/>
            </w:r>
            <w:r w:rsidRPr="00251F03">
              <w:rPr>
                <w:noProof/>
                <w:webHidden/>
              </w:rPr>
              <w:fldChar w:fldCharType="begin"/>
            </w:r>
            <w:r w:rsidRPr="00251F03">
              <w:rPr>
                <w:noProof/>
                <w:webHidden/>
              </w:rPr>
              <w:instrText xml:space="preserve"> PAGEREF _Toc98772167 \h </w:instrText>
            </w:r>
            <w:r w:rsidRPr="00251F03">
              <w:rPr>
                <w:noProof/>
                <w:webHidden/>
              </w:rPr>
            </w:r>
            <w:r w:rsidRPr="00251F03">
              <w:rPr>
                <w:noProof/>
                <w:webHidden/>
              </w:rPr>
              <w:fldChar w:fldCharType="separate"/>
            </w:r>
            <w:r w:rsidRPr="00251F03">
              <w:rPr>
                <w:noProof/>
                <w:webHidden/>
              </w:rPr>
              <w:t>17</w:t>
            </w:r>
            <w:r w:rsidRPr="00251F03">
              <w:rPr>
                <w:noProof/>
                <w:webHidden/>
              </w:rPr>
              <w:fldChar w:fldCharType="end"/>
            </w:r>
          </w:hyperlink>
        </w:p>
        <w:p w14:paraId="4CFECE82" w14:textId="77777777" w:rsidR="00251F03" w:rsidRPr="00251F03" w:rsidRDefault="00251F03">
          <w:pPr>
            <w:pStyle w:val="TOC2"/>
            <w:rPr>
              <w:rFonts w:eastAsiaTheme="minorEastAsia" w:cstheme="minorBidi"/>
              <w:noProof/>
              <w:lang w:eastAsia="en-AU"/>
            </w:rPr>
          </w:pPr>
          <w:hyperlink w:anchor="_Toc98772168" w:history="1">
            <w:r w:rsidRPr="00251F03">
              <w:rPr>
                <w:rStyle w:val="Hyperlink"/>
                <w:noProof/>
              </w:rPr>
              <w:t>6.5</w:t>
            </w:r>
            <w:r w:rsidRPr="00251F03">
              <w:rPr>
                <w:rFonts w:eastAsiaTheme="minorEastAsia" w:cstheme="minorBidi"/>
                <w:noProof/>
                <w:lang w:eastAsia="en-AU"/>
              </w:rPr>
              <w:tab/>
            </w:r>
            <w:r w:rsidRPr="00251F03">
              <w:rPr>
                <w:rStyle w:val="Hyperlink"/>
                <w:rFonts w:cstheme="minorHAnsi"/>
                <w:noProof/>
              </w:rPr>
              <w:t>Financial Estimates</w:t>
            </w:r>
            <w:r w:rsidRPr="00251F03">
              <w:rPr>
                <w:noProof/>
                <w:webHidden/>
              </w:rPr>
              <w:tab/>
            </w:r>
            <w:r w:rsidRPr="00251F03">
              <w:rPr>
                <w:noProof/>
                <w:webHidden/>
              </w:rPr>
              <w:fldChar w:fldCharType="begin"/>
            </w:r>
            <w:r w:rsidRPr="00251F03">
              <w:rPr>
                <w:noProof/>
                <w:webHidden/>
              </w:rPr>
              <w:instrText xml:space="preserve"> PAGEREF _Toc98772168 \h </w:instrText>
            </w:r>
            <w:r w:rsidRPr="00251F03">
              <w:rPr>
                <w:noProof/>
                <w:webHidden/>
              </w:rPr>
            </w:r>
            <w:r w:rsidRPr="00251F03">
              <w:rPr>
                <w:noProof/>
                <w:webHidden/>
              </w:rPr>
              <w:fldChar w:fldCharType="separate"/>
            </w:r>
            <w:r w:rsidRPr="00251F03">
              <w:rPr>
                <w:noProof/>
                <w:webHidden/>
              </w:rPr>
              <w:t>17</w:t>
            </w:r>
            <w:r w:rsidRPr="00251F03">
              <w:rPr>
                <w:noProof/>
                <w:webHidden/>
              </w:rPr>
              <w:fldChar w:fldCharType="end"/>
            </w:r>
          </w:hyperlink>
        </w:p>
        <w:p w14:paraId="66452020" w14:textId="77777777" w:rsidR="00251F03" w:rsidRPr="00251F03" w:rsidRDefault="00251F03">
          <w:pPr>
            <w:pStyle w:val="TOC2"/>
            <w:rPr>
              <w:rFonts w:eastAsiaTheme="minorEastAsia" w:cstheme="minorBidi"/>
              <w:noProof/>
              <w:lang w:eastAsia="en-AU"/>
            </w:rPr>
          </w:pPr>
          <w:hyperlink w:anchor="_Toc98772169" w:history="1">
            <w:r w:rsidRPr="00251F03">
              <w:rPr>
                <w:rStyle w:val="Hyperlink"/>
                <w:noProof/>
              </w:rPr>
              <w:t>6.6</w:t>
            </w:r>
            <w:r w:rsidRPr="00251F03">
              <w:rPr>
                <w:rFonts w:eastAsiaTheme="minorEastAsia" w:cstheme="minorBidi"/>
                <w:noProof/>
                <w:lang w:eastAsia="en-AU"/>
              </w:rPr>
              <w:tab/>
            </w:r>
            <w:r w:rsidRPr="00251F03">
              <w:rPr>
                <w:rStyle w:val="Hyperlink"/>
                <w:rFonts w:cstheme="minorHAnsi"/>
                <w:noProof/>
              </w:rPr>
              <w:t>Non-Financial Performance</w:t>
            </w:r>
            <w:r w:rsidRPr="00251F03">
              <w:rPr>
                <w:noProof/>
                <w:webHidden/>
              </w:rPr>
              <w:tab/>
            </w:r>
            <w:r w:rsidRPr="00251F03">
              <w:rPr>
                <w:noProof/>
                <w:webHidden/>
              </w:rPr>
              <w:fldChar w:fldCharType="begin"/>
            </w:r>
            <w:r w:rsidRPr="00251F03">
              <w:rPr>
                <w:noProof/>
                <w:webHidden/>
              </w:rPr>
              <w:instrText xml:space="preserve"> PAGEREF _Toc98772169 \h </w:instrText>
            </w:r>
            <w:r w:rsidRPr="00251F03">
              <w:rPr>
                <w:noProof/>
                <w:webHidden/>
              </w:rPr>
            </w:r>
            <w:r w:rsidRPr="00251F03">
              <w:rPr>
                <w:noProof/>
                <w:webHidden/>
              </w:rPr>
              <w:fldChar w:fldCharType="separate"/>
            </w:r>
            <w:r w:rsidRPr="00251F03">
              <w:rPr>
                <w:noProof/>
                <w:webHidden/>
              </w:rPr>
              <w:t>17</w:t>
            </w:r>
            <w:r w:rsidRPr="00251F03">
              <w:rPr>
                <w:noProof/>
                <w:webHidden/>
              </w:rPr>
              <w:fldChar w:fldCharType="end"/>
            </w:r>
          </w:hyperlink>
        </w:p>
        <w:p w14:paraId="04EE4FBC" w14:textId="77777777" w:rsidR="00251F03" w:rsidRPr="00251F03" w:rsidRDefault="00251F03">
          <w:pPr>
            <w:pStyle w:val="TOC1"/>
            <w:rPr>
              <w:rFonts w:eastAsiaTheme="minorEastAsia" w:cstheme="minorBidi"/>
              <w:noProof/>
              <w:sz w:val="24"/>
              <w:lang w:eastAsia="en-AU"/>
            </w:rPr>
          </w:pPr>
          <w:hyperlink w:anchor="_Toc98772170" w:history="1">
            <w:r w:rsidRPr="00251F03">
              <w:rPr>
                <w:rStyle w:val="Hyperlink"/>
                <w:b/>
                <w:bCs/>
                <w:noProof/>
                <w:sz w:val="24"/>
              </w:rPr>
              <w:t>7</w:t>
            </w:r>
            <w:r w:rsidRPr="00251F03">
              <w:rPr>
                <w:rFonts w:eastAsiaTheme="minorEastAsia" w:cstheme="minorBidi"/>
                <w:noProof/>
                <w:sz w:val="24"/>
                <w:lang w:eastAsia="en-AU"/>
              </w:rPr>
              <w:tab/>
            </w:r>
            <w:r w:rsidRPr="00251F03">
              <w:rPr>
                <w:rStyle w:val="Hyperlink"/>
                <w:rFonts w:cstheme="minorHAnsi"/>
                <w:b/>
                <w:bCs/>
                <w:noProof/>
                <w:sz w:val="24"/>
              </w:rPr>
              <w:t>DISER (OFFSHORE RENEWABLE ENERGY SECTION)</w:t>
            </w:r>
            <w:r w:rsidRPr="00251F03">
              <w:rPr>
                <w:noProof/>
                <w:webHidden/>
                <w:sz w:val="24"/>
              </w:rPr>
              <w:tab/>
            </w:r>
            <w:r w:rsidRPr="00251F03">
              <w:rPr>
                <w:noProof/>
                <w:webHidden/>
                <w:sz w:val="24"/>
              </w:rPr>
              <w:fldChar w:fldCharType="begin"/>
            </w:r>
            <w:r w:rsidRPr="00251F03">
              <w:rPr>
                <w:noProof/>
                <w:webHidden/>
                <w:sz w:val="24"/>
              </w:rPr>
              <w:instrText xml:space="preserve"> PAGEREF _Toc98772170 \h </w:instrText>
            </w:r>
            <w:r w:rsidRPr="00251F03">
              <w:rPr>
                <w:noProof/>
                <w:webHidden/>
                <w:sz w:val="24"/>
              </w:rPr>
            </w:r>
            <w:r w:rsidRPr="00251F03">
              <w:rPr>
                <w:noProof/>
                <w:webHidden/>
                <w:sz w:val="24"/>
              </w:rPr>
              <w:fldChar w:fldCharType="separate"/>
            </w:r>
            <w:r w:rsidRPr="00251F03">
              <w:rPr>
                <w:noProof/>
                <w:webHidden/>
                <w:sz w:val="24"/>
              </w:rPr>
              <w:t>19</w:t>
            </w:r>
            <w:r w:rsidRPr="00251F03">
              <w:rPr>
                <w:noProof/>
                <w:webHidden/>
                <w:sz w:val="24"/>
              </w:rPr>
              <w:fldChar w:fldCharType="end"/>
            </w:r>
          </w:hyperlink>
        </w:p>
        <w:p w14:paraId="4575862F" w14:textId="77777777" w:rsidR="00251F03" w:rsidRPr="00251F03" w:rsidRDefault="00251F03">
          <w:pPr>
            <w:pStyle w:val="TOC2"/>
            <w:rPr>
              <w:rFonts w:eastAsiaTheme="minorEastAsia" w:cstheme="minorBidi"/>
              <w:noProof/>
              <w:lang w:eastAsia="en-AU"/>
            </w:rPr>
          </w:pPr>
          <w:hyperlink w:anchor="_Toc98772171" w:history="1">
            <w:r w:rsidRPr="00251F03">
              <w:rPr>
                <w:rStyle w:val="Hyperlink"/>
                <w:noProof/>
              </w:rPr>
              <w:t>7.1</w:t>
            </w:r>
            <w:r w:rsidRPr="00251F03">
              <w:rPr>
                <w:rFonts w:eastAsiaTheme="minorEastAsia" w:cstheme="minorBidi"/>
                <w:noProof/>
                <w:lang w:eastAsia="en-AU"/>
              </w:rPr>
              <w:tab/>
            </w:r>
            <w:r w:rsidRPr="00251F03">
              <w:rPr>
                <w:rStyle w:val="Hyperlink"/>
                <w:rFonts w:cstheme="minorHAnsi"/>
                <w:noProof/>
              </w:rPr>
              <w:t>Description of the regulatory charging activity</w:t>
            </w:r>
            <w:r w:rsidRPr="00251F03">
              <w:rPr>
                <w:noProof/>
                <w:webHidden/>
              </w:rPr>
              <w:tab/>
            </w:r>
            <w:r w:rsidRPr="00251F03">
              <w:rPr>
                <w:noProof/>
                <w:webHidden/>
              </w:rPr>
              <w:fldChar w:fldCharType="begin"/>
            </w:r>
            <w:r w:rsidRPr="00251F03">
              <w:rPr>
                <w:noProof/>
                <w:webHidden/>
              </w:rPr>
              <w:instrText xml:space="preserve"> PAGEREF _Toc98772171 \h </w:instrText>
            </w:r>
            <w:r w:rsidRPr="00251F03">
              <w:rPr>
                <w:noProof/>
                <w:webHidden/>
              </w:rPr>
            </w:r>
            <w:r w:rsidRPr="00251F03">
              <w:rPr>
                <w:noProof/>
                <w:webHidden/>
              </w:rPr>
              <w:fldChar w:fldCharType="separate"/>
            </w:r>
            <w:r w:rsidRPr="00251F03">
              <w:rPr>
                <w:noProof/>
                <w:webHidden/>
              </w:rPr>
              <w:t>19</w:t>
            </w:r>
            <w:r w:rsidRPr="00251F03">
              <w:rPr>
                <w:noProof/>
                <w:webHidden/>
              </w:rPr>
              <w:fldChar w:fldCharType="end"/>
            </w:r>
          </w:hyperlink>
        </w:p>
        <w:p w14:paraId="48A99D54" w14:textId="77777777" w:rsidR="00251F03" w:rsidRPr="00251F03" w:rsidRDefault="00251F03">
          <w:pPr>
            <w:pStyle w:val="TOC2"/>
            <w:rPr>
              <w:rFonts w:eastAsiaTheme="minorEastAsia" w:cstheme="minorBidi"/>
              <w:noProof/>
              <w:lang w:eastAsia="en-AU"/>
            </w:rPr>
          </w:pPr>
          <w:hyperlink w:anchor="_Toc98772172" w:history="1">
            <w:r w:rsidRPr="00251F03">
              <w:rPr>
                <w:rStyle w:val="Hyperlink"/>
                <w:noProof/>
              </w:rPr>
              <w:t>7.2</w:t>
            </w:r>
            <w:r w:rsidRPr="00251F03">
              <w:rPr>
                <w:rFonts w:eastAsiaTheme="minorEastAsia" w:cstheme="minorBidi"/>
                <w:noProof/>
                <w:lang w:eastAsia="en-AU"/>
              </w:rPr>
              <w:tab/>
            </w:r>
            <w:r w:rsidRPr="00251F03">
              <w:rPr>
                <w:rStyle w:val="Hyperlink"/>
                <w:rFonts w:cstheme="minorHAnsi"/>
                <w:noProof/>
              </w:rPr>
              <w:t>Cost Recovery Model</w:t>
            </w:r>
            <w:r w:rsidRPr="00251F03">
              <w:rPr>
                <w:noProof/>
                <w:webHidden/>
              </w:rPr>
              <w:tab/>
            </w:r>
            <w:r w:rsidRPr="00251F03">
              <w:rPr>
                <w:noProof/>
                <w:webHidden/>
              </w:rPr>
              <w:fldChar w:fldCharType="begin"/>
            </w:r>
            <w:r w:rsidRPr="00251F03">
              <w:rPr>
                <w:noProof/>
                <w:webHidden/>
              </w:rPr>
              <w:instrText xml:space="preserve"> PAGEREF _Toc98772172 \h </w:instrText>
            </w:r>
            <w:r w:rsidRPr="00251F03">
              <w:rPr>
                <w:noProof/>
                <w:webHidden/>
              </w:rPr>
            </w:r>
            <w:r w:rsidRPr="00251F03">
              <w:rPr>
                <w:noProof/>
                <w:webHidden/>
              </w:rPr>
              <w:fldChar w:fldCharType="separate"/>
            </w:r>
            <w:r w:rsidRPr="00251F03">
              <w:rPr>
                <w:noProof/>
                <w:webHidden/>
              </w:rPr>
              <w:t>19</w:t>
            </w:r>
            <w:r w:rsidRPr="00251F03">
              <w:rPr>
                <w:noProof/>
                <w:webHidden/>
              </w:rPr>
              <w:fldChar w:fldCharType="end"/>
            </w:r>
          </w:hyperlink>
        </w:p>
        <w:p w14:paraId="2E057AB4" w14:textId="77777777" w:rsidR="00251F03" w:rsidRPr="00251F03" w:rsidRDefault="00251F03">
          <w:pPr>
            <w:pStyle w:val="TOC3"/>
            <w:tabs>
              <w:tab w:val="left" w:pos="1320"/>
              <w:tab w:val="right" w:leader="dot" w:pos="9771"/>
            </w:tabs>
            <w:rPr>
              <w:rFonts w:eastAsiaTheme="minorEastAsia" w:cstheme="minorBidi"/>
              <w:noProof/>
              <w:lang w:eastAsia="en-AU"/>
            </w:rPr>
          </w:pPr>
          <w:hyperlink w:anchor="_Toc98772173" w:history="1">
            <w:r w:rsidRPr="00251F03">
              <w:rPr>
                <w:rStyle w:val="Hyperlink"/>
                <w:noProof/>
              </w:rPr>
              <w:t>7.2.1</w:t>
            </w:r>
            <w:r w:rsidRPr="00251F03">
              <w:rPr>
                <w:rFonts w:eastAsiaTheme="minorEastAsia" w:cstheme="minorBidi"/>
                <w:noProof/>
                <w:lang w:eastAsia="en-AU"/>
              </w:rPr>
              <w:tab/>
            </w:r>
            <w:r w:rsidRPr="00251F03">
              <w:rPr>
                <w:rStyle w:val="Hyperlink"/>
                <w:iCs/>
                <w:noProof/>
              </w:rPr>
              <w:t>Staffing</w:t>
            </w:r>
            <w:r w:rsidRPr="00251F03">
              <w:rPr>
                <w:noProof/>
                <w:webHidden/>
              </w:rPr>
              <w:tab/>
            </w:r>
            <w:r w:rsidRPr="00251F03">
              <w:rPr>
                <w:noProof/>
                <w:webHidden/>
              </w:rPr>
              <w:fldChar w:fldCharType="begin"/>
            </w:r>
            <w:r w:rsidRPr="00251F03">
              <w:rPr>
                <w:noProof/>
                <w:webHidden/>
              </w:rPr>
              <w:instrText xml:space="preserve"> PAGEREF _Toc98772173 \h </w:instrText>
            </w:r>
            <w:r w:rsidRPr="00251F03">
              <w:rPr>
                <w:noProof/>
                <w:webHidden/>
              </w:rPr>
            </w:r>
            <w:r w:rsidRPr="00251F03">
              <w:rPr>
                <w:noProof/>
                <w:webHidden/>
              </w:rPr>
              <w:fldChar w:fldCharType="separate"/>
            </w:r>
            <w:r w:rsidRPr="00251F03">
              <w:rPr>
                <w:noProof/>
                <w:webHidden/>
              </w:rPr>
              <w:t>19</w:t>
            </w:r>
            <w:r w:rsidRPr="00251F03">
              <w:rPr>
                <w:noProof/>
                <w:webHidden/>
              </w:rPr>
              <w:fldChar w:fldCharType="end"/>
            </w:r>
          </w:hyperlink>
        </w:p>
        <w:p w14:paraId="23412768" w14:textId="77777777" w:rsidR="00251F03" w:rsidRPr="00251F03" w:rsidRDefault="00251F03">
          <w:pPr>
            <w:pStyle w:val="TOC3"/>
            <w:tabs>
              <w:tab w:val="left" w:pos="1320"/>
              <w:tab w:val="right" w:leader="dot" w:pos="9771"/>
            </w:tabs>
            <w:rPr>
              <w:rFonts w:eastAsiaTheme="minorEastAsia" w:cstheme="minorBidi"/>
              <w:noProof/>
              <w:lang w:eastAsia="en-AU"/>
            </w:rPr>
          </w:pPr>
          <w:hyperlink w:anchor="_Toc98772174" w:history="1">
            <w:r w:rsidRPr="00251F03">
              <w:rPr>
                <w:rStyle w:val="Hyperlink"/>
                <w:noProof/>
              </w:rPr>
              <w:t>7.2.2</w:t>
            </w:r>
            <w:r w:rsidRPr="00251F03">
              <w:rPr>
                <w:rFonts w:eastAsiaTheme="minorEastAsia" w:cstheme="minorBidi"/>
                <w:noProof/>
                <w:lang w:eastAsia="en-AU"/>
              </w:rPr>
              <w:tab/>
            </w:r>
            <w:r w:rsidRPr="00251F03">
              <w:rPr>
                <w:rStyle w:val="Hyperlink"/>
                <w:noProof/>
              </w:rPr>
              <w:t>Outputs and tasks of the regulatory charging activity</w:t>
            </w:r>
            <w:r w:rsidRPr="00251F03">
              <w:rPr>
                <w:noProof/>
                <w:webHidden/>
              </w:rPr>
              <w:tab/>
            </w:r>
            <w:r w:rsidRPr="00251F03">
              <w:rPr>
                <w:noProof/>
                <w:webHidden/>
              </w:rPr>
              <w:fldChar w:fldCharType="begin"/>
            </w:r>
            <w:r w:rsidRPr="00251F03">
              <w:rPr>
                <w:noProof/>
                <w:webHidden/>
              </w:rPr>
              <w:instrText xml:space="preserve"> PAGEREF _Toc98772174 \h </w:instrText>
            </w:r>
            <w:r w:rsidRPr="00251F03">
              <w:rPr>
                <w:noProof/>
                <w:webHidden/>
              </w:rPr>
            </w:r>
            <w:r w:rsidRPr="00251F03">
              <w:rPr>
                <w:noProof/>
                <w:webHidden/>
              </w:rPr>
              <w:fldChar w:fldCharType="separate"/>
            </w:r>
            <w:r w:rsidRPr="00251F03">
              <w:rPr>
                <w:noProof/>
                <w:webHidden/>
              </w:rPr>
              <w:t>20</w:t>
            </w:r>
            <w:r w:rsidRPr="00251F03">
              <w:rPr>
                <w:noProof/>
                <w:webHidden/>
              </w:rPr>
              <w:fldChar w:fldCharType="end"/>
            </w:r>
          </w:hyperlink>
        </w:p>
        <w:p w14:paraId="1591765C" w14:textId="77777777" w:rsidR="00251F03" w:rsidRPr="00251F03" w:rsidRDefault="00251F03">
          <w:pPr>
            <w:pStyle w:val="TOC3"/>
            <w:tabs>
              <w:tab w:val="left" w:pos="1320"/>
              <w:tab w:val="right" w:leader="dot" w:pos="9771"/>
            </w:tabs>
            <w:rPr>
              <w:rFonts w:eastAsiaTheme="minorEastAsia" w:cstheme="minorBidi"/>
              <w:noProof/>
              <w:lang w:eastAsia="en-AU"/>
            </w:rPr>
          </w:pPr>
          <w:hyperlink w:anchor="_Toc98772175" w:history="1">
            <w:r w:rsidRPr="00251F03">
              <w:rPr>
                <w:rStyle w:val="Hyperlink"/>
                <w:noProof/>
              </w:rPr>
              <w:t>7.2.3</w:t>
            </w:r>
            <w:r w:rsidRPr="00251F03">
              <w:rPr>
                <w:rFonts w:eastAsiaTheme="minorEastAsia" w:cstheme="minorBidi"/>
                <w:noProof/>
                <w:lang w:eastAsia="en-AU"/>
              </w:rPr>
              <w:tab/>
            </w:r>
            <w:r w:rsidRPr="00251F03">
              <w:rPr>
                <w:rStyle w:val="Hyperlink"/>
                <w:noProof/>
              </w:rPr>
              <w:t>Costs of the activity</w:t>
            </w:r>
            <w:r w:rsidRPr="00251F03">
              <w:rPr>
                <w:noProof/>
                <w:webHidden/>
              </w:rPr>
              <w:tab/>
            </w:r>
            <w:r w:rsidRPr="00251F03">
              <w:rPr>
                <w:noProof/>
                <w:webHidden/>
              </w:rPr>
              <w:fldChar w:fldCharType="begin"/>
            </w:r>
            <w:r w:rsidRPr="00251F03">
              <w:rPr>
                <w:noProof/>
                <w:webHidden/>
              </w:rPr>
              <w:instrText xml:space="preserve"> PAGEREF _Toc98772175 \h </w:instrText>
            </w:r>
            <w:r w:rsidRPr="00251F03">
              <w:rPr>
                <w:noProof/>
                <w:webHidden/>
              </w:rPr>
            </w:r>
            <w:r w:rsidRPr="00251F03">
              <w:rPr>
                <w:noProof/>
                <w:webHidden/>
              </w:rPr>
              <w:fldChar w:fldCharType="separate"/>
            </w:r>
            <w:r w:rsidRPr="00251F03">
              <w:rPr>
                <w:noProof/>
                <w:webHidden/>
              </w:rPr>
              <w:t>22</w:t>
            </w:r>
            <w:r w:rsidRPr="00251F03">
              <w:rPr>
                <w:noProof/>
                <w:webHidden/>
              </w:rPr>
              <w:fldChar w:fldCharType="end"/>
            </w:r>
          </w:hyperlink>
        </w:p>
        <w:p w14:paraId="08765608" w14:textId="77777777" w:rsidR="00251F03" w:rsidRPr="00251F03" w:rsidRDefault="00251F03">
          <w:pPr>
            <w:pStyle w:val="TOC3"/>
            <w:tabs>
              <w:tab w:val="left" w:pos="1320"/>
              <w:tab w:val="right" w:leader="dot" w:pos="9771"/>
            </w:tabs>
            <w:rPr>
              <w:rFonts w:eastAsiaTheme="minorEastAsia" w:cstheme="minorBidi"/>
              <w:noProof/>
              <w:lang w:eastAsia="en-AU"/>
            </w:rPr>
          </w:pPr>
          <w:hyperlink w:anchor="_Toc98772176" w:history="1">
            <w:r w:rsidRPr="00251F03">
              <w:rPr>
                <w:rStyle w:val="Hyperlink"/>
                <w:noProof/>
              </w:rPr>
              <w:t>7.2.4</w:t>
            </w:r>
            <w:r w:rsidRPr="00251F03">
              <w:rPr>
                <w:rFonts w:eastAsiaTheme="minorEastAsia" w:cstheme="minorBidi"/>
                <w:noProof/>
                <w:lang w:eastAsia="en-AU"/>
              </w:rPr>
              <w:tab/>
            </w:r>
            <w:r w:rsidRPr="00251F03">
              <w:rPr>
                <w:rStyle w:val="Hyperlink"/>
                <w:noProof/>
              </w:rPr>
              <w:t>Cost recovery levy – DISER (ORE Section)</w:t>
            </w:r>
            <w:r w:rsidRPr="00251F03">
              <w:rPr>
                <w:noProof/>
                <w:webHidden/>
              </w:rPr>
              <w:tab/>
            </w:r>
            <w:r w:rsidRPr="00251F03">
              <w:rPr>
                <w:noProof/>
                <w:webHidden/>
              </w:rPr>
              <w:fldChar w:fldCharType="begin"/>
            </w:r>
            <w:r w:rsidRPr="00251F03">
              <w:rPr>
                <w:noProof/>
                <w:webHidden/>
              </w:rPr>
              <w:instrText xml:space="preserve"> PAGEREF _Toc98772176 \h </w:instrText>
            </w:r>
            <w:r w:rsidRPr="00251F03">
              <w:rPr>
                <w:noProof/>
                <w:webHidden/>
              </w:rPr>
            </w:r>
            <w:r w:rsidRPr="00251F03">
              <w:rPr>
                <w:noProof/>
                <w:webHidden/>
              </w:rPr>
              <w:fldChar w:fldCharType="separate"/>
            </w:r>
            <w:r w:rsidRPr="00251F03">
              <w:rPr>
                <w:noProof/>
                <w:webHidden/>
              </w:rPr>
              <w:t>23</w:t>
            </w:r>
            <w:r w:rsidRPr="00251F03">
              <w:rPr>
                <w:noProof/>
                <w:webHidden/>
              </w:rPr>
              <w:fldChar w:fldCharType="end"/>
            </w:r>
          </w:hyperlink>
        </w:p>
        <w:p w14:paraId="3ECF23A2" w14:textId="77777777" w:rsidR="00251F03" w:rsidRPr="00251F03" w:rsidRDefault="00251F03">
          <w:pPr>
            <w:pStyle w:val="TOC2"/>
            <w:rPr>
              <w:rFonts w:eastAsiaTheme="minorEastAsia" w:cstheme="minorBidi"/>
              <w:noProof/>
              <w:lang w:eastAsia="en-AU"/>
            </w:rPr>
          </w:pPr>
          <w:hyperlink w:anchor="_Toc98772177" w:history="1">
            <w:r w:rsidRPr="00251F03">
              <w:rPr>
                <w:rStyle w:val="Hyperlink"/>
                <w:noProof/>
              </w:rPr>
              <w:t>7.3</w:t>
            </w:r>
            <w:r w:rsidRPr="00251F03">
              <w:rPr>
                <w:rFonts w:eastAsiaTheme="minorEastAsia" w:cstheme="minorBidi"/>
                <w:noProof/>
                <w:lang w:eastAsia="en-AU"/>
              </w:rPr>
              <w:tab/>
            </w:r>
            <w:r w:rsidRPr="00251F03">
              <w:rPr>
                <w:rStyle w:val="Hyperlink"/>
                <w:rFonts w:cstheme="minorHAnsi"/>
                <w:noProof/>
              </w:rPr>
              <w:t>Risk Assessment</w:t>
            </w:r>
            <w:r w:rsidRPr="00251F03">
              <w:rPr>
                <w:noProof/>
                <w:webHidden/>
              </w:rPr>
              <w:tab/>
            </w:r>
            <w:r w:rsidRPr="00251F03">
              <w:rPr>
                <w:noProof/>
                <w:webHidden/>
              </w:rPr>
              <w:fldChar w:fldCharType="begin"/>
            </w:r>
            <w:r w:rsidRPr="00251F03">
              <w:rPr>
                <w:noProof/>
                <w:webHidden/>
              </w:rPr>
              <w:instrText xml:space="preserve"> PAGEREF _Toc98772177 \h </w:instrText>
            </w:r>
            <w:r w:rsidRPr="00251F03">
              <w:rPr>
                <w:noProof/>
                <w:webHidden/>
              </w:rPr>
            </w:r>
            <w:r w:rsidRPr="00251F03">
              <w:rPr>
                <w:noProof/>
                <w:webHidden/>
              </w:rPr>
              <w:fldChar w:fldCharType="separate"/>
            </w:r>
            <w:r w:rsidRPr="00251F03">
              <w:rPr>
                <w:noProof/>
                <w:webHidden/>
              </w:rPr>
              <w:t>24</w:t>
            </w:r>
            <w:r w:rsidRPr="00251F03">
              <w:rPr>
                <w:noProof/>
                <w:webHidden/>
              </w:rPr>
              <w:fldChar w:fldCharType="end"/>
            </w:r>
          </w:hyperlink>
        </w:p>
        <w:p w14:paraId="2B96D691" w14:textId="77777777" w:rsidR="00251F03" w:rsidRPr="00251F03" w:rsidRDefault="00251F03">
          <w:pPr>
            <w:pStyle w:val="TOC2"/>
            <w:rPr>
              <w:rFonts w:eastAsiaTheme="minorEastAsia" w:cstheme="minorBidi"/>
              <w:noProof/>
              <w:lang w:eastAsia="en-AU"/>
            </w:rPr>
          </w:pPr>
          <w:hyperlink w:anchor="_Toc98772178" w:history="1">
            <w:r w:rsidRPr="00251F03">
              <w:rPr>
                <w:rStyle w:val="Hyperlink"/>
                <w:noProof/>
              </w:rPr>
              <w:t>7.4</w:t>
            </w:r>
            <w:r w:rsidRPr="00251F03">
              <w:rPr>
                <w:rFonts w:eastAsiaTheme="minorEastAsia" w:cstheme="minorBidi"/>
                <w:noProof/>
                <w:lang w:eastAsia="en-AU"/>
              </w:rPr>
              <w:tab/>
            </w:r>
            <w:r w:rsidRPr="00251F03">
              <w:rPr>
                <w:rStyle w:val="Hyperlink"/>
                <w:rFonts w:cstheme="minorHAnsi"/>
                <w:noProof/>
              </w:rPr>
              <w:t>Stakeholder Engagement</w:t>
            </w:r>
            <w:r w:rsidRPr="00251F03">
              <w:rPr>
                <w:noProof/>
                <w:webHidden/>
              </w:rPr>
              <w:tab/>
            </w:r>
            <w:r w:rsidRPr="00251F03">
              <w:rPr>
                <w:noProof/>
                <w:webHidden/>
              </w:rPr>
              <w:fldChar w:fldCharType="begin"/>
            </w:r>
            <w:r w:rsidRPr="00251F03">
              <w:rPr>
                <w:noProof/>
                <w:webHidden/>
              </w:rPr>
              <w:instrText xml:space="preserve"> PAGEREF _Toc98772178 \h </w:instrText>
            </w:r>
            <w:r w:rsidRPr="00251F03">
              <w:rPr>
                <w:noProof/>
                <w:webHidden/>
              </w:rPr>
            </w:r>
            <w:r w:rsidRPr="00251F03">
              <w:rPr>
                <w:noProof/>
                <w:webHidden/>
              </w:rPr>
              <w:fldChar w:fldCharType="separate"/>
            </w:r>
            <w:r w:rsidRPr="00251F03">
              <w:rPr>
                <w:noProof/>
                <w:webHidden/>
              </w:rPr>
              <w:t>24</w:t>
            </w:r>
            <w:r w:rsidRPr="00251F03">
              <w:rPr>
                <w:noProof/>
                <w:webHidden/>
              </w:rPr>
              <w:fldChar w:fldCharType="end"/>
            </w:r>
          </w:hyperlink>
        </w:p>
        <w:p w14:paraId="54B254E9" w14:textId="77777777" w:rsidR="00251F03" w:rsidRPr="00251F03" w:rsidRDefault="00251F03">
          <w:pPr>
            <w:pStyle w:val="TOC2"/>
            <w:rPr>
              <w:rFonts w:eastAsiaTheme="minorEastAsia" w:cstheme="minorBidi"/>
              <w:noProof/>
              <w:lang w:eastAsia="en-AU"/>
            </w:rPr>
          </w:pPr>
          <w:hyperlink w:anchor="_Toc98772179" w:history="1">
            <w:r w:rsidRPr="00251F03">
              <w:rPr>
                <w:rStyle w:val="Hyperlink"/>
                <w:noProof/>
              </w:rPr>
              <w:t>7.5</w:t>
            </w:r>
            <w:r w:rsidRPr="00251F03">
              <w:rPr>
                <w:rFonts w:eastAsiaTheme="minorEastAsia" w:cstheme="minorBidi"/>
                <w:noProof/>
                <w:lang w:eastAsia="en-AU"/>
              </w:rPr>
              <w:tab/>
            </w:r>
            <w:r w:rsidRPr="00251F03">
              <w:rPr>
                <w:rStyle w:val="Hyperlink"/>
                <w:rFonts w:cstheme="minorHAnsi"/>
                <w:noProof/>
              </w:rPr>
              <w:t>Financial Estimates</w:t>
            </w:r>
            <w:r w:rsidRPr="00251F03">
              <w:rPr>
                <w:noProof/>
                <w:webHidden/>
              </w:rPr>
              <w:tab/>
            </w:r>
            <w:r w:rsidRPr="00251F03">
              <w:rPr>
                <w:noProof/>
                <w:webHidden/>
              </w:rPr>
              <w:fldChar w:fldCharType="begin"/>
            </w:r>
            <w:r w:rsidRPr="00251F03">
              <w:rPr>
                <w:noProof/>
                <w:webHidden/>
              </w:rPr>
              <w:instrText xml:space="preserve"> PAGEREF _Toc98772179 \h </w:instrText>
            </w:r>
            <w:r w:rsidRPr="00251F03">
              <w:rPr>
                <w:noProof/>
                <w:webHidden/>
              </w:rPr>
            </w:r>
            <w:r w:rsidRPr="00251F03">
              <w:rPr>
                <w:noProof/>
                <w:webHidden/>
              </w:rPr>
              <w:fldChar w:fldCharType="separate"/>
            </w:r>
            <w:r w:rsidRPr="00251F03">
              <w:rPr>
                <w:noProof/>
                <w:webHidden/>
              </w:rPr>
              <w:t>25</w:t>
            </w:r>
            <w:r w:rsidRPr="00251F03">
              <w:rPr>
                <w:noProof/>
                <w:webHidden/>
              </w:rPr>
              <w:fldChar w:fldCharType="end"/>
            </w:r>
          </w:hyperlink>
        </w:p>
        <w:p w14:paraId="58705F7C" w14:textId="77777777" w:rsidR="00251F03" w:rsidRPr="00251F03" w:rsidRDefault="00251F03">
          <w:pPr>
            <w:pStyle w:val="TOC1"/>
            <w:rPr>
              <w:rFonts w:eastAsiaTheme="minorEastAsia" w:cstheme="minorBidi"/>
              <w:noProof/>
              <w:sz w:val="24"/>
              <w:lang w:eastAsia="en-AU"/>
            </w:rPr>
          </w:pPr>
          <w:hyperlink w:anchor="_Toc98772180" w:history="1">
            <w:r w:rsidRPr="00251F03">
              <w:rPr>
                <w:rStyle w:val="Hyperlink"/>
                <w:b/>
                <w:bCs/>
                <w:noProof/>
                <w:sz w:val="24"/>
              </w:rPr>
              <w:t>8</w:t>
            </w:r>
            <w:r w:rsidRPr="00251F03">
              <w:rPr>
                <w:rFonts w:eastAsiaTheme="minorEastAsia" w:cstheme="minorBidi"/>
                <w:noProof/>
                <w:sz w:val="24"/>
                <w:lang w:eastAsia="en-AU"/>
              </w:rPr>
              <w:tab/>
            </w:r>
            <w:r w:rsidRPr="00251F03">
              <w:rPr>
                <w:rStyle w:val="Hyperlink"/>
                <w:rFonts w:cstheme="minorHAnsi"/>
                <w:b/>
                <w:bCs/>
                <w:noProof/>
                <w:sz w:val="24"/>
              </w:rPr>
              <w:t>OFFSHORE INFRASTRUCTURE REGULATOR</w:t>
            </w:r>
            <w:r w:rsidRPr="00251F03">
              <w:rPr>
                <w:noProof/>
                <w:webHidden/>
                <w:sz w:val="24"/>
              </w:rPr>
              <w:tab/>
            </w:r>
            <w:r w:rsidRPr="00251F03">
              <w:rPr>
                <w:noProof/>
                <w:webHidden/>
                <w:sz w:val="24"/>
              </w:rPr>
              <w:fldChar w:fldCharType="begin"/>
            </w:r>
            <w:r w:rsidRPr="00251F03">
              <w:rPr>
                <w:noProof/>
                <w:webHidden/>
                <w:sz w:val="24"/>
              </w:rPr>
              <w:instrText xml:space="preserve"> PAGEREF _Toc98772180 \h </w:instrText>
            </w:r>
            <w:r w:rsidRPr="00251F03">
              <w:rPr>
                <w:noProof/>
                <w:webHidden/>
                <w:sz w:val="24"/>
              </w:rPr>
            </w:r>
            <w:r w:rsidRPr="00251F03">
              <w:rPr>
                <w:noProof/>
                <w:webHidden/>
                <w:sz w:val="24"/>
              </w:rPr>
              <w:fldChar w:fldCharType="separate"/>
            </w:r>
            <w:r w:rsidRPr="00251F03">
              <w:rPr>
                <w:noProof/>
                <w:webHidden/>
                <w:sz w:val="24"/>
              </w:rPr>
              <w:t>26</w:t>
            </w:r>
            <w:r w:rsidRPr="00251F03">
              <w:rPr>
                <w:noProof/>
                <w:webHidden/>
                <w:sz w:val="24"/>
              </w:rPr>
              <w:fldChar w:fldCharType="end"/>
            </w:r>
          </w:hyperlink>
        </w:p>
        <w:p w14:paraId="6A0C0703" w14:textId="77777777" w:rsidR="00251F03" w:rsidRPr="00251F03" w:rsidRDefault="00251F03">
          <w:pPr>
            <w:pStyle w:val="TOC2"/>
            <w:rPr>
              <w:rFonts w:eastAsiaTheme="minorEastAsia" w:cstheme="minorBidi"/>
              <w:noProof/>
              <w:lang w:eastAsia="en-AU"/>
            </w:rPr>
          </w:pPr>
          <w:hyperlink w:anchor="_Toc98772181" w:history="1">
            <w:r w:rsidRPr="00251F03">
              <w:rPr>
                <w:rStyle w:val="Hyperlink"/>
                <w:noProof/>
              </w:rPr>
              <w:t>8.1</w:t>
            </w:r>
            <w:r w:rsidRPr="00251F03">
              <w:rPr>
                <w:rFonts w:eastAsiaTheme="minorEastAsia" w:cstheme="minorBidi"/>
                <w:noProof/>
                <w:lang w:eastAsia="en-AU"/>
              </w:rPr>
              <w:tab/>
            </w:r>
            <w:r w:rsidRPr="00251F03">
              <w:rPr>
                <w:rStyle w:val="Hyperlink"/>
                <w:rFonts w:cstheme="minorHAnsi"/>
                <w:noProof/>
              </w:rPr>
              <w:t>Description of the regulatory charging activity</w:t>
            </w:r>
            <w:r w:rsidRPr="00251F03">
              <w:rPr>
                <w:noProof/>
                <w:webHidden/>
              </w:rPr>
              <w:tab/>
            </w:r>
            <w:r w:rsidRPr="00251F03">
              <w:rPr>
                <w:noProof/>
                <w:webHidden/>
              </w:rPr>
              <w:fldChar w:fldCharType="begin"/>
            </w:r>
            <w:r w:rsidRPr="00251F03">
              <w:rPr>
                <w:noProof/>
                <w:webHidden/>
              </w:rPr>
              <w:instrText xml:space="preserve"> PAGEREF _Toc98772181 \h </w:instrText>
            </w:r>
            <w:r w:rsidRPr="00251F03">
              <w:rPr>
                <w:noProof/>
                <w:webHidden/>
              </w:rPr>
            </w:r>
            <w:r w:rsidRPr="00251F03">
              <w:rPr>
                <w:noProof/>
                <w:webHidden/>
              </w:rPr>
              <w:fldChar w:fldCharType="separate"/>
            </w:r>
            <w:r w:rsidRPr="00251F03">
              <w:rPr>
                <w:noProof/>
                <w:webHidden/>
              </w:rPr>
              <w:t>26</w:t>
            </w:r>
            <w:r w:rsidRPr="00251F03">
              <w:rPr>
                <w:noProof/>
                <w:webHidden/>
              </w:rPr>
              <w:fldChar w:fldCharType="end"/>
            </w:r>
          </w:hyperlink>
        </w:p>
        <w:p w14:paraId="6A75FEAA" w14:textId="77777777" w:rsidR="00251F03" w:rsidRPr="00251F03" w:rsidRDefault="00251F03">
          <w:pPr>
            <w:pStyle w:val="TOC2"/>
            <w:rPr>
              <w:rFonts w:eastAsiaTheme="minorEastAsia" w:cstheme="minorBidi"/>
              <w:noProof/>
              <w:lang w:eastAsia="en-AU"/>
            </w:rPr>
          </w:pPr>
          <w:hyperlink w:anchor="_Toc98772182" w:history="1">
            <w:r w:rsidRPr="00251F03">
              <w:rPr>
                <w:rStyle w:val="Hyperlink"/>
                <w:noProof/>
              </w:rPr>
              <w:t>8.2</w:t>
            </w:r>
            <w:r w:rsidRPr="00251F03">
              <w:rPr>
                <w:rFonts w:eastAsiaTheme="minorEastAsia" w:cstheme="minorBidi"/>
                <w:noProof/>
                <w:lang w:eastAsia="en-AU"/>
              </w:rPr>
              <w:tab/>
            </w:r>
            <w:r w:rsidRPr="00251F03">
              <w:rPr>
                <w:rStyle w:val="Hyperlink"/>
                <w:rFonts w:cstheme="minorHAnsi"/>
                <w:noProof/>
              </w:rPr>
              <w:t>Cost Recovery Model</w:t>
            </w:r>
            <w:r w:rsidRPr="00251F03">
              <w:rPr>
                <w:noProof/>
                <w:webHidden/>
              </w:rPr>
              <w:tab/>
            </w:r>
            <w:r w:rsidRPr="00251F03">
              <w:rPr>
                <w:noProof/>
                <w:webHidden/>
              </w:rPr>
              <w:fldChar w:fldCharType="begin"/>
            </w:r>
            <w:r w:rsidRPr="00251F03">
              <w:rPr>
                <w:noProof/>
                <w:webHidden/>
              </w:rPr>
              <w:instrText xml:space="preserve"> PAGEREF _Toc98772182 \h </w:instrText>
            </w:r>
            <w:r w:rsidRPr="00251F03">
              <w:rPr>
                <w:noProof/>
                <w:webHidden/>
              </w:rPr>
            </w:r>
            <w:r w:rsidRPr="00251F03">
              <w:rPr>
                <w:noProof/>
                <w:webHidden/>
              </w:rPr>
              <w:fldChar w:fldCharType="separate"/>
            </w:r>
            <w:r w:rsidRPr="00251F03">
              <w:rPr>
                <w:noProof/>
                <w:webHidden/>
              </w:rPr>
              <w:t>28</w:t>
            </w:r>
            <w:r w:rsidRPr="00251F03">
              <w:rPr>
                <w:noProof/>
                <w:webHidden/>
              </w:rPr>
              <w:fldChar w:fldCharType="end"/>
            </w:r>
          </w:hyperlink>
        </w:p>
        <w:p w14:paraId="4BB7B445" w14:textId="77777777" w:rsidR="00251F03" w:rsidRPr="00251F03" w:rsidRDefault="00251F03">
          <w:pPr>
            <w:pStyle w:val="TOC3"/>
            <w:tabs>
              <w:tab w:val="left" w:pos="1320"/>
              <w:tab w:val="right" w:leader="dot" w:pos="9771"/>
            </w:tabs>
            <w:rPr>
              <w:rFonts w:eastAsiaTheme="minorEastAsia" w:cstheme="minorBidi"/>
              <w:noProof/>
              <w:lang w:eastAsia="en-AU"/>
            </w:rPr>
          </w:pPr>
          <w:hyperlink w:anchor="_Toc98772183" w:history="1">
            <w:r w:rsidRPr="00251F03">
              <w:rPr>
                <w:rStyle w:val="Hyperlink"/>
                <w:noProof/>
              </w:rPr>
              <w:t>8.2.1</w:t>
            </w:r>
            <w:r w:rsidRPr="00251F03">
              <w:rPr>
                <w:rFonts w:eastAsiaTheme="minorEastAsia" w:cstheme="minorBidi"/>
                <w:noProof/>
                <w:lang w:eastAsia="en-AU"/>
              </w:rPr>
              <w:tab/>
            </w:r>
            <w:r w:rsidRPr="00251F03">
              <w:rPr>
                <w:rStyle w:val="Hyperlink"/>
                <w:noProof/>
              </w:rPr>
              <w:t>Outputs and business processes of the regulatory charging activity</w:t>
            </w:r>
            <w:r w:rsidRPr="00251F03">
              <w:rPr>
                <w:noProof/>
                <w:webHidden/>
              </w:rPr>
              <w:tab/>
            </w:r>
            <w:r w:rsidRPr="00251F03">
              <w:rPr>
                <w:noProof/>
                <w:webHidden/>
              </w:rPr>
              <w:fldChar w:fldCharType="begin"/>
            </w:r>
            <w:r w:rsidRPr="00251F03">
              <w:rPr>
                <w:noProof/>
                <w:webHidden/>
              </w:rPr>
              <w:instrText xml:space="preserve"> PAGEREF _Toc98772183 \h </w:instrText>
            </w:r>
            <w:r w:rsidRPr="00251F03">
              <w:rPr>
                <w:noProof/>
                <w:webHidden/>
              </w:rPr>
            </w:r>
            <w:r w:rsidRPr="00251F03">
              <w:rPr>
                <w:noProof/>
                <w:webHidden/>
              </w:rPr>
              <w:fldChar w:fldCharType="separate"/>
            </w:r>
            <w:r w:rsidRPr="00251F03">
              <w:rPr>
                <w:noProof/>
                <w:webHidden/>
              </w:rPr>
              <w:t>28</w:t>
            </w:r>
            <w:r w:rsidRPr="00251F03">
              <w:rPr>
                <w:noProof/>
                <w:webHidden/>
              </w:rPr>
              <w:fldChar w:fldCharType="end"/>
            </w:r>
          </w:hyperlink>
          <w:bookmarkStart w:id="2" w:name="_GoBack"/>
          <w:bookmarkEnd w:id="2"/>
        </w:p>
        <w:p w14:paraId="618BA636" w14:textId="77777777" w:rsidR="00251F03" w:rsidRPr="00251F03" w:rsidRDefault="00251F03">
          <w:pPr>
            <w:pStyle w:val="TOC3"/>
            <w:tabs>
              <w:tab w:val="left" w:pos="1320"/>
              <w:tab w:val="right" w:leader="dot" w:pos="9771"/>
            </w:tabs>
            <w:rPr>
              <w:rFonts w:eastAsiaTheme="minorEastAsia" w:cstheme="minorBidi"/>
              <w:noProof/>
              <w:lang w:eastAsia="en-AU"/>
            </w:rPr>
          </w:pPr>
          <w:hyperlink w:anchor="_Toc98772184" w:history="1">
            <w:r w:rsidRPr="00251F03">
              <w:rPr>
                <w:rStyle w:val="Hyperlink"/>
                <w:noProof/>
              </w:rPr>
              <w:t>8.2.2</w:t>
            </w:r>
            <w:r w:rsidRPr="00251F03">
              <w:rPr>
                <w:rFonts w:eastAsiaTheme="minorEastAsia" w:cstheme="minorBidi"/>
                <w:noProof/>
                <w:lang w:eastAsia="en-AU"/>
              </w:rPr>
              <w:tab/>
            </w:r>
            <w:r w:rsidRPr="00251F03">
              <w:rPr>
                <w:rStyle w:val="Hyperlink"/>
                <w:noProof/>
              </w:rPr>
              <w:t>Outputs and business processes</w:t>
            </w:r>
            <w:r w:rsidRPr="00251F03">
              <w:rPr>
                <w:noProof/>
                <w:webHidden/>
              </w:rPr>
              <w:tab/>
            </w:r>
            <w:r w:rsidRPr="00251F03">
              <w:rPr>
                <w:noProof/>
                <w:webHidden/>
              </w:rPr>
              <w:fldChar w:fldCharType="begin"/>
            </w:r>
            <w:r w:rsidRPr="00251F03">
              <w:rPr>
                <w:noProof/>
                <w:webHidden/>
              </w:rPr>
              <w:instrText xml:space="preserve"> PAGEREF _Toc98772184 \h </w:instrText>
            </w:r>
            <w:r w:rsidRPr="00251F03">
              <w:rPr>
                <w:noProof/>
                <w:webHidden/>
              </w:rPr>
            </w:r>
            <w:r w:rsidRPr="00251F03">
              <w:rPr>
                <w:noProof/>
                <w:webHidden/>
              </w:rPr>
              <w:fldChar w:fldCharType="separate"/>
            </w:r>
            <w:r w:rsidRPr="00251F03">
              <w:rPr>
                <w:noProof/>
                <w:webHidden/>
              </w:rPr>
              <w:t>29</w:t>
            </w:r>
            <w:r w:rsidRPr="00251F03">
              <w:rPr>
                <w:noProof/>
                <w:webHidden/>
              </w:rPr>
              <w:fldChar w:fldCharType="end"/>
            </w:r>
          </w:hyperlink>
        </w:p>
        <w:p w14:paraId="45745C14" w14:textId="77777777" w:rsidR="00251F03" w:rsidRPr="00251F03" w:rsidRDefault="00251F03">
          <w:pPr>
            <w:pStyle w:val="TOC3"/>
            <w:tabs>
              <w:tab w:val="left" w:pos="1320"/>
              <w:tab w:val="right" w:leader="dot" w:pos="9771"/>
            </w:tabs>
            <w:rPr>
              <w:rFonts w:eastAsiaTheme="minorEastAsia" w:cstheme="minorBidi"/>
              <w:noProof/>
              <w:lang w:eastAsia="en-AU"/>
            </w:rPr>
          </w:pPr>
          <w:hyperlink w:anchor="_Toc98772185" w:history="1">
            <w:r w:rsidRPr="00251F03">
              <w:rPr>
                <w:rStyle w:val="Hyperlink"/>
                <w:noProof/>
              </w:rPr>
              <w:t>8.2.3</w:t>
            </w:r>
            <w:r w:rsidRPr="00251F03">
              <w:rPr>
                <w:rFonts w:eastAsiaTheme="minorEastAsia" w:cstheme="minorBidi"/>
                <w:noProof/>
                <w:lang w:eastAsia="en-AU"/>
              </w:rPr>
              <w:tab/>
            </w:r>
            <w:r w:rsidRPr="00251F03">
              <w:rPr>
                <w:rStyle w:val="Hyperlink"/>
                <w:noProof/>
              </w:rPr>
              <w:t>Costs of the regulatory charging activity</w:t>
            </w:r>
            <w:r w:rsidRPr="00251F03">
              <w:rPr>
                <w:noProof/>
                <w:webHidden/>
              </w:rPr>
              <w:tab/>
            </w:r>
            <w:r w:rsidRPr="00251F03">
              <w:rPr>
                <w:noProof/>
                <w:webHidden/>
              </w:rPr>
              <w:fldChar w:fldCharType="begin"/>
            </w:r>
            <w:r w:rsidRPr="00251F03">
              <w:rPr>
                <w:noProof/>
                <w:webHidden/>
              </w:rPr>
              <w:instrText xml:space="preserve"> PAGEREF _Toc98772185 \h </w:instrText>
            </w:r>
            <w:r w:rsidRPr="00251F03">
              <w:rPr>
                <w:noProof/>
                <w:webHidden/>
              </w:rPr>
            </w:r>
            <w:r w:rsidRPr="00251F03">
              <w:rPr>
                <w:noProof/>
                <w:webHidden/>
              </w:rPr>
              <w:fldChar w:fldCharType="separate"/>
            </w:r>
            <w:r w:rsidRPr="00251F03">
              <w:rPr>
                <w:noProof/>
                <w:webHidden/>
              </w:rPr>
              <w:t>32</w:t>
            </w:r>
            <w:r w:rsidRPr="00251F03">
              <w:rPr>
                <w:noProof/>
                <w:webHidden/>
              </w:rPr>
              <w:fldChar w:fldCharType="end"/>
            </w:r>
          </w:hyperlink>
        </w:p>
        <w:p w14:paraId="1BFD4BC7" w14:textId="77777777" w:rsidR="00251F03" w:rsidRPr="00251F03" w:rsidRDefault="00251F03">
          <w:pPr>
            <w:pStyle w:val="TOC3"/>
            <w:tabs>
              <w:tab w:val="left" w:pos="1320"/>
              <w:tab w:val="right" w:leader="dot" w:pos="9771"/>
            </w:tabs>
            <w:rPr>
              <w:rFonts w:eastAsiaTheme="minorEastAsia" w:cstheme="minorBidi"/>
              <w:noProof/>
              <w:lang w:eastAsia="en-AU"/>
            </w:rPr>
          </w:pPr>
          <w:hyperlink w:anchor="_Toc98772186" w:history="1">
            <w:r w:rsidRPr="00251F03">
              <w:rPr>
                <w:rStyle w:val="Hyperlink"/>
                <w:noProof/>
              </w:rPr>
              <w:t>8.2.4</w:t>
            </w:r>
            <w:r w:rsidRPr="00251F03">
              <w:rPr>
                <w:rFonts w:eastAsiaTheme="minorEastAsia" w:cstheme="minorBidi"/>
                <w:noProof/>
                <w:lang w:eastAsia="en-AU"/>
              </w:rPr>
              <w:tab/>
            </w:r>
            <w:r w:rsidRPr="00251F03">
              <w:rPr>
                <w:rStyle w:val="Hyperlink"/>
                <w:noProof/>
              </w:rPr>
              <w:t>Costs of the activity</w:t>
            </w:r>
            <w:r w:rsidRPr="00251F03">
              <w:rPr>
                <w:noProof/>
                <w:webHidden/>
              </w:rPr>
              <w:tab/>
            </w:r>
            <w:r w:rsidRPr="00251F03">
              <w:rPr>
                <w:noProof/>
                <w:webHidden/>
              </w:rPr>
              <w:fldChar w:fldCharType="begin"/>
            </w:r>
            <w:r w:rsidRPr="00251F03">
              <w:rPr>
                <w:noProof/>
                <w:webHidden/>
              </w:rPr>
              <w:instrText xml:space="preserve"> PAGEREF _Toc98772186 \h </w:instrText>
            </w:r>
            <w:r w:rsidRPr="00251F03">
              <w:rPr>
                <w:noProof/>
                <w:webHidden/>
              </w:rPr>
            </w:r>
            <w:r w:rsidRPr="00251F03">
              <w:rPr>
                <w:noProof/>
                <w:webHidden/>
              </w:rPr>
              <w:fldChar w:fldCharType="separate"/>
            </w:r>
            <w:r w:rsidRPr="00251F03">
              <w:rPr>
                <w:noProof/>
                <w:webHidden/>
              </w:rPr>
              <w:t>33</w:t>
            </w:r>
            <w:r w:rsidRPr="00251F03">
              <w:rPr>
                <w:noProof/>
                <w:webHidden/>
              </w:rPr>
              <w:fldChar w:fldCharType="end"/>
            </w:r>
          </w:hyperlink>
        </w:p>
        <w:p w14:paraId="5F50C2F8" w14:textId="77777777" w:rsidR="00251F03" w:rsidRPr="00251F03" w:rsidRDefault="00251F03">
          <w:pPr>
            <w:pStyle w:val="TOC3"/>
            <w:tabs>
              <w:tab w:val="left" w:pos="1320"/>
              <w:tab w:val="right" w:leader="dot" w:pos="9771"/>
            </w:tabs>
            <w:rPr>
              <w:rFonts w:eastAsiaTheme="minorEastAsia" w:cstheme="minorBidi"/>
              <w:noProof/>
              <w:lang w:eastAsia="en-AU"/>
            </w:rPr>
          </w:pPr>
          <w:hyperlink w:anchor="_Toc98772187" w:history="1">
            <w:r w:rsidRPr="00251F03">
              <w:rPr>
                <w:rStyle w:val="Hyperlink"/>
                <w:noProof/>
              </w:rPr>
              <w:t>8.2.5</w:t>
            </w:r>
            <w:r w:rsidRPr="00251F03">
              <w:rPr>
                <w:rFonts w:eastAsiaTheme="minorEastAsia" w:cstheme="minorBidi"/>
                <w:noProof/>
                <w:lang w:eastAsia="en-AU"/>
              </w:rPr>
              <w:tab/>
            </w:r>
            <w:r w:rsidRPr="00251F03">
              <w:rPr>
                <w:rStyle w:val="Hyperlink"/>
                <w:noProof/>
              </w:rPr>
              <w:t>Design of regulatory charges</w:t>
            </w:r>
            <w:r w:rsidRPr="00251F03">
              <w:rPr>
                <w:noProof/>
                <w:webHidden/>
              </w:rPr>
              <w:tab/>
            </w:r>
            <w:r w:rsidRPr="00251F03">
              <w:rPr>
                <w:noProof/>
                <w:webHidden/>
              </w:rPr>
              <w:fldChar w:fldCharType="begin"/>
            </w:r>
            <w:r w:rsidRPr="00251F03">
              <w:rPr>
                <w:noProof/>
                <w:webHidden/>
              </w:rPr>
              <w:instrText xml:space="preserve"> PAGEREF _Toc98772187 \h </w:instrText>
            </w:r>
            <w:r w:rsidRPr="00251F03">
              <w:rPr>
                <w:noProof/>
                <w:webHidden/>
              </w:rPr>
            </w:r>
            <w:r w:rsidRPr="00251F03">
              <w:rPr>
                <w:noProof/>
                <w:webHidden/>
              </w:rPr>
              <w:fldChar w:fldCharType="separate"/>
            </w:r>
            <w:r w:rsidRPr="00251F03">
              <w:rPr>
                <w:noProof/>
                <w:webHidden/>
              </w:rPr>
              <w:t>35</w:t>
            </w:r>
            <w:r w:rsidRPr="00251F03">
              <w:rPr>
                <w:noProof/>
                <w:webHidden/>
              </w:rPr>
              <w:fldChar w:fldCharType="end"/>
            </w:r>
          </w:hyperlink>
        </w:p>
        <w:p w14:paraId="38548E58" w14:textId="77777777" w:rsidR="00251F03" w:rsidRPr="00251F03" w:rsidRDefault="00251F03">
          <w:pPr>
            <w:pStyle w:val="TOC3"/>
            <w:tabs>
              <w:tab w:val="left" w:pos="1320"/>
              <w:tab w:val="right" w:leader="dot" w:pos="9771"/>
            </w:tabs>
            <w:rPr>
              <w:rFonts w:eastAsiaTheme="minorEastAsia" w:cstheme="minorBidi"/>
              <w:noProof/>
              <w:lang w:eastAsia="en-AU"/>
            </w:rPr>
          </w:pPr>
          <w:hyperlink w:anchor="_Toc98772188" w:history="1">
            <w:r w:rsidRPr="00251F03">
              <w:rPr>
                <w:rStyle w:val="Hyperlink"/>
                <w:noProof/>
              </w:rPr>
              <w:t>8.2.6</w:t>
            </w:r>
            <w:r w:rsidRPr="00251F03">
              <w:rPr>
                <w:rFonts w:eastAsiaTheme="minorEastAsia" w:cstheme="minorBidi"/>
                <w:noProof/>
                <w:lang w:eastAsia="en-AU"/>
              </w:rPr>
              <w:tab/>
            </w:r>
            <w:r w:rsidRPr="00251F03">
              <w:rPr>
                <w:rStyle w:val="Hyperlink"/>
                <w:noProof/>
              </w:rPr>
              <w:t>Cost recovery levies – Regulator</w:t>
            </w:r>
            <w:r w:rsidRPr="00251F03">
              <w:rPr>
                <w:noProof/>
                <w:webHidden/>
              </w:rPr>
              <w:tab/>
            </w:r>
            <w:r w:rsidRPr="00251F03">
              <w:rPr>
                <w:noProof/>
                <w:webHidden/>
              </w:rPr>
              <w:fldChar w:fldCharType="begin"/>
            </w:r>
            <w:r w:rsidRPr="00251F03">
              <w:rPr>
                <w:noProof/>
                <w:webHidden/>
              </w:rPr>
              <w:instrText xml:space="preserve"> PAGEREF _Toc98772188 \h </w:instrText>
            </w:r>
            <w:r w:rsidRPr="00251F03">
              <w:rPr>
                <w:noProof/>
                <w:webHidden/>
              </w:rPr>
            </w:r>
            <w:r w:rsidRPr="00251F03">
              <w:rPr>
                <w:noProof/>
                <w:webHidden/>
              </w:rPr>
              <w:fldChar w:fldCharType="separate"/>
            </w:r>
            <w:r w:rsidRPr="00251F03">
              <w:rPr>
                <w:noProof/>
                <w:webHidden/>
              </w:rPr>
              <w:t>36</w:t>
            </w:r>
            <w:r w:rsidRPr="00251F03">
              <w:rPr>
                <w:noProof/>
                <w:webHidden/>
              </w:rPr>
              <w:fldChar w:fldCharType="end"/>
            </w:r>
          </w:hyperlink>
        </w:p>
        <w:p w14:paraId="1EE58F2D" w14:textId="77777777" w:rsidR="00251F03" w:rsidRPr="00251F03" w:rsidRDefault="00251F03">
          <w:pPr>
            <w:pStyle w:val="TOC3"/>
            <w:tabs>
              <w:tab w:val="left" w:pos="1320"/>
              <w:tab w:val="right" w:leader="dot" w:pos="9771"/>
            </w:tabs>
            <w:rPr>
              <w:rFonts w:eastAsiaTheme="minorEastAsia" w:cstheme="minorBidi"/>
              <w:noProof/>
              <w:lang w:eastAsia="en-AU"/>
            </w:rPr>
          </w:pPr>
          <w:hyperlink w:anchor="_Toc98772189" w:history="1">
            <w:r w:rsidRPr="00251F03">
              <w:rPr>
                <w:rStyle w:val="Hyperlink"/>
                <w:noProof/>
              </w:rPr>
              <w:t>8.2.7</w:t>
            </w:r>
            <w:r w:rsidRPr="00251F03">
              <w:rPr>
                <w:rFonts w:eastAsiaTheme="minorEastAsia" w:cstheme="minorBidi"/>
                <w:noProof/>
                <w:lang w:eastAsia="en-AU"/>
              </w:rPr>
              <w:tab/>
            </w:r>
            <w:r w:rsidRPr="00251F03">
              <w:rPr>
                <w:rStyle w:val="Hyperlink"/>
                <w:noProof/>
              </w:rPr>
              <w:t>Cost recovery fees – Regulator</w:t>
            </w:r>
            <w:r w:rsidRPr="00251F03">
              <w:rPr>
                <w:noProof/>
                <w:webHidden/>
              </w:rPr>
              <w:tab/>
            </w:r>
            <w:r w:rsidRPr="00251F03">
              <w:rPr>
                <w:noProof/>
                <w:webHidden/>
              </w:rPr>
              <w:fldChar w:fldCharType="begin"/>
            </w:r>
            <w:r w:rsidRPr="00251F03">
              <w:rPr>
                <w:noProof/>
                <w:webHidden/>
              </w:rPr>
              <w:instrText xml:space="preserve"> PAGEREF _Toc98772189 \h </w:instrText>
            </w:r>
            <w:r w:rsidRPr="00251F03">
              <w:rPr>
                <w:noProof/>
                <w:webHidden/>
              </w:rPr>
            </w:r>
            <w:r w:rsidRPr="00251F03">
              <w:rPr>
                <w:noProof/>
                <w:webHidden/>
              </w:rPr>
              <w:fldChar w:fldCharType="separate"/>
            </w:r>
            <w:r w:rsidRPr="00251F03">
              <w:rPr>
                <w:noProof/>
                <w:webHidden/>
              </w:rPr>
              <w:t>37</w:t>
            </w:r>
            <w:r w:rsidRPr="00251F03">
              <w:rPr>
                <w:noProof/>
                <w:webHidden/>
              </w:rPr>
              <w:fldChar w:fldCharType="end"/>
            </w:r>
          </w:hyperlink>
        </w:p>
        <w:p w14:paraId="67B27694" w14:textId="77777777" w:rsidR="00251F03" w:rsidRPr="00251F03" w:rsidRDefault="00251F03">
          <w:pPr>
            <w:pStyle w:val="TOC2"/>
            <w:rPr>
              <w:rFonts w:eastAsiaTheme="minorEastAsia" w:cstheme="minorBidi"/>
              <w:noProof/>
              <w:lang w:eastAsia="en-AU"/>
            </w:rPr>
          </w:pPr>
          <w:hyperlink w:anchor="_Toc98772190" w:history="1">
            <w:r w:rsidRPr="00251F03">
              <w:rPr>
                <w:rStyle w:val="Hyperlink"/>
                <w:noProof/>
              </w:rPr>
              <w:t>8.3</w:t>
            </w:r>
            <w:r w:rsidRPr="00251F03">
              <w:rPr>
                <w:rFonts w:eastAsiaTheme="minorEastAsia" w:cstheme="minorBidi"/>
                <w:noProof/>
                <w:lang w:eastAsia="en-AU"/>
              </w:rPr>
              <w:tab/>
            </w:r>
            <w:r w:rsidRPr="00251F03">
              <w:rPr>
                <w:rStyle w:val="Hyperlink"/>
                <w:rFonts w:cstheme="minorHAnsi"/>
                <w:noProof/>
              </w:rPr>
              <w:t>Risk Assessment</w:t>
            </w:r>
            <w:r w:rsidRPr="00251F03">
              <w:rPr>
                <w:noProof/>
                <w:webHidden/>
              </w:rPr>
              <w:tab/>
            </w:r>
            <w:r w:rsidRPr="00251F03">
              <w:rPr>
                <w:noProof/>
                <w:webHidden/>
              </w:rPr>
              <w:fldChar w:fldCharType="begin"/>
            </w:r>
            <w:r w:rsidRPr="00251F03">
              <w:rPr>
                <w:noProof/>
                <w:webHidden/>
              </w:rPr>
              <w:instrText xml:space="preserve"> PAGEREF _Toc98772190 \h </w:instrText>
            </w:r>
            <w:r w:rsidRPr="00251F03">
              <w:rPr>
                <w:noProof/>
                <w:webHidden/>
              </w:rPr>
            </w:r>
            <w:r w:rsidRPr="00251F03">
              <w:rPr>
                <w:noProof/>
                <w:webHidden/>
              </w:rPr>
              <w:fldChar w:fldCharType="separate"/>
            </w:r>
            <w:r w:rsidRPr="00251F03">
              <w:rPr>
                <w:noProof/>
                <w:webHidden/>
              </w:rPr>
              <w:t>38</w:t>
            </w:r>
            <w:r w:rsidRPr="00251F03">
              <w:rPr>
                <w:noProof/>
                <w:webHidden/>
              </w:rPr>
              <w:fldChar w:fldCharType="end"/>
            </w:r>
          </w:hyperlink>
        </w:p>
        <w:p w14:paraId="447C05AD" w14:textId="77777777" w:rsidR="00251F03" w:rsidRPr="00251F03" w:rsidRDefault="00251F03">
          <w:pPr>
            <w:pStyle w:val="TOC2"/>
            <w:rPr>
              <w:rFonts w:eastAsiaTheme="minorEastAsia" w:cstheme="minorBidi"/>
              <w:noProof/>
              <w:lang w:eastAsia="en-AU"/>
            </w:rPr>
          </w:pPr>
          <w:hyperlink w:anchor="_Toc98772191" w:history="1">
            <w:r w:rsidRPr="00251F03">
              <w:rPr>
                <w:rStyle w:val="Hyperlink"/>
                <w:noProof/>
              </w:rPr>
              <w:t>8.4</w:t>
            </w:r>
            <w:r w:rsidRPr="00251F03">
              <w:rPr>
                <w:rFonts w:eastAsiaTheme="minorEastAsia" w:cstheme="minorBidi"/>
                <w:noProof/>
                <w:lang w:eastAsia="en-AU"/>
              </w:rPr>
              <w:tab/>
            </w:r>
            <w:r w:rsidRPr="00251F03">
              <w:rPr>
                <w:rStyle w:val="Hyperlink"/>
                <w:rFonts w:cstheme="minorHAnsi"/>
                <w:noProof/>
              </w:rPr>
              <w:t>Stakeholder Engagement</w:t>
            </w:r>
            <w:r w:rsidRPr="00251F03">
              <w:rPr>
                <w:noProof/>
                <w:webHidden/>
              </w:rPr>
              <w:tab/>
            </w:r>
            <w:r w:rsidRPr="00251F03">
              <w:rPr>
                <w:noProof/>
                <w:webHidden/>
              </w:rPr>
              <w:fldChar w:fldCharType="begin"/>
            </w:r>
            <w:r w:rsidRPr="00251F03">
              <w:rPr>
                <w:noProof/>
                <w:webHidden/>
              </w:rPr>
              <w:instrText xml:space="preserve"> PAGEREF _Toc98772191 \h </w:instrText>
            </w:r>
            <w:r w:rsidRPr="00251F03">
              <w:rPr>
                <w:noProof/>
                <w:webHidden/>
              </w:rPr>
            </w:r>
            <w:r w:rsidRPr="00251F03">
              <w:rPr>
                <w:noProof/>
                <w:webHidden/>
              </w:rPr>
              <w:fldChar w:fldCharType="separate"/>
            </w:r>
            <w:r w:rsidRPr="00251F03">
              <w:rPr>
                <w:noProof/>
                <w:webHidden/>
              </w:rPr>
              <w:t>39</w:t>
            </w:r>
            <w:r w:rsidRPr="00251F03">
              <w:rPr>
                <w:noProof/>
                <w:webHidden/>
              </w:rPr>
              <w:fldChar w:fldCharType="end"/>
            </w:r>
          </w:hyperlink>
        </w:p>
        <w:p w14:paraId="64F285A1" w14:textId="77777777" w:rsidR="00251F03" w:rsidRPr="00251F03" w:rsidRDefault="00251F03">
          <w:pPr>
            <w:pStyle w:val="TOC2"/>
            <w:rPr>
              <w:rFonts w:eastAsiaTheme="minorEastAsia" w:cstheme="minorBidi"/>
              <w:noProof/>
              <w:lang w:eastAsia="en-AU"/>
            </w:rPr>
          </w:pPr>
          <w:hyperlink w:anchor="_Toc98772192" w:history="1">
            <w:r w:rsidRPr="00251F03">
              <w:rPr>
                <w:rStyle w:val="Hyperlink"/>
                <w:noProof/>
              </w:rPr>
              <w:t>8.5</w:t>
            </w:r>
            <w:r w:rsidRPr="00251F03">
              <w:rPr>
                <w:rFonts w:eastAsiaTheme="minorEastAsia" w:cstheme="minorBidi"/>
                <w:noProof/>
                <w:lang w:eastAsia="en-AU"/>
              </w:rPr>
              <w:tab/>
            </w:r>
            <w:r w:rsidRPr="00251F03">
              <w:rPr>
                <w:rStyle w:val="Hyperlink"/>
                <w:rFonts w:cstheme="minorHAnsi"/>
                <w:noProof/>
              </w:rPr>
              <w:t>Financial Estimates</w:t>
            </w:r>
            <w:r w:rsidRPr="00251F03">
              <w:rPr>
                <w:noProof/>
                <w:webHidden/>
              </w:rPr>
              <w:tab/>
            </w:r>
            <w:r w:rsidRPr="00251F03">
              <w:rPr>
                <w:noProof/>
                <w:webHidden/>
              </w:rPr>
              <w:fldChar w:fldCharType="begin"/>
            </w:r>
            <w:r w:rsidRPr="00251F03">
              <w:rPr>
                <w:noProof/>
                <w:webHidden/>
              </w:rPr>
              <w:instrText xml:space="preserve"> PAGEREF _Toc98772192 \h </w:instrText>
            </w:r>
            <w:r w:rsidRPr="00251F03">
              <w:rPr>
                <w:noProof/>
                <w:webHidden/>
              </w:rPr>
            </w:r>
            <w:r w:rsidRPr="00251F03">
              <w:rPr>
                <w:noProof/>
                <w:webHidden/>
              </w:rPr>
              <w:fldChar w:fldCharType="separate"/>
            </w:r>
            <w:r w:rsidRPr="00251F03">
              <w:rPr>
                <w:noProof/>
                <w:webHidden/>
              </w:rPr>
              <w:t>39</w:t>
            </w:r>
            <w:r w:rsidRPr="00251F03">
              <w:rPr>
                <w:noProof/>
                <w:webHidden/>
              </w:rPr>
              <w:fldChar w:fldCharType="end"/>
            </w:r>
          </w:hyperlink>
        </w:p>
        <w:p w14:paraId="46FD4BC7" w14:textId="77777777" w:rsidR="00251F03" w:rsidRDefault="00251F03">
          <w:pPr>
            <w:pStyle w:val="TOC2"/>
            <w:rPr>
              <w:rFonts w:eastAsiaTheme="minorEastAsia" w:cstheme="minorBidi"/>
              <w:noProof/>
              <w:sz w:val="22"/>
              <w:szCs w:val="22"/>
              <w:lang w:eastAsia="en-AU"/>
            </w:rPr>
          </w:pPr>
          <w:hyperlink w:anchor="_Toc98772193" w:history="1">
            <w:r w:rsidRPr="00251F03">
              <w:rPr>
                <w:rStyle w:val="Hyperlink"/>
                <w:noProof/>
              </w:rPr>
              <w:t>8.6</w:t>
            </w:r>
            <w:r w:rsidRPr="00251F03">
              <w:rPr>
                <w:rFonts w:eastAsiaTheme="minorEastAsia" w:cstheme="minorBidi"/>
                <w:noProof/>
                <w:lang w:eastAsia="en-AU"/>
              </w:rPr>
              <w:tab/>
            </w:r>
            <w:r w:rsidRPr="00251F03">
              <w:rPr>
                <w:rStyle w:val="Hyperlink"/>
                <w:rFonts w:cstheme="minorHAnsi"/>
                <w:noProof/>
              </w:rPr>
              <w:t>Non-Financial Performance</w:t>
            </w:r>
            <w:r w:rsidRPr="00251F03">
              <w:rPr>
                <w:noProof/>
                <w:webHidden/>
              </w:rPr>
              <w:tab/>
            </w:r>
            <w:r w:rsidRPr="00251F03">
              <w:rPr>
                <w:noProof/>
                <w:webHidden/>
              </w:rPr>
              <w:fldChar w:fldCharType="begin"/>
            </w:r>
            <w:r w:rsidRPr="00251F03">
              <w:rPr>
                <w:noProof/>
                <w:webHidden/>
              </w:rPr>
              <w:instrText xml:space="preserve"> PAGEREF _Toc98772193 \h </w:instrText>
            </w:r>
            <w:r w:rsidRPr="00251F03">
              <w:rPr>
                <w:noProof/>
                <w:webHidden/>
              </w:rPr>
            </w:r>
            <w:r w:rsidRPr="00251F03">
              <w:rPr>
                <w:noProof/>
                <w:webHidden/>
              </w:rPr>
              <w:fldChar w:fldCharType="separate"/>
            </w:r>
            <w:r w:rsidRPr="00251F03">
              <w:rPr>
                <w:noProof/>
                <w:webHidden/>
              </w:rPr>
              <w:t>39</w:t>
            </w:r>
            <w:r w:rsidRPr="00251F03">
              <w:rPr>
                <w:noProof/>
                <w:webHidden/>
              </w:rPr>
              <w:fldChar w:fldCharType="end"/>
            </w:r>
          </w:hyperlink>
        </w:p>
        <w:p w14:paraId="5AD2A54E" w14:textId="4053553B" w:rsidR="00727004" w:rsidRPr="00E207E7" w:rsidRDefault="00DC7D3E">
          <w:pPr>
            <w:rPr>
              <w:rFonts w:asciiTheme="minorHAnsi" w:hAnsiTheme="minorHAnsi" w:cstheme="minorHAnsi"/>
            </w:rPr>
          </w:pPr>
          <w:r>
            <w:rPr>
              <w:rFonts w:asciiTheme="minorHAnsi" w:hAnsiTheme="minorHAnsi" w:cstheme="minorHAnsi"/>
              <w:sz w:val="22"/>
            </w:rPr>
            <w:fldChar w:fldCharType="end"/>
          </w:r>
        </w:p>
      </w:sdtContent>
    </w:sdt>
    <w:p w14:paraId="4CD08F23" w14:textId="77777777" w:rsidR="00727004" w:rsidRPr="00E207E7" w:rsidRDefault="00727004" w:rsidP="008B679D">
      <w:pPr>
        <w:spacing w:line="480" w:lineRule="auto"/>
        <w:rPr>
          <w:rFonts w:asciiTheme="minorHAnsi" w:hAnsiTheme="minorHAnsi" w:cstheme="minorHAnsi"/>
        </w:rPr>
      </w:pPr>
    </w:p>
    <w:p w14:paraId="59F2392B" w14:textId="781009C1" w:rsidR="00727004" w:rsidRDefault="00727004" w:rsidP="008B679D">
      <w:pPr>
        <w:spacing w:line="480" w:lineRule="auto"/>
        <w:rPr>
          <w:rFonts w:asciiTheme="minorHAnsi" w:hAnsiTheme="minorHAnsi"/>
        </w:rPr>
        <w:sectPr w:rsidR="00727004" w:rsidSect="00107D3F">
          <w:pgSz w:w="11906" w:h="16838"/>
          <w:pgMar w:top="720" w:right="991" w:bottom="720" w:left="1134" w:header="708" w:footer="708" w:gutter="0"/>
          <w:cols w:space="708"/>
          <w:docGrid w:linePitch="360"/>
        </w:sectPr>
      </w:pPr>
    </w:p>
    <w:p w14:paraId="2834FE77" w14:textId="5EEC49DB" w:rsidR="00D212A5" w:rsidRPr="00EC6523" w:rsidRDefault="008B679D" w:rsidP="00D212A5">
      <w:pPr>
        <w:pStyle w:val="Heading1"/>
        <w:tabs>
          <w:tab w:val="clear" w:pos="432"/>
          <w:tab w:val="num" w:pos="709"/>
        </w:tabs>
        <w:ind w:left="709" w:hanging="709"/>
        <w:jc w:val="left"/>
        <w:rPr>
          <w:rFonts w:asciiTheme="minorHAnsi" w:hAnsiTheme="minorHAnsi" w:cstheme="minorHAnsi"/>
          <w:b/>
          <w:bCs/>
          <w:i w:val="0"/>
          <w:iCs w:val="0"/>
          <w:sz w:val="32"/>
          <w:szCs w:val="32"/>
        </w:rPr>
      </w:pPr>
      <w:bookmarkStart w:id="3" w:name="_Toc98772148"/>
      <w:r w:rsidRPr="00727004">
        <w:rPr>
          <w:rFonts w:asciiTheme="minorHAnsi" w:hAnsiTheme="minorHAnsi" w:cstheme="minorHAnsi"/>
          <w:b/>
          <w:bCs/>
          <w:i w:val="0"/>
          <w:iCs w:val="0"/>
          <w:sz w:val="32"/>
          <w:szCs w:val="32"/>
        </w:rPr>
        <w:lastRenderedPageBreak/>
        <w:t>INTRODUCTION</w:t>
      </w:r>
      <w:bookmarkEnd w:id="3"/>
    </w:p>
    <w:p w14:paraId="7AC57B69" w14:textId="77777777" w:rsidR="00D212A5" w:rsidRPr="00F2024B" w:rsidRDefault="00D212A5" w:rsidP="00F2024B">
      <w:pPr>
        <w:pStyle w:val="Heading2"/>
        <w:tabs>
          <w:tab w:val="clear" w:pos="576"/>
          <w:tab w:val="num" w:pos="709"/>
        </w:tabs>
        <w:ind w:left="709" w:hanging="709"/>
        <w:rPr>
          <w:rFonts w:asciiTheme="minorHAnsi" w:hAnsiTheme="minorHAnsi" w:cstheme="minorHAnsi"/>
          <w:i w:val="0"/>
          <w:iCs w:val="0"/>
        </w:rPr>
      </w:pPr>
      <w:bookmarkStart w:id="4" w:name="_Toc98772149"/>
      <w:r w:rsidRPr="00F2024B">
        <w:rPr>
          <w:rFonts w:asciiTheme="minorHAnsi" w:hAnsiTheme="minorHAnsi" w:cstheme="minorHAnsi"/>
          <w:i w:val="0"/>
          <w:iCs w:val="0"/>
        </w:rPr>
        <w:t>Purpose of the CRIS</w:t>
      </w:r>
      <w:bookmarkEnd w:id="4"/>
      <w:r w:rsidRPr="00F2024B">
        <w:rPr>
          <w:rFonts w:asciiTheme="minorHAnsi" w:eastAsia="SimSun" w:hAnsiTheme="minorHAnsi" w:cstheme="minorHAnsi"/>
          <w:i w:val="0"/>
          <w:iCs w:val="0"/>
        </w:rPr>
        <w:t xml:space="preserve"> </w:t>
      </w:r>
    </w:p>
    <w:p w14:paraId="4FD88A98" w14:textId="039A6387" w:rsidR="0019457E" w:rsidRDefault="00D212A5" w:rsidP="00D212A5">
      <w:pPr>
        <w:rPr>
          <w:rFonts w:asciiTheme="minorHAnsi" w:hAnsiTheme="minorHAnsi"/>
          <w:iCs/>
        </w:rPr>
      </w:pPr>
      <w:r w:rsidRPr="00AB20F0">
        <w:rPr>
          <w:rFonts w:asciiTheme="minorHAnsi" w:hAnsiTheme="minorHAnsi"/>
          <w:iCs/>
        </w:rPr>
        <w:t xml:space="preserve">This </w:t>
      </w:r>
      <w:r>
        <w:rPr>
          <w:rFonts w:asciiTheme="minorHAnsi" w:hAnsiTheme="minorHAnsi"/>
          <w:iCs/>
        </w:rPr>
        <w:t>Cost Recovery Implementation Statement (</w:t>
      </w:r>
      <w:r w:rsidRPr="002E6781">
        <w:rPr>
          <w:rFonts w:asciiTheme="minorHAnsi" w:hAnsiTheme="minorHAnsi"/>
          <w:b/>
          <w:bCs/>
          <w:iCs/>
        </w:rPr>
        <w:t>CRIS</w:t>
      </w:r>
      <w:r>
        <w:rPr>
          <w:rFonts w:asciiTheme="minorHAnsi" w:hAnsiTheme="minorHAnsi"/>
          <w:iCs/>
        </w:rPr>
        <w:t>)</w:t>
      </w:r>
      <w:r w:rsidRPr="00AB20F0">
        <w:rPr>
          <w:rFonts w:asciiTheme="minorHAnsi" w:hAnsiTheme="minorHAnsi"/>
          <w:iCs/>
        </w:rPr>
        <w:t xml:space="preserve"> provides information on how </w:t>
      </w:r>
      <w:r w:rsidR="001A6B05">
        <w:rPr>
          <w:rFonts w:asciiTheme="minorHAnsi" w:hAnsiTheme="minorHAnsi"/>
          <w:iCs/>
        </w:rPr>
        <w:t xml:space="preserve">responsible </w:t>
      </w:r>
      <w:r w:rsidR="00A77BDB">
        <w:rPr>
          <w:rFonts w:asciiTheme="minorHAnsi" w:hAnsiTheme="minorHAnsi"/>
          <w:iCs/>
        </w:rPr>
        <w:t>entities</w:t>
      </w:r>
      <w:r w:rsidR="00005390">
        <w:rPr>
          <w:rFonts w:asciiTheme="minorHAnsi" w:hAnsiTheme="minorHAnsi"/>
          <w:iCs/>
        </w:rPr>
        <w:t xml:space="preserve"> will</w:t>
      </w:r>
      <w:r w:rsidR="001A6B05">
        <w:rPr>
          <w:rFonts w:asciiTheme="minorHAnsi" w:hAnsiTheme="minorHAnsi"/>
          <w:iCs/>
        </w:rPr>
        <w:t xml:space="preserve"> </w:t>
      </w:r>
      <w:r w:rsidRPr="00AB20F0">
        <w:rPr>
          <w:rFonts w:asciiTheme="minorHAnsi" w:hAnsiTheme="minorHAnsi"/>
          <w:iCs/>
        </w:rPr>
        <w:t xml:space="preserve">implement </w:t>
      </w:r>
      <w:r w:rsidR="00125950">
        <w:rPr>
          <w:rFonts w:asciiTheme="minorHAnsi" w:hAnsiTheme="minorHAnsi"/>
          <w:iCs/>
        </w:rPr>
        <w:t xml:space="preserve">full </w:t>
      </w:r>
      <w:r w:rsidRPr="00AB20F0">
        <w:rPr>
          <w:rFonts w:asciiTheme="minorHAnsi" w:hAnsiTheme="minorHAnsi"/>
          <w:iCs/>
        </w:rPr>
        <w:t>cost recovery for</w:t>
      </w:r>
      <w:r>
        <w:rPr>
          <w:rFonts w:asciiTheme="minorHAnsi" w:hAnsiTheme="minorHAnsi"/>
          <w:iCs/>
        </w:rPr>
        <w:t xml:space="preserve"> the administration</w:t>
      </w:r>
      <w:r w:rsidR="00175C29">
        <w:rPr>
          <w:rFonts w:asciiTheme="minorHAnsi" w:hAnsiTheme="minorHAnsi"/>
          <w:iCs/>
        </w:rPr>
        <w:t xml:space="preserve"> and regulation</w:t>
      </w:r>
      <w:r>
        <w:rPr>
          <w:rFonts w:asciiTheme="minorHAnsi" w:hAnsiTheme="minorHAnsi"/>
          <w:iCs/>
        </w:rPr>
        <w:t xml:space="preserve"> of offshore </w:t>
      </w:r>
      <w:r w:rsidR="00F8474B">
        <w:rPr>
          <w:rFonts w:asciiTheme="minorHAnsi" w:hAnsiTheme="minorHAnsi"/>
          <w:iCs/>
        </w:rPr>
        <w:t>electricity infrastructure (</w:t>
      </w:r>
      <w:r w:rsidR="00F8474B" w:rsidRPr="001972E3">
        <w:rPr>
          <w:rFonts w:asciiTheme="minorHAnsi" w:hAnsiTheme="minorHAnsi"/>
          <w:b/>
          <w:bCs/>
          <w:iCs/>
        </w:rPr>
        <w:t>OEI</w:t>
      </w:r>
      <w:r w:rsidR="00F8474B">
        <w:rPr>
          <w:rFonts w:asciiTheme="minorHAnsi" w:hAnsiTheme="minorHAnsi"/>
          <w:iCs/>
        </w:rPr>
        <w:t>) licences</w:t>
      </w:r>
      <w:r>
        <w:rPr>
          <w:rFonts w:asciiTheme="minorHAnsi" w:hAnsiTheme="minorHAnsi"/>
          <w:iCs/>
        </w:rPr>
        <w:t xml:space="preserve"> </w:t>
      </w:r>
      <w:r w:rsidR="00312C81">
        <w:rPr>
          <w:rFonts w:asciiTheme="minorHAnsi" w:hAnsiTheme="minorHAnsi"/>
          <w:iCs/>
        </w:rPr>
        <w:t xml:space="preserve">and offshore infrastructure activities </w:t>
      </w:r>
      <w:r>
        <w:rPr>
          <w:rFonts w:asciiTheme="minorHAnsi" w:hAnsiTheme="minorHAnsi"/>
          <w:iCs/>
        </w:rPr>
        <w:t xml:space="preserve">under the </w:t>
      </w:r>
      <w:r w:rsidRPr="00D8784E">
        <w:rPr>
          <w:rFonts w:asciiTheme="minorHAnsi" w:hAnsiTheme="minorHAnsi"/>
          <w:i/>
        </w:rPr>
        <w:t xml:space="preserve">Offshore </w:t>
      </w:r>
      <w:r w:rsidR="00F8474B">
        <w:rPr>
          <w:rFonts w:asciiTheme="minorHAnsi" w:hAnsiTheme="minorHAnsi"/>
          <w:i/>
        </w:rPr>
        <w:t>Electricity Infrastructure Act 2021</w:t>
      </w:r>
      <w:r>
        <w:rPr>
          <w:rFonts w:asciiTheme="minorHAnsi" w:hAnsiTheme="minorHAnsi"/>
          <w:iCs/>
        </w:rPr>
        <w:t xml:space="preserve"> (</w:t>
      </w:r>
      <w:r w:rsidRPr="001972E3">
        <w:rPr>
          <w:rFonts w:asciiTheme="minorHAnsi" w:hAnsiTheme="minorHAnsi"/>
          <w:b/>
          <w:bCs/>
          <w:iCs/>
        </w:rPr>
        <w:t xml:space="preserve">the </w:t>
      </w:r>
      <w:r w:rsidR="00F8474B" w:rsidRPr="001972E3">
        <w:rPr>
          <w:rFonts w:asciiTheme="minorHAnsi" w:hAnsiTheme="minorHAnsi"/>
          <w:b/>
          <w:bCs/>
          <w:iCs/>
        </w:rPr>
        <w:t>OEI</w:t>
      </w:r>
      <w:r w:rsidR="005827AF" w:rsidRPr="001972E3">
        <w:rPr>
          <w:rFonts w:asciiTheme="minorHAnsi" w:hAnsiTheme="minorHAnsi"/>
          <w:b/>
          <w:bCs/>
          <w:iCs/>
        </w:rPr>
        <w:t xml:space="preserve"> Act</w:t>
      </w:r>
      <w:r>
        <w:rPr>
          <w:rFonts w:asciiTheme="minorHAnsi" w:hAnsiTheme="minorHAnsi"/>
          <w:iCs/>
        </w:rPr>
        <w:t>)</w:t>
      </w:r>
      <w:r w:rsidR="00BA4B5A">
        <w:rPr>
          <w:rFonts w:asciiTheme="minorHAnsi" w:hAnsiTheme="minorHAnsi"/>
          <w:iCs/>
        </w:rPr>
        <w:t xml:space="preserve">, </w:t>
      </w:r>
      <w:r w:rsidR="00831470">
        <w:rPr>
          <w:rFonts w:asciiTheme="minorHAnsi" w:hAnsiTheme="minorHAnsi"/>
          <w:iCs/>
        </w:rPr>
        <w:t>the</w:t>
      </w:r>
      <w:r w:rsidR="00BA4B5A">
        <w:rPr>
          <w:rFonts w:asciiTheme="minorHAnsi" w:hAnsiTheme="minorHAnsi"/>
          <w:iCs/>
        </w:rPr>
        <w:t xml:space="preserve"> </w:t>
      </w:r>
      <w:r w:rsidR="00BA4B5A" w:rsidRPr="007D7A99">
        <w:rPr>
          <w:rFonts w:asciiTheme="minorHAnsi" w:hAnsiTheme="minorHAnsi" w:cstheme="minorHAnsi"/>
          <w:i/>
        </w:rPr>
        <w:t xml:space="preserve">Offshore </w:t>
      </w:r>
      <w:r w:rsidR="00F8474B">
        <w:rPr>
          <w:rFonts w:asciiTheme="minorHAnsi" w:hAnsiTheme="minorHAnsi"/>
          <w:i/>
        </w:rPr>
        <w:t>Electricity Infrastructure</w:t>
      </w:r>
      <w:r w:rsidR="00BA4B5A" w:rsidRPr="007D7A99">
        <w:rPr>
          <w:rFonts w:asciiTheme="minorHAnsi" w:hAnsiTheme="minorHAnsi" w:cstheme="minorHAnsi"/>
          <w:i/>
        </w:rPr>
        <w:t xml:space="preserve"> (Regulatory Levies) Act 20</w:t>
      </w:r>
      <w:r w:rsidR="00F8474B">
        <w:rPr>
          <w:rFonts w:asciiTheme="minorHAnsi" w:hAnsiTheme="minorHAnsi" w:cstheme="minorHAnsi"/>
          <w:i/>
        </w:rPr>
        <w:t>2</w:t>
      </w:r>
      <w:r w:rsidR="00701E12">
        <w:rPr>
          <w:rFonts w:asciiTheme="minorHAnsi" w:hAnsiTheme="minorHAnsi" w:cstheme="minorHAnsi"/>
          <w:i/>
        </w:rPr>
        <w:t>1</w:t>
      </w:r>
      <w:r w:rsidR="00D65996">
        <w:rPr>
          <w:rFonts w:asciiTheme="minorHAnsi" w:hAnsiTheme="minorHAnsi"/>
          <w:iCs/>
        </w:rPr>
        <w:t xml:space="preserve"> </w:t>
      </w:r>
      <w:r w:rsidR="00831470">
        <w:rPr>
          <w:rFonts w:asciiTheme="minorHAnsi" w:hAnsiTheme="minorHAnsi"/>
          <w:iCs/>
        </w:rPr>
        <w:t>(</w:t>
      </w:r>
      <w:r w:rsidR="00831470" w:rsidRPr="001972E3">
        <w:rPr>
          <w:rFonts w:asciiTheme="minorHAnsi" w:hAnsiTheme="minorHAnsi"/>
          <w:b/>
          <w:bCs/>
          <w:iCs/>
        </w:rPr>
        <w:t>the Levies Act</w:t>
      </w:r>
      <w:r w:rsidR="00831470">
        <w:rPr>
          <w:rFonts w:asciiTheme="minorHAnsi" w:hAnsiTheme="minorHAnsi"/>
          <w:iCs/>
        </w:rPr>
        <w:t xml:space="preserve">) </w:t>
      </w:r>
      <w:r w:rsidR="00D65996">
        <w:rPr>
          <w:rFonts w:asciiTheme="minorHAnsi" w:hAnsiTheme="minorHAnsi"/>
          <w:iCs/>
        </w:rPr>
        <w:t xml:space="preserve">and associated </w:t>
      </w:r>
      <w:r w:rsidR="00831470">
        <w:rPr>
          <w:rFonts w:asciiTheme="minorHAnsi" w:hAnsiTheme="minorHAnsi"/>
          <w:iCs/>
        </w:rPr>
        <w:t>regulations</w:t>
      </w:r>
      <w:r w:rsidRPr="00AB20F0">
        <w:rPr>
          <w:rFonts w:asciiTheme="minorHAnsi" w:hAnsiTheme="minorHAnsi"/>
          <w:iCs/>
        </w:rPr>
        <w:t xml:space="preserve">. </w:t>
      </w:r>
      <w:r w:rsidR="001A6B05">
        <w:rPr>
          <w:rFonts w:asciiTheme="minorHAnsi" w:hAnsiTheme="minorHAnsi"/>
          <w:iCs/>
        </w:rPr>
        <w:t xml:space="preserve">The responsible </w:t>
      </w:r>
      <w:r w:rsidR="00A77BDB">
        <w:rPr>
          <w:rFonts w:asciiTheme="minorHAnsi" w:hAnsiTheme="minorHAnsi"/>
          <w:iCs/>
        </w:rPr>
        <w:t>entitie</w:t>
      </w:r>
      <w:r w:rsidR="001A6B05">
        <w:rPr>
          <w:rFonts w:asciiTheme="minorHAnsi" w:hAnsiTheme="minorHAnsi"/>
          <w:iCs/>
        </w:rPr>
        <w:t>s are</w:t>
      </w:r>
      <w:r w:rsidR="0019457E">
        <w:rPr>
          <w:rFonts w:asciiTheme="minorHAnsi" w:hAnsiTheme="minorHAnsi"/>
          <w:iCs/>
        </w:rPr>
        <w:t>:</w:t>
      </w:r>
    </w:p>
    <w:p w14:paraId="765C3E19" w14:textId="77777777" w:rsidR="0019457E" w:rsidRPr="00845F43" w:rsidRDefault="0019457E" w:rsidP="00D212A5">
      <w:pPr>
        <w:rPr>
          <w:rFonts w:asciiTheme="minorHAnsi" w:hAnsiTheme="minorHAnsi"/>
          <w:iCs/>
          <w:sz w:val="16"/>
          <w:szCs w:val="16"/>
        </w:rPr>
      </w:pPr>
    </w:p>
    <w:p w14:paraId="310D2111" w14:textId="77777777" w:rsidR="0019457E" w:rsidRPr="0019457E" w:rsidRDefault="001A6B05" w:rsidP="00D57192">
      <w:pPr>
        <w:pStyle w:val="ListParagraph"/>
        <w:numPr>
          <w:ilvl w:val="0"/>
          <w:numId w:val="9"/>
        </w:numPr>
        <w:rPr>
          <w:rFonts w:asciiTheme="minorHAnsi" w:hAnsiTheme="minorHAnsi"/>
          <w:iCs/>
        </w:rPr>
      </w:pPr>
      <w:r w:rsidRPr="0019457E">
        <w:rPr>
          <w:rFonts w:asciiTheme="minorHAnsi" w:hAnsiTheme="minorHAnsi"/>
        </w:rPr>
        <w:t>the Offshore Infrastructure Registrar</w:t>
      </w:r>
      <w:r w:rsidR="00A7486A" w:rsidRPr="0019457E">
        <w:rPr>
          <w:rFonts w:asciiTheme="minorHAnsi" w:hAnsiTheme="minorHAnsi"/>
        </w:rPr>
        <w:t xml:space="preserve"> (</w:t>
      </w:r>
      <w:r w:rsidR="00A7486A" w:rsidRPr="001972E3">
        <w:rPr>
          <w:rFonts w:asciiTheme="minorHAnsi" w:hAnsiTheme="minorHAnsi"/>
          <w:b/>
          <w:bCs/>
        </w:rPr>
        <w:t>the Registrar</w:t>
      </w:r>
      <w:r w:rsidR="00A7486A" w:rsidRPr="0019457E">
        <w:rPr>
          <w:rFonts w:asciiTheme="minorHAnsi" w:hAnsiTheme="minorHAnsi"/>
        </w:rPr>
        <w:t>)</w:t>
      </w:r>
      <w:r w:rsidR="0019457E">
        <w:rPr>
          <w:rFonts w:asciiTheme="minorHAnsi" w:hAnsiTheme="minorHAnsi"/>
        </w:rPr>
        <w:t>;</w:t>
      </w:r>
    </w:p>
    <w:p w14:paraId="18995698" w14:textId="77777777" w:rsidR="00F94186" w:rsidRPr="0019457E" w:rsidRDefault="00F94186" w:rsidP="00F94186">
      <w:pPr>
        <w:pStyle w:val="ListParagraph"/>
        <w:numPr>
          <w:ilvl w:val="0"/>
          <w:numId w:val="9"/>
        </w:numPr>
        <w:rPr>
          <w:rFonts w:asciiTheme="minorHAnsi" w:hAnsiTheme="minorHAnsi"/>
          <w:iCs/>
        </w:rPr>
      </w:pPr>
      <w:r w:rsidRPr="0019457E">
        <w:rPr>
          <w:rFonts w:asciiTheme="minorHAnsi" w:hAnsiTheme="minorHAnsi"/>
        </w:rPr>
        <w:t xml:space="preserve">the </w:t>
      </w:r>
      <w:r>
        <w:rPr>
          <w:rFonts w:asciiTheme="minorHAnsi" w:hAnsiTheme="minorHAnsi"/>
        </w:rPr>
        <w:t>Offshore Renewable Energy (</w:t>
      </w:r>
      <w:r w:rsidRPr="00047296">
        <w:rPr>
          <w:rFonts w:asciiTheme="minorHAnsi" w:hAnsiTheme="minorHAnsi"/>
          <w:b/>
        </w:rPr>
        <w:t>ORE</w:t>
      </w:r>
      <w:r>
        <w:rPr>
          <w:rFonts w:asciiTheme="minorHAnsi" w:hAnsiTheme="minorHAnsi"/>
        </w:rPr>
        <w:t>) section</w:t>
      </w:r>
      <w:r w:rsidRPr="0019457E">
        <w:rPr>
          <w:rFonts w:asciiTheme="minorHAnsi" w:hAnsiTheme="minorHAnsi" w:cstheme="minorHAnsi"/>
        </w:rPr>
        <w:t xml:space="preserve"> within the Department of Industry, Science, Energy and Resources</w:t>
      </w:r>
      <w:r>
        <w:rPr>
          <w:rFonts w:asciiTheme="minorHAnsi" w:hAnsiTheme="minorHAnsi" w:cstheme="minorHAnsi"/>
        </w:rPr>
        <w:t xml:space="preserve"> (</w:t>
      </w:r>
      <w:r>
        <w:rPr>
          <w:rFonts w:asciiTheme="minorHAnsi" w:hAnsiTheme="minorHAnsi" w:cstheme="minorHAnsi"/>
          <w:b/>
        </w:rPr>
        <w:t>DISER)</w:t>
      </w:r>
      <w:r>
        <w:rPr>
          <w:rFonts w:asciiTheme="minorHAnsi" w:hAnsiTheme="minorHAnsi"/>
        </w:rPr>
        <w:t xml:space="preserve">; </w:t>
      </w:r>
      <w:r w:rsidRPr="0019457E">
        <w:rPr>
          <w:rFonts w:asciiTheme="minorHAnsi" w:hAnsiTheme="minorHAnsi"/>
        </w:rPr>
        <w:t xml:space="preserve">and </w:t>
      </w:r>
    </w:p>
    <w:p w14:paraId="19388473" w14:textId="4B643DB3" w:rsidR="001A6B05" w:rsidRPr="0019457E" w:rsidRDefault="001A6B05" w:rsidP="00D57192">
      <w:pPr>
        <w:pStyle w:val="ListParagraph"/>
        <w:numPr>
          <w:ilvl w:val="0"/>
          <w:numId w:val="9"/>
        </w:numPr>
        <w:rPr>
          <w:rFonts w:asciiTheme="minorHAnsi" w:hAnsiTheme="minorHAnsi"/>
          <w:iCs/>
        </w:rPr>
      </w:pPr>
      <w:r w:rsidRPr="0019457E">
        <w:rPr>
          <w:rFonts w:asciiTheme="minorHAnsi" w:hAnsiTheme="minorHAnsi"/>
        </w:rPr>
        <w:t>the Offshore Infrastructure Regulator</w:t>
      </w:r>
      <w:r w:rsidR="00A7486A" w:rsidRPr="0019457E">
        <w:rPr>
          <w:rFonts w:asciiTheme="minorHAnsi" w:hAnsiTheme="minorHAnsi"/>
        </w:rPr>
        <w:t xml:space="preserve"> (</w:t>
      </w:r>
      <w:r w:rsidR="00A7486A" w:rsidRPr="001972E3">
        <w:rPr>
          <w:rFonts w:asciiTheme="minorHAnsi" w:hAnsiTheme="minorHAnsi"/>
          <w:b/>
          <w:bCs/>
        </w:rPr>
        <w:t>the Regulator</w:t>
      </w:r>
      <w:r w:rsidR="00A7486A" w:rsidRPr="0019457E">
        <w:rPr>
          <w:rFonts w:asciiTheme="minorHAnsi" w:hAnsiTheme="minorHAnsi"/>
        </w:rPr>
        <w:t>)</w:t>
      </w:r>
      <w:r w:rsidRPr="0019457E">
        <w:rPr>
          <w:rFonts w:asciiTheme="minorHAnsi" w:hAnsiTheme="minorHAnsi"/>
        </w:rPr>
        <w:t>.</w:t>
      </w:r>
    </w:p>
    <w:p w14:paraId="6AC814D3" w14:textId="77777777" w:rsidR="001A6B05" w:rsidRDefault="001A6B05" w:rsidP="00D212A5">
      <w:pPr>
        <w:rPr>
          <w:rFonts w:asciiTheme="minorHAnsi" w:hAnsiTheme="minorHAnsi"/>
          <w:iCs/>
        </w:rPr>
      </w:pPr>
    </w:p>
    <w:p w14:paraId="275C8AA0" w14:textId="1D513868" w:rsidR="0025229D" w:rsidRDefault="00D212A5" w:rsidP="00D212A5">
      <w:pPr>
        <w:rPr>
          <w:rFonts w:asciiTheme="minorHAnsi" w:hAnsiTheme="minorHAnsi"/>
          <w:iCs/>
        </w:rPr>
      </w:pPr>
      <w:r w:rsidRPr="00AB20F0">
        <w:rPr>
          <w:rFonts w:asciiTheme="minorHAnsi" w:hAnsiTheme="minorHAnsi"/>
          <w:iCs/>
        </w:rPr>
        <w:t>It also reports financial and non</w:t>
      </w:r>
      <w:r>
        <w:rPr>
          <w:rFonts w:asciiTheme="minorHAnsi" w:hAnsiTheme="minorHAnsi"/>
          <w:iCs/>
        </w:rPr>
        <w:noBreakHyphen/>
      </w:r>
      <w:r w:rsidRPr="00AB20F0">
        <w:rPr>
          <w:rFonts w:asciiTheme="minorHAnsi" w:hAnsiTheme="minorHAnsi"/>
          <w:iCs/>
        </w:rPr>
        <w:t>financial performance</w:t>
      </w:r>
      <w:r>
        <w:rPr>
          <w:rFonts w:asciiTheme="minorHAnsi" w:hAnsiTheme="minorHAnsi"/>
          <w:iCs/>
        </w:rPr>
        <w:t xml:space="preserve"> information</w:t>
      </w:r>
      <w:r w:rsidRPr="00AB20F0">
        <w:rPr>
          <w:rFonts w:asciiTheme="minorHAnsi" w:hAnsiTheme="minorHAnsi"/>
          <w:iCs/>
        </w:rPr>
        <w:t xml:space="preserve"> for </w:t>
      </w:r>
      <w:r w:rsidR="00701E12">
        <w:rPr>
          <w:rFonts w:asciiTheme="minorHAnsi" w:hAnsiTheme="minorHAnsi"/>
        </w:rPr>
        <w:t>licence</w:t>
      </w:r>
      <w:r>
        <w:rPr>
          <w:rFonts w:asciiTheme="minorHAnsi" w:hAnsiTheme="minorHAnsi"/>
        </w:rPr>
        <w:t xml:space="preserve"> administration</w:t>
      </w:r>
      <w:r w:rsidR="00256737">
        <w:rPr>
          <w:rFonts w:asciiTheme="minorHAnsi" w:hAnsiTheme="minorHAnsi"/>
        </w:rPr>
        <w:t xml:space="preserve"> and regulation,</w:t>
      </w:r>
      <w:r w:rsidRPr="00AB20F0">
        <w:rPr>
          <w:rFonts w:asciiTheme="minorHAnsi" w:hAnsiTheme="minorHAnsi"/>
          <w:i/>
          <w:color w:val="595959" w:themeColor="text1" w:themeTint="A6"/>
        </w:rPr>
        <w:t xml:space="preserve"> </w:t>
      </w:r>
      <w:r w:rsidRPr="00AB20F0">
        <w:rPr>
          <w:rFonts w:asciiTheme="minorHAnsi" w:hAnsiTheme="minorHAnsi"/>
          <w:iCs/>
        </w:rPr>
        <w:t xml:space="preserve">and contains financial forecasts. </w:t>
      </w:r>
      <w:r w:rsidR="00E02EA6">
        <w:rPr>
          <w:rFonts w:asciiTheme="minorHAnsi" w:hAnsiTheme="minorHAnsi"/>
          <w:iCs/>
        </w:rPr>
        <w:t xml:space="preserve">The </w:t>
      </w:r>
      <w:r w:rsidRPr="00AB20F0">
        <w:rPr>
          <w:rFonts w:asciiTheme="minorHAnsi" w:hAnsiTheme="minorHAnsi"/>
          <w:iCs/>
        </w:rPr>
        <w:t xml:space="preserve">CRIS </w:t>
      </w:r>
      <w:r w:rsidR="00E02EA6">
        <w:rPr>
          <w:rFonts w:asciiTheme="minorHAnsi" w:hAnsiTheme="minorHAnsi"/>
          <w:iCs/>
        </w:rPr>
        <w:t xml:space="preserve">will be maintained </w:t>
      </w:r>
      <w:r w:rsidRPr="00AB20F0">
        <w:rPr>
          <w:rFonts w:asciiTheme="minorHAnsi" w:hAnsiTheme="minorHAnsi"/>
          <w:iCs/>
        </w:rPr>
        <w:t>until the activity or cost recovery for the activity has been discontinued.</w:t>
      </w:r>
      <w:r w:rsidR="0025229D">
        <w:rPr>
          <w:rFonts w:asciiTheme="minorHAnsi" w:hAnsiTheme="minorHAnsi"/>
          <w:iCs/>
        </w:rPr>
        <w:t xml:space="preserve"> </w:t>
      </w:r>
    </w:p>
    <w:p w14:paraId="630079B6" w14:textId="244A2538" w:rsidR="00EC6523" w:rsidRDefault="00EC6523" w:rsidP="00D212A5">
      <w:pPr>
        <w:rPr>
          <w:rFonts w:asciiTheme="minorHAnsi" w:hAnsiTheme="minorHAnsi"/>
          <w:iCs/>
        </w:rPr>
      </w:pPr>
    </w:p>
    <w:p w14:paraId="799E0862" w14:textId="5BEA53EF" w:rsidR="00EC6523" w:rsidRPr="00EC6523" w:rsidRDefault="00EC6523" w:rsidP="00EC6523">
      <w:pPr>
        <w:pStyle w:val="Heading1"/>
        <w:tabs>
          <w:tab w:val="clear" w:pos="432"/>
          <w:tab w:val="num" w:pos="709"/>
        </w:tabs>
        <w:ind w:left="709" w:hanging="709"/>
        <w:jc w:val="left"/>
        <w:rPr>
          <w:rFonts w:asciiTheme="minorHAnsi" w:hAnsiTheme="minorHAnsi" w:cstheme="minorHAnsi"/>
          <w:b/>
          <w:bCs/>
          <w:i w:val="0"/>
          <w:iCs w:val="0"/>
          <w:sz w:val="32"/>
          <w:szCs w:val="32"/>
        </w:rPr>
      </w:pPr>
      <w:bookmarkStart w:id="5" w:name="_Toc98772150"/>
      <w:r w:rsidRPr="00727004">
        <w:rPr>
          <w:rFonts w:asciiTheme="minorHAnsi" w:hAnsiTheme="minorHAnsi" w:cstheme="minorHAnsi"/>
          <w:b/>
          <w:bCs/>
          <w:i w:val="0"/>
          <w:iCs w:val="0"/>
          <w:sz w:val="32"/>
          <w:szCs w:val="32"/>
        </w:rPr>
        <w:t>POLICY AND STATUTORY AUTHORITY TO COST RECOVER</w:t>
      </w:r>
      <w:bookmarkEnd w:id="5"/>
    </w:p>
    <w:p w14:paraId="3EB48CDD" w14:textId="77777777" w:rsidR="00EC6523" w:rsidRPr="00F2024B" w:rsidRDefault="00EC6523" w:rsidP="00EC6523">
      <w:pPr>
        <w:pStyle w:val="Heading2"/>
        <w:tabs>
          <w:tab w:val="clear" w:pos="576"/>
          <w:tab w:val="num" w:pos="709"/>
        </w:tabs>
        <w:ind w:left="709" w:hanging="709"/>
        <w:rPr>
          <w:rFonts w:asciiTheme="minorHAnsi" w:hAnsiTheme="minorHAnsi" w:cstheme="minorHAnsi"/>
          <w:i w:val="0"/>
          <w:iCs w:val="0"/>
        </w:rPr>
      </w:pPr>
      <w:bookmarkStart w:id="6" w:name="_Toc98772151"/>
      <w:r w:rsidRPr="00F2024B">
        <w:rPr>
          <w:rFonts w:asciiTheme="minorHAnsi" w:hAnsiTheme="minorHAnsi" w:cstheme="minorHAnsi"/>
          <w:i w:val="0"/>
          <w:iCs w:val="0"/>
        </w:rPr>
        <w:t>Government policy approval to cost recover the regulatory activity</w:t>
      </w:r>
      <w:bookmarkEnd w:id="6"/>
    </w:p>
    <w:p w14:paraId="5873264E" w14:textId="24CC4F2A" w:rsidR="00CB3A40" w:rsidRDefault="00CB3A40" w:rsidP="00EC6523">
      <w:pPr>
        <w:rPr>
          <w:rFonts w:asciiTheme="minorHAnsi" w:hAnsiTheme="minorHAnsi" w:cstheme="minorHAnsi"/>
        </w:rPr>
      </w:pPr>
    </w:p>
    <w:p w14:paraId="5CC1BCD9" w14:textId="77777777" w:rsidR="00F94186" w:rsidRPr="00CB3A40" w:rsidRDefault="00F94186" w:rsidP="00F94186">
      <w:pPr>
        <w:rPr>
          <w:rFonts w:asciiTheme="minorHAnsi" w:hAnsiTheme="minorHAnsi"/>
          <w:iCs/>
        </w:rPr>
      </w:pPr>
      <w:r w:rsidRPr="00CB3A40">
        <w:rPr>
          <w:rFonts w:asciiTheme="minorHAnsi" w:hAnsiTheme="minorHAnsi"/>
          <w:iCs/>
        </w:rPr>
        <w:t xml:space="preserve">The </w:t>
      </w:r>
      <w:r>
        <w:rPr>
          <w:rFonts w:asciiTheme="minorHAnsi" w:hAnsiTheme="minorHAnsi"/>
          <w:iCs/>
        </w:rPr>
        <w:t>OEI Act</w:t>
      </w:r>
      <w:r w:rsidRPr="00CB3A40">
        <w:rPr>
          <w:rFonts w:asciiTheme="minorHAnsi" w:hAnsiTheme="minorHAnsi"/>
          <w:iCs/>
        </w:rPr>
        <w:t xml:space="preserve"> establishes a regulatory framework to enable the construction, installation, commissioning, operation, maintenance and decommissioning of offshore electricity infrastructure (collectively, offshore infrastructure activities) in the Commonwealth offshore area.</w:t>
      </w:r>
      <w:r>
        <w:rPr>
          <w:rFonts w:asciiTheme="minorHAnsi" w:hAnsiTheme="minorHAnsi"/>
          <w:iCs/>
        </w:rPr>
        <w:t xml:space="preserve"> The OEI Act provides that c</w:t>
      </w:r>
      <w:r w:rsidRPr="00CB3A40">
        <w:rPr>
          <w:rFonts w:asciiTheme="minorHAnsi" w:hAnsiTheme="minorHAnsi"/>
          <w:iCs/>
        </w:rPr>
        <w:t>osts associated with the Regulator</w:t>
      </w:r>
      <w:r>
        <w:rPr>
          <w:rFonts w:asciiTheme="minorHAnsi" w:hAnsiTheme="minorHAnsi"/>
          <w:iCs/>
        </w:rPr>
        <w:t>’s functions</w:t>
      </w:r>
      <w:r w:rsidRPr="00CB3A40">
        <w:rPr>
          <w:rFonts w:asciiTheme="minorHAnsi" w:hAnsiTheme="minorHAnsi"/>
          <w:iCs/>
        </w:rPr>
        <w:t xml:space="preserve"> and Registrar’s functions under the</w:t>
      </w:r>
    </w:p>
    <w:p w14:paraId="0F76A9ED" w14:textId="77777777" w:rsidR="00F94186" w:rsidRDefault="00F94186" w:rsidP="00F94186">
      <w:pPr>
        <w:rPr>
          <w:rFonts w:asciiTheme="minorHAnsi" w:hAnsiTheme="minorHAnsi"/>
          <w:iCs/>
        </w:rPr>
      </w:pPr>
      <w:r>
        <w:rPr>
          <w:rFonts w:asciiTheme="minorHAnsi" w:hAnsiTheme="minorHAnsi"/>
          <w:iCs/>
        </w:rPr>
        <w:t xml:space="preserve">legislative </w:t>
      </w:r>
      <w:r w:rsidRPr="00CB3A40">
        <w:rPr>
          <w:rFonts w:asciiTheme="minorHAnsi" w:hAnsiTheme="minorHAnsi"/>
          <w:iCs/>
        </w:rPr>
        <w:t xml:space="preserve">framework will be recovered through a combination of </w:t>
      </w:r>
      <w:r>
        <w:rPr>
          <w:rFonts w:asciiTheme="minorHAnsi" w:hAnsiTheme="minorHAnsi"/>
          <w:iCs/>
        </w:rPr>
        <w:t xml:space="preserve">cost recovery </w:t>
      </w:r>
      <w:r w:rsidRPr="00CB3A40">
        <w:rPr>
          <w:rFonts w:asciiTheme="minorHAnsi" w:hAnsiTheme="minorHAnsi"/>
          <w:iCs/>
        </w:rPr>
        <w:t>fees</w:t>
      </w:r>
      <w:r>
        <w:rPr>
          <w:rFonts w:asciiTheme="minorHAnsi" w:hAnsiTheme="minorHAnsi"/>
          <w:iCs/>
        </w:rPr>
        <w:t xml:space="preserve"> (see section 189 of the OEI Act)</w:t>
      </w:r>
      <w:r w:rsidRPr="00CB3A40">
        <w:rPr>
          <w:rFonts w:asciiTheme="minorHAnsi" w:hAnsiTheme="minorHAnsi"/>
          <w:iCs/>
        </w:rPr>
        <w:t xml:space="preserve"> and </w:t>
      </w:r>
      <w:r>
        <w:rPr>
          <w:rFonts w:asciiTheme="minorHAnsi" w:hAnsiTheme="minorHAnsi"/>
          <w:iCs/>
        </w:rPr>
        <w:t xml:space="preserve">cost recovery </w:t>
      </w:r>
      <w:r w:rsidRPr="00CB3A40">
        <w:rPr>
          <w:rFonts w:asciiTheme="minorHAnsi" w:hAnsiTheme="minorHAnsi"/>
          <w:iCs/>
        </w:rPr>
        <w:t>levies</w:t>
      </w:r>
      <w:r>
        <w:rPr>
          <w:rFonts w:asciiTheme="minorHAnsi" w:hAnsiTheme="minorHAnsi"/>
          <w:iCs/>
        </w:rPr>
        <w:t xml:space="preserve"> </w:t>
      </w:r>
      <w:r w:rsidRPr="00CB3A40">
        <w:rPr>
          <w:rFonts w:asciiTheme="minorHAnsi" w:hAnsiTheme="minorHAnsi"/>
          <w:iCs/>
        </w:rPr>
        <w:t>imposed on regulated entities</w:t>
      </w:r>
      <w:r>
        <w:rPr>
          <w:rFonts w:asciiTheme="minorHAnsi" w:hAnsiTheme="minorHAnsi"/>
          <w:iCs/>
        </w:rPr>
        <w:t xml:space="preserve"> (see section 8 of the Levies Act and section 190 of the OEI Act).</w:t>
      </w:r>
    </w:p>
    <w:p w14:paraId="56619B73" w14:textId="77777777" w:rsidR="00F94186" w:rsidRDefault="00F94186" w:rsidP="00F94186">
      <w:pPr>
        <w:rPr>
          <w:rFonts w:asciiTheme="minorHAnsi" w:hAnsiTheme="minorHAnsi"/>
          <w:iCs/>
        </w:rPr>
      </w:pPr>
    </w:p>
    <w:p w14:paraId="79956703" w14:textId="77777777" w:rsidR="00F94186" w:rsidRDefault="00F94186" w:rsidP="00F94186">
      <w:pPr>
        <w:rPr>
          <w:rFonts w:asciiTheme="minorHAnsi" w:hAnsiTheme="minorHAnsi"/>
          <w:iCs/>
        </w:rPr>
      </w:pPr>
      <w:r w:rsidRPr="0010026A">
        <w:rPr>
          <w:rFonts w:asciiTheme="minorHAnsi" w:hAnsiTheme="minorHAnsi"/>
          <w:iCs/>
        </w:rPr>
        <w:t xml:space="preserve">The </w:t>
      </w:r>
      <w:r>
        <w:rPr>
          <w:rFonts w:asciiTheme="minorHAnsi" w:hAnsiTheme="minorHAnsi"/>
          <w:iCs/>
        </w:rPr>
        <w:t xml:space="preserve">OEI </w:t>
      </w:r>
      <w:r w:rsidRPr="0010026A">
        <w:rPr>
          <w:rFonts w:asciiTheme="minorHAnsi" w:hAnsiTheme="minorHAnsi"/>
          <w:iCs/>
        </w:rPr>
        <w:t xml:space="preserve">legislative framework will operate on a cost recovery basis through fees and levies and is not designed to generate revenue above costs incurred by the Commonwealth Government (including the Registrar, Regulator and </w:t>
      </w:r>
      <w:r w:rsidRPr="00682EA1">
        <w:rPr>
          <w:rFonts w:asciiTheme="minorHAnsi" w:hAnsiTheme="minorHAnsi"/>
          <w:iCs/>
        </w:rPr>
        <w:t>DISER</w:t>
      </w:r>
      <w:r w:rsidRPr="0010026A">
        <w:rPr>
          <w:rFonts w:asciiTheme="minorHAnsi" w:hAnsiTheme="minorHAnsi"/>
          <w:iCs/>
        </w:rPr>
        <w:t>) for regulating the OEI industry.</w:t>
      </w:r>
    </w:p>
    <w:p w14:paraId="739DCEEE" w14:textId="77777777" w:rsidR="00F94186" w:rsidRDefault="00F94186" w:rsidP="00F94186">
      <w:pPr>
        <w:rPr>
          <w:rFonts w:asciiTheme="minorHAnsi" w:hAnsiTheme="minorHAnsi"/>
          <w:iCs/>
        </w:rPr>
      </w:pPr>
    </w:p>
    <w:p w14:paraId="08186F95" w14:textId="6E0DD1F1" w:rsidR="00F94186" w:rsidRPr="00CB3A40" w:rsidRDefault="00AA1649" w:rsidP="00F94186">
      <w:pPr>
        <w:rPr>
          <w:rFonts w:asciiTheme="minorHAnsi" w:hAnsiTheme="minorHAnsi"/>
          <w:iCs/>
        </w:rPr>
      </w:pPr>
      <w:r>
        <w:rPr>
          <w:rFonts w:asciiTheme="minorHAnsi" w:hAnsiTheme="minorHAnsi"/>
          <w:iCs/>
        </w:rPr>
        <w:t>It is Government p</w:t>
      </w:r>
      <w:r w:rsidR="00F94186">
        <w:rPr>
          <w:rFonts w:asciiTheme="minorHAnsi" w:hAnsiTheme="minorHAnsi"/>
          <w:iCs/>
        </w:rPr>
        <w:t>olicy</w:t>
      </w:r>
      <w:r>
        <w:rPr>
          <w:rFonts w:asciiTheme="minorHAnsi" w:hAnsiTheme="minorHAnsi"/>
          <w:iCs/>
        </w:rPr>
        <w:t xml:space="preserve"> that </w:t>
      </w:r>
      <w:r w:rsidR="00F94186">
        <w:rPr>
          <w:rFonts w:asciiTheme="minorHAnsi" w:hAnsiTheme="minorHAnsi"/>
          <w:iCs/>
        </w:rPr>
        <w:t>full cost recovery charging</w:t>
      </w:r>
      <w:r>
        <w:rPr>
          <w:rFonts w:asciiTheme="minorHAnsi" w:hAnsiTheme="minorHAnsi"/>
          <w:iCs/>
        </w:rPr>
        <w:t xml:space="preserve"> is implemented</w:t>
      </w:r>
      <w:r w:rsidR="00F94186">
        <w:rPr>
          <w:rFonts w:asciiTheme="minorHAnsi" w:hAnsiTheme="minorHAnsi"/>
          <w:iCs/>
        </w:rPr>
        <w:t xml:space="preserve"> for all government activities in relation to the offshore infrastructure regulatory framework</w:t>
      </w:r>
      <w:r>
        <w:rPr>
          <w:rFonts w:asciiTheme="minorHAnsi" w:hAnsiTheme="minorHAnsi"/>
          <w:iCs/>
        </w:rPr>
        <w:t>.</w:t>
      </w:r>
      <w:r w:rsidR="00F94186">
        <w:rPr>
          <w:rFonts w:asciiTheme="minorHAnsi" w:hAnsiTheme="minorHAnsi"/>
          <w:iCs/>
        </w:rPr>
        <w:t xml:space="preserve"> </w:t>
      </w:r>
    </w:p>
    <w:p w14:paraId="4A3F4F73" w14:textId="77777777" w:rsidR="00EC6523" w:rsidRPr="00F2024B" w:rsidRDefault="00EC6523" w:rsidP="00EC6523">
      <w:pPr>
        <w:pStyle w:val="Heading2"/>
        <w:tabs>
          <w:tab w:val="clear" w:pos="576"/>
          <w:tab w:val="num" w:pos="709"/>
        </w:tabs>
        <w:ind w:left="709" w:hanging="709"/>
        <w:rPr>
          <w:rFonts w:asciiTheme="minorHAnsi" w:hAnsiTheme="minorHAnsi" w:cstheme="minorHAnsi"/>
          <w:i w:val="0"/>
          <w:iCs w:val="0"/>
        </w:rPr>
      </w:pPr>
      <w:bookmarkStart w:id="7" w:name="_Toc98772152"/>
      <w:r w:rsidRPr="00F2024B">
        <w:rPr>
          <w:rFonts w:asciiTheme="minorHAnsi" w:hAnsiTheme="minorHAnsi" w:cstheme="minorHAnsi"/>
          <w:i w:val="0"/>
          <w:iCs w:val="0"/>
        </w:rPr>
        <w:t>Statutory authority to charge</w:t>
      </w:r>
      <w:bookmarkEnd w:id="7"/>
    </w:p>
    <w:p w14:paraId="79D7CEE8" w14:textId="77777777" w:rsidR="00EC6523" w:rsidRDefault="00EC6523" w:rsidP="00EC6523">
      <w:pPr>
        <w:rPr>
          <w:rFonts w:asciiTheme="minorHAnsi" w:hAnsiTheme="minorHAnsi" w:cstheme="minorHAnsi"/>
        </w:rPr>
      </w:pPr>
    </w:p>
    <w:p w14:paraId="67299C34" w14:textId="6822D32D" w:rsidR="00EC6523" w:rsidRDefault="00EC6523" w:rsidP="00EC6523">
      <w:pPr>
        <w:rPr>
          <w:rFonts w:asciiTheme="minorHAnsi" w:hAnsiTheme="minorHAnsi" w:cstheme="minorHAnsi"/>
        </w:rPr>
      </w:pPr>
      <w:r w:rsidRPr="007D7A99">
        <w:rPr>
          <w:rFonts w:asciiTheme="minorHAnsi" w:hAnsiTheme="minorHAnsi" w:cstheme="minorHAnsi"/>
        </w:rPr>
        <w:t xml:space="preserve">The legal authority to impose </w:t>
      </w:r>
      <w:r w:rsidR="00C3253B">
        <w:rPr>
          <w:rFonts w:asciiTheme="minorHAnsi" w:hAnsiTheme="minorHAnsi" w:cstheme="minorHAnsi"/>
        </w:rPr>
        <w:t>an offshore electricity infrastructure levy</w:t>
      </w:r>
      <w:r w:rsidRPr="007D7A99">
        <w:rPr>
          <w:rFonts w:asciiTheme="minorHAnsi" w:hAnsiTheme="minorHAnsi" w:cstheme="minorHAnsi"/>
        </w:rPr>
        <w:t xml:space="preserve"> is contained in Part </w:t>
      </w:r>
      <w:r w:rsidR="00C3253B">
        <w:rPr>
          <w:rFonts w:asciiTheme="minorHAnsi" w:hAnsiTheme="minorHAnsi" w:cstheme="minorHAnsi"/>
        </w:rPr>
        <w:t>2</w:t>
      </w:r>
      <w:r w:rsidRPr="007D7A99">
        <w:rPr>
          <w:rFonts w:asciiTheme="minorHAnsi" w:hAnsiTheme="minorHAnsi" w:cstheme="minorHAnsi"/>
        </w:rPr>
        <w:t xml:space="preserve"> of the </w:t>
      </w:r>
      <w:r>
        <w:rPr>
          <w:rFonts w:asciiTheme="minorHAnsi" w:hAnsiTheme="minorHAnsi" w:cstheme="minorHAnsi"/>
          <w:iCs/>
        </w:rPr>
        <w:t>L</w:t>
      </w:r>
      <w:r w:rsidRPr="00C353A0">
        <w:rPr>
          <w:rFonts w:asciiTheme="minorHAnsi" w:hAnsiTheme="minorHAnsi" w:cstheme="minorHAnsi"/>
          <w:iCs/>
        </w:rPr>
        <w:t>evies Act</w:t>
      </w:r>
      <w:r w:rsidRPr="007D7A99">
        <w:rPr>
          <w:rFonts w:asciiTheme="minorHAnsi" w:hAnsiTheme="minorHAnsi" w:cstheme="minorHAnsi"/>
        </w:rPr>
        <w:t xml:space="preserve">. The amounts are prescribed in the </w:t>
      </w:r>
      <w:r w:rsidRPr="007D7A99">
        <w:rPr>
          <w:rFonts w:asciiTheme="minorHAnsi" w:hAnsiTheme="minorHAnsi" w:cstheme="minorHAnsi"/>
          <w:i/>
        </w:rPr>
        <w:t xml:space="preserve">Offshore </w:t>
      </w:r>
      <w:r w:rsidR="00C3253B">
        <w:rPr>
          <w:rFonts w:asciiTheme="minorHAnsi" w:hAnsiTheme="minorHAnsi" w:cstheme="minorHAnsi"/>
          <w:i/>
        </w:rPr>
        <w:t>Electricity Infrastructure</w:t>
      </w:r>
      <w:r w:rsidRPr="007D7A99">
        <w:rPr>
          <w:rFonts w:asciiTheme="minorHAnsi" w:hAnsiTheme="minorHAnsi" w:cstheme="minorHAnsi"/>
          <w:i/>
        </w:rPr>
        <w:t xml:space="preserve"> (Regulatory Levies) Regulations 20</w:t>
      </w:r>
      <w:r w:rsidR="00C3253B">
        <w:rPr>
          <w:rFonts w:asciiTheme="minorHAnsi" w:hAnsiTheme="minorHAnsi" w:cstheme="minorHAnsi"/>
          <w:i/>
        </w:rPr>
        <w:t>22</w:t>
      </w:r>
      <w:r w:rsidRPr="007D7A99">
        <w:rPr>
          <w:rFonts w:asciiTheme="minorHAnsi" w:hAnsiTheme="minorHAnsi" w:cstheme="minorHAnsi"/>
        </w:rPr>
        <w:t>.</w:t>
      </w:r>
      <w:r>
        <w:rPr>
          <w:rFonts w:asciiTheme="minorHAnsi" w:hAnsiTheme="minorHAnsi" w:cstheme="minorHAnsi"/>
        </w:rPr>
        <w:t xml:space="preserve"> </w:t>
      </w:r>
      <w:r w:rsidRPr="007D7A99">
        <w:rPr>
          <w:rFonts w:asciiTheme="minorHAnsi" w:hAnsiTheme="minorHAnsi" w:cstheme="minorHAnsi"/>
        </w:rPr>
        <w:t xml:space="preserve">The legal authority to prescribe application fees can be found in </w:t>
      </w:r>
      <w:r>
        <w:rPr>
          <w:rFonts w:asciiTheme="minorHAnsi" w:hAnsiTheme="minorHAnsi" w:cstheme="minorHAnsi"/>
        </w:rPr>
        <w:t>Chapter</w:t>
      </w:r>
      <w:r w:rsidRPr="007D7A99">
        <w:rPr>
          <w:rFonts w:asciiTheme="minorHAnsi" w:hAnsiTheme="minorHAnsi" w:cstheme="minorHAnsi"/>
        </w:rPr>
        <w:t xml:space="preserve"> </w:t>
      </w:r>
      <w:r w:rsidR="00C3253B">
        <w:rPr>
          <w:rFonts w:asciiTheme="minorHAnsi" w:hAnsiTheme="minorHAnsi" w:cstheme="minorHAnsi"/>
        </w:rPr>
        <w:t>5</w:t>
      </w:r>
      <w:r w:rsidRPr="007D7A99">
        <w:rPr>
          <w:rFonts w:asciiTheme="minorHAnsi" w:hAnsiTheme="minorHAnsi" w:cstheme="minorHAnsi"/>
        </w:rPr>
        <w:t xml:space="preserve"> of the </w:t>
      </w:r>
      <w:r>
        <w:rPr>
          <w:rFonts w:asciiTheme="minorHAnsi" w:hAnsiTheme="minorHAnsi" w:cstheme="minorHAnsi"/>
        </w:rPr>
        <w:t>O</w:t>
      </w:r>
      <w:r w:rsidR="00C3253B">
        <w:rPr>
          <w:rFonts w:asciiTheme="minorHAnsi" w:hAnsiTheme="minorHAnsi" w:cstheme="minorHAnsi"/>
        </w:rPr>
        <w:t>EI</w:t>
      </w:r>
      <w:r>
        <w:rPr>
          <w:rFonts w:asciiTheme="minorHAnsi" w:hAnsiTheme="minorHAnsi" w:cstheme="minorHAnsi"/>
        </w:rPr>
        <w:t xml:space="preserve"> Act</w:t>
      </w:r>
      <w:r w:rsidRPr="007D7A99">
        <w:rPr>
          <w:rFonts w:asciiTheme="minorHAnsi" w:hAnsiTheme="minorHAnsi" w:cstheme="minorHAnsi"/>
        </w:rPr>
        <w:t xml:space="preserve">. The fees are prescribed in the </w:t>
      </w:r>
      <w:r w:rsidRPr="007D7A99">
        <w:rPr>
          <w:rFonts w:asciiTheme="minorHAnsi" w:hAnsiTheme="minorHAnsi" w:cstheme="minorHAnsi"/>
          <w:i/>
          <w:iCs/>
        </w:rPr>
        <w:t xml:space="preserve">Offshore </w:t>
      </w:r>
      <w:r w:rsidR="00C3253B">
        <w:rPr>
          <w:rFonts w:asciiTheme="minorHAnsi" w:hAnsiTheme="minorHAnsi" w:cstheme="minorHAnsi"/>
          <w:i/>
          <w:iCs/>
        </w:rPr>
        <w:t>Electricity Infrastructure</w:t>
      </w:r>
      <w:r w:rsidRPr="007D7A99">
        <w:rPr>
          <w:rFonts w:asciiTheme="minorHAnsi" w:hAnsiTheme="minorHAnsi" w:cstheme="minorHAnsi"/>
          <w:i/>
          <w:iCs/>
        </w:rPr>
        <w:t xml:space="preserve"> Regulations 20</w:t>
      </w:r>
      <w:r w:rsidR="00C3253B">
        <w:rPr>
          <w:rFonts w:asciiTheme="minorHAnsi" w:hAnsiTheme="minorHAnsi" w:cstheme="minorHAnsi"/>
          <w:i/>
          <w:iCs/>
        </w:rPr>
        <w:t>22</w:t>
      </w:r>
      <w:r w:rsidRPr="007D7A99">
        <w:rPr>
          <w:rFonts w:asciiTheme="minorHAnsi" w:hAnsiTheme="minorHAnsi" w:cstheme="minorHAnsi"/>
        </w:rPr>
        <w:t>.</w:t>
      </w:r>
    </w:p>
    <w:p w14:paraId="425A75E5" w14:textId="77777777" w:rsidR="00EC6523" w:rsidRPr="007D7A99" w:rsidRDefault="00EC6523" w:rsidP="00EC6523">
      <w:pPr>
        <w:rPr>
          <w:rFonts w:asciiTheme="minorHAnsi" w:hAnsiTheme="minorHAnsi" w:cstheme="minorHAnsi"/>
        </w:rPr>
      </w:pPr>
    </w:p>
    <w:p w14:paraId="2B3F06D6" w14:textId="77777777" w:rsidR="00EC6523" w:rsidRDefault="00EC6523" w:rsidP="00EC6523">
      <w:pPr>
        <w:pStyle w:val="Heading1"/>
        <w:tabs>
          <w:tab w:val="clear" w:pos="432"/>
          <w:tab w:val="num" w:pos="709"/>
        </w:tabs>
        <w:ind w:left="709" w:hanging="709"/>
        <w:jc w:val="left"/>
        <w:rPr>
          <w:rFonts w:asciiTheme="minorHAnsi" w:hAnsiTheme="minorHAnsi" w:cstheme="minorHAnsi"/>
          <w:b/>
          <w:bCs/>
          <w:i w:val="0"/>
          <w:iCs w:val="0"/>
          <w:sz w:val="32"/>
          <w:szCs w:val="32"/>
        </w:rPr>
      </w:pPr>
      <w:bookmarkStart w:id="8" w:name="_Toc98772153"/>
      <w:r w:rsidRPr="00727004">
        <w:rPr>
          <w:rFonts w:asciiTheme="minorHAnsi" w:hAnsiTheme="minorHAnsi" w:cstheme="minorHAnsi"/>
          <w:b/>
          <w:bCs/>
          <w:i w:val="0"/>
          <w:iCs w:val="0"/>
          <w:sz w:val="32"/>
          <w:szCs w:val="32"/>
        </w:rPr>
        <w:t>KEY FORWARD DATES AND EVENTS</w:t>
      </w:r>
      <w:bookmarkEnd w:id="8"/>
    </w:p>
    <w:p w14:paraId="2BF61071" w14:textId="77777777" w:rsidR="00EC6523" w:rsidRDefault="00EC6523" w:rsidP="00EC6523">
      <w:pPr>
        <w:rPr>
          <w:lang w:val="en-US"/>
        </w:rPr>
      </w:pPr>
    </w:p>
    <w:p w14:paraId="19E18A95" w14:textId="77777777" w:rsidR="00EC6523" w:rsidRPr="00AC1494" w:rsidRDefault="00EC6523" w:rsidP="00EC6523">
      <w:pPr>
        <w:rPr>
          <w:rFonts w:asciiTheme="minorHAnsi" w:hAnsiTheme="minorHAnsi" w:cstheme="minorHAnsi"/>
          <w:iCs/>
        </w:rPr>
      </w:pPr>
      <w:r w:rsidRPr="00AC1494">
        <w:rPr>
          <w:rFonts w:asciiTheme="minorHAnsi" w:hAnsiTheme="minorHAnsi" w:cstheme="minorHAnsi"/>
          <w:iCs/>
        </w:rPr>
        <w:t>Key dates and events for the cost recovered activity include:</w:t>
      </w:r>
    </w:p>
    <w:p w14:paraId="7C8E2D33" w14:textId="77777777" w:rsidR="00EC6523" w:rsidRPr="00AC1494" w:rsidRDefault="00EC6523" w:rsidP="00EC6523">
      <w:pPr>
        <w:rPr>
          <w:rFonts w:asciiTheme="minorHAnsi" w:hAnsiTheme="minorHAnsi" w:cstheme="minorHAnsi"/>
          <w:iCs/>
        </w:rPr>
      </w:pPr>
    </w:p>
    <w:tbl>
      <w:tblPr>
        <w:tblStyle w:val="TableGrid"/>
        <w:tblW w:w="966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Key forward dates and events"/>
      </w:tblPr>
      <w:tblGrid>
        <w:gridCol w:w="1780"/>
        <w:gridCol w:w="7888"/>
      </w:tblGrid>
      <w:tr w:rsidR="00EC6523" w:rsidRPr="00AC1494" w14:paraId="028AED2E" w14:textId="77777777" w:rsidTr="007D5A32">
        <w:trPr>
          <w:trHeight w:val="252"/>
        </w:trPr>
        <w:tc>
          <w:tcPr>
            <w:tcW w:w="1780" w:type="dxa"/>
            <w:shd w:val="clear" w:color="auto" w:fill="auto"/>
          </w:tcPr>
          <w:p w14:paraId="7568EAC5" w14:textId="7D24C1E1" w:rsidR="00EC6523" w:rsidRPr="00AC1494" w:rsidRDefault="003451A0" w:rsidP="007D5A32">
            <w:pPr>
              <w:rPr>
                <w:rFonts w:asciiTheme="minorHAnsi" w:hAnsiTheme="minorHAnsi" w:cstheme="minorHAnsi"/>
                <w:iCs/>
              </w:rPr>
            </w:pPr>
            <w:r>
              <w:rPr>
                <w:rFonts w:asciiTheme="minorHAnsi" w:hAnsiTheme="minorHAnsi" w:cstheme="minorHAnsi"/>
                <w:iCs/>
              </w:rPr>
              <w:lastRenderedPageBreak/>
              <w:t>2</w:t>
            </w:r>
            <w:r w:rsidR="00EC6523">
              <w:rPr>
                <w:rFonts w:asciiTheme="minorHAnsi" w:hAnsiTheme="minorHAnsi" w:cstheme="minorHAnsi"/>
                <w:iCs/>
              </w:rPr>
              <w:t xml:space="preserve"> J</w:t>
            </w:r>
            <w:r w:rsidR="00C867A5">
              <w:rPr>
                <w:rFonts w:asciiTheme="minorHAnsi" w:hAnsiTheme="minorHAnsi" w:cstheme="minorHAnsi"/>
                <w:iCs/>
              </w:rPr>
              <w:t>u</w:t>
            </w:r>
            <w:r>
              <w:rPr>
                <w:rFonts w:asciiTheme="minorHAnsi" w:hAnsiTheme="minorHAnsi" w:cstheme="minorHAnsi"/>
                <w:iCs/>
              </w:rPr>
              <w:t>ne</w:t>
            </w:r>
            <w:r w:rsidR="00EC6523">
              <w:rPr>
                <w:rFonts w:asciiTheme="minorHAnsi" w:hAnsiTheme="minorHAnsi" w:cstheme="minorHAnsi"/>
                <w:iCs/>
              </w:rPr>
              <w:t xml:space="preserve"> 2022</w:t>
            </w:r>
          </w:p>
        </w:tc>
        <w:tc>
          <w:tcPr>
            <w:tcW w:w="7888" w:type="dxa"/>
            <w:shd w:val="clear" w:color="auto" w:fill="auto"/>
          </w:tcPr>
          <w:p w14:paraId="55038179" w14:textId="11E86E8B" w:rsidR="00EC6523" w:rsidRPr="00AC1494" w:rsidRDefault="00EC6523" w:rsidP="007D5A32">
            <w:pPr>
              <w:rPr>
                <w:rFonts w:asciiTheme="minorHAnsi" w:hAnsiTheme="minorHAnsi" w:cstheme="minorHAnsi"/>
                <w:i/>
                <w:iCs/>
                <w:color w:val="808080"/>
                <w:u w:val="single"/>
              </w:rPr>
            </w:pPr>
            <w:r>
              <w:rPr>
                <w:rFonts w:asciiTheme="minorHAnsi" w:hAnsiTheme="minorHAnsi" w:cstheme="minorHAnsi"/>
                <w:iCs/>
              </w:rPr>
              <w:t>Implementation of CRIS.</w:t>
            </w:r>
          </w:p>
        </w:tc>
      </w:tr>
      <w:tr w:rsidR="00EC6523" w:rsidRPr="00AC1494" w14:paraId="1D7C25BE" w14:textId="77777777" w:rsidTr="007D5A32">
        <w:trPr>
          <w:trHeight w:val="265"/>
        </w:trPr>
        <w:tc>
          <w:tcPr>
            <w:tcW w:w="1780" w:type="dxa"/>
            <w:shd w:val="clear" w:color="auto" w:fill="auto"/>
          </w:tcPr>
          <w:p w14:paraId="26B9B89B" w14:textId="77777777" w:rsidR="00EC6523" w:rsidRPr="00AC1494" w:rsidRDefault="00EC6523" w:rsidP="007D5A32">
            <w:pPr>
              <w:rPr>
                <w:rFonts w:asciiTheme="minorHAnsi" w:hAnsiTheme="minorHAnsi" w:cstheme="minorHAnsi"/>
                <w:iCs/>
              </w:rPr>
            </w:pPr>
          </w:p>
        </w:tc>
        <w:tc>
          <w:tcPr>
            <w:tcW w:w="7888" w:type="dxa"/>
            <w:shd w:val="clear" w:color="auto" w:fill="auto"/>
          </w:tcPr>
          <w:p w14:paraId="3DEBE34F" w14:textId="77777777" w:rsidR="00EC6523" w:rsidRPr="00AC1494" w:rsidRDefault="00EC6523" w:rsidP="007D5A32">
            <w:pPr>
              <w:rPr>
                <w:rFonts w:asciiTheme="minorHAnsi" w:hAnsiTheme="minorHAnsi" w:cstheme="minorHAnsi"/>
                <w:iCs/>
              </w:rPr>
            </w:pPr>
          </w:p>
        </w:tc>
      </w:tr>
    </w:tbl>
    <w:p w14:paraId="2DC4EB82" w14:textId="77777777" w:rsidR="00EC6523" w:rsidRPr="00F97DFB" w:rsidRDefault="00EC6523" w:rsidP="00EC6523">
      <w:pPr>
        <w:spacing w:before="360"/>
        <w:ind w:left="360"/>
        <w:rPr>
          <w:rFonts w:asciiTheme="minorHAnsi" w:hAnsiTheme="minorHAnsi"/>
          <w:b/>
          <w:sz w:val="6"/>
          <w:szCs w:val="6"/>
        </w:rPr>
      </w:pPr>
    </w:p>
    <w:p w14:paraId="768BAD82" w14:textId="77777777" w:rsidR="00EC6523" w:rsidRPr="00727004" w:rsidRDefault="00EC6523" w:rsidP="00EC6523">
      <w:pPr>
        <w:pStyle w:val="Heading1"/>
        <w:tabs>
          <w:tab w:val="clear" w:pos="432"/>
          <w:tab w:val="num" w:pos="709"/>
        </w:tabs>
        <w:ind w:left="709" w:hanging="709"/>
        <w:jc w:val="left"/>
        <w:rPr>
          <w:rFonts w:asciiTheme="minorHAnsi" w:hAnsiTheme="minorHAnsi" w:cstheme="minorHAnsi"/>
          <w:b/>
          <w:bCs/>
          <w:i w:val="0"/>
          <w:iCs w:val="0"/>
          <w:sz w:val="32"/>
          <w:szCs w:val="32"/>
        </w:rPr>
      </w:pPr>
      <w:bookmarkStart w:id="9" w:name="_Toc98772154"/>
      <w:r w:rsidRPr="00727004">
        <w:rPr>
          <w:rFonts w:asciiTheme="minorHAnsi" w:hAnsiTheme="minorHAnsi" w:cstheme="minorHAnsi"/>
          <w:b/>
          <w:bCs/>
          <w:i w:val="0"/>
          <w:iCs w:val="0"/>
          <w:sz w:val="32"/>
          <w:szCs w:val="32"/>
        </w:rPr>
        <w:t>CRIS APPROVAL AND CHANGE REGISTER</w:t>
      </w:r>
      <w:bookmarkEnd w:id="9"/>
    </w:p>
    <w:p w14:paraId="678C3D29" w14:textId="77777777" w:rsidR="00EC6523" w:rsidRDefault="00EC6523" w:rsidP="00EC6523">
      <w:pPr>
        <w:ind w:firstLine="284"/>
      </w:pPr>
    </w:p>
    <w:tbl>
      <w:tblPr>
        <w:tblStyle w:val="TableGrid"/>
        <w:tblW w:w="963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CRIS approval and change register"/>
      </w:tblPr>
      <w:tblGrid>
        <w:gridCol w:w="2263"/>
        <w:gridCol w:w="1848"/>
        <w:gridCol w:w="2410"/>
        <w:gridCol w:w="3118"/>
      </w:tblGrid>
      <w:tr w:rsidR="00EC6523" w:rsidRPr="00CC6ED3" w14:paraId="52F40372" w14:textId="77777777" w:rsidTr="00F97DFB">
        <w:trPr>
          <w:tblHeader/>
        </w:trPr>
        <w:tc>
          <w:tcPr>
            <w:tcW w:w="2263" w:type="dxa"/>
            <w:shd w:val="clear" w:color="auto" w:fill="auto"/>
          </w:tcPr>
          <w:p w14:paraId="0A1349E8" w14:textId="77777777" w:rsidR="00EC6523" w:rsidRPr="00CC6ED3" w:rsidRDefault="00EC6523" w:rsidP="007D5A32">
            <w:pPr>
              <w:rPr>
                <w:rFonts w:asciiTheme="minorHAnsi" w:hAnsiTheme="minorHAnsi"/>
                <w:b/>
                <w:iCs/>
              </w:rPr>
            </w:pPr>
            <w:r w:rsidRPr="00CC6ED3">
              <w:rPr>
                <w:rFonts w:asciiTheme="minorHAnsi" w:hAnsiTheme="minorHAnsi"/>
                <w:b/>
                <w:iCs/>
              </w:rPr>
              <w:t>Date of CRIS change</w:t>
            </w:r>
          </w:p>
        </w:tc>
        <w:tc>
          <w:tcPr>
            <w:tcW w:w="1848" w:type="dxa"/>
            <w:shd w:val="clear" w:color="auto" w:fill="auto"/>
          </w:tcPr>
          <w:p w14:paraId="2106EE00" w14:textId="77777777" w:rsidR="00EC6523" w:rsidRPr="00CC6ED3" w:rsidRDefault="00EC6523" w:rsidP="007D5A32">
            <w:pPr>
              <w:rPr>
                <w:rFonts w:asciiTheme="minorHAnsi" w:hAnsiTheme="minorHAnsi"/>
                <w:b/>
                <w:i/>
                <w:iCs/>
                <w:color w:val="808080"/>
                <w:u w:val="single"/>
              </w:rPr>
            </w:pPr>
            <w:r w:rsidRPr="00CC6ED3">
              <w:rPr>
                <w:rFonts w:asciiTheme="minorHAnsi" w:hAnsiTheme="minorHAnsi"/>
                <w:b/>
                <w:iCs/>
              </w:rPr>
              <w:t>CRIS change</w:t>
            </w:r>
          </w:p>
        </w:tc>
        <w:tc>
          <w:tcPr>
            <w:tcW w:w="2410" w:type="dxa"/>
          </w:tcPr>
          <w:p w14:paraId="21E529A1" w14:textId="77777777" w:rsidR="00EC6523" w:rsidRPr="00CC6ED3" w:rsidRDefault="00EC6523" w:rsidP="007D5A32">
            <w:pPr>
              <w:rPr>
                <w:rFonts w:asciiTheme="minorHAnsi" w:hAnsiTheme="minorHAnsi"/>
                <w:b/>
                <w:iCs/>
              </w:rPr>
            </w:pPr>
            <w:r w:rsidRPr="00CC6ED3">
              <w:rPr>
                <w:rFonts w:asciiTheme="minorHAnsi" w:hAnsiTheme="minorHAnsi"/>
                <w:b/>
                <w:iCs/>
              </w:rPr>
              <w:t>Approver</w:t>
            </w:r>
          </w:p>
        </w:tc>
        <w:tc>
          <w:tcPr>
            <w:tcW w:w="3118" w:type="dxa"/>
          </w:tcPr>
          <w:p w14:paraId="6F7ABEBB" w14:textId="77777777" w:rsidR="00EC6523" w:rsidRPr="00CC6ED3" w:rsidRDefault="00EC6523" w:rsidP="007D5A32">
            <w:pPr>
              <w:rPr>
                <w:rFonts w:asciiTheme="minorHAnsi" w:hAnsiTheme="minorHAnsi"/>
                <w:b/>
                <w:iCs/>
              </w:rPr>
            </w:pPr>
            <w:r w:rsidRPr="00CC6ED3">
              <w:rPr>
                <w:rFonts w:asciiTheme="minorHAnsi" w:hAnsiTheme="minorHAnsi"/>
                <w:b/>
                <w:iCs/>
              </w:rPr>
              <w:t>Basis for change</w:t>
            </w:r>
          </w:p>
        </w:tc>
      </w:tr>
      <w:tr w:rsidR="00EC6523" w:rsidRPr="00664B28" w14:paraId="19D63F6A" w14:textId="77777777" w:rsidTr="00F97DFB">
        <w:tc>
          <w:tcPr>
            <w:tcW w:w="2263" w:type="dxa"/>
            <w:shd w:val="clear" w:color="auto" w:fill="auto"/>
          </w:tcPr>
          <w:p w14:paraId="7634FB76" w14:textId="77777777" w:rsidR="00EC6523" w:rsidRPr="0023148E" w:rsidRDefault="00EC6523" w:rsidP="007D5A32">
            <w:pPr>
              <w:rPr>
                <w:rFonts w:asciiTheme="minorHAnsi" w:hAnsiTheme="minorHAnsi"/>
                <w:iCs/>
              </w:rPr>
            </w:pPr>
            <w:r>
              <w:rPr>
                <w:rFonts w:asciiTheme="minorHAnsi" w:hAnsiTheme="minorHAnsi"/>
                <w:iCs/>
              </w:rPr>
              <w:t>[insert date]</w:t>
            </w:r>
          </w:p>
        </w:tc>
        <w:tc>
          <w:tcPr>
            <w:tcW w:w="1848" w:type="dxa"/>
            <w:shd w:val="clear" w:color="auto" w:fill="auto"/>
          </w:tcPr>
          <w:p w14:paraId="699FCFE8" w14:textId="77777777" w:rsidR="00EC6523" w:rsidRPr="0023148E" w:rsidRDefault="00EC6523" w:rsidP="007D5A32">
            <w:pPr>
              <w:rPr>
                <w:rFonts w:asciiTheme="minorHAnsi" w:hAnsiTheme="minorHAnsi"/>
                <w:iCs/>
              </w:rPr>
            </w:pPr>
            <w:r w:rsidRPr="0023148E">
              <w:rPr>
                <w:rFonts w:asciiTheme="minorHAnsi" w:hAnsiTheme="minorHAnsi"/>
                <w:iCs/>
              </w:rPr>
              <w:t>Update</w:t>
            </w:r>
          </w:p>
        </w:tc>
        <w:tc>
          <w:tcPr>
            <w:tcW w:w="2410" w:type="dxa"/>
          </w:tcPr>
          <w:p w14:paraId="32F7E2CE" w14:textId="77777777" w:rsidR="00EC6523" w:rsidRPr="0023148E" w:rsidRDefault="00EC6523" w:rsidP="007D5A32">
            <w:pPr>
              <w:rPr>
                <w:rFonts w:asciiTheme="minorHAnsi" w:hAnsiTheme="minorHAnsi"/>
                <w:iCs/>
              </w:rPr>
            </w:pPr>
            <w:r>
              <w:rPr>
                <w:rFonts w:asciiTheme="minorHAnsi" w:hAnsiTheme="minorHAnsi"/>
                <w:iCs/>
              </w:rPr>
              <w:t>[insert]</w:t>
            </w:r>
          </w:p>
        </w:tc>
        <w:tc>
          <w:tcPr>
            <w:tcW w:w="3118" w:type="dxa"/>
          </w:tcPr>
          <w:p w14:paraId="6AC4C569" w14:textId="214CF927" w:rsidR="00EC6523" w:rsidRPr="0023148E" w:rsidRDefault="00C867A5" w:rsidP="007D5A32">
            <w:pPr>
              <w:rPr>
                <w:rFonts w:asciiTheme="minorHAnsi" w:hAnsiTheme="minorHAnsi"/>
              </w:rPr>
            </w:pPr>
            <w:r>
              <w:rPr>
                <w:rFonts w:asciiTheme="minorHAnsi" w:hAnsiTheme="minorHAnsi"/>
              </w:rPr>
              <w:t>[insert]</w:t>
            </w:r>
          </w:p>
        </w:tc>
      </w:tr>
    </w:tbl>
    <w:p w14:paraId="6CC08D42" w14:textId="77777777" w:rsidR="00F94186" w:rsidRDefault="00F94186" w:rsidP="00F94186">
      <w:pPr>
        <w:pStyle w:val="Heading1"/>
        <w:numPr>
          <w:ilvl w:val="0"/>
          <w:numId w:val="0"/>
        </w:numPr>
        <w:ind w:left="709"/>
        <w:jc w:val="left"/>
        <w:rPr>
          <w:rFonts w:asciiTheme="minorHAnsi" w:hAnsiTheme="minorHAnsi" w:cstheme="minorHAnsi"/>
          <w:b/>
          <w:bCs/>
          <w:i w:val="0"/>
          <w:iCs w:val="0"/>
          <w:sz w:val="32"/>
          <w:szCs w:val="32"/>
        </w:rPr>
      </w:pPr>
    </w:p>
    <w:p w14:paraId="23C7A848" w14:textId="32CE130E" w:rsidR="001671F7" w:rsidRDefault="00BE6386" w:rsidP="004F1D63">
      <w:pPr>
        <w:pStyle w:val="Heading1"/>
        <w:tabs>
          <w:tab w:val="clear" w:pos="432"/>
          <w:tab w:val="num" w:pos="709"/>
        </w:tabs>
        <w:ind w:left="709" w:hanging="709"/>
        <w:jc w:val="left"/>
        <w:rPr>
          <w:rFonts w:asciiTheme="minorHAnsi" w:hAnsiTheme="minorHAnsi" w:cstheme="minorHAnsi"/>
          <w:b/>
          <w:bCs/>
          <w:i w:val="0"/>
          <w:iCs w:val="0"/>
          <w:sz w:val="32"/>
          <w:szCs w:val="32"/>
        </w:rPr>
      </w:pPr>
      <w:bookmarkStart w:id="10" w:name="_Toc98772155"/>
      <w:r>
        <w:rPr>
          <w:rFonts w:asciiTheme="minorHAnsi" w:hAnsiTheme="minorHAnsi" w:cstheme="minorHAnsi"/>
          <w:b/>
          <w:bCs/>
          <w:i w:val="0"/>
          <w:iCs w:val="0"/>
          <w:sz w:val="32"/>
          <w:szCs w:val="32"/>
        </w:rPr>
        <w:t>OVERVIEW</w:t>
      </w:r>
      <w:bookmarkEnd w:id="10"/>
      <w:r w:rsidR="004F1D63">
        <w:rPr>
          <w:rFonts w:asciiTheme="minorHAnsi" w:hAnsiTheme="minorHAnsi" w:cstheme="minorHAnsi"/>
          <w:b/>
          <w:bCs/>
          <w:i w:val="0"/>
          <w:iCs w:val="0"/>
          <w:sz w:val="32"/>
          <w:szCs w:val="32"/>
        </w:rPr>
        <w:t xml:space="preserve"> </w:t>
      </w:r>
    </w:p>
    <w:p w14:paraId="51CFA8E1" w14:textId="268EA99D" w:rsidR="00BE6386" w:rsidRDefault="00BE6386" w:rsidP="00BE6386">
      <w:pPr>
        <w:rPr>
          <w:lang w:val="en-US"/>
        </w:rPr>
      </w:pPr>
    </w:p>
    <w:p w14:paraId="3F30A070" w14:textId="533896FC" w:rsidR="00D57192" w:rsidRDefault="0075521B" w:rsidP="00D57192">
      <w:pPr>
        <w:rPr>
          <w:rFonts w:asciiTheme="minorHAnsi" w:hAnsiTheme="minorHAnsi" w:cstheme="minorHAnsi"/>
          <w:lang w:val="en-US"/>
        </w:rPr>
      </w:pPr>
      <w:r w:rsidRPr="00D57192">
        <w:rPr>
          <w:rFonts w:asciiTheme="minorHAnsi" w:hAnsiTheme="minorHAnsi" w:cstheme="minorHAnsi"/>
          <w:lang w:val="en-US"/>
        </w:rPr>
        <w:t>This CRIS sets out the co</w:t>
      </w:r>
      <w:r w:rsidR="00D22075">
        <w:rPr>
          <w:rFonts w:asciiTheme="minorHAnsi" w:hAnsiTheme="minorHAnsi" w:cstheme="minorHAnsi"/>
          <w:lang w:val="en-US"/>
        </w:rPr>
        <w:t>s</w:t>
      </w:r>
      <w:r w:rsidRPr="00D57192">
        <w:rPr>
          <w:rFonts w:asciiTheme="minorHAnsi" w:hAnsiTheme="minorHAnsi" w:cstheme="minorHAnsi"/>
          <w:lang w:val="en-US"/>
        </w:rPr>
        <w:t xml:space="preserve">t recovery framework for </w:t>
      </w:r>
      <w:r w:rsidR="00D22075">
        <w:rPr>
          <w:rFonts w:asciiTheme="minorHAnsi" w:hAnsiTheme="minorHAnsi" w:cstheme="minorHAnsi"/>
          <w:lang w:val="en-US"/>
        </w:rPr>
        <w:t>OEI</w:t>
      </w:r>
      <w:r w:rsidR="00D57192" w:rsidRPr="00D57192">
        <w:rPr>
          <w:rFonts w:asciiTheme="minorHAnsi" w:hAnsiTheme="minorHAnsi" w:cstheme="minorHAnsi"/>
          <w:lang w:val="en-US"/>
        </w:rPr>
        <w:t xml:space="preserve"> activities in Commonwealth waters</w:t>
      </w:r>
      <w:r w:rsidR="00802264">
        <w:rPr>
          <w:rFonts w:asciiTheme="minorHAnsi" w:hAnsiTheme="minorHAnsi" w:cstheme="minorHAnsi"/>
          <w:lang w:val="en-US"/>
        </w:rPr>
        <w:t xml:space="preserve"> which includes</w:t>
      </w:r>
      <w:r w:rsidR="000D0E31">
        <w:rPr>
          <w:rFonts w:asciiTheme="minorHAnsi" w:hAnsiTheme="minorHAnsi" w:cstheme="minorHAnsi"/>
          <w:lang w:val="en-US"/>
        </w:rPr>
        <w:t xml:space="preserve"> application fees and</w:t>
      </w:r>
      <w:r w:rsidR="002E683C">
        <w:rPr>
          <w:rFonts w:asciiTheme="minorHAnsi" w:hAnsiTheme="minorHAnsi" w:cstheme="minorHAnsi"/>
          <w:lang w:val="en-US"/>
        </w:rPr>
        <w:t xml:space="preserve"> regulatory</w:t>
      </w:r>
      <w:r w:rsidR="000D0E31">
        <w:rPr>
          <w:rFonts w:asciiTheme="minorHAnsi" w:hAnsiTheme="minorHAnsi" w:cstheme="minorHAnsi"/>
          <w:lang w:val="en-US"/>
        </w:rPr>
        <w:t xml:space="preserve"> levies. </w:t>
      </w:r>
    </w:p>
    <w:p w14:paraId="4F0CE76C" w14:textId="77777777" w:rsidR="00D57192" w:rsidRPr="00D57192" w:rsidRDefault="00D57192" w:rsidP="00D57192">
      <w:pPr>
        <w:rPr>
          <w:rFonts w:asciiTheme="minorHAnsi" w:hAnsiTheme="minorHAnsi" w:cstheme="minorHAnsi"/>
          <w:lang w:val="en-US"/>
        </w:rPr>
      </w:pPr>
    </w:p>
    <w:p w14:paraId="167FB3F9" w14:textId="15B7BA78" w:rsidR="00D57192" w:rsidRPr="00D57192" w:rsidRDefault="00D57192" w:rsidP="00D57192">
      <w:pPr>
        <w:pStyle w:val="ListParagraph"/>
        <w:numPr>
          <w:ilvl w:val="0"/>
          <w:numId w:val="13"/>
        </w:numPr>
        <w:contextualSpacing w:val="0"/>
        <w:rPr>
          <w:rFonts w:asciiTheme="minorHAnsi" w:hAnsiTheme="minorHAnsi" w:cstheme="minorHAnsi"/>
          <w:b/>
          <w:bCs/>
          <w:lang w:val="en-US"/>
        </w:rPr>
      </w:pPr>
      <w:r w:rsidRPr="00D57192">
        <w:rPr>
          <w:rFonts w:asciiTheme="minorHAnsi" w:hAnsiTheme="minorHAnsi" w:cstheme="minorHAnsi"/>
          <w:b/>
          <w:bCs/>
          <w:lang w:val="en-US"/>
        </w:rPr>
        <w:t xml:space="preserve">Application </w:t>
      </w:r>
      <w:r w:rsidR="00A24FC8">
        <w:rPr>
          <w:rFonts w:asciiTheme="minorHAnsi" w:hAnsiTheme="minorHAnsi" w:cstheme="minorHAnsi"/>
          <w:b/>
          <w:bCs/>
          <w:lang w:val="en-US"/>
        </w:rPr>
        <w:t xml:space="preserve">Cost Recovery </w:t>
      </w:r>
      <w:r w:rsidR="00740542">
        <w:rPr>
          <w:rFonts w:asciiTheme="minorHAnsi" w:hAnsiTheme="minorHAnsi" w:cstheme="minorHAnsi"/>
          <w:b/>
          <w:bCs/>
          <w:lang w:val="en-US"/>
        </w:rPr>
        <w:t>F</w:t>
      </w:r>
      <w:r w:rsidRPr="00D57192">
        <w:rPr>
          <w:rFonts w:asciiTheme="minorHAnsi" w:hAnsiTheme="minorHAnsi" w:cstheme="minorHAnsi"/>
          <w:b/>
          <w:bCs/>
          <w:lang w:val="en-US"/>
        </w:rPr>
        <w:t>ees</w:t>
      </w:r>
    </w:p>
    <w:p w14:paraId="388A4748" w14:textId="6F2E3535" w:rsidR="00D57192" w:rsidRDefault="00D57192" w:rsidP="00D57192">
      <w:pPr>
        <w:rPr>
          <w:rFonts w:asciiTheme="minorHAnsi" w:hAnsiTheme="minorHAnsi" w:cstheme="minorHAnsi"/>
          <w:lang w:val="en-US"/>
        </w:rPr>
      </w:pPr>
    </w:p>
    <w:p w14:paraId="5ABC123C" w14:textId="128B617C" w:rsidR="00D57192" w:rsidRDefault="00D64C21" w:rsidP="00D57192">
      <w:pPr>
        <w:rPr>
          <w:rFonts w:asciiTheme="minorHAnsi" w:hAnsiTheme="minorHAnsi" w:cstheme="minorHAnsi"/>
          <w:lang w:val="en-US"/>
        </w:rPr>
      </w:pPr>
      <w:r>
        <w:rPr>
          <w:rFonts w:asciiTheme="minorHAnsi" w:hAnsiTheme="minorHAnsi" w:cstheme="minorHAnsi"/>
          <w:lang w:val="en-US"/>
        </w:rPr>
        <w:t xml:space="preserve">Application </w:t>
      </w:r>
      <w:r w:rsidR="009A4839">
        <w:rPr>
          <w:rFonts w:asciiTheme="minorHAnsi" w:hAnsiTheme="minorHAnsi" w:cstheme="minorHAnsi"/>
          <w:lang w:val="en-US"/>
        </w:rPr>
        <w:t xml:space="preserve">cost recovery </w:t>
      </w:r>
      <w:r>
        <w:rPr>
          <w:rFonts w:asciiTheme="minorHAnsi" w:hAnsiTheme="minorHAnsi" w:cstheme="minorHAnsi"/>
          <w:lang w:val="en-US"/>
        </w:rPr>
        <w:t xml:space="preserve">fees are payable either to the Registrar or the Regulator and reflect the cost to that entity of receiving and assessing an application, making a recommendation to the decision-maker and implementing the decision. </w:t>
      </w:r>
    </w:p>
    <w:p w14:paraId="6AA2DED9" w14:textId="77777777" w:rsidR="00D64C21" w:rsidRPr="00D57192" w:rsidRDefault="00D64C21" w:rsidP="00D57192">
      <w:pPr>
        <w:rPr>
          <w:rFonts w:asciiTheme="minorHAnsi" w:hAnsiTheme="minorHAnsi" w:cstheme="minorHAnsi"/>
          <w:lang w:val="en-US"/>
        </w:rPr>
      </w:pPr>
    </w:p>
    <w:p w14:paraId="7E00C7E7" w14:textId="7EC61661" w:rsidR="00D57192" w:rsidRDefault="00A24FC8" w:rsidP="00D57192">
      <w:pPr>
        <w:pStyle w:val="ListParagraph"/>
        <w:numPr>
          <w:ilvl w:val="0"/>
          <w:numId w:val="13"/>
        </w:numPr>
        <w:contextualSpacing w:val="0"/>
        <w:rPr>
          <w:rFonts w:asciiTheme="minorHAnsi" w:hAnsiTheme="minorHAnsi" w:cstheme="minorHAnsi"/>
          <w:b/>
          <w:bCs/>
          <w:lang w:val="en-US"/>
        </w:rPr>
      </w:pPr>
      <w:r>
        <w:rPr>
          <w:rFonts w:asciiTheme="minorHAnsi" w:hAnsiTheme="minorHAnsi" w:cstheme="minorHAnsi"/>
          <w:b/>
          <w:bCs/>
          <w:lang w:val="en-US"/>
        </w:rPr>
        <w:t xml:space="preserve">Cost Recovery </w:t>
      </w:r>
      <w:r w:rsidR="00D57192" w:rsidRPr="00D57192">
        <w:rPr>
          <w:rFonts w:asciiTheme="minorHAnsi" w:hAnsiTheme="minorHAnsi" w:cstheme="minorHAnsi"/>
          <w:b/>
          <w:bCs/>
          <w:lang w:val="en-US"/>
        </w:rPr>
        <w:t>Levies</w:t>
      </w:r>
    </w:p>
    <w:p w14:paraId="64B31128" w14:textId="3AD5DCF8" w:rsidR="00D64C21" w:rsidRPr="00D64C21" w:rsidRDefault="00D64C21" w:rsidP="00D64C21">
      <w:pPr>
        <w:rPr>
          <w:rFonts w:asciiTheme="minorHAnsi" w:hAnsiTheme="minorHAnsi" w:cstheme="minorHAnsi"/>
          <w:lang w:val="en-US"/>
        </w:rPr>
      </w:pPr>
    </w:p>
    <w:p w14:paraId="398AF9F9" w14:textId="4506A36C" w:rsidR="00D64C21" w:rsidRPr="00D64C21" w:rsidRDefault="00D64C21" w:rsidP="00D64C21">
      <w:pPr>
        <w:rPr>
          <w:rFonts w:asciiTheme="minorHAnsi" w:hAnsiTheme="minorHAnsi" w:cstheme="minorHAnsi"/>
          <w:lang w:val="en-US"/>
        </w:rPr>
      </w:pPr>
      <w:r w:rsidRPr="00D64C21">
        <w:rPr>
          <w:rFonts w:asciiTheme="minorHAnsi" w:hAnsiTheme="minorHAnsi" w:cstheme="minorHAnsi"/>
          <w:lang w:val="en-US"/>
        </w:rPr>
        <w:t xml:space="preserve">The </w:t>
      </w:r>
      <w:r>
        <w:rPr>
          <w:rFonts w:asciiTheme="minorHAnsi" w:hAnsiTheme="minorHAnsi" w:cstheme="minorHAnsi"/>
          <w:lang w:val="en-US"/>
        </w:rPr>
        <w:t xml:space="preserve">regulatory </w:t>
      </w:r>
      <w:r w:rsidR="00A24FC8">
        <w:rPr>
          <w:rFonts w:asciiTheme="minorHAnsi" w:hAnsiTheme="minorHAnsi" w:cstheme="minorHAnsi"/>
          <w:lang w:val="en-US"/>
        </w:rPr>
        <w:t xml:space="preserve">cost recovery </w:t>
      </w:r>
      <w:r>
        <w:rPr>
          <w:rFonts w:asciiTheme="minorHAnsi" w:hAnsiTheme="minorHAnsi" w:cstheme="minorHAnsi"/>
          <w:lang w:val="en-US"/>
        </w:rPr>
        <w:t xml:space="preserve">levies comprise three components: </w:t>
      </w:r>
    </w:p>
    <w:p w14:paraId="38E08EA0" w14:textId="5385B99E" w:rsidR="00D57192" w:rsidRDefault="00D57192" w:rsidP="00D57192">
      <w:pPr>
        <w:rPr>
          <w:rFonts w:asciiTheme="minorHAnsi" w:hAnsiTheme="minorHAnsi" w:cstheme="minorHAnsi"/>
          <w:lang w:val="en-US"/>
        </w:rPr>
      </w:pPr>
    </w:p>
    <w:p w14:paraId="3B53BB2A" w14:textId="1DCFDDC3" w:rsidR="00D57192" w:rsidRDefault="00D57192" w:rsidP="00E8260B">
      <w:pPr>
        <w:pStyle w:val="ListParagraph"/>
        <w:numPr>
          <w:ilvl w:val="0"/>
          <w:numId w:val="14"/>
        </w:numPr>
        <w:ind w:left="567"/>
        <w:contextualSpacing w:val="0"/>
        <w:rPr>
          <w:rFonts w:asciiTheme="minorHAnsi" w:hAnsiTheme="minorHAnsi" w:cstheme="minorHAnsi"/>
          <w:bCs/>
        </w:rPr>
      </w:pPr>
      <w:r w:rsidRPr="00D57192">
        <w:rPr>
          <w:rFonts w:asciiTheme="minorHAnsi" w:hAnsiTheme="minorHAnsi" w:cstheme="minorHAnsi"/>
          <w:bCs/>
        </w:rPr>
        <w:t>Annual licence levy</w:t>
      </w:r>
    </w:p>
    <w:p w14:paraId="28335995" w14:textId="55008357" w:rsidR="00D64C21" w:rsidRPr="00D64C21" w:rsidRDefault="00D64C21" w:rsidP="00D64C21">
      <w:pPr>
        <w:rPr>
          <w:rFonts w:asciiTheme="minorHAnsi" w:hAnsiTheme="minorHAnsi" w:cstheme="minorHAnsi"/>
          <w:lang w:val="en-US"/>
        </w:rPr>
      </w:pPr>
    </w:p>
    <w:p w14:paraId="5B4EF280" w14:textId="77777777" w:rsidR="009C13BE" w:rsidRPr="009C13BE" w:rsidRDefault="009C13BE" w:rsidP="009C13BE">
      <w:pPr>
        <w:rPr>
          <w:rFonts w:asciiTheme="minorHAnsi" w:hAnsiTheme="minorHAnsi" w:cstheme="minorHAnsi"/>
          <w:lang w:val="en-US"/>
        </w:rPr>
      </w:pPr>
      <w:r w:rsidRPr="009C13BE">
        <w:rPr>
          <w:rFonts w:asciiTheme="minorHAnsi" w:hAnsiTheme="minorHAnsi" w:cstheme="minorHAnsi"/>
          <w:lang w:val="en-US"/>
        </w:rPr>
        <w:t>The annual licence levy is payable to the Registrar at the end of 30 days after the grant of a licence and annually thereafter at the end of 30 days after the anniversary date of the grant of the licence, for the duration of a licence. The annual licence levy will be applied differently based on licence type. This is to reflect the different nature of licences with feasibility, commercial, and research and demonstration licences being area-based while a transmission and infrastructure licence is point to point.</w:t>
      </w:r>
    </w:p>
    <w:p w14:paraId="7EBA02BF" w14:textId="77777777" w:rsidR="009C13BE" w:rsidRPr="009C13BE" w:rsidRDefault="009C13BE" w:rsidP="009C13BE">
      <w:pPr>
        <w:rPr>
          <w:rFonts w:asciiTheme="minorHAnsi" w:hAnsiTheme="minorHAnsi" w:cstheme="minorHAnsi"/>
          <w:lang w:val="en-US"/>
        </w:rPr>
      </w:pPr>
    </w:p>
    <w:p w14:paraId="410848F5" w14:textId="77777777" w:rsidR="009C13BE" w:rsidRPr="009C13BE" w:rsidRDefault="009C13BE" w:rsidP="009C13BE">
      <w:pPr>
        <w:rPr>
          <w:rFonts w:asciiTheme="minorHAnsi" w:hAnsiTheme="minorHAnsi" w:cstheme="minorHAnsi"/>
          <w:lang w:val="en-US"/>
        </w:rPr>
      </w:pPr>
      <w:r w:rsidRPr="009C13BE">
        <w:rPr>
          <w:rFonts w:asciiTheme="minorHAnsi" w:hAnsiTheme="minorHAnsi" w:cstheme="minorHAnsi"/>
          <w:lang w:val="en-US"/>
        </w:rPr>
        <w:t>It is anticipated that projects covering a larger area will incur higher administrative costs. Under the framework there is a requirement for licence holders to continue to meet the merit criteria and commence activities within a reasonable time. The annual licence levy has been designed with a base rate for all licence types, reflective of the need to cover administrative costs across all licences, and a variable component calculated on the basis of the total area of a particular licence with different rates for different licence types. It is expected the amount of effort required to monitor and manage the ongoing compliance requirements will increase with the size of the licence. The variable component intends to make sure the costs are split proportional to effort.</w:t>
      </w:r>
    </w:p>
    <w:p w14:paraId="75E3A44F" w14:textId="77777777" w:rsidR="009C13BE" w:rsidRPr="009C13BE" w:rsidRDefault="009C13BE" w:rsidP="009C13BE">
      <w:pPr>
        <w:rPr>
          <w:rFonts w:asciiTheme="minorHAnsi" w:hAnsiTheme="minorHAnsi" w:cstheme="minorHAnsi"/>
          <w:lang w:val="en-US"/>
        </w:rPr>
      </w:pPr>
    </w:p>
    <w:p w14:paraId="5592A321" w14:textId="5651973F" w:rsidR="00D64C21" w:rsidRDefault="009C13BE" w:rsidP="00D64C21">
      <w:pPr>
        <w:rPr>
          <w:rFonts w:asciiTheme="minorHAnsi" w:hAnsiTheme="minorHAnsi" w:cstheme="minorHAnsi"/>
        </w:rPr>
      </w:pPr>
      <w:r w:rsidRPr="009C13BE">
        <w:rPr>
          <w:rFonts w:asciiTheme="minorHAnsi" w:hAnsiTheme="minorHAnsi" w:cstheme="minorHAnsi"/>
          <w:lang w:val="en-US"/>
        </w:rPr>
        <w:t>The annual licence levy will cover costs to the Registrar for administration of the licensing scheme including licence compliance and reporting, maintaining the Register of Licences, stakeholder engagement and provision of compliance advice to the Minister.</w:t>
      </w:r>
    </w:p>
    <w:p w14:paraId="13242D39" w14:textId="77777777" w:rsidR="009C13BE" w:rsidRPr="00D64C21" w:rsidRDefault="009C13BE" w:rsidP="00D64C21">
      <w:pPr>
        <w:rPr>
          <w:rFonts w:asciiTheme="minorHAnsi" w:hAnsiTheme="minorHAnsi" w:cstheme="minorHAnsi"/>
          <w:bCs/>
        </w:rPr>
      </w:pPr>
    </w:p>
    <w:p w14:paraId="16400F14" w14:textId="7297B35E" w:rsidR="00D57192" w:rsidRDefault="00D57192" w:rsidP="00E8260B">
      <w:pPr>
        <w:pStyle w:val="ListParagraph"/>
        <w:numPr>
          <w:ilvl w:val="0"/>
          <w:numId w:val="14"/>
        </w:numPr>
        <w:ind w:left="567"/>
        <w:contextualSpacing w:val="0"/>
        <w:rPr>
          <w:rFonts w:asciiTheme="minorHAnsi" w:hAnsiTheme="minorHAnsi" w:cstheme="minorHAnsi"/>
          <w:bCs/>
        </w:rPr>
      </w:pPr>
      <w:r w:rsidRPr="00D57192">
        <w:rPr>
          <w:rFonts w:asciiTheme="minorHAnsi" w:hAnsiTheme="minorHAnsi" w:cstheme="minorHAnsi"/>
          <w:bCs/>
        </w:rPr>
        <w:t>A</w:t>
      </w:r>
      <w:r w:rsidR="006F0CB9">
        <w:rPr>
          <w:rFonts w:asciiTheme="minorHAnsi" w:hAnsiTheme="minorHAnsi" w:cstheme="minorHAnsi"/>
          <w:bCs/>
        </w:rPr>
        <w:t xml:space="preserve">nnual </w:t>
      </w:r>
      <w:r w:rsidR="004F2F2F">
        <w:rPr>
          <w:rFonts w:asciiTheme="minorHAnsi" w:hAnsiTheme="minorHAnsi" w:cstheme="minorHAnsi"/>
          <w:bCs/>
        </w:rPr>
        <w:t>c</w:t>
      </w:r>
      <w:r w:rsidRPr="00D57192">
        <w:rPr>
          <w:rFonts w:asciiTheme="minorHAnsi" w:hAnsiTheme="minorHAnsi" w:cstheme="minorHAnsi"/>
          <w:bCs/>
        </w:rPr>
        <w:t>ompliance levy</w:t>
      </w:r>
    </w:p>
    <w:p w14:paraId="5DCB4DA8" w14:textId="48AA33B9" w:rsidR="00176E1A" w:rsidRDefault="00176E1A" w:rsidP="00176E1A">
      <w:pPr>
        <w:rPr>
          <w:rFonts w:asciiTheme="minorHAnsi" w:hAnsiTheme="minorHAnsi" w:cstheme="minorHAnsi"/>
          <w:bCs/>
        </w:rPr>
      </w:pPr>
    </w:p>
    <w:p w14:paraId="1D24BF44" w14:textId="65519879" w:rsidR="000D0EE8" w:rsidRDefault="00585D25" w:rsidP="00585D25">
      <w:pPr>
        <w:rPr>
          <w:rFonts w:asciiTheme="minorHAnsi" w:hAnsiTheme="minorHAnsi" w:cstheme="minorHAnsi"/>
          <w:lang w:val="en-US"/>
        </w:rPr>
      </w:pPr>
      <w:r w:rsidRPr="00585D25">
        <w:rPr>
          <w:rFonts w:asciiTheme="minorHAnsi" w:hAnsiTheme="minorHAnsi" w:cstheme="minorHAnsi"/>
          <w:lang w:val="en-US"/>
        </w:rPr>
        <w:lastRenderedPageBreak/>
        <w:t>Th</w:t>
      </w:r>
      <w:r w:rsidR="006A1329">
        <w:rPr>
          <w:rFonts w:asciiTheme="minorHAnsi" w:hAnsiTheme="minorHAnsi" w:cstheme="minorHAnsi"/>
          <w:lang w:val="en-US"/>
        </w:rPr>
        <w:t>e</w:t>
      </w:r>
      <w:r>
        <w:rPr>
          <w:rFonts w:asciiTheme="minorHAnsi" w:hAnsiTheme="minorHAnsi" w:cstheme="minorHAnsi"/>
          <w:lang w:val="en-US"/>
        </w:rPr>
        <w:t xml:space="preserve"> </w:t>
      </w:r>
      <w:r w:rsidR="006F0CB9">
        <w:rPr>
          <w:rFonts w:asciiTheme="minorHAnsi" w:hAnsiTheme="minorHAnsi" w:cstheme="minorHAnsi"/>
          <w:lang w:val="en-US"/>
        </w:rPr>
        <w:t>annual</w:t>
      </w:r>
      <w:r>
        <w:rPr>
          <w:rFonts w:asciiTheme="minorHAnsi" w:hAnsiTheme="minorHAnsi" w:cstheme="minorHAnsi"/>
          <w:lang w:val="en-US"/>
        </w:rPr>
        <w:t xml:space="preserve"> compliance</w:t>
      </w:r>
      <w:r w:rsidRPr="00585D25">
        <w:rPr>
          <w:rFonts w:asciiTheme="minorHAnsi" w:hAnsiTheme="minorHAnsi" w:cstheme="minorHAnsi"/>
          <w:lang w:val="en-US"/>
        </w:rPr>
        <w:t xml:space="preserve"> levy is</w:t>
      </w:r>
      <w:r>
        <w:rPr>
          <w:rFonts w:asciiTheme="minorHAnsi" w:hAnsiTheme="minorHAnsi" w:cstheme="minorHAnsi"/>
          <w:lang w:val="en-US"/>
        </w:rPr>
        <w:t xml:space="preserve"> payable </w:t>
      </w:r>
      <w:r w:rsidR="000C3347">
        <w:rPr>
          <w:rFonts w:asciiTheme="minorHAnsi" w:hAnsiTheme="minorHAnsi" w:cstheme="minorHAnsi"/>
          <w:lang w:val="en-US"/>
        </w:rPr>
        <w:t xml:space="preserve">to the Regulator </w:t>
      </w:r>
      <w:r w:rsidR="006F0CB9" w:rsidRPr="006F0CB9">
        <w:rPr>
          <w:rFonts w:asciiTheme="minorHAnsi" w:hAnsiTheme="minorHAnsi" w:cstheme="minorHAnsi"/>
          <w:lang w:val="en-US"/>
        </w:rPr>
        <w:t>at the end of 30 days after the grant of a licence and then annually thereafter within 30 days of the anniversary of the grant of the licence.</w:t>
      </w:r>
      <w:r w:rsidR="00C169DB" w:rsidRPr="00C169DB">
        <w:rPr>
          <w:rFonts w:asciiTheme="minorHAnsi" w:hAnsiTheme="minorHAnsi" w:cstheme="minorHAnsi"/>
          <w:lang w:val="en-US"/>
        </w:rPr>
        <w:t xml:space="preserve"> </w:t>
      </w:r>
      <w:r w:rsidR="00C169DB" w:rsidRPr="00585D25">
        <w:rPr>
          <w:rFonts w:asciiTheme="minorHAnsi" w:hAnsiTheme="minorHAnsi" w:cstheme="minorHAnsi"/>
          <w:lang w:val="en-US"/>
        </w:rPr>
        <w:t>Th</w:t>
      </w:r>
      <w:r w:rsidR="00C169DB">
        <w:rPr>
          <w:rFonts w:asciiTheme="minorHAnsi" w:hAnsiTheme="minorHAnsi" w:cstheme="minorHAnsi"/>
          <w:lang w:val="en-US"/>
        </w:rPr>
        <w:t>e annual compliance</w:t>
      </w:r>
      <w:r w:rsidR="00C169DB" w:rsidRPr="00585D25">
        <w:rPr>
          <w:rFonts w:asciiTheme="minorHAnsi" w:hAnsiTheme="minorHAnsi" w:cstheme="minorHAnsi"/>
          <w:lang w:val="en-US"/>
        </w:rPr>
        <w:t xml:space="preserve"> levy</w:t>
      </w:r>
      <w:r w:rsidR="00C169DB">
        <w:rPr>
          <w:rFonts w:asciiTheme="minorHAnsi" w:hAnsiTheme="minorHAnsi" w:cstheme="minorHAnsi"/>
          <w:lang w:val="en-US"/>
        </w:rPr>
        <w:t xml:space="preserve"> will </w:t>
      </w:r>
      <w:r w:rsidR="00D84F1E" w:rsidRPr="00D84F1E">
        <w:rPr>
          <w:rFonts w:asciiTheme="minorHAnsi" w:hAnsiTheme="minorHAnsi" w:cstheme="minorHAnsi"/>
          <w:lang w:val="en-US"/>
        </w:rPr>
        <w:t>apply to all licence holders as an ongoing annual levy payable for the duration of a licence</w:t>
      </w:r>
      <w:r w:rsidR="00D84F1E">
        <w:rPr>
          <w:rFonts w:asciiTheme="minorHAnsi" w:hAnsiTheme="minorHAnsi" w:cstheme="minorHAnsi"/>
          <w:lang w:val="en-US"/>
        </w:rPr>
        <w:t xml:space="preserve">. </w:t>
      </w:r>
    </w:p>
    <w:p w14:paraId="7FA96A5F" w14:textId="77777777" w:rsidR="00D84F1E" w:rsidRDefault="00D84F1E" w:rsidP="00585D25">
      <w:pPr>
        <w:rPr>
          <w:rFonts w:asciiTheme="minorHAnsi" w:hAnsiTheme="minorHAnsi" w:cstheme="minorHAnsi"/>
          <w:lang w:val="en-US"/>
        </w:rPr>
      </w:pPr>
    </w:p>
    <w:p w14:paraId="3B9B1EBF" w14:textId="637476F4" w:rsidR="000170D3" w:rsidRDefault="00D84F1E" w:rsidP="00D84F1E">
      <w:pPr>
        <w:rPr>
          <w:rFonts w:asciiTheme="minorHAnsi" w:hAnsiTheme="minorHAnsi" w:cstheme="minorHAnsi"/>
          <w:lang w:val="en-US"/>
        </w:rPr>
      </w:pPr>
      <w:r>
        <w:rPr>
          <w:rFonts w:asciiTheme="minorHAnsi" w:hAnsiTheme="minorHAnsi" w:cstheme="minorHAnsi"/>
          <w:lang w:val="en-US"/>
        </w:rPr>
        <w:t xml:space="preserve">The annual compliance levy </w:t>
      </w:r>
      <w:r w:rsidRPr="00D84F1E">
        <w:rPr>
          <w:rFonts w:asciiTheme="minorHAnsi" w:hAnsiTheme="minorHAnsi" w:cstheme="minorHAnsi"/>
          <w:lang w:val="en-US"/>
        </w:rPr>
        <w:t xml:space="preserve">will be variable reflective of the complexity of activities authorised by different licence types with licences that authorise more complex activities attracting higher levies. </w:t>
      </w:r>
      <w:r>
        <w:rPr>
          <w:rFonts w:asciiTheme="minorHAnsi" w:hAnsiTheme="minorHAnsi" w:cstheme="minorHAnsi"/>
          <w:lang w:val="en-US"/>
        </w:rPr>
        <w:t xml:space="preserve">It will be constructed </w:t>
      </w:r>
      <w:r w:rsidR="00D53987">
        <w:rPr>
          <w:rFonts w:asciiTheme="minorHAnsi" w:hAnsiTheme="minorHAnsi" w:cstheme="minorHAnsi"/>
          <w:lang w:val="en-US"/>
        </w:rPr>
        <w:t xml:space="preserve">similar to the annual licence levy with </w:t>
      </w:r>
      <w:r w:rsidRPr="00D84F1E">
        <w:rPr>
          <w:rFonts w:asciiTheme="minorHAnsi" w:hAnsiTheme="minorHAnsi" w:cstheme="minorHAnsi"/>
          <w:lang w:val="en-US"/>
        </w:rPr>
        <w:t xml:space="preserve">a base rate </w:t>
      </w:r>
      <w:r w:rsidR="00D53987">
        <w:rPr>
          <w:rFonts w:asciiTheme="minorHAnsi" w:hAnsiTheme="minorHAnsi" w:cstheme="minorHAnsi"/>
          <w:lang w:val="en-US"/>
        </w:rPr>
        <w:t>for all licence types</w:t>
      </w:r>
      <w:r w:rsidRPr="00D84F1E">
        <w:rPr>
          <w:rFonts w:asciiTheme="minorHAnsi" w:hAnsiTheme="minorHAnsi" w:cstheme="minorHAnsi"/>
          <w:lang w:val="en-US"/>
        </w:rPr>
        <w:t>, reflective of the need for advice, guidance and compliance monitoring across all licences, and</w:t>
      </w:r>
      <w:r w:rsidR="00D53987" w:rsidRPr="00D64C21">
        <w:rPr>
          <w:rFonts w:asciiTheme="minorHAnsi" w:hAnsiTheme="minorHAnsi" w:cstheme="minorHAnsi"/>
          <w:lang w:val="en-US"/>
        </w:rPr>
        <w:t xml:space="preserve"> a variable component </w:t>
      </w:r>
      <w:r w:rsidR="000170D3">
        <w:rPr>
          <w:rFonts w:asciiTheme="minorHAnsi" w:hAnsiTheme="minorHAnsi" w:cstheme="minorHAnsi"/>
          <w:lang w:val="en-US"/>
        </w:rPr>
        <w:t xml:space="preserve">for feasibility, commercial and research and development licences </w:t>
      </w:r>
      <w:r w:rsidR="00D53987" w:rsidRPr="00D64C21">
        <w:rPr>
          <w:rFonts w:asciiTheme="minorHAnsi" w:hAnsiTheme="minorHAnsi" w:cstheme="minorHAnsi"/>
          <w:lang w:val="en-US"/>
        </w:rPr>
        <w:t>calculated on the basis of the total area of a particular licence with different rates for different licence types.</w:t>
      </w:r>
      <w:r w:rsidR="00D53987">
        <w:rPr>
          <w:rFonts w:asciiTheme="minorHAnsi" w:hAnsiTheme="minorHAnsi" w:cstheme="minorHAnsi"/>
          <w:lang w:val="en-US"/>
        </w:rPr>
        <w:t xml:space="preserve"> </w:t>
      </w:r>
    </w:p>
    <w:p w14:paraId="5CFDBD5F" w14:textId="77777777" w:rsidR="000170D3" w:rsidRDefault="000170D3" w:rsidP="00D84F1E">
      <w:pPr>
        <w:rPr>
          <w:rFonts w:asciiTheme="minorHAnsi" w:hAnsiTheme="minorHAnsi" w:cstheme="minorHAnsi"/>
          <w:lang w:val="en-US"/>
        </w:rPr>
      </w:pPr>
    </w:p>
    <w:p w14:paraId="41685D38" w14:textId="06045692" w:rsidR="00D84F1E" w:rsidRDefault="00D53987" w:rsidP="00D84F1E">
      <w:pPr>
        <w:rPr>
          <w:rFonts w:asciiTheme="minorHAnsi" w:hAnsiTheme="minorHAnsi" w:cstheme="minorHAnsi"/>
          <w:lang w:val="en-US"/>
        </w:rPr>
      </w:pPr>
      <w:r>
        <w:rPr>
          <w:rFonts w:asciiTheme="minorHAnsi" w:hAnsiTheme="minorHAnsi" w:cstheme="minorHAnsi"/>
          <w:lang w:val="en-US"/>
        </w:rPr>
        <w:t xml:space="preserve">This approach has been taken as licences that </w:t>
      </w:r>
      <w:r w:rsidR="000170D3">
        <w:rPr>
          <w:rFonts w:asciiTheme="minorHAnsi" w:hAnsiTheme="minorHAnsi" w:cstheme="minorHAnsi"/>
          <w:lang w:val="en-US"/>
        </w:rPr>
        <w:t xml:space="preserve">authorise more complex activities and </w:t>
      </w:r>
      <w:r>
        <w:rPr>
          <w:rFonts w:asciiTheme="minorHAnsi" w:hAnsiTheme="minorHAnsi" w:cstheme="minorHAnsi"/>
          <w:lang w:val="en-US"/>
        </w:rPr>
        <w:t xml:space="preserve">cover larger geographic areas, such as commercial licences for offshore wind farms, will </w:t>
      </w:r>
      <w:r w:rsidR="000170D3">
        <w:rPr>
          <w:rFonts w:asciiTheme="minorHAnsi" w:hAnsiTheme="minorHAnsi" w:cstheme="minorHAnsi"/>
          <w:lang w:val="en-US"/>
        </w:rPr>
        <w:t xml:space="preserve">facilitate larger, more complex projects involving more </w:t>
      </w:r>
      <w:r>
        <w:rPr>
          <w:rFonts w:asciiTheme="minorHAnsi" w:hAnsiTheme="minorHAnsi" w:cstheme="minorHAnsi"/>
          <w:lang w:val="en-US"/>
        </w:rPr>
        <w:t xml:space="preserve">offshore electricity infrastructure. </w:t>
      </w:r>
      <w:r w:rsidR="000170D3">
        <w:rPr>
          <w:rFonts w:asciiTheme="minorHAnsi" w:hAnsiTheme="minorHAnsi" w:cstheme="minorHAnsi"/>
          <w:lang w:val="en-US"/>
        </w:rPr>
        <w:t xml:space="preserve">Consequently, offshore infrastructure activities in these licences are likely to be more frequent, more complex and of a longer duration than activities in smaller licences or in licences that authorise less complex activities. Regulatory effort for the Regulator to monitor and enforce compliance for a particular licence will be reflective of the scale and complexity of the activities within that licence. </w:t>
      </w:r>
    </w:p>
    <w:p w14:paraId="4C513D7C" w14:textId="77777777" w:rsidR="008F75EB" w:rsidRDefault="008F75EB" w:rsidP="00176E1A">
      <w:pPr>
        <w:rPr>
          <w:rFonts w:asciiTheme="minorHAnsi" w:hAnsiTheme="minorHAnsi" w:cstheme="minorHAnsi"/>
          <w:lang w:val="en-US"/>
        </w:rPr>
      </w:pPr>
    </w:p>
    <w:p w14:paraId="4B5D0432" w14:textId="620A9DB6" w:rsidR="00585D25" w:rsidRDefault="00585D25" w:rsidP="00176E1A">
      <w:pPr>
        <w:rPr>
          <w:rFonts w:asciiTheme="minorHAnsi" w:hAnsiTheme="minorHAnsi" w:cstheme="minorHAnsi"/>
          <w:lang w:val="en-US"/>
        </w:rPr>
      </w:pPr>
      <w:r>
        <w:rPr>
          <w:rFonts w:asciiTheme="minorHAnsi" w:hAnsiTheme="minorHAnsi" w:cstheme="minorHAnsi"/>
          <w:lang w:val="en-US"/>
        </w:rPr>
        <w:t>The a</w:t>
      </w:r>
      <w:r w:rsidR="00897B24">
        <w:rPr>
          <w:rFonts w:asciiTheme="minorHAnsi" w:hAnsiTheme="minorHAnsi" w:cstheme="minorHAnsi"/>
          <w:lang w:val="en-US"/>
        </w:rPr>
        <w:t>nnual</w:t>
      </w:r>
      <w:r>
        <w:rPr>
          <w:rFonts w:asciiTheme="minorHAnsi" w:hAnsiTheme="minorHAnsi" w:cstheme="minorHAnsi"/>
          <w:lang w:val="en-US"/>
        </w:rPr>
        <w:t xml:space="preserve"> compliance levy will co</w:t>
      </w:r>
      <w:r w:rsidRPr="00585D25">
        <w:rPr>
          <w:rFonts w:asciiTheme="minorHAnsi" w:hAnsiTheme="minorHAnsi" w:cstheme="minorHAnsi"/>
          <w:lang w:val="en-US"/>
        </w:rPr>
        <w:t xml:space="preserve">ver costs to the Regulator associated with </w:t>
      </w:r>
      <w:r w:rsidR="00D84F1E" w:rsidRPr="00D84F1E">
        <w:rPr>
          <w:rFonts w:asciiTheme="minorHAnsi" w:hAnsiTheme="minorHAnsi" w:cstheme="minorHAnsi"/>
          <w:lang w:val="en-US"/>
        </w:rPr>
        <w:t>stakeholder engagement, provision of legislative and policy support, guidance materials, development, implementation and maintenance of core processes and systems to receive and assess applications, reporting, handling of information, monitoring and enforcing the compliance of licence holders with management plans and the requirements of the OEI Act and regulations in relation to work health and safety, infrastructure integrity, environmental management and financial security.</w:t>
      </w:r>
    </w:p>
    <w:p w14:paraId="5380DB16" w14:textId="77777777" w:rsidR="00D84F1E" w:rsidRPr="00176E1A" w:rsidRDefault="00D84F1E" w:rsidP="00176E1A">
      <w:pPr>
        <w:rPr>
          <w:rFonts w:asciiTheme="minorHAnsi" w:hAnsiTheme="minorHAnsi" w:cstheme="minorHAnsi"/>
          <w:bCs/>
        </w:rPr>
      </w:pPr>
    </w:p>
    <w:p w14:paraId="328F3D6B" w14:textId="3ACAD8D6" w:rsidR="00D57192" w:rsidRDefault="00D84F1E" w:rsidP="00E8260B">
      <w:pPr>
        <w:pStyle w:val="ListParagraph"/>
        <w:numPr>
          <w:ilvl w:val="0"/>
          <w:numId w:val="14"/>
        </w:numPr>
        <w:ind w:left="567"/>
        <w:contextualSpacing w:val="0"/>
        <w:rPr>
          <w:rFonts w:asciiTheme="minorHAnsi" w:hAnsiTheme="minorHAnsi" w:cstheme="minorHAnsi"/>
          <w:bCs/>
        </w:rPr>
      </w:pPr>
      <w:r>
        <w:rPr>
          <w:rFonts w:asciiTheme="minorHAnsi" w:hAnsiTheme="minorHAnsi" w:cstheme="minorHAnsi"/>
          <w:bCs/>
        </w:rPr>
        <w:t xml:space="preserve">Annual </w:t>
      </w:r>
      <w:r w:rsidR="00D57192" w:rsidRPr="00D57192">
        <w:rPr>
          <w:rFonts w:asciiTheme="minorHAnsi" w:hAnsiTheme="minorHAnsi" w:cstheme="minorHAnsi"/>
          <w:bCs/>
        </w:rPr>
        <w:t>Commonwealth levy</w:t>
      </w:r>
    </w:p>
    <w:p w14:paraId="0548E142" w14:textId="3ED36AFA" w:rsidR="00A41043" w:rsidRDefault="00A41043" w:rsidP="00A41043">
      <w:pPr>
        <w:rPr>
          <w:rFonts w:asciiTheme="minorHAnsi" w:hAnsiTheme="minorHAnsi" w:cstheme="minorHAnsi"/>
          <w:bCs/>
        </w:rPr>
      </w:pPr>
    </w:p>
    <w:p w14:paraId="0DD886C5" w14:textId="77777777" w:rsidR="00F94186" w:rsidRDefault="00F94186" w:rsidP="00F94186">
      <w:pPr>
        <w:rPr>
          <w:rFonts w:asciiTheme="minorHAnsi" w:hAnsiTheme="minorHAnsi" w:cstheme="minorHAnsi"/>
          <w:lang w:val="en-US"/>
        </w:rPr>
      </w:pPr>
      <w:r>
        <w:rPr>
          <w:rFonts w:asciiTheme="minorHAnsi" w:hAnsiTheme="minorHAnsi" w:cstheme="minorHAnsi"/>
          <w:lang w:val="en-US"/>
        </w:rPr>
        <w:t>T</w:t>
      </w:r>
      <w:r w:rsidRPr="00A41043">
        <w:rPr>
          <w:rFonts w:asciiTheme="minorHAnsi" w:hAnsiTheme="minorHAnsi" w:cstheme="minorHAnsi"/>
          <w:lang w:val="en-US"/>
        </w:rPr>
        <w:t xml:space="preserve">he </w:t>
      </w:r>
      <w:r>
        <w:rPr>
          <w:rFonts w:asciiTheme="minorHAnsi" w:hAnsiTheme="minorHAnsi" w:cstheme="minorHAnsi"/>
          <w:lang w:val="en-US"/>
        </w:rPr>
        <w:t xml:space="preserve">annual </w:t>
      </w:r>
      <w:r w:rsidRPr="00A41043">
        <w:rPr>
          <w:rFonts w:asciiTheme="minorHAnsi" w:hAnsiTheme="minorHAnsi" w:cstheme="minorHAnsi"/>
          <w:lang w:val="en-US"/>
        </w:rPr>
        <w:t>Commonwealth levy</w:t>
      </w:r>
      <w:r>
        <w:rPr>
          <w:rFonts w:asciiTheme="minorHAnsi" w:hAnsiTheme="minorHAnsi" w:cstheme="minorHAnsi"/>
          <w:lang w:val="en-US"/>
        </w:rPr>
        <w:t xml:space="preserve"> is</w:t>
      </w:r>
      <w:r w:rsidRPr="00A41043">
        <w:rPr>
          <w:rFonts w:asciiTheme="minorHAnsi" w:hAnsiTheme="minorHAnsi" w:cstheme="minorHAnsi"/>
          <w:lang w:val="en-US"/>
        </w:rPr>
        <w:t xml:space="preserve"> payable at the end of 30 days after the grant of a licence and then 30 days after the first day of every subsequent calendar year</w:t>
      </w:r>
      <w:r>
        <w:rPr>
          <w:rFonts w:asciiTheme="minorHAnsi" w:hAnsiTheme="minorHAnsi" w:cstheme="minorHAnsi"/>
          <w:lang w:val="en-US"/>
        </w:rPr>
        <w:t xml:space="preserve">, </w:t>
      </w:r>
      <w:r w:rsidRPr="00A41043">
        <w:rPr>
          <w:rFonts w:asciiTheme="minorHAnsi" w:hAnsiTheme="minorHAnsi" w:cstheme="minorHAnsi"/>
          <w:lang w:val="en-US"/>
        </w:rPr>
        <w:t xml:space="preserve">for the duration of a licence. The </w:t>
      </w:r>
      <w:r>
        <w:rPr>
          <w:rFonts w:asciiTheme="minorHAnsi" w:hAnsiTheme="minorHAnsi" w:cstheme="minorHAnsi"/>
          <w:lang w:val="en-US"/>
        </w:rPr>
        <w:t xml:space="preserve">Commonwealth </w:t>
      </w:r>
      <w:r w:rsidRPr="00A41043">
        <w:rPr>
          <w:rFonts w:asciiTheme="minorHAnsi" w:hAnsiTheme="minorHAnsi" w:cstheme="minorHAnsi"/>
          <w:lang w:val="en-US"/>
        </w:rPr>
        <w:t>levy will be a fixed rate for each licence type</w:t>
      </w:r>
      <w:r>
        <w:rPr>
          <w:rFonts w:asciiTheme="minorHAnsi" w:hAnsiTheme="minorHAnsi" w:cstheme="minorHAnsi"/>
          <w:lang w:val="en-US"/>
        </w:rPr>
        <w:t xml:space="preserve"> and </w:t>
      </w:r>
      <w:r w:rsidRPr="00D64C21">
        <w:rPr>
          <w:rFonts w:asciiTheme="minorHAnsi" w:hAnsiTheme="minorHAnsi" w:cstheme="minorHAnsi"/>
          <w:lang w:val="en-US"/>
        </w:rPr>
        <w:t>applied differently based on licence type</w:t>
      </w:r>
      <w:r>
        <w:rPr>
          <w:rFonts w:asciiTheme="minorHAnsi" w:hAnsiTheme="minorHAnsi" w:cstheme="minorHAnsi"/>
          <w:lang w:val="en-US"/>
        </w:rPr>
        <w:t xml:space="preserve"> (e.g. the annual Commonwealth levy component for a transmission and infrastructure licence would not include costs of declaring an area). </w:t>
      </w:r>
    </w:p>
    <w:p w14:paraId="46B6DD00" w14:textId="77777777" w:rsidR="00F94186" w:rsidRDefault="00F94186" w:rsidP="00F94186">
      <w:pPr>
        <w:rPr>
          <w:rFonts w:asciiTheme="minorHAnsi" w:hAnsiTheme="minorHAnsi" w:cstheme="minorHAnsi"/>
          <w:lang w:val="en-US"/>
        </w:rPr>
      </w:pPr>
    </w:p>
    <w:p w14:paraId="704933FF" w14:textId="77777777" w:rsidR="00F94186" w:rsidRPr="0010026A" w:rsidRDefault="00F94186" w:rsidP="00F94186">
      <w:pPr>
        <w:ind w:right="412"/>
        <w:rPr>
          <w:rFonts w:asciiTheme="minorHAnsi" w:hAnsiTheme="minorHAnsi" w:cstheme="minorHAnsi"/>
          <w:color w:val="000000"/>
        </w:rPr>
      </w:pPr>
      <w:r w:rsidRPr="006D6414">
        <w:rPr>
          <w:rFonts w:asciiTheme="minorHAnsi" w:hAnsiTheme="minorHAnsi" w:cstheme="minorHAnsi"/>
          <w:bCs/>
        </w:rPr>
        <w:t>T</w:t>
      </w:r>
      <w:r>
        <w:rPr>
          <w:rFonts w:asciiTheme="minorHAnsi" w:hAnsiTheme="minorHAnsi" w:cstheme="minorHAnsi"/>
          <w:bCs/>
        </w:rPr>
        <w:t xml:space="preserve">he </w:t>
      </w:r>
      <w:r w:rsidRPr="0010026A">
        <w:rPr>
          <w:rFonts w:asciiTheme="minorHAnsi" w:hAnsiTheme="minorHAnsi" w:cstheme="minorHAnsi"/>
          <w:bCs/>
        </w:rPr>
        <w:t>ORE</w:t>
      </w:r>
      <w:r>
        <w:rPr>
          <w:rFonts w:asciiTheme="minorHAnsi" w:hAnsiTheme="minorHAnsi" w:cstheme="minorHAnsi"/>
          <w:bCs/>
        </w:rPr>
        <w:t xml:space="preserve"> section was originally created to develop and implement the OEI legislative framework and the section’s work continues to be dedicated </w:t>
      </w:r>
      <w:r w:rsidRPr="006D6414">
        <w:rPr>
          <w:rFonts w:asciiTheme="minorHAnsi" w:hAnsiTheme="minorHAnsi" w:cstheme="minorHAnsi"/>
          <w:bCs/>
        </w:rPr>
        <w:t xml:space="preserve">entirely to </w:t>
      </w:r>
      <w:r>
        <w:rPr>
          <w:rFonts w:asciiTheme="minorHAnsi" w:hAnsiTheme="minorHAnsi" w:cstheme="minorHAnsi"/>
          <w:bCs/>
        </w:rPr>
        <w:t>outputs relating to</w:t>
      </w:r>
      <w:r w:rsidRPr="006D6414">
        <w:rPr>
          <w:rFonts w:asciiTheme="minorHAnsi" w:hAnsiTheme="minorHAnsi" w:cstheme="minorHAnsi"/>
          <w:bCs/>
        </w:rPr>
        <w:t xml:space="preserve"> the</w:t>
      </w:r>
      <w:r>
        <w:rPr>
          <w:rFonts w:asciiTheme="minorHAnsi" w:hAnsiTheme="minorHAnsi" w:cstheme="minorHAnsi"/>
          <w:bCs/>
        </w:rPr>
        <w:t xml:space="preserve"> framework. </w:t>
      </w:r>
      <w:r>
        <w:rPr>
          <w:rFonts w:asciiTheme="minorHAnsi" w:hAnsiTheme="minorHAnsi" w:cstheme="minorHAnsi"/>
        </w:rPr>
        <w:t xml:space="preserve">The need for the framework was driven by the industry and the ongoing activities involved in the implementation and operation of the framework are undertaken for the industry. As processes and outputs of the ORE section are undertaken specifically </w:t>
      </w:r>
      <w:r w:rsidRPr="006D6414">
        <w:rPr>
          <w:rFonts w:asciiTheme="minorHAnsi" w:hAnsiTheme="minorHAnsi" w:cstheme="minorHAnsi"/>
          <w:bCs/>
        </w:rPr>
        <w:t>for the industry,</w:t>
      </w:r>
      <w:r>
        <w:rPr>
          <w:rFonts w:asciiTheme="minorHAnsi" w:hAnsiTheme="minorHAnsi" w:cstheme="minorHAnsi"/>
          <w:bCs/>
        </w:rPr>
        <w:t xml:space="preserve"> </w:t>
      </w:r>
      <w:r w:rsidRPr="006D6414">
        <w:rPr>
          <w:rFonts w:asciiTheme="minorHAnsi" w:hAnsiTheme="minorHAnsi" w:cstheme="minorHAnsi"/>
          <w:bCs/>
        </w:rPr>
        <w:t xml:space="preserve">it is appropriate that </w:t>
      </w:r>
      <w:r>
        <w:rPr>
          <w:rFonts w:asciiTheme="minorHAnsi" w:hAnsiTheme="minorHAnsi" w:cstheme="minorHAnsi"/>
          <w:bCs/>
        </w:rPr>
        <w:t xml:space="preserve">the </w:t>
      </w:r>
      <w:r w:rsidRPr="006D6414">
        <w:rPr>
          <w:rFonts w:asciiTheme="minorHAnsi" w:hAnsiTheme="minorHAnsi" w:cstheme="minorHAnsi"/>
          <w:bCs/>
        </w:rPr>
        <w:t xml:space="preserve">industry </w:t>
      </w:r>
      <w:r>
        <w:rPr>
          <w:rFonts w:asciiTheme="minorHAnsi" w:hAnsiTheme="minorHAnsi" w:cstheme="minorHAnsi"/>
          <w:bCs/>
        </w:rPr>
        <w:t xml:space="preserve">be required to </w:t>
      </w:r>
      <w:r w:rsidRPr="006D6414">
        <w:rPr>
          <w:rFonts w:asciiTheme="minorHAnsi" w:hAnsiTheme="minorHAnsi" w:cstheme="minorHAnsi"/>
          <w:bCs/>
        </w:rPr>
        <w:t>fund such activities.</w:t>
      </w:r>
    </w:p>
    <w:p w14:paraId="52D01487" w14:textId="77777777" w:rsidR="00B16C12" w:rsidRDefault="00B16C12" w:rsidP="00F94186">
      <w:pPr>
        <w:rPr>
          <w:rFonts w:asciiTheme="minorHAnsi" w:hAnsiTheme="minorHAnsi" w:cstheme="minorHAnsi"/>
          <w:lang w:val="en-US"/>
        </w:rPr>
      </w:pPr>
    </w:p>
    <w:p w14:paraId="44D76CC4" w14:textId="17747B30" w:rsidR="00B16C12" w:rsidRDefault="00F94186" w:rsidP="00F94186">
      <w:pPr>
        <w:rPr>
          <w:rFonts w:asciiTheme="minorHAnsi" w:hAnsiTheme="minorHAnsi" w:cstheme="minorHAnsi"/>
          <w:lang w:val="en-US"/>
        </w:rPr>
      </w:pPr>
      <w:r>
        <w:rPr>
          <w:rFonts w:asciiTheme="minorHAnsi" w:hAnsiTheme="minorHAnsi" w:cstheme="minorHAnsi"/>
          <w:lang w:val="en-US"/>
        </w:rPr>
        <w:t>The annual Commonwealth levy will reflect the costs incurred by the Commonwealth in:</w:t>
      </w:r>
    </w:p>
    <w:p w14:paraId="694E801A" w14:textId="5719E997" w:rsidR="00F94186" w:rsidRDefault="00F94186" w:rsidP="00F94186">
      <w:pPr>
        <w:pStyle w:val="ListParagraph"/>
        <w:numPr>
          <w:ilvl w:val="0"/>
          <w:numId w:val="34"/>
        </w:numPr>
        <w:rPr>
          <w:rFonts w:asciiTheme="minorHAnsi" w:hAnsiTheme="minorHAnsi" w:cstheme="minorHAnsi"/>
          <w:lang w:val="en-US"/>
        </w:rPr>
      </w:pPr>
      <w:r w:rsidRPr="0010026A">
        <w:rPr>
          <w:rFonts w:asciiTheme="minorHAnsi" w:hAnsiTheme="minorHAnsi" w:cstheme="minorHAnsi"/>
          <w:lang w:val="en-US"/>
        </w:rPr>
        <w:t xml:space="preserve">identifying, assessing and declaring areas </w:t>
      </w:r>
      <w:r>
        <w:rPr>
          <w:rFonts w:asciiTheme="minorHAnsi" w:hAnsiTheme="minorHAnsi" w:cstheme="minorHAnsi"/>
          <w:lang w:val="en-US"/>
        </w:rPr>
        <w:t>to al</w:t>
      </w:r>
      <w:r w:rsidR="0015473B">
        <w:rPr>
          <w:rFonts w:asciiTheme="minorHAnsi" w:hAnsiTheme="minorHAnsi" w:cstheme="minorHAnsi"/>
          <w:lang w:val="en-US"/>
        </w:rPr>
        <w:t>low industry to apply for licenc</w:t>
      </w:r>
      <w:r>
        <w:rPr>
          <w:rFonts w:asciiTheme="minorHAnsi" w:hAnsiTheme="minorHAnsi" w:cstheme="minorHAnsi"/>
          <w:lang w:val="en-US"/>
        </w:rPr>
        <w:t xml:space="preserve">es to undertake </w:t>
      </w:r>
      <w:r w:rsidRPr="0010026A">
        <w:rPr>
          <w:rFonts w:asciiTheme="minorHAnsi" w:hAnsiTheme="minorHAnsi" w:cstheme="minorHAnsi"/>
          <w:lang w:val="en-US"/>
        </w:rPr>
        <w:t>OEI activities</w:t>
      </w:r>
      <w:r>
        <w:rPr>
          <w:rFonts w:asciiTheme="minorHAnsi" w:hAnsiTheme="minorHAnsi" w:cstheme="minorHAnsi"/>
          <w:lang w:val="en-US"/>
        </w:rPr>
        <w:t>;</w:t>
      </w:r>
    </w:p>
    <w:p w14:paraId="0395529F" w14:textId="55C225C6" w:rsidR="00F94186" w:rsidRDefault="00F94186" w:rsidP="00F94186">
      <w:pPr>
        <w:pStyle w:val="ListParagraph"/>
        <w:numPr>
          <w:ilvl w:val="0"/>
          <w:numId w:val="34"/>
        </w:numPr>
        <w:rPr>
          <w:rFonts w:asciiTheme="minorHAnsi" w:hAnsiTheme="minorHAnsi" w:cstheme="minorHAnsi"/>
          <w:lang w:val="en-US"/>
        </w:rPr>
      </w:pPr>
      <w:r w:rsidRPr="0010026A">
        <w:rPr>
          <w:rFonts w:asciiTheme="minorHAnsi" w:hAnsiTheme="minorHAnsi" w:cstheme="minorHAnsi"/>
          <w:lang w:val="en-US"/>
        </w:rPr>
        <w:t>ongoing policy and regulatory development</w:t>
      </w:r>
      <w:r>
        <w:rPr>
          <w:rFonts w:asciiTheme="minorHAnsi" w:hAnsiTheme="minorHAnsi" w:cstheme="minorHAnsi"/>
          <w:lang w:val="en-US"/>
        </w:rPr>
        <w:t xml:space="preserve"> </w:t>
      </w:r>
      <w:r w:rsidRPr="0010026A">
        <w:rPr>
          <w:rFonts w:asciiTheme="minorHAnsi" w:hAnsiTheme="minorHAnsi" w:cstheme="minorHAnsi"/>
          <w:lang w:val="en-US"/>
        </w:rPr>
        <w:t xml:space="preserve">needed to ensure the legislative framework </w:t>
      </w:r>
      <w:r>
        <w:rPr>
          <w:rFonts w:asciiTheme="minorHAnsi" w:hAnsiTheme="minorHAnsi" w:cstheme="minorHAnsi"/>
          <w:lang w:val="en-US"/>
        </w:rPr>
        <w:t xml:space="preserve">is comprehensive and </w:t>
      </w:r>
      <w:r w:rsidRPr="0010026A">
        <w:rPr>
          <w:rFonts w:asciiTheme="minorHAnsi" w:hAnsiTheme="minorHAnsi" w:cstheme="minorHAnsi"/>
          <w:lang w:val="en-US"/>
        </w:rPr>
        <w:t>remains fit for purpose</w:t>
      </w:r>
      <w:r>
        <w:rPr>
          <w:rFonts w:asciiTheme="minorHAnsi" w:hAnsiTheme="minorHAnsi" w:cstheme="minorHAnsi"/>
          <w:lang w:val="en-US"/>
        </w:rPr>
        <w:t xml:space="preserve">. </w:t>
      </w:r>
      <w:r w:rsidRPr="0010026A">
        <w:rPr>
          <w:rFonts w:asciiTheme="minorHAnsi" w:hAnsiTheme="minorHAnsi" w:cstheme="minorHAnsi"/>
          <w:lang w:val="en-US"/>
        </w:rPr>
        <w:t xml:space="preserve">Because it is a new </w:t>
      </w:r>
      <w:r>
        <w:rPr>
          <w:rFonts w:asciiTheme="minorHAnsi" w:hAnsiTheme="minorHAnsi" w:cstheme="minorHAnsi"/>
          <w:lang w:val="en-US"/>
        </w:rPr>
        <w:t>framework</w:t>
      </w:r>
      <w:r w:rsidRPr="0010026A">
        <w:rPr>
          <w:rFonts w:asciiTheme="minorHAnsi" w:hAnsiTheme="minorHAnsi" w:cstheme="minorHAnsi"/>
          <w:lang w:val="en-US"/>
        </w:rPr>
        <w:t xml:space="preserve"> there will undoubtedly be some refining that will need to occur</w:t>
      </w:r>
      <w:r>
        <w:rPr>
          <w:rFonts w:asciiTheme="minorHAnsi" w:hAnsiTheme="minorHAnsi" w:cstheme="minorHAnsi"/>
          <w:lang w:val="en-US"/>
        </w:rPr>
        <w:t>; and</w:t>
      </w:r>
    </w:p>
    <w:p w14:paraId="128F43D4" w14:textId="77777777" w:rsidR="00F94186" w:rsidRDefault="00F94186" w:rsidP="00F94186">
      <w:pPr>
        <w:pStyle w:val="ListParagraph"/>
        <w:numPr>
          <w:ilvl w:val="0"/>
          <w:numId w:val="34"/>
        </w:numPr>
        <w:rPr>
          <w:rFonts w:asciiTheme="minorHAnsi" w:hAnsiTheme="minorHAnsi" w:cstheme="minorHAnsi"/>
          <w:lang w:val="en-US"/>
        </w:rPr>
      </w:pPr>
      <w:r w:rsidRPr="0010026A">
        <w:rPr>
          <w:rFonts w:asciiTheme="minorHAnsi" w:hAnsiTheme="minorHAnsi" w:cstheme="minorHAnsi"/>
          <w:lang w:val="en-US"/>
        </w:rPr>
        <w:lastRenderedPageBreak/>
        <w:t>program management, administration and engagement activities</w:t>
      </w:r>
      <w:r>
        <w:rPr>
          <w:rFonts w:asciiTheme="minorHAnsi" w:hAnsiTheme="minorHAnsi" w:cstheme="minorHAnsi"/>
          <w:lang w:val="en-US"/>
        </w:rPr>
        <w:t xml:space="preserve"> required to ensure the operation and implementation of the legislative framework is efficient and communication and consultation between the ORE section and industry is ongoing.</w:t>
      </w:r>
    </w:p>
    <w:p w14:paraId="1D29D9FC" w14:textId="77777777" w:rsidR="00F94186" w:rsidRDefault="00F94186" w:rsidP="00F94186">
      <w:pPr>
        <w:rPr>
          <w:rFonts w:asciiTheme="minorHAnsi" w:hAnsiTheme="minorHAnsi" w:cstheme="minorHAnsi"/>
          <w:lang w:val="en-US"/>
        </w:rPr>
      </w:pPr>
    </w:p>
    <w:p w14:paraId="699C5456" w14:textId="77777777" w:rsidR="00F94186" w:rsidRPr="0010026A" w:rsidRDefault="00F94186" w:rsidP="00F94186">
      <w:pPr>
        <w:rPr>
          <w:rFonts w:asciiTheme="minorHAnsi" w:hAnsiTheme="minorHAnsi" w:cstheme="minorHAnsi"/>
          <w:lang w:val="en-US"/>
        </w:rPr>
      </w:pPr>
      <w:r>
        <w:rPr>
          <w:rFonts w:asciiTheme="minorHAnsi" w:hAnsiTheme="minorHAnsi" w:cstheme="minorHAnsi"/>
          <w:lang w:val="en-US"/>
        </w:rPr>
        <w:t>The annual Commonwealth levy</w:t>
      </w:r>
      <w:r w:rsidRPr="0010026A">
        <w:rPr>
          <w:rFonts w:asciiTheme="minorHAnsi" w:hAnsiTheme="minorHAnsi" w:cstheme="minorHAnsi"/>
          <w:lang w:val="en-US"/>
        </w:rPr>
        <w:t xml:space="preserve"> will be paid into the Registrar’s Special Account for quarterly reimbursement to </w:t>
      </w:r>
      <w:r w:rsidRPr="0010026A">
        <w:rPr>
          <w:rFonts w:asciiTheme="minorHAnsi" w:hAnsiTheme="minorHAnsi" w:cstheme="minorHAnsi"/>
          <w:bCs/>
        </w:rPr>
        <w:t>DISER</w:t>
      </w:r>
      <w:r w:rsidRPr="0010026A">
        <w:rPr>
          <w:rFonts w:asciiTheme="minorHAnsi" w:hAnsiTheme="minorHAnsi" w:cstheme="minorHAnsi"/>
        </w:rPr>
        <w:t>.</w:t>
      </w:r>
    </w:p>
    <w:p w14:paraId="19145D7E" w14:textId="74E8A280" w:rsidR="00A41043" w:rsidRDefault="00A41043" w:rsidP="00A41043">
      <w:pPr>
        <w:rPr>
          <w:rFonts w:asciiTheme="minorHAnsi" w:hAnsiTheme="minorHAnsi" w:cstheme="minorHAnsi"/>
          <w:bCs/>
        </w:rPr>
      </w:pPr>
    </w:p>
    <w:p w14:paraId="3D26C08A" w14:textId="060C4817" w:rsidR="00A41043" w:rsidRDefault="00A41043" w:rsidP="00A41043">
      <w:pPr>
        <w:rPr>
          <w:rFonts w:asciiTheme="minorHAnsi" w:hAnsiTheme="minorHAnsi" w:cstheme="minorHAnsi"/>
          <w:bCs/>
        </w:rPr>
      </w:pPr>
    </w:p>
    <w:p w14:paraId="37CF66AD" w14:textId="159A75A6" w:rsidR="00D57192" w:rsidRDefault="00D57192">
      <w:pPr>
        <w:spacing w:after="200" w:line="276" w:lineRule="auto"/>
        <w:rPr>
          <w:rFonts w:asciiTheme="minorHAnsi" w:hAnsiTheme="minorHAnsi" w:cstheme="minorHAnsi"/>
          <w:b/>
          <w:bCs/>
          <w:sz w:val="32"/>
          <w:szCs w:val="32"/>
          <w:lang w:val="en-US"/>
        </w:rPr>
      </w:pPr>
    </w:p>
    <w:p w14:paraId="508806C7" w14:textId="77777777" w:rsidR="000B4E26" w:rsidRPr="00BE6386" w:rsidRDefault="000B4E26" w:rsidP="00BE6386">
      <w:pPr>
        <w:rPr>
          <w:lang w:val="en-US"/>
        </w:rPr>
      </w:pPr>
    </w:p>
    <w:p w14:paraId="45B8E6E2" w14:textId="77777777" w:rsidR="00BE6386" w:rsidRDefault="00BE6386">
      <w:pPr>
        <w:spacing w:after="200" w:line="276" w:lineRule="auto"/>
        <w:rPr>
          <w:rFonts w:asciiTheme="minorHAnsi" w:hAnsiTheme="minorHAnsi" w:cstheme="minorHAnsi"/>
          <w:b/>
          <w:bCs/>
          <w:sz w:val="32"/>
          <w:szCs w:val="32"/>
          <w:lang w:val="en-US"/>
        </w:rPr>
      </w:pPr>
      <w:r>
        <w:rPr>
          <w:rFonts w:asciiTheme="minorHAnsi" w:hAnsiTheme="minorHAnsi" w:cstheme="minorHAnsi"/>
          <w:b/>
          <w:bCs/>
          <w:i/>
          <w:iCs/>
          <w:sz w:val="32"/>
          <w:szCs w:val="32"/>
        </w:rPr>
        <w:br w:type="page"/>
      </w:r>
    </w:p>
    <w:p w14:paraId="02F6644C" w14:textId="0B75EAAF" w:rsidR="00EC6523" w:rsidRPr="00EC6523" w:rsidRDefault="00EC6523" w:rsidP="00EC6523">
      <w:pPr>
        <w:pStyle w:val="Heading1"/>
        <w:tabs>
          <w:tab w:val="clear" w:pos="432"/>
          <w:tab w:val="num" w:pos="709"/>
        </w:tabs>
        <w:ind w:left="709" w:hanging="709"/>
        <w:jc w:val="left"/>
        <w:rPr>
          <w:rFonts w:asciiTheme="minorHAnsi" w:hAnsiTheme="minorHAnsi" w:cstheme="minorHAnsi"/>
          <w:b/>
          <w:bCs/>
          <w:i w:val="0"/>
          <w:iCs w:val="0"/>
          <w:sz w:val="32"/>
          <w:szCs w:val="32"/>
        </w:rPr>
      </w:pPr>
      <w:bookmarkStart w:id="11" w:name="_Toc98772156"/>
      <w:r w:rsidRPr="00EC6523">
        <w:rPr>
          <w:rFonts w:asciiTheme="minorHAnsi" w:hAnsiTheme="minorHAnsi" w:cstheme="minorHAnsi"/>
          <w:b/>
          <w:bCs/>
          <w:i w:val="0"/>
          <w:iCs w:val="0"/>
          <w:sz w:val="32"/>
          <w:szCs w:val="32"/>
        </w:rPr>
        <w:lastRenderedPageBreak/>
        <w:t>OFFSHORE INFRASTRUCTURE REGISTRAR</w:t>
      </w:r>
      <w:bookmarkEnd w:id="11"/>
    </w:p>
    <w:p w14:paraId="260D769D" w14:textId="1BE4D70C" w:rsidR="00D212A5" w:rsidRPr="00F2024B" w:rsidRDefault="00D212A5" w:rsidP="00F2024B">
      <w:pPr>
        <w:pStyle w:val="Heading2"/>
        <w:tabs>
          <w:tab w:val="clear" w:pos="576"/>
          <w:tab w:val="num" w:pos="709"/>
        </w:tabs>
        <w:ind w:left="709" w:hanging="709"/>
        <w:rPr>
          <w:rFonts w:asciiTheme="minorHAnsi" w:hAnsiTheme="minorHAnsi" w:cstheme="minorHAnsi"/>
          <w:i w:val="0"/>
          <w:iCs w:val="0"/>
        </w:rPr>
      </w:pPr>
      <w:bookmarkStart w:id="12" w:name="_Toc98772157"/>
      <w:r w:rsidRPr="00F2024B">
        <w:rPr>
          <w:rFonts w:asciiTheme="minorHAnsi" w:hAnsiTheme="minorHAnsi" w:cstheme="minorHAnsi"/>
          <w:i w:val="0"/>
          <w:iCs w:val="0"/>
        </w:rPr>
        <w:t>Description of the regulatory charging activity</w:t>
      </w:r>
      <w:bookmarkEnd w:id="12"/>
    </w:p>
    <w:p w14:paraId="5F61D7EF" w14:textId="5D569EBA" w:rsidR="00BD31BB" w:rsidRDefault="001A6B05" w:rsidP="00D212A5">
      <w:pPr>
        <w:rPr>
          <w:rFonts w:asciiTheme="minorHAnsi" w:hAnsiTheme="minorHAnsi" w:cstheme="minorHAnsi"/>
        </w:rPr>
      </w:pPr>
      <w:r>
        <w:rPr>
          <w:rFonts w:asciiTheme="minorHAnsi" w:hAnsiTheme="minorHAnsi" w:cstheme="minorHAnsi"/>
        </w:rPr>
        <w:t xml:space="preserve">The </w:t>
      </w:r>
      <w:r w:rsidR="00A7486A">
        <w:rPr>
          <w:rFonts w:asciiTheme="minorHAnsi" w:hAnsiTheme="minorHAnsi" w:cstheme="minorHAnsi"/>
        </w:rPr>
        <w:t>R</w:t>
      </w:r>
      <w:r>
        <w:rPr>
          <w:rFonts w:asciiTheme="minorHAnsi" w:hAnsiTheme="minorHAnsi" w:cstheme="minorHAnsi"/>
        </w:rPr>
        <w:t>egistrar</w:t>
      </w:r>
      <w:r w:rsidR="00A7486A">
        <w:rPr>
          <w:rFonts w:asciiTheme="minorHAnsi" w:hAnsiTheme="minorHAnsi" w:cstheme="minorHAnsi"/>
        </w:rPr>
        <w:t xml:space="preserve"> </w:t>
      </w:r>
      <w:r>
        <w:rPr>
          <w:rFonts w:asciiTheme="minorHAnsi" w:hAnsiTheme="minorHAnsi" w:cstheme="minorHAnsi"/>
        </w:rPr>
        <w:t>is a statutory position</w:t>
      </w:r>
      <w:r w:rsidR="00BD31BB">
        <w:rPr>
          <w:rFonts w:asciiTheme="minorHAnsi" w:hAnsiTheme="minorHAnsi" w:cstheme="minorHAnsi"/>
        </w:rPr>
        <w:t xml:space="preserve"> appointed by the Secretary of the department</w:t>
      </w:r>
      <w:r>
        <w:rPr>
          <w:rFonts w:asciiTheme="minorHAnsi" w:hAnsiTheme="minorHAnsi" w:cstheme="minorHAnsi"/>
        </w:rPr>
        <w:t xml:space="preserve"> under section 153 of the OEI Act. </w:t>
      </w:r>
      <w:r w:rsidR="00BD31BB">
        <w:rPr>
          <w:rFonts w:asciiTheme="minorHAnsi" w:hAnsiTheme="minorHAnsi" w:cstheme="minorHAnsi"/>
        </w:rPr>
        <w:t xml:space="preserve">The Registrar will be assisted by employees of the department, currently the National Offshore Petroleum Titles Administrator </w:t>
      </w:r>
      <w:r w:rsidR="00BD31BB" w:rsidRPr="002C7B40">
        <w:rPr>
          <w:rFonts w:asciiTheme="minorHAnsi" w:hAnsiTheme="minorHAnsi" w:cstheme="minorHAnsi"/>
        </w:rPr>
        <w:t>Branch</w:t>
      </w:r>
      <w:r w:rsidR="00A84E03">
        <w:rPr>
          <w:rFonts w:asciiTheme="minorHAnsi" w:hAnsiTheme="minorHAnsi" w:cstheme="minorHAnsi"/>
        </w:rPr>
        <w:t xml:space="preserve"> (</w:t>
      </w:r>
      <w:r w:rsidR="00A84E03">
        <w:rPr>
          <w:rFonts w:asciiTheme="minorHAnsi" w:hAnsiTheme="minorHAnsi" w:cstheme="minorHAnsi"/>
          <w:b/>
          <w:bCs/>
        </w:rPr>
        <w:t>NOPTA</w:t>
      </w:r>
      <w:r w:rsidR="00A84E03">
        <w:rPr>
          <w:rFonts w:asciiTheme="minorHAnsi" w:hAnsiTheme="minorHAnsi" w:cstheme="minorHAnsi"/>
        </w:rPr>
        <w:t>)</w:t>
      </w:r>
      <w:r w:rsidR="00BD31BB" w:rsidRPr="002C7B40">
        <w:rPr>
          <w:rFonts w:asciiTheme="minorHAnsi" w:hAnsiTheme="minorHAnsi" w:cstheme="minorHAnsi"/>
        </w:rPr>
        <w:t xml:space="preserve"> </w:t>
      </w:r>
      <w:r w:rsidR="00BD31BB">
        <w:rPr>
          <w:rFonts w:asciiTheme="minorHAnsi" w:hAnsiTheme="minorHAnsi" w:cstheme="minorHAnsi"/>
        </w:rPr>
        <w:t>will assist the Registrar its functions</w:t>
      </w:r>
      <w:r w:rsidR="00BD31BB" w:rsidRPr="002C7B40">
        <w:rPr>
          <w:rFonts w:asciiTheme="minorHAnsi" w:hAnsiTheme="minorHAnsi" w:cstheme="minorHAnsi"/>
        </w:rPr>
        <w:t>.</w:t>
      </w:r>
    </w:p>
    <w:p w14:paraId="594CF03E" w14:textId="77777777" w:rsidR="00BD31BB" w:rsidRDefault="00BD31BB" w:rsidP="00D212A5">
      <w:pPr>
        <w:rPr>
          <w:rFonts w:asciiTheme="minorHAnsi" w:hAnsiTheme="minorHAnsi" w:cstheme="minorHAnsi"/>
        </w:rPr>
      </w:pPr>
    </w:p>
    <w:p w14:paraId="40349D0C" w14:textId="55A68915" w:rsidR="001A6B05" w:rsidRDefault="00BD31BB" w:rsidP="00D212A5">
      <w:pPr>
        <w:rPr>
          <w:rFonts w:asciiTheme="minorHAnsi" w:hAnsiTheme="minorHAnsi" w:cstheme="minorHAnsi"/>
        </w:rPr>
      </w:pPr>
      <w:r>
        <w:rPr>
          <w:rFonts w:asciiTheme="minorHAnsi" w:hAnsiTheme="minorHAnsi" w:cstheme="minorHAnsi"/>
        </w:rPr>
        <w:t>T</w:t>
      </w:r>
      <w:r w:rsidR="001A6B05">
        <w:rPr>
          <w:rFonts w:asciiTheme="minorHAnsi" w:hAnsiTheme="minorHAnsi" w:cstheme="minorHAnsi"/>
        </w:rPr>
        <w:t>he functions</w:t>
      </w:r>
      <w:r w:rsidR="00A7486A">
        <w:rPr>
          <w:rFonts w:asciiTheme="minorHAnsi" w:hAnsiTheme="minorHAnsi" w:cstheme="minorHAnsi"/>
        </w:rPr>
        <w:t xml:space="preserve"> and powers</w:t>
      </w:r>
      <w:r w:rsidR="001A6B05">
        <w:rPr>
          <w:rFonts w:asciiTheme="minorHAnsi" w:hAnsiTheme="minorHAnsi" w:cstheme="minorHAnsi"/>
        </w:rPr>
        <w:t xml:space="preserve"> of the Registrar include:</w:t>
      </w:r>
    </w:p>
    <w:p w14:paraId="58F7F2DE" w14:textId="77777777" w:rsidR="00A7486A" w:rsidRDefault="00A7486A" w:rsidP="00A7486A">
      <w:pPr>
        <w:numPr>
          <w:ilvl w:val="0"/>
          <w:numId w:val="4"/>
        </w:numPr>
        <w:rPr>
          <w:rFonts w:asciiTheme="minorHAnsi" w:hAnsiTheme="minorHAnsi" w:cstheme="minorHAnsi"/>
          <w:color w:val="000000"/>
        </w:rPr>
      </w:pPr>
      <w:r>
        <w:rPr>
          <w:rFonts w:asciiTheme="minorHAnsi" w:hAnsiTheme="minorHAnsi" w:cstheme="minorHAnsi"/>
          <w:color w:val="000000"/>
        </w:rPr>
        <w:t>P</w:t>
      </w:r>
      <w:r w:rsidR="001A6B05" w:rsidRPr="00A7486A">
        <w:rPr>
          <w:rFonts w:asciiTheme="minorHAnsi" w:hAnsiTheme="minorHAnsi" w:cstheme="minorHAnsi"/>
          <w:color w:val="000000"/>
        </w:rPr>
        <w:t>rovid</w:t>
      </w:r>
      <w:r>
        <w:rPr>
          <w:rFonts w:asciiTheme="minorHAnsi" w:hAnsiTheme="minorHAnsi" w:cstheme="minorHAnsi"/>
          <w:color w:val="000000"/>
        </w:rPr>
        <w:t>ing</w:t>
      </w:r>
      <w:r w:rsidR="001A6B05" w:rsidRPr="00A7486A">
        <w:rPr>
          <w:rFonts w:asciiTheme="minorHAnsi" w:hAnsiTheme="minorHAnsi" w:cstheme="minorHAnsi"/>
          <w:color w:val="000000"/>
        </w:rPr>
        <w:t xml:space="preserve"> information, assessments, analysis, reports, advice and recommendations to the Minister in relation to the performance of the Minister’s functions or the exercise of the Minister’s powers under th</w:t>
      </w:r>
      <w:r>
        <w:rPr>
          <w:rFonts w:asciiTheme="minorHAnsi" w:hAnsiTheme="minorHAnsi" w:cstheme="minorHAnsi"/>
          <w:color w:val="000000"/>
        </w:rPr>
        <w:t>e OEI</w:t>
      </w:r>
      <w:r w:rsidR="001A6B05" w:rsidRPr="00A7486A">
        <w:rPr>
          <w:rFonts w:asciiTheme="minorHAnsi" w:hAnsiTheme="minorHAnsi" w:cstheme="minorHAnsi"/>
          <w:color w:val="000000"/>
        </w:rPr>
        <w:t xml:space="preserve"> Act; </w:t>
      </w:r>
    </w:p>
    <w:p w14:paraId="7C72F764" w14:textId="6556BE20" w:rsidR="00A7486A" w:rsidRDefault="00A7486A" w:rsidP="00A7486A">
      <w:pPr>
        <w:numPr>
          <w:ilvl w:val="0"/>
          <w:numId w:val="4"/>
        </w:numPr>
        <w:rPr>
          <w:rFonts w:asciiTheme="minorHAnsi" w:hAnsiTheme="minorHAnsi" w:cstheme="minorHAnsi"/>
          <w:color w:val="000000"/>
        </w:rPr>
      </w:pPr>
      <w:r>
        <w:rPr>
          <w:rFonts w:asciiTheme="minorHAnsi" w:hAnsiTheme="minorHAnsi" w:cstheme="minorHAnsi"/>
          <w:color w:val="000000"/>
        </w:rPr>
        <w:t>C</w:t>
      </w:r>
      <w:r w:rsidR="001A6B05" w:rsidRPr="00A7486A">
        <w:rPr>
          <w:rFonts w:asciiTheme="minorHAnsi" w:hAnsiTheme="minorHAnsi" w:cstheme="minorHAnsi"/>
          <w:color w:val="000000"/>
        </w:rPr>
        <w:t>ooperat</w:t>
      </w:r>
      <w:r>
        <w:rPr>
          <w:rFonts w:asciiTheme="minorHAnsi" w:hAnsiTheme="minorHAnsi" w:cstheme="minorHAnsi"/>
          <w:color w:val="000000"/>
        </w:rPr>
        <w:t>ing</w:t>
      </w:r>
      <w:r w:rsidR="001A6B05" w:rsidRPr="00A7486A">
        <w:rPr>
          <w:rFonts w:asciiTheme="minorHAnsi" w:hAnsiTheme="minorHAnsi" w:cstheme="minorHAnsi"/>
          <w:color w:val="000000"/>
        </w:rPr>
        <w:t xml:space="preserve"> with the Regulator in matters relating to the administration and enforcement </w:t>
      </w:r>
      <w:r w:rsidR="00DF5CF8">
        <w:rPr>
          <w:rFonts w:asciiTheme="minorHAnsi" w:hAnsiTheme="minorHAnsi" w:cstheme="minorHAnsi"/>
          <w:color w:val="000000"/>
        </w:rPr>
        <w:br/>
      </w:r>
      <w:r w:rsidR="001A6B05" w:rsidRPr="00A7486A">
        <w:rPr>
          <w:rFonts w:asciiTheme="minorHAnsi" w:hAnsiTheme="minorHAnsi" w:cstheme="minorHAnsi"/>
          <w:color w:val="000000"/>
        </w:rPr>
        <w:t>of th</w:t>
      </w:r>
      <w:r>
        <w:rPr>
          <w:rFonts w:asciiTheme="minorHAnsi" w:hAnsiTheme="minorHAnsi" w:cstheme="minorHAnsi"/>
          <w:color w:val="000000"/>
        </w:rPr>
        <w:t>e OEI</w:t>
      </w:r>
      <w:r w:rsidR="001A6B05" w:rsidRPr="00A7486A">
        <w:rPr>
          <w:rFonts w:asciiTheme="minorHAnsi" w:hAnsiTheme="minorHAnsi" w:cstheme="minorHAnsi"/>
          <w:color w:val="000000"/>
        </w:rPr>
        <w:t xml:space="preserve"> Act and the applied work health and safety provisions;</w:t>
      </w:r>
    </w:p>
    <w:p w14:paraId="03B36F76" w14:textId="4BC8CEC1" w:rsidR="00A7486A" w:rsidRDefault="00A7486A" w:rsidP="00A7486A">
      <w:pPr>
        <w:numPr>
          <w:ilvl w:val="0"/>
          <w:numId w:val="4"/>
        </w:numPr>
        <w:rPr>
          <w:rFonts w:asciiTheme="minorHAnsi" w:hAnsiTheme="minorHAnsi" w:cstheme="minorHAnsi"/>
          <w:color w:val="000000"/>
        </w:rPr>
      </w:pPr>
      <w:r>
        <w:rPr>
          <w:rFonts w:asciiTheme="minorHAnsi" w:hAnsiTheme="minorHAnsi" w:cstheme="minorHAnsi"/>
          <w:color w:val="000000"/>
        </w:rPr>
        <w:t>C</w:t>
      </w:r>
      <w:r w:rsidR="001A6B05" w:rsidRPr="00A7486A">
        <w:rPr>
          <w:rFonts w:asciiTheme="minorHAnsi" w:hAnsiTheme="minorHAnsi" w:cstheme="minorHAnsi"/>
          <w:color w:val="000000"/>
        </w:rPr>
        <w:t>ooperat</w:t>
      </w:r>
      <w:r>
        <w:rPr>
          <w:rFonts w:asciiTheme="minorHAnsi" w:hAnsiTheme="minorHAnsi" w:cstheme="minorHAnsi"/>
          <w:color w:val="000000"/>
        </w:rPr>
        <w:t>ing</w:t>
      </w:r>
      <w:r w:rsidR="001A6B05" w:rsidRPr="00A7486A">
        <w:rPr>
          <w:rFonts w:asciiTheme="minorHAnsi" w:hAnsiTheme="minorHAnsi" w:cstheme="minorHAnsi"/>
          <w:color w:val="000000"/>
        </w:rPr>
        <w:t xml:space="preserve"> with other Commonwealth agencies and authorities having functions relating </w:t>
      </w:r>
      <w:r w:rsidR="00DF5CF8">
        <w:rPr>
          <w:rFonts w:asciiTheme="minorHAnsi" w:hAnsiTheme="minorHAnsi" w:cstheme="minorHAnsi"/>
          <w:color w:val="000000"/>
        </w:rPr>
        <w:br/>
      </w:r>
      <w:r w:rsidR="001A6B05" w:rsidRPr="00A7486A">
        <w:rPr>
          <w:rFonts w:asciiTheme="minorHAnsi" w:hAnsiTheme="minorHAnsi" w:cstheme="minorHAnsi"/>
          <w:color w:val="000000"/>
        </w:rPr>
        <w:t xml:space="preserve">to the regulation of offshore infrastructure activities; </w:t>
      </w:r>
    </w:p>
    <w:p w14:paraId="32612465" w14:textId="1EBEA7DF" w:rsidR="00A7486A" w:rsidRDefault="00A7486A" w:rsidP="00A7486A">
      <w:pPr>
        <w:numPr>
          <w:ilvl w:val="0"/>
          <w:numId w:val="4"/>
        </w:numPr>
        <w:rPr>
          <w:rFonts w:asciiTheme="minorHAnsi" w:hAnsiTheme="minorHAnsi" w:cstheme="minorHAnsi"/>
          <w:color w:val="000000"/>
        </w:rPr>
      </w:pPr>
      <w:r>
        <w:rPr>
          <w:rFonts w:asciiTheme="minorHAnsi" w:hAnsiTheme="minorHAnsi" w:cstheme="minorHAnsi"/>
          <w:color w:val="000000"/>
        </w:rPr>
        <w:t>S</w:t>
      </w:r>
      <w:r w:rsidR="001A6B05" w:rsidRPr="00A7486A">
        <w:rPr>
          <w:rFonts w:asciiTheme="minorHAnsi" w:hAnsiTheme="minorHAnsi" w:cstheme="minorHAnsi"/>
          <w:color w:val="000000"/>
        </w:rPr>
        <w:t>uch other functions as are conferred on the Registrar by or</w:t>
      </w:r>
      <w:r>
        <w:rPr>
          <w:rFonts w:asciiTheme="minorHAnsi" w:hAnsiTheme="minorHAnsi" w:cstheme="minorHAnsi"/>
          <w:color w:val="000000"/>
        </w:rPr>
        <w:t xml:space="preserve"> </w:t>
      </w:r>
      <w:r w:rsidR="001A6B05" w:rsidRPr="00A7486A">
        <w:rPr>
          <w:rFonts w:asciiTheme="minorHAnsi" w:hAnsiTheme="minorHAnsi" w:cstheme="minorHAnsi"/>
          <w:color w:val="000000"/>
        </w:rPr>
        <w:t>under th</w:t>
      </w:r>
      <w:r>
        <w:rPr>
          <w:rFonts w:asciiTheme="minorHAnsi" w:hAnsiTheme="minorHAnsi" w:cstheme="minorHAnsi"/>
          <w:color w:val="000000"/>
        </w:rPr>
        <w:t>e OEI</w:t>
      </w:r>
      <w:r w:rsidR="00444750">
        <w:rPr>
          <w:rFonts w:asciiTheme="minorHAnsi" w:hAnsiTheme="minorHAnsi" w:cstheme="minorHAnsi"/>
          <w:color w:val="000000"/>
        </w:rPr>
        <w:t xml:space="preserve"> </w:t>
      </w:r>
      <w:r w:rsidR="001A6B05" w:rsidRPr="00A7486A">
        <w:rPr>
          <w:rFonts w:asciiTheme="minorHAnsi" w:hAnsiTheme="minorHAnsi" w:cstheme="minorHAnsi"/>
          <w:color w:val="000000"/>
        </w:rPr>
        <w:t xml:space="preserve">Act; </w:t>
      </w:r>
    </w:p>
    <w:p w14:paraId="2173BCAD" w14:textId="77777777" w:rsidR="00A7486A" w:rsidRDefault="00A7486A" w:rsidP="00A7486A">
      <w:pPr>
        <w:numPr>
          <w:ilvl w:val="0"/>
          <w:numId w:val="4"/>
        </w:numPr>
        <w:rPr>
          <w:rFonts w:asciiTheme="minorHAnsi" w:hAnsiTheme="minorHAnsi" w:cstheme="minorHAnsi"/>
          <w:color w:val="000000"/>
        </w:rPr>
      </w:pPr>
      <w:r>
        <w:rPr>
          <w:rFonts w:asciiTheme="minorHAnsi" w:hAnsiTheme="minorHAnsi" w:cstheme="minorHAnsi"/>
          <w:color w:val="000000"/>
        </w:rPr>
        <w:t xml:space="preserve">Doing </w:t>
      </w:r>
      <w:r w:rsidR="001A6B05" w:rsidRPr="00A7486A">
        <w:rPr>
          <w:rFonts w:asciiTheme="minorHAnsi" w:hAnsiTheme="minorHAnsi" w:cstheme="minorHAnsi"/>
          <w:color w:val="000000"/>
        </w:rPr>
        <w:t xml:space="preserve">anything incidental to or conducive to the performance </w:t>
      </w:r>
      <w:r>
        <w:rPr>
          <w:rFonts w:asciiTheme="minorHAnsi" w:hAnsiTheme="minorHAnsi" w:cstheme="minorHAnsi"/>
          <w:color w:val="000000"/>
        </w:rPr>
        <w:t>o</w:t>
      </w:r>
      <w:r w:rsidR="001A6B05" w:rsidRPr="00A7486A">
        <w:rPr>
          <w:rFonts w:asciiTheme="minorHAnsi" w:hAnsiTheme="minorHAnsi" w:cstheme="minorHAnsi"/>
          <w:color w:val="000000"/>
        </w:rPr>
        <w:t>f any of the above functions</w:t>
      </w:r>
      <w:r>
        <w:rPr>
          <w:rFonts w:asciiTheme="minorHAnsi" w:hAnsiTheme="minorHAnsi" w:cstheme="minorHAnsi"/>
          <w:color w:val="000000"/>
        </w:rPr>
        <w:t xml:space="preserve">; and </w:t>
      </w:r>
    </w:p>
    <w:p w14:paraId="6304AEA2" w14:textId="4B2D3D9D" w:rsidR="001A6B05" w:rsidRPr="00A7486A" w:rsidRDefault="00A7486A" w:rsidP="00A7486A">
      <w:pPr>
        <w:numPr>
          <w:ilvl w:val="0"/>
          <w:numId w:val="4"/>
        </w:numPr>
        <w:rPr>
          <w:rFonts w:asciiTheme="minorHAnsi" w:hAnsiTheme="minorHAnsi" w:cstheme="minorHAnsi"/>
          <w:color w:val="000000"/>
        </w:rPr>
      </w:pPr>
      <w:r>
        <w:rPr>
          <w:rFonts w:asciiTheme="minorHAnsi" w:hAnsiTheme="minorHAnsi" w:cstheme="minorHAnsi"/>
          <w:color w:val="000000"/>
        </w:rPr>
        <w:t>Doing</w:t>
      </w:r>
      <w:r w:rsidR="001A6B05" w:rsidRPr="00A7486A">
        <w:rPr>
          <w:rFonts w:asciiTheme="minorHAnsi" w:hAnsiTheme="minorHAnsi" w:cstheme="minorHAnsi"/>
          <w:color w:val="000000"/>
        </w:rPr>
        <w:t xml:space="preserve"> all things necessary or convenient to be done for or in connection with the performance of the Registrar’s functions.</w:t>
      </w:r>
    </w:p>
    <w:p w14:paraId="7EECF896" w14:textId="77777777" w:rsidR="001A6B05" w:rsidRDefault="001A6B05" w:rsidP="00D212A5">
      <w:pPr>
        <w:rPr>
          <w:rFonts w:asciiTheme="minorHAnsi" w:hAnsiTheme="minorHAnsi" w:cstheme="minorHAnsi"/>
        </w:rPr>
      </w:pPr>
    </w:p>
    <w:p w14:paraId="19B5EBC3" w14:textId="5BFE6DAC" w:rsidR="00D212A5" w:rsidRDefault="00B34473" w:rsidP="00031056">
      <w:pPr>
        <w:pStyle w:val="CommentText"/>
        <w:rPr>
          <w:rFonts w:asciiTheme="minorHAnsi" w:hAnsiTheme="minorHAnsi" w:cstheme="minorHAnsi"/>
          <w:color w:val="000000"/>
        </w:rPr>
      </w:pPr>
      <w:r>
        <w:rPr>
          <w:rFonts w:asciiTheme="minorHAnsi" w:hAnsiTheme="minorHAnsi" w:cstheme="minorHAnsi"/>
          <w:sz w:val="24"/>
          <w:szCs w:val="24"/>
        </w:rPr>
        <w:t>NOPTA</w:t>
      </w:r>
      <w:r w:rsidR="00BD31BB">
        <w:rPr>
          <w:rFonts w:asciiTheme="minorHAnsi" w:hAnsiTheme="minorHAnsi" w:cstheme="minorHAnsi"/>
          <w:sz w:val="24"/>
          <w:szCs w:val="24"/>
        </w:rPr>
        <w:t xml:space="preserve"> </w:t>
      </w:r>
      <w:r>
        <w:rPr>
          <w:rFonts w:asciiTheme="minorHAnsi" w:hAnsiTheme="minorHAnsi" w:cstheme="minorHAnsi"/>
          <w:sz w:val="24"/>
          <w:szCs w:val="24"/>
        </w:rPr>
        <w:t xml:space="preserve">is experienced </w:t>
      </w:r>
      <w:r w:rsidR="00BD31BB">
        <w:rPr>
          <w:rFonts w:asciiTheme="minorHAnsi" w:hAnsiTheme="minorHAnsi" w:cstheme="minorHAnsi"/>
          <w:sz w:val="24"/>
          <w:szCs w:val="24"/>
        </w:rPr>
        <w:t xml:space="preserve">in </w:t>
      </w:r>
      <w:r>
        <w:rPr>
          <w:rFonts w:asciiTheme="minorHAnsi" w:hAnsiTheme="minorHAnsi" w:cstheme="minorHAnsi"/>
          <w:sz w:val="24"/>
          <w:szCs w:val="24"/>
        </w:rPr>
        <w:t>offshore administrat</w:t>
      </w:r>
      <w:r w:rsidR="00BD31BB">
        <w:rPr>
          <w:rFonts w:asciiTheme="minorHAnsi" w:hAnsiTheme="minorHAnsi" w:cstheme="minorHAnsi"/>
          <w:sz w:val="24"/>
          <w:szCs w:val="24"/>
        </w:rPr>
        <w:t>ion</w:t>
      </w:r>
      <w:r>
        <w:rPr>
          <w:rFonts w:asciiTheme="minorHAnsi" w:hAnsiTheme="minorHAnsi" w:cstheme="minorHAnsi"/>
          <w:sz w:val="24"/>
          <w:szCs w:val="24"/>
        </w:rPr>
        <w:t xml:space="preserve"> and technical advi</w:t>
      </w:r>
      <w:r w:rsidR="00BD31BB">
        <w:rPr>
          <w:rFonts w:asciiTheme="minorHAnsi" w:hAnsiTheme="minorHAnsi" w:cstheme="minorHAnsi"/>
          <w:sz w:val="24"/>
          <w:szCs w:val="24"/>
        </w:rPr>
        <w:t>ce</w:t>
      </w:r>
      <w:r>
        <w:rPr>
          <w:rFonts w:asciiTheme="minorHAnsi" w:hAnsiTheme="minorHAnsi" w:cstheme="minorHAnsi"/>
          <w:sz w:val="24"/>
          <w:szCs w:val="24"/>
        </w:rPr>
        <w:t xml:space="preserve">, having administered </w:t>
      </w:r>
      <w:r w:rsidR="00B00D27" w:rsidRPr="00DF461B">
        <w:rPr>
          <w:rFonts w:asciiTheme="minorHAnsi" w:hAnsiTheme="minorHAnsi" w:cstheme="minorHAnsi"/>
          <w:sz w:val="24"/>
          <w:szCs w:val="24"/>
        </w:rPr>
        <w:t xml:space="preserve">titles and data management for petroleum and </w:t>
      </w:r>
      <w:r>
        <w:rPr>
          <w:rFonts w:asciiTheme="minorHAnsi" w:hAnsiTheme="minorHAnsi" w:cstheme="minorHAnsi"/>
          <w:sz w:val="24"/>
          <w:szCs w:val="24"/>
        </w:rPr>
        <w:t>greenhouse gas</w:t>
      </w:r>
      <w:r w:rsidR="00B00D27" w:rsidRPr="00DF461B">
        <w:rPr>
          <w:rFonts w:asciiTheme="minorHAnsi" w:hAnsiTheme="minorHAnsi" w:cstheme="minorHAnsi"/>
          <w:sz w:val="24"/>
          <w:szCs w:val="24"/>
        </w:rPr>
        <w:t xml:space="preserve"> titles in Commonwealth waters</w:t>
      </w:r>
      <w:r>
        <w:rPr>
          <w:rFonts w:asciiTheme="minorHAnsi" w:hAnsiTheme="minorHAnsi" w:cstheme="minorHAnsi"/>
          <w:sz w:val="24"/>
          <w:szCs w:val="24"/>
        </w:rPr>
        <w:t xml:space="preserve"> for over 10 years</w:t>
      </w:r>
      <w:r w:rsidR="00B00D27" w:rsidRPr="00DF461B">
        <w:rPr>
          <w:rFonts w:asciiTheme="minorHAnsi" w:hAnsiTheme="minorHAnsi" w:cstheme="minorHAnsi"/>
          <w:sz w:val="24"/>
          <w:szCs w:val="24"/>
        </w:rPr>
        <w:t xml:space="preserve">. </w:t>
      </w:r>
    </w:p>
    <w:p w14:paraId="11BFEE9A" w14:textId="730C1418" w:rsidR="00395556" w:rsidRDefault="00395556" w:rsidP="00D212A5">
      <w:pPr>
        <w:rPr>
          <w:rFonts w:asciiTheme="minorHAnsi" w:hAnsiTheme="minorHAnsi" w:cstheme="minorHAnsi"/>
          <w:color w:val="000000"/>
        </w:rPr>
      </w:pPr>
    </w:p>
    <w:p w14:paraId="0DC3F3B1" w14:textId="6D5A7B83" w:rsidR="00C52647" w:rsidRPr="00C26405" w:rsidRDefault="00C52647" w:rsidP="005A613A">
      <w:pPr>
        <w:rPr>
          <w:rFonts w:asciiTheme="minorHAnsi" w:hAnsiTheme="minorHAnsi" w:cstheme="minorHAnsi"/>
          <w:u w:val="single"/>
        </w:rPr>
      </w:pPr>
      <w:r w:rsidRPr="00C26405">
        <w:rPr>
          <w:rFonts w:asciiTheme="minorHAnsi" w:hAnsiTheme="minorHAnsi" w:cstheme="minorHAnsi"/>
          <w:u w:val="single"/>
        </w:rPr>
        <w:t>Operational cost drivers</w:t>
      </w:r>
    </w:p>
    <w:p w14:paraId="596CC949" w14:textId="77777777" w:rsidR="00BC07B8" w:rsidRDefault="00BC07B8" w:rsidP="00D212A5">
      <w:pPr>
        <w:rPr>
          <w:rFonts w:asciiTheme="minorHAnsi" w:hAnsiTheme="minorHAnsi" w:cstheme="minorHAnsi"/>
        </w:rPr>
      </w:pPr>
    </w:p>
    <w:p w14:paraId="2CE673BC" w14:textId="1E9EF654" w:rsidR="00C15B88" w:rsidRDefault="00256FA8" w:rsidP="00D212A5">
      <w:pPr>
        <w:rPr>
          <w:rFonts w:asciiTheme="minorHAnsi" w:hAnsiTheme="minorHAnsi" w:cstheme="minorHAnsi"/>
        </w:rPr>
      </w:pPr>
      <w:r>
        <w:rPr>
          <w:rFonts w:asciiTheme="minorHAnsi" w:hAnsiTheme="minorHAnsi" w:cstheme="minorHAnsi"/>
        </w:rPr>
        <w:t>With NOPTA’s</w:t>
      </w:r>
      <w:r w:rsidR="00A84E03">
        <w:rPr>
          <w:rFonts w:asciiTheme="minorHAnsi" w:hAnsiTheme="minorHAnsi" w:cstheme="minorHAnsi"/>
        </w:rPr>
        <w:t xml:space="preserve"> assistance</w:t>
      </w:r>
      <w:r>
        <w:rPr>
          <w:rFonts w:asciiTheme="minorHAnsi" w:hAnsiTheme="minorHAnsi" w:cstheme="minorHAnsi"/>
        </w:rPr>
        <w:t>, the Registrar’s</w:t>
      </w:r>
      <w:r w:rsidR="00ED2F9B" w:rsidRPr="00BF4B3C">
        <w:rPr>
          <w:rFonts w:asciiTheme="minorHAnsi" w:hAnsiTheme="minorHAnsi" w:cstheme="minorHAnsi"/>
        </w:rPr>
        <w:t xml:space="preserve"> ability to effectively administer and discharge its functions under the </w:t>
      </w:r>
      <w:r w:rsidR="005827AF">
        <w:rPr>
          <w:rFonts w:asciiTheme="minorHAnsi" w:hAnsiTheme="minorHAnsi" w:cstheme="minorHAnsi"/>
        </w:rPr>
        <w:t>O</w:t>
      </w:r>
      <w:r w:rsidR="00CB71DE">
        <w:rPr>
          <w:rFonts w:asciiTheme="minorHAnsi" w:hAnsiTheme="minorHAnsi" w:cstheme="minorHAnsi"/>
        </w:rPr>
        <w:t xml:space="preserve">EI </w:t>
      </w:r>
      <w:r w:rsidR="005827AF">
        <w:rPr>
          <w:rFonts w:asciiTheme="minorHAnsi" w:hAnsiTheme="minorHAnsi" w:cstheme="minorHAnsi"/>
        </w:rPr>
        <w:t>Act</w:t>
      </w:r>
      <w:r w:rsidR="00ED2F9B">
        <w:rPr>
          <w:rFonts w:asciiTheme="minorHAnsi" w:hAnsiTheme="minorHAnsi" w:cstheme="minorHAnsi"/>
        </w:rPr>
        <w:t xml:space="preserve"> </w:t>
      </w:r>
      <w:r w:rsidR="00ED2F9B" w:rsidRPr="00BF4B3C">
        <w:rPr>
          <w:rFonts w:asciiTheme="minorHAnsi" w:hAnsiTheme="minorHAnsi" w:cstheme="minorHAnsi"/>
        </w:rPr>
        <w:t xml:space="preserve">is underpinned by </w:t>
      </w:r>
      <w:r w:rsidR="00ED2F9B">
        <w:rPr>
          <w:rFonts w:asciiTheme="minorHAnsi" w:hAnsiTheme="minorHAnsi" w:cstheme="minorHAnsi"/>
        </w:rPr>
        <w:t xml:space="preserve">access to </w:t>
      </w:r>
      <w:r w:rsidR="00ED2F9B" w:rsidRPr="00BF4B3C">
        <w:rPr>
          <w:rFonts w:asciiTheme="minorHAnsi" w:hAnsiTheme="minorHAnsi" w:cstheme="minorHAnsi"/>
        </w:rPr>
        <w:t xml:space="preserve">sufficient resources, capacity and qualified personnel. </w:t>
      </w:r>
      <w:r w:rsidR="00B8128B">
        <w:rPr>
          <w:rFonts w:asciiTheme="minorHAnsi" w:hAnsiTheme="minorHAnsi" w:cstheme="minorHAnsi"/>
        </w:rPr>
        <w:t>The Registrar must be able to retain a competent capacity to undertake its advisory and compliance roles under the OEI regime.</w:t>
      </w:r>
    </w:p>
    <w:p w14:paraId="0A8CC8C6" w14:textId="77777777" w:rsidR="00C15B88" w:rsidRDefault="00C15B88" w:rsidP="00D212A5">
      <w:pPr>
        <w:rPr>
          <w:rFonts w:asciiTheme="minorHAnsi" w:hAnsiTheme="minorHAnsi" w:cstheme="minorHAnsi"/>
        </w:rPr>
      </w:pPr>
    </w:p>
    <w:p w14:paraId="5201E128" w14:textId="69EB5BB3" w:rsidR="00D212A5" w:rsidRPr="00BF4B3C" w:rsidRDefault="00CB71DE" w:rsidP="00C15B88">
      <w:pPr>
        <w:rPr>
          <w:rFonts w:asciiTheme="minorHAnsi" w:hAnsiTheme="minorHAnsi" w:cstheme="minorHAnsi"/>
        </w:rPr>
      </w:pPr>
      <w:r>
        <w:rPr>
          <w:rFonts w:asciiTheme="minorHAnsi" w:hAnsiTheme="minorHAnsi" w:cstheme="minorHAnsi"/>
        </w:rPr>
        <w:t>Importantly, there is distinct legislative separation between NOPTA’s duties and cost recovery in relation to offshore petroleum and greenhouse gas storage and those in relation to offshore electricity</w:t>
      </w:r>
      <w:r w:rsidR="00B450AD">
        <w:rPr>
          <w:rFonts w:asciiTheme="minorHAnsi" w:hAnsiTheme="minorHAnsi" w:cstheme="minorHAnsi"/>
        </w:rPr>
        <w:t xml:space="preserve"> such that there can be no cross-subsidisation of the two functions. </w:t>
      </w:r>
      <w:r>
        <w:rPr>
          <w:rFonts w:asciiTheme="minorHAnsi" w:hAnsiTheme="minorHAnsi" w:cstheme="minorHAnsi"/>
        </w:rPr>
        <w:t xml:space="preserve"> </w:t>
      </w:r>
    </w:p>
    <w:p w14:paraId="3EBA1BC9" w14:textId="77777777" w:rsidR="00395556" w:rsidRDefault="00395556" w:rsidP="00395556">
      <w:pPr>
        <w:rPr>
          <w:rFonts w:asciiTheme="minorHAnsi" w:hAnsiTheme="minorHAnsi" w:cstheme="minorHAnsi"/>
        </w:rPr>
      </w:pPr>
    </w:p>
    <w:p w14:paraId="5C228F52" w14:textId="32E364D4" w:rsidR="00395556" w:rsidRDefault="002B7A21" w:rsidP="00395556">
      <w:pPr>
        <w:rPr>
          <w:rFonts w:asciiTheme="minorHAnsi" w:hAnsiTheme="minorHAnsi" w:cstheme="minorHAnsi"/>
        </w:rPr>
      </w:pPr>
      <w:r>
        <w:rPr>
          <w:rFonts w:asciiTheme="minorHAnsi" w:hAnsiTheme="minorHAnsi" w:cstheme="minorHAnsi"/>
        </w:rPr>
        <w:t>The Registrar</w:t>
      </w:r>
      <w:r w:rsidR="00395556" w:rsidRPr="007D7A99">
        <w:rPr>
          <w:rFonts w:asciiTheme="minorHAnsi" w:hAnsiTheme="minorHAnsi" w:cstheme="minorHAnsi"/>
        </w:rPr>
        <w:t xml:space="preserve"> is</w:t>
      </w:r>
      <w:r w:rsidR="00B21A34">
        <w:rPr>
          <w:rFonts w:asciiTheme="minorHAnsi" w:hAnsiTheme="minorHAnsi" w:cstheme="minorHAnsi"/>
        </w:rPr>
        <w:t xml:space="preserve"> to be</w:t>
      </w:r>
      <w:r w:rsidR="00395556" w:rsidRPr="007D7A99">
        <w:rPr>
          <w:rFonts w:asciiTheme="minorHAnsi" w:hAnsiTheme="minorHAnsi" w:cstheme="minorHAnsi"/>
        </w:rPr>
        <w:t xml:space="preserve"> fully funded through the cost recovery charges imposed under th</w:t>
      </w:r>
      <w:r w:rsidR="00395556">
        <w:rPr>
          <w:rFonts w:asciiTheme="minorHAnsi" w:hAnsiTheme="minorHAnsi" w:cstheme="minorHAnsi"/>
        </w:rPr>
        <w:t xml:space="preserve">e </w:t>
      </w:r>
      <w:r w:rsidR="00E564DD">
        <w:rPr>
          <w:rFonts w:asciiTheme="minorHAnsi" w:hAnsiTheme="minorHAnsi" w:cstheme="minorHAnsi"/>
        </w:rPr>
        <w:br/>
      </w:r>
      <w:r w:rsidR="00395556">
        <w:rPr>
          <w:rFonts w:asciiTheme="minorHAnsi" w:hAnsiTheme="minorHAnsi" w:cstheme="minorHAnsi"/>
        </w:rPr>
        <w:t>OEI</w:t>
      </w:r>
      <w:r w:rsidR="00395556" w:rsidRPr="007D7A99">
        <w:rPr>
          <w:rFonts w:asciiTheme="minorHAnsi" w:hAnsiTheme="minorHAnsi" w:cstheme="minorHAnsi"/>
        </w:rPr>
        <w:t xml:space="preserve"> legislation</w:t>
      </w:r>
      <w:r w:rsidR="00395556">
        <w:rPr>
          <w:rFonts w:asciiTheme="minorHAnsi" w:hAnsiTheme="minorHAnsi" w:cstheme="minorHAnsi"/>
        </w:rPr>
        <w:t xml:space="preserve"> </w:t>
      </w:r>
      <w:r w:rsidR="00BC07B8">
        <w:rPr>
          <w:rFonts w:asciiTheme="minorHAnsi" w:hAnsiTheme="minorHAnsi" w:cstheme="minorHAnsi"/>
        </w:rPr>
        <w:t xml:space="preserve">and </w:t>
      </w:r>
      <w:r w:rsidR="00395556">
        <w:rPr>
          <w:rFonts w:asciiTheme="minorHAnsi" w:hAnsiTheme="minorHAnsi" w:cstheme="minorHAnsi"/>
        </w:rPr>
        <w:t>manag</w:t>
      </w:r>
      <w:r w:rsidR="00BC07B8">
        <w:rPr>
          <w:rFonts w:asciiTheme="minorHAnsi" w:hAnsiTheme="minorHAnsi" w:cstheme="minorHAnsi"/>
        </w:rPr>
        <w:t>es</w:t>
      </w:r>
      <w:r w:rsidR="00395556">
        <w:rPr>
          <w:rFonts w:asciiTheme="minorHAnsi" w:hAnsiTheme="minorHAnsi" w:cstheme="minorHAnsi"/>
        </w:rPr>
        <w:t xml:space="preserve"> the funds through </w:t>
      </w:r>
      <w:r w:rsidR="00395556" w:rsidRPr="007D7A99">
        <w:rPr>
          <w:rFonts w:asciiTheme="minorHAnsi" w:hAnsiTheme="minorHAnsi" w:cstheme="minorHAnsi"/>
        </w:rPr>
        <w:t xml:space="preserve">an administered Special Account. </w:t>
      </w:r>
      <w:r>
        <w:rPr>
          <w:rFonts w:asciiTheme="minorHAnsi" w:hAnsiTheme="minorHAnsi" w:cstheme="minorHAnsi"/>
        </w:rPr>
        <w:t>The Registrar</w:t>
      </w:r>
      <w:r w:rsidR="00B21A34">
        <w:rPr>
          <w:rFonts w:asciiTheme="minorHAnsi" w:hAnsiTheme="minorHAnsi" w:cstheme="minorHAnsi"/>
        </w:rPr>
        <w:t xml:space="preserve"> will</w:t>
      </w:r>
      <w:r w:rsidRPr="009339CD">
        <w:rPr>
          <w:rFonts w:asciiTheme="minorHAnsi" w:hAnsiTheme="minorHAnsi" w:cstheme="minorHAnsi"/>
        </w:rPr>
        <w:t xml:space="preserve"> </w:t>
      </w:r>
      <w:r w:rsidR="00395556" w:rsidRPr="009339CD">
        <w:rPr>
          <w:rFonts w:asciiTheme="minorHAnsi" w:hAnsiTheme="minorHAnsi" w:cstheme="minorHAnsi"/>
        </w:rPr>
        <w:t xml:space="preserve">recover its costs via application fees and </w:t>
      </w:r>
      <w:r w:rsidR="00395556">
        <w:rPr>
          <w:rFonts w:asciiTheme="minorHAnsi" w:hAnsiTheme="minorHAnsi" w:cstheme="minorHAnsi"/>
        </w:rPr>
        <w:t>a</w:t>
      </w:r>
      <w:r w:rsidR="00395556" w:rsidRPr="009339CD">
        <w:rPr>
          <w:rFonts w:asciiTheme="minorHAnsi" w:hAnsiTheme="minorHAnsi" w:cstheme="minorHAnsi"/>
        </w:rPr>
        <w:t>nnual</w:t>
      </w:r>
      <w:r w:rsidR="00744913">
        <w:rPr>
          <w:rFonts w:asciiTheme="minorHAnsi" w:hAnsiTheme="minorHAnsi" w:cstheme="minorHAnsi"/>
        </w:rPr>
        <w:t xml:space="preserve"> </w:t>
      </w:r>
      <w:r w:rsidR="00C9600D">
        <w:rPr>
          <w:rFonts w:asciiTheme="minorHAnsi" w:hAnsiTheme="minorHAnsi" w:cstheme="minorHAnsi"/>
        </w:rPr>
        <w:t xml:space="preserve">licence </w:t>
      </w:r>
      <w:r w:rsidR="00395556">
        <w:rPr>
          <w:rFonts w:asciiTheme="minorHAnsi" w:hAnsiTheme="minorHAnsi" w:cstheme="minorHAnsi"/>
        </w:rPr>
        <w:t>lev</w:t>
      </w:r>
      <w:r w:rsidR="00C9600D">
        <w:rPr>
          <w:rFonts w:asciiTheme="minorHAnsi" w:hAnsiTheme="minorHAnsi" w:cstheme="minorHAnsi"/>
        </w:rPr>
        <w:t>ies</w:t>
      </w:r>
      <w:r w:rsidR="00395556">
        <w:rPr>
          <w:rFonts w:asciiTheme="minorHAnsi" w:hAnsiTheme="minorHAnsi" w:cstheme="minorHAnsi"/>
        </w:rPr>
        <w:t>.</w:t>
      </w:r>
      <w:r w:rsidR="00395556" w:rsidRPr="009339CD">
        <w:rPr>
          <w:rFonts w:asciiTheme="minorHAnsi" w:hAnsiTheme="minorHAnsi" w:cstheme="minorHAnsi"/>
        </w:rPr>
        <w:t xml:space="preserve"> </w:t>
      </w:r>
      <w:r w:rsidR="00B21A34">
        <w:rPr>
          <w:rFonts w:asciiTheme="minorHAnsi" w:hAnsiTheme="minorHAnsi" w:cstheme="minorHAnsi"/>
        </w:rPr>
        <w:t xml:space="preserve"> The first cost recovery will occur on the receipt of the first </w:t>
      </w:r>
      <w:r w:rsidR="00E564DD">
        <w:rPr>
          <w:rFonts w:asciiTheme="minorHAnsi" w:hAnsiTheme="minorHAnsi" w:cstheme="minorHAnsi"/>
        </w:rPr>
        <w:t xml:space="preserve">licence </w:t>
      </w:r>
      <w:r w:rsidR="00B21A34">
        <w:rPr>
          <w:rFonts w:asciiTheme="minorHAnsi" w:hAnsiTheme="minorHAnsi" w:cstheme="minorHAnsi"/>
        </w:rPr>
        <w:t>application, which is expected in the latter half of 2022-23.</w:t>
      </w:r>
    </w:p>
    <w:p w14:paraId="1C0732CB" w14:textId="6EDCAB5E" w:rsidR="009F4CCC" w:rsidRDefault="009F4CCC">
      <w:pPr>
        <w:spacing w:after="200" w:line="276" w:lineRule="auto"/>
        <w:rPr>
          <w:rFonts w:asciiTheme="minorHAnsi" w:hAnsiTheme="minorHAnsi"/>
          <w:bCs/>
        </w:rPr>
      </w:pPr>
      <w:r>
        <w:rPr>
          <w:rFonts w:asciiTheme="minorHAnsi" w:hAnsiTheme="minorHAnsi"/>
          <w:bCs/>
        </w:rPr>
        <w:br w:type="page"/>
      </w:r>
    </w:p>
    <w:p w14:paraId="54133DBD" w14:textId="6BC8A342" w:rsidR="008B679D" w:rsidRPr="00902AA6" w:rsidRDefault="008B679D" w:rsidP="00902AA6">
      <w:pPr>
        <w:pStyle w:val="Heading2"/>
        <w:tabs>
          <w:tab w:val="clear" w:pos="576"/>
          <w:tab w:val="num" w:pos="709"/>
        </w:tabs>
        <w:ind w:left="709" w:hanging="709"/>
        <w:rPr>
          <w:rFonts w:asciiTheme="minorHAnsi" w:hAnsiTheme="minorHAnsi" w:cstheme="minorHAnsi"/>
          <w:i w:val="0"/>
          <w:iCs w:val="0"/>
        </w:rPr>
      </w:pPr>
      <w:bookmarkStart w:id="13" w:name="_Toc98772158"/>
      <w:r w:rsidRPr="00902AA6">
        <w:rPr>
          <w:rFonts w:asciiTheme="minorHAnsi" w:hAnsiTheme="minorHAnsi" w:cstheme="minorHAnsi"/>
          <w:i w:val="0"/>
          <w:iCs w:val="0"/>
        </w:rPr>
        <w:lastRenderedPageBreak/>
        <w:t>C</w:t>
      </w:r>
      <w:r w:rsidR="00902AA6">
        <w:rPr>
          <w:rFonts w:asciiTheme="minorHAnsi" w:hAnsiTheme="minorHAnsi" w:cstheme="minorHAnsi"/>
          <w:i w:val="0"/>
          <w:iCs w:val="0"/>
        </w:rPr>
        <w:t>ost Recovery Model</w:t>
      </w:r>
      <w:bookmarkEnd w:id="13"/>
    </w:p>
    <w:p w14:paraId="64A5E54F" w14:textId="45AFD1CB" w:rsidR="00D212A5" w:rsidRPr="00F2024B" w:rsidRDefault="006D4972" w:rsidP="00902AA6">
      <w:pPr>
        <w:pStyle w:val="Heading3"/>
        <w:rPr>
          <w:i/>
          <w:iCs/>
        </w:rPr>
      </w:pPr>
      <w:bookmarkStart w:id="14" w:name="_Hlk35940655"/>
      <w:bookmarkStart w:id="15" w:name="_Toc98772159"/>
      <w:r>
        <w:t>Staffing</w:t>
      </w:r>
      <w:bookmarkEnd w:id="15"/>
    </w:p>
    <w:p w14:paraId="2A4EE67A" w14:textId="46D1D227" w:rsidR="00A174D5" w:rsidRDefault="00271D05" w:rsidP="00A174D5">
      <w:pPr>
        <w:rPr>
          <w:rFonts w:asciiTheme="minorHAnsi" w:hAnsiTheme="minorHAnsi" w:cstheme="minorHAnsi"/>
        </w:rPr>
      </w:pPr>
      <w:r>
        <w:rPr>
          <w:rFonts w:asciiTheme="minorHAnsi" w:hAnsiTheme="minorHAnsi" w:cstheme="minorHAnsi"/>
        </w:rPr>
        <w:t xml:space="preserve">For the </w:t>
      </w:r>
      <w:r w:rsidR="0075339F">
        <w:rPr>
          <w:rFonts w:asciiTheme="minorHAnsi" w:hAnsiTheme="minorHAnsi" w:cstheme="minorHAnsi"/>
        </w:rPr>
        <w:t>initial CRIS period</w:t>
      </w:r>
      <w:r>
        <w:rPr>
          <w:rFonts w:asciiTheme="minorHAnsi" w:hAnsiTheme="minorHAnsi" w:cstheme="minorHAnsi"/>
        </w:rPr>
        <w:t xml:space="preserve">, </w:t>
      </w:r>
      <w:r w:rsidR="002B7A21">
        <w:rPr>
          <w:rFonts w:asciiTheme="minorHAnsi" w:hAnsiTheme="minorHAnsi" w:cstheme="minorHAnsi"/>
        </w:rPr>
        <w:t xml:space="preserve">the Registrar </w:t>
      </w:r>
      <w:r w:rsidR="00A174D5" w:rsidRPr="00010A00">
        <w:rPr>
          <w:rFonts w:asciiTheme="minorHAnsi" w:hAnsiTheme="minorHAnsi" w:cstheme="minorHAnsi"/>
        </w:rPr>
        <w:t xml:space="preserve">will have </w:t>
      </w:r>
      <w:r w:rsidR="00667B57">
        <w:rPr>
          <w:rFonts w:asciiTheme="minorHAnsi" w:hAnsiTheme="minorHAnsi" w:cstheme="minorHAnsi"/>
        </w:rPr>
        <w:t xml:space="preserve">6.60 </w:t>
      </w:r>
      <w:r w:rsidR="00A174D5" w:rsidRPr="00010A00">
        <w:rPr>
          <w:rFonts w:asciiTheme="minorHAnsi" w:hAnsiTheme="minorHAnsi" w:cstheme="minorHAnsi"/>
        </w:rPr>
        <w:t>Full Time Equivalent (</w:t>
      </w:r>
      <w:r w:rsidR="00A174D5" w:rsidRPr="005E4C63">
        <w:rPr>
          <w:rFonts w:asciiTheme="minorHAnsi" w:hAnsiTheme="minorHAnsi" w:cstheme="minorHAnsi"/>
          <w:b/>
          <w:bCs/>
        </w:rPr>
        <w:t>FTE</w:t>
      </w:r>
      <w:r w:rsidR="00A174D5" w:rsidRPr="00010A00">
        <w:rPr>
          <w:rFonts w:asciiTheme="minorHAnsi" w:hAnsiTheme="minorHAnsi" w:cstheme="minorHAnsi"/>
        </w:rPr>
        <w:t>) staff</w:t>
      </w:r>
      <w:r w:rsidR="00157980" w:rsidRPr="00010A00">
        <w:rPr>
          <w:rFonts w:asciiTheme="minorHAnsi" w:hAnsiTheme="minorHAnsi" w:cstheme="minorHAnsi"/>
        </w:rPr>
        <w:t xml:space="preserve"> </w:t>
      </w:r>
      <w:r w:rsidR="00A174D5" w:rsidRPr="00010A00">
        <w:rPr>
          <w:rFonts w:asciiTheme="minorHAnsi" w:hAnsiTheme="minorHAnsi" w:cstheme="minorHAnsi"/>
        </w:rPr>
        <w:t>employed to</w:t>
      </w:r>
      <w:r w:rsidR="00406DEA">
        <w:rPr>
          <w:rFonts w:asciiTheme="minorHAnsi" w:hAnsiTheme="minorHAnsi" w:cstheme="minorHAnsi"/>
        </w:rPr>
        <w:t xml:space="preserve"> support the Registrar in</w:t>
      </w:r>
      <w:r w:rsidR="00A174D5" w:rsidRPr="00010A00">
        <w:rPr>
          <w:rFonts w:asciiTheme="minorHAnsi" w:hAnsiTheme="minorHAnsi" w:cstheme="minorHAnsi"/>
        </w:rPr>
        <w:t xml:space="preserve"> deliver</w:t>
      </w:r>
      <w:r w:rsidR="00406DEA">
        <w:rPr>
          <w:rFonts w:asciiTheme="minorHAnsi" w:hAnsiTheme="minorHAnsi" w:cstheme="minorHAnsi"/>
        </w:rPr>
        <w:t>ing</w:t>
      </w:r>
      <w:r w:rsidR="00A174D5" w:rsidRPr="00010A00">
        <w:rPr>
          <w:rFonts w:asciiTheme="minorHAnsi" w:hAnsiTheme="minorHAnsi" w:cstheme="minorHAnsi"/>
        </w:rPr>
        <w:t xml:space="preserve"> its legislated functions</w:t>
      </w:r>
      <w:r w:rsidR="005E358D">
        <w:rPr>
          <w:rFonts w:asciiTheme="minorHAnsi" w:hAnsiTheme="minorHAnsi" w:cstheme="minorHAnsi"/>
        </w:rPr>
        <w:t xml:space="preserve"> under the OEI Act</w:t>
      </w:r>
      <w:r w:rsidR="00A174D5" w:rsidRPr="00010A00">
        <w:rPr>
          <w:rFonts w:asciiTheme="minorHAnsi" w:hAnsiTheme="minorHAnsi" w:cstheme="minorHAnsi"/>
        </w:rPr>
        <w:t>:</w:t>
      </w:r>
    </w:p>
    <w:p w14:paraId="676B4BCC" w14:textId="5E7326E8" w:rsidR="00A174D5" w:rsidRPr="00010A00" w:rsidRDefault="00A174D5" w:rsidP="00A174D5">
      <w:pPr>
        <w:rPr>
          <w:rFonts w:asciiTheme="minorHAnsi" w:hAnsiTheme="minorHAnsi" w:cstheme="minorHAnsi"/>
        </w:rPr>
      </w:pPr>
    </w:p>
    <w:p w14:paraId="243D9CF1" w14:textId="15E27774" w:rsidR="00A174D5" w:rsidRPr="00010A00" w:rsidRDefault="001D3465" w:rsidP="00D57192">
      <w:pPr>
        <w:pStyle w:val="ListParagraph"/>
        <w:numPr>
          <w:ilvl w:val="0"/>
          <w:numId w:val="7"/>
        </w:numPr>
        <w:rPr>
          <w:rFonts w:asciiTheme="minorHAnsi" w:hAnsiTheme="minorHAnsi" w:cstheme="minorHAnsi"/>
        </w:rPr>
      </w:pPr>
      <w:r>
        <w:rPr>
          <w:rFonts w:asciiTheme="minorHAnsi" w:hAnsiTheme="minorHAnsi" w:cstheme="minorHAnsi"/>
        </w:rPr>
        <w:t xml:space="preserve">One full-time EL2 Manager </w:t>
      </w:r>
      <w:r w:rsidR="0030275B">
        <w:rPr>
          <w:rFonts w:asciiTheme="minorHAnsi" w:hAnsiTheme="minorHAnsi" w:cstheme="minorHAnsi"/>
        </w:rPr>
        <w:t xml:space="preserve">equivalent </w:t>
      </w:r>
      <w:r>
        <w:rPr>
          <w:rFonts w:asciiTheme="minorHAnsi" w:hAnsiTheme="minorHAnsi" w:cstheme="minorHAnsi"/>
        </w:rPr>
        <w:t>(1.0 FTE)</w:t>
      </w:r>
    </w:p>
    <w:p w14:paraId="725F1455" w14:textId="1A462906" w:rsidR="00A174D5" w:rsidRPr="00010A00" w:rsidRDefault="001D3465" w:rsidP="00D57192">
      <w:pPr>
        <w:pStyle w:val="ListParagraph"/>
        <w:numPr>
          <w:ilvl w:val="0"/>
          <w:numId w:val="7"/>
        </w:numPr>
        <w:rPr>
          <w:rFonts w:asciiTheme="minorHAnsi" w:hAnsiTheme="minorHAnsi" w:cstheme="minorHAnsi"/>
        </w:rPr>
      </w:pPr>
      <w:r>
        <w:rPr>
          <w:rFonts w:asciiTheme="minorHAnsi" w:hAnsiTheme="minorHAnsi" w:cstheme="minorHAnsi"/>
        </w:rPr>
        <w:t xml:space="preserve">One </w:t>
      </w:r>
      <w:r w:rsidR="004904DD">
        <w:rPr>
          <w:rFonts w:asciiTheme="minorHAnsi" w:hAnsiTheme="minorHAnsi" w:cstheme="minorHAnsi"/>
        </w:rPr>
        <w:t>full</w:t>
      </w:r>
      <w:r>
        <w:rPr>
          <w:rFonts w:asciiTheme="minorHAnsi" w:hAnsiTheme="minorHAnsi" w:cstheme="minorHAnsi"/>
        </w:rPr>
        <w:t xml:space="preserve">-time EL1 Assistant Manager </w:t>
      </w:r>
      <w:r w:rsidR="00157980">
        <w:rPr>
          <w:rFonts w:asciiTheme="minorHAnsi" w:hAnsiTheme="minorHAnsi" w:cstheme="minorHAnsi"/>
        </w:rPr>
        <w:t xml:space="preserve">equivalent </w:t>
      </w:r>
      <w:r>
        <w:rPr>
          <w:rFonts w:asciiTheme="minorHAnsi" w:hAnsiTheme="minorHAnsi" w:cstheme="minorHAnsi"/>
        </w:rPr>
        <w:t>(</w:t>
      </w:r>
      <w:r w:rsidR="004904DD">
        <w:rPr>
          <w:rFonts w:asciiTheme="minorHAnsi" w:hAnsiTheme="minorHAnsi" w:cstheme="minorHAnsi"/>
        </w:rPr>
        <w:t>1.0 FTE</w:t>
      </w:r>
      <w:r>
        <w:rPr>
          <w:rFonts w:asciiTheme="minorHAnsi" w:hAnsiTheme="minorHAnsi" w:cstheme="minorHAnsi"/>
        </w:rPr>
        <w:t>)</w:t>
      </w:r>
    </w:p>
    <w:p w14:paraId="2D58B19B" w14:textId="729CEF52" w:rsidR="00A174D5" w:rsidRPr="001D3465" w:rsidRDefault="001D3465" w:rsidP="00D57192">
      <w:pPr>
        <w:pStyle w:val="ListParagraph"/>
        <w:numPr>
          <w:ilvl w:val="0"/>
          <w:numId w:val="7"/>
        </w:numPr>
        <w:rPr>
          <w:rFonts w:asciiTheme="minorHAnsi" w:hAnsiTheme="minorHAnsi" w:cstheme="minorHAnsi"/>
        </w:rPr>
      </w:pPr>
      <w:r w:rsidRPr="001D3465">
        <w:rPr>
          <w:rFonts w:asciiTheme="minorHAnsi" w:hAnsiTheme="minorHAnsi" w:cstheme="minorHAnsi"/>
        </w:rPr>
        <w:t xml:space="preserve">One full-time APS 6 Titles Officer </w:t>
      </w:r>
      <w:r w:rsidR="00157980">
        <w:rPr>
          <w:rFonts w:asciiTheme="minorHAnsi" w:hAnsiTheme="minorHAnsi" w:cstheme="minorHAnsi"/>
        </w:rPr>
        <w:t>equivalent</w:t>
      </w:r>
      <w:r w:rsidR="00157980" w:rsidRPr="001D3465">
        <w:rPr>
          <w:rFonts w:asciiTheme="minorHAnsi" w:hAnsiTheme="minorHAnsi" w:cstheme="minorHAnsi"/>
        </w:rPr>
        <w:t xml:space="preserve"> </w:t>
      </w:r>
      <w:r w:rsidRPr="001D3465">
        <w:rPr>
          <w:rFonts w:asciiTheme="minorHAnsi" w:hAnsiTheme="minorHAnsi" w:cstheme="minorHAnsi"/>
        </w:rPr>
        <w:t>(</w:t>
      </w:r>
      <w:r w:rsidR="004904DD">
        <w:rPr>
          <w:rFonts w:asciiTheme="minorHAnsi" w:hAnsiTheme="minorHAnsi" w:cstheme="minorHAnsi"/>
        </w:rPr>
        <w:t>1.0 FTE</w:t>
      </w:r>
      <w:r w:rsidRPr="001D3465">
        <w:rPr>
          <w:rFonts w:asciiTheme="minorHAnsi" w:hAnsiTheme="minorHAnsi" w:cstheme="minorHAnsi"/>
        </w:rPr>
        <w:t>)</w:t>
      </w:r>
    </w:p>
    <w:p w14:paraId="3EA24BF1" w14:textId="302CCD82" w:rsidR="00A174D5" w:rsidRDefault="001D3465" w:rsidP="00D57192">
      <w:pPr>
        <w:pStyle w:val="ListParagraph"/>
        <w:numPr>
          <w:ilvl w:val="0"/>
          <w:numId w:val="7"/>
        </w:numPr>
        <w:rPr>
          <w:rFonts w:asciiTheme="minorHAnsi" w:hAnsiTheme="minorHAnsi" w:cstheme="minorHAnsi"/>
        </w:rPr>
      </w:pPr>
      <w:r w:rsidRPr="001D3465">
        <w:rPr>
          <w:rFonts w:asciiTheme="minorHAnsi" w:hAnsiTheme="minorHAnsi" w:cstheme="minorHAnsi"/>
        </w:rPr>
        <w:t xml:space="preserve">One </w:t>
      </w:r>
      <w:r w:rsidR="004904DD">
        <w:rPr>
          <w:rFonts w:asciiTheme="minorHAnsi" w:hAnsiTheme="minorHAnsi" w:cstheme="minorHAnsi"/>
        </w:rPr>
        <w:t xml:space="preserve">full-time </w:t>
      </w:r>
      <w:r w:rsidRPr="001D3465">
        <w:rPr>
          <w:rFonts w:asciiTheme="minorHAnsi" w:hAnsiTheme="minorHAnsi" w:cstheme="minorHAnsi"/>
        </w:rPr>
        <w:t xml:space="preserve">EL1 Commercial Officer </w:t>
      </w:r>
      <w:r w:rsidR="00157980">
        <w:rPr>
          <w:rFonts w:asciiTheme="minorHAnsi" w:hAnsiTheme="minorHAnsi" w:cstheme="minorHAnsi"/>
        </w:rPr>
        <w:t xml:space="preserve">equivalent </w:t>
      </w:r>
      <w:r>
        <w:rPr>
          <w:rFonts w:asciiTheme="minorHAnsi" w:hAnsiTheme="minorHAnsi" w:cstheme="minorHAnsi"/>
        </w:rPr>
        <w:t>(</w:t>
      </w:r>
      <w:r w:rsidR="004904DD">
        <w:rPr>
          <w:rFonts w:asciiTheme="minorHAnsi" w:hAnsiTheme="minorHAnsi" w:cstheme="minorHAnsi"/>
        </w:rPr>
        <w:t>1.0 FTE</w:t>
      </w:r>
      <w:r>
        <w:rPr>
          <w:rFonts w:asciiTheme="minorHAnsi" w:hAnsiTheme="minorHAnsi" w:cstheme="minorHAnsi"/>
        </w:rPr>
        <w:t>)</w:t>
      </w:r>
    </w:p>
    <w:p w14:paraId="79E58416" w14:textId="7F7DBB37" w:rsidR="00515183" w:rsidRDefault="00515183" w:rsidP="00D57192">
      <w:pPr>
        <w:pStyle w:val="ListParagraph"/>
        <w:numPr>
          <w:ilvl w:val="0"/>
          <w:numId w:val="7"/>
        </w:numPr>
        <w:rPr>
          <w:rFonts w:asciiTheme="minorHAnsi" w:hAnsiTheme="minorHAnsi" w:cstheme="minorHAnsi"/>
        </w:rPr>
      </w:pPr>
      <w:r>
        <w:rPr>
          <w:rFonts w:asciiTheme="minorHAnsi" w:hAnsiTheme="minorHAnsi" w:cstheme="minorHAnsi"/>
        </w:rPr>
        <w:t xml:space="preserve">One </w:t>
      </w:r>
      <w:r w:rsidR="004904DD">
        <w:rPr>
          <w:rFonts w:asciiTheme="minorHAnsi" w:hAnsiTheme="minorHAnsi" w:cstheme="minorHAnsi"/>
        </w:rPr>
        <w:t xml:space="preserve">full-time </w:t>
      </w:r>
      <w:r w:rsidR="001B40FE">
        <w:rPr>
          <w:rFonts w:asciiTheme="minorHAnsi" w:hAnsiTheme="minorHAnsi" w:cstheme="minorHAnsi"/>
        </w:rPr>
        <w:t xml:space="preserve">EL1 </w:t>
      </w:r>
      <w:r>
        <w:rPr>
          <w:rFonts w:asciiTheme="minorHAnsi" w:hAnsiTheme="minorHAnsi" w:cstheme="minorHAnsi"/>
        </w:rPr>
        <w:t>L</w:t>
      </w:r>
      <w:r w:rsidR="001B40FE">
        <w:rPr>
          <w:rFonts w:asciiTheme="minorHAnsi" w:hAnsiTheme="minorHAnsi" w:cstheme="minorHAnsi"/>
        </w:rPr>
        <w:t>egislative Compliance</w:t>
      </w:r>
      <w:r>
        <w:rPr>
          <w:rFonts w:asciiTheme="minorHAnsi" w:hAnsiTheme="minorHAnsi" w:cstheme="minorHAnsi"/>
        </w:rPr>
        <w:t xml:space="preserve"> Officer</w:t>
      </w:r>
      <w:r w:rsidR="00157980" w:rsidRPr="00157980">
        <w:rPr>
          <w:rFonts w:asciiTheme="minorHAnsi" w:hAnsiTheme="minorHAnsi" w:cstheme="minorHAnsi"/>
        </w:rPr>
        <w:t xml:space="preserve"> </w:t>
      </w:r>
      <w:r w:rsidR="00157980">
        <w:rPr>
          <w:rFonts w:asciiTheme="minorHAnsi" w:hAnsiTheme="minorHAnsi" w:cstheme="minorHAnsi"/>
        </w:rPr>
        <w:t>equivalent</w:t>
      </w:r>
      <w:r>
        <w:rPr>
          <w:rFonts w:asciiTheme="minorHAnsi" w:hAnsiTheme="minorHAnsi" w:cstheme="minorHAnsi"/>
        </w:rPr>
        <w:t xml:space="preserve"> (</w:t>
      </w:r>
      <w:r w:rsidR="004904DD">
        <w:rPr>
          <w:rFonts w:asciiTheme="minorHAnsi" w:hAnsiTheme="minorHAnsi" w:cstheme="minorHAnsi"/>
        </w:rPr>
        <w:t>1.0 FTE</w:t>
      </w:r>
      <w:r>
        <w:rPr>
          <w:rFonts w:asciiTheme="minorHAnsi" w:hAnsiTheme="minorHAnsi" w:cstheme="minorHAnsi"/>
        </w:rPr>
        <w:t>)</w:t>
      </w:r>
    </w:p>
    <w:p w14:paraId="6D928888" w14:textId="1BB23AEA" w:rsidR="001D3465" w:rsidRPr="001D3465" w:rsidRDefault="001D3465" w:rsidP="00D57192">
      <w:pPr>
        <w:pStyle w:val="ListParagraph"/>
        <w:numPr>
          <w:ilvl w:val="0"/>
          <w:numId w:val="7"/>
        </w:numPr>
        <w:rPr>
          <w:rFonts w:asciiTheme="minorHAnsi" w:hAnsiTheme="minorHAnsi" w:cstheme="minorHAnsi"/>
        </w:rPr>
      </w:pPr>
      <w:r>
        <w:rPr>
          <w:rFonts w:asciiTheme="minorHAnsi" w:hAnsiTheme="minorHAnsi" w:cstheme="minorHAnsi"/>
        </w:rPr>
        <w:t xml:space="preserve">One Specialist Technical Officer </w:t>
      </w:r>
      <w:r w:rsidR="00157980">
        <w:rPr>
          <w:rFonts w:asciiTheme="minorHAnsi" w:hAnsiTheme="minorHAnsi" w:cstheme="minorHAnsi"/>
        </w:rPr>
        <w:t xml:space="preserve">equivalent </w:t>
      </w:r>
      <w:r>
        <w:rPr>
          <w:rFonts w:asciiTheme="minorHAnsi" w:hAnsiTheme="minorHAnsi" w:cstheme="minorHAnsi"/>
        </w:rPr>
        <w:t>(1.0 FTE)</w:t>
      </w:r>
      <w:r w:rsidR="00C83799">
        <w:rPr>
          <w:rStyle w:val="FootnoteReference"/>
          <w:rFonts w:cstheme="minorHAnsi"/>
        </w:rPr>
        <w:footnoteReference w:id="2"/>
      </w:r>
    </w:p>
    <w:p w14:paraId="6FE31C38" w14:textId="77777777" w:rsidR="001D3465" w:rsidRPr="00010A00" w:rsidRDefault="001D3465" w:rsidP="001D3465">
      <w:pPr>
        <w:pStyle w:val="ListParagraph"/>
        <w:rPr>
          <w:rFonts w:asciiTheme="minorHAnsi" w:hAnsiTheme="minorHAnsi" w:cstheme="minorHAnsi"/>
          <w:highlight w:val="yellow"/>
        </w:rPr>
      </w:pPr>
    </w:p>
    <w:p w14:paraId="73484513" w14:textId="0160E972" w:rsidR="00A174D5" w:rsidRPr="00010A00" w:rsidRDefault="00A174D5" w:rsidP="00A174D5">
      <w:pPr>
        <w:rPr>
          <w:rFonts w:asciiTheme="minorHAnsi" w:hAnsiTheme="minorHAnsi" w:cstheme="minorHAnsi"/>
        </w:rPr>
      </w:pPr>
      <w:r w:rsidRPr="00010A00">
        <w:rPr>
          <w:rFonts w:asciiTheme="minorHAnsi" w:hAnsiTheme="minorHAnsi" w:cstheme="minorHAnsi"/>
        </w:rPr>
        <w:t xml:space="preserve">These </w:t>
      </w:r>
      <w:r w:rsidR="0034301D">
        <w:rPr>
          <w:rFonts w:asciiTheme="minorHAnsi" w:hAnsiTheme="minorHAnsi" w:cstheme="minorHAnsi"/>
        </w:rPr>
        <w:t>staff</w:t>
      </w:r>
      <w:r w:rsidRPr="00010A00">
        <w:rPr>
          <w:rFonts w:asciiTheme="minorHAnsi" w:hAnsiTheme="minorHAnsi" w:cstheme="minorHAnsi"/>
        </w:rPr>
        <w:t xml:space="preserve"> are supported by: </w:t>
      </w:r>
    </w:p>
    <w:p w14:paraId="368ED2A7" w14:textId="35582AE2" w:rsidR="00A174D5" w:rsidRPr="00010A00" w:rsidRDefault="00A174D5" w:rsidP="00D57192">
      <w:pPr>
        <w:pStyle w:val="ListParagraph"/>
        <w:numPr>
          <w:ilvl w:val="0"/>
          <w:numId w:val="8"/>
        </w:numPr>
        <w:rPr>
          <w:rFonts w:asciiTheme="minorHAnsi" w:hAnsiTheme="minorHAnsi" w:cstheme="minorHAnsi"/>
        </w:rPr>
      </w:pPr>
      <w:r w:rsidRPr="00010A00">
        <w:rPr>
          <w:rFonts w:asciiTheme="minorHAnsi" w:hAnsiTheme="minorHAnsi" w:cstheme="minorHAnsi"/>
        </w:rPr>
        <w:t>Technology, Information and Geospatial Support (</w:t>
      </w:r>
      <w:r w:rsidRPr="005E4C63">
        <w:rPr>
          <w:rFonts w:asciiTheme="minorHAnsi" w:hAnsiTheme="minorHAnsi" w:cstheme="minorHAnsi"/>
          <w:b/>
          <w:bCs/>
        </w:rPr>
        <w:t>TIGS</w:t>
      </w:r>
      <w:r w:rsidRPr="00010A00">
        <w:rPr>
          <w:rFonts w:asciiTheme="minorHAnsi" w:hAnsiTheme="minorHAnsi" w:cstheme="minorHAnsi"/>
        </w:rPr>
        <w:t>) (</w:t>
      </w:r>
      <w:r w:rsidR="001D3465">
        <w:rPr>
          <w:rFonts w:asciiTheme="minorHAnsi" w:hAnsiTheme="minorHAnsi" w:cstheme="minorHAnsi"/>
        </w:rPr>
        <w:t>0.</w:t>
      </w:r>
      <w:r w:rsidR="00515183">
        <w:rPr>
          <w:rFonts w:asciiTheme="minorHAnsi" w:hAnsiTheme="minorHAnsi" w:cstheme="minorHAnsi"/>
        </w:rPr>
        <w:t>25</w:t>
      </w:r>
      <w:r w:rsidRPr="00010A00">
        <w:rPr>
          <w:rFonts w:asciiTheme="minorHAnsi" w:hAnsiTheme="minorHAnsi" w:cstheme="minorHAnsi"/>
        </w:rPr>
        <w:t xml:space="preserve"> FTE) </w:t>
      </w:r>
    </w:p>
    <w:p w14:paraId="2034281D" w14:textId="7704A8EE" w:rsidR="00A174D5" w:rsidRPr="00010A00" w:rsidRDefault="00A174D5" w:rsidP="00D57192">
      <w:pPr>
        <w:pStyle w:val="ListParagraph"/>
        <w:numPr>
          <w:ilvl w:val="0"/>
          <w:numId w:val="8"/>
        </w:numPr>
        <w:rPr>
          <w:rFonts w:asciiTheme="minorHAnsi" w:hAnsiTheme="minorHAnsi" w:cstheme="minorHAnsi"/>
        </w:rPr>
      </w:pPr>
      <w:r w:rsidRPr="00010A00">
        <w:rPr>
          <w:rFonts w:asciiTheme="minorHAnsi" w:hAnsiTheme="minorHAnsi" w:cstheme="minorHAnsi"/>
        </w:rPr>
        <w:t>Business Support Unit (</w:t>
      </w:r>
      <w:r w:rsidRPr="005E4C63">
        <w:rPr>
          <w:rFonts w:asciiTheme="minorHAnsi" w:hAnsiTheme="minorHAnsi" w:cstheme="minorHAnsi"/>
          <w:b/>
          <w:bCs/>
        </w:rPr>
        <w:t>BSU</w:t>
      </w:r>
      <w:r w:rsidRPr="00010A00">
        <w:rPr>
          <w:rFonts w:asciiTheme="minorHAnsi" w:hAnsiTheme="minorHAnsi" w:cstheme="minorHAnsi"/>
        </w:rPr>
        <w:t>) (</w:t>
      </w:r>
      <w:r w:rsidR="001D3465">
        <w:rPr>
          <w:rFonts w:asciiTheme="minorHAnsi" w:hAnsiTheme="minorHAnsi" w:cstheme="minorHAnsi"/>
        </w:rPr>
        <w:t>0.</w:t>
      </w:r>
      <w:r w:rsidR="0093232F">
        <w:rPr>
          <w:rFonts w:asciiTheme="minorHAnsi" w:hAnsiTheme="minorHAnsi" w:cstheme="minorHAnsi"/>
        </w:rPr>
        <w:t>2</w:t>
      </w:r>
      <w:r w:rsidR="00515183">
        <w:rPr>
          <w:rFonts w:asciiTheme="minorHAnsi" w:hAnsiTheme="minorHAnsi" w:cstheme="minorHAnsi"/>
        </w:rPr>
        <w:t>5</w:t>
      </w:r>
      <w:r w:rsidRPr="00010A00">
        <w:rPr>
          <w:rFonts w:asciiTheme="minorHAnsi" w:hAnsiTheme="minorHAnsi" w:cstheme="minorHAnsi"/>
        </w:rPr>
        <w:t xml:space="preserve"> FTE)</w:t>
      </w:r>
    </w:p>
    <w:p w14:paraId="0BF3930A" w14:textId="29498D5C" w:rsidR="00A174D5" w:rsidRPr="00010A00" w:rsidRDefault="005E358D" w:rsidP="00D57192">
      <w:pPr>
        <w:pStyle w:val="ListParagraph"/>
        <w:numPr>
          <w:ilvl w:val="0"/>
          <w:numId w:val="8"/>
        </w:numPr>
        <w:rPr>
          <w:rFonts w:asciiTheme="minorHAnsi" w:hAnsiTheme="minorHAnsi" w:cstheme="minorHAnsi"/>
        </w:rPr>
      </w:pPr>
      <w:r>
        <w:rPr>
          <w:rFonts w:asciiTheme="minorHAnsi" w:hAnsiTheme="minorHAnsi" w:cstheme="minorHAnsi"/>
        </w:rPr>
        <w:t>Executive</w:t>
      </w:r>
      <w:r w:rsidR="00A174D5" w:rsidRPr="00010A00">
        <w:rPr>
          <w:rFonts w:asciiTheme="minorHAnsi" w:hAnsiTheme="minorHAnsi" w:cstheme="minorHAnsi"/>
        </w:rPr>
        <w:t xml:space="preserve"> (</w:t>
      </w:r>
      <w:r w:rsidR="001D3465">
        <w:rPr>
          <w:rFonts w:asciiTheme="minorHAnsi" w:hAnsiTheme="minorHAnsi" w:cstheme="minorHAnsi"/>
        </w:rPr>
        <w:t>0.1</w:t>
      </w:r>
      <w:r w:rsidR="00A174D5" w:rsidRPr="00010A00">
        <w:rPr>
          <w:rFonts w:asciiTheme="minorHAnsi" w:hAnsiTheme="minorHAnsi" w:cstheme="minorHAnsi"/>
        </w:rPr>
        <w:t xml:space="preserve"> FTE)</w:t>
      </w:r>
    </w:p>
    <w:p w14:paraId="293259DD" w14:textId="77777777" w:rsidR="00D212A5" w:rsidRDefault="00D212A5" w:rsidP="00D212A5">
      <w:pPr>
        <w:rPr>
          <w:rFonts w:asciiTheme="minorHAnsi" w:hAnsiTheme="minorHAnsi" w:cstheme="minorHAnsi"/>
        </w:rPr>
      </w:pPr>
    </w:p>
    <w:p w14:paraId="6C007F51" w14:textId="4F3D9697" w:rsidR="00D212A5" w:rsidRDefault="00457BBC" w:rsidP="00D212A5">
      <w:pPr>
        <w:rPr>
          <w:rFonts w:asciiTheme="minorHAnsi" w:hAnsiTheme="minorHAnsi" w:cstheme="minorHAnsi"/>
        </w:rPr>
      </w:pPr>
      <w:r>
        <w:rPr>
          <w:rFonts w:asciiTheme="minorHAnsi" w:hAnsiTheme="minorHAnsi" w:cstheme="minorHAnsi"/>
        </w:rPr>
        <w:t xml:space="preserve">The cost of the </w:t>
      </w:r>
      <w:r w:rsidR="005E358D">
        <w:rPr>
          <w:rFonts w:asciiTheme="minorHAnsi" w:hAnsiTheme="minorHAnsi" w:cstheme="minorHAnsi"/>
        </w:rPr>
        <w:t>Executive, BSU</w:t>
      </w:r>
      <w:r>
        <w:rPr>
          <w:rFonts w:asciiTheme="minorHAnsi" w:hAnsiTheme="minorHAnsi" w:cstheme="minorHAnsi"/>
        </w:rPr>
        <w:t xml:space="preserve"> and TIGS is allocated across </w:t>
      </w:r>
      <w:r w:rsidR="00406DEA">
        <w:rPr>
          <w:rFonts w:asciiTheme="minorHAnsi" w:hAnsiTheme="minorHAnsi" w:cstheme="minorHAnsi"/>
        </w:rPr>
        <w:t>NOPTA’s</w:t>
      </w:r>
      <w:r>
        <w:rPr>
          <w:rFonts w:asciiTheme="minorHAnsi" w:hAnsiTheme="minorHAnsi" w:cstheme="minorHAnsi"/>
        </w:rPr>
        <w:t xml:space="preserve"> </w:t>
      </w:r>
      <w:r w:rsidR="005E358D">
        <w:rPr>
          <w:rFonts w:asciiTheme="minorHAnsi" w:hAnsiTheme="minorHAnsi" w:cstheme="minorHAnsi"/>
        </w:rPr>
        <w:t xml:space="preserve">OEI </w:t>
      </w:r>
      <w:r>
        <w:rPr>
          <w:rFonts w:asciiTheme="minorHAnsi" w:hAnsiTheme="minorHAnsi" w:cstheme="minorHAnsi"/>
        </w:rPr>
        <w:t xml:space="preserve">activities based on estimations of effort. </w:t>
      </w:r>
    </w:p>
    <w:p w14:paraId="14837B02" w14:textId="64E8CF51" w:rsidR="00D212A5" w:rsidRDefault="00D212A5" w:rsidP="00D212A5">
      <w:pPr>
        <w:rPr>
          <w:rFonts w:asciiTheme="minorHAnsi" w:hAnsiTheme="minorHAnsi" w:cstheme="minorHAnsi"/>
        </w:rPr>
      </w:pPr>
    </w:p>
    <w:p w14:paraId="52665355" w14:textId="016A8918" w:rsidR="005D7243" w:rsidRPr="001024DE" w:rsidRDefault="005D7243" w:rsidP="00D212A5">
      <w:pPr>
        <w:rPr>
          <w:rFonts w:asciiTheme="minorHAnsi" w:hAnsiTheme="minorHAnsi" w:cstheme="minorHAnsi"/>
          <w:i/>
          <w:iCs/>
        </w:rPr>
      </w:pPr>
      <w:r w:rsidRPr="001024DE">
        <w:rPr>
          <w:rFonts w:asciiTheme="minorHAnsi" w:hAnsiTheme="minorHAnsi" w:cstheme="minorHAnsi"/>
          <w:i/>
          <w:iCs/>
        </w:rPr>
        <w:t>Departmental Overheads</w:t>
      </w:r>
    </w:p>
    <w:p w14:paraId="7CD7E48F" w14:textId="77777777" w:rsidR="002B7A21" w:rsidRDefault="002B7A21" w:rsidP="00D212A5">
      <w:pPr>
        <w:rPr>
          <w:rFonts w:asciiTheme="minorHAnsi" w:hAnsiTheme="minorHAnsi" w:cstheme="minorHAnsi"/>
        </w:rPr>
      </w:pPr>
    </w:p>
    <w:p w14:paraId="738CAFE1" w14:textId="3975079C" w:rsidR="005D7243" w:rsidRDefault="00D212A5" w:rsidP="00D212A5">
      <w:pPr>
        <w:rPr>
          <w:rFonts w:asciiTheme="minorHAnsi" w:hAnsiTheme="minorHAnsi" w:cstheme="minorHAnsi"/>
        </w:rPr>
      </w:pPr>
      <w:r>
        <w:rPr>
          <w:rFonts w:asciiTheme="minorHAnsi" w:hAnsiTheme="minorHAnsi" w:cstheme="minorHAnsi"/>
        </w:rPr>
        <w:t>DISER</w:t>
      </w:r>
      <w:r w:rsidR="005D7243">
        <w:rPr>
          <w:rFonts w:asciiTheme="minorHAnsi" w:hAnsiTheme="minorHAnsi" w:cstheme="minorHAnsi"/>
        </w:rPr>
        <w:t xml:space="preserve"> </w:t>
      </w:r>
      <w:r w:rsidRPr="004029F0">
        <w:rPr>
          <w:rFonts w:asciiTheme="minorHAnsi" w:hAnsiTheme="minorHAnsi" w:cstheme="minorHAnsi"/>
        </w:rPr>
        <w:t>provides the governance structure, access to corporate support and systems</w:t>
      </w:r>
      <w:r w:rsidR="00181A3A">
        <w:rPr>
          <w:rFonts w:asciiTheme="minorHAnsi" w:hAnsiTheme="minorHAnsi" w:cstheme="minorHAnsi"/>
        </w:rPr>
        <w:t xml:space="preserve"> and</w:t>
      </w:r>
      <w:r w:rsidRPr="004029F0">
        <w:rPr>
          <w:rFonts w:asciiTheme="minorHAnsi" w:hAnsiTheme="minorHAnsi" w:cstheme="minorHAnsi"/>
        </w:rPr>
        <w:t xml:space="preserve"> insurance coverage and allocates these costs to NOPTA. </w:t>
      </w:r>
    </w:p>
    <w:p w14:paraId="121E4FC0" w14:textId="77777777" w:rsidR="005D7243" w:rsidRDefault="005D7243" w:rsidP="00D212A5">
      <w:pPr>
        <w:rPr>
          <w:rFonts w:asciiTheme="minorHAnsi" w:hAnsiTheme="minorHAnsi" w:cstheme="minorHAnsi"/>
        </w:rPr>
      </w:pPr>
    </w:p>
    <w:p w14:paraId="7FCCB2F6" w14:textId="3F25F73B" w:rsidR="00D212A5" w:rsidRDefault="00D212A5" w:rsidP="00D212A5">
      <w:pPr>
        <w:rPr>
          <w:rFonts w:asciiTheme="minorHAnsi" w:hAnsiTheme="minorHAnsi" w:cstheme="minorHAnsi"/>
        </w:rPr>
      </w:pPr>
      <w:r w:rsidRPr="004029F0">
        <w:rPr>
          <w:rFonts w:asciiTheme="minorHAnsi" w:hAnsiTheme="minorHAnsi" w:cstheme="minorHAnsi"/>
        </w:rPr>
        <w:t>These costs consist of:</w:t>
      </w:r>
    </w:p>
    <w:p w14:paraId="6AFA908F" w14:textId="1034A1EC" w:rsidR="00D212A5" w:rsidRPr="00881BB9" w:rsidRDefault="00D212A5" w:rsidP="00A174D5">
      <w:pPr>
        <w:pStyle w:val="ListParagraph"/>
        <w:numPr>
          <w:ilvl w:val="0"/>
          <w:numId w:val="3"/>
        </w:numPr>
        <w:ind w:left="748" w:hanging="425"/>
        <w:rPr>
          <w:rFonts w:asciiTheme="minorHAnsi" w:hAnsiTheme="minorHAnsi" w:cstheme="minorHAnsi"/>
        </w:rPr>
      </w:pPr>
      <w:r w:rsidRPr="00881BB9">
        <w:rPr>
          <w:rFonts w:asciiTheme="minorHAnsi" w:hAnsiTheme="minorHAnsi" w:cstheme="minorHAnsi"/>
        </w:rPr>
        <w:t xml:space="preserve">Workers compensation insurance premium </w:t>
      </w:r>
    </w:p>
    <w:p w14:paraId="2988AE45" w14:textId="5354475D" w:rsidR="00D212A5" w:rsidRPr="00881BB9" w:rsidRDefault="00D212A5" w:rsidP="00A174D5">
      <w:pPr>
        <w:pStyle w:val="ListParagraph"/>
        <w:numPr>
          <w:ilvl w:val="0"/>
          <w:numId w:val="3"/>
        </w:numPr>
        <w:ind w:left="748" w:hanging="425"/>
        <w:rPr>
          <w:rFonts w:asciiTheme="minorHAnsi" w:hAnsiTheme="minorHAnsi" w:cstheme="minorHAnsi"/>
        </w:rPr>
      </w:pPr>
      <w:r w:rsidRPr="00881BB9">
        <w:rPr>
          <w:rFonts w:asciiTheme="minorHAnsi" w:hAnsiTheme="minorHAnsi" w:cstheme="minorHAnsi"/>
        </w:rPr>
        <w:t xml:space="preserve">Property and general liability insurance premium </w:t>
      </w:r>
    </w:p>
    <w:p w14:paraId="7B924B54" w14:textId="0CF6282C" w:rsidR="00D212A5" w:rsidRPr="00881BB9" w:rsidRDefault="00D212A5" w:rsidP="00A174D5">
      <w:pPr>
        <w:pStyle w:val="ListParagraph"/>
        <w:numPr>
          <w:ilvl w:val="0"/>
          <w:numId w:val="3"/>
        </w:numPr>
        <w:ind w:left="748" w:hanging="425"/>
        <w:rPr>
          <w:rFonts w:asciiTheme="minorHAnsi" w:hAnsiTheme="minorHAnsi" w:cstheme="minorHAnsi"/>
        </w:rPr>
      </w:pPr>
      <w:r w:rsidRPr="00881BB9">
        <w:rPr>
          <w:rFonts w:asciiTheme="minorHAnsi" w:hAnsiTheme="minorHAnsi" w:cstheme="minorHAnsi"/>
        </w:rPr>
        <w:t xml:space="preserve">Depreciation of NOPTA office fit-outs </w:t>
      </w:r>
    </w:p>
    <w:p w14:paraId="3660D38C" w14:textId="0D0D9EB1" w:rsidR="00D212A5" w:rsidRPr="00881BB9" w:rsidRDefault="00D212A5" w:rsidP="00A174D5">
      <w:pPr>
        <w:pStyle w:val="ListParagraph"/>
        <w:numPr>
          <w:ilvl w:val="0"/>
          <w:numId w:val="3"/>
        </w:numPr>
        <w:ind w:left="748" w:hanging="425"/>
        <w:rPr>
          <w:rFonts w:asciiTheme="minorHAnsi" w:hAnsiTheme="minorHAnsi" w:cstheme="minorHAnsi"/>
        </w:rPr>
      </w:pPr>
      <w:r w:rsidRPr="00881BB9">
        <w:rPr>
          <w:rFonts w:asciiTheme="minorHAnsi" w:hAnsiTheme="minorHAnsi" w:cstheme="minorHAnsi"/>
        </w:rPr>
        <w:t xml:space="preserve">Governance structure (Accountable Authority instructions, delegations, departmental policies), mandatory training, financial and other departmental systems, corporate support </w:t>
      </w:r>
    </w:p>
    <w:p w14:paraId="3BA0696B" w14:textId="7B76789B" w:rsidR="00D212A5" w:rsidRPr="00881BB9" w:rsidRDefault="00D212A5" w:rsidP="00A174D5">
      <w:pPr>
        <w:pStyle w:val="ListParagraph"/>
        <w:numPr>
          <w:ilvl w:val="0"/>
          <w:numId w:val="3"/>
        </w:numPr>
        <w:ind w:left="748" w:hanging="425"/>
        <w:rPr>
          <w:rFonts w:asciiTheme="minorHAnsi" w:hAnsiTheme="minorHAnsi" w:cstheme="minorHAnsi"/>
        </w:rPr>
      </w:pPr>
      <w:r>
        <w:rPr>
          <w:rFonts w:asciiTheme="minorHAnsi" w:hAnsiTheme="minorHAnsi" w:cstheme="minorHAnsi"/>
        </w:rPr>
        <w:t>Standard Protected Desktop Offering</w:t>
      </w:r>
      <w:r w:rsidRPr="00881BB9">
        <w:rPr>
          <w:rFonts w:asciiTheme="minorHAnsi" w:hAnsiTheme="minorHAnsi" w:cstheme="minorHAnsi"/>
        </w:rPr>
        <w:t xml:space="preserve"> </w:t>
      </w:r>
    </w:p>
    <w:p w14:paraId="13F8F342" w14:textId="46E098FE" w:rsidR="00D212A5" w:rsidRPr="00881BB9" w:rsidRDefault="00D212A5" w:rsidP="00A174D5">
      <w:pPr>
        <w:pStyle w:val="ListParagraph"/>
        <w:numPr>
          <w:ilvl w:val="0"/>
          <w:numId w:val="3"/>
        </w:numPr>
        <w:ind w:left="748" w:hanging="425"/>
        <w:rPr>
          <w:rFonts w:asciiTheme="minorHAnsi" w:hAnsiTheme="minorHAnsi" w:cstheme="minorHAnsi"/>
        </w:rPr>
      </w:pPr>
      <w:r w:rsidRPr="00881BB9">
        <w:rPr>
          <w:rFonts w:asciiTheme="minorHAnsi" w:hAnsiTheme="minorHAnsi" w:cstheme="minorHAnsi"/>
        </w:rPr>
        <w:t xml:space="preserve">Human Resources support and payroll processing </w:t>
      </w:r>
    </w:p>
    <w:p w14:paraId="5098E618" w14:textId="77777777" w:rsidR="00D212A5" w:rsidRPr="004029F0" w:rsidRDefault="00D212A5" w:rsidP="00D212A5">
      <w:pPr>
        <w:rPr>
          <w:rFonts w:asciiTheme="minorHAnsi" w:hAnsiTheme="minorHAnsi" w:cstheme="minorHAnsi"/>
        </w:rPr>
      </w:pPr>
    </w:p>
    <w:p w14:paraId="14C00CA0" w14:textId="1962CC37" w:rsidR="00D212A5" w:rsidRDefault="00D212A5" w:rsidP="00D212A5">
      <w:pPr>
        <w:rPr>
          <w:rFonts w:asciiTheme="minorHAnsi" w:hAnsiTheme="minorHAnsi" w:cstheme="minorHAnsi"/>
        </w:rPr>
      </w:pPr>
      <w:r w:rsidRPr="004029F0">
        <w:rPr>
          <w:rFonts w:asciiTheme="minorHAnsi" w:hAnsiTheme="minorHAnsi" w:cstheme="minorHAnsi"/>
        </w:rPr>
        <w:t>NOPTA shares accommodation with NOPSEMA in Perth</w:t>
      </w:r>
      <w:r>
        <w:rPr>
          <w:rFonts w:asciiTheme="minorHAnsi" w:hAnsiTheme="minorHAnsi" w:cstheme="minorHAnsi"/>
        </w:rPr>
        <w:t xml:space="preserve"> and Melbourne</w:t>
      </w:r>
      <w:r w:rsidRPr="004029F0">
        <w:rPr>
          <w:rFonts w:asciiTheme="minorHAnsi" w:hAnsiTheme="minorHAnsi" w:cstheme="minorHAnsi"/>
        </w:rPr>
        <w:t xml:space="preserve">. </w:t>
      </w:r>
    </w:p>
    <w:bookmarkEnd w:id="14"/>
    <w:p w14:paraId="6084EC90" w14:textId="77777777" w:rsidR="00D212A5" w:rsidRPr="00D212A5" w:rsidRDefault="00D212A5" w:rsidP="00D212A5">
      <w:pPr>
        <w:rPr>
          <w:lang w:val="en-US"/>
        </w:rPr>
      </w:pPr>
    </w:p>
    <w:p w14:paraId="6397CBFB" w14:textId="3AE328EA" w:rsidR="00E35000" w:rsidRDefault="00E35000">
      <w:bookmarkStart w:id="16" w:name="basisorcharging"/>
    </w:p>
    <w:p w14:paraId="37A559D2" w14:textId="77777777" w:rsidR="00E35000" w:rsidRDefault="00E35000"/>
    <w:p w14:paraId="713C466B" w14:textId="77777777" w:rsidR="00E35000" w:rsidRDefault="00E35000">
      <w:pPr>
        <w:sectPr w:rsidR="00E35000" w:rsidSect="00BE48D7">
          <w:pgSz w:w="11906" w:h="16838"/>
          <w:pgMar w:top="720" w:right="991" w:bottom="720" w:left="1134" w:header="708" w:footer="454" w:gutter="0"/>
          <w:cols w:space="708"/>
          <w:docGrid w:linePitch="360"/>
        </w:sectPr>
      </w:pPr>
    </w:p>
    <w:p w14:paraId="2E616B34" w14:textId="6DFB323F" w:rsidR="00B46AD6" w:rsidRPr="00902AA6" w:rsidRDefault="00E35000" w:rsidP="00902AA6">
      <w:pPr>
        <w:pStyle w:val="Heading3"/>
      </w:pPr>
      <w:bookmarkStart w:id="17" w:name="_Toc98772160"/>
      <w:r w:rsidRPr="00902AA6">
        <w:lastRenderedPageBreak/>
        <w:t>Outputs and business processes</w:t>
      </w:r>
      <w:bookmarkEnd w:id="17"/>
      <w:r w:rsidRPr="00902AA6">
        <w:t xml:space="preserve"> </w:t>
      </w:r>
      <w:r w:rsidR="00B46AD6" w:rsidRPr="00902AA6">
        <w:t xml:space="preserve"> </w:t>
      </w:r>
    </w:p>
    <w:p w14:paraId="58C397F1" w14:textId="43BD1042" w:rsidR="0025229D" w:rsidRPr="00CC640B" w:rsidRDefault="0025229D" w:rsidP="00CC640B">
      <w:pPr>
        <w:rPr>
          <w:rFonts w:asciiTheme="minorHAnsi" w:hAnsiTheme="minorHAnsi" w:cstheme="minorHAnsi"/>
        </w:rPr>
      </w:pPr>
      <w:r w:rsidRPr="00CC640B">
        <w:rPr>
          <w:rFonts w:asciiTheme="minorHAnsi" w:hAnsiTheme="minorHAnsi" w:cstheme="minorHAnsi"/>
        </w:rPr>
        <w:t xml:space="preserve">All references are to the </w:t>
      </w:r>
      <w:r w:rsidR="005827AF">
        <w:rPr>
          <w:rFonts w:asciiTheme="minorHAnsi" w:hAnsiTheme="minorHAnsi" w:cstheme="minorHAnsi"/>
        </w:rPr>
        <w:t>O</w:t>
      </w:r>
      <w:r w:rsidR="00296794">
        <w:rPr>
          <w:rFonts w:asciiTheme="minorHAnsi" w:hAnsiTheme="minorHAnsi" w:cstheme="minorHAnsi"/>
        </w:rPr>
        <w:t>EI</w:t>
      </w:r>
      <w:r w:rsidR="005827AF">
        <w:rPr>
          <w:rFonts w:asciiTheme="minorHAnsi" w:hAnsiTheme="minorHAnsi" w:cstheme="minorHAnsi"/>
        </w:rPr>
        <w:t xml:space="preserve"> Act</w:t>
      </w:r>
      <w:r w:rsidRPr="00CC640B">
        <w:rPr>
          <w:rFonts w:asciiTheme="minorHAnsi" w:hAnsiTheme="minorHAnsi" w:cstheme="minorHAnsi"/>
        </w:rPr>
        <w:t xml:space="preserve"> unless otherwise described</w:t>
      </w:r>
      <w:r w:rsidR="008A1D22">
        <w:rPr>
          <w:rFonts w:asciiTheme="minorHAnsi" w:hAnsiTheme="minorHAnsi" w:cstheme="minorHAnsi"/>
        </w:rPr>
        <w:t xml:space="preserve">. </w:t>
      </w:r>
    </w:p>
    <w:p w14:paraId="6A5A660E" w14:textId="77777777" w:rsidR="00B46AD6" w:rsidRDefault="00B46AD6" w:rsidP="00B46AD6"/>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593"/>
        <w:gridCol w:w="10348"/>
      </w:tblGrid>
      <w:tr w:rsidR="00296794" w:rsidRPr="00762402" w14:paraId="488ACFFA" w14:textId="77777777" w:rsidTr="009D3DF3">
        <w:tc>
          <w:tcPr>
            <w:tcW w:w="809" w:type="dxa"/>
            <w:shd w:val="clear" w:color="auto" w:fill="244061" w:themeFill="accent1" w:themeFillShade="80"/>
          </w:tcPr>
          <w:p w14:paraId="33143089" w14:textId="77777777" w:rsidR="00296794" w:rsidRPr="00762402" w:rsidRDefault="00296794" w:rsidP="00E628B6">
            <w:pPr>
              <w:jc w:val="center"/>
              <w:rPr>
                <w:rFonts w:asciiTheme="minorHAnsi" w:hAnsiTheme="minorHAnsi" w:cstheme="minorHAnsi"/>
                <w:b/>
                <w:bCs/>
                <w:sz w:val="20"/>
                <w:szCs w:val="20"/>
              </w:rPr>
            </w:pPr>
            <w:r w:rsidRPr="00762402">
              <w:rPr>
                <w:rFonts w:asciiTheme="minorHAnsi" w:hAnsiTheme="minorHAnsi" w:cstheme="minorHAnsi"/>
                <w:b/>
                <w:bCs/>
                <w:sz w:val="20"/>
                <w:szCs w:val="20"/>
              </w:rPr>
              <w:t>No</w:t>
            </w:r>
          </w:p>
        </w:tc>
        <w:tc>
          <w:tcPr>
            <w:tcW w:w="2593" w:type="dxa"/>
            <w:shd w:val="clear" w:color="auto" w:fill="244061" w:themeFill="accent1" w:themeFillShade="80"/>
          </w:tcPr>
          <w:p w14:paraId="2896CA58" w14:textId="31E8EFCC" w:rsidR="00296794" w:rsidRPr="00762402" w:rsidRDefault="00296794" w:rsidP="00E628B6">
            <w:pPr>
              <w:jc w:val="center"/>
              <w:rPr>
                <w:rFonts w:asciiTheme="minorHAnsi" w:hAnsiTheme="minorHAnsi" w:cstheme="minorHAnsi"/>
                <w:b/>
                <w:bCs/>
                <w:sz w:val="20"/>
                <w:szCs w:val="20"/>
              </w:rPr>
            </w:pPr>
            <w:r w:rsidRPr="00762402">
              <w:rPr>
                <w:rFonts w:asciiTheme="minorHAnsi" w:hAnsiTheme="minorHAnsi" w:cstheme="minorHAnsi"/>
                <w:b/>
                <w:bCs/>
                <w:sz w:val="20"/>
                <w:szCs w:val="20"/>
              </w:rPr>
              <w:t>FUNCTION</w:t>
            </w:r>
          </w:p>
        </w:tc>
        <w:tc>
          <w:tcPr>
            <w:tcW w:w="10348" w:type="dxa"/>
            <w:shd w:val="clear" w:color="auto" w:fill="244061" w:themeFill="accent1" w:themeFillShade="80"/>
          </w:tcPr>
          <w:p w14:paraId="3BDD4BE4" w14:textId="30CD479F" w:rsidR="00296794" w:rsidRPr="00762402" w:rsidRDefault="00296794" w:rsidP="00E628B6">
            <w:pPr>
              <w:jc w:val="center"/>
              <w:rPr>
                <w:rFonts w:asciiTheme="minorHAnsi" w:hAnsiTheme="minorHAnsi" w:cstheme="minorHAnsi"/>
                <w:b/>
                <w:bCs/>
                <w:sz w:val="20"/>
                <w:szCs w:val="20"/>
              </w:rPr>
            </w:pPr>
            <w:r w:rsidRPr="00762402">
              <w:rPr>
                <w:rFonts w:asciiTheme="minorHAnsi" w:hAnsiTheme="minorHAnsi" w:cstheme="minorHAnsi"/>
                <w:b/>
                <w:bCs/>
                <w:sz w:val="20"/>
                <w:szCs w:val="20"/>
              </w:rPr>
              <w:t xml:space="preserve">PROCESS </w:t>
            </w:r>
            <w:r>
              <w:rPr>
                <w:rFonts w:asciiTheme="minorHAnsi" w:hAnsiTheme="minorHAnsi" w:cstheme="minorHAnsi"/>
                <w:b/>
                <w:bCs/>
                <w:sz w:val="20"/>
                <w:szCs w:val="20"/>
              </w:rPr>
              <w:t xml:space="preserve"> </w:t>
            </w:r>
          </w:p>
        </w:tc>
      </w:tr>
      <w:tr w:rsidR="00296794" w:rsidRPr="00762402" w14:paraId="583FE31F" w14:textId="77777777" w:rsidTr="009D3DF3">
        <w:tc>
          <w:tcPr>
            <w:tcW w:w="809" w:type="dxa"/>
          </w:tcPr>
          <w:p w14:paraId="10599845" w14:textId="77777777" w:rsidR="00296794" w:rsidRPr="00762402" w:rsidRDefault="00296794" w:rsidP="007D5786">
            <w:pPr>
              <w:jc w:val="center"/>
              <w:rPr>
                <w:rFonts w:asciiTheme="minorHAnsi" w:hAnsiTheme="minorHAnsi" w:cstheme="minorHAnsi"/>
                <w:b/>
                <w:sz w:val="20"/>
                <w:szCs w:val="20"/>
              </w:rPr>
            </w:pPr>
            <w:r w:rsidRPr="00762402">
              <w:rPr>
                <w:rFonts w:asciiTheme="minorHAnsi" w:hAnsiTheme="minorHAnsi" w:cstheme="minorHAnsi"/>
                <w:b/>
                <w:sz w:val="20"/>
                <w:szCs w:val="20"/>
              </w:rPr>
              <w:t>1</w:t>
            </w:r>
          </w:p>
        </w:tc>
        <w:tc>
          <w:tcPr>
            <w:tcW w:w="2593" w:type="dxa"/>
          </w:tcPr>
          <w:p w14:paraId="58333880" w14:textId="78053595" w:rsidR="00296794" w:rsidRPr="00762402" w:rsidRDefault="00296794" w:rsidP="00E628B6">
            <w:pPr>
              <w:rPr>
                <w:rFonts w:asciiTheme="minorHAnsi" w:hAnsiTheme="minorHAnsi" w:cstheme="minorHAnsi"/>
                <w:b/>
                <w:bCs/>
                <w:sz w:val="20"/>
                <w:szCs w:val="20"/>
              </w:rPr>
            </w:pPr>
            <w:r>
              <w:rPr>
                <w:rFonts w:asciiTheme="minorHAnsi" w:hAnsiTheme="minorHAnsi" w:cstheme="minorHAnsi"/>
                <w:b/>
                <w:sz w:val="20"/>
                <w:szCs w:val="20"/>
              </w:rPr>
              <w:t>Declaration of an area</w:t>
            </w:r>
            <w:r w:rsidR="005D18C8">
              <w:rPr>
                <w:rFonts w:asciiTheme="minorHAnsi" w:hAnsiTheme="minorHAnsi" w:cstheme="minorHAnsi"/>
                <w:b/>
                <w:sz w:val="20"/>
                <w:szCs w:val="20"/>
              </w:rPr>
              <w:t xml:space="preserve"> and invitation to apply</w:t>
            </w:r>
          </w:p>
          <w:p w14:paraId="400B717F" w14:textId="62C35092" w:rsidR="00296794" w:rsidRPr="00762402" w:rsidRDefault="00296794" w:rsidP="00E628B6">
            <w:pPr>
              <w:rPr>
                <w:rFonts w:asciiTheme="minorHAnsi" w:hAnsiTheme="minorHAnsi" w:cstheme="minorHAnsi"/>
                <w:sz w:val="20"/>
                <w:szCs w:val="20"/>
              </w:rPr>
            </w:pPr>
            <w:r w:rsidRPr="00762402">
              <w:rPr>
                <w:rFonts w:asciiTheme="minorHAnsi" w:hAnsiTheme="minorHAnsi" w:cstheme="minorHAnsi"/>
                <w:sz w:val="20"/>
                <w:szCs w:val="20"/>
              </w:rPr>
              <w:t>(</w:t>
            </w:r>
            <w:r>
              <w:rPr>
                <w:rFonts w:asciiTheme="minorHAnsi" w:hAnsiTheme="minorHAnsi" w:cstheme="minorHAnsi"/>
                <w:sz w:val="20"/>
                <w:szCs w:val="20"/>
              </w:rPr>
              <w:t>Chapter 2</w:t>
            </w:r>
            <w:r w:rsidRPr="00762402">
              <w:rPr>
                <w:rFonts w:asciiTheme="minorHAnsi" w:hAnsiTheme="minorHAnsi" w:cstheme="minorHAnsi"/>
                <w:sz w:val="20"/>
                <w:szCs w:val="20"/>
              </w:rPr>
              <w:t>)</w:t>
            </w:r>
          </w:p>
        </w:tc>
        <w:tc>
          <w:tcPr>
            <w:tcW w:w="10348" w:type="dxa"/>
          </w:tcPr>
          <w:p w14:paraId="120DFDAA" w14:textId="2B98C835" w:rsidR="00296794" w:rsidRPr="00762402" w:rsidRDefault="00296794" w:rsidP="00E628B6">
            <w:pPr>
              <w:rPr>
                <w:rFonts w:asciiTheme="minorHAnsi" w:hAnsiTheme="minorHAnsi" w:cstheme="minorHAnsi"/>
                <w:b/>
                <w:bCs/>
                <w:i/>
                <w:iCs/>
                <w:sz w:val="20"/>
                <w:szCs w:val="20"/>
              </w:rPr>
            </w:pPr>
            <w:r w:rsidRPr="00762402">
              <w:rPr>
                <w:rFonts w:asciiTheme="minorHAnsi" w:hAnsiTheme="minorHAnsi" w:cstheme="minorHAnsi"/>
                <w:b/>
                <w:bCs/>
                <w:i/>
                <w:iCs/>
                <w:sz w:val="20"/>
                <w:szCs w:val="20"/>
              </w:rPr>
              <w:t>Release</w:t>
            </w:r>
          </w:p>
          <w:p w14:paraId="68A2D3BB" w14:textId="461FCC2D" w:rsidR="00296794" w:rsidRPr="00406DEA" w:rsidRDefault="00296794" w:rsidP="00406DEA">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Publication of notifiable instrument for invitation to apply</w:t>
            </w:r>
            <w:r w:rsidR="00C723AD">
              <w:rPr>
                <w:rFonts w:asciiTheme="minorHAnsi" w:hAnsiTheme="minorHAnsi" w:cstheme="minorHAnsi"/>
                <w:sz w:val="20"/>
                <w:szCs w:val="20"/>
              </w:rPr>
              <w:t>.</w:t>
            </w:r>
          </w:p>
        </w:tc>
      </w:tr>
      <w:tr w:rsidR="00296794" w:rsidRPr="00762402" w14:paraId="5E3AC3FB" w14:textId="77777777" w:rsidTr="009D3DF3">
        <w:trPr>
          <w:trHeight w:val="1507"/>
        </w:trPr>
        <w:tc>
          <w:tcPr>
            <w:tcW w:w="809" w:type="dxa"/>
          </w:tcPr>
          <w:p w14:paraId="25F9041D" w14:textId="1FE17435" w:rsidR="00296794" w:rsidRPr="00762402" w:rsidRDefault="00296794" w:rsidP="007D5786">
            <w:pPr>
              <w:jc w:val="center"/>
              <w:rPr>
                <w:rFonts w:asciiTheme="minorHAnsi" w:hAnsiTheme="minorHAnsi" w:cstheme="minorHAnsi"/>
                <w:b/>
                <w:bCs/>
                <w:sz w:val="20"/>
                <w:szCs w:val="20"/>
              </w:rPr>
            </w:pPr>
            <w:r w:rsidRPr="00762402">
              <w:rPr>
                <w:rFonts w:asciiTheme="minorHAnsi" w:hAnsiTheme="minorHAnsi" w:cstheme="minorHAnsi"/>
                <w:b/>
                <w:bCs/>
                <w:sz w:val="20"/>
                <w:szCs w:val="20"/>
              </w:rPr>
              <w:t>2</w:t>
            </w:r>
          </w:p>
        </w:tc>
        <w:tc>
          <w:tcPr>
            <w:tcW w:w="2593" w:type="dxa"/>
          </w:tcPr>
          <w:p w14:paraId="5D1F9CEF" w14:textId="15DE8965" w:rsidR="00296794" w:rsidRPr="00762402" w:rsidRDefault="00A17E18" w:rsidP="00E628B6">
            <w:pPr>
              <w:rPr>
                <w:rFonts w:asciiTheme="minorHAnsi" w:hAnsiTheme="minorHAnsi" w:cstheme="minorHAnsi"/>
                <w:b/>
                <w:bCs/>
                <w:sz w:val="20"/>
                <w:szCs w:val="20"/>
              </w:rPr>
            </w:pPr>
            <w:r>
              <w:rPr>
                <w:rFonts w:asciiTheme="minorHAnsi" w:hAnsiTheme="minorHAnsi" w:cstheme="minorHAnsi"/>
                <w:b/>
                <w:bCs/>
                <w:sz w:val="20"/>
                <w:szCs w:val="20"/>
              </w:rPr>
              <w:t xml:space="preserve">Grant of </w:t>
            </w:r>
            <w:r w:rsidR="00296794">
              <w:rPr>
                <w:rFonts w:asciiTheme="minorHAnsi" w:hAnsiTheme="minorHAnsi" w:cstheme="minorHAnsi"/>
                <w:b/>
                <w:bCs/>
                <w:sz w:val="20"/>
                <w:szCs w:val="20"/>
              </w:rPr>
              <w:t>Feasibility Licence</w:t>
            </w:r>
            <w:r>
              <w:rPr>
                <w:rFonts w:asciiTheme="minorHAnsi" w:hAnsiTheme="minorHAnsi" w:cstheme="minorHAnsi"/>
                <w:b/>
                <w:bCs/>
                <w:sz w:val="20"/>
                <w:szCs w:val="20"/>
              </w:rPr>
              <w:t>, Commercial Licence, Research &amp; Demonstration Licence, Transmission &amp; Infrastructure Licence</w:t>
            </w:r>
          </w:p>
          <w:p w14:paraId="20D452D8" w14:textId="41FEB10C" w:rsidR="00296794" w:rsidRPr="00762402" w:rsidRDefault="00296794" w:rsidP="00E628B6">
            <w:pPr>
              <w:rPr>
                <w:rFonts w:asciiTheme="minorHAnsi" w:hAnsiTheme="minorHAnsi" w:cstheme="minorHAnsi"/>
                <w:sz w:val="20"/>
                <w:szCs w:val="20"/>
              </w:rPr>
            </w:pPr>
            <w:r w:rsidRPr="00762402">
              <w:rPr>
                <w:rFonts w:asciiTheme="minorHAnsi" w:hAnsiTheme="minorHAnsi" w:cstheme="minorHAnsi"/>
                <w:sz w:val="20"/>
                <w:szCs w:val="20"/>
              </w:rPr>
              <w:t>(</w:t>
            </w:r>
            <w:r>
              <w:rPr>
                <w:rFonts w:asciiTheme="minorHAnsi" w:hAnsiTheme="minorHAnsi" w:cstheme="minorHAnsi"/>
                <w:sz w:val="20"/>
                <w:szCs w:val="20"/>
              </w:rPr>
              <w:t>Chapter 3</w:t>
            </w:r>
            <w:r w:rsidRPr="00762402">
              <w:rPr>
                <w:rFonts w:asciiTheme="minorHAnsi" w:hAnsiTheme="minorHAnsi" w:cstheme="minorHAnsi"/>
                <w:sz w:val="20"/>
                <w:szCs w:val="20"/>
              </w:rPr>
              <w:t>)</w:t>
            </w:r>
          </w:p>
        </w:tc>
        <w:tc>
          <w:tcPr>
            <w:tcW w:w="10348" w:type="dxa"/>
          </w:tcPr>
          <w:p w14:paraId="0C7AF007" w14:textId="2A29C964" w:rsidR="00296794" w:rsidRDefault="00296794" w:rsidP="00E628B6">
            <w:pPr>
              <w:rPr>
                <w:rFonts w:asciiTheme="minorHAnsi" w:hAnsiTheme="minorHAnsi" w:cstheme="minorHAnsi"/>
                <w:b/>
                <w:bCs/>
                <w:i/>
                <w:iCs/>
                <w:sz w:val="20"/>
                <w:szCs w:val="20"/>
              </w:rPr>
            </w:pPr>
            <w:r w:rsidRPr="00762402">
              <w:rPr>
                <w:rFonts w:asciiTheme="minorHAnsi" w:hAnsiTheme="minorHAnsi" w:cstheme="minorHAnsi"/>
                <w:b/>
                <w:bCs/>
                <w:i/>
                <w:iCs/>
                <w:sz w:val="20"/>
                <w:szCs w:val="20"/>
              </w:rPr>
              <w:t>Grant</w:t>
            </w:r>
            <w:r w:rsidR="00A17E18">
              <w:rPr>
                <w:rFonts w:asciiTheme="minorHAnsi" w:hAnsiTheme="minorHAnsi" w:cstheme="minorHAnsi"/>
                <w:b/>
                <w:bCs/>
                <w:i/>
                <w:iCs/>
                <w:sz w:val="20"/>
                <w:szCs w:val="20"/>
              </w:rPr>
              <w:t xml:space="preserve"> of Licence</w:t>
            </w:r>
          </w:p>
          <w:p w14:paraId="635701ED" w14:textId="77777777" w:rsidR="00296794" w:rsidRPr="00762402" w:rsidRDefault="00296794" w:rsidP="00E628B6">
            <w:pPr>
              <w:rPr>
                <w:rFonts w:asciiTheme="minorHAnsi" w:hAnsiTheme="minorHAnsi" w:cstheme="minorHAnsi"/>
                <w:sz w:val="20"/>
                <w:szCs w:val="20"/>
              </w:rPr>
            </w:pPr>
            <w:r w:rsidRPr="00762402">
              <w:rPr>
                <w:rFonts w:asciiTheme="minorHAnsi" w:hAnsiTheme="minorHAnsi" w:cstheme="minorHAnsi"/>
                <w:sz w:val="20"/>
                <w:szCs w:val="20"/>
              </w:rPr>
              <w:t>General overview of process:</w:t>
            </w:r>
          </w:p>
          <w:p w14:paraId="1BF1C295" w14:textId="25A1B805" w:rsidR="00296794" w:rsidRDefault="00C723AD"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R</w:t>
            </w:r>
            <w:r w:rsidR="00296794" w:rsidRPr="00762402">
              <w:rPr>
                <w:rFonts w:asciiTheme="minorHAnsi" w:hAnsiTheme="minorHAnsi" w:cstheme="minorHAnsi"/>
                <w:sz w:val="20"/>
                <w:szCs w:val="20"/>
              </w:rPr>
              <w:t>eceipt of application</w:t>
            </w:r>
            <w:r>
              <w:rPr>
                <w:rFonts w:asciiTheme="minorHAnsi" w:hAnsiTheme="minorHAnsi" w:cstheme="minorHAnsi"/>
                <w:sz w:val="20"/>
                <w:szCs w:val="20"/>
              </w:rPr>
              <w:t>.</w:t>
            </w:r>
          </w:p>
          <w:p w14:paraId="481D6598" w14:textId="5E28125D" w:rsidR="00A17E18" w:rsidRPr="00762402" w:rsidRDefault="00A17E18"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Screening of application and re-submission. </w:t>
            </w:r>
          </w:p>
          <w:p w14:paraId="24C28DAC" w14:textId="51C1DF96" w:rsidR="00296794" w:rsidRDefault="00C723AD"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A</w:t>
            </w:r>
            <w:r w:rsidR="00296794" w:rsidRPr="00762402">
              <w:rPr>
                <w:rFonts w:asciiTheme="minorHAnsi" w:hAnsiTheme="minorHAnsi" w:cstheme="minorHAnsi"/>
                <w:sz w:val="20"/>
                <w:szCs w:val="20"/>
              </w:rPr>
              <w:t>ssessment of application</w:t>
            </w:r>
            <w:r w:rsidR="00A17E18">
              <w:rPr>
                <w:rFonts w:asciiTheme="minorHAnsi" w:hAnsiTheme="minorHAnsi" w:cstheme="minorHAnsi"/>
                <w:sz w:val="20"/>
                <w:szCs w:val="20"/>
              </w:rPr>
              <w:t>.</w:t>
            </w:r>
          </w:p>
          <w:p w14:paraId="15AB5157" w14:textId="4EC7AF39" w:rsidR="00A17E18" w:rsidRDefault="00A17E18"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Request/s for further information. </w:t>
            </w:r>
          </w:p>
          <w:p w14:paraId="5D9A022F" w14:textId="4D85A0E4" w:rsidR="00A17E18" w:rsidRDefault="00A17E18"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Meeting/s with applicant. </w:t>
            </w:r>
          </w:p>
          <w:p w14:paraId="42C2963D" w14:textId="07224AD2" w:rsidR="00296794" w:rsidRDefault="00C723AD"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C</w:t>
            </w:r>
            <w:r w:rsidR="00296794">
              <w:rPr>
                <w:rFonts w:asciiTheme="minorHAnsi" w:hAnsiTheme="minorHAnsi" w:cstheme="minorHAnsi"/>
                <w:sz w:val="20"/>
                <w:szCs w:val="20"/>
              </w:rPr>
              <w:t xml:space="preserve">onsultation with </w:t>
            </w:r>
            <w:r w:rsidR="00E10842">
              <w:rPr>
                <w:rFonts w:asciiTheme="minorHAnsi" w:hAnsiTheme="minorHAnsi" w:cstheme="minorHAnsi"/>
                <w:sz w:val="20"/>
                <w:szCs w:val="20"/>
              </w:rPr>
              <w:t>the Regulator</w:t>
            </w:r>
            <w:r w:rsidR="00296794">
              <w:rPr>
                <w:rFonts w:asciiTheme="minorHAnsi" w:hAnsiTheme="minorHAnsi" w:cstheme="minorHAnsi"/>
                <w:sz w:val="20"/>
                <w:szCs w:val="20"/>
              </w:rPr>
              <w:t xml:space="preserve"> </w:t>
            </w:r>
            <w:r w:rsidR="00A17E18">
              <w:rPr>
                <w:rFonts w:asciiTheme="minorHAnsi" w:hAnsiTheme="minorHAnsi" w:cstheme="minorHAnsi"/>
                <w:sz w:val="20"/>
                <w:szCs w:val="20"/>
              </w:rPr>
              <w:t>etc</w:t>
            </w:r>
            <w:r>
              <w:rPr>
                <w:rFonts w:asciiTheme="minorHAnsi" w:hAnsiTheme="minorHAnsi" w:cstheme="minorHAnsi"/>
                <w:sz w:val="20"/>
                <w:szCs w:val="20"/>
              </w:rPr>
              <w:t>.</w:t>
            </w:r>
            <w:r w:rsidR="00296794">
              <w:rPr>
                <w:rFonts w:asciiTheme="minorHAnsi" w:hAnsiTheme="minorHAnsi" w:cstheme="minorHAnsi"/>
                <w:sz w:val="20"/>
                <w:szCs w:val="20"/>
              </w:rPr>
              <w:t xml:space="preserve"> </w:t>
            </w:r>
          </w:p>
          <w:p w14:paraId="499D18B4" w14:textId="1739B876" w:rsidR="00A17E18" w:rsidRDefault="00A17E18"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Provide advice and support to the Minister. </w:t>
            </w:r>
          </w:p>
          <w:p w14:paraId="1C664C7A" w14:textId="35181051" w:rsidR="00A17E18" w:rsidRDefault="00A17E18"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Financial offers and overlapping of proposed licence areas (where applicable). </w:t>
            </w:r>
          </w:p>
          <w:p w14:paraId="7736D43B" w14:textId="517835A6" w:rsidR="00A17E18" w:rsidRPr="00762402" w:rsidRDefault="00A17E18"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Procedural fairness and legal advice. </w:t>
            </w:r>
          </w:p>
          <w:p w14:paraId="56C1B428" w14:textId="178CAF36" w:rsidR="00296794" w:rsidRPr="00762402" w:rsidRDefault="00C723AD"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I</w:t>
            </w:r>
            <w:r w:rsidR="00296794" w:rsidRPr="00762402">
              <w:rPr>
                <w:rFonts w:asciiTheme="minorHAnsi" w:hAnsiTheme="minorHAnsi" w:cstheme="minorHAnsi"/>
                <w:sz w:val="20"/>
                <w:szCs w:val="20"/>
              </w:rPr>
              <w:t xml:space="preserve">mplement </w:t>
            </w:r>
            <w:r w:rsidR="00296794">
              <w:rPr>
                <w:rFonts w:asciiTheme="minorHAnsi" w:hAnsiTheme="minorHAnsi" w:cstheme="minorHAnsi"/>
                <w:sz w:val="20"/>
                <w:szCs w:val="20"/>
              </w:rPr>
              <w:t xml:space="preserve">the </w:t>
            </w:r>
            <w:r w:rsidR="00296794" w:rsidRPr="00762402">
              <w:rPr>
                <w:rFonts w:asciiTheme="minorHAnsi" w:hAnsiTheme="minorHAnsi" w:cstheme="minorHAnsi"/>
                <w:sz w:val="20"/>
                <w:szCs w:val="20"/>
              </w:rPr>
              <w:t>decision</w:t>
            </w:r>
            <w:r>
              <w:rPr>
                <w:rFonts w:asciiTheme="minorHAnsi" w:hAnsiTheme="minorHAnsi" w:cstheme="minorHAnsi"/>
                <w:sz w:val="20"/>
                <w:szCs w:val="20"/>
              </w:rPr>
              <w:t>.</w:t>
            </w:r>
            <w:r w:rsidR="00296794" w:rsidRPr="00762402">
              <w:rPr>
                <w:rFonts w:asciiTheme="minorHAnsi" w:hAnsiTheme="minorHAnsi" w:cstheme="minorHAnsi"/>
                <w:sz w:val="20"/>
                <w:szCs w:val="20"/>
              </w:rPr>
              <w:t xml:space="preserve"> </w:t>
            </w:r>
          </w:p>
          <w:p w14:paraId="2CFA4C46" w14:textId="61B1A24F" w:rsidR="00296794" w:rsidRDefault="00C723AD" w:rsidP="00A174D5">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M</w:t>
            </w:r>
            <w:r w:rsidR="00296794" w:rsidRPr="00762402">
              <w:rPr>
                <w:rFonts w:asciiTheme="minorHAnsi" w:hAnsiTheme="minorHAnsi" w:cstheme="minorHAnsi"/>
                <w:sz w:val="20"/>
                <w:szCs w:val="20"/>
              </w:rPr>
              <w:t xml:space="preserve">aintain the </w:t>
            </w:r>
            <w:r w:rsidR="00296794">
              <w:rPr>
                <w:rFonts w:asciiTheme="minorHAnsi" w:hAnsiTheme="minorHAnsi" w:cstheme="minorHAnsi"/>
                <w:sz w:val="20"/>
                <w:szCs w:val="20"/>
              </w:rPr>
              <w:t>R</w:t>
            </w:r>
            <w:r w:rsidR="00296794" w:rsidRPr="00762402">
              <w:rPr>
                <w:rFonts w:asciiTheme="minorHAnsi" w:hAnsiTheme="minorHAnsi" w:cstheme="minorHAnsi"/>
                <w:sz w:val="20"/>
                <w:szCs w:val="20"/>
              </w:rPr>
              <w:t xml:space="preserve">egister </w:t>
            </w:r>
            <w:r w:rsidR="00296794">
              <w:rPr>
                <w:rFonts w:asciiTheme="minorHAnsi" w:hAnsiTheme="minorHAnsi" w:cstheme="minorHAnsi"/>
                <w:sz w:val="20"/>
                <w:szCs w:val="20"/>
              </w:rPr>
              <w:t xml:space="preserve">of Licences (Chapter </w:t>
            </w:r>
            <w:r w:rsidR="00AF73C7">
              <w:rPr>
                <w:rFonts w:asciiTheme="minorHAnsi" w:hAnsiTheme="minorHAnsi" w:cstheme="minorHAnsi"/>
                <w:sz w:val="20"/>
                <w:szCs w:val="20"/>
              </w:rPr>
              <w:t>5</w:t>
            </w:r>
            <w:r w:rsidR="00296794">
              <w:rPr>
                <w:rFonts w:asciiTheme="minorHAnsi" w:hAnsiTheme="minorHAnsi" w:cstheme="minorHAnsi"/>
                <w:sz w:val="20"/>
                <w:szCs w:val="20"/>
              </w:rPr>
              <w:t>)</w:t>
            </w:r>
            <w:r>
              <w:rPr>
                <w:rFonts w:asciiTheme="minorHAnsi" w:hAnsiTheme="minorHAnsi" w:cstheme="minorHAnsi"/>
                <w:sz w:val="20"/>
                <w:szCs w:val="20"/>
              </w:rPr>
              <w:t>.</w:t>
            </w:r>
          </w:p>
          <w:p w14:paraId="656FB94B" w14:textId="77777777" w:rsidR="00296794" w:rsidRDefault="00C723AD" w:rsidP="00A17E18">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N</w:t>
            </w:r>
            <w:r w:rsidR="00296794">
              <w:rPr>
                <w:rFonts w:asciiTheme="minorHAnsi" w:hAnsiTheme="minorHAnsi" w:cstheme="minorHAnsi"/>
                <w:sz w:val="20"/>
                <w:szCs w:val="20"/>
              </w:rPr>
              <w:t xml:space="preserve">otifiable instruments of event (where applicable – Chapter </w:t>
            </w:r>
            <w:r w:rsidR="00AF73C7">
              <w:rPr>
                <w:rFonts w:asciiTheme="minorHAnsi" w:hAnsiTheme="minorHAnsi" w:cstheme="minorHAnsi"/>
                <w:sz w:val="20"/>
                <w:szCs w:val="20"/>
              </w:rPr>
              <w:t>5</w:t>
            </w:r>
            <w:r w:rsidR="00296794">
              <w:rPr>
                <w:rFonts w:asciiTheme="minorHAnsi" w:hAnsiTheme="minorHAnsi" w:cstheme="minorHAnsi"/>
                <w:sz w:val="20"/>
                <w:szCs w:val="20"/>
              </w:rPr>
              <w:t>)</w:t>
            </w:r>
            <w:r>
              <w:rPr>
                <w:rFonts w:asciiTheme="minorHAnsi" w:hAnsiTheme="minorHAnsi" w:cstheme="minorHAnsi"/>
                <w:sz w:val="20"/>
                <w:szCs w:val="20"/>
              </w:rPr>
              <w:t>.</w:t>
            </w:r>
          </w:p>
          <w:p w14:paraId="393F64BE" w14:textId="5242BD94" w:rsidR="00A17E18" w:rsidRPr="00A17E18" w:rsidRDefault="00A17E18" w:rsidP="00A17E18">
            <w:pPr>
              <w:pStyle w:val="ListParagraph"/>
              <w:ind w:left="337"/>
              <w:rPr>
                <w:rFonts w:asciiTheme="minorHAnsi" w:hAnsiTheme="minorHAnsi" w:cstheme="minorHAnsi"/>
                <w:sz w:val="20"/>
                <w:szCs w:val="20"/>
              </w:rPr>
            </w:pPr>
          </w:p>
        </w:tc>
      </w:tr>
      <w:tr w:rsidR="00296794" w:rsidRPr="00762402" w14:paraId="0946FB56" w14:textId="77777777" w:rsidTr="009D3DF3">
        <w:tc>
          <w:tcPr>
            <w:tcW w:w="809" w:type="dxa"/>
          </w:tcPr>
          <w:p w14:paraId="049337C5" w14:textId="4189F17C" w:rsidR="00296794" w:rsidRPr="00762402" w:rsidRDefault="00382FFE" w:rsidP="007D5786">
            <w:pPr>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2593" w:type="dxa"/>
          </w:tcPr>
          <w:p w14:paraId="1ECF44AE" w14:textId="25BB9625" w:rsidR="00296794" w:rsidRPr="00762402" w:rsidRDefault="00A17E18" w:rsidP="00E628B6">
            <w:pPr>
              <w:rPr>
                <w:rFonts w:asciiTheme="minorHAnsi" w:hAnsiTheme="minorHAnsi" w:cstheme="minorHAnsi"/>
                <w:sz w:val="20"/>
                <w:szCs w:val="20"/>
              </w:rPr>
            </w:pPr>
            <w:r>
              <w:rPr>
                <w:rFonts w:asciiTheme="minorHAnsi" w:hAnsiTheme="minorHAnsi" w:cstheme="minorHAnsi"/>
                <w:b/>
                <w:bCs/>
                <w:sz w:val="20"/>
                <w:szCs w:val="20"/>
              </w:rPr>
              <w:t>Licence Applications – All Licence Types</w:t>
            </w:r>
          </w:p>
          <w:p w14:paraId="108A7EF6" w14:textId="0FCEA8F7" w:rsidR="00296794" w:rsidRPr="00762402" w:rsidRDefault="00296794" w:rsidP="00E628B6">
            <w:pPr>
              <w:rPr>
                <w:rFonts w:asciiTheme="minorHAnsi" w:hAnsiTheme="minorHAnsi" w:cstheme="minorHAnsi"/>
                <w:sz w:val="20"/>
                <w:szCs w:val="20"/>
              </w:rPr>
            </w:pPr>
            <w:r w:rsidRPr="00762402">
              <w:rPr>
                <w:rFonts w:asciiTheme="minorHAnsi" w:hAnsiTheme="minorHAnsi" w:cstheme="minorHAnsi"/>
                <w:sz w:val="20"/>
                <w:szCs w:val="20"/>
              </w:rPr>
              <w:t>(</w:t>
            </w:r>
            <w:r>
              <w:rPr>
                <w:rFonts w:asciiTheme="minorHAnsi" w:hAnsiTheme="minorHAnsi" w:cstheme="minorHAnsi"/>
                <w:sz w:val="20"/>
                <w:szCs w:val="20"/>
              </w:rPr>
              <w:t>Chapter 3</w:t>
            </w:r>
            <w:r w:rsidRPr="00762402">
              <w:rPr>
                <w:rFonts w:asciiTheme="minorHAnsi" w:hAnsiTheme="minorHAnsi" w:cstheme="minorHAnsi"/>
                <w:sz w:val="20"/>
                <w:szCs w:val="20"/>
              </w:rPr>
              <w:t>)</w:t>
            </w:r>
          </w:p>
        </w:tc>
        <w:tc>
          <w:tcPr>
            <w:tcW w:w="10348" w:type="dxa"/>
          </w:tcPr>
          <w:p w14:paraId="142FD5D3" w14:textId="59ED3A76" w:rsidR="00A17E18" w:rsidRDefault="00A17E18" w:rsidP="00146A13">
            <w:pPr>
              <w:rPr>
                <w:rFonts w:asciiTheme="minorHAnsi" w:hAnsiTheme="minorHAnsi" w:cstheme="minorHAnsi"/>
                <w:b/>
                <w:bCs/>
                <w:i/>
                <w:iCs/>
                <w:sz w:val="20"/>
                <w:szCs w:val="20"/>
              </w:rPr>
            </w:pPr>
            <w:r>
              <w:rPr>
                <w:rFonts w:asciiTheme="minorHAnsi" w:hAnsiTheme="minorHAnsi" w:cstheme="minorHAnsi"/>
                <w:b/>
                <w:bCs/>
                <w:i/>
                <w:iCs/>
                <w:sz w:val="20"/>
                <w:szCs w:val="20"/>
              </w:rPr>
              <w:t>Extension, Variation, Surrender, Cancellation, Transfer and Change In Control</w:t>
            </w:r>
          </w:p>
          <w:p w14:paraId="411EA90A" w14:textId="77777777" w:rsidR="00A17E18" w:rsidRPr="00762402" w:rsidRDefault="00A17E18" w:rsidP="00A17E18">
            <w:pPr>
              <w:rPr>
                <w:rFonts w:asciiTheme="minorHAnsi" w:hAnsiTheme="minorHAnsi" w:cstheme="minorHAnsi"/>
                <w:sz w:val="20"/>
                <w:szCs w:val="20"/>
              </w:rPr>
            </w:pPr>
            <w:r w:rsidRPr="00762402">
              <w:rPr>
                <w:rFonts w:asciiTheme="minorHAnsi" w:hAnsiTheme="minorHAnsi" w:cstheme="minorHAnsi"/>
                <w:sz w:val="20"/>
                <w:szCs w:val="20"/>
              </w:rPr>
              <w:t>General overview of process:</w:t>
            </w:r>
          </w:p>
          <w:p w14:paraId="5047B315" w14:textId="77777777" w:rsidR="00A17E18" w:rsidRDefault="00A17E18" w:rsidP="00A17E18">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R</w:t>
            </w:r>
            <w:r w:rsidRPr="00762402">
              <w:rPr>
                <w:rFonts w:asciiTheme="minorHAnsi" w:hAnsiTheme="minorHAnsi" w:cstheme="minorHAnsi"/>
                <w:sz w:val="20"/>
                <w:szCs w:val="20"/>
              </w:rPr>
              <w:t>eceipt of application</w:t>
            </w:r>
            <w:r>
              <w:rPr>
                <w:rFonts w:asciiTheme="minorHAnsi" w:hAnsiTheme="minorHAnsi" w:cstheme="minorHAnsi"/>
                <w:sz w:val="20"/>
                <w:szCs w:val="20"/>
              </w:rPr>
              <w:t>.</w:t>
            </w:r>
          </w:p>
          <w:p w14:paraId="69AE0D49" w14:textId="77777777" w:rsidR="00A17E18" w:rsidRPr="00762402" w:rsidRDefault="00A17E18" w:rsidP="00A17E18">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Screening of application and re-submission. </w:t>
            </w:r>
          </w:p>
          <w:p w14:paraId="55408F7F" w14:textId="77777777" w:rsidR="00A17E18" w:rsidRDefault="00A17E18" w:rsidP="00A17E18">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A</w:t>
            </w:r>
            <w:r w:rsidRPr="00762402">
              <w:rPr>
                <w:rFonts w:asciiTheme="minorHAnsi" w:hAnsiTheme="minorHAnsi" w:cstheme="minorHAnsi"/>
                <w:sz w:val="20"/>
                <w:szCs w:val="20"/>
              </w:rPr>
              <w:t>ssessment of application</w:t>
            </w:r>
            <w:r>
              <w:rPr>
                <w:rFonts w:asciiTheme="minorHAnsi" w:hAnsiTheme="minorHAnsi" w:cstheme="minorHAnsi"/>
                <w:sz w:val="20"/>
                <w:szCs w:val="20"/>
              </w:rPr>
              <w:t>.</w:t>
            </w:r>
          </w:p>
          <w:p w14:paraId="28CDDD25" w14:textId="77777777" w:rsidR="00A17E18" w:rsidRDefault="00A17E18" w:rsidP="00A17E18">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Request/s for further information. </w:t>
            </w:r>
          </w:p>
          <w:p w14:paraId="7CA99E64" w14:textId="77777777" w:rsidR="00A17E18" w:rsidRDefault="00A17E18" w:rsidP="00A17E18">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Meeting/s with applicant. </w:t>
            </w:r>
          </w:p>
          <w:p w14:paraId="122E6D40" w14:textId="77777777" w:rsidR="00A17E18" w:rsidRDefault="00A17E18" w:rsidP="00A17E18">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Consultation with the Regulator etc. </w:t>
            </w:r>
          </w:p>
          <w:p w14:paraId="1A21DABD" w14:textId="77777777" w:rsidR="00A17E18" w:rsidRDefault="00A17E18" w:rsidP="00A17E18">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Provide advice and support to the Minister. </w:t>
            </w:r>
          </w:p>
          <w:p w14:paraId="38550909" w14:textId="77777777" w:rsidR="00A17E18" w:rsidRPr="00762402" w:rsidRDefault="00A17E18" w:rsidP="00A17E18">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Procedural fairness and legal advice. </w:t>
            </w:r>
          </w:p>
          <w:p w14:paraId="314865E7" w14:textId="77777777" w:rsidR="00A17E18" w:rsidRPr="00762402" w:rsidRDefault="00A17E18" w:rsidP="00A17E18">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I</w:t>
            </w:r>
            <w:r w:rsidRPr="00762402">
              <w:rPr>
                <w:rFonts w:asciiTheme="minorHAnsi" w:hAnsiTheme="minorHAnsi" w:cstheme="minorHAnsi"/>
                <w:sz w:val="20"/>
                <w:szCs w:val="20"/>
              </w:rPr>
              <w:t xml:space="preserve">mplement </w:t>
            </w:r>
            <w:r>
              <w:rPr>
                <w:rFonts w:asciiTheme="minorHAnsi" w:hAnsiTheme="minorHAnsi" w:cstheme="minorHAnsi"/>
                <w:sz w:val="20"/>
                <w:szCs w:val="20"/>
              </w:rPr>
              <w:t xml:space="preserve">the </w:t>
            </w:r>
            <w:r w:rsidRPr="00762402">
              <w:rPr>
                <w:rFonts w:asciiTheme="minorHAnsi" w:hAnsiTheme="minorHAnsi" w:cstheme="minorHAnsi"/>
                <w:sz w:val="20"/>
                <w:szCs w:val="20"/>
              </w:rPr>
              <w:t>decision</w:t>
            </w:r>
            <w:r>
              <w:rPr>
                <w:rFonts w:asciiTheme="minorHAnsi" w:hAnsiTheme="minorHAnsi" w:cstheme="minorHAnsi"/>
                <w:sz w:val="20"/>
                <w:szCs w:val="20"/>
              </w:rPr>
              <w:t>.</w:t>
            </w:r>
            <w:r w:rsidRPr="00762402">
              <w:rPr>
                <w:rFonts w:asciiTheme="minorHAnsi" w:hAnsiTheme="minorHAnsi" w:cstheme="minorHAnsi"/>
                <w:sz w:val="20"/>
                <w:szCs w:val="20"/>
              </w:rPr>
              <w:t xml:space="preserve"> </w:t>
            </w:r>
          </w:p>
          <w:p w14:paraId="417A1B45" w14:textId="77777777" w:rsidR="00A17E18" w:rsidRDefault="00A17E18" w:rsidP="00A17E18">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M</w:t>
            </w:r>
            <w:r w:rsidRPr="00762402">
              <w:rPr>
                <w:rFonts w:asciiTheme="minorHAnsi" w:hAnsiTheme="minorHAnsi" w:cstheme="minorHAnsi"/>
                <w:sz w:val="20"/>
                <w:szCs w:val="20"/>
              </w:rPr>
              <w:t xml:space="preserve">aintain the </w:t>
            </w:r>
            <w:r>
              <w:rPr>
                <w:rFonts w:asciiTheme="minorHAnsi" w:hAnsiTheme="minorHAnsi" w:cstheme="minorHAnsi"/>
                <w:sz w:val="20"/>
                <w:szCs w:val="20"/>
              </w:rPr>
              <w:t>R</w:t>
            </w:r>
            <w:r w:rsidRPr="00762402">
              <w:rPr>
                <w:rFonts w:asciiTheme="minorHAnsi" w:hAnsiTheme="minorHAnsi" w:cstheme="minorHAnsi"/>
                <w:sz w:val="20"/>
                <w:szCs w:val="20"/>
              </w:rPr>
              <w:t xml:space="preserve">egister </w:t>
            </w:r>
            <w:r>
              <w:rPr>
                <w:rFonts w:asciiTheme="minorHAnsi" w:hAnsiTheme="minorHAnsi" w:cstheme="minorHAnsi"/>
                <w:sz w:val="20"/>
                <w:szCs w:val="20"/>
              </w:rPr>
              <w:t>of Licences (Chapter 5).</w:t>
            </w:r>
          </w:p>
          <w:p w14:paraId="18151D04" w14:textId="4AB17D8D" w:rsidR="00296794" w:rsidRPr="00762402" w:rsidRDefault="00296794" w:rsidP="00A17E18">
            <w:pPr>
              <w:rPr>
                <w:rFonts w:asciiTheme="minorHAnsi" w:hAnsiTheme="minorHAnsi" w:cstheme="minorHAnsi"/>
                <w:sz w:val="20"/>
                <w:szCs w:val="20"/>
              </w:rPr>
            </w:pPr>
          </w:p>
        </w:tc>
      </w:tr>
      <w:tr w:rsidR="00296794" w:rsidRPr="00762402" w14:paraId="12D1C027" w14:textId="77777777" w:rsidTr="009D3DF3">
        <w:trPr>
          <w:trHeight w:val="756"/>
        </w:trPr>
        <w:tc>
          <w:tcPr>
            <w:tcW w:w="809" w:type="dxa"/>
          </w:tcPr>
          <w:p w14:paraId="0324BF47" w14:textId="3633F957" w:rsidR="00296794" w:rsidRPr="00762402" w:rsidRDefault="00382FFE" w:rsidP="007D5786">
            <w:pPr>
              <w:jc w:val="center"/>
              <w:rPr>
                <w:rFonts w:asciiTheme="minorHAnsi" w:hAnsiTheme="minorHAnsi" w:cstheme="minorHAnsi"/>
                <w:b/>
                <w:bCs/>
                <w:sz w:val="20"/>
                <w:szCs w:val="20"/>
              </w:rPr>
            </w:pPr>
            <w:r>
              <w:rPr>
                <w:rFonts w:asciiTheme="minorHAnsi" w:hAnsiTheme="minorHAnsi" w:cstheme="minorHAnsi"/>
                <w:b/>
                <w:bCs/>
                <w:sz w:val="20"/>
                <w:szCs w:val="20"/>
              </w:rPr>
              <w:lastRenderedPageBreak/>
              <w:t>4</w:t>
            </w:r>
          </w:p>
        </w:tc>
        <w:tc>
          <w:tcPr>
            <w:tcW w:w="2593" w:type="dxa"/>
          </w:tcPr>
          <w:p w14:paraId="33CAC0A4" w14:textId="08FD8BE6" w:rsidR="00296794" w:rsidRPr="00762402" w:rsidRDefault="00A17E18" w:rsidP="00E628B6">
            <w:pPr>
              <w:rPr>
                <w:rFonts w:asciiTheme="minorHAnsi" w:hAnsiTheme="minorHAnsi" w:cstheme="minorHAnsi"/>
                <w:sz w:val="20"/>
                <w:szCs w:val="20"/>
              </w:rPr>
            </w:pPr>
            <w:r>
              <w:rPr>
                <w:rFonts w:asciiTheme="minorHAnsi" w:hAnsiTheme="minorHAnsi" w:cstheme="minorHAnsi"/>
                <w:b/>
                <w:bCs/>
                <w:sz w:val="20"/>
                <w:szCs w:val="20"/>
              </w:rPr>
              <w:t xml:space="preserve">Administrative </w:t>
            </w:r>
            <w:r w:rsidR="00FC306D">
              <w:rPr>
                <w:rFonts w:asciiTheme="minorHAnsi" w:hAnsiTheme="minorHAnsi" w:cstheme="minorHAnsi"/>
                <w:b/>
                <w:bCs/>
                <w:sz w:val="20"/>
                <w:szCs w:val="20"/>
              </w:rPr>
              <w:t>A</w:t>
            </w:r>
            <w:r>
              <w:rPr>
                <w:rFonts w:asciiTheme="minorHAnsi" w:hAnsiTheme="minorHAnsi" w:cstheme="minorHAnsi"/>
                <w:b/>
                <w:bCs/>
                <w:sz w:val="20"/>
                <w:szCs w:val="20"/>
              </w:rPr>
              <w:t>ctivities</w:t>
            </w:r>
          </w:p>
          <w:p w14:paraId="044D0FC0" w14:textId="3542FB78" w:rsidR="00296794" w:rsidRPr="00762402" w:rsidRDefault="00296794" w:rsidP="00E628B6">
            <w:pPr>
              <w:rPr>
                <w:rFonts w:asciiTheme="minorHAnsi" w:hAnsiTheme="minorHAnsi" w:cstheme="minorHAnsi"/>
                <w:sz w:val="20"/>
                <w:szCs w:val="20"/>
              </w:rPr>
            </w:pPr>
            <w:r w:rsidRPr="00762402">
              <w:rPr>
                <w:rFonts w:asciiTheme="minorHAnsi" w:hAnsiTheme="minorHAnsi" w:cstheme="minorHAnsi"/>
                <w:sz w:val="20"/>
                <w:szCs w:val="20"/>
              </w:rPr>
              <w:t>(</w:t>
            </w:r>
            <w:r>
              <w:rPr>
                <w:rFonts w:asciiTheme="minorHAnsi" w:hAnsiTheme="minorHAnsi" w:cstheme="minorHAnsi"/>
                <w:sz w:val="20"/>
                <w:szCs w:val="20"/>
              </w:rPr>
              <w:t>Chapter 3</w:t>
            </w:r>
            <w:r w:rsidR="00FC306D">
              <w:rPr>
                <w:rFonts w:asciiTheme="minorHAnsi" w:hAnsiTheme="minorHAnsi" w:cstheme="minorHAnsi"/>
                <w:sz w:val="20"/>
                <w:szCs w:val="20"/>
              </w:rPr>
              <w:t>, Chapter 5, Chapter 7</w:t>
            </w:r>
            <w:r w:rsidRPr="00762402">
              <w:rPr>
                <w:rFonts w:asciiTheme="minorHAnsi" w:hAnsiTheme="minorHAnsi" w:cstheme="minorHAnsi"/>
                <w:sz w:val="20"/>
                <w:szCs w:val="20"/>
              </w:rPr>
              <w:t>)</w:t>
            </w:r>
          </w:p>
        </w:tc>
        <w:tc>
          <w:tcPr>
            <w:tcW w:w="10348" w:type="dxa"/>
          </w:tcPr>
          <w:p w14:paraId="0E867639" w14:textId="68A94166" w:rsidR="00A17E18" w:rsidRDefault="00A17E18" w:rsidP="00A17E18">
            <w:pPr>
              <w:pStyle w:val="ListParagraph"/>
              <w:numPr>
                <w:ilvl w:val="0"/>
                <w:numId w:val="6"/>
              </w:numPr>
              <w:ind w:left="337" w:hanging="337"/>
              <w:rPr>
                <w:rFonts w:asciiTheme="minorHAnsi" w:hAnsiTheme="minorHAnsi" w:cstheme="minorHAnsi"/>
                <w:sz w:val="20"/>
                <w:szCs w:val="20"/>
              </w:rPr>
            </w:pPr>
            <w:r w:rsidRPr="00A17E18">
              <w:rPr>
                <w:rFonts w:asciiTheme="minorHAnsi" w:hAnsiTheme="minorHAnsi" w:cstheme="minorHAnsi"/>
                <w:sz w:val="20"/>
                <w:szCs w:val="20"/>
              </w:rPr>
              <w:t>Ongoing assessment of compliance with the legislation including conditions on the licence and review of annual</w:t>
            </w:r>
            <w:r>
              <w:rPr>
                <w:rFonts w:asciiTheme="minorHAnsi" w:hAnsiTheme="minorHAnsi" w:cstheme="minorHAnsi"/>
                <w:sz w:val="20"/>
                <w:szCs w:val="20"/>
              </w:rPr>
              <w:t xml:space="preserve"> licence reports. </w:t>
            </w:r>
          </w:p>
          <w:p w14:paraId="5772154A" w14:textId="3530CA4F" w:rsidR="00A17E18" w:rsidRPr="00762402" w:rsidRDefault="00A17E18" w:rsidP="00A17E18">
            <w:pPr>
              <w:pStyle w:val="ListParagraph"/>
              <w:numPr>
                <w:ilvl w:val="0"/>
                <w:numId w:val="6"/>
              </w:numPr>
              <w:ind w:left="337" w:hanging="337"/>
              <w:rPr>
                <w:rFonts w:asciiTheme="minorHAnsi" w:hAnsiTheme="minorHAnsi" w:cstheme="minorHAnsi"/>
                <w:sz w:val="20"/>
                <w:szCs w:val="20"/>
              </w:rPr>
            </w:pPr>
            <w:r w:rsidRPr="00A17E18">
              <w:rPr>
                <w:rFonts w:asciiTheme="minorHAnsi" w:hAnsiTheme="minorHAnsi" w:cstheme="minorHAnsi"/>
                <w:sz w:val="20"/>
                <w:szCs w:val="20"/>
              </w:rPr>
              <w:t>Stakeholder engagement and dissemination of information outside of application process</w:t>
            </w:r>
            <w:r>
              <w:rPr>
                <w:rFonts w:asciiTheme="minorHAnsi" w:hAnsiTheme="minorHAnsi" w:cstheme="minorHAnsi"/>
                <w:sz w:val="20"/>
                <w:szCs w:val="20"/>
              </w:rPr>
              <w:t xml:space="preserve">. </w:t>
            </w:r>
          </w:p>
          <w:p w14:paraId="6081889A" w14:textId="77777777" w:rsidR="00A17E18" w:rsidRDefault="00A17E18" w:rsidP="00A17E18">
            <w:pPr>
              <w:pStyle w:val="ListParagraph"/>
              <w:numPr>
                <w:ilvl w:val="0"/>
                <w:numId w:val="6"/>
              </w:numPr>
              <w:ind w:left="337" w:hanging="337"/>
              <w:rPr>
                <w:rFonts w:asciiTheme="minorHAnsi" w:hAnsiTheme="minorHAnsi" w:cstheme="minorHAnsi"/>
                <w:sz w:val="20"/>
                <w:szCs w:val="20"/>
              </w:rPr>
            </w:pPr>
            <w:r w:rsidRPr="00A17E18">
              <w:rPr>
                <w:rFonts w:asciiTheme="minorHAnsi" w:hAnsiTheme="minorHAnsi" w:cstheme="minorHAnsi"/>
                <w:sz w:val="20"/>
                <w:szCs w:val="20"/>
              </w:rPr>
              <w:t>Legislative/Regulatory amendments.</w:t>
            </w:r>
          </w:p>
          <w:p w14:paraId="7B97CB4C" w14:textId="77777777" w:rsidR="00296794" w:rsidRDefault="00A17E18" w:rsidP="00A17E18">
            <w:pPr>
              <w:pStyle w:val="ListParagraph"/>
              <w:numPr>
                <w:ilvl w:val="0"/>
                <w:numId w:val="6"/>
              </w:numPr>
              <w:ind w:left="337" w:hanging="337"/>
              <w:rPr>
                <w:rFonts w:asciiTheme="minorHAnsi" w:hAnsiTheme="minorHAnsi" w:cstheme="minorHAnsi"/>
                <w:sz w:val="20"/>
                <w:szCs w:val="20"/>
              </w:rPr>
            </w:pPr>
            <w:r w:rsidRPr="00A17E18">
              <w:rPr>
                <w:rFonts w:asciiTheme="minorHAnsi" w:hAnsiTheme="minorHAnsi" w:cstheme="minorHAnsi"/>
                <w:sz w:val="20"/>
                <w:szCs w:val="20"/>
              </w:rPr>
              <w:t>Management of resources to undertake Registrar activities including staffing, contract management and risk</w:t>
            </w:r>
            <w:r>
              <w:rPr>
                <w:rFonts w:asciiTheme="minorHAnsi" w:hAnsiTheme="minorHAnsi" w:cstheme="minorHAnsi"/>
                <w:sz w:val="20"/>
                <w:szCs w:val="20"/>
              </w:rPr>
              <w:t xml:space="preserve"> management.</w:t>
            </w:r>
          </w:p>
          <w:p w14:paraId="6B985B09" w14:textId="77777777" w:rsidR="00A17E18" w:rsidRDefault="00A17E18" w:rsidP="00A17E18">
            <w:pPr>
              <w:pStyle w:val="ListParagraph"/>
              <w:numPr>
                <w:ilvl w:val="0"/>
                <w:numId w:val="6"/>
              </w:numPr>
              <w:ind w:left="337" w:hanging="337"/>
              <w:rPr>
                <w:rFonts w:asciiTheme="minorHAnsi" w:hAnsiTheme="minorHAnsi" w:cstheme="minorHAnsi"/>
                <w:sz w:val="20"/>
                <w:szCs w:val="20"/>
              </w:rPr>
            </w:pPr>
            <w:r w:rsidRPr="00A17E18">
              <w:rPr>
                <w:rFonts w:asciiTheme="minorHAnsi" w:hAnsiTheme="minorHAnsi" w:cstheme="minorHAnsi"/>
                <w:sz w:val="20"/>
                <w:szCs w:val="20"/>
              </w:rPr>
              <w:t>Special Account transactions, levy invoicing, refunds and review of cost recovery arrangements.</w:t>
            </w:r>
          </w:p>
          <w:p w14:paraId="1E9179FB" w14:textId="77777777" w:rsidR="00FC306D" w:rsidRDefault="00FC306D" w:rsidP="00A17E18">
            <w:pPr>
              <w:pStyle w:val="ListParagraph"/>
              <w:numPr>
                <w:ilvl w:val="0"/>
                <w:numId w:val="6"/>
              </w:numPr>
              <w:ind w:left="337" w:hanging="337"/>
              <w:rPr>
                <w:rFonts w:asciiTheme="minorHAnsi" w:hAnsiTheme="minorHAnsi" w:cstheme="minorHAnsi"/>
                <w:sz w:val="20"/>
                <w:szCs w:val="20"/>
              </w:rPr>
            </w:pPr>
            <w:r w:rsidRPr="00FC306D">
              <w:rPr>
                <w:rFonts w:asciiTheme="minorHAnsi" w:hAnsiTheme="minorHAnsi" w:cstheme="minorHAnsi"/>
                <w:sz w:val="20"/>
                <w:szCs w:val="20"/>
              </w:rPr>
              <w:t>Management of statutory reviews, senate estimates and other oversight arrangements.</w:t>
            </w:r>
          </w:p>
          <w:p w14:paraId="4E839758" w14:textId="77777777" w:rsidR="00FC306D" w:rsidRDefault="00FC306D" w:rsidP="00A17E18">
            <w:pPr>
              <w:pStyle w:val="ListParagraph"/>
              <w:numPr>
                <w:ilvl w:val="0"/>
                <w:numId w:val="6"/>
              </w:numPr>
              <w:ind w:left="337" w:hanging="337"/>
              <w:rPr>
                <w:rFonts w:asciiTheme="minorHAnsi" w:hAnsiTheme="minorHAnsi" w:cstheme="minorHAnsi"/>
                <w:sz w:val="20"/>
                <w:szCs w:val="20"/>
              </w:rPr>
            </w:pPr>
            <w:r w:rsidRPr="00FC306D">
              <w:rPr>
                <w:rFonts w:asciiTheme="minorHAnsi" w:hAnsiTheme="minorHAnsi" w:cstheme="minorHAnsi"/>
                <w:sz w:val="20"/>
                <w:szCs w:val="20"/>
              </w:rPr>
              <w:t>Corporate planning, divisional reporting, feedback and complaints, ad-hoc reports to the Minister.</w:t>
            </w:r>
          </w:p>
          <w:p w14:paraId="2B8E8EF2" w14:textId="3E8BD4E0" w:rsidR="00FC306D" w:rsidRDefault="00FC306D" w:rsidP="00A17E18">
            <w:pPr>
              <w:pStyle w:val="ListParagraph"/>
              <w:numPr>
                <w:ilvl w:val="0"/>
                <w:numId w:val="6"/>
              </w:numPr>
              <w:ind w:left="337" w:hanging="337"/>
              <w:rPr>
                <w:rFonts w:asciiTheme="minorHAnsi" w:hAnsiTheme="minorHAnsi" w:cstheme="minorHAnsi"/>
                <w:sz w:val="20"/>
                <w:szCs w:val="20"/>
              </w:rPr>
            </w:pPr>
            <w:r w:rsidRPr="00FC306D">
              <w:rPr>
                <w:rFonts w:asciiTheme="minorHAnsi" w:hAnsiTheme="minorHAnsi" w:cstheme="minorHAnsi"/>
                <w:sz w:val="20"/>
                <w:szCs w:val="20"/>
              </w:rPr>
              <w:t>Maintain guidance material for applicants including factsheets, application forms, submission guidance, website</w:t>
            </w:r>
            <w:r>
              <w:rPr>
                <w:rFonts w:asciiTheme="minorHAnsi" w:hAnsiTheme="minorHAnsi" w:cstheme="minorHAnsi"/>
                <w:sz w:val="20"/>
                <w:szCs w:val="20"/>
              </w:rPr>
              <w:t xml:space="preserve"> and training. </w:t>
            </w:r>
          </w:p>
          <w:p w14:paraId="37541D15" w14:textId="77777777" w:rsidR="00FC306D" w:rsidRDefault="00FC306D" w:rsidP="00A17E18">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Legal Advice. </w:t>
            </w:r>
          </w:p>
          <w:p w14:paraId="18679811" w14:textId="64DAC212" w:rsidR="00FC306D" w:rsidRPr="00762402" w:rsidRDefault="00FC306D" w:rsidP="00FC306D">
            <w:pPr>
              <w:pStyle w:val="ListParagraph"/>
              <w:ind w:left="337"/>
              <w:rPr>
                <w:rFonts w:asciiTheme="minorHAnsi" w:hAnsiTheme="minorHAnsi" w:cstheme="minorHAnsi"/>
                <w:sz w:val="20"/>
                <w:szCs w:val="20"/>
              </w:rPr>
            </w:pPr>
          </w:p>
        </w:tc>
      </w:tr>
    </w:tbl>
    <w:p w14:paraId="7F244B15" w14:textId="77777777" w:rsidR="00B46AD6" w:rsidRPr="00133185" w:rsidRDefault="00B46AD6" w:rsidP="00E35000">
      <w:pPr>
        <w:ind w:left="567"/>
        <w:rPr>
          <w:rFonts w:asciiTheme="minorHAnsi" w:eastAsia="SimSun" w:hAnsiTheme="minorHAnsi"/>
          <w:b/>
          <w:bCs/>
          <w:lang w:eastAsia="en-AU"/>
        </w:rPr>
      </w:pPr>
    </w:p>
    <w:p w14:paraId="4FA30D37" w14:textId="4EB80A9D" w:rsidR="00E35000" w:rsidRDefault="00E35000">
      <w:pPr>
        <w:sectPr w:rsidR="00E35000" w:rsidSect="00E35000">
          <w:pgSz w:w="16838" w:h="11906" w:orient="landscape"/>
          <w:pgMar w:top="851" w:right="720" w:bottom="720" w:left="851" w:header="708" w:footer="708" w:gutter="0"/>
          <w:cols w:space="708"/>
          <w:docGrid w:linePitch="360"/>
        </w:sectPr>
      </w:pPr>
    </w:p>
    <w:p w14:paraId="1905ADF3" w14:textId="77777777" w:rsidR="00D212A5" w:rsidRPr="00902AA6" w:rsidRDefault="00D212A5" w:rsidP="00902AA6">
      <w:pPr>
        <w:pStyle w:val="Heading3"/>
      </w:pPr>
      <w:bookmarkStart w:id="18" w:name="_Toc98772161"/>
      <w:r w:rsidRPr="00902AA6">
        <w:lastRenderedPageBreak/>
        <w:t>Costs of the regulatory charging activity</w:t>
      </w:r>
      <w:bookmarkEnd w:id="18"/>
    </w:p>
    <w:p w14:paraId="73F5E7A4" w14:textId="090A73BE" w:rsidR="00A62032" w:rsidRDefault="002B7A21" w:rsidP="00A62032">
      <w:pPr>
        <w:rPr>
          <w:rFonts w:asciiTheme="minorHAnsi" w:hAnsiTheme="minorHAnsi" w:cstheme="minorHAnsi"/>
        </w:rPr>
      </w:pPr>
      <w:r>
        <w:rPr>
          <w:rFonts w:asciiTheme="minorHAnsi" w:hAnsiTheme="minorHAnsi" w:cstheme="minorHAnsi"/>
        </w:rPr>
        <w:t>D</w:t>
      </w:r>
      <w:r w:rsidR="00D212A5" w:rsidRPr="005E2EC1">
        <w:rPr>
          <w:rFonts w:asciiTheme="minorHAnsi" w:hAnsiTheme="minorHAnsi" w:cstheme="minorHAnsi"/>
        </w:rPr>
        <w:t>irect and indirect costs</w:t>
      </w:r>
      <w:r>
        <w:rPr>
          <w:rFonts w:asciiTheme="minorHAnsi" w:hAnsiTheme="minorHAnsi" w:cstheme="minorHAnsi"/>
        </w:rPr>
        <w:t xml:space="preserve"> are allocated</w:t>
      </w:r>
      <w:r w:rsidR="00D212A5" w:rsidRPr="005E2EC1">
        <w:rPr>
          <w:rFonts w:asciiTheme="minorHAnsi" w:hAnsiTheme="minorHAnsi" w:cstheme="minorHAnsi"/>
        </w:rPr>
        <w:t xml:space="preserve"> to each output based on estimates of effort required</w:t>
      </w:r>
      <w:r w:rsidR="00A62032">
        <w:rPr>
          <w:rFonts w:asciiTheme="minorHAnsi" w:hAnsiTheme="minorHAnsi" w:cstheme="minorHAnsi"/>
        </w:rPr>
        <w:t xml:space="preserve"> (</w:t>
      </w:r>
      <w:r w:rsidR="00A62032">
        <w:rPr>
          <w:rFonts w:asciiTheme="minorHAnsi" w:hAnsiTheme="minorHAnsi" w:cstheme="minorHAnsi"/>
          <w:b/>
          <w:bCs/>
        </w:rPr>
        <w:t>Table 1</w:t>
      </w:r>
      <w:r w:rsidR="00A62032" w:rsidRPr="00A62032">
        <w:rPr>
          <w:rFonts w:asciiTheme="minorHAnsi" w:hAnsiTheme="minorHAnsi" w:cstheme="minorHAnsi"/>
        </w:rPr>
        <w:t>)</w:t>
      </w:r>
      <w:r w:rsidR="00D212A5" w:rsidRPr="005E2EC1">
        <w:rPr>
          <w:rFonts w:asciiTheme="minorHAnsi" w:hAnsiTheme="minorHAnsi" w:cstheme="minorHAnsi"/>
        </w:rPr>
        <w:t>.</w:t>
      </w:r>
      <w:r w:rsidR="00A62032" w:rsidRPr="00A62032">
        <w:rPr>
          <w:rFonts w:asciiTheme="minorHAnsi" w:hAnsiTheme="minorHAnsi" w:cstheme="minorHAnsi"/>
        </w:rPr>
        <w:t xml:space="preserve"> </w:t>
      </w:r>
      <w:r w:rsidR="00A62032" w:rsidRPr="00591FD1">
        <w:rPr>
          <w:rFonts w:asciiTheme="minorHAnsi" w:hAnsiTheme="minorHAnsi" w:cstheme="minorHAnsi"/>
        </w:rPr>
        <w:t xml:space="preserve">Indirect costs are allocated </w:t>
      </w:r>
      <w:r w:rsidR="008F39B3">
        <w:rPr>
          <w:rFonts w:asciiTheme="minorHAnsi" w:hAnsiTheme="minorHAnsi" w:cstheme="minorHAnsi"/>
        </w:rPr>
        <w:t>on a per head basis</w:t>
      </w:r>
      <w:r w:rsidR="00A62032" w:rsidRPr="00591FD1">
        <w:rPr>
          <w:rFonts w:asciiTheme="minorHAnsi" w:hAnsiTheme="minorHAnsi" w:cstheme="minorHAnsi"/>
        </w:rPr>
        <w:t>.</w:t>
      </w:r>
    </w:p>
    <w:p w14:paraId="31E4401C" w14:textId="77777777" w:rsidR="00D212A5" w:rsidRPr="006825D4" w:rsidRDefault="00D212A5" w:rsidP="00D212A5">
      <w:pPr>
        <w:rPr>
          <w:rFonts w:asciiTheme="minorHAnsi" w:hAnsiTheme="minorHAnsi" w:cstheme="minorHAnsi"/>
          <w:sz w:val="22"/>
          <w:szCs w:val="22"/>
        </w:rPr>
      </w:pPr>
    </w:p>
    <w:p w14:paraId="1C7C4C03" w14:textId="33C59820" w:rsidR="00D212A5" w:rsidRPr="005E2EC1" w:rsidRDefault="00D212A5" w:rsidP="00D212A5">
      <w:pPr>
        <w:rPr>
          <w:rFonts w:asciiTheme="minorHAnsi" w:hAnsiTheme="minorHAnsi" w:cstheme="minorHAnsi"/>
        </w:rPr>
      </w:pPr>
      <w:r w:rsidRPr="005E2EC1">
        <w:rPr>
          <w:rFonts w:asciiTheme="minorHAnsi" w:hAnsiTheme="minorHAnsi" w:cstheme="minorHAnsi"/>
        </w:rPr>
        <w:t xml:space="preserve">Direct costs are </w:t>
      </w:r>
      <w:r>
        <w:rPr>
          <w:rFonts w:asciiTheme="minorHAnsi" w:hAnsiTheme="minorHAnsi" w:cstheme="minorHAnsi"/>
        </w:rPr>
        <w:t xml:space="preserve">budgeted </w:t>
      </w:r>
      <w:r w:rsidRPr="005E2EC1">
        <w:rPr>
          <w:rFonts w:asciiTheme="minorHAnsi" w:hAnsiTheme="minorHAnsi" w:cstheme="minorHAnsi"/>
        </w:rPr>
        <w:t xml:space="preserve">at </w:t>
      </w:r>
      <w:r>
        <w:rPr>
          <w:rFonts w:asciiTheme="minorHAnsi" w:hAnsiTheme="minorHAnsi" w:cstheme="minorHAnsi"/>
        </w:rPr>
        <w:t>$</w:t>
      </w:r>
      <w:r w:rsidR="0075339F" w:rsidRPr="0075339F">
        <w:rPr>
          <w:rFonts w:asciiTheme="minorHAnsi" w:hAnsiTheme="minorHAnsi" w:cstheme="minorHAnsi"/>
        </w:rPr>
        <w:t>1,016,099</w:t>
      </w:r>
      <w:r w:rsidRPr="005E2EC1">
        <w:rPr>
          <w:rFonts w:asciiTheme="minorHAnsi" w:hAnsiTheme="minorHAnsi" w:cstheme="minorHAnsi"/>
        </w:rPr>
        <w:t xml:space="preserve"> </w:t>
      </w:r>
      <w:r w:rsidR="00B7069E" w:rsidRPr="005E2EC1">
        <w:rPr>
          <w:rFonts w:asciiTheme="minorHAnsi" w:hAnsiTheme="minorHAnsi" w:cstheme="minorHAnsi"/>
        </w:rPr>
        <w:t>f</w:t>
      </w:r>
      <w:r w:rsidR="00B7069E">
        <w:rPr>
          <w:rFonts w:asciiTheme="minorHAnsi" w:hAnsiTheme="minorHAnsi" w:cstheme="minorHAnsi"/>
        </w:rPr>
        <w:t>or</w:t>
      </w:r>
      <w:r w:rsidR="00B7069E" w:rsidRPr="005E2EC1">
        <w:rPr>
          <w:rFonts w:asciiTheme="minorHAnsi" w:hAnsiTheme="minorHAnsi" w:cstheme="minorHAnsi"/>
        </w:rPr>
        <w:t xml:space="preserve"> 202</w:t>
      </w:r>
      <w:r w:rsidR="00B7069E">
        <w:rPr>
          <w:rFonts w:asciiTheme="minorHAnsi" w:hAnsiTheme="minorHAnsi" w:cstheme="minorHAnsi"/>
        </w:rPr>
        <w:t>2-23</w:t>
      </w:r>
      <w:r w:rsidR="0075339F">
        <w:rPr>
          <w:rFonts w:asciiTheme="minorHAnsi" w:hAnsiTheme="minorHAnsi" w:cstheme="minorHAnsi"/>
        </w:rPr>
        <w:t>,</w:t>
      </w:r>
      <w:r w:rsidR="00B7069E">
        <w:rPr>
          <w:rFonts w:asciiTheme="minorHAnsi" w:hAnsiTheme="minorHAnsi" w:cstheme="minorHAnsi"/>
        </w:rPr>
        <w:t xml:space="preserve"> </w:t>
      </w:r>
      <w:r w:rsidR="0075339F" w:rsidRPr="0075339F">
        <w:rPr>
          <w:rFonts w:asciiTheme="minorHAnsi" w:hAnsiTheme="minorHAnsi" w:cstheme="minorHAnsi"/>
        </w:rPr>
        <w:t>$1,066,410</w:t>
      </w:r>
      <w:r w:rsidR="0075339F">
        <w:rPr>
          <w:rFonts w:asciiTheme="minorHAnsi" w:hAnsiTheme="minorHAnsi" w:cstheme="minorHAnsi"/>
        </w:rPr>
        <w:t xml:space="preserve"> </w:t>
      </w:r>
      <w:r w:rsidR="00B7069E">
        <w:rPr>
          <w:rFonts w:asciiTheme="minorHAnsi" w:hAnsiTheme="minorHAnsi" w:cstheme="minorHAnsi"/>
        </w:rPr>
        <w:t>for 2023-24</w:t>
      </w:r>
      <w:r w:rsidR="0075339F">
        <w:rPr>
          <w:rFonts w:asciiTheme="minorHAnsi" w:hAnsiTheme="minorHAnsi" w:cstheme="minorHAnsi"/>
        </w:rPr>
        <w:t xml:space="preserve"> and $</w:t>
      </w:r>
      <w:r w:rsidR="0075339F" w:rsidRPr="0075339F">
        <w:rPr>
          <w:rFonts w:asciiTheme="minorHAnsi" w:hAnsiTheme="minorHAnsi" w:cstheme="minorHAnsi"/>
        </w:rPr>
        <w:t>1,087,739</w:t>
      </w:r>
      <w:r w:rsidR="0075339F">
        <w:rPr>
          <w:rFonts w:asciiTheme="minorHAnsi" w:hAnsiTheme="minorHAnsi" w:cstheme="minorHAnsi"/>
        </w:rPr>
        <w:t xml:space="preserve"> for 2024-25</w:t>
      </w:r>
      <w:r w:rsidR="00B7069E">
        <w:rPr>
          <w:rFonts w:asciiTheme="minorHAnsi" w:hAnsiTheme="minorHAnsi" w:cstheme="minorHAnsi"/>
        </w:rPr>
        <w:t xml:space="preserve"> </w:t>
      </w:r>
      <w:r w:rsidRPr="005E2EC1">
        <w:rPr>
          <w:rFonts w:asciiTheme="minorHAnsi" w:hAnsiTheme="minorHAnsi" w:cstheme="minorHAnsi"/>
        </w:rPr>
        <w:t xml:space="preserve">and </w:t>
      </w:r>
      <w:r w:rsidR="008F39B3">
        <w:rPr>
          <w:rFonts w:asciiTheme="minorHAnsi" w:hAnsiTheme="minorHAnsi" w:cstheme="minorHAnsi"/>
        </w:rPr>
        <w:t>comprise</w:t>
      </w:r>
      <w:r w:rsidRPr="005E2EC1">
        <w:rPr>
          <w:rFonts w:asciiTheme="minorHAnsi" w:hAnsiTheme="minorHAnsi" w:cstheme="minorHAnsi"/>
        </w:rPr>
        <w:t>:</w:t>
      </w:r>
    </w:p>
    <w:p w14:paraId="677CE0C2" w14:textId="6C6D9632" w:rsidR="00D212A5" w:rsidRPr="002578CD" w:rsidRDefault="00D212A5" w:rsidP="00A174D5">
      <w:pPr>
        <w:pStyle w:val="ListParagraph"/>
        <w:numPr>
          <w:ilvl w:val="0"/>
          <w:numId w:val="5"/>
        </w:numPr>
        <w:contextualSpacing w:val="0"/>
        <w:rPr>
          <w:rFonts w:asciiTheme="minorHAnsi" w:hAnsiTheme="minorHAnsi" w:cstheme="minorHAnsi"/>
        </w:rPr>
      </w:pPr>
      <w:r w:rsidRPr="002578CD">
        <w:rPr>
          <w:rFonts w:asciiTheme="minorHAnsi" w:hAnsiTheme="minorHAnsi" w:cstheme="minorHAnsi"/>
        </w:rPr>
        <w:t>Employee and associated expenses (</w:t>
      </w:r>
      <w:r w:rsidR="005827AF" w:rsidRPr="002578CD">
        <w:rPr>
          <w:rFonts w:asciiTheme="minorHAnsi" w:hAnsiTheme="minorHAnsi" w:cstheme="minorHAnsi"/>
        </w:rPr>
        <w:t>e.g.,</w:t>
      </w:r>
      <w:r w:rsidRPr="002578CD">
        <w:rPr>
          <w:rFonts w:asciiTheme="minorHAnsi" w:hAnsiTheme="minorHAnsi" w:cstheme="minorHAnsi"/>
        </w:rPr>
        <w:t xml:space="preserve"> salary, superannuation, leave entitlement, learning </w:t>
      </w:r>
      <w:r w:rsidR="00C26DA7">
        <w:rPr>
          <w:rFonts w:asciiTheme="minorHAnsi" w:hAnsiTheme="minorHAnsi" w:cstheme="minorHAnsi"/>
        </w:rPr>
        <w:t>and</w:t>
      </w:r>
      <w:r w:rsidRPr="002578CD">
        <w:rPr>
          <w:rFonts w:asciiTheme="minorHAnsi" w:hAnsiTheme="minorHAnsi" w:cstheme="minorHAnsi"/>
        </w:rPr>
        <w:t xml:space="preserve"> development, professional membership</w:t>
      </w:r>
      <w:r w:rsidR="00956CA3">
        <w:rPr>
          <w:rFonts w:asciiTheme="minorHAnsi" w:hAnsiTheme="minorHAnsi" w:cstheme="minorHAnsi"/>
        </w:rPr>
        <w:t>s</w:t>
      </w:r>
      <w:r w:rsidRPr="002578CD">
        <w:rPr>
          <w:rFonts w:asciiTheme="minorHAnsi" w:hAnsiTheme="minorHAnsi" w:cstheme="minorHAnsi"/>
        </w:rPr>
        <w:t xml:space="preserve">). </w:t>
      </w:r>
    </w:p>
    <w:p w14:paraId="6074AFCD" w14:textId="7DC51C3A" w:rsidR="0073335A" w:rsidRDefault="0073335A" w:rsidP="00A174D5">
      <w:pPr>
        <w:pStyle w:val="ListParagraph"/>
        <w:numPr>
          <w:ilvl w:val="0"/>
          <w:numId w:val="5"/>
        </w:numPr>
        <w:contextualSpacing w:val="0"/>
        <w:rPr>
          <w:rFonts w:asciiTheme="minorHAnsi" w:hAnsiTheme="minorHAnsi" w:cstheme="minorHAnsi"/>
        </w:rPr>
      </w:pPr>
      <w:r>
        <w:rPr>
          <w:rFonts w:asciiTheme="minorHAnsi" w:hAnsiTheme="minorHAnsi" w:cstheme="minorHAnsi"/>
        </w:rPr>
        <w:t>Apportioned e</w:t>
      </w:r>
      <w:r w:rsidR="00D212A5" w:rsidRPr="002578CD">
        <w:rPr>
          <w:rFonts w:asciiTheme="minorHAnsi" w:hAnsiTheme="minorHAnsi" w:cstheme="minorHAnsi"/>
        </w:rPr>
        <w:t xml:space="preserve">mployee and associated expenses of the </w:t>
      </w:r>
      <w:r>
        <w:rPr>
          <w:rFonts w:asciiTheme="minorHAnsi" w:hAnsiTheme="minorHAnsi" w:cstheme="minorHAnsi"/>
        </w:rPr>
        <w:t xml:space="preserve">Executive, TIGS and </w:t>
      </w:r>
      <w:r w:rsidR="00F71C03">
        <w:rPr>
          <w:rFonts w:asciiTheme="minorHAnsi" w:hAnsiTheme="minorHAnsi" w:cstheme="minorHAnsi"/>
        </w:rPr>
        <w:t>BSU</w:t>
      </w:r>
      <w:r w:rsidR="00162262">
        <w:rPr>
          <w:rFonts w:asciiTheme="minorHAnsi" w:hAnsiTheme="minorHAnsi" w:cstheme="minorHAnsi"/>
        </w:rPr>
        <w:t xml:space="preserve"> </w:t>
      </w:r>
      <w:r>
        <w:rPr>
          <w:rFonts w:asciiTheme="minorHAnsi" w:hAnsiTheme="minorHAnsi" w:cstheme="minorHAnsi"/>
        </w:rPr>
        <w:t xml:space="preserve">teams based on anticipated effort for OEI activities. </w:t>
      </w:r>
    </w:p>
    <w:p w14:paraId="3CC7723B" w14:textId="5160CBB4" w:rsidR="00D212A5" w:rsidRPr="002578CD" w:rsidRDefault="0073335A" w:rsidP="00A174D5">
      <w:pPr>
        <w:pStyle w:val="ListParagraph"/>
        <w:numPr>
          <w:ilvl w:val="0"/>
          <w:numId w:val="5"/>
        </w:numPr>
        <w:contextualSpacing w:val="0"/>
        <w:rPr>
          <w:rFonts w:asciiTheme="minorHAnsi" w:hAnsiTheme="minorHAnsi" w:cstheme="minorHAnsi"/>
        </w:rPr>
      </w:pPr>
      <w:r>
        <w:rPr>
          <w:rFonts w:asciiTheme="minorHAnsi" w:hAnsiTheme="minorHAnsi" w:cstheme="minorHAnsi"/>
        </w:rPr>
        <w:t>Apportioned m</w:t>
      </w:r>
      <w:r w:rsidR="00D212A5" w:rsidRPr="002578CD">
        <w:rPr>
          <w:rFonts w:asciiTheme="minorHAnsi" w:hAnsiTheme="minorHAnsi" w:cstheme="minorHAnsi"/>
        </w:rPr>
        <w:t xml:space="preserve">aintenance and support of the </w:t>
      </w:r>
      <w:r w:rsidR="00D42686">
        <w:rPr>
          <w:rFonts w:asciiTheme="minorHAnsi" w:hAnsiTheme="minorHAnsi" w:cstheme="minorHAnsi"/>
        </w:rPr>
        <w:t xml:space="preserve">co-branded NOPTA/Registrar website and </w:t>
      </w:r>
      <w:r w:rsidR="001016B2">
        <w:rPr>
          <w:rFonts w:asciiTheme="minorHAnsi" w:hAnsiTheme="minorHAnsi" w:cstheme="minorHAnsi"/>
        </w:rPr>
        <w:br/>
      </w:r>
      <w:r w:rsidR="00D42686">
        <w:rPr>
          <w:rFonts w:asciiTheme="minorHAnsi" w:hAnsiTheme="minorHAnsi" w:cstheme="minorHAnsi"/>
        </w:rPr>
        <w:t>National Electronic Approvals Tracking System (</w:t>
      </w:r>
      <w:r w:rsidR="00D42686" w:rsidRPr="00804AEE">
        <w:rPr>
          <w:rFonts w:asciiTheme="minorHAnsi" w:hAnsiTheme="minorHAnsi" w:cstheme="minorHAnsi"/>
          <w:b/>
          <w:bCs/>
        </w:rPr>
        <w:t>NEATS</w:t>
      </w:r>
      <w:r w:rsidR="00D42686">
        <w:rPr>
          <w:rFonts w:asciiTheme="minorHAnsi" w:hAnsiTheme="minorHAnsi" w:cstheme="minorHAnsi"/>
        </w:rPr>
        <w:t xml:space="preserve">).  </w:t>
      </w:r>
    </w:p>
    <w:p w14:paraId="2E439226" w14:textId="77777777" w:rsidR="00D212A5" w:rsidRPr="006825D4" w:rsidRDefault="00D212A5" w:rsidP="00D212A5">
      <w:pPr>
        <w:rPr>
          <w:rFonts w:asciiTheme="minorHAnsi" w:hAnsiTheme="minorHAnsi" w:cstheme="minorHAnsi"/>
          <w:sz w:val="22"/>
          <w:szCs w:val="22"/>
        </w:rPr>
      </w:pPr>
    </w:p>
    <w:p w14:paraId="4782247E" w14:textId="277C3DCA" w:rsidR="00591FD1" w:rsidRPr="005508BD" w:rsidRDefault="00D212A5" w:rsidP="00591FD1">
      <w:pPr>
        <w:rPr>
          <w:rFonts w:asciiTheme="minorHAnsi" w:hAnsiTheme="minorHAnsi" w:cstheme="minorHAnsi"/>
        </w:rPr>
      </w:pPr>
      <w:r w:rsidRPr="00935579">
        <w:rPr>
          <w:rFonts w:asciiTheme="minorHAnsi" w:hAnsiTheme="minorHAnsi" w:cstheme="minorHAnsi"/>
        </w:rPr>
        <w:t xml:space="preserve">The direct costs are readily identifiable in the financial management and information system. </w:t>
      </w:r>
      <w:r w:rsidR="002B7A21">
        <w:rPr>
          <w:rFonts w:asciiTheme="minorHAnsi" w:hAnsiTheme="minorHAnsi" w:cstheme="minorHAnsi"/>
        </w:rPr>
        <w:t>The Registrar</w:t>
      </w:r>
      <w:r w:rsidRPr="00935579">
        <w:rPr>
          <w:rFonts w:asciiTheme="minorHAnsi" w:hAnsiTheme="minorHAnsi" w:cstheme="minorHAnsi"/>
        </w:rPr>
        <w:t xml:space="preserve"> </w:t>
      </w:r>
      <w:r w:rsidR="007D5A32">
        <w:rPr>
          <w:rFonts w:asciiTheme="minorHAnsi" w:hAnsiTheme="minorHAnsi" w:cstheme="minorHAnsi"/>
        </w:rPr>
        <w:t xml:space="preserve">will </w:t>
      </w:r>
      <w:r w:rsidRPr="00935579">
        <w:rPr>
          <w:rFonts w:asciiTheme="minorHAnsi" w:hAnsiTheme="minorHAnsi" w:cstheme="minorHAnsi"/>
        </w:rPr>
        <w:t>regularly undertake an exercise to validate the actual time spent on each function.</w:t>
      </w:r>
      <w:r w:rsidR="00E229D7">
        <w:rPr>
          <w:rFonts w:asciiTheme="minorHAnsi" w:hAnsiTheme="minorHAnsi" w:cstheme="minorHAnsi"/>
        </w:rPr>
        <w:br/>
      </w:r>
      <w:r w:rsidR="00591FD1" w:rsidRPr="00935579">
        <w:rPr>
          <w:rFonts w:asciiTheme="minorHAnsi" w:hAnsiTheme="minorHAnsi" w:cstheme="minorHAnsi"/>
        </w:rPr>
        <w:t>The direct costs are allocated to various outputs based on estimated levels of effort</w:t>
      </w:r>
      <w:r w:rsidR="00935579" w:rsidRPr="00935579">
        <w:rPr>
          <w:rFonts w:asciiTheme="minorHAnsi" w:hAnsiTheme="minorHAnsi" w:cstheme="minorHAnsi"/>
        </w:rPr>
        <w:t>.</w:t>
      </w:r>
      <w:r w:rsidR="00CD0167">
        <w:rPr>
          <w:rFonts w:asciiTheme="minorHAnsi" w:hAnsiTheme="minorHAnsi" w:cstheme="minorHAnsi"/>
        </w:rPr>
        <w:t xml:space="preserve"> </w:t>
      </w:r>
    </w:p>
    <w:p w14:paraId="4E11D87C" w14:textId="060AAB7C" w:rsidR="00D212A5" w:rsidRDefault="00D212A5"/>
    <w:p w14:paraId="4C0FC566" w14:textId="5C08D9B7" w:rsidR="00D212A5" w:rsidRPr="005E2EC1" w:rsidRDefault="00D212A5" w:rsidP="00D212A5">
      <w:pPr>
        <w:rPr>
          <w:rFonts w:asciiTheme="minorHAnsi" w:hAnsiTheme="minorHAnsi" w:cstheme="minorHAnsi"/>
        </w:rPr>
      </w:pPr>
      <w:r w:rsidRPr="005E2EC1">
        <w:rPr>
          <w:rFonts w:asciiTheme="minorHAnsi" w:hAnsiTheme="minorHAnsi" w:cstheme="minorHAnsi"/>
        </w:rPr>
        <w:t xml:space="preserve">Indirect costs </w:t>
      </w:r>
      <w:r w:rsidR="0073335A" w:rsidRPr="005E2EC1">
        <w:rPr>
          <w:rFonts w:asciiTheme="minorHAnsi" w:hAnsiTheme="minorHAnsi" w:cstheme="minorHAnsi"/>
        </w:rPr>
        <w:t xml:space="preserve">are </w:t>
      </w:r>
      <w:r w:rsidR="0073335A">
        <w:rPr>
          <w:rFonts w:asciiTheme="minorHAnsi" w:hAnsiTheme="minorHAnsi" w:cstheme="minorHAnsi"/>
        </w:rPr>
        <w:t xml:space="preserve">budgeted </w:t>
      </w:r>
      <w:r w:rsidR="0073335A" w:rsidRPr="005E2EC1">
        <w:rPr>
          <w:rFonts w:asciiTheme="minorHAnsi" w:hAnsiTheme="minorHAnsi" w:cstheme="minorHAnsi"/>
        </w:rPr>
        <w:t xml:space="preserve">at </w:t>
      </w:r>
      <w:r w:rsidR="0073335A">
        <w:rPr>
          <w:rFonts w:asciiTheme="minorHAnsi" w:hAnsiTheme="minorHAnsi" w:cstheme="minorHAnsi"/>
        </w:rPr>
        <w:t>$</w:t>
      </w:r>
      <w:r w:rsidR="00515183">
        <w:rPr>
          <w:rFonts w:asciiTheme="minorHAnsi" w:hAnsiTheme="minorHAnsi" w:cstheme="minorHAnsi"/>
        </w:rPr>
        <w:t>199,412</w:t>
      </w:r>
      <w:r w:rsidR="0073335A" w:rsidRPr="005E2EC1">
        <w:rPr>
          <w:rFonts w:asciiTheme="minorHAnsi" w:hAnsiTheme="minorHAnsi" w:cstheme="minorHAnsi"/>
        </w:rPr>
        <w:t xml:space="preserve"> </w:t>
      </w:r>
      <w:r w:rsidR="00B7069E">
        <w:rPr>
          <w:rFonts w:asciiTheme="minorHAnsi" w:hAnsiTheme="minorHAnsi" w:cstheme="minorHAnsi"/>
        </w:rPr>
        <w:t xml:space="preserve">for </w:t>
      </w:r>
      <w:r w:rsidR="00B7069E" w:rsidRPr="005E2EC1">
        <w:rPr>
          <w:rFonts w:asciiTheme="minorHAnsi" w:hAnsiTheme="minorHAnsi" w:cstheme="minorHAnsi"/>
        </w:rPr>
        <w:t>202</w:t>
      </w:r>
      <w:r w:rsidR="00B7069E">
        <w:rPr>
          <w:rFonts w:asciiTheme="minorHAnsi" w:hAnsiTheme="minorHAnsi" w:cstheme="minorHAnsi"/>
        </w:rPr>
        <w:t>2-23</w:t>
      </w:r>
      <w:r w:rsidR="0075339F">
        <w:rPr>
          <w:rFonts w:asciiTheme="minorHAnsi" w:hAnsiTheme="minorHAnsi" w:cstheme="minorHAnsi"/>
        </w:rPr>
        <w:t>, $</w:t>
      </w:r>
      <w:r w:rsidR="00515183">
        <w:rPr>
          <w:rFonts w:asciiTheme="minorHAnsi" w:hAnsiTheme="minorHAnsi" w:cstheme="minorHAnsi"/>
        </w:rPr>
        <w:t>205,233</w:t>
      </w:r>
      <w:r w:rsidR="00B7069E">
        <w:rPr>
          <w:rFonts w:asciiTheme="minorHAnsi" w:hAnsiTheme="minorHAnsi" w:cstheme="minorHAnsi"/>
        </w:rPr>
        <w:t xml:space="preserve"> for 2023-24</w:t>
      </w:r>
      <w:r w:rsidR="0075339F">
        <w:rPr>
          <w:rFonts w:asciiTheme="minorHAnsi" w:hAnsiTheme="minorHAnsi" w:cstheme="minorHAnsi"/>
        </w:rPr>
        <w:t xml:space="preserve"> and </w:t>
      </w:r>
      <w:r w:rsidR="0086261E" w:rsidRPr="0086261E">
        <w:rPr>
          <w:rFonts w:asciiTheme="minorHAnsi" w:hAnsiTheme="minorHAnsi" w:cstheme="minorHAnsi"/>
        </w:rPr>
        <w:t>$211,138</w:t>
      </w:r>
      <w:r w:rsidR="0075339F">
        <w:rPr>
          <w:rFonts w:asciiTheme="minorHAnsi" w:hAnsiTheme="minorHAnsi" w:cstheme="minorHAnsi"/>
        </w:rPr>
        <w:t xml:space="preserve"> for 2024-25</w:t>
      </w:r>
      <w:r w:rsidR="00B7069E" w:rsidRPr="005E2EC1">
        <w:rPr>
          <w:rFonts w:asciiTheme="minorHAnsi" w:hAnsiTheme="minorHAnsi" w:cstheme="minorHAnsi"/>
        </w:rPr>
        <w:t xml:space="preserve"> </w:t>
      </w:r>
      <w:r w:rsidR="0086261E">
        <w:rPr>
          <w:rFonts w:asciiTheme="minorHAnsi" w:hAnsiTheme="minorHAnsi" w:cstheme="minorHAnsi"/>
        </w:rPr>
        <w:br/>
      </w:r>
      <w:r w:rsidRPr="005E2EC1">
        <w:rPr>
          <w:rFonts w:asciiTheme="minorHAnsi" w:hAnsiTheme="minorHAnsi" w:cstheme="minorHAnsi"/>
        </w:rPr>
        <w:t xml:space="preserve">and </w:t>
      </w:r>
      <w:r w:rsidR="00E229D7">
        <w:rPr>
          <w:rFonts w:asciiTheme="minorHAnsi" w:hAnsiTheme="minorHAnsi" w:cstheme="minorHAnsi"/>
        </w:rPr>
        <w:t>comprise</w:t>
      </w:r>
      <w:r w:rsidRPr="005E2EC1">
        <w:rPr>
          <w:rFonts w:asciiTheme="minorHAnsi" w:hAnsiTheme="minorHAnsi" w:cstheme="minorHAnsi"/>
        </w:rPr>
        <w:t>:</w:t>
      </w:r>
    </w:p>
    <w:p w14:paraId="773261C9" w14:textId="6A418834" w:rsidR="00D212A5" w:rsidRPr="002578CD" w:rsidRDefault="00D212A5" w:rsidP="00A174D5">
      <w:pPr>
        <w:pStyle w:val="ListParagraph"/>
        <w:numPr>
          <w:ilvl w:val="0"/>
          <w:numId w:val="5"/>
        </w:numPr>
        <w:contextualSpacing w:val="0"/>
        <w:rPr>
          <w:rFonts w:asciiTheme="minorHAnsi" w:hAnsiTheme="minorHAnsi" w:cstheme="minorHAnsi"/>
        </w:rPr>
      </w:pPr>
      <w:r w:rsidRPr="002578CD">
        <w:rPr>
          <w:rFonts w:asciiTheme="minorHAnsi" w:hAnsiTheme="minorHAnsi" w:cstheme="minorHAnsi"/>
        </w:rPr>
        <w:t xml:space="preserve">Overheads - Departmental </w:t>
      </w:r>
      <w:r w:rsidR="0086261E">
        <w:rPr>
          <w:rFonts w:asciiTheme="minorHAnsi" w:hAnsiTheme="minorHAnsi" w:cstheme="minorHAnsi"/>
        </w:rPr>
        <w:t>and administration</w:t>
      </w:r>
    </w:p>
    <w:p w14:paraId="06B8B191" w14:textId="77777777" w:rsidR="00D212A5" w:rsidRPr="002578CD" w:rsidRDefault="00D212A5" w:rsidP="00A174D5">
      <w:pPr>
        <w:pStyle w:val="ListParagraph"/>
        <w:numPr>
          <w:ilvl w:val="0"/>
          <w:numId w:val="5"/>
        </w:numPr>
        <w:contextualSpacing w:val="0"/>
        <w:rPr>
          <w:rFonts w:asciiTheme="minorHAnsi" w:hAnsiTheme="minorHAnsi" w:cstheme="minorHAnsi"/>
        </w:rPr>
      </w:pPr>
      <w:r w:rsidRPr="002578CD">
        <w:rPr>
          <w:rFonts w:asciiTheme="minorHAnsi" w:hAnsiTheme="minorHAnsi" w:cstheme="minorHAnsi"/>
        </w:rPr>
        <w:t>Office accommodation and utilities</w:t>
      </w:r>
    </w:p>
    <w:p w14:paraId="7680AC63" w14:textId="59E0F418" w:rsidR="00D212A5" w:rsidRPr="002578CD" w:rsidRDefault="00D212A5" w:rsidP="00A174D5">
      <w:pPr>
        <w:pStyle w:val="ListParagraph"/>
        <w:numPr>
          <w:ilvl w:val="0"/>
          <w:numId w:val="5"/>
        </w:numPr>
        <w:contextualSpacing w:val="0"/>
        <w:rPr>
          <w:rFonts w:asciiTheme="minorHAnsi" w:hAnsiTheme="minorHAnsi" w:cstheme="minorHAnsi"/>
        </w:rPr>
      </w:pPr>
      <w:r w:rsidRPr="002578CD">
        <w:rPr>
          <w:rFonts w:asciiTheme="minorHAnsi" w:hAnsiTheme="minorHAnsi" w:cstheme="minorHAnsi"/>
        </w:rPr>
        <w:t>Travel</w:t>
      </w:r>
      <w:r w:rsidR="00BF66B7">
        <w:rPr>
          <w:rFonts w:asciiTheme="minorHAnsi" w:hAnsiTheme="minorHAnsi" w:cstheme="minorHAnsi"/>
        </w:rPr>
        <w:t>, liaison and stakeholder engagement</w:t>
      </w:r>
    </w:p>
    <w:p w14:paraId="41625251" w14:textId="4A3B3B21" w:rsidR="00D212A5" w:rsidRPr="002578CD" w:rsidRDefault="00D212A5" w:rsidP="00A174D5">
      <w:pPr>
        <w:pStyle w:val="ListParagraph"/>
        <w:numPr>
          <w:ilvl w:val="0"/>
          <w:numId w:val="5"/>
        </w:numPr>
        <w:contextualSpacing w:val="0"/>
        <w:rPr>
          <w:rFonts w:asciiTheme="minorHAnsi" w:hAnsiTheme="minorHAnsi" w:cstheme="minorHAnsi"/>
        </w:rPr>
      </w:pPr>
      <w:r w:rsidRPr="002578CD">
        <w:rPr>
          <w:rFonts w:asciiTheme="minorHAnsi" w:hAnsiTheme="minorHAnsi" w:cstheme="minorHAnsi"/>
        </w:rPr>
        <w:t>Legal</w:t>
      </w:r>
      <w:r w:rsidR="00BF66B7">
        <w:rPr>
          <w:rFonts w:asciiTheme="minorHAnsi" w:hAnsiTheme="minorHAnsi" w:cstheme="minorHAnsi"/>
        </w:rPr>
        <w:t xml:space="preserve"> advice and support</w:t>
      </w:r>
    </w:p>
    <w:p w14:paraId="73FCCD1B" w14:textId="77777777" w:rsidR="00D212A5" w:rsidRPr="005E2EC1" w:rsidRDefault="00D212A5" w:rsidP="00D212A5">
      <w:pPr>
        <w:rPr>
          <w:rFonts w:asciiTheme="minorHAnsi" w:hAnsiTheme="minorHAnsi" w:cstheme="minorHAnsi"/>
        </w:rPr>
      </w:pPr>
    </w:p>
    <w:p w14:paraId="2ED8F445" w14:textId="3D43F0FF" w:rsidR="009F309C" w:rsidRDefault="00D212A5" w:rsidP="00D212A5">
      <w:pPr>
        <w:rPr>
          <w:rFonts w:asciiTheme="minorHAnsi" w:hAnsiTheme="minorHAnsi" w:cstheme="minorHAnsi"/>
        </w:rPr>
      </w:pPr>
      <w:r w:rsidRPr="00BB7141">
        <w:rPr>
          <w:rFonts w:asciiTheme="minorHAnsi" w:hAnsiTheme="minorHAnsi" w:cstheme="minorHAnsi"/>
          <w:b/>
          <w:bCs/>
        </w:rPr>
        <w:t xml:space="preserve">Table </w:t>
      </w:r>
      <w:r w:rsidR="00591FD1" w:rsidRPr="00BB7141">
        <w:rPr>
          <w:rFonts w:asciiTheme="minorHAnsi" w:hAnsiTheme="minorHAnsi" w:cstheme="minorHAnsi"/>
          <w:b/>
          <w:bCs/>
        </w:rPr>
        <w:t>1</w:t>
      </w:r>
      <w:r w:rsidRPr="00591FD1">
        <w:rPr>
          <w:rFonts w:asciiTheme="minorHAnsi" w:hAnsiTheme="minorHAnsi" w:cstheme="minorHAnsi"/>
        </w:rPr>
        <w:t xml:space="preserve">: </w:t>
      </w:r>
      <w:r w:rsidR="00591FD1" w:rsidRPr="00591FD1">
        <w:rPr>
          <w:rFonts w:asciiTheme="minorHAnsi" w:hAnsiTheme="minorHAnsi" w:cstheme="minorHAnsi"/>
        </w:rPr>
        <w:t>Direct and i</w:t>
      </w:r>
      <w:r w:rsidRPr="00591FD1">
        <w:rPr>
          <w:rFonts w:asciiTheme="minorHAnsi" w:hAnsiTheme="minorHAnsi" w:cstheme="minorHAnsi"/>
        </w:rPr>
        <w:t>ndirect costs</w:t>
      </w:r>
      <w:r w:rsidR="005431D4">
        <w:rPr>
          <w:rFonts w:asciiTheme="minorHAnsi" w:hAnsiTheme="minorHAnsi" w:cstheme="minorHAnsi"/>
        </w:rPr>
        <w:t xml:space="preserve"> est</w:t>
      </w:r>
      <w:r w:rsidR="00AE5C9C">
        <w:rPr>
          <w:rFonts w:asciiTheme="minorHAnsi" w:hAnsiTheme="minorHAnsi" w:cstheme="minorHAnsi"/>
        </w:rPr>
        <w:t>i</w:t>
      </w:r>
      <w:r w:rsidR="005431D4">
        <w:rPr>
          <w:rFonts w:asciiTheme="minorHAnsi" w:hAnsiTheme="minorHAnsi" w:cstheme="minorHAnsi"/>
        </w:rPr>
        <w:t>m</w:t>
      </w:r>
      <w:r w:rsidR="00AE5C9C">
        <w:rPr>
          <w:rFonts w:asciiTheme="minorHAnsi" w:hAnsiTheme="minorHAnsi" w:cstheme="minorHAnsi"/>
        </w:rPr>
        <w:t>a</w:t>
      </w:r>
      <w:r w:rsidR="005431D4">
        <w:rPr>
          <w:rFonts w:asciiTheme="minorHAnsi" w:hAnsiTheme="minorHAnsi" w:cstheme="minorHAnsi"/>
        </w:rPr>
        <w:t xml:space="preserve">ted for </w:t>
      </w:r>
      <w:r w:rsidR="00465868">
        <w:rPr>
          <w:rFonts w:ascii="Calibri" w:hAnsi="Calibri" w:cs="Calibri"/>
          <w:color w:val="000000"/>
        </w:rPr>
        <w:t>2022-23 to 2024-25</w:t>
      </w:r>
    </w:p>
    <w:tbl>
      <w:tblPr>
        <w:tblW w:w="9900" w:type="dxa"/>
        <w:tblLook w:val="04A0" w:firstRow="1" w:lastRow="0" w:firstColumn="1" w:lastColumn="0" w:noHBand="0" w:noVBand="1"/>
      </w:tblPr>
      <w:tblGrid>
        <w:gridCol w:w="6227"/>
        <w:gridCol w:w="1134"/>
        <w:gridCol w:w="1276"/>
        <w:gridCol w:w="43"/>
        <w:gridCol w:w="1220"/>
      </w:tblGrid>
      <w:tr w:rsidR="0086261E" w:rsidRPr="0075339F" w14:paraId="121B9947" w14:textId="77777777" w:rsidTr="00461245">
        <w:trPr>
          <w:trHeight w:val="315"/>
        </w:trPr>
        <w:tc>
          <w:tcPr>
            <w:tcW w:w="6227" w:type="dxa"/>
            <w:vMerge w:val="restart"/>
            <w:tcBorders>
              <w:top w:val="nil"/>
              <w:left w:val="single" w:sz="8" w:space="0" w:color="4F81BD"/>
              <w:right w:val="nil"/>
            </w:tcBorders>
            <w:shd w:val="clear" w:color="000000" w:fill="4F81BD"/>
            <w:vAlign w:val="center"/>
            <w:hideMark/>
          </w:tcPr>
          <w:p w14:paraId="6FC1E0A5" w14:textId="771B9C27" w:rsidR="0086261E" w:rsidRPr="0075339F" w:rsidRDefault="0086261E" w:rsidP="0086261E">
            <w:pPr>
              <w:rPr>
                <w:rFonts w:ascii="Calibri" w:hAnsi="Calibri" w:cs="Calibri"/>
                <w:b/>
                <w:bCs/>
                <w:color w:val="FFFFFF"/>
                <w:lang w:eastAsia="en-AU"/>
              </w:rPr>
            </w:pPr>
            <w:r w:rsidRPr="0075339F">
              <w:rPr>
                <w:rFonts w:ascii="Calibri" w:hAnsi="Calibri" w:cs="Calibri"/>
                <w:b/>
                <w:bCs/>
                <w:color w:val="FFFFFF"/>
                <w:lang w:eastAsia="en-AU"/>
              </w:rPr>
              <w:t>Licence Assessments, Operations and Administration</w:t>
            </w:r>
          </w:p>
        </w:tc>
        <w:tc>
          <w:tcPr>
            <w:tcW w:w="3673" w:type="dxa"/>
            <w:gridSpan w:val="4"/>
            <w:tcBorders>
              <w:top w:val="nil"/>
              <w:left w:val="nil"/>
              <w:bottom w:val="nil"/>
              <w:right w:val="nil"/>
            </w:tcBorders>
            <w:shd w:val="clear" w:color="000000" w:fill="4F81BD"/>
            <w:vAlign w:val="center"/>
            <w:hideMark/>
          </w:tcPr>
          <w:p w14:paraId="7BD4144C" w14:textId="77777777" w:rsidR="0086261E" w:rsidRPr="0075339F" w:rsidRDefault="0086261E" w:rsidP="0075339F">
            <w:pPr>
              <w:jc w:val="center"/>
              <w:rPr>
                <w:rFonts w:ascii="Calibri" w:hAnsi="Calibri" w:cs="Calibri"/>
                <w:b/>
                <w:bCs/>
                <w:color w:val="FFFFFF"/>
                <w:lang w:eastAsia="en-AU"/>
              </w:rPr>
            </w:pPr>
            <w:r w:rsidRPr="0075339F">
              <w:rPr>
                <w:rFonts w:ascii="Calibri" w:hAnsi="Calibri" w:cs="Calibri"/>
                <w:b/>
                <w:bCs/>
                <w:color w:val="FFFFFF"/>
                <w:lang w:eastAsia="en-AU"/>
              </w:rPr>
              <w:t>Financial Year</w:t>
            </w:r>
          </w:p>
        </w:tc>
      </w:tr>
      <w:tr w:rsidR="0086261E" w:rsidRPr="0075339F" w14:paraId="68D61A20" w14:textId="77777777" w:rsidTr="00461245">
        <w:trPr>
          <w:trHeight w:val="330"/>
        </w:trPr>
        <w:tc>
          <w:tcPr>
            <w:tcW w:w="6227" w:type="dxa"/>
            <w:vMerge/>
            <w:tcBorders>
              <w:left w:val="single" w:sz="8" w:space="0" w:color="4F81BD"/>
              <w:bottom w:val="single" w:sz="8" w:space="0" w:color="4F81BD"/>
              <w:right w:val="nil"/>
            </w:tcBorders>
            <w:shd w:val="clear" w:color="000000" w:fill="4F81BD"/>
            <w:vAlign w:val="center"/>
            <w:hideMark/>
          </w:tcPr>
          <w:p w14:paraId="47D40166" w14:textId="58A2B39D" w:rsidR="0086261E" w:rsidRPr="0075339F" w:rsidRDefault="0086261E" w:rsidP="0075339F">
            <w:pPr>
              <w:rPr>
                <w:rFonts w:ascii="Calibri" w:hAnsi="Calibri" w:cs="Calibri"/>
                <w:b/>
                <w:bCs/>
                <w:color w:val="FFFFFF"/>
                <w:lang w:eastAsia="en-AU"/>
              </w:rPr>
            </w:pPr>
          </w:p>
        </w:tc>
        <w:tc>
          <w:tcPr>
            <w:tcW w:w="1134" w:type="dxa"/>
            <w:tcBorders>
              <w:top w:val="nil"/>
              <w:left w:val="nil"/>
              <w:bottom w:val="single" w:sz="8" w:space="0" w:color="4F81BD"/>
              <w:right w:val="single" w:sz="8" w:space="0" w:color="4F81BD"/>
            </w:tcBorders>
            <w:shd w:val="clear" w:color="000000" w:fill="4F81BD"/>
            <w:vAlign w:val="center"/>
            <w:hideMark/>
          </w:tcPr>
          <w:p w14:paraId="391A5242" w14:textId="4EB8488B" w:rsidR="0086261E" w:rsidRPr="0075339F" w:rsidRDefault="0086261E" w:rsidP="0075339F">
            <w:pPr>
              <w:jc w:val="center"/>
              <w:rPr>
                <w:rFonts w:ascii="Calibri" w:hAnsi="Calibri" w:cs="Calibri"/>
                <w:b/>
                <w:bCs/>
                <w:color w:val="FFFFFF"/>
                <w:lang w:eastAsia="en-AU"/>
              </w:rPr>
            </w:pPr>
            <w:r w:rsidRPr="0075339F">
              <w:rPr>
                <w:rFonts w:ascii="Calibri" w:hAnsi="Calibri" w:cs="Calibri"/>
                <w:b/>
                <w:bCs/>
                <w:color w:val="FFFFFF"/>
                <w:lang w:eastAsia="en-AU"/>
              </w:rPr>
              <w:t>2022-23</w:t>
            </w:r>
          </w:p>
        </w:tc>
        <w:tc>
          <w:tcPr>
            <w:tcW w:w="1319" w:type="dxa"/>
            <w:gridSpan w:val="2"/>
            <w:tcBorders>
              <w:top w:val="nil"/>
              <w:left w:val="nil"/>
              <w:bottom w:val="single" w:sz="8" w:space="0" w:color="4F81BD"/>
              <w:right w:val="single" w:sz="8" w:space="0" w:color="4F81BD"/>
            </w:tcBorders>
            <w:shd w:val="clear" w:color="000000" w:fill="4F81BD"/>
            <w:vAlign w:val="center"/>
          </w:tcPr>
          <w:p w14:paraId="7F74D0EF" w14:textId="01F92976" w:rsidR="0086261E" w:rsidRPr="0075339F" w:rsidRDefault="0086261E" w:rsidP="0075339F">
            <w:pPr>
              <w:jc w:val="center"/>
              <w:rPr>
                <w:rFonts w:ascii="Calibri" w:hAnsi="Calibri" w:cs="Calibri"/>
                <w:b/>
                <w:bCs/>
                <w:color w:val="FFFFFF"/>
                <w:lang w:eastAsia="en-AU"/>
              </w:rPr>
            </w:pPr>
            <w:r>
              <w:rPr>
                <w:rFonts w:ascii="Calibri" w:hAnsi="Calibri" w:cs="Calibri"/>
                <w:b/>
                <w:bCs/>
                <w:color w:val="FFFFFF"/>
                <w:lang w:eastAsia="en-AU"/>
              </w:rPr>
              <w:t>20</w:t>
            </w:r>
            <w:r w:rsidRPr="0075339F">
              <w:rPr>
                <w:rFonts w:ascii="Calibri" w:hAnsi="Calibri" w:cs="Calibri"/>
                <w:b/>
                <w:bCs/>
                <w:color w:val="FFFFFF"/>
                <w:lang w:eastAsia="en-AU"/>
              </w:rPr>
              <w:t>23-24</w:t>
            </w:r>
          </w:p>
        </w:tc>
        <w:tc>
          <w:tcPr>
            <w:tcW w:w="1220" w:type="dxa"/>
            <w:tcBorders>
              <w:top w:val="nil"/>
              <w:left w:val="nil"/>
              <w:bottom w:val="single" w:sz="8" w:space="0" w:color="4F81BD"/>
              <w:right w:val="single" w:sz="8" w:space="0" w:color="4F81BD"/>
            </w:tcBorders>
            <w:shd w:val="clear" w:color="000000" w:fill="4F81BD"/>
            <w:vAlign w:val="center"/>
          </w:tcPr>
          <w:p w14:paraId="4AB3A537" w14:textId="0EC3CA94" w:rsidR="0086261E" w:rsidRPr="0075339F" w:rsidRDefault="0086261E" w:rsidP="0075339F">
            <w:pPr>
              <w:jc w:val="center"/>
              <w:rPr>
                <w:rFonts w:ascii="Calibri" w:hAnsi="Calibri" w:cs="Calibri"/>
                <w:b/>
                <w:bCs/>
                <w:color w:val="FFFFFF"/>
                <w:lang w:eastAsia="en-AU"/>
              </w:rPr>
            </w:pPr>
            <w:r w:rsidRPr="0075339F">
              <w:rPr>
                <w:rFonts w:ascii="Calibri" w:hAnsi="Calibri" w:cs="Calibri"/>
                <w:b/>
                <w:bCs/>
                <w:color w:val="FFFFFF"/>
                <w:lang w:eastAsia="en-AU"/>
              </w:rPr>
              <w:t>2024-25</w:t>
            </w:r>
          </w:p>
        </w:tc>
      </w:tr>
      <w:tr w:rsidR="00956CA3" w:rsidRPr="0075339F" w14:paraId="3EFEB6CF" w14:textId="77777777" w:rsidTr="00956CA3">
        <w:trPr>
          <w:trHeight w:val="330"/>
        </w:trPr>
        <w:tc>
          <w:tcPr>
            <w:tcW w:w="6227" w:type="dxa"/>
            <w:tcBorders>
              <w:top w:val="nil"/>
              <w:left w:val="single" w:sz="8" w:space="0" w:color="95B3D7"/>
              <w:bottom w:val="single" w:sz="8" w:space="0" w:color="95B3D7"/>
              <w:right w:val="single" w:sz="8" w:space="0" w:color="95B3D7"/>
            </w:tcBorders>
            <w:shd w:val="clear" w:color="000000" w:fill="DBE5F1"/>
            <w:vAlign w:val="center"/>
            <w:hideMark/>
          </w:tcPr>
          <w:p w14:paraId="78B53415" w14:textId="77777777" w:rsidR="0075339F" w:rsidRPr="0075339F" w:rsidRDefault="0075339F" w:rsidP="0075339F">
            <w:pPr>
              <w:rPr>
                <w:rFonts w:ascii="Calibri" w:hAnsi="Calibri" w:cs="Calibri"/>
                <w:b/>
                <w:bCs/>
                <w:color w:val="17365D"/>
                <w:sz w:val="20"/>
                <w:szCs w:val="20"/>
                <w:lang w:eastAsia="en-AU"/>
              </w:rPr>
            </w:pPr>
            <w:r w:rsidRPr="0075339F">
              <w:rPr>
                <w:rFonts w:ascii="Calibri" w:hAnsi="Calibri" w:cs="Calibri"/>
                <w:b/>
                <w:bCs/>
                <w:color w:val="17365D"/>
                <w:sz w:val="20"/>
                <w:szCs w:val="20"/>
                <w:lang w:eastAsia="en-AU"/>
              </w:rPr>
              <w:t>Staff Costs including Staff Benefits (Direct)</w:t>
            </w:r>
          </w:p>
        </w:tc>
        <w:tc>
          <w:tcPr>
            <w:tcW w:w="1134" w:type="dxa"/>
            <w:tcBorders>
              <w:top w:val="nil"/>
              <w:left w:val="nil"/>
              <w:bottom w:val="single" w:sz="8" w:space="0" w:color="95B3D7"/>
              <w:right w:val="single" w:sz="8" w:space="0" w:color="95B3D7"/>
            </w:tcBorders>
            <w:shd w:val="clear" w:color="000000" w:fill="DBE5F1"/>
            <w:vAlign w:val="center"/>
            <w:hideMark/>
          </w:tcPr>
          <w:p w14:paraId="5A9C1080" w14:textId="77777777" w:rsidR="0075339F" w:rsidRPr="0075339F" w:rsidRDefault="0075339F" w:rsidP="0075339F">
            <w:pPr>
              <w:rPr>
                <w:color w:val="000000"/>
                <w:sz w:val="18"/>
                <w:szCs w:val="18"/>
                <w:lang w:eastAsia="en-AU"/>
              </w:rPr>
            </w:pPr>
            <w:r w:rsidRPr="0075339F">
              <w:rPr>
                <w:color w:val="000000"/>
                <w:sz w:val="18"/>
                <w:szCs w:val="18"/>
                <w:lang w:eastAsia="en-AU"/>
              </w:rPr>
              <w:t> </w:t>
            </w:r>
          </w:p>
        </w:tc>
        <w:tc>
          <w:tcPr>
            <w:tcW w:w="1276" w:type="dxa"/>
            <w:tcBorders>
              <w:top w:val="nil"/>
              <w:left w:val="nil"/>
              <w:bottom w:val="single" w:sz="8" w:space="0" w:color="95B3D7"/>
              <w:right w:val="single" w:sz="8" w:space="0" w:color="95B3D7"/>
            </w:tcBorders>
            <w:shd w:val="clear" w:color="000000" w:fill="DBE5F1"/>
            <w:vAlign w:val="center"/>
            <w:hideMark/>
          </w:tcPr>
          <w:p w14:paraId="3031D68B" w14:textId="77777777" w:rsidR="0075339F" w:rsidRPr="0075339F" w:rsidRDefault="0075339F" w:rsidP="0075339F">
            <w:pPr>
              <w:rPr>
                <w:color w:val="000000"/>
                <w:sz w:val="18"/>
                <w:szCs w:val="18"/>
                <w:lang w:eastAsia="en-AU"/>
              </w:rPr>
            </w:pPr>
            <w:r w:rsidRPr="0075339F">
              <w:rPr>
                <w:color w:val="000000"/>
                <w:sz w:val="18"/>
                <w:szCs w:val="18"/>
                <w:lang w:eastAsia="en-AU"/>
              </w:rPr>
              <w:t> </w:t>
            </w:r>
          </w:p>
        </w:tc>
        <w:tc>
          <w:tcPr>
            <w:tcW w:w="1263" w:type="dxa"/>
            <w:gridSpan w:val="2"/>
            <w:tcBorders>
              <w:top w:val="nil"/>
              <w:left w:val="nil"/>
              <w:bottom w:val="single" w:sz="8" w:space="0" w:color="95B3D7"/>
              <w:right w:val="single" w:sz="8" w:space="0" w:color="95B3D7"/>
            </w:tcBorders>
            <w:shd w:val="clear" w:color="000000" w:fill="DBE5F1"/>
            <w:vAlign w:val="center"/>
            <w:hideMark/>
          </w:tcPr>
          <w:p w14:paraId="03005663" w14:textId="77777777" w:rsidR="0075339F" w:rsidRPr="0075339F" w:rsidRDefault="0075339F" w:rsidP="0075339F">
            <w:pPr>
              <w:rPr>
                <w:color w:val="000000"/>
                <w:sz w:val="18"/>
                <w:szCs w:val="18"/>
                <w:lang w:eastAsia="en-AU"/>
              </w:rPr>
            </w:pPr>
            <w:r w:rsidRPr="0075339F">
              <w:rPr>
                <w:color w:val="000000"/>
                <w:sz w:val="18"/>
                <w:szCs w:val="18"/>
                <w:lang w:eastAsia="en-AU"/>
              </w:rPr>
              <w:t> </w:t>
            </w:r>
          </w:p>
        </w:tc>
      </w:tr>
      <w:tr w:rsidR="0075339F" w:rsidRPr="0075339F" w14:paraId="3555BDA3" w14:textId="77777777" w:rsidTr="00956CA3">
        <w:trPr>
          <w:trHeight w:val="315"/>
        </w:trPr>
        <w:tc>
          <w:tcPr>
            <w:tcW w:w="6227" w:type="dxa"/>
            <w:tcBorders>
              <w:top w:val="nil"/>
              <w:left w:val="single" w:sz="8" w:space="0" w:color="95B3D7"/>
              <w:bottom w:val="single" w:sz="8" w:space="0" w:color="95B3D7"/>
              <w:right w:val="single" w:sz="8" w:space="0" w:color="95B3D7"/>
            </w:tcBorders>
            <w:shd w:val="clear" w:color="auto" w:fill="auto"/>
            <w:vAlign w:val="center"/>
            <w:hideMark/>
          </w:tcPr>
          <w:p w14:paraId="4CB7E86F" w14:textId="77777777" w:rsidR="0075339F" w:rsidRPr="0075339F" w:rsidRDefault="0075339F" w:rsidP="0075339F">
            <w:pPr>
              <w:rPr>
                <w:rFonts w:ascii="Calibri" w:hAnsi="Calibri" w:cs="Calibri"/>
                <w:color w:val="17365D"/>
                <w:sz w:val="20"/>
                <w:szCs w:val="20"/>
                <w:lang w:eastAsia="en-AU"/>
              </w:rPr>
            </w:pPr>
            <w:r w:rsidRPr="0075339F">
              <w:rPr>
                <w:rFonts w:ascii="Calibri" w:hAnsi="Calibri" w:cs="Calibri"/>
                <w:color w:val="17365D"/>
                <w:sz w:val="20"/>
                <w:szCs w:val="20"/>
                <w:lang w:eastAsia="en-AU"/>
              </w:rPr>
              <w:t>EL2 Manager (1.0 FTE)</w:t>
            </w:r>
          </w:p>
        </w:tc>
        <w:tc>
          <w:tcPr>
            <w:tcW w:w="1134" w:type="dxa"/>
            <w:tcBorders>
              <w:top w:val="nil"/>
              <w:left w:val="nil"/>
              <w:bottom w:val="single" w:sz="8" w:space="0" w:color="95B3D7"/>
              <w:right w:val="single" w:sz="8" w:space="0" w:color="95B3D7"/>
            </w:tcBorders>
            <w:shd w:val="clear" w:color="auto" w:fill="auto"/>
            <w:vAlign w:val="center"/>
            <w:hideMark/>
          </w:tcPr>
          <w:p w14:paraId="465CD4DF"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$204,410</w:t>
            </w:r>
          </w:p>
        </w:tc>
        <w:tc>
          <w:tcPr>
            <w:tcW w:w="1276" w:type="dxa"/>
            <w:tcBorders>
              <w:top w:val="nil"/>
              <w:left w:val="nil"/>
              <w:bottom w:val="single" w:sz="8" w:space="0" w:color="95B3D7"/>
              <w:right w:val="single" w:sz="8" w:space="0" w:color="95B3D7"/>
            </w:tcBorders>
            <w:shd w:val="clear" w:color="auto" w:fill="auto"/>
            <w:vAlign w:val="center"/>
            <w:hideMark/>
          </w:tcPr>
          <w:p w14:paraId="725F5416"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$208,499</w:t>
            </w:r>
          </w:p>
        </w:tc>
        <w:tc>
          <w:tcPr>
            <w:tcW w:w="1263" w:type="dxa"/>
            <w:gridSpan w:val="2"/>
            <w:tcBorders>
              <w:top w:val="nil"/>
              <w:left w:val="nil"/>
              <w:bottom w:val="single" w:sz="8" w:space="0" w:color="95B3D7"/>
              <w:right w:val="single" w:sz="8" w:space="0" w:color="95B3D7"/>
            </w:tcBorders>
            <w:shd w:val="clear" w:color="auto" w:fill="auto"/>
            <w:vAlign w:val="center"/>
            <w:hideMark/>
          </w:tcPr>
          <w:p w14:paraId="4E29D178"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$212,669</w:t>
            </w:r>
          </w:p>
        </w:tc>
      </w:tr>
      <w:tr w:rsidR="00956CA3" w:rsidRPr="0075339F" w14:paraId="756BBFC1" w14:textId="77777777" w:rsidTr="00956CA3">
        <w:trPr>
          <w:trHeight w:val="315"/>
        </w:trPr>
        <w:tc>
          <w:tcPr>
            <w:tcW w:w="6227" w:type="dxa"/>
            <w:tcBorders>
              <w:top w:val="nil"/>
              <w:left w:val="single" w:sz="8" w:space="0" w:color="95B3D7"/>
              <w:bottom w:val="single" w:sz="8" w:space="0" w:color="95B3D7"/>
              <w:right w:val="single" w:sz="8" w:space="0" w:color="95B3D7"/>
            </w:tcBorders>
            <w:shd w:val="clear" w:color="000000" w:fill="DBE5F1"/>
            <w:vAlign w:val="center"/>
            <w:hideMark/>
          </w:tcPr>
          <w:p w14:paraId="3558F646" w14:textId="77777777" w:rsidR="0075339F" w:rsidRPr="0075339F" w:rsidRDefault="0075339F" w:rsidP="0075339F">
            <w:pPr>
              <w:rPr>
                <w:rFonts w:ascii="Calibri" w:hAnsi="Calibri" w:cs="Calibri"/>
                <w:color w:val="17365D"/>
                <w:sz w:val="20"/>
                <w:szCs w:val="20"/>
                <w:lang w:eastAsia="en-AU"/>
              </w:rPr>
            </w:pPr>
            <w:r w:rsidRPr="0075339F">
              <w:rPr>
                <w:rFonts w:ascii="Calibri" w:hAnsi="Calibri" w:cs="Calibri"/>
                <w:color w:val="17365D"/>
                <w:sz w:val="20"/>
                <w:szCs w:val="20"/>
                <w:lang w:eastAsia="en-AU"/>
              </w:rPr>
              <w:t>EL1 Titles Assistant Manager (1.0 FTE)</w:t>
            </w:r>
          </w:p>
        </w:tc>
        <w:tc>
          <w:tcPr>
            <w:tcW w:w="1134" w:type="dxa"/>
            <w:tcBorders>
              <w:top w:val="nil"/>
              <w:left w:val="nil"/>
              <w:bottom w:val="single" w:sz="8" w:space="0" w:color="95B3D7"/>
              <w:right w:val="single" w:sz="8" w:space="0" w:color="95B3D7"/>
            </w:tcBorders>
            <w:shd w:val="clear" w:color="000000" w:fill="DBE5F1"/>
            <w:vAlign w:val="center"/>
            <w:hideMark/>
          </w:tcPr>
          <w:p w14:paraId="30ECB006"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$167,191</w:t>
            </w:r>
          </w:p>
        </w:tc>
        <w:tc>
          <w:tcPr>
            <w:tcW w:w="1276" w:type="dxa"/>
            <w:tcBorders>
              <w:top w:val="nil"/>
              <w:left w:val="nil"/>
              <w:bottom w:val="single" w:sz="8" w:space="0" w:color="95B3D7"/>
              <w:right w:val="single" w:sz="8" w:space="0" w:color="95B3D7"/>
            </w:tcBorders>
            <w:shd w:val="clear" w:color="000000" w:fill="DBE5F1"/>
            <w:vAlign w:val="center"/>
            <w:hideMark/>
          </w:tcPr>
          <w:p w14:paraId="0329B2CC"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$170,535</w:t>
            </w:r>
          </w:p>
        </w:tc>
        <w:tc>
          <w:tcPr>
            <w:tcW w:w="1263" w:type="dxa"/>
            <w:gridSpan w:val="2"/>
            <w:tcBorders>
              <w:top w:val="nil"/>
              <w:left w:val="nil"/>
              <w:bottom w:val="single" w:sz="8" w:space="0" w:color="95B3D7"/>
              <w:right w:val="single" w:sz="8" w:space="0" w:color="95B3D7"/>
            </w:tcBorders>
            <w:shd w:val="clear" w:color="000000" w:fill="DBE5F1"/>
            <w:vAlign w:val="center"/>
            <w:hideMark/>
          </w:tcPr>
          <w:p w14:paraId="71BCDCB3"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$173,946</w:t>
            </w:r>
          </w:p>
        </w:tc>
      </w:tr>
      <w:tr w:rsidR="0075339F" w:rsidRPr="0075339F" w14:paraId="1F4094E7" w14:textId="77777777" w:rsidTr="00956CA3">
        <w:trPr>
          <w:trHeight w:val="315"/>
        </w:trPr>
        <w:tc>
          <w:tcPr>
            <w:tcW w:w="6227" w:type="dxa"/>
            <w:tcBorders>
              <w:top w:val="nil"/>
              <w:left w:val="single" w:sz="8" w:space="0" w:color="95B3D7"/>
              <w:bottom w:val="single" w:sz="8" w:space="0" w:color="95B3D7"/>
              <w:right w:val="single" w:sz="8" w:space="0" w:color="95B3D7"/>
            </w:tcBorders>
            <w:shd w:val="clear" w:color="auto" w:fill="auto"/>
            <w:vAlign w:val="center"/>
            <w:hideMark/>
          </w:tcPr>
          <w:p w14:paraId="41A84247" w14:textId="77777777" w:rsidR="0075339F" w:rsidRPr="0075339F" w:rsidRDefault="0075339F" w:rsidP="0075339F">
            <w:pPr>
              <w:rPr>
                <w:rFonts w:ascii="Calibri" w:hAnsi="Calibri" w:cs="Calibri"/>
                <w:color w:val="17365D"/>
                <w:sz w:val="20"/>
                <w:szCs w:val="20"/>
                <w:lang w:eastAsia="en-AU"/>
              </w:rPr>
            </w:pPr>
            <w:r w:rsidRPr="0075339F">
              <w:rPr>
                <w:rFonts w:ascii="Calibri" w:hAnsi="Calibri" w:cs="Calibri"/>
                <w:color w:val="17365D"/>
                <w:sz w:val="20"/>
                <w:szCs w:val="20"/>
                <w:lang w:eastAsia="en-AU"/>
              </w:rPr>
              <w:t>APS6 Titles Officer (1.0 FTE)</w:t>
            </w:r>
          </w:p>
        </w:tc>
        <w:tc>
          <w:tcPr>
            <w:tcW w:w="1134" w:type="dxa"/>
            <w:tcBorders>
              <w:top w:val="nil"/>
              <w:left w:val="nil"/>
              <w:bottom w:val="single" w:sz="8" w:space="0" w:color="95B3D7"/>
              <w:right w:val="single" w:sz="8" w:space="0" w:color="95B3D7"/>
            </w:tcBorders>
            <w:shd w:val="clear" w:color="auto" w:fill="auto"/>
            <w:vAlign w:val="center"/>
            <w:hideMark/>
          </w:tcPr>
          <w:p w14:paraId="6F037EAC"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$137,879</w:t>
            </w:r>
          </w:p>
        </w:tc>
        <w:tc>
          <w:tcPr>
            <w:tcW w:w="1276" w:type="dxa"/>
            <w:tcBorders>
              <w:top w:val="nil"/>
              <w:left w:val="nil"/>
              <w:bottom w:val="single" w:sz="8" w:space="0" w:color="95B3D7"/>
              <w:right w:val="single" w:sz="8" w:space="0" w:color="95B3D7"/>
            </w:tcBorders>
            <w:shd w:val="clear" w:color="auto" w:fill="auto"/>
            <w:vAlign w:val="center"/>
            <w:hideMark/>
          </w:tcPr>
          <w:p w14:paraId="741F875D"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$140,637</w:t>
            </w:r>
          </w:p>
        </w:tc>
        <w:tc>
          <w:tcPr>
            <w:tcW w:w="1263" w:type="dxa"/>
            <w:gridSpan w:val="2"/>
            <w:tcBorders>
              <w:top w:val="nil"/>
              <w:left w:val="nil"/>
              <w:bottom w:val="single" w:sz="8" w:space="0" w:color="95B3D7"/>
              <w:right w:val="single" w:sz="8" w:space="0" w:color="95B3D7"/>
            </w:tcBorders>
            <w:shd w:val="clear" w:color="auto" w:fill="auto"/>
            <w:vAlign w:val="center"/>
            <w:hideMark/>
          </w:tcPr>
          <w:p w14:paraId="7898F6CA"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$143,449</w:t>
            </w:r>
          </w:p>
        </w:tc>
      </w:tr>
      <w:tr w:rsidR="00956CA3" w:rsidRPr="0075339F" w14:paraId="229F2C95" w14:textId="77777777" w:rsidTr="00956CA3">
        <w:trPr>
          <w:trHeight w:val="315"/>
        </w:trPr>
        <w:tc>
          <w:tcPr>
            <w:tcW w:w="6227" w:type="dxa"/>
            <w:tcBorders>
              <w:top w:val="nil"/>
              <w:left w:val="single" w:sz="8" w:space="0" w:color="95B3D7"/>
              <w:bottom w:val="single" w:sz="8" w:space="0" w:color="95B3D7"/>
              <w:right w:val="single" w:sz="8" w:space="0" w:color="95B3D7"/>
            </w:tcBorders>
            <w:shd w:val="clear" w:color="000000" w:fill="DBE5F1"/>
            <w:vAlign w:val="center"/>
            <w:hideMark/>
          </w:tcPr>
          <w:p w14:paraId="0B9D1C97" w14:textId="77777777" w:rsidR="0075339F" w:rsidRPr="0075339F" w:rsidRDefault="0075339F" w:rsidP="0075339F">
            <w:pPr>
              <w:rPr>
                <w:rFonts w:ascii="Calibri" w:hAnsi="Calibri" w:cs="Calibri"/>
                <w:color w:val="17365D"/>
                <w:sz w:val="20"/>
                <w:szCs w:val="20"/>
                <w:lang w:eastAsia="en-AU"/>
              </w:rPr>
            </w:pPr>
            <w:r w:rsidRPr="0075339F">
              <w:rPr>
                <w:rFonts w:ascii="Calibri" w:hAnsi="Calibri" w:cs="Calibri"/>
                <w:color w:val="17365D"/>
                <w:sz w:val="20"/>
                <w:szCs w:val="20"/>
                <w:lang w:eastAsia="en-AU"/>
              </w:rPr>
              <w:t>EL1 Commercial Officer (1.0 FTE)</w:t>
            </w:r>
          </w:p>
        </w:tc>
        <w:tc>
          <w:tcPr>
            <w:tcW w:w="1134" w:type="dxa"/>
            <w:tcBorders>
              <w:top w:val="nil"/>
              <w:left w:val="nil"/>
              <w:bottom w:val="single" w:sz="8" w:space="0" w:color="95B3D7"/>
              <w:right w:val="single" w:sz="8" w:space="0" w:color="95B3D7"/>
            </w:tcBorders>
            <w:shd w:val="clear" w:color="000000" w:fill="DBE5F1"/>
            <w:vAlign w:val="center"/>
            <w:hideMark/>
          </w:tcPr>
          <w:p w14:paraId="255E88F3"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$167,191</w:t>
            </w:r>
          </w:p>
        </w:tc>
        <w:tc>
          <w:tcPr>
            <w:tcW w:w="1276" w:type="dxa"/>
            <w:tcBorders>
              <w:top w:val="nil"/>
              <w:left w:val="nil"/>
              <w:bottom w:val="single" w:sz="8" w:space="0" w:color="95B3D7"/>
              <w:right w:val="single" w:sz="8" w:space="0" w:color="95B3D7"/>
            </w:tcBorders>
            <w:shd w:val="clear" w:color="000000" w:fill="DBE5F1"/>
            <w:vAlign w:val="center"/>
            <w:hideMark/>
          </w:tcPr>
          <w:p w14:paraId="36B89FAE"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$170,535</w:t>
            </w:r>
          </w:p>
        </w:tc>
        <w:tc>
          <w:tcPr>
            <w:tcW w:w="1263" w:type="dxa"/>
            <w:gridSpan w:val="2"/>
            <w:tcBorders>
              <w:top w:val="nil"/>
              <w:left w:val="nil"/>
              <w:bottom w:val="single" w:sz="8" w:space="0" w:color="95B3D7"/>
              <w:right w:val="single" w:sz="8" w:space="0" w:color="95B3D7"/>
            </w:tcBorders>
            <w:shd w:val="clear" w:color="000000" w:fill="DBE5F1"/>
            <w:vAlign w:val="center"/>
            <w:hideMark/>
          </w:tcPr>
          <w:p w14:paraId="63D2A209"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$173,946</w:t>
            </w:r>
          </w:p>
        </w:tc>
      </w:tr>
      <w:tr w:rsidR="0075339F" w:rsidRPr="0075339F" w14:paraId="05096CA3" w14:textId="77777777" w:rsidTr="00956CA3">
        <w:trPr>
          <w:trHeight w:val="315"/>
        </w:trPr>
        <w:tc>
          <w:tcPr>
            <w:tcW w:w="6227" w:type="dxa"/>
            <w:tcBorders>
              <w:top w:val="nil"/>
              <w:left w:val="single" w:sz="8" w:space="0" w:color="95B3D7"/>
              <w:bottom w:val="single" w:sz="8" w:space="0" w:color="95B3D7"/>
              <w:right w:val="single" w:sz="8" w:space="0" w:color="95B3D7"/>
            </w:tcBorders>
            <w:shd w:val="clear" w:color="auto" w:fill="auto"/>
            <w:vAlign w:val="center"/>
            <w:hideMark/>
          </w:tcPr>
          <w:p w14:paraId="4F7E0687" w14:textId="740C56A9" w:rsidR="0075339F" w:rsidRPr="0075339F" w:rsidRDefault="0075339F" w:rsidP="0075339F">
            <w:pPr>
              <w:rPr>
                <w:rFonts w:ascii="Calibri" w:hAnsi="Calibri" w:cs="Calibri"/>
                <w:color w:val="17365D"/>
                <w:sz w:val="20"/>
                <w:szCs w:val="20"/>
                <w:lang w:eastAsia="en-AU"/>
              </w:rPr>
            </w:pPr>
            <w:r w:rsidRPr="0075339F">
              <w:rPr>
                <w:rFonts w:ascii="Calibri" w:hAnsi="Calibri" w:cs="Calibri"/>
                <w:color w:val="17365D"/>
                <w:sz w:val="20"/>
                <w:szCs w:val="20"/>
                <w:lang w:eastAsia="en-AU"/>
              </w:rPr>
              <w:t>EL1 L</w:t>
            </w:r>
            <w:r w:rsidR="00F71C03">
              <w:rPr>
                <w:rFonts w:ascii="Calibri" w:hAnsi="Calibri" w:cs="Calibri"/>
                <w:color w:val="17365D"/>
                <w:sz w:val="20"/>
                <w:szCs w:val="20"/>
                <w:lang w:eastAsia="en-AU"/>
              </w:rPr>
              <w:t>egislative Compliance</w:t>
            </w:r>
            <w:r w:rsidRPr="0075339F">
              <w:rPr>
                <w:rFonts w:ascii="Calibri" w:hAnsi="Calibri" w:cs="Calibri"/>
                <w:color w:val="17365D"/>
                <w:sz w:val="20"/>
                <w:szCs w:val="20"/>
                <w:lang w:eastAsia="en-AU"/>
              </w:rPr>
              <w:t xml:space="preserve"> Officer (1.0 FTE)</w:t>
            </w:r>
          </w:p>
        </w:tc>
        <w:tc>
          <w:tcPr>
            <w:tcW w:w="1134" w:type="dxa"/>
            <w:tcBorders>
              <w:top w:val="nil"/>
              <w:left w:val="nil"/>
              <w:bottom w:val="single" w:sz="8" w:space="0" w:color="95B3D7"/>
              <w:right w:val="single" w:sz="8" w:space="0" w:color="95B3D7"/>
            </w:tcBorders>
            <w:shd w:val="clear" w:color="auto" w:fill="auto"/>
            <w:vAlign w:val="center"/>
            <w:hideMark/>
          </w:tcPr>
          <w:p w14:paraId="30CD3DF0"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$167,191</w:t>
            </w:r>
          </w:p>
        </w:tc>
        <w:tc>
          <w:tcPr>
            <w:tcW w:w="1276" w:type="dxa"/>
            <w:tcBorders>
              <w:top w:val="nil"/>
              <w:left w:val="nil"/>
              <w:bottom w:val="single" w:sz="8" w:space="0" w:color="95B3D7"/>
              <w:right w:val="single" w:sz="8" w:space="0" w:color="95B3D7"/>
            </w:tcBorders>
            <w:shd w:val="clear" w:color="auto" w:fill="auto"/>
            <w:vAlign w:val="center"/>
            <w:hideMark/>
          </w:tcPr>
          <w:p w14:paraId="4CCDF24F"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$170,535</w:t>
            </w:r>
          </w:p>
        </w:tc>
        <w:tc>
          <w:tcPr>
            <w:tcW w:w="1263" w:type="dxa"/>
            <w:gridSpan w:val="2"/>
            <w:tcBorders>
              <w:top w:val="nil"/>
              <w:left w:val="nil"/>
              <w:bottom w:val="single" w:sz="8" w:space="0" w:color="95B3D7"/>
              <w:right w:val="single" w:sz="8" w:space="0" w:color="95B3D7"/>
            </w:tcBorders>
            <w:shd w:val="clear" w:color="auto" w:fill="auto"/>
            <w:vAlign w:val="center"/>
            <w:hideMark/>
          </w:tcPr>
          <w:p w14:paraId="13D59D8A"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$173,946</w:t>
            </w:r>
          </w:p>
        </w:tc>
      </w:tr>
      <w:tr w:rsidR="00956CA3" w:rsidRPr="0075339F" w14:paraId="263225C6" w14:textId="77777777" w:rsidTr="00956CA3">
        <w:trPr>
          <w:trHeight w:val="274"/>
        </w:trPr>
        <w:tc>
          <w:tcPr>
            <w:tcW w:w="6227" w:type="dxa"/>
            <w:tcBorders>
              <w:top w:val="nil"/>
              <w:left w:val="single" w:sz="8" w:space="0" w:color="95B3D7"/>
              <w:bottom w:val="single" w:sz="8" w:space="0" w:color="95B3D7"/>
              <w:right w:val="single" w:sz="8" w:space="0" w:color="95B3D7"/>
            </w:tcBorders>
            <w:shd w:val="clear" w:color="000000" w:fill="DBE5F1"/>
            <w:vAlign w:val="center"/>
            <w:hideMark/>
          </w:tcPr>
          <w:p w14:paraId="559950DA" w14:textId="4C8DE429" w:rsidR="0075339F" w:rsidRPr="0075339F" w:rsidRDefault="0075339F" w:rsidP="0075339F">
            <w:pPr>
              <w:rPr>
                <w:rFonts w:ascii="Calibri" w:hAnsi="Calibri" w:cs="Calibri"/>
                <w:color w:val="17365D"/>
                <w:sz w:val="20"/>
                <w:szCs w:val="20"/>
                <w:lang w:eastAsia="en-AU"/>
              </w:rPr>
            </w:pPr>
            <w:r w:rsidRPr="0075339F">
              <w:rPr>
                <w:rFonts w:ascii="Calibri" w:hAnsi="Calibri" w:cs="Calibri"/>
                <w:color w:val="17365D"/>
                <w:sz w:val="20"/>
                <w:szCs w:val="20"/>
                <w:lang w:eastAsia="en-AU"/>
              </w:rPr>
              <w:t>Specialist Technical Officer (</w:t>
            </w:r>
            <w:r w:rsidR="00F71C03">
              <w:rPr>
                <w:rFonts w:ascii="Calibri" w:hAnsi="Calibri" w:cs="Calibri"/>
                <w:color w:val="17365D"/>
                <w:sz w:val="20"/>
                <w:szCs w:val="20"/>
                <w:lang w:eastAsia="en-AU"/>
              </w:rPr>
              <w:t>B</w:t>
            </w:r>
            <w:r w:rsidRPr="0075339F">
              <w:rPr>
                <w:rFonts w:ascii="Calibri" w:hAnsi="Calibri" w:cs="Calibri"/>
                <w:color w:val="17365D"/>
                <w:sz w:val="20"/>
                <w:szCs w:val="20"/>
                <w:lang w:eastAsia="en-AU"/>
              </w:rPr>
              <w:t xml:space="preserve">ased on </w:t>
            </w:r>
            <w:r w:rsidR="00F71C03">
              <w:rPr>
                <w:rFonts w:ascii="Calibri" w:hAnsi="Calibri" w:cs="Calibri"/>
                <w:color w:val="17365D"/>
                <w:sz w:val="20"/>
                <w:szCs w:val="20"/>
                <w:lang w:eastAsia="en-AU"/>
              </w:rPr>
              <w:t xml:space="preserve">number of </w:t>
            </w:r>
            <w:r w:rsidRPr="0075339F">
              <w:rPr>
                <w:rFonts w:ascii="Calibri" w:hAnsi="Calibri" w:cs="Calibri"/>
                <w:color w:val="17365D"/>
                <w:sz w:val="20"/>
                <w:szCs w:val="20"/>
                <w:lang w:eastAsia="en-AU"/>
              </w:rPr>
              <w:t>applications received)</w:t>
            </w:r>
          </w:p>
        </w:tc>
        <w:tc>
          <w:tcPr>
            <w:tcW w:w="1134" w:type="dxa"/>
            <w:tcBorders>
              <w:top w:val="nil"/>
              <w:left w:val="nil"/>
              <w:bottom w:val="single" w:sz="8" w:space="0" w:color="95B3D7"/>
              <w:right w:val="single" w:sz="8" w:space="0" w:color="95B3D7"/>
            </w:tcBorders>
            <w:shd w:val="clear" w:color="000000" w:fill="DBE5F1"/>
            <w:vAlign w:val="center"/>
            <w:hideMark/>
          </w:tcPr>
          <w:p w14:paraId="75BF9867"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$30,600</w:t>
            </w:r>
          </w:p>
        </w:tc>
        <w:tc>
          <w:tcPr>
            <w:tcW w:w="1276" w:type="dxa"/>
            <w:tcBorders>
              <w:top w:val="nil"/>
              <w:left w:val="nil"/>
              <w:bottom w:val="single" w:sz="8" w:space="0" w:color="95B3D7"/>
              <w:right w:val="single" w:sz="8" w:space="0" w:color="95B3D7"/>
            </w:tcBorders>
            <w:shd w:val="clear" w:color="000000" w:fill="DBE5F1"/>
            <w:vAlign w:val="center"/>
            <w:hideMark/>
          </w:tcPr>
          <w:p w14:paraId="5246A61F"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$61,200</w:t>
            </w:r>
          </w:p>
        </w:tc>
        <w:tc>
          <w:tcPr>
            <w:tcW w:w="1263" w:type="dxa"/>
            <w:gridSpan w:val="2"/>
            <w:tcBorders>
              <w:top w:val="nil"/>
              <w:left w:val="nil"/>
              <w:bottom w:val="single" w:sz="8" w:space="0" w:color="95B3D7"/>
              <w:right w:val="single" w:sz="8" w:space="0" w:color="95B3D7"/>
            </w:tcBorders>
            <w:shd w:val="clear" w:color="000000" w:fill="DBE5F1"/>
            <w:vAlign w:val="center"/>
            <w:hideMark/>
          </w:tcPr>
          <w:p w14:paraId="7B5FD317"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$62,424</w:t>
            </w:r>
          </w:p>
        </w:tc>
      </w:tr>
      <w:tr w:rsidR="0075339F" w:rsidRPr="0075339F" w14:paraId="359FBED0" w14:textId="77777777" w:rsidTr="00956CA3">
        <w:trPr>
          <w:trHeight w:val="315"/>
        </w:trPr>
        <w:tc>
          <w:tcPr>
            <w:tcW w:w="6227" w:type="dxa"/>
            <w:tcBorders>
              <w:top w:val="nil"/>
              <w:left w:val="single" w:sz="8" w:space="0" w:color="95B3D7"/>
              <w:bottom w:val="single" w:sz="8" w:space="0" w:color="95B3D7"/>
              <w:right w:val="single" w:sz="8" w:space="0" w:color="95B3D7"/>
            </w:tcBorders>
            <w:shd w:val="clear" w:color="auto" w:fill="auto"/>
            <w:vAlign w:val="center"/>
            <w:hideMark/>
          </w:tcPr>
          <w:p w14:paraId="6CDFDFB0" w14:textId="77777777" w:rsidR="0075339F" w:rsidRPr="0075339F" w:rsidRDefault="0075339F" w:rsidP="0075339F">
            <w:pPr>
              <w:rPr>
                <w:rFonts w:ascii="Calibri" w:hAnsi="Calibri" w:cs="Calibri"/>
                <w:color w:val="17365D"/>
                <w:sz w:val="20"/>
                <w:szCs w:val="20"/>
                <w:lang w:eastAsia="en-AU"/>
              </w:rPr>
            </w:pPr>
            <w:r w:rsidRPr="0075339F">
              <w:rPr>
                <w:rFonts w:ascii="Calibri" w:hAnsi="Calibri" w:cs="Calibri"/>
                <w:color w:val="17365D"/>
                <w:sz w:val="20"/>
                <w:szCs w:val="20"/>
                <w:lang w:eastAsia="en-AU"/>
              </w:rPr>
              <w:t>SES Band 1 (0.1 FTE)</w:t>
            </w:r>
          </w:p>
        </w:tc>
        <w:tc>
          <w:tcPr>
            <w:tcW w:w="1134" w:type="dxa"/>
            <w:tcBorders>
              <w:top w:val="nil"/>
              <w:left w:val="nil"/>
              <w:bottom w:val="single" w:sz="8" w:space="0" w:color="95B3D7"/>
              <w:right w:val="single" w:sz="8" w:space="0" w:color="95B3D7"/>
            </w:tcBorders>
            <w:shd w:val="clear" w:color="auto" w:fill="auto"/>
            <w:vAlign w:val="center"/>
            <w:hideMark/>
          </w:tcPr>
          <w:p w14:paraId="63955D12"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$37,142</w:t>
            </w:r>
          </w:p>
        </w:tc>
        <w:tc>
          <w:tcPr>
            <w:tcW w:w="1276" w:type="dxa"/>
            <w:tcBorders>
              <w:top w:val="nil"/>
              <w:left w:val="nil"/>
              <w:bottom w:val="single" w:sz="8" w:space="0" w:color="95B3D7"/>
              <w:right w:val="single" w:sz="8" w:space="0" w:color="95B3D7"/>
            </w:tcBorders>
            <w:shd w:val="clear" w:color="auto" w:fill="auto"/>
            <w:vAlign w:val="center"/>
            <w:hideMark/>
          </w:tcPr>
          <w:p w14:paraId="7420585F"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$37,885</w:t>
            </w:r>
          </w:p>
        </w:tc>
        <w:tc>
          <w:tcPr>
            <w:tcW w:w="1263" w:type="dxa"/>
            <w:gridSpan w:val="2"/>
            <w:tcBorders>
              <w:top w:val="nil"/>
              <w:left w:val="nil"/>
              <w:bottom w:val="single" w:sz="8" w:space="0" w:color="95B3D7"/>
              <w:right w:val="single" w:sz="8" w:space="0" w:color="95B3D7"/>
            </w:tcBorders>
            <w:shd w:val="clear" w:color="auto" w:fill="auto"/>
            <w:vAlign w:val="center"/>
            <w:hideMark/>
          </w:tcPr>
          <w:p w14:paraId="17EB36BD"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$38,643</w:t>
            </w:r>
          </w:p>
        </w:tc>
      </w:tr>
      <w:tr w:rsidR="00956CA3" w:rsidRPr="0075339F" w14:paraId="5FAFA819" w14:textId="77777777" w:rsidTr="00956CA3">
        <w:trPr>
          <w:trHeight w:val="315"/>
        </w:trPr>
        <w:tc>
          <w:tcPr>
            <w:tcW w:w="6227" w:type="dxa"/>
            <w:tcBorders>
              <w:top w:val="nil"/>
              <w:left w:val="single" w:sz="8" w:space="0" w:color="95B3D7"/>
              <w:bottom w:val="single" w:sz="8" w:space="0" w:color="95B3D7"/>
              <w:right w:val="single" w:sz="8" w:space="0" w:color="95B3D7"/>
            </w:tcBorders>
            <w:shd w:val="clear" w:color="000000" w:fill="DBE5F1"/>
            <w:vAlign w:val="center"/>
            <w:hideMark/>
          </w:tcPr>
          <w:p w14:paraId="4C67F659" w14:textId="2713A211" w:rsidR="0075339F" w:rsidRPr="0075339F" w:rsidRDefault="0075339F" w:rsidP="0075339F">
            <w:pPr>
              <w:rPr>
                <w:rFonts w:ascii="Calibri" w:hAnsi="Calibri" w:cs="Calibri"/>
                <w:color w:val="17365D"/>
                <w:sz w:val="20"/>
                <w:szCs w:val="20"/>
                <w:lang w:eastAsia="en-AU"/>
              </w:rPr>
            </w:pPr>
            <w:r w:rsidRPr="0075339F">
              <w:rPr>
                <w:rFonts w:ascii="Calibri" w:hAnsi="Calibri" w:cs="Calibri"/>
                <w:color w:val="17365D"/>
                <w:sz w:val="20"/>
                <w:szCs w:val="20"/>
                <w:lang w:eastAsia="en-AU"/>
              </w:rPr>
              <w:t>EL1 BSU Support (0.25 FTE)</w:t>
            </w:r>
          </w:p>
        </w:tc>
        <w:tc>
          <w:tcPr>
            <w:tcW w:w="1134" w:type="dxa"/>
            <w:tcBorders>
              <w:top w:val="nil"/>
              <w:left w:val="nil"/>
              <w:bottom w:val="single" w:sz="8" w:space="0" w:color="95B3D7"/>
              <w:right w:val="single" w:sz="8" w:space="0" w:color="95B3D7"/>
            </w:tcBorders>
            <w:shd w:val="clear" w:color="000000" w:fill="DBE5F1"/>
            <w:vAlign w:val="center"/>
            <w:hideMark/>
          </w:tcPr>
          <w:p w14:paraId="4B62846E"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$41,798</w:t>
            </w:r>
          </w:p>
        </w:tc>
        <w:tc>
          <w:tcPr>
            <w:tcW w:w="1276" w:type="dxa"/>
            <w:tcBorders>
              <w:top w:val="nil"/>
              <w:left w:val="nil"/>
              <w:bottom w:val="single" w:sz="8" w:space="0" w:color="95B3D7"/>
              <w:right w:val="single" w:sz="8" w:space="0" w:color="95B3D7"/>
            </w:tcBorders>
            <w:shd w:val="clear" w:color="000000" w:fill="DBE5F1"/>
            <w:vAlign w:val="center"/>
            <w:hideMark/>
          </w:tcPr>
          <w:p w14:paraId="1D7F5079"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$42,634</w:t>
            </w:r>
          </w:p>
        </w:tc>
        <w:tc>
          <w:tcPr>
            <w:tcW w:w="1263" w:type="dxa"/>
            <w:gridSpan w:val="2"/>
            <w:tcBorders>
              <w:top w:val="nil"/>
              <w:left w:val="nil"/>
              <w:bottom w:val="single" w:sz="8" w:space="0" w:color="95B3D7"/>
              <w:right w:val="single" w:sz="8" w:space="0" w:color="95B3D7"/>
            </w:tcBorders>
            <w:shd w:val="clear" w:color="000000" w:fill="DBE5F1"/>
            <w:vAlign w:val="center"/>
            <w:hideMark/>
          </w:tcPr>
          <w:p w14:paraId="383EE3A3"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$43,486</w:t>
            </w:r>
          </w:p>
        </w:tc>
      </w:tr>
      <w:tr w:rsidR="0075339F" w:rsidRPr="0075339F" w14:paraId="611A9C60" w14:textId="77777777" w:rsidTr="00956CA3">
        <w:trPr>
          <w:trHeight w:val="315"/>
        </w:trPr>
        <w:tc>
          <w:tcPr>
            <w:tcW w:w="6227" w:type="dxa"/>
            <w:tcBorders>
              <w:top w:val="nil"/>
              <w:left w:val="single" w:sz="8" w:space="0" w:color="95B3D7"/>
              <w:bottom w:val="single" w:sz="8" w:space="0" w:color="95B3D7"/>
              <w:right w:val="single" w:sz="8" w:space="0" w:color="95B3D7"/>
            </w:tcBorders>
            <w:shd w:val="clear" w:color="auto" w:fill="auto"/>
            <w:vAlign w:val="center"/>
            <w:hideMark/>
          </w:tcPr>
          <w:p w14:paraId="70D0B6A6" w14:textId="77777777" w:rsidR="0075339F" w:rsidRPr="0075339F" w:rsidRDefault="0075339F" w:rsidP="0075339F">
            <w:pPr>
              <w:rPr>
                <w:rFonts w:ascii="Calibri" w:hAnsi="Calibri" w:cs="Calibri"/>
                <w:color w:val="17365D"/>
                <w:sz w:val="20"/>
                <w:szCs w:val="20"/>
                <w:lang w:eastAsia="en-AU"/>
              </w:rPr>
            </w:pPr>
            <w:r w:rsidRPr="0075339F">
              <w:rPr>
                <w:rFonts w:ascii="Calibri" w:hAnsi="Calibri" w:cs="Calibri"/>
                <w:color w:val="17365D"/>
                <w:sz w:val="20"/>
                <w:szCs w:val="20"/>
                <w:lang w:eastAsia="en-AU"/>
              </w:rPr>
              <w:t>IT Systems Support (0.25 FTE)</w:t>
            </w:r>
          </w:p>
        </w:tc>
        <w:tc>
          <w:tcPr>
            <w:tcW w:w="1134" w:type="dxa"/>
            <w:tcBorders>
              <w:top w:val="nil"/>
              <w:left w:val="nil"/>
              <w:bottom w:val="single" w:sz="8" w:space="0" w:color="95B3D7"/>
              <w:right w:val="single" w:sz="8" w:space="0" w:color="95B3D7"/>
            </w:tcBorders>
            <w:shd w:val="clear" w:color="auto" w:fill="auto"/>
            <w:vAlign w:val="center"/>
            <w:hideMark/>
          </w:tcPr>
          <w:p w14:paraId="11FBE9E8"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$62,697</w:t>
            </w:r>
          </w:p>
        </w:tc>
        <w:tc>
          <w:tcPr>
            <w:tcW w:w="1276" w:type="dxa"/>
            <w:tcBorders>
              <w:top w:val="nil"/>
              <w:left w:val="nil"/>
              <w:bottom w:val="single" w:sz="8" w:space="0" w:color="95B3D7"/>
              <w:right w:val="single" w:sz="8" w:space="0" w:color="95B3D7"/>
            </w:tcBorders>
            <w:shd w:val="clear" w:color="auto" w:fill="auto"/>
            <w:vAlign w:val="center"/>
            <w:hideMark/>
          </w:tcPr>
          <w:p w14:paraId="08491677"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$63,950</w:t>
            </w:r>
          </w:p>
        </w:tc>
        <w:tc>
          <w:tcPr>
            <w:tcW w:w="1263" w:type="dxa"/>
            <w:gridSpan w:val="2"/>
            <w:tcBorders>
              <w:top w:val="nil"/>
              <w:left w:val="nil"/>
              <w:bottom w:val="single" w:sz="8" w:space="0" w:color="95B3D7"/>
              <w:right w:val="single" w:sz="8" w:space="0" w:color="95B3D7"/>
            </w:tcBorders>
            <w:shd w:val="clear" w:color="auto" w:fill="auto"/>
            <w:vAlign w:val="center"/>
            <w:hideMark/>
          </w:tcPr>
          <w:p w14:paraId="76EF9B02"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$65,230</w:t>
            </w:r>
          </w:p>
        </w:tc>
      </w:tr>
      <w:tr w:rsidR="00956CA3" w:rsidRPr="0075339F" w14:paraId="704B8125" w14:textId="77777777" w:rsidTr="00956CA3">
        <w:trPr>
          <w:trHeight w:val="315"/>
        </w:trPr>
        <w:tc>
          <w:tcPr>
            <w:tcW w:w="6227" w:type="dxa"/>
            <w:tcBorders>
              <w:top w:val="nil"/>
              <w:left w:val="single" w:sz="8" w:space="0" w:color="95B3D7"/>
              <w:bottom w:val="single" w:sz="8" w:space="0" w:color="95B3D7"/>
              <w:right w:val="single" w:sz="8" w:space="0" w:color="95B3D7"/>
            </w:tcBorders>
            <w:shd w:val="clear" w:color="000000" w:fill="DBE5F1"/>
            <w:vAlign w:val="center"/>
            <w:hideMark/>
          </w:tcPr>
          <w:p w14:paraId="54EE0A6E" w14:textId="77777777" w:rsidR="0075339F" w:rsidRPr="0075339F" w:rsidRDefault="0075339F" w:rsidP="0075339F">
            <w:pPr>
              <w:rPr>
                <w:rFonts w:ascii="Calibri" w:hAnsi="Calibri" w:cs="Calibri"/>
                <w:color w:val="17365D"/>
                <w:sz w:val="20"/>
                <w:szCs w:val="20"/>
                <w:lang w:eastAsia="en-AU"/>
              </w:rPr>
            </w:pPr>
            <w:r w:rsidRPr="0075339F">
              <w:rPr>
                <w:rFonts w:ascii="Calibri" w:hAnsi="Calibri" w:cs="Calibri"/>
                <w:color w:val="17365D"/>
                <w:sz w:val="20"/>
                <w:szCs w:val="20"/>
                <w:lang w:eastAsia="en-AU"/>
              </w:rPr>
              <w:t>Sub-total (Direct Costs)</w:t>
            </w:r>
          </w:p>
        </w:tc>
        <w:tc>
          <w:tcPr>
            <w:tcW w:w="1134" w:type="dxa"/>
            <w:tcBorders>
              <w:top w:val="nil"/>
              <w:left w:val="nil"/>
              <w:bottom w:val="single" w:sz="8" w:space="0" w:color="95B3D7"/>
              <w:right w:val="single" w:sz="8" w:space="0" w:color="95B3D7"/>
            </w:tcBorders>
            <w:shd w:val="clear" w:color="000000" w:fill="DBE5F1"/>
            <w:vAlign w:val="center"/>
            <w:hideMark/>
          </w:tcPr>
          <w:p w14:paraId="4B130BF5" w14:textId="77777777" w:rsidR="0075339F" w:rsidRPr="00313029" w:rsidRDefault="0075339F" w:rsidP="0075339F">
            <w:pPr>
              <w:jc w:val="right"/>
              <w:rPr>
                <w:rFonts w:ascii="Calibri" w:hAnsi="Calibri" w:cs="Calibri"/>
                <w:b/>
                <w:bCs/>
                <w:color w:val="17365D"/>
                <w:sz w:val="20"/>
                <w:szCs w:val="20"/>
                <w:lang w:eastAsia="en-AU"/>
              </w:rPr>
            </w:pPr>
            <w:r w:rsidRPr="00313029">
              <w:rPr>
                <w:rFonts w:ascii="Calibri" w:hAnsi="Calibri" w:cs="Calibri"/>
                <w:b/>
                <w:bCs/>
                <w:color w:val="17365D"/>
                <w:sz w:val="20"/>
                <w:szCs w:val="20"/>
                <w:lang w:eastAsia="en-AU"/>
              </w:rPr>
              <w:t>$1,016,099</w:t>
            </w:r>
          </w:p>
        </w:tc>
        <w:tc>
          <w:tcPr>
            <w:tcW w:w="1276" w:type="dxa"/>
            <w:tcBorders>
              <w:top w:val="nil"/>
              <w:left w:val="nil"/>
              <w:bottom w:val="single" w:sz="8" w:space="0" w:color="95B3D7"/>
              <w:right w:val="single" w:sz="8" w:space="0" w:color="95B3D7"/>
            </w:tcBorders>
            <w:shd w:val="clear" w:color="000000" w:fill="DBE5F1"/>
            <w:vAlign w:val="center"/>
            <w:hideMark/>
          </w:tcPr>
          <w:p w14:paraId="34BE825B" w14:textId="77777777" w:rsidR="0075339F" w:rsidRPr="00313029" w:rsidRDefault="0075339F" w:rsidP="0075339F">
            <w:pPr>
              <w:jc w:val="right"/>
              <w:rPr>
                <w:rFonts w:ascii="Calibri" w:hAnsi="Calibri" w:cs="Calibri"/>
                <w:b/>
                <w:bCs/>
                <w:color w:val="17365D"/>
                <w:sz w:val="20"/>
                <w:szCs w:val="20"/>
                <w:lang w:eastAsia="en-AU"/>
              </w:rPr>
            </w:pPr>
            <w:r w:rsidRPr="00313029">
              <w:rPr>
                <w:rFonts w:ascii="Calibri" w:hAnsi="Calibri" w:cs="Calibri"/>
                <w:b/>
                <w:bCs/>
                <w:color w:val="17365D"/>
                <w:sz w:val="20"/>
                <w:szCs w:val="20"/>
                <w:lang w:eastAsia="en-AU"/>
              </w:rPr>
              <w:t>$1,066,410</w:t>
            </w:r>
          </w:p>
        </w:tc>
        <w:tc>
          <w:tcPr>
            <w:tcW w:w="1263" w:type="dxa"/>
            <w:gridSpan w:val="2"/>
            <w:tcBorders>
              <w:top w:val="nil"/>
              <w:left w:val="nil"/>
              <w:bottom w:val="single" w:sz="8" w:space="0" w:color="95B3D7"/>
              <w:right w:val="single" w:sz="8" w:space="0" w:color="95B3D7"/>
            </w:tcBorders>
            <w:shd w:val="clear" w:color="000000" w:fill="DBE5F1"/>
            <w:vAlign w:val="center"/>
            <w:hideMark/>
          </w:tcPr>
          <w:p w14:paraId="0B9BBA6C" w14:textId="77777777" w:rsidR="0075339F" w:rsidRPr="00313029" w:rsidRDefault="0075339F" w:rsidP="0075339F">
            <w:pPr>
              <w:jc w:val="right"/>
              <w:rPr>
                <w:rFonts w:ascii="Calibri" w:hAnsi="Calibri" w:cs="Calibri"/>
                <w:b/>
                <w:bCs/>
                <w:color w:val="17365D"/>
                <w:sz w:val="20"/>
                <w:szCs w:val="20"/>
                <w:lang w:eastAsia="en-AU"/>
              </w:rPr>
            </w:pPr>
            <w:r w:rsidRPr="00313029">
              <w:rPr>
                <w:rFonts w:ascii="Calibri" w:hAnsi="Calibri" w:cs="Calibri"/>
                <w:b/>
                <w:bCs/>
                <w:color w:val="17365D"/>
                <w:sz w:val="20"/>
                <w:szCs w:val="20"/>
                <w:lang w:eastAsia="en-AU"/>
              </w:rPr>
              <w:t>$1,087,739</w:t>
            </w:r>
          </w:p>
        </w:tc>
      </w:tr>
      <w:tr w:rsidR="00956CA3" w:rsidRPr="0075339F" w14:paraId="38F00BF7" w14:textId="77777777" w:rsidTr="00956CA3">
        <w:trPr>
          <w:trHeight w:val="315"/>
        </w:trPr>
        <w:tc>
          <w:tcPr>
            <w:tcW w:w="6227" w:type="dxa"/>
            <w:tcBorders>
              <w:top w:val="nil"/>
              <w:left w:val="single" w:sz="8" w:space="0" w:color="95B3D7"/>
              <w:bottom w:val="single" w:sz="8" w:space="0" w:color="95B3D7"/>
              <w:right w:val="nil"/>
            </w:tcBorders>
            <w:shd w:val="clear" w:color="000000" w:fill="DBE5F1"/>
            <w:vAlign w:val="center"/>
            <w:hideMark/>
          </w:tcPr>
          <w:p w14:paraId="1BA66653" w14:textId="77777777" w:rsidR="0075339F" w:rsidRPr="0075339F" w:rsidRDefault="0075339F" w:rsidP="0075339F">
            <w:pPr>
              <w:rPr>
                <w:rFonts w:ascii="Calibri" w:hAnsi="Calibri" w:cs="Calibri"/>
                <w:b/>
                <w:bCs/>
                <w:color w:val="17365D"/>
                <w:sz w:val="20"/>
                <w:szCs w:val="20"/>
                <w:lang w:eastAsia="en-AU"/>
              </w:rPr>
            </w:pPr>
            <w:r w:rsidRPr="0075339F">
              <w:rPr>
                <w:rFonts w:ascii="Calibri" w:hAnsi="Calibri" w:cs="Calibri"/>
                <w:b/>
                <w:bCs/>
                <w:color w:val="17365D"/>
                <w:sz w:val="20"/>
                <w:szCs w:val="20"/>
                <w:lang w:eastAsia="en-AU"/>
              </w:rPr>
              <w:t>Operational Administration Costs (Indirect)</w:t>
            </w:r>
          </w:p>
        </w:tc>
        <w:tc>
          <w:tcPr>
            <w:tcW w:w="1134" w:type="dxa"/>
            <w:tcBorders>
              <w:top w:val="nil"/>
              <w:left w:val="nil"/>
              <w:bottom w:val="single" w:sz="8" w:space="0" w:color="95B3D7"/>
              <w:right w:val="nil"/>
            </w:tcBorders>
            <w:shd w:val="clear" w:color="000000" w:fill="DBE5F1"/>
            <w:vAlign w:val="center"/>
            <w:hideMark/>
          </w:tcPr>
          <w:p w14:paraId="59B0379F" w14:textId="77777777" w:rsidR="0075339F" w:rsidRPr="0075339F" w:rsidRDefault="0075339F" w:rsidP="0075339F">
            <w:pPr>
              <w:rPr>
                <w:rFonts w:ascii="Calibri" w:hAnsi="Calibri" w:cs="Calibri"/>
                <w:b/>
                <w:bCs/>
                <w:color w:val="17365D"/>
                <w:sz w:val="20"/>
                <w:szCs w:val="20"/>
                <w:lang w:eastAsia="en-AU"/>
              </w:rPr>
            </w:pPr>
            <w:r w:rsidRPr="0075339F">
              <w:rPr>
                <w:rFonts w:ascii="Calibri" w:hAnsi="Calibri" w:cs="Calibri"/>
                <w:b/>
                <w:bCs/>
                <w:color w:val="17365D"/>
                <w:sz w:val="20"/>
                <w:szCs w:val="20"/>
                <w:lang w:eastAsia="en-AU"/>
              </w:rPr>
              <w:t> </w:t>
            </w:r>
          </w:p>
        </w:tc>
        <w:tc>
          <w:tcPr>
            <w:tcW w:w="1276" w:type="dxa"/>
            <w:tcBorders>
              <w:top w:val="nil"/>
              <w:left w:val="nil"/>
              <w:bottom w:val="single" w:sz="8" w:space="0" w:color="95B3D7"/>
              <w:right w:val="single" w:sz="8" w:space="0" w:color="95B3D7"/>
            </w:tcBorders>
            <w:shd w:val="clear" w:color="000000" w:fill="DBE5F1"/>
            <w:vAlign w:val="center"/>
            <w:hideMark/>
          </w:tcPr>
          <w:p w14:paraId="5852B4D0" w14:textId="77777777" w:rsidR="0075339F" w:rsidRPr="0075339F" w:rsidRDefault="0075339F" w:rsidP="0075339F">
            <w:pPr>
              <w:rPr>
                <w:rFonts w:ascii="Calibri" w:hAnsi="Calibri" w:cs="Calibri"/>
                <w:b/>
                <w:bCs/>
                <w:color w:val="17365D"/>
                <w:sz w:val="20"/>
                <w:szCs w:val="20"/>
                <w:lang w:eastAsia="en-AU"/>
              </w:rPr>
            </w:pPr>
            <w:r w:rsidRPr="0075339F">
              <w:rPr>
                <w:rFonts w:ascii="Calibri" w:hAnsi="Calibri" w:cs="Calibri"/>
                <w:b/>
                <w:bCs/>
                <w:color w:val="17365D"/>
                <w:sz w:val="20"/>
                <w:szCs w:val="20"/>
                <w:lang w:eastAsia="en-AU"/>
              </w:rPr>
              <w:t> </w:t>
            </w:r>
          </w:p>
        </w:tc>
        <w:tc>
          <w:tcPr>
            <w:tcW w:w="1263" w:type="dxa"/>
            <w:gridSpan w:val="2"/>
            <w:tcBorders>
              <w:top w:val="nil"/>
              <w:left w:val="nil"/>
              <w:bottom w:val="single" w:sz="8" w:space="0" w:color="95B3D7"/>
              <w:right w:val="nil"/>
            </w:tcBorders>
            <w:shd w:val="clear" w:color="000000" w:fill="DBE5F1"/>
            <w:vAlign w:val="center"/>
            <w:hideMark/>
          </w:tcPr>
          <w:p w14:paraId="77EF7889" w14:textId="77777777" w:rsidR="0075339F" w:rsidRPr="0075339F" w:rsidRDefault="0075339F" w:rsidP="0075339F">
            <w:pPr>
              <w:rPr>
                <w:rFonts w:ascii="Calibri" w:hAnsi="Calibri" w:cs="Calibri"/>
                <w:b/>
                <w:bCs/>
                <w:color w:val="17365D"/>
                <w:sz w:val="20"/>
                <w:szCs w:val="20"/>
                <w:lang w:eastAsia="en-AU"/>
              </w:rPr>
            </w:pPr>
            <w:r w:rsidRPr="0075339F">
              <w:rPr>
                <w:rFonts w:ascii="Calibri" w:hAnsi="Calibri" w:cs="Calibri"/>
                <w:b/>
                <w:bCs/>
                <w:color w:val="17365D"/>
                <w:sz w:val="20"/>
                <w:szCs w:val="20"/>
                <w:lang w:eastAsia="en-AU"/>
              </w:rPr>
              <w:t> </w:t>
            </w:r>
          </w:p>
        </w:tc>
      </w:tr>
      <w:tr w:rsidR="00956CA3" w:rsidRPr="0075339F" w14:paraId="39477649" w14:textId="77777777" w:rsidTr="00956CA3">
        <w:trPr>
          <w:trHeight w:val="315"/>
        </w:trPr>
        <w:tc>
          <w:tcPr>
            <w:tcW w:w="6227" w:type="dxa"/>
            <w:tcBorders>
              <w:top w:val="nil"/>
              <w:left w:val="single" w:sz="8" w:space="0" w:color="95B3D7"/>
              <w:bottom w:val="single" w:sz="8" w:space="0" w:color="95B3D7"/>
              <w:right w:val="single" w:sz="8" w:space="0" w:color="95B3D7"/>
            </w:tcBorders>
            <w:shd w:val="clear" w:color="000000" w:fill="DBE5F1"/>
            <w:vAlign w:val="center"/>
            <w:hideMark/>
          </w:tcPr>
          <w:p w14:paraId="6C07E7A8" w14:textId="77777777" w:rsidR="0075339F" w:rsidRPr="0075339F" w:rsidRDefault="0075339F" w:rsidP="0075339F">
            <w:pPr>
              <w:rPr>
                <w:rFonts w:ascii="Calibri" w:hAnsi="Calibri" w:cs="Calibri"/>
                <w:color w:val="17365D"/>
                <w:sz w:val="20"/>
                <w:szCs w:val="20"/>
                <w:lang w:eastAsia="en-AU"/>
              </w:rPr>
            </w:pPr>
            <w:r w:rsidRPr="0075339F">
              <w:rPr>
                <w:rFonts w:ascii="Calibri" w:hAnsi="Calibri" w:cs="Calibri"/>
                <w:color w:val="17365D"/>
                <w:sz w:val="20"/>
                <w:szCs w:val="20"/>
                <w:lang w:eastAsia="en-AU"/>
              </w:rPr>
              <w:t>Legal Advice and Support (Contract)</w:t>
            </w:r>
          </w:p>
        </w:tc>
        <w:tc>
          <w:tcPr>
            <w:tcW w:w="1134" w:type="dxa"/>
            <w:tcBorders>
              <w:top w:val="nil"/>
              <w:left w:val="nil"/>
              <w:bottom w:val="single" w:sz="8" w:space="0" w:color="95B3D7"/>
              <w:right w:val="single" w:sz="8" w:space="0" w:color="95B3D7"/>
            </w:tcBorders>
            <w:shd w:val="clear" w:color="000000" w:fill="DBE5F1"/>
            <w:vAlign w:val="center"/>
            <w:hideMark/>
          </w:tcPr>
          <w:p w14:paraId="064F0B93"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$100,000</w:t>
            </w:r>
          </w:p>
        </w:tc>
        <w:tc>
          <w:tcPr>
            <w:tcW w:w="1276" w:type="dxa"/>
            <w:tcBorders>
              <w:top w:val="nil"/>
              <w:left w:val="nil"/>
              <w:bottom w:val="single" w:sz="8" w:space="0" w:color="95B3D7"/>
              <w:right w:val="single" w:sz="8" w:space="0" w:color="95B3D7"/>
            </w:tcBorders>
            <w:shd w:val="clear" w:color="000000" w:fill="DBE5F1"/>
            <w:vAlign w:val="center"/>
            <w:hideMark/>
          </w:tcPr>
          <w:p w14:paraId="217BBD7A"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$102,000</w:t>
            </w:r>
          </w:p>
        </w:tc>
        <w:tc>
          <w:tcPr>
            <w:tcW w:w="1263" w:type="dxa"/>
            <w:gridSpan w:val="2"/>
            <w:tcBorders>
              <w:top w:val="nil"/>
              <w:left w:val="nil"/>
              <w:bottom w:val="single" w:sz="8" w:space="0" w:color="95B3D7"/>
              <w:right w:val="single" w:sz="8" w:space="0" w:color="95B3D7"/>
            </w:tcBorders>
            <w:shd w:val="clear" w:color="000000" w:fill="DBE5F1"/>
            <w:vAlign w:val="center"/>
            <w:hideMark/>
          </w:tcPr>
          <w:p w14:paraId="2320B834"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$104,040</w:t>
            </w:r>
          </w:p>
        </w:tc>
      </w:tr>
      <w:tr w:rsidR="0075339F" w:rsidRPr="0075339F" w14:paraId="53E3482C" w14:textId="77777777" w:rsidTr="00956CA3">
        <w:trPr>
          <w:trHeight w:val="315"/>
        </w:trPr>
        <w:tc>
          <w:tcPr>
            <w:tcW w:w="6227" w:type="dxa"/>
            <w:tcBorders>
              <w:top w:val="nil"/>
              <w:left w:val="single" w:sz="8" w:space="0" w:color="95B3D7"/>
              <w:bottom w:val="single" w:sz="8" w:space="0" w:color="95B3D7"/>
              <w:right w:val="single" w:sz="8" w:space="0" w:color="95B3D7"/>
            </w:tcBorders>
            <w:shd w:val="clear" w:color="auto" w:fill="auto"/>
            <w:vAlign w:val="center"/>
            <w:hideMark/>
          </w:tcPr>
          <w:p w14:paraId="0591AEBB" w14:textId="77777777" w:rsidR="0075339F" w:rsidRPr="0075339F" w:rsidRDefault="0075339F" w:rsidP="0075339F">
            <w:pPr>
              <w:rPr>
                <w:rFonts w:ascii="Calibri" w:hAnsi="Calibri" w:cs="Calibri"/>
                <w:color w:val="17365D"/>
                <w:sz w:val="20"/>
                <w:szCs w:val="20"/>
                <w:lang w:eastAsia="en-AU"/>
              </w:rPr>
            </w:pPr>
            <w:r w:rsidRPr="0075339F">
              <w:rPr>
                <w:rFonts w:ascii="Calibri" w:hAnsi="Calibri" w:cs="Calibri"/>
                <w:color w:val="17365D"/>
                <w:sz w:val="20"/>
                <w:szCs w:val="20"/>
                <w:lang w:eastAsia="en-AU"/>
              </w:rPr>
              <w:t>Liaison and Ongoing Stakeholder Engagement</w:t>
            </w:r>
          </w:p>
        </w:tc>
        <w:tc>
          <w:tcPr>
            <w:tcW w:w="1134" w:type="dxa"/>
            <w:tcBorders>
              <w:top w:val="nil"/>
              <w:left w:val="nil"/>
              <w:bottom w:val="single" w:sz="8" w:space="0" w:color="95B3D7"/>
              <w:right w:val="single" w:sz="8" w:space="0" w:color="95B3D7"/>
            </w:tcBorders>
            <w:shd w:val="clear" w:color="auto" w:fill="auto"/>
            <w:vAlign w:val="center"/>
            <w:hideMark/>
          </w:tcPr>
          <w:p w14:paraId="40E8F81A"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$32,500</w:t>
            </w:r>
          </w:p>
        </w:tc>
        <w:tc>
          <w:tcPr>
            <w:tcW w:w="1276" w:type="dxa"/>
            <w:tcBorders>
              <w:top w:val="nil"/>
              <w:left w:val="nil"/>
              <w:bottom w:val="single" w:sz="8" w:space="0" w:color="95B3D7"/>
              <w:right w:val="single" w:sz="8" w:space="0" w:color="95B3D7"/>
            </w:tcBorders>
            <w:shd w:val="clear" w:color="auto" w:fill="auto"/>
            <w:vAlign w:val="center"/>
            <w:hideMark/>
          </w:tcPr>
          <w:p w14:paraId="4482D1D1"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$35,000</w:t>
            </w:r>
          </w:p>
        </w:tc>
        <w:tc>
          <w:tcPr>
            <w:tcW w:w="1263" w:type="dxa"/>
            <w:gridSpan w:val="2"/>
            <w:tcBorders>
              <w:top w:val="nil"/>
              <w:left w:val="nil"/>
              <w:bottom w:val="single" w:sz="8" w:space="0" w:color="95B3D7"/>
              <w:right w:val="single" w:sz="8" w:space="0" w:color="95B3D7"/>
            </w:tcBorders>
            <w:shd w:val="clear" w:color="auto" w:fill="auto"/>
            <w:vAlign w:val="center"/>
            <w:hideMark/>
          </w:tcPr>
          <w:p w14:paraId="69B806A1"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$37,500</w:t>
            </w:r>
          </w:p>
        </w:tc>
      </w:tr>
      <w:tr w:rsidR="00956CA3" w:rsidRPr="0075339F" w14:paraId="47230E02" w14:textId="77777777" w:rsidTr="00956CA3">
        <w:trPr>
          <w:trHeight w:val="315"/>
        </w:trPr>
        <w:tc>
          <w:tcPr>
            <w:tcW w:w="6227" w:type="dxa"/>
            <w:tcBorders>
              <w:top w:val="nil"/>
              <w:left w:val="single" w:sz="8" w:space="0" w:color="95B3D7"/>
              <w:bottom w:val="single" w:sz="8" w:space="0" w:color="95B3D7"/>
              <w:right w:val="single" w:sz="8" w:space="0" w:color="95B3D7"/>
            </w:tcBorders>
            <w:shd w:val="clear" w:color="000000" w:fill="DBE5F1"/>
            <w:vAlign w:val="center"/>
            <w:hideMark/>
          </w:tcPr>
          <w:p w14:paraId="51549939" w14:textId="77777777" w:rsidR="0075339F" w:rsidRPr="0075339F" w:rsidRDefault="0075339F" w:rsidP="0075339F">
            <w:pPr>
              <w:rPr>
                <w:rFonts w:ascii="Calibri" w:hAnsi="Calibri" w:cs="Calibri"/>
                <w:color w:val="17365D"/>
                <w:sz w:val="20"/>
                <w:szCs w:val="20"/>
                <w:lang w:eastAsia="en-AU"/>
              </w:rPr>
            </w:pPr>
            <w:r w:rsidRPr="0075339F">
              <w:rPr>
                <w:rFonts w:ascii="Calibri" w:hAnsi="Calibri" w:cs="Calibri"/>
                <w:color w:val="17365D"/>
                <w:sz w:val="20"/>
                <w:szCs w:val="20"/>
                <w:lang w:eastAsia="en-AU"/>
              </w:rPr>
              <w:t>Overheads (including overheads to the Dept)</w:t>
            </w:r>
          </w:p>
        </w:tc>
        <w:tc>
          <w:tcPr>
            <w:tcW w:w="1134" w:type="dxa"/>
            <w:tcBorders>
              <w:top w:val="nil"/>
              <w:left w:val="nil"/>
              <w:bottom w:val="single" w:sz="8" w:space="0" w:color="95B3D7"/>
              <w:right w:val="single" w:sz="8" w:space="0" w:color="95B3D7"/>
            </w:tcBorders>
            <w:shd w:val="clear" w:color="000000" w:fill="DBE5F1"/>
            <w:vAlign w:val="center"/>
            <w:hideMark/>
          </w:tcPr>
          <w:p w14:paraId="3587065C"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$45,600</w:t>
            </w:r>
          </w:p>
        </w:tc>
        <w:tc>
          <w:tcPr>
            <w:tcW w:w="1276" w:type="dxa"/>
            <w:tcBorders>
              <w:top w:val="nil"/>
              <w:left w:val="nil"/>
              <w:bottom w:val="single" w:sz="8" w:space="0" w:color="95B3D7"/>
              <w:right w:val="single" w:sz="8" w:space="0" w:color="95B3D7"/>
            </w:tcBorders>
            <w:shd w:val="clear" w:color="000000" w:fill="DBE5F1"/>
            <w:vAlign w:val="center"/>
            <w:hideMark/>
          </w:tcPr>
          <w:p w14:paraId="180BCB6B"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$46,510</w:t>
            </w:r>
          </w:p>
        </w:tc>
        <w:tc>
          <w:tcPr>
            <w:tcW w:w="1263" w:type="dxa"/>
            <w:gridSpan w:val="2"/>
            <w:tcBorders>
              <w:top w:val="nil"/>
              <w:left w:val="nil"/>
              <w:bottom w:val="single" w:sz="8" w:space="0" w:color="95B3D7"/>
              <w:right w:val="single" w:sz="8" w:space="0" w:color="95B3D7"/>
            </w:tcBorders>
            <w:shd w:val="clear" w:color="000000" w:fill="DBE5F1"/>
            <w:vAlign w:val="center"/>
            <w:hideMark/>
          </w:tcPr>
          <w:p w14:paraId="1787931A"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$47,440</w:t>
            </w:r>
          </w:p>
        </w:tc>
      </w:tr>
      <w:tr w:rsidR="0075339F" w:rsidRPr="0075339F" w14:paraId="763554F9" w14:textId="77777777" w:rsidTr="00956CA3">
        <w:trPr>
          <w:trHeight w:val="315"/>
        </w:trPr>
        <w:tc>
          <w:tcPr>
            <w:tcW w:w="6227" w:type="dxa"/>
            <w:tcBorders>
              <w:top w:val="nil"/>
              <w:left w:val="single" w:sz="8" w:space="0" w:color="95B3D7"/>
              <w:bottom w:val="single" w:sz="8" w:space="0" w:color="95B3D7"/>
              <w:right w:val="single" w:sz="8" w:space="0" w:color="95B3D7"/>
            </w:tcBorders>
            <w:shd w:val="clear" w:color="auto" w:fill="auto"/>
            <w:vAlign w:val="center"/>
            <w:hideMark/>
          </w:tcPr>
          <w:p w14:paraId="26DD3A18" w14:textId="77777777" w:rsidR="0075339F" w:rsidRPr="0075339F" w:rsidRDefault="0075339F" w:rsidP="0075339F">
            <w:pPr>
              <w:rPr>
                <w:rFonts w:ascii="Calibri" w:hAnsi="Calibri" w:cs="Calibri"/>
                <w:color w:val="17365D"/>
                <w:sz w:val="20"/>
                <w:szCs w:val="20"/>
                <w:lang w:eastAsia="en-AU"/>
              </w:rPr>
            </w:pPr>
            <w:r w:rsidRPr="0075339F">
              <w:rPr>
                <w:rFonts w:ascii="Calibri" w:hAnsi="Calibri" w:cs="Calibri"/>
                <w:color w:val="17365D"/>
                <w:sz w:val="20"/>
                <w:szCs w:val="20"/>
                <w:lang w:eastAsia="en-AU"/>
              </w:rPr>
              <w:t>Administration</w:t>
            </w:r>
          </w:p>
        </w:tc>
        <w:tc>
          <w:tcPr>
            <w:tcW w:w="1134" w:type="dxa"/>
            <w:tcBorders>
              <w:top w:val="nil"/>
              <w:left w:val="nil"/>
              <w:bottom w:val="single" w:sz="8" w:space="0" w:color="95B3D7"/>
              <w:right w:val="single" w:sz="8" w:space="0" w:color="95B3D7"/>
            </w:tcBorders>
            <w:shd w:val="clear" w:color="auto" w:fill="auto"/>
            <w:vAlign w:val="center"/>
            <w:hideMark/>
          </w:tcPr>
          <w:p w14:paraId="100A7C9E"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$21,312</w:t>
            </w:r>
          </w:p>
        </w:tc>
        <w:tc>
          <w:tcPr>
            <w:tcW w:w="1276" w:type="dxa"/>
            <w:tcBorders>
              <w:top w:val="nil"/>
              <w:left w:val="nil"/>
              <w:bottom w:val="single" w:sz="8" w:space="0" w:color="95B3D7"/>
              <w:right w:val="single" w:sz="8" w:space="0" w:color="95B3D7"/>
            </w:tcBorders>
            <w:shd w:val="clear" w:color="auto" w:fill="auto"/>
            <w:vAlign w:val="center"/>
            <w:hideMark/>
          </w:tcPr>
          <w:p w14:paraId="7D5B8154"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$21,723</w:t>
            </w:r>
          </w:p>
        </w:tc>
        <w:tc>
          <w:tcPr>
            <w:tcW w:w="1263" w:type="dxa"/>
            <w:gridSpan w:val="2"/>
            <w:tcBorders>
              <w:top w:val="nil"/>
              <w:left w:val="nil"/>
              <w:bottom w:val="single" w:sz="8" w:space="0" w:color="95B3D7"/>
              <w:right w:val="single" w:sz="8" w:space="0" w:color="95B3D7"/>
            </w:tcBorders>
            <w:shd w:val="clear" w:color="auto" w:fill="auto"/>
            <w:vAlign w:val="center"/>
            <w:hideMark/>
          </w:tcPr>
          <w:p w14:paraId="3A7D5BBE" w14:textId="77777777" w:rsidR="0075339F" w:rsidRPr="0075339F" w:rsidRDefault="0075339F" w:rsidP="0075339F">
            <w:pPr>
              <w:jc w:val="right"/>
              <w:rPr>
                <w:rFonts w:ascii="Calibri" w:hAnsi="Calibri" w:cs="Calibri"/>
                <w:color w:val="17365D"/>
                <w:sz w:val="20"/>
                <w:szCs w:val="20"/>
                <w:lang w:eastAsia="en-AU"/>
              </w:rPr>
            </w:pPr>
            <w:r w:rsidRPr="0075339F">
              <w:rPr>
                <w:rFonts w:ascii="Calibri" w:hAnsi="Calibri" w:cs="Calibri"/>
                <w:color w:val="17365D"/>
                <w:sz w:val="20"/>
                <w:szCs w:val="20"/>
                <w:lang w:eastAsia="en-AU"/>
              </w:rPr>
              <w:t>$22,157</w:t>
            </w:r>
          </w:p>
        </w:tc>
      </w:tr>
      <w:tr w:rsidR="00956CA3" w:rsidRPr="0075339F" w14:paraId="7205F0FD" w14:textId="77777777" w:rsidTr="00956CA3">
        <w:trPr>
          <w:trHeight w:val="315"/>
        </w:trPr>
        <w:tc>
          <w:tcPr>
            <w:tcW w:w="6227" w:type="dxa"/>
            <w:tcBorders>
              <w:top w:val="nil"/>
              <w:left w:val="single" w:sz="8" w:space="0" w:color="95B3D7"/>
              <w:bottom w:val="single" w:sz="8" w:space="0" w:color="95B3D7"/>
              <w:right w:val="single" w:sz="8" w:space="0" w:color="95B3D7"/>
            </w:tcBorders>
            <w:shd w:val="clear" w:color="000000" w:fill="DBE5F1"/>
            <w:vAlign w:val="center"/>
            <w:hideMark/>
          </w:tcPr>
          <w:p w14:paraId="7709C333" w14:textId="77777777" w:rsidR="0075339F" w:rsidRPr="0075339F" w:rsidRDefault="0075339F" w:rsidP="0075339F">
            <w:pPr>
              <w:rPr>
                <w:rFonts w:ascii="Calibri" w:hAnsi="Calibri" w:cs="Calibri"/>
                <w:color w:val="17365D"/>
                <w:sz w:val="20"/>
                <w:szCs w:val="20"/>
                <w:lang w:eastAsia="en-AU"/>
              </w:rPr>
            </w:pPr>
            <w:r w:rsidRPr="0075339F">
              <w:rPr>
                <w:rFonts w:ascii="Calibri" w:hAnsi="Calibri" w:cs="Calibri"/>
                <w:color w:val="17365D"/>
                <w:sz w:val="20"/>
                <w:szCs w:val="20"/>
                <w:lang w:eastAsia="en-AU"/>
              </w:rPr>
              <w:t>Sub-total (Indirect Costs)</w:t>
            </w:r>
          </w:p>
        </w:tc>
        <w:tc>
          <w:tcPr>
            <w:tcW w:w="1134" w:type="dxa"/>
            <w:tcBorders>
              <w:top w:val="nil"/>
              <w:left w:val="nil"/>
              <w:bottom w:val="single" w:sz="8" w:space="0" w:color="95B3D7"/>
              <w:right w:val="single" w:sz="8" w:space="0" w:color="95B3D7"/>
            </w:tcBorders>
            <w:shd w:val="clear" w:color="000000" w:fill="DBE5F1"/>
            <w:vAlign w:val="center"/>
            <w:hideMark/>
          </w:tcPr>
          <w:p w14:paraId="4C926759" w14:textId="77777777" w:rsidR="0075339F" w:rsidRPr="00313029" w:rsidRDefault="0075339F" w:rsidP="0075339F">
            <w:pPr>
              <w:jc w:val="right"/>
              <w:rPr>
                <w:rFonts w:ascii="Calibri" w:hAnsi="Calibri" w:cs="Calibri"/>
                <w:b/>
                <w:bCs/>
                <w:color w:val="17365D"/>
                <w:sz w:val="20"/>
                <w:szCs w:val="20"/>
                <w:lang w:eastAsia="en-AU"/>
              </w:rPr>
            </w:pPr>
            <w:r w:rsidRPr="00313029">
              <w:rPr>
                <w:rFonts w:ascii="Calibri" w:hAnsi="Calibri" w:cs="Calibri"/>
                <w:b/>
                <w:bCs/>
                <w:color w:val="17365D"/>
                <w:sz w:val="20"/>
                <w:szCs w:val="20"/>
                <w:lang w:eastAsia="en-AU"/>
              </w:rPr>
              <w:t>$199,412</w:t>
            </w:r>
          </w:p>
        </w:tc>
        <w:tc>
          <w:tcPr>
            <w:tcW w:w="1276" w:type="dxa"/>
            <w:tcBorders>
              <w:top w:val="nil"/>
              <w:left w:val="nil"/>
              <w:bottom w:val="single" w:sz="8" w:space="0" w:color="95B3D7"/>
              <w:right w:val="single" w:sz="8" w:space="0" w:color="95B3D7"/>
            </w:tcBorders>
            <w:shd w:val="clear" w:color="000000" w:fill="DBE5F1"/>
            <w:vAlign w:val="center"/>
            <w:hideMark/>
          </w:tcPr>
          <w:p w14:paraId="2793A9DC" w14:textId="77777777" w:rsidR="0075339F" w:rsidRPr="00313029" w:rsidRDefault="0075339F" w:rsidP="0075339F">
            <w:pPr>
              <w:jc w:val="right"/>
              <w:rPr>
                <w:rFonts w:ascii="Calibri" w:hAnsi="Calibri" w:cs="Calibri"/>
                <w:b/>
                <w:bCs/>
                <w:color w:val="17365D"/>
                <w:sz w:val="20"/>
                <w:szCs w:val="20"/>
                <w:lang w:eastAsia="en-AU"/>
              </w:rPr>
            </w:pPr>
            <w:r w:rsidRPr="00313029">
              <w:rPr>
                <w:rFonts w:ascii="Calibri" w:hAnsi="Calibri" w:cs="Calibri"/>
                <w:b/>
                <w:bCs/>
                <w:color w:val="17365D"/>
                <w:sz w:val="20"/>
                <w:szCs w:val="20"/>
                <w:lang w:eastAsia="en-AU"/>
              </w:rPr>
              <w:t>$205,233</w:t>
            </w:r>
          </w:p>
        </w:tc>
        <w:tc>
          <w:tcPr>
            <w:tcW w:w="1263" w:type="dxa"/>
            <w:gridSpan w:val="2"/>
            <w:tcBorders>
              <w:top w:val="nil"/>
              <w:left w:val="nil"/>
              <w:bottom w:val="single" w:sz="8" w:space="0" w:color="95B3D7"/>
              <w:right w:val="single" w:sz="8" w:space="0" w:color="95B3D7"/>
            </w:tcBorders>
            <w:shd w:val="clear" w:color="000000" w:fill="DBE5F1"/>
            <w:vAlign w:val="center"/>
            <w:hideMark/>
          </w:tcPr>
          <w:p w14:paraId="66E81F4E" w14:textId="77777777" w:rsidR="0075339F" w:rsidRPr="00313029" w:rsidRDefault="0075339F" w:rsidP="0075339F">
            <w:pPr>
              <w:jc w:val="right"/>
              <w:rPr>
                <w:rFonts w:ascii="Calibri" w:hAnsi="Calibri" w:cs="Calibri"/>
                <w:b/>
                <w:bCs/>
                <w:color w:val="17365D"/>
                <w:sz w:val="20"/>
                <w:szCs w:val="20"/>
                <w:lang w:eastAsia="en-AU"/>
              </w:rPr>
            </w:pPr>
            <w:r w:rsidRPr="00313029">
              <w:rPr>
                <w:rFonts w:ascii="Calibri" w:hAnsi="Calibri" w:cs="Calibri"/>
                <w:b/>
                <w:bCs/>
                <w:color w:val="17365D"/>
                <w:sz w:val="20"/>
                <w:szCs w:val="20"/>
                <w:lang w:eastAsia="en-AU"/>
              </w:rPr>
              <w:t>$211,138</w:t>
            </w:r>
          </w:p>
        </w:tc>
      </w:tr>
      <w:tr w:rsidR="0075339F" w:rsidRPr="0075339F" w14:paraId="3FEEF7F2" w14:textId="77777777" w:rsidTr="00956CA3">
        <w:trPr>
          <w:trHeight w:val="315"/>
        </w:trPr>
        <w:tc>
          <w:tcPr>
            <w:tcW w:w="6227" w:type="dxa"/>
            <w:tcBorders>
              <w:top w:val="nil"/>
              <w:left w:val="single" w:sz="8" w:space="0" w:color="95B3D7"/>
              <w:bottom w:val="single" w:sz="8" w:space="0" w:color="95B3D7"/>
              <w:right w:val="single" w:sz="8" w:space="0" w:color="95B3D7"/>
            </w:tcBorders>
            <w:shd w:val="clear" w:color="auto" w:fill="auto"/>
            <w:vAlign w:val="center"/>
            <w:hideMark/>
          </w:tcPr>
          <w:p w14:paraId="68FB0B33" w14:textId="77777777" w:rsidR="0075339F" w:rsidRPr="0075339F" w:rsidRDefault="0075339F" w:rsidP="0075339F">
            <w:pPr>
              <w:rPr>
                <w:rFonts w:ascii="Calibri" w:hAnsi="Calibri" w:cs="Calibri"/>
                <w:b/>
                <w:bCs/>
                <w:color w:val="17365D"/>
                <w:sz w:val="20"/>
                <w:szCs w:val="20"/>
                <w:lang w:eastAsia="en-AU"/>
              </w:rPr>
            </w:pPr>
            <w:r w:rsidRPr="0075339F">
              <w:rPr>
                <w:rFonts w:ascii="Calibri" w:hAnsi="Calibri" w:cs="Calibri"/>
                <w:b/>
                <w:bCs/>
                <w:color w:val="17365D"/>
                <w:sz w:val="20"/>
                <w:szCs w:val="20"/>
                <w:lang w:eastAsia="en-AU"/>
              </w:rPr>
              <w:t>Total</w:t>
            </w:r>
          </w:p>
        </w:tc>
        <w:tc>
          <w:tcPr>
            <w:tcW w:w="1134" w:type="dxa"/>
            <w:tcBorders>
              <w:top w:val="nil"/>
              <w:left w:val="nil"/>
              <w:bottom w:val="single" w:sz="8" w:space="0" w:color="95B3D7"/>
              <w:right w:val="single" w:sz="8" w:space="0" w:color="95B3D7"/>
            </w:tcBorders>
            <w:shd w:val="clear" w:color="auto" w:fill="auto"/>
            <w:vAlign w:val="center"/>
            <w:hideMark/>
          </w:tcPr>
          <w:p w14:paraId="01E995F2" w14:textId="77777777" w:rsidR="0075339F" w:rsidRPr="0075339F" w:rsidRDefault="0075339F" w:rsidP="0075339F">
            <w:pPr>
              <w:jc w:val="right"/>
              <w:rPr>
                <w:rFonts w:ascii="Calibri" w:hAnsi="Calibri" w:cs="Calibri"/>
                <w:b/>
                <w:bCs/>
                <w:color w:val="17365D"/>
                <w:sz w:val="20"/>
                <w:szCs w:val="20"/>
                <w:lang w:eastAsia="en-AU"/>
              </w:rPr>
            </w:pPr>
            <w:r w:rsidRPr="0075339F">
              <w:rPr>
                <w:rFonts w:ascii="Calibri" w:hAnsi="Calibri" w:cs="Calibri"/>
                <w:b/>
                <w:bCs/>
                <w:color w:val="17365D"/>
                <w:sz w:val="20"/>
                <w:szCs w:val="20"/>
                <w:lang w:eastAsia="en-AU"/>
              </w:rPr>
              <w:t>$1,215,511</w:t>
            </w:r>
          </w:p>
        </w:tc>
        <w:tc>
          <w:tcPr>
            <w:tcW w:w="1276" w:type="dxa"/>
            <w:tcBorders>
              <w:top w:val="nil"/>
              <w:left w:val="nil"/>
              <w:bottom w:val="single" w:sz="8" w:space="0" w:color="95B3D7"/>
              <w:right w:val="single" w:sz="8" w:space="0" w:color="95B3D7"/>
            </w:tcBorders>
            <w:shd w:val="clear" w:color="auto" w:fill="auto"/>
            <w:vAlign w:val="center"/>
            <w:hideMark/>
          </w:tcPr>
          <w:p w14:paraId="792A2666" w14:textId="77777777" w:rsidR="0075339F" w:rsidRPr="0075339F" w:rsidRDefault="0075339F" w:rsidP="0075339F">
            <w:pPr>
              <w:jc w:val="right"/>
              <w:rPr>
                <w:rFonts w:ascii="Calibri" w:hAnsi="Calibri" w:cs="Calibri"/>
                <w:b/>
                <w:bCs/>
                <w:color w:val="17365D"/>
                <w:sz w:val="20"/>
                <w:szCs w:val="20"/>
                <w:lang w:eastAsia="en-AU"/>
              </w:rPr>
            </w:pPr>
            <w:r w:rsidRPr="0075339F">
              <w:rPr>
                <w:rFonts w:ascii="Calibri" w:hAnsi="Calibri" w:cs="Calibri"/>
                <w:b/>
                <w:bCs/>
                <w:color w:val="17365D"/>
                <w:sz w:val="20"/>
                <w:szCs w:val="20"/>
                <w:lang w:eastAsia="en-AU"/>
              </w:rPr>
              <w:t>$1,271,643</w:t>
            </w:r>
          </w:p>
        </w:tc>
        <w:tc>
          <w:tcPr>
            <w:tcW w:w="1263" w:type="dxa"/>
            <w:gridSpan w:val="2"/>
            <w:tcBorders>
              <w:top w:val="nil"/>
              <w:left w:val="nil"/>
              <w:bottom w:val="single" w:sz="8" w:space="0" w:color="95B3D7"/>
              <w:right w:val="single" w:sz="8" w:space="0" w:color="95B3D7"/>
            </w:tcBorders>
            <w:shd w:val="clear" w:color="auto" w:fill="auto"/>
            <w:vAlign w:val="center"/>
            <w:hideMark/>
          </w:tcPr>
          <w:p w14:paraId="61100DD1" w14:textId="77777777" w:rsidR="0075339F" w:rsidRPr="0075339F" w:rsidRDefault="0075339F" w:rsidP="0075339F">
            <w:pPr>
              <w:jc w:val="right"/>
              <w:rPr>
                <w:rFonts w:ascii="Calibri" w:hAnsi="Calibri" w:cs="Calibri"/>
                <w:b/>
                <w:bCs/>
                <w:color w:val="17365D"/>
                <w:sz w:val="20"/>
                <w:szCs w:val="20"/>
                <w:lang w:eastAsia="en-AU"/>
              </w:rPr>
            </w:pPr>
            <w:r w:rsidRPr="0075339F">
              <w:rPr>
                <w:rFonts w:ascii="Calibri" w:hAnsi="Calibri" w:cs="Calibri"/>
                <w:b/>
                <w:bCs/>
                <w:color w:val="17365D"/>
                <w:sz w:val="20"/>
                <w:szCs w:val="20"/>
                <w:lang w:eastAsia="en-AU"/>
              </w:rPr>
              <w:t>$1,298,877</w:t>
            </w:r>
          </w:p>
        </w:tc>
      </w:tr>
    </w:tbl>
    <w:p w14:paraId="3B968220" w14:textId="745F6C9E" w:rsidR="00D212A5" w:rsidRPr="00902AA6" w:rsidRDefault="00D212A5" w:rsidP="00902AA6">
      <w:pPr>
        <w:pStyle w:val="Heading3"/>
      </w:pPr>
      <w:bookmarkStart w:id="19" w:name="_Toc98772162"/>
      <w:r w:rsidRPr="00902AA6">
        <w:lastRenderedPageBreak/>
        <w:t>Costs of the activity</w:t>
      </w:r>
      <w:bookmarkEnd w:id="19"/>
      <w:r w:rsidRPr="00902AA6">
        <w:t xml:space="preserve"> </w:t>
      </w:r>
    </w:p>
    <w:p w14:paraId="72F537DE" w14:textId="101F97EC" w:rsidR="00D212A5" w:rsidRDefault="002B7A21" w:rsidP="00D212A5">
      <w:pPr>
        <w:rPr>
          <w:rFonts w:asciiTheme="minorHAnsi" w:hAnsiTheme="minorHAnsi" w:cstheme="minorHAnsi"/>
        </w:rPr>
      </w:pPr>
      <w:r>
        <w:rPr>
          <w:rFonts w:asciiTheme="minorHAnsi" w:hAnsiTheme="minorHAnsi" w:cstheme="minorHAnsi"/>
        </w:rPr>
        <w:t>The Registrar’s</w:t>
      </w:r>
      <w:r w:rsidR="00D212A5" w:rsidRPr="00A263BB">
        <w:rPr>
          <w:rFonts w:asciiTheme="minorHAnsi" w:hAnsiTheme="minorHAnsi" w:cstheme="minorHAnsi"/>
        </w:rPr>
        <w:t xml:space="preserve"> total budget for</w:t>
      </w:r>
      <w:r w:rsidR="0073335A">
        <w:rPr>
          <w:rFonts w:asciiTheme="minorHAnsi" w:hAnsiTheme="minorHAnsi" w:cstheme="minorHAnsi"/>
        </w:rPr>
        <w:t xml:space="preserve"> OEI activities </w:t>
      </w:r>
      <w:r w:rsidR="00D212A5" w:rsidRPr="00A263BB">
        <w:rPr>
          <w:rFonts w:asciiTheme="minorHAnsi" w:hAnsiTheme="minorHAnsi" w:cstheme="minorHAnsi"/>
        </w:rPr>
        <w:t>is $</w:t>
      </w:r>
      <w:r w:rsidR="000876F1">
        <w:rPr>
          <w:rFonts w:asciiTheme="minorHAnsi" w:hAnsiTheme="minorHAnsi" w:cstheme="minorHAnsi"/>
        </w:rPr>
        <w:t>1,</w:t>
      </w:r>
      <w:r w:rsidR="00D94F6F">
        <w:rPr>
          <w:rFonts w:asciiTheme="minorHAnsi" w:hAnsiTheme="minorHAnsi" w:cstheme="minorHAnsi"/>
        </w:rPr>
        <w:t>215,511</w:t>
      </w:r>
      <w:r w:rsidR="00962BD3">
        <w:rPr>
          <w:rFonts w:asciiTheme="minorHAnsi" w:hAnsiTheme="minorHAnsi" w:cstheme="minorHAnsi"/>
        </w:rPr>
        <w:t xml:space="preserve"> </w:t>
      </w:r>
      <w:r w:rsidR="0060166A">
        <w:rPr>
          <w:rFonts w:asciiTheme="minorHAnsi" w:hAnsiTheme="minorHAnsi" w:cstheme="minorHAnsi"/>
        </w:rPr>
        <w:t>for</w:t>
      </w:r>
      <w:r w:rsidR="0060166A" w:rsidRPr="00A263BB">
        <w:rPr>
          <w:rFonts w:asciiTheme="minorHAnsi" w:hAnsiTheme="minorHAnsi" w:cstheme="minorHAnsi"/>
        </w:rPr>
        <w:t xml:space="preserve"> 2022</w:t>
      </w:r>
      <w:r w:rsidR="0060166A">
        <w:rPr>
          <w:rFonts w:asciiTheme="minorHAnsi" w:hAnsiTheme="minorHAnsi" w:cstheme="minorHAnsi"/>
        </w:rPr>
        <w:t>-23</w:t>
      </w:r>
      <w:r w:rsidR="001367BA">
        <w:rPr>
          <w:rFonts w:asciiTheme="minorHAnsi" w:hAnsiTheme="minorHAnsi" w:cstheme="minorHAnsi"/>
        </w:rPr>
        <w:t>,</w:t>
      </w:r>
      <w:r w:rsidR="0060166A">
        <w:rPr>
          <w:rFonts w:asciiTheme="minorHAnsi" w:hAnsiTheme="minorHAnsi" w:cstheme="minorHAnsi"/>
        </w:rPr>
        <w:t xml:space="preserve"> $</w:t>
      </w:r>
      <w:r w:rsidR="000876F1">
        <w:rPr>
          <w:rFonts w:asciiTheme="minorHAnsi" w:hAnsiTheme="minorHAnsi" w:cstheme="minorHAnsi"/>
        </w:rPr>
        <w:t>1</w:t>
      </w:r>
      <w:r w:rsidR="00D94F6F">
        <w:rPr>
          <w:rFonts w:asciiTheme="minorHAnsi" w:hAnsiTheme="minorHAnsi" w:cstheme="minorHAnsi"/>
        </w:rPr>
        <w:t>,271,643</w:t>
      </w:r>
      <w:r w:rsidR="0060166A">
        <w:rPr>
          <w:rFonts w:asciiTheme="minorHAnsi" w:hAnsiTheme="minorHAnsi" w:cstheme="minorHAnsi"/>
        </w:rPr>
        <w:t xml:space="preserve"> for 2023-24</w:t>
      </w:r>
      <w:r w:rsidR="001367BA">
        <w:rPr>
          <w:rFonts w:asciiTheme="minorHAnsi" w:hAnsiTheme="minorHAnsi" w:cstheme="minorHAnsi"/>
        </w:rPr>
        <w:t xml:space="preserve"> and $</w:t>
      </w:r>
      <w:r w:rsidR="00D94F6F">
        <w:rPr>
          <w:rFonts w:asciiTheme="minorHAnsi" w:hAnsiTheme="minorHAnsi" w:cstheme="minorHAnsi"/>
        </w:rPr>
        <w:t>1,298,877</w:t>
      </w:r>
      <w:r w:rsidR="001367BA">
        <w:rPr>
          <w:rFonts w:asciiTheme="minorHAnsi" w:hAnsiTheme="minorHAnsi" w:cstheme="minorHAnsi"/>
        </w:rPr>
        <w:t xml:space="preserve"> for 2024-25</w:t>
      </w:r>
      <w:r w:rsidR="00D212A5" w:rsidRPr="00A263BB">
        <w:rPr>
          <w:rFonts w:asciiTheme="minorHAnsi" w:hAnsiTheme="minorHAnsi" w:cstheme="minorHAnsi"/>
        </w:rPr>
        <w:t>.</w:t>
      </w:r>
      <w:r w:rsidR="00D212A5" w:rsidRPr="002A67C7">
        <w:rPr>
          <w:rFonts w:asciiTheme="minorHAnsi" w:hAnsiTheme="minorHAnsi" w:cstheme="minorHAnsi"/>
        </w:rPr>
        <w:t xml:space="preserve"> </w:t>
      </w:r>
    </w:p>
    <w:p w14:paraId="0C4507E9" w14:textId="77777777" w:rsidR="00D212A5" w:rsidRDefault="00D212A5" w:rsidP="00D212A5">
      <w:pPr>
        <w:rPr>
          <w:rFonts w:asciiTheme="minorHAnsi" w:hAnsiTheme="minorHAnsi" w:cstheme="minorHAnsi"/>
        </w:rPr>
      </w:pPr>
    </w:p>
    <w:p w14:paraId="4F4D1C3B" w14:textId="3F23E0A3" w:rsidR="00D212A5" w:rsidRDefault="00D212A5" w:rsidP="00D212A5">
      <w:pPr>
        <w:rPr>
          <w:rFonts w:asciiTheme="minorHAnsi" w:hAnsiTheme="minorHAnsi" w:cstheme="minorHAnsi"/>
        </w:rPr>
      </w:pPr>
      <w:r>
        <w:rPr>
          <w:rFonts w:asciiTheme="minorHAnsi" w:hAnsiTheme="minorHAnsi" w:cstheme="minorHAnsi"/>
        </w:rPr>
        <w:t xml:space="preserve">Based on analysis of effort required, </w:t>
      </w:r>
      <w:r w:rsidRPr="00A62032">
        <w:rPr>
          <w:rFonts w:asciiTheme="minorHAnsi" w:hAnsiTheme="minorHAnsi" w:cstheme="minorHAnsi"/>
          <w:b/>
          <w:bCs/>
        </w:rPr>
        <w:t xml:space="preserve">Table </w:t>
      </w:r>
      <w:r w:rsidR="006A13DE" w:rsidRPr="00A62032">
        <w:rPr>
          <w:rFonts w:asciiTheme="minorHAnsi" w:hAnsiTheme="minorHAnsi" w:cstheme="minorHAnsi"/>
          <w:b/>
          <w:bCs/>
        </w:rPr>
        <w:t>2</w:t>
      </w:r>
      <w:r>
        <w:rPr>
          <w:rFonts w:asciiTheme="minorHAnsi" w:hAnsiTheme="minorHAnsi" w:cstheme="minorHAnsi"/>
        </w:rPr>
        <w:t xml:space="preserve"> show</w:t>
      </w:r>
      <w:r w:rsidR="00D4160C">
        <w:rPr>
          <w:rFonts w:asciiTheme="minorHAnsi" w:hAnsiTheme="minorHAnsi" w:cstheme="minorHAnsi"/>
        </w:rPr>
        <w:t>s</w:t>
      </w:r>
      <w:r>
        <w:rPr>
          <w:rFonts w:asciiTheme="minorHAnsi" w:hAnsiTheme="minorHAnsi" w:cstheme="minorHAnsi"/>
        </w:rPr>
        <w:t xml:space="preserve"> the allocation of </w:t>
      </w:r>
      <w:r w:rsidR="002B7A21">
        <w:rPr>
          <w:rFonts w:asciiTheme="minorHAnsi" w:hAnsiTheme="minorHAnsi" w:cstheme="minorHAnsi"/>
        </w:rPr>
        <w:t>the Registrar’s</w:t>
      </w:r>
      <w:r>
        <w:rPr>
          <w:rFonts w:asciiTheme="minorHAnsi" w:hAnsiTheme="minorHAnsi" w:cstheme="minorHAnsi"/>
        </w:rPr>
        <w:t xml:space="preserve"> costs to outputs</w:t>
      </w:r>
      <w:r w:rsidR="00D4160C">
        <w:rPr>
          <w:rFonts w:asciiTheme="minorHAnsi" w:hAnsiTheme="minorHAnsi" w:cstheme="minorHAnsi"/>
        </w:rPr>
        <w:t xml:space="preserve"> for 2022-23</w:t>
      </w:r>
      <w:r w:rsidR="00A25D50">
        <w:rPr>
          <w:rFonts w:asciiTheme="minorHAnsi" w:hAnsiTheme="minorHAnsi" w:cstheme="minorHAnsi"/>
        </w:rPr>
        <w:t xml:space="preserve">, </w:t>
      </w:r>
      <w:r w:rsidR="00D4160C">
        <w:rPr>
          <w:rFonts w:asciiTheme="minorHAnsi" w:hAnsiTheme="minorHAnsi" w:cstheme="minorHAnsi"/>
        </w:rPr>
        <w:t xml:space="preserve">2023-24 </w:t>
      </w:r>
      <w:r w:rsidR="00A25D50">
        <w:rPr>
          <w:rFonts w:asciiTheme="minorHAnsi" w:hAnsiTheme="minorHAnsi" w:cstheme="minorHAnsi"/>
        </w:rPr>
        <w:t xml:space="preserve">and 2024-25 </w:t>
      </w:r>
      <w:r w:rsidR="00D4160C">
        <w:rPr>
          <w:rFonts w:asciiTheme="minorHAnsi" w:hAnsiTheme="minorHAnsi" w:cstheme="minorHAnsi"/>
        </w:rPr>
        <w:t>based on anticipated applications</w:t>
      </w:r>
      <w:r>
        <w:rPr>
          <w:rFonts w:asciiTheme="minorHAnsi" w:hAnsiTheme="minorHAnsi" w:cstheme="minorHAnsi"/>
        </w:rPr>
        <w:t xml:space="preserve">. The figures were derived </w:t>
      </w:r>
      <w:r w:rsidRPr="00F507ED">
        <w:rPr>
          <w:rFonts w:asciiTheme="minorHAnsi" w:hAnsiTheme="minorHAnsi" w:cstheme="minorHAnsi"/>
        </w:rPr>
        <w:t>by multiplying the</w:t>
      </w:r>
      <w:r>
        <w:rPr>
          <w:rFonts w:asciiTheme="minorHAnsi" w:hAnsiTheme="minorHAnsi" w:cstheme="minorHAnsi"/>
        </w:rPr>
        <w:t xml:space="preserve"> direct and indirect costs of each team by the level of effort estimated to achieve each output.</w:t>
      </w:r>
    </w:p>
    <w:p w14:paraId="5C40F22D" w14:textId="77777777" w:rsidR="00D212A5" w:rsidRDefault="00D212A5" w:rsidP="00D212A5">
      <w:pPr>
        <w:rPr>
          <w:rFonts w:asciiTheme="minorHAnsi" w:hAnsiTheme="minorHAnsi" w:cstheme="minorHAnsi"/>
        </w:rPr>
      </w:pPr>
    </w:p>
    <w:p w14:paraId="6A5E00F2" w14:textId="39E50F48" w:rsidR="00897B24" w:rsidRDefault="00D212A5" w:rsidP="00D212A5">
      <w:pPr>
        <w:rPr>
          <w:rFonts w:ascii="Calibri" w:hAnsi="Calibri" w:cs="Calibri"/>
          <w:color w:val="000000"/>
        </w:rPr>
      </w:pPr>
      <w:r w:rsidRPr="00107D3F">
        <w:rPr>
          <w:rFonts w:asciiTheme="minorHAnsi" w:hAnsiTheme="minorHAnsi" w:cstheme="minorHAnsi"/>
          <w:b/>
          <w:bCs/>
        </w:rPr>
        <w:t xml:space="preserve">Table </w:t>
      </w:r>
      <w:r w:rsidR="00AF30A2" w:rsidRPr="00107D3F">
        <w:rPr>
          <w:rFonts w:asciiTheme="minorHAnsi" w:hAnsiTheme="minorHAnsi" w:cstheme="minorHAnsi"/>
          <w:b/>
          <w:bCs/>
        </w:rPr>
        <w:t>2</w:t>
      </w:r>
      <w:r w:rsidRPr="00AF30A2">
        <w:rPr>
          <w:rFonts w:asciiTheme="minorHAnsi" w:hAnsiTheme="minorHAnsi" w:cstheme="minorHAnsi"/>
        </w:rPr>
        <w:t xml:space="preserve">: Cost allocated to outputs in </w:t>
      </w:r>
      <w:r w:rsidR="00465868">
        <w:rPr>
          <w:rFonts w:ascii="Calibri" w:hAnsi="Calibri" w:cs="Calibri"/>
          <w:color w:val="000000"/>
        </w:rPr>
        <w:t>2022-23 to 2024-25</w:t>
      </w:r>
    </w:p>
    <w:tbl>
      <w:tblPr>
        <w:tblW w:w="10563" w:type="dxa"/>
        <w:tblLook w:val="04A0" w:firstRow="1" w:lastRow="0" w:firstColumn="1" w:lastColumn="0" w:noHBand="0" w:noVBand="1"/>
      </w:tblPr>
      <w:tblGrid>
        <w:gridCol w:w="693"/>
        <w:gridCol w:w="1198"/>
        <w:gridCol w:w="594"/>
        <w:gridCol w:w="948"/>
        <w:gridCol w:w="948"/>
        <w:gridCol w:w="948"/>
        <w:gridCol w:w="825"/>
        <w:gridCol w:w="825"/>
        <w:gridCol w:w="825"/>
        <w:gridCol w:w="948"/>
        <w:gridCol w:w="948"/>
        <w:gridCol w:w="948"/>
      </w:tblGrid>
      <w:tr w:rsidR="00897B24" w:rsidRPr="00897B24" w14:paraId="5258F41C" w14:textId="77777777" w:rsidTr="00897B24">
        <w:trPr>
          <w:trHeight w:val="300"/>
        </w:trPr>
        <w:tc>
          <w:tcPr>
            <w:tcW w:w="693" w:type="dxa"/>
            <w:tcBorders>
              <w:top w:val="single" w:sz="8" w:space="0" w:color="4F81BD"/>
              <w:left w:val="single" w:sz="8" w:space="0" w:color="4F81BD"/>
              <w:bottom w:val="nil"/>
              <w:right w:val="nil"/>
            </w:tcBorders>
            <w:shd w:val="clear" w:color="000000" w:fill="4F81BD"/>
            <w:vAlign w:val="center"/>
            <w:hideMark/>
          </w:tcPr>
          <w:p w14:paraId="7F27DB99" w14:textId="77777777" w:rsidR="00897B24" w:rsidRPr="00897B24" w:rsidRDefault="00897B24" w:rsidP="00897B24">
            <w:pPr>
              <w:jc w:val="center"/>
              <w:rPr>
                <w:rFonts w:ascii="Calibri" w:hAnsi="Calibri" w:cs="Calibri"/>
                <w:b/>
                <w:bCs/>
                <w:color w:val="FFFFFF"/>
                <w:sz w:val="16"/>
                <w:szCs w:val="16"/>
                <w:lang w:eastAsia="en-AU"/>
              </w:rPr>
            </w:pPr>
            <w:r w:rsidRPr="00897B24">
              <w:rPr>
                <w:rFonts w:ascii="Calibri" w:hAnsi="Calibri" w:cs="Calibri"/>
                <w:b/>
                <w:bCs/>
                <w:color w:val="FFFFFF"/>
                <w:sz w:val="16"/>
                <w:szCs w:val="16"/>
                <w:lang w:eastAsia="en-AU"/>
              </w:rPr>
              <w:t>Output</w:t>
            </w:r>
          </w:p>
        </w:tc>
        <w:tc>
          <w:tcPr>
            <w:tcW w:w="1198" w:type="dxa"/>
            <w:vMerge w:val="restart"/>
            <w:tcBorders>
              <w:top w:val="single" w:sz="8" w:space="0" w:color="4F81BD"/>
              <w:left w:val="nil"/>
              <w:bottom w:val="single" w:sz="8" w:space="0" w:color="4F81BD"/>
              <w:right w:val="nil"/>
            </w:tcBorders>
            <w:shd w:val="clear" w:color="000000" w:fill="4F81BD"/>
            <w:vAlign w:val="center"/>
            <w:hideMark/>
          </w:tcPr>
          <w:p w14:paraId="37206E2D" w14:textId="77777777" w:rsidR="00897B24" w:rsidRPr="00897B24" w:rsidRDefault="00897B24" w:rsidP="00897B24">
            <w:pPr>
              <w:rPr>
                <w:rFonts w:ascii="Calibri" w:hAnsi="Calibri" w:cs="Calibri"/>
                <w:b/>
                <w:bCs/>
                <w:color w:val="FFFFFF"/>
                <w:sz w:val="16"/>
                <w:szCs w:val="16"/>
                <w:lang w:eastAsia="en-AU"/>
              </w:rPr>
            </w:pPr>
            <w:r w:rsidRPr="00897B24">
              <w:rPr>
                <w:rFonts w:ascii="Calibri" w:hAnsi="Calibri" w:cs="Calibri"/>
                <w:b/>
                <w:bCs/>
                <w:color w:val="FFFFFF"/>
                <w:sz w:val="16"/>
                <w:szCs w:val="16"/>
                <w:lang w:eastAsia="en-AU"/>
              </w:rPr>
              <w:t>Output</w:t>
            </w:r>
          </w:p>
        </w:tc>
        <w:tc>
          <w:tcPr>
            <w:tcW w:w="509" w:type="dxa"/>
            <w:vMerge w:val="restart"/>
            <w:tcBorders>
              <w:top w:val="single" w:sz="8" w:space="0" w:color="4F81BD"/>
              <w:left w:val="nil"/>
              <w:bottom w:val="single" w:sz="8" w:space="0" w:color="4F81BD"/>
              <w:right w:val="nil"/>
            </w:tcBorders>
            <w:shd w:val="clear" w:color="000000" w:fill="4F81BD"/>
            <w:vAlign w:val="center"/>
            <w:hideMark/>
          </w:tcPr>
          <w:p w14:paraId="722F75E8" w14:textId="77777777" w:rsidR="00897B24" w:rsidRPr="00897B24" w:rsidRDefault="00897B24" w:rsidP="00897B24">
            <w:pPr>
              <w:jc w:val="center"/>
              <w:rPr>
                <w:rFonts w:ascii="Calibri" w:hAnsi="Calibri" w:cs="Calibri"/>
                <w:b/>
                <w:bCs/>
                <w:color w:val="FFFFFF"/>
                <w:sz w:val="16"/>
                <w:szCs w:val="16"/>
                <w:lang w:eastAsia="en-AU"/>
              </w:rPr>
            </w:pPr>
            <w:r w:rsidRPr="00897B24">
              <w:rPr>
                <w:rFonts w:ascii="Calibri" w:hAnsi="Calibri" w:cs="Calibri"/>
                <w:b/>
                <w:bCs/>
                <w:color w:val="FFFFFF"/>
                <w:sz w:val="16"/>
                <w:szCs w:val="16"/>
                <w:lang w:eastAsia="en-AU"/>
              </w:rPr>
              <w:t>% Effort</w:t>
            </w:r>
          </w:p>
        </w:tc>
        <w:tc>
          <w:tcPr>
            <w:tcW w:w="0" w:type="auto"/>
            <w:gridSpan w:val="3"/>
            <w:tcBorders>
              <w:top w:val="single" w:sz="8" w:space="0" w:color="4F81BD"/>
              <w:left w:val="nil"/>
              <w:bottom w:val="nil"/>
              <w:right w:val="nil"/>
            </w:tcBorders>
            <w:shd w:val="clear" w:color="000000" w:fill="4F81BD"/>
            <w:vAlign w:val="center"/>
            <w:hideMark/>
          </w:tcPr>
          <w:p w14:paraId="21CB4303" w14:textId="77777777" w:rsidR="00897B24" w:rsidRPr="00897B24" w:rsidRDefault="00897B24" w:rsidP="00897B24">
            <w:pPr>
              <w:jc w:val="center"/>
              <w:rPr>
                <w:rFonts w:ascii="Calibri" w:hAnsi="Calibri" w:cs="Calibri"/>
                <w:b/>
                <w:bCs/>
                <w:color w:val="FFFFFF"/>
                <w:sz w:val="16"/>
                <w:szCs w:val="16"/>
                <w:lang w:eastAsia="en-AU"/>
              </w:rPr>
            </w:pPr>
            <w:r w:rsidRPr="00897B24">
              <w:rPr>
                <w:rFonts w:ascii="Calibri" w:hAnsi="Calibri" w:cs="Calibri"/>
                <w:b/>
                <w:bCs/>
                <w:color w:val="FFFFFF"/>
                <w:sz w:val="16"/>
                <w:szCs w:val="16"/>
                <w:lang w:eastAsia="en-AU"/>
              </w:rPr>
              <w:t>Direct Costs</w:t>
            </w:r>
          </w:p>
        </w:tc>
        <w:tc>
          <w:tcPr>
            <w:tcW w:w="0" w:type="auto"/>
            <w:gridSpan w:val="3"/>
            <w:tcBorders>
              <w:top w:val="single" w:sz="8" w:space="0" w:color="4F81BD"/>
              <w:left w:val="nil"/>
              <w:bottom w:val="nil"/>
              <w:right w:val="single" w:sz="4" w:space="0" w:color="5B9BD5"/>
            </w:tcBorders>
            <w:shd w:val="clear" w:color="000000" w:fill="4F81BD"/>
            <w:vAlign w:val="center"/>
            <w:hideMark/>
          </w:tcPr>
          <w:p w14:paraId="0DD69C24" w14:textId="77777777" w:rsidR="00897B24" w:rsidRPr="00897B24" w:rsidRDefault="00897B24" w:rsidP="00897B24">
            <w:pPr>
              <w:jc w:val="center"/>
              <w:rPr>
                <w:rFonts w:ascii="Calibri" w:hAnsi="Calibri" w:cs="Calibri"/>
                <w:b/>
                <w:bCs/>
                <w:color w:val="FFFFFF"/>
                <w:sz w:val="16"/>
                <w:szCs w:val="16"/>
                <w:lang w:eastAsia="en-AU"/>
              </w:rPr>
            </w:pPr>
            <w:r w:rsidRPr="00897B24">
              <w:rPr>
                <w:rFonts w:ascii="Calibri" w:hAnsi="Calibri" w:cs="Calibri"/>
                <w:b/>
                <w:bCs/>
                <w:color w:val="FFFFFF"/>
                <w:sz w:val="16"/>
                <w:szCs w:val="16"/>
                <w:lang w:eastAsia="en-AU"/>
              </w:rPr>
              <w:t xml:space="preserve">Indirect Costs  </w:t>
            </w:r>
          </w:p>
        </w:tc>
        <w:tc>
          <w:tcPr>
            <w:tcW w:w="0" w:type="auto"/>
            <w:gridSpan w:val="3"/>
            <w:tcBorders>
              <w:top w:val="nil"/>
              <w:left w:val="nil"/>
              <w:bottom w:val="nil"/>
              <w:right w:val="nil"/>
            </w:tcBorders>
            <w:shd w:val="clear" w:color="000000" w:fill="4F81BD"/>
            <w:vAlign w:val="center"/>
            <w:hideMark/>
          </w:tcPr>
          <w:p w14:paraId="7D30C094" w14:textId="77777777" w:rsidR="00897B24" w:rsidRPr="00897B24" w:rsidRDefault="00897B24" w:rsidP="00897B24">
            <w:pPr>
              <w:jc w:val="center"/>
              <w:rPr>
                <w:rFonts w:ascii="Calibri" w:hAnsi="Calibri" w:cs="Calibri"/>
                <w:b/>
                <w:bCs/>
                <w:color w:val="FFFFFF"/>
                <w:sz w:val="16"/>
                <w:szCs w:val="16"/>
                <w:lang w:eastAsia="en-AU"/>
              </w:rPr>
            </w:pPr>
            <w:r w:rsidRPr="00897B24">
              <w:rPr>
                <w:rFonts w:ascii="Calibri" w:hAnsi="Calibri" w:cs="Calibri"/>
                <w:b/>
                <w:bCs/>
                <w:color w:val="FFFFFF"/>
                <w:sz w:val="16"/>
                <w:szCs w:val="16"/>
                <w:lang w:eastAsia="en-AU"/>
              </w:rPr>
              <w:t xml:space="preserve">Total </w:t>
            </w:r>
          </w:p>
        </w:tc>
      </w:tr>
      <w:tr w:rsidR="00897B24" w:rsidRPr="00897B24" w14:paraId="1CCAF5D1" w14:textId="77777777" w:rsidTr="00897B24">
        <w:trPr>
          <w:trHeight w:val="315"/>
        </w:trPr>
        <w:tc>
          <w:tcPr>
            <w:tcW w:w="693" w:type="dxa"/>
            <w:tcBorders>
              <w:top w:val="nil"/>
              <w:left w:val="single" w:sz="8" w:space="0" w:color="4F81BD"/>
              <w:bottom w:val="single" w:sz="8" w:space="0" w:color="4F81BD"/>
              <w:right w:val="nil"/>
            </w:tcBorders>
            <w:shd w:val="clear" w:color="000000" w:fill="4F81BD"/>
            <w:vAlign w:val="center"/>
            <w:hideMark/>
          </w:tcPr>
          <w:p w14:paraId="3999CA3D" w14:textId="77777777" w:rsidR="00897B24" w:rsidRPr="00897B24" w:rsidRDefault="00897B24" w:rsidP="00897B24">
            <w:pPr>
              <w:jc w:val="center"/>
              <w:rPr>
                <w:rFonts w:ascii="Calibri" w:hAnsi="Calibri" w:cs="Calibri"/>
                <w:b/>
                <w:bCs/>
                <w:color w:val="FFFFFF"/>
                <w:sz w:val="16"/>
                <w:szCs w:val="16"/>
                <w:lang w:eastAsia="en-AU"/>
              </w:rPr>
            </w:pPr>
            <w:r w:rsidRPr="00897B24">
              <w:rPr>
                <w:rFonts w:ascii="Calibri" w:hAnsi="Calibri" w:cs="Calibri"/>
                <w:b/>
                <w:bCs/>
                <w:color w:val="FFFFFF"/>
                <w:sz w:val="16"/>
                <w:szCs w:val="16"/>
                <w:lang w:eastAsia="en-AU"/>
              </w:rPr>
              <w:t>No.</w:t>
            </w:r>
          </w:p>
        </w:tc>
        <w:tc>
          <w:tcPr>
            <w:tcW w:w="1198" w:type="dxa"/>
            <w:vMerge/>
            <w:tcBorders>
              <w:top w:val="single" w:sz="8" w:space="0" w:color="4F81BD"/>
              <w:left w:val="nil"/>
              <w:bottom w:val="single" w:sz="8" w:space="0" w:color="4F81BD"/>
              <w:right w:val="nil"/>
            </w:tcBorders>
            <w:vAlign w:val="center"/>
            <w:hideMark/>
          </w:tcPr>
          <w:p w14:paraId="5BF0477F" w14:textId="77777777" w:rsidR="00897B24" w:rsidRPr="00897B24" w:rsidRDefault="00897B24" w:rsidP="00897B24">
            <w:pPr>
              <w:rPr>
                <w:rFonts w:ascii="Calibri" w:hAnsi="Calibri" w:cs="Calibri"/>
                <w:b/>
                <w:bCs/>
                <w:color w:val="FFFFFF"/>
                <w:sz w:val="16"/>
                <w:szCs w:val="16"/>
                <w:lang w:eastAsia="en-AU"/>
              </w:rPr>
            </w:pPr>
          </w:p>
        </w:tc>
        <w:tc>
          <w:tcPr>
            <w:tcW w:w="509" w:type="dxa"/>
            <w:vMerge/>
            <w:tcBorders>
              <w:top w:val="single" w:sz="8" w:space="0" w:color="4F81BD"/>
              <w:left w:val="nil"/>
              <w:bottom w:val="single" w:sz="8" w:space="0" w:color="4F81BD"/>
              <w:right w:val="nil"/>
            </w:tcBorders>
            <w:vAlign w:val="center"/>
            <w:hideMark/>
          </w:tcPr>
          <w:p w14:paraId="2BF3BBF7" w14:textId="77777777" w:rsidR="00897B24" w:rsidRPr="00897B24" w:rsidRDefault="00897B24" w:rsidP="00897B24">
            <w:pPr>
              <w:rPr>
                <w:rFonts w:ascii="Calibri" w:hAnsi="Calibri" w:cs="Calibri"/>
                <w:b/>
                <w:bCs/>
                <w:color w:val="FFFFFF"/>
                <w:sz w:val="16"/>
                <w:szCs w:val="16"/>
                <w:lang w:eastAsia="en-AU"/>
              </w:rPr>
            </w:pPr>
          </w:p>
        </w:tc>
        <w:tc>
          <w:tcPr>
            <w:tcW w:w="0" w:type="auto"/>
            <w:gridSpan w:val="2"/>
            <w:tcBorders>
              <w:top w:val="nil"/>
              <w:left w:val="nil"/>
              <w:bottom w:val="single" w:sz="8" w:space="0" w:color="4F81BD"/>
              <w:right w:val="nil"/>
            </w:tcBorders>
            <w:shd w:val="clear" w:color="000000" w:fill="4F81BD"/>
            <w:vAlign w:val="center"/>
            <w:hideMark/>
          </w:tcPr>
          <w:p w14:paraId="407EAAA1" w14:textId="77777777" w:rsidR="00897B24" w:rsidRPr="00897B24" w:rsidRDefault="00897B24" w:rsidP="00897B24">
            <w:pPr>
              <w:rPr>
                <w:rFonts w:ascii="Calibri" w:hAnsi="Calibri" w:cs="Calibri"/>
                <w:b/>
                <w:bCs/>
                <w:color w:val="FFFFFF"/>
                <w:sz w:val="16"/>
                <w:szCs w:val="16"/>
                <w:lang w:eastAsia="en-AU"/>
              </w:rPr>
            </w:pPr>
            <w:r w:rsidRPr="00897B24">
              <w:rPr>
                <w:rFonts w:ascii="Calibri" w:hAnsi="Calibri" w:cs="Calibri"/>
                <w:b/>
                <w:bCs/>
                <w:color w:val="FFFFFF"/>
                <w:sz w:val="16"/>
                <w:szCs w:val="16"/>
                <w:lang w:eastAsia="en-AU"/>
              </w:rPr>
              <w:t xml:space="preserve">      2022-23        2023-24</w:t>
            </w:r>
          </w:p>
        </w:tc>
        <w:tc>
          <w:tcPr>
            <w:tcW w:w="0" w:type="auto"/>
            <w:tcBorders>
              <w:top w:val="nil"/>
              <w:left w:val="nil"/>
              <w:bottom w:val="single" w:sz="8" w:space="0" w:color="4F81BD"/>
              <w:right w:val="nil"/>
            </w:tcBorders>
            <w:shd w:val="clear" w:color="000000" w:fill="4F81BD"/>
            <w:vAlign w:val="center"/>
            <w:hideMark/>
          </w:tcPr>
          <w:p w14:paraId="5664A94B" w14:textId="77777777" w:rsidR="00897B24" w:rsidRPr="00897B24" w:rsidRDefault="00897B24" w:rsidP="00897B24">
            <w:pPr>
              <w:jc w:val="center"/>
              <w:rPr>
                <w:rFonts w:ascii="Calibri" w:hAnsi="Calibri" w:cs="Calibri"/>
                <w:b/>
                <w:bCs/>
                <w:color w:val="FFFFFF"/>
                <w:sz w:val="16"/>
                <w:szCs w:val="16"/>
                <w:lang w:eastAsia="en-AU"/>
              </w:rPr>
            </w:pPr>
            <w:r w:rsidRPr="00897B24">
              <w:rPr>
                <w:rFonts w:ascii="Calibri" w:hAnsi="Calibri" w:cs="Calibri"/>
                <w:b/>
                <w:bCs/>
                <w:color w:val="FFFFFF"/>
                <w:sz w:val="16"/>
                <w:szCs w:val="16"/>
                <w:lang w:eastAsia="en-AU"/>
              </w:rPr>
              <w:t>2024-25</w:t>
            </w:r>
          </w:p>
        </w:tc>
        <w:tc>
          <w:tcPr>
            <w:tcW w:w="0" w:type="auto"/>
            <w:gridSpan w:val="3"/>
            <w:tcBorders>
              <w:top w:val="nil"/>
              <w:left w:val="nil"/>
              <w:bottom w:val="single" w:sz="8" w:space="0" w:color="4F81BD"/>
              <w:right w:val="single" w:sz="4" w:space="0" w:color="5B9BD5"/>
            </w:tcBorders>
            <w:shd w:val="clear" w:color="000000" w:fill="4F81BD"/>
            <w:vAlign w:val="center"/>
            <w:hideMark/>
          </w:tcPr>
          <w:p w14:paraId="6EBF9509" w14:textId="77777777" w:rsidR="00897B24" w:rsidRPr="00897B24" w:rsidRDefault="00897B24" w:rsidP="00897B24">
            <w:pPr>
              <w:jc w:val="center"/>
              <w:rPr>
                <w:rFonts w:ascii="Calibri" w:hAnsi="Calibri" w:cs="Calibri"/>
                <w:b/>
                <w:bCs/>
                <w:color w:val="FFFFFF"/>
                <w:sz w:val="16"/>
                <w:szCs w:val="16"/>
                <w:lang w:eastAsia="en-AU"/>
              </w:rPr>
            </w:pPr>
            <w:r w:rsidRPr="00897B24">
              <w:rPr>
                <w:rFonts w:ascii="Calibri" w:hAnsi="Calibri" w:cs="Calibri"/>
                <w:b/>
                <w:bCs/>
                <w:color w:val="FFFFFF"/>
                <w:sz w:val="16"/>
                <w:szCs w:val="16"/>
                <w:lang w:eastAsia="en-AU"/>
              </w:rPr>
              <w:t>2022-23        2023-24        2024-25</w:t>
            </w:r>
          </w:p>
        </w:tc>
        <w:tc>
          <w:tcPr>
            <w:tcW w:w="0" w:type="auto"/>
            <w:gridSpan w:val="3"/>
            <w:tcBorders>
              <w:top w:val="nil"/>
              <w:left w:val="nil"/>
              <w:bottom w:val="single" w:sz="8" w:space="0" w:color="4F81BD"/>
              <w:right w:val="single" w:sz="8" w:space="0" w:color="4F81BD"/>
            </w:tcBorders>
            <w:shd w:val="clear" w:color="000000" w:fill="4F81BD"/>
            <w:vAlign w:val="center"/>
            <w:hideMark/>
          </w:tcPr>
          <w:p w14:paraId="46C55E99" w14:textId="77777777" w:rsidR="00897B24" w:rsidRPr="00897B24" w:rsidRDefault="00897B24" w:rsidP="00897B24">
            <w:pPr>
              <w:jc w:val="center"/>
              <w:rPr>
                <w:rFonts w:ascii="Calibri" w:hAnsi="Calibri" w:cs="Calibri"/>
                <w:b/>
                <w:bCs/>
                <w:color w:val="FFFFFF"/>
                <w:sz w:val="16"/>
                <w:szCs w:val="16"/>
                <w:lang w:eastAsia="en-AU"/>
              </w:rPr>
            </w:pPr>
            <w:r w:rsidRPr="00897B24">
              <w:rPr>
                <w:rFonts w:ascii="Calibri" w:hAnsi="Calibri" w:cs="Calibri"/>
                <w:b/>
                <w:bCs/>
                <w:color w:val="FFFFFF"/>
                <w:sz w:val="16"/>
                <w:szCs w:val="16"/>
                <w:lang w:eastAsia="en-AU"/>
              </w:rPr>
              <w:t>2022-23       2023-24            2024-25</w:t>
            </w:r>
          </w:p>
        </w:tc>
      </w:tr>
      <w:tr w:rsidR="00897B24" w:rsidRPr="00897B24" w14:paraId="0E63BA1F" w14:textId="77777777" w:rsidTr="00897B24">
        <w:trPr>
          <w:trHeight w:val="525"/>
        </w:trPr>
        <w:tc>
          <w:tcPr>
            <w:tcW w:w="693" w:type="dxa"/>
            <w:tcBorders>
              <w:top w:val="nil"/>
              <w:left w:val="single" w:sz="8" w:space="0" w:color="95B3D7"/>
              <w:bottom w:val="single" w:sz="8" w:space="0" w:color="95B3D7"/>
              <w:right w:val="nil"/>
            </w:tcBorders>
            <w:shd w:val="clear" w:color="000000" w:fill="DBE5F1"/>
            <w:vAlign w:val="center"/>
            <w:hideMark/>
          </w:tcPr>
          <w:p w14:paraId="31450B6C"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1</w:t>
            </w:r>
          </w:p>
        </w:tc>
        <w:tc>
          <w:tcPr>
            <w:tcW w:w="1198" w:type="dxa"/>
            <w:tcBorders>
              <w:top w:val="nil"/>
              <w:left w:val="nil"/>
              <w:bottom w:val="single" w:sz="8" w:space="0" w:color="95B3D7"/>
              <w:right w:val="nil"/>
            </w:tcBorders>
            <w:shd w:val="clear" w:color="000000" w:fill="DBE5F1"/>
            <w:vAlign w:val="center"/>
            <w:hideMark/>
          </w:tcPr>
          <w:p w14:paraId="40D4066D" w14:textId="77777777" w:rsidR="00897B24" w:rsidRPr="00897B24" w:rsidRDefault="00897B24" w:rsidP="00897B24">
            <w:pPr>
              <w:rPr>
                <w:rFonts w:ascii="Calibri" w:hAnsi="Calibri" w:cs="Calibri"/>
                <w:color w:val="17365D"/>
                <w:sz w:val="16"/>
                <w:szCs w:val="16"/>
                <w:lang w:eastAsia="en-AU"/>
              </w:rPr>
            </w:pPr>
            <w:r w:rsidRPr="00897B24">
              <w:rPr>
                <w:rFonts w:ascii="Calibri" w:hAnsi="Calibri" w:cs="Calibri"/>
                <w:color w:val="17365D"/>
                <w:sz w:val="16"/>
                <w:szCs w:val="16"/>
                <w:lang w:eastAsia="en-AU"/>
              </w:rPr>
              <w:t>Declaration of an area                        &amp; Invitation to apply</w:t>
            </w:r>
          </w:p>
        </w:tc>
        <w:tc>
          <w:tcPr>
            <w:tcW w:w="509" w:type="dxa"/>
            <w:tcBorders>
              <w:top w:val="nil"/>
              <w:left w:val="nil"/>
              <w:bottom w:val="single" w:sz="8" w:space="0" w:color="95B3D7"/>
              <w:right w:val="nil"/>
            </w:tcBorders>
            <w:shd w:val="clear" w:color="000000" w:fill="DBE5F1"/>
            <w:vAlign w:val="center"/>
            <w:hideMark/>
          </w:tcPr>
          <w:p w14:paraId="2107556C"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10%</w:t>
            </w:r>
          </w:p>
        </w:tc>
        <w:tc>
          <w:tcPr>
            <w:tcW w:w="0" w:type="auto"/>
            <w:tcBorders>
              <w:top w:val="nil"/>
              <w:left w:val="nil"/>
              <w:bottom w:val="single" w:sz="8" w:space="0" w:color="95B3D7"/>
              <w:right w:val="nil"/>
            </w:tcBorders>
            <w:shd w:val="clear" w:color="000000" w:fill="DBE5F1"/>
            <w:vAlign w:val="center"/>
            <w:hideMark/>
          </w:tcPr>
          <w:p w14:paraId="3164D133"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$101,610</w:t>
            </w:r>
          </w:p>
        </w:tc>
        <w:tc>
          <w:tcPr>
            <w:tcW w:w="0" w:type="auto"/>
            <w:tcBorders>
              <w:top w:val="nil"/>
              <w:left w:val="nil"/>
              <w:bottom w:val="single" w:sz="8" w:space="0" w:color="95B3D7"/>
              <w:right w:val="nil"/>
            </w:tcBorders>
            <w:shd w:val="clear" w:color="000000" w:fill="DBE5F1"/>
            <w:vAlign w:val="center"/>
            <w:hideMark/>
          </w:tcPr>
          <w:p w14:paraId="03BA5784"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$106,641</w:t>
            </w:r>
          </w:p>
        </w:tc>
        <w:tc>
          <w:tcPr>
            <w:tcW w:w="0" w:type="auto"/>
            <w:tcBorders>
              <w:top w:val="nil"/>
              <w:left w:val="nil"/>
              <w:bottom w:val="single" w:sz="8" w:space="0" w:color="95B3D7"/>
              <w:right w:val="nil"/>
            </w:tcBorders>
            <w:shd w:val="clear" w:color="000000" w:fill="DBE5F1"/>
            <w:vAlign w:val="center"/>
            <w:hideMark/>
          </w:tcPr>
          <w:p w14:paraId="1EBC0918"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$108,774</w:t>
            </w:r>
          </w:p>
        </w:tc>
        <w:tc>
          <w:tcPr>
            <w:tcW w:w="0" w:type="auto"/>
            <w:tcBorders>
              <w:top w:val="nil"/>
              <w:left w:val="nil"/>
              <w:bottom w:val="single" w:sz="8" w:space="0" w:color="95B3D7"/>
              <w:right w:val="nil"/>
            </w:tcBorders>
            <w:shd w:val="clear" w:color="000000" w:fill="DBE5F1"/>
            <w:vAlign w:val="center"/>
            <w:hideMark/>
          </w:tcPr>
          <w:p w14:paraId="2EB5A2A7"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$19,941</w:t>
            </w:r>
          </w:p>
        </w:tc>
        <w:tc>
          <w:tcPr>
            <w:tcW w:w="0" w:type="auto"/>
            <w:tcBorders>
              <w:top w:val="nil"/>
              <w:left w:val="nil"/>
              <w:bottom w:val="single" w:sz="8" w:space="0" w:color="95B3D7"/>
              <w:right w:val="nil"/>
            </w:tcBorders>
            <w:shd w:val="clear" w:color="000000" w:fill="DBE5F1"/>
            <w:vAlign w:val="center"/>
            <w:hideMark/>
          </w:tcPr>
          <w:p w14:paraId="092DBEB5"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$20,523</w:t>
            </w:r>
          </w:p>
        </w:tc>
        <w:tc>
          <w:tcPr>
            <w:tcW w:w="0" w:type="auto"/>
            <w:tcBorders>
              <w:top w:val="nil"/>
              <w:left w:val="nil"/>
              <w:bottom w:val="single" w:sz="8" w:space="0" w:color="95B3D7"/>
              <w:right w:val="single" w:sz="4" w:space="0" w:color="5B9BD5"/>
            </w:tcBorders>
            <w:shd w:val="clear" w:color="000000" w:fill="DBE5F1"/>
            <w:vAlign w:val="center"/>
            <w:hideMark/>
          </w:tcPr>
          <w:p w14:paraId="3AF9D7A8"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$21,114</w:t>
            </w:r>
          </w:p>
        </w:tc>
        <w:tc>
          <w:tcPr>
            <w:tcW w:w="0" w:type="auto"/>
            <w:tcBorders>
              <w:top w:val="nil"/>
              <w:left w:val="nil"/>
              <w:bottom w:val="single" w:sz="8" w:space="0" w:color="95B3D7"/>
              <w:right w:val="nil"/>
            </w:tcBorders>
            <w:shd w:val="clear" w:color="000000" w:fill="DBE5F1"/>
            <w:vAlign w:val="center"/>
            <w:hideMark/>
          </w:tcPr>
          <w:p w14:paraId="1DD320D3" w14:textId="77777777" w:rsidR="00897B24" w:rsidRPr="00897B24" w:rsidRDefault="00897B24" w:rsidP="00897B24">
            <w:pPr>
              <w:jc w:val="center"/>
              <w:rPr>
                <w:rFonts w:ascii="Calibri" w:hAnsi="Calibri" w:cs="Calibri"/>
                <w:b/>
                <w:bCs/>
                <w:sz w:val="16"/>
                <w:szCs w:val="16"/>
                <w:lang w:eastAsia="en-AU"/>
              </w:rPr>
            </w:pPr>
            <w:r w:rsidRPr="00897B24">
              <w:rPr>
                <w:rFonts w:ascii="Calibri" w:hAnsi="Calibri" w:cs="Calibri"/>
                <w:b/>
                <w:bCs/>
                <w:sz w:val="16"/>
                <w:szCs w:val="16"/>
                <w:lang w:eastAsia="en-AU"/>
              </w:rPr>
              <w:t>$121,551</w:t>
            </w:r>
          </w:p>
        </w:tc>
        <w:tc>
          <w:tcPr>
            <w:tcW w:w="0" w:type="auto"/>
            <w:tcBorders>
              <w:top w:val="nil"/>
              <w:left w:val="nil"/>
              <w:bottom w:val="single" w:sz="8" w:space="0" w:color="95B3D7"/>
              <w:right w:val="nil"/>
            </w:tcBorders>
            <w:shd w:val="clear" w:color="000000" w:fill="DBE5F1"/>
            <w:vAlign w:val="center"/>
            <w:hideMark/>
          </w:tcPr>
          <w:p w14:paraId="479EFB7E" w14:textId="77777777" w:rsidR="00897B24" w:rsidRPr="00897B24" w:rsidRDefault="00897B24" w:rsidP="00897B24">
            <w:pPr>
              <w:jc w:val="center"/>
              <w:rPr>
                <w:rFonts w:ascii="Calibri" w:hAnsi="Calibri" w:cs="Calibri"/>
                <w:b/>
                <w:bCs/>
                <w:sz w:val="16"/>
                <w:szCs w:val="16"/>
                <w:lang w:eastAsia="en-AU"/>
              </w:rPr>
            </w:pPr>
            <w:r w:rsidRPr="00897B24">
              <w:rPr>
                <w:rFonts w:ascii="Calibri" w:hAnsi="Calibri" w:cs="Calibri"/>
                <w:b/>
                <w:bCs/>
                <w:sz w:val="16"/>
                <w:szCs w:val="16"/>
                <w:lang w:eastAsia="en-AU"/>
              </w:rPr>
              <w:t>$127,164</w:t>
            </w:r>
          </w:p>
        </w:tc>
        <w:tc>
          <w:tcPr>
            <w:tcW w:w="0" w:type="auto"/>
            <w:tcBorders>
              <w:top w:val="nil"/>
              <w:left w:val="nil"/>
              <w:bottom w:val="single" w:sz="8" w:space="0" w:color="95B3D7"/>
              <w:right w:val="nil"/>
            </w:tcBorders>
            <w:shd w:val="clear" w:color="000000" w:fill="DBE5F1"/>
            <w:vAlign w:val="center"/>
            <w:hideMark/>
          </w:tcPr>
          <w:p w14:paraId="3922FD7F" w14:textId="77777777" w:rsidR="00897B24" w:rsidRPr="00897B24" w:rsidRDefault="00897B24" w:rsidP="00897B24">
            <w:pPr>
              <w:jc w:val="center"/>
              <w:rPr>
                <w:rFonts w:ascii="Calibri" w:hAnsi="Calibri" w:cs="Calibri"/>
                <w:b/>
                <w:bCs/>
                <w:color w:val="17365D"/>
                <w:sz w:val="16"/>
                <w:szCs w:val="16"/>
                <w:lang w:eastAsia="en-AU"/>
              </w:rPr>
            </w:pPr>
            <w:r w:rsidRPr="00897B24">
              <w:rPr>
                <w:rFonts w:ascii="Calibri" w:hAnsi="Calibri" w:cs="Calibri"/>
                <w:b/>
                <w:bCs/>
                <w:color w:val="17365D"/>
                <w:sz w:val="16"/>
                <w:szCs w:val="16"/>
                <w:lang w:eastAsia="en-AU"/>
              </w:rPr>
              <w:t>$129,888</w:t>
            </w:r>
          </w:p>
        </w:tc>
      </w:tr>
      <w:tr w:rsidR="00897B24" w:rsidRPr="00897B24" w14:paraId="158543B4" w14:textId="77777777" w:rsidTr="00897B24">
        <w:trPr>
          <w:trHeight w:val="315"/>
        </w:trPr>
        <w:tc>
          <w:tcPr>
            <w:tcW w:w="693" w:type="dxa"/>
            <w:tcBorders>
              <w:top w:val="nil"/>
              <w:left w:val="single" w:sz="8" w:space="0" w:color="95B3D7"/>
              <w:bottom w:val="single" w:sz="8" w:space="0" w:color="95B3D7"/>
              <w:right w:val="nil"/>
            </w:tcBorders>
            <w:shd w:val="clear" w:color="auto" w:fill="auto"/>
            <w:vAlign w:val="center"/>
            <w:hideMark/>
          </w:tcPr>
          <w:p w14:paraId="22E7E798" w14:textId="6A30355F"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2</w:t>
            </w:r>
            <w:r w:rsidR="00BF4DE3">
              <w:rPr>
                <w:rFonts w:ascii="Calibri" w:hAnsi="Calibri" w:cs="Calibri"/>
                <w:color w:val="17365D"/>
                <w:sz w:val="16"/>
                <w:szCs w:val="16"/>
                <w:lang w:eastAsia="en-AU"/>
              </w:rPr>
              <w:t>,3,4</w:t>
            </w:r>
          </w:p>
        </w:tc>
        <w:tc>
          <w:tcPr>
            <w:tcW w:w="1198" w:type="dxa"/>
            <w:tcBorders>
              <w:top w:val="nil"/>
              <w:left w:val="nil"/>
              <w:bottom w:val="single" w:sz="8" w:space="0" w:color="95B3D7"/>
              <w:right w:val="nil"/>
            </w:tcBorders>
            <w:shd w:val="clear" w:color="auto" w:fill="auto"/>
            <w:vAlign w:val="center"/>
            <w:hideMark/>
          </w:tcPr>
          <w:p w14:paraId="35AC6BC4" w14:textId="77777777" w:rsidR="00897B24" w:rsidRPr="00897B24" w:rsidRDefault="00897B24" w:rsidP="00897B24">
            <w:pPr>
              <w:rPr>
                <w:rFonts w:ascii="Calibri" w:hAnsi="Calibri" w:cs="Calibri"/>
                <w:color w:val="17365D"/>
                <w:sz w:val="16"/>
                <w:szCs w:val="16"/>
                <w:lang w:eastAsia="en-AU"/>
              </w:rPr>
            </w:pPr>
            <w:r w:rsidRPr="00897B24">
              <w:rPr>
                <w:rFonts w:ascii="Calibri" w:hAnsi="Calibri" w:cs="Calibri"/>
                <w:color w:val="17365D"/>
                <w:sz w:val="16"/>
                <w:szCs w:val="16"/>
                <w:lang w:eastAsia="en-AU"/>
              </w:rPr>
              <w:t xml:space="preserve">Feasibility Licence </w:t>
            </w:r>
          </w:p>
        </w:tc>
        <w:tc>
          <w:tcPr>
            <w:tcW w:w="509" w:type="dxa"/>
            <w:tcBorders>
              <w:top w:val="nil"/>
              <w:left w:val="nil"/>
              <w:bottom w:val="single" w:sz="8" w:space="0" w:color="95B3D7"/>
              <w:right w:val="nil"/>
            </w:tcBorders>
            <w:shd w:val="clear" w:color="auto" w:fill="auto"/>
            <w:vAlign w:val="center"/>
            <w:hideMark/>
          </w:tcPr>
          <w:p w14:paraId="32AF04DD"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70%</w:t>
            </w:r>
          </w:p>
        </w:tc>
        <w:tc>
          <w:tcPr>
            <w:tcW w:w="0" w:type="auto"/>
            <w:tcBorders>
              <w:top w:val="nil"/>
              <w:left w:val="nil"/>
              <w:bottom w:val="single" w:sz="8" w:space="0" w:color="95B3D7"/>
              <w:right w:val="nil"/>
            </w:tcBorders>
            <w:shd w:val="clear" w:color="auto" w:fill="auto"/>
            <w:vAlign w:val="center"/>
            <w:hideMark/>
          </w:tcPr>
          <w:p w14:paraId="7F5A50C6"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$711,269</w:t>
            </w:r>
          </w:p>
        </w:tc>
        <w:tc>
          <w:tcPr>
            <w:tcW w:w="0" w:type="auto"/>
            <w:tcBorders>
              <w:top w:val="nil"/>
              <w:left w:val="nil"/>
              <w:bottom w:val="single" w:sz="8" w:space="0" w:color="95B3D7"/>
              <w:right w:val="nil"/>
            </w:tcBorders>
            <w:shd w:val="clear" w:color="auto" w:fill="auto"/>
            <w:vAlign w:val="center"/>
            <w:hideMark/>
          </w:tcPr>
          <w:p w14:paraId="46D9A880"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$746,487</w:t>
            </w:r>
          </w:p>
        </w:tc>
        <w:tc>
          <w:tcPr>
            <w:tcW w:w="0" w:type="auto"/>
            <w:tcBorders>
              <w:top w:val="nil"/>
              <w:left w:val="nil"/>
              <w:bottom w:val="single" w:sz="8" w:space="0" w:color="95B3D7"/>
              <w:right w:val="nil"/>
            </w:tcBorders>
            <w:shd w:val="clear" w:color="auto" w:fill="auto"/>
            <w:vAlign w:val="center"/>
            <w:hideMark/>
          </w:tcPr>
          <w:p w14:paraId="272217FC"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$761,417</w:t>
            </w:r>
          </w:p>
        </w:tc>
        <w:tc>
          <w:tcPr>
            <w:tcW w:w="0" w:type="auto"/>
            <w:tcBorders>
              <w:top w:val="nil"/>
              <w:left w:val="nil"/>
              <w:bottom w:val="single" w:sz="8" w:space="0" w:color="95B3D7"/>
              <w:right w:val="nil"/>
            </w:tcBorders>
            <w:shd w:val="clear" w:color="auto" w:fill="auto"/>
            <w:vAlign w:val="center"/>
            <w:hideMark/>
          </w:tcPr>
          <w:p w14:paraId="61FEDE16"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$139,588</w:t>
            </w:r>
          </w:p>
        </w:tc>
        <w:tc>
          <w:tcPr>
            <w:tcW w:w="0" w:type="auto"/>
            <w:tcBorders>
              <w:top w:val="nil"/>
              <w:left w:val="nil"/>
              <w:bottom w:val="single" w:sz="8" w:space="0" w:color="95B3D7"/>
              <w:right w:val="nil"/>
            </w:tcBorders>
            <w:shd w:val="clear" w:color="auto" w:fill="auto"/>
            <w:vAlign w:val="center"/>
            <w:hideMark/>
          </w:tcPr>
          <w:p w14:paraId="099ACD09"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$143,663</w:t>
            </w:r>
          </w:p>
        </w:tc>
        <w:tc>
          <w:tcPr>
            <w:tcW w:w="0" w:type="auto"/>
            <w:tcBorders>
              <w:top w:val="nil"/>
              <w:left w:val="nil"/>
              <w:bottom w:val="single" w:sz="8" w:space="0" w:color="95B3D7"/>
              <w:right w:val="single" w:sz="4" w:space="0" w:color="5B9BD5"/>
            </w:tcBorders>
            <w:shd w:val="clear" w:color="auto" w:fill="auto"/>
            <w:vAlign w:val="center"/>
            <w:hideMark/>
          </w:tcPr>
          <w:p w14:paraId="12B879FC"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$147,797</w:t>
            </w:r>
          </w:p>
        </w:tc>
        <w:tc>
          <w:tcPr>
            <w:tcW w:w="0" w:type="auto"/>
            <w:tcBorders>
              <w:top w:val="nil"/>
              <w:left w:val="nil"/>
              <w:bottom w:val="single" w:sz="8" w:space="0" w:color="95B3D7"/>
              <w:right w:val="nil"/>
            </w:tcBorders>
            <w:shd w:val="clear" w:color="auto" w:fill="auto"/>
            <w:vAlign w:val="center"/>
            <w:hideMark/>
          </w:tcPr>
          <w:p w14:paraId="4A2C765D" w14:textId="77777777" w:rsidR="00897B24" w:rsidRPr="00897B24" w:rsidRDefault="00897B24" w:rsidP="00897B24">
            <w:pPr>
              <w:jc w:val="center"/>
              <w:rPr>
                <w:rFonts w:ascii="Calibri" w:hAnsi="Calibri" w:cs="Calibri"/>
                <w:b/>
                <w:bCs/>
                <w:sz w:val="16"/>
                <w:szCs w:val="16"/>
                <w:lang w:eastAsia="en-AU"/>
              </w:rPr>
            </w:pPr>
            <w:r w:rsidRPr="00897B24">
              <w:rPr>
                <w:rFonts w:ascii="Calibri" w:hAnsi="Calibri" w:cs="Calibri"/>
                <w:b/>
                <w:bCs/>
                <w:sz w:val="16"/>
                <w:szCs w:val="16"/>
                <w:lang w:eastAsia="en-AU"/>
              </w:rPr>
              <w:t>$850,858</w:t>
            </w:r>
          </w:p>
        </w:tc>
        <w:tc>
          <w:tcPr>
            <w:tcW w:w="0" w:type="auto"/>
            <w:tcBorders>
              <w:top w:val="nil"/>
              <w:left w:val="nil"/>
              <w:bottom w:val="single" w:sz="8" w:space="0" w:color="95B3D7"/>
              <w:right w:val="nil"/>
            </w:tcBorders>
            <w:shd w:val="clear" w:color="auto" w:fill="auto"/>
            <w:vAlign w:val="center"/>
            <w:hideMark/>
          </w:tcPr>
          <w:p w14:paraId="26C5A202" w14:textId="77777777" w:rsidR="00897B24" w:rsidRPr="00897B24" w:rsidRDefault="00897B24" w:rsidP="00897B24">
            <w:pPr>
              <w:jc w:val="center"/>
              <w:rPr>
                <w:rFonts w:ascii="Calibri" w:hAnsi="Calibri" w:cs="Calibri"/>
                <w:b/>
                <w:bCs/>
                <w:sz w:val="16"/>
                <w:szCs w:val="16"/>
                <w:lang w:eastAsia="en-AU"/>
              </w:rPr>
            </w:pPr>
            <w:r w:rsidRPr="00897B24">
              <w:rPr>
                <w:rFonts w:ascii="Calibri" w:hAnsi="Calibri" w:cs="Calibri"/>
                <w:b/>
                <w:bCs/>
                <w:sz w:val="16"/>
                <w:szCs w:val="16"/>
                <w:lang w:eastAsia="en-AU"/>
              </w:rPr>
              <w:t>$890,150</w:t>
            </w:r>
          </w:p>
        </w:tc>
        <w:tc>
          <w:tcPr>
            <w:tcW w:w="0" w:type="auto"/>
            <w:tcBorders>
              <w:top w:val="nil"/>
              <w:left w:val="nil"/>
              <w:bottom w:val="single" w:sz="8" w:space="0" w:color="95B3D7"/>
              <w:right w:val="nil"/>
            </w:tcBorders>
            <w:shd w:val="clear" w:color="auto" w:fill="auto"/>
            <w:vAlign w:val="center"/>
            <w:hideMark/>
          </w:tcPr>
          <w:p w14:paraId="06E4E080" w14:textId="77777777" w:rsidR="00897B24" w:rsidRPr="00897B24" w:rsidRDefault="00897B24" w:rsidP="00897B24">
            <w:pPr>
              <w:jc w:val="center"/>
              <w:rPr>
                <w:rFonts w:ascii="Calibri" w:hAnsi="Calibri" w:cs="Calibri"/>
                <w:b/>
                <w:bCs/>
                <w:color w:val="17365D"/>
                <w:sz w:val="16"/>
                <w:szCs w:val="16"/>
                <w:lang w:eastAsia="en-AU"/>
              </w:rPr>
            </w:pPr>
            <w:r w:rsidRPr="00897B24">
              <w:rPr>
                <w:rFonts w:ascii="Calibri" w:hAnsi="Calibri" w:cs="Calibri"/>
                <w:b/>
                <w:bCs/>
                <w:color w:val="17365D"/>
                <w:sz w:val="16"/>
                <w:szCs w:val="16"/>
                <w:lang w:eastAsia="en-AU"/>
              </w:rPr>
              <w:t>$909,214</w:t>
            </w:r>
          </w:p>
        </w:tc>
      </w:tr>
      <w:tr w:rsidR="00897B24" w:rsidRPr="00897B24" w14:paraId="1D351405" w14:textId="77777777" w:rsidTr="00897B24">
        <w:trPr>
          <w:trHeight w:val="315"/>
        </w:trPr>
        <w:tc>
          <w:tcPr>
            <w:tcW w:w="693" w:type="dxa"/>
            <w:tcBorders>
              <w:top w:val="nil"/>
              <w:left w:val="single" w:sz="8" w:space="0" w:color="95B3D7"/>
              <w:bottom w:val="single" w:sz="8" w:space="0" w:color="95B3D7"/>
              <w:right w:val="nil"/>
            </w:tcBorders>
            <w:shd w:val="clear" w:color="000000" w:fill="DBE5F1"/>
            <w:vAlign w:val="center"/>
            <w:hideMark/>
          </w:tcPr>
          <w:p w14:paraId="34830285" w14:textId="1081690C" w:rsidR="00897B24" w:rsidRPr="00897B24" w:rsidRDefault="000C30D4" w:rsidP="00897B24">
            <w:pPr>
              <w:jc w:val="center"/>
              <w:rPr>
                <w:rFonts w:ascii="Calibri" w:hAnsi="Calibri" w:cs="Calibri"/>
                <w:color w:val="17365D"/>
                <w:sz w:val="16"/>
                <w:szCs w:val="16"/>
                <w:lang w:eastAsia="en-AU"/>
              </w:rPr>
            </w:pPr>
            <w:r>
              <w:rPr>
                <w:rFonts w:ascii="Calibri" w:hAnsi="Calibri" w:cs="Calibri"/>
                <w:color w:val="17365D"/>
                <w:sz w:val="16"/>
                <w:szCs w:val="16"/>
                <w:lang w:eastAsia="en-AU"/>
              </w:rPr>
              <w:t>2</w:t>
            </w:r>
            <w:r w:rsidR="00BF4DE3">
              <w:rPr>
                <w:rFonts w:ascii="Calibri" w:hAnsi="Calibri" w:cs="Calibri"/>
                <w:color w:val="17365D"/>
                <w:sz w:val="16"/>
                <w:szCs w:val="16"/>
                <w:lang w:eastAsia="en-AU"/>
              </w:rPr>
              <w:t>,3,4</w:t>
            </w:r>
          </w:p>
        </w:tc>
        <w:tc>
          <w:tcPr>
            <w:tcW w:w="1198" w:type="dxa"/>
            <w:tcBorders>
              <w:top w:val="nil"/>
              <w:left w:val="nil"/>
              <w:bottom w:val="single" w:sz="8" w:space="0" w:color="95B3D7"/>
              <w:right w:val="nil"/>
            </w:tcBorders>
            <w:shd w:val="clear" w:color="000000" w:fill="DBE5F1"/>
            <w:vAlign w:val="center"/>
            <w:hideMark/>
          </w:tcPr>
          <w:p w14:paraId="21046FA6" w14:textId="77777777" w:rsidR="00897B24" w:rsidRPr="00897B24" w:rsidRDefault="00897B24" w:rsidP="00897B24">
            <w:pPr>
              <w:rPr>
                <w:rFonts w:ascii="Calibri" w:hAnsi="Calibri" w:cs="Calibri"/>
                <w:color w:val="17365D"/>
                <w:sz w:val="16"/>
                <w:szCs w:val="16"/>
                <w:lang w:eastAsia="en-AU"/>
              </w:rPr>
            </w:pPr>
            <w:r w:rsidRPr="00897B24">
              <w:rPr>
                <w:rFonts w:ascii="Calibri" w:hAnsi="Calibri" w:cs="Calibri"/>
                <w:color w:val="17365D"/>
                <w:sz w:val="16"/>
                <w:szCs w:val="16"/>
                <w:lang w:eastAsia="en-AU"/>
              </w:rPr>
              <w:t xml:space="preserve">Commercial Licence </w:t>
            </w:r>
          </w:p>
        </w:tc>
        <w:tc>
          <w:tcPr>
            <w:tcW w:w="509" w:type="dxa"/>
            <w:tcBorders>
              <w:top w:val="nil"/>
              <w:left w:val="nil"/>
              <w:bottom w:val="single" w:sz="8" w:space="0" w:color="95B3D7"/>
              <w:right w:val="nil"/>
            </w:tcBorders>
            <w:shd w:val="clear" w:color="000000" w:fill="DBE5F1"/>
            <w:vAlign w:val="center"/>
            <w:hideMark/>
          </w:tcPr>
          <w:p w14:paraId="423C0A26"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0%</w:t>
            </w:r>
          </w:p>
        </w:tc>
        <w:tc>
          <w:tcPr>
            <w:tcW w:w="0" w:type="auto"/>
            <w:tcBorders>
              <w:top w:val="nil"/>
              <w:left w:val="nil"/>
              <w:bottom w:val="single" w:sz="8" w:space="0" w:color="95B3D7"/>
              <w:right w:val="nil"/>
            </w:tcBorders>
            <w:shd w:val="clear" w:color="000000" w:fill="DBE5F1"/>
            <w:vAlign w:val="center"/>
            <w:hideMark/>
          </w:tcPr>
          <w:p w14:paraId="145E1B4A"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$0</w:t>
            </w:r>
          </w:p>
        </w:tc>
        <w:tc>
          <w:tcPr>
            <w:tcW w:w="0" w:type="auto"/>
            <w:tcBorders>
              <w:top w:val="nil"/>
              <w:left w:val="nil"/>
              <w:bottom w:val="single" w:sz="8" w:space="0" w:color="95B3D7"/>
              <w:right w:val="nil"/>
            </w:tcBorders>
            <w:shd w:val="clear" w:color="000000" w:fill="DBE5F1"/>
            <w:vAlign w:val="center"/>
            <w:hideMark/>
          </w:tcPr>
          <w:p w14:paraId="7949A44B"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$0</w:t>
            </w:r>
          </w:p>
        </w:tc>
        <w:tc>
          <w:tcPr>
            <w:tcW w:w="0" w:type="auto"/>
            <w:tcBorders>
              <w:top w:val="nil"/>
              <w:left w:val="nil"/>
              <w:bottom w:val="single" w:sz="8" w:space="0" w:color="95B3D7"/>
              <w:right w:val="nil"/>
            </w:tcBorders>
            <w:shd w:val="clear" w:color="000000" w:fill="DBE5F1"/>
            <w:vAlign w:val="center"/>
            <w:hideMark/>
          </w:tcPr>
          <w:p w14:paraId="1930DD37"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$0</w:t>
            </w:r>
          </w:p>
        </w:tc>
        <w:tc>
          <w:tcPr>
            <w:tcW w:w="0" w:type="auto"/>
            <w:tcBorders>
              <w:top w:val="nil"/>
              <w:left w:val="nil"/>
              <w:bottom w:val="single" w:sz="8" w:space="0" w:color="95B3D7"/>
              <w:right w:val="nil"/>
            </w:tcBorders>
            <w:shd w:val="clear" w:color="000000" w:fill="DBE5F1"/>
            <w:vAlign w:val="center"/>
            <w:hideMark/>
          </w:tcPr>
          <w:p w14:paraId="02A34626"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$0</w:t>
            </w:r>
          </w:p>
        </w:tc>
        <w:tc>
          <w:tcPr>
            <w:tcW w:w="0" w:type="auto"/>
            <w:tcBorders>
              <w:top w:val="nil"/>
              <w:left w:val="nil"/>
              <w:bottom w:val="single" w:sz="8" w:space="0" w:color="95B3D7"/>
              <w:right w:val="nil"/>
            </w:tcBorders>
            <w:shd w:val="clear" w:color="000000" w:fill="DBE5F1"/>
            <w:vAlign w:val="center"/>
            <w:hideMark/>
          </w:tcPr>
          <w:p w14:paraId="4CC6D800"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$0</w:t>
            </w:r>
          </w:p>
        </w:tc>
        <w:tc>
          <w:tcPr>
            <w:tcW w:w="0" w:type="auto"/>
            <w:tcBorders>
              <w:top w:val="nil"/>
              <w:left w:val="nil"/>
              <w:bottom w:val="single" w:sz="8" w:space="0" w:color="95B3D7"/>
              <w:right w:val="single" w:sz="4" w:space="0" w:color="5B9BD5"/>
            </w:tcBorders>
            <w:shd w:val="clear" w:color="000000" w:fill="DBE5F1"/>
            <w:vAlign w:val="center"/>
            <w:hideMark/>
          </w:tcPr>
          <w:p w14:paraId="03595AB0"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$0</w:t>
            </w:r>
          </w:p>
        </w:tc>
        <w:tc>
          <w:tcPr>
            <w:tcW w:w="0" w:type="auto"/>
            <w:tcBorders>
              <w:top w:val="nil"/>
              <w:left w:val="nil"/>
              <w:bottom w:val="single" w:sz="8" w:space="0" w:color="95B3D7"/>
              <w:right w:val="nil"/>
            </w:tcBorders>
            <w:shd w:val="clear" w:color="000000" w:fill="DBE5F1"/>
            <w:vAlign w:val="center"/>
            <w:hideMark/>
          </w:tcPr>
          <w:p w14:paraId="15F8BE86" w14:textId="77777777" w:rsidR="00897B24" w:rsidRPr="00897B24" w:rsidRDefault="00897B24" w:rsidP="00897B24">
            <w:pPr>
              <w:jc w:val="center"/>
              <w:rPr>
                <w:rFonts w:ascii="Calibri" w:hAnsi="Calibri" w:cs="Calibri"/>
                <w:b/>
                <w:bCs/>
                <w:sz w:val="16"/>
                <w:szCs w:val="16"/>
                <w:lang w:eastAsia="en-AU"/>
              </w:rPr>
            </w:pPr>
            <w:r w:rsidRPr="00897B24">
              <w:rPr>
                <w:rFonts w:ascii="Calibri" w:hAnsi="Calibri" w:cs="Calibri"/>
                <w:b/>
                <w:bCs/>
                <w:sz w:val="16"/>
                <w:szCs w:val="16"/>
                <w:lang w:eastAsia="en-AU"/>
              </w:rPr>
              <w:t>$0</w:t>
            </w:r>
          </w:p>
        </w:tc>
        <w:tc>
          <w:tcPr>
            <w:tcW w:w="0" w:type="auto"/>
            <w:tcBorders>
              <w:top w:val="nil"/>
              <w:left w:val="nil"/>
              <w:bottom w:val="single" w:sz="8" w:space="0" w:color="95B3D7"/>
              <w:right w:val="nil"/>
            </w:tcBorders>
            <w:shd w:val="clear" w:color="000000" w:fill="DBE5F1"/>
            <w:vAlign w:val="center"/>
            <w:hideMark/>
          </w:tcPr>
          <w:p w14:paraId="02B1D115" w14:textId="77777777" w:rsidR="00897B24" w:rsidRPr="00897B24" w:rsidRDefault="00897B24" w:rsidP="00897B24">
            <w:pPr>
              <w:jc w:val="center"/>
              <w:rPr>
                <w:rFonts w:ascii="Calibri" w:hAnsi="Calibri" w:cs="Calibri"/>
                <w:b/>
                <w:bCs/>
                <w:sz w:val="16"/>
                <w:szCs w:val="16"/>
                <w:lang w:eastAsia="en-AU"/>
              </w:rPr>
            </w:pPr>
            <w:r w:rsidRPr="00897B24">
              <w:rPr>
                <w:rFonts w:ascii="Calibri" w:hAnsi="Calibri" w:cs="Calibri"/>
                <w:b/>
                <w:bCs/>
                <w:sz w:val="16"/>
                <w:szCs w:val="16"/>
                <w:lang w:eastAsia="en-AU"/>
              </w:rPr>
              <w:t>$0</w:t>
            </w:r>
          </w:p>
        </w:tc>
        <w:tc>
          <w:tcPr>
            <w:tcW w:w="0" w:type="auto"/>
            <w:tcBorders>
              <w:top w:val="nil"/>
              <w:left w:val="nil"/>
              <w:bottom w:val="single" w:sz="8" w:space="0" w:color="95B3D7"/>
              <w:right w:val="single" w:sz="8" w:space="0" w:color="95B3D7"/>
            </w:tcBorders>
            <w:shd w:val="clear" w:color="000000" w:fill="DBE5F1"/>
            <w:vAlign w:val="center"/>
            <w:hideMark/>
          </w:tcPr>
          <w:p w14:paraId="7AAEC128" w14:textId="77777777" w:rsidR="00897B24" w:rsidRPr="00897B24" w:rsidRDefault="00897B24" w:rsidP="00897B24">
            <w:pPr>
              <w:jc w:val="center"/>
              <w:rPr>
                <w:rFonts w:ascii="Calibri" w:hAnsi="Calibri" w:cs="Calibri"/>
                <w:b/>
                <w:bCs/>
                <w:color w:val="17365D"/>
                <w:sz w:val="16"/>
                <w:szCs w:val="16"/>
                <w:lang w:eastAsia="en-AU"/>
              </w:rPr>
            </w:pPr>
            <w:r w:rsidRPr="00897B24">
              <w:rPr>
                <w:rFonts w:ascii="Calibri" w:hAnsi="Calibri" w:cs="Calibri"/>
                <w:b/>
                <w:bCs/>
                <w:color w:val="17365D"/>
                <w:sz w:val="16"/>
                <w:szCs w:val="16"/>
                <w:lang w:eastAsia="en-AU"/>
              </w:rPr>
              <w:t>$0</w:t>
            </w:r>
          </w:p>
        </w:tc>
      </w:tr>
      <w:tr w:rsidR="00897B24" w:rsidRPr="00897B24" w14:paraId="0E518A9D" w14:textId="77777777" w:rsidTr="00897B24">
        <w:trPr>
          <w:trHeight w:val="525"/>
        </w:trPr>
        <w:tc>
          <w:tcPr>
            <w:tcW w:w="693" w:type="dxa"/>
            <w:tcBorders>
              <w:top w:val="nil"/>
              <w:left w:val="single" w:sz="8" w:space="0" w:color="95B3D7"/>
              <w:bottom w:val="single" w:sz="8" w:space="0" w:color="95B3D7"/>
              <w:right w:val="nil"/>
            </w:tcBorders>
            <w:shd w:val="clear" w:color="auto" w:fill="auto"/>
            <w:vAlign w:val="center"/>
            <w:hideMark/>
          </w:tcPr>
          <w:p w14:paraId="184DD15F" w14:textId="4FA7B518" w:rsidR="00897B24" w:rsidRPr="00897B24" w:rsidRDefault="000C30D4" w:rsidP="00897B24">
            <w:pPr>
              <w:jc w:val="center"/>
              <w:rPr>
                <w:rFonts w:ascii="Calibri" w:hAnsi="Calibri" w:cs="Calibri"/>
                <w:color w:val="17365D"/>
                <w:sz w:val="16"/>
                <w:szCs w:val="16"/>
                <w:lang w:eastAsia="en-AU"/>
              </w:rPr>
            </w:pPr>
            <w:r>
              <w:rPr>
                <w:rFonts w:ascii="Calibri" w:hAnsi="Calibri" w:cs="Calibri"/>
                <w:color w:val="17365D"/>
                <w:sz w:val="16"/>
                <w:szCs w:val="16"/>
                <w:lang w:eastAsia="en-AU"/>
              </w:rPr>
              <w:t>2</w:t>
            </w:r>
            <w:r w:rsidR="00BF4DE3">
              <w:rPr>
                <w:rFonts w:ascii="Calibri" w:hAnsi="Calibri" w:cs="Calibri"/>
                <w:color w:val="17365D"/>
                <w:sz w:val="16"/>
                <w:szCs w:val="16"/>
                <w:lang w:eastAsia="en-AU"/>
              </w:rPr>
              <w:t>,3,4</w:t>
            </w:r>
          </w:p>
        </w:tc>
        <w:tc>
          <w:tcPr>
            <w:tcW w:w="1198" w:type="dxa"/>
            <w:tcBorders>
              <w:top w:val="nil"/>
              <w:left w:val="nil"/>
              <w:bottom w:val="single" w:sz="8" w:space="0" w:color="95B3D7"/>
              <w:right w:val="nil"/>
            </w:tcBorders>
            <w:shd w:val="clear" w:color="auto" w:fill="auto"/>
            <w:vAlign w:val="center"/>
            <w:hideMark/>
          </w:tcPr>
          <w:p w14:paraId="7C65DCE9" w14:textId="77777777" w:rsidR="00897B24" w:rsidRPr="00897B24" w:rsidRDefault="00897B24" w:rsidP="00897B24">
            <w:pPr>
              <w:rPr>
                <w:rFonts w:ascii="Calibri" w:hAnsi="Calibri" w:cs="Calibri"/>
                <w:color w:val="17365D"/>
                <w:sz w:val="16"/>
                <w:szCs w:val="16"/>
                <w:lang w:eastAsia="en-AU"/>
              </w:rPr>
            </w:pPr>
            <w:r w:rsidRPr="00897B24">
              <w:rPr>
                <w:rFonts w:ascii="Calibri" w:hAnsi="Calibri" w:cs="Calibri"/>
                <w:color w:val="17365D"/>
                <w:sz w:val="16"/>
                <w:szCs w:val="16"/>
                <w:lang w:eastAsia="en-AU"/>
              </w:rPr>
              <w:t>Research &amp;                              Demonstration Licence</w:t>
            </w:r>
          </w:p>
        </w:tc>
        <w:tc>
          <w:tcPr>
            <w:tcW w:w="509" w:type="dxa"/>
            <w:tcBorders>
              <w:top w:val="nil"/>
              <w:left w:val="nil"/>
              <w:bottom w:val="single" w:sz="8" w:space="0" w:color="95B3D7"/>
              <w:right w:val="nil"/>
            </w:tcBorders>
            <w:shd w:val="clear" w:color="auto" w:fill="auto"/>
            <w:vAlign w:val="center"/>
            <w:hideMark/>
          </w:tcPr>
          <w:p w14:paraId="6AD8C7B6"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0%</w:t>
            </w:r>
          </w:p>
        </w:tc>
        <w:tc>
          <w:tcPr>
            <w:tcW w:w="0" w:type="auto"/>
            <w:tcBorders>
              <w:top w:val="nil"/>
              <w:left w:val="nil"/>
              <w:bottom w:val="single" w:sz="8" w:space="0" w:color="95B3D7"/>
              <w:right w:val="nil"/>
            </w:tcBorders>
            <w:shd w:val="clear" w:color="auto" w:fill="auto"/>
            <w:vAlign w:val="center"/>
            <w:hideMark/>
          </w:tcPr>
          <w:p w14:paraId="19726EB5"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$0</w:t>
            </w:r>
          </w:p>
        </w:tc>
        <w:tc>
          <w:tcPr>
            <w:tcW w:w="0" w:type="auto"/>
            <w:tcBorders>
              <w:top w:val="nil"/>
              <w:left w:val="nil"/>
              <w:bottom w:val="single" w:sz="8" w:space="0" w:color="95B3D7"/>
              <w:right w:val="nil"/>
            </w:tcBorders>
            <w:shd w:val="clear" w:color="auto" w:fill="auto"/>
            <w:vAlign w:val="center"/>
            <w:hideMark/>
          </w:tcPr>
          <w:p w14:paraId="560DC449"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$0</w:t>
            </w:r>
          </w:p>
        </w:tc>
        <w:tc>
          <w:tcPr>
            <w:tcW w:w="0" w:type="auto"/>
            <w:tcBorders>
              <w:top w:val="nil"/>
              <w:left w:val="nil"/>
              <w:bottom w:val="single" w:sz="8" w:space="0" w:color="95B3D7"/>
              <w:right w:val="nil"/>
            </w:tcBorders>
            <w:shd w:val="clear" w:color="auto" w:fill="auto"/>
            <w:vAlign w:val="center"/>
            <w:hideMark/>
          </w:tcPr>
          <w:p w14:paraId="692FF6A4"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$0</w:t>
            </w:r>
          </w:p>
        </w:tc>
        <w:tc>
          <w:tcPr>
            <w:tcW w:w="0" w:type="auto"/>
            <w:tcBorders>
              <w:top w:val="nil"/>
              <w:left w:val="nil"/>
              <w:bottom w:val="single" w:sz="8" w:space="0" w:color="95B3D7"/>
              <w:right w:val="nil"/>
            </w:tcBorders>
            <w:shd w:val="clear" w:color="auto" w:fill="auto"/>
            <w:vAlign w:val="center"/>
            <w:hideMark/>
          </w:tcPr>
          <w:p w14:paraId="7015CE69"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$0</w:t>
            </w:r>
          </w:p>
        </w:tc>
        <w:tc>
          <w:tcPr>
            <w:tcW w:w="0" w:type="auto"/>
            <w:tcBorders>
              <w:top w:val="nil"/>
              <w:left w:val="nil"/>
              <w:bottom w:val="single" w:sz="8" w:space="0" w:color="95B3D7"/>
              <w:right w:val="nil"/>
            </w:tcBorders>
            <w:shd w:val="clear" w:color="auto" w:fill="auto"/>
            <w:vAlign w:val="center"/>
            <w:hideMark/>
          </w:tcPr>
          <w:p w14:paraId="0F9C9460"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$0</w:t>
            </w:r>
          </w:p>
        </w:tc>
        <w:tc>
          <w:tcPr>
            <w:tcW w:w="0" w:type="auto"/>
            <w:tcBorders>
              <w:top w:val="nil"/>
              <w:left w:val="nil"/>
              <w:bottom w:val="single" w:sz="8" w:space="0" w:color="95B3D7"/>
              <w:right w:val="single" w:sz="4" w:space="0" w:color="5B9BD5"/>
            </w:tcBorders>
            <w:shd w:val="clear" w:color="auto" w:fill="auto"/>
            <w:vAlign w:val="center"/>
            <w:hideMark/>
          </w:tcPr>
          <w:p w14:paraId="04F4CEAA"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$0</w:t>
            </w:r>
          </w:p>
        </w:tc>
        <w:tc>
          <w:tcPr>
            <w:tcW w:w="0" w:type="auto"/>
            <w:tcBorders>
              <w:top w:val="nil"/>
              <w:left w:val="nil"/>
              <w:bottom w:val="single" w:sz="8" w:space="0" w:color="95B3D7"/>
              <w:right w:val="nil"/>
            </w:tcBorders>
            <w:shd w:val="clear" w:color="auto" w:fill="auto"/>
            <w:vAlign w:val="center"/>
            <w:hideMark/>
          </w:tcPr>
          <w:p w14:paraId="3EA9148B" w14:textId="77777777" w:rsidR="00897B24" w:rsidRPr="00897B24" w:rsidRDefault="00897B24" w:rsidP="00897B24">
            <w:pPr>
              <w:jc w:val="center"/>
              <w:rPr>
                <w:rFonts w:ascii="Calibri" w:hAnsi="Calibri" w:cs="Calibri"/>
                <w:b/>
                <w:bCs/>
                <w:sz w:val="16"/>
                <w:szCs w:val="16"/>
                <w:lang w:eastAsia="en-AU"/>
              </w:rPr>
            </w:pPr>
            <w:r w:rsidRPr="00897B24">
              <w:rPr>
                <w:rFonts w:ascii="Calibri" w:hAnsi="Calibri" w:cs="Calibri"/>
                <w:b/>
                <w:bCs/>
                <w:sz w:val="16"/>
                <w:szCs w:val="16"/>
                <w:lang w:eastAsia="en-AU"/>
              </w:rPr>
              <w:t>$0</w:t>
            </w:r>
          </w:p>
        </w:tc>
        <w:tc>
          <w:tcPr>
            <w:tcW w:w="0" w:type="auto"/>
            <w:tcBorders>
              <w:top w:val="nil"/>
              <w:left w:val="nil"/>
              <w:bottom w:val="single" w:sz="8" w:space="0" w:color="95B3D7"/>
              <w:right w:val="nil"/>
            </w:tcBorders>
            <w:shd w:val="clear" w:color="auto" w:fill="auto"/>
            <w:vAlign w:val="center"/>
            <w:hideMark/>
          </w:tcPr>
          <w:p w14:paraId="7785E897" w14:textId="77777777" w:rsidR="00897B24" w:rsidRPr="00897B24" w:rsidRDefault="00897B24" w:rsidP="00897B24">
            <w:pPr>
              <w:jc w:val="center"/>
              <w:rPr>
                <w:rFonts w:ascii="Calibri" w:hAnsi="Calibri" w:cs="Calibri"/>
                <w:b/>
                <w:bCs/>
                <w:sz w:val="16"/>
                <w:szCs w:val="16"/>
                <w:lang w:eastAsia="en-AU"/>
              </w:rPr>
            </w:pPr>
            <w:r w:rsidRPr="00897B24">
              <w:rPr>
                <w:rFonts w:ascii="Calibri" w:hAnsi="Calibri" w:cs="Calibri"/>
                <w:b/>
                <w:bCs/>
                <w:sz w:val="16"/>
                <w:szCs w:val="16"/>
                <w:lang w:eastAsia="en-AU"/>
              </w:rPr>
              <w:t>$0</w:t>
            </w:r>
          </w:p>
        </w:tc>
        <w:tc>
          <w:tcPr>
            <w:tcW w:w="0" w:type="auto"/>
            <w:tcBorders>
              <w:top w:val="nil"/>
              <w:left w:val="nil"/>
              <w:bottom w:val="single" w:sz="8" w:space="0" w:color="95B3D7"/>
              <w:right w:val="nil"/>
            </w:tcBorders>
            <w:shd w:val="clear" w:color="auto" w:fill="auto"/>
            <w:vAlign w:val="center"/>
            <w:hideMark/>
          </w:tcPr>
          <w:p w14:paraId="6738EFB9" w14:textId="77777777" w:rsidR="00897B24" w:rsidRPr="00897B24" w:rsidRDefault="00897B24" w:rsidP="00897B24">
            <w:pPr>
              <w:jc w:val="center"/>
              <w:rPr>
                <w:rFonts w:ascii="Calibri" w:hAnsi="Calibri" w:cs="Calibri"/>
                <w:b/>
                <w:bCs/>
                <w:color w:val="17365D"/>
                <w:sz w:val="16"/>
                <w:szCs w:val="16"/>
                <w:lang w:eastAsia="en-AU"/>
              </w:rPr>
            </w:pPr>
            <w:r w:rsidRPr="00897B24">
              <w:rPr>
                <w:rFonts w:ascii="Calibri" w:hAnsi="Calibri" w:cs="Calibri"/>
                <w:b/>
                <w:bCs/>
                <w:color w:val="17365D"/>
                <w:sz w:val="16"/>
                <w:szCs w:val="16"/>
                <w:lang w:eastAsia="en-AU"/>
              </w:rPr>
              <w:t>$0</w:t>
            </w:r>
          </w:p>
        </w:tc>
      </w:tr>
      <w:tr w:rsidR="00897B24" w:rsidRPr="00897B24" w14:paraId="10614676" w14:textId="77777777" w:rsidTr="00897B24">
        <w:trPr>
          <w:trHeight w:val="525"/>
        </w:trPr>
        <w:tc>
          <w:tcPr>
            <w:tcW w:w="693" w:type="dxa"/>
            <w:tcBorders>
              <w:top w:val="nil"/>
              <w:left w:val="single" w:sz="8" w:space="0" w:color="95B3D7"/>
              <w:bottom w:val="single" w:sz="8" w:space="0" w:color="95B3D7"/>
              <w:right w:val="nil"/>
            </w:tcBorders>
            <w:shd w:val="clear" w:color="000000" w:fill="DBE5F1"/>
            <w:vAlign w:val="center"/>
            <w:hideMark/>
          </w:tcPr>
          <w:p w14:paraId="693F6CEB" w14:textId="6FDB3B59" w:rsidR="00897B24" w:rsidRPr="00897B24" w:rsidRDefault="00BF4DE3" w:rsidP="00897B24">
            <w:pPr>
              <w:jc w:val="center"/>
              <w:rPr>
                <w:rFonts w:ascii="Calibri" w:hAnsi="Calibri" w:cs="Calibri"/>
                <w:color w:val="17365D"/>
                <w:sz w:val="16"/>
                <w:szCs w:val="16"/>
                <w:lang w:eastAsia="en-AU"/>
              </w:rPr>
            </w:pPr>
            <w:r>
              <w:rPr>
                <w:rFonts w:ascii="Calibri" w:hAnsi="Calibri" w:cs="Calibri"/>
                <w:color w:val="17365D"/>
                <w:sz w:val="16"/>
                <w:szCs w:val="16"/>
                <w:lang w:eastAsia="en-AU"/>
              </w:rPr>
              <w:t>2,3,4</w:t>
            </w:r>
          </w:p>
        </w:tc>
        <w:tc>
          <w:tcPr>
            <w:tcW w:w="1198" w:type="dxa"/>
            <w:tcBorders>
              <w:top w:val="nil"/>
              <w:left w:val="nil"/>
              <w:bottom w:val="single" w:sz="8" w:space="0" w:color="95B3D7"/>
              <w:right w:val="nil"/>
            </w:tcBorders>
            <w:shd w:val="clear" w:color="000000" w:fill="DBE5F1"/>
            <w:vAlign w:val="center"/>
            <w:hideMark/>
          </w:tcPr>
          <w:p w14:paraId="414262F1" w14:textId="77777777" w:rsidR="00897B24" w:rsidRPr="00897B24" w:rsidRDefault="00897B24" w:rsidP="00897B24">
            <w:pPr>
              <w:rPr>
                <w:rFonts w:ascii="Calibri" w:hAnsi="Calibri" w:cs="Calibri"/>
                <w:color w:val="17365D"/>
                <w:sz w:val="16"/>
                <w:szCs w:val="16"/>
                <w:lang w:eastAsia="en-AU"/>
              </w:rPr>
            </w:pPr>
            <w:r w:rsidRPr="00897B24">
              <w:rPr>
                <w:rFonts w:ascii="Calibri" w:hAnsi="Calibri" w:cs="Calibri"/>
                <w:color w:val="17365D"/>
                <w:sz w:val="16"/>
                <w:szCs w:val="16"/>
                <w:lang w:eastAsia="en-AU"/>
              </w:rPr>
              <w:t xml:space="preserve">Transmission &amp;                       Infrastructure Licence </w:t>
            </w:r>
          </w:p>
        </w:tc>
        <w:tc>
          <w:tcPr>
            <w:tcW w:w="509" w:type="dxa"/>
            <w:tcBorders>
              <w:top w:val="nil"/>
              <w:left w:val="nil"/>
              <w:bottom w:val="single" w:sz="8" w:space="0" w:color="95B3D7"/>
              <w:right w:val="nil"/>
            </w:tcBorders>
            <w:shd w:val="clear" w:color="000000" w:fill="DBE5F1"/>
            <w:vAlign w:val="center"/>
            <w:hideMark/>
          </w:tcPr>
          <w:p w14:paraId="2ADA7CC9"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10%</w:t>
            </w:r>
          </w:p>
        </w:tc>
        <w:tc>
          <w:tcPr>
            <w:tcW w:w="0" w:type="auto"/>
            <w:tcBorders>
              <w:top w:val="nil"/>
              <w:left w:val="nil"/>
              <w:bottom w:val="single" w:sz="8" w:space="0" w:color="95B3D7"/>
              <w:right w:val="nil"/>
            </w:tcBorders>
            <w:shd w:val="clear" w:color="000000" w:fill="DBE5F1"/>
            <w:vAlign w:val="center"/>
            <w:hideMark/>
          </w:tcPr>
          <w:p w14:paraId="1AF1FE91"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$101,610</w:t>
            </w:r>
          </w:p>
        </w:tc>
        <w:tc>
          <w:tcPr>
            <w:tcW w:w="0" w:type="auto"/>
            <w:tcBorders>
              <w:top w:val="nil"/>
              <w:left w:val="nil"/>
              <w:bottom w:val="single" w:sz="8" w:space="0" w:color="95B3D7"/>
              <w:right w:val="nil"/>
            </w:tcBorders>
            <w:shd w:val="clear" w:color="000000" w:fill="DBE5F1"/>
            <w:vAlign w:val="center"/>
            <w:hideMark/>
          </w:tcPr>
          <w:p w14:paraId="50BFC875"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$106,641</w:t>
            </w:r>
          </w:p>
        </w:tc>
        <w:tc>
          <w:tcPr>
            <w:tcW w:w="0" w:type="auto"/>
            <w:tcBorders>
              <w:top w:val="nil"/>
              <w:left w:val="nil"/>
              <w:bottom w:val="single" w:sz="8" w:space="0" w:color="95B3D7"/>
              <w:right w:val="nil"/>
            </w:tcBorders>
            <w:shd w:val="clear" w:color="000000" w:fill="DBE5F1"/>
            <w:vAlign w:val="center"/>
            <w:hideMark/>
          </w:tcPr>
          <w:p w14:paraId="687A0ACA"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$108,774</w:t>
            </w:r>
          </w:p>
        </w:tc>
        <w:tc>
          <w:tcPr>
            <w:tcW w:w="0" w:type="auto"/>
            <w:tcBorders>
              <w:top w:val="nil"/>
              <w:left w:val="nil"/>
              <w:bottom w:val="single" w:sz="8" w:space="0" w:color="95B3D7"/>
              <w:right w:val="nil"/>
            </w:tcBorders>
            <w:shd w:val="clear" w:color="000000" w:fill="DBE5F1"/>
            <w:vAlign w:val="center"/>
            <w:hideMark/>
          </w:tcPr>
          <w:p w14:paraId="2CFCE2DE"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$19,941</w:t>
            </w:r>
          </w:p>
        </w:tc>
        <w:tc>
          <w:tcPr>
            <w:tcW w:w="0" w:type="auto"/>
            <w:tcBorders>
              <w:top w:val="nil"/>
              <w:left w:val="nil"/>
              <w:bottom w:val="single" w:sz="8" w:space="0" w:color="95B3D7"/>
              <w:right w:val="nil"/>
            </w:tcBorders>
            <w:shd w:val="clear" w:color="000000" w:fill="DBE5F1"/>
            <w:vAlign w:val="center"/>
            <w:hideMark/>
          </w:tcPr>
          <w:p w14:paraId="7C981F4F"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$20,523</w:t>
            </w:r>
          </w:p>
        </w:tc>
        <w:tc>
          <w:tcPr>
            <w:tcW w:w="0" w:type="auto"/>
            <w:tcBorders>
              <w:top w:val="nil"/>
              <w:left w:val="nil"/>
              <w:bottom w:val="single" w:sz="8" w:space="0" w:color="95B3D7"/>
              <w:right w:val="single" w:sz="4" w:space="0" w:color="5B9BD5"/>
            </w:tcBorders>
            <w:shd w:val="clear" w:color="000000" w:fill="DBE5F1"/>
            <w:vAlign w:val="center"/>
            <w:hideMark/>
          </w:tcPr>
          <w:p w14:paraId="72F61088"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$21,114</w:t>
            </w:r>
          </w:p>
        </w:tc>
        <w:tc>
          <w:tcPr>
            <w:tcW w:w="0" w:type="auto"/>
            <w:tcBorders>
              <w:top w:val="nil"/>
              <w:left w:val="nil"/>
              <w:bottom w:val="single" w:sz="8" w:space="0" w:color="95B3D7"/>
              <w:right w:val="nil"/>
            </w:tcBorders>
            <w:shd w:val="clear" w:color="000000" w:fill="DBE5F1"/>
            <w:vAlign w:val="center"/>
            <w:hideMark/>
          </w:tcPr>
          <w:p w14:paraId="64E534E7" w14:textId="77777777" w:rsidR="00897B24" w:rsidRPr="00897B24" w:rsidRDefault="00897B24" w:rsidP="00897B24">
            <w:pPr>
              <w:jc w:val="center"/>
              <w:rPr>
                <w:rFonts w:ascii="Calibri" w:hAnsi="Calibri" w:cs="Calibri"/>
                <w:b/>
                <w:bCs/>
                <w:sz w:val="16"/>
                <w:szCs w:val="16"/>
                <w:lang w:eastAsia="en-AU"/>
              </w:rPr>
            </w:pPr>
            <w:r w:rsidRPr="00897B24">
              <w:rPr>
                <w:rFonts w:ascii="Calibri" w:hAnsi="Calibri" w:cs="Calibri"/>
                <w:b/>
                <w:bCs/>
                <w:sz w:val="16"/>
                <w:szCs w:val="16"/>
                <w:lang w:eastAsia="en-AU"/>
              </w:rPr>
              <w:t>$121,551</w:t>
            </w:r>
          </w:p>
        </w:tc>
        <w:tc>
          <w:tcPr>
            <w:tcW w:w="0" w:type="auto"/>
            <w:tcBorders>
              <w:top w:val="nil"/>
              <w:left w:val="nil"/>
              <w:bottom w:val="single" w:sz="8" w:space="0" w:color="95B3D7"/>
              <w:right w:val="nil"/>
            </w:tcBorders>
            <w:shd w:val="clear" w:color="000000" w:fill="DBE5F1"/>
            <w:vAlign w:val="center"/>
            <w:hideMark/>
          </w:tcPr>
          <w:p w14:paraId="482B79BA" w14:textId="77777777" w:rsidR="00897B24" w:rsidRPr="00897B24" w:rsidRDefault="00897B24" w:rsidP="00897B24">
            <w:pPr>
              <w:jc w:val="center"/>
              <w:rPr>
                <w:rFonts w:ascii="Calibri" w:hAnsi="Calibri" w:cs="Calibri"/>
                <w:b/>
                <w:bCs/>
                <w:sz w:val="16"/>
                <w:szCs w:val="16"/>
                <w:lang w:eastAsia="en-AU"/>
              </w:rPr>
            </w:pPr>
            <w:r w:rsidRPr="00897B24">
              <w:rPr>
                <w:rFonts w:ascii="Calibri" w:hAnsi="Calibri" w:cs="Calibri"/>
                <w:b/>
                <w:bCs/>
                <w:sz w:val="16"/>
                <w:szCs w:val="16"/>
                <w:lang w:eastAsia="en-AU"/>
              </w:rPr>
              <w:t>$127,164</w:t>
            </w:r>
          </w:p>
        </w:tc>
        <w:tc>
          <w:tcPr>
            <w:tcW w:w="0" w:type="auto"/>
            <w:tcBorders>
              <w:top w:val="nil"/>
              <w:left w:val="nil"/>
              <w:bottom w:val="single" w:sz="8" w:space="0" w:color="95B3D7"/>
              <w:right w:val="nil"/>
            </w:tcBorders>
            <w:shd w:val="clear" w:color="000000" w:fill="DBE5F1"/>
            <w:vAlign w:val="center"/>
            <w:hideMark/>
          </w:tcPr>
          <w:p w14:paraId="46E9BF6B" w14:textId="77777777" w:rsidR="00897B24" w:rsidRPr="00897B24" w:rsidRDefault="00897B24" w:rsidP="00897B24">
            <w:pPr>
              <w:jc w:val="center"/>
              <w:rPr>
                <w:rFonts w:ascii="Calibri" w:hAnsi="Calibri" w:cs="Calibri"/>
                <w:b/>
                <w:bCs/>
                <w:color w:val="17365D"/>
                <w:sz w:val="16"/>
                <w:szCs w:val="16"/>
                <w:lang w:eastAsia="en-AU"/>
              </w:rPr>
            </w:pPr>
            <w:r w:rsidRPr="00897B24">
              <w:rPr>
                <w:rFonts w:ascii="Calibri" w:hAnsi="Calibri" w:cs="Calibri"/>
                <w:b/>
                <w:bCs/>
                <w:color w:val="17365D"/>
                <w:sz w:val="16"/>
                <w:szCs w:val="16"/>
                <w:lang w:eastAsia="en-AU"/>
              </w:rPr>
              <w:t>$129,888</w:t>
            </w:r>
          </w:p>
        </w:tc>
      </w:tr>
      <w:tr w:rsidR="00897B24" w:rsidRPr="00897B24" w14:paraId="259AC088" w14:textId="77777777" w:rsidTr="00897B24">
        <w:trPr>
          <w:trHeight w:val="300"/>
        </w:trPr>
        <w:tc>
          <w:tcPr>
            <w:tcW w:w="693" w:type="dxa"/>
            <w:vMerge w:val="restart"/>
            <w:tcBorders>
              <w:top w:val="nil"/>
              <w:left w:val="single" w:sz="8" w:space="0" w:color="95B3D7"/>
              <w:bottom w:val="single" w:sz="8" w:space="0" w:color="95B3D7"/>
              <w:right w:val="nil"/>
            </w:tcBorders>
            <w:shd w:val="clear" w:color="auto" w:fill="auto"/>
            <w:vAlign w:val="center"/>
            <w:hideMark/>
          </w:tcPr>
          <w:p w14:paraId="7ED8E77E" w14:textId="4880B92C" w:rsidR="00897B24" w:rsidRPr="00897B24" w:rsidRDefault="00BF4DE3" w:rsidP="00897B24">
            <w:pPr>
              <w:jc w:val="center"/>
              <w:rPr>
                <w:rFonts w:ascii="Calibri" w:hAnsi="Calibri" w:cs="Calibri"/>
                <w:color w:val="17365D"/>
                <w:sz w:val="16"/>
                <w:szCs w:val="16"/>
                <w:lang w:eastAsia="en-AU"/>
              </w:rPr>
            </w:pPr>
            <w:r>
              <w:rPr>
                <w:rFonts w:ascii="Calibri" w:hAnsi="Calibri" w:cs="Calibri"/>
                <w:color w:val="17365D"/>
                <w:sz w:val="16"/>
                <w:szCs w:val="16"/>
                <w:lang w:eastAsia="en-AU"/>
              </w:rPr>
              <w:t>3,4</w:t>
            </w:r>
          </w:p>
        </w:tc>
        <w:tc>
          <w:tcPr>
            <w:tcW w:w="1198" w:type="dxa"/>
            <w:tcBorders>
              <w:top w:val="nil"/>
              <w:left w:val="nil"/>
              <w:bottom w:val="nil"/>
              <w:right w:val="nil"/>
            </w:tcBorders>
            <w:shd w:val="clear" w:color="auto" w:fill="auto"/>
            <w:vAlign w:val="center"/>
            <w:hideMark/>
          </w:tcPr>
          <w:p w14:paraId="6235C9AD" w14:textId="77777777" w:rsidR="00897B24" w:rsidRPr="00897B24" w:rsidRDefault="00897B24" w:rsidP="00897B24">
            <w:pPr>
              <w:rPr>
                <w:rFonts w:ascii="Calibri" w:hAnsi="Calibri" w:cs="Calibri"/>
                <w:color w:val="17365D"/>
                <w:sz w:val="16"/>
                <w:szCs w:val="16"/>
                <w:lang w:eastAsia="en-AU"/>
              </w:rPr>
            </w:pPr>
            <w:r w:rsidRPr="00897B24">
              <w:rPr>
                <w:rFonts w:ascii="Calibri" w:hAnsi="Calibri" w:cs="Calibri"/>
                <w:color w:val="17365D"/>
                <w:sz w:val="16"/>
                <w:szCs w:val="16"/>
                <w:lang w:eastAsia="en-AU"/>
              </w:rPr>
              <w:t>Transfer</w:t>
            </w:r>
          </w:p>
        </w:tc>
        <w:tc>
          <w:tcPr>
            <w:tcW w:w="509" w:type="dxa"/>
            <w:tcBorders>
              <w:top w:val="nil"/>
              <w:left w:val="nil"/>
              <w:bottom w:val="nil"/>
              <w:right w:val="nil"/>
            </w:tcBorders>
            <w:shd w:val="clear" w:color="auto" w:fill="auto"/>
            <w:vAlign w:val="center"/>
            <w:hideMark/>
          </w:tcPr>
          <w:p w14:paraId="4486EA42"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5%</w:t>
            </w:r>
          </w:p>
        </w:tc>
        <w:tc>
          <w:tcPr>
            <w:tcW w:w="0" w:type="auto"/>
            <w:vMerge w:val="restart"/>
            <w:tcBorders>
              <w:top w:val="nil"/>
              <w:left w:val="nil"/>
              <w:bottom w:val="single" w:sz="8" w:space="0" w:color="95B3D7"/>
              <w:right w:val="nil"/>
            </w:tcBorders>
            <w:shd w:val="clear" w:color="auto" w:fill="auto"/>
            <w:vAlign w:val="center"/>
            <w:hideMark/>
          </w:tcPr>
          <w:p w14:paraId="06D5BBD9"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$50,805</w:t>
            </w:r>
          </w:p>
        </w:tc>
        <w:tc>
          <w:tcPr>
            <w:tcW w:w="0" w:type="auto"/>
            <w:vMerge w:val="restart"/>
            <w:tcBorders>
              <w:top w:val="nil"/>
              <w:left w:val="nil"/>
              <w:bottom w:val="single" w:sz="8" w:space="0" w:color="95B3D7"/>
              <w:right w:val="nil"/>
            </w:tcBorders>
            <w:shd w:val="clear" w:color="auto" w:fill="auto"/>
            <w:vAlign w:val="center"/>
            <w:hideMark/>
          </w:tcPr>
          <w:p w14:paraId="50942D74"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$53,321</w:t>
            </w:r>
          </w:p>
        </w:tc>
        <w:tc>
          <w:tcPr>
            <w:tcW w:w="0" w:type="auto"/>
            <w:vMerge w:val="restart"/>
            <w:tcBorders>
              <w:top w:val="nil"/>
              <w:left w:val="nil"/>
              <w:bottom w:val="single" w:sz="8" w:space="0" w:color="95B3D7"/>
              <w:right w:val="nil"/>
            </w:tcBorders>
            <w:shd w:val="clear" w:color="auto" w:fill="auto"/>
            <w:vAlign w:val="center"/>
            <w:hideMark/>
          </w:tcPr>
          <w:p w14:paraId="5FA088C4"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$54,387</w:t>
            </w:r>
          </w:p>
        </w:tc>
        <w:tc>
          <w:tcPr>
            <w:tcW w:w="0" w:type="auto"/>
            <w:vMerge w:val="restart"/>
            <w:tcBorders>
              <w:top w:val="nil"/>
              <w:left w:val="nil"/>
              <w:bottom w:val="single" w:sz="8" w:space="0" w:color="95B3D7"/>
              <w:right w:val="nil"/>
            </w:tcBorders>
            <w:shd w:val="clear" w:color="auto" w:fill="auto"/>
            <w:vAlign w:val="center"/>
            <w:hideMark/>
          </w:tcPr>
          <w:p w14:paraId="2CABA7F0"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$9,971</w:t>
            </w:r>
          </w:p>
        </w:tc>
        <w:tc>
          <w:tcPr>
            <w:tcW w:w="0" w:type="auto"/>
            <w:vMerge w:val="restart"/>
            <w:tcBorders>
              <w:top w:val="nil"/>
              <w:left w:val="nil"/>
              <w:bottom w:val="single" w:sz="8" w:space="0" w:color="95B3D7"/>
              <w:right w:val="nil"/>
            </w:tcBorders>
            <w:shd w:val="clear" w:color="auto" w:fill="auto"/>
            <w:vAlign w:val="center"/>
            <w:hideMark/>
          </w:tcPr>
          <w:p w14:paraId="505668C5"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$10,262</w:t>
            </w:r>
          </w:p>
        </w:tc>
        <w:tc>
          <w:tcPr>
            <w:tcW w:w="0" w:type="auto"/>
            <w:vMerge w:val="restart"/>
            <w:tcBorders>
              <w:top w:val="nil"/>
              <w:left w:val="nil"/>
              <w:bottom w:val="single" w:sz="8" w:space="0" w:color="95B3D7"/>
              <w:right w:val="single" w:sz="4" w:space="0" w:color="5B9BD5"/>
            </w:tcBorders>
            <w:shd w:val="clear" w:color="auto" w:fill="auto"/>
            <w:vAlign w:val="center"/>
            <w:hideMark/>
          </w:tcPr>
          <w:p w14:paraId="1DFE2B74"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$10,557</w:t>
            </w:r>
          </w:p>
        </w:tc>
        <w:tc>
          <w:tcPr>
            <w:tcW w:w="0" w:type="auto"/>
            <w:vMerge w:val="restart"/>
            <w:tcBorders>
              <w:top w:val="nil"/>
              <w:left w:val="nil"/>
              <w:bottom w:val="single" w:sz="8" w:space="0" w:color="95B3D7"/>
              <w:right w:val="nil"/>
            </w:tcBorders>
            <w:shd w:val="clear" w:color="auto" w:fill="auto"/>
            <w:vAlign w:val="center"/>
            <w:hideMark/>
          </w:tcPr>
          <w:p w14:paraId="3AD5CB78" w14:textId="77777777" w:rsidR="00897B24" w:rsidRPr="00897B24" w:rsidRDefault="00897B24" w:rsidP="00897B24">
            <w:pPr>
              <w:jc w:val="center"/>
              <w:rPr>
                <w:rFonts w:ascii="Calibri" w:hAnsi="Calibri" w:cs="Calibri"/>
                <w:b/>
                <w:bCs/>
                <w:sz w:val="16"/>
                <w:szCs w:val="16"/>
                <w:lang w:eastAsia="en-AU"/>
              </w:rPr>
            </w:pPr>
            <w:r w:rsidRPr="00897B24">
              <w:rPr>
                <w:rFonts w:ascii="Calibri" w:hAnsi="Calibri" w:cs="Calibri"/>
                <w:b/>
                <w:bCs/>
                <w:sz w:val="16"/>
                <w:szCs w:val="16"/>
                <w:lang w:eastAsia="en-AU"/>
              </w:rPr>
              <w:t>$60,776</w:t>
            </w:r>
          </w:p>
        </w:tc>
        <w:tc>
          <w:tcPr>
            <w:tcW w:w="0" w:type="auto"/>
            <w:vMerge w:val="restart"/>
            <w:tcBorders>
              <w:top w:val="nil"/>
              <w:left w:val="nil"/>
              <w:bottom w:val="single" w:sz="8" w:space="0" w:color="95B3D7"/>
              <w:right w:val="nil"/>
            </w:tcBorders>
            <w:shd w:val="clear" w:color="auto" w:fill="auto"/>
            <w:vAlign w:val="center"/>
            <w:hideMark/>
          </w:tcPr>
          <w:p w14:paraId="36EB9BA0" w14:textId="77777777" w:rsidR="00897B24" w:rsidRPr="00897B24" w:rsidRDefault="00897B24" w:rsidP="00897B24">
            <w:pPr>
              <w:jc w:val="center"/>
              <w:rPr>
                <w:rFonts w:ascii="Calibri" w:hAnsi="Calibri" w:cs="Calibri"/>
                <w:b/>
                <w:bCs/>
                <w:sz w:val="16"/>
                <w:szCs w:val="16"/>
                <w:lang w:eastAsia="en-AU"/>
              </w:rPr>
            </w:pPr>
            <w:r w:rsidRPr="00897B24">
              <w:rPr>
                <w:rFonts w:ascii="Calibri" w:hAnsi="Calibri" w:cs="Calibri"/>
                <w:b/>
                <w:bCs/>
                <w:sz w:val="16"/>
                <w:szCs w:val="16"/>
                <w:lang w:eastAsia="en-AU"/>
              </w:rPr>
              <w:t>$63,582</w:t>
            </w:r>
          </w:p>
        </w:tc>
        <w:tc>
          <w:tcPr>
            <w:tcW w:w="0" w:type="auto"/>
            <w:vMerge w:val="restart"/>
            <w:tcBorders>
              <w:top w:val="nil"/>
              <w:left w:val="nil"/>
              <w:bottom w:val="single" w:sz="8" w:space="0" w:color="95B3D7"/>
              <w:right w:val="single" w:sz="8" w:space="0" w:color="95B3D7"/>
            </w:tcBorders>
            <w:shd w:val="clear" w:color="auto" w:fill="auto"/>
            <w:vAlign w:val="center"/>
            <w:hideMark/>
          </w:tcPr>
          <w:p w14:paraId="07BE2B96" w14:textId="77777777" w:rsidR="00897B24" w:rsidRPr="00897B24" w:rsidRDefault="00897B24" w:rsidP="00897B24">
            <w:pPr>
              <w:jc w:val="center"/>
              <w:rPr>
                <w:rFonts w:ascii="Calibri" w:hAnsi="Calibri" w:cs="Calibri"/>
                <w:b/>
                <w:bCs/>
                <w:color w:val="17365D"/>
                <w:sz w:val="16"/>
                <w:szCs w:val="16"/>
                <w:lang w:eastAsia="en-AU"/>
              </w:rPr>
            </w:pPr>
            <w:r w:rsidRPr="00897B24">
              <w:rPr>
                <w:rFonts w:ascii="Calibri" w:hAnsi="Calibri" w:cs="Calibri"/>
                <w:b/>
                <w:bCs/>
                <w:color w:val="17365D"/>
                <w:sz w:val="16"/>
                <w:szCs w:val="16"/>
                <w:lang w:eastAsia="en-AU"/>
              </w:rPr>
              <w:t>$64,944</w:t>
            </w:r>
          </w:p>
        </w:tc>
      </w:tr>
      <w:tr w:rsidR="00897B24" w:rsidRPr="00897B24" w14:paraId="17A3EBB4" w14:textId="77777777" w:rsidTr="00897B24">
        <w:trPr>
          <w:trHeight w:val="122"/>
        </w:trPr>
        <w:tc>
          <w:tcPr>
            <w:tcW w:w="693" w:type="dxa"/>
            <w:vMerge/>
            <w:tcBorders>
              <w:top w:val="nil"/>
              <w:left w:val="single" w:sz="8" w:space="0" w:color="95B3D7"/>
              <w:bottom w:val="single" w:sz="8" w:space="0" w:color="95B3D7"/>
              <w:right w:val="nil"/>
            </w:tcBorders>
            <w:vAlign w:val="center"/>
            <w:hideMark/>
          </w:tcPr>
          <w:p w14:paraId="3CD8ED3C" w14:textId="77777777" w:rsidR="00897B24" w:rsidRPr="00897B24" w:rsidRDefault="00897B24" w:rsidP="00897B24">
            <w:pPr>
              <w:rPr>
                <w:rFonts w:ascii="Calibri" w:hAnsi="Calibri" w:cs="Calibri"/>
                <w:color w:val="17365D"/>
                <w:sz w:val="16"/>
                <w:szCs w:val="16"/>
                <w:lang w:eastAsia="en-AU"/>
              </w:rPr>
            </w:pPr>
          </w:p>
        </w:tc>
        <w:tc>
          <w:tcPr>
            <w:tcW w:w="1198" w:type="dxa"/>
            <w:tcBorders>
              <w:top w:val="nil"/>
              <w:left w:val="nil"/>
              <w:bottom w:val="single" w:sz="8" w:space="0" w:color="95B3D7"/>
              <w:right w:val="nil"/>
            </w:tcBorders>
            <w:shd w:val="clear" w:color="auto" w:fill="auto"/>
            <w:vAlign w:val="center"/>
            <w:hideMark/>
          </w:tcPr>
          <w:p w14:paraId="6911E9BE" w14:textId="77777777" w:rsidR="00897B24" w:rsidRPr="00897B24" w:rsidRDefault="00897B24" w:rsidP="00897B24">
            <w:pPr>
              <w:rPr>
                <w:rFonts w:ascii="Calibri" w:hAnsi="Calibri" w:cs="Calibri"/>
                <w:color w:val="17365D"/>
                <w:sz w:val="16"/>
                <w:szCs w:val="16"/>
                <w:lang w:eastAsia="en-AU"/>
              </w:rPr>
            </w:pPr>
            <w:r w:rsidRPr="00897B24">
              <w:rPr>
                <w:rFonts w:ascii="Calibri" w:hAnsi="Calibri" w:cs="Calibri"/>
                <w:color w:val="17365D"/>
                <w:sz w:val="16"/>
                <w:szCs w:val="16"/>
                <w:lang w:eastAsia="en-AU"/>
              </w:rPr>
              <w:t>(all licences)</w:t>
            </w:r>
          </w:p>
        </w:tc>
        <w:tc>
          <w:tcPr>
            <w:tcW w:w="509" w:type="dxa"/>
            <w:tcBorders>
              <w:top w:val="nil"/>
              <w:left w:val="nil"/>
              <w:bottom w:val="single" w:sz="8" w:space="0" w:color="95B3D7"/>
              <w:right w:val="nil"/>
            </w:tcBorders>
            <w:shd w:val="clear" w:color="auto" w:fill="auto"/>
            <w:vAlign w:val="center"/>
            <w:hideMark/>
          </w:tcPr>
          <w:p w14:paraId="6F40FAC8" w14:textId="77777777" w:rsidR="00897B24" w:rsidRPr="00897B24" w:rsidRDefault="00897B24" w:rsidP="00897B24">
            <w:pPr>
              <w:rPr>
                <w:rFonts w:ascii="Calibri" w:hAnsi="Calibri" w:cs="Calibri"/>
                <w:color w:val="17365D"/>
                <w:sz w:val="16"/>
                <w:szCs w:val="16"/>
                <w:lang w:eastAsia="en-AU"/>
              </w:rPr>
            </w:pPr>
            <w:r w:rsidRPr="00897B24">
              <w:rPr>
                <w:rFonts w:ascii="Calibri" w:hAnsi="Calibri" w:cs="Calibri"/>
                <w:color w:val="17365D"/>
                <w:sz w:val="16"/>
                <w:szCs w:val="16"/>
                <w:lang w:eastAsia="en-AU"/>
              </w:rPr>
              <w:t> </w:t>
            </w:r>
          </w:p>
        </w:tc>
        <w:tc>
          <w:tcPr>
            <w:tcW w:w="0" w:type="auto"/>
            <w:vMerge/>
            <w:tcBorders>
              <w:top w:val="nil"/>
              <w:left w:val="nil"/>
              <w:bottom w:val="single" w:sz="8" w:space="0" w:color="95B3D7"/>
              <w:right w:val="nil"/>
            </w:tcBorders>
            <w:vAlign w:val="center"/>
            <w:hideMark/>
          </w:tcPr>
          <w:p w14:paraId="2AE1C5EA" w14:textId="77777777" w:rsidR="00897B24" w:rsidRPr="00897B24" w:rsidRDefault="00897B24" w:rsidP="00897B24">
            <w:pPr>
              <w:rPr>
                <w:rFonts w:ascii="Calibri" w:hAnsi="Calibri" w:cs="Calibri"/>
                <w:color w:val="17365D"/>
                <w:sz w:val="16"/>
                <w:szCs w:val="16"/>
                <w:lang w:eastAsia="en-AU"/>
              </w:rPr>
            </w:pPr>
          </w:p>
        </w:tc>
        <w:tc>
          <w:tcPr>
            <w:tcW w:w="0" w:type="auto"/>
            <w:vMerge/>
            <w:tcBorders>
              <w:top w:val="nil"/>
              <w:left w:val="nil"/>
              <w:bottom w:val="single" w:sz="8" w:space="0" w:color="95B3D7"/>
              <w:right w:val="nil"/>
            </w:tcBorders>
            <w:vAlign w:val="center"/>
            <w:hideMark/>
          </w:tcPr>
          <w:p w14:paraId="32727435" w14:textId="77777777" w:rsidR="00897B24" w:rsidRPr="00897B24" w:rsidRDefault="00897B24" w:rsidP="00897B24">
            <w:pPr>
              <w:rPr>
                <w:rFonts w:ascii="Calibri" w:hAnsi="Calibri" w:cs="Calibri"/>
                <w:color w:val="17365D"/>
                <w:sz w:val="16"/>
                <w:szCs w:val="16"/>
                <w:lang w:eastAsia="en-AU"/>
              </w:rPr>
            </w:pPr>
          </w:p>
        </w:tc>
        <w:tc>
          <w:tcPr>
            <w:tcW w:w="0" w:type="auto"/>
            <w:vMerge/>
            <w:tcBorders>
              <w:top w:val="nil"/>
              <w:left w:val="nil"/>
              <w:bottom w:val="single" w:sz="8" w:space="0" w:color="95B3D7"/>
              <w:right w:val="nil"/>
            </w:tcBorders>
            <w:vAlign w:val="center"/>
            <w:hideMark/>
          </w:tcPr>
          <w:p w14:paraId="6BE0D2B1" w14:textId="77777777" w:rsidR="00897B24" w:rsidRPr="00897B24" w:rsidRDefault="00897B24" w:rsidP="00897B24">
            <w:pPr>
              <w:rPr>
                <w:rFonts w:ascii="Calibri" w:hAnsi="Calibri" w:cs="Calibri"/>
                <w:color w:val="17365D"/>
                <w:sz w:val="16"/>
                <w:szCs w:val="16"/>
                <w:lang w:eastAsia="en-AU"/>
              </w:rPr>
            </w:pPr>
          </w:p>
        </w:tc>
        <w:tc>
          <w:tcPr>
            <w:tcW w:w="0" w:type="auto"/>
            <w:vMerge/>
            <w:tcBorders>
              <w:top w:val="nil"/>
              <w:left w:val="nil"/>
              <w:bottom w:val="single" w:sz="8" w:space="0" w:color="95B3D7"/>
              <w:right w:val="nil"/>
            </w:tcBorders>
            <w:vAlign w:val="center"/>
            <w:hideMark/>
          </w:tcPr>
          <w:p w14:paraId="2AFFCE68" w14:textId="77777777" w:rsidR="00897B24" w:rsidRPr="00897B24" w:rsidRDefault="00897B24" w:rsidP="00897B24">
            <w:pPr>
              <w:rPr>
                <w:rFonts w:ascii="Calibri" w:hAnsi="Calibri" w:cs="Calibri"/>
                <w:color w:val="17365D"/>
                <w:sz w:val="16"/>
                <w:szCs w:val="16"/>
                <w:lang w:eastAsia="en-AU"/>
              </w:rPr>
            </w:pPr>
          </w:p>
        </w:tc>
        <w:tc>
          <w:tcPr>
            <w:tcW w:w="0" w:type="auto"/>
            <w:vMerge/>
            <w:tcBorders>
              <w:top w:val="nil"/>
              <w:left w:val="nil"/>
              <w:bottom w:val="single" w:sz="8" w:space="0" w:color="95B3D7"/>
              <w:right w:val="nil"/>
            </w:tcBorders>
            <w:vAlign w:val="center"/>
            <w:hideMark/>
          </w:tcPr>
          <w:p w14:paraId="329E3A3B" w14:textId="77777777" w:rsidR="00897B24" w:rsidRPr="00897B24" w:rsidRDefault="00897B24" w:rsidP="00897B24">
            <w:pPr>
              <w:rPr>
                <w:rFonts w:ascii="Calibri" w:hAnsi="Calibri" w:cs="Calibri"/>
                <w:color w:val="17365D"/>
                <w:sz w:val="16"/>
                <w:szCs w:val="16"/>
                <w:lang w:eastAsia="en-AU"/>
              </w:rPr>
            </w:pPr>
          </w:p>
        </w:tc>
        <w:tc>
          <w:tcPr>
            <w:tcW w:w="0" w:type="auto"/>
            <w:vMerge/>
            <w:tcBorders>
              <w:top w:val="nil"/>
              <w:left w:val="nil"/>
              <w:bottom w:val="single" w:sz="8" w:space="0" w:color="95B3D7"/>
              <w:right w:val="single" w:sz="4" w:space="0" w:color="5B9BD5"/>
            </w:tcBorders>
            <w:vAlign w:val="center"/>
            <w:hideMark/>
          </w:tcPr>
          <w:p w14:paraId="7B2CCA16" w14:textId="77777777" w:rsidR="00897B24" w:rsidRPr="00897B24" w:rsidRDefault="00897B24" w:rsidP="00897B24">
            <w:pPr>
              <w:rPr>
                <w:rFonts w:ascii="Calibri" w:hAnsi="Calibri" w:cs="Calibri"/>
                <w:color w:val="17365D"/>
                <w:sz w:val="16"/>
                <w:szCs w:val="16"/>
                <w:lang w:eastAsia="en-AU"/>
              </w:rPr>
            </w:pPr>
          </w:p>
        </w:tc>
        <w:tc>
          <w:tcPr>
            <w:tcW w:w="0" w:type="auto"/>
            <w:vMerge/>
            <w:tcBorders>
              <w:top w:val="nil"/>
              <w:left w:val="nil"/>
              <w:bottom w:val="single" w:sz="8" w:space="0" w:color="95B3D7"/>
              <w:right w:val="nil"/>
            </w:tcBorders>
            <w:vAlign w:val="center"/>
            <w:hideMark/>
          </w:tcPr>
          <w:p w14:paraId="0051BA56" w14:textId="77777777" w:rsidR="00897B24" w:rsidRPr="00897B24" w:rsidRDefault="00897B24" w:rsidP="00897B24">
            <w:pPr>
              <w:rPr>
                <w:rFonts w:ascii="Calibri" w:hAnsi="Calibri" w:cs="Calibri"/>
                <w:b/>
                <w:bCs/>
                <w:sz w:val="16"/>
                <w:szCs w:val="16"/>
                <w:lang w:eastAsia="en-AU"/>
              </w:rPr>
            </w:pPr>
          </w:p>
        </w:tc>
        <w:tc>
          <w:tcPr>
            <w:tcW w:w="0" w:type="auto"/>
            <w:vMerge/>
            <w:tcBorders>
              <w:top w:val="nil"/>
              <w:left w:val="nil"/>
              <w:bottom w:val="single" w:sz="8" w:space="0" w:color="95B3D7"/>
              <w:right w:val="nil"/>
            </w:tcBorders>
            <w:vAlign w:val="center"/>
            <w:hideMark/>
          </w:tcPr>
          <w:p w14:paraId="5A6630F5" w14:textId="77777777" w:rsidR="00897B24" w:rsidRPr="00897B24" w:rsidRDefault="00897B24" w:rsidP="00897B24">
            <w:pPr>
              <w:rPr>
                <w:rFonts w:ascii="Calibri" w:hAnsi="Calibri" w:cs="Calibri"/>
                <w:b/>
                <w:bCs/>
                <w:sz w:val="16"/>
                <w:szCs w:val="16"/>
                <w:lang w:eastAsia="en-AU"/>
              </w:rPr>
            </w:pPr>
          </w:p>
        </w:tc>
        <w:tc>
          <w:tcPr>
            <w:tcW w:w="0" w:type="auto"/>
            <w:vMerge/>
            <w:tcBorders>
              <w:top w:val="nil"/>
              <w:left w:val="nil"/>
              <w:bottom w:val="single" w:sz="8" w:space="0" w:color="95B3D7"/>
              <w:right w:val="single" w:sz="8" w:space="0" w:color="95B3D7"/>
            </w:tcBorders>
            <w:vAlign w:val="center"/>
            <w:hideMark/>
          </w:tcPr>
          <w:p w14:paraId="1D711E4B" w14:textId="77777777" w:rsidR="00897B24" w:rsidRPr="00897B24" w:rsidRDefault="00897B24" w:rsidP="00897B24">
            <w:pPr>
              <w:rPr>
                <w:rFonts w:ascii="Calibri" w:hAnsi="Calibri" w:cs="Calibri"/>
                <w:b/>
                <w:bCs/>
                <w:color w:val="17365D"/>
                <w:sz w:val="16"/>
                <w:szCs w:val="16"/>
                <w:lang w:eastAsia="en-AU"/>
              </w:rPr>
            </w:pPr>
          </w:p>
        </w:tc>
      </w:tr>
      <w:tr w:rsidR="00897B24" w:rsidRPr="00897B24" w14:paraId="3A62F4AE" w14:textId="77777777" w:rsidTr="00897B24">
        <w:trPr>
          <w:trHeight w:val="354"/>
        </w:trPr>
        <w:tc>
          <w:tcPr>
            <w:tcW w:w="693" w:type="dxa"/>
            <w:vMerge w:val="restart"/>
            <w:tcBorders>
              <w:top w:val="nil"/>
              <w:left w:val="single" w:sz="8" w:space="0" w:color="95B3D7"/>
              <w:bottom w:val="single" w:sz="8" w:space="0" w:color="95B3D7"/>
              <w:right w:val="nil"/>
            </w:tcBorders>
            <w:shd w:val="clear" w:color="000000" w:fill="DBE5F1"/>
            <w:vAlign w:val="center"/>
            <w:hideMark/>
          </w:tcPr>
          <w:p w14:paraId="069624AC" w14:textId="0D4C9FEF" w:rsidR="00897B24" w:rsidRPr="00897B24" w:rsidRDefault="00BF4DE3" w:rsidP="00897B24">
            <w:pPr>
              <w:jc w:val="center"/>
              <w:rPr>
                <w:rFonts w:ascii="Calibri" w:hAnsi="Calibri" w:cs="Calibri"/>
                <w:color w:val="17365D"/>
                <w:sz w:val="16"/>
                <w:szCs w:val="16"/>
                <w:lang w:eastAsia="en-AU"/>
              </w:rPr>
            </w:pPr>
            <w:r>
              <w:rPr>
                <w:rFonts w:ascii="Calibri" w:hAnsi="Calibri" w:cs="Calibri"/>
                <w:color w:val="17365D"/>
                <w:sz w:val="16"/>
                <w:szCs w:val="16"/>
                <w:lang w:eastAsia="en-AU"/>
              </w:rPr>
              <w:t>3,4</w:t>
            </w:r>
          </w:p>
        </w:tc>
        <w:tc>
          <w:tcPr>
            <w:tcW w:w="1198" w:type="dxa"/>
            <w:tcBorders>
              <w:top w:val="nil"/>
              <w:left w:val="nil"/>
              <w:bottom w:val="nil"/>
              <w:right w:val="nil"/>
            </w:tcBorders>
            <w:shd w:val="clear" w:color="000000" w:fill="DBE5F1"/>
            <w:vAlign w:val="center"/>
            <w:hideMark/>
          </w:tcPr>
          <w:p w14:paraId="49098A83" w14:textId="77777777" w:rsidR="00897B24" w:rsidRPr="00897B24" w:rsidRDefault="00897B24" w:rsidP="00897B24">
            <w:pPr>
              <w:rPr>
                <w:rFonts w:ascii="Calibri" w:hAnsi="Calibri" w:cs="Calibri"/>
                <w:color w:val="17365D"/>
                <w:sz w:val="16"/>
                <w:szCs w:val="16"/>
                <w:lang w:eastAsia="en-AU"/>
              </w:rPr>
            </w:pPr>
            <w:r w:rsidRPr="00897B24">
              <w:rPr>
                <w:rFonts w:ascii="Calibri" w:hAnsi="Calibri" w:cs="Calibri"/>
                <w:color w:val="17365D"/>
                <w:sz w:val="16"/>
                <w:szCs w:val="16"/>
                <w:lang w:eastAsia="en-AU"/>
              </w:rPr>
              <w:t>Change In Control</w:t>
            </w:r>
          </w:p>
        </w:tc>
        <w:tc>
          <w:tcPr>
            <w:tcW w:w="509" w:type="dxa"/>
            <w:tcBorders>
              <w:top w:val="nil"/>
              <w:left w:val="nil"/>
              <w:bottom w:val="nil"/>
              <w:right w:val="nil"/>
            </w:tcBorders>
            <w:shd w:val="clear" w:color="000000" w:fill="DBE5F1"/>
            <w:vAlign w:val="center"/>
            <w:hideMark/>
          </w:tcPr>
          <w:p w14:paraId="0E13ADFE"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5%</w:t>
            </w:r>
          </w:p>
        </w:tc>
        <w:tc>
          <w:tcPr>
            <w:tcW w:w="0" w:type="auto"/>
            <w:vMerge w:val="restart"/>
            <w:tcBorders>
              <w:top w:val="nil"/>
              <w:left w:val="nil"/>
              <w:bottom w:val="single" w:sz="8" w:space="0" w:color="95B3D7"/>
              <w:right w:val="nil"/>
            </w:tcBorders>
            <w:shd w:val="clear" w:color="000000" w:fill="DBE5F1"/>
            <w:vAlign w:val="center"/>
            <w:hideMark/>
          </w:tcPr>
          <w:p w14:paraId="24069A0E"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$50,805</w:t>
            </w:r>
          </w:p>
        </w:tc>
        <w:tc>
          <w:tcPr>
            <w:tcW w:w="0" w:type="auto"/>
            <w:vMerge w:val="restart"/>
            <w:tcBorders>
              <w:top w:val="nil"/>
              <w:left w:val="nil"/>
              <w:bottom w:val="single" w:sz="8" w:space="0" w:color="95B3D7"/>
              <w:right w:val="nil"/>
            </w:tcBorders>
            <w:shd w:val="clear" w:color="000000" w:fill="DBE5F1"/>
            <w:vAlign w:val="center"/>
            <w:hideMark/>
          </w:tcPr>
          <w:p w14:paraId="2C50C814"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$53,321</w:t>
            </w:r>
          </w:p>
        </w:tc>
        <w:tc>
          <w:tcPr>
            <w:tcW w:w="0" w:type="auto"/>
            <w:vMerge w:val="restart"/>
            <w:tcBorders>
              <w:top w:val="nil"/>
              <w:left w:val="nil"/>
              <w:bottom w:val="single" w:sz="8" w:space="0" w:color="95B3D7"/>
              <w:right w:val="nil"/>
            </w:tcBorders>
            <w:shd w:val="clear" w:color="000000" w:fill="DBE5F1"/>
            <w:vAlign w:val="center"/>
            <w:hideMark/>
          </w:tcPr>
          <w:p w14:paraId="32187B90"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$54,387</w:t>
            </w:r>
          </w:p>
        </w:tc>
        <w:tc>
          <w:tcPr>
            <w:tcW w:w="0" w:type="auto"/>
            <w:vMerge w:val="restart"/>
            <w:tcBorders>
              <w:top w:val="nil"/>
              <w:left w:val="nil"/>
              <w:bottom w:val="single" w:sz="8" w:space="0" w:color="95B3D7"/>
              <w:right w:val="nil"/>
            </w:tcBorders>
            <w:shd w:val="clear" w:color="000000" w:fill="DBE5F1"/>
            <w:vAlign w:val="center"/>
            <w:hideMark/>
          </w:tcPr>
          <w:p w14:paraId="7049040C"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$9,971</w:t>
            </w:r>
          </w:p>
        </w:tc>
        <w:tc>
          <w:tcPr>
            <w:tcW w:w="0" w:type="auto"/>
            <w:vMerge w:val="restart"/>
            <w:tcBorders>
              <w:top w:val="nil"/>
              <w:left w:val="nil"/>
              <w:bottom w:val="single" w:sz="8" w:space="0" w:color="95B3D7"/>
              <w:right w:val="nil"/>
            </w:tcBorders>
            <w:shd w:val="clear" w:color="000000" w:fill="DBE5F1"/>
            <w:vAlign w:val="center"/>
            <w:hideMark/>
          </w:tcPr>
          <w:p w14:paraId="3C2D3E2A"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$10,262</w:t>
            </w:r>
          </w:p>
        </w:tc>
        <w:tc>
          <w:tcPr>
            <w:tcW w:w="0" w:type="auto"/>
            <w:vMerge w:val="restart"/>
            <w:tcBorders>
              <w:top w:val="nil"/>
              <w:left w:val="nil"/>
              <w:bottom w:val="single" w:sz="8" w:space="0" w:color="95B3D7"/>
              <w:right w:val="single" w:sz="4" w:space="0" w:color="5B9BD5"/>
            </w:tcBorders>
            <w:shd w:val="clear" w:color="000000" w:fill="DBE5F1"/>
            <w:vAlign w:val="center"/>
            <w:hideMark/>
          </w:tcPr>
          <w:p w14:paraId="2EB6AA33" w14:textId="77777777" w:rsidR="00897B24" w:rsidRPr="00897B24" w:rsidRDefault="00897B24" w:rsidP="00897B24">
            <w:pPr>
              <w:jc w:val="center"/>
              <w:rPr>
                <w:rFonts w:ascii="Calibri" w:hAnsi="Calibri" w:cs="Calibri"/>
                <w:color w:val="17365D"/>
                <w:sz w:val="16"/>
                <w:szCs w:val="16"/>
                <w:lang w:eastAsia="en-AU"/>
              </w:rPr>
            </w:pPr>
            <w:r w:rsidRPr="00897B24">
              <w:rPr>
                <w:rFonts w:ascii="Calibri" w:hAnsi="Calibri" w:cs="Calibri"/>
                <w:color w:val="17365D"/>
                <w:sz w:val="16"/>
                <w:szCs w:val="16"/>
                <w:lang w:eastAsia="en-AU"/>
              </w:rPr>
              <w:t>$10,557</w:t>
            </w:r>
          </w:p>
        </w:tc>
        <w:tc>
          <w:tcPr>
            <w:tcW w:w="0" w:type="auto"/>
            <w:vMerge w:val="restart"/>
            <w:tcBorders>
              <w:top w:val="nil"/>
              <w:left w:val="nil"/>
              <w:bottom w:val="single" w:sz="8" w:space="0" w:color="95B3D7"/>
              <w:right w:val="nil"/>
            </w:tcBorders>
            <w:shd w:val="clear" w:color="000000" w:fill="DBE5F1"/>
            <w:vAlign w:val="center"/>
            <w:hideMark/>
          </w:tcPr>
          <w:p w14:paraId="30AC314F" w14:textId="77777777" w:rsidR="00897B24" w:rsidRPr="00897B24" w:rsidRDefault="00897B24" w:rsidP="00897B24">
            <w:pPr>
              <w:jc w:val="center"/>
              <w:rPr>
                <w:rFonts w:ascii="Calibri" w:hAnsi="Calibri" w:cs="Calibri"/>
                <w:b/>
                <w:bCs/>
                <w:sz w:val="16"/>
                <w:szCs w:val="16"/>
                <w:lang w:eastAsia="en-AU"/>
              </w:rPr>
            </w:pPr>
            <w:r w:rsidRPr="00897B24">
              <w:rPr>
                <w:rFonts w:ascii="Calibri" w:hAnsi="Calibri" w:cs="Calibri"/>
                <w:b/>
                <w:bCs/>
                <w:sz w:val="16"/>
                <w:szCs w:val="16"/>
                <w:lang w:eastAsia="en-AU"/>
              </w:rPr>
              <w:t>$60,776</w:t>
            </w:r>
          </w:p>
        </w:tc>
        <w:tc>
          <w:tcPr>
            <w:tcW w:w="0" w:type="auto"/>
            <w:vMerge w:val="restart"/>
            <w:tcBorders>
              <w:top w:val="nil"/>
              <w:left w:val="nil"/>
              <w:bottom w:val="single" w:sz="8" w:space="0" w:color="95B3D7"/>
              <w:right w:val="nil"/>
            </w:tcBorders>
            <w:shd w:val="clear" w:color="000000" w:fill="DBE5F1"/>
            <w:vAlign w:val="center"/>
            <w:hideMark/>
          </w:tcPr>
          <w:p w14:paraId="58EC61D0" w14:textId="77777777" w:rsidR="00897B24" w:rsidRPr="00897B24" w:rsidRDefault="00897B24" w:rsidP="00897B24">
            <w:pPr>
              <w:jc w:val="center"/>
              <w:rPr>
                <w:rFonts w:ascii="Calibri" w:hAnsi="Calibri" w:cs="Calibri"/>
                <w:b/>
                <w:bCs/>
                <w:sz w:val="16"/>
                <w:szCs w:val="16"/>
                <w:lang w:eastAsia="en-AU"/>
              </w:rPr>
            </w:pPr>
            <w:r w:rsidRPr="00897B24">
              <w:rPr>
                <w:rFonts w:ascii="Calibri" w:hAnsi="Calibri" w:cs="Calibri"/>
                <w:b/>
                <w:bCs/>
                <w:sz w:val="16"/>
                <w:szCs w:val="16"/>
                <w:lang w:eastAsia="en-AU"/>
              </w:rPr>
              <w:t>$63,582</w:t>
            </w:r>
          </w:p>
        </w:tc>
        <w:tc>
          <w:tcPr>
            <w:tcW w:w="0" w:type="auto"/>
            <w:vMerge w:val="restart"/>
            <w:tcBorders>
              <w:top w:val="nil"/>
              <w:left w:val="nil"/>
              <w:bottom w:val="single" w:sz="8" w:space="0" w:color="95B3D7"/>
              <w:right w:val="nil"/>
            </w:tcBorders>
            <w:shd w:val="clear" w:color="000000" w:fill="DBE5F1"/>
            <w:vAlign w:val="center"/>
            <w:hideMark/>
          </w:tcPr>
          <w:p w14:paraId="7F7158A7" w14:textId="77777777" w:rsidR="00897B24" w:rsidRPr="00897B24" w:rsidRDefault="00897B24" w:rsidP="00897B24">
            <w:pPr>
              <w:jc w:val="center"/>
              <w:rPr>
                <w:rFonts w:ascii="Calibri" w:hAnsi="Calibri" w:cs="Calibri"/>
                <w:b/>
                <w:bCs/>
                <w:color w:val="17365D"/>
                <w:sz w:val="16"/>
                <w:szCs w:val="16"/>
                <w:lang w:eastAsia="en-AU"/>
              </w:rPr>
            </w:pPr>
            <w:r w:rsidRPr="00897B24">
              <w:rPr>
                <w:rFonts w:ascii="Calibri" w:hAnsi="Calibri" w:cs="Calibri"/>
                <w:b/>
                <w:bCs/>
                <w:color w:val="17365D"/>
                <w:sz w:val="16"/>
                <w:szCs w:val="16"/>
                <w:lang w:eastAsia="en-AU"/>
              </w:rPr>
              <w:t>$64,944</w:t>
            </w:r>
          </w:p>
        </w:tc>
      </w:tr>
      <w:tr w:rsidR="00897B24" w:rsidRPr="00897B24" w14:paraId="7AC91B17" w14:textId="77777777" w:rsidTr="00897B24">
        <w:trPr>
          <w:trHeight w:val="77"/>
        </w:trPr>
        <w:tc>
          <w:tcPr>
            <w:tcW w:w="693" w:type="dxa"/>
            <w:vMerge/>
            <w:tcBorders>
              <w:top w:val="nil"/>
              <w:left w:val="single" w:sz="8" w:space="0" w:color="95B3D7"/>
              <w:bottom w:val="single" w:sz="8" w:space="0" w:color="95B3D7"/>
              <w:right w:val="nil"/>
            </w:tcBorders>
            <w:vAlign w:val="center"/>
            <w:hideMark/>
          </w:tcPr>
          <w:p w14:paraId="0151945A" w14:textId="77777777" w:rsidR="00897B24" w:rsidRPr="00897B24" w:rsidRDefault="00897B24" w:rsidP="00897B24">
            <w:pPr>
              <w:rPr>
                <w:rFonts w:ascii="Calibri" w:hAnsi="Calibri" w:cs="Calibri"/>
                <w:color w:val="17365D"/>
                <w:sz w:val="16"/>
                <w:szCs w:val="16"/>
                <w:lang w:eastAsia="en-AU"/>
              </w:rPr>
            </w:pPr>
          </w:p>
        </w:tc>
        <w:tc>
          <w:tcPr>
            <w:tcW w:w="1198" w:type="dxa"/>
            <w:tcBorders>
              <w:top w:val="nil"/>
              <w:left w:val="nil"/>
              <w:bottom w:val="single" w:sz="8" w:space="0" w:color="95B3D7"/>
              <w:right w:val="nil"/>
            </w:tcBorders>
            <w:shd w:val="clear" w:color="000000" w:fill="DBE5F1"/>
            <w:vAlign w:val="center"/>
            <w:hideMark/>
          </w:tcPr>
          <w:p w14:paraId="31B4EBB5" w14:textId="77777777" w:rsidR="00897B24" w:rsidRPr="00897B24" w:rsidRDefault="00897B24" w:rsidP="00897B24">
            <w:pPr>
              <w:rPr>
                <w:rFonts w:ascii="Calibri" w:hAnsi="Calibri" w:cs="Calibri"/>
                <w:color w:val="17365D"/>
                <w:sz w:val="16"/>
                <w:szCs w:val="16"/>
                <w:lang w:eastAsia="en-AU"/>
              </w:rPr>
            </w:pPr>
            <w:r w:rsidRPr="00897B24">
              <w:rPr>
                <w:rFonts w:ascii="Calibri" w:hAnsi="Calibri" w:cs="Calibri"/>
                <w:color w:val="17365D"/>
                <w:sz w:val="16"/>
                <w:szCs w:val="16"/>
                <w:lang w:eastAsia="en-AU"/>
              </w:rPr>
              <w:t>(all licences)</w:t>
            </w:r>
          </w:p>
        </w:tc>
        <w:tc>
          <w:tcPr>
            <w:tcW w:w="509" w:type="dxa"/>
            <w:tcBorders>
              <w:top w:val="nil"/>
              <w:left w:val="nil"/>
              <w:bottom w:val="single" w:sz="8" w:space="0" w:color="95B3D7"/>
              <w:right w:val="nil"/>
            </w:tcBorders>
            <w:shd w:val="clear" w:color="000000" w:fill="DBE5F1"/>
            <w:vAlign w:val="center"/>
            <w:hideMark/>
          </w:tcPr>
          <w:p w14:paraId="04C33C46" w14:textId="77777777" w:rsidR="00897B24" w:rsidRPr="00897B24" w:rsidRDefault="00897B24" w:rsidP="00897B24">
            <w:pPr>
              <w:rPr>
                <w:rFonts w:ascii="Calibri" w:hAnsi="Calibri" w:cs="Calibri"/>
                <w:color w:val="17365D"/>
                <w:sz w:val="16"/>
                <w:szCs w:val="16"/>
                <w:lang w:eastAsia="en-AU"/>
              </w:rPr>
            </w:pPr>
            <w:r w:rsidRPr="00897B24">
              <w:rPr>
                <w:rFonts w:ascii="Calibri" w:hAnsi="Calibri" w:cs="Calibri"/>
                <w:color w:val="17365D"/>
                <w:sz w:val="16"/>
                <w:szCs w:val="16"/>
                <w:lang w:eastAsia="en-AU"/>
              </w:rPr>
              <w:t> </w:t>
            </w:r>
          </w:p>
        </w:tc>
        <w:tc>
          <w:tcPr>
            <w:tcW w:w="0" w:type="auto"/>
            <w:vMerge/>
            <w:tcBorders>
              <w:top w:val="nil"/>
              <w:left w:val="nil"/>
              <w:bottom w:val="single" w:sz="8" w:space="0" w:color="95B3D7"/>
              <w:right w:val="nil"/>
            </w:tcBorders>
            <w:vAlign w:val="center"/>
            <w:hideMark/>
          </w:tcPr>
          <w:p w14:paraId="50EC0D47" w14:textId="77777777" w:rsidR="00897B24" w:rsidRPr="00897B24" w:rsidRDefault="00897B24" w:rsidP="00897B24">
            <w:pPr>
              <w:rPr>
                <w:rFonts w:ascii="Calibri" w:hAnsi="Calibri" w:cs="Calibri"/>
                <w:color w:val="17365D"/>
                <w:sz w:val="16"/>
                <w:szCs w:val="16"/>
                <w:lang w:eastAsia="en-AU"/>
              </w:rPr>
            </w:pPr>
          </w:p>
        </w:tc>
        <w:tc>
          <w:tcPr>
            <w:tcW w:w="0" w:type="auto"/>
            <w:vMerge/>
            <w:tcBorders>
              <w:top w:val="nil"/>
              <w:left w:val="nil"/>
              <w:bottom w:val="single" w:sz="8" w:space="0" w:color="95B3D7"/>
              <w:right w:val="nil"/>
            </w:tcBorders>
            <w:vAlign w:val="center"/>
            <w:hideMark/>
          </w:tcPr>
          <w:p w14:paraId="0AC635B3" w14:textId="77777777" w:rsidR="00897B24" w:rsidRPr="00897B24" w:rsidRDefault="00897B24" w:rsidP="00897B24">
            <w:pPr>
              <w:rPr>
                <w:rFonts w:ascii="Calibri" w:hAnsi="Calibri" w:cs="Calibri"/>
                <w:color w:val="17365D"/>
                <w:sz w:val="16"/>
                <w:szCs w:val="16"/>
                <w:lang w:eastAsia="en-AU"/>
              </w:rPr>
            </w:pPr>
          </w:p>
        </w:tc>
        <w:tc>
          <w:tcPr>
            <w:tcW w:w="0" w:type="auto"/>
            <w:vMerge/>
            <w:tcBorders>
              <w:top w:val="nil"/>
              <w:left w:val="nil"/>
              <w:bottom w:val="single" w:sz="8" w:space="0" w:color="95B3D7"/>
              <w:right w:val="nil"/>
            </w:tcBorders>
            <w:vAlign w:val="center"/>
            <w:hideMark/>
          </w:tcPr>
          <w:p w14:paraId="7106C82D" w14:textId="77777777" w:rsidR="00897B24" w:rsidRPr="00897B24" w:rsidRDefault="00897B24" w:rsidP="00897B24">
            <w:pPr>
              <w:rPr>
                <w:rFonts w:ascii="Calibri" w:hAnsi="Calibri" w:cs="Calibri"/>
                <w:color w:val="17365D"/>
                <w:sz w:val="16"/>
                <w:szCs w:val="16"/>
                <w:lang w:eastAsia="en-AU"/>
              </w:rPr>
            </w:pPr>
          </w:p>
        </w:tc>
        <w:tc>
          <w:tcPr>
            <w:tcW w:w="0" w:type="auto"/>
            <w:vMerge/>
            <w:tcBorders>
              <w:top w:val="nil"/>
              <w:left w:val="nil"/>
              <w:bottom w:val="single" w:sz="8" w:space="0" w:color="95B3D7"/>
              <w:right w:val="nil"/>
            </w:tcBorders>
            <w:vAlign w:val="center"/>
            <w:hideMark/>
          </w:tcPr>
          <w:p w14:paraId="2C3A505F" w14:textId="77777777" w:rsidR="00897B24" w:rsidRPr="00897B24" w:rsidRDefault="00897B24" w:rsidP="00897B24">
            <w:pPr>
              <w:rPr>
                <w:rFonts w:ascii="Calibri" w:hAnsi="Calibri" w:cs="Calibri"/>
                <w:color w:val="17365D"/>
                <w:sz w:val="16"/>
                <w:szCs w:val="16"/>
                <w:lang w:eastAsia="en-AU"/>
              </w:rPr>
            </w:pPr>
          </w:p>
        </w:tc>
        <w:tc>
          <w:tcPr>
            <w:tcW w:w="0" w:type="auto"/>
            <w:vMerge/>
            <w:tcBorders>
              <w:top w:val="nil"/>
              <w:left w:val="nil"/>
              <w:bottom w:val="single" w:sz="8" w:space="0" w:color="95B3D7"/>
              <w:right w:val="nil"/>
            </w:tcBorders>
            <w:vAlign w:val="center"/>
            <w:hideMark/>
          </w:tcPr>
          <w:p w14:paraId="542A2740" w14:textId="77777777" w:rsidR="00897B24" w:rsidRPr="00897B24" w:rsidRDefault="00897B24" w:rsidP="00897B24">
            <w:pPr>
              <w:rPr>
                <w:rFonts w:ascii="Calibri" w:hAnsi="Calibri" w:cs="Calibri"/>
                <w:color w:val="17365D"/>
                <w:sz w:val="16"/>
                <w:szCs w:val="16"/>
                <w:lang w:eastAsia="en-AU"/>
              </w:rPr>
            </w:pPr>
          </w:p>
        </w:tc>
        <w:tc>
          <w:tcPr>
            <w:tcW w:w="0" w:type="auto"/>
            <w:vMerge/>
            <w:tcBorders>
              <w:top w:val="nil"/>
              <w:left w:val="nil"/>
              <w:bottom w:val="single" w:sz="8" w:space="0" w:color="95B3D7"/>
              <w:right w:val="single" w:sz="4" w:space="0" w:color="5B9BD5"/>
            </w:tcBorders>
            <w:vAlign w:val="center"/>
            <w:hideMark/>
          </w:tcPr>
          <w:p w14:paraId="70309AD0" w14:textId="77777777" w:rsidR="00897B24" w:rsidRPr="00897B24" w:rsidRDefault="00897B24" w:rsidP="00897B24">
            <w:pPr>
              <w:rPr>
                <w:rFonts w:ascii="Calibri" w:hAnsi="Calibri" w:cs="Calibri"/>
                <w:color w:val="17365D"/>
                <w:sz w:val="16"/>
                <w:szCs w:val="16"/>
                <w:lang w:eastAsia="en-AU"/>
              </w:rPr>
            </w:pPr>
          </w:p>
        </w:tc>
        <w:tc>
          <w:tcPr>
            <w:tcW w:w="0" w:type="auto"/>
            <w:vMerge/>
            <w:tcBorders>
              <w:top w:val="nil"/>
              <w:left w:val="nil"/>
              <w:bottom w:val="single" w:sz="8" w:space="0" w:color="95B3D7"/>
              <w:right w:val="nil"/>
            </w:tcBorders>
            <w:vAlign w:val="center"/>
            <w:hideMark/>
          </w:tcPr>
          <w:p w14:paraId="13B0123B" w14:textId="77777777" w:rsidR="00897B24" w:rsidRPr="00897B24" w:rsidRDefault="00897B24" w:rsidP="00897B24">
            <w:pPr>
              <w:rPr>
                <w:rFonts w:ascii="Calibri" w:hAnsi="Calibri" w:cs="Calibri"/>
                <w:b/>
                <w:bCs/>
                <w:sz w:val="16"/>
                <w:szCs w:val="16"/>
                <w:lang w:eastAsia="en-AU"/>
              </w:rPr>
            </w:pPr>
          </w:p>
        </w:tc>
        <w:tc>
          <w:tcPr>
            <w:tcW w:w="0" w:type="auto"/>
            <w:vMerge/>
            <w:tcBorders>
              <w:top w:val="nil"/>
              <w:left w:val="nil"/>
              <w:bottom w:val="single" w:sz="8" w:space="0" w:color="95B3D7"/>
              <w:right w:val="nil"/>
            </w:tcBorders>
            <w:vAlign w:val="center"/>
            <w:hideMark/>
          </w:tcPr>
          <w:p w14:paraId="64B80DDD" w14:textId="77777777" w:rsidR="00897B24" w:rsidRPr="00897B24" w:rsidRDefault="00897B24" w:rsidP="00897B24">
            <w:pPr>
              <w:rPr>
                <w:rFonts w:ascii="Calibri" w:hAnsi="Calibri" w:cs="Calibri"/>
                <w:b/>
                <w:bCs/>
                <w:sz w:val="16"/>
                <w:szCs w:val="16"/>
                <w:lang w:eastAsia="en-AU"/>
              </w:rPr>
            </w:pPr>
          </w:p>
        </w:tc>
        <w:tc>
          <w:tcPr>
            <w:tcW w:w="0" w:type="auto"/>
            <w:vMerge/>
            <w:tcBorders>
              <w:top w:val="nil"/>
              <w:left w:val="nil"/>
              <w:bottom w:val="single" w:sz="8" w:space="0" w:color="95B3D7"/>
              <w:right w:val="nil"/>
            </w:tcBorders>
            <w:vAlign w:val="center"/>
            <w:hideMark/>
          </w:tcPr>
          <w:p w14:paraId="03F8CC7A" w14:textId="77777777" w:rsidR="00897B24" w:rsidRPr="00897B24" w:rsidRDefault="00897B24" w:rsidP="00897B24">
            <w:pPr>
              <w:rPr>
                <w:rFonts w:ascii="Calibri" w:hAnsi="Calibri" w:cs="Calibri"/>
                <w:b/>
                <w:bCs/>
                <w:color w:val="17365D"/>
                <w:sz w:val="16"/>
                <w:szCs w:val="16"/>
                <w:lang w:eastAsia="en-AU"/>
              </w:rPr>
            </w:pPr>
          </w:p>
        </w:tc>
      </w:tr>
      <w:tr w:rsidR="00897B24" w:rsidRPr="00897B24" w14:paraId="0CF58878" w14:textId="77777777" w:rsidTr="00897B24">
        <w:trPr>
          <w:trHeight w:val="135"/>
        </w:trPr>
        <w:tc>
          <w:tcPr>
            <w:tcW w:w="693" w:type="dxa"/>
            <w:tcBorders>
              <w:top w:val="nil"/>
              <w:left w:val="single" w:sz="8" w:space="0" w:color="95B3D7"/>
              <w:bottom w:val="single" w:sz="8" w:space="0" w:color="95B3D7"/>
              <w:right w:val="nil"/>
            </w:tcBorders>
            <w:shd w:val="clear" w:color="auto" w:fill="auto"/>
            <w:vAlign w:val="center"/>
            <w:hideMark/>
          </w:tcPr>
          <w:p w14:paraId="10213918" w14:textId="77777777" w:rsidR="00897B24" w:rsidRPr="00897B24" w:rsidRDefault="00897B24" w:rsidP="00897B24">
            <w:pPr>
              <w:rPr>
                <w:rFonts w:ascii="Calibri" w:hAnsi="Calibri" w:cs="Calibri"/>
                <w:color w:val="17365D"/>
                <w:sz w:val="16"/>
                <w:szCs w:val="16"/>
                <w:lang w:eastAsia="en-AU"/>
              </w:rPr>
            </w:pPr>
            <w:r w:rsidRPr="00897B24">
              <w:rPr>
                <w:rFonts w:ascii="Calibri" w:hAnsi="Calibri" w:cs="Calibri"/>
                <w:color w:val="17365D"/>
                <w:sz w:val="16"/>
                <w:szCs w:val="16"/>
                <w:lang w:eastAsia="en-AU"/>
              </w:rPr>
              <w:t> </w:t>
            </w:r>
          </w:p>
        </w:tc>
        <w:tc>
          <w:tcPr>
            <w:tcW w:w="1198" w:type="dxa"/>
            <w:tcBorders>
              <w:top w:val="nil"/>
              <w:left w:val="nil"/>
              <w:bottom w:val="single" w:sz="8" w:space="0" w:color="95B3D7"/>
              <w:right w:val="nil"/>
            </w:tcBorders>
            <w:shd w:val="clear" w:color="auto" w:fill="auto"/>
            <w:vAlign w:val="center"/>
            <w:hideMark/>
          </w:tcPr>
          <w:p w14:paraId="65980B62" w14:textId="77777777" w:rsidR="00897B24" w:rsidRPr="00897B24" w:rsidRDefault="00897B24" w:rsidP="00897B24">
            <w:pPr>
              <w:jc w:val="center"/>
              <w:rPr>
                <w:rFonts w:ascii="Calibri" w:hAnsi="Calibri" w:cs="Calibri"/>
                <w:b/>
                <w:bCs/>
                <w:color w:val="17365D"/>
                <w:sz w:val="16"/>
                <w:szCs w:val="16"/>
                <w:lang w:eastAsia="en-AU"/>
              </w:rPr>
            </w:pPr>
            <w:r w:rsidRPr="00897B24">
              <w:rPr>
                <w:rFonts w:ascii="Calibri" w:hAnsi="Calibri" w:cs="Calibri"/>
                <w:b/>
                <w:bCs/>
                <w:color w:val="17365D"/>
                <w:sz w:val="16"/>
                <w:szCs w:val="16"/>
                <w:lang w:eastAsia="en-AU"/>
              </w:rPr>
              <w:t>Total</w:t>
            </w:r>
          </w:p>
        </w:tc>
        <w:tc>
          <w:tcPr>
            <w:tcW w:w="509" w:type="dxa"/>
            <w:tcBorders>
              <w:top w:val="nil"/>
              <w:left w:val="nil"/>
              <w:bottom w:val="single" w:sz="8" w:space="0" w:color="95B3D7"/>
              <w:right w:val="nil"/>
            </w:tcBorders>
            <w:shd w:val="clear" w:color="auto" w:fill="auto"/>
            <w:vAlign w:val="center"/>
            <w:hideMark/>
          </w:tcPr>
          <w:p w14:paraId="14F99B40" w14:textId="77777777" w:rsidR="00897B24" w:rsidRPr="00897B24" w:rsidRDefault="00897B24" w:rsidP="00897B24">
            <w:pPr>
              <w:jc w:val="center"/>
              <w:rPr>
                <w:rFonts w:ascii="Calibri" w:hAnsi="Calibri" w:cs="Calibri"/>
                <w:b/>
                <w:bCs/>
                <w:color w:val="17365D"/>
                <w:sz w:val="16"/>
                <w:szCs w:val="16"/>
                <w:lang w:eastAsia="en-AU"/>
              </w:rPr>
            </w:pPr>
            <w:r w:rsidRPr="00897B24">
              <w:rPr>
                <w:rFonts w:ascii="Calibri" w:hAnsi="Calibri" w:cs="Calibri"/>
                <w:b/>
                <w:bCs/>
                <w:color w:val="17365D"/>
                <w:sz w:val="16"/>
                <w:szCs w:val="16"/>
                <w:lang w:eastAsia="en-AU"/>
              </w:rPr>
              <w:t>1</w:t>
            </w:r>
          </w:p>
        </w:tc>
        <w:tc>
          <w:tcPr>
            <w:tcW w:w="0" w:type="auto"/>
            <w:tcBorders>
              <w:top w:val="nil"/>
              <w:left w:val="nil"/>
              <w:bottom w:val="single" w:sz="8" w:space="0" w:color="95B3D7"/>
              <w:right w:val="nil"/>
            </w:tcBorders>
            <w:shd w:val="clear" w:color="auto" w:fill="auto"/>
            <w:vAlign w:val="center"/>
            <w:hideMark/>
          </w:tcPr>
          <w:p w14:paraId="46C5A843" w14:textId="77777777" w:rsidR="00897B24" w:rsidRPr="00897B24" w:rsidRDefault="00897B24" w:rsidP="00897B24">
            <w:pPr>
              <w:jc w:val="center"/>
              <w:rPr>
                <w:rFonts w:ascii="Calibri" w:hAnsi="Calibri" w:cs="Calibri"/>
                <w:b/>
                <w:bCs/>
                <w:color w:val="17365D"/>
                <w:sz w:val="16"/>
                <w:szCs w:val="16"/>
                <w:lang w:eastAsia="en-AU"/>
              </w:rPr>
            </w:pPr>
            <w:r w:rsidRPr="00897B24">
              <w:rPr>
                <w:rFonts w:ascii="Calibri" w:hAnsi="Calibri" w:cs="Calibri"/>
                <w:b/>
                <w:bCs/>
                <w:color w:val="17365D"/>
                <w:sz w:val="16"/>
                <w:szCs w:val="16"/>
                <w:lang w:eastAsia="en-AU"/>
              </w:rPr>
              <w:t>$1,016,099</w:t>
            </w:r>
          </w:p>
        </w:tc>
        <w:tc>
          <w:tcPr>
            <w:tcW w:w="0" w:type="auto"/>
            <w:tcBorders>
              <w:top w:val="nil"/>
              <w:left w:val="nil"/>
              <w:bottom w:val="single" w:sz="8" w:space="0" w:color="95B3D7"/>
              <w:right w:val="nil"/>
            </w:tcBorders>
            <w:shd w:val="clear" w:color="auto" w:fill="auto"/>
            <w:vAlign w:val="center"/>
            <w:hideMark/>
          </w:tcPr>
          <w:p w14:paraId="27D4ED28" w14:textId="77777777" w:rsidR="00897B24" w:rsidRPr="00897B24" w:rsidRDefault="00897B24" w:rsidP="00897B24">
            <w:pPr>
              <w:jc w:val="center"/>
              <w:rPr>
                <w:rFonts w:ascii="Calibri" w:hAnsi="Calibri" w:cs="Calibri"/>
                <w:b/>
                <w:bCs/>
                <w:color w:val="17365D"/>
                <w:sz w:val="16"/>
                <w:szCs w:val="16"/>
                <w:lang w:eastAsia="en-AU"/>
              </w:rPr>
            </w:pPr>
            <w:r w:rsidRPr="00897B24">
              <w:rPr>
                <w:rFonts w:ascii="Calibri" w:hAnsi="Calibri" w:cs="Calibri"/>
                <w:b/>
                <w:bCs/>
                <w:color w:val="17365D"/>
                <w:sz w:val="16"/>
                <w:szCs w:val="16"/>
                <w:lang w:eastAsia="en-AU"/>
              </w:rPr>
              <w:t>$1,066,410</w:t>
            </w:r>
          </w:p>
        </w:tc>
        <w:tc>
          <w:tcPr>
            <w:tcW w:w="0" w:type="auto"/>
            <w:tcBorders>
              <w:top w:val="nil"/>
              <w:left w:val="nil"/>
              <w:bottom w:val="single" w:sz="8" w:space="0" w:color="95B3D7"/>
              <w:right w:val="nil"/>
            </w:tcBorders>
            <w:shd w:val="clear" w:color="auto" w:fill="auto"/>
            <w:vAlign w:val="center"/>
            <w:hideMark/>
          </w:tcPr>
          <w:p w14:paraId="2E9AD0B4" w14:textId="77777777" w:rsidR="00897B24" w:rsidRPr="00897B24" w:rsidRDefault="00897B24" w:rsidP="00897B24">
            <w:pPr>
              <w:jc w:val="center"/>
              <w:rPr>
                <w:rFonts w:ascii="Calibri" w:hAnsi="Calibri" w:cs="Calibri"/>
                <w:b/>
                <w:bCs/>
                <w:color w:val="17365D"/>
                <w:sz w:val="16"/>
                <w:szCs w:val="16"/>
                <w:lang w:eastAsia="en-AU"/>
              </w:rPr>
            </w:pPr>
            <w:r w:rsidRPr="00897B24">
              <w:rPr>
                <w:rFonts w:ascii="Calibri" w:hAnsi="Calibri" w:cs="Calibri"/>
                <w:b/>
                <w:bCs/>
                <w:color w:val="17365D"/>
                <w:sz w:val="16"/>
                <w:szCs w:val="16"/>
                <w:lang w:eastAsia="en-AU"/>
              </w:rPr>
              <w:t>$1,087,739</w:t>
            </w:r>
          </w:p>
        </w:tc>
        <w:tc>
          <w:tcPr>
            <w:tcW w:w="0" w:type="auto"/>
            <w:tcBorders>
              <w:top w:val="nil"/>
              <w:left w:val="nil"/>
              <w:bottom w:val="single" w:sz="8" w:space="0" w:color="95B3D7"/>
              <w:right w:val="nil"/>
            </w:tcBorders>
            <w:shd w:val="clear" w:color="auto" w:fill="auto"/>
            <w:vAlign w:val="center"/>
            <w:hideMark/>
          </w:tcPr>
          <w:p w14:paraId="04455393" w14:textId="77777777" w:rsidR="00897B24" w:rsidRPr="00897B24" w:rsidRDefault="00897B24" w:rsidP="00897B24">
            <w:pPr>
              <w:jc w:val="center"/>
              <w:rPr>
                <w:rFonts w:ascii="Calibri" w:hAnsi="Calibri" w:cs="Calibri"/>
                <w:b/>
                <w:bCs/>
                <w:color w:val="17365D"/>
                <w:sz w:val="16"/>
                <w:szCs w:val="16"/>
                <w:lang w:eastAsia="en-AU"/>
              </w:rPr>
            </w:pPr>
            <w:r w:rsidRPr="00897B24">
              <w:rPr>
                <w:rFonts w:ascii="Calibri" w:hAnsi="Calibri" w:cs="Calibri"/>
                <w:b/>
                <w:bCs/>
                <w:color w:val="17365D"/>
                <w:sz w:val="16"/>
                <w:szCs w:val="16"/>
                <w:lang w:eastAsia="en-AU"/>
              </w:rPr>
              <w:t>$199,412</w:t>
            </w:r>
          </w:p>
        </w:tc>
        <w:tc>
          <w:tcPr>
            <w:tcW w:w="0" w:type="auto"/>
            <w:tcBorders>
              <w:top w:val="nil"/>
              <w:left w:val="nil"/>
              <w:bottom w:val="single" w:sz="8" w:space="0" w:color="95B3D7"/>
              <w:right w:val="nil"/>
            </w:tcBorders>
            <w:shd w:val="clear" w:color="auto" w:fill="auto"/>
            <w:vAlign w:val="center"/>
            <w:hideMark/>
          </w:tcPr>
          <w:p w14:paraId="72A3DB22" w14:textId="77777777" w:rsidR="00897B24" w:rsidRPr="00897B24" w:rsidRDefault="00897B24" w:rsidP="00897B24">
            <w:pPr>
              <w:jc w:val="center"/>
              <w:rPr>
                <w:rFonts w:ascii="Calibri" w:hAnsi="Calibri" w:cs="Calibri"/>
                <w:b/>
                <w:bCs/>
                <w:color w:val="17365D"/>
                <w:sz w:val="16"/>
                <w:szCs w:val="16"/>
                <w:lang w:eastAsia="en-AU"/>
              </w:rPr>
            </w:pPr>
            <w:r w:rsidRPr="00897B24">
              <w:rPr>
                <w:rFonts w:ascii="Calibri" w:hAnsi="Calibri" w:cs="Calibri"/>
                <w:b/>
                <w:bCs/>
                <w:color w:val="17365D"/>
                <w:sz w:val="16"/>
                <w:szCs w:val="16"/>
                <w:lang w:eastAsia="en-AU"/>
              </w:rPr>
              <w:t>$205,233</w:t>
            </w:r>
          </w:p>
        </w:tc>
        <w:tc>
          <w:tcPr>
            <w:tcW w:w="0" w:type="auto"/>
            <w:tcBorders>
              <w:top w:val="nil"/>
              <w:left w:val="nil"/>
              <w:bottom w:val="single" w:sz="8" w:space="0" w:color="95B3D7"/>
              <w:right w:val="single" w:sz="4" w:space="0" w:color="5B9BD5"/>
            </w:tcBorders>
            <w:shd w:val="clear" w:color="auto" w:fill="auto"/>
            <w:vAlign w:val="center"/>
            <w:hideMark/>
          </w:tcPr>
          <w:p w14:paraId="131A920D" w14:textId="77777777" w:rsidR="00897B24" w:rsidRPr="00897B24" w:rsidRDefault="00897B24" w:rsidP="00897B24">
            <w:pPr>
              <w:jc w:val="center"/>
              <w:rPr>
                <w:rFonts w:ascii="Calibri" w:hAnsi="Calibri" w:cs="Calibri"/>
                <w:b/>
                <w:bCs/>
                <w:color w:val="17365D"/>
                <w:sz w:val="16"/>
                <w:szCs w:val="16"/>
                <w:lang w:eastAsia="en-AU"/>
              </w:rPr>
            </w:pPr>
            <w:r w:rsidRPr="00897B24">
              <w:rPr>
                <w:rFonts w:ascii="Calibri" w:hAnsi="Calibri" w:cs="Calibri"/>
                <w:b/>
                <w:bCs/>
                <w:color w:val="17365D"/>
                <w:sz w:val="16"/>
                <w:szCs w:val="16"/>
                <w:lang w:eastAsia="en-AU"/>
              </w:rPr>
              <w:t>$211,138</w:t>
            </w:r>
          </w:p>
        </w:tc>
        <w:tc>
          <w:tcPr>
            <w:tcW w:w="0" w:type="auto"/>
            <w:tcBorders>
              <w:top w:val="nil"/>
              <w:left w:val="nil"/>
              <w:bottom w:val="single" w:sz="8" w:space="0" w:color="95B3D7"/>
              <w:right w:val="nil"/>
            </w:tcBorders>
            <w:shd w:val="clear" w:color="auto" w:fill="auto"/>
            <w:vAlign w:val="center"/>
            <w:hideMark/>
          </w:tcPr>
          <w:p w14:paraId="7D61C95F" w14:textId="77777777" w:rsidR="00897B24" w:rsidRPr="00897B24" w:rsidRDefault="00897B24" w:rsidP="00897B24">
            <w:pPr>
              <w:jc w:val="center"/>
              <w:rPr>
                <w:rFonts w:ascii="Calibri" w:hAnsi="Calibri" w:cs="Calibri"/>
                <w:b/>
                <w:bCs/>
                <w:color w:val="17365D"/>
                <w:sz w:val="16"/>
                <w:szCs w:val="16"/>
                <w:lang w:eastAsia="en-AU"/>
              </w:rPr>
            </w:pPr>
            <w:r w:rsidRPr="00897B24">
              <w:rPr>
                <w:rFonts w:ascii="Calibri" w:hAnsi="Calibri" w:cs="Calibri"/>
                <w:b/>
                <w:bCs/>
                <w:color w:val="17365D"/>
                <w:sz w:val="16"/>
                <w:szCs w:val="16"/>
                <w:lang w:eastAsia="en-AU"/>
              </w:rPr>
              <w:t>$1,215,511</w:t>
            </w:r>
          </w:p>
        </w:tc>
        <w:tc>
          <w:tcPr>
            <w:tcW w:w="0" w:type="auto"/>
            <w:tcBorders>
              <w:top w:val="nil"/>
              <w:left w:val="nil"/>
              <w:bottom w:val="single" w:sz="8" w:space="0" w:color="95B3D7"/>
              <w:right w:val="nil"/>
            </w:tcBorders>
            <w:shd w:val="clear" w:color="auto" w:fill="auto"/>
            <w:vAlign w:val="center"/>
            <w:hideMark/>
          </w:tcPr>
          <w:p w14:paraId="2B773ABF" w14:textId="77777777" w:rsidR="00897B24" w:rsidRPr="00897B24" w:rsidRDefault="00897B24" w:rsidP="00897B24">
            <w:pPr>
              <w:jc w:val="center"/>
              <w:rPr>
                <w:rFonts w:ascii="Calibri" w:hAnsi="Calibri" w:cs="Calibri"/>
                <w:b/>
                <w:bCs/>
                <w:color w:val="17365D"/>
                <w:sz w:val="16"/>
                <w:szCs w:val="16"/>
                <w:lang w:eastAsia="en-AU"/>
              </w:rPr>
            </w:pPr>
            <w:r w:rsidRPr="00897B24">
              <w:rPr>
                <w:rFonts w:ascii="Calibri" w:hAnsi="Calibri" w:cs="Calibri"/>
                <w:b/>
                <w:bCs/>
                <w:color w:val="17365D"/>
                <w:sz w:val="16"/>
                <w:szCs w:val="16"/>
                <w:lang w:eastAsia="en-AU"/>
              </w:rPr>
              <w:t>$1,271,643</w:t>
            </w:r>
          </w:p>
        </w:tc>
        <w:tc>
          <w:tcPr>
            <w:tcW w:w="0" w:type="auto"/>
            <w:tcBorders>
              <w:top w:val="nil"/>
              <w:left w:val="nil"/>
              <w:bottom w:val="single" w:sz="8" w:space="0" w:color="95B3D7"/>
              <w:right w:val="nil"/>
            </w:tcBorders>
            <w:shd w:val="clear" w:color="auto" w:fill="auto"/>
            <w:vAlign w:val="center"/>
            <w:hideMark/>
          </w:tcPr>
          <w:p w14:paraId="18158755" w14:textId="77777777" w:rsidR="00897B24" w:rsidRPr="00897B24" w:rsidRDefault="00897B24" w:rsidP="00897B24">
            <w:pPr>
              <w:jc w:val="center"/>
              <w:rPr>
                <w:rFonts w:ascii="Calibri" w:hAnsi="Calibri" w:cs="Calibri"/>
                <w:b/>
                <w:bCs/>
                <w:color w:val="17365D"/>
                <w:sz w:val="16"/>
                <w:szCs w:val="16"/>
                <w:lang w:eastAsia="en-AU"/>
              </w:rPr>
            </w:pPr>
            <w:r w:rsidRPr="00897B24">
              <w:rPr>
                <w:rFonts w:ascii="Calibri" w:hAnsi="Calibri" w:cs="Calibri"/>
                <w:b/>
                <w:bCs/>
                <w:color w:val="17365D"/>
                <w:sz w:val="16"/>
                <w:szCs w:val="16"/>
                <w:lang w:eastAsia="en-AU"/>
              </w:rPr>
              <w:t>$1,298,877</w:t>
            </w:r>
          </w:p>
        </w:tc>
      </w:tr>
    </w:tbl>
    <w:p w14:paraId="53D6B11C" w14:textId="6E555DBB" w:rsidR="00261F48" w:rsidRDefault="00261F48" w:rsidP="00D212A5">
      <w:pPr>
        <w:rPr>
          <w:rFonts w:asciiTheme="minorHAnsi" w:hAnsiTheme="minorHAnsi" w:cstheme="minorHAnsi"/>
          <w:sz w:val="12"/>
          <w:szCs w:val="12"/>
        </w:rPr>
      </w:pPr>
    </w:p>
    <w:p w14:paraId="2AE820D9" w14:textId="77777777" w:rsidR="00D212A5" w:rsidRPr="00902AA6" w:rsidRDefault="00D212A5" w:rsidP="00902AA6">
      <w:pPr>
        <w:pStyle w:val="Heading3"/>
      </w:pPr>
      <w:bookmarkStart w:id="20" w:name="_Toc98772163"/>
      <w:r w:rsidRPr="00902AA6">
        <w:t>Design of regulatory charges</w:t>
      </w:r>
      <w:bookmarkEnd w:id="20"/>
      <w:r w:rsidRPr="00902AA6">
        <w:t xml:space="preserve"> </w:t>
      </w:r>
    </w:p>
    <w:p w14:paraId="02C00364" w14:textId="7EF269B7" w:rsidR="001D15D6" w:rsidRDefault="002B7A21" w:rsidP="00D212A5">
      <w:pPr>
        <w:rPr>
          <w:rFonts w:asciiTheme="minorHAnsi" w:hAnsiTheme="minorHAnsi" w:cstheme="minorHAnsi"/>
        </w:rPr>
      </w:pPr>
      <w:r>
        <w:rPr>
          <w:rFonts w:asciiTheme="minorHAnsi" w:hAnsiTheme="minorHAnsi" w:cstheme="minorHAnsi"/>
        </w:rPr>
        <w:t xml:space="preserve">The Registrar’s </w:t>
      </w:r>
      <w:r w:rsidR="00D212A5">
        <w:rPr>
          <w:rFonts w:asciiTheme="minorHAnsi" w:hAnsiTheme="minorHAnsi" w:cstheme="minorHAnsi"/>
        </w:rPr>
        <w:t xml:space="preserve">cost model has been designed to ensure stable revenue to enable effective regulation and management of its Special Account in line with Australian Government </w:t>
      </w:r>
      <w:r w:rsidR="005D3622">
        <w:rPr>
          <w:rFonts w:asciiTheme="minorHAnsi" w:hAnsiTheme="minorHAnsi" w:cstheme="minorHAnsi"/>
        </w:rPr>
        <w:t>Charging Framework</w:t>
      </w:r>
      <w:r w:rsidR="002C33E4">
        <w:rPr>
          <w:rFonts w:asciiTheme="minorHAnsi" w:hAnsiTheme="minorHAnsi" w:cstheme="minorHAnsi"/>
        </w:rPr>
        <w:t xml:space="preserve"> (AGCF)</w:t>
      </w:r>
      <w:r w:rsidR="005D3622">
        <w:rPr>
          <w:rFonts w:asciiTheme="minorHAnsi" w:hAnsiTheme="minorHAnsi" w:cstheme="minorHAnsi"/>
        </w:rPr>
        <w:t>.</w:t>
      </w:r>
      <w:r w:rsidR="00D212A5">
        <w:rPr>
          <w:rFonts w:asciiTheme="minorHAnsi" w:hAnsiTheme="minorHAnsi" w:cstheme="minorHAnsi"/>
        </w:rPr>
        <w:t xml:space="preserve"> </w:t>
      </w:r>
    </w:p>
    <w:p w14:paraId="367B920A" w14:textId="77777777" w:rsidR="001D15D6" w:rsidRDefault="001D15D6" w:rsidP="00D212A5">
      <w:pPr>
        <w:rPr>
          <w:rFonts w:asciiTheme="minorHAnsi" w:hAnsiTheme="minorHAnsi" w:cstheme="minorHAnsi"/>
        </w:rPr>
      </w:pPr>
    </w:p>
    <w:p w14:paraId="7EC6B15A" w14:textId="14A355AD" w:rsidR="001D15D6" w:rsidRDefault="002B7A21" w:rsidP="00D212A5">
      <w:pPr>
        <w:rPr>
          <w:rFonts w:asciiTheme="minorHAnsi" w:hAnsiTheme="minorHAnsi" w:cstheme="minorHAnsi"/>
        </w:rPr>
      </w:pPr>
      <w:r>
        <w:rPr>
          <w:rFonts w:asciiTheme="minorHAnsi" w:hAnsiTheme="minorHAnsi" w:cstheme="minorHAnsi"/>
        </w:rPr>
        <w:t>The Registrar’s</w:t>
      </w:r>
      <w:r w:rsidR="00D212A5" w:rsidRPr="002A67C7">
        <w:rPr>
          <w:rFonts w:asciiTheme="minorHAnsi" w:hAnsiTheme="minorHAnsi" w:cstheme="minorHAnsi"/>
        </w:rPr>
        <w:t xml:space="preserve"> cost recovery charges </w:t>
      </w:r>
      <w:r w:rsidR="001D15D6">
        <w:rPr>
          <w:rFonts w:asciiTheme="minorHAnsi" w:hAnsiTheme="minorHAnsi" w:cstheme="minorHAnsi"/>
        </w:rPr>
        <w:t xml:space="preserve">comprise </w:t>
      </w:r>
      <w:r w:rsidR="00D212A5" w:rsidRPr="002A67C7">
        <w:rPr>
          <w:rFonts w:asciiTheme="minorHAnsi" w:hAnsiTheme="minorHAnsi" w:cstheme="minorHAnsi"/>
        </w:rPr>
        <w:t>an annual</w:t>
      </w:r>
      <w:r w:rsidR="001D15D6">
        <w:rPr>
          <w:rFonts w:asciiTheme="minorHAnsi" w:hAnsiTheme="minorHAnsi" w:cstheme="minorHAnsi"/>
        </w:rPr>
        <w:t xml:space="preserve"> licence</w:t>
      </w:r>
      <w:r w:rsidR="00D212A5" w:rsidRPr="002A67C7">
        <w:rPr>
          <w:rFonts w:asciiTheme="minorHAnsi" w:hAnsiTheme="minorHAnsi" w:cstheme="minorHAnsi"/>
        </w:rPr>
        <w:t xml:space="preserve"> levy imposed on different types of </w:t>
      </w:r>
      <w:r w:rsidR="001D15D6">
        <w:rPr>
          <w:rFonts w:asciiTheme="minorHAnsi" w:hAnsiTheme="minorHAnsi" w:cstheme="minorHAnsi"/>
        </w:rPr>
        <w:t>licences</w:t>
      </w:r>
      <w:r w:rsidR="00D212A5" w:rsidRPr="002A67C7">
        <w:rPr>
          <w:rFonts w:asciiTheme="minorHAnsi" w:hAnsiTheme="minorHAnsi" w:cstheme="minorHAnsi"/>
        </w:rPr>
        <w:t xml:space="preserve"> and fees charged on applications made to the </w:t>
      </w:r>
      <w:r w:rsidR="001D15D6">
        <w:rPr>
          <w:rFonts w:asciiTheme="minorHAnsi" w:hAnsiTheme="minorHAnsi" w:cstheme="minorHAnsi"/>
        </w:rPr>
        <w:t>Registrar</w:t>
      </w:r>
      <w:r w:rsidR="00D212A5" w:rsidRPr="002A67C7">
        <w:rPr>
          <w:rFonts w:asciiTheme="minorHAnsi" w:hAnsiTheme="minorHAnsi" w:cstheme="minorHAnsi"/>
        </w:rPr>
        <w:t xml:space="preserve"> for the approval of </w:t>
      </w:r>
      <w:r w:rsidR="001D15D6">
        <w:rPr>
          <w:rFonts w:asciiTheme="minorHAnsi" w:hAnsiTheme="minorHAnsi" w:cstheme="minorHAnsi"/>
        </w:rPr>
        <w:t>activities under the OEI Act and regulations</w:t>
      </w:r>
      <w:r w:rsidR="00D212A5" w:rsidRPr="002A67C7">
        <w:rPr>
          <w:rFonts w:asciiTheme="minorHAnsi" w:hAnsiTheme="minorHAnsi" w:cstheme="minorHAnsi"/>
        </w:rPr>
        <w:t>.</w:t>
      </w:r>
      <w:r w:rsidR="001D15D6">
        <w:rPr>
          <w:rFonts w:asciiTheme="minorHAnsi" w:hAnsiTheme="minorHAnsi" w:cstheme="minorHAnsi"/>
        </w:rPr>
        <w:t xml:space="preserve"> </w:t>
      </w:r>
      <w:r w:rsidR="004E3C63">
        <w:rPr>
          <w:rFonts w:asciiTheme="minorHAnsi" w:hAnsiTheme="minorHAnsi" w:cstheme="minorHAnsi"/>
        </w:rPr>
        <w:t xml:space="preserve">As shown in </w:t>
      </w:r>
      <w:r w:rsidR="004E3C63">
        <w:rPr>
          <w:rFonts w:asciiTheme="minorHAnsi" w:hAnsiTheme="minorHAnsi" w:cstheme="minorHAnsi"/>
          <w:b/>
          <w:bCs/>
        </w:rPr>
        <w:t xml:space="preserve">Table </w:t>
      </w:r>
      <w:r w:rsidR="004E3C63" w:rsidRPr="004E3C63">
        <w:rPr>
          <w:rFonts w:asciiTheme="minorHAnsi" w:hAnsiTheme="minorHAnsi" w:cstheme="minorHAnsi"/>
          <w:b/>
          <w:bCs/>
        </w:rPr>
        <w:t>3</w:t>
      </w:r>
      <w:r w:rsidR="004E3C63">
        <w:rPr>
          <w:rFonts w:asciiTheme="minorHAnsi" w:hAnsiTheme="minorHAnsi" w:cstheme="minorHAnsi"/>
        </w:rPr>
        <w:t>, t</w:t>
      </w:r>
      <w:r w:rsidR="001D15D6" w:rsidRPr="004E3C63">
        <w:rPr>
          <w:rFonts w:asciiTheme="minorHAnsi" w:hAnsiTheme="minorHAnsi" w:cstheme="minorHAnsi"/>
        </w:rPr>
        <w:t>he</w:t>
      </w:r>
      <w:r w:rsidR="001D15D6">
        <w:rPr>
          <w:rFonts w:asciiTheme="minorHAnsi" w:hAnsiTheme="minorHAnsi" w:cstheme="minorHAnsi"/>
        </w:rPr>
        <w:t xml:space="preserve"> cost recovery structure for the Registrar </w:t>
      </w:r>
      <w:r w:rsidR="00103389">
        <w:rPr>
          <w:rFonts w:asciiTheme="minorHAnsi" w:hAnsiTheme="minorHAnsi" w:cstheme="minorHAnsi"/>
        </w:rPr>
        <w:t>aims to be</w:t>
      </w:r>
      <w:r w:rsidR="001D15D6">
        <w:rPr>
          <w:rFonts w:asciiTheme="minorHAnsi" w:hAnsiTheme="minorHAnsi" w:cstheme="minorHAnsi"/>
        </w:rPr>
        <w:t xml:space="preserve"> a</w:t>
      </w:r>
      <w:r w:rsidR="009D49D1">
        <w:rPr>
          <w:rFonts w:asciiTheme="minorHAnsi" w:hAnsiTheme="minorHAnsi" w:cstheme="minorHAnsi"/>
        </w:rPr>
        <w:t xml:space="preserve"> </w:t>
      </w:r>
      <w:r w:rsidR="001D15D6">
        <w:rPr>
          <w:rFonts w:asciiTheme="minorHAnsi" w:hAnsiTheme="minorHAnsi" w:cstheme="minorHAnsi"/>
        </w:rPr>
        <w:t>60</w:t>
      </w:r>
      <w:r w:rsidR="009D49D1">
        <w:rPr>
          <w:rFonts w:asciiTheme="minorHAnsi" w:hAnsiTheme="minorHAnsi" w:cstheme="minorHAnsi"/>
        </w:rPr>
        <w:t>:40</w:t>
      </w:r>
      <w:r w:rsidR="001D15D6">
        <w:rPr>
          <w:rFonts w:asciiTheme="minorHAnsi" w:hAnsiTheme="minorHAnsi" w:cstheme="minorHAnsi"/>
        </w:rPr>
        <w:t xml:space="preserve"> model with </w:t>
      </w:r>
      <w:r w:rsidR="00103389">
        <w:rPr>
          <w:rFonts w:asciiTheme="minorHAnsi" w:hAnsiTheme="minorHAnsi" w:cstheme="minorHAnsi"/>
        </w:rPr>
        <w:t xml:space="preserve">approximately </w:t>
      </w:r>
      <w:r w:rsidR="009D49D1">
        <w:rPr>
          <w:rFonts w:asciiTheme="minorHAnsi" w:hAnsiTheme="minorHAnsi" w:cstheme="minorHAnsi"/>
        </w:rPr>
        <w:t>60 per cent of costs to be recovered through application fees and</w:t>
      </w:r>
      <w:r w:rsidR="00103389">
        <w:rPr>
          <w:rFonts w:asciiTheme="minorHAnsi" w:hAnsiTheme="minorHAnsi" w:cstheme="minorHAnsi"/>
        </w:rPr>
        <w:t xml:space="preserve"> approximately </w:t>
      </w:r>
      <w:r w:rsidR="001D15D6">
        <w:rPr>
          <w:rFonts w:asciiTheme="minorHAnsi" w:hAnsiTheme="minorHAnsi" w:cstheme="minorHAnsi"/>
        </w:rPr>
        <w:t xml:space="preserve">40 per cent of costs to be recovered through the annual licence levy. </w:t>
      </w:r>
      <w:r w:rsidR="00B21A34">
        <w:rPr>
          <w:rFonts w:asciiTheme="minorHAnsi" w:hAnsiTheme="minorHAnsi" w:cstheme="minorHAnsi"/>
        </w:rPr>
        <w:t>As a new framework</w:t>
      </w:r>
      <w:r w:rsidR="00313AA4">
        <w:rPr>
          <w:rFonts w:asciiTheme="minorHAnsi" w:hAnsiTheme="minorHAnsi" w:cstheme="minorHAnsi"/>
        </w:rPr>
        <w:t>,</w:t>
      </w:r>
      <w:r w:rsidR="00B21A34">
        <w:rPr>
          <w:rFonts w:asciiTheme="minorHAnsi" w:hAnsiTheme="minorHAnsi" w:cstheme="minorHAnsi"/>
        </w:rPr>
        <w:t xml:space="preserve"> the majority of effort will be at the </w:t>
      </w:r>
      <w:r w:rsidR="00313AA4">
        <w:rPr>
          <w:rFonts w:asciiTheme="minorHAnsi" w:hAnsiTheme="minorHAnsi" w:cstheme="minorHAnsi"/>
        </w:rPr>
        <w:t xml:space="preserve">licence </w:t>
      </w:r>
      <w:r w:rsidR="00B21A34">
        <w:rPr>
          <w:rFonts w:asciiTheme="minorHAnsi" w:hAnsiTheme="minorHAnsi" w:cstheme="minorHAnsi"/>
        </w:rPr>
        <w:t>application stage, facilitating entr</w:t>
      </w:r>
      <w:r w:rsidR="00313AA4">
        <w:rPr>
          <w:rFonts w:asciiTheme="minorHAnsi" w:hAnsiTheme="minorHAnsi" w:cstheme="minorHAnsi"/>
        </w:rPr>
        <w:t>ants</w:t>
      </w:r>
      <w:r w:rsidR="00B21A34">
        <w:rPr>
          <w:rFonts w:asciiTheme="minorHAnsi" w:hAnsiTheme="minorHAnsi" w:cstheme="minorHAnsi"/>
        </w:rPr>
        <w:t xml:space="preserve"> into the framework.  </w:t>
      </w:r>
      <w:r w:rsidR="001D15D6">
        <w:rPr>
          <w:rFonts w:asciiTheme="minorHAnsi" w:hAnsiTheme="minorHAnsi" w:cstheme="minorHAnsi"/>
        </w:rPr>
        <w:t xml:space="preserve">This approach aims to reflect the anticipated level of activity in the OEI industry in Australia </w:t>
      </w:r>
      <w:r w:rsidR="0039760C">
        <w:rPr>
          <w:rFonts w:asciiTheme="minorHAnsi" w:hAnsiTheme="minorHAnsi" w:cstheme="minorHAnsi"/>
        </w:rPr>
        <w:t xml:space="preserve">but may vary </w:t>
      </w:r>
      <w:r w:rsidR="003A3B63">
        <w:rPr>
          <w:rFonts w:asciiTheme="minorHAnsi" w:hAnsiTheme="minorHAnsi" w:cstheme="minorHAnsi"/>
        </w:rPr>
        <w:t>once</w:t>
      </w:r>
      <w:r w:rsidR="0039760C">
        <w:rPr>
          <w:rFonts w:asciiTheme="minorHAnsi" w:hAnsiTheme="minorHAnsi" w:cstheme="minorHAnsi"/>
        </w:rPr>
        <w:t xml:space="preserve"> the industry becomes established</w:t>
      </w:r>
      <w:r w:rsidR="001D15D6">
        <w:rPr>
          <w:rFonts w:asciiTheme="minorHAnsi" w:hAnsiTheme="minorHAnsi" w:cstheme="minorHAnsi"/>
        </w:rPr>
        <w:t>.</w:t>
      </w:r>
      <w:r w:rsidR="0039760C">
        <w:rPr>
          <w:rFonts w:asciiTheme="minorHAnsi" w:hAnsiTheme="minorHAnsi" w:cstheme="minorHAnsi"/>
        </w:rPr>
        <w:t xml:space="preserve"> T</w:t>
      </w:r>
      <w:r w:rsidR="00666E2C">
        <w:rPr>
          <w:rFonts w:asciiTheme="minorHAnsi" w:hAnsiTheme="minorHAnsi" w:cstheme="minorHAnsi"/>
        </w:rPr>
        <w:t>his structure will be reviewed</w:t>
      </w:r>
      <w:r w:rsidR="00331529">
        <w:rPr>
          <w:rFonts w:asciiTheme="minorHAnsi" w:hAnsiTheme="minorHAnsi" w:cstheme="minorHAnsi"/>
        </w:rPr>
        <w:t xml:space="preserve"> and re-assessed</w:t>
      </w:r>
      <w:r w:rsidR="00666E2C">
        <w:rPr>
          <w:rFonts w:asciiTheme="minorHAnsi" w:hAnsiTheme="minorHAnsi" w:cstheme="minorHAnsi"/>
        </w:rPr>
        <w:t xml:space="preserve"> as part of </w:t>
      </w:r>
      <w:r w:rsidR="00331529">
        <w:rPr>
          <w:rFonts w:asciiTheme="minorHAnsi" w:hAnsiTheme="minorHAnsi" w:cstheme="minorHAnsi"/>
        </w:rPr>
        <w:t>a</w:t>
      </w:r>
      <w:r w:rsidR="00666E2C">
        <w:rPr>
          <w:rFonts w:asciiTheme="minorHAnsi" w:hAnsiTheme="minorHAnsi" w:cstheme="minorHAnsi"/>
        </w:rPr>
        <w:t xml:space="preserve"> regular CRIS </w:t>
      </w:r>
      <w:r w:rsidR="00331529">
        <w:rPr>
          <w:rFonts w:asciiTheme="minorHAnsi" w:hAnsiTheme="minorHAnsi" w:cstheme="minorHAnsi"/>
        </w:rPr>
        <w:t xml:space="preserve">review </w:t>
      </w:r>
      <w:r w:rsidR="00666E2C">
        <w:rPr>
          <w:rFonts w:asciiTheme="minorHAnsi" w:hAnsiTheme="minorHAnsi" w:cstheme="minorHAnsi"/>
        </w:rPr>
        <w:t xml:space="preserve">cycle. </w:t>
      </w:r>
      <w:r w:rsidR="001D15D6">
        <w:rPr>
          <w:rFonts w:asciiTheme="minorHAnsi" w:hAnsiTheme="minorHAnsi" w:cstheme="minorHAnsi"/>
        </w:rPr>
        <w:t xml:space="preserve"> </w:t>
      </w:r>
    </w:p>
    <w:p w14:paraId="745D060D" w14:textId="2FBE134A" w:rsidR="004E3C63" w:rsidRDefault="004E3C63" w:rsidP="00D212A5">
      <w:pPr>
        <w:rPr>
          <w:rFonts w:asciiTheme="minorHAnsi" w:hAnsiTheme="minorHAnsi" w:cstheme="minorHAnsi"/>
        </w:rPr>
      </w:pPr>
    </w:p>
    <w:p w14:paraId="66AE2490" w14:textId="07A750B8" w:rsidR="004E3C63" w:rsidRDefault="004E3C63" w:rsidP="00D212A5">
      <w:pPr>
        <w:rPr>
          <w:rFonts w:asciiTheme="minorHAnsi" w:hAnsiTheme="minorHAnsi" w:cstheme="minorHAnsi"/>
        </w:rPr>
      </w:pPr>
      <w:r w:rsidRPr="00E50FD8">
        <w:rPr>
          <w:rFonts w:asciiTheme="minorHAnsi" w:hAnsiTheme="minorHAnsi" w:cstheme="minorHAnsi"/>
          <w:b/>
          <w:bCs/>
        </w:rPr>
        <w:t>Table 3:</w:t>
      </w:r>
      <w:r>
        <w:rPr>
          <w:rFonts w:asciiTheme="minorHAnsi" w:hAnsiTheme="minorHAnsi" w:cstheme="minorHAnsi"/>
        </w:rPr>
        <w:t xml:space="preserve"> Cost recovery structure for OEI activities</w:t>
      </w:r>
      <w:r w:rsidR="000E422A">
        <w:rPr>
          <w:rFonts w:asciiTheme="minorHAnsi" w:hAnsiTheme="minorHAnsi" w:cstheme="minorHAnsi"/>
        </w:rPr>
        <w:t xml:space="preserve"> in </w:t>
      </w:r>
      <w:r w:rsidR="00465868">
        <w:rPr>
          <w:rFonts w:ascii="Calibri" w:hAnsi="Calibri" w:cs="Calibri"/>
          <w:color w:val="000000"/>
        </w:rPr>
        <w:t>2022-23 to 2024-25</w:t>
      </w:r>
    </w:p>
    <w:tbl>
      <w:tblPr>
        <w:tblStyle w:val="GridTable4-Accent1"/>
        <w:tblW w:w="0" w:type="auto"/>
        <w:tblLook w:val="04A0" w:firstRow="1" w:lastRow="0" w:firstColumn="1" w:lastColumn="0" w:noHBand="0" w:noVBand="1"/>
      </w:tblPr>
      <w:tblGrid>
        <w:gridCol w:w="5513"/>
        <w:gridCol w:w="1428"/>
        <w:gridCol w:w="1418"/>
        <w:gridCol w:w="1417"/>
      </w:tblGrid>
      <w:tr w:rsidR="001367BA" w14:paraId="321201F6" w14:textId="4B6B0132" w:rsidTr="001367BA">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5513" w:type="dxa"/>
          </w:tcPr>
          <w:p w14:paraId="52DFB5A0" w14:textId="6E0C0AF9" w:rsidR="001367BA" w:rsidRPr="004E3C63" w:rsidRDefault="001367BA" w:rsidP="007D5A32">
            <w:pPr>
              <w:rPr>
                <w:rFonts w:asciiTheme="minorHAnsi" w:hAnsiTheme="minorHAnsi" w:cstheme="minorHAnsi"/>
                <w:b w:val="0"/>
                <w:bCs w:val="0"/>
              </w:rPr>
            </w:pPr>
            <w:r>
              <w:rPr>
                <w:rFonts w:asciiTheme="minorHAnsi" w:hAnsiTheme="minorHAnsi" w:cstheme="minorHAnsi"/>
              </w:rPr>
              <w:t>Cost Recovery Estimates</w:t>
            </w:r>
            <w:r w:rsidRPr="00576DAE">
              <w:rPr>
                <w:rFonts w:asciiTheme="minorHAnsi" w:hAnsiTheme="minorHAnsi" w:cstheme="minorHAnsi"/>
              </w:rPr>
              <w:t xml:space="preserve"> </w:t>
            </w:r>
          </w:p>
        </w:tc>
        <w:tc>
          <w:tcPr>
            <w:tcW w:w="4263" w:type="dxa"/>
            <w:gridSpan w:val="3"/>
          </w:tcPr>
          <w:p w14:paraId="542B22D9" w14:textId="77777777" w:rsidR="001367BA" w:rsidRPr="00576DAE" w:rsidRDefault="001367BA" w:rsidP="007D5A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576DAE">
              <w:rPr>
                <w:rFonts w:asciiTheme="minorHAnsi" w:hAnsiTheme="minorHAnsi" w:cstheme="minorHAnsi"/>
              </w:rPr>
              <w:t>Financial Year</w:t>
            </w:r>
          </w:p>
          <w:p w14:paraId="6319BCF2" w14:textId="36F01CD8" w:rsidR="001367BA" w:rsidRPr="00576DAE" w:rsidRDefault="001367BA" w:rsidP="001367B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       </w:t>
            </w:r>
            <w:r w:rsidRPr="00576DAE">
              <w:rPr>
                <w:rFonts w:asciiTheme="minorHAnsi" w:hAnsiTheme="minorHAnsi" w:cstheme="minorHAnsi"/>
              </w:rPr>
              <w:t>2022-23          2023-24</w:t>
            </w:r>
            <w:r>
              <w:rPr>
                <w:rFonts w:asciiTheme="minorHAnsi" w:hAnsiTheme="minorHAnsi" w:cstheme="minorHAnsi"/>
              </w:rPr>
              <w:t xml:space="preserve">          2024-25</w:t>
            </w:r>
          </w:p>
        </w:tc>
      </w:tr>
      <w:tr w:rsidR="001367BA" w14:paraId="394AB07F" w14:textId="6D726B53" w:rsidTr="001367B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513" w:type="dxa"/>
            <w:vAlign w:val="bottom"/>
          </w:tcPr>
          <w:p w14:paraId="6CCA75EC" w14:textId="1DE57C61" w:rsidR="001367BA" w:rsidRPr="00120BD0" w:rsidRDefault="001367BA" w:rsidP="007D5A32">
            <w:pPr>
              <w:rPr>
                <w:rFonts w:asciiTheme="minorHAnsi" w:hAnsiTheme="minorHAnsi" w:cstheme="minorHAnsi"/>
                <w:b w:val="0"/>
                <w:bCs w:val="0"/>
                <w:color w:val="17365D" w:themeColor="text2" w:themeShade="BF"/>
                <w:sz w:val="20"/>
                <w:szCs w:val="20"/>
              </w:rPr>
            </w:pPr>
            <w:r>
              <w:rPr>
                <w:rFonts w:asciiTheme="minorHAnsi" w:hAnsiTheme="minorHAnsi" w:cstheme="minorHAnsi"/>
                <w:b w:val="0"/>
                <w:bCs w:val="0"/>
                <w:color w:val="17365D" w:themeColor="text2" w:themeShade="BF"/>
                <w:sz w:val="20"/>
                <w:szCs w:val="20"/>
              </w:rPr>
              <w:t>Application Fees (60%)</w:t>
            </w:r>
          </w:p>
        </w:tc>
        <w:tc>
          <w:tcPr>
            <w:tcW w:w="1428" w:type="dxa"/>
            <w:vAlign w:val="center"/>
          </w:tcPr>
          <w:p w14:paraId="2E1ADE0A" w14:textId="27DD214D" w:rsidR="001367BA" w:rsidRPr="00120BD0" w:rsidRDefault="001367BA" w:rsidP="007D5A3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1367BA">
              <w:rPr>
                <w:rFonts w:ascii="Calibri" w:hAnsi="Calibri" w:cs="Calibri"/>
                <w:color w:val="17365D"/>
                <w:sz w:val="20"/>
                <w:szCs w:val="20"/>
                <w:lang w:eastAsia="en-AU"/>
              </w:rPr>
              <w:t>$729,307</w:t>
            </w:r>
          </w:p>
        </w:tc>
        <w:tc>
          <w:tcPr>
            <w:tcW w:w="1418" w:type="dxa"/>
            <w:vAlign w:val="center"/>
          </w:tcPr>
          <w:p w14:paraId="57C4F07C" w14:textId="09AECEAA" w:rsidR="001367BA" w:rsidRPr="00120BD0" w:rsidRDefault="001367BA" w:rsidP="007D5A3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1367BA">
              <w:rPr>
                <w:rFonts w:ascii="Calibri" w:hAnsi="Calibri" w:cs="Calibri"/>
                <w:color w:val="17365D"/>
                <w:sz w:val="20"/>
                <w:szCs w:val="20"/>
                <w:lang w:eastAsia="en-AU"/>
              </w:rPr>
              <w:t>$762,986</w:t>
            </w:r>
          </w:p>
        </w:tc>
        <w:tc>
          <w:tcPr>
            <w:tcW w:w="1417" w:type="dxa"/>
          </w:tcPr>
          <w:p w14:paraId="598C4011" w14:textId="3A3BAA51" w:rsidR="001367BA" w:rsidRDefault="001367BA" w:rsidP="007D5A3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20"/>
                <w:szCs w:val="20"/>
              </w:rPr>
            </w:pPr>
            <w:r w:rsidRPr="001367BA">
              <w:rPr>
                <w:rFonts w:ascii="Calibri" w:hAnsi="Calibri" w:cs="Calibri"/>
                <w:color w:val="17365D"/>
                <w:sz w:val="20"/>
                <w:szCs w:val="20"/>
                <w:lang w:eastAsia="en-AU"/>
              </w:rPr>
              <w:t>$779,326</w:t>
            </w:r>
          </w:p>
        </w:tc>
      </w:tr>
      <w:tr w:rsidR="001367BA" w14:paraId="17B31A3E" w14:textId="7482C22F" w:rsidTr="001367BA">
        <w:trPr>
          <w:trHeight w:val="278"/>
        </w:trPr>
        <w:tc>
          <w:tcPr>
            <w:cnfStyle w:val="001000000000" w:firstRow="0" w:lastRow="0" w:firstColumn="1" w:lastColumn="0" w:oddVBand="0" w:evenVBand="0" w:oddHBand="0" w:evenHBand="0" w:firstRowFirstColumn="0" w:firstRowLastColumn="0" w:lastRowFirstColumn="0" w:lastRowLastColumn="0"/>
            <w:tcW w:w="5513" w:type="dxa"/>
            <w:vAlign w:val="bottom"/>
          </w:tcPr>
          <w:p w14:paraId="0161BDC0" w14:textId="4E90F109" w:rsidR="001367BA" w:rsidRPr="00120BD0" w:rsidRDefault="001367BA" w:rsidP="007D5A32">
            <w:pPr>
              <w:rPr>
                <w:rFonts w:asciiTheme="minorHAnsi" w:hAnsiTheme="minorHAnsi" w:cstheme="minorHAnsi"/>
                <w:b w:val="0"/>
                <w:bCs w:val="0"/>
                <w:color w:val="17365D" w:themeColor="text2" w:themeShade="BF"/>
                <w:sz w:val="20"/>
                <w:szCs w:val="20"/>
              </w:rPr>
            </w:pPr>
            <w:r>
              <w:rPr>
                <w:rFonts w:asciiTheme="minorHAnsi" w:hAnsiTheme="minorHAnsi" w:cstheme="minorHAnsi"/>
                <w:b w:val="0"/>
                <w:bCs w:val="0"/>
                <w:color w:val="17365D" w:themeColor="text2" w:themeShade="BF"/>
                <w:sz w:val="20"/>
                <w:szCs w:val="20"/>
              </w:rPr>
              <w:t>Annual Licence Levies (40%)</w:t>
            </w:r>
          </w:p>
        </w:tc>
        <w:tc>
          <w:tcPr>
            <w:tcW w:w="1428" w:type="dxa"/>
            <w:vAlign w:val="center"/>
          </w:tcPr>
          <w:p w14:paraId="1DB9186A" w14:textId="7AE420EF" w:rsidR="001367BA" w:rsidRPr="00120BD0" w:rsidRDefault="001367BA" w:rsidP="007D5A3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1367BA">
              <w:rPr>
                <w:rFonts w:ascii="Calibri" w:hAnsi="Calibri" w:cs="Calibri"/>
                <w:color w:val="17365D"/>
                <w:sz w:val="20"/>
                <w:szCs w:val="20"/>
                <w:lang w:eastAsia="en-AU"/>
              </w:rPr>
              <w:t>$486,204</w:t>
            </w:r>
          </w:p>
        </w:tc>
        <w:tc>
          <w:tcPr>
            <w:tcW w:w="1418" w:type="dxa"/>
            <w:vAlign w:val="center"/>
          </w:tcPr>
          <w:p w14:paraId="60EA4DAF" w14:textId="74E6077E" w:rsidR="001367BA" w:rsidRPr="00120BD0" w:rsidRDefault="001367BA" w:rsidP="007D5A3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1367BA">
              <w:rPr>
                <w:rFonts w:ascii="Calibri" w:hAnsi="Calibri" w:cs="Calibri"/>
                <w:color w:val="17365D"/>
                <w:sz w:val="20"/>
                <w:szCs w:val="20"/>
                <w:lang w:eastAsia="en-AU"/>
              </w:rPr>
              <w:t>$508,657</w:t>
            </w:r>
          </w:p>
        </w:tc>
        <w:tc>
          <w:tcPr>
            <w:tcW w:w="1417" w:type="dxa"/>
          </w:tcPr>
          <w:p w14:paraId="5760887F" w14:textId="43C1FABB" w:rsidR="001367BA" w:rsidRDefault="001367BA" w:rsidP="007D5A3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7365D" w:themeColor="text2" w:themeShade="BF"/>
                <w:sz w:val="20"/>
                <w:szCs w:val="20"/>
              </w:rPr>
            </w:pPr>
            <w:r w:rsidRPr="001367BA">
              <w:rPr>
                <w:rFonts w:ascii="Calibri" w:hAnsi="Calibri" w:cs="Calibri"/>
                <w:color w:val="17365D"/>
                <w:sz w:val="20"/>
                <w:szCs w:val="20"/>
                <w:lang w:eastAsia="en-AU"/>
              </w:rPr>
              <w:t>$519,551</w:t>
            </w:r>
          </w:p>
        </w:tc>
      </w:tr>
      <w:tr w:rsidR="001367BA" w14:paraId="3C0648C5" w14:textId="2D61610E" w:rsidTr="001367B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513" w:type="dxa"/>
            <w:vAlign w:val="bottom"/>
          </w:tcPr>
          <w:p w14:paraId="1AC83D23" w14:textId="61906573" w:rsidR="001367BA" w:rsidRPr="002C68D4" w:rsidRDefault="001367BA" w:rsidP="007D5A32">
            <w:pPr>
              <w:rPr>
                <w:rFonts w:asciiTheme="minorHAnsi" w:hAnsiTheme="minorHAnsi" w:cstheme="minorHAnsi"/>
                <w:color w:val="17365D" w:themeColor="text2" w:themeShade="BF"/>
                <w:sz w:val="20"/>
                <w:szCs w:val="20"/>
              </w:rPr>
            </w:pPr>
            <w:r w:rsidRPr="002C68D4">
              <w:rPr>
                <w:rFonts w:asciiTheme="minorHAnsi" w:hAnsiTheme="minorHAnsi" w:cstheme="minorHAnsi"/>
                <w:color w:val="17365D" w:themeColor="text2" w:themeShade="BF"/>
                <w:sz w:val="20"/>
                <w:szCs w:val="20"/>
              </w:rPr>
              <w:t>Total (</w:t>
            </w:r>
            <w:r>
              <w:rPr>
                <w:rFonts w:asciiTheme="minorHAnsi" w:hAnsiTheme="minorHAnsi" w:cstheme="minorHAnsi"/>
                <w:color w:val="17365D" w:themeColor="text2" w:themeShade="BF"/>
                <w:sz w:val="20"/>
                <w:szCs w:val="20"/>
              </w:rPr>
              <w:t>100%)</w:t>
            </w:r>
          </w:p>
        </w:tc>
        <w:tc>
          <w:tcPr>
            <w:tcW w:w="1428" w:type="dxa"/>
            <w:vAlign w:val="bottom"/>
          </w:tcPr>
          <w:p w14:paraId="0EDE3B1D" w14:textId="6726506C" w:rsidR="001367BA" w:rsidRPr="002C68D4" w:rsidRDefault="001367BA" w:rsidP="007D5A3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7365D" w:themeColor="text2" w:themeShade="BF"/>
                <w:sz w:val="20"/>
                <w:szCs w:val="20"/>
              </w:rPr>
            </w:pPr>
            <w:r w:rsidRPr="001367BA">
              <w:rPr>
                <w:rFonts w:ascii="Calibri" w:hAnsi="Calibri" w:cs="Calibri"/>
                <w:b/>
                <w:bCs/>
                <w:color w:val="17365D"/>
                <w:sz w:val="20"/>
                <w:szCs w:val="20"/>
                <w:lang w:eastAsia="en-AU"/>
              </w:rPr>
              <w:t>$1,215,511</w:t>
            </w:r>
          </w:p>
        </w:tc>
        <w:tc>
          <w:tcPr>
            <w:tcW w:w="1418" w:type="dxa"/>
            <w:vAlign w:val="bottom"/>
          </w:tcPr>
          <w:p w14:paraId="7E8E8160" w14:textId="30EC2D01" w:rsidR="001367BA" w:rsidRPr="002C68D4" w:rsidRDefault="001367BA" w:rsidP="007D5A3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7365D" w:themeColor="text2" w:themeShade="BF"/>
                <w:sz w:val="20"/>
                <w:szCs w:val="20"/>
              </w:rPr>
            </w:pPr>
            <w:r w:rsidRPr="001367BA">
              <w:rPr>
                <w:rFonts w:ascii="Calibri" w:hAnsi="Calibri" w:cs="Calibri"/>
                <w:b/>
                <w:bCs/>
                <w:color w:val="17365D"/>
                <w:sz w:val="20"/>
                <w:szCs w:val="20"/>
                <w:lang w:eastAsia="en-AU"/>
              </w:rPr>
              <w:t>$1,271,643</w:t>
            </w:r>
          </w:p>
        </w:tc>
        <w:tc>
          <w:tcPr>
            <w:tcW w:w="1417" w:type="dxa"/>
          </w:tcPr>
          <w:p w14:paraId="0BD525AA" w14:textId="27499522" w:rsidR="001367BA" w:rsidRPr="002C68D4" w:rsidRDefault="001367BA" w:rsidP="007D5A3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7365D" w:themeColor="text2" w:themeShade="BF"/>
                <w:sz w:val="20"/>
                <w:szCs w:val="20"/>
              </w:rPr>
            </w:pPr>
            <w:r w:rsidRPr="001367BA">
              <w:rPr>
                <w:rFonts w:ascii="Calibri" w:hAnsi="Calibri" w:cs="Calibri"/>
                <w:b/>
                <w:bCs/>
                <w:color w:val="17365D"/>
                <w:sz w:val="20"/>
                <w:szCs w:val="20"/>
                <w:lang w:eastAsia="en-AU"/>
              </w:rPr>
              <w:t>$1,298,877</w:t>
            </w:r>
          </w:p>
        </w:tc>
      </w:tr>
    </w:tbl>
    <w:p w14:paraId="62921D74" w14:textId="0CD86635" w:rsidR="005F55F5" w:rsidRPr="00535A07" w:rsidRDefault="001D15D6" w:rsidP="00A62032">
      <w:pPr>
        <w:rPr>
          <w:rFonts w:asciiTheme="minorHAnsi" w:hAnsiTheme="minorHAnsi" w:cstheme="minorHAnsi"/>
        </w:rPr>
      </w:pPr>
      <w:r>
        <w:rPr>
          <w:rFonts w:asciiTheme="minorHAnsi" w:hAnsiTheme="minorHAnsi" w:cstheme="minorHAnsi"/>
        </w:rPr>
        <w:lastRenderedPageBreak/>
        <w:t xml:space="preserve">In </w:t>
      </w:r>
      <w:r w:rsidR="002B7A21">
        <w:rPr>
          <w:rFonts w:asciiTheme="minorHAnsi" w:hAnsiTheme="minorHAnsi" w:cstheme="minorHAnsi"/>
        </w:rPr>
        <w:t>the Registrar</w:t>
      </w:r>
      <w:r>
        <w:rPr>
          <w:rFonts w:asciiTheme="minorHAnsi" w:hAnsiTheme="minorHAnsi" w:cstheme="minorHAnsi"/>
        </w:rPr>
        <w:t>’s view, transparency and s</w:t>
      </w:r>
      <w:r w:rsidR="00D212A5" w:rsidRPr="00F4498D">
        <w:rPr>
          <w:rFonts w:asciiTheme="minorHAnsi" w:hAnsiTheme="minorHAnsi" w:cstheme="minorHAnsi"/>
        </w:rPr>
        <w:t>tability in the level of fees and levies is important for providing consistency</w:t>
      </w:r>
      <w:r w:rsidR="00A64BB0">
        <w:rPr>
          <w:rFonts w:asciiTheme="minorHAnsi" w:hAnsiTheme="minorHAnsi" w:cstheme="minorHAnsi"/>
        </w:rPr>
        <w:t xml:space="preserve"> and clarity</w:t>
      </w:r>
      <w:r w:rsidR="00D212A5" w:rsidRPr="00F4498D">
        <w:rPr>
          <w:rFonts w:asciiTheme="minorHAnsi" w:hAnsiTheme="minorHAnsi" w:cstheme="minorHAnsi"/>
        </w:rPr>
        <w:t xml:space="preserve"> for industry, supporting a more predictable investment environment.</w:t>
      </w:r>
      <w:r>
        <w:rPr>
          <w:rFonts w:asciiTheme="minorHAnsi" w:hAnsiTheme="minorHAnsi" w:cstheme="minorHAnsi"/>
        </w:rPr>
        <w:t xml:space="preserve"> </w:t>
      </w:r>
      <w:bookmarkStart w:id="21" w:name="_Hlk72148269"/>
      <w:r w:rsidR="002B7A21">
        <w:rPr>
          <w:rFonts w:asciiTheme="minorHAnsi" w:hAnsiTheme="minorHAnsi" w:cstheme="minorHAnsi"/>
        </w:rPr>
        <w:t>It</w:t>
      </w:r>
      <w:r w:rsidR="00A62032">
        <w:rPr>
          <w:rFonts w:asciiTheme="minorHAnsi" w:hAnsiTheme="minorHAnsi" w:cstheme="minorHAnsi"/>
        </w:rPr>
        <w:t xml:space="preserve"> is propos</w:t>
      </w:r>
      <w:r w:rsidR="002B7A21">
        <w:rPr>
          <w:rFonts w:asciiTheme="minorHAnsi" w:hAnsiTheme="minorHAnsi" w:cstheme="minorHAnsi"/>
        </w:rPr>
        <w:t>ed</w:t>
      </w:r>
      <w:r w:rsidR="00A62032">
        <w:rPr>
          <w:rFonts w:asciiTheme="minorHAnsi" w:hAnsiTheme="minorHAnsi" w:cstheme="minorHAnsi"/>
        </w:rPr>
        <w:t xml:space="preserve"> that fees and </w:t>
      </w:r>
      <w:r w:rsidR="00056618">
        <w:rPr>
          <w:rFonts w:asciiTheme="minorHAnsi" w:hAnsiTheme="minorHAnsi" w:cstheme="minorHAnsi"/>
        </w:rPr>
        <w:t xml:space="preserve">annual licence </w:t>
      </w:r>
      <w:r w:rsidR="00A62032">
        <w:rPr>
          <w:rFonts w:asciiTheme="minorHAnsi" w:hAnsiTheme="minorHAnsi" w:cstheme="minorHAnsi"/>
        </w:rPr>
        <w:t xml:space="preserve">levies be reviewed in 24 months. </w:t>
      </w:r>
      <w:r w:rsidR="002B7A21">
        <w:rPr>
          <w:rFonts w:asciiTheme="minorHAnsi" w:hAnsiTheme="minorHAnsi" w:cstheme="minorHAnsi"/>
        </w:rPr>
        <w:t>The Registrar</w:t>
      </w:r>
      <w:r w:rsidR="00A62032">
        <w:rPr>
          <w:rFonts w:asciiTheme="minorHAnsi" w:hAnsiTheme="minorHAnsi" w:cstheme="minorHAnsi"/>
        </w:rPr>
        <w:t xml:space="preserve"> will maintain full transparency by notifying and consulting industry where required prior to any potential future increase. </w:t>
      </w:r>
      <w:bookmarkEnd w:id="21"/>
    </w:p>
    <w:p w14:paraId="06833B69" w14:textId="1A363574" w:rsidR="00D212A5" w:rsidRPr="00902AA6" w:rsidRDefault="00D212A5" w:rsidP="00902AA6">
      <w:pPr>
        <w:pStyle w:val="Heading3"/>
      </w:pPr>
      <w:bookmarkStart w:id="22" w:name="_Toc67048038"/>
      <w:bookmarkStart w:id="23" w:name="_Toc67054034"/>
      <w:bookmarkStart w:id="24" w:name="_Toc98772164"/>
      <w:bookmarkEnd w:id="22"/>
      <w:bookmarkEnd w:id="23"/>
      <w:r w:rsidRPr="00902AA6">
        <w:t>Cost recovery levy</w:t>
      </w:r>
      <w:r w:rsidR="000A20EC">
        <w:t xml:space="preserve"> </w:t>
      </w:r>
      <w:r w:rsidR="001D6DEF">
        <w:t xml:space="preserve">– </w:t>
      </w:r>
      <w:r w:rsidR="000A20EC">
        <w:t>Registrar</w:t>
      </w:r>
      <w:bookmarkEnd w:id="24"/>
    </w:p>
    <w:p w14:paraId="51EB96F0" w14:textId="6D063650" w:rsidR="009F2E81" w:rsidRDefault="00D212A5" w:rsidP="009F2E81">
      <w:pPr>
        <w:rPr>
          <w:rFonts w:asciiTheme="minorHAnsi" w:hAnsiTheme="minorHAnsi" w:cstheme="minorHAnsi"/>
        </w:rPr>
      </w:pPr>
      <w:r w:rsidRPr="002A67C7">
        <w:rPr>
          <w:rFonts w:asciiTheme="minorHAnsi" w:hAnsiTheme="minorHAnsi" w:cstheme="minorHAnsi"/>
        </w:rPr>
        <w:t xml:space="preserve">An </w:t>
      </w:r>
      <w:r w:rsidR="003536A4">
        <w:rPr>
          <w:rFonts w:asciiTheme="minorHAnsi" w:hAnsiTheme="minorHAnsi" w:cstheme="minorHAnsi"/>
        </w:rPr>
        <w:t>a</w:t>
      </w:r>
      <w:r w:rsidRPr="002A67C7">
        <w:rPr>
          <w:rFonts w:asciiTheme="minorHAnsi" w:hAnsiTheme="minorHAnsi" w:cstheme="minorHAnsi"/>
        </w:rPr>
        <w:t xml:space="preserve">nnual </w:t>
      </w:r>
      <w:r w:rsidR="003536A4">
        <w:rPr>
          <w:rFonts w:asciiTheme="minorHAnsi" w:hAnsiTheme="minorHAnsi" w:cstheme="minorHAnsi"/>
        </w:rPr>
        <w:t>licence l</w:t>
      </w:r>
      <w:r w:rsidRPr="002A67C7">
        <w:rPr>
          <w:rFonts w:asciiTheme="minorHAnsi" w:hAnsiTheme="minorHAnsi" w:cstheme="minorHAnsi"/>
        </w:rPr>
        <w:t>evy</w:t>
      </w:r>
      <w:r w:rsidR="000A20EC">
        <w:rPr>
          <w:rFonts w:asciiTheme="minorHAnsi" w:hAnsiTheme="minorHAnsi" w:cstheme="minorHAnsi"/>
        </w:rPr>
        <w:t xml:space="preserve"> for licence administration</w:t>
      </w:r>
      <w:r w:rsidRPr="002A67C7">
        <w:rPr>
          <w:rFonts w:asciiTheme="minorHAnsi" w:hAnsiTheme="minorHAnsi" w:cstheme="minorHAnsi"/>
        </w:rPr>
        <w:t xml:space="preserve"> is imposed on holders of </w:t>
      </w:r>
      <w:r w:rsidR="003536A4">
        <w:rPr>
          <w:rFonts w:asciiTheme="minorHAnsi" w:hAnsiTheme="minorHAnsi" w:cstheme="minorHAnsi"/>
        </w:rPr>
        <w:t xml:space="preserve">OEI </w:t>
      </w:r>
      <w:r w:rsidRPr="002A67C7">
        <w:rPr>
          <w:rFonts w:asciiTheme="minorHAnsi" w:hAnsiTheme="minorHAnsi" w:cstheme="minorHAnsi"/>
        </w:rPr>
        <w:t xml:space="preserve">licences. The </w:t>
      </w:r>
      <w:r w:rsidR="00056618">
        <w:rPr>
          <w:rFonts w:asciiTheme="minorHAnsi" w:hAnsiTheme="minorHAnsi" w:cstheme="minorHAnsi"/>
        </w:rPr>
        <w:t xml:space="preserve">annual </w:t>
      </w:r>
      <w:r w:rsidR="000A20EC">
        <w:rPr>
          <w:rFonts w:asciiTheme="minorHAnsi" w:hAnsiTheme="minorHAnsi" w:cstheme="minorHAnsi"/>
        </w:rPr>
        <w:t xml:space="preserve">licence </w:t>
      </w:r>
      <w:r w:rsidRPr="002A67C7">
        <w:rPr>
          <w:rFonts w:asciiTheme="minorHAnsi" w:hAnsiTheme="minorHAnsi" w:cstheme="minorHAnsi"/>
        </w:rPr>
        <w:t xml:space="preserve">levy is payable in accordance with the </w:t>
      </w:r>
      <w:r w:rsidRPr="002A67C7">
        <w:rPr>
          <w:rFonts w:asciiTheme="minorHAnsi" w:hAnsiTheme="minorHAnsi" w:cstheme="minorHAnsi"/>
          <w:i/>
        </w:rPr>
        <w:t xml:space="preserve">Offshore </w:t>
      </w:r>
      <w:r w:rsidR="00971D5C">
        <w:rPr>
          <w:rFonts w:asciiTheme="minorHAnsi" w:hAnsiTheme="minorHAnsi" w:cstheme="minorHAnsi"/>
          <w:i/>
        </w:rPr>
        <w:t>Electricity Infrastructure</w:t>
      </w:r>
      <w:r w:rsidRPr="002A67C7">
        <w:rPr>
          <w:rFonts w:asciiTheme="minorHAnsi" w:hAnsiTheme="minorHAnsi" w:cstheme="minorHAnsi"/>
          <w:i/>
        </w:rPr>
        <w:t xml:space="preserve"> (Regulatory </w:t>
      </w:r>
      <w:r w:rsidR="00486885">
        <w:rPr>
          <w:rFonts w:asciiTheme="minorHAnsi" w:hAnsiTheme="minorHAnsi" w:cstheme="minorHAnsi"/>
          <w:i/>
        </w:rPr>
        <w:t>Levies</w:t>
      </w:r>
      <w:r w:rsidRPr="002A67C7">
        <w:rPr>
          <w:rFonts w:asciiTheme="minorHAnsi" w:hAnsiTheme="minorHAnsi" w:cstheme="minorHAnsi"/>
          <w:i/>
        </w:rPr>
        <w:t>) Regulations 2</w:t>
      </w:r>
      <w:r w:rsidR="00971D5C">
        <w:rPr>
          <w:rFonts w:asciiTheme="minorHAnsi" w:hAnsiTheme="minorHAnsi" w:cstheme="minorHAnsi"/>
          <w:i/>
        </w:rPr>
        <w:t>022</w:t>
      </w:r>
      <w:r w:rsidRPr="002A67C7">
        <w:rPr>
          <w:rFonts w:asciiTheme="minorHAnsi" w:hAnsiTheme="minorHAnsi" w:cstheme="minorHAnsi"/>
          <w:i/>
        </w:rPr>
        <w:t xml:space="preserve"> </w:t>
      </w:r>
      <w:r w:rsidR="00CF781A">
        <w:rPr>
          <w:rFonts w:asciiTheme="minorHAnsi" w:hAnsiTheme="minorHAnsi" w:cstheme="minorHAnsi"/>
          <w:iCs/>
        </w:rPr>
        <w:t xml:space="preserve">at </w:t>
      </w:r>
      <w:r w:rsidR="00E66C54">
        <w:rPr>
          <w:rFonts w:asciiTheme="minorHAnsi" w:hAnsiTheme="minorHAnsi" w:cstheme="minorHAnsi"/>
        </w:rPr>
        <w:t>30 days after</w:t>
      </w:r>
      <w:r w:rsidRPr="002A67C7">
        <w:rPr>
          <w:rFonts w:asciiTheme="minorHAnsi" w:hAnsiTheme="minorHAnsi" w:cstheme="minorHAnsi"/>
        </w:rPr>
        <w:t xml:space="preserve"> the grant of a </w:t>
      </w:r>
      <w:r w:rsidR="00971D5C">
        <w:rPr>
          <w:rFonts w:asciiTheme="minorHAnsi" w:hAnsiTheme="minorHAnsi" w:cstheme="minorHAnsi"/>
        </w:rPr>
        <w:t xml:space="preserve">licence </w:t>
      </w:r>
      <w:r w:rsidRPr="002A67C7">
        <w:rPr>
          <w:rFonts w:asciiTheme="minorHAnsi" w:hAnsiTheme="minorHAnsi" w:cstheme="minorHAnsi"/>
        </w:rPr>
        <w:t xml:space="preserve">and annually thereafter </w:t>
      </w:r>
      <w:r w:rsidR="00E66C54">
        <w:rPr>
          <w:rFonts w:asciiTheme="minorHAnsi" w:hAnsiTheme="minorHAnsi" w:cstheme="minorHAnsi"/>
        </w:rPr>
        <w:t>at the end of</w:t>
      </w:r>
      <w:r w:rsidRPr="002A67C7">
        <w:rPr>
          <w:rFonts w:asciiTheme="minorHAnsi" w:hAnsiTheme="minorHAnsi" w:cstheme="minorHAnsi"/>
        </w:rPr>
        <w:t xml:space="preserve"> 30 days </w:t>
      </w:r>
      <w:r w:rsidR="00E66C54">
        <w:rPr>
          <w:rFonts w:asciiTheme="minorHAnsi" w:hAnsiTheme="minorHAnsi" w:cstheme="minorHAnsi"/>
        </w:rPr>
        <w:t>after</w:t>
      </w:r>
      <w:r w:rsidRPr="002A67C7">
        <w:rPr>
          <w:rFonts w:asciiTheme="minorHAnsi" w:hAnsiTheme="minorHAnsi" w:cstheme="minorHAnsi"/>
        </w:rPr>
        <w:t xml:space="preserve"> the anniversary </w:t>
      </w:r>
      <w:r w:rsidR="00E66C54">
        <w:rPr>
          <w:rFonts w:asciiTheme="minorHAnsi" w:hAnsiTheme="minorHAnsi" w:cstheme="minorHAnsi"/>
        </w:rPr>
        <w:t xml:space="preserve">date </w:t>
      </w:r>
      <w:r w:rsidRPr="002A67C7">
        <w:rPr>
          <w:rFonts w:asciiTheme="minorHAnsi" w:hAnsiTheme="minorHAnsi" w:cstheme="minorHAnsi"/>
        </w:rPr>
        <w:t>of the</w:t>
      </w:r>
      <w:r w:rsidR="00E66C54">
        <w:rPr>
          <w:rFonts w:asciiTheme="minorHAnsi" w:hAnsiTheme="minorHAnsi" w:cstheme="minorHAnsi"/>
        </w:rPr>
        <w:t xml:space="preserve"> grant of the</w:t>
      </w:r>
      <w:r w:rsidRPr="002A67C7">
        <w:rPr>
          <w:rFonts w:asciiTheme="minorHAnsi" w:hAnsiTheme="minorHAnsi" w:cstheme="minorHAnsi"/>
        </w:rPr>
        <w:t xml:space="preserve"> </w:t>
      </w:r>
      <w:r w:rsidR="00971D5C">
        <w:rPr>
          <w:rFonts w:asciiTheme="minorHAnsi" w:hAnsiTheme="minorHAnsi" w:cstheme="minorHAnsi"/>
        </w:rPr>
        <w:t>licence</w:t>
      </w:r>
      <w:r w:rsidRPr="002A67C7">
        <w:rPr>
          <w:rFonts w:asciiTheme="minorHAnsi" w:hAnsiTheme="minorHAnsi" w:cstheme="minorHAnsi"/>
        </w:rPr>
        <w:t xml:space="preserve">. Where a </w:t>
      </w:r>
      <w:r w:rsidR="00971D5C">
        <w:rPr>
          <w:rFonts w:asciiTheme="minorHAnsi" w:hAnsiTheme="minorHAnsi" w:cstheme="minorHAnsi"/>
        </w:rPr>
        <w:t>licence</w:t>
      </w:r>
      <w:r w:rsidRPr="002A67C7">
        <w:rPr>
          <w:rFonts w:asciiTheme="minorHAnsi" w:hAnsiTheme="minorHAnsi" w:cstheme="minorHAnsi"/>
        </w:rPr>
        <w:t xml:space="preserve"> is in force for less than </w:t>
      </w:r>
      <w:r w:rsidR="003E39E8">
        <w:rPr>
          <w:rFonts w:asciiTheme="minorHAnsi" w:hAnsiTheme="minorHAnsi" w:cstheme="minorHAnsi"/>
        </w:rPr>
        <w:t>12</w:t>
      </w:r>
      <w:r w:rsidR="003E39E8" w:rsidRPr="002A67C7">
        <w:rPr>
          <w:rFonts w:asciiTheme="minorHAnsi" w:hAnsiTheme="minorHAnsi" w:cstheme="minorHAnsi"/>
        </w:rPr>
        <w:t xml:space="preserve"> </w:t>
      </w:r>
      <w:r w:rsidRPr="002A67C7">
        <w:rPr>
          <w:rFonts w:asciiTheme="minorHAnsi" w:hAnsiTheme="minorHAnsi" w:cstheme="minorHAnsi"/>
        </w:rPr>
        <w:t xml:space="preserve">months, the </w:t>
      </w:r>
      <w:r w:rsidR="00BF0F80">
        <w:rPr>
          <w:rFonts w:asciiTheme="minorHAnsi" w:hAnsiTheme="minorHAnsi" w:cstheme="minorHAnsi"/>
        </w:rPr>
        <w:t xml:space="preserve">annual licence </w:t>
      </w:r>
      <w:r w:rsidRPr="002A67C7">
        <w:rPr>
          <w:rFonts w:asciiTheme="minorHAnsi" w:hAnsiTheme="minorHAnsi" w:cstheme="minorHAnsi"/>
        </w:rPr>
        <w:t xml:space="preserve">levy is calculated for the period the </w:t>
      </w:r>
      <w:r w:rsidR="00971D5C">
        <w:rPr>
          <w:rFonts w:asciiTheme="minorHAnsi" w:hAnsiTheme="minorHAnsi" w:cstheme="minorHAnsi"/>
        </w:rPr>
        <w:t>licence</w:t>
      </w:r>
      <w:r w:rsidR="00466782">
        <w:rPr>
          <w:rFonts w:asciiTheme="minorHAnsi" w:hAnsiTheme="minorHAnsi" w:cstheme="minorHAnsi"/>
        </w:rPr>
        <w:t xml:space="preserve"> remains in force</w:t>
      </w:r>
      <w:r w:rsidRPr="002A67C7">
        <w:rPr>
          <w:rFonts w:asciiTheme="minorHAnsi" w:hAnsiTheme="minorHAnsi" w:cstheme="minorHAnsi"/>
        </w:rPr>
        <w:t>.</w:t>
      </w:r>
      <w:r>
        <w:rPr>
          <w:rFonts w:asciiTheme="minorHAnsi" w:hAnsiTheme="minorHAnsi" w:cstheme="minorHAnsi"/>
        </w:rPr>
        <w:t xml:space="preserve"> </w:t>
      </w:r>
      <w:bookmarkStart w:id="25" w:name="_Hlk67487972"/>
      <w:r w:rsidR="00BF0F80">
        <w:rPr>
          <w:rFonts w:asciiTheme="minorHAnsi" w:hAnsiTheme="minorHAnsi" w:cstheme="minorHAnsi"/>
        </w:rPr>
        <w:t>Annual licence l</w:t>
      </w:r>
      <w:r w:rsidR="005B374E">
        <w:rPr>
          <w:rFonts w:asciiTheme="minorHAnsi" w:hAnsiTheme="minorHAnsi" w:cstheme="minorHAnsi"/>
        </w:rPr>
        <w:t xml:space="preserve">evies are </w:t>
      </w:r>
      <w:r w:rsidR="009F2E81" w:rsidRPr="00EB14B8">
        <w:rPr>
          <w:rFonts w:asciiTheme="minorHAnsi" w:hAnsiTheme="minorHAnsi" w:cstheme="minorHAnsi"/>
        </w:rPr>
        <w:t xml:space="preserve">used to fund </w:t>
      </w:r>
      <w:r w:rsidR="00267389">
        <w:rPr>
          <w:rFonts w:asciiTheme="minorHAnsi" w:hAnsiTheme="minorHAnsi" w:cstheme="minorHAnsi"/>
        </w:rPr>
        <w:t xml:space="preserve">Registrar </w:t>
      </w:r>
      <w:r w:rsidR="009F2E81" w:rsidRPr="00EB14B8">
        <w:rPr>
          <w:rFonts w:asciiTheme="minorHAnsi" w:hAnsiTheme="minorHAnsi" w:cstheme="minorHAnsi"/>
        </w:rPr>
        <w:t xml:space="preserve">activities where it is not practical to attribute costs to a specific </w:t>
      </w:r>
      <w:r w:rsidR="00971D5C">
        <w:rPr>
          <w:rFonts w:asciiTheme="minorHAnsi" w:hAnsiTheme="minorHAnsi" w:cstheme="minorHAnsi"/>
        </w:rPr>
        <w:t>licence</w:t>
      </w:r>
      <w:r w:rsidR="003536A4">
        <w:rPr>
          <w:rFonts w:asciiTheme="minorHAnsi" w:hAnsiTheme="minorHAnsi" w:cstheme="minorHAnsi"/>
        </w:rPr>
        <w:t>, for example</w:t>
      </w:r>
      <w:r w:rsidR="005827AF" w:rsidRPr="00EB14B8">
        <w:rPr>
          <w:rFonts w:asciiTheme="minorHAnsi" w:hAnsiTheme="minorHAnsi" w:cstheme="minorHAnsi"/>
        </w:rPr>
        <w:t>,</w:t>
      </w:r>
      <w:r w:rsidR="009F2E81" w:rsidRPr="00EB14B8">
        <w:rPr>
          <w:rFonts w:asciiTheme="minorHAnsi" w:hAnsiTheme="minorHAnsi" w:cstheme="minorHAnsi"/>
        </w:rPr>
        <w:t xml:space="preserve"> </w:t>
      </w:r>
      <w:r w:rsidR="003536A4">
        <w:rPr>
          <w:rFonts w:asciiTheme="minorHAnsi" w:hAnsiTheme="minorHAnsi" w:cstheme="minorHAnsi"/>
        </w:rPr>
        <w:t xml:space="preserve">ongoing stakeholder engagement (including with prospective licence applicants), guidance material and legislative/policy support, licence </w:t>
      </w:r>
      <w:r w:rsidR="009F2E81" w:rsidRPr="00EB14B8">
        <w:rPr>
          <w:rFonts w:asciiTheme="minorHAnsi" w:hAnsiTheme="minorHAnsi" w:cstheme="minorHAnsi"/>
        </w:rPr>
        <w:t xml:space="preserve">compliance and </w:t>
      </w:r>
      <w:r w:rsidR="00971D5C">
        <w:rPr>
          <w:rFonts w:asciiTheme="minorHAnsi" w:hAnsiTheme="minorHAnsi" w:cstheme="minorHAnsi"/>
        </w:rPr>
        <w:t>monitoring, reporting</w:t>
      </w:r>
      <w:r w:rsidR="00D52500">
        <w:rPr>
          <w:rFonts w:asciiTheme="minorHAnsi" w:hAnsiTheme="minorHAnsi" w:cstheme="minorHAnsi"/>
        </w:rPr>
        <w:t>, cancellation</w:t>
      </w:r>
      <w:r w:rsidR="00472BA8">
        <w:rPr>
          <w:rFonts w:asciiTheme="minorHAnsi" w:hAnsiTheme="minorHAnsi" w:cstheme="minorHAnsi"/>
        </w:rPr>
        <w:t xml:space="preserve"> of licences</w:t>
      </w:r>
      <w:r w:rsidR="003536A4">
        <w:rPr>
          <w:rFonts w:asciiTheme="minorHAnsi" w:hAnsiTheme="minorHAnsi" w:cstheme="minorHAnsi"/>
        </w:rPr>
        <w:t xml:space="preserve"> and </w:t>
      </w:r>
      <w:r w:rsidR="00D52500">
        <w:rPr>
          <w:rFonts w:asciiTheme="minorHAnsi" w:hAnsiTheme="minorHAnsi" w:cstheme="minorHAnsi"/>
        </w:rPr>
        <w:t>protection of confidential information</w:t>
      </w:r>
      <w:r w:rsidR="009F2E81" w:rsidRPr="00EB14B8">
        <w:rPr>
          <w:rFonts w:asciiTheme="minorHAnsi" w:hAnsiTheme="minorHAnsi" w:cstheme="minorHAnsi"/>
        </w:rPr>
        <w:t>.</w:t>
      </w:r>
      <w:r w:rsidR="009F2E81">
        <w:rPr>
          <w:rFonts w:asciiTheme="minorHAnsi" w:hAnsiTheme="minorHAnsi" w:cstheme="minorHAnsi"/>
        </w:rPr>
        <w:t xml:space="preserve"> </w:t>
      </w:r>
    </w:p>
    <w:p w14:paraId="37D737BF" w14:textId="77777777" w:rsidR="009B1C8A" w:rsidRPr="00AF7CD6" w:rsidRDefault="009B1C8A" w:rsidP="00D212A5">
      <w:pPr>
        <w:rPr>
          <w:rFonts w:asciiTheme="minorHAnsi" w:hAnsiTheme="minorHAnsi" w:cstheme="minorHAnsi"/>
          <w:sz w:val="20"/>
          <w:szCs w:val="20"/>
        </w:rPr>
      </w:pPr>
    </w:p>
    <w:p w14:paraId="7F7FD42A" w14:textId="0973A4BE" w:rsidR="008617B0" w:rsidRDefault="008617B0" w:rsidP="008617B0">
      <w:pPr>
        <w:rPr>
          <w:rFonts w:asciiTheme="minorHAnsi" w:hAnsiTheme="minorHAnsi" w:cstheme="minorHAnsi"/>
        </w:rPr>
      </w:pPr>
      <w:r w:rsidRPr="002A67C7">
        <w:rPr>
          <w:rFonts w:asciiTheme="minorHAnsi" w:hAnsiTheme="minorHAnsi" w:cstheme="minorHAnsi"/>
        </w:rPr>
        <w:t xml:space="preserve">The annual </w:t>
      </w:r>
      <w:r w:rsidR="00BF0F80">
        <w:rPr>
          <w:rFonts w:asciiTheme="minorHAnsi" w:hAnsiTheme="minorHAnsi" w:cstheme="minorHAnsi"/>
        </w:rPr>
        <w:t xml:space="preserve">licence </w:t>
      </w:r>
      <w:r>
        <w:rPr>
          <w:rFonts w:asciiTheme="minorHAnsi" w:hAnsiTheme="minorHAnsi" w:cstheme="minorHAnsi"/>
        </w:rPr>
        <w:t>l</w:t>
      </w:r>
      <w:r w:rsidRPr="002A67C7">
        <w:rPr>
          <w:rFonts w:asciiTheme="minorHAnsi" w:hAnsiTheme="minorHAnsi" w:cstheme="minorHAnsi"/>
        </w:rPr>
        <w:t xml:space="preserve">evy </w:t>
      </w:r>
      <w:r w:rsidR="00AC75D6">
        <w:rPr>
          <w:rFonts w:asciiTheme="minorHAnsi" w:hAnsiTheme="minorHAnsi" w:cstheme="minorHAnsi"/>
        </w:rPr>
        <w:t>is forecast to make up around 40 per cent</w:t>
      </w:r>
      <w:r w:rsidRPr="002A67C7">
        <w:rPr>
          <w:rFonts w:asciiTheme="minorHAnsi" w:hAnsiTheme="minorHAnsi" w:cstheme="minorHAnsi"/>
        </w:rPr>
        <w:t xml:space="preserve"> of </w:t>
      </w:r>
      <w:r w:rsidR="002B7A21">
        <w:rPr>
          <w:rFonts w:asciiTheme="minorHAnsi" w:hAnsiTheme="minorHAnsi" w:cstheme="minorHAnsi"/>
        </w:rPr>
        <w:t>the Registrar</w:t>
      </w:r>
      <w:r w:rsidRPr="002A67C7">
        <w:rPr>
          <w:rFonts w:asciiTheme="minorHAnsi" w:hAnsiTheme="minorHAnsi" w:cstheme="minorHAnsi"/>
        </w:rPr>
        <w:t>’s revenue,</w:t>
      </w:r>
      <w:r w:rsidRPr="00EB14B8">
        <w:rPr>
          <w:rFonts w:asciiTheme="minorHAnsi" w:hAnsiTheme="minorHAnsi" w:cstheme="minorHAnsi"/>
        </w:rPr>
        <w:t xml:space="preserve"> providing </w:t>
      </w:r>
      <w:r w:rsidR="00CF781A">
        <w:rPr>
          <w:rFonts w:asciiTheme="minorHAnsi" w:hAnsiTheme="minorHAnsi" w:cstheme="minorHAnsi"/>
        </w:rPr>
        <w:br/>
      </w:r>
      <w:r w:rsidRPr="00EB14B8">
        <w:rPr>
          <w:rFonts w:asciiTheme="minorHAnsi" w:hAnsiTheme="minorHAnsi" w:cstheme="minorHAnsi"/>
        </w:rPr>
        <w:t xml:space="preserve">a stable revenue stream that is dependent upon the current number and type of </w:t>
      </w:r>
      <w:r w:rsidR="00AC75D6">
        <w:rPr>
          <w:rFonts w:asciiTheme="minorHAnsi" w:hAnsiTheme="minorHAnsi" w:cstheme="minorHAnsi"/>
        </w:rPr>
        <w:t>licences</w:t>
      </w:r>
      <w:r w:rsidRPr="00EB14B8">
        <w:rPr>
          <w:rFonts w:asciiTheme="minorHAnsi" w:hAnsiTheme="minorHAnsi" w:cstheme="minorHAnsi"/>
        </w:rPr>
        <w:t xml:space="preserve"> in force. </w:t>
      </w:r>
      <w:r w:rsidR="001016B2">
        <w:rPr>
          <w:rFonts w:asciiTheme="minorHAnsi" w:hAnsiTheme="minorHAnsi" w:cstheme="minorHAnsi"/>
        </w:rPr>
        <w:br/>
      </w:r>
      <w:r w:rsidR="00BF0F80">
        <w:rPr>
          <w:rFonts w:asciiTheme="minorHAnsi" w:hAnsiTheme="minorHAnsi" w:cstheme="minorHAnsi"/>
        </w:rPr>
        <w:t>Annual licence l</w:t>
      </w:r>
      <w:r>
        <w:rPr>
          <w:rFonts w:asciiTheme="minorHAnsi" w:hAnsiTheme="minorHAnsi" w:cstheme="minorHAnsi"/>
        </w:rPr>
        <w:t xml:space="preserve">evy revenue estimates are based on the </w:t>
      </w:r>
      <w:r w:rsidR="0038680C">
        <w:rPr>
          <w:rFonts w:asciiTheme="minorHAnsi" w:hAnsiTheme="minorHAnsi" w:cstheme="minorHAnsi"/>
        </w:rPr>
        <w:t xml:space="preserve">anticipated </w:t>
      </w:r>
      <w:r>
        <w:rPr>
          <w:rFonts w:asciiTheme="minorHAnsi" w:hAnsiTheme="minorHAnsi" w:cstheme="minorHAnsi"/>
        </w:rPr>
        <w:t xml:space="preserve">number of </w:t>
      </w:r>
      <w:r w:rsidR="00AC75D6">
        <w:rPr>
          <w:rFonts w:asciiTheme="minorHAnsi" w:hAnsiTheme="minorHAnsi" w:cstheme="minorHAnsi"/>
        </w:rPr>
        <w:t>licences</w:t>
      </w:r>
      <w:r>
        <w:rPr>
          <w:rFonts w:asciiTheme="minorHAnsi" w:hAnsiTheme="minorHAnsi" w:cstheme="minorHAnsi"/>
        </w:rPr>
        <w:t xml:space="preserve"> incorporating known upcoming activities</w:t>
      </w:r>
      <w:r w:rsidR="00AC75D6">
        <w:rPr>
          <w:rFonts w:asciiTheme="minorHAnsi" w:hAnsiTheme="minorHAnsi" w:cstheme="minorHAnsi"/>
        </w:rPr>
        <w:t>.</w:t>
      </w:r>
      <w:r w:rsidR="0038680C">
        <w:rPr>
          <w:rFonts w:asciiTheme="minorHAnsi" w:hAnsiTheme="minorHAnsi" w:cstheme="minorHAnsi"/>
        </w:rPr>
        <w:t xml:space="preserve"> It is difficult to predict the number of potential licences, noting that there are currently no active licences. </w:t>
      </w:r>
      <w:r>
        <w:rPr>
          <w:rFonts w:asciiTheme="minorHAnsi" w:hAnsiTheme="minorHAnsi" w:cstheme="minorHAnsi"/>
        </w:rPr>
        <w:t xml:space="preserve"> </w:t>
      </w:r>
      <w:r w:rsidR="00AF7463">
        <w:rPr>
          <w:rFonts w:asciiTheme="minorHAnsi" w:hAnsiTheme="minorHAnsi" w:cstheme="minorHAnsi"/>
        </w:rPr>
        <w:t>Furthermore, the number of licences granted</w:t>
      </w:r>
      <w:r w:rsidR="00D07C85">
        <w:rPr>
          <w:rFonts w:asciiTheme="minorHAnsi" w:hAnsiTheme="minorHAnsi" w:cstheme="minorHAnsi"/>
        </w:rPr>
        <w:t xml:space="preserve"> may be less than the number of applications received</w:t>
      </w:r>
      <w:r w:rsidR="00AF7463">
        <w:rPr>
          <w:rFonts w:asciiTheme="minorHAnsi" w:hAnsiTheme="minorHAnsi" w:cstheme="minorHAnsi"/>
        </w:rPr>
        <w:t xml:space="preserve"> due to the competitive nature of the licensing regime. </w:t>
      </w:r>
    </w:p>
    <w:p w14:paraId="5F2DEA3B" w14:textId="77777777" w:rsidR="008617B0" w:rsidRPr="00AF7CD6" w:rsidRDefault="008617B0" w:rsidP="005B374E">
      <w:pPr>
        <w:pStyle w:val="CommentText"/>
        <w:rPr>
          <w:rFonts w:asciiTheme="minorHAnsi" w:hAnsiTheme="minorHAnsi" w:cstheme="minorHAnsi"/>
          <w:iCs/>
          <w:lang w:val="en-US"/>
        </w:rPr>
      </w:pPr>
    </w:p>
    <w:p w14:paraId="5393F4E1" w14:textId="436C18F3" w:rsidR="005B374E" w:rsidRDefault="005B374E" w:rsidP="005B374E">
      <w:pPr>
        <w:pStyle w:val="CommentText"/>
        <w:rPr>
          <w:rFonts w:asciiTheme="minorHAnsi" w:hAnsiTheme="minorHAnsi" w:cstheme="minorHAnsi"/>
          <w:iCs/>
          <w:sz w:val="24"/>
          <w:szCs w:val="24"/>
          <w:lang w:val="en-US"/>
        </w:rPr>
      </w:pPr>
      <w:r w:rsidRPr="009B0DBC">
        <w:rPr>
          <w:rFonts w:asciiTheme="minorHAnsi" w:hAnsiTheme="minorHAnsi" w:cstheme="minorHAnsi"/>
          <w:iCs/>
          <w:sz w:val="24"/>
          <w:szCs w:val="24"/>
          <w:lang w:val="en-US"/>
        </w:rPr>
        <w:t xml:space="preserve">The structure for the annual </w:t>
      </w:r>
      <w:r w:rsidR="00BF0F80">
        <w:rPr>
          <w:rFonts w:asciiTheme="minorHAnsi" w:hAnsiTheme="minorHAnsi" w:cstheme="minorHAnsi"/>
          <w:iCs/>
          <w:sz w:val="24"/>
          <w:szCs w:val="24"/>
          <w:lang w:val="en-US"/>
        </w:rPr>
        <w:t xml:space="preserve">licence </w:t>
      </w:r>
      <w:r w:rsidR="00EE41CD">
        <w:rPr>
          <w:rFonts w:asciiTheme="minorHAnsi" w:hAnsiTheme="minorHAnsi" w:cstheme="minorHAnsi"/>
          <w:iCs/>
          <w:sz w:val="24"/>
          <w:szCs w:val="24"/>
          <w:lang w:val="en-US"/>
        </w:rPr>
        <w:t>l</w:t>
      </w:r>
      <w:r w:rsidRPr="009B0DBC">
        <w:rPr>
          <w:rFonts w:asciiTheme="minorHAnsi" w:hAnsiTheme="minorHAnsi" w:cstheme="minorHAnsi"/>
          <w:iCs/>
          <w:sz w:val="24"/>
          <w:szCs w:val="24"/>
          <w:lang w:val="en-US"/>
        </w:rPr>
        <w:t>evy</w:t>
      </w:r>
      <w:r w:rsidR="00A93EF8">
        <w:rPr>
          <w:rFonts w:asciiTheme="minorHAnsi" w:hAnsiTheme="minorHAnsi" w:cstheme="minorHAnsi"/>
          <w:iCs/>
          <w:sz w:val="24"/>
          <w:szCs w:val="24"/>
          <w:lang w:val="en-US"/>
        </w:rPr>
        <w:t xml:space="preserve"> (</w:t>
      </w:r>
      <w:r w:rsidR="00A93EF8" w:rsidRPr="00A93EF8">
        <w:rPr>
          <w:rFonts w:asciiTheme="minorHAnsi" w:hAnsiTheme="minorHAnsi" w:cstheme="minorHAnsi"/>
          <w:b/>
          <w:bCs/>
          <w:iCs/>
          <w:sz w:val="24"/>
          <w:szCs w:val="24"/>
          <w:lang w:val="en-US"/>
        </w:rPr>
        <w:t>Table 4</w:t>
      </w:r>
      <w:r w:rsidR="00A93EF8">
        <w:rPr>
          <w:rFonts w:asciiTheme="minorHAnsi" w:hAnsiTheme="minorHAnsi" w:cstheme="minorHAnsi"/>
          <w:iCs/>
          <w:sz w:val="24"/>
          <w:szCs w:val="24"/>
          <w:lang w:val="en-US"/>
        </w:rPr>
        <w:t>)</w:t>
      </w:r>
      <w:r w:rsidRPr="009B0DBC">
        <w:rPr>
          <w:rFonts w:asciiTheme="minorHAnsi" w:hAnsiTheme="minorHAnsi" w:cstheme="minorHAnsi"/>
          <w:iCs/>
          <w:sz w:val="24"/>
          <w:szCs w:val="24"/>
          <w:lang w:val="en-US"/>
        </w:rPr>
        <w:t xml:space="preserve"> is relatively easy to calculate, involving</w:t>
      </w:r>
      <w:r>
        <w:rPr>
          <w:rFonts w:asciiTheme="minorHAnsi" w:hAnsiTheme="minorHAnsi" w:cstheme="minorHAnsi"/>
          <w:iCs/>
          <w:sz w:val="24"/>
          <w:szCs w:val="24"/>
          <w:lang w:val="en-US"/>
        </w:rPr>
        <w:t xml:space="preserve"> a:</w:t>
      </w:r>
      <w:r w:rsidRPr="009B0DBC">
        <w:rPr>
          <w:rFonts w:asciiTheme="minorHAnsi" w:hAnsiTheme="minorHAnsi" w:cstheme="minorHAnsi"/>
          <w:iCs/>
          <w:sz w:val="24"/>
          <w:szCs w:val="24"/>
          <w:lang w:val="en-US"/>
        </w:rPr>
        <w:t xml:space="preserve"> </w:t>
      </w:r>
    </w:p>
    <w:p w14:paraId="6E264B61" w14:textId="785446BC" w:rsidR="005B374E" w:rsidRDefault="005B374E" w:rsidP="00A174D5">
      <w:pPr>
        <w:pStyle w:val="ListParagraph"/>
        <w:numPr>
          <w:ilvl w:val="0"/>
          <w:numId w:val="5"/>
        </w:numPr>
        <w:contextualSpacing w:val="0"/>
        <w:rPr>
          <w:rFonts w:asciiTheme="minorHAnsi" w:hAnsiTheme="minorHAnsi" w:cstheme="minorHAnsi"/>
          <w:iCs/>
          <w:lang w:val="en-US"/>
        </w:rPr>
      </w:pPr>
      <w:r w:rsidRPr="009B0DBC">
        <w:rPr>
          <w:rFonts w:asciiTheme="minorHAnsi" w:hAnsiTheme="minorHAnsi" w:cstheme="minorHAnsi"/>
          <w:iCs/>
          <w:lang w:val="en-US"/>
        </w:rPr>
        <w:t xml:space="preserve">fixed </w:t>
      </w:r>
      <w:r w:rsidR="00960E6C">
        <w:rPr>
          <w:rFonts w:asciiTheme="minorHAnsi" w:hAnsiTheme="minorHAnsi" w:cstheme="minorHAnsi"/>
          <w:iCs/>
          <w:lang w:val="en-US"/>
        </w:rPr>
        <w:t xml:space="preserve">base </w:t>
      </w:r>
      <w:r w:rsidRPr="009B0DBC">
        <w:rPr>
          <w:rFonts w:asciiTheme="minorHAnsi" w:hAnsiTheme="minorHAnsi" w:cstheme="minorHAnsi"/>
          <w:iCs/>
          <w:lang w:val="en-US"/>
        </w:rPr>
        <w:t xml:space="preserve">rate per </w:t>
      </w:r>
      <w:r w:rsidR="00960E6C">
        <w:rPr>
          <w:rFonts w:asciiTheme="minorHAnsi" w:hAnsiTheme="minorHAnsi" w:cstheme="minorHAnsi"/>
          <w:iCs/>
          <w:lang w:val="en-US"/>
        </w:rPr>
        <w:t>licence</w:t>
      </w:r>
      <w:r w:rsidRPr="009B0DBC">
        <w:rPr>
          <w:rFonts w:asciiTheme="minorHAnsi" w:hAnsiTheme="minorHAnsi" w:cstheme="minorHAnsi"/>
          <w:iCs/>
          <w:lang w:val="en-US"/>
        </w:rPr>
        <w:t xml:space="preserve"> for </w:t>
      </w:r>
      <w:r w:rsidR="00960E6C">
        <w:rPr>
          <w:rFonts w:asciiTheme="minorHAnsi" w:hAnsiTheme="minorHAnsi" w:cstheme="minorHAnsi"/>
          <w:iCs/>
          <w:lang w:val="en-US"/>
        </w:rPr>
        <w:t xml:space="preserve">feasibility licence, commercial licence and research and demonstration licence </w:t>
      </w:r>
      <w:r w:rsidR="00BE7240">
        <w:rPr>
          <w:rFonts w:asciiTheme="minorHAnsi" w:hAnsiTheme="minorHAnsi" w:cstheme="minorHAnsi"/>
          <w:iCs/>
          <w:lang w:val="en-US"/>
        </w:rPr>
        <w:t>plus</w:t>
      </w:r>
      <w:r w:rsidR="00960E6C">
        <w:rPr>
          <w:rFonts w:asciiTheme="minorHAnsi" w:hAnsiTheme="minorHAnsi" w:cstheme="minorHAnsi"/>
          <w:iCs/>
          <w:lang w:val="en-US"/>
        </w:rPr>
        <w:t xml:space="preserve"> an additional levy on a per square kilometer basis above the base </w:t>
      </w:r>
      <w:r w:rsidR="00BE7240">
        <w:rPr>
          <w:rFonts w:asciiTheme="minorHAnsi" w:hAnsiTheme="minorHAnsi" w:cstheme="minorHAnsi"/>
          <w:iCs/>
          <w:lang w:val="en-US"/>
        </w:rPr>
        <w:t>area</w:t>
      </w:r>
      <w:r w:rsidR="00960E6C">
        <w:rPr>
          <w:rFonts w:asciiTheme="minorHAnsi" w:hAnsiTheme="minorHAnsi" w:cstheme="minorHAnsi"/>
          <w:iCs/>
          <w:lang w:val="en-US"/>
        </w:rPr>
        <w:t>;</w:t>
      </w:r>
      <w:r w:rsidRPr="009B0DBC">
        <w:rPr>
          <w:rFonts w:asciiTheme="minorHAnsi" w:hAnsiTheme="minorHAnsi" w:cstheme="minorHAnsi"/>
          <w:iCs/>
          <w:lang w:val="en-US"/>
        </w:rPr>
        <w:t xml:space="preserve"> </w:t>
      </w:r>
    </w:p>
    <w:p w14:paraId="03B51C53" w14:textId="73EA52C6" w:rsidR="00960E6C" w:rsidRPr="00960E6C" w:rsidRDefault="005B374E" w:rsidP="00960E6C">
      <w:pPr>
        <w:pStyle w:val="ListParagraph"/>
        <w:numPr>
          <w:ilvl w:val="0"/>
          <w:numId w:val="5"/>
        </w:numPr>
        <w:contextualSpacing w:val="0"/>
        <w:rPr>
          <w:rFonts w:asciiTheme="minorHAnsi" w:hAnsiTheme="minorHAnsi" w:cstheme="minorHAnsi"/>
          <w:iCs/>
          <w:lang w:val="en-US"/>
        </w:rPr>
      </w:pPr>
      <w:r w:rsidRPr="009B0DBC">
        <w:rPr>
          <w:rFonts w:asciiTheme="minorHAnsi" w:hAnsiTheme="minorHAnsi" w:cstheme="minorHAnsi"/>
          <w:iCs/>
          <w:lang w:val="en-US"/>
        </w:rPr>
        <w:t xml:space="preserve">fixed </w:t>
      </w:r>
      <w:r w:rsidR="00960E6C">
        <w:rPr>
          <w:rFonts w:asciiTheme="minorHAnsi" w:hAnsiTheme="minorHAnsi" w:cstheme="minorHAnsi"/>
          <w:iCs/>
          <w:lang w:val="en-US"/>
        </w:rPr>
        <w:t xml:space="preserve">flat </w:t>
      </w:r>
      <w:r w:rsidRPr="009B0DBC">
        <w:rPr>
          <w:rFonts w:asciiTheme="minorHAnsi" w:hAnsiTheme="minorHAnsi" w:cstheme="minorHAnsi"/>
          <w:iCs/>
          <w:lang w:val="en-US"/>
        </w:rPr>
        <w:t xml:space="preserve">rate for a </w:t>
      </w:r>
      <w:r w:rsidR="00960E6C">
        <w:rPr>
          <w:rFonts w:asciiTheme="minorHAnsi" w:hAnsiTheme="minorHAnsi" w:cstheme="minorHAnsi"/>
          <w:iCs/>
          <w:lang w:val="en-US"/>
        </w:rPr>
        <w:t>transmission and infrastructure</w:t>
      </w:r>
      <w:r w:rsidRPr="009B0DBC">
        <w:rPr>
          <w:rFonts w:asciiTheme="minorHAnsi" w:hAnsiTheme="minorHAnsi" w:cstheme="minorHAnsi"/>
          <w:iCs/>
          <w:lang w:val="en-US"/>
        </w:rPr>
        <w:t xml:space="preserve"> </w:t>
      </w:r>
      <w:r>
        <w:rPr>
          <w:rFonts w:asciiTheme="minorHAnsi" w:hAnsiTheme="minorHAnsi" w:cstheme="minorHAnsi"/>
          <w:iCs/>
          <w:lang w:val="en-US"/>
        </w:rPr>
        <w:t>l</w:t>
      </w:r>
      <w:r w:rsidRPr="009B0DBC">
        <w:rPr>
          <w:rFonts w:asciiTheme="minorHAnsi" w:hAnsiTheme="minorHAnsi" w:cstheme="minorHAnsi"/>
          <w:iCs/>
          <w:lang w:val="en-US"/>
        </w:rPr>
        <w:t>icence</w:t>
      </w:r>
      <w:r w:rsidR="00410972">
        <w:rPr>
          <w:rFonts w:asciiTheme="minorHAnsi" w:hAnsiTheme="minorHAnsi" w:cstheme="minorHAnsi"/>
          <w:iCs/>
          <w:lang w:val="en-US"/>
        </w:rPr>
        <w:t>, as effort is not affected by the area</w:t>
      </w:r>
      <w:r w:rsidR="00960E6C">
        <w:rPr>
          <w:rFonts w:asciiTheme="minorHAnsi" w:hAnsiTheme="minorHAnsi" w:cstheme="minorHAnsi"/>
          <w:iCs/>
          <w:lang w:val="en-US"/>
        </w:rPr>
        <w:t>.</w:t>
      </w:r>
    </w:p>
    <w:p w14:paraId="17F10B44" w14:textId="77777777" w:rsidR="000C55CF" w:rsidRPr="002A67C7" w:rsidRDefault="000C55CF" w:rsidP="000C55CF">
      <w:pPr>
        <w:rPr>
          <w:rFonts w:asciiTheme="minorHAnsi" w:hAnsiTheme="minorHAnsi" w:cstheme="minorHAnsi"/>
        </w:rPr>
      </w:pPr>
    </w:p>
    <w:bookmarkEnd w:id="25"/>
    <w:p w14:paraId="794938F5" w14:textId="2B4AF412" w:rsidR="00960E6C" w:rsidRPr="009C13BE" w:rsidRDefault="009C13BE" w:rsidP="00D212A5">
      <w:pPr>
        <w:rPr>
          <w:rFonts w:asciiTheme="minorHAnsi" w:hAnsiTheme="minorHAnsi" w:cstheme="minorHAnsi"/>
        </w:rPr>
      </w:pPr>
      <w:r w:rsidRPr="009C13BE">
        <w:rPr>
          <w:rFonts w:asciiTheme="minorHAnsi" w:hAnsiTheme="minorHAnsi" w:cstheme="minorHAnsi"/>
        </w:rPr>
        <w:t>Consistent with the principles of the CRGs, annual licence levy amounts have been designed to encourage development in an efficient manner to encourage proponents to focus their area of activities by increasing the annual licence levy on a per square kilometre basis above a minimum area size. The application of a staggered annual licence levy for feasibility licence, commercial licence and research and demonstration licence also reflects the increased cost of administration for larger licence/project areas. This is consistent with the approach applied to other offshore industries. Under the framework there is a requirement for licence holders to continue to meet the merit criteria and commence activities within a reasonable time. Therefore, it is expected the amount of effort required to monitor and manage the ongoing compliance requirements, particularly the use of the complete licence area will increase with the size of the licence. The variable component intends to make sure the costs are split proportional to effort.</w:t>
      </w:r>
    </w:p>
    <w:p w14:paraId="75821939" w14:textId="77777777" w:rsidR="009C13BE" w:rsidRPr="00AF7CD6" w:rsidRDefault="009C13BE" w:rsidP="00D212A5">
      <w:pPr>
        <w:rPr>
          <w:rFonts w:asciiTheme="minorHAnsi" w:hAnsiTheme="minorHAnsi" w:cstheme="minorHAnsi"/>
          <w:sz w:val="20"/>
          <w:szCs w:val="20"/>
        </w:rPr>
      </w:pPr>
    </w:p>
    <w:p w14:paraId="42F2EAED" w14:textId="6FB9BE1F" w:rsidR="00756CEA" w:rsidRDefault="00AC75D6" w:rsidP="00D212A5">
      <w:pPr>
        <w:rPr>
          <w:rFonts w:asciiTheme="minorHAnsi" w:hAnsiTheme="minorHAnsi" w:cstheme="minorHAnsi"/>
        </w:rPr>
      </w:pPr>
      <w:r>
        <w:rPr>
          <w:rFonts w:asciiTheme="minorHAnsi" w:hAnsiTheme="minorHAnsi" w:cstheme="minorHAnsi"/>
        </w:rPr>
        <w:t>I</w:t>
      </w:r>
      <w:r w:rsidR="005F460F">
        <w:rPr>
          <w:rFonts w:asciiTheme="minorHAnsi" w:hAnsiTheme="minorHAnsi" w:cstheme="minorHAnsi"/>
        </w:rPr>
        <w:t xml:space="preserve">t is </w:t>
      </w:r>
      <w:r w:rsidR="00E66C54">
        <w:rPr>
          <w:rFonts w:asciiTheme="minorHAnsi" w:hAnsiTheme="minorHAnsi" w:cstheme="minorHAnsi"/>
        </w:rPr>
        <w:t>the Registrar’s v</w:t>
      </w:r>
      <w:r w:rsidR="005F460F">
        <w:rPr>
          <w:rFonts w:asciiTheme="minorHAnsi" w:hAnsiTheme="minorHAnsi" w:cstheme="minorHAnsi"/>
        </w:rPr>
        <w:t xml:space="preserve">iew that the </w:t>
      </w:r>
      <w:r w:rsidR="00BF0F80">
        <w:rPr>
          <w:rFonts w:asciiTheme="minorHAnsi" w:hAnsiTheme="minorHAnsi" w:cstheme="minorHAnsi"/>
        </w:rPr>
        <w:t xml:space="preserve">annual licence </w:t>
      </w:r>
      <w:r w:rsidR="006E33C9">
        <w:rPr>
          <w:rFonts w:asciiTheme="minorHAnsi" w:hAnsiTheme="minorHAnsi" w:cstheme="minorHAnsi"/>
        </w:rPr>
        <w:t xml:space="preserve">levy </w:t>
      </w:r>
      <w:r w:rsidR="005F460F">
        <w:rPr>
          <w:rFonts w:asciiTheme="minorHAnsi" w:hAnsiTheme="minorHAnsi" w:cstheme="minorHAnsi"/>
        </w:rPr>
        <w:t>structure is proportionate to the administrative complexity of the</w:t>
      </w:r>
      <w:r w:rsidR="006E33C9">
        <w:rPr>
          <w:rFonts w:asciiTheme="minorHAnsi" w:hAnsiTheme="minorHAnsi" w:cstheme="minorHAnsi"/>
        </w:rPr>
        <w:t xml:space="preserve"> </w:t>
      </w:r>
      <w:r>
        <w:rPr>
          <w:rFonts w:asciiTheme="minorHAnsi" w:hAnsiTheme="minorHAnsi" w:cstheme="minorHAnsi"/>
        </w:rPr>
        <w:t>licence scheme</w:t>
      </w:r>
      <w:r w:rsidR="005E24F2">
        <w:rPr>
          <w:rFonts w:asciiTheme="minorHAnsi" w:hAnsiTheme="minorHAnsi" w:cstheme="minorHAnsi"/>
        </w:rPr>
        <w:t xml:space="preserve"> and any over/under recovery across levy categories is reasonable</w:t>
      </w:r>
      <w:r w:rsidR="005F460F">
        <w:rPr>
          <w:rFonts w:asciiTheme="minorHAnsi" w:hAnsiTheme="minorHAnsi" w:cstheme="minorHAnsi"/>
        </w:rPr>
        <w:t>.</w:t>
      </w:r>
      <w:r w:rsidR="006E33C9">
        <w:rPr>
          <w:rFonts w:asciiTheme="minorHAnsi" w:hAnsiTheme="minorHAnsi" w:cstheme="minorHAnsi"/>
        </w:rPr>
        <w:t xml:space="preserve"> </w:t>
      </w:r>
    </w:p>
    <w:p w14:paraId="33CF7427" w14:textId="77777777" w:rsidR="00D212A5" w:rsidRPr="002A67C7" w:rsidRDefault="00D212A5" w:rsidP="00D212A5">
      <w:pPr>
        <w:rPr>
          <w:rFonts w:asciiTheme="minorHAnsi" w:hAnsiTheme="minorHAnsi" w:cstheme="minorHAnsi"/>
        </w:rPr>
      </w:pPr>
    </w:p>
    <w:p w14:paraId="25885156" w14:textId="77777777" w:rsidR="009C13BE" w:rsidRDefault="009C13BE">
      <w:pPr>
        <w:spacing w:after="200" w:line="276" w:lineRule="auto"/>
        <w:rPr>
          <w:rFonts w:asciiTheme="minorHAnsi" w:hAnsiTheme="minorHAnsi" w:cstheme="minorHAnsi"/>
          <w:b/>
          <w:bCs/>
        </w:rPr>
      </w:pPr>
      <w:r>
        <w:rPr>
          <w:rFonts w:asciiTheme="minorHAnsi" w:hAnsiTheme="minorHAnsi" w:cstheme="minorHAnsi"/>
          <w:b/>
          <w:bCs/>
        </w:rPr>
        <w:br w:type="page"/>
      </w:r>
    </w:p>
    <w:p w14:paraId="014EA82F" w14:textId="2400A552" w:rsidR="00D538E0" w:rsidRPr="00C55966" w:rsidRDefault="00D212A5" w:rsidP="00D212A5">
      <w:pPr>
        <w:rPr>
          <w:rFonts w:asciiTheme="minorHAnsi" w:hAnsiTheme="minorHAnsi" w:cstheme="minorHAnsi"/>
        </w:rPr>
      </w:pPr>
      <w:r w:rsidRPr="00756CEA">
        <w:rPr>
          <w:rFonts w:asciiTheme="minorHAnsi" w:hAnsiTheme="minorHAnsi" w:cstheme="minorHAnsi"/>
          <w:b/>
          <w:bCs/>
        </w:rPr>
        <w:lastRenderedPageBreak/>
        <w:t xml:space="preserve">Table </w:t>
      </w:r>
      <w:r w:rsidR="00366340" w:rsidRPr="00756CEA">
        <w:rPr>
          <w:rFonts w:asciiTheme="minorHAnsi" w:hAnsiTheme="minorHAnsi" w:cstheme="minorHAnsi"/>
          <w:b/>
          <w:bCs/>
        </w:rPr>
        <w:t>4</w:t>
      </w:r>
      <w:r w:rsidRPr="00756CEA">
        <w:rPr>
          <w:rFonts w:asciiTheme="minorHAnsi" w:hAnsiTheme="minorHAnsi" w:cstheme="minorHAnsi"/>
          <w:b/>
          <w:bCs/>
        </w:rPr>
        <w:t>:</w:t>
      </w:r>
      <w:r w:rsidRPr="00366340">
        <w:rPr>
          <w:rFonts w:asciiTheme="minorHAnsi" w:hAnsiTheme="minorHAnsi" w:cstheme="minorHAnsi"/>
        </w:rPr>
        <w:t xml:space="preserve"> Annual </w:t>
      </w:r>
      <w:r w:rsidR="00AC75D6">
        <w:rPr>
          <w:rFonts w:asciiTheme="minorHAnsi" w:hAnsiTheme="minorHAnsi" w:cstheme="minorHAnsi"/>
        </w:rPr>
        <w:t>licence levy</w:t>
      </w:r>
      <w:r w:rsidRPr="00366340">
        <w:rPr>
          <w:rFonts w:asciiTheme="minorHAnsi" w:hAnsiTheme="minorHAnsi" w:cstheme="minorHAnsi"/>
        </w:rPr>
        <w:t xml:space="preserve"> revenue estimate</w:t>
      </w:r>
      <w:r w:rsidR="00F70704">
        <w:rPr>
          <w:rFonts w:asciiTheme="minorHAnsi" w:hAnsiTheme="minorHAnsi" w:cstheme="minorHAnsi"/>
        </w:rPr>
        <w:t>s</w:t>
      </w:r>
      <w:r w:rsidRPr="00366340">
        <w:rPr>
          <w:rFonts w:asciiTheme="minorHAnsi" w:hAnsiTheme="minorHAnsi" w:cstheme="minorHAnsi"/>
        </w:rPr>
        <w:t xml:space="preserve"> </w:t>
      </w:r>
      <w:r w:rsidR="00465868">
        <w:rPr>
          <w:rFonts w:ascii="Calibri" w:hAnsi="Calibri" w:cs="Calibri"/>
          <w:color w:val="000000"/>
        </w:rPr>
        <w:t>for 2022-23 to 2024-25</w:t>
      </w:r>
      <w:r w:rsidR="00777ACE" w:rsidRPr="00777ACE">
        <w:rPr>
          <w:rFonts w:ascii="Calibri" w:hAnsi="Calibri" w:cs="Calibri"/>
          <w:color w:val="000000"/>
          <w:vertAlign w:val="superscript"/>
        </w:rPr>
        <w:t>#</w:t>
      </w:r>
    </w:p>
    <w:p w14:paraId="1394FF85" w14:textId="0D5BE8A2" w:rsidR="00D538E0" w:rsidRDefault="00BF4DE3" w:rsidP="00D212A5">
      <w:pPr>
        <w:rPr>
          <w:rFonts w:asciiTheme="minorHAnsi" w:hAnsiTheme="minorHAnsi" w:cstheme="minorHAnsi"/>
        </w:rPr>
      </w:pPr>
      <w:r>
        <w:rPr>
          <w:noProof/>
          <w:lang w:eastAsia="en-AU"/>
        </w:rPr>
        <w:drawing>
          <wp:inline distT="0" distB="0" distL="0" distR="0" wp14:anchorId="19F85536" wp14:editId="7906E95E">
            <wp:extent cx="6562725" cy="1978660"/>
            <wp:effectExtent l="0" t="0" r="9525" b="2540"/>
            <wp:docPr id="9" name="Picture 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10;&#10;Description automatically generated with medium confidence"/>
                    <pic:cNvPicPr/>
                  </pic:nvPicPr>
                  <pic:blipFill>
                    <a:blip r:embed="rId21"/>
                    <a:stretch>
                      <a:fillRect/>
                    </a:stretch>
                  </pic:blipFill>
                  <pic:spPr>
                    <a:xfrm>
                      <a:off x="0" y="0"/>
                      <a:ext cx="6562725" cy="1978660"/>
                    </a:xfrm>
                    <a:prstGeom prst="rect">
                      <a:avLst/>
                    </a:prstGeom>
                  </pic:spPr>
                </pic:pic>
              </a:graphicData>
            </a:graphic>
          </wp:inline>
        </w:drawing>
      </w:r>
    </w:p>
    <w:p w14:paraId="47D30BC9" w14:textId="77718868" w:rsidR="00777ACE" w:rsidRDefault="00777ACE" w:rsidP="00D212A5">
      <w:pPr>
        <w:rPr>
          <w:sz w:val="16"/>
          <w:szCs w:val="16"/>
        </w:rPr>
      </w:pPr>
      <w:r>
        <w:rPr>
          <w:sz w:val="16"/>
          <w:szCs w:val="16"/>
        </w:rPr>
        <w:t># T</w:t>
      </w:r>
      <w:r w:rsidRPr="00777ACE">
        <w:rPr>
          <w:sz w:val="16"/>
          <w:szCs w:val="16"/>
        </w:rPr>
        <w:t xml:space="preserve">he Estimated Total No. of </w:t>
      </w:r>
      <w:r>
        <w:rPr>
          <w:sz w:val="16"/>
          <w:szCs w:val="16"/>
        </w:rPr>
        <w:t>l</w:t>
      </w:r>
      <w:r w:rsidRPr="00777ACE">
        <w:rPr>
          <w:sz w:val="16"/>
          <w:szCs w:val="16"/>
        </w:rPr>
        <w:t>icences is not a limit, and is an estimate only based on DISER understanding of likely interest at end 2021 to be tested during consultation</w:t>
      </w:r>
      <w:r>
        <w:rPr>
          <w:sz w:val="16"/>
          <w:szCs w:val="16"/>
        </w:rPr>
        <w:t>.</w:t>
      </w:r>
    </w:p>
    <w:p w14:paraId="4B5BD0C1" w14:textId="05EA9B40" w:rsidR="00D212A5" w:rsidRPr="00902AA6" w:rsidRDefault="00D212A5" w:rsidP="00902AA6">
      <w:pPr>
        <w:pStyle w:val="Heading3"/>
      </w:pPr>
      <w:bookmarkStart w:id="26" w:name="_Toc98772165"/>
      <w:r w:rsidRPr="00902AA6">
        <w:t>Cost recovery fees</w:t>
      </w:r>
      <w:r w:rsidR="0033665D">
        <w:t xml:space="preserve"> – </w:t>
      </w:r>
      <w:r w:rsidR="00B14942">
        <w:t>Registrar</w:t>
      </w:r>
      <w:bookmarkEnd w:id="26"/>
    </w:p>
    <w:p w14:paraId="1C645C19" w14:textId="724D91F3" w:rsidR="00D212A5" w:rsidRDefault="005A721C" w:rsidP="00D212A5">
      <w:pPr>
        <w:rPr>
          <w:rFonts w:asciiTheme="minorHAnsi" w:hAnsiTheme="minorHAnsi" w:cstheme="minorHAnsi"/>
          <w:iCs/>
          <w:lang w:val="en-US"/>
        </w:rPr>
      </w:pPr>
      <w:r>
        <w:rPr>
          <w:rFonts w:asciiTheme="minorHAnsi" w:hAnsiTheme="minorHAnsi" w:cstheme="minorHAnsi"/>
          <w:iCs/>
          <w:lang w:val="en-US"/>
        </w:rPr>
        <w:t>Licence and licence</w:t>
      </w:r>
      <w:r w:rsidR="00834944">
        <w:rPr>
          <w:rFonts w:asciiTheme="minorHAnsi" w:hAnsiTheme="minorHAnsi" w:cstheme="minorHAnsi"/>
          <w:iCs/>
          <w:lang w:val="en-US"/>
        </w:rPr>
        <w:t>-</w:t>
      </w:r>
      <w:r>
        <w:rPr>
          <w:rFonts w:asciiTheme="minorHAnsi" w:hAnsiTheme="minorHAnsi" w:cstheme="minorHAnsi"/>
          <w:iCs/>
          <w:lang w:val="en-US"/>
        </w:rPr>
        <w:t>related a</w:t>
      </w:r>
      <w:r w:rsidR="00D212A5" w:rsidRPr="002A67C7">
        <w:rPr>
          <w:rFonts w:asciiTheme="minorHAnsi" w:hAnsiTheme="minorHAnsi" w:cstheme="minorHAnsi"/>
          <w:iCs/>
          <w:lang w:val="en-US"/>
        </w:rPr>
        <w:t xml:space="preserve">pplication fees are payable in accordance with the </w:t>
      </w:r>
      <w:r w:rsidR="00D212A5" w:rsidRPr="002A67C7">
        <w:rPr>
          <w:rFonts w:asciiTheme="minorHAnsi" w:hAnsiTheme="minorHAnsi" w:cstheme="minorHAnsi"/>
          <w:i/>
        </w:rPr>
        <w:t xml:space="preserve">Offshore </w:t>
      </w:r>
      <w:r w:rsidR="00A73C41">
        <w:rPr>
          <w:rFonts w:asciiTheme="minorHAnsi" w:hAnsiTheme="minorHAnsi" w:cstheme="minorHAnsi"/>
          <w:i/>
        </w:rPr>
        <w:t>Electricity Infrastructure</w:t>
      </w:r>
      <w:r w:rsidR="00D212A5" w:rsidRPr="002A67C7">
        <w:rPr>
          <w:rFonts w:asciiTheme="minorHAnsi" w:hAnsiTheme="minorHAnsi" w:cstheme="minorHAnsi"/>
          <w:i/>
        </w:rPr>
        <w:t xml:space="preserve"> Regulations 20</w:t>
      </w:r>
      <w:r w:rsidR="00A73C41">
        <w:rPr>
          <w:rFonts w:asciiTheme="minorHAnsi" w:hAnsiTheme="minorHAnsi" w:cstheme="minorHAnsi"/>
          <w:i/>
        </w:rPr>
        <w:t>22</w:t>
      </w:r>
      <w:r w:rsidR="00D212A5" w:rsidRPr="002A67C7">
        <w:rPr>
          <w:rFonts w:asciiTheme="minorHAnsi" w:hAnsiTheme="minorHAnsi" w:cstheme="minorHAnsi"/>
          <w:i/>
        </w:rPr>
        <w:t xml:space="preserve"> </w:t>
      </w:r>
      <w:r w:rsidR="00D212A5" w:rsidRPr="002A67C7">
        <w:rPr>
          <w:rFonts w:asciiTheme="minorHAnsi" w:hAnsiTheme="minorHAnsi" w:cstheme="minorHAnsi"/>
        </w:rPr>
        <w:t>at</w:t>
      </w:r>
      <w:r w:rsidR="00D212A5" w:rsidRPr="002A67C7">
        <w:rPr>
          <w:rFonts w:asciiTheme="minorHAnsi" w:hAnsiTheme="minorHAnsi" w:cstheme="minorHAnsi"/>
          <w:iCs/>
          <w:lang w:val="en-US"/>
        </w:rPr>
        <w:t xml:space="preserve"> the time that an application is submitted</w:t>
      </w:r>
      <w:r>
        <w:rPr>
          <w:rFonts w:asciiTheme="minorHAnsi" w:hAnsiTheme="minorHAnsi" w:cstheme="minorHAnsi"/>
          <w:iCs/>
          <w:lang w:val="en-US"/>
        </w:rPr>
        <w:t xml:space="preserve"> to the Registrar</w:t>
      </w:r>
      <w:r w:rsidR="00D212A5" w:rsidRPr="002A67C7">
        <w:rPr>
          <w:rFonts w:asciiTheme="minorHAnsi" w:hAnsiTheme="minorHAnsi" w:cstheme="minorHAnsi"/>
          <w:iCs/>
          <w:lang w:val="en-US"/>
        </w:rPr>
        <w:t>.</w:t>
      </w:r>
      <w:r>
        <w:rPr>
          <w:rFonts w:asciiTheme="minorHAnsi" w:hAnsiTheme="minorHAnsi" w:cstheme="minorHAnsi"/>
          <w:iCs/>
          <w:lang w:val="en-US"/>
        </w:rPr>
        <w:t xml:space="preserve"> </w:t>
      </w:r>
      <w:r w:rsidR="00D212A5" w:rsidRPr="002A67C7">
        <w:rPr>
          <w:rFonts w:asciiTheme="minorHAnsi" w:hAnsiTheme="minorHAnsi" w:cstheme="minorHAnsi"/>
          <w:iCs/>
          <w:lang w:val="en-US"/>
        </w:rPr>
        <w:t xml:space="preserve">Revenue from </w:t>
      </w:r>
      <w:r w:rsidR="00071819">
        <w:rPr>
          <w:rFonts w:asciiTheme="minorHAnsi" w:hAnsiTheme="minorHAnsi" w:cstheme="minorHAnsi"/>
          <w:iCs/>
          <w:lang w:val="en-US"/>
        </w:rPr>
        <w:t xml:space="preserve">application </w:t>
      </w:r>
      <w:r w:rsidR="00D212A5" w:rsidRPr="002A67C7">
        <w:rPr>
          <w:rFonts w:asciiTheme="minorHAnsi" w:hAnsiTheme="minorHAnsi" w:cstheme="minorHAnsi"/>
          <w:iCs/>
          <w:lang w:val="en-US"/>
        </w:rPr>
        <w:t xml:space="preserve">fees fluctuates from year to year as they are dependent </w:t>
      </w:r>
      <w:r w:rsidR="00071819">
        <w:rPr>
          <w:rFonts w:asciiTheme="minorHAnsi" w:hAnsiTheme="minorHAnsi" w:cstheme="minorHAnsi"/>
          <w:iCs/>
          <w:lang w:val="en-US"/>
        </w:rPr>
        <w:t>up</w:t>
      </w:r>
      <w:r w:rsidR="00D212A5" w:rsidRPr="002A67C7">
        <w:rPr>
          <w:rFonts w:asciiTheme="minorHAnsi" w:hAnsiTheme="minorHAnsi" w:cstheme="minorHAnsi"/>
          <w:iCs/>
          <w:lang w:val="en-US"/>
        </w:rPr>
        <w:t xml:space="preserve">on the timing, type and number of applications lodged. </w:t>
      </w:r>
    </w:p>
    <w:p w14:paraId="512DF8B5" w14:textId="77777777" w:rsidR="00D212A5" w:rsidRDefault="00D212A5" w:rsidP="00D212A5">
      <w:pPr>
        <w:rPr>
          <w:rFonts w:asciiTheme="minorHAnsi" w:hAnsiTheme="minorHAnsi" w:cstheme="minorHAnsi"/>
          <w:iCs/>
          <w:lang w:val="en-US"/>
        </w:rPr>
      </w:pPr>
    </w:p>
    <w:p w14:paraId="6BAB187C" w14:textId="696D5FBC" w:rsidR="00D212A5" w:rsidRDefault="00D212A5" w:rsidP="00D212A5">
      <w:pPr>
        <w:pStyle w:val="CommentText"/>
        <w:rPr>
          <w:rFonts w:asciiTheme="minorHAnsi" w:hAnsiTheme="minorHAnsi" w:cstheme="minorHAnsi"/>
        </w:rPr>
      </w:pPr>
      <w:r w:rsidRPr="00A84307">
        <w:rPr>
          <w:rFonts w:asciiTheme="minorHAnsi" w:hAnsiTheme="minorHAnsi" w:cstheme="minorHAnsi"/>
          <w:sz w:val="24"/>
          <w:szCs w:val="24"/>
        </w:rPr>
        <w:t xml:space="preserve">The focus of </w:t>
      </w:r>
      <w:r w:rsidR="002B7A21">
        <w:rPr>
          <w:rFonts w:asciiTheme="minorHAnsi" w:hAnsiTheme="minorHAnsi" w:cstheme="minorHAnsi"/>
          <w:sz w:val="24"/>
          <w:szCs w:val="24"/>
        </w:rPr>
        <w:t>the Registrar</w:t>
      </w:r>
      <w:r w:rsidRPr="00A84307">
        <w:rPr>
          <w:rFonts w:asciiTheme="minorHAnsi" w:hAnsiTheme="minorHAnsi" w:cstheme="minorHAnsi"/>
          <w:sz w:val="24"/>
          <w:szCs w:val="24"/>
        </w:rPr>
        <w:t>’s activities in relation to</w:t>
      </w:r>
      <w:r w:rsidR="00A73C41">
        <w:rPr>
          <w:rFonts w:asciiTheme="minorHAnsi" w:hAnsiTheme="minorHAnsi" w:cstheme="minorHAnsi"/>
          <w:sz w:val="24"/>
          <w:szCs w:val="24"/>
        </w:rPr>
        <w:t xml:space="preserve"> licence-</w:t>
      </w:r>
      <w:r w:rsidRPr="00A84307">
        <w:rPr>
          <w:rFonts w:asciiTheme="minorHAnsi" w:hAnsiTheme="minorHAnsi" w:cstheme="minorHAnsi"/>
          <w:sz w:val="24"/>
          <w:szCs w:val="24"/>
        </w:rPr>
        <w:t xml:space="preserve">specific applications is on assessing compliance with the </w:t>
      </w:r>
      <w:r w:rsidR="005827AF">
        <w:rPr>
          <w:rFonts w:asciiTheme="minorHAnsi" w:hAnsiTheme="minorHAnsi" w:cstheme="minorHAnsi"/>
          <w:sz w:val="24"/>
          <w:szCs w:val="24"/>
        </w:rPr>
        <w:t>O</w:t>
      </w:r>
      <w:r w:rsidR="00A73C41">
        <w:rPr>
          <w:rFonts w:asciiTheme="minorHAnsi" w:hAnsiTheme="minorHAnsi" w:cstheme="minorHAnsi"/>
          <w:sz w:val="24"/>
          <w:szCs w:val="24"/>
        </w:rPr>
        <w:t>EI</w:t>
      </w:r>
      <w:r w:rsidR="005827AF">
        <w:rPr>
          <w:rFonts w:asciiTheme="minorHAnsi" w:hAnsiTheme="minorHAnsi" w:cstheme="minorHAnsi"/>
          <w:sz w:val="24"/>
          <w:szCs w:val="24"/>
        </w:rPr>
        <w:t xml:space="preserve"> Act</w:t>
      </w:r>
      <w:r w:rsidRPr="00A84307">
        <w:rPr>
          <w:rFonts w:asciiTheme="minorHAnsi" w:hAnsiTheme="minorHAnsi" w:cstheme="minorHAnsi"/>
          <w:sz w:val="24"/>
          <w:szCs w:val="24"/>
        </w:rPr>
        <w:t xml:space="preserve">, </w:t>
      </w:r>
      <w:r w:rsidR="0038680C">
        <w:rPr>
          <w:rFonts w:asciiTheme="minorHAnsi" w:hAnsiTheme="minorHAnsi" w:cstheme="minorHAnsi"/>
          <w:sz w:val="24"/>
          <w:szCs w:val="24"/>
        </w:rPr>
        <w:t>regulations</w:t>
      </w:r>
      <w:r w:rsidR="009D1596" w:rsidRPr="00A84307">
        <w:rPr>
          <w:rFonts w:asciiTheme="minorHAnsi" w:hAnsiTheme="minorHAnsi" w:cstheme="minorHAnsi"/>
          <w:sz w:val="24"/>
          <w:szCs w:val="24"/>
        </w:rPr>
        <w:t xml:space="preserve"> </w:t>
      </w:r>
      <w:r w:rsidRPr="00A84307">
        <w:rPr>
          <w:rFonts w:asciiTheme="minorHAnsi" w:hAnsiTheme="minorHAnsi" w:cstheme="minorHAnsi"/>
          <w:sz w:val="24"/>
          <w:szCs w:val="24"/>
        </w:rPr>
        <w:t xml:space="preserve">and guidelines, the technical and financial ability of applicants to carry out </w:t>
      </w:r>
      <w:r w:rsidR="00A73C41">
        <w:rPr>
          <w:rFonts w:asciiTheme="minorHAnsi" w:hAnsiTheme="minorHAnsi" w:cstheme="minorHAnsi"/>
          <w:sz w:val="24"/>
          <w:szCs w:val="24"/>
        </w:rPr>
        <w:t>licence-</w:t>
      </w:r>
      <w:r w:rsidRPr="00A84307">
        <w:rPr>
          <w:rFonts w:asciiTheme="minorHAnsi" w:hAnsiTheme="minorHAnsi" w:cstheme="minorHAnsi"/>
          <w:sz w:val="24"/>
          <w:szCs w:val="24"/>
        </w:rPr>
        <w:t>related activities</w:t>
      </w:r>
      <w:r w:rsidR="00A73C41">
        <w:rPr>
          <w:rFonts w:asciiTheme="minorHAnsi" w:hAnsiTheme="minorHAnsi" w:cstheme="minorHAnsi"/>
          <w:sz w:val="24"/>
          <w:szCs w:val="24"/>
        </w:rPr>
        <w:t>, the suitability of the applicant to hold the licence and the likely viability of the proposed OEI project</w:t>
      </w:r>
      <w:r w:rsidRPr="00A84307">
        <w:rPr>
          <w:rFonts w:asciiTheme="minorHAnsi" w:hAnsiTheme="minorHAnsi" w:cstheme="minorHAnsi"/>
          <w:sz w:val="24"/>
          <w:szCs w:val="24"/>
        </w:rPr>
        <w:t>.</w:t>
      </w:r>
      <w:r w:rsidRPr="002A67C7">
        <w:rPr>
          <w:rFonts w:asciiTheme="minorHAnsi" w:hAnsiTheme="minorHAnsi" w:cstheme="minorHAnsi"/>
        </w:rPr>
        <w:t xml:space="preserve"> </w:t>
      </w:r>
    </w:p>
    <w:p w14:paraId="03A6AD50" w14:textId="2C5394B4" w:rsidR="00A73C41" w:rsidRDefault="00A73C41" w:rsidP="00664F31">
      <w:pPr>
        <w:pStyle w:val="CommentText"/>
        <w:rPr>
          <w:rFonts w:asciiTheme="minorHAnsi" w:hAnsiTheme="minorHAnsi" w:cstheme="minorHAnsi"/>
        </w:rPr>
      </w:pPr>
    </w:p>
    <w:p w14:paraId="4EE80DEF" w14:textId="225E9AF8" w:rsidR="00A73C41" w:rsidRDefault="00A73C41" w:rsidP="00664F31">
      <w:pPr>
        <w:rPr>
          <w:rFonts w:asciiTheme="minorHAnsi" w:hAnsiTheme="minorHAnsi" w:cstheme="minorHAnsi"/>
        </w:rPr>
      </w:pPr>
      <w:r w:rsidRPr="002A67C7">
        <w:rPr>
          <w:rFonts w:asciiTheme="minorHAnsi" w:hAnsiTheme="minorHAnsi" w:cstheme="minorHAnsi"/>
        </w:rPr>
        <w:t xml:space="preserve">The </w:t>
      </w:r>
      <w:r w:rsidR="005169E2">
        <w:rPr>
          <w:rFonts w:asciiTheme="minorHAnsi" w:hAnsiTheme="minorHAnsi" w:cstheme="minorHAnsi"/>
        </w:rPr>
        <w:t>application fees are</w:t>
      </w:r>
      <w:r>
        <w:rPr>
          <w:rFonts w:asciiTheme="minorHAnsi" w:hAnsiTheme="minorHAnsi" w:cstheme="minorHAnsi"/>
        </w:rPr>
        <w:t xml:space="preserve"> forecast to make up around 60 per cent</w:t>
      </w:r>
      <w:r w:rsidRPr="002A67C7">
        <w:rPr>
          <w:rFonts w:asciiTheme="minorHAnsi" w:hAnsiTheme="minorHAnsi" w:cstheme="minorHAnsi"/>
        </w:rPr>
        <w:t xml:space="preserve"> of </w:t>
      </w:r>
      <w:r w:rsidR="002B7A21">
        <w:rPr>
          <w:rFonts w:asciiTheme="minorHAnsi" w:hAnsiTheme="minorHAnsi" w:cstheme="minorHAnsi"/>
        </w:rPr>
        <w:t>the Registrar’</w:t>
      </w:r>
      <w:r w:rsidRPr="002A67C7">
        <w:rPr>
          <w:rFonts w:asciiTheme="minorHAnsi" w:hAnsiTheme="minorHAnsi" w:cstheme="minorHAnsi"/>
        </w:rPr>
        <w:t>s revenue</w:t>
      </w:r>
      <w:r w:rsidR="005169E2">
        <w:rPr>
          <w:rFonts w:asciiTheme="minorHAnsi" w:hAnsiTheme="minorHAnsi" w:cstheme="minorHAnsi"/>
        </w:rPr>
        <w:t xml:space="preserve">. However, </w:t>
      </w:r>
      <w:r w:rsidR="00071819">
        <w:rPr>
          <w:rFonts w:asciiTheme="minorHAnsi" w:hAnsiTheme="minorHAnsi" w:cstheme="minorHAnsi"/>
        </w:rPr>
        <w:br/>
        <w:t>th</w:t>
      </w:r>
      <w:r w:rsidRPr="00EB14B8">
        <w:rPr>
          <w:rFonts w:asciiTheme="minorHAnsi" w:hAnsiTheme="minorHAnsi" w:cstheme="minorHAnsi"/>
        </w:rPr>
        <w:t>is</w:t>
      </w:r>
      <w:r w:rsidR="00071819">
        <w:rPr>
          <w:rFonts w:asciiTheme="minorHAnsi" w:hAnsiTheme="minorHAnsi" w:cstheme="minorHAnsi"/>
        </w:rPr>
        <w:t xml:space="preserve"> is</w:t>
      </w:r>
      <w:r w:rsidRPr="00EB14B8">
        <w:rPr>
          <w:rFonts w:asciiTheme="minorHAnsi" w:hAnsiTheme="minorHAnsi" w:cstheme="minorHAnsi"/>
        </w:rPr>
        <w:t xml:space="preserve"> dependent upon the number </w:t>
      </w:r>
      <w:r>
        <w:rPr>
          <w:rFonts w:asciiTheme="minorHAnsi" w:hAnsiTheme="minorHAnsi" w:cstheme="minorHAnsi"/>
        </w:rPr>
        <w:t>of applications lodged</w:t>
      </w:r>
      <w:r w:rsidRPr="00EB14B8">
        <w:rPr>
          <w:rFonts w:asciiTheme="minorHAnsi" w:hAnsiTheme="minorHAnsi" w:cstheme="minorHAnsi"/>
        </w:rPr>
        <w:t xml:space="preserve">. </w:t>
      </w:r>
      <w:r>
        <w:rPr>
          <w:rFonts w:asciiTheme="minorHAnsi" w:hAnsiTheme="minorHAnsi" w:cstheme="minorHAnsi"/>
        </w:rPr>
        <w:t xml:space="preserve">It is difficult to predict the type and number </w:t>
      </w:r>
      <w:r w:rsidR="00CF781A">
        <w:rPr>
          <w:rFonts w:asciiTheme="minorHAnsi" w:hAnsiTheme="minorHAnsi" w:cstheme="minorHAnsi"/>
        </w:rPr>
        <w:br/>
      </w:r>
      <w:r>
        <w:rPr>
          <w:rFonts w:asciiTheme="minorHAnsi" w:hAnsiTheme="minorHAnsi" w:cstheme="minorHAnsi"/>
        </w:rPr>
        <w:t xml:space="preserve">of applications that may be lodged in this new industry. </w:t>
      </w:r>
      <w:r w:rsidR="005169E2">
        <w:rPr>
          <w:rFonts w:asciiTheme="minorHAnsi" w:hAnsiTheme="minorHAnsi" w:cstheme="minorHAnsi"/>
        </w:rPr>
        <w:t xml:space="preserve"> This cost recovery structure also allows for cost recovery early in the process, as </w:t>
      </w:r>
      <w:r w:rsidR="00071819">
        <w:rPr>
          <w:rFonts w:asciiTheme="minorHAnsi" w:hAnsiTheme="minorHAnsi" w:cstheme="minorHAnsi"/>
        </w:rPr>
        <w:t xml:space="preserve">the majority of the Registrar’s </w:t>
      </w:r>
      <w:r w:rsidR="005169E2">
        <w:rPr>
          <w:rFonts w:asciiTheme="minorHAnsi" w:hAnsiTheme="minorHAnsi" w:cstheme="minorHAnsi"/>
        </w:rPr>
        <w:t>effort will relate to the processing of applications, rather than waiting until licences are granted.</w:t>
      </w:r>
    </w:p>
    <w:p w14:paraId="1DD739FF" w14:textId="77777777" w:rsidR="00D212A5" w:rsidRDefault="00D212A5" w:rsidP="00664F31">
      <w:pPr>
        <w:pStyle w:val="CommentText"/>
        <w:rPr>
          <w:rFonts w:asciiTheme="minorHAnsi" w:hAnsiTheme="minorHAnsi" w:cstheme="minorHAnsi"/>
        </w:rPr>
      </w:pPr>
    </w:p>
    <w:p w14:paraId="3A81FD0A" w14:textId="341304FD" w:rsidR="00D212A5" w:rsidRDefault="00D212A5" w:rsidP="00664F31">
      <w:pPr>
        <w:rPr>
          <w:rFonts w:asciiTheme="minorHAnsi" w:hAnsiTheme="minorHAnsi" w:cstheme="minorHAnsi"/>
        </w:rPr>
      </w:pPr>
      <w:r w:rsidRPr="00003987">
        <w:rPr>
          <w:rFonts w:asciiTheme="minorHAnsi" w:hAnsiTheme="minorHAnsi" w:cstheme="minorHAnsi"/>
          <w:iCs/>
          <w:lang w:val="en-US"/>
        </w:rPr>
        <w:t xml:space="preserve">The application fees are calculated by applying a fixed/flat rate to the type of application submitted. </w:t>
      </w:r>
      <w:r w:rsidRPr="00003987">
        <w:rPr>
          <w:rFonts w:asciiTheme="minorHAnsi" w:hAnsiTheme="minorHAnsi" w:cstheme="minorHAnsi"/>
          <w:iCs/>
        </w:rPr>
        <w:t xml:space="preserve">Having a single flat fee for the majority of applications will be maintained as a part of </w:t>
      </w:r>
      <w:r w:rsidR="002B7A21">
        <w:rPr>
          <w:rFonts w:asciiTheme="minorHAnsi" w:hAnsiTheme="minorHAnsi" w:cstheme="minorHAnsi"/>
          <w:iCs/>
        </w:rPr>
        <w:t>the Registrar</w:t>
      </w:r>
      <w:r w:rsidRPr="00003987">
        <w:rPr>
          <w:rFonts w:asciiTheme="minorHAnsi" w:hAnsiTheme="minorHAnsi" w:cstheme="minorHAnsi"/>
          <w:iCs/>
        </w:rPr>
        <w:t>’s revenue structure.</w:t>
      </w:r>
      <w:r w:rsidR="007345BD">
        <w:rPr>
          <w:rFonts w:asciiTheme="minorHAnsi" w:hAnsiTheme="minorHAnsi" w:cstheme="minorHAnsi"/>
          <w:iCs/>
        </w:rPr>
        <w:t xml:space="preserve"> </w:t>
      </w:r>
      <w:r w:rsidRPr="00950DAE">
        <w:rPr>
          <w:rFonts w:asciiTheme="minorHAnsi" w:hAnsiTheme="minorHAnsi" w:cstheme="minorHAnsi"/>
        </w:rPr>
        <w:t>The charging</w:t>
      </w:r>
      <w:r w:rsidR="00A73C41">
        <w:rPr>
          <w:rFonts w:asciiTheme="minorHAnsi" w:hAnsiTheme="minorHAnsi" w:cstheme="minorHAnsi"/>
        </w:rPr>
        <w:t xml:space="preserve"> of</w:t>
      </w:r>
      <w:r w:rsidRPr="00950DAE">
        <w:rPr>
          <w:rFonts w:asciiTheme="minorHAnsi" w:hAnsiTheme="minorHAnsi" w:cstheme="minorHAnsi"/>
        </w:rPr>
        <w:t xml:space="preserve"> different fee amounts</w:t>
      </w:r>
      <w:r w:rsidR="00A73C41">
        <w:rPr>
          <w:rFonts w:asciiTheme="minorHAnsi" w:hAnsiTheme="minorHAnsi" w:cstheme="minorHAnsi"/>
        </w:rPr>
        <w:t xml:space="preserve"> for different application types is necessary</w:t>
      </w:r>
      <w:r w:rsidRPr="00950DAE">
        <w:rPr>
          <w:rFonts w:asciiTheme="minorHAnsi" w:hAnsiTheme="minorHAnsi" w:cstheme="minorHAnsi"/>
        </w:rPr>
        <w:t xml:space="preserve"> to reflect </w:t>
      </w:r>
      <w:r w:rsidR="00A73C41">
        <w:rPr>
          <w:rFonts w:asciiTheme="minorHAnsi" w:hAnsiTheme="minorHAnsi" w:cstheme="minorHAnsi"/>
        </w:rPr>
        <w:t xml:space="preserve">the level of complexity of the assessment. </w:t>
      </w:r>
    </w:p>
    <w:p w14:paraId="400FFD79" w14:textId="77777777" w:rsidR="00664F31" w:rsidRPr="008F4D6C" w:rsidRDefault="00664F31" w:rsidP="00664F31">
      <w:pPr>
        <w:rPr>
          <w:rFonts w:asciiTheme="minorHAnsi" w:hAnsiTheme="minorHAnsi" w:cstheme="minorHAnsi"/>
        </w:rPr>
      </w:pPr>
    </w:p>
    <w:p w14:paraId="27D5319D" w14:textId="01A616B1" w:rsidR="00D212A5" w:rsidRPr="002A67C7" w:rsidRDefault="00071819" w:rsidP="00664F31">
      <w:pPr>
        <w:rPr>
          <w:rFonts w:asciiTheme="minorHAnsi" w:hAnsiTheme="minorHAnsi" w:cstheme="minorHAnsi"/>
          <w:iCs/>
          <w:lang w:val="en-US"/>
        </w:rPr>
      </w:pPr>
      <w:r>
        <w:rPr>
          <w:rFonts w:asciiTheme="minorHAnsi" w:hAnsiTheme="minorHAnsi" w:cstheme="minorHAnsi"/>
          <w:iCs/>
          <w:lang w:val="en-US"/>
        </w:rPr>
        <w:t>F</w:t>
      </w:r>
      <w:r w:rsidR="00D212A5">
        <w:rPr>
          <w:rFonts w:asciiTheme="minorHAnsi" w:hAnsiTheme="minorHAnsi" w:cstheme="minorHAnsi"/>
          <w:iCs/>
          <w:lang w:val="en-US"/>
        </w:rPr>
        <w:t xml:space="preserve">ees have been estimated below in </w:t>
      </w:r>
      <w:r w:rsidR="00D212A5" w:rsidRPr="002B0255">
        <w:rPr>
          <w:rFonts w:asciiTheme="minorHAnsi" w:hAnsiTheme="minorHAnsi" w:cstheme="minorHAnsi"/>
          <w:b/>
          <w:bCs/>
          <w:iCs/>
          <w:lang w:val="en-US"/>
        </w:rPr>
        <w:t xml:space="preserve">Table </w:t>
      </w:r>
      <w:r w:rsidR="00662EB5">
        <w:rPr>
          <w:rFonts w:asciiTheme="minorHAnsi" w:hAnsiTheme="minorHAnsi" w:cstheme="minorHAnsi"/>
          <w:b/>
          <w:bCs/>
          <w:iCs/>
          <w:lang w:val="en-US"/>
        </w:rPr>
        <w:t>5</w:t>
      </w:r>
      <w:r w:rsidR="00D212A5">
        <w:rPr>
          <w:rFonts w:asciiTheme="minorHAnsi" w:hAnsiTheme="minorHAnsi" w:cstheme="minorHAnsi"/>
          <w:iCs/>
          <w:lang w:val="en-US"/>
        </w:rPr>
        <w:t xml:space="preserve"> </w:t>
      </w:r>
      <w:r w:rsidR="00D212A5" w:rsidRPr="00605FB6">
        <w:rPr>
          <w:rFonts w:asciiTheme="minorHAnsi" w:hAnsiTheme="minorHAnsi" w:cstheme="minorHAnsi"/>
          <w:iCs/>
          <w:lang w:val="en-US"/>
        </w:rPr>
        <w:t>based</w:t>
      </w:r>
      <w:r w:rsidR="00D212A5" w:rsidRPr="002A67C7">
        <w:rPr>
          <w:rFonts w:asciiTheme="minorHAnsi" w:hAnsiTheme="minorHAnsi" w:cstheme="minorHAnsi"/>
          <w:iCs/>
          <w:lang w:val="en-US"/>
        </w:rPr>
        <w:t xml:space="preserve"> on the </w:t>
      </w:r>
      <w:r w:rsidR="00A73C41">
        <w:rPr>
          <w:rFonts w:asciiTheme="minorHAnsi" w:hAnsiTheme="minorHAnsi" w:cstheme="minorHAnsi"/>
          <w:iCs/>
          <w:lang w:val="en-US"/>
        </w:rPr>
        <w:t xml:space="preserve">predicted </w:t>
      </w:r>
      <w:r w:rsidR="00D212A5" w:rsidRPr="002A67C7">
        <w:rPr>
          <w:rFonts w:asciiTheme="minorHAnsi" w:hAnsiTheme="minorHAnsi" w:cstheme="minorHAnsi"/>
          <w:iCs/>
          <w:lang w:val="en-US"/>
        </w:rPr>
        <w:t xml:space="preserve">number of applications </w:t>
      </w:r>
      <w:r w:rsidR="00A73C41">
        <w:rPr>
          <w:rFonts w:asciiTheme="minorHAnsi" w:hAnsiTheme="minorHAnsi" w:cstheme="minorHAnsi"/>
          <w:iCs/>
          <w:lang w:val="en-US"/>
        </w:rPr>
        <w:t xml:space="preserve">that may be </w:t>
      </w:r>
      <w:r w:rsidR="00D212A5" w:rsidRPr="002A67C7">
        <w:rPr>
          <w:rFonts w:asciiTheme="minorHAnsi" w:hAnsiTheme="minorHAnsi" w:cstheme="minorHAnsi"/>
          <w:iCs/>
          <w:lang w:val="en-US"/>
        </w:rPr>
        <w:t xml:space="preserve">submitted to </w:t>
      </w:r>
      <w:r w:rsidR="005A0736">
        <w:rPr>
          <w:rFonts w:asciiTheme="minorHAnsi" w:hAnsiTheme="minorHAnsi" w:cstheme="minorHAnsi"/>
          <w:iCs/>
          <w:lang w:val="en-US"/>
        </w:rPr>
        <w:t>the Registrar</w:t>
      </w:r>
      <w:r w:rsidR="00D212A5" w:rsidRPr="002A67C7">
        <w:rPr>
          <w:rFonts w:asciiTheme="minorHAnsi" w:hAnsiTheme="minorHAnsi" w:cstheme="minorHAnsi"/>
          <w:iCs/>
          <w:lang w:val="en-US"/>
        </w:rPr>
        <w:t xml:space="preserve"> </w:t>
      </w:r>
      <w:r w:rsidR="00A73C41">
        <w:rPr>
          <w:rFonts w:asciiTheme="minorHAnsi" w:hAnsiTheme="minorHAnsi" w:cstheme="minorHAnsi"/>
          <w:iCs/>
          <w:lang w:val="en-US"/>
        </w:rPr>
        <w:t>over the coming years</w:t>
      </w:r>
      <w:r w:rsidR="00D212A5">
        <w:rPr>
          <w:rFonts w:asciiTheme="minorHAnsi" w:hAnsiTheme="minorHAnsi" w:cstheme="minorHAnsi"/>
          <w:iCs/>
          <w:lang w:val="en-US"/>
        </w:rPr>
        <w:t xml:space="preserve">. The number of application fees </w:t>
      </w:r>
      <w:r w:rsidR="00A73C41">
        <w:rPr>
          <w:rFonts w:asciiTheme="minorHAnsi" w:hAnsiTheme="minorHAnsi" w:cstheme="minorHAnsi"/>
          <w:iCs/>
          <w:lang w:val="en-US"/>
        </w:rPr>
        <w:t xml:space="preserve">will </w:t>
      </w:r>
      <w:r w:rsidR="00D212A5">
        <w:rPr>
          <w:rFonts w:asciiTheme="minorHAnsi" w:hAnsiTheme="minorHAnsi" w:cstheme="minorHAnsi"/>
          <w:iCs/>
          <w:lang w:val="en-US"/>
        </w:rPr>
        <w:t xml:space="preserve">fluctuate according to industry activity and is difficult to predict. </w:t>
      </w:r>
      <w:r w:rsidR="00FD21F3">
        <w:rPr>
          <w:rFonts w:asciiTheme="minorHAnsi" w:hAnsiTheme="minorHAnsi" w:cstheme="minorHAnsi"/>
          <w:iCs/>
          <w:lang w:val="en-US"/>
        </w:rPr>
        <w:t xml:space="preserve">There will be </w:t>
      </w:r>
      <w:r w:rsidR="00D46B86">
        <w:rPr>
          <w:rFonts w:asciiTheme="minorHAnsi" w:hAnsiTheme="minorHAnsi" w:cstheme="minorHAnsi"/>
          <w:iCs/>
          <w:lang w:val="en-US"/>
        </w:rPr>
        <w:t xml:space="preserve">minor </w:t>
      </w:r>
      <w:r w:rsidR="00FD21F3">
        <w:rPr>
          <w:rFonts w:asciiTheme="minorHAnsi" w:hAnsiTheme="minorHAnsi" w:cstheme="minorHAnsi"/>
          <w:iCs/>
          <w:lang w:val="en-US"/>
        </w:rPr>
        <w:t>cross-subsidisation for the first few years as only limited types of applications are forecast based on declaration conditions and nascence of the industry.</w:t>
      </w:r>
      <w:r w:rsidR="006F48D8">
        <w:rPr>
          <w:rFonts w:asciiTheme="minorHAnsi" w:hAnsiTheme="minorHAnsi" w:cstheme="minorHAnsi"/>
          <w:iCs/>
          <w:lang w:val="en-US"/>
        </w:rPr>
        <w:t xml:space="preserve"> </w:t>
      </w:r>
      <w:r>
        <w:rPr>
          <w:rFonts w:asciiTheme="minorHAnsi" w:hAnsiTheme="minorHAnsi" w:cstheme="minorHAnsi"/>
          <w:iCs/>
          <w:lang w:val="en-US"/>
        </w:rPr>
        <w:t xml:space="preserve">The Registrar </w:t>
      </w:r>
      <w:r w:rsidR="006F48D8">
        <w:rPr>
          <w:rFonts w:asciiTheme="minorHAnsi" w:hAnsiTheme="minorHAnsi" w:cstheme="minorHAnsi"/>
          <w:iCs/>
          <w:lang w:val="en-US"/>
        </w:rPr>
        <w:t>will seek to address any cross-subsidisation in subsequent CRIS reviews.</w:t>
      </w:r>
      <w:r w:rsidR="00FD21F3">
        <w:rPr>
          <w:rFonts w:asciiTheme="minorHAnsi" w:hAnsiTheme="minorHAnsi" w:cstheme="minorHAnsi"/>
          <w:iCs/>
          <w:lang w:val="en-US"/>
        </w:rPr>
        <w:t xml:space="preserve"> </w:t>
      </w:r>
    </w:p>
    <w:p w14:paraId="38DD2ABA" w14:textId="77777777" w:rsidR="00D212A5" w:rsidRPr="002A67C7" w:rsidRDefault="00D212A5" w:rsidP="00664F31">
      <w:pPr>
        <w:rPr>
          <w:rFonts w:asciiTheme="minorHAnsi" w:hAnsiTheme="minorHAnsi" w:cstheme="minorHAnsi"/>
        </w:rPr>
      </w:pPr>
    </w:p>
    <w:p w14:paraId="3F76669E" w14:textId="77777777" w:rsidR="009C13BE" w:rsidRDefault="009C13BE">
      <w:pPr>
        <w:spacing w:after="200" w:line="276" w:lineRule="auto"/>
        <w:rPr>
          <w:rFonts w:asciiTheme="minorHAnsi" w:hAnsiTheme="minorHAnsi" w:cstheme="minorHAnsi"/>
          <w:b/>
          <w:bCs/>
          <w:iCs/>
          <w:lang w:val="en-US"/>
        </w:rPr>
      </w:pPr>
      <w:r>
        <w:rPr>
          <w:rFonts w:asciiTheme="minorHAnsi" w:hAnsiTheme="minorHAnsi" w:cstheme="minorHAnsi"/>
          <w:b/>
          <w:bCs/>
          <w:iCs/>
          <w:lang w:val="en-US"/>
        </w:rPr>
        <w:br w:type="page"/>
      </w:r>
    </w:p>
    <w:p w14:paraId="4C6F1737" w14:textId="481C7C48" w:rsidR="00747EEF" w:rsidRPr="00C55966" w:rsidRDefault="00D212A5" w:rsidP="00D212A5">
      <w:pPr>
        <w:rPr>
          <w:rFonts w:asciiTheme="minorHAnsi" w:hAnsiTheme="minorHAnsi" w:cstheme="minorHAnsi"/>
        </w:rPr>
      </w:pPr>
      <w:r w:rsidRPr="00107D3F">
        <w:rPr>
          <w:rFonts w:asciiTheme="minorHAnsi" w:hAnsiTheme="minorHAnsi" w:cstheme="minorHAnsi"/>
          <w:b/>
          <w:bCs/>
          <w:iCs/>
          <w:lang w:val="en-US"/>
        </w:rPr>
        <w:lastRenderedPageBreak/>
        <w:t xml:space="preserve">Table </w:t>
      </w:r>
      <w:r w:rsidR="00662EB5" w:rsidRPr="00107D3F">
        <w:rPr>
          <w:rFonts w:asciiTheme="minorHAnsi" w:hAnsiTheme="minorHAnsi" w:cstheme="minorHAnsi"/>
          <w:b/>
          <w:bCs/>
          <w:iCs/>
          <w:lang w:val="en-US"/>
        </w:rPr>
        <w:t>5</w:t>
      </w:r>
      <w:r w:rsidRPr="00107D3F">
        <w:rPr>
          <w:rFonts w:asciiTheme="minorHAnsi" w:hAnsiTheme="minorHAnsi" w:cstheme="minorHAnsi"/>
          <w:b/>
          <w:bCs/>
          <w:iCs/>
          <w:lang w:val="en-US"/>
        </w:rPr>
        <w:t>:</w:t>
      </w:r>
      <w:r w:rsidRPr="00662EB5">
        <w:rPr>
          <w:rFonts w:asciiTheme="minorHAnsi" w:hAnsiTheme="minorHAnsi" w:cstheme="minorHAnsi"/>
          <w:iCs/>
          <w:lang w:val="en-US"/>
        </w:rPr>
        <w:t xml:space="preserve"> </w:t>
      </w:r>
      <w:r w:rsidR="0066137C">
        <w:rPr>
          <w:rFonts w:asciiTheme="minorHAnsi" w:hAnsiTheme="minorHAnsi" w:cstheme="minorHAnsi"/>
          <w:iCs/>
          <w:lang w:val="en-US"/>
        </w:rPr>
        <w:t>A</w:t>
      </w:r>
      <w:r w:rsidRPr="00662EB5">
        <w:rPr>
          <w:rFonts w:asciiTheme="minorHAnsi" w:hAnsiTheme="minorHAnsi" w:cstheme="minorHAnsi"/>
          <w:iCs/>
          <w:lang w:val="en-US"/>
        </w:rPr>
        <w:t xml:space="preserve">pplication fee </w:t>
      </w:r>
      <w:r w:rsidR="00F70704" w:rsidRPr="00366340">
        <w:rPr>
          <w:rFonts w:asciiTheme="minorHAnsi" w:hAnsiTheme="minorHAnsi" w:cstheme="minorHAnsi"/>
        </w:rPr>
        <w:t>revenue estimate</w:t>
      </w:r>
      <w:r w:rsidR="00F70704">
        <w:rPr>
          <w:rFonts w:asciiTheme="minorHAnsi" w:hAnsiTheme="minorHAnsi" w:cstheme="minorHAnsi"/>
        </w:rPr>
        <w:t>s</w:t>
      </w:r>
      <w:r w:rsidR="00F70704" w:rsidRPr="00366340">
        <w:rPr>
          <w:rFonts w:asciiTheme="minorHAnsi" w:hAnsiTheme="minorHAnsi" w:cstheme="minorHAnsi"/>
        </w:rPr>
        <w:t xml:space="preserve"> </w:t>
      </w:r>
      <w:r w:rsidR="00465868">
        <w:rPr>
          <w:rFonts w:ascii="Calibri" w:hAnsi="Calibri" w:cs="Calibri"/>
          <w:color w:val="000000"/>
        </w:rPr>
        <w:t>for 2022-23 to 2024-25</w:t>
      </w:r>
      <w:r w:rsidR="00777ACE" w:rsidRPr="00777ACE">
        <w:rPr>
          <w:rFonts w:ascii="Calibri" w:hAnsi="Calibri" w:cs="Calibri"/>
          <w:color w:val="000000"/>
          <w:vertAlign w:val="superscript"/>
        </w:rPr>
        <w:t>#</w:t>
      </w:r>
    </w:p>
    <w:p w14:paraId="16550614" w14:textId="4C3FC6BA" w:rsidR="00747EEF" w:rsidRDefault="00BF4DE3" w:rsidP="00D212A5">
      <w:pPr>
        <w:rPr>
          <w:rFonts w:asciiTheme="minorHAnsi" w:hAnsiTheme="minorHAnsi" w:cstheme="minorHAnsi"/>
          <w:iCs/>
          <w:lang w:val="en-US"/>
        </w:rPr>
      </w:pPr>
      <w:r>
        <w:rPr>
          <w:noProof/>
          <w:lang w:eastAsia="en-AU"/>
        </w:rPr>
        <w:drawing>
          <wp:inline distT="0" distB="0" distL="0" distR="0" wp14:anchorId="45B79BA5" wp14:editId="4AE14324">
            <wp:extent cx="6562725" cy="3611880"/>
            <wp:effectExtent l="0" t="0" r="9525" b="762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22"/>
                    <a:stretch>
                      <a:fillRect/>
                    </a:stretch>
                  </pic:blipFill>
                  <pic:spPr>
                    <a:xfrm>
                      <a:off x="0" y="0"/>
                      <a:ext cx="6562725" cy="3611880"/>
                    </a:xfrm>
                    <a:prstGeom prst="rect">
                      <a:avLst/>
                    </a:prstGeom>
                  </pic:spPr>
                </pic:pic>
              </a:graphicData>
            </a:graphic>
          </wp:inline>
        </w:drawing>
      </w:r>
    </w:p>
    <w:p w14:paraId="3CC66F49" w14:textId="17FBF8A2" w:rsidR="00777ACE" w:rsidRDefault="00777ACE" w:rsidP="00D212A5">
      <w:pPr>
        <w:rPr>
          <w:rFonts w:asciiTheme="minorHAnsi" w:hAnsiTheme="minorHAnsi" w:cstheme="minorHAnsi"/>
          <w:iCs/>
          <w:lang w:val="en-US"/>
        </w:rPr>
      </w:pPr>
      <w:r>
        <w:rPr>
          <w:sz w:val="16"/>
          <w:szCs w:val="16"/>
        </w:rPr>
        <w:t># T</w:t>
      </w:r>
      <w:r w:rsidRPr="00777ACE">
        <w:rPr>
          <w:sz w:val="16"/>
          <w:szCs w:val="16"/>
        </w:rPr>
        <w:t xml:space="preserve">he No. of </w:t>
      </w:r>
      <w:r>
        <w:rPr>
          <w:sz w:val="16"/>
          <w:szCs w:val="16"/>
        </w:rPr>
        <w:t>applications</w:t>
      </w:r>
      <w:r w:rsidRPr="00777ACE">
        <w:rPr>
          <w:sz w:val="16"/>
          <w:szCs w:val="16"/>
        </w:rPr>
        <w:t xml:space="preserve"> is not a limit, and is an estimate only based on DISER understanding of likely interest at end 2021 to be tested during consultation</w:t>
      </w:r>
      <w:r>
        <w:rPr>
          <w:sz w:val="16"/>
          <w:szCs w:val="16"/>
        </w:rPr>
        <w:t>.</w:t>
      </w:r>
    </w:p>
    <w:p w14:paraId="4C9A6DCC" w14:textId="0711461E" w:rsidR="008B679D" w:rsidRPr="002E39B6" w:rsidRDefault="00747EEF" w:rsidP="002E39B6">
      <w:pPr>
        <w:pStyle w:val="Heading2"/>
        <w:tabs>
          <w:tab w:val="clear" w:pos="576"/>
          <w:tab w:val="num" w:pos="709"/>
        </w:tabs>
        <w:ind w:left="709" w:hanging="709"/>
        <w:rPr>
          <w:rFonts w:asciiTheme="minorHAnsi" w:hAnsiTheme="minorHAnsi" w:cstheme="minorHAnsi"/>
          <w:i w:val="0"/>
          <w:iCs w:val="0"/>
        </w:rPr>
      </w:pPr>
      <w:bookmarkStart w:id="27" w:name="calculationofcosts"/>
      <w:bookmarkStart w:id="28" w:name="_Toc98772166"/>
      <w:bookmarkEnd w:id="16"/>
      <w:r>
        <w:rPr>
          <w:rFonts w:asciiTheme="minorHAnsi" w:hAnsiTheme="minorHAnsi" w:cstheme="minorHAnsi"/>
          <w:i w:val="0"/>
          <w:iCs w:val="0"/>
        </w:rPr>
        <w:t>R</w:t>
      </w:r>
      <w:r w:rsidR="00323DFB">
        <w:rPr>
          <w:rFonts w:asciiTheme="minorHAnsi" w:hAnsiTheme="minorHAnsi" w:cstheme="minorHAnsi"/>
          <w:i w:val="0"/>
          <w:iCs w:val="0"/>
        </w:rPr>
        <w:t>isk Assessment</w:t>
      </w:r>
      <w:bookmarkEnd w:id="28"/>
    </w:p>
    <w:p w14:paraId="248FCEA6" w14:textId="6AA7E26E" w:rsidR="00CE74AA" w:rsidRDefault="00CE74AA" w:rsidP="00CE74AA">
      <w:pPr>
        <w:pStyle w:val="CommentText"/>
        <w:rPr>
          <w:rFonts w:asciiTheme="minorHAnsi" w:hAnsiTheme="minorHAnsi" w:cstheme="minorHAnsi"/>
          <w:iCs/>
          <w:sz w:val="24"/>
          <w:szCs w:val="24"/>
          <w:lang w:val="en-US"/>
        </w:rPr>
      </w:pPr>
      <w:r>
        <w:rPr>
          <w:rFonts w:asciiTheme="minorHAnsi" w:hAnsiTheme="minorHAnsi" w:cstheme="minorHAnsi"/>
          <w:iCs/>
          <w:sz w:val="24"/>
          <w:szCs w:val="24"/>
          <w:lang w:val="en-US"/>
        </w:rPr>
        <w:t>In accordance with the Charging</w:t>
      </w:r>
      <w:r w:rsidRPr="009B0DBC">
        <w:rPr>
          <w:rFonts w:asciiTheme="minorHAnsi" w:hAnsiTheme="minorHAnsi" w:cstheme="minorHAnsi"/>
          <w:iCs/>
          <w:sz w:val="24"/>
          <w:szCs w:val="24"/>
          <w:lang w:val="en-US"/>
        </w:rPr>
        <w:t xml:space="preserve"> </w:t>
      </w:r>
      <w:r>
        <w:rPr>
          <w:rFonts w:asciiTheme="minorHAnsi" w:hAnsiTheme="minorHAnsi" w:cstheme="minorHAnsi"/>
          <w:iCs/>
          <w:sz w:val="24"/>
          <w:szCs w:val="24"/>
          <w:lang w:val="en-US"/>
        </w:rPr>
        <w:t>R</w:t>
      </w:r>
      <w:r w:rsidRPr="009B0DBC">
        <w:rPr>
          <w:rFonts w:asciiTheme="minorHAnsi" w:hAnsiTheme="minorHAnsi" w:cstheme="minorHAnsi"/>
          <w:iCs/>
          <w:sz w:val="24"/>
          <w:szCs w:val="24"/>
          <w:lang w:val="en-US"/>
        </w:rPr>
        <w:t xml:space="preserve">isk </w:t>
      </w:r>
      <w:r>
        <w:rPr>
          <w:rFonts w:asciiTheme="minorHAnsi" w:hAnsiTheme="minorHAnsi" w:cstheme="minorHAnsi"/>
          <w:iCs/>
          <w:sz w:val="24"/>
          <w:szCs w:val="24"/>
          <w:lang w:val="en-US"/>
        </w:rPr>
        <w:t>A</w:t>
      </w:r>
      <w:r w:rsidRPr="009B0DBC">
        <w:rPr>
          <w:rFonts w:asciiTheme="minorHAnsi" w:hAnsiTheme="minorHAnsi" w:cstheme="minorHAnsi"/>
          <w:iCs/>
          <w:sz w:val="24"/>
          <w:szCs w:val="24"/>
          <w:lang w:val="en-US"/>
        </w:rPr>
        <w:t>ssessment</w:t>
      </w:r>
      <w:r>
        <w:rPr>
          <w:rFonts w:asciiTheme="minorHAnsi" w:hAnsiTheme="minorHAnsi" w:cstheme="minorHAnsi"/>
          <w:iCs/>
          <w:sz w:val="24"/>
          <w:szCs w:val="24"/>
          <w:lang w:val="en-US"/>
        </w:rPr>
        <w:t xml:space="preserve"> (</w:t>
      </w:r>
      <w:r w:rsidRPr="002B6588">
        <w:rPr>
          <w:rFonts w:asciiTheme="minorHAnsi" w:hAnsiTheme="minorHAnsi" w:cstheme="minorHAnsi"/>
          <w:b/>
          <w:bCs/>
          <w:iCs/>
          <w:sz w:val="24"/>
          <w:szCs w:val="24"/>
          <w:lang w:val="en-US"/>
        </w:rPr>
        <w:t>CRA</w:t>
      </w:r>
      <w:r>
        <w:rPr>
          <w:rFonts w:asciiTheme="minorHAnsi" w:hAnsiTheme="minorHAnsi" w:cstheme="minorHAnsi"/>
          <w:iCs/>
          <w:sz w:val="24"/>
          <w:szCs w:val="24"/>
          <w:lang w:val="en-US"/>
        </w:rPr>
        <w:t>)</w:t>
      </w:r>
      <w:r w:rsidRPr="009B0DBC">
        <w:rPr>
          <w:rFonts w:asciiTheme="minorHAnsi" w:hAnsiTheme="minorHAnsi" w:cstheme="minorHAnsi"/>
          <w:iCs/>
          <w:sz w:val="24"/>
          <w:szCs w:val="24"/>
          <w:lang w:val="en-US"/>
        </w:rPr>
        <w:t xml:space="preserve"> template</w:t>
      </w:r>
      <w:r>
        <w:rPr>
          <w:rFonts w:asciiTheme="minorHAnsi" w:hAnsiTheme="minorHAnsi" w:cstheme="minorHAnsi"/>
          <w:iCs/>
          <w:sz w:val="24"/>
          <w:szCs w:val="24"/>
          <w:lang w:val="en-US"/>
        </w:rPr>
        <w:t>,</w:t>
      </w:r>
      <w:r w:rsidRPr="009B0DBC">
        <w:rPr>
          <w:rFonts w:asciiTheme="minorHAnsi" w:hAnsiTheme="minorHAnsi" w:cstheme="minorHAnsi"/>
          <w:iCs/>
          <w:sz w:val="24"/>
          <w:szCs w:val="24"/>
          <w:lang w:val="en-US"/>
        </w:rPr>
        <w:t xml:space="preserve"> </w:t>
      </w:r>
      <w:r>
        <w:rPr>
          <w:rFonts w:asciiTheme="minorHAnsi" w:hAnsiTheme="minorHAnsi" w:cstheme="minorHAnsi"/>
          <w:iCs/>
          <w:sz w:val="24"/>
          <w:szCs w:val="24"/>
          <w:lang w:val="en-US"/>
        </w:rPr>
        <w:t>t</w:t>
      </w:r>
      <w:r w:rsidRPr="009B0DBC">
        <w:rPr>
          <w:rFonts w:asciiTheme="minorHAnsi" w:hAnsiTheme="minorHAnsi" w:cstheme="minorHAnsi"/>
          <w:iCs/>
          <w:sz w:val="24"/>
          <w:szCs w:val="24"/>
          <w:lang w:val="en-US"/>
        </w:rPr>
        <w:t xml:space="preserve">he overall risk rating of the cost recovered activity </w:t>
      </w:r>
      <w:r w:rsidR="002B6588">
        <w:rPr>
          <w:rFonts w:asciiTheme="minorHAnsi" w:hAnsiTheme="minorHAnsi" w:cstheme="minorHAnsi"/>
          <w:iCs/>
          <w:sz w:val="24"/>
          <w:szCs w:val="24"/>
          <w:lang w:val="en-US"/>
        </w:rPr>
        <w:t xml:space="preserve">is assessed </w:t>
      </w:r>
      <w:r w:rsidRPr="009B0DBC">
        <w:rPr>
          <w:rFonts w:asciiTheme="minorHAnsi" w:hAnsiTheme="minorHAnsi" w:cstheme="minorHAnsi"/>
          <w:iCs/>
          <w:sz w:val="24"/>
          <w:szCs w:val="24"/>
          <w:lang w:val="en-US"/>
        </w:rPr>
        <w:t xml:space="preserve">as </w:t>
      </w:r>
      <w:r w:rsidR="00EA5827">
        <w:rPr>
          <w:rFonts w:asciiTheme="minorHAnsi" w:hAnsiTheme="minorHAnsi" w:cstheme="minorHAnsi"/>
          <w:i/>
          <w:sz w:val="24"/>
          <w:szCs w:val="24"/>
          <w:lang w:val="en-US"/>
        </w:rPr>
        <w:t>high</w:t>
      </w:r>
      <w:r>
        <w:rPr>
          <w:rFonts w:asciiTheme="minorHAnsi" w:hAnsiTheme="minorHAnsi" w:cstheme="minorHAnsi"/>
          <w:iCs/>
          <w:sz w:val="24"/>
          <w:szCs w:val="24"/>
          <w:lang w:val="en-US"/>
        </w:rPr>
        <w:t>.</w:t>
      </w:r>
      <w:r w:rsidRPr="009B0DBC">
        <w:rPr>
          <w:rFonts w:asciiTheme="minorHAnsi" w:hAnsiTheme="minorHAnsi" w:cstheme="minorHAnsi"/>
          <w:iCs/>
          <w:sz w:val="24"/>
          <w:szCs w:val="24"/>
          <w:lang w:val="en-US"/>
        </w:rPr>
        <w:t xml:space="preserve"> </w:t>
      </w:r>
      <w:r>
        <w:rPr>
          <w:rFonts w:asciiTheme="minorHAnsi" w:hAnsiTheme="minorHAnsi" w:cstheme="minorHAnsi"/>
          <w:iCs/>
          <w:sz w:val="24"/>
          <w:szCs w:val="24"/>
          <w:lang w:val="en-US"/>
        </w:rPr>
        <w:t>This is</w:t>
      </w:r>
      <w:r w:rsidRPr="009B0DBC">
        <w:rPr>
          <w:rFonts w:asciiTheme="minorHAnsi" w:hAnsiTheme="minorHAnsi" w:cstheme="minorHAnsi"/>
          <w:iCs/>
          <w:sz w:val="24"/>
          <w:szCs w:val="24"/>
          <w:lang w:val="en-US"/>
        </w:rPr>
        <w:t xml:space="preserve"> because the charges involve both fees and levies and require </w:t>
      </w:r>
      <w:r w:rsidR="005A721C">
        <w:rPr>
          <w:rFonts w:asciiTheme="minorHAnsi" w:hAnsiTheme="minorHAnsi" w:cstheme="minorHAnsi"/>
          <w:iCs/>
          <w:sz w:val="24"/>
          <w:szCs w:val="24"/>
          <w:lang w:val="en-US"/>
        </w:rPr>
        <w:t>the development of a new</w:t>
      </w:r>
      <w:r w:rsidRPr="009B0DBC">
        <w:rPr>
          <w:rFonts w:asciiTheme="minorHAnsi" w:hAnsiTheme="minorHAnsi" w:cstheme="minorHAnsi"/>
          <w:iCs/>
          <w:sz w:val="24"/>
          <w:szCs w:val="24"/>
          <w:lang w:val="en-US"/>
        </w:rPr>
        <w:t xml:space="preserve"> cost recovery </w:t>
      </w:r>
      <w:r w:rsidR="005A721C">
        <w:rPr>
          <w:rFonts w:asciiTheme="minorHAnsi" w:hAnsiTheme="minorHAnsi" w:cstheme="minorHAnsi"/>
          <w:iCs/>
          <w:sz w:val="24"/>
          <w:szCs w:val="24"/>
          <w:lang w:val="en-US"/>
        </w:rPr>
        <w:t>framework</w:t>
      </w:r>
      <w:r w:rsidRPr="009B0DBC">
        <w:rPr>
          <w:rFonts w:asciiTheme="minorHAnsi" w:hAnsiTheme="minorHAnsi" w:cstheme="minorHAnsi"/>
          <w:iCs/>
          <w:sz w:val="24"/>
          <w:szCs w:val="24"/>
          <w:lang w:val="en-US"/>
        </w:rPr>
        <w:t xml:space="preserve"> through </w:t>
      </w:r>
      <w:r>
        <w:rPr>
          <w:rFonts w:asciiTheme="minorHAnsi" w:hAnsiTheme="minorHAnsi" w:cstheme="minorHAnsi"/>
          <w:iCs/>
          <w:sz w:val="24"/>
          <w:szCs w:val="24"/>
          <w:lang w:val="en-US"/>
        </w:rPr>
        <w:t>r</w:t>
      </w:r>
      <w:r w:rsidRPr="009B0DBC">
        <w:rPr>
          <w:rFonts w:asciiTheme="minorHAnsi" w:hAnsiTheme="minorHAnsi" w:cstheme="minorHAnsi"/>
          <w:iCs/>
          <w:sz w:val="24"/>
          <w:szCs w:val="24"/>
          <w:lang w:val="en-US"/>
        </w:rPr>
        <w:t xml:space="preserve">egulations. </w:t>
      </w:r>
      <w:r w:rsidR="005A721C">
        <w:rPr>
          <w:rFonts w:asciiTheme="minorHAnsi" w:hAnsiTheme="minorHAnsi" w:cstheme="minorHAnsi"/>
          <w:iCs/>
          <w:sz w:val="24"/>
          <w:szCs w:val="24"/>
          <w:lang w:val="en-US"/>
        </w:rPr>
        <w:t>This is due to OEI being a new framework.</w:t>
      </w:r>
    </w:p>
    <w:p w14:paraId="6C412E5C" w14:textId="77777777" w:rsidR="001C1666" w:rsidRDefault="001C1666" w:rsidP="00CE74AA">
      <w:pPr>
        <w:pStyle w:val="CommentText"/>
        <w:rPr>
          <w:rFonts w:asciiTheme="minorHAnsi" w:hAnsiTheme="minorHAnsi" w:cstheme="minorHAnsi"/>
          <w:iCs/>
          <w:sz w:val="24"/>
          <w:szCs w:val="24"/>
          <w:lang w:val="en-US"/>
        </w:rPr>
      </w:pPr>
    </w:p>
    <w:p w14:paraId="2FD069A2" w14:textId="304871D9" w:rsidR="00681164" w:rsidRDefault="001C1666" w:rsidP="00681164">
      <w:pPr>
        <w:pStyle w:val="CommentText"/>
        <w:rPr>
          <w:rFonts w:asciiTheme="minorHAnsi" w:hAnsiTheme="minorHAnsi" w:cstheme="minorHAnsi"/>
          <w:iCs/>
          <w:sz w:val="24"/>
          <w:szCs w:val="24"/>
          <w:lang w:val="en-US"/>
        </w:rPr>
      </w:pPr>
      <w:r w:rsidRPr="009B0DBC">
        <w:rPr>
          <w:rFonts w:asciiTheme="minorHAnsi" w:hAnsiTheme="minorHAnsi" w:cstheme="minorHAnsi"/>
          <w:iCs/>
          <w:sz w:val="24"/>
          <w:szCs w:val="24"/>
          <w:lang w:val="en-US"/>
        </w:rPr>
        <w:t xml:space="preserve">The major budget risk for </w:t>
      </w:r>
      <w:r>
        <w:rPr>
          <w:rFonts w:asciiTheme="minorHAnsi" w:hAnsiTheme="minorHAnsi" w:cstheme="minorHAnsi"/>
          <w:iCs/>
          <w:sz w:val="24"/>
          <w:szCs w:val="24"/>
          <w:lang w:val="en-US"/>
        </w:rPr>
        <w:t>the Registrar</w:t>
      </w:r>
      <w:r w:rsidRPr="009B0DBC">
        <w:rPr>
          <w:rFonts w:asciiTheme="minorHAnsi" w:hAnsiTheme="minorHAnsi" w:cstheme="minorHAnsi"/>
          <w:iCs/>
          <w:sz w:val="24"/>
          <w:szCs w:val="24"/>
          <w:lang w:val="en-US"/>
        </w:rPr>
        <w:t xml:space="preserve"> would be a significant </w:t>
      </w:r>
      <w:r>
        <w:rPr>
          <w:rFonts w:asciiTheme="minorHAnsi" w:hAnsiTheme="minorHAnsi" w:cstheme="minorHAnsi"/>
          <w:iCs/>
          <w:sz w:val="24"/>
          <w:szCs w:val="24"/>
          <w:lang w:val="en-US"/>
        </w:rPr>
        <w:t xml:space="preserve">delay or </w:t>
      </w:r>
      <w:r w:rsidRPr="009B0DBC">
        <w:rPr>
          <w:rFonts w:asciiTheme="minorHAnsi" w:hAnsiTheme="minorHAnsi" w:cstheme="minorHAnsi"/>
          <w:iCs/>
          <w:sz w:val="24"/>
          <w:szCs w:val="24"/>
          <w:lang w:val="en-US"/>
        </w:rPr>
        <w:t>decrease</w:t>
      </w:r>
      <w:r>
        <w:rPr>
          <w:rFonts w:asciiTheme="minorHAnsi" w:hAnsiTheme="minorHAnsi" w:cstheme="minorHAnsi"/>
          <w:iCs/>
          <w:sz w:val="24"/>
          <w:szCs w:val="24"/>
          <w:lang w:val="en-US"/>
        </w:rPr>
        <w:t xml:space="preserve"> </w:t>
      </w:r>
      <w:r w:rsidRPr="009B0DBC">
        <w:rPr>
          <w:rFonts w:asciiTheme="minorHAnsi" w:hAnsiTheme="minorHAnsi" w:cstheme="minorHAnsi"/>
          <w:iCs/>
          <w:sz w:val="24"/>
          <w:szCs w:val="24"/>
          <w:lang w:val="en-US"/>
        </w:rPr>
        <w:t xml:space="preserve">in the number </w:t>
      </w:r>
      <w:r>
        <w:rPr>
          <w:rFonts w:asciiTheme="minorHAnsi" w:hAnsiTheme="minorHAnsi" w:cstheme="minorHAnsi"/>
          <w:iCs/>
          <w:sz w:val="24"/>
          <w:szCs w:val="24"/>
          <w:lang w:val="en-US"/>
        </w:rPr>
        <w:t xml:space="preserve">of </w:t>
      </w:r>
      <w:r w:rsidRPr="009B0DBC">
        <w:rPr>
          <w:rFonts w:asciiTheme="minorHAnsi" w:hAnsiTheme="minorHAnsi" w:cstheme="minorHAnsi"/>
          <w:iCs/>
          <w:sz w:val="24"/>
          <w:szCs w:val="24"/>
          <w:lang w:val="en-US"/>
        </w:rPr>
        <w:t xml:space="preserve">applications for </w:t>
      </w:r>
      <w:r>
        <w:rPr>
          <w:rFonts w:asciiTheme="minorHAnsi" w:hAnsiTheme="minorHAnsi" w:cstheme="minorHAnsi"/>
          <w:iCs/>
          <w:sz w:val="24"/>
          <w:szCs w:val="24"/>
          <w:lang w:val="en-US"/>
        </w:rPr>
        <w:t xml:space="preserve">licences </w:t>
      </w:r>
      <w:r w:rsidRPr="009B0DBC">
        <w:rPr>
          <w:rFonts w:asciiTheme="minorHAnsi" w:hAnsiTheme="minorHAnsi" w:cstheme="minorHAnsi"/>
          <w:iCs/>
          <w:sz w:val="24"/>
          <w:szCs w:val="24"/>
          <w:lang w:val="en-US"/>
        </w:rPr>
        <w:t xml:space="preserve">and/or </w:t>
      </w:r>
      <w:r>
        <w:rPr>
          <w:rFonts w:asciiTheme="minorHAnsi" w:hAnsiTheme="minorHAnsi" w:cstheme="minorHAnsi"/>
          <w:iCs/>
          <w:sz w:val="24"/>
          <w:szCs w:val="24"/>
          <w:lang w:val="en-US"/>
        </w:rPr>
        <w:t>the number of licences granted (</w:t>
      </w:r>
      <w:r w:rsidRPr="00D71D09">
        <w:rPr>
          <w:rFonts w:asciiTheme="minorHAnsi" w:hAnsiTheme="minorHAnsi" w:cstheme="minorHAnsi"/>
          <w:b/>
          <w:bCs/>
          <w:iCs/>
          <w:sz w:val="24"/>
          <w:szCs w:val="24"/>
          <w:lang w:val="en-US"/>
        </w:rPr>
        <w:t>Table 6</w:t>
      </w:r>
      <w:r>
        <w:rPr>
          <w:rFonts w:asciiTheme="minorHAnsi" w:hAnsiTheme="minorHAnsi" w:cstheme="minorHAnsi"/>
          <w:iCs/>
          <w:sz w:val="24"/>
          <w:szCs w:val="24"/>
          <w:lang w:val="en-US"/>
        </w:rPr>
        <w:t>)</w:t>
      </w:r>
      <w:r w:rsidRPr="009B0DBC">
        <w:rPr>
          <w:rFonts w:asciiTheme="minorHAnsi" w:hAnsiTheme="minorHAnsi" w:cstheme="minorHAnsi"/>
          <w:iCs/>
          <w:sz w:val="24"/>
          <w:szCs w:val="24"/>
          <w:lang w:val="en-US"/>
        </w:rPr>
        <w:t>.</w:t>
      </w:r>
      <w:r>
        <w:rPr>
          <w:rFonts w:asciiTheme="minorHAnsi" w:hAnsiTheme="minorHAnsi" w:cstheme="minorHAnsi"/>
          <w:iCs/>
          <w:sz w:val="24"/>
          <w:szCs w:val="24"/>
          <w:lang w:val="en-US"/>
        </w:rPr>
        <w:t xml:space="preserve"> The application fees and </w:t>
      </w:r>
      <w:r>
        <w:rPr>
          <w:rFonts w:asciiTheme="minorHAnsi" w:hAnsiTheme="minorHAnsi" w:cstheme="minorHAnsi"/>
          <w:iCs/>
          <w:sz w:val="24"/>
          <w:szCs w:val="24"/>
          <w:lang w:val="en-US"/>
        </w:rPr>
        <w:br/>
        <w:t>annual licence levy are the Registrar’s only source of revenue.</w:t>
      </w:r>
    </w:p>
    <w:p w14:paraId="69713BF3" w14:textId="77777777" w:rsidR="00681164" w:rsidRDefault="00681164" w:rsidP="00681164">
      <w:pPr>
        <w:pStyle w:val="CommentText"/>
        <w:rPr>
          <w:rFonts w:asciiTheme="minorHAnsi" w:hAnsiTheme="minorHAnsi" w:cstheme="minorHAnsi"/>
          <w:iCs/>
          <w:sz w:val="24"/>
          <w:szCs w:val="24"/>
          <w:lang w:val="en-US"/>
        </w:rPr>
      </w:pPr>
    </w:p>
    <w:p w14:paraId="3815D0CA" w14:textId="4091D05F" w:rsidR="00681164" w:rsidRDefault="00681164" w:rsidP="00681164">
      <w:pPr>
        <w:pStyle w:val="CommentText"/>
        <w:rPr>
          <w:rFonts w:asciiTheme="minorHAnsi" w:hAnsiTheme="minorHAnsi" w:cstheme="minorHAnsi"/>
          <w:iCs/>
          <w:sz w:val="24"/>
          <w:szCs w:val="24"/>
          <w:lang w:val="en-US"/>
        </w:rPr>
      </w:pPr>
      <w:r w:rsidRPr="009B0DBC">
        <w:rPr>
          <w:rFonts w:asciiTheme="minorHAnsi" w:hAnsiTheme="minorHAnsi" w:cstheme="minorHAnsi"/>
          <w:iCs/>
          <w:sz w:val="24"/>
          <w:szCs w:val="24"/>
          <w:lang w:val="en-US"/>
        </w:rPr>
        <w:t xml:space="preserve">To mitigate exposure to potential </w:t>
      </w:r>
      <w:r>
        <w:rPr>
          <w:rFonts w:asciiTheme="minorHAnsi" w:hAnsiTheme="minorHAnsi" w:cstheme="minorHAnsi"/>
          <w:iCs/>
          <w:sz w:val="24"/>
          <w:szCs w:val="24"/>
          <w:lang w:val="en-US"/>
        </w:rPr>
        <w:t>inconsistencies and unknown patterns in an emerging industry</w:t>
      </w:r>
      <w:r w:rsidRPr="009B0DBC">
        <w:rPr>
          <w:rFonts w:asciiTheme="minorHAnsi" w:hAnsiTheme="minorHAnsi" w:cstheme="minorHAnsi"/>
          <w:iCs/>
          <w:sz w:val="24"/>
          <w:szCs w:val="24"/>
          <w:lang w:val="en-US"/>
        </w:rPr>
        <w:t xml:space="preserve">, </w:t>
      </w:r>
      <w:r w:rsidR="002B6588">
        <w:rPr>
          <w:rFonts w:asciiTheme="minorHAnsi" w:hAnsiTheme="minorHAnsi" w:cstheme="minorHAnsi"/>
          <w:iCs/>
          <w:sz w:val="24"/>
          <w:szCs w:val="24"/>
          <w:lang w:val="en-US"/>
        </w:rPr>
        <w:br/>
        <w:t>the Registrar</w:t>
      </w:r>
      <w:r w:rsidRPr="009B0DBC">
        <w:rPr>
          <w:rFonts w:asciiTheme="minorHAnsi" w:hAnsiTheme="minorHAnsi" w:cstheme="minorHAnsi"/>
          <w:iCs/>
          <w:sz w:val="24"/>
          <w:szCs w:val="24"/>
          <w:lang w:val="en-US"/>
        </w:rPr>
        <w:t xml:space="preserve"> aims to </w:t>
      </w:r>
      <w:r>
        <w:rPr>
          <w:rFonts w:asciiTheme="minorHAnsi" w:hAnsiTheme="minorHAnsi" w:cstheme="minorHAnsi"/>
          <w:iCs/>
          <w:sz w:val="24"/>
          <w:szCs w:val="24"/>
          <w:lang w:val="en-US"/>
        </w:rPr>
        <w:t xml:space="preserve">build a reserve over the initial </w:t>
      </w:r>
      <w:r w:rsidR="009B0FFE">
        <w:rPr>
          <w:rFonts w:asciiTheme="minorHAnsi" w:hAnsiTheme="minorHAnsi" w:cstheme="minorHAnsi"/>
          <w:iCs/>
          <w:sz w:val="24"/>
          <w:szCs w:val="24"/>
          <w:lang w:val="en-US"/>
        </w:rPr>
        <w:t>three-year</w:t>
      </w:r>
      <w:r>
        <w:rPr>
          <w:rFonts w:asciiTheme="minorHAnsi" w:hAnsiTheme="minorHAnsi" w:cstheme="minorHAnsi"/>
          <w:iCs/>
          <w:sz w:val="24"/>
          <w:szCs w:val="24"/>
          <w:lang w:val="en-US"/>
        </w:rPr>
        <w:t xml:space="preserve"> period, to be maintained over future CRIS </w:t>
      </w:r>
      <w:r w:rsidR="00071011">
        <w:rPr>
          <w:rFonts w:asciiTheme="minorHAnsi" w:hAnsiTheme="minorHAnsi" w:cstheme="minorHAnsi"/>
          <w:iCs/>
          <w:sz w:val="24"/>
          <w:szCs w:val="24"/>
          <w:lang w:val="en-US"/>
        </w:rPr>
        <w:t>revisions,</w:t>
      </w:r>
      <w:r>
        <w:rPr>
          <w:rFonts w:asciiTheme="minorHAnsi" w:hAnsiTheme="minorHAnsi" w:cstheme="minorHAnsi"/>
          <w:iCs/>
          <w:sz w:val="24"/>
          <w:szCs w:val="24"/>
          <w:lang w:val="en-US"/>
        </w:rPr>
        <w:t xml:space="preserve"> </w:t>
      </w:r>
      <w:r w:rsidRPr="009B0DBC">
        <w:rPr>
          <w:rFonts w:asciiTheme="minorHAnsi" w:hAnsiTheme="minorHAnsi" w:cstheme="minorHAnsi"/>
          <w:iCs/>
          <w:sz w:val="24"/>
          <w:szCs w:val="24"/>
          <w:lang w:val="en-US"/>
        </w:rPr>
        <w:t xml:space="preserve">as a financially responsible measure. </w:t>
      </w:r>
      <w:r>
        <w:rPr>
          <w:rFonts w:asciiTheme="minorHAnsi" w:hAnsiTheme="minorHAnsi" w:cstheme="minorHAnsi"/>
          <w:iCs/>
          <w:sz w:val="24"/>
          <w:szCs w:val="24"/>
          <w:lang w:val="en-US"/>
        </w:rPr>
        <w:t>It is intended to maintain approximately $1</w:t>
      </w:r>
      <w:r w:rsidR="004358DA">
        <w:rPr>
          <w:rFonts w:asciiTheme="minorHAnsi" w:hAnsiTheme="minorHAnsi" w:cstheme="minorHAnsi"/>
          <w:iCs/>
          <w:sz w:val="24"/>
          <w:szCs w:val="24"/>
          <w:lang w:val="en-US"/>
        </w:rPr>
        <w:t xml:space="preserve"> </w:t>
      </w:r>
      <w:r>
        <w:rPr>
          <w:rFonts w:asciiTheme="minorHAnsi" w:hAnsiTheme="minorHAnsi" w:cstheme="minorHAnsi"/>
          <w:iCs/>
          <w:sz w:val="24"/>
          <w:szCs w:val="24"/>
          <w:lang w:val="en-US"/>
        </w:rPr>
        <w:t>million</w:t>
      </w:r>
      <w:r w:rsidR="002B6588">
        <w:rPr>
          <w:rFonts w:asciiTheme="minorHAnsi" w:hAnsiTheme="minorHAnsi" w:cstheme="minorHAnsi"/>
          <w:iCs/>
          <w:sz w:val="24"/>
          <w:szCs w:val="24"/>
          <w:lang w:val="en-US"/>
        </w:rPr>
        <w:t xml:space="preserve"> in reserve</w:t>
      </w:r>
      <w:r>
        <w:rPr>
          <w:rFonts w:asciiTheme="minorHAnsi" w:hAnsiTheme="minorHAnsi" w:cstheme="minorHAnsi"/>
          <w:iCs/>
          <w:sz w:val="24"/>
          <w:szCs w:val="24"/>
          <w:lang w:val="en-US"/>
        </w:rPr>
        <w:t>.</w:t>
      </w:r>
      <w:r w:rsidR="002B6588">
        <w:rPr>
          <w:rFonts w:asciiTheme="minorHAnsi" w:hAnsiTheme="minorHAnsi" w:cstheme="minorHAnsi"/>
          <w:iCs/>
          <w:sz w:val="24"/>
          <w:szCs w:val="24"/>
          <w:lang w:val="en-US"/>
        </w:rPr>
        <w:t xml:space="preserve"> </w:t>
      </w:r>
      <w:r w:rsidRPr="009B0DBC">
        <w:rPr>
          <w:rFonts w:asciiTheme="minorHAnsi" w:hAnsiTheme="minorHAnsi" w:cstheme="minorHAnsi"/>
          <w:iCs/>
          <w:sz w:val="24"/>
          <w:szCs w:val="24"/>
          <w:lang w:val="en-US"/>
        </w:rPr>
        <w:t xml:space="preserve">This enables </w:t>
      </w:r>
      <w:r w:rsidR="002B6588">
        <w:rPr>
          <w:rFonts w:asciiTheme="minorHAnsi" w:hAnsiTheme="minorHAnsi" w:cstheme="minorHAnsi"/>
          <w:iCs/>
          <w:sz w:val="24"/>
          <w:szCs w:val="24"/>
          <w:lang w:val="en-US"/>
        </w:rPr>
        <w:t>the Registrar</w:t>
      </w:r>
      <w:r w:rsidRPr="009B0DBC">
        <w:rPr>
          <w:rFonts w:asciiTheme="minorHAnsi" w:hAnsiTheme="minorHAnsi" w:cstheme="minorHAnsi"/>
          <w:iCs/>
          <w:sz w:val="24"/>
          <w:szCs w:val="24"/>
          <w:lang w:val="en-US"/>
        </w:rPr>
        <w:t xml:space="preserve"> to manage its cash flow as revenue fluctuates from month to month while cash outflows are relatively stable. </w:t>
      </w:r>
      <w:r>
        <w:rPr>
          <w:rFonts w:asciiTheme="minorHAnsi" w:hAnsiTheme="minorHAnsi" w:cstheme="minorHAnsi"/>
          <w:iCs/>
          <w:sz w:val="24"/>
          <w:szCs w:val="24"/>
          <w:lang w:val="en-US"/>
        </w:rPr>
        <w:t xml:space="preserve">It will also allow </w:t>
      </w:r>
      <w:r w:rsidR="002B6588">
        <w:rPr>
          <w:rFonts w:asciiTheme="minorHAnsi" w:hAnsiTheme="minorHAnsi" w:cstheme="minorHAnsi"/>
          <w:iCs/>
          <w:sz w:val="24"/>
          <w:szCs w:val="24"/>
          <w:lang w:val="en-US"/>
        </w:rPr>
        <w:t>the Registrar</w:t>
      </w:r>
      <w:r>
        <w:rPr>
          <w:rFonts w:asciiTheme="minorHAnsi" w:hAnsiTheme="minorHAnsi" w:cstheme="minorHAnsi"/>
          <w:iCs/>
          <w:sz w:val="24"/>
          <w:szCs w:val="24"/>
          <w:lang w:val="en-US"/>
        </w:rPr>
        <w:t xml:space="preserve"> to maintain a base staffing level to provide ongoing administration and assistance to the </w:t>
      </w:r>
      <w:r w:rsidR="002B6588">
        <w:rPr>
          <w:rFonts w:asciiTheme="minorHAnsi" w:hAnsiTheme="minorHAnsi" w:cstheme="minorHAnsi"/>
          <w:iCs/>
          <w:sz w:val="24"/>
          <w:szCs w:val="24"/>
          <w:lang w:val="en-US"/>
        </w:rPr>
        <w:t>OEI</w:t>
      </w:r>
      <w:r>
        <w:rPr>
          <w:rFonts w:asciiTheme="minorHAnsi" w:hAnsiTheme="minorHAnsi" w:cstheme="minorHAnsi"/>
          <w:iCs/>
          <w:sz w:val="24"/>
          <w:szCs w:val="24"/>
          <w:lang w:val="en-US"/>
        </w:rPr>
        <w:t xml:space="preserve"> </w:t>
      </w:r>
      <w:r w:rsidR="004358DA">
        <w:rPr>
          <w:rFonts w:asciiTheme="minorHAnsi" w:hAnsiTheme="minorHAnsi" w:cstheme="minorHAnsi"/>
          <w:iCs/>
          <w:sz w:val="24"/>
          <w:szCs w:val="24"/>
          <w:lang w:val="en-US"/>
        </w:rPr>
        <w:t>s</w:t>
      </w:r>
      <w:r>
        <w:rPr>
          <w:rFonts w:asciiTheme="minorHAnsi" w:hAnsiTheme="minorHAnsi" w:cstheme="minorHAnsi"/>
          <w:iCs/>
          <w:sz w:val="24"/>
          <w:szCs w:val="24"/>
          <w:lang w:val="en-US"/>
        </w:rPr>
        <w:t xml:space="preserve">ector. </w:t>
      </w:r>
      <w:r w:rsidRPr="009B0DBC">
        <w:rPr>
          <w:rFonts w:asciiTheme="minorHAnsi" w:hAnsiTheme="minorHAnsi" w:cstheme="minorHAnsi"/>
          <w:iCs/>
          <w:sz w:val="24"/>
          <w:szCs w:val="24"/>
          <w:lang w:val="en-US"/>
        </w:rPr>
        <w:t>For significant fluctuations in industry activity</w:t>
      </w:r>
      <w:r w:rsidR="002B6588">
        <w:rPr>
          <w:rFonts w:asciiTheme="minorHAnsi" w:hAnsiTheme="minorHAnsi" w:cstheme="minorHAnsi"/>
          <w:iCs/>
          <w:sz w:val="24"/>
          <w:szCs w:val="24"/>
          <w:lang w:val="en-US"/>
        </w:rPr>
        <w:t>,</w:t>
      </w:r>
      <w:r w:rsidRPr="009B0DBC">
        <w:rPr>
          <w:rFonts w:asciiTheme="minorHAnsi" w:hAnsiTheme="minorHAnsi" w:cstheme="minorHAnsi"/>
          <w:iCs/>
          <w:sz w:val="24"/>
          <w:szCs w:val="24"/>
          <w:lang w:val="en-US"/>
        </w:rPr>
        <w:t xml:space="preserve"> </w:t>
      </w:r>
      <w:r w:rsidR="002B6588">
        <w:rPr>
          <w:rFonts w:asciiTheme="minorHAnsi" w:hAnsiTheme="minorHAnsi" w:cstheme="minorHAnsi"/>
          <w:iCs/>
          <w:sz w:val="24"/>
          <w:szCs w:val="24"/>
          <w:lang w:val="en-US"/>
        </w:rPr>
        <w:t xml:space="preserve">the Registrar </w:t>
      </w:r>
      <w:r>
        <w:rPr>
          <w:rFonts w:asciiTheme="minorHAnsi" w:hAnsiTheme="minorHAnsi" w:cstheme="minorHAnsi"/>
          <w:iCs/>
          <w:sz w:val="24"/>
          <w:szCs w:val="24"/>
          <w:lang w:val="en-US"/>
        </w:rPr>
        <w:t>may engage the services of</w:t>
      </w:r>
      <w:r w:rsidRPr="009B0DBC">
        <w:rPr>
          <w:rFonts w:asciiTheme="minorHAnsi" w:hAnsiTheme="minorHAnsi" w:cstheme="minorHAnsi"/>
          <w:iCs/>
          <w:sz w:val="24"/>
          <w:szCs w:val="24"/>
          <w:lang w:val="en-US"/>
        </w:rPr>
        <w:t xml:space="preserve"> short-term contractors as appropriate.</w:t>
      </w:r>
    </w:p>
    <w:p w14:paraId="0E197C5C" w14:textId="02C49CFC" w:rsidR="00D71D09" w:rsidRDefault="00D71D09" w:rsidP="00CE74AA">
      <w:pPr>
        <w:pStyle w:val="CommentText"/>
        <w:rPr>
          <w:rFonts w:asciiTheme="minorHAnsi" w:hAnsiTheme="minorHAnsi" w:cstheme="minorHAnsi"/>
          <w:iCs/>
          <w:sz w:val="24"/>
          <w:szCs w:val="24"/>
          <w:lang w:val="en-US"/>
        </w:rPr>
      </w:pPr>
    </w:p>
    <w:p w14:paraId="144DE3D2" w14:textId="77777777" w:rsidR="009C13BE" w:rsidRDefault="009C13BE">
      <w:pPr>
        <w:spacing w:after="200" w:line="276" w:lineRule="auto"/>
        <w:rPr>
          <w:rFonts w:asciiTheme="minorHAnsi" w:hAnsiTheme="minorHAnsi" w:cstheme="minorHAnsi"/>
          <w:b/>
          <w:bCs/>
        </w:rPr>
      </w:pPr>
      <w:r>
        <w:rPr>
          <w:rFonts w:asciiTheme="minorHAnsi" w:hAnsiTheme="minorHAnsi" w:cstheme="minorHAnsi"/>
          <w:b/>
          <w:bCs/>
        </w:rPr>
        <w:br w:type="page"/>
      </w:r>
    </w:p>
    <w:p w14:paraId="2622E718" w14:textId="76A7895E" w:rsidR="00D45BAA" w:rsidRPr="00C55966" w:rsidRDefault="00D71D09" w:rsidP="00D71D09">
      <w:pPr>
        <w:rPr>
          <w:rFonts w:asciiTheme="minorHAnsi" w:hAnsiTheme="minorHAnsi" w:cstheme="minorHAnsi"/>
        </w:rPr>
      </w:pPr>
      <w:r w:rsidRPr="00E50FD8">
        <w:rPr>
          <w:rFonts w:asciiTheme="minorHAnsi" w:hAnsiTheme="minorHAnsi" w:cstheme="minorHAnsi"/>
          <w:b/>
          <w:bCs/>
        </w:rPr>
        <w:lastRenderedPageBreak/>
        <w:t xml:space="preserve">Table </w:t>
      </w:r>
      <w:r>
        <w:rPr>
          <w:rFonts w:asciiTheme="minorHAnsi" w:hAnsiTheme="minorHAnsi" w:cstheme="minorHAnsi"/>
          <w:b/>
          <w:bCs/>
        </w:rPr>
        <w:t>6</w:t>
      </w:r>
      <w:r w:rsidRPr="00E50FD8">
        <w:rPr>
          <w:rFonts w:asciiTheme="minorHAnsi" w:hAnsiTheme="minorHAnsi" w:cstheme="minorHAnsi"/>
          <w:b/>
          <w:bCs/>
        </w:rPr>
        <w:t>:</w:t>
      </w:r>
      <w:r>
        <w:rPr>
          <w:rFonts w:asciiTheme="minorHAnsi" w:hAnsiTheme="minorHAnsi" w:cstheme="minorHAnsi"/>
        </w:rPr>
        <w:t xml:space="preserve"> Cost recovery structure for OEI activities in </w:t>
      </w:r>
      <w:r w:rsidR="00465868">
        <w:rPr>
          <w:rFonts w:ascii="Calibri" w:hAnsi="Calibri" w:cs="Calibri"/>
          <w:color w:val="000000"/>
        </w:rPr>
        <w:t>2022-23 to 2024-25</w:t>
      </w:r>
    </w:p>
    <w:tbl>
      <w:tblPr>
        <w:tblStyle w:val="GridTable4-Accent1"/>
        <w:tblW w:w="9558" w:type="dxa"/>
        <w:tblLook w:val="04A0" w:firstRow="1" w:lastRow="0" w:firstColumn="1" w:lastColumn="0" w:noHBand="0" w:noVBand="1"/>
      </w:tblPr>
      <w:tblGrid>
        <w:gridCol w:w="5244"/>
        <w:gridCol w:w="1438"/>
        <w:gridCol w:w="1438"/>
        <w:gridCol w:w="1438"/>
      </w:tblGrid>
      <w:tr w:rsidR="001D64AC" w:rsidRPr="00572968" w14:paraId="4D615F34" w14:textId="77777777" w:rsidTr="00D637F6">
        <w:trPr>
          <w:cnfStyle w:val="100000000000" w:firstRow="1" w:lastRow="0" w:firstColumn="0" w:lastColumn="0" w:oddVBand="0" w:evenVBand="0" w:oddHBand="0"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0" w:type="auto"/>
            <w:hideMark/>
          </w:tcPr>
          <w:p w14:paraId="0FD19AC5" w14:textId="77777777" w:rsidR="001D64AC" w:rsidRPr="00572968" w:rsidRDefault="001D64AC" w:rsidP="00461245">
            <w:pPr>
              <w:rPr>
                <w:rFonts w:ascii="Calibri" w:hAnsi="Calibri" w:cs="Calibri"/>
                <w:b w:val="0"/>
                <w:bCs w:val="0"/>
                <w:color w:val="FFFFFF"/>
                <w:lang w:eastAsia="en-AU"/>
              </w:rPr>
            </w:pPr>
            <w:r w:rsidRPr="00572968">
              <w:rPr>
                <w:rFonts w:ascii="Calibri" w:hAnsi="Calibri" w:cs="Calibri"/>
                <w:color w:val="FFFFFF"/>
                <w:lang w:eastAsia="en-AU"/>
              </w:rPr>
              <w:t xml:space="preserve">Differential In Estimated Costs and Revenues </w:t>
            </w:r>
          </w:p>
        </w:tc>
        <w:tc>
          <w:tcPr>
            <w:tcW w:w="0" w:type="auto"/>
            <w:gridSpan w:val="3"/>
            <w:hideMark/>
          </w:tcPr>
          <w:p w14:paraId="0FA0BEBB" w14:textId="77777777" w:rsidR="001D64AC" w:rsidRDefault="001D64AC" w:rsidP="001D64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lang w:eastAsia="en-AU"/>
              </w:rPr>
            </w:pPr>
            <w:r w:rsidRPr="00572968">
              <w:rPr>
                <w:rFonts w:ascii="Calibri" w:hAnsi="Calibri" w:cs="Calibri"/>
                <w:color w:val="FFFFFF"/>
                <w:lang w:eastAsia="en-AU"/>
              </w:rPr>
              <w:t>Financial Yea</w:t>
            </w:r>
            <w:r>
              <w:rPr>
                <w:rFonts w:ascii="Calibri" w:hAnsi="Calibri" w:cs="Calibri"/>
                <w:color w:val="FFFFFF"/>
                <w:lang w:eastAsia="en-AU"/>
              </w:rPr>
              <w:t>r</w:t>
            </w:r>
          </w:p>
          <w:p w14:paraId="772B2618" w14:textId="1D62E193" w:rsidR="001D64AC" w:rsidRPr="00572968" w:rsidRDefault="001D64AC" w:rsidP="001D64AC">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lang w:eastAsia="en-AU"/>
              </w:rPr>
            </w:pPr>
            <w:r>
              <w:rPr>
                <w:rFonts w:ascii="Calibri" w:hAnsi="Calibri" w:cs="Calibri"/>
                <w:color w:val="FFFFFF"/>
                <w:lang w:eastAsia="en-AU"/>
              </w:rPr>
              <w:t xml:space="preserve">  </w:t>
            </w:r>
            <w:r w:rsidRPr="00572968">
              <w:rPr>
                <w:rFonts w:ascii="Calibri" w:hAnsi="Calibri" w:cs="Calibri"/>
                <w:color w:val="FFFFFF"/>
                <w:lang w:eastAsia="en-AU"/>
              </w:rPr>
              <w:t xml:space="preserve">2022-23       </w:t>
            </w:r>
            <w:r>
              <w:rPr>
                <w:rFonts w:ascii="Calibri" w:hAnsi="Calibri" w:cs="Calibri"/>
                <w:color w:val="FFFFFF"/>
                <w:lang w:eastAsia="en-AU"/>
              </w:rPr>
              <w:t xml:space="preserve">   </w:t>
            </w:r>
            <w:r w:rsidR="00CF781A">
              <w:rPr>
                <w:rFonts w:ascii="Calibri" w:hAnsi="Calibri" w:cs="Calibri"/>
                <w:color w:val="FFFFFF"/>
                <w:lang w:eastAsia="en-AU"/>
              </w:rPr>
              <w:t xml:space="preserve"> </w:t>
            </w:r>
            <w:r w:rsidRPr="00572968">
              <w:rPr>
                <w:rFonts w:ascii="Calibri" w:hAnsi="Calibri" w:cs="Calibri"/>
                <w:color w:val="FFFFFF"/>
                <w:lang w:eastAsia="en-AU"/>
              </w:rPr>
              <w:t xml:space="preserve"> 2023-24</w:t>
            </w:r>
            <w:r>
              <w:rPr>
                <w:rFonts w:ascii="Calibri" w:hAnsi="Calibri" w:cs="Calibri"/>
                <w:color w:val="FFFFFF"/>
                <w:lang w:eastAsia="en-AU"/>
              </w:rPr>
              <w:t xml:space="preserve">      </w:t>
            </w:r>
            <w:r w:rsidR="00CF781A">
              <w:rPr>
                <w:rFonts w:ascii="Calibri" w:hAnsi="Calibri" w:cs="Calibri"/>
                <w:color w:val="FFFFFF"/>
                <w:lang w:eastAsia="en-AU"/>
              </w:rPr>
              <w:t xml:space="preserve"> </w:t>
            </w:r>
            <w:r>
              <w:rPr>
                <w:rFonts w:ascii="Calibri" w:hAnsi="Calibri" w:cs="Calibri"/>
                <w:color w:val="FFFFFF"/>
                <w:lang w:eastAsia="en-AU"/>
              </w:rPr>
              <w:t xml:space="preserve">   </w:t>
            </w:r>
            <w:r w:rsidRPr="00572968">
              <w:rPr>
                <w:rFonts w:ascii="Calibri" w:hAnsi="Calibri" w:cs="Calibri"/>
                <w:color w:val="FFFFFF"/>
                <w:lang w:eastAsia="en-AU"/>
              </w:rPr>
              <w:t>2024-2</w:t>
            </w:r>
            <w:r>
              <w:rPr>
                <w:rFonts w:ascii="Calibri" w:hAnsi="Calibri" w:cs="Calibri"/>
                <w:color w:val="FFFFFF"/>
                <w:lang w:eastAsia="en-AU"/>
              </w:rPr>
              <w:t>5</w:t>
            </w:r>
          </w:p>
        </w:tc>
      </w:tr>
      <w:tr w:rsidR="002721CB" w:rsidRPr="00572968" w14:paraId="61389C62" w14:textId="77777777" w:rsidTr="001D64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4"/>
            <w:hideMark/>
          </w:tcPr>
          <w:p w14:paraId="4760A221" w14:textId="77777777" w:rsidR="002721CB" w:rsidRPr="00572968" w:rsidRDefault="002721CB" w:rsidP="00461245">
            <w:pPr>
              <w:rPr>
                <w:rFonts w:ascii="Calibri" w:hAnsi="Calibri" w:cs="Calibri"/>
                <w:b w:val="0"/>
                <w:bCs w:val="0"/>
                <w:color w:val="17365D"/>
                <w:sz w:val="20"/>
                <w:szCs w:val="20"/>
                <w:lang w:eastAsia="en-AU"/>
              </w:rPr>
            </w:pPr>
            <w:r w:rsidRPr="00572968">
              <w:rPr>
                <w:rFonts w:ascii="Calibri" w:hAnsi="Calibri" w:cs="Calibri"/>
                <w:color w:val="17365D"/>
                <w:sz w:val="20"/>
                <w:szCs w:val="20"/>
                <w:lang w:eastAsia="en-AU"/>
              </w:rPr>
              <w:t>Application Fees</w:t>
            </w:r>
          </w:p>
        </w:tc>
      </w:tr>
      <w:tr w:rsidR="002721CB" w:rsidRPr="00572968" w14:paraId="60583C22" w14:textId="77777777" w:rsidTr="001D64AC">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3D457FB" w14:textId="77777777" w:rsidR="002721CB" w:rsidRPr="001D64AC" w:rsidRDefault="002721CB" w:rsidP="00461245">
            <w:pPr>
              <w:rPr>
                <w:rFonts w:ascii="Calibri" w:hAnsi="Calibri" w:cs="Calibri"/>
                <w:b w:val="0"/>
                <w:bCs w:val="0"/>
                <w:color w:val="17365D"/>
                <w:sz w:val="20"/>
                <w:szCs w:val="20"/>
                <w:lang w:eastAsia="en-AU"/>
              </w:rPr>
            </w:pPr>
            <w:r w:rsidRPr="001D64AC">
              <w:rPr>
                <w:rFonts w:ascii="Calibri" w:hAnsi="Calibri" w:cs="Calibri"/>
                <w:b w:val="0"/>
                <w:bCs w:val="0"/>
                <w:color w:val="17365D"/>
                <w:sz w:val="20"/>
                <w:szCs w:val="20"/>
                <w:lang w:eastAsia="en-AU"/>
              </w:rPr>
              <w:t>Required Application Fee Revenue (Approx. 60%)</w:t>
            </w:r>
          </w:p>
        </w:tc>
        <w:tc>
          <w:tcPr>
            <w:tcW w:w="0" w:type="auto"/>
            <w:hideMark/>
          </w:tcPr>
          <w:p w14:paraId="1440261B" w14:textId="77777777" w:rsidR="002721CB" w:rsidRPr="00572968" w:rsidRDefault="002721CB" w:rsidP="004612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17365D"/>
                <w:sz w:val="20"/>
                <w:szCs w:val="20"/>
                <w:lang w:eastAsia="en-AU"/>
              </w:rPr>
            </w:pPr>
            <w:r w:rsidRPr="00572968">
              <w:rPr>
                <w:rFonts w:ascii="Calibri" w:hAnsi="Calibri" w:cs="Calibri"/>
                <w:color w:val="17365D"/>
                <w:sz w:val="20"/>
                <w:szCs w:val="20"/>
                <w:lang w:eastAsia="en-AU"/>
              </w:rPr>
              <w:t>$729,307</w:t>
            </w:r>
          </w:p>
        </w:tc>
        <w:tc>
          <w:tcPr>
            <w:tcW w:w="0" w:type="auto"/>
            <w:hideMark/>
          </w:tcPr>
          <w:p w14:paraId="7C029F30" w14:textId="77777777" w:rsidR="002721CB" w:rsidRPr="00572968" w:rsidRDefault="002721CB" w:rsidP="004612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17365D"/>
                <w:sz w:val="20"/>
                <w:szCs w:val="20"/>
                <w:lang w:eastAsia="en-AU"/>
              </w:rPr>
            </w:pPr>
            <w:r w:rsidRPr="00572968">
              <w:rPr>
                <w:rFonts w:ascii="Calibri" w:hAnsi="Calibri" w:cs="Calibri"/>
                <w:color w:val="17365D"/>
                <w:sz w:val="20"/>
                <w:szCs w:val="20"/>
                <w:lang w:eastAsia="en-AU"/>
              </w:rPr>
              <w:t>$762,986</w:t>
            </w:r>
          </w:p>
        </w:tc>
        <w:tc>
          <w:tcPr>
            <w:tcW w:w="0" w:type="auto"/>
            <w:hideMark/>
          </w:tcPr>
          <w:p w14:paraId="0BA1FC49" w14:textId="77777777" w:rsidR="002721CB" w:rsidRPr="00572968" w:rsidRDefault="002721CB" w:rsidP="004612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17365D"/>
                <w:sz w:val="20"/>
                <w:szCs w:val="20"/>
                <w:lang w:eastAsia="en-AU"/>
              </w:rPr>
            </w:pPr>
            <w:r w:rsidRPr="00572968">
              <w:rPr>
                <w:rFonts w:ascii="Calibri" w:hAnsi="Calibri" w:cs="Calibri"/>
                <w:color w:val="17365D"/>
                <w:sz w:val="20"/>
                <w:szCs w:val="20"/>
                <w:lang w:eastAsia="en-AU"/>
              </w:rPr>
              <w:t>$779,326</w:t>
            </w:r>
          </w:p>
        </w:tc>
      </w:tr>
      <w:tr w:rsidR="002721CB" w:rsidRPr="00572968" w14:paraId="0147FEED" w14:textId="77777777" w:rsidTr="001D6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407C65C" w14:textId="77777777" w:rsidR="002721CB" w:rsidRPr="001D64AC" w:rsidRDefault="002721CB" w:rsidP="00461245">
            <w:pPr>
              <w:rPr>
                <w:rFonts w:ascii="Calibri" w:hAnsi="Calibri" w:cs="Calibri"/>
                <w:b w:val="0"/>
                <w:bCs w:val="0"/>
                <w:color w:val="17365D"/>
                <w:sz w:val="20"/>
                <w:szCs w:val="20"/>
                <w:lang w:eastAsia="en-AU"/>
              </w:rPr>
            </w:pPr>
            <w:r w:rsidRPr="001D64AC">
              <w:rPr>
                <w:rFonts w:ascii="Calibri" w:hAnsi="Calibri" w:cs="Calibri"/>
                <w:b w:val="0"/>
                <w:bCs w:val="0"/>
                <w:color w:val="17365D"/>
                <w:sz w:val="20"/>
                <w:szCs w:val="20"/>
                <w:lang w:eastAsia="en-AU"/>
              </w:rPr>
              <w:t>Estimated Application Fee Revenue (As at January 2022)</w:t>
            </w:r>
          </w:p>
        </w:tc>
        <w:tc>
          <w:tcPr>
            <w:tcW w:w="0" w:type="auto"/>
            <w:hideMark/>
          </w:tcPr>
          <w:p w14:paraId="29518161" w14:textId="77777777" w:rsidR="002721CB" w:rsidRPr="00572968" w:rsidRDefault="002721CB" w:rsidP="0046124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17365D"/>
                <w:sz w:val="20"/>
                <w:szCs w:val="20"/>
                <w:lang w:eastAsia="en-AU"/>
              </w:rPr>
            </w:pPr>
            <w:r w:rsidRPr="00572968">
              <w:rPr>
                <w:rFonts w:ascii="Calibri" w:hAnsi="Calibri" w:cs="Calibri"/>
                <w:color w:val="17365D"/>
                <w:sz w:val="20"/>
                <w:szCs w:val="20"/>
                <w:lang w:eastAsia="en-AU"/>
              </w:rPr>
              <w:t>$600,000</w:t>
            </w:r>
          </w:p>
        </w:tc>
        <w:tc>
          <w:tcPr>
            <w:tcW w:w="0" w:type="auto"/>
            <w:hideMark/>
          </w:tcPr>
          <w:p w14:paraId="36DD246E" w14:textId="77777777" w:rsidR="002721CB" w:rsidRPr="00572968" w:rsidRDefault="002721CB" w:rsidP="0046124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17365D"/>
                <w:sz w:val="20"/>
                <w:szCs w:val="20"/>
                <w:lang w:eastAsia="en-AU"/>
              </w:rPr>
            </w:pPr>
            <w:r w:rsidRPr="00572968">
              <w:rPr>
                <w:rFonts w:ascii="Calibri" w:hAnsi="Calibri" w:cs="Calibri"/>
                <w:color w:val="17365D"/>
                <w:sz w:val="20"/>
                <w:szCs w:val="20"/>
                <w:lang w:eastAsia="en-AU"/>
              </w:rPr>
              <w:t>$1,235,500</w:t>
            </w:r>
          </w:p>
        </w:tc>
        <w:tc>
          <w:tcPr>
            <w:tcW w:w="0" w:type="auto"/>
            <w:hideMark/>
          </w:tcPr>
          <w:p w14:paraId="5CCB60A8" w14:textId="77777777" w:rsidR="002721CB" w:rsidRPr="00572968" w:rsidRDefault="002721CB" w:rsidP="0046124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17365D"/>
                <w:sz w:val="20"/>
                <w:szCs w:val="20"/>
                <w:lang w:eastAsia="en-AU"/>
              </w:rPr>
            </w:pPr>
            <w:r w:rsidRPr="00572968">
              <w:rPr>
                <w:rFonts w:ascii="Calibri" w:hAnsi="Calibri" w:cs="Calibri"/>
                <w:color w:val="17365D"/>
                <w:sz w:val="20"/>
                <w:szCs w:val="20"/>
                <w:lang w:eastAsia="en-AU"/>
              </w:rPr>
              <w:t>$1,200,000</w:t>
            </w:r>
          </w:p>
        </w:tc>
      </w:tr>
      <w:tr w:rsidR="002721CB" w:rsidRPr="00572968" w14:paraId="1559A3B2" w14:textId="77777777" w:rsidTr="001D64AC">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420B812C" w14:textId="77777777" w:rsidR="002721CB" w:rsidRPr="001D64AC" w:rsidRDefault="002721CB" w:rsidP="00461245">
            <w:pPr>
              <w:rPr>
                <w:rFonts w:ascii="Calibri" w:hAnsi="Calibri" w:cs="Calibri"/>
                <w:b w:val="0"/>
                <w:bCs w:val="0"/>
                <w:i/>
                <w:iCs/>
                <w:color w:val="17365D"/>
                <w:sz w:val="20"/>
                <w:szCs w:val="20"/>
                <w:lang w:eastAsia="en-AU"/>
              </w:rPr>
            </w:pPr>
            <w:r w:rsidRPr="001D64AC">
              <w:rPr>
                <w:rFonts w:ascii="Calibri" w:hAnsi="Calibri" w:cs="Calibri"/>
                <w:b w:val="0"/>
                <w:bCs w:val="0"/>
                <w:i/>
                <w:iCs/>
                <w:color w:val="17365D"/>
                <w:sz w:val="20"/>
                <w:szCs w:val="20"/>
                <w:lang w:eastAsia="en-AU"/>
              </w:rPr>
              <w:t>Potential differential</w:t>
            </w:r>
          </w:p>
        </w:tc>
        <w:tc>
          <w:tcPr>
            <w:tcW w:w="0" w:type="auto"/>
            <w:hideMark/>
          </w:tcPr>
          <w:p w14:paraId="4E673BDE" w14:textId="77777777" w:rsidR="002721CB" w:rsidRPr="00572968" w:rsidRDefault="002721CB" w:rsidP="004612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17365D"/>
                <w:sz w:val="20"/>
                <w:szCs w:val="20"/>
                <w:lang w:eastAsia="en-AU"/>
              </w:rPr>
            </w:pPr>
            <w:r w:rsidRPr="00572968">
              <w:rPr>
                <w:rFonts w:ascii="Calibri" w:hAnsi="Calibri" w:cs="Calibri"/>
                <w:i/>
                <w:iCs/>
                <w:color w:val="FF0000"/>
                <w:sz w:val="20"/>
                <w:szCs w:val="20"/>
                <w:lang w:eastAsia="en-AU"/>
              </w:rPr>
              <w:t>-$129,307</w:t>
            </w:r>
          </w:p>
        </w:tc>
        <w:tc>
          <w:tcPr>
            <w:tcW w:w="0" w:type="auto"/>
            <w:hideMark/>
          </w:tcPr>
          <w:p w14:paraId="69709281" w14:textId="77777777" w:rsidR="002721CB" w:rsidRPr="00572968" w:rsidRDefault="002721CB" w:rsidP="004612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17365D"/>
                <w:sz w:val="20"/>
                <w:szCs w:val="20"/>
                <w:lang w:eastAsia="en-AU"/>
              </w:rPr>
            </w:pPr>
            <w:r w:rsidRPr="00572968">
              <w:rPr>
                <w:rFonts w:ascii="Calibri" w:hAnsi="Calibri" w:cs="Calibri"/>
                <w:i/>
                <w:iCs/>
                <w:color w:val="17365D"/>
                <w:sz w:val="20"/>
                <w:szCs w:val="20"/>
                <w:lang w:eastAsia="en-AU"/>
              </w:rPr>
              <w:t>$472,514</w:t>
            </w:r>
          </w:p>
        </w:tc>
        <w:tc>
          <w:tcPr>
            <w:tcW w:w="0" w:type="auto"/>
            <w:hideMark/>
          </w:tcPr>
          <w:p w14:paraId="1EB15D6B" w14:textId="77777777" w:rsidR="002721CB" w:rsidRPr="00572968" w:rsidRDefault="002721CB" w:rsidP="004612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17365D"/>
                <w:sz w:val="20"/>
                <w:szCs w:val="20"/>
                <w:lang w:eastAsia="en-AU"/>
              </w:rPr>
            </w:pPr>
            <w:r w:rsidRPr="00572968">
              <w:rPr>
                <w:rFonts w:ascii="Calibri" w:hAnsi="Calibri" w:cs="Calibri"/>
                <w:i/>
                <w:iCs/>
                <w:color w:val="17365D"/>
                <w:sz w:val="20"/>
                <w:szCs w:val="20"/>
                <w:lang w:eastAsia="en-AU"/>
              </w:rPr>
              <w:t>$420,674</w:t>
            </w:r>
          </w:p>
        </w:tc>
      </w:tr>
      <w:tr w:rsidR="002721CB" w:rsidRPr="00572968" w14:paraId="605D7A78" w14:textId="77777777" w:rsidTr="001D64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4"/>
            <w:hideMark/>
          </w:tcPr>
          <w:p w14:paraId="2AE9A4A1" w14:textId="77777777" w:rsidR="002721CB" w:rsidRPr="00572968" w:rsidRDefault="002721CB" w:rsidP="00461245">
            <w:pPr>
              <w:rPr>
                <w:rFonts w:ascii="Calibri" w:hAnsi="Calibri" w:cs="Calibri"/>
                <w:b w:val="0"/>
                <w:bCs w:val="0"/>
                <w:color w:val="17365D"/>
                <w:sz w:val="20"/>
                <w:szCs w:val="20"/>
                <w:lang w:eastAsia="en-AU"/>
              </w:rPr>
            </w:pPr>
            <w:r w:rsidRPr="00572968">
              <w:rPr>
                <w:rFonts w:ascii="Calibri" w:hAnsi="Calibri" w:cs="Calibri"/>
                <w:color w:val="17365D"/>
                <w:sz w:val="20"/>
                <w:szCs w:val="20"/>
                <w:lang w:eastAsia="en-AU"/>
              </w:rPr>
              <w:t>Annual Licence Levies</w:t>
            </w:r>
          </w:p>
        </w:tc>
      </w:tr>
      <w:tr w:rsidR="002721CB" w:rsidRPr="00572968" w14:paraId="67BB2690" w14:textId="77777777" w:rsidTr="001D64AC">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D304075" w14:textId="77777777" w:rsidR="002721CB" w:rsidRPr="001D64AC" w:rsidRDefault="002721CB" w:rsidP="00461245">
            <w:pPr>
              <w:rPr>
                <w:rFonts w:ascii="Calibri" w:hAnsi="Calibri" w:cs="Calibri"/>
                <w:b w:val="0"/>
                <w:bCs w:val="0"/>
                <w:color w:val="17365D"/>
                <w:sz w:val="20"/>
                <w:szCs w:val="20"/>
                <w:lang w:eastAsia="en-AU"/>
              </w:rPr>
            </w:pPr>
            <w:r w:rsidRPr="001D64AC">
              <w:rPr>
                <w:rFonts w:ascii="Calibri" w:hAnsi="Calibri" w:cs="Calibri"/>
                <w:b w:val="0"/>
                <w:bCs w:val="0"/>
                <w:color w:val="17365D"/>
                <w:sz w:val="20"/>
                <w:szCs w:val="20"/>
                <w:lang w:eastAsia="en-AU"/>
              </w:rPr>
              <w:t>Required Annual Levy Revenue (Approx. 40%)</w:t>
            </w:r>
          </w:p>
        </w:tc>
        <w:tc>
          <w:tcPr>
            <w:tcW w:w="0" w:type="auto"/>
            <w:hideMark/>
          </w:tcPr>
          <w:p w14:paraId="3F25B3CD" w14:textId="77777777" w:rsidR="002721CB" w:rsidRPr="00572968" w:rsidRDefault="002721CB" w:rsidP="004612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17365D"/>
                <w:sz w:val="20"/>
                <w:szCs w:val="20"/>
                <w:lang w:eastAsia="en-AU"/>
              </w:rPr>
            </w:pPr>
            <w:r w:rsidRPr="00572968">
              <w:rPr>
                <w:rFonts w:ascii="Calibri" w:hAnsi="Calibri" w:cs="Calibri"/>
                <w:color w:val="17365D"/>
                <w:sz w:val="20"/>
                <w:szCs w:val="20"/>
                <w:lang w:eastAsia="en-AU"/>
              </w:rPr>
              <w:t>$486,204</w:t>
            </w:r>
          </w:p>
        </w:tc>
        <w:tc>
          <w:tcPr>
            <w:tcW w:w="0" w:type="auto"/>
            <w:hideMark/>
          </w:tcPr>
          <w:p w14:paraId="246F9D82" w14:textId="77777777" w:rsidR="002721CB" w:rsidRPr="00572968" w:rsidRDefault="002721CB" w:rsidP="004612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17365D"/>
                <w:sz w:val="20"/>
                <w:szCs w:val="20"/>
                <w:lang w:eastAsia="en-AU"/>
              </w:rPr>
            </w:pPr>
            <w:r w:rsidRPr="00572968">
              <w:rPr>
                <w:rFonts w:ascii="Calibri" w:hAnsi="Calibri" w:cs="Calibri"/>
                <w:color w:val="17365D"/>
                <w:sz w:val="20"/>
                <w:szCs w:val="20"/>
                <w:lang w:eastAsia="en-AU"/>
              </w:rPr>
              <w:t>$508,657</w:t>
            </w:r>
          </w:p>
        </w:tc>
        <w:tc>
          <w:tcPr>
            <w:tcW w:w="0" w:type="auto"/>
            <w:hideMark/>
          </w:tcPr>
          <w:p w14:paraId="68FA5C7D" w14:textId="77777777" w:rsidR="002721CB" w:rsidRPr="00572968" w:rsidRDefault="002721CB" w:rsidP="004612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17365D"/>
                <w:sz w:val="20"/>
                <w:szCs w:val="20"/>
                <w:lang w:eastAsia="en-AU"/>
              </w:rPr>
            </w:pPr>
            <w:r w:rsidRPr="00572968">
              <w:rPr>
                <w:rFonts w:ascii="Calibri" w:hAnsi="Calibri" w:cs="Calibri"/>
                <w:color w:val="17365D"/>
                <w:sz w:val="20"/>
                <w:szCs w:val="20"/>
                <w:lang w:eastAsia="en-AU"/>
              </w:rPr>
              <w:t>$519,551</w:t>
            </w:r>
          </w:p>
        </w:tc>
      </w:tr>
      <w:tr w:rsidR="002721CB" w:rsidRPr="00572968" w14:paraId="2AD544AA" w14:textId="77777777" w:rsidTr="001D6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1C34585" w14:textId="77777777" w:rsidR="002721CB" w:rsidRPr="001D64AC" w:rsidRDefault="002721CB" w:rsidP="00461245">
            <w:pPr>
              <w:rPr>
                <w:rFonts w:ascii="Calibri" w:hAnsi="Calibri" w:cs="Calibri"/>
                <w:b w:val="0"/>
                <w:bCs w:val="0"/>
                <w:color w:val="17365D"/>
                <w:sz w:val="20"/>
                <w:szCs w:val="20"/>
                <w:lang w:eastAsia="en-AU"/>
              </w:rPr>
            </w:pPr>
            <w:r w:rsidRPr="001D64AC">
              <w:rPr>
                <w:rFonts w:ascii="Calibri" w:hAnsi="Calibri" w:cs="Calibri"/>
                <w:b w:val="0"/>
                <w:bCs w:val="0"/>
                <w:color w:val="17365D"/>
                <w:sz w:val="20"/>
                <w:szCs w:val="20"/>
                <w:lang w:eastAsia="en-AU"/>
              </w:rPr>
              <w:t>Estimated Annual Levy Revenue (As at January 2022)</w:t>
            </w:r>
          </w:p>
        </w:tc>
        <w:tc>
          <w:tcPr>
            <w:tcW w:w="0" w:type="auto"/>
            <w:hideMark/>
          </w:tcPr>
          <w:p w14:paraId="0B4EC5AD" w14:textId="77777777" w:rsidR="002721CB" w:rsidRPr="00572968" w:rsidRDefault="002721CB" w:rsidP="0046124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17365D"/>
                <w:sz w:val="20"/>
                <w:szCs w:val="20"/>
                <w:lang w:eastAsia="en-AU"/>
              </w:rPr>
            </w:pPr>
            <w:r w:rsidRPr="00572968">
              <w:rPr>
                <w:rFonts w:ascii="Calibri" w:hAnsi="Calibri" w:cs="Calibri"/>
                <w:color w:val="17365D"/>
                <w:sz w:val="20"/>
                <w:szCs w:val="20"/>
                <w:lang w:eastAsia="en-AU"/>
              </w:rPr>
              <w:t>$309,500</w:t>
            </w:r>
          </w:p>
        </w:tc>
        <w:tc>
          <w:tcPr>
            <w:tcW w:w="0" w:type="auto"/>
            <w:hideMark/>
          </w:tcPr>
          <w:p w14:paraId="680246D3" w14:textId="77777777" w:rsidR="002721CB" w:rsidRPr="00572968" w:rsidRDefault="002721CB" w:rsidP="0046124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17365D"/>
                <w:sz w:val="20"/>
                <w:szCs w:val="20"/>
                <w:lang w:eastAsia="en-AU"/>
              </w:rPr>
            </w:pPr>
            <w:r w:rsidRPr="00572968">
              <w:rPr>
                <w:rFonts w:ascii="Calibri" w:hAnsi="Calibri" w:cs="Calibri"/>
                <w:color w:val="17365D"/>
                <w:sz w:val="20"/>
                <w:szCs w:val="20"/>
                <w:lang w:eastAsia="en-AU"/>
              </w:rPr>
              <w:t>$819,500</w:t>
            </w:r>
          </w:p>
        </w:tc>
        <w:tc>
          <w:tcPr>
            <w:tcW w:w="0" w:type="auto"/>
            <w:hideMark/>
          </w:tcPr>
          <w:p w14:paraId="3A6409B5" w14:textId="77777777" w:rsidR="002721CB" w:rsidRPr="00572968" w:rsidRDefault="002721CB" w:rsidP="0046124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17365D"/>
                <w:sz w:val="20"/>
                <w:szCs w:val="20"/>
                <w:lang w:eastAsia="en-AU"/>
              </w:rPr>
            </w:pPr>
            <w:r w:rsidRPr="00572968">
              <w:rPr>
                <w:rFonts w:ascii="Calibri" w:hAnsi="Calibri" w:cs="Calibri"/>
                <w:color w:val="17365D"/>
                <w:sz w:val="20"/>
                <w:szCs w:val="20"/>
                <w:lang w:eastAsia="en-AU"/>
              </w:rPr>
              <w:t>$1,179,500</w:t>
            </w:r>
          </w:p>
        </w:tc>
      </w:tr>
      <w:tr w:rsidR="002721CB" w:rsidRPr="00572968" w14:paraId="2A6C9304" w14:textId="77777777" w:rsidTr="001D64AC">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2B7F46A" w14:textId="77777777" w:rsidR="002721CB" w:rsidRPr="001D64AC" w:rsidRDefault="002721CB" w:rsidP="00461245">
            <w:pPr>
              <w:rPr>
                <w:rFonts w:ascii="Calibri" w:hAnsi="Calibri" w:cs="Calibri"/>
                <w:b w:val="0"/>
                <w:bCs w:val="0"/>
                <w:i/>
                <w:iCs/>
                <w:color w:val="17365D"/>
                <w:sz w:val="20"/>
                <w:szCs w:val="20"/>
                <w:lang w:eastAsia="en-AU"/>
              </w:rPr>
            </w:pPr>
            <w:r w:rsidRPr="001D64AC">
              <w:rPr>
                <w:rFonts w:ascii="Calibri" w:hAnsi="Calibri" w:cs="Calibri"/>
                <w:b w:val="0"/>
                <w:bCs w:val="0"/>
                <w:i/>
                <w:iCs/>
                <w:color w:val="17365D"/>
                <w:sz w:val="20"/>
                <w:szCs w:val="20"/>
                <w:lang w:eastAsia="en-AU"/>
              </w:rPr>
              <w:t>Potential differential</w:t>
            </w:r>
          </w:p>
        </w:tc>
        <w:tc>
          <w:tcPr>
            <w:tcW w:w="0" w:type="auto"/>
            <w:hideMark/>
          </w:tcPr>
          <w:p w14:paraId="76286B5C" w14:textId="77777777" w:rsidR="002721CB" w:rsidRPr="00572968" w:rsidRDefault="002721CB" w:rsidP="004612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17365D"/>
                <w:sz w:val="20"/>
                <w:szCs w:val="20"/>
                <w:lang w:eastAsia="en-AU"/>
              </w:rPr>
            </w:pPr>
            <w:r w:rsidRPr="00572968">
              <w:rPr>
                <w:rFonts w:ascii="Calibri" w:hAnsi="Calibri" w:cs="Calibri"/>
                <w:i/>
                <w:iCs/>
                <w:color w:val="FF0000"/>
                <w:sz w:val="20"/>
                <w:szCs w:val="20"/>
                <w:lang w:eastAsia="en-AU"/>
              </w:rPr>
              <w:t>-$176,704</w:t>
            </w:r>
          </w:p>
        </w:tc>
        <w:tc>
          <w:tcPr>
            <w:tcW w:w="0" w:type="auto"/>
            <w:hideMark/>
          </w:tcPr>
          <w:p w14:paraId="07AB94FF" w14:textId="77777777" w:rsidR="002721CB" w:rsidRPr="00572968" w:rsidRDefault="002721CB" w:rsidP="004612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17365D"/>
                <w:sz w:val="20"/>
                <w:szCs w:val="20"/>
                <w:lang w:eastAsia="en-AU"/>
              </w:rPr>
            </w:pPr>
            <w:r w:rsidRPr="00572968">
              <w:rPr>
                <w:rFonts w:ascii="Calibri" w:hAnsi="Calibri" w:cs="Calibri"/>
                <w:i/>
                <w:iCs/>
                <w:color w:val="17365D"/>
                <w:sz w:val="20"/>
                <w:szCs w:val="20"/>
                <w:lang w:eastAsia="en-AU"/>
              </w:rPr>
              <w:t>$310,843</w:t>
            </w:r>
          </w:p>
        </w:tc>
        <w:tc>
          <w:tcPr>
            <w:tcW w:w="0" w:type="auto"/>
            <w:hideMark/>
          </w:tcPr>
          <w:p w14:paraId="5C7FB5C1" w14:textId="77777777" w:rsidR="002721CB" w:rsidRPr="00572968" w:rsidRDefault="002721CB" w:rsidP="004612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17365D"/>
                <w:sz w:val="20"/>
                <w:szCs w:val="20"/>
                <w:lang w:eastAsia="en-AU"/>
              </w:rPr>
            </w:pPr>
            <w:r w:rsidRPr="00572968">
              <w:rPr>
                <w:rFonts w:ascii="Calibri" w:hAnsi="Calibri" w:cs="Calibri"/>
                <w:i/>
                <w:iCs/>
                <w:color w:val="17365D"/>
                <w:sz w:val="20"/>
                <w:szCs w:val="20"/>
                <w:lang w:eastAsia="en-AU"/>
              </w:rPr>
              <w:t>$659,949</w:t>
            </w:r>
          </w:p>
        </w:tc>
      </w:tr>
      <w:tr w:rsidR="002721CB" w:rsidRPr="00572968" w14:paraId="13013EDA" w14:textId="77777777" w:rsidTr="001D64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4"/>
            <w:hideMark/>
          </w:tcPr>
          <w:p w14:paraId="2250DB7E" w14:textId="77777777" w:rsidR="002721CB" w:rsidRPr="00572968" w:rsidRDefault="002721CB" w:rsidP="00461245">
            <w:pPr>
              <w:rPr>
                <w:rFonts w:ascii="Calibri" w:hAnsi="Calibri" w:cs="Calibri"/>
                <w:b w:val="0"/>
                <w:bCs w:val="0"/>
                <w:color w:val="17365D"/>
                <w:sz w:val="20"/>
                <w:szCs w:val="20"/>
                <w:lang w:eastAsia="en-AU"/>
              </w:rPr>
            </w:pPr>
            <w:r w:rsidRPr="00572968">
              <w:rPr>
                <w:rFonts w:ascii="Calibri" w:hAnsi="Calibri" w:cs="Calibri"/>
                <w:color w:val="17365D"/>
                <w:sz w:val="20"/>
                <w:szCs w:val="20"/>
                <w:lang w:eastAsia="en-AU"/>
              </w:rPr>
              <w:t>Totals</w:t>
            </w:r>
          </w:p>
        </w:tc>
      </w:tr>
      <w:tr w:rsidR="002721CB" w:rsidRPr="00572968" w14:paraId="15584C0B" w14:textId="77777777" w:rsidTr="001D64AC">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31D4EF03" w14:textId="77777777" w:rsidR="002721CB" w:rsidRPr="001D64AC" w:rsidRDefault="002721CB" w:rsidP="00461245">
            <w:pPr>
              <w:rPr>
                <w:rFonts w:ascii="Calibri" w:hAnsi="Calibri" w:cs="Calibri"/>
                <w:b w:val="0"/>
                <w:bCs w:val="0"/>
                <w:color w:val="17365D"/>
                <w:sz w:val="20"/>
                <w:szCs w:val="20"/>
                <w:lang w:eastAsia="en-AU"/>
              </w:rPr>
            </w:pPr>
            <w:r w:rsidRPr="001D64AC">
              <w:rPr>
                <w:rFonts w:ascii="Calibri" w:hAnsi="Calibri" w:cs="Calibri"/>
                <w:b w:val="0"/>
                <w:bCs w:val="0"/>
                <w:color w:val="17365D"/>
                <w:sz w:val="20"/>
                <w:szCs w:val="20"/>
                <w:lang w:eastAsia="en-AU"/>
              </w:rPr>
              <w:t>Required Cost Recovery (Fees and Levies)</w:t>
            </w:r>
          </w:p>
        </w:tc>
        <w:tc>
          <w:tcPr>
            <w:tcW w:w="0" w:type="auto"/>
            <w:hideMark/>
          </w:tcPr>
          <w:p w14:paraId="50E21A4F" w14:textId="77777777" w:rsidR="002721CB" w:rsidRPr="00572968" w:rsidRDefault="002721CB" w:rsidP="004612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17365D"/>
                <w:sz w:val="20"/>
                <w:szCs w:val="20"/>
                <w:lang w:eastAsia="en-AU"/>
              </w:rPr>
            </w:pPr>
            <w:r w:rsidRPr="00572968">
              <w:rPr>
                <w:rFonts w:ascii="Calibri" w:hAnsi="Calibri" w:cs="Calibri"/>
                <w:b/>
                <w:bCs/>
                <w:color w:val="17365D"/>
                <w:sz w:val="20"/>
                <w:szCs w:val="20"/>
                <w:lang w:eastAsia="en-AU"/>
              </w:rPr>
              <w:t>$1,215,511</w:t>
            </w:r>
          </w:p>
        </w:tc>
        <w:tc>
          <w:tcPr>
            <w:tcW w:w="0" w:type="auto"/>
            <w:hideMark/>
          </w:tcPr>
          <w:p w14:paraId="0D1828D6" w14:textId="77777777" w:rsidR="002721CB" w:rsidRPr="00572968" w:rsidRDefault="002721CB" w:rsidP="004612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17365D"/>
                <w:sz w:val="20"/>
                <w:szCs w:val="20"/>
                <w:lang w:eastAsia="en-AU"/>
              </w:rPr>
            </w:pPr>
            <w:r w:rsidRPr="00572968">
              <w:rPr>
                <w:rFonts w:ascii="Calibri" w:hAnsi="Calibri" w:cs="Calibri"/>
                <w:b/>
                <w:bCs/>
                <w:color w:val="17365D"/>
                <w:sz w:val="20"/>
                <w:szCs w:val="20"/>
                <w:lang w:eastAsia="en-AU"/>
              </w:rPr>
              <w:t>$1,271,643</w:t>
            </w:r>
          </w:p>
        </w:tc>
        <w:tc>
          <w:tcPr>
            <w:tcW w:w="0" w:type="auto"/>
            <w:hideMark/>
          </w:tcPr>
          <w:p w14:paraId="72E34EF0" w14:textId="77777777" w:rsidR="002721CB" w:rsidRPr="00572968" w:rsidRDefault="002721CB" w:rsidP="004612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17365D"/>
                <w:sz w:val="20"/>
                <w:szCs w:val="20"/>
                <w:lang w:eastAsia="en-AU"/>
              </w:rPr>
            </w:pPr>
            <w:r w:rsidRPr="00572968">
              <w:rPr>
                <w:rFonts w:ascii="Calibri" w:hAnsi="Calibri" w:cs="Calibri"/>
                <w:b/>
                <w:bCs/>
                <w:color w:val="17365D"/>
                <w:sz w:val="20"/>
                <w:szCs w:val="20"/>
                <w:lang w:eastAsia="en-AU"/>
              </w:rPr>
              <w:t>$1,298,877</w:t>
            </w:r>
          </w:p>
        </w:tc>
      </w:tr>
      <w:tr w:rsidR="002721CB" w:rsidRPr="00572968" w14:paraId="66592DA2" w14:textId="77777777" w:rsidTr="001D64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76A0966" w14:textId="77777777" w:rsidR="002721CB" w:rsidRPr="001D64AC" w:rsidRDefault="002721CB" w:rsidP="00461245">
            <w:pPr>
              <w:rPr>
                <w:rFonts w:ascii="Calibri" w:hAnsi="Calibri" w:cs="Calibri"/>
                <w:b w:val="0"/>
                <w:bCs w:val="0"/>
                <w:color w:val="17365D"/>
                <w:sz w:val="20"/>
                <w:szCs w:val="20"/>
                <w:lang w:eastAsia="en-AU"/>
              </w:rPr>
            </w:pPr>
            <w:r w:rsidRPr="001D64AC">
              <w:rPr>
                <w:rFonts w:ascii="Calibri" w:hAnsi="Calibri" w:cs="Calibri"/>
                <w:b w:val="0"/>
                <w:bCs w:val="0"/>
                <w:color w:val="17365D"/>
                <w:sz w:val="20"/>
                <w:szCs w:val="20"/>
                <w:lang w:eastAsia="en-AU"/>
              </w:rPr>
              <w:t>Estimated Revenues (Fees and Levies)</w:t>
            </w:r>
          </w:p>
        </w:tc>
        <w:tc>
          <w:tcPr>
            <w:tcW w:w="0" w:type="auto"/>
            <w:hideMark/>
          </w:tcPr>
          <w:p w14:paraId="39F7923B" w14:textId="77777777" w:rsidR="002721CB" w:rsidRPr="00572968" w:rsidRDefault="002721CB" w:rsidP="0046124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17365D"/>
                <w:sz w:val="20"/>
                <w:szCs w:val="20"/>
                <w:lang w:eastAsia="en-AU"/>
              </w:rPr>
            </w:pPr>
            <w:r w:rsidRPr="00572968">
              <w:rPr>
                <w:rFonts w:ascii="Calibri" w:hAnsi="Calibri" w:cs="Calibri"/>
                <w:color w:val="17365D"/>
                <w:sz w:val="20"/>
                <w:szCs w:val="20"/>
                <w:lang w:eastAsia="en-AU"/>
              </w:rPr>
              <w:t>$909,500</w:t>
            </w:r>
          </w:p>
        </w:tc>
        <w:tc>
          <w:tcPr>
            <w:tcW w:w="0" w:type="auto"/>
            <w:hideMark/>
          </w:tcPr>
          <w:p w14:paraId="69B1A4CB" w14:textId="77777777" w:rsidR="002721CB" w:rsidRPr="00572968" w:rsidRDefault="002721CB" w:rsidP="0046124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17365D"/>
                <w:sz w:val="20"/>
                <w:szCs w:val="20"/>
                <w:lang w:eastAsia="en-AU"/>
              </w:rPr>
            </w:pPr>
            <w:r w:rsidRPr="00572968">
              <w:rPr>
                <w:rFonts w:ascii="Calibri" w:hAnsi="Calibri" w:cs="Calibri"/>
                <w:color w:val="17365D"/>
                <w:sz w:val="20"/>
                <w:szCs w:val="20"/>
                <w:lang w:eastAsia="en-AU"/>
              </w:rPr>
              <w:t>$2,055,000</w:t>
            </w:r>
          </w:p>
        </w:tc>
        <w:tc>
          <w:tcPr>
            <w:tcW w:w="0" w:type="auto"/>
            <w:hideMark/>
          </w:tcPr>
          <w:p w14:paraId="5F0BE4E6" w14:textId="77777777" w:rsidR="002721CB" w:rsidRPr="00572968" w:rsidRDefault="002721CB" w:rsidP="0046124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17365D"/>
                <w:sz w:val="20"/>
                <w:szCs w:val="20"/>
                <w:lang w:eastAsia="en-AU"/>
              </w:rPr>
            </w:pPr>
            <w:r w:rsidRPr="00572968">
              <w:rPr>
                <w:rFonts w:ascii="Calibri" w:hAnsi="Calibri" w:cs="Calibri"/>
                <w:color w:val="17365D"/>
                <w:sz w:val="20"/>
                <w:szCs w:val="20"/>
                <w:lang w:eastAsia="en-AU"/>
              </w:rPr>
              <w:t>$2,379,500</w:t>
            </w:r>
          </w:p>
        </w:tc>
      </w:tr>
      <w:tr w:rsidR="002721CB" w:rsidRPr="00572968" w14:paraId="40F07F4B" w14:textId="77777777" w:rsidTr="001D64AC">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6389724" w14:textId="77777777" w:rsidR="002721CB" w:rsidRPr="001D64AC" w:rsidRDefault="002721CB" w:rsidP="00461245">
            <w:pPr>
              <w:rPr>
                <w:rFonts w:ascii="Calibri" w:hAnsi="Calibri" w:cs="Calibri"/>
                <w:b w:val="0"/>
                <w:bCs w:val="0"/>
                <w:i/>
                <w:iCs/>
                <w:color w:val="17365D"/>
                <w:sz w:val="20"/>
                <w:szCs w:val="20"/>
                <w:lang w:eastAsia="en-AU"/>
              </w:rPr>
            </w:pPr>
            <w:r w:rsidRPr="001D64AC">
              <w:rPr>
                <w:rFonts w:ascii="Calibri" w:hAnsi="Calibri" w:cs="Calibri"/>
                <w:b w:val="0"/>
                <w:bCs w:val="0"/>
                <w:i/>
                <w:iCs/>
                <w:color w:val="17365D"/>
                <w:sz w:val="20"/>
                <w:szCs w:val="20"/>
                <w:lang w:eastAsia="en-AU"/>
              </w:rPr>
              <w:t>Potential differential</w:t>
            </w:r>
          </w:p>
        </w:tc>
        <w:tc>
          <w:tcPr>
            <w:tcW w:w="0" w:type="auto"/>
            <w:hideMark/>
          </w:tcPr>
          <w:p w14:paraId="440AFA26" w14:textId="77777777" w:rsidR="002721CB" w:rsidRPr="00572968" w:rsidRDefault="002721CB" w:rsidP="004612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17365D"/>
                <w:sz w:val="20"/>
                <w:szCs w:val="20"/>
                <w:lang w:eastAsia="en-AU"/>
              </w:rPr>
            </w:pPr>
            <w:r w:rsidRPr="00572968">
              <w:rPr>
                <w:rFonts w:ascii="Calibri" w:hAnsi="Calibri" w:cs="Calibri"/>
                <w:i/>
                <w:iCs/>
                <w:color w:val="FF0000"/>
                <w:sz w:val="20"/>
                <w:szCs w:val="20"/>
                <w:lang w:eastAsia="en-AU"/>
              </w:rPr>
              <w:t>-$306,011</w:t>
            </w:r>
          </w:p>
        </w:tc>
        <w:tc>
          <w:tcPr>
            <w:tcW w:w="0" w:type="auto"/>
            <w:hideMark/>
          </w:tcPr>
          <w:p w14:paraId="742B54E0" w14:textId="77777777" w:rsidR="002721CB" w:rsidRPr="00572968" w:rsidRDefault="002721CB" w:rsidP="004612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17365D"/>
                <w:sz w:val="20"/>
                <w:szCs w:val="20"/>
                <w:lang w:eastAsia="en-AU"/>
              </w:rPr>
            </w:pPr>
            <w:r w:rsidRPr="00572968">
              <w:rPr>
                <w:rFonts w:ascii="Calibri" w:hAnsi="Calibri" w:cs="Calibri"/>
                <w:i/>
                <w:iCs/>
                <w:color w:val="17365D"/>
                <w:sz w:val="20"/>
                <w:szCs w:val="20"/>
                <w:lang w:eastAsia="en-AU"/>
              </w:rPr>
              <w:t>$783,357</w:t>
            </w:r>
          </w:p>
        </w:tc>
        <w:tc>
          <w:tcPr>
            <w:tcW w:w="0" w:type="auto"/>
            <w:hideMark/>
          </w:tcPr>
          <w:p w14:paraId="3D6403BF" w14:textId="77777777" w:rsidR="002721CB" w:rsidRPr="00572968" w:rsidRDefault="002721CB" w:rsidP="00461245">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17365D"/>
                <w:sz w:val="20"/>
                <w:szCs w:val="20"/>
                <w:lang w:eastAsia="en-AU"/>
              </w:rPr>
            </w:pPr>
            <w:r w:rsidRPr="00572968">
              <w:rPr>
                <w:rFonts w:ascii="Calibri" w:hAnsi="Calibri" w:cs="Calibri"/>
                <w:i/>
                <w:iCs/>
                <w:color w:val="17365D"/>
                <w:sz w:val="20"/>
                <w:szCs w:val="20"/>
                <w:lang w:eastAsia="en-AU"/>
              </w:rPr>
              <w:t>$1,080,623</w:t>
            </w:r>
          </w:p>
        </w:tc>
      </w:tr>
    </w:tbl>
    <w:p w14:paraId="4BC70E91" w14:textId="4FCFF44D" w:rsidR="00D71D09" w:rsidRDefault="00D71D09" w:rsidP="00CE74AA">
      <w:pPr>
        <w:pStyle w:val="CommentText"/>
        <w:rPr>
          <w:rFonts w:asciiTheme="minorHAnsi" w:hAnsiTheme="minorHAnsi" w:cstheme="minorHAnsi"/>
          <w:iCs/>
          <w:sz w:val="24"/>
          <w:szCs w:val="24"/>
          <w:lang w:val="en-US"/>
        </w:rPr>
      </w:pPr>
    </w:p>
    <w:p w14:paraId="675E5DCF" w14:textId="39FC8EE9" w:rsidR="00582C86" w:rsidRDefault="00267389" w:rsidP="009B0DBC">
      <w:pPr>
        <w:pStyle w:val="CommentText"/>
        <w:rPr>
          <w:rFonts w:asciiTheme="minorHAnsi" w:hAnsiTheme="minorHAnsi" w:cstheme="minorHAnsi"/>
          <w:iCs/>
          <w:sz w:val="24"/>
          <w:szCs w:val="24"/>
          <w:lang w:val="en-US"/>
        </w:rPr>
      </w:pPr>
      <w:r>
        <w:rPr>
          <w:rFonts w:asciiTheme="minorHAnsi" w:hAnsiTheme="minorHAnsi" w:cstheme="minorHAnsi"/>
          <w:iCs/>
          <w:sz w:val="24"/>
          <w:szCs w:val="24"/>
          <w:lang w:val="en-US"/>
        </w:rPr>
        <w:t xml:space="preserve">The Registrar </w:t>
      </w:r>
      <w:r w:rsidR="00CE74AA">
        <w:rPr>
          <w:rFonts w:asciiTheme="minorHAnsi" w:hAnsiTheme="minorHAnsi" w:cstheme="minorHAnsi"/>
          <w:iCs/>
          <w:sz w:val="24"/>
          <w:szCs w:val="24"/>
          <w:lang w:val="en-US"/>
        </w:rPr>
        <w:t xml:space="preserve">will </w:t>
      </w:r>
      <w:r w:rsidR="00CE74AA" w:rsidRPr="009B0DBC">
        <w:rPr>
          <w:rFonts w:asciiTheme="minorHAnsi" w:hAnsiTheme="minorHAnsi" w:cstheme="minorHAnsi"/>
          <w:iCs/>
          <w:sz w:val="24"/>
          <w:szCs w:val="24"/>
          <w:lang w:val="en-US"/>
        </w:rPr>
        <w:t>continu</w:t>
      </w:r>
      <w:r w:rsidR="00CE74AA">
        <w:rPr>
          <w:rFonts w:asciiTheme="minorHAnsi" w:hAnsiTheme="minorHAnsi" w:cstheme="minorHAnsi"/>
          <w:iCs/>
          <w:sz w:val="24"/>
          <w:szCs w:val="24"/>
          <w:lang w:val="en-US"/>
        </w:rPr>
        <w:t>e</w:t>
      </w:r>
      <w:r w:rsidR="00CE74AA" w:rsidRPr="009B0DBC">
        <w:rPr>
          <w:rFonts w:asciiTheme="minorHAnsi" w:hAnsiTheme="minorHAnsi" w:cstheme="minorHAnsi"/>
          <w:iCs/>
          <w:sz w:val="24"/>
          <w:szCs w:val="24"/>
          <w:lang w:val="en-US"/>
        </w:rPr>
        <w:t xml:space="preserve"> to monitor the cost recovery arrangements to ensure that they remain cost effective and equitable among</w:t>
      </w:r>
      <w:r w:rsidR="00B31958">
        <w:rPr>
          <w:rFonts w:asciiTheme="minorHAnsi" w:hAnsiTheme="minorHAnsi" w:cstheme="minorHAnsi"/>
          <w:iCs/>
          <w:sz w:val="24"/>
          <w:szCs w:val="24"/>
          <w:lang w:val="en-US"/>
        </w:rPr>
        <w:t xml:space="preserve"> applicants and licence </w:t>
      </w:r>
      <w:r w:rsidR="00CE74AA" w:rsidRPr="009B0DBC">
        <w:rPr>
          <w:rFonts w:asciiTheme="minorHAnsi" w:hAnsiTheme="minorHAnsi" w:cstheme="minorHAnsi"/>
          <w:iCs/>
          <w:sz w:val="24"/>
          <w:szCs w:val="24"/>
          <w:lang w:val="en-US"/>
        </w:rPr>
        <w:t>holders.</w:t>
      </w:r>
      <w:r w:rsidR="00CE74AA">
        <w:rPr>
          <w:rFonts w:asciiTheme="minorHAnsi" w:hAnsiTheme="minorHAnsi" w:cstheme="minorHAnsi"/>
          <w:iCs/>
          <w:sz w:val="24"/>
          <w:szCs w:val="24"/>
          <w:lang w:val="en-US"/>
        </w:rPr>
        <w:t xml:space="preserve"> </w:t>
      </w:r>
      <w:r w:rsidR="00582C86">
        <w:rPr>
          <w:rFonts w:asciiTheme="minorHAnsi" w:hAnsiTheme="minorHAnsi" w:cstheme="minorHAnsi"/>
          <w:iCs/>
          <w:sz w:val="24"/>
          <w:szCs w:val="24"/>
          <w:lang w:val="en-US"/>
        </w:rPr>
        <w:t xml:space="preserve">In addition, the proposed 60:40 structure allocation between fees and levies will be reviewed as part of the regular CRIS review cycle. </w:t>
      </w:r>
      <w:r w:rsidR="002721CB">
        <w:rPr>
          <w:rFonts w:asciiTheme="minorHAnsi" w:hAnsiTheme="minorHAnsi" w:cstheme="minorHAnsi"/>
          <w:iCs/>
          <w:sz w:val="24"/>
          <w:szCs w:val="24"/>
          <w:lang w:val="en-US"/>
        </w:rPr>
        <w:t xml:space="preserve"> </w:t>
      </w:r>
    </w:p>
    <w:p w14:paraId="39C05548" w14:textId="77777777" w:rsidR="00582C86" w:rsidRDefault="00582C86" w:rsidP="009B0DBC">
      <w:pPr>
        <w:pStyle w:val="CommentText"/>
        <w:rPr>
          <w:rFonts w:asciiTheme="minorHAnsi" w:hAnsiTheme="minorHAnsi" w:cstheme="minorHAnsi"/>
          <w:iCs/>
          <w:sz w:val="24"/>
          <w:szCs w:val="24"/>
          <w:lang w:val="en-US"/>
        </w:rPr>
      </w:pPr>
    </w:p>
    <w:p w14:paraId="3C25DFEA" w14:textId="27A96F30" w:rsidR="004358DA" w:rsidRDefault="005355DC" w:rsidP="009B0DBC">
      <w:pPr>
        <w:pStyle w:val="CommentText"/>
        <w:rPr>
          <w:rFonts w:asciiTheme="minorHAnsi" w:hAnsiTheme="minorHAnsi" w:cstheme="minorHAnsi"/>
          <w:iCs/>
          <w:sz w:val="24"/>
          <w:szCs w:val="24"/>
          <w:lang w:val="en-US"/>
        </w:rPr>
      </w:pPr>
      <w:r>
        <w:rPr>
          <w:rFonts w:asciiTheme="minorHAnsi" w:hAnsiTheme="minorHAnsi" w:cstheme="minorHAnsi"/>
          <w:iCs/>
          <w:sz w:val="24"/>
          <w:szCs w:val="24"/>
          <w:lang w:val="en-US"/>
        </w:rPr>
        <w:t xml:space="preserve">Any required increase in fees and/or levies will be considered as part of </w:t>
      </w:r>
      <w:r w:rsidRPr="005355DC">
        <w:rPr>
          <w:rFonts w:asciiTheme="minorHAnsi" w:hAnsiTheme="minorHAnsi" w:cstheme="minorHAnsi"/>
          <w:iCs/>
          <w:sz w:val="24"/>
          <w:szCs w:val="24"/>
          <w:lang w:val="en-US"/>
        </w:rPr>
        <w:t xml:space="preserve">as part of a CRIS review cycle. </w:t>
      </w:r>
      <w:r w:rsidR="00E06B32">
        <w:rPr>
          <w:rFonts w:asciiTheme="minorHAnsi" w:hAnsiTheme="minorHAnsi" w:cstheme="minorHAnsi"/>
          <w:iCs/>
          <w:sz w:val="24"/>
          <w:szCs w:val="24"/>
          <w:lang w:val="en-US"/>
        </w:rPr>
        <w:br/>
      </w:r>
      <w:r w:rsidR="00267389">
        <w:rPr>
          <w:rFonts w:asciiTheme="minorHAnsi" w:hAnsiTheme="minorHAnsi" w:cstheme="minorHAnsi"/>
          <w:iCs/>
          <w:sz w:val="24"/>
          <w:szCs w:val="24"/>
          <w:lang w:val="en-US"/>
        </w:rPr>
        <w:t>The Registrar</w:t>
      </w:r>
      <w:r w:rsidR="00CE74AA">
        <w:rPr>
          <w:rFonts w:asciiTheme="minorHAnsi" w:hAnsiTheme="minorHAnsi" w:cstheme="minorHAnsi"/>
          <w:iCs/>
          <w:sz w:val="24"/>
          <w:szCs w:val="24"/>
          <w:lang w:val="en-US"/>
        </w:rPr>
        <w:t xml:space="preserve"> will actively engage with </w:t>
      </w:r>
      <w:r w:rsidR="00CE74AA" w:rsidRPr="009B0DBC">
        <w:rPr>
          <w:rFonts w:asciiTheme="minorHAnsi" w:hAnsiTheme="minorHAnsi" w:cstheme="minorHAnsi"/>
          <w:iCs/>
          <w:sz w:val="24"/>
          <w:szCs w:val="24"/>
          <w:lang w:val="en-US"/>
        </w:rPr>
        <w:t>industry representatives</w:t>
      </w:r>
      <w:r>
        <w:rPr>
          <w:rFonts w:asciiTheme="minorHAnsi" w:hAnsiTheme="minorHAnsi" w:cstheme="minorHAnsi"/>
          <w:iCs/>
          <w:sz w:val="24"/>
          <w:szCs w:val="24"/>
          <w:lang w:val="en-US"/>
        </w:rPr>
        <w:t xml:space="preserve"> and </w:t>
      </w:r>
      <w:r w:rsidR="00CE74AA">
        <w:rPr>
          <w:rFonts w:asciiTheme="minorHAnsi" w:hAnsiTheme="minorHAnsi" w:cstheme="minorHAnsi"/>
          <w:iCs/>
          <w:sz w:val="24"/>
          <w:szCs w:val="24"/>
          <w:lang w:val="en-US"/>
        </w:rPr>
        <w:t>rais</w:t>
      </w:r>
      <w:r>
        <w:rPr>
          <w:rFonts w:asciiTheme="minorHAnsi" w:hAnsiTheme="minorHAnsi" w:cstheme="minorHAnsi"/>
          <w:iCs/>
          <w:sz w:val="24"/>
          <w:szCs w:val="24"/>
          <w:lang w:val="en-US"/>
        </w:rPr>
        <w:t xml:space="preserve">e </w:t>
      </w:r>
      <w:r w:rsidR="00CE74AA">
        <w:rPr>
          <w:rFonts w:asciiTheme="minorHAnsi" w:hAnsiTheme="minorHAnsi" w:cstheme="minorHAnsi"/>
          <w:iCs/>
          <w:sz w:val="24"/>
          <w:szCs w:val="24"/>
          <w:lang w:val="en-US"/>
        </w:rPr>
        <w:t>issues relating to cost structures as they arise</w:t>
      </w:r>
      <w:r w:rsidR="00CE74AA" w:rsidRPr="009B0DBC">
        <w:rPr>
          <w:rFonts w:asciiTheme="minorHAnsi" w:hAnsiTheme="minorHAnsi" w:cstheme="minorHAnsi"/>
          <w:iCs/>
          <w:sz w:val="24"/>
          <w:szCs w:val="24"/>
          <w:lang w:val="en-US"/>
        </w:rPr>
        <w:t>.</w:t>
      </w:r>
      <w:r w:rsidR="00F61085">
        <w:rPr>
          <w:rFonts w:asciiTheme="minorHAnsi" w:hAnsiTheme="minorHAnsi" w:cstheme="minorHAnsi"/>
          <w:iCs/>
          <w:sz w:val="24"/>
          <w:szCs w:val="24"/>
          <w:lang w:val="en-US"/>
        </w:rPr>
        <w:t xml:space="preserve"> </w:t>
      </w:r>
    </w:p>
    <w:p w14:paraId="1E4360CF" w14:textId="1E8EE250" w:rsidR="008B679D" w:rsidRPr="002E39B6" w:rsidRDefault="008B679D" w:rsidP="002E39B6">
      <w:pPr>
        <w:pStyle w:val="Heading2"/>
        <w:tabs>
          <w:tab w:val="clear" w:pos="576"/>
          <w:tab w:val="num" w:pos="709"/>
        </w:tabs>
        <w:ind w:left="709" w:hanging="709"/>
        <w:rPr>
          <w:rFonts w:asciiTheme="minorHAnsi" w:hAnsiTheme="minorHAnsi" w:cstheme="minorHAnsi"/>
          <w:i w:val="0"/>
          <w:iCs w:val="0"/>
        </w:rPr>
      </w:pPr>
      <w:bookmarkStart w:id="29" w:name="_Toc98772167"/>
      <w:r w:rsidRPr="002E39B6">
        <w:rPr>
          <w:rFonts w:asciiTheme="minorHAnsi" w:hAnsiTheme="minorHAnsi" w:cstheme="minorHAnsi"/>
          <w:i w:val="0"/>
          <w:iCs w:val="0"/>
        </w:rPr>
        <w:t>S</w:t>
      </w:r>
      <w:r w:rsidR="00323DFB">
        <w:rPr>
          <w:rFonts w:asciiTheme="minorHAnsi" w:hAnsiTheme="minorHAnsi" w:cstheme="minorHAnsi"/>
          <w:i w:val="0"/>
          <w:iCs w:val="0"/>
        </w:rPr>
        <w:t>takeholder Engagement</w:t>
      </w:r>
      <w:bookmarkEnd w:id="29"/>
    </w:p>
    <w:p w14:paraId="19E59AA0" w14:textId="6E69CB79" w:rsidR="008B679D" w:rsidRDefault="008B679D" w:rsidP="008B679D">
      <w:pPr>
        <w:widowControl w:val="0"/>
        <w:autoSpaceDE w:val="0"/>
        <w:autoSpaceDN w:val="0"/>
        <w:adjustRightInd w:val="0"/>
        <w:spacing w:line="241" w:lineRule="atLeast"/>
        <w:jc w:val="both"/>
        <w:rPr>
          <w:iCs/>
          <w:color w:val="808080"/>
        </w:rPr>
      </w:pPr>
    </w:p>
    <w:p w14:paraId="60EAA85A" w14:textId="77777777" w:rsidR="00CE74AA" w:rsidRPr="0033665D" w:rsidRDefault="00CE74AA" w:rsidP="0033665D">
      <w:pPr>
        <w:rPr>
          <w:rFonts w:asciiTheme="minorHAnsi" w:hAnsiTheme="minorHAnsi" w:cstheme="minorHAnsi"/>
          <w:b/>
          <w:bCs/>
          <w:i/>
          <w:iCs/>
        </w:rPr>
      </w:pPr>
      <w:r w:rsidRPr="0033665D">
        <w:rPr>
          <w:rFonts w:asciiTheme="minorHAnsi" w:hAnsiTheme="minorHAnsi" w:cstheme="minorHAnsi"/>
          <w:b/>
          <w:bCs/>
          <w:i/>
          <w:iCs/>
        </w:rPr>
        <w:t xml:space="preserve">Cost recovery consultation </w:t>
      </w:r>
    </w:p>
    <w:p w14:paraId="46F6AA0C" w14:textId="0DCDEB59" w:rsidR="00296CC3" w:rsidRDefault="00CE74AA" w:rsidP="00FA27D4">
      <w:pPr>
        <w:pStyle w:val="CommentText"/>
        <w:rPr>
          <w:rFonts w:asciiTheme="minorHAnsi" w:hAnsiTheme="minorHAnsi" w:cstheme="minorHAnsi"/>
          <w:b/>
          <w:bCs/>
          <w:sz w:val="28"/>
          <w:szCs w:val="28"/>
        </w:rPr>
      </w:pPr>
      <w:r w:rsidRPr="00950A04">
        <w:rPr>
          <w:rFonts w:asciiTheme="minorHAnsi" w:hAnsiTheme="minorHAnsi" w:cstheme="minorHAnsi"/>
          <w:sz w:val="24"/>
          <w:szCs w:val="24"/>
        </w:rPr>
        <w:t>[To be included post consultation with industry]</w:t>
      </w:r>
    </w:p>
    <w:p w14:paraId="6C662D19" w14:textId="440D22A3" w:rsidR="008B679D" w:rsidRPr="002E39B6" w:rsidRDefault="008B679D" w:rsidP="002E39B6">
      <w:pPr>
        <w:pStyle w:val="Heading2"/>
        <w:tabs>
          <w:tab w:val="clear" w:pos="576"/>
          <w:tab w:val="num" w:pos="709"/>
        </w:tabs>
        <w:ind w:left="709" w:hanging="709"/>
        <w:rPr>
          <w:rFonts w:asciiTheme="minorHAnsi" w:hAnsiTheme="minorHAnsi" w:cstheme="minorHAnsi"/>
          <w:i w:val="0"/>
          <w:iCs w:val="0"/>
        </w:rPr>
      </w:pPr>
      <w:bookmarkStart w:id="30" w:name="_Toc98772168"/>
      <w:r w:rsidRPr="002E39B6">
        <w:rPr>
          <w:rFonts w:asciiTheme="minorHAnsi" w:hAnsiTheme="minorHAnsi" w:cstheme="minorHAnsi"/>
          <w:i w:val="0"/>
          <w:iCs w:val="0"/>
        </w:rPr>
        <w:t>F</w:t>
      </w:r>
      <w:r w:rsidR="00323DFB">
        <w:rPr>
          <w:rFonts w:asciiTheme="minorHAnsi" w:hAnsiTheme="minorHAnsi" w:cstheme="minorHAnsi"/>
          <w:i w:val="0"/>
          <w:iCs w:val="0"/>
        </w:rPr>
        <w:t>inancial Estimates</w:t>
      </w:r>
      <w:bookmarkEnd w:id="30"/>
      <w:r w:rsidRPr="002E39B6">
        <w:rPr>
          <w:rFonts w:asciiTheme="minorHAnsi" w:hAnsiTheme="minorHAnsi" w:cstheme="minorHAnsi"/>
          <w:i w:val="0"/>
          <w:iCs w:val="0"/>
        </w:rPr>
        <w:t xml:space="preserve"> </w:t>
      </w:r>
    </w:p>
    <w:p w14:paraId="4DC991BB" w14:textId="2D345668" w:rsidR="00A25DC0" w:rsidRPr="00862634" w:rsidRDefault="00A25DC0" w:rsidP="00A25DC0">
      <w:pPr>
        <w:widowControl w:val="0"/>
        <w:autoSpaceDE w:val="0"/>
        <w:autoSpaceDN w:val="0"/>
        <w:adjustRightInd w:val="0"/>
        <w:spacing w:line="241" w:lineRule="atLeast"/>
        <w:rPr>
          <w:rFonts w:asciiTheme="minorHAnsi" w:hAnsiTheme="minorHAnsi" w:cstheme="minorHAnsi"/>
          <w:iCs/>
          <w:color w:val="000000" w:themeColor="text1"/>
          <w:lang w:val="en-US"/>
        </w:rPr>
      </w:pPr>
      <w:r w:rsidRPr="00862634">
        <w:rPr>
          <w:rFonts w:asciiTheme="minorHAnsi" w:hAnsiTheme="minorHAnsi" w:cstheme="minorHAnsi"/>
          <w:iCs/>
          <w:color w:val="000000" w:themeColor="text1"/>
          <w:lang w:val="en-US"/>
        </w:rPr>
        <w:t xml:space="preserve">Financial estimates are provided below in </w:t>
      </w:r>
      <w:r w:rsidRPr="00C353A0">
        <w:rPr>
          <w:rFonts w:asciiTheme="minorHAnsi" w:hAnsiTheme="minorHAnsi" w:cstheme="minorHAnsi"/>
          <w:b/>
          <w:bCs/>
          <w:iCs/>
          <w:color w:val="000000" w:themeColor="text1"/>
          <w:lang w:val="en-US"/>
        </w:rPr>
        <w:t xml:space="preserve">Table </w:t>
      </w:r>
      <w:r w:rsidR="000B1C17">
        <w:rPr>
          <w:rFonts w:asciiTheme="minorHAnsi" w:hAnsiTheme="minorHAnsi" w:cstheme="minorHAnsi"/>
          <w:b/>
          <w:bCs/>
          <w:iCs/>
          <w:color w:val="000000" w:themeColor="text1"/>
          <w:lang w:val="en-US"/>
        </w:rPr>
        <w:t>7</w:t>
      </w:r>
      <w:r w:rsidRPr="000941CA">
        <w:rPr>
          <w:rFonts w:asciiTheme="minorHAnsi" w:hAnsiTheme="minorHAnsi" w:cstheme="minorHAnsi"/>
          <w:iCs/>
          <w:color w:val="000000" w:themeColor="text1"/>
          <w:lang w:val="en-US"/>
        </w:rPr>
        <w:t>.</w:t>
      </w:r>
      <w:r w:rsidRPr="00862634">
        <w:rPr>
          <w:rFonts w:asciiTheme="minorHAnsi" w:hAnsiTheme="minorHAnsi" w:cstheme="minorHAnsi"/>
          <w:iCs/>
          <w:color w:val="000000" w:themeColor="text1"/>
          <w:lang w:val="en-US"/>
        </w:rPr>
        <w:t xml:space="preserve">  As these financial estimates change</w:t>
      </w:r>
      <w:r w:rsidR="00FA27D4">
        <w:rPr>
          <w:rFonts w:asciiTheme="minorHAnsi" w:hAnsiTheme="minorHAnsi" w:cstheme="minorHAnsi"/>
          <w:iCs/>
          <w:color w:val="000000" w:themeColor="text1"/>
          <w:lang w:val="en-US"/>
        </w:rPr>
        <w:t>,</w:t>
      </w:r>
      <w:r w:rsidRPr="00862634">
        <w:rPr>
          <w:rFonts w:asciiTheme="minorHAnsi" w:hAnsiTheme="minorHAnsi" w:cstheme="minorHAnsi"/>
          <w:iCs/>
          <w:color w:val="000000" w:themeColor="text1"/>
          <w:lang w:val="en-US"/>
        </w:rPr>
        <w:t xml:space="preserve"> the CRIS will be updated accordingly.</w:t>
      </w:r>
    </w:p>
    <w:p w14:paraId="48E88880" w14:textId="77777777" w:rsidR="00A25DC0" w:rsidRPr="00862634" w:rsidRDefault="00A25DC0" w:rsidP="00A25DC0">
      <w:pPr>
        <w:widowControl w:val="0"/>
        <w:autoSpaceDE w:val="0"/>
        <w:autoSpaceDN w:val="0"/>
        <w:adjustRightInd w:val="0"/>
        <w:spacing w:line="241" w:lineRule="atLeast"/>
        <w:jc w:val="both"/>
        <w:rPr>
          <w:rFonts w:asciiTheme="minorHAnsi" w:hAnsiTheme="minorHAnsi" w:cstheme="minorHAnsi"/>
          <w:iCs/>
          <w:color w:val="000000" w:themeColor="text1"/>
          <w:lang w:val="en-US"/>
        </w:rPr>
      </w:pPr>
    </w:p>
    <w:p w14:paraId="1BC980FA" w14:textId="0BF80947" w:rsidR="00A25DC0" w:rsidRPr="00862634" w:rsidRDefault="00A25DC0" w:rsidP="00A25DC0">
      <w:pPr>
        <w:keepNext/>
        <w:widowControl w:val="0"/>
        <w:autoSpaceDE w:val="0"/>
        <w:autoSpaceDN w:val="0"/>
        <w:adjustRightInd w:val="0"/>
        <w:spacing w:line="241" w:lineRule="atLeast"/>
        <w:jc w:val="both"/>
        <w:rPr>
          <w:rFonts w:asciiTheme="minorHAnsi" w:hAnsiTheme="minorHAnsi" w:cstheme="minorHAnsi"/>
          <w:iCs/>
          <w:color w:val="000000" w:themeColor="text1"/>
          <w:lang w:val="en-US"/>
        </w:rPr>
      </w:pPr>
      <w:r w:rsidRPr="00107D3F">
        <w:rPr>
          <w:rFonts w:asciiTheme="minorHAnsi" w:hAnsiTheme="minorHAnsi" w:cstheme="minorHAnsi"/>
          <w:b/>
          <w:bCs/>
          <w:iCs/>
          <w:color w:val="000000" w:themeColor="text1"/>
          <w:lang w:val="en-US"/>
        </w:rPr>
        <w:t xml:space="preserve">Table </w:t>
      </w:r>
      <w:r w:rsidR="000B1C17">
        <w:rPr>
          <w:rFonts w:asciiTheme="minorHAnsi" w:hAnsiTheme="minorHAnsi" w:cstheme="minorHAnsi"/>
          <w:b/>
          <w:bCs/>
          <w:iCs/>
          <w:color w:val="000000" w:themeColor="text1"/>
          <w:lang w:val="en-US"/>
        </w:rPr>
        <w:t>7</w:t>
      </w:r>
      <w:r w:rsidRPr="00C9351D">
        <w:rPr>
          <w:rFonts w:asciiTheme="minorHAnsi" w:hAnsiTheme="minorHAnsi" w:cstheme="minorHAnsi"/>
          <w:iCs/>
          <w:color w:val="000000" w:themeColor="text1"/>
          <w:lang w:val="en-US"/>
        </w:rPr>
        <w:t>: Summary of financial estimates</w:t>
      </w:r>
      <w:r w:rsidR="00465868">
        <w:rPr>
          <w:rFonts w:asciiTheme="minorHAnsi" w:hAnsiTheme="minorHAnsi" w:cstheme="minorHAnsi"/>
          <w:iCs/>
          <w:color w:val="000000" w:themeColor="text1"/>
          <w:lang w:val="en-US"/>
        </w:rPr>
        <w:t xml:space="preserve"> </w:t>
      </w:r>
      <w:r w:rsidR="00465868">
        <w:rPr>
          <w:rFonts w:ascii="Calibri" w:hAnsi="Calibri" w:cs="Calibri"/>
          <w:color w:val="000000"/>
        </w:rPr>
        <w:t>for 2022-23 to 2024-25</w:t>
      </w:r>
    </w:p>
    <w:tbl>
      <w:tblPr>
        <w:tblW w:w="8980" w:type="dxa"/>
        <w:tblLook w:val="04A0" w:firstRow="1" w:lastRow="0" w:firstColumn="1" w:lastColumn="0" w:noHBand="0" w:noVBand="1"/>
      </w:tblPr>
      <w:tblGrid>
        <w:gridCol w:w="2445"/>
        <w:gridCol w:w="2251"/>
        <w:gridCol w:w="2275"/>
        <w:gridCol w:w="2009"/>
      </w:tblGrid>
      <w:tr w:rsidR="001747AA" w:rsidRPr="001747AA" w14:paraId="314135B0" w14:textId="77777777" w:rsidTr="001747AA">
        <w:trPr>
          <w:trHeight w:val="304"/>
        </w:trPr>
        <w:tc>
          <w:tcPr>
            <w:tcW w:w="2445" w:type="dxa"/>
            <w:tcBorders>
              <w:top w:val="single" w:sz="8" w:space="0" w:color="4F81BD"/>
              <w:left w:val="single" w:sz="8" w:space="0" w:color="4F81BD"/>
              <w:bottom w:val="single" w:sz="8" w:space="0" w:color="4F81BD"/>
              <w:right w:val="nil"/>
            </w:tcBorders>
            <w:shd w:val="clear" w:color="000000" w:fill="4F81BD"/>
            <w:vAlign w:val="center"/>
            <w:hideMark/>
          </w:tcPr>
          <w:p w14:paraId="255B45E0" w14:textId="77777777" w:rsidR="001747AA" w:rsidRPr="001747AA" w:rsidRDefault="001747AA" w:rsidP="001747AA">
            <w:pPr>
              <w:rPr>
                <w:rFonts w:ascii="Calibri" w:hAnsi="Calibri" w:cs="Calibri"/>
                <w:b/>
                <w:bCs/>
                <w:color w:val="FFFFFF"/>
                <w:sz w:val="20"/>
                <w:szCs w:val="20"/>
                <w:lang w:eastAsia="en-AU"/>
              </w:rPr>
            </w:pPr>
            <w:r w:rsidRPr="001747AA">
              <w:rPr>
                <w:rFonts w:ascii="Calibri" w:hAnsi="Calibri" w:cs="Calibri"/>
                <w:b/>
                <w:bCs/>
                <w:color w:val="FFFFFF"/>
                <w:sz w:val="20"/>
                <w:szCs w:val="20"/>
                <w:lang w:eastAsia="en-AU"/>
              </w:rPr>
              <w:t> </w:t>
            </w:r>
          </w:p>
        </w:tc>
        <w:tc>
          <w:tcPr>
            <w:tcW w:w="2251" w:type="dxa"/>
            <w:tcBorders>
              <w:top w:val="single" w:sz="8" w:space="0" w:color="4F81BD"/>
              <w:left w:val="nil"/>
              <w:bottom w:val="single" w:sz="8" w:space="0" w:color="4F81BD"/>
              <w:right w:val="nil"/>
            </w:tcBorders>
            <w:shd w:val="clear" w:color="000000" w:fill="4F81BD"/>
            <w:vAlign w:val="center"/>
            <w:hideMark/>
          </w:tcPr>
          <w:p w14:paraId="39946C54" w14:textId="77777777" w:rsidR="001747AA" w:rsidRPr="001747AA" w:rsidRDefault="001747AA" w:rsidP="001747AA">
            <w:pPr>
              <w:jc w:val="center"/>
              <w:rPr>
                <w:rFonts w:ascii="Calibri" w:hAnsi="Calibri" w:cs="Calibri"/>
                <w:b/>
                <w:bCs/>
                <w:color w:val="FFFFFF"/>
                <w:sz w:val="20"/>
                <w:szCs w:val="20"/>
                <w:lang w:eastAsia="en-AU"/>
              </w:rPr>
            </w:pPr>
            <w:r w:rsidRPr="001747AA">
              <w:rPr>
                <w:rFonts w:ascii="Calibri" w:hAnsi="Calibri" w:cs="Calibri"/>
                <w:b/>
                <w:bCs/>
                <w:color w:val="FFFFFF"/>
                <w:sz w:val="20"/>
                <w:szCs w:val="20"/>
                <w:lang w:eastAsia="en-AU"/>
              </w:rPr>
              <w:t>2022-23</w:t>
            </w:r>
          </w:p>
        </w:tc>
        <w:tc>
          <w:tcPr>
            <w:tcW w:w="2275" w:type="dxa"/>
            <w:tcBorders>
              <w:top w:val="single" w:sz="8" w:space="0" w:color="4F81BD"/>
              <w:left w:val="nil"/>
              <w:bottom w:val="single" w:sz="8" w:space="0" w:color="4F81BD"/>
              <w:right w:val="single" w:sz="8" w:space="0" w:color="4F81BD"/>
            </w:tcBorders>
            <w:shd w:val="clear" w:color="000000" w:fill="4F81BD"/>
            <w:vAlign w:val="center"/>
            <w:hideMark/>
          </w:tcPr>
          <w:p w14:paraId="0E0CB713" w14:textId="77777777" w:rsidR="001747AA" w:rsidRPr="001747AA" w:rsidRDefault="001747AA" w:rsidP="001747AA">
            <w:pPr>
              <w:jc w:val="center"/>
              <w:rPr>
                <w:rFonts w:ascii="Calibri" w:hAnsi="Calibri" w:cs="Calibri"/>
                <w:b/>
                <w:bCs/>
                <w:color w:val="FFFFFF"/>
                <w:sz w:val="20"/>
                <w:szCs w:val="20"/>
                <w:lang w:eastAsia="en-AU"/>
              </w:rPr>
            </w:pPr>
            <w:r w:rsidRPr="001747AA">
              <w:rPr>
                <w:rFonts w:ascii="Calibri" w:hAnsi="Calibri" w:cs="Calibri"/>
                <w:b/>
                <w:bCs/>
                <w:color w:val="FFFFFF"/>
                <w:sz w:val="20"/>
                <w:szCs w:val="20"/>
                <w:lang w:eastAsia="en-AU"/>
              </w:rPr>
              <w:t>2023-24</w:t>
            </w:r>
          </w:p>
        </w:tc>
        <w:tc>
          <w:tcPr>
            <w:tcW w:w="2009" w:type="dxa"/>
            <w:tcBorders>
              <w:top w:val="single" w:sz="8" w:space="0" w:color="4F81BD"/>
              <w:left w:val="nil"/>
              <w:bottom w:val="single" w:sz="8" w:space="0" w:color="4F81BD"/>
              <w:right w:val="single" w:sz="8" w:space="0" w:color="4F81BD"/>
            </w:tcBorders>
            <w:shd w:val="clear" w:color="000000" w:fill="4F81BD"/>
            <w:vAlign w:val="center"/>
            <w:hideMark/>
          </w:tcPr>
          <w:p w14:paraId="18D7FE3D" w14:textId="77777777" w:rsidR="001747AA" w:rsidRPr="001747AA" w:rsidRDefault="001747AA" w:rsidP="001747AA">
            <w:pPr>
              <w:jc w:val="center"/>
              <w:rPr>
                <w:rFonts w:ascii="Calibri" w:hAnsi="Calibri" w:cs="Calibri"/>
                <w:b/>
                <w:bCs/>
                <w:color w:val="FFFFFF"/>
                <w:sz w:val="20"/>
                <w:szCs w:val="20"/>
                <w:lang w:eastAsia="en-AU"/>
              </w:rPr>
            </w:pPr>
            <w:r w:rsidRPr="001747AA">
              <w:rPr>
                <w:rFonts w:ascii="Calibri" w:hAnsi="Calibri" w:cs="Calibri"/>
                <w:b/>
                <w:bCs/>
                <w:color w:val="FFFFFF"/>
                <w:sz w:val="20"/>
                <w:szCs w:val="20"/>
                <w:lang w:eastAsia="en-AU"/>
              </w:rPr>
              <w:t>2024-25</w:t>
            </w:r>
          </w:p>
        </w:tc>
      </w:tr>
      <w:tr w:rsidR="001747AA" w:rsidRPr="001747AA" w14:paraId="186BFDE1" w14:textId="77777777" w:rsidTr="001747AA">
        <w:trPr>
          <w:trHeight w:val="304"/>
        </w:trPr>
        <w:tc>
          <w:tcPr>
            <w:tcW w:w="2445" w:type="dxa"/>
            <w:tcBorders>
              <w:top w:val="nil"/>
              <w:left w:val="single" w:sz="8" w:space="0" w:color="95B3D7"/>
              <w:bottom w:val="single" w:sz="8" w:space="0" w:color="95B3D7"/>
              <w:right w:val="single" w:sz="8" w:space="0" w:color="95B3D7"/>
            </w:tcBorders>
            <w:shd w:val="clear" w:color="000000" w:fill="DBE5F1"/>
            <w:vAlign w:val="center"/>
            <w:hideMark/>
          </w:tcPr>
          <w:p w14:paraId="2DB57E60" w14:textId="77777777" w:rsidR="001747AA" w:rsidRPr="001747AA" w:rsidRDefault="001747AA" w:rsidP="001747AA">
            <w:pPr>
              <w:rPr>
                <w:rFonts w:ascii="Calibri" w:hAnsi="Calibri" w:cs="Calibri"/>
                <w:color w:val="17365D"/>
                <w:sz w:val="20"/>
                <w:szCs w:val="20"/>
                <w:lang w:eastAsia="en-AU"/>
              </w:rPr>
            </w:pPr>
            <w:r w:rsidRPr="001747AA">
              <w:rPr>
                <w:rFonts w:ascii="Calibri" w:hAnsi="Calibri" w:cs="Calibri"/>
                <w:color w:val="17365D"/>
                <w:sz w:val="20"/>
                <w:szCs w:val="20"/>
                <w:lang w:eastAsia="en-AU"/>
              </w:rPr>
              <w:t>Revenue</w:t>
            </w:r>
          </w:p>
        </w:tc>
        <w:tc>
          <w:tcPr>
            <w:tcW w:w="2251" w:type="dxa"/>
            <w:tcBorders>
              <w:top w:val="nil"/>
              <w:left w:val="nil"/>
              <w:bottom w:val="single" w:sz="8" w:space="0" w:color="95B3D7"/>
              <w:right w:val="single" w:sz="8" w:space="0" w:color="95B3D7"/>
            </w:tcBorders>
            <w:shd w:val="clear" w:color="000000" w:fill="DBE5F1"/>
            <w:vAlign w:val="center"/>
            <w:hideMark/>
          </w:tcPr>
          <w:p w14:paraId="26BDEFC2" w14:textId="77777777" w:rsidR="001747AA" w:rsidRPr="001747AA" w:rsidRDefault="001747AA" w:rsidP="001747AA">
            <w:pPr>
              <w:jc w:val="center"/>
              <w:rPr>
                <w:rFonts w:ascii="Calibri" w:hAnsi="Calibri" w:cs="Calibri"/>
                <w:color w:val="17365D"/>
                <w:sz w:val="20"/>
                <w:szCs w:val="20"/>
                <w:lang w:eastAsia="en-AU"/>
              </w:rPr>
            </w:pPr>
            <w:r w:rsidRPr="001747AA">
              <w:rPr>
                <w:rFonts w:ascii="Calibri" w:hAnsi="Calibri" w:cs="Calibri"/>
                <w:color w:val="17365D"/>
                <w:sz w:val="20"/>
                <w:szCs w:val="20"/>
                <w:lang w:eastAsia="en-AU"/>
              </w:rPr>
              <w:t>$909,500</w:t>
            </w:r>
          </w:p>
        </w:tc>
        <w:tc>
          <w:tcPr>
            <w:tcW w:w="2275" w:type="dxa"/>
            <w:tcBorders>
              <w:top w:val="nil"/>
              <w:left w:val="nil"/>
              <w:bottom w:val="single" w:sz="8" w:space="0" w:color="95B3D7"/>
              <w:right w:val="single" w:sz="8" w:space="0" w:color="95B3D7"/>
            </w:tcBorders>
            <w:shd w:val="clear" w:color="000000" w:fill="DBE5F1"/>
            <w:vAlign w:val="center"/>
            <w:hideMark/>
          </w:tcPr>
          <w:p w14:paraId="5FA3B8DF" w14:textId="77777777" w:rsidR="001747AA" w:rsidRPr="001747AA" w:rsidRDefault="001747AA" w:rsidP="001747AA">
            <w:pPr>
              <w:jc w:val="center"/>
              <w:rPr>
                <w:rFonts w:ascii="Calibri" w:hAnsi="Calibri" w:cs="Calibri"/>
                <w:color w:val="17365D"/>
                <w:sz w:val="20"/>
                <w:szCs w:val="20"/>
                <w:lang w:eastAsia="en-AU"/>
              </w:rPr>
            </w:pPr>
            <w:r w:rsidRPr="001747AA">
              <w:rPr>
                <w:rFonts w:ascii="Calibri" w:hAnsi="Calibri" w:cs="Calibri"/>
                <w:color w:val="17365D"/>
                <w:sz w:val="20"/>
                <w:szCs w:val="20"/>
                <w:lang w:eastAsia="en-AU"/>
              </w:rPr>
              <w:t>$2,055,000</w:t>
            </w:r>
          </w:p>
        </w:tc>
        <w:tc>
          <w:tcPr>
            <w:tcW w:w="2009" w:type="dxa"/>
            <w:tcBorders>
              <w:top w:val="nil"/>
              <w:left w:val="nil"/>
              <w:bottom w:val="single" w:sz="8" w:space="0" w:color="95B3D7"/>
              <w:right w:val="single" w:sz="8" w:space="0" w:color="95B3D7"/>
            </w:tcBorders>
            <w:shd w:val="clear" w:color="000000" w:fill="DBE5F1"/>
            <w:vAlign w:val="center"/>
            <w:hideMark/>
          </w:tcPr>
          <w:p w14:paraId="26F82339" w14:textId="77777777" w:rsidR="001747AA" w:rsidRPr="001747AA" w:rsidRDefault="001747AA" w:rsidP="001747AA">
            <w:pPr>
              <w:jc w:val="center"/>
              <w:rPr>
                <w:rFonts w:ascii="Calibri" w:hAnsi="Calibri" w:cs="Calibri"/>
                <w:color w:val="17365D"/>
                <w:sz w:val="20"/>
                <w:szCs w:val="20"/>
                <w:lang w:eastAsia="en-AU"/>
              </w:rPr>
            </w:pPr>
            <w:r w:rsidRPr="001747AA">
              <w:rPr>
                <w:rFonts w:ascii="Calibri" w:hAnsi="Calibri" w:cs="Calibri"/>
                <w:color w:val="17365D"/>
                <w:sz w:val="20"/>
                <w:szCs w:val="20"/>
                <w:lang w:eastAsia="en-AU"/>
              </w:rPr>
              <w:t>$2,379,500</w:t>
            </w:r>
          </w:p>
        </w:tc>
      </w:tr>
      <w:tr w:rsidR="001747AA" w:rsidRPr="001747AA" w14:paraId="2816E31A" w14:textId="77777777" w:rsidTr="001747AA">
        <w:trPr>
          <w:trHeight w:val="304"/>
        </w:trPr>
        <w:tc>
          <w:tcPr>
            <w:tcW w:w="2445" w:type="dxa"/>
            <w:tcBorders>
              <w:top w:val="nil"/>
              <w:left w:val="single" w:sz="8" w:space="0" w:color="95B3D7"/>
              <w:bottom w:val="single" w:sz="8" w:space="0" w:color="95B3D7"/>
              <w:right w:val="single" w:sz="8" w:space="0" w:color="95B3D7"/>
            </w:tcBorders>
            <w:shd w:val="clear" w:color="auto" w:fill="auto"/>
            <w:vAlign w:val="center"/>
            <w:hideMark/>
          </w:tcPr>
          <w:p w14:paraId="01F74EC0" w14:textId="77777777" w:rsidR="001747AA" w:rsidRPr="001747AA" w:rsidRDefault="001747AA" w:rsidP="001747AA">
            <w:pPr>
              <w:rPr>
                <w:rFonts w:ascii="Calibri" w:hAnsi="Calibri" w:cs="Calibri"/>
                <w:color w:val="17365D"/>
                <w:sz w:val="20"/>
                <w:szCs w:val="20"/>
                <w:lang w:eastAsia="en-AU"/>
              </w:rPr>
            </w:pPr>
            <w:r w:rsidRPr="001747AA">
              <w:rPr>
                <w:rFonts w:ascii="Calibri" w:hAnsi="Calibri" w:cs="Calibri"/>
                <w:color w:val="17365D"/>
                <w:sz w:val="20"/>
                <w:szCs w:val="20"/>
                <w:lang w:eastAsia="en-AU"/>
              </w:rPr>
              <w:t>Expenses</w:t>
            </w:r>
          </w:p>
        </w:tc>
        <w:tc>
          <w:tcPr>
            <w:tcW w:w="2251" w:type="dxa"/>
            <w:tcBorders>
              <w:top w:val="nil"/>
              <w:left w:val="nil"/>
              <w:bottom w:val="single" w:sz="8" w:space="0" w:color="95B3D7"/>
              <w:right w:val="single" w:sz="8" w:space="0" w:color="95B3D7"/>
            </w:tcBorders>
            <w:shd w:val="clear" w:color="auto" w:fill="auto"/>
            <w:vAlign w:val="center"/>
            <w:hideMark/>
          </w:tcPr>
          <w:p w14:paraId="0794BD19" w14:textId="77777777" w:rsidR="001747AA" w:rsidRPr="001747AA" w:rsidRDefault="001747AA" w:rsidP="001747AA">
            <w:pPr>
              <w:jc w:val="center"/>
              <w:rPr>
                <w:rFonts w:ascii="Calibri" w:hAnsi="Calibri" w:cs="Calibri"/>
                <w:color w:val="17365D"/>
                <w:sz w:val="20"/>
                <w:szCs w:val="20"/>
                <w:lang w:eastAsia="en-AU"/>
              </w:rPr>
            </w:pPr>
            <w:r w:rsidRPr="001747AA">
              <w:rPr>
                <w:rFonts w:ascii="Calibri" w:hAnsi="Calibri" w:cs="Calibri"/>
                <w:color w:val="17365D"/>
                <w:sz w:val="20"/>
                <w:szCs w:val="20"/>
                <w:lang w:eastAsia="en-AU"/>
              </w:rPr>
              <w:t>$1,215,511</w:t>
            </w:r>
          </w:p>
        </w:tc>
        <w:tc>
          <w:tcPr>
            <w:tcW w:w="2275" w:type="dxa"/>
            <w:tcBorders>
              <w:top w:val="nil"/>
              <w:left w:val="nil"/>
              <w:bottom w:val="single" w:sz="8" w:space="0" w:color="95B3D7"/>
              <w:right w:val="single" w:sz="8" w:space="0" w:color="95B3D7"/>
            </w:tcBorders>
            <w:shd w:val="clear" w:color="auto" w:fill="auto"/>
            <w:vAlign w:val="center"/>
            <w:hideMark/>
          </w:tcPr>
          <w:p w14:paraId="7027150A" w14:textId="77777777" w:rsidR="001747AA" w:rsidRPr="001747AA" w:rsidRDefault="001747AA" w:rsidP="001747AA">
            <w:pPr>
              <w:jc w:val="center"/>
              <w:rPr>
                <w:rFonts w:ascii="Calibri" w:hAnsi="Calibri" w:cs="Calibri"/>
                <w:color w:val="17365D"/>
                <w:sz w:val="20"/>
                <w:szCs w:val="20"/>
                <w:lang w:eastAsia="en-AU"/>
              </w:rPr>
            </w:pPr>
            <w:r w:rsidRPr="001747AA">
              <w:rPr>
                <w:rFonts w:ascii="Calibri" w:hAnsi="Calibri" w:cs="Calibri"/>
                <w:color w:val="17365D"/>
                <w:sz w:val="20"/>
                <w:szCs w:val="20"/>
                <w:lang w:eastAsia="en-AU"/>
              </w:rPr>
              <w:t>$1,271,643</w:t>
            </w:r>
          </w:p>
        </w:tc>
        <w:tc>
          <w:tcPr>
            <w:tcW w:w="2009" w:type="dxa"/>
            <w:tcBorders>
              <w:top w:val="nil"/>
              <w:left w:val="nil"/>
              <w:bottom w:val="single" w:sz="8" w:space="0" w:color="95B3D7"/>
              <w:right w:val="single" w:sz="8" w:space="0" w:color="95B3D7"/>
            </w:tcBorders>
            <w:shd w:val="clear" w:color="auto" w:fill="auto"/>
            <w:vAlign w:val="center"/>
            <w:hideMark/>
          </w:tcPr>
          <w:p w14:paraId="265F10DE" w14:textId="77777777" w:rsidR="001747AA" w:rsidRPr="001747AA" w:rsidRDefault="001747AA" w:rsidP="001747AA">
            <w:pPr>
              <w:jc w:val="center"/>
              <w:rPr>
                <w:rFonts w:ascii="Calibri" w:hAnsi="Calibri" w:cs="Calibri"/>
                <w:color w:val="17365D"/>
                <w:sz w:val="20"/>
                <w:szCs w:val="20"/>
                <w:lang w:eastAsia="en-AU"/>
              </w:rPr>
            </w:pPr>
            <w:r w:rsidRPr="001747AA">
              <w:rPr>
                <w:rFonts w:ascii="Calibri" w:hAnsi="Calibri" w:cs="Calibri"/>
                <w:color w:val="17365D"/>
                <w:sz w:val="20"/>
                <w:szCs w:val="20"/>
                <w:lang w:eastAsia="en-AU"/>
              </w:rPr>
              <w:t>$1,298,877</w:t>
            </w:r>
          </w:p>
        </w:tc>
      </w:tr>
      <w:tr w:rsidR="001747AA" w:rsidRPr="001747AA" w14:paraId="2AF8D0F3" w14:textId="77777777" w:rsidTr="001747AA">
        <w:trPr>
          <w:trHeight w:val="304"/>
        </w:trPr>
        <w:tc>
          <w:tcPr>
            <w:tcW w:w="2445" w:type="dxa"/>
            <w:tcBorders>
              <w:top w:val="nil"/>
              <w:left w:val="single" w:sz="8" w:space="0" w:color="95B3D7"/>
              <w:bottom w:val="single" w:sz="8" w:space="0" w:color="95B3D7"/>
              <w:right w:val="single" w:sz="8" w:space="0" w:color="95B3D7"/>
            </w:tcBorders>
            <w:shd w:val="clear" w:color="000000" w:fill="DBE5F1"/>
            <w:vAlign w:val="center"/>
            <w:hideMark/>
          </w:tcPr>
          <w:p w14:paraId="111316BE" w14:textId="77777777" w:rsidR="001747AA" w:rsidRPr="001747AA" w:rsidRDefault="001747AA" w:rsidP="001747AA">
            <w:pPr>
              <w:rPr>
                <w:rFonts w:ascii="Calibri" w:hAnsi="Calibri" w:cs="Calibri"/>
                <w:color w:val="17365D"/>
                <w:sz w:val="20"/>
                <w:szCs w:val="20"/>
                <w:lang w:eastAsia="en-AU"/>
              </w:rPr>
            </w:pPr>
            <w:r w:rsidRPr="001747AA">
              <w:rPr>
                <w:rFonts w:ascii="Calibri" w:hAnsi="Calibri" w:cs="Calibri"/>
                <w:color w:val="17365D"/>
                <w:sz w:val="20"/>
                <w:szCs w:val="20"/>
                <w:lang w:eastAsia="en-AU"/>
              </w:rPr>
              <w:t>Surplus/(Deficit)</w:t>
            </w:r>
          </w:p>
        </w:tc>
        <w:tc>
          <w:tcPr>
            <w:tcW w:w="2251" w:type="dxa"/>
            <w:tcBorders>
              <w:top w:val="nil"/>
              <w:left w:val="nil"/>
              <w:bottom w:val="single" w:sz="8" w:space="0" w:color="95B3D7"/>
              <w:right w:val="single" w:sz="8" w:space="0" w:color="95B3D7"/>
            </w:tcBorders>
            <w:shd w:val="clear" w:color="000000" w:fill="DBE5F1"/>
            <w:vAlign w:val="center"/>
            <w:hideMark/>
          </w:tcPr>
          <w:p w14:paraId="245C36A4" w14:textId="77777777" w:rsidR="001747AA" w:rsidRPr="001747AA" w:rsidRDefault="001747AA" w:rsidP="001747AA">
            <w:pPr>
              <w:jc w:val="center"/>
              <w:rPr>
                <w:rFonts w:ascii="Calibri" w:hAnsi="Calibri" w:cs="Calibri"/>
                <w:color w:val="17365D"/>
                <w:sz w:val="20"/>
                <w:szCs w:val="20"/>
                <w:lang w:eastAsia="en-AU"/>
              </w:rPr>
            </w:pPr>
            <w:r w:rsidRPr="001747AA">
              <w:rPr>
                <w:rFonts w:ascii="Calibri" w:hAnsi="Calibri" w:cs="Calibri"/>
                <w:color w:val="FF0000"/>
                <w:sz w:val="20"/>
                <w:szCs w:val="20"/>
                <w:lang w:eastAsia="en-AU"/>
              </w:rPr>
              <w:t>-$306,011</w:t>
            </w:r>
          </w:p>
        </w:tc>
        <w:tc>
          <w:tcPr>
            <w:tcW w:w="2275" w:type="dxa"/>
            <w:tcBorders>
              <w:top w:val="nil"/>
              <w:left w:val="nil"/>
              <w:bottom w:val="single" w:sz="8" w:space="0" w:color="95B3D7"/>
              <w:right w:val="single" w:sz="8" w:space="0" w:color="95B3D7"/>
            </w:tcBorders>
            <w:shd w:val="clear" w:color="000000" w:fill="DBE5F1"/>
            <w:vAlign w:val="center"/>
            <w:hideMark/>
          </w:tcPr>
          <w:p w14:paraId="00A8ED3A" w14:textId="77777777" w:rsidR="001747AA" w:rsidRPr="001747AA" w:rsidRDefault="001747AA" w:rsidP="001747AA">
            <w:pPr>
              <w:jc w:val="center"/>
              <w:rPr>
                <w:rFonts w:ascii="Calibri" w:hAnsi="Calibri" w:cs="Calibri"/>
                <w:color w:val="17365D"/>
                <w:sz w:val="20"/>
                <w:szCs w:val="20"/>
                <w:lang w:eastAsia="en-AU"/>
              </w:rPr>
            </w:pPr>
            <w:r w:rsidRPr="001747AA">
              <w:rPr>
                <w:rFonts w:ascii="Calibri" w:hAnsi="Calibri" w:cs="Calibri"/>
                <w:color w:val="17365D"/>
                <w:sz w:val="20"/>
                <w:szCs w:val="20"/>
                <w:lang w:eastAsia="en-AU"/>
              </w:rPr>
              <w:t>$783,357</w:t>
            </w:r>
          </w:p>
        </w:tc>
        <w:tc>
          <w:tcPr>
            <w:tcW w:w="2009" w:type="dxa"/>
            <w:tcBorders>
              <w:top w:val="nil"/>
              <w:left w:val="nil"/>
              <w:bottom w:val="single" w:sz="8" w:space="0" w:color="95B3D7"/>
              <w:right w:val="single" w:sz="8" w:space="0" w:color="95B3D7"/>
            </w:tcBorders>
            <w:shd w:val="clear" w:color="000000" w:fill="DBE5F1"/>
            <w:vAlign w:val="center"/>
            <w:hideMark/>
          </w:tcPr>
          <w:p w14:paraId="6BA16DA9" w14:textId="77777777" w:rsidR="001747AA" w:rsidRPr="001747AA" w:rsidRDefault="001747AA" w:rsidP="001747AA">
            <w:pPr>
              <w:jc w:val="center"/>
              <w:rPr>
                <w:rFonts w:ascii="Calibri" w:hAnsi="Calibri" w:cs="Calibri"/>
                <w:color w:val="17365D"/>
                <w:sz w:val="20"/>
                <w:szCs w:val="20"/>
                <w:lang w:eastAsia="en-AU"/>
              </w:rPr>
            </w:pPr>
            <w:r w:rsidRPr="001747AA">
              <w:rPr>
                <w:rFonts w:ascii="Calibri" w:hAnsi="Calibri" w:cs="Calibri"/>
                <w:color w:val="17365D"/>
                <w:sz w:val="20"/>
                <w:szCs w:val="20"/>
                <w:lang w:eastAsia="en-AU"/>
              </w:rPr>
              <w:t>$1,080,623</w:t>
            </w:r>
          </w:p>
        </w:tc>
      </w:tr>
    </w:tbl>
    <w:p w14:paraId="0B11950C" w14:textId="77777777" w:rsidR="00A25DC0" w:rsidRDefault="00A25DC0" w:rsidP="00A25DC0">
      <w:pPr>
        <w:rPr>
          <w:rFonts w:asciiTheme="minorHAnsi" w:hAnsiTheme="minorHAnsi" w:cstheme="minorHAnsi"/>
        </w:rPr>
      </w:pPr>
    </w:p>
    <w:p w14:paraId="42A37596" w14:textId="5E4061F9" w:rsidR="00107D3F" w:rsidRPr="00CE74AA" w:rsidRDefault="00267389" w:rsidP="00CE74AA">
      <w:pPr>
        <w:rPr>
          <w:lang w:val="en-US"/>
        </w:rPr>
      </w:pPr>
      <w:r>
        <w:rPr>
          <w:rFonts w:asciiTheme="minorHAnsi" w:hAnsiTheme="minorHAnsi" w:cstheme="minorHAnsi"/>
        </w:rPr>
        <w:t xml:space="preserve">The Registrar </w:t>
      </w:r>
      <w:r w:rsidR="00A25DC0" w:rsidRPr="00862634">
        <w:rPr>
          <w:rFonts w:asciiTheme="minorHAnsi" w:hAnsiTheme="minorHAnsi" w:cstheme="minorHAnsi"/>
        </w:rPr>
        <w:t>will continue to assess fees and levies to ensure they are efficient, and report on cost effectiveness as part of its annual report of activities.</w:t>
      </w:r>
      <w:r w:rsidR="002C433C">
        <w:rPr>
          <w:rFonts w:asciiTheme="minorHAnsi" w:hAnsiTheme="minorHAnsi" w:cstheme="minorHAnsi"/>
        </w:rPr>
        <w:t xml:space="preserve"> </w:t>
      </w:r>
    </w:p>
    <w:p w14:paraId="3AA08E60" w14:textId="69587AED" w:rsidR="008B679D" w:rsidRPr="002E39B6" w:rsidRDefault="008B679D" w:rsidP="002E39B6">
      <w:pPr>
        <w:pStyle w:val="Heading2"/>
        <w:tabs>
          <w:tab w:val="clear" w:pos="576"/>
          <w:tab w:val="num" w:pos="709"/>
        </w:tabs>
        <w:ind w:left="709" w:hanging="709"/>
        <w:rPr>
          <w:rFonts w:asciiTheme="minorHAnsi" w:hAnsiTheme="minorHAnsi" w:cstheme="minorHAnsi"/>
          <w:i w:val="0"/>
          <w:iCs w:val="0"/>
        </w:rPr>
      </w:pPr>
      <w:bookmarkStart w:id="31" w:name="_Toc98772169"/>
      <w:r w:rsidRPr="002E39B6">
        <w:rPr>
          <w:rFonts w:asciiTheme="minorHAnsi" w:hAnsiTheme="minorHAnsi" w:cstheme="minorHAnsi"/>
          <w:i w:val="0"/>
          <w:iCs w:val="0"/>
        </w:rPr>
        <w:t>N</w:t>
      </w:r>
      <w:r w:rsidR="00323DFB">
        <w:rPr>
          <w:rFonts w:asciiTheme="minorHAnsi" w:hAnsiTheme="minorHAnsi" w:cstheme="minorHAnsi"/>
          <w:i w:val="0"/>
          <w:iCs w:val="0"/>
        </w:rPr>
        <w:t>on-Financial Performance</w:t>
      </w:r>
      <w:bookmarkEnd w:id="31"/>
      <w:r w:rsidRPr="002E39B6">
        <w:rPr>
          <w:rFonts w:asciiTheme="minorHAnsi" w:hAnsiTheme="minorHAnsi" w:cstheme="minorHAnsi"/>
          <w:i w:val="0"/>
          <w:iCs w:val="0"/>
        </w:rPr>
        <w:t xml:space="preserve"> </w:t>
      </w:r>
      <w:r w:rsidR="001747AA">
        <w:rPr>
          <w:rFonts w:asciiTheme="minorHAnsi" w:hAnsiTheme="minorHAnsi" w:cstheme="minorHAnsi"/>
          <w:i w:val="0"/>
          <w:iCs w:val="0"/>
        </w:rPr>
        <w:t xml:space="preserve"> </w:t>
      </w:r>
    </w:p>
    <w:p w14:paraId="3A21329D" w14:textId="1BC9F9F3" w:rsidR="00796EF6" w:rsidRDefault="00796EF6" w:rsidP="00CE74AA">
      <w:pPr>
        <w:rPr>
          <w:rFonts w:asciiTheme="minorHAnsi" w:hAnsiTheme="minorHAnsi" w:cstheme="minorHAnsi"/>
        </w:rPr>
      </w:pPr>
      <w:r>
        <w:rPr>
          <w:rFonts w:asciiTheme="minorHAnsi" w:hAnsiTheme="minorHAnsi" w:cstheme="minorHAnsi"/>
        </w:rPr>
        <w:t xml:space="preserve">As soon as practicable after the end of each financial year, the Registrar is required to prepare and give to the Minister, for presentation to the Parliament, a report on the Registrar’s activities under the OEI Act </w:t>
      </w:r>
      <w:r>
        <w:rPr>
          <w:rFonts w:asciiTheme="minorHAnsi" w:hAnsiTheme="minorHAnsi" w:cstheme="minorHAnsi"/>
        </w:rPr>
        <w:lastRenderedPageBreak/>
        <w:t xml:space="preserve">for that year (section 159 of the OEI Act). </w:t>
      </w:r>
      <w:r w:rsidR="005A721C">
        <w:rPr>
          <w:rFonts w:asciiTheme="minorHAnsi" w:hAnsiTheme="minorHAnsi" w:cstheme="minorHAnsi"/>
        </w:rPr>
        <w:t xml:space="preserve">This will occur through </w:t>
      </w:r>
      <w:r w:rsidR="005A721C" w:rsidRPr="00796EF6">
        <w:rPr>
          <w:rFonts w:asciiTheme="minorHAnsi" w:hAnsiTheme="minorHAnsi" w:cstheme="minorHAnsi"/>
        </w:rPr>
        <w:t>DISER’s broader annual reporting process</w:t>
      </w:r>
      <w:r w:rsidR="005A721C">
        <w:rPr>
          <w:rFonts w:asciiTheme="minorHAnsi" w:hAnsiTheme="minorHAnsi" w:cstheme="minorHAnsi"/>
        </w:rPr>
        <w:t>.</w:t>
      </w:r>
    </w:p>
    <w:p w14:paraId="4E2A2CE1" w14:textId="77777777" w:rsidR="00796EF6" w:rsidRDefault="00796EF6" w:rsidP="00CE74AA">
      <w:pPr>
        <w:rPr>
          <w:rFonts w:asciiTheme="minorHAnsi" w:hAnsiTheme="minorHAnsi" w:cstheme="minorHAnsi"/>
        </w:rPr>
      </w:pPr>
    </w:p>
    <w:p w14:paraId="33D0F2E5" w14:textId="2F7D8311" w:rsidR="00CE74AA" w:rsidRDefault="001F3E83" w:rsidP="00CE74AA">
      <w:pPr>
        <w:rPr>
          <w:rFonts w:asciiTheme="minorHAnsi" w:hAnsiTheme="minorHAnsi" w:cstheme="minorHAnsi"/>
        </w:rPr>
      </w:pPr>
      <w:r>
        <w:rPr>
          <w:rFonts w:asciiTheme="minorHAnsi" w:hAnsiTheme="minorHAnsi" w:cstheme="minorHAnsi"/>
        </w:rPr>
        <w:t>The</w:t>
      </w:r>
      <w:r w:rsidR="005A721C">
        <w:rPr>
          <w:rFonts w:asciiTheme="minorHAnsi" w:hAnsiTheme="minorHAnsi" w:cstheme="minorHAnsi"/>
        </w:rPr>
        <w:t xml:space="preserve"> Registrar</w:t>
      </w:r>
      <w:r w:rsidR="00CE74AA" w:rsidRPr="00796EF6">
        <w:rPr>
          <w:rFonts w:asciiTheme="minorHAnsi" w:hAnsiTheme="minorHAnsi" w:cstheme="minorHAnsi"/>
        </w:rPr>
        <w:t xml:space="preserve"> </w:t>
      </w:r>
      <w:r w:rsidR="005A721C">
        <w:rPr>
          <w:rFonts w:asciiTheme="minorHAnsi" w:hAnsiTheme="minorHAnsi" w:cstheme="minorHAnsi"/>
        </w:rPr>
        <w:t>will also</w:t>
      </w:r>
      <w:r w:rsidR="005A721C" w:rsidRPr="00796EF6">
        <w:rPr>
          <w:rFonts w:asciiTheme="minorHAnsi" w:hAnsiTheme="minorHAnsi" w:cstheme="minorHAnsi"/>
        </w:rPr>
        <w:t xml:space="preserve"> </w:t>
      </w:r>
      <w:r w:rsidR="00CE74AA" w:rsidRPr="00796EF6">
        <w:rPr>
          <w:rFonts w:asciiTheme="minorHAnsi" w:hAnsiTheme="minorHAnsi" w:cstheme="minorHAnsi"/>
        </w:rPr>
        <w:t xml:space="preserve">publish a </w:t>
      </w:r>
      <w:r w:rsidR="00154D28">
        <w:rPr>
          <w:rFonts w:asciiTheme="minorHAnsi" w:hAnsiTheme="minorHAnsi" w:cstheme="minorHAnsi"/>
        </w:rPr>
        <w:t>se</w:t>
      </w:r>
      <w:r w:rsidR="00CE74AA" w:rsidRPr="00796EF6">
        <w:rPr>
          <w:rFonts w:asciiTheme="minorHAnsi" w:hAnsiTheme="minorHAnsi" w:cstheme="minorHAnsi"/>
        </w:rPr>
        <w:t xml:space="preserve">parate annual report of its activities, which is consistent with its input into </w:t>
      </w:r>
      <w:r w:rsidR="002B6588">
        <w:rPr>
          <w:rFonts w:asciiTheme="minorHAnsi" w:hAnsiTheme="minorHAnsi" w:cstheme="minorHAnsi"/>
        </w:rPr>
        <w:t>DISER’s</w:t>
      </w:r>
      <w:r w:rsidR="00CE74AA" w:rsidRPr="00796EF6">
        <w:rPr>
          <w:rFonts w:asciiTheme="minorHAnsi" w:hAnsiTheme="minorHAnsi" w:cstheme="minorHAnsi"/>
        </w:rPr>
        <w:t xml:space="preserve"> annual report but is expanded to provide a broader overview of </w:t>
      </w:r>
      <w:r w:rsidR="005A721C">
        <w:rPr>
          <w:rFonts w:asciiTheme="minorHAnsi" w:hAnsiTheme="minorHAnsi" w:cstheme="minorHAnsi"/>
        </w:rPr>
        <w:t>the Registrar’</w:t>
      </w:r>
      <w:r w:rsidR="005A721C" w:rsidRPr="00796EF6">
        <w:rPr>
          <w:rFonts w:asciiTheme="minorHAnsi" w:hAnsiTheme="minorHAnsi" w:cstheme="minorHAnsi"/>
        </w:rPr>
        <w:t xml:space="preserve">s </w:t>
      </w:r>
      <w:r w:rsidR="00CE74AA" w:rsidRPr="00796EF6">
        <w:rPr>
          <w:rFonts w:asciiTheme="minorHAnsi" w:hAnsiTheme="minorHAnsi" w:cstheme="minorHAnsi"/>
        </w:rPr>
        <w:t>operations.</w:t>
      </w:r>
      <w:r w:rsidR="00CE74AA" w:rsidRPr="00037881">
        <w:rPr>
          <w:rFonts w:asciiTheme="minorHAnsi" w:hAnsiTheme="minorHAnsi" w:cstheme="minorHAnsi"/>
        </w:rPr>
        <w:t> </w:t>
      </w:r>
    </w:p>
    <w:p w14:paraId="072B75D2" w14:textId="77777777" w:rsidR="0073335A" w:rsidRDefault="0073335A" w:rsidP="00902AA6">
      <w:pPr>
        <w:spacing w:after="160" w:line="259" w:lineRule="auto"/>
        <w:rPr>
          <w:rFonts w:asciiTheme="minorHAnsi" w:hAnsiTheme="minorHAnsi" w:cstheme="minorHAnsi"/>
        </w:rPr>
        <w:sectPr w:rsidR="0073335A" w:rsidSect="0073335A">
          <w:pgSz w:w="11906" w:h="16838"/>
          <w:pgMar w:top="720" w:right="720" w:bottom="851" w:left="851" w:header="709" w:footer="709" w:gutter="0"/>
          <w:cols w:space="708"/>
          <w:docGrid w:linePitch="360"/>
        </w:sectPr>
      </w:pPr>
    </w:p>
    <w:p w14:paraId="2F0F7B01" w14:textId="77777777" w:rsidR="00F94186" w:rsidRDefault="00F94186" w:rsidP="00F94186">
      <w:pPr>
        <w:pStyle w:val="Heading1"/>
        <w:tabs>
          <w:tab w:val="clear" w:pos="432"/>
          <w:tab w:val="num" w:pos="709"/>
        </w:tabs>
        <w:ind w:left="709" w:hanging="709"/>
        <w:jc w:val="left"/>
        <w:rPr>
          <w:rFonts w:asciiTheme="minorHAnsi" w:hAnsiTheme="minorHAnsi" w:cstheme="minorHAnsi"/>
          <w:b/>
          <w:bCs/>
          <w:i w:val="0"/>
          <w:iCs w:val="0"/>
          <w:sz w:val="32"/>
          <w:szCs w:val="32"/>
        </w:rPr>
      </w:pPr>
      <w:bookmarkStart w:id="32" w:name="_Toc98772170"/>
      <w:r>
        <w:rPr>
          <w:rFonts w:asciiTheme="minorHAnsi" w:hAnsiTheme="minorHAnsi" w:cstheme="minorHAnsi"/>
          <w:b/>
          <w:bCs/>
          <w:i w:val="0"/>
          <w:iCs w:val="0"/>
          <w:sz w:val="32"/>
          <w:szCs w:val="32"/>
        </w:rPr>
        <w:lastRenderedPageBreak/>
        <w:t>DISER (OFFSHORE RENEWABLE ENERGY SECTION)</w:t>
      </w:r>
      <w:bookmarkEnd w:id="32"/>
    </w:p>
    <w:p w14:paraId="7FEEAE00" w14:textId="77777777" w:rsidR="00F94186" w:rsidRDefault="00F94186" w:rsidP="00F94186">
      <w:pPr>
        <w:pStyle w:val="Heading2"/>
        <w:tabs>
          <w:tab w:val="clear" w:pos="576"/>
          <w:tab w:val="num" w:pos="709"/>
        </w:tabs>
        <w:ind w:left="709" w:hanging="709"/>
        <w:rPr>
          <w:rFonts w:asciiTheme="minorHAnsi" w:hAnsiTheme="minorHAnsi" w:cstheme="minorHAnsi"/>
          <w:i w:val="0"/>
          <w:iCs w:val="0"/>
        </w:rPr>
      </w:pPr>
      <w:bookmarkStart w:id="33" w:name="_Toc98772171"/>
      <w:r w:rsidRPr="00F2024B">
        <w:rPr>
          <w:rFonts w:asciiTheme="minorHAnsi" w:hAnsiTheme="minorHAnsi" w:cstheme="minorHAnsi"/>
          <w:i w:val="0"/>
          <w:iCs w:val="0"/>
        </w:rPr>
        <w:t>Description of the regulatory charging activity</w:t>
      </w:r>
      <w:bookmarkEnd w:id="33"/>
    </w:p>
    <w:p w14:paraId="029631A3" w14:textId="0214A6A0" w:rsidR="00F94186" w:rsidRDefault="00F94186" w:rsidP="00F94186">
      <w:pPr>
        <w:pStyle w:val="NormalWeb"/>
        <w:spacing w:before="0" w:beforeAutospacing="0" w:after="0" w:afterAutospacing="0"/>
        <w:ind w:right="412"/>
        <w:rPr>
          <w:rFonts w:asciiTheme="minorHAnsi" w:hAnsiTheme="minorHAnsi" w:cstheme="minorHAnsi"/>
          <w:color w:val="000000"/>
        </w:rPr>
      </w:pPr>
      <w:r w:rsidRPr="006D6414">
        <w:rPr>
          <w:rFonts w:asciiTheme="minorHAnsi" w:hAnsiTheme="minorHAnsi" w:cstheme="minorHAnsi"/>
          <w:bCs/>
        </w:rPr>
        <w:t xml:space="preserve">The </w:t>
      </w:r>
      <w:r w:rsidRPr="002A3F93">
        <w:rPr>
          <w:rFonts w:asciiTheme="minorHAnsi" w:hAnsiTheme="minorHAnsi" w:cstheme="minorHAnsi"/>
        </w:rPr>
        <w:t>ORE</w:t>
      </w:r>
      <w:r w:rsidRPr="006D6414">
        <w:rPr>
          <w:rFonts w:asciiTheme="minorHAnsi" w:hAnsiTheme="minorHAnsi" w:cstheme="minorHAnsi"/>
          <w:bCs/>
        </w:rPr>
        <w:t xml:space="preserve"> </w:t>
      </w:r>
      <w:r>
        <w:rPr>
          <w:rFonts w:asciiTheme="minorHAnsi" w:hAnsiTheme="minorHAnsi" w:cstheme="minorHAnsi"/>
          <w:bCs/>
        </w:rPr>
        <w:t>section</w:t>
      </w:r>
      <w:r w:rsidRPr="006D6414">
        <w:rPr>
          <w:rFonts w:asciiTheme="minorHAnsi" w:hAnsiTheme="minorHAnsi" w:cstheme="minorHAnsi"/>
          <w:bCs/>
        </w:rPr>
        <w:t xml:space="preserve"> within DISER</w:t>
      </w:r>
      <w:r w:rsidRPr="000D6708">
        <w:rPr>
          <w:rFonts w:asciiTheme="minorHAnsi" w:hAnsiTheme="minorHAnsi" w:cstheme="minorHAnsi"/>
          <w:bCs/>
        </w:rPr>
        <w:t xml:space="preserve"> </w:t>
      </w:r>
      <w:r w:rsidRPr="006D6414">
        <w:rPr>
          <w:rFonts w:asciiTheme="minorHAnsi" w:hAnsiTheme="minorHAnsi" w:cstheme="minorHAnsi"/>
          <w:bCs/>
        </w:rPr>
        <w:t>is responsible for</w:t>
      </w:r>
      <w:r>
        <w:rPr>
          <w:rFonts w:asciiTheme="minorHAnsi" w:hAnsiTheme="minorHAnsi" w:cstheme="minorHAnsi"/>
          <w:bCs/>
        </w:rPr>
        <w:t xml:space="preserve"> the</w:t>
      </w:r>
      <w:r w:rsidRPr="006D6414">
        <w:rPr>
          <w:rFonts w:asciiTheme="minorHAnsi" w:hAnsiTheme="minorHAnsi" w:cstheme="minorHAnsi"/>
          <w:bCs/>
        </w:rPr>
        <w:t xml:space="preserve"> ongoing </w:t>
      </w:r>
      <w:r>
        <w:rPr>
          <w:rFonts w:asciiTheme="minorHAnsi" w:hAnsiTheme="minorHAnsi" w:cstheme="minorHAnsi"/>
          <w:bCs/>
        </w:rPr>
        <w:t>development, implementation and operation</w:t>
      </w:r>
      <w:r w:rsidRPr="006D6414">
        <w:rPr>
          <w:rFonts w:asciiTheme="minorHAnsi" w:hAnsiTheme="minorHAnsi" w:cstheme="minorHAnsi"/>
          <w:bCs/>
        </w:rPr>
        <w:t xml:space="preserve"> of </w:t>
      </w:r>
      <w:r>
        <w:rPr>
          <w:rFonts w:asciiTheme="minorHAnsi" w:hAnsiTheme="minorHAnsi" w:cstheme="minorHAnsi"/>
          <w:bCs/>
        </w:rPr>
        <w:t>the framework including</w:t>
      </w:r>
      <w:r>
        <w:rPr>
          <w:rFonts w:asciiTheme="minorHAnsi" w:hAnsiTheme="minorHAnsi" w:cstheme="minorHAnsi"/>
          <w:bCs/>
          <w:lang w:eastAsia="en-US"/>
        </w:rPr>
        <w:t xml:space="preserve">: identifying and assessing marine areas to inform Ministerial decision-making, </w:t>
      </w:r>
      <w:r w:rsidRPr="006D6414">
        <w:rPr>
          <w:rFonts w:asciiTheme="minorHAnsi" w:hAnsiTheme="minorHAnsi" w:cstheme="minorHAnsi"/>
          <w:bCs/>
        </w:rPr>
        <w:t>ongoing po</w:t>
      </w:r>
      <w:r>
        <w:rPr>
          <w:rFonts w:asciiTheme="minorHAnsi" w:hAnsiTheme="minorHAnsi" w:cstheme="minorHAnsi"/>
          <w:bCs/>
        </w:rPr>
        <w:t>licy and regulatory development</w:t>
      </w:r>
      <w:r w:rsidRPr="006D6414">
        <w:rPr>
          <w:rFonts w:asciiTheme="minorHAnsi" w:hAnsiTheme="minorHAnsi" w:cstheme="minorHAnsi"/>
          <w:bCs/>
        </w:rPr>
        <w:t xml:space="preserve"> and program management, administration and engagement activities. </w:t>
      </w:r>
      <w:r w:rsidRPr="0059202F">
        <w:rPr>
          <w:rFonts w:asciiTheme="minorHAnsi" w:hAnsiTheme="minorHAnsi" w:cstheme="minorHAnsi"/>
          <w:color w:val="000000"/>
        </w:rPr>
        <w:t xml:space="preserve">The ORE </w:t>
      </w:r>
      <w:r>
        <w:rPr>
          <w:rFonts w:asciiTheme="minorHAnsi" w:hAnsiTheme="minorHAnsi" w:cstheme="minorHAnsi"/>
          <w:color w:val="000000"/>
        </w:rPr>
        <w:t>section</w:t>
      </w:r>
      <w:r w:rsidRPr="0059202F">
        <w:rPr>
          <w:rFonts w:asciiTheme="minorHAnsi" w:hAnsiTheme="minorHAnsi" w:cstheme="minorHAnsi"/>
          <w:color w:val="000000"/>
        </w:rPr>
        <w:t xml:space="preserve"> is located in Canberra. </w:t>
      </w:r>
    </w:p>
    <w:p w14:paraId="56FAE29A" w14:textId="77777777" w:rsidR="00F94186" w:rsidRDefault="00F94186" w:rsidP="00F94186">
      <w:pPr>
        <w:pStyle w:val="NormalWeb"/>
        <w:spacing w:before="0" w:beforeAutospacing="0" w:after="0" w:afterAutospacing="0"/>
        <w:ind w:right="412"/>
        <w:rPr>
          <w:rFonts w:asciiTheme="minorHAnsi" w:hAnsiTheme="minorHAnsi" w:cstheme="minorHAnsi"/>
          <w:color w:val="000000"/>
        </w:rPr>
      </w:pPr>
    </w:p>
    <w:p w14:paraId="71D4041D" w14:textId="77777777" w:rsidR="00F94186" w:rsidRPr="0059202F" w:rsidRDefault="00F94186" w:rsidP="00F94186">
      <w:pPr>
        <w:ind w:right="412"/>
        <w:rPr>
          <w:rFonts w:asciiTheme="minorHAnsi" w:hAnsiTheme="minorHAnsi" w:cstheme="minorHAnsi"/>
          <w:color w:val="000000"/>
        </w:rPr>
      </w:pPr>
      <w:r w:rsidRPr="006D6414">
        <w:rPr>
          <w:rFonts w:asciiTheme="minorHAnsi" w:hAnsiTheme="minorHAnsi" w:cstheme="minorHAnsi"/>
          <w:bCs/>
        </w:rPr>
        <w:t>T</w:t>
      </w:r>
      <w:r>
        <w:rPr>
          <w:rFonts w:asciiTheme="minorHAnsi" w:hAnsiTheme="minorHAnsi" w:cstheme="minorHAnsi"/>
          <w:bCs/>
        </w:rPr>
        <w:t xml:space="preserve">he ORE section was originally created to develop and implement the OEI framework and the section’s work continues to be dedicated </w:t>
      </w:r>
      <w:r w:rsidRPr="006D6414">
        <w:rPr>
          <w:rFonts w:asciiTheme="minorHAnsi" w:hAnsiTheme="minorHAnsi" w:cstheme="minorHAnsi"/>
          <w:bCs/>
        </w:rPr>
        <w:t xml:space="preserve">entirely to </w:t>
      </w:r>
      <w:r>
        <w:rPr>
          <w:rFonts w:asciiTheme="minorHAnsi" w:hAnsiTheme="minorHAnsi" w:cstheme="minorHAnsi"/>
          <w:bCs/>
        </w:rPr>
        <w:t>outputs relating to</w:t>
      </w:r>
      <w:r w:rsidRPr="006D6414">
        <w:rPr>
          <w:rFonts w:asciiTheme="minorHAnsi" w:hAnsiTheme="minorHAnsi" w:cstheme="minorHAnsi"/>
          <w:bCs/>
        </w:rPr>
        <w:t xml:space="preserve"> the</w:t>
      </w:r>
      <w:r>
        <w:rPr>
          <w:rFonts w:asciiTheme="minorHAnsi" w:hAnsiTheme="minorHAnsi" w:cstheme="minorHAnsi"/>
          <w:bCs/>
        </w:rPr>
        <w:t xml:space="preserve"> </w:t>
      </w:r>
      <w:r w:rsidRPr="006D6414">
        <w:rPr>
          <w:rFonts w:asciiTheme="minorHAnsi" w:hAnsiTheme="minorHAnsi" w:cstheme="minorHAnsi"/>
          <w:bCs/>
        </w:rPr>
        <w:t xml:space="preserve">framework. The </w:t>
      </w:r>
      <w:r>
        <w:rPr>
          <w:rFonts w:asciiTheme="minorHAnsi" w:hAnsiTheme="minorHAnsi" w:cstheme="minorHAnsi"/>
          <w:bCs/>
        </w:rPr>
        <w:t xml:space="preserve">section </w:t>
      </w:r>
      <w:r w:rsidRPr="006D6414">
        <w:rPr>
          <w:rFonts w:asciiTheme="minorHAnsi" w:hAnsiTheme="minorHAnsi" w:cstheme="minorHAnsi"/>
          <w:bCs/>
        </w:rPr>
        <w:t>will</w:t>
      </w:r>
      <w:r>
        <w:rPr>
          <w:rFonts w:asciiTheme="minorHAnsi" w:hAnsiTheme="minorHAnsi" w:cstheme="minorHAnsi"/>
          <w:bCs/>
        </w:rPr>
        <w:t xml:space="preserve"> continue to</w:t>
      </w:r>
      <w:r w:rsidRPr="006D6414">
        <w:rPr>
          <w:rFonts w:asciiTheme="minorHAnsi" w:hAnsiTheme="minorHAnsi" w:cstheme="minorHAnsi"/>
          <w:bCs/>
        </w:rPr>
        <w:t xml:space="preserve"> work with </w:t>
      </w:r>
      <w:r>
        <w:rPr>
          <w:rFonts w:asciiTheme="minorHAnsi" w:hAnsiTheme="minorHAnsi" w:cstheme="minorHAnsi"/>
          <w:bCs/>
        </w:rPr>
        <w:t xml:space="preserve">the Registrar and the Regulator </w:t>
      </w:r>
      <w:r w:rsidRPr="006D6414">
        <w:rPr>
          <w:rFonts w:asciiTheme="minorHAnsi" w:hAnsiTheme="minorHAnsi" w:cstheme="minorHAnsi"/>
          <w:bCs/>
        </w:rPr>
        <w:t xml:space="preserve">to manage </w:t>
      </w:r>
      <w:r>
        <w:rPr>
          <w:rFonts w:asciiTheme="minorHAnsi" w:hAnsiTheme="minorHAnsi" w:cstheme="minorHAnsi"/>
          <w:bCs/>
        </w:rPr>
        <w:t>and co-ordinate</w:t>
      </w:r>
      <w:r w:rsidRPr="006D6414">
        <w:rPr>
          <w:rFonts w:asciiTheme="minorHAnsi" w:hAnsiTheme="minorHAnsi" w:cstheme="minorHAnsi"/>
          <w:bCs/>
        </w:rPr>
        <w:t xml:space="preserve"> Government activities relating to the administration and governance of the framework</w:t>
      </w:r>
      <w:r>
        <w:rPr>
          <w:rFonts w:asciiTheme="minorHAnsi" w:hAnsiTheme="minorHAnsi" w:cstheme="minorHAnsi"/>
          <w:bCs/>
        </w:rPr>
        <w:t>.</w:t>
      </w:r>
    </w:p>
    <w:p w14:paraId="6DAEB907" w14:textId="77777777" w:rsidR="00F94186" w:rsidRPr="006D6414" w:rsidRDefault="00F94186" w:rsidP="00F94186">
      <w:pPr>
        <w:ind w:right="412"/>
        <w:rPr>
          <w:rFonts w:asciiTheme="minorHAnsi" w:hAnsiTheme="minorHAnsi" w:cstheme="minorHAnsi"/>
        </w:rPr>
      </w:pPr>
    </w:p>
    <w:p w14:paraId="62FD4258" w14:textId="77777777" w:rsidR="00F94186" w:rsidRPr="006D6414" w:rsidRDefault="00F94186" w:rsidP="00F94186">
      <w:pPr>
        <w:ind w:right="412"/>
        <w:rPr>
          <w:rFonts w:asciiTheme="minorHAnsi" w:hAnsiTheme="minorHAnsi" w:cstheme="minorHAnsi"/>
          <w:bCs/>
        </w:rPr>
      </w:pPr>
      <w:r>
        <w:rPr>
          <w:rFonts w:asciiTheme="minorHAnsi" w:hAnsiTheme="minorHAnsi" w:cstheme="minorHAnsi"/>
        </w:rPr>
        <w:t xml:space="preserve">The </w:t>
      </w:r>
      <w:r w:rsidRPr="006D6414">
        <w:rPr>
          <w:rFonts w:asciiTheme="minorHAnsi" w:hAnsiTheme="minorHAnsi" w:cstheme="minorHAnsi"/>
        </w:rPr>
        <w:t>OEI framewor</w:t>
      </w:r>
      <w:r>
        <w:rPr>
          <w:rFonts w:asciiTheme="minorHAnsi" w:hAnsiTheme="minorHAnsi" w:cstheme="minorHAnsi"/>
        </w:rPr>
        <w:t>k is designed to enable the development of an offshore electricity industry and to promote investment certainty</w:t>
      </w:r>
      <w:r w:rsidRPr="006D6414">
        <w:rPr>
          <w:rFonts w:asciiTheme="minorHAnsi" w:hAnsiTheme="minorHAnsi" w:cstheme="minorHAnsi"/>
        </w:rPr>
        <w:t xml:space="preserve">. </w:t>
      </w:r>
      <w:r>
        <w:rPr>
          <w:rFonts w:asciiTheme="minorHAnsi" w:hAnsiTheme="minorHAnsi" w:cstheme="minorHAnsi"/>
        </w:rPr>
        <w:t xml:space="preserve">The need for the framework was driven by the industry and the ongoing Government activities involved in the implementation and operation of the framework are undertaken for the industry. As processes and outputs of the ORE section are undertaken specifically </w:t>
      </w:r>
      <w:r w:rsidRPr="006D6414">
        <w:rPr>
          <w:rFonts w:asciiTheme="minorHAnsi" w:hAnsiTheme="minorHAnsi" w:cstheme="minorHAnsi"/>
          <w:bCs/>
        </w:rPr>
        <w:t>for the OEI industry,</w:t>
      </w:r>
      <w:r>
        <w:rPr>
          <w:rFonts w:asciiTheme="minorHAnsi" w:hAnsiTheme="minorHAnsi" w:cstheme="minorHAnsi"/>
          <w:bCs/>
        </w:rPr>
        <w:t xml:space="preserve"> </w:t>
      </w:r>
      <w:r w:rsidRPr="006D6414">
        <w:rPr>
          <w:rFonts w:asciiTheme="minorHAnsi" w:hAnsiTheme="minorHAnsi" w:cstheme="minorHAnsi"/>
          <w:bCs/>
        </w:rPr>
        <w:t xml:space="preserve">it is appropriate that </w:t>
      </w:r>
      <w:r>
        <w:rPr>
          <w:rFonts w:asciiTheme="minorHAnsi" w:hAnsiTheme="minorHAnsi" w:cstheme="minorHAnsi"/>
          <w:bCs/>
        </w:rPr>
        <w:t xml:space="preserve">the </w:t>
      </w:r>
      <w:r w:rsidRPr="006D6414">
        <w:rPr>
          <w:rFonts w:asciiTheme="minorHAnsi" w:hAnsiTheme="minorHAnsi" w:cstheme="minorHAnsi"/>
          <w:bCs/>
        </w:rPr>
        <w:t xml:space="preserve">industry </w:t>
      </w:r>
      <w:r>
        <w:rPr>
          <w:rFonts w:asciiTheme="minorHAnsi" w:hAnsiTheme="minorHAnsi" w:cstheme="minorHAnsi"/>
          <w:bCs/>
        </w:rPr>
        <w:t xml:space="preserve">be required to </w:t>
      </w:r>
      <w:r w:rsidRPr="006D6414">
        <w:rPr>
          <w:rFonts w:asciiTheme="minorHAnsi" w:hAnsiTheme="minorHAnsi" w:cstheme="minorHAnsi"/>
          <w:bCs/>
        </w:rPr>
        <w:t xml:space="preserve">fund such activities. </w:t>
      </w:r>
    </w:p>
    <w:p w14:paraId="28E70D1A" w14:textId="77777777" w:rsidR="00F94186" w:rsidRPr="006D6414" w:rsidRDefault="00F94186" w:rsidP="00F94186">
      <w:pPr>
        <w:ind w:right="412"/>
        <w:rPr>
          <w:rFonts w:asciiTheme="minorHAnsi" w:hAnsiTheme="minorHAnsi" w:cstheme="minorHAnsi"/>
          <w:bCs/>
        </w:rPr>
      </w:pPr>
    </w:p>
    <w:p w14:paraId="42EE5DD6" w14:textId="77777777" w:rsidR="00F94186" w:rsidRPr="009F3BC3" w:rsidRDefault="00F94186" w:rsidP="00F94186">
      <w:pPr>
        <w:ind w:right="412"/>
        <w:rPr>
          <w:rFonts w:asciiTheme="minorHAnsi" w:hAnsiTheme="minorHAnsi" w:cstheme="minorHAnsi"/>
        </w:rPr>
      </w:pPr>
      <w:r w:rsidRPr="00021AD8">
        <w:rPr>
          <w:rFonts w:asciiTheme="minorHAnsi" w:hAnsiTheme="minorHAnsi" w:cstheme="minorHAnsi"/>
        </w:rPr>
        <w:t xml:space="preserve">The ORE </w:t>
      </w:r>
      <w:r>
        <w:rPr>
          <w:rFonts w:asciiTheme="minorHAnsi" w:hAnsiTheme="minorHAnsi" w:cstheme="minorHAnsi"/>
        </w:rPr>
        <w:t xml:space="preserve">section will operate under full cost recovery charging, with an annual Commonwealth levy to be imposed on OEI licence holders. </w:t>
      </w:r>
    </w:p>
    <w:p w14:paraId="4D92A7D8" w14:textId="77777777" w:rsidR="00F94186" w:rsidRDefault="00F94186" w:rsidP="00F94186">
      <w:pPr>
        <w:pStyle w:val="Heading2"/>
        <w:tabs>
          <w:tab w:val="clear" w:pos="576"/>
          <w:tab w:val="num" w:pos="709"/>
        </w:tabs>
        <w:ind w:left="709" w:hanging="709"/>
        <w:rPr>
          <w:rFonts w:asciiTheme="minorHAnsi" w:hAnsiTheme="minorHAnsi" w:cstheme="minorHAnsi"/>
          <w:i w:val="0"/>
          <w:iCs w:val="0"/>
        </w:rPr>
      </w:pPr>
      <w:bookmarkStart w:id="34" w:name="_Toc98772172"/>
      <w:r w:rsidRPr="00902AA6">
        <w:rPr>
          <w:rFonts w:asciiTheme="minorHAnsi" w:hAnsiTheme="minorHAnsi" w:cstheme="minorHAnsi"/>
          <w:i w:val="0"/>
          <w:iCs w:val="0"/>
        </w:rPr>
        <w:t>C</w:t>
      </w:r>
      <w:r>
        <w:rPr>
          <w:rFonts w:asciiTheme="minorHAnsi" w:hAnsiTheme="minorHAnsi" w:cstheme="minorHAnsi"/>
          <w:i w:val="0"/>
          <w:iCs w:val="0"/>
        </w:rPr>
        <w:t>ost Recovery Model</w:t>
      </w:r>
      <w:bookmarkEnd w:id="34"/>
    </w:p>
    <w:p w14:paraId="0E3DDFCA" w14:textId="77777777" w:rsidR="00F94186" w:rsidRDefault="00F94186" w:rsidP="00F94186">
      <w:pPr>
        <w:pStyle w:val="Heading3"/>
        <w:rPr>
          <w:iCs/>
        </w:rPr>
      </w:pPr>
      <w:bookmarkStart w:id="35" w:name="_Toc98772173"/>
      <w:r>
        <w:rPr>
          <w:iCs/>
        </w:rPr>
        <w:t>Staffing</w:t>
      </w:r>
      <w:bookmarkEnd w:id="35"/>
    </w:p>
    <w:p w14:paraId="76BF0572" w14:textId="1E981626" w:rsidR="00F94186" w:rsidRDefault="00F94186" w:rsidP="00F94186">
      <w:pPr>
        <w:ind w:right="412"/>
        <w:rPr>
          <w:rFonts w:asciiTheme="minorHAnsi" w:hAnsiTheme="minorHAnsi" w:cstheme="minorHAnsi"/>
        </w:rPr>
      </w:pPr>
      <w:r w:rsidRPr="00010A00">
        <w:rPr>
          <w:rFonts w:asciiTheme="minorHAnsi" w:hAnsiTheme="minorHAnsi" w:cstheme="minorHAnsi"/>
        </w:rPr>
        <w:t xml:space="preserve">As at </w:t>
      </w:r>
      <w:r>
        <w:rPr>
          <w:rFonts w:asciiTheme="minorHAnsi" w:hAnsiTheme="minorHAnsi" w:cstheme="minorHAnsi"/>
        </w:rPr>
        <w:t>1 July 2022, the ORE section</w:t>
      </w:r>
      <w:r w:rsidRPr="00010A00">
        <w:rPr>
          <w:rFonts w:asciiTheme="minorHAnsi" w:hAnsiTheme="minorHAnsi" w:cstheme="minorHAnsi"/>
        </w:rPr>
        <w:t xml:space="preserve"> will have </w:t>
      </w:r>
      <w:r>
        <w:rPr>
          <w:rFonts w:asciiTheme="minorHAnsi" w:hAnsiTheme="minorHAnsi" w:cstheme="minorHAnsi"/>
        </w:rPr>
        <w:t>11.0</w:t>
      </w:r>
      <w:r w:rsidRPr="00010A00">
        <w:rPr>
          <w:rFonts w:asciiTheme="minorHAnsi" w:hAnsiTheme="minorHAnsi" w:cstheme="minorHAnsi"/>
        </w:rPr>
        <w:t xml:space="preserve"> FTE</w:t>
      </w:r>
      <w:r>
        <w:rPr>
          <w:rFonts w:asciiTheme="minorHAnsi" w:hAnsiTheme="minorHAnsi" w:cstheme="minorHAnsi"/>
        </w:rPr>
        <w:t xml:space="preserve"> </w:t>
      </w:r>
      <w:r w:rsidRPr="00010A00">
        <w:rPr>
          <w:rFonts w:asciiTheme="minorHAnsi" w:hAnsiTheme="minorHAnsi" w:cstheme="minorHAnsi"/>
        </w:rPr>
        <w:t>staff employed to</w:t>
      </w:r>
      <w:r>
        <w:rPr>
          <w:rFonts w:asciiTheme="minorHAnsi" w:hAnsiTheme="minorHAnsi" w:cstheme="minorHAnsi"/>
        </w:rPr>
        <w:t xml:space="preserve"> support the ongoing development, implementation and operat</w:t>
      </w:r>
      <w:r w:rsidR="0013503F">
        <w:rPr>
          <w:rFonts w:asciiTheme="minorHAnsi" w:hAnsiTheme="minorHAnsi" w:cstheme="minorHAnsi"/>
        </w:rPr>
        <w:t>ion of the OEI framework. The 11</w:t>
      </w:r>
      <w:r>
        <w:rPr>
          <w:rFonts w:asciiTheme="minorHAnsi" w:hAnsiTheme="minorHAnsi" w:cstheme="minorHAnsi"/>
        </w:rPr>
        <w:t xml:space="preserve"> FTE will comprise:</w:t>
      </w:r>
    </w:p>
    <w:p w14:paraId="1940E80B" w14:textId="77777777" w:rsidR="00F94186" w:rsidRDefault="00F94186" w:rsidP="00F94186">
      <w:pPr>
        <w:rPr>
          <w:rFonts w:asciiTheme="minorHAnsi" w:hAnsiTheme="minorHAnsi" w:cstheme="minorHAnsi"/>
        </w:rPr>
      </w:pPr>
    </w:p>
    <w:p w14:paraId="6A12AAC3" w14:textId="77777777" w:rsidR="00F94186" w:rsidRPr="00010A00" w:rsidRDefault="00F94186" w:rsidP="00F94186">
      <w:pPr>
        <w:pStyle w:val="ListParagraph"/>
        <w:numPr>
          <w:ilvl w:val="0"/>
          <w:numId w:val="15"/>
        </w:numPr>
        <w:contextualSpacing w:val="0"/>
        <w:rPr>
          <w:rFonts w:asciiTheme="minorHAnsi" w:hAnsiTheme="minorHAnsi" w:cstheme="minorHAnsi"/>
        </w:rPr>
      </w:pPr>
      <w:r>
        <w:rPr>
          <w:rFonts w:asciiTheme="minorHAnsi" w:hAnsiTheme="minorHAnsi" w:cstheme="minorHAnsi"/>
        </w:rPr>
        <w:t>One full-time EL2 Manager (1.0 FTE)</w:t>
      </w:r>
    </w:p>
    <w:p w14:paraId="692DE097" w14:textId="77777777" w:rsidR="00F94186" w:rsidRPr="00010A00" w:rsidRDefault="00F94186" w:rsidP="00F94186">
      <w:pPr>
        <w:pStyle w:val="ListParagraph"/>
        <w:numPr>
          <w:ilvl w:val="0"/>
          <w:numId w:val="15"/>
        </w:numPr>
        <w:contextualSpacing w:val="0"/>
        <w:rPr>
          <w:rFonts w:asciiTheme="minorHAnsi" w:hAnsiTheme="minorHAnsi" w:cstheme="minorHAnsi"/>
        </w:rPr>
      </w:pPr>
      <w:r>
        <w:rPr>
          <w:rFonts w:asciiTheme="minorHAnsi" w:hAnsiTheme="minorHAnsi" w:cstheme="minorHAnsi"/>
        </w:rPr>
        <w:t>Five full-time EL1 Assistant Managers (5.0 FTE)</w:t>
      </w:r>
    </w:p>
    <w:p w14:paraId="200DF452" w14:textId="77777777" w:rsidR="00F94186" w:rsidRPr="001D3465" w:rsidRDefault="00F94186" w:rsidP="00F94186">
      <w:pPr>
        <w:pStyle w:val="ListParagraph"/>
        <w:numPr>
          <w:ilvl w:val="0"/>
          <w:numId w:val="15"/>
        </w:numPr>
        <w:contextualSpacing w:val="0"/>
        <w:rPr>
          <w:rFonts w:asciiTheme="minorHAnsi" w:hAnsiTheme="minorHAnsi" w:cstheme="minorHAnsi"/>
        </w:rPr>
      </w:pPr>
      <w:r>
        <w:rPr>
          <w:rFonts w:asciiTheme="minorHAnsi" w:hAnsiTheme="minorHAnsi" w:cstheme="minorHAnsi"/>
        </w:rPr>
        <w:t>Five full-time APS 6 Senior Policy Officers (5.0</w:t>
      </w:r>
      <w:r w:rsidRPr="001D3465">
        <w:rPr>
          <w:rFonts w:asciiTheme="minorHAnsi" w:hAnsiTheme="minorHAnsi" w:cstheme="minorHAnsi"/>
        </w:rPr>
        <w:t xml:space="preserve"> FTE)</w:t>
      </w:r>
    </w:p>
    <w:p w14:paraId="5262C41B" w14:textId="77777777" w:rsidR="00F94186" w:rsidRPr="00010A00" w:rsidRDefault="00F94186" w:rsidP="00F94186">
      <w:pPr>
        <w:pStyle w:val="ListParagraph"/>
        <w:contextualSpacing w:val="0"/>
        <w:rPr>
          <w:rFonts w:asciiTheme="minorHAnsi" w:hAnsiTheme="minorHAnsi" w:cstheme="minorHAnsi"/>
          <w:highlight w:val="yellow"/>
        </w:rPr>
      </w:pPr>
    </w:p>
    <w:p w14:paraId="320A233D" w14:textId="77777777" w:rsidR="00F94186" w:rsidRDefault="00F94186" w:rsidP="00F94186">
      <w:pPr>
        <w:rPr>
          <w:rFonts w:asciiTheme="minorHAnsi" w:hAnsiTheme="minorHAnsi" w:cstheme="minorHAnsi"/>
        </w:rPr>
      </w:pPr>
      <w:r>
        <w:rPr>
          <w:rFonts w:asciiTheme="minorHAnsi" w:hAnsiTheme="minorHAnsi" w:cstheme="minorHAnsi"/>
        </w:rPr>
        <w:t xml:space="preserve">The section is </w:t>
      </w:r>
      <w:r w:rsidRPr="00010A00">
        <w:rPr>
          <w:rFonts w:asciiTheme="minorHAnsi" w:hAnsiTheme="minorHAnsi" w:cstheme="minorHAnsi"/>
        </w:rPr>
        <w:t xml:space="preserve">supported by: </w:t>
      </w:r>
    </w:p>
    <w:p w14:paraId="49F6B66C" w14:textId="77777777" w:rsidR="00F94186" w:rsidRPr="00010A00" w:rsidRDefault="00F94186" w:rsidP="00F94186">
      <w:pPr>
        <w:rPr>
          <w:rFonts w:asciiTheme="minorHAnsi" w:hAnsiTheme="minorHAnsi" w:cstheme="minorHAnsi"/>
        </w:rPr>
      </w:pPr>
    </w:p>
    <w:p w14:paraId="18C13038" w14:textId="77777777" w:rsidR="00F94186" w:rsidRPr="006D6414" w:rsidRDefault="00F94186" w:rsidP="00F94186">
      <w:pPr>
        <w:pStyle w:val="ListParagraph"/>
        <w:numPr>
          <w:ilvl w:val="0"/>
          <w:numId w:val="16"/>
        </w:numPr>
        <w:contextualSpacing w:val="0"/>
        <w:rPr>
          <w:rFonts w:asciiTheme="minorHAnsi" w:hAnsiTheme="minorHAnsi" w:cstheme="minorHAnsi"/>
        </w:rPr>
      </w:pPr>
      <w:r>
        <w:rPr>
          <w:rFonts w:asciiTheme="minorHAnsi" w:hAnsiTheme="minorHAnsi" w:cstheme="minorHAnsi"/>
        </w:rPr>
        <w:t>SES Band 1</w:t>
      </w:r>
      <w:r w:rsidRPr="00010A00">
        <w:rPr>
          <w:rFonts w:asciiTheme="minorHAnsi" w:hAnsiTheme="minorHAnsi" w:cstheme="minorHAnsi"/>
        </w:rPr>
        <w:t xml:space="preserve"> </w:t>
      </w:r>
      <w:r>
        <w:rPr>
          <w:rFonts w:asciiTheme="minorHAnsi" w:hAnsiTheme="minorHAnsi" w:cstheme="minorHAnsi"/>
        </w:rPr>
        <w:t xml:space="preserve">Executive </w:t>
      </w:r>
      <w:r w:rsidRPr="00010A00">
        <w:rPr>
          <w:rFonts w:asciiTheme="minorHAnsi" w:hAnsiTheme="minorHAnsi" w:cstheme="minorHAnsi"/>
        </w:rPr>
        <w:t>(</w:t>
      </w:r>
      <w:r>
        <w:rPr>
          <w:rFonts w:asciiTheme="minorHAnsi" w:hAnsiTheme="minorHAnsi" w:cstheme="minorHAnsi"/>
        </w:rPr>
        <w:t>0.2</w:t>
      </w:r>
      <w:r w:rsidRPr="00010A00">
        <w:rPr>
          <w:rFonts w:asciiTheme="minorHAnsi" w:hAnsiTheme="minorHAnsi" w:cstheme="minorHAnsi"/>
        </w:rPr>
        <w:t xml:space="preserve"> FTE)</w:t>
      </w:r>
    </w:p>
    <w:p w14:paraId="466385CC" w14:textId="77777777" w:rsidR="00F94186" w:rsidRDefault="00F94186" w:rsidP="00F94186"/>
    <w:p w14:paraId="7310B873" w14:textId="77777777" w:rsidR="00F94186" w:rsidRPr="009F3BC3" w:rsidRDefault="00F94186" w:rsidP="00F94186">
      <w:pPr>
        <w:pStyle w:val="Heading3"/>
        <w:numPr>
          <w:ilvl w:val="0"/>
          <w:numId w:val="0"/>
        </w:numPr>
        <w:ind w:left="720"/>
        <w:rPr>
          <w:i/>
          <w:iCs/>
        </w:rPr>
      </w:pPr>
    </w:p>
    <w:p w14:paraId="63810FB5" w14:textId="77777777" w:rsidR="00F94186" w:rsidRDefault="00F94186" w:rsidP="00F94186">
      <w:pPr>
        <w:pStyle w:val="Heading3"/>
        <w:numPr>
          <w:ilvl w:val="0"/>
          <w:numId w:val="0"/>
        </w:numPr>
        <w:ind w:left="720"/>
        <w:rPr>
          <w:i/>
          <w:iCs/>
        </w:rPr>
      </w:pPr>
    </w:p>
    <w:p w14:paraId="69447D60" w14:textId="77777777" w:rsidR="00F94186" w:rsidRDefault="00F94186" w:rsidP="00F94186"/>
    <w:p w14:paraId="038AB7ED" w14:textId="77777777" w:rsidR="00F94186" w:rsidRPr="009F3BC3" w:rsidRDefault="00F94186" w:rsidP="00F94186"/>
    <w:p w14:paraId="7BBEAFB9" w14:textId="77777777" w:rsidR="00F94186" w:rsidRDefault="00F94186" w:rsidP="00F94186">
      <w:pPr>
        <w:pStyle w:val="Heading3"/>
        <w:sectPr w:rsidR="00F94186" w:rsidSect="001B0682">
          <w:pgSz w:w="11906" w:h="16838"/>
          <w:pgMar w:top="720" w:right="720" w:bottom="851" w:left="851" w:header="709" w:footer="709" w:gutter="0"/>
          <w:cols w:space="708"/>
          <w:docGrid w:linePitch="360"/>
        </w:sectPr>
      </w:pPr>
    </w:p>
    <w:p w14:paraId="5D6847FD" w14:textId="77777777" w:rsidR="00F94186" w:rsidRPr="00F2024B" w:rsidRDefault="00F94186" w:rsidP="00F94186">
      <w:pPr>
        <w:pStyle w:val="Heading3"/>
        <w:rPr>
          <w:i/>
          <w:iCs/>
        </w:rPr>
      </w:pPr>
      <w:bookmarkStart w:id="36" w:name="_Toc98772174"/>
      <w:r w:rsidRPr="00F2024B">
        <w:lastRenderedPageBreak/>
        <w:t xml:space="preserve">Outputs and </w:t>
      </w:r>
      <w:r>
        <w:t>tasks</w:t>
      </w:r>
      <w:r w:rsidRPr="00F2024B">
        <w:t xml:space="preserve"> of the regulatory charging activity</w:t>
      </w:r>
      <w:bookmarkEnd w:id="36"/>
      <w:r w:rsidRPr="00F2024B">
        <w:t xml:space="preserve"> </w:t>
      </w:r>
    </w:p>
    <w:p w14:paraId="049E9173" w14:textId="77777777" w:rsidR="00F94186" w:rsidRDefault="00F94186" w:rsidP="00F94186">
      <w:pPr>
        <w:rPr>
          <w:rFonts w:asciiTheme="minorHAnsi" w:hAnsiTheme="minorHAnsi" w:cstheme="minorHAnsi"/>
          <w:bCs/>
        </w:rPr>
      </w:pPr>
      <w:r>
        <w:rPr>
          <w:rFonts w:asciiTheme="minorHAnsi" w:hAnsiTheme="minorHAnsi" w:cstheme="minorHAnsi"/>
        </w:rPr>
        <w:t xml:space="preserve">The ORE section will have three primary outputs. These, along with the processes involved with each, are detailed below. </w:t>
      </w:r>
      <w:r w:rsidRPr="00492DE5">
        <w:rPr>
          <w:rFonts w:asciiTheme="minorHAnsi" w:hAnsiTheme="minorHAnsi" w:cstheme="minorHAnsi"/>
          <w:bCs/>
        </w:rPr>
        <w:t>All references are to the OEI Act unless otherwise described.</w:t>
      </w:r>
    </w:p>
    <w:p w14:paraId="523EA8C4" w14:textId="77777777" w:rsidR="00F94186" w:rsidRPr="00492DE5" w:rsidRDefault="00F94186" w:rsidP="00F94186"/>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593"/>
        <w:gridCol w:w="10348"/>
      </w:tblGrid>
      <w:tr w:rsidR="00F94186" w:rsidRPr="00762402" w14:paraId="09DC8577" w14:textId="77777777" w:rsidTr="00F94186">
        <w:tc>
          <w:tcPr>
            <w:tcW w:w="809" w:type="dxa"/>
            <w:shd w:val="clear" w:color="auto" w:fill="244061" w:themeFill="accent1" w:themeFillShade="80"/>
          </w:tcPr>
          <w:p w14:paraId="48DD45B0" w14:textId="77777777" w:rsidR="00F94186" w:rsidRPr="00762402" w:rsidRDefault="00F94186" w:rsidP="00F94186">
            <w:pPr>
              <w:jc w:val="center"/>
              <w:rPr>
                <w:rFonts w:asciiTheme="minorHAnsi" w:hAnsiTheme="minorHAnsi" w:cstheme="minorHAnsi"/>
                <w:b/>
                <w:bCs/>
                <w:sz w:val="20"/>
                <w:szCs w:val="20"/>
              </w:rPr>
            </w:pPr>
            <w:r w:rsidRPr="00762402">
              <w:rPr>
                <w:rFonts w:asciiTheme="minorHAnsi" w:hAnsiTheme="minorHAnsi" w:cstheme="minorHAnsi"/>
                <w:b/>
                <w:bCs/>
                <w:sz w:val="20"/>
                <w:szCs w:val="20"/>
              </w:rPr>
              <w:t>No</w:t>
            </w:r>
          </w:p>
        </w:tc>
        <w:tc>
          <w:tcPr>
            <w:tcW w:w="2593" w:type="dxa"/>
            <w:shd w:val="clear" w:color="auto" w:fill="244061" w:themeFill="accent1" w:themeFillShade="80"/>
          </w:tcPr>
          <w:p w14:paraId="6BC74CA6" w14:textId="77777777" w:rsidR="00F94186" w:rsidRPr="00762402" w:rsidRDefault="00F94186" w:rsidP="00F94186">
            <w:pPr>
              <w:jc w:val="center"/>
              <w:rPr>
                <w:rFonts w:asciiTheme="minorHAnsi" w:hAnsiTheme="minorHAnsi" w:cstheme="minorHAnsi"/>
                <w:b/>
                <w:bCs/>
                <w:sz w:val="20"/>
                <w:szCs w:val="20"/>
              </w:rPr>
            </w:pPr>
            <w:r>
              <w:rPr>
                <w:rFonts w:asciiTheme="minorHAnsi" w:hAnsiTheme="minorHAnsi" w:cstheme="minorHAnsi"/>
                <w:b/>
                <w:bCs/>
                <w:sz w:val="20"/>
                <w:szCs w:val="20"/>
              </w:rPr>
              <w:t>OUTPUT</w:t>
            </w:r>
          </w:p>
        </w:tc>
        <w:tc>
          <w:tcPr>
            <w:tcW w:w="10348" w:type="dxa"/>
            <w:shd w:val="clear" w:color="auto" w:fill="244061" w:themeFill="accent1" w:themeFillShade="80"/>
          </w:tcPr>
          <w:p w14:paraId="57D462BB" w14:textId="77777777" w:rsidR="00F94186" w:rsidRPr="00762402" w:rsidRDefault="00F94186" w:rsidP="00F94186">
            <w:pPr>
              <w:jc w:val="center"/>
              <w:rPr>
                <w:rFonts w:asciiTheme="minorHAnsi" w:hAnsiTheme="minorHAnsi" w:cstheme="minorHAnsi"/>
                <w:b/>
                <w:bCs/>
                <w:sz w:val="20"/>
                <w:szCs w:val="20"/>
              </w:rPr>
            </w:pPr>
            <w:r w:rsidRPr="00762402">
              <w:rPr>
                <w:rFonts w:asciiTheme="minorHAnsi" w:hAnsiTheme="minorHAnsi" w:cstheme="minorHAnsi"/>
                <w:b/>
                <w:bCs/>
                <w:sz w:val="20"/>
                <w:szCs w:val="20"/>
              </w:rPr>
              <w:t xml:space="preserve">PROCESS </w:t>
            </w:r>
            <w:r>
              <w:rPr>
                <w:rFonts w:asciiTheme="minorHAnsi" w:hAnsiTheme="minorHAnsi" w:cstheme="minorHAnsi"/>
                <w:b/>
                <w:bCs/>
                <w:sz w:val="20"/>
                <w:szCs w:val="20"/>
              </w:rPr>
              <w:t xml:space="preserve"> </w:t>
            </w:r>
          </w:p>
        </w:tc>
      </w:tr>
      <w:tr w:rsidR="00F94186" w:rsidRPr="00DF461B" w14:paraId="73D3288A" w14:textId="77777777" w:rsidTr="00F94186">
        <w:tc>
          <w:tcPr>
            <w:tcW w:w="809" w:type="dxa"/>
          </w:tcPr>
          <w:p w14:paraId="6BF8DE6D" w14:textId="77777777" w:rsidR="00F94186" w:rsidRPr="00762402" w:rsidRDefault="00F94186" w:rsidP="00F94186">
            <w:pPr>
              <w:jc w:val="center"/>
              <w:rPr>
                <w:rFonts w:asciiTheme="minorHAnsi" w:hAnsiTheme="minorHAnsi" w:cstheme="minorHAnsi"/>
                <w:b/>
                <w:sz w:val="20"/>
                <w:szCs w:val="20"/>
              </w:rPr>
            </w:pPr>
            <w:r w:rsidRPr="00762402">
              <w:rPr>
                <w:rFonts w:asciiTheme="minorHAnsi" w:hAnsiTheme="minorHAnsi" w:cstheme="minorHAnsi"/>
                <w:b/>
                <w:sz w:val="20"/>
                <w:szCs w:val="20"/>
              </w:rPr>
              <w:t>1</w:t>
            </w:r>
          </w:p>
        </w:tc>
        <w:tc>
          <w:tcPr>
            <w:tcW w:w="2593" w:type="dxa"/>
          </w:tcPr>
          <w:p w14:paraId="4579DE47" w14:textId="77777777" w:rsidR="00F94186" w:rsidRPr="00762402" w:rsidRDefault="00F94186" w:rsidP="00F94186">
            <w:pPr>
              <w:rPr>
                <w:rFonts w:asciiTheme="minorHAnsi" w:hAnsiTheme="minorHAnsi" w:cstheme="minorHAnsi"/>
                <w:b/>
                <w:bCs/>
                <w:sz w:val="20"/>
                <w:szCs w:val="20"/>
              </w:rPr>
            </w:pPr>
            <w:r>
              <w:rPr>
                <w:rFonts w:asciiTheme="minorHAnsi" w:hAnsiTheme="minorHAnsi" w:cstheme="minorHAnsi"/>
                <w:b/>
                <w:sz w:val="20"/>
                <w:szCs w:val="20"/>
              </w:rPr>
              <w:t>Declaration of an area</w:t>
            </w:r>
          </w:p>
          <w:p w14:paraId="6F512C2C" w14:textId="77777777" w:rsidR="00F94186" w:rsidRDefault="00F94186" w:rsidP="00F94186">
            <w:pPr>
              <w:rPr>
                <w:rFonts w:asciiTheme="minorHAnsi" w:hAnsiTheme="minorHAnsi" w:cstheme="minorHAnsi"/>
                <w:sz w:val="20"/>
                <w:szCs w:val="20"/>
              </w:rPr>
            </w:pPr>
            <w:r w:rsidRPr="00762402">
              <w:rPr>
                <w:rFonts w:asciiTheme="minorHAnsi" w:hAnsiTheme="minorHAnsi" w:cstheme="minorHAnsi"/>
                <w:sz w:val="20"/>
                <w:szCs w:val="20"/>
              </w:rPr>
              <w:t>(</w:t>
            </w:r>
            <w:r>
              <w:rPr>
                <w:rFonts w:asciiTheme="minorHAnsi" w:hAnsiTheme="minorHAnsi" w:cstheme="minorHAnsi"/>
                <w:sz w:val="20"/>
                <w:szCs w:val="20"/>
              </w:rPr>
              <w:t>Chapter 2</w:t>
            </w:r>
            <w:r w:rsidRPr="00762402">
              <w:rPr>
                <w:rFonts w:asciiTheme="minorHAnsi" w:hAnsiTheme="minorHAnsi" w:cstheme="minorHAnsi"/>
                <w:sz w:val="20"/>
                <w:szCs w:val="20"/>
              </w:rPr>
              <w:t>)</w:t>
            </w:r>
          </w:p>
          <w:p w14:paraId="181880C8" w14:textId="77777777" w:rsidR="00F94186" w:rsidRDefault="00F94186" w:rsidP="00F94186">
            <w:pPr>
              <w:rPr>
                <w:rFonts w:asciiTheme="minorHAnsi" w:hAnsiTheme="minorHAnsi" w:cstheme="minorHAnsi"/>
                <w:sz w:val="20"/>
                <w:szCs w:val="20"/>
              </w:rPr>
            </w:pPr>
          </w:p>
          <w:p w14:paraId="7F11489A" w14:textId="77777777" w:rsidR="00F94186" w:rsidRDefault="00F94186" w:rsidP="00F94186">
            <w:pPr>
              <w:rPr>
                <w:rFonts w:asciiTheme="minorHAnsi" w:hAnsiTheme="minorHAnsi" w:cstheme="minorHAnsi"/>
                <w:sz w:val="20"/>
                <w:szCs w:val="20"/>
              </w:rPr>
            </w:pPr>
            <w:r>
              <w:rPr>
                <w:rFonts w:asciiTheme="minorHAnsi" w:hAnsiTheme="minorHAnsi" w:cstheme="minorHAnsi"/>
                <w:sz w:val="20"/>
                <w:szCs w:val="20"/>
              </w:rPr>
              <w:t>Staff allocated:</w:t>
            </w:r>
          </w:p>
          <w:p w14:paraId="551B34E1" w14:textId="77777777" w:rsidR="00F94186" w:rsidRDefault="00F94186" w:rsidP="00F94186">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SES Band 1 (0.1 FTE)</w:t>
            </w:r>
          </w:p>
          <w:p w14:paraId="0FC87C2D" w14:textId="77777777" w:rsidR="00F94186" w:rsidRDefault="00F94186" w:rsidP="00F94186">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EL2 (0.5 FTE)</w:t>
            </w:r>
          </w:p>
          <w:p w14:paraId="1950750F" w14:textId="77777777" w:rsidR="00F94186" w:rsidRDefault="00F94186" w:rsidP="00F94186">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EL1 (2.0 FTE)</w:t>
            </w:r>
          </w:p>
          <w:p w14:paraId="3EA78875" w14:textId="77777777" w:rsidR="00F94186" w:rsidRPr="0095313D" w:rsidRDefault="00F94186" w:rsidP="00F94186">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APS 6 (2.0 FTE)</w:t>
            </w:r>
          </w:p>
        </w:tc>
        <w:tc>
          <w:tcPr>
            <w:tcW w:w="10348" w:type="dxa"/>
          </w:tcPr>
          <w:p w14:paraId="3C2AB956" w14:textId="77777777" w:rsidR="00F94186" w:rsidRPr="00762402" w:rsidRDefault="00F94186" w:rsidP="00F94186">
            <w:pPr>
              <w:rPr>
                <w:rFonts w:asciiTheme="minorHAnsi" w:hAnsiTheme="minorHAnsi" w:cstheme="minorHAnsi"/>
                <w:b/>
                <w:bCs/>
                <w:i/>
                <w:iCs/>
                <w:sz w:val="20"/>
                <w:szCs w:val="20"/>
              </w:rPr>
            </w:pPr>
            <w:r>
              <w:rPr>
                <w:rFonts w:asciiTheme="minorHAnsi" w:hAnsiTheme="minorHAnsi" w:cstheme="minorHAnsi"/>
                <w:b/>
                <w:bCs/>
                <w:i/>
                <w:iCs/>
                <w:sz w:val="20"/>
                <w:szCs w:val="20"/>
              </w:rPr>
              <w:t>Process consultation, governance and guidance</w:t>
            </w:r>
          </w:p>
          <w:p w14:paraId="4E14E0FF"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Preparation and ongoing upkeep of internal and external guidance material and communications. </w:t>
            </w:r>
          </w:p>
          <w:p w14:paraId="12087ECA"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Consultation with other Commonwealth government departments. </w:t>
            </w:r>
          </w:p>
          <w:p w14:paraId="6AF4D14A"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Engagement with stakeholders. </w:t>
            </w:r>
          </w:p>
          <w:p w14:paraId="4D0DEFC7"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Ongoing administration. </w:t>
            </w:r>
          </w:p>
          <w:p w14:paraId="2AB494B7" w14:textId="77777777" w:rsidR="00F94186" w:rsidRPr="0095313D" w:rsidRDefault="00F94186" w:rsidP="00F94186">
            <w:pPr>
              <w:rPr>
                <w:rFonts w:asciiTheme="minorHAnsi" w:hAnsiTheme="minorHAnsi" w:cstheme="minorHAnsi"/>
                <w:b/>
                <w:bCs/>
                <w:i/>
                <w:iCs/>
                <w:sz w:val="20"/>
                <w:szCs w:val="20"/>
              </w:rPr>
            </w:pPr>
            <w:r w:rsidRPr="0095313D">
              <w:rPr>
                <w:rFonts w:asciiTheme="minorHAnsi" w:hAnsiTheme="minorHAnsi" w:cstheme="minorHAnsi"/>
                <w:b/>
                <w:bCs/>
                <w:i/>
                <w:iCs/>
                <w:sz w:val="20"/>
                <w:szCs w:val="20"/>
              </w:rPr>
              <w:t>Area Identification</w:t>
            </w:r>
          </w:p>
          <w:p w14:paraId="6CB9E7C6"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Consultation. </w:t>
            </w:r>
          </w:p>
          <w:p w14:paraId="32FD9915"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Prioritisation assessment of nominated areas. </w:t>
            </w:r>
          </w:p>
          <w:p w14:paraId="45E681BC"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Ministerial briefing on proposed area for assessment for declaration. </w:t>
            </w:r>
          </w:p>
          <w:p w14:paraId="370BF199"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Communication of area under assessment. </w:t>
            </w:r>
          </w:p>
          <w:p w14:paraId="60404E6D" w14:textId="77777777" w:rsidR="00F94186" w:rsidRPr="00090A2C" w:rsidRDefault="00F94186" w:rsidP="00F94186">
            <w:pPr>
              <w:rPr>
                <w:rFonts w:asciiTheme="minorHAnsi" w:hAnsiTheme="minorHAnsi" w:cstheme="minorHAnsi"/>
                <w:b/>
                <w:bCs/>
                <w:i/>
                <w:iCs/>
                <w:sz w:val="20"/>
                <w:szCs w:val="20"/>
              </w:rPr>
            </w:pPr>
            <w:r w:rsidRPr="00090A2C">
              <w:rPr>
                <w:rFonts w:asciiTheme="minorHAnsi" w:hAnsiTheme="minorHAnsi" w:cstheme="minorHAnsi"/>
                <w:b/>
                <w:bCs/>
                <w:i/>
                <w:iCs/>
                <w:sz w:val="20"/>
                <w:szCs w:val="20"/>
              </w:rPr>
              <w:t>Area Assessment</w:t>
            </w:r>
          </w:p>
          <w:p w14:paraId="1E0D8F41"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Identification of existing marine uses and users. </w:t>
            </w:r>
          </w:p>
          <w:p w14:paraId="093D7A6C"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Assessment. </w:t>
            </w:r>
          </w:p>
          <w:p w14:paraId="168E317E"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Identification of area boundary. </w:t>
            </w:r>
          </w:p>
          <w:p w14:paraId="680D6159"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Consultation. </w:t>
            </w:r>
          </w:p>
          <w:p w14:paraId="645C8479"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Public consultation notice and discussion paper. </w:t>
            </w:r>
          </w:p>
          <w:p w14:paraId="4C52FA6F" w14:textId="77777777" w:rsidR="00F94186" w:rsidRPr="00090A2C" w:rsidRDefault="00F94186" w:rsidP="00F94186">
            <w:pPr>
              <w:rPr>
                <w:rFonts w:asciiTheme="minorHAnsi" w:hAnsiTheme="minorHAnsi" w:cstheme="minorHAnsi"/>
                <w:b/>
                <w:bCs/>
                <w:i/>
                <w:iCs/>
                <w:sz w:val="20"/>
                <w:szCs w:val="20"/>
              </w:rPr>
            </w:pPr>
            <w:r w:rsidRPr="00090A2C">
              <w:rPr>
                <w:rFonts w:asciiTheme="minorHAnsi" w:hAnsiTheme="minorHAnsi" w:cstheme="minorHAnsi"/>
                <w:b/>
                <w:bCs/>
                <w:i/>
                <w:iCs/>
                <w:sz w:val="20"/>
                <w:szCs w:val="20"/>
              </w:rPr>
              <w:t>Public consultation</w:t>
            </w:r>
          </w:p>
          <w:p w14:paraId="265E646B"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Drafting of public consultation notice and discussion paper. </w:t>
            </w:r>
          </w:p>
          <w:p w14:paraId="0E3F2C86"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Publish notice calling for submissions on DISER website. </w:t>
            </w:r>
          </w:p>
          <w:p w14:paraId="289BC761"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Consultation. </w:t>
            </w:r>
          </w:p>
          <w:p w14:paraId="7B3C9EA4"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Ongoing monitoring and administration of consultation process and submissions. </w:t>
            </w:r>
          </w:p>
          <w:p w14:paraId="5F9EE194" w14:textId="77777777" w:rsidR="00F94186" w:rsidRPr="00090A2C" w:rsidRDefault="00F94186" w:rsidP="00F94186">
            <w:pPr>
              <w:rPr>
                <w:rFonts w:asciiTheme="minorHAnsi" w:hAnsiTheme="minorHAnsi" w:cstheme="minorHAnsi"/>
                <w:b/>
                <w:bCs/>
                <w:i/>
                <w:iCs/>
                <w:sz w:val="20"/>
                <w:szCs w:val="20"/>
              </w:rPr>
            </w:pPr>
            <w:r w:rsidRPr="00090A2C">
              <w:rPr>
                <w:rFonts w:asciiTheme="minorHAnsi" w:hAnsiTheme="minorHAnsi" w:cstheme="minorHAnsi"/>
                <w:b/>
                <w:bCs/>
                <w:i/>
                <w:iCs/>
                <w:sz w:val="20"/>
                <w:szCs w:val="20"/>
              </w:rPr>
              <w:t>Assessment of submissions</w:t>
            </w:r>
          </w:p>
          <w:p w14:paraId="6D40C919"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Assessment of public submissions. </w:t>
            </w:r>
          </w:p>
          <w:p w14:paraId="696FB838"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Consultation. </w:t>
            </w:r>
          </w:p>
          <w:p w14:paraId="7DFB2B29"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Statement of Reasons. </w:t>
            </w:r>
          </w:p>
          <w:p w14:paraId="27B3B689" w14:textId="77777777" w:rsidR="00F94186" w:rsidRPr="00090A2C" w:rsidRDefault="00F94186" w:rsidP="00F94186">
            <w:pPr>
              <w:rPr>
                <w:rFonts w:asciiTheme="minorHAnsi" w:hAnsiTheme="minorHAnsi" w:cstheme="minorHAnsi"/>
                <w:b/>
                <w:bCs/>
                <w:i/>
                <w:iCs/>
                <w:sz w:val="20"/>
                <w:szCs w:val="20"/>
              </w:rPr>
            </w:pPr>
            <w:r w:rsidRPr="00090A2C">
              <w:rPr>
                <w:rFonts w:asciiTheme="minorHAnsi" w:hAnsiTheme="minorHAnsi" w:cstheme="minorHAnsi"/>
                <w:b/>
                <w:bCs/>
                <w:i/>
                <w:iCs/>
                <w:sz w:val="20"/>
                <w:szCs w:val="20"/>
              </w:rPr>
              <w:t>Recommendation to Minister</w:t>
            </w:r>
          </w:p>
          <w:p w14:paraId="346E7C50"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Drafting of declaration instrument. </w:t>
            </w:r>
          </w:p>
          <w:p w14:paraId="0DA3DB0A"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Ministerial briefing. </w:t>
            </w:r>
          </w:p>
          <w:p w14:paraId="6216B72B" w14:textId="77777777" w:rsidR="00F94186" w:rsidRPr="00090A2C" w:rsidRDefault="00F94186" w:rsidP="00F94186">
            <w:pPr>
              <w:rPr>
                <w:rFonts w:asciiTheme="minorHAnsi" w:hAnsiTheme="minorHAnsi" w:cstheme="minorHAnsi"/>
                <w:b/>
                <w:bCs/>
                <w:i/>
                <w:iCs/>
                <w:sz w:val="20"/>
                <w:szCs w:val="20"/>
              </w:rPr>
            </w:pPr>
            <w:r w:rsidRPr="00090A2C">
              <w:rPr>
                <w:rFonts w:asciiTheme="minorHAnsi" w:hAnsiTheme="minorHAnsi" w:cstheme="minorHAnsi"/>
                <w:b/>
                <w:bCs/>
                <w:i/>
                <w:iCs/>
                <w:sz w:val="20"/>
                <w:szCs w:val="20"/>
              </w:rPr>
              <w:t>Declaration decision</w:t>
            </w:r>
          </w:p>
          <w:p w14:paraId="1C7DD0BA"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Gazettal of declaration decision. </w:t>
            </w:r>
          </w:p>
          <w:p w14:paraId="21BD3CD3" w14:textId="77777777" w:rsidR="00F94186" w:rsidRPr="00DF461B" w:rsidRDefault="00F94186" w:rsidP="00F94186">
            <w:pPr>
              <w:pStyle w:val="ListParagraph"/>
              <w:ind w:left="337"/>
              <w:rPr>
                <w:rFonts w:asciiTheme="minorHAnsi" w:hAnsiTheme="minorHAnsi" w:cstheme="minorHAnsi"/>
                <w:sz w:val="20"/>
                <w:szCs w:val="20"/>
              </w:rPr>
            </w:pPr>
          </w:p>
        </w:tc>
      </w:tr>
      <w:tr w:rsidR="00F94186" w:rsidRPr="00762402" w14:paraId="6A6C173F" w14:textId="77777777" w:rsidTr="00F94186">
        <w:trPr>
          <w:trHeight w:val="1507"/>
        </w:trPr>
        <w:tc>
          <w:tcPr>
            <w:tcW w:w="809" w:type="dxa"/>
          </w:tcPr>
          <w:p w14:paraId="06C737B0" w14:textId="77777777" w:rsidR="00F94186" w:rsidRPr="00762402" w:rsidRDefault="00F94186" w:rsidP="00F94186">
            <w:pPr>
              <w:jc w:val="center"/>
              <w:rPr>
                <w:rFonts w:asciiTheme="minorHAnsi" w:hAnsiTheme="minorHAnsi" w:cstheme="minorHAnsi"/>
                <w:b/>
                <w:bCs/>
                <w:sz w:val="20"/>
                <w:szCs w:val="20"/>
              </w:rPr>
            </w:pPr>
            <w:r w:rsidRPr="00762402">
              <w:rPr>
                <w:rFonts w:asciiTheme="minorHAnsi" w:hAnsiTheme="minorHAnsi" w:cstheme="minorHAnsi"/>
                <w:b/>
                <w:bCs/>
                <w:sz w:val="20"/>
                <w:szCs w:val="20"/>
              </w:rPr>
              <w:lastRenderedPageBreak/>
              <w:t>2</w:t>
            </w:r>
          </w:p>
        </w:tc>
        <w:tc>
          <w:tcPr>
            <w:tcW w:w="2593" w:type="dxa"/>
          </w:tcPr>
          <w:p w14:paraId="23B010AA" w14:textId="77777777" w:rsidR="00F94186" w:rsidRDefault="00F94186" w:rsidP="00F94186">
            <w:pPr>
              <w:rPr>
                <w:rFonts w:asciiTheme="minorHAnsi" w:hAnsiTheme="minorHAnsi" w:cstheme="minorHAnsi"/>
                <w:b/>
                <w:bCs/>
                <w:sz w:val="20"/>
                <w:szCs w:val="20"/>
              </w:rPr>
            </w:pPr>
            <w:r>
              <w:rPr>
                <w:rFonts w:asciiTheme="minorHAnsi" w:hAnsiTheme="minorHAnsi" w:cstheme="minorHAnsi"/>
                <w:b/>
                <w:bCs/>
                <w:sz w:val="20"/>
                <w:szCs w:val="20"/>
              </w:rPr>
              <w:t>Policy development and regulatory improvement</w:t>
            </w:r>
          </w:p>
          <w:p w14:paraId="347C064D" w14:textId="77777777" w:rsidR="00F94186" w:rsidRDefault="00F94186" w:rsidP="00F94186">
            <w:pPr>
              <w:rPr>
                <w:rFonts w:asciiTheme="minorHAnsi" w:hAnsiTheme="minorHAnsi" w:cstheme="minorHAnsi"/>
                <w:b/>
                <w:bCs/>
                <w:sz w:val="20"/>
                <w:szCs w:val="20"/>
              </w:rPr>
            </w:pPr>
          </w:p>
          <w:p w14:paraId="150A88D3" w14:textId="77777777" w:rsidR="00F94186" w:rsidRDefault="00F94186" w:rsidP="00F94186">
            <w:pPr>
              <w:rPr>
                <w:rFonts w:asciiTheme="minorHAnsi" w:hAnsiTheme="minorHAnsi" w:cstheme="minorHAnsi"/>
                <w:sz w:val="20"/>
                <w:szCs w:val="20"/>
              </w:rPr>
            </w:pPr>
            <w:r>
              <w:rPr>
                <w:rFonts w:asciiTheme="minorHAnsi" w:hAnsiTheme="minorHAnsi" w:cstheme="minorHAnsi"/>
                <w:sz w:val="20"/>
                <w:szCs w:val="20"/>
              </w:rPr>
              <w:t>Staff allocated:</w:t>
            </w:r>
          </w:p>
          <w:p w14:paraId="502FB9C1" w14:textId="77777777" w:rsidR="00F94186" w:rsidRDefault="00F94186" w:rsidP="00F94186">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SES Band 1 (0.05 FTE)</w:t>
            </w:r>
          </w:p>
          <w:p w14:paraId="51F5F64E" w14:textId="77777777" w:rsidR="00F94186" w:rsidRDefault="00F94186" w:rsidP="00F94186">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EL2 (0.25 FTE)</w:t>
            </w:r>
          </w:p>
          <w:p w14:paraId="63F6FC54" w14:textId="77777777" w:rsidR="00F94186" w:rsidRDefault="00F94186" w:rsidP="00F94186">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EL1 (2.0 FTE)</w:t>
            </w:r>
          </w:p>
          <w:p w14:paraId="153B153C" w14:textId="77777777" w:rsidR="00F94186" w:rsidRPr="00090A2C" w:rsidRDefault="00F94186" w:rsidP="00F94186">
            <w:pPr>
              <w:pStyle w:val="ListParagraph"/>
              <w:numPr>
                <w:ilvl w:val="0"/>
                <w:numId w:val="6"/>
              </w:numPr>
              <w:rPr>
                <w:rFonts w:asciiTheme="minorHAnsi" w:hAnsiTheme="minorHAnsi" w:cstheme="minorHAnsi"/>
                <w:sz w:val="20"/>
                <w:szCs w:val="20"/>
              </w:rPr>
            </w:pPr>
            <w:r w:rsidRPr="00090A2C">
              <w:rPr>
                <w:rFonts w:asciiTheme="minorHAnsi" w:hAnsiTheme="minorHAnsi" w:cstheme="minorHAnsi"/>
                <w:sz w:val="20"/>
                <w:szCs w:val="20"/>
              </w:rPr>
              <w:t>APS 6 (</w:t>
            </w:r>
            <w:r>
              <w:rPr>
                <w:rFonts w:asciiTheme="minorHAnsi" w:hAnsiTheme="minorHAnsi" w:cstheme="minorHAnsi"/>
                <w:sz w:val="20"/>
                <w:szCs w:val="20"/>
              </w:rPr>
              <w:t>1</w:t>
            </w:r>
            <w:r w:rsidRPr="00090A2C">
              <w:rPr>
                <w:rFonts w:asciiTheme="minorHAnsi" w:hAnsiTheme="minorHAnsi" w:cstheme="minorHAnsi"/>
                <w:sz w:val="20"/>
                <w:szCs w:val="20"/>
              </w:rPr>
              <w:t>.0 FTE)</w:t>
            </w:r>
          </w:p>
          <w:p w14:paraId="16AA55CC" w14:textId="77777777" w:rsidR="00F94186" w:rsidRPr="00762402" w:rsidRDefault="00F94186" w:rsidP="00F94186">
            <w:pPr>
              <w:rPr>
                <w:rFonts w:asciiTheme="minorHAnsi" w:hAnsiTheme="minorHAnsi" w:cstheme="minorHAnsi"/>
                <w:sz w:val="20"/>
                <w:szCs w:val="20"/>
              </w:rPr>
            </w:pPr>
          </w:p>
        </w:tc>
        <w:tc>
          <w:tcPr>
            <w:tcW w:w="10348" w:type="dxa"/>
          </w:tcPr>
          <w:p w14:paraId="1FAA3307" w14:textId="77777777" w:rsidR="00F94186" w:rsidRDefault="00F94186" w:rsidP="00F94186">
            <w:pPr>
              <w:rPr>
                <w:rFonts w:asciiTheme="minorHAnsi" w:hAnsiTheme="minorHAnsi" w:cstheme="minorHAnsi"/>
                <w:b/>
                <w:bCs/>
                <w:i/>
                <w:iCs/>
                <w:sz w:val="20"/>
                <w:szCs w:val="20"/>
              </w:rPr>
            </w:pPr>
            <w:r>
              <w:rPr>
                <w:rFonts w:asciiTheme="minorHAnsi" w:hAnsiTheme="minorHAnsi" w:cstheme="minorHAnsi"/>
                <w:b/>
                <w:bCs/>
                <w:i/>
                <w:iCs/>
                <w:sz w:val="20"/>
                <w:szCs w:val="20"/>
              </w:rPr>
              <w:t>Policy Development</w:t>
            </w:r>
          </w:p>
          <w:p w14:paraId="5F7444B2" w14:textId="77777777" w:rsidR="00F94186" w:rsidRPr="00762402"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Research and analysis. </w:t>
            </w:r>
            <w:r w:rsidRPr="00762402">
              <w:rPr>
                <w:rFonts w:asciiTheme="minorHAnsi" w:hAnsiTheme="minorHAnsi" w:cstheme="minorHAnsi"/>
                <w:sz w:val="20"/>
                <w:szCs w:val="20"/>
              </w:rPr>
              <w:t xml:space="preserve"> </w:t>
            </w:r>
          </w:p>
          <w:p w14:paraId="0A7C4080"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Identify and plan for industry impact of policy development. </w:t>
            </w:r>
          </w:p>
          <w:p w14:paraId="5BC32E30"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sidRPr="00762402">
              <w:rPr>
                <w:rFonts w:asciiTheme="minorHAnsi" w:hAnsiTheme="minorHAnsi" w:cstheme="minorHAnsi"/>
                <w:sz w:val="20"/>
                <w:szCs w:val="20"/>
              </w:rPr>
              <w:t xml:space="preserve"> </w:t>
            </w:r>
            <w:r>
              <w:rPr>
                <w:rFonts w:asciiTheme="minorHAnsi" w:hAnsiTheme="minorHAnsi" w:cstheme="minorHAnsi"/>
                <w:sz w:val="20"/>
                <w:szCs w:val="20"/>
              </w:rPr>
              <w:t xml:space="preserve">Input into whole of government policies. </w:t>
            </w:r>
          </w:p>
          <w:p w14:paraId="69CFD069"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Developing, maintaining and communicating policy and instructional material. </w:t>
            </w:r>
          </w:p>
          <w:p w14:paraId="647B3857"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Policy submission and discussion papers. </w:t>
            </w:r>
          </w:p>
          <w:p w14:paraId="662D4688"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Strategic planning and policy coordination.</w:t>
            </w:r>
          </w:p>
          <w:p w14:paraId="71F7C2F1" w14:textId="77777777" w:rsidR="00F94186" w:rsidRPr="00C723AD" w:rsidRDefault="00F94186" w:rsidP="00F94186">
            <w:pPr>
              <w:rPr>
                <w:rFonts w:asciiTheme="minorHAnsi" w:hAnsiTheme="minorHAnsi" w:cstheme="minorHAnsi"/>
                <w:b/>
                <w:bCs/>
                <w:i/>
                <w:iCs/>
                <w:sz w:val="20"/>
                <w:szCs w:val="20"/>
              </w:rPr>
            </w:pPr>
            <w:r w:rsidRPr="00C723AD">
              <w:rPr>
                <w:rFonts w:asciiTheme="minorHAnsi" w:hAnsiTheme="minorHAnsi" w:cstheme="minorHAnsi"/>
                <w:b/>
                <w:bCs/>
                <w:i/>
                <w:iCs/>
                <w:sz w:val="20"/>
                <w:szCs w:val="20"/>
              </w:rPr>
              <w:t>Regulatory Improvement</w:t>
            </w:r>
          </w:p>
          <w:p w14:paraId="48FE9B33"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Development of legislation and legislative amendments. </w:t>
            </w:r>
          </w:p>
          <w:p w14:paraId="6A94D2E9" w14:textId="77777777" w:rsidR="00F94186" w:rsidRPr="00762402"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Develop and consult on regulatory proposals. </w:t>
            </w:r>
          </w:p>
        </w:tc>
      </w:tr>
      <w:tr w:rsidR="00F94186" w:rsidRPr="00762402" w14:paraId="1D35D9FD" w14:textId="77777777" w:rsidTr="00F94186">
        <w:trPr>
          <w:trHeight w:val="1507"/>
        </w:trPr>
        <w:tc>
          <w:tcPr>
            <w:tcW w:w="809" w:type="dxa"/>
          </w:tcPr>
          <w:p w14:paraId="4FC4CD96" w14:textId="77777777" w:rsidR="00F94186" w:rsidRPr="00762402" w:rsidRDefault="00F94186" w:rsidP="00F94186">
            <w:pPr>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2593" w:type="dxa"/>
          </w:tcPr>
          <w:p w14:paraId="4C0FDD71" w14:textId="77777777" w:rsidR="00F94186" w:rsidRDefault="00F94186" w:rsidP="00F94186">
            <w:pPr>
              <w:rPr>
                <w:rFonts w:asciiTheme="minorHAnsi" w:hAnsiTheme="minorHAnsi" w:cstheme="minorHAnsi"/>
                <w:b/>
                <w:bCs/>
                <w:sz w:val="20"/>
                <w:szCs w:val="20"/>
              </w:rPr>
            </w:pPr>
            <w:r>
              <w:rPr>
                <w:rFonts w:asciiTheme="minorHAnsi" w:hAnsiTheme="minorHAnsi" w:cstheme="minorHAnsi"/>
                <w:b/>
                <w:bCs/>
                <w:sz w:val="20"/>
                <w:szCs w:val="20"/>
              </w:rPr>
              <w:t>Program management, administration and engagement</w:t>
            </w:r>
          </w:p>
          <w:p w14:paraId="17AF0BC0" w14:textId="77777777" w:rsidR="00F94186" w:rsidRDefault="00F94186" w:rsidP="00F94186">
            <w:pPr>
              <w:rPr>
                <w:rFonts w:asciiTheme="minorHAnsi" w:hAnsiTheme="minorHAnsi" w:cstheme="minorHAnsi"/>
                <w:b/>
                <w:bCs/>
                <w:sz w:val="20"/>
                <w:szCs w:val="20"/>
              </w:rPr>
            </w:pPr>
          </w:p>
          <w:p w14:paraId="3162741B" w14:textId="77777777" w:rsidR="00F94186" w:rsidRDefault="00F94186" w:rsidP="00F94186">
            <w:pPr>
              <w:rPr>
                <w:rFonts w:asciiTheme="minorHAnsi" w:hAnsiTheme="minorHAnsi" w:cstheme="minorHAnsi"/>
                <w:sz w:val="20"/>
                <w:szCs w:val="20"/>
              </w:rPr>
            </w:pPr>
            <w:r>
              <w:rPr>
                <w:rFonts w:asciiTheme="minorHAnsi" w:hAnsiTheme="minorHAnsi" w:cstheme="minorHAnsi"/>
                <w:sz w:val="20"/>
                <w:szCs w:val="20"/>
              </w:rPr>
              <w:t>Staff allocated:</w:t>
            </w:r>
          </w:p>
          <w:p w14:paraId="290D01DB" w14:textId="77777777" w:rsidR="00F94186" w:rsidRDefault="00F94186" w:rsidP="00F94186">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SES Band 1 (0.05 FTE)</w:t>
            </w:r>
          </w:p>
          <w:p w14:paraId="730D046C" w14:textId="77777777" w:rsidR="00F94186" w:rsidRDefault="00F94186" w:rsidP="00F94186">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EL2 (0.25 FTE)</w:t>
            </w:r>
          </w:p>
          <w:p w14:paraId="556FA994" w14:textId="77777777" w:rsidR="00F94186" w:rsidRDefault="00F94186" w:rsidP="00F94186">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EL1 (1.0 FTE)</w:t>
            </w:r>
          </w:p>
          <w:p w14:paraId="37C986D5" w14:textId="77777777" w:rsidR="00F94186" w:rsidRPr="00090A2C" w:rsidRDefault="00F94186" w:rsidP="00F94186">
            <w:pPr>
              <w:pStyle w:val="ListParagraph"/>
              <w:numPr>
                <w:ilvl w:val="0"/>
                <w:numId w:val="6"/>
              </w:numPr>
              <w:rPr>
                <w:rFonts w:asciiTheme="minorHAnsi" w:hAnsiTheme="minorHAnsi" w:cstheme="minorHAnsi"/>
                <w:sz w:val="20"/>
                <w:szCs w:val="20"/>
              </w:rPr>
            </w:pPr>
            <w:r w:rsidRPr="00090A2C">
              <w:rPr>
                <w:rFonts w:asciiTheme="minorHAnsi" w:hAnsiTheme="minorHAnsi" w:cstheme="minorHAnsi"/>
                <w:sz w:val="20"/>
                <w:szCs w:val="20"/>
              </w:rPr>
              <w:t>APS 6 (</w:t>
            </w:r>
            <w:r>
              <w:rPr>
                <w:rFonts w:asciiTheme="minorHAnsi" w:hAnsiTheme="minorHAnsi" w:cstheme="minorHAnsi"/>
                <w:sz w:val="20"/>
                <w:szCs w:val="20"/>
              </w:rPr>
              <w:t>2</w:t>
            </w:r>
            <w:r w:rsidRPr="00090A2C">
              <w:rPr>
                <w:rFonts w:asciiTheme="minorHAnsi" w:hAnsiTheme="minorHAnsi" w:cstheme="minorHAnsi"/>
                <w:sz w:val="20"/>
                <w:szCs w:val="20"/>
              </w:rPr>
              <w:t>.0 FTE)</w:t>
            </w:r>
          </w:p>
          <w:p w14:paraId="49465AB7" w14:textId="77777777" w:rsidR="00F94186" w:rsidRDefault="00F94186" w:rsidP="00F94186">
            <w:pPr>
              <w:rPr>
                <w:rFonts w:asciiTheme="minorHAnsi" w:hAnsiTheme="minorHAnsi" w:cstheme="minorHAnsi"/>
                <w:b/>
                <w:bCs/>
                <w:sz w:val="20"/>
                <w:szCs w:val="20"/>
              </w:rPr>
            </w:pPr>
          </w:p>
        </w:tc>
        <w:tc>
          <w:tcPr>
            <w:tcW w:w="10348" w:type="dxa"/>
          </w:tcPr>
          <w:p w14:paraId="2B13074F" w14:textId="77777777" w:rsidR="00F94186" w:rsidRDefault="00F94186" w:rsidP="00F94186">
            <w:pPr>
              <w:rPr>
                <w:rFonts w:asciiTheme="minorHAnsi" w:hAnsiTheme="minorHAnsi" w:cstheme="minorHAnsi"/>
                <w:b/>
                <w:bCs/>
                <w:i/>
                <w:iCs/>
                <w:sz w:val="20"/>
                <w:szCs w:val="20"/>
              </w:rPr>
            </w:pPr>
            <w:r>
              <w:rPr>
                <w:rFonts w:asciiTheme="minorHAnsi" w:hAnsiTheme="minorHAnsi" w:cstheme="minorHAnsi"/>
                <w:b/>
                <w:bCs/>
                <w:i/>
                <w:iCs/>
                <w:sz w:val="20"/>
                <w:szCs w:val="20"/>
              </w:rPr>
              <w:t>Program management</w:t>
            </w:r>
          </w:p>
          <w:p w14:paraId="140C1999"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Industry research and reporting. </w:t>
            </w:r>
          </w:p>
          <w:p w14:paraId="2F3EC964"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Ministerial and Executive briefings and submissions. </w:t>
            </w:r>
          </w:p>
          <w:p w14:paraId="16C0CDC2"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Cost recovery arrangements.</w:t>
            </w:r>
          </w:p>
          <w:p w14:paraId="7DA24970" w14:textId="77777777" w:rsidR="00F94186" w:rsidRPr="00C723AD"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Advice to the Government and to Parliament. </w:t>
            </w:r>
          </w:p>
          <w:p w14:paraId="55E85635" w14:textId="77777777" w:rsidR="00F94186" w:rsidRDefault="00F94186" w:rsidP="00F94186">
            <w:pPr>
              <w:rPr>
                <w:rFonts w:asciiTheme="minorHAnsi" w:hAnsiTheme="minorHAnsi" w:cstheme="minorHAnsi"/>
                <w:b/>
                <w:bCs/>
                <w:i/>
                <w:iCs/>
                <w:sz w:val="20"/>
                <w:szCs w:val="20"/>
              </w:rPr>
            </w:pPr>
            <w:r>
              <w:rPr>
                <w:rFonts w:asciiTheme="minorHAnsi" w:hAnsiTheme="minorHAnsi" w:cstheme="minorHAnsi"/>
                <w:b/>
                <w:bCs/>
                <w:i/>
                <w:iCs/>
                <w:sz w:val="20"/>
                <w:szCs w:val="20"/>
              </w:rPr>
              <w:t>Administration</w:t>
            </w:r>
          </w:p>
          <w:p w14:paraId="4D40074B"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Ongoing administration and governance. </w:t>
            </w:r>
          </w:p>
          <w:p w14:paraId="2C64B27F" w14:textId="77777777" w:rsidR="00F94186" w:rsidRPr="00C723AD"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Internal and external enquiries management. </w:t>
            </w:r>
          </w:p>
          <w:p w14:paraId="2E207B58" w14:textId="77777777" w:rsidR="00F94186" w:rsidRDefault="00F94186" w:rsidP="00F94186">
            <w:pPr>
              <w:rPr>
                <w:rFonts w:asciiTheme="minorHAnsi" w:hAnsiTheme="minorHAnsi" w:cstheme="minorHAnsi"/>
                <w:b/>
                <w:bCs/>
                <w:i/>
                <w:iCs/>
                <w:sz w:val="20"/>
                <w:szCs w:val="20"/>
              </w:rPr>
            </w:pPr>
            <w:r>
              <w:rPr>
                <w:rFonts w:asciiTheme="minorHAnsi" w:hAnsiTheme="minorHAnsi" w:cstheme="minorHAnsi"/>
                <w:b/>
                <w:bCs/>
                <w:i/>
                <w:iCs/>
                <w:sz w:val="20"/>
                <w:szCs w:val="20"/>
              </w:rPr>
              <w:t>Engagement</w:t>
            </w:r>
          </w:p>
          <w:p w14:paraId="2F28A434"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Internal and external guidance material and communications</w:t>
            </w:r>
            <w:r w:rsidRPr="00C723AD">
              <w:rPr>
                <w:rFonts w:asciiTheme="minorHAnsi" w:hAnsiTheme="minorHAnsi" w:cstheme="minorHAnsi"/>
                <w:sz w:val="20"/>
                <w:szCs w:val="20"/>
              </w:rPr>
              <w:t>.</w:t>
            </w:r>
          </w:p>
          <w:p w14:paraId="45303270"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Development and maintenance of website. </w:t>
            </w:r>
          </w:p>
          <w:p w14:paraId="650BBA78"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Record keeping. </w:t>
            </w:r>
          </w:p>
          <w:p w14:paraId="0DFD67E3"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Engagement with other Commonwealth government departments. </w:t>
            </w:r>
          </w:p>
          <w:p w14:paraId="4D871E38" w14:textId="77777777" w:rsidR="00F94186"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Engagement with State and Territory governments. </w:t>
            </w:r>
          </w:p>
          <w:p w14:paraId="539F315F" w14:textId="77777777" w:rsidR="00F94186" w:rsidRPr="00C723AD" w:rsidRDefault="00F94186" w:rsidP="00F9418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 xml:space="preserve">Engagement with industry, community groups and other stakeholders. </w:t>
            </w:r>
          </w:p>
        </w:tc>
      </w:tr>
    </w:tbl>
    <w:p w14:paraId="35F87589" w14:textId="77777777" w:rsidR="00F94186" w:rsidRDefault="00F94186" w:rsidP="00F94186">
      <w:pPr>
        <w:sectPr w:rsidR="00F94186" w:rsidSect="009F3BC3">
          <w:pgSz w:w="16838" w:h="11906" w:orient="landscape"/>
          <w:pgMar w:top="851" w:right="720" w:bottom="720" w:left="851" w:header="709" w:footer="709" w:gutter="0"/>
          <w:cols w:space="708"/>
          <w:docGrid w:linePitch="360"/>
        </w:sectPr>
      </w:pPr>
    </w:p>
    <w:p w14:paraId="17C1CC35" w14:textId="77777777" w:rsidR="00F94186" w:rsidRDefault="00F94186" w:rsidP="00F94186">
      <w:pPr>
        <w:pStyle w:val="Heading3"/>
      </w:pPr>
      <w:bookmarkStart w:id="37" w:name="_Toc98772175"/>
      <w:r>
        <w:lastRenderedPageBreak/>
        <w:t>Costs of the activity</w:t>
      </w:r>
      <w:bookmarkEnd w:id="37"/>
    </w:p>
    <w:p w14:paraId="00C3D304" w14:textId="77777777" w:rsidR="00F94186" w:rsidRDefault="00F94186" w:rsidP="00F94186">
      <w:pPr>
        <w:ind w:right="554"/>
        <w:rPr>
          <w:rFonts w:asciiTheme="minorHAnsi" w:hAnsiTheme="minorHAnsi" w:cstheme="minorHAnsi"/>
        </w:rPr>
      </w:pPr>
      <w:r>
        <w:rPr>
          <w:rFonts w:asciiTheme="minorHAnsi" w:hAnsiTheme="minorHAnsi" w:cstheme="minorHAnsi"/>
        </w:rPr>
        <w:t>D</w:t>
      </w:r>
      <w:r w:rsidRPr="005E2EC1">
        <w:rPr>
          <w:rFonts w:asciiTheme="minorHAnsi" w:hAnsiTheme="minorHAnsi" w:cstheme="minorHAnsi"/>
        </w:rPr>
        <w:t>irect and indirect costs</w:t>
      </w:r>
      <w:r>
        <w:rPr>
          <w:rFonts w:asciiTheme="minorHAnsi" w:hAnsiTheme="minorHAnsi" w:cstheme="minorHAnsi"/>
        </w:rPr>
        <w:t xml:space="preserve"> of undertaking the processes and outputs of the ORE section (as shown above) are detailed in </w:t>
      </w:r>
      <w:r>
        <w:rPr>
          <w:rFonts w:asciiTheme="minorHAnsi" w:hAnsiTheme="minorHAnsi" w:cstheme="minorHAnsi"/>
          <w:b/>
          <w:bCs/>
        </w:rPr>
        <w:t>Table 8</w:t>
      </w:r>
      <w:r w:rsidRPr="005E2EC1">
        <w:rPr>
          <w:rFonts w:asciiTheme="minorHAnsi" w:hAnsiTheme="minorHAnsi" w:cstheme="minorHAnsi"/>
        </w:rPr>
        <w:t>.</w:t>
      </w:r>
      <w:r w:rsidRPr="00A62032">
        <w:rPr>
          <w:rFonts w:asciiTheme="minorHAnsi" w:hAnsiTheme="minorHAnsi" w:cstheme="minorHAnsi"/>
        </w:rPr>
        <w:t xml:space="preserve"> </w:t>
      </w:r>
      <w:r w:rsidRPr="00591FD1">
        <w:rPr>
          <w:rFonts w:asciiTheme="minorHAnsi" w:hAnsiTheme="minorHAnsi" w:cstheme="minorHAnsi"/>
        </w:rPr>
        <w:t xml:space="preserve">Indirect costs </w:t>
      </w:r>
      <w:r>
        <w:rPr>
          <w:rFonts w:asciiTheme="minorHAnsi" w:hAnsiTheme="minorHAnsi" w:cstheme="minorHAnsi"/>
        </w:rPr>
        <w:t xml:space="preserve">have been </w:t>
      </w:r>
      <w:r w:rsidRPr="00591FD1">
        <w:rPr>
          <w:rFonts w:asciiTheme="minorHAnsi" w:hAnsiTheme="minorHAnsi" w:cstheme="minorHAnsi"/>
        </w:rPr>
        <w:t xml:space="preserve">allocated </w:t>
      </w:r>
      <w:r>
        <w:rPr>
          <w:rFonts w:asciiTheme="minorHAnsi" w:hAnsiTheme="minorHAnsi" w:cstheme="minorHAnsi"/>
        </w:rPr>
        <w:t>on a per head basis</w:t>
      </w:r>
      <w:r w:rsidRPr="00591FD1">
        <w:rPr>
          <w:rFonts w:asciiTheme="minorHAnsi" w:hAnsiTheme="minorHAnsi" w:cstheme="minorHAnsi"/>
        </w:rPr>
        <w:t>.</w:t>
      </w:r>
    </w:p>
    <w:p w14:paraId="7382F80C" w14:textId="77777777" w:rsidR="00F94186" w:rsidRPr="005E2EC1" w:rsidRDefault="00F94186" w:rsidP="00F94186">
      <w:pPr>
        <w:ind w:right="554"/>
        <w:rPr>
          <w:rFonts w:asciiTheme="minorHAnsi" w:hAnsiTheme="minorHAnsi" w:cstheme="minorHAnsi"/>
        </w:rPr>
      </w:pPr>
    </w:p>
    <w:p w14:paraId="0272DC06" w14:textId="77777777" w:rsidR="00F94186" w:rsidRDefault="00F94186" w:rsidP="00F94186">
      <w:pPr>
        <w:ind w:right="554"/>
        <w:rPr>
          <w:rFonts w:asciiTheme="minorHAnsi" w:hAnsiTheme="minorHAnsi" w:cstheme="minorHAnsi"/>
        </w:rPr>
      </w:pPr>
      <w:r w:rsidRPr="005E2EC1">
        <w:rPr>
          <w:rFonts w:asciiTheme="minorHAnsi" w:hAnsiTheme="minorHAnsi" w:cstheme="minorHAnsi"/>
        </w:rPr>
        <w:t xml:space="preserve">Direct costs are </w:t>
      </w:r>
      <w:r>
        <w:rPr>
          <w:rFonts w:asciiTheme="minorHAnsi" w:hAnsiTheme="minorHAnsi" w:cstheme="minorHAnsi"/>
        </w:rPr>
        <w:t xml:space="preserve">budgeted </w:t>
      </w:r>
      <w:r w:rsidRPr="005E2EC1">
        <w:rPr>
          <w:rFonts w:asciiTheme="minorHAnsi" w:hAnsiTheme="minorHAnsi" w:cstheme="minorHAnsi"/>
        </w:rPr>
        <w:t xml:space="preserve">at </w:t>
      </w:r>
      <w:r>
        <w:rPr>
          <w:rFonts w:asciiTheme="minorHAnsi" w:hAnsiTheme="minorHAnsi" w:cstheme="minorHAnsi"/>
        </w:rPr>
        <w:t>$1,555,516</w:t>
      </w:r>
      <w:r w:rsidRPr="005E2EC1">
        <w:rPr>
          <w:rFonts w:asciiTheme="minorHAnsi" w:hAnsiTheme="minorHAnsi" w:cstheme="minorHAnsi"/>
        </w:rPr>
        <w:t xml:space="preserve"> f</w:t>
      </w:r>
      <w:r>
        <w:rPr>
          <w:rFonts w:asciiTheme="minorHAnsi" w:hAnsiTheme="minorHAnsi" w:cstheme="minorHAnsi"/>
        </w:rPr>
        <w:t>or</w:t>
      </w:r>
      <w:r w:rsidRPr="005E2EC1">
        <w:rPr>
          <w:rFonts w:asciiTheme="minorHAnsi" w:hAnsiTheme="minorHAnsi" w:cstheme="minorHAnsi"/>
        </w:rPr>
        <w:t xml:space="preserve"> 202</w:t>
      </w:r>
      <w:r>
        <w:rPr>
          <w:rFonts w:asciiTheme="minorHAnsi" w:hAnsiTheme="minorHAnsi" w:cstheme="minorHAnsi"/>
        </w:rPr>
        <w:t xml:space="preserve">2-23, </w:t>
      </w:r>
      <w:r w:rsidRPr="00B7069E">
        <w:rPr>
          <w:rFonts w:asciiTheme="minorHAnsi" w:hAnsiTheme="minorHAnsi" w:cstheme="minorHAnsi"/>
        </w:rPr>
        <w:t>$</w:t>
      </w:r>
      <w:r>
        <w:rPr>
          <w:rFonts w:asciiTheme="minorHAnsi" w:hAnsiTheme="minorHAnsi" w:cstheme="minorHAnsi"/>
        </w:rPr>
        <w:t xml:space="preserve">1,563,037 for 2023-24 </w:t>
      </w:r>
      <w:r w:rsidRPr="005E2EC1">
        <w:rPr>
          <w:rFonts w:asciiTheme="minorHAnsi" w:hAnsiTheme="minorHAnsi" w:cstheme="minorHAnsi"/>
        </w:rPr>
        <w:t>and</w:t>
      </w:r>
      <w:r>
        <w:rPr>
          <w:rFonts w:asciiTheme="minorHAnsi" w:hAnsiTheme="minorHAnsi" w:cstheme="minorHAnsi"/>
        </w:rPr>
        <w:t xml:space="preserve"> $1,573,108 for 2024-25 and</w:t>
      </w:r>
      <w:r w:rsidRPr="005E2EC1">
        <w:rPr>
          <w:rFonts w:asciiTheme="minorHAnsi" w:hAnsiTheme="minorHAnsi" w:cstheme="minorHAnsi"/>
        </w:rPr>
        <w:t xml:space="preserve"> </w:t>
      </w:r>
      <w:r>
        <w:rPr>
          <w:rFonts w:asciiTheme="minorHAnsi" w:hAnsiTheme="minorHAnsi" w:cstheme="minorHAnsi"/>
        </w:rPr>
        <w:t>comprise:</w:t>
      </w:r>
    </w:p>
    <w:p w14:paraId="0B6F9458" w14:textId="77777777" w:rsidR="00F94186" w:rsidRPr="00E229D7" w:rsidRDefault="00F94186" w:rsidP="00F94186">
      <w:pPr>
        <w:pStyle w:val="ListParagraph"/>
        <w:numPr>
          <w:ilvl w:val="0"/>
          <w:numId w:val="5"/>
        </w:numPr>
        <w:ind w:right="554"/>
        <w:contextualSpacing w:val="0"/>
        <w:rPr>
          <w:rFonts w:asciiTheme="minorHAnsi" w:hAnsiTheme="minorHAnsi" w:cstheme="minorHAnsi"/>
        </w:rPr>
      </w:pPr>
      <w:r w:rsidRPr="00E229D7">
        <w:rPr>
          <w:rFonts w:asciiTheme="minorHAnsi" w:hAnsiTheme="minorHAnsi" w:cstheme="minorHAnsi"/>
        </w:rPr>
        <w:t xml:space="preserve">Employee and associated expenses (e.g., salary, superannuation, leave entitlements, </w:t>
      </w:r>
      <w:r>
        <w:rPr>
          <w:rFonts w:asciiTheme="minorHAnsi" w:hAnsiTheme="minorHAnsi" w:cstheme="minorHAnsi"/>
        </w:rPr>
        <w:t>t</w:t>
      </w:r>
      <w:r w:rsidRPr="00E229D7">
        <w:rPr>
          <w:rFonts w:asciiTheme="minorHAnsi" w:hAnsiTheme="minorHAnsi" w:cstheme="minorHAnsi"/>
        </w:rPr>
        <w:t>raining and development</w:t>
      </w:r>
      <w:r>
        <w:rPr>
          <w:rFonts w:asciiTheme="minorHAnsi" w:hAnsiTheme="minorHAnsi" w:cstheme="minorHAnsi"/>
        </w:rPr>
        <w:t>)</w:t>
      </w:r>
    </w:p>
    <w:p w14:paraId="529AB65B" w14:textId="77777777" w:rsidR="00F94186" w:rsidRPr="006D6414" w:rsidRDefault="00F94186" w:rsidP="00F94186">
      <w:pPr>
        <w:pStyle w:val="ListParagraph"/>
        <w:numPr>
          <w:ilvl w:val="0"/>
          <w:numId w:val="5"/>
        </w:numPr>
        <w:ind w:right="554"/>
        <w:contextualSpacing w:val="0"/>
        <w:rPr>
          <w:rFonts w:asciiTheme="minorHAnsi" w:hAnsiTheme="minorHAnsi" w:cstheme="minorHAnsi"/>
        </w:rPr>
      </w:pPr>
      <w:r>
        <w:rPr>
          <w:rFonts w:asciiTheme="minorHAnsi" w:hAnsiTheme="minorHAnsi" w:cstheme="minorHAnsi"/>
        </w:rPr>
        <w:t>W</w:t>
      </w:r>
      <w:r w:rsidRPr="006D6414">
        <w:rPr>
          <w:rFonts w:asciiTheme="minorHAnsi" w:hAnsiTheme="minorHAnsi" w:cstheme="minorHAnsi"/>
        </w:rPr>
        <w:t>orkers’ compensation premiums</w:t>
      </w:r>
    </w:p>
    <w:p w14:paraId="1452AF59" w14:textId="77777777" w:rsidR="00F94186" w:rsidRDefault="00F94186" w:rsidP="00F94186">
      <w:pPr>
        <w:ind w:right="554"/>
      </w:pPr>
    </w:p>
    <w:p w14:paraId="431D9BE9" w14:textId="77777777" w:rsidR="00F94186" w:rsidRPr="005E2EC1" w:rsidRDefault="00F94186" w:rsidP="00F94186">
      <w:pPr>
        <w:ind w:right="554"/>
        <w:rPr>
          <w:rFonts w:asciiTheme="minorHAnsi" w:hAnsiTheme="minorHAnsi" w:cstheme="minorHAnsi"/>
        </w:rPr>
      </w:pPr>
      <w:r w:rsidRPr="005E2EC1">
        <w:rPr>
          <w:rFonts w:asciiTheme="minorHAnsi" w:hAnsiTheme="minorHAnsi" w:cstheme="minorHAnsi"/>
        </w:rPr>
        <w:t xml:space="preserve">Indirect costs are </w:t>
      </w:r>
      <w:r>
        <w:rPr>
          <w:rFonts w:asciiTheme="minorHAnsi" w:hAnsiTheme="minorHAnsi" w:cstheme="minorHAnsi"/>
        </w:rPr>
        <w:t xml:space="preserve">budgeted </w:t>
      </w:r>
      <w:r w:rsidRPr="005E2EC1">
        <w:rPr>
          <w:rFonts w:asciiTheme="minorHAnsi" w:hAnsiTheme="minorHAnsi" w:cstheme="minorHAnsi"/>
        </w:rPr>
        <w:t xml:space="preserve">at </w:t>
      </w:r>
      <w:r>
        <w:rPr>
          <w:rFonts w:asciiTheme="minorHAnsi" w:hAnsiTheme="minorHAnsi" w:cstheme="minorHAnsi"/>
        </w:rPr>
        <w:t>$334,514</w:t>
      </w:r>
      <w:r w:rsidRPr="005E2EC1">
        <w:rPr>
          <w:rFonts w:asciiTheme="minorHAnsi" w:hAnsiTheme="minorHAnsi" w:cstheme="minorHAnsi"/>
        </w:rPr>
        <w:t xml:space="preserve"> </w:t>
      </w:r>
      <w:r>
        <w:rPr>
          <w:rFonts w:asciiTheme="minorHAnsi" w:hAnsiTheme="minorHAnsi" w:cstheme="minorHAnsi"/>
        </w:rPr>
        <w:t xml:space="preserve">for </w:t>
      </w:r>
      <w:r w:rsidRPr="005E2EC1">
        <w:rPr>
          <w:rFonts w:asciiTheme="minorHAnsi" w:hAnsiTheme="minorHAnsi" w:cstheme="minorHAnsi"/>
        </w:rPr>
        <w:t>202</w:t>
      </w:r>
      <w:r>
        <w:rPr>
          <w:rFonts w:asciiTheme="minorHAnsi" w:hAnsiTheme="minorHAnsi" w:cstheme="minorHAnsi"/>
        </w:rPr>
        <w:t xml:space="preserve">2-23, $336,476 for 2023-24 and $339,103 for </w:t>
      </w:r>
      <w:r>
        <w:rPr>
          <w:rFonts w:asciiTheme="minorHAnsi" w:hAnsiTheme="minorHAnsi" w:cstheme="minorHAnsi"/>
        </w:rPr>
        <w:br/>
        <w:t xml:space="preserve">2024-25 </w:t>
      </w:r>
      <w:r w:rsidRPr="005E2EC1">
        <w:rPr>
          <w:rFonts w:asciiTheme="minorHAnsi" w:hAnsiTheme="minorHAnsi" w:cstheme="minorHAnsi"/>
        </w:rPr>
        <w:t xml:space="preserve">and </w:t>
      </w:r>
      <w:r>
        <w:rPr>
          <w:rFonts w:asciiTheme="minorHAnsi" w:hAnsiTheme="minorHAnsi" w:cstheme="minorHAnsi"/>
        </w:rPr>
        <w:t>comprise</w:t>
      </w:r>
      <w:r w:rsidRPr="005E2EC1">
        <w:rPr>
          <w:rFonts w:asciiTheme="minorHAnsi" w:hAnsiTheme="minorHAnsi" w:cstheme="minorHAnsi"/>
        </w:rPr>
        <w:t>:</w:t>
      </w:r>
    </w:p>
    <w:p w14:paraId="61F3046C" w14:textId="77777777" w:rsidR="00F94186" w:rsidRDefault="00F94186" w:rsidP="00F94186">
      <w:pPr>
        <w:pStyle w:val="ListParagraph"/>
        <w:numPr>
          <w:ilvl w:val="0"/>
          <w:numId w:val="5"/>
        </w:numPr>
        <w:contextualSpacing w:val="0"/>
        <w:rPr>
          <w:rFonts w:asciiTheme="minorHAnsi" w:hAnsiTheme="minorHAnsi" w:cstheme="minorHAnsi"/>
        </w:rPr>
      </w:pPr>
      <w:r w:rsidRPr="002D5EF9">
        <w:rPr>
          <w:rFonts w:asciiTheme="minorHAnsi" w:hAnsiTheme="minorHAnsi" w:cstheme="minorHAnsi"/>
        </w:rPr>
        <w:t>ICT</w:t>
      </w:r>
      <w:r w:rsidRPr="002578CD">
        <w:rPr>
          <w:rFonts w:asciiTheme="minorHAnsi" w:hAnsiTheme="minorHAnsi" w:cstheme="minorHAnsi"/>
        </w:rPr>
        <w:t xml:space="preserve"> </w:t>
      </w:r>
      <w:r>
        <w:rPr>
          <w:rFonts w:asciiTheme="minorHAnsi" w:hAnsiTheme="minorHAnsi" w:cstheme="minorHAnsi"/>
        </w:rPr>
        <w:t xml:space="preserve">systems and </w:t>
      </w:r>
      <w:r w:rsidRPr="002578CD">
        <w:rPr>
          <w:rFonts w:asciiTheme="minorHAnsi" w:hAnsiTheme="minorHAnsi" w:cstheme="minorHAnsi"/>
        </w:rPr>
        <w:t xml:space="preserve">desktop </w:t>
      </w:r>
      <w:r>
        <w:rPr>
          <w:rFonts w:asciiTheme="minorHAnsi" w:hAnsiTheme="minorHAnsi" w:cstheme="minorHAnsi"/>
        </w:rPr>
        <w:t>support</w:t>
      </w:r>
    </w:p>
    <w:p w14:paraId="42FD87B7" w14:textId="77777777" w:rsidR="00F94186" w:rsidRDefault="00F94186" w:rsidP="00F94186">
      <w:pPr>
        <w:pStyle w:val="ListParagraph"/>
        <w:numPr>
          <w:ilvl w:val="0"/>
          <w:numId w:val="5"/>
        </w:numPr>
        <w:contextualSpacing w:val="0"/>
        <w:rPr>
          <w:rFonts w:asciiTheme="minorHAnsi" w:hAnsiTheme="minorHAnsi" w:cstheme="minorHAnsi"/>
        </w:rPr>
      </w:pPr>
      <w:r>
        <w:rPr>
          <w:rFonts w:asciiTheme="minorHAnsi" w:hAnsiTheme="minorHAnsi" w:cstheme="minorHAnsi"/>
        </w:rPr>
        <w:t>Organisational services</w:t>
      </w:r>
    </w:p>
    <w:p w14:paraId="134C4137" w14:textId="77777777" w:rsidR="00F94186" w:rsidRPr="006D6414" w:rsidRDefault="00F94186" w:rsidP="00F94186">
      <w:pPr>
        <w:pStyle w:val="ListParagraph"/>
        <w:numPr>
          <w:ilvl w:val="0"/>
          <w:numId w:val="5"/>
        </w:numPr>
        <w:contextualSpacing w:val="0"/>
        <w:rPr>
          <w:rFonts w:asciiTheme="minorHAnsi" w:hAnsiTheme="minorHAnsi" w:cstheme="minorHAnsi"/>
        </w:rPr>
      </w:pPr>
      <w:r>
        <w:rPr>
          <w:rFonts w:asciiTheme="minorHAnsi" w:hAnsiTheme="minorHAnsi" w:cstheme="minorHAnsi"/>
        </w:rPr>
        <w:t>Human resources support</w:t>
      </w:r>
    </w:p>
    <w:p w14:paraId="6F6E8443" w14:textId="77777777" w:rsidR="00F94186" w:rsidRDefault="00F94186" w:rsidP="00F94186">
      <w:pPr>
        <w:pStyle w:val="ListParagraph"/>
        <w:numPr>
          <w:ilvl w:val="0"/>
          <w:numId w:val="5"/>
        </w:numPr>
        <w:contextualSpacing w:val="0"/>
        <w:rPr>
          <w:rFonts w:asciiTheme="minorHAnsi" w:hAnsiTheme="minorHAnsi" w:cstheme="minorHAnsi"/>
        </w:rPr>
      </w:pPr>
      <w:r w:rsidRPr="002578CD">
        <w:rPr>
          <w:rFonts w:asciiTheme="minorHAnsi" w:hAnsiTheme="minorHAnsi" w:cstheme="minorHAnsi"/>
        </w:rPr>
        <w:t>Office accommodation and utilities</w:t>
      </w:r>
    </w:p>
    <w:p w14:paraId="7DD501C3" w14:textId="77777777" w:rsidR="00F94186" w:rsidRDefault="00F94186" w:rsidP="00F94186">
      <w:pPr>
        <w:pStyle w:val="ListParagraph"/>
        <w:numPr>
          <w:ilvl w:val="0"/>
          <w:numId w:val="5"/>
        </w:numPr>
        <w:contextualSpacing w:val="0"/>
        <w:rPr>
          <w:rFonts w:asciiTheme="minorHAnsi" w:hAnsiTheme="minorHAnsi" w:cstheme="minorHAnsi"/>
        </w:rPr>
      </w:pPr>
      <w:r w:rsidRPr="002578CD">
        <w:rPr>
          <w:rFonts w:asciiTheme="minorHAnsi" w:hAnsiTheme="minorHAnsi" w:cstheme="minorHAnsi"/>
        </w:rPr>
        <w:t>Legal</w:t>
      </w:r>
      <w:r>
        <w:rPr>
          <w:rFonts w:asciiTheme="minorHAnsi" w:hAnsiTheme="minorHAnsi" w:cstheme="minorHAnsi"/>
        </w:rPr>
        <w:t xml:space="preserve"> advice </w:t>
      </w:r>
    </w:p>
    <w:p w14:paraId="6FB186C1" w14:textId="77777777" w:rsidR="00F94186" w:rsidRPr="006D6414" w:rsidRDefault="00F94186" w:rsidP="00F94186">
      <w:pPr>
        <w:pStyle w:val="ListParagraph"/>
        <w:numPr>
          <w:ilvl w:val="0"/>
          <w:numId w:val="5"/>
        </w:numPr>
        <w:contextualSpacing w:val="0"/>
        <w:rPr>
          <w:rFonts w:asciiTheme="minorHAnsi" w:hAnsiTheme="minorHAnsi" w:cstheme="minorHAnsi"/>
        </w:rPr>
      </w:pPr>
      <w:r>
        <w:rPr>
          <w:rFonts w:asciiTheme="minorHAnsi" w:hAnsiTheme="minorHAnsi" w:cstheme="minorHAnsi"/>
        </w:rPr>
        <w:t>Travel</w:t>
      </w:r>
    </w:p>
    <w:p w14:paraId="088B9021" w14:textId="77777777" w:rsidR="00F94186" w:rsidRPr="005E2EC1" w:rsidRDefault="00F94186" w:rsidP="00F94186">
      <w:pPr>
        <w:rPr>
          <w:rFonts w:asciiTheme="minorHAnsi" w:hAnsiTheme="minorHAnsi" w:cstheme="minorHAnsi"/>
        </w:rPr>
      </w:pPr>
    </w:p>
    <w:p w14:paraId="6D24F8C2" w14:textId="77777777" w:rsidR="00F94186" w:rsidRDefault="00F94186" w:rsidP="00F94186">
      <w:pPr>
        <w:rPr>
          <w:rFonts w:asciiTheme="minorHAnsi" w:hAnsiTheme="minorHAnsi" w:cstheme="minorHAnsi"/>
        </w:rPr>
      </w:pPr>
      <w:r w:rsidRPr="00BB7141">
        <w:rPr>
          <w:rFonts w:asciiTheme="minorHAnsi" w:hAnsiTheme="minorHAnsi" w:cstheme="minorHAnsi"/>
          <w:b/>
          <w:bCs/>
        </w:rPr>
        <w:t xml:space="preserve">Table </w:t>
      </w:r>
      <w:r>
        <w:rPr>
          <w:rFonts w:asciiTheme="minorHAnsi" w:hAnsiTheme="minorHAnsi" w:cstheme="minorHAnsi"/>
          <w:b/>
          <w:bCs/>
        </w:rPr>
        <w:t>8</w:t>
      </w:r>
      <w:r w:rsidRPr="00591FD1">
        <w:rPr>
          <w:rFonts w:asciiTheme="minorHAnsi" w:hAnsiTheme="minorHAnsi" w:cstheme="minorHAnsi"/>
        </w:rPr>
        <w:t>: Direct and indirect costs</w:t>
      </w:r>
      <w:r>
        <w:rPr>
          <w:rFonts w:asciiTheme="minorHAnsi" w:hAnsiTheme="minorHAnsi" w:cstheme="minorHAnsi"/>
        </w:rPr>
        <w:t xml:space="preserve"> estimated </w:t>
      </w:r>
      <w:r>
        <w:rPr>
          <w:rFonts w:ascii="Calibri" w:hAnsi="Calibri" w:cs="Calibri"/>
          <w:color w:val="000000"/>
        </w:rPr>
        <w:t>for 2022-23 to 2024-25</w:t>
      </w:r>
    </w:p>
    <w:tbl>
      <w:tblPr>
        <w:tblW w:w="9740" w:type="dxa"/>
        <w:tblLook w:val="04A0" w:firstRow="1" w:lastRow="0" w:firstColumn="1" w:lastColumn="0" w:noHBand="0" w:noVBand="1"/>
      </w:tblPr>
      <w:tblGrid>
        <w:gridCol w:w="5320"/>
        <w:gridCol w:w="1700"/>
        <w:gridCol w:w="1360"/>
        <w:gridCol w:w="1360"/>
      </w:tblGrid>
      <w:tr w:rsidR="00F94186" w:rsidRPr="00D27CAC" w14:paraId="2CD56DDE" w14:textId="77777777" w:rsidTr="00F94186">
        <w:trPr>
          <w:trHeight w:val="312"/>
        </w:trPr>
        <w:tc>
          <w:tcPr>
            <w:tcW w:w="5320" w:type="dxa"/>
            <w:tcBorders>
              <w:top w:val="single" w:sz="8" w:space="0" w:color="auto"/>
              <w:left w:val="nil"/>
              <w:bottom w:val="nil"/>
              <w:right w:val="nil"/>
            </w:tcBorders>
            <w:shd w:val="clear" w:color="000000" w:fill="4F81BD"/>
            <w:vAlign w:val="center"/>
            <w:hideMark/>
          </w:tcPr>
          <w:p w14:paraId="3BF555A6" w14:textId="77777777" w:rsidR="00F94186" w:rsidRPr="00D27CAC" w:rsidRDefault="00F94186" w:rsidP="00F94186">
            <w:pPr>
              <w:jc w:val="center"/>
              <w:rPr>
                <w:rFonts w:ascii="Calibri" w:hAnsi="Calibri" w:cs="Calibri"/>
                <w:b/>
                <w:bCs/>
                <w:color w:val="EEECE1"/>
                <w:lang w:eastAsia="en-AU"/>
              </w:rPr>
            </w:pPr>
            <w:r w:rsidRPr="00D27CAC">
              <w:rPr>
                <w:rFonts w:ascii="Calibri" w:hAnsi="Calibri" w:cs="Calibri"/>
                <w:b/>
                <w:bCs/>
                <w:color w:val="EEECE1"/>
                <w:lang w:eastAsia="en-AU"/>
              </w:rPr>
              <w:t> </w:t>
            </w:r>
          </w:p>
        </w:tc>
        <w:tc>
          <w:tcPr>
            <w:tcW w:w="4420" w:type="dxa"/>
            <w:gridSpan w:val="3"/>
            <w:tcBorders>
              <w:top w:val="single" w:sz="8" w:space="0" w:color="auto"/>
              <w:left w:val="nil"/>
              <w:bottom w:val="nil"/>
              <w:right w:val="nil"/>
            </w:tcBorders>
            <w:shd w:val="clear" w:color="000000" w:fill="4F81BD"/>
            <w:vAlign w:val="center"/>
            <w:hideMark/>
          </w:tcPr>
          <w:p w14:paraId="4DE38796" w14:textId="77777777" w:rsidR="00F94186" w:rsidRPr="00D27CAC" w:rsidRDefault="00F94186" w:rsidP="00F94186">
            <w:pPr>
              <w:jc w:val="center"/>
              <w:rPr>
                <w:rFonts w:ascii="Calibri" w:hAnsi="Calibri" w:cs="Calibri"/>
                <w:b/>
                <w:bCs/>
                <w:color w:val="FFFFFF"/>
                <w:lang w:eastAsia="en-AU"/>
              </w:rPr>
            </w:pPr>
            <w:r w:rsidRPr="00D27CAC">
              <w:rPr>
                <w:rFonts w:ascii="Calibri" w:hAnsi="Calibri" w:cs="Calibri"/>
                <w:b/>
                <w:bCs/>
                <w:color w:val="FFFFFF"/>
                <w:lang w:eastAsia="en-AU"/>
              </w:rPr>
              <w:t>Financial Year</w:t>
            </w:r>
          </w:p>
        </w:tc>
      </w:tr>
      <w:tr w:rsidR="00F94186" w:rsidRPr="00D27CAC" w14:paraId="4F32165C" w14:textId="77777777" w:rsidTr="00F94186">
        <w:trPr>
          <w:trHeight w:val="324"/>
        </w:trPr>
        <w:tc>
          <w:tcPr>
            <w:tcW w:w="5320" w:type="dxa"/>
            <w:tcBorders>
              <w:top w:val="nil"/>
              <w:left w:val="nil"/>
              <w:bottom w:val="single" w:sz="8" w:space="0" w:color="auto"/>
              <w:right w:val="nil"/>
            </w:tcBorders>
            <w:shd w:val="clear" w:color="000000" w:fill="4F81BD"/>
            <w:vAlign w:val="center"/>
            <w:hideMark/>
          </w:tcPr>
          <w:p w14:paraId="12E4B877" w14:textId="77777777" w:rsidR="00F94186" w:rsidRPr="00D27CAC" w:rsidRDefault="00F94186" w:rsidP="00F94186">
            <w:pPr>
              <w:jc w:val="center"/>
              <w:rPr>
                <w:rFonts w:ascii="Calibri" w:hAnsi="Calibri" w:cs="Calibri"/>
                <w:b/>
                <w:bCs/>
                <w:color w:val="FFFFFF"/>
                <w:lang w:eastAsia="en-AU"/>
              </w:rPr>
            </w:pPr>
            <w:r w:rsidRPr="00D27CAC">
              <w:rPr>
                <w:rFonts w:ascii="Calibri" w:hAnsi="Calibri" w:cs="Calibri"/>
                <w:b/>
                <w:bCs/>
                <w:color w:val="FFFFFF"/>
                <w:lang w:eastAsia="en-AU"/>
              </w:rPr>
              <w:t> </w:t>
            </w:r>
          </w:p>
        </w:tc>
        <w:tc>
          <w:tcPr>
            <w:tcW w:w="1700" w:type="dxa"/>
            <w:tcBorders>
              <w:top w:val="nil"/>
              <w:left w:val="nil"/>
              <w:bottom w:val="single" w:sz="8" w:space="0" w:color="auto"/>
              <w:right w:val="nil"/>
            </w:tcBorders>
            <w:shd w:val="clear" w:color="000000" w:fill="4F81BD"/>
            <w:vAlign w:val="center"/>
            <w:hideMark/>
          </w:tcPr>
          <w:p w14:paraId="6B856666" w14:textId="77777777" w:rsidR="00F94186" w:rsidRPr="00D27CAC" w:rsidRDefault="00F94186" w:rsidP="00F94186">
            <w:pPr>
              <w:jc w:val="center"/>
              <w:rPr>
                <w:rFonts w:ascii="Calibri" w:hAnsi="Calibri" w:cs="Calibri"/>
                <w:b/>
                <w:bCs/>
                <w:color w:val="FFFFFF"/>
                <w:lang w:eastAsia="en-AU"/>
              </w:rPr>
            </w:pPr>
            <w:r w:rsidRPr="00D27CAC">
              <w:rPr>
                <w:rFonts w:ascii="Calibri" w:hAnsi="Calibri" w:cs="Calibri"/>
                <w:b/>
                <w:bCs/>
                <w:color w:val="FFFFFF"/>
                <w:lang w:eastAsia="en-AU"/>
              </w:rPr>
              <w:t>2022-23</w:t>
            </w:r>
          </w:p>
        </w:tc>
        <w:tc>
          <w:tcPr>
            <w:tcW w:w="1360" w:type="dxa"/>
            <w:tcBorders>
              <w:top w:val="nil"/>
              <w:left w:val="nil"/>
              <w:bottom w:val="single" w:sz="8" w:space="0" w:color="auto"/>
              <w:right w:val="nil"/>
            </w:tcBorders>
            <w:shd w:val="clear" w:color="000000" w:fill="4F81BD"/>
            <w:vAlign w:val="center"/>
            <w:hideMark/>
          </w:tcPr>
          <w:p w14:paraId="77B64798" w14:textId="77777777" w:rsidR="00F94186" w:rsidRPr="00D27CAC" w:rsidRDefault="00F94186" w:rsidP="00F94186">
            <w:pPr>
              <w:jc w:val="center"/>
              <w:rPr>
                <w:rFonts w:ascii="Calibri" w:hAnsi="Calibri" w:cs="Calibri"/>
                <w:b/>
                <w:bCs/>
                <w:color w:val="FFFFFF"/>
                <w:lang w:eastAsia="en-AU"/>
              </w:rPr>
            </w:pPr>
            <w:r w:rsidRPr="00D27CAC">
              <w:rPr>
                <w:rFonts w:ascii="Calibri" w:hAnsi="Calibri" w:cs="Calibri"/>
                <w:b/>
                <w:bCs/>
                <w:color w:val="FFFFFF"/>
                <w:lang w:eastAsia="en-AU"/>
              </w:rPr>
              <w:t>2023-24</w:t>
            </w:r>
          </w:p>
        </w:tc>
        <w:tc>
          <w:tcPr>
            <w:tcW w:w="1360" w:type="dxa"/>
            <w:tcBorders>
              <w:top w:val="nil"/>
              <w:left w:val="nil"/>
              <w:bottom w:val="single" w:sz="8" w:space="0" w:color="auto"/>
              <w:right w:val="nil"/>
            </w:tcBorders>
            <w:shd w:val="clear" w:color="000000" w:fill="4F81BD"/>
            <w:vAlign w:val="center"/>
            <w:hideMark/>
          </w:tcPr>
          <w:p w14:paraId="26E58BD4" w14:textId="77777777" w:rsidR="00F94186" w:rsidRPr="00D27CAC" w:rsidRDefault="00F94186" w:rsidP="00F94186">
            <w:pPr>
              <w:jc w:val="center"/>
              <w:rPr>
                <w:rFonts w:ascii="Calibri" w:hAnsi="Calibri" w:cs="Calibri"/>
                <w:b/>
                <w:bCs/>
                <w:color w:val="FFFFFF"/>
                <w:lang w:eastAsia="en-AU"/>
              </w:rPr>
            </w:pPr>
            <w:r w:rsidRPr="00D27CAC">
              <w:rPr>
                <w:rFonts w:ascii="Calibri" w:hAnsi="Calibri" w:cs="Calibri"/>
                <w:b/>
                <w:bCs/>
                <w:color w:val="FFFFFF"/>
                <w:lang w:eastAsia="en-AU"/>
              </w:rPr>
              <w:t>2024-25</w:t>
            </w:r>
          </w:p>
        </w:tc>
      </w:tr>
      <w:tr w:rsidR="00F94186" w:rsidRPr="00D27CAC" w14:paraId="1A964A1C" w14:textId="77777777" w:rsidTr="00F94186">
        <w:trPr>
          <w:trHeight w:val="300"/>
        </w:trPr>
        <w:tc>
          <w:tcPr>
            <w:tcW w:w="5320" w:type="dxa"/>
            <w:tcBorders>
              <w:top w:val="nil"/>
              <w:left w:val="single" w:sz="8" w:space="0" w:color="95B3D7"/>
              <w:bottom w:val="single" w:sz="8" w:space="0" w:color="95B3D7"/>
              <w:right w:val="single" w:sz="8" w:space="0" w:color="95B3D7"/>
            </w:tcBorders>
            <w:shd w:val="clear" w:color="auto" w:fill="auto"/>
            <w:vAlign w:val="center"/>
            <w:hideMark/>
          </w:tcPr>
          <w:p w14:paraId="4F90B92A" w14:textId="77777777" w:rsidR="00F94186" w:rsidRPr="00D27CAC" w:rsidRDefault="00F94186" w:rsidP="00F94186">
            <w:pPr>
              <w:rPr>
                <w:rFonts w:ascii="Calibri" w:hAnsi="Calibri" w:cs="Calibri"/>
                <w:b/>
                <w:bCs/>
                <w:color w:val="17365D"/>
                <w:sz w:val="20"/>
                <w:szCs w:val="20"/>
                <w:lang w:eastAsia="en-AU"/>
              </w:rPr>
            </w:pPr>
            <w:r w:rsidRPr="00D27CAC">
              <w:rPr>
                <w:rFonts w:ascii="Calibri" w:hAnsi="Calibri" w:cs="Calibri"/>
                <w:b/>
                <w:bCs/>
                <w:color w:val="17365D"/>
                <w:sz w:val="20"/>
                <w:szCs w:val="20"/>
                <w:lang w:eastAsia="en-AU"/>
              </w:rPr>
              <w:t>Staff Costs including Staff Benefits (Direct)</w:t>
            </w:r>
          </w:p>
        </w:tc>
        <w:tc>
          <w:tcPr>
            <w:tcW w:w="1700" w:type="dxa"/>
            <w:tcBorders>
              <w:top w:val="nil"/>
              <w:left w:val="nil"/>
              <w:bottom w:val="single" w:sz="8" w:space="0" w:color="95B3D7"/>
              <w:right w:val="single" w:sz="8" w:space="0" w:color="95B3D7"/>
            </w:tcBorders>
            <w:shd w:val="clear" w:color="auto" w:fill="auto"/>
            <w:vAlign w:val="center"/>
            <w:hideMark/>
          </w:tcPr>
          <w:p w14:paraId="7E1C4FC1" w14:textId="77777777" w:rsidR="00F94186" w:rsidRPr="00D27CAC" w:rsidRDefault="00F94186" w:rsidP="00F94186">
            <w:pPr>
              <w:jc w:val="center"/>
              <w:rPr>
                <w:color w:val="000000"/>
                <w:sz w:val="18"/>
                <w:szCs w:val="18"/>
                <w:lang w:eastAsia="en-AU"/>
              </w:rPr>
            </w:pPr>
            <w:r w:rsidRPr="00D27CAC">
              <w:rPr>
                <w:color w:val="000000"/>
                <w:sz w:val="18"/>
                <w:szCs w:val="18"/>
                <w:lang w:eastAsia="en-AU"/>
              </w:rPr>
              <w:t> </w:t>
            </w:r>
          </w:p>
        </w:tc>
        <w:tc>
          <w:tcPr>
            <w:tcW w:w="1360" w:type="dxa"/>
            <w:tcBorders>
              <w:top w:val="nil"/>
              <w:left w:val="nil"/>
              <w:bottom w:val="single" w:sz="8" w:space="0" w:color="95B3D7"/>
              <w:right w:val="single" w:sz="8" w:space="0" w:color="95B3D7"/>
            </w:tcBorders>
            <w:shd w:val="clear" w:color="auto" w:fill="auto"/>
            <w:vAlign w:val="center"/>
            <w:hideMark/>
          </w:tcPr>
          <w:p w14:paraId="1F2C949A" w14:textId="77777777" w:rsidR="00F94186" w:rsidRPr="00D27CAC" w:rsidRDefault="00F94186" w:rsidP="00F94186">
            <w:pPr>
              <w:jc w:val="center"/>
              <w:rPr>
                <w:color w:val="000000"/>
                <w:sz w:val="18"/>
                <w:szCs w:val="18"/>
                <w:lang w:eastAsia="en-AU"/>
              </w:rPr>
            </w:pPr>
            <w:r w:rsidRPr="00D27CAC">
              <w:rPr>
                <w:color w:val="000000"/>
                <w:sz w:val="18"/>
                <w:szCs w:val="18"/>
                <w:lang w:eastAsia="en-AU"/>
              </w:rPr>
              <w:t> </w:t>
            </w:r>
          </w:p>
        </w:tc>
        <w:tc>
          <w:tcPr>
            <w:tcW w:w="1360" w:type="dxa"/>
            <w:tcBorders>
              <w:top w:val="nil"/>
              <w:left w:val="nil"/>
              <w:bottom w:val="single" w:sz="8" w:space="0" w:color="95B3D7"/>
              <w:right w:val="single" w:sz="8" w:space="0" w:color="95B3D7"/>
            </w:tcBorders>
            <w:shd w:val="clear" w:color="auto" w:fill="auto"/>
            <w:vAlign w:val="center"/>
            <w:hideMark/>
          </w:tcPr>
          <w:p w14:paraId="0C4DAA98" w14:textId="77777777" w:rsidR="00F94186" w:rsidRPr="00D27CAC" w:rsidRDefault="00F94186" w:rsidP="00F94186">
            <w:pPr>
              <w:jc w:val="center"/>
              <w:rPr>
                <w:color w:val="000000"/>
                <w:sz w:val="18"/>
                <w:szCs w:val="18"/>
                <w:lang w:eastAsia="en-AU"/>
              </w:rPr>
            </w:pPr>
            <w:r w:rsidRPr="00D27CAC">
              <w:rPr>
                <w:color w:val="000000"/>
                <w:sz w:val="18"/>
                <w:szCs w:val="18"/>
                <w:lang w:eastAsia="en-AU"/>
              </w:rPr>
              <w:t> </w:t>
            </w:r>
          </w:p>
        </w:tc>
      </w:tr>
      <w:tr w:rsidR="00F94186" w:rsidRPr="00D27CAC" w14:paraId="618485EA" w14:textId="77777777" w:rsidTr="00F94186">
        <w:trPr>
          <w:trHeight w:val="300"/>
        </w:trPr>
        <w:tc>
          <w:tcPr>
            <w:tcW w:w="5320" w:type="dxa"/>
            <w:tcBorders>
              <w:top w:val="nil"/>
              <w:left w:val="single" w:sz="8" w:space="0" w:color="95B3D7"/>
              <w:bottom w:val="single" w:sz="8" w:space="0" w:color="95B3D7"/>
              <w:right w:val="single" w:sz="8" w:space="0" w:color="95B3D7"/>
            </w:tcBorders>
            <w:shd w:val="clear" w:color="000000" w:fill="DBE5F1"/>
            <w:vAlign w:val="center"/>
            <w:hideMark/>
          </w:tcPr>
          <w:p w14:paraId="12A5D331" w14:textId="77777777" w:rsidR="00F94186" w:rsidRPr="00D27CAC" w:rsidRDefault="00F94186" w:rsidP="00F94186">
            <w:pPr>
              <w:rPr>
                <w:rFonts w:ascii="Calibri" w:hAnsi="Calibri" w:cs="Calibri"/>
                <w:color w:val="17365D"/>
                <w:sz w:val="20"/>
                <w:szCs w:val="20"/>
                <w:lang w:eastAsia="en-AU"/>
              </w:rPr>
            </w:pPr>
            <w:r w:rsidRPr="00D27CAC">
              <w:rPr>
                <w:rFonts w:ascii="Calibri" w:hAnsi="Calibri" w:cs="Calibri"/>
                <w:color w:val="17365D"/>
                <w:sz w:val="20"/>
                <w:szCs w:val="20"/>
                <w:lang w:eastAsia="en-AU"/>
              </w:rPr>
              <w:t>EL2 Team Manager (1.0 FTE)</w:t>
            </w:r>
          </w:p>
        </w:tc>
        <w:tc>
          <w:tcPr>
            <w:tcW w:w="1700" w:type="dxa"/>
            <w:tcBorders>
              <w:top w:val="nil"/>
              <w:left w:val="nil"/>
              <w:bottom w:val="single" w:sz="8" w:space="0" w:color="95B3D7"/>
              <w:right w:val="single" w:sz="8" w:space="0" w:color="95B3D7"/>
            </w:tcBorders>
            <w:shd w:val="clear" w:color="000000" w:fill="DBE5F1"/>
            <w:vAlign w:val="center"/>
            <w:hideMark/>
          </w:tcPr>
          <w:p w14:paraId="7EA3A90F"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$151,639</w:t>
            </w:r>
          </w:p>
        </w:tc>
        <w:tc>
          <w:tcPr>
            <w:tcW w:w="1360" w:type="dxa"/>
            <w:tcBorders>
              <w:top w:val="nil"/>
              <w:left w:val="nil"/>
              <w:bottom w:val="single" w:sz="8" w:space="0" w:color="95B3D7"/>
              <w:right w:val="single" w:sz="8" w:space="0" w:color="95B3D7"/>
            </w:tcBorders>
            <w:shd w:val="clear" w:color="000000" w:fill="DBE5F1"/>
            <w:vAlign w:val="center"/>
            <w:hideMark/>
          </w:tcPr>
          <w:p w14:paraId="67998F5F"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$152,529</w:t>
            </w:r>
          </w:p>
        </w:tc>
        <w:tc>
          <w:tcPr>
            <w:tcW w:w="1360" w:type="dxa"/>
            <w:tcBorders>
              <w:top w:val="nil"/>
              <w:left w:val="nil"/>
              <w:bottom w:val="single" w:sz="8" w:space="0" w:color="95B3D7"/>
              <w:right w:val="single" w:sz="8" w:space="0" w:color="95B3D7"/>
            </w:tcBorders>
            <w:shd w:val="clear" w:color="000000" w:fill="DBE5F1"/>
            <w:vAlign w:val="center"/>
            <w:hideMark/>
          </w:tcPr>
          <w:p w14:paraId="091E1126"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$153,720</w:t>
            </w:r>
          </w:p>
        </w:tc>
      </w:tr>
      <w:tr w:rsidR="00F94186" w:rsidRPr="00D27CAC" w14:paraId="0B8B221A" w14:textId="77777777" w:rsidTr="00F94186">
        <w:trPr>
          <w:trHeight w:val="300"/>
        </w:trPr>
        <w:tc>
          <w:tcPr>
            <w:tcW w:w="5320" w:type="dxa"/>
            <w:tcBorders>
              <w:top w:val="nil"/>
              <w:left w:val="single" w:sz="8" w:space="0" w:color="95B3D7"/>
              <w:bottom w:val="single" w:sz="8" w:space="0" w:color="95B3D7"/>
              <w:right w:val="single" w:sz="8" w:space="0" w:color="95B3D7"/>
            </w:tcBorders>
            <w:shd w:val="clear" w:color="auto" w:fill="auto"/>
            <w:vAlign w:val="center"/>
            <w:hideMark/>
          </w:tcPr>
          <w:p w14:paraId="34125B2B" w14:textId="77777777" w:rsidR="00F94186" w:rsidRPr="00D27CAC" w:rsidRDefault="00F94186" w:rsidP="00F94186">
            <w:pPr>
              <w:rPr>
                <w:rFonts w:ascii="Calibri" w:hAnsi="Calibri" w:cs="Calibri"/>
                <w:color w:val="17365D"/>
                <w:sz w:val="20"/>
                <w:szCs w:val="20"/>
                <w:lang w:eastAsia="en-AU"/>
              </w:rPr>
            </w:pPr>
            <w:r w:rsidRPr="00D27CAC">
              <w:rPr>
                <w:rFonts w:ascii="Calibri" w:hAnsi="Calibri" w:cs="Calibri"/>
                <w:color w:val="17365D"/>
                <w:sz w:val="20"/>
                <w:szCs w:val="20"/>
                <w:lang w:eastAsia="en-AU"/>
              </w:rPr>
              <w:t>EL1 Assistant Manager (4.0 FTE)</w:t>
            </w:r>
          </w:p>
        </w:tc>
        <w:tc>
          <w:tcPr>
            <w:tcW w:w="1700" w:type="dxa"/>
            <w:tcBorders>
              <w:top w:val="nil"/>
              <w:left w:val="nil"/>
              <w:bottom w:val="single" w:sz="8" w:space="0" w:color="95B3D7"/>
              <w:right w:val="single" w:sz="8" w:space="0" w:color="95B3D7"/>
            </w:tcBorders>
            <w:shd w:val="clear" w:color="auto" w:fill="auto"/>
            <w:vAlign w:val="center"/>
            <w:hideMark/>
          </w:tcPr>
          <w:p w14:paraId="3F404F72"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$604,280</w:t>
            </w:r>
          </w:p>
        </w:tc>
        <w:tc>
          <w:tcPr>
            <w:tcW w:w="1360" w:type="dxa"/>
            <w:tcBorders>
              <w:top w:val="nil"/>
              <w:left w:val="nil"/>
              <w:bottom w:val="single" w:sz="8" w:space="0" w:color="95B3D7"/>
              <w:right w:val="single" w:sz="8" w:space="0" w:color="95B3D7"/>
            </w:tcBorders>
            <w:shd w:val="clear" w:color="auto" w:fill="auto"/>
            <w:vAlign w:val="center"/>
            <w:hideMark/>
          </w:tcPr>
          <w:p w14:paraId="2134A58D"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$607,825</w:t>
            </w:r>
          </w:p>
        </w:tc>
        <w:tc>
          <w:tcPr>
            <w:tcW w:w="1360" w:type="dxa"/>
            <w:tcBorders>
              <w:top w:val="nil"/>
              <w:left w:val="nil"/>
              <w:bottom w:val="single" w:sz="8" w:space="0" w:color="95B3D7"/>
              <w:right w:val="single" w:sz="8" w:space="0" w:color="95B3D7"/>
            </w:tcBorders>
            <w:shd w:val="clear" w:color="auto" w:fill="auto"/>
            <w:vAlign w:val="center"/>
            <w:hideMark/>
          </w:tcPr>
          <w:p w14:paraId="7BBFE397"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$612,571</w:t>
            </w:r>
          </w:p>
        </w:tc>
      </w:tr>
      <w:tr w:rsidR="00F94186" w:rsidRPr="00D27CAC" w14:paraId="48261BE0" w14:textId="77777777" w:rsidTr="00F94186">
        <w:trPr>
          <w:trHeight w:val="300"/>
        </w:trPr>
        <w:tc>
          <w:tcPr>
            <w:tcW w:w="5320" w:type="dxa"/>
            <w:tcBorders>
              <w:top w:val="nil"/>
              <w:left w:val="single" w:sz="8" w:space="0" w:color="95B3D7"/>
              <w:bottom w:val="single" w:sz="8" w:space="0" w:color="95B3D7"/>
              <w:right w:val="single" w:sz="8" w:space="0" w:color="95B3D7"/>
            </w:tcBorders>
            <w:shd w:val="clear" w:color="000000" w:fill="DBE5F1"/>
            <w:vAlign w:val="center"/>
            <w:hideMark/>
          </w:tcPr>
          <w:p w14:paraId="73A7F7DD" w14:textId="77777777" w:rsidR="00F94186" w:rsidRPr="00D27CAC" w:rsidRDefault="00F94186" w:rsidP="00F94186">
            <w:pPr>
              <w:rPr>
                <w:rFonts w:ascii="Calibri" w:hAnsi="Calibri" w:cs="Calibri"/>
                <w:color w:val="17365D"/>
                <w:sz w:val="20"/>
                <w:szCs w:val="20"/>
                <w:lang w:eastAsia="en-AU"/>
              </w:rPr>
            </w:pPr>
            <w:r w:rsidRPr="00D27CAC">
              <w:rPr>
                <w:rFonts w:ascii="Calibri" w:hAnsi="Calibri" w:cs="Calibri"/>
                <w:color w:val="17365D"/>
                <w:sz w:val="20"/>
                <w:szCs w:val="20"/>
                <w:lang w:eastAsia="en-AU"/>
              </w:rPr>
              <w:t>APS6 Senior Policy Officer (5.0 FTE)</w:t>
            </w:r>
          </w:p>
        </w:tc>
        <w:tc>
          <w:tcPr>
            <w:tcW w:w="1700" w:type="dxa"/>
            <w:tcBorders>
              <w:top w:val="nil"/>
              <w:left w:val="nil"/>
              <w:bottom w:val="single" w:sz="8" w:space="0" w:color="95B3D7"/>
              <w:right w:val="single" w:sz="8" w:space="0" w:color="95B3D7"/>
            </w:tcBorders>
            <w:shd w:val="clear" w:color="000000" w:fill="DBE5F1"/>
            <w:vAlign w:val="center"/>
            <w:hideMark/>
          </w:tcPr>
          <w:p w14:paraId="0DDCD0E0"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$481,223</w:t>
            </w:r>
          </w:p>
        </w:tc>
        <w:tc>
          <w:tcPr>
            <w:tcW w:w="1360" w:type="dxa"/>
            <w:tcBorders>
              <w:top w:val="nil"/>
              <w:left w:val="nil"/>
              <w:bottom w:val="single" w:sz="8" w:space="0" w:color="95B3D7"/>
              <w:right w:val="single" w:sz="8" w:space="0" w:color="95B3D7"/>
            </w:tcBorders>
            <w:shd w:val="clear" w:color="000000" w:fill="DBE5F1"/>
            <w:vAlign w:val="center"/>
            <w:hideMark/>
          </w:tcPr>
          <w:p w14:paraId="6B45D0F4"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$484,046</w:t>
            </w:r>
          </w:p>
        </w:tc>
        <w:tc>
          <w:tcPr>
            <w:tcW w:w="1360" w:type="dxa"/>
            <w:tcBorders>
              <w:top w:val="nil"/>
              <w:left w:val="nil"/>
              <w:bottom w:val="single" w:sz="8" w:space="0" w:color="95B3D7"/>
              <w:right w:val="single" w:sz="8" w:space="0" w:color="95B3D7"/>
            </w:tcBorders>
            <w:shd w:val="clear" w:color="000000" w:fill="DBE5F1"/>
            <w:vAlign w:val="center"/>
            <w:hideMark/>
          </w:tcPr>
          <w:p w14:paraId="706E0797"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$487,826</w:t>
            </w:r>
          </w:p>
        </w:tc>
      </w:tr>
      <w:tr w:rsidR="00F94186" w:rsidRPr="00D27CAC" w14:paraId="3F24FA40" w14:textId="77777777" w:rsidTr="00F94186">
        <w:trPr>
          <w:trHeight w:val="300"/>
        </w:trPr>
        <w:tc>
          <w:tcPr>
            <w:tcW w:w="5320" w:type="dxa"/>
            <w:tcBorders>
              <w:top w:val="nil"/>
              <w:left w:val="single" w:sz="8" w:space="0" w:color="95B3D7"/>
              <w:bottom w:val="single" w:sz="8" w:space="0" w:color="95B3D7"/>
              <w:right w:val="single" w:sz="8" w:space="0" w:color="95B3D7"/>
            </w:tcBorders>
            <w:shd w:val="clear" w:color="auto" w:fill="auto"/>
            <w:vAlign w:val="center"/>
            <w:hideMark/>
          </w:tcPr>
          <w:p w14:paraId="79082921" w14:textId="77777777" w:rsidR="00F94186" w:rsidRPr="00D27CAC" w:rsidRDefault="00F94186" w:rsidP="00F94186">
            <w:pPr>
              <w:rPr>
                <w:rFonts w:ascii="Calibri" w:hAnsi="Calibri" w:cs="Calibri"/>
                <w:color w:val="17365D"/>
                <w:sz w:val="20"/>
                <w:szCs w:val="20"/>
                <w:lang w:eastAsia="en-AU"/>
              </w:rPr>
            </w:pPr>
            <w:r w:rsidRPr="00D27CAC">
              <w:rPr>
                <w:rFonts w:ascii="Calibri" w:hAnsi="Calibri" w:cs="Calibri"/>
                <w:color w:val="17365D"/>
                <w:sz w:val="20"/>
                <w:szCs w:val="20"/>
                <w:lang w:eastAsia="en-AU"/>
              </w:rPr>
              <w:t>SES Band 1 (0.2 FTE)</w:t>
            </w:r>
          </w:p>
        </w:tc>
        <w:tc>
          <w:tcPr>
            <w:tcW w:w="1700" w:type="dxa"/>
            <w:tcBorders>
              <w:top w:val="nil"/>
              <w:left w:val="nil"/>
              <w:bottom w:val="single" w:sz="8" w:space="0" w:color="95B3D7"/>
              <w:right w:val="single" w:sz="8" w:space="0" w:color="95B3D7"/>
            </w:tcBorders>
            <w:shd w:val="clear" w:color="auto" w:fill="auto"/>
            <w:vAlign w:val="center"/>
            <w:hideMark/>
          </w:tcPr>
          <w:p w14:paraId="491EBF23"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$45,055</w:t>
            </w:r>
          </w:p>
        </w:tc>
        <w:tc>
          <w:tcPr>
            <w:tcW w:w="1360" w:type="dxa"/>
            <w:tcBorders>
              <w:top w:val="nil"/>
              <w:left w:val="nil"/>
              <w:bottom w:val="single" w:sz="8" w:space="0" w:color="95B3D7"/>
              <w:right w:val="single" w:sz="8" w:space="0" w:color="95B3D7"/>
            </w:tcBorders>
            <w:shd w:val="clear" w:color="auto" w:fill="auto"/>
            <w:vAlign w:val="center"/>
            <w:hideMark/>
          </w:tcPr>
          <w:p w14:paraId="3B978E23"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$45,319</w:t>
            </w:r>
          </w:p>
        </w:tc>
        <w:tc>
          <w:tcPr>
            <w:tcW w:w="1360" w:type="dxa"/>
            <w:tcBorders>
              <w:top w:val="nil"/>
              <w:left w:val="nil"/>
              <w:bottom w:val="single" w:sz="8" w:space="0" w:color="95B3D7"/>
              <w:right w:val="single" w:sz="8" w:space="0" w:color="95B3D7"/>
            </w:tcBorders>
            <w:shd w:val="clear" w:color="auto" w:fill="auto"/>
            <w:vAlign w:val="center"/>
            <w:hideMark/>
          </w:tcPr>
          <w:p w14:paraId="4034A82F"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$45,673</w:t>
            </w:r>
          </w:p>
        </w:tc>
      </w:tr>
      <w:tr w:rsidR="00F94186" w:rsidRPr="00D27CAC" w14:paraId="38ADA70F" w14:textId="77777777" w:rsidTr="00F94186">
        <w:trPr>
          <w:trHeight w:val="300"/>
        </w:trPr>
        <w:tc>
          <w:tcPr>
            <w:tcW w:w="5320" w:type="dxa"/>
            <w:tcBorders>
              <w:top w:val="nil"/>
              <w:left w:val="single" w:sz="8" w:space="0" w:color="95B3D7"/>
              <w:bottom w:val="single" w:sz="8" w:space="0" w:color="95B3D7"/>
              <w:right w:val="single" w:sz="8" w:space="0" w:color="95B3D7"/>
            </w:tcBorders>
            <w:shd w:val="clear" w:color="000000" w:fill="DBE5F1"/>
            <w:vAlign w:val="center"/>
            <w:hideMark/>
          </w:tcPr>
          <w:p w14:paraId="08A147AA" w14:textId="77777777" w:rsidR="00F94186" w:rsidRPr="00D27CAC" w:rsidRDefault="00F94186" w:rsidP="00F94186">
            <w:pPr>
              <w:rPr>
                <w:rFonts w:ascii="Calibri" w:hAnsi="Calibri" w:cs="Calibri"/>
                <w:color w:val="17365D"/>
                <w:sz w:val="20"/>
                <w:szCs w:val="20"/>
                <w:lang w:eastAsia="en-AU"/>
              </w:rPr>
            </w:pPr>
            <w:r w:rsidRPr="00D27CAC">
              <w:rPr>
                <w:rFonts w:ascii="Calibri" w:hAnsi="Calibri" w:cs="Calibri"/>
                <w:color w:val="17365D"/>
                <w:sz w:val="20"/>
                <w:szCs w:val="20"/>
                <w:lang w:eastAsia="en-AU"/>
              </w:rPr>
              <w:t>Sub-total (Direct Costs)</w:t>
            </w:r>
          </w:p>
        </w:tc>
        <w:tc>
          <w:tcPr>
            <w:tcW w:w="1700" w:type="dxa"/>
            <w:tcBorders>
              <w:top w:val="nil"/>
              <w:left w:val="nil"/>
              <w:bottom w:val="single" w:sz="8" w:space="0" w:color="95B3D7"/>
              <w:right w:val="single" w:sz="8" w:space="0" w:color="95B3D7"/>
            </w:tcBorders>
            <w:shd w:val="clear" w:color="000000" w:fill="DBE5F1"/>
            <w:vAlign w:val="center"/>
            <w:hideMark/>
          </w:tcPr>
          <w:p w14:paraId="2E46F324" w14:textId="77777777" w:rsidR="00F94186" w:rsidRPr="00D27CAC" w:rsidRDefault="00F94186" w:rsidP="00F94186">
            <w:pPr>
              <w:jc w:val="center"/>
              <w:rPr>
                <w:rFonts w:ascii="Calibri" w:hAnsi="Calibri" w:cs="Calibri"/>
                <w:b/>
                <w:bCs/>
                <w:color w:val="17365D"/>
                <w:sz w:val="20"/>
                <w:szCs w:val="20"/>
                <w:lang w:eastAsia="en-AU"/>
              </w:rPr>
            </w:pPr>
            <w:r w:rsidRPr="00D27CAC">
              <w:rPr>
                <w:rFonts w:ascii="Calibri" w:hAnsi="Calibri" w:cs="Calibri"/>
                <w:b/>
                <w:bCs/>
                <w:color w:val="17365D"/>
                <w:sz w:val="20"/>
                <w:szCs w:val="20"/>
                <w:lang w:eastAsia="en-AU"/>
              </w:rPr>
              <w:t>$1,555,516</w:t>
            </w:r>
          </w:p>
        </w:tc>
        <w:tc>
          <w:tcPr>
            <w:tcW w:w="1360" w:type="dxa"/>
            <w:tcBorders>
              <w:top w:val="nil"/>
              <w:left w:val="nil"/>
              <w:bottom w:val="single" w:sz="8" w:space="0" w:color="95B3D7"/>
              <w:right w:val="single" w:sz="8" w:space="0" w:color="95B3D7"/>
            </w:tcBorders>
            <w:shd w:val="clear" w:color="000000" w:fill="DBE5F1"/>
            <w:vAlign w:val="center"/>
            <w:hideMark/>
          </w:tcPr>
          <w:p w14:paraId="72EA7043" w14:textId="77777777" w:rsidR="00F94186" w:rsidRPr="00D27CAC" w:rsidRDefault="00F94186" w:rsidP="00F94186">
            <w:pPr>
              <w:jc w:val="center"/>
              <w:rPr>
                <w:rFonts w:ascii="Calibri" w:hAnsi="Calibri" w:cs="Calibri"/>
                <w:b/>
                <w:bCs/>
                <w:color w:val="17365D"/>
                <w:sz w:val="20"/>
                <w:szCs w:val="20"/>
                <w:lang w:eastAsia="en-AU"/>
              </w:rPr>
            </w:pPr>
            <w:r w:rsidRPr="00D27CAC">
              <w:rPr>
                <w:rFonts w:ascii="Calibri" w:hAnsi="Calibri" w:cs="Calibri"/>
                <w:b/>
                <w:bCs/>
                <w:color w:val="17365D"/>
                <w:sz w:val="20"/>
                <w:szCs w:val="20"/>
                <w:lang w:eastAsia="en-AU"/>
              </w:rPr>
              <w:t>$1,563,037</w:t>
            </w:r>
          </w:p>
        </w:tc>
        <w:tc>
          <w:tcPr>
            <w:tcW w:w="1360" w:type="dxa"/>
            <w:tcBorders>
              <w:top w:val="nil"/>
              <w:left w:val="nil"/>
              <w:bottom w:val="single" w:sz="8" w:space="0" w:color="95B3D7"/>
              <w:right w:val="single" w:sz="8" w:space="0" w:color="95B3D7"/>
            </w:tcBorders>
            <w:shd w:val="clear" w:color="000000" w:fill="DBE5F1"/>
            <w:vAlign w:val="center"/>
            <w:hideMark/>
          </w:tcPr>
          <w:p w14:paraId="26E19F6C" w14:textId="77777777" w:rsidR="00F94186" w:rsidRPr="00D27CAC" w:rsidRDefault="00F94186" w:rsidP="00F94186">
            <w:pPr>
              <w:jc w:val="center"/>
              <w:rPr>
                <w:rFonts w:ascii="Calibri" w:hAnsi="Calibri" w:cs="Calibri"/>
                <w:b/>
                <w:bCs/>
                <w:color w:val="17365D"/>
                <w:sz w:val="20"/>
                <w:szCs w:val="20"/>
                <w:lang w:eastAsia="en-AU"/>
              </w:rPr>
            </w:pPr>
            <w:r w:rsidRPr="00D27CAC">
              <w:rPr>
                <w:rFonts w:ascii="Calibri" w:hAnsi="Calibri" w:cs="Calibri"/>
                <w:b/>
                <w:bCs/>
                <w:color w:val="17365D"/>
                <w:sz w:val="20"/>
                <w:szCs w:val="20"/>
                <w:lang w:eastAsia="en-AU"/>
              </w:rPr>
              <w:t>$1,573,108</w:t>
            </w:r>
          </w:p>
        </w:tc>
      </w:tr>
      <w:tr w:rsidR="00F94186" w:rsidRPr="00D27CAC" w14:paraId="38FE04A6" w14:textId="77777777" w:rsidTr="00F94186">
        <w:trPr>
          <w:trHeight w:val="300"/>
        </w:trPr>
        <w:tc>
          <w:tcPr>
            <w:tcW w:w="5320" w:type="dxa"/>
            <w:tcBorders>
              <w:top w:val="nil"/>
              <w:left w:val="single" w:sz="8" w:space="0" w:color="95B3D7"/>
              <w:bottom w:val="single" w:sz="8" w:space="0" w:color="95B3D7"/>
              <w:right w:val="single" w:sz="8" w:space="0" w:color="95B3D7"/>
            </w:tcBorders>
            <w:shd w:val="clear" w:color="auto" w:fill="auto"/>
            <w:vAlign w:val="center"/>
            <w:hideMark/>
          </w:tcPr>
          <w:p w14:paraId="78EEC675" w14:textId="77777777" w:rsidR="00F94186" w:rsidRPr="00D27CAC" w:rsidRDefault="00F94186" w:rsidP="00F94186">
            <w:pPr>
              <w:rPr>
                <w:rFonts w:ascii="Calibri" w:hAnsi="Calibri" w:cs="Calibri"/>
                <w:b/>
                <w:bCs/>
                <w:color w:val="17365D"/>
                <w:sz w:val="20"/>
                <w:szCs w:val="20"/>
                <w:lang w:eastAsia="en-AU"/>
              </w:rPr>
            </w:pPr>
            <w:r w:rsidRPr="00D27CAC">
              <w:rPr>
                <w:rFonts w:ascii="Calibri" w:hAnsi="Calibri" w:cs="Calibri"/>
                <w:b/>
                <w:bCs/>
                <w:color w:val="17365D"/>
                <w:sz w:val="20"/>
                <w:szCs w:val="20"/>
                <w:lang w:eastAsia="en-AU"/>
              </w:rPr>
              <w:t>Marginal (Indirect) Costs</w:t>
            </w:r>
          </w:p>
        </w:tc>
        <w:tc>
          <w:tcPr>
            <w:tcW w:w="1700" w:type="dxa"/>
            <w:tcBorders>
              <w:top w:val="nil"/>
              <w:left w:val="nil"/>
              <w:bottom w:val="single" w:sz="8" w:space="0" w:color="95B3D7"/>
              <w:right w:val="single" w:sz="8" w:space="0" w:color="95B3D7"/>
            </w:tcBorders>
            <w:shd w:val="clear" w:color="auto" w:fill="auto"/>
            <w:vAlign w:val="center"/>
            <w:hideMark/>
          </w:tcPr>
          <w:p w14:paraId="7B4078CD" w14:textId="77777777" w:rsidR="00F94186" w:rsidRPr="00D27CAC" w:rsidRDefault="00F94186" w:rsidP="00F94186">
            <w:pPr>
              <w:jc w:val="center"/>
              <w:rPr>
                <w:color w:val="000000"/>
                <w:sz w:val="18"/>
                <w:szCs w:val="18"/>
                <w:lang w:eastAsia="en-AU"/>
              </w:rPr>
            </w:pPr>
            <w:r w:rsidRPr="00D27CAC">
              <w:rPr>
                <w:color w:val="000000"/>
                <w:sz w:val="18"/>
                <w:szCs w:val="18"/>
                <w:lang w:eastAsia="en-AU"/>
              </w:rPr>
              <w:t> </w:t>
            </w:r>
          </w:p>
        </w:tc>
        <w:tc>
          <w:tcPr>
            <w:tcW w:w="1360" w:type="dxa"/>
            <w:tcBorders>
              <w:top w:val="nil"/>
              <w:left w:val="nil"/>
              <w:bottom w:val="single" w:sz="8" w:space="0" w:color="95B3D7"/>
              <w:right w:val="single" w:sz="8" w:space="0" w:color="95B3D7"/>
            </w:tcBorders>
            <w:shd w:val="clear" w:color="auto" w:fill="auto"/>
            <w:vAlign w:val="center"/>
            <w:hideMark/>
          </w:tcPr>
          <w:p w14:paraId="73674BE0" w14:textId="77777777" w:rsidR="00F94186" w:rsidRPr="00D27CAC" w:rsidRDefault="00F94186" w:rsidP="00F94186">
            <w:pPr>
              <w:jc w:val="center"/>
              <w:rPr>
                <w:color w:val="000000"/>
                <w:sz w:val="18"/>
                <w:szCs w:val="18"/>
                <w:lang w:eastAsia="en-AU"/>
              </w:rPr>
            </w:pPr>
            <w:r w:rsidRPr="00D27CAC">
              <w:rPr>
                <w:color w:val="000000"/>
                <w:sz w:val="18"/>
                <w:szCs w:val="18"/>
                <w:lang w:eastAsia="en-AU"/>
              </w:rPr>
              <w:t> </w:t>
            </w:r>
          </w:p>
        </w:tc>
        <w:tc>
          <w:tcPr>
            <w:tcW w:w="1360" w:type="dxa"/>
            <w:tcBorders>
              <w:top w:val="nil"/>
              <w:left w:val="nil"/>
              <w:bottom w:val="single" w:sz="8" w:space="0" w:color="95B3D7"/>
              <w:right w:val="single" w:sz="8" w:space="0" w:color="95B3D7"/>
            </w:tcBorders>
            <w:shd w:val="clear" w:color="auto" w:fill="auto"/>
            <w:vAlign w:val="center"/>
            <w:hideMark/>
          </w:tcPr>
          <w:p w14:paraId="5CD6D6DF" w14:textId="77777777" w:rsidR="00F94186" w:rsidRPr="00D27CAC" w:rsidRDefault="00F94186" w:rsidP="00F94186">
            <w:pPr>
              <w:jc w:val="center"/>
              <w:rPr>
                <w:color w:val="000000"/>
                <w:sz w:val="18"/>
                <w:szCs w:val="18"/>
                <w:lang w:eastAsia="en-AU"/>
              </w:rPr>
            </w:pPr>
            <w:r w:rsidRPr="00D27CAC">
              <w:rPr>
                <w:color w:val="000000"/>
                <w:sz w:val="18"/>
                <w:szCs w:val="18"/>
                <w:lang w:eastAsia="en-AU"/>
              </w:rPr>
              <w:t> </w:t>
            </w:r>
          </w:p>
        </w:tc>
      </w:tr>
      <w:tr w:rsidR="00F94186" w:rsidRPr="00D27CAC" w14:paraId="3E5EF694" w14:textId="77777777" w:rsidTr="00F94186">
        <w:trPr>
          <w:trHeight w:val="300"/>
        </w:trPr>
        <w:tc>
          <w:tcPr>
            <w:tcW w:w="5320" w:type="dxa"/>
            <w:tcBorders>
              <w:top w:val="nil"/>
              <w:left w:val="single" w:sz="8" w:space="0" w:color="95B3D7"/>
              <w:bottom w:val="single" w:sz="8" w:space="0" w:color="95B3D7"/>
              <w:right w:val="single" w:sz="8" w:space="0" w:color="95B3D7"/>
            </w:tcBorders>
            <w:shd w:val="clear" w:color="000000" w:fill="DBE5F1"/>
            <w:vAlign w:val="center"/>
            <w:hideMark/>
          </w:tcPr>
          <w:p w14:paraId="040533C4" w14:textId="77777777" w:rsidR="00F94186" w:rsidRPr="00D27CAC" w:rsidRDefault="00F94186" w:rsidP="00F94186">
            <w:pPr>
              <w:rPr>
                <w:rFonts w:ascii="Calibri" w:hAnsi="Calibri" w:cs="Calibri"/>
                <w:color w:val="17365D"/>
                <w:sz w:val="20"/>
                <w:szCs w:val="20"/>
                <w:lang w:eastAsia="en-AU"/>
              </w:rPr>
            </w:pPr>
            <w:r w:rsidRPr="00D27CAC">
              <w:rPr>
                <w:rFonts w:ascii="Calibri" w:hAnsi="Calibri" w:cs="Calibri"/>
                <w:color w:val="17365D"/>
                <w:sz w:val="20"/>
                <w:szCs w:val="20"/>
                <w:lang w:eastAsia="en-AU"/>
              </w:rPr>
              <w:t>ICT Systems and Desktop Support</w:t>
            </w:r>
          </w:p>
        </w:tc>
        <w:tc>
          <w:tcPr>
            <w:tcW w:w="1700" w:type="dxa"/>
            <w:tcBorders>
              <w:top w:val="nil"/>
              <w:left w:val="nil"/>
              <w:bottom w:val="single" w:sz="8" w:space="0" w:color="95B3D7"/>
              <w:right w:val="single" w:sz="8" w:space="0" w:color="95B3D7"/>
            </w:tcBorders>
            <w:shd w:val="clear" w:color="000000" w:fill="DBE5F1"/>
            <w:vAlign w:val="center"/>
            <w:hideMark/>
          </w:tcPr>
          <w:p w14:paraId="569FA96A"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$59,766</w:t>
            </w:r>
          </w:p>
        </w:tc>
        <w:tc>
          <w:tcPr>
            <w:tcW w:w="1360" w:type="dxa"/>
            <w:tcBorders>
              <w:top w:val="nil"/>
              <w:left w:val="nil"/>
              <w:bottom w:val="single" w:sz="8" w:space="0" w:color="95B3D7"/>
              <w:right w:val="single" w:sz="8" w:space="0" w:color="95B3D7"/>
            </w:tcBorders>
            <w:shd w:val="clear" w:color="000000" w:fill="DBE5F1"/>
            <w:vAlign w:val="center"/>
            <w:hideMark/>
          </w:tcPr>
          <w:p w14:paraId="46331EB9"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$60,465</w:t>
            </w:r>
          </w:p>
        </w:tc>
        <w:tc>
          <w:tcPr>
            <w:tcW w:w="1360" w:type="dxa"/>
            <w:tcBorders>
              <w:top w:val="nil"/>
              <w:left w:val="nil"/>
              <w:bottom w:val="single" w:sz="8" w:space="0" w:color="95B3D7"/>
              <w:right w:val="single" w:sz="8" w:space="0" w:color="95B3D7"/>
            </w:tcBorders>
            <w:shd w:val="clear" w:color="000000" w:fill="DBE5F1"/>
            <w:vAlign w:val="center"/>
            <w:hideMark/>
          </w:tcPr>
          <w:p w14:paraId="322E8988"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$60,937</w:t>
            </w:r>
          </w:p>
        </w:tc>
      </w:tr>
      <w:tr w:rsidR="00F94186" w:rsidRPr="00D27CAC" w14:paraId="0DC7BC67" w14:textId="77777777" w:rsidTr="00F94186">
        <w:trPr>
          <w:trHeight w:val="300"/>
        </w:trPr>
        <w:tc>
          <w:tcPr>
            <w:tcW w:w="5320" w:type="dxa"/>
            <w:tcBorders>
              <w:top w:val="nil"/>
              <w:left w:val="single" w:sz="8" w:space="0" w:color="95B3D7"/>
              <w:bottom w:val="single" w:sz="8" w:space="0" w:color="95B3D7"/>
              <w:right w:val="single" w:sz="8" w:space="0" w:color="95B3D7"/>
            </w:tcBorders>
            <w:shd w:val="clear" w:color="auto" w:fill="auto"/>
            <w:vAlign w:val="center"/>
            <w:hideMark/>
          </w:tcPr>
          <w:p w14:paraId="5C26733D" w14:textId="77777777" w:rsidR="00F94186" w:rsidRPr="00D27CAC" w:rsidRDefault="00F94186" w:rsidP="00F94186">
            <w:pPr>
              <w:rPr>
                <w:rFonts w:ascii="Calibri" w:hAnsi="Calibri" w:cs="Calibri"/>
                <w:color w:val="17365D"/>
                <w:sz w:val="20"/>
                <w:szCs w:val="20"/>
                <w:lang w:eastAsia="en-AU"/>
              </w:rPr>
            </w:pPr>
            <w:r w:rsidRPr="00D27CAC">
              <w:rPr>
                <w:rFonts w:ascii="Calibri" w:hAnsi="Calibri" w:cs="Calibri"/>
                <w:color w:val="17365D"/>
                <w:sz w:val="20"/>
                <w:szCs w:val="20"/>
                <w:lang w:eastAsia="en-AU"/>
              </w:rPr>
              <w:t>Organisational Services</w:t>
            </w:r>
          </w:p>
        </w:tc>
        <w:tc>
          <w:tcPr>
            <w:tcW w:w="1700" w:type="dxa"/>
            <w:tcBorders>
              <w:top w:val="nil"/>
              <w:left w:val="nil"/>
              <w:bottom w:val="single" w:sz="8" w:space="0" w:color="95B3D7"/>
              <w:right w:val="single" w:sz="8" w:space="0" w:color="95B3D7"/>
            </w:tcBorders>
            <w:shd w:val="clear" w:color="auto" w:fill="auto"/>
            <w:vAlign w:val="center"/>
            <w:hideMark/>
          </w:tcPr>
          <w:p w14:paraId="4A1FE571"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$74,682</w:t>
            </w:r>
          </w:p>
        </w:tc>
        <w:tc>
          <w:tcPr>
            <w:tcW w:w="1360" w:type="dxa"/>
            <w:tcBorders>
              <w:top w:val="nil"/>
              <w:left w:val="nil"/>
              <w:bottom w:val="single" w:sz="8" w:space="0" w:color="95B3D7"/>
              <w:right w:val="single" w:sz="8" w:space="0" w:color="95B3D7"/>
            </w:tcBorders>
            <w:shd w:val="clear" w:color="auto" w:fill="auto"/>
            <w:vAlign w:val="center"/>
            <w:hideMark/>
          </w:tcPr>
          <w:p w14:paraId="44B20AAC"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$75,556</w:t>
            </w:r>
          </w:p>
        </w:tc>
        <w:tc>
          <w:tcPr>
            <w:tcW w:w="1360" w:type="dxa"/>
            <w:tcBorders>
              <w:top w:val="nil"/>
              <w:left w:val="nil"/>
              <w:bottom w:val="single" w:sz="8" w:space="0" w:color="95B3D7"/>
              <w:right w:val="single" w:sz="8" w:space="0" w:color="95B3D7"/>
            </w:tcBorders>
            <w:shd w:val="clear" w:color="auto" w:fill="auto"/>
            <w:vAlign w:val="center"/>
            <w:hideMark/>
          </w:tcPr>
          <w:p w14:paraId="7D505487"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$76,146</w:t>
            </w:r>
          </w:p>
        </w:tc>
      </w:tr>
      <w:tr w:rsidR="00F94186" w:rsidRPr="00D27CAC" w14:paraId="12FF2F42" w14:textId="77777777" w:rsidTr="00F94186">
        <w:trPr>
          <w:trHeight w:val="300"/>
        </w:trPr>
        <w:tc>
          <w:tcPr>
            <w:tcW w:w="5320" w:type="dxa"/>
            <w:tcBorders>
              <w:top w:val="nil"/>
              <w:left w:val="single" w:sz="8" w:space="0" w:color="95B3D7"/>
              <w:bottom w:val="single" w:sz="8" w:space="0" w:color="95B3D7"/>
              <w:right w:val="single" w:sz="8" w:space="0" w:color="95B3D7"/>
            </w:tcBorders>
            <w:shd w:val="clear" w:color="000000" w:fill="DBE5F1"/>
            <w:vAlign w:val="center"/>
            <w:hideMark/>
          </w:tcPr>
          <w:p w14:paraId="42936A8C" w14:textId="77777777" w:rsidR="00F94186" w:rsidRPr="00D27CAC" w:rsidRDefault="00F94186" w:rsidP="00F94186">
            <w:pPr>
              <w:rPr>
                <w:rFonts w:ascii="Calibri" w:hAnsi="Calibri" w:cs="Calibri"/>
                <w:color w:val="17365D"/>
                <w:sz w:val="20"/>
                <w:szCs w:val="20"/>
                <w:lang w:eastAsia="en-AU"/>
              </w:rPr>
            </w:pPr>
            <w:r w:rsidRPr="00D27CAC">
              <w:rPr>
                <w:rFonts w:ascii="Calibri" w:hAnsi="Calibri" w:cs="Calibri"/>
                <w:color w:val="17365D"/>
                <w:sz w:val="20"/>
                <w:szCs w:val="20"/>
                <w:lang w:eastAsia="en-AU"/>
              </w:rPr>
              <w:t>Human Resources Support</w:t>
            </w:r>
          </w:p>
        </w:tc>
        <w:tc>
          <w:tcPr>
            <w:tcW w:w="1700" w:type="dxa"/>
            <w:tcBorders>
              <w:top w:val="nil"/>
              <w:left w:val="nil"/>
              <w:bottom w:val="single" w:sz="8" w:space="0" w:color="95B3D7"/>
              <w:right w:val="single" w:sz="8" w:space="0" w:color="95B3D7"/>
            </w:tcBorders>
            <w:shd w:val="clear" w:color="000000" w:fill="DBE5F1"/>
            <w:vAlign w:val="center"/>
            <w:hideMark/>
          </w:tcPr>
          <w:p w14:paraId="2C6B605E"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$15,172</w:t>
            </w:r>
          </w:p>
        </w:tc>
        <w:tc>
          <w:tcPr>
            <w:tcW w:w="1360" w:type="dxa"/>
            <w:tcBorders>
              <w:top w:val="nil"/>
              <w:left w:val="nil"/>
              <w:bottom w:val="single" w:sz="8" w:space="0" w:color="95B3D7"/>
              <w:right w:val="single" w:sz="8" w:space="0" w:color="95B3D7"/>
            </w:tcBorders>
            <w:shd w:val="clear" w:color="000000" w:fill="DBE5F1"/>
            <w:vAlign w:val="center"/>
            <w:hideMark/>
          </w:tcPr>
          <w:p w14:paraId="2E5CB204"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$15,349</w:t>
            </w:r>
          </w:p>
        </w:tc>
        <w:tc>
          <w:tcPr>
            <w:tcW w:w="1360" w:type="dxa"/>
            <w:tcBorders>
              <w:top w:val="nil"/>
              <w:left w:val="nil"/>
              <w:bottom w:val="single" w:sz="8" w:space="0" w:color="95B3D7"/>
              <w:right w:val="single" w:sz="8" w:space="0" w:color="95B3D7"/>
            </w:tcBorders>
            <w:shd w:val="clear" w:color="000000" w:fill="DBE5F1"/>
            <w:vAlign w:val="center"/>
            <w:hideMark/>
          </w:tcPr>
          <w:p w14:paraId="35262250"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$15,469</w:t>
            </w:r>
          </w:p>
        </w:tc>
      </w:tr>
      <w:tr w:rsidR="00F94186" w:rsidRPr="00D27CAC" w14:paraId="06BE1EFF" w14:textId="77777777" w:rsidTr="00F94186">
        <w:trPr>
          <w:trHeight w:val="300"/>
        </w:trPr>
        <w:tc>
          <w:tcPr>
            <w:tcW w:w="5320" w:type="dxa"/>
            <w:tcBorders>
              <w:top w:val="nil"/>
              <w:left w:val="single" w:sz="8" w:space="0" w:color="95B3D7"/>
              <w:bottom w:val="single" w:sz="8" w:space="0" w:color="95B3D7"/>
              <w:right w:val="single" w:sz="8" w:space="0" w:color="95B3D7"/>
            </w:tcBorders>
            <w:shd w:val="clear" w:color="auto" w:fill="auto"/>
            <w:vAlign w:val="center"/>
            <w:hideMark/>
          </w:tcPr>
          <w:p w14:paraId="62C4A26F" w14:textId="77777777" w:rsidR="00F94186" w:rsidRPr="00D27CAC" w:rsidRDefault="00F94186" w:rsidP="00F94186">
            <w:pPr>
              <w:rPr>
                <w:rFonts w:ascii="Calibri" w:hAnsi="Calibri" w:cs="Calibri"/>
                <w:color w:val="17365D"/>
                <w:sz w:val="20"/>
                <w:szCs w:val="20"/>
                <w:lang w:eastAsia="en-AU"/>
              </w:rPr>
            </w:pPr>
            <w:r w:rsidRPr="00D27CAC">
              <w:rPr>
                <w:rFonts w:ascii="Calibri" w:hAnsi="Calibri" w:cs="Calibri"/>
                <w:color w:val="17365D"/>
                <w:sz w:val="20"/>
                <w:szCs w:val="20"/>
                <w:lang w:eastAsia="en-AU"/>
              </w:rPr>
              <w:t>Office Accommodation and Utilities</w:t>
            </w:r>
          </w:p>
        </w:tc>
        <w:tc>
          <w:tcPr>
            <w:tcW w:w="1700" w:type="dxa"/>
            <w:tcBorders>
              <w:top w:val="nil"/>
              <w:left w:val="nil"/>
              <w:bottom w:val="single" w:sz="8" w:space="0" w:color="95B3D7"/>
              <w:right w:val="single" w:sz="8" w:space="0" w:color="95B3D7"/>
            </w:tcBorders>
            <w:shd w:val="clear" w:color="auto" w:fill="auto"/>
            <w:vAlign w:val="center"/>
            <w:hideMark/>
          </w:tcPr>
          <w:p w14:paraId="2C9863A7"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$140,825</w:t>
            </w:r>
          </w:p>
        </w:tc>
        <w:tc>
          <w:tcPr>
            <w:tcW w:w="1360" w:type="dxa"/>
            <w:tcBorders>
              <w:top w:val="nil"/>
              <w:left w:val="nil"/>
              <w:bottom w:val="single" w:sz="8" w:space="0" w:color="95B3D7"/>
              <w:right w:val="single" w:sz="8" w:space="0" w:color="95B3D7"/>
            </w:tcBorders>
            <w:shd w:val="clear" w:color="auto" w:fill="auto"/>
            <w:vAlign w:val="center"/>
            <w:hideMark/>
          </w:tcPr>
          <w:p w14:paraId="6D33C3A6"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$142,473</w:t>
            </w:r>
          </w:p>
        </w:tc>
        <w:tc>
          <w:tcPr>
            <w:tcW w:w="1360" w:type="dxa"/>
            <w:tcBorders>
              <w:top w:val="nil"/>
              <w:left w:val="nil"/>
              <w:bottom w:val="single" w:sz="8" w:space="0" w:color="95B3D7"/>
              <w:right w:val="single" w:sz="8" w:space="0" w:color="95B3D7"/>
            </w:tcBorders>
            <w:shd w:val="clear" w:color="auto" w:fill="auto"/>
            <w:vAlign w:val="center"/>
            <w:hideMark/>
          </w:tcPr>
          <w:p w14:paraId="75E5AA2B"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$143,585</w:t>
            </w:r>
          </w:p>
        </w:tc>
      </w:tr>
      <w:tr w:rsidR="00F94186" w:rsidRPr="00D27CAC" w14:paraId="7D7F12B8" w14:textId="77777777" w:rsidTr="00F94186">
        <w:trPr>
          <w:trHeight w:val="300"/>
        </w:trPr>
        <w:tc>
          <w:tcPr>
            <w:tcW w:w="5320" w:type="dxa"/>
            <w:tcBorders>
              <w:top w:val="nil"/>
              <w:left w:val="single" w:sz="8" w:space="0" w:color="95B3D7"/>
              <w:bottom w:val="single" w:sz="8" w:space="0" w:color="95B3D7"/>
              <w:right w:val="single" w:sz="8" w:space="0" w:color="95B3D7"/>
            </w:tcBorders>
            <w:shd w:val="clear" w:color="000000" w:fill="DBE5F1"/>
            <w:vAlign w:val="center"/>
            <w:hideMark/>
          </w:tcPr>
          <w:p w14:paraId="46B7DB5A" w14:textId="77777777" w:rsidR="00F94186" w:rsidRPr="00D27CAC" w:rsidRDefault="00F94186" w:rsidP="00F94186">
            <w:pPr>
              <w:rPr>
                <w:rFonts w:ascii="Calibri" w:hAnsi="Calibri" w:cs="Calibri"/>
                <w:color w:val="17365D"/>
                <w:sz w:val="20"/>
                <w:szCs w:val="20"/>
                <w:lang w:eastAsia="en-AU"/>
              </w:rPr>
            </w:pPr>
            <w:r w:rsidRPr="00D27CAC">
              <w:rPr>
                <w:rFonts w:ascii="Calibri" w:hAnsi="Calibri" w:cs="Calibri"/>
                <w:color w:val="17365D"/>
                <w:sz w:val="20"/>
                <w:szCs w:val="20"/>
                <w:lang w:eastAsia="en-AU"/>
              </w:rPr>
              <w:t>Legal Advice</w:t>
            </w:r>
          </w:p>
        </w:tc>
        <w:tc>
          <w:tcPr>
            <w:tcW w:w="1700" w:type="dxa"/>
            <w:tcBorders>
              <w:top w:val="nil"/>
              <w:left w:val="nil"/>
              <w:bottom w:val="single" w:sz="8" w:space="0" w:color="95B3D7"/>
              <w:right w:val="single" w:sz="8" w:space="0" w:color="95B3D7"/>
            </w:tcBorders>
            <w:shd w:val="clear" w:color="000000" w:fill="DBE5F1"/>
            <w:vAlign w:val="center"/>
            <w:hideMark/>
          </w:tcPr>
          <w:p w14:paraId="1666E6D0"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$29,120</w:t>
            </w:r>
          </w:p>
        </w:tc>
        <w:tc>
          <w:tcPr>
            <w:tcW w:w="1360" w:type="dxa"/>
            <w:tcBorders>
              <w:top w:val="nil"/>
              <w:left w:val="nil"/>
              <w:bottom w:val="single" w:sz="8" w:space="0" w:color="95B3D7"/>
              <w:right w:val="single" w:sz="8" w:space="0" w:color="95B3D7"/>
            </w:tcBorders>
            <w:shd w:val="clear" w:color="000000" w:fill="DBE5F1"/>
            <w:vAlign w:val="center"/>
            <w:hideMark/>
          </w:tcPr>
          <w:p w14:paraId="04B1683F"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$29,461</w:t>
            </w:r>
          </w:p>
        </w:tc>
        <w:tc>
          <w:tcPr>
            <w:tcW w:w="1360" w:type="dxa"/>
            <w:tcBorders>
              <w:top w:val="nil"/>
              <w:left w:val="nil"/>
              <w:bottom w:val="single" w:sz="8" w:space="0" w:color="95B3D7"/>
              <w:right w:val="single" w:sz="8" w:space="0" w:color="95B3D7"/>
            </w:tcBorders>
            <w:shd w:val="clear" w:color="000000" w:fill="DBE5F1"/>
            <w:vAlign w:val="center"/>
            <w:hideMark/>
          </w:tcPr>
          <w:p w14:paraId="24F8F295"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$29,691</w:t>
            </w:r>
          </w:p>
        </w:tc>
      </w:tr>
      <w:tr w:rsidR="00F94186" w:rsidRPr="00D27CAC" w14:paraId="5838FA25" w14:textId="77777777" w:rsidTr="00F94186">
        <w:trPr>
          <w:trHeight w:val="300"/>
        </w:trPr>
        <w:tc>
          <w:tcPr>
            <w:tcW w:w="5320" w:type="dxa"/>
            <w:tcBorders>
              <w:top w:val="nil"/>
              <w:left w:val="single" w:sz="8" w:space="0" w:color="95B3D7"/>
              <w:bottom w:val="single" w:sz="8" w:space="0" w:color="95B3D7"/>
              <w:right w:val="single" w:sz="8" w:space="0" w:color="95B3D7"/>
            </w:tcBorders>
            <w:shd w:val="clear" w:color="auto" w:fill="auto"/>
            <w:vAlign w:val="center"/>
            <w:hideMark/>
          </w:tcPr>
          <w:p w14:paraId="0EFE1FD2" w14:textId="77777777" w:rsidR="00F94186" w:rsidRPr="00D27CAC" w:rsidRDefault="00F94186" w:rsidP="00F94186">
            <w:pPr>
              <w:rPr>
                <w:rFonts w:ascii="Calibri" w:hAnsi="Calibri" w:cs="Calibri"/>
                <w:color w:val="17365D"/>
                <w:sz w:val="20"/>
                <w:szCs w:val="20"/>
                <w:lang w:eastAsia="en-AU"/>
              </w:rPr>
            </w:pPr>
            <w:r w:rsidRPr="00D27CAC">
              <w:rPr>
                <w:rFonts w:ascii="Calibri" w:hAnsi="Calibri" w:cs="Calibri"/>
                <w:color w:val="17365D"/>
                <w:sz w:val="20"/>
                <w:szCs w:val="20"/>
                <w:lang w:eastAsia="en-AU"/>
              </w:rPr>
              <w:t>Travel</w:t>
            </w:r>
          </w:p>
        </w:tc>
        <w:tc>
          <w:tcPr>
            <w:tcW w:w="1700" w:type="dxa"/>
            <w:tcBorders>
              <w:top w:val="nil"/>
              <w:left w:val="nil"/>
              <w:bottom w:val="single" w:sz="8" w:space="0" w:color="95B3D7"/>
              <w:right w:val="single" w:sz="8" w:space="0" w:color="95B3D7"/>
            </w:tcBorders>
            <w:shd w:val="clear" w:color="auto" w:fill="auto"/>
            <w:vAlign w:val="center"/>
            <w:hideMark/>
          </w:tcPr>
          <w:p w14:paraId="4617823F"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$13,020</w:t>
            </w:r>
          </w:p>
        </w:tc>
        <w:tc>
          <w:tcPr>
            <w:tcW w:w="1360" w:type="dxa"/>
            <w:tcBorders>
              <w:top w:val="nil"/>
              <w:left w:val="nil"/>
              <w:bottom w:val="single" w:sz="8" w:space="0" w:color="95B3D7"/>
              <w:right w:val="single" w:sz="8" w:space="0" w:color="95B3D7"/>
            </w:tcBorders>
            <w:shd w:val="clear" w:color="auto" w:fill="auto"/>
            <w:vAlign w:val="center"/>
            <w:hideMark/>
          </w:tcPr>
          <w:p w14:paraId="0EEC8541"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$13,172</w:t>
            </w:r>
          </w:p>
        </w:tc>
        <w:tc>
          <w:tcPr>
            <w:tcW w:w="1360" w:type="dxa"/>
            <w:tcBorders>
              <w:top w:val="nil"/>
              <w:left w:val="nil"/>
              <w:bottom w:val="single" w:sz="8" w:space="0" w:color="95B3D7"/>
              <w:right w:val="single" w:sz="8" w:space="0" w:color="95B3D7"/>
            </w:tcBorders>
            <w:shd w:val="clear" w:color="auto" w:fill="auto"/>
            <w:vAlign w:val="center"/>
            <w:hideMark/>
          </w:tcPr>
          <w:p w14:paraId="22C0C457" w14:textId="77777777" w:rsidR="00F94186" w:rsidRPr="00D27CAC" w:rsidRDefault="00F94186" w:rsidP="00F94186">
            <w:pPr>
              <w:jc w:val="center"/>
              <w:rPr>
                <w:rFonts w:ascii="Calibri" w:hAnsi="Calibri" w:cs="Calibri"/>
                <w:color w:val="17365D"/>
                <w:sz w:val="20"/>
                <w:szCs w:val="20"/>
                <w:lang w:eastAsia="en-AU"/>
              </w:rPr>
            </w:pPr>
            <w:r w:rsidRPr="00D27CAC">
              <w:rPr>
                <w:rFonts w:ascii="Calibri" w:hAnsi="Calibri" w:cs="Calibri"/>
                <w:color w:val="17365D"/>
                <w:sz w:val="20"/>
                <w:szCs w:val="20"/>
                <w:lang w:eastAsia="en-AU"/>
              </w:rPr>
              <w:t>$13,275</w:t>
            </w:r>
          </w:p>
        </w:tc>
      </w:tr>
      <w:tr w:rsidR="00F94186" w:rsidRPr="00D27CAC" w14:paraId="44BA3120" w14:textId="77777777" w:rsidTr="00F94186">
        <w:trPr>
          <w:trHeight w:val="300"/>
        </w:trPr>
        <w:tc>
          <w:tcPr>
            <w:tcW w:w="5320" w:type="dxa"/>
            <w:tcBorders>
              <w:top w:val="nil"/>
              <w:left w:val="single" w:sz="8" w:space="0" w:color="95B3D7"/>
              <w:bottom w:val="single" w:sz="8" w:space="0" w:color="95B3D7"/>
              <w:right w:val="single" w:sz="8" w:space="0" w:color="95B3D7"/>
            </w:tcBorders>
            <w:shd w:val="clear" w:color="000000" w:fill="DBE5F1"/>
            <w:vAlign w:val="center"/>
            <w:hideMark/>
          </w:tcPr>
          <w:p w14:paraId="1CE154A8" w14:textId="77777777" w:rsidR="00F94186" w:rsidRPr="00D27CAC" w:rsidRDefault="00F94186" w:rsidP="00F94186">
            <w:pPr>
              <w:rPr>
                <w:rFonts w:ascii="Calibri" w:hAnsi="Calibri" w:cs="Calibri"/>
                <w:color w:val="17365D"/>
                <w:sz w:val="20"/>
                <w:szCs w:val="20"/>
                <w:lang w:eastAsia="en-AU"/>
              </w:rPr>
            </w:pPr>
            <w:r w:rsidRPr="00D27CAC">
              <w:rPr>
                <w:rFonts w:ascii="Calibri" w:hAnsi="Calibri" w:cs="Calibri"/>
                <w:color w:val="17365D"/>
                <w:sz w:val="20"/>
                <w:szCs w:val="20"/>
                <w:lang w:eastAsia="en-AU"/>
              </w:rPr>
              <w:t>Sub-total (Indirect Costs)</w:t>
            </w:r>
          </w:p>
        </w:tc>
        <w:tc>
          <w:tcPr>
            <w:tcW w:w="1700" w:type="dxa"/>
            <w:tcBorders>
              <w:top w:val="nil"/>
              <w:left w:val="nil"/>
              <w:bottom w:val="single" w:sz="8" w:space="0" w:color="95B3D7"/>
              <w:right w:val="single" w:sz="8" w:space="0" w:color="95B3D7"/>
            </w:tcBorders>
            <w:shd w:val="clear" w:color="000000" w:fill="DBE5F1"/>
            <w:vAlign w:val="center"/>
            <w:hideMark/>
          </w:tcPr>
          <w:p w14:paraId="0B796423" w14:textId="77777777" w:rsidR="00F94186" w:rsidRPr="00D27CAC" w:rsidRDefault="00F94186" w:rsidP="00F94186">
            <w:pPr>
              <w:jc w:val="center"/>
              <w:rPr>
                <w:rFonts w:ascii="Calibri" w:hAnsi="Calibri" w:cs="Calibri"/>
                <w:b/>
                <w:bCs/>
                <w:color w:val="17365D"/>
                <w:sz w:val="20"/>
                <w:szCs w:val="20"/>
                <w:lang w:eastAsia="en-AU"/>
              </w:rPr>
            </w:pPr>
            <w:r w:rsidRPr="00D27CAC">
              <w:rPr>
                <w:rFonts w:ascii="Calibri" w:hAnsi="Calibri" w:cs="Calibri"/>
                <w:b/>
                <w:bCs/>
                <w:color w:val="17365D"/>
                <w:sz w:val="20"/>
                <w:szCs w:val="20"/>
                <w:lang w:eastAsia="en-AU"/>
              </w:rPr>
              <w:t>$334,514</w:t>
            </w:r>
          </w:p>
        </w:tc>
        <w:tc>
          <w:tcPr>
            <w:tcW w:w="1360" w:type="dxa"/>
            <w:tcBorders>
              <w:top w:val="nil"/>
              <w:left w:val="nil"/>
              <w:bottom w:val="single" w:sz="8" w:space="0" w:color="95B3D7"/>
              <w:right w:val="single" w:sz="8" w:space="0" w:color="95B3D7"/>
            </w:tcBorders>
            <w:shd w:val="clear" w:color="000000" w:fill="DBE5F1"/>
            <w:vAlign w:val="center"/>
            <w:hideMark/>
          </w:tcPr>
          <w:p w14:paraId="4B03418B" w14:textId="77777777" w:rsidR="00F94186" w:rsidRPr="00D27CAC" w:rsidRDefault="00F94186" w:rsidP="00F94186">
            <w:pPr>
              <w:jc w:val="center"/>
              <w:rPr>
                <w:rFonts w:ascii="Calibri" w:hAnsi="Calibri" w:cs="Calibri"/>
                <w:b/>
                <w:bCs/>
                <w:color w:val="17365D"/>
                <w:sz w:val="20"/>
                <w:szCs w:val="20"/>
                <w:lang w:eastAsia="en-AU"/>
              </w:rPr>
            </w:pPr>
            <w:r w:rsidRPr="00D27CAC">
              <w:rPr>
                <w:rFonts w:ascii="Calibri" w:hAnsi="Calibri" w:cs="Calibri"/>
                <w:b/>
                <w:bCs/>
                <w:color w:val="17365D"/>
                <w:sz w:val="20"/>
                <w:szCs w:val="20"/>
                <w:lang w:eastAsia="en-AU"/>
              </w:rPr>
              <w:t>$336,476</w:t>
            </w:r>
          </w:p>
        </w:tc>
        <w:tc>
          <w:tcPr>
            <w:tcW w:w="1360" w:type="dxa"/>
            <w:tcBorders>
              <w:top w:val="nil"/>
              <w:left w:val="nil"/>
              <w:bottom w:val="single" w:sz="8" w:space="0" w:color="95B3D7"/>
              <w:right w:val="single" w:sz="8" w:space="0" w:color="95B3D7"/>
            </w:tcBorders>
            <w:shd w:val="clear" w:color="000000" w:fill="DBE5F1"/>
            <w:vAlign w:val="center"/>
            <w:hideMark/>
          </w:tcPr>
          <w:p w14:paraId="56F65F7D" w14:textId="77777777" w:rsidR="00F94186" w:rsidRPr="00D27CAC" w:rsidRDefault="00F94186" w:rsidP="00F94186">
            <w:pPr>
              <w:jc w:val="center"/>
              <w:rPr>
                <w:rFonts w:ascii="Calibri" w:hAnsi="Calibri" w:cs="Calibri"/>
                <w:b/>
                <w:bCs/>
                <w:color w:val="17365D"/>
                <w:sz w:val="20"/>
                <w:szCs w:val="20"/>
                <w:lang w:eastAsia="en-AU"/>
              </w:rPr>
            </w:pPr>
            <w:r w:rsidRPr="00D27CAC">
              <w:rPr>
                <w:rFonts w:ascii="Calibri" w:hAnsi="Calibri" w:cs="Calibri"/>
                <w:b/>
                <w:bCs/>
                <w:color w:val="17365D"/>
                <w:sz w:val="20"/>
                <w:szCs w:val="20"/>
                <w:lang w:eastAsia="en-AU"/>
              </w:rPr>
              <w:t>$339,103</w:t>
            </w:r>
          </w:p>
        </w:tc>
      </w:tr>
      <w:tr w:rsidR="00F94186" w:rsidRPr="00D27CAC" w14:paraId="47922D31" w14:textId="77777777" w:rsidTr="00F94186">
        <w:trPr>
          <w:trHeight w:val="300"/>
        </w:trPr>
        <w:tc>
          <w:tcPr>
            <w:tcW w:w="5320" w:type="dxa"/>
            <w:tcBorders>
              <w:top w:val="nil"/>
              <w:left w:val="single" w:sz="8" w:space="0" w:color="95B3D7"/>
              <w:bottom w:val="single" w:sz="8" w:space="0" w:color="95B3D7"/>
              <w:right w:val="single" w:sz="8" w:space="0" w:color="95B3D7"/>
            </w:tcBorders>
            <w:shd w:val="clear" w:color="auto" w:fill="auto"/>
            <w:vAlign w:val="center"/>
            <w:hideMark/>
          </w:tcPr>
          <w:p w14:paraId="35FB75FD" w14:textId="77777777" w:rsidR="00F94186" w:rsidRPr="00D27CAC" w:rsidRDefault="00F94186" w:rsidP="00F94186">
            <w:pPr>
              <w:rPr>
                <w:rFonts w:ascii="Calibri" w:hAnsi="Calibri" w:cs="Calibri"/>
                <w:b/>
                <w:bCs/>
                <w:color w:val="17365D"/>
                <w:sz w:val="20"/>
                <w:szCs w:val="20"/>
                <w:lang w:eastAsia="en-AU"/>
              </w:rPr>
            </w:pPr>
            <w:r w:rsidRPr="00D27CAC">
              <w:rPr>
                <w:rFonts w:ascii="Calibri" w:hAnsi="Calibri" w:cs="Calibri"/>
                <w:b/>
                <w:bCs/>
                <w:color w:val="17365D"/>
                <w:sz w:val="20"/>
                <w:szCs w:val="20"/>
                <w:lang w:eastAsia="en-AU"/>
              </w:rPr>
              <w:t>Total</w:t>
            </w:r>
          </w:p>
        </w:tc>
        <w:tc>
          <w:tcPr>
            <w:tcW w:w="1700" w:type="dxa"/>
            <w:tcBorders>
              <w:top w:val="nil"/>
              <w:left w:val="nil"/>
              <w:bottom w:val="single" w:sz="8" w:space="0" w:color="95B3D7"/>
              <w:right w:val="single" w:sz="8" w:space="0" w:color="95B3D7"/>
            </w:tcBorders>
            <w:shd w:val="clear" w:color="auto" w:fill="auto"/>
            <w:vAlign w:val="center"/>
            <w:hideMark/>
          </w:tcPr>
          <w:p w14:paraId="0AEA2AD4" w14:textId="77777777" w:rsidR="00F94186" w:rsidRPr="00D27CAC" w:rsidRDefault="00F94186" w:rsidP="00F94186">
            <w:pPr>
              <w:jc w:val="center"/>
              <w:rPr>
                <w:rFonts w:ascii="Calibri" w:hAnsi="Calibri" w:cs="Calibri"/>
                <w:b/>
                <w:bCs/>
                <w:color w:val="17365D"/>
                <w:sz w:val="20"/>
                <w:szCs w:val="20"/>
                <w:lang w:eastAsia="en-AU"/>
              </w:rPr>
            </w:pPr>
            <w:r w:rsidRPr="00D27CAC">
              <w:rPr>
                <w:rFonts w:ascii="Calibri" w:hAnsi="Calibri" w:cs="Calibri"/>
                <w:b/>
                <w:bCs/>
                <w:color w:val="17365D"/>
                <w:sz w:val="20"/>
                <w:szCs w:val="20"/>
                <w:lang w:eastAsia="en-AU"/>
              </w:rPr>
              <w:t>$1,890,029</w:t>
            </w:r>
          </w:p>
        </w:tc>
        <w:tc>
          <w:tcPr>
            <w:tcW w:w="1360" w:type="dxa"/>
            <w:tcBorders>
              <w:top w:val="nil"/>
              <w:left w:val="nil"/>
              <w:bottom w:val="single" w:sz="8" w:space="0" w:color="95B3D7"/>
              <w:right w:val="single" w:sz="8" w:space="0" w:color="95B3D7"/>
            </w:tcBorders>
            <w:shd w:val="clear" w:color="auto" w:fill="auto"/>
            <w:vAlign w:val="center"/>
            <w:hideMark/>
          </w:tcPr>
          <w:p w14:paraId="5479B82B" w14:textId="77777777" w:rsidR="00F94186" w:rsidRPr="00D27CAC" w:rsidRDefault="00F94186" w:rsidP="00F94186">
            <w:pPr>
              <w:jc w:val="center"/>
              <w:rPr>
                <w:rFonts w:ascii="Calibri" w:hAnsi="Calibri" w:cs="Calibri"/>
                <w:b/>
                <w:bCs/>
                <w:color w:val="17365D"/>
                <w:sz w:val="20"/>
                <w:szCs w:val="20"/>
                <w:lang w:eastAsia="en-AU"/>
              </w:rPr>
            </w:pPr>
            <w:r w:rsidRPr="00D27CAC">
              <w:rPr>
                <w:rFonts w:ascii="Calibri" w:hAnsi="Calibri" w:cs="Calibri"/>
                <w:b/>
                <w:bCs/>
                <w:color w:val="17365D"/>
                <w:sz w:val="20"/>
                <w:szCs w:val="20"/>
                <w:lang w:eastAsia="en-AU"/>
              </w:rPr>
              <w:t>$1,899,513</w:t>
            </w:r>
          </w:p>
        </w:tc>
        <w:tc>
          <w:tcPr>
            <w:tcW w:w="1360" w:type="dxa"/>
            <w:tcBorders>
              <w:top w:val="nil"/>
              <w:left w:val="nil"/>
              <w:bottom w:val="single" w:sz="8" w:space="0" w:color="95B3D7"/>
              <w:right w:val="single" w:sz="8" w:space="0" w:color="95B3D7"/>
            </w:tcBorders>
            <w:shd w:val="clear" w:color="auto" w:fill="auto"/>
            <w:vAlign w:val="center"/>
            <w:hideMark/>
          </w:tcPr>
          <w:p w14:paraId="5C9B2974" w14:textId="77777777" w:rsidR="00F94186" w:rsidRPr="00D27CAC" w:rsidRDefault="00F94186" w:rsidP="00F94186">
            <w:pPr>
              <w:jc w:val="center"/>
              <w:rPr>
                <w:rFonts w:ascii="Calibri" w:hAnsi="Calibri" w:cs="Calibri"/>
                <w:b/>
                <w:bCs/>
                <w:color w:val="17365D"/>
                <w:sz w:val="20"/>
                <w:szCs w:val="20"/>
                <w:lang w:eastAsia="en-AU"/>
              </w:rPr>
            </w:pPr>
            <w:r w:rsidRPr="00D27CAC">
              <w:rPr>
                <w:rFonts w:ascii="Calibri" w:hAnsi="Calibri" w:cs="Calibri"/>
                <w:b/>
                <w:bCs/>
                <w:color w:val="17365D"/>
                <w:sz w:val="20"/>
                <w:szCs w:val="20"/>
                <w:lang w:eastAsia="en-AU"/>
              </w:rPr>
              <w:t>$1,912,211</w:t>
            </w:r>
          </w:p>
        </w:tc>
      </w:tr>
    </w:tbl>
    <w:p w14:paraId="4DDC99C6" w14:textId="77777777" w:rsidR="00F94186" w:rsidRDefault="00F94186" w:rsidP="00F94186">
      <w:pPr>
        <w:rPr>
          <w:rFonts w:asciiTheme="minorHAnsi" w:hAnsiTheme="minorHAnsi" w:cstheme="minorHAnsi"/>
        </w:rPr>
      </w:pPr>
    </w:p>
    <w:p w14:paraId="23042D21" w14:textId="77777777" w:rsidR="00F94186" w:rsidRDefault="00F94186" w:rsidP="00F94186">
      <w:pPr>
        <w:rPr>
          <w:rFonts w:asciiTheme="minorHAnsi" w:hAnsiTheme="minorHAnsi" w:cstheme="minorHAnsi"/>
        </w:rPr>
      </w:pPr>
      <w:r>
        <w:rPr>
          <w:rFonts w:asciiTheme="minorHAnsi" w:hAnsiTheme="minorHAnsi" w:cstheme="minorHAnsi"/>
        </w:rPr>
        <w:t>The ORE section</w:t>
      </w:r>
      <w:r w:rsidRPr="00A263BB">
        <w:rPr>
          <w:rFonts w:asciiTheme="minorHAnsi" w:hAnsiTheme="minorHAnsi" w:cstheme="minorHAnsi"/>
        </w:rPr>
        <w:t xml:space="preserve"> total budget is </w:t>
      </w:r>
      <w:r w:rsidRPr="00ED7D7C">
        <w:rPr>
          <w:rFonts w:asciiTheme="minorHAnsi" w:hAnsiTheme="minorHAnsi" w:cstheme="minorHAnsi"/>
        </w:rPr>
        <w:t>$</w:t>
      </w:r>
      <w:r w:rsidRPr="006D6414">
        <w:rPr>
          <w:rFonts w:asciiTheme="minorHAnsi" w:hAnsiTheme="minorHAnsi" w:cstheme="minorHAnsi"/>
        </w:rPr>
        <w:t>1</w:t>
      </w:r>
      <w:r>
        <w:rPr>
          <w:rFonts w:asciiTheme="minorHAnsi" w:hAnsiTheme="minorHAnsi" w:cstheme="minorHAnsi"/>
        </w:rPr>
        <w:t>,890,029</w:t>
      </w:r>
      <w:r w:rsidRPr="00ED7D7C">
        <w:rPr>
          <w:rFonts w:asciiTheme="minorHAnsi" w:hAnsiTheme="minorHAnsi" w:cstheme="minorHAnsi"/>
        </w:rPr>
        <w:t xml:space="preserve"> for 2022-23, $</w:t>
      </w:r>
      <w:r w:rsidRPr="006D6414">
        <w:rPr>
          <w:rFonts w:asciiTheme="minorHAnsi" w:hAnsiTheme="minorHAnsi" w:cstheme="minorHAnsi"/>
        </w:rPr>
        <w:t>1</w:t>
      </w:r>
      <w:r>
        <w:rPr>
          <w:rFonts w:asciiTheme="minorHAnsi" w:hAnsiTheme="minorHAnsi" w:cstheme="minorHAnsi"/>
        </w:rPr>
        <w:t xml:space="preserve">,899,513 </w:t>
      </w:r>
      <w:r w:rsidRPr="00ED7D7C">
        <w:rPr>
          <w:rFonts w:asciiTheme="minorHAnsi" w:hAnsiTheme="minorHAnsi" w:cstheme="minorHAnsi"/>
        </w:rPr>
        <w:t>for</w:t>
      </w:r>
      <w:r>
        <w:rPr>
          <w:rFonts w:asciiTheme="minorHAnsi" w:hAnsiTheme="minorHAnsi" w:cstheme="minorHAnsi"/>
        </w:rPr>
        <w:t xml:space="preserve"> 2023-24 and $1,912,211 for </w:t>
      </w:r>
      <w:r>
        <w:rPr>
          <w:rFonts w:asciiTheme="minorHAnsi" w:hAnsiTheme="minorHAnsi" w:cstheme="minorHAnsi"/>
        </w:rPr>
        <w:br/>
        <w:t>2024-25.</w:t>
      </w:r>
    </w:p>
    <w:p w14:paraId="7244098D" w14:textId="77777777" w:rsidR="00F94186" w:rsidRDefault="00F94186" w:rsidP="00F94186">
      <w:pPr>
        <w:rPr>
          <w:rFonts w:asciiTheme="minorHAnsi" w:hAnsiTheme="minorHAnsi" w:cstheme="minorHAnsi"/>
        </w:rPr>
      </w:pPr>
    </w:p>
    <w:p w14:paraId="15BF8FA8" w14:textId="731FC3DB" w:rsidR="00F94186" w:rsidRDefault="00F94186" w:rsidP="00F94186">
      <w:pPr>
        <w:ind w:right="554"/>
        <w:rPr>
          <w:rFonts w:asciiTheme="minorHAnsi" w:hAnsiTheme="minorHAnsi" w:cstheme="minorHAnsi"/>
        </w:rPr>
      </w:pPr>
      <w:r>
        <w:rPr>
          <w:rFonts w:asciiTheme="minorHAnsi" w:hAnsiTheme="minorHAnsi" w:cstheme="minorHAnsi"/>
          <w:b/>
          <w:bCs/>
        </w:rPr>
        <w:t>Table 9</w:t>
      </w:r>
      <w:r>
        <w:rPr>
          <w:rFonts w:asciiTheme="minorHAnsi" w:hAnsiTheme="minorHAnsi" w:cstheme="minorHAnsi"/>
        </w:rPr>
        <w:t xml:space="preserve"> shows the</w:t>
      </w:r>
      <w:r w:rsidR="00F25F34" w:rsidRPr="00F25F34">
        <w:rPr>
          <w:rFonts w:asciiTheme="minorHAnsi" w:hAnsiTheme="minorHAnsi" w:cstheme="minorHAnsi"/>
        </w:rPr>
        <w:t xml:space="preserve"> </w:t>
      </w:r>
      <w:r w:rsidR="00F25F34">
        <w:rPr>
          <w:rFonts w:asciiTheme="minorHAnsi" w:hAnsiTheme="minorHAnsi" w:cstheme="minorHAnsi"/>
        </w:rPr>
        <w:t>percentage of staff effort required to deliver each output and the subsequent total cost for the</w:t>
      </w:r>
      <w:r>
        <w:rPr>
          <w:rFonts w:asciiTheme="minorHAnsi" w:hAnsiTheme="minorHAnsi" w:cstheme="minorHAnsi"/>
        </w:rPr>
        <w:t xml:space="preserve"> </w:t>
      </w:r>
      <w:r w:rsidRPr="00AF30A2">
        <w:rPr>
          <w:rFonts w:asciiTheme="minorHAnsi" w:hAnsiTheme="minorHAnsi" w:cstheme="minorHAnsi"/>
        </w:rPr>
        <w:t>202</w:t>
      </w:r>
      <w:r>
        <w:rPr>
          <w:rFonts w:asciiTheme="minorHAnsi" w:hAnsiTheme="minorHAnsi" w:cstheme="minorHAnsi"/>
        </w:rPr>
        <w:t>2</w:t>
      </w:r>
      <w:r w:rsidRPr="00AF30A2">
        <w:rPr>
          <w:rFonts w:asciiTheme="minorHAnsi" w:hAnsiTheme="minorHAnsi" w:cstheme="minorHAnsi"/>
        </w:rPr>
        <w:t>-2</w:t>
      </w:r>
      <w:r>
        <w:rPr>
          <w:rFonts w:asciiTheme="minorHAnsi" w:hAnsiTheme="minorHAnsi" w:cstheme="minorHAnsi"/>
        </w:rPr>
        <w:t xml:space="preserve">3, 2023-24 and 2024-25 financial years. </w:t>
      </w:r>
    </w:p>
    <w:p w14:paraId="70F6CD0F" w14:textId="77777777" w:rsidR="00F94186" w:rsidRDefault="00F94186" w:rsidP="00F94186">
      <w:pPr>
        <w:rPr>
          <w:rFonts w:asciiTheme="minorHAnsi" w:hAnsiTheme="minorHAnsi" w:cstheme="minorHAnsi"/>
        </w:rPr>
      </w:pPr>
    </w:p>
    <w:p w14:paraId="2FCA7C4A" w14:textId="77777777" w:rsidR="0023386B" w:rsidRDefault="0023386B" w:rsidP="00F94186">
      <w:pPr>
        <w:rPr>
          <w:rFonts w:asciiTheme="minorHAnsi" w:hAnsiTheme="minorHAnsi" w:cstheme="minorHAnsi"/>
          <w:b/>
          <w:bCs/>
        </w:rPr>
      </w:pPr>
    </w:p>
    <w:p w14:paraId="4725BF05" w14:textId="77777777" w:rsidR="00F94186" w:rsidRDefault="00F94186" w:rsidP="00F94186">
      <w:pPr>
        <w:rPr>
          <w:rFonts w:ascii="Calibri" w:hAnsi="Calibri" w:cs="Calibri"/>
          <w:color w:val="000000"/>
        </w:rPr>
      </w:pPr>
      <w:r>
        <w:rPr>
          <w:rFonts w:asciiTheme="minorHAnsi" w:hAnsiTheme="minorHAnsi" w:cstheme="minorHAnsi"/>
          <w:b/>
          <w:bCs/>
        </w:rPr>
        <w:lastRenderedPageBreak/>
        <w:t>Table 9</w:t>
      </w:r>
      <w:r w:rsidRPr="00AF30A2">
        <w:rPr>
          <w:rFonts w:asciiTheme="minorHAnsi" w:hAnsiTheme="minorHAnsi" w:cstheme="minorHAnsi"/>
        </w:rPr>
        <w:t xml:space="preserve">: Cost allocated to outputs </w:t>
      </w:r>
      <w:r>
        <w:rPr>
          <w:rFonts w:asciiTheme="minorHAnsi" w:hAnsiTheme="minorHAnsi" w:cstheme="minorHAnsi"/>
        </w:rPr>
        <w:t>for</w:t>
      </w:r>
      <w:r w:rsidRPr="00AF30A2">
        <w:rPr>
          <w:rFonts w:asciiTheme="minorHAnsi" w:hAnsiTheme="minorHAnsi" w:cstheme="minorHAnsi"/>
        </w:rPr>
        <w:t xml:space="preserve"> </w:t>
      </w:r>
      <w:r>
        <w:rPr>
          <w:rFonts w:ascii="Calibri" w:hAnsi="Calibri" w:cs="Calibri"/>
          <w:color w:val="000000"/>
        </w:rPr>
        <w:t>2022-23 to 2024-25</w:t>
      </w:r>
    </w:p>
    <w:tbl>
      <w:tblPr>
        <w:tblW w:w="5000" w:type="pct"/>
        <w:tblLook w:val="04A0" w:firstRow="1" w:lastRow="0" w:firstColumn="1" w:lastColumn="0" w:noHBand="0" w:noVBand="1"/>
      </w:tblPr>
      <w:tblGrid>
        <w:gridCol w:w="1310"/>
        <w:gridCol w:w="1075"/>
        <w:gridCol w:w="547"/>
        <w:gridCol w:w="856"/>
        <w:gridCol w:w="856"/>
        <w:gridCol w:w="856"/>
        <w:gridCol w:w="749"/>
        <w:gridCol w:w="749"/>
        <w:gridCol w:w="749"/>
        <w:gridCol w:w="856"/>
        <w:gridCol w:w="856"/>
        <w:gridCol w:w="856"/>
      </w:tblGrid>
      <w:tr w:rsidR="00F94186" w:rsidRPr="009947E9" w14:paraId="52B84691" w14:textId="77777777" w:rsidTr="00F94186">
        <w:trPr>
          <w:trHeight w:val="288"/>
        </w:trPr>
        <w:tc>
          <w:tcPr>
            <w:tcW w:w="1314" w:type="pct"/>
            <w:tcBorders>
              <w:top w:val="single" w:sz="8" w:space="0" w:color="4F81BD"/>
              <w:left w:val="single" w:sz="8" w:space="0" w:color="4F81BD"/>
              <w:bottom w:val="nil"/>
              <w:right w:val="nil"/>
            </w:tcBorders>
            <w:shd w:val="clear" w:color="000000" w:fill="4F81BD"/>
            <w:vAlign w:val="center"/>
            <w:hideMark/>
          </w:tcPr>
          <w:p w14:paraId="0E1E055A" w14:textId="77777777" w:rsidR="00F94186" w:rsidRPr="0010026A" w:rsidRDefault="00F94186" w:rsidP="00F94186">
            <w:pPr>
              <w:jc w:val="center"/>
              <w:rPr>
                <w:rFonts w:ascii="Calibri" w:hAnsi="Calibri" w:cs="Calibri"/>
                <w:b/>
                <w:bCs/>
                <w:color w:val="FFFFFF"/>
                <w:sz w:val="14"/>
                <w:szCs w:val="14"/>
                <w:lang w:eastAsia="en-AU"/>
              </w:rPr>
            </w:pPr>
            <w:r w:rsidRPr="0010026A">
              <w:rPr>
                <w:rFonts w:ascii="Calibri" w:hAnsi="Calibri" w:cs="Calibri"/>
                <w:b/>
                <w:bCs/>
                <w:color w:val="FFFFFF"/>
                <w:sz w:val="14"/>
                <w:szCs w:val="14"/>
                <w:lang w:eastAsia="en-AU"/>
              </w:rPr>
              <w:t>Output No:</w:t>
            </w:r>
          </w:p>
        </w:tc>
        <w:tc>
          <w:tcPr>
            <w:tcW w:w="420" w:type="pct"/>
            <w:tcBorders>
              <w:top w:val="single" w:sz="8" w:space="0" w:color="4F81BD"/>
              <w:left w:val="single" w:sz="8" w:space="0" w:color="4F81BD"/>
              <w:bottom w:val="nil"/>
              <w:right w:val="nil"/>
            </w:tcBorders>
            <w:shd w:val="clear" w:color="000000" w:fill="4F81BD"/>
            <w:vAlign w:val="center"/>
            <w:hideMark/>
          </w:tcPr>
          <w:p w14:paraId="30BFFBB4" w14:textId="77777777" w:rsidR="00F94186" w:rsidRPr="0010026A" w:rsidRDefault="00F94186" w:rsidP="00F94186">
            <w:pPr>
              <w:jc w:val="center"/>
              <w:rPr>
                <w:rFonts w:ascii="Calibri" w:hAnsi="Calibri" w:cs="Calibri"/>
                <w:b/>
                <w:bCs/>
                <w:color w:val="FFFFFF"/>
                <w:sz w:val="14"/>
                <w:szCs w:val="14"/>
                <w:lang w:eastAsia="en-AU"/>
              </w:rPr>
            </w:pPr>
            <w:r w:rsidRPr="0010026A">
              <w:rPr>
                <w:rFonts w:ascii="Calibri" w:hAnsi="Calibri" w:cs="Calibri"/>
                <w:b/>
                <w:bCs/>
                <w:color w:val="FFFFFF"/>
                <w:sz w:val="14"/>
                <w:szCs w:val="14"/>
                <w:lang w:eastAsia="en-AU"/>
              </w:rPr>
              <w:t>Output</w:t>
            </w:r>
          </w:p>
        </w:tc>
        <w:tc>
          <w:tcPr>
            <w:tcW w:w="672" w:type="pct"/>
            <w:vMerge w:val="restart"/>
            <w:tcBorders>
              <w:top w:val="single" w:sz="8" w:space="0" w:color="4F81BD"/>
              <w:left w:val="nil"/>
              <w:bottom w:val="single" w:sz="8" w:space="0" w:color="4F81BD"/>
              <w:right w:val="nil"/>
            </w:tcBorders>
            <w:shd w:val="clear" w:color="000000" w:fill="4F81BD"/>
            <w:vAlign w:val="center"/>
            <w:hideMark/>
          </w:tcPr>
          <w:p w14:paraId="5027F019" w14:textId="77777777" w:rsidR="00F94186" w:rsidRPr="0010026A" w:rsidRDefault="00F94186" w:rsidP="00F94186">
            <w:pPr>
              <w:jc w:val="center"/>
              <w:rPr>
                <w:rFonts w:ascii="Calibri" w:hAnsi="Calibri" w:cs="Calibri"/>
                <w:b/>
                <w:bCs/>
                <w:color w:val="FFFFFF"/>
                <w:sz w:val="14"/>
                <w:szCs w:val="14"/>
                <w:lang w:eastAsia="en-AU"/>
              </w:rPr>
            </w:pPr>
            <w:r w:rsidRPr="0010026A">
              <w:rPr>
                <w:rFonts w:ascii="Calibri" w:hAnsi="Calibri" w:cs="Calibri"/>
                <w:b/>
                <w:bCs/>
                <w:color w:val="FFFFFF"/>
                <w:sz w:val="14"/>
                <w:szCs w:val="14"/>
                <w:lang w:eastAsia="en-AU"/>
              </w:rPr>
              <w:t>% Effort</w:t>
            </w:r>
          </w:p>
        </w:tc>
        <w:tc>
          <w:tcPr>
            <w:tcW w:w="1008" w:type="pct"/>
            <w:gridSpan w:val="3"/>
            <w:tcBorders>
              <w:top w:val="single" w:sz="8" w:space="0" w:color="4F81BD"/>
              <w:left w:val="nil"/>
              <w:bottom w:val="nil"/>
              <w:right w:val="nil"/>
            </w:tcBorders>
            <w:shd w:val="clear" w:color="000000" w:fill="4F81BD"/>
            <w:vAlign w:val="center"/>
            <w:hideMark/>
          </w:tcPr>
          <w:p w14:paraId="2732C267" w14:textId="77777777" w:rsidR="00F94186" w:rsidRPr="0010026A" w:rsidRDefault="00F94186" w:rsidP="00F94186">
            <w:pPr>
              <w:jc w:val="center"/>
              <w:rPr>
                <w:rFonts w:ascii="Calibri" w:hAnsi="Calibri" w:cs="Calibri"/>
                <w:b/>
                <w:bCs/>
                <w:color w:val="FFFFFF"/>
                <w:sz w:val="14"/>
                <w:szCs w:val="14"/>
                <w:lang w:eastAsia="en-AU"/>
              </w:rPr>
            </w:pPr>
            <w:r w:rsidRPr="0010026A">
              <w:rPr>
                <w:rFonts w:ascii="Calibri" w:hAnsi="Calibri" w:cs="Calibri"/>
                <w:b/>
                <w:bCs/>
                <w:color w:val="FFFFFF"/>
                <w:sz w:val="14"/>
                <w:szCs w:val="14"/>
                <w:lang w:eastAsia="en-AU"/>
              </w:rPr>
              <w:t>Direct Costs</w:t>
            </w:r>
          </w:p>
        </w:tc>
        <w:tc>
          <w:tcPr>
            <w:tcW w:w="711" w:type="pct"/>
            <w:gridSpan w:val="3"/>
            <w:tcBorders>
              <w:top w:val="single" w:sz="8" w:space="0" w:color="4F81BD"/>
              <w:left w:val="nil"/>
              <w:bottom w:val="nil"/>
              <w:right w:val="nil"/>
            </w:tcBorders>
            <w:shd w:val="clear" w:color="000000" w:fill="4F81BD"/>
            <w:vAlign w:val="center"/>
            <w:hideMark/>
          </w:tcPr>
          <w:p w14:paraId="6158C2A8" w14:textId="77777777" w:rsidR="00F94186" w:rsidRPr="0010026A" w:rsidRDefault="00F94186" w:rsidP="00F94186">
            <w:pPr>
              <w:jc w:val="center"/>
              <w:rPr>
                <w:rFonts w:ascii="Calibri" w:hAnsi="Calibri" w:cs="Calibri"/>
                <w:b/>
                <w:bCs/>
                <w:color w:val="FFFFFF"/>
                <w:sz w:val="14"/>
                <w:szCs w:val="14"/>
                <w:lang w:eastAsia="en-AU"/>
              </w:rPr>
            </w:pPr>
            <w:r w:rsidRPr="0010026A">
              <w:rPr>
                <w:rFonts w:ascii="Calibri" w:hAnsi="Calibri" w:cs="Calibri"/>
                <w:b/>
                <w:bCs/>
                <w:color w:val="FFFFFF"/>
                <w:sz w:val="14"/>
                <w:szCs w:val="14"/>
                <w:lang w:eastAsia="en-AU"/>
              </w:rPr>
              <w:t>Marginal (Indirect) Costs</w:t>
            </w:r>
          </w:p>
        </w:tc>
        <w:tc>
          <w:tcPr>
            <w:tcW w:w="875" w:type="pct"/>
            <w:gridSpan w:val="3"/>
            <w:tcBorders>
              <w:top w:val="single" w:sz="8" w:space="0" w:color="4F81BD"/>
              <w:left w:val="nil"/>
              <w:bottom w:val="nil"/>
              <w:right w:val="single" w:sz="8" w:space="0" w:color="4F81BD"/>
            </w:tcBorders>
            <w:shd w:val="clear" w:color="000000" w:fill="4F81BD"/>
            <w:vAlign w:val="center"/>
            <w:hideMark/>
          </w:tcPr>
          <w:p w14:paraId="25308DAF" w14:textId="77777777" w:rsidR="00F94186" w:rsidRPr="0010026A" w:rsidRDefault="00F94186" w:rsidP="00F94186">
            <w:pPr>
              <w:jc w:val="center"/>
              <w:rPr>
                <w:rFonts w:ascii="Calibri" w:hAnsi="Calibri" w:cs="Calibri"/>
                <w:b/>
                <w:bCs/>
                <w:color w:val="FFFFFF"/>
                <w:sz w:val="14"/>
                <w:szCs w:val="14"/>
                <w:lang w:eastAsia="en-AU"/>
              </w:rPr>
            </w:pPr>
            <w:r w:rsidRPr="0010026A">
              <w:rPr>
                <w:rFonts w:ascii="Calibri" w:hAnsi="Calibri" w:cs="Calibri"/>
                <w:b/>
                <w:bCs/>
                <w:color w:val="FFFFFF"/>
                <w:sz w:val="14"/>
                <w:szCs w:val="14"/>
                <w:lang w:eastAsia="en-AU"/>
              </w:rPr>
              <w:t>Total</w:t>
            </w:r>
          </w:p>
        </w:tc>
      </w:tr>
      <w:tr w:rsidR="00F94186" w:rsidRPr="009947E9" w14:paraId="47638638" w14:textId="77777777" w:rsidTr="00F94186">
        <w:trPr>
          <w:trHeight w:val="300"/>
        </w:trPr>
        <w:tc>
          <w:tcPr>
            <w:tcW w:w="1314" w:type="pct"/>
            <w:tcBorders>
              <w:top w:val="nil"/>
              <w:left w:val="single" w:sz="8" w:space="0" w:color="4F81BD"/>
              <w:bottom w:val="single" w:sz="8" w:space="0" w:color="4F81BD"/>
              <w:right w:val="nil"/>
            </w:tcBorders>
            <w:shd w:val="clear" w:color="000000" w:fill="4F81BD"/>
            <w:vAlign w:val="center"/>
            <w:hideMark/>
          </w:tcPr>
          <w:p w14:paraId="02781A45" w14:textId="77777777" w:rsidR="00F94186" w:rsidRPr="0010026A" w:rsidRDefault="00F94186" w:rsidP="00F94186">
            <w:pPr>
              <w:jc w:val="center"/>
              <w:rPr>
                <w:rFonts w:ascii="Calibri" w:hAnsi="Calibri" w:cs="Calibri"/>
                <w:b/>
                <w:bCs/>
                <w:color w:val="FFFFFF"/>
                <w:sz w:val="14"/>
                <w:szCs w:val="14"/>
                <w:lang w:eastAsia="en-AU"/>
              </w:rPr>
            </w:pPr>
            <w:r w:rsidRPr="0010026A">
              <w:rPr>
                <w:rFonts w:ascii="Calibri" w:hAnsi="Calibri" w:cs="Calibri"/>
                <w:b/>
                <w:bCs/>
                <w:color w:val="FFFFFF"/>
                <w:sz w:val="14"/>
                <w:szCs w:val="14"/>
                <w:lang w:eastAsia="en-AU"/>
              </w:rPr>
              <w:t> </w:t>
            </w:r>
          </w:p>
        </w:tc>
        <w:tc>
          <w:tcPr>
            <w:tcW w:w="420" w:type="pct"/>
            <w:tcBorders>
              <w:top w:val="nil"/>
              <w:left w:val="single" w:sz="8" w:space="0" w:color="4F81BD"/>
              <w:bottom w:val="single" w:sz="8" w:space="0" w:color="4F81BD"/>
              <w:right w:val="nil"/>
            </w:tcBorders>
            <w:shd w:val="clear" w:color="000000" w:fill="4F81BD"/>
            <w:vAlign w:val="center"/>
            <w:hideMark/>
          </w:tcPr>
          <w:p w14:paraId="54948AA1" w14:textId="77777777" w:rsidR="00F94186" w:rsidRPr="0010026A" w:rsidRDefault="00F94186" w:rsidP="00F94186">
            <w:pPr>
              <w:jc w:val="center"/>
              <w:rPr>
                <w:rFonts w:ascii="Calibri" w:hAnsi="Calibri" w:cs="Calibri"/>
                <w:b/>
                <w:bCs/>
                <w:color w:val="FFFFFF"/>
                <w:sz w:val="14"/>
                <w:szCs w:val="14"/>
                <w:lang w:eastAsia="en-AU"/>
              </w:rPr>
            </w:pPr>
            <w:r w:rsidRPr="0010026A">
              <w:rPr>
                <w:rFonts w:ascii="Calibri" w:hAnsi="Calibri" w:cs="Calibri"/>
                <w:b/>
                <w:bCs/>
                <w:color w:val="FFFFFF"/>
                <w:sz w:val="14"/>
                <w:szCs w:val="14"/>
                <w:lang w:eastAsia="en-AU"/>
              </w:rPr>
              <w:t> </w:t>
            </w:r>
          </w:p>
        </w:tc>
        <w:tc>
          <w:tcPr>
            <w:tcW w:w="672" w:type="pct"/>
            <w:vMerge/>
            <w:tcBorders>
              <w:top w:val="nil"/>
              <w:left w:val="single" w:sz="8" w:space="0" w:color="4F81BD"/>
              <w:bottom w:val="single" w:sz="8" w:space="0" w:color="4F81BD"/>
              <w:right w:val="nil"/>
            </w:tcBorders>
            <w:vAlign w:val="center"/>
            <w:hideMark/>
          </w:tcPr>
          <w:p w14:paraId="619719DB" w14:textId="77777777" w:rsidR="00F94186" w:rsidRPr="0010026A" w:rsidRDefault="00F94186" w:rsidP="00F94186">
            <w:pPr>
              <w:rPr>
                <w:rFonts w:ascii="Calibri" w:hAnsi="Calibri" w:cs="Calibri"/>
                <w:b/>
                <w:bCs/>
                <w:color w:val="FFFFFF"/>
                <w:sz w:val="14"/>
                <w:szCs w:val="14"/>
                <w:lang w:eastAsia="en-AU"/>
              </w:rPr>
            </w:pPr>
          </w:p>
        </w:tc>
        <w:tc>
          <w:tcPr>
            <w:tcW w:w="1008" w:type="pct"/>
            <w:gridSpan w:val="3"/>
            <w:tcBorders>
              <w:top w:val="nil"/>
              <w:left w:val="nil"/>
              <w:bottom w:val="single" w:sz="8" w:space="0" w:color="4F81BD"/>
              <w:right w:val="nil"/>
            </w:tcBorders>
            <w:shd w:val="clear" w:color="000000" w:fill="4F81BD"/>
            <w:vAlign w:val="center"/>
            <w:hideMark/>
          </w:tcPr>
          <w:p w14:paraId="7CC7CF74" w14:textId="77777777" w:rsidR="00F94186" w:rsidRPr="0010026A" w:rsidRDefault="00F94186" w:rsidP="00F94186">
            <w:pPr>
              <w:jc w:val="center"/>
              <w:rPr>
                <w:rFonts w:ascii="Calibri" w:hAnsi="Calibri" w:cs="Calibri"/>
                <w:color w:val="FFFFFF"/>
                <w:sz w:val="14"/>
                <w:szCs w:val="14"/>
                <w:lang w:eastAsia="en-AU"/>
              </w:rPr>
            </w:pPr>
            <w:r w:rsidRPr="0010026A">
              <w:rPr>
                <w:rFonts w:ascii="Calibri" w:hAnsi="Calibri" w:cs="Calibri"/>
                <w:color w:val="FFFFFF"/>
                <w:sz w:val="14"/>
                <w:szCs w:val="14"/>
                <w:lang w:eastAsia="en-AU"/>
              </w:rPr>
              <w:t>20</w:t>
            </w:r>
            <w:r w:rsidRPr="0010026A">
              <w:rPr>
                <w:rFonts w:ascii="Calibri" w:hAnsi="Calibri" w:cs="Calibri"/>
                <w:b/>
                <w:bCs/>
                <w:color w:val="FFFFFF"/>
                <w:sz w:val="14"/>
                <w:szCs w:val="14"/>
                <w:lang w:eastAsia="en-AU"/>
              </w:rPr>
              <w:t xml:space="preserve">22-23           </w:t>
            </w:r>
            <w:r w:rsidRPr="0010026A">
              <w:rPr>
                <w:rFonts w:ascii="Calibri" w:hAnsi="Calibri" w:cs="Calibri"/>
                <w:color w:val="FFFFFF"/>
                <w:sz w:val="14"/>
                <w:szCs w:val="14"/>
                <w:lang w:eastAsia="en-AU"/>
              </w:rPr>
              <w:t>20</w:t>
            </w:r>
            <w:r w:rsidRPr="0010026A">
              <w:rPr>
                <w:rFonts w:ascii="Calibri" w:hAnsi="Calibri" w:cs="Calibri"/>
                <w:b/>
                <w:bCs/>
                <w:color w:val="FFFFFF"/>
                <w:sz w:val="14"/>
                <w:szCs w:val="14"/>
                <w:lang w:eastAsia="en-AU"/>
              </w:rPr>
              <w:t xml:space="preserve">23-24          </w:t>
            </w:r>
            <w:r w:rsidRPr="0010026A">
              <w:rPr>
                <w:rFonts w:ascii="Calibri" w:hAnsi="Calibri" w:cs="Calibri"/>
                <w:color w:val="FFFFFF"/>
                <w:sz w:val="14"/>
                <w:szCs w:val="14"/>
                <w:lang w:eastAsia="en-AU"/>
              </w:rPr>
              <w:t>20</w:t>
            </w:r>
            <w:r w:rsidRPr="0010026A">
              <w:rPr>
                <w:rFonts w:ascii="Calibri" w:hAnsi="Calibri" w:cs="Calibri"/>
                <w:b/>
                <w:bCs/>
                <w:color w:val="FFFFFF"/>
                <w:sz w:val="14"/>
                <w:szCs w:val="14"/>
                <w:lang w:eastAsia="en-AU"/>
              </w:rPr>
              <w:t>24-25</w:t>
            </w:r>
          </w:p>
        </w:tc>
        <w:tc>
          <w:tcPr>
            <w:tcW w:w="711" w:type="pct"/>
            <w:gridSpan w:val="3"/>
            <w:tcBorders>
              <w:top w:val="nil"/>
              <w:left w:val="nil"/>
              <w:bottom w:val="single" w:sz="8" w:space="0" w:color="4F81BD"/>
              <w:right w:val="nil"/>
            </w:tcBorders>
            <w:shd w:val="clear" w:color="000000" w:fill="4F81BD"/>
            <w:vAlign w:val="center"/>
            <w:hideMark/>
          </w:tcPr>
          <w:p w14:paraId="186EA0BC" w14:textId="77777777" w:rsidR="00F94186" w:rsidRPr="0010026A" w:rsidRDefault="00F94186" w:rsidP="00F94186">
            <w:pPr>
              <w:jc w:val="center"/>
              <w:rPr>
                <w:rFonts w:ascii="Calibri" w:hAnsi="Calibri" w:cs="Calibri"/>
                <w:color w:val="FFFFFF"/>
                <w:sz w:val="14"/>
                <w:szCs w:val="14"/>
                <w:lang w:eastAsia="en-AU"/>
              </w:rPr>
            </w:pPr>
            <w:r w:rsidRPr="0010026A">
              <w:rPr>
                <w:rFonts w:ascii="Calibri" w:hAnsi="Calibri" w:cs="Calibri"/>
                <w:color w:val="FFFFFF"/>
                <w:sz w:val="14"/>
                <w:szCs w:val="14"/>
                <w:lang w:eastAsia="en-AU"/>
              </w:rPr>
              <w:t>20</w:t>
            </w:r>
            <w:r w:rsidRPr="0010026A">
              <w:rPr>
                <w:rFonts w:ascii="Calibri" w:hAnsi="Calibri" w:cs="Calibri"/>
                <w:b/>
                <w:bCs/>
                <w:color w:val="FFFFFF"/>
                <w:sz w:val="14"/>
                <w:szCs w:val="14"/>
                <w:lang w:eastAsia="en-AU"/>
              </w:rPr>
              <w:t xml:space="preserve">22-23      </w:t>
            </w:r>
            <w:r w:rsidRPr="0010026A">
              <w:rPr>
                <w:rFonts w:ascii="Calibri" w:hAnsi="Calibri" w:cs="Calibri"/>
                <w:color w:val="FFFFFF"/>
                <w:sz w:val="14"/>
                <w:szCs w:val="14"/>
                <w:lang w:eastAsia="en-AU"/>
              </w:rPr>
              <w:t>20</w:t>
            </w:r>
            <w:r w:rsidRPr="0010026A">
              <w:rPr>
                <w:rFonts w:ascii="Calibri" w:hAnsi="Calibri" w:cs="Calibri"/>
                <w:b/>
                <w:bCs/>
                <w:color w:val="FFFFFF"/>
                <w:sz w:val="14"/>
                <w:szCs w:val="14"/>
                <w:lang w:eastAsia="en-AU"/>
              </w:rPr>
              <w:t xml:space="preserve">23-24         </w:t>
            </w:r>
            <w:r w:rsidRPr="0010026A">
              <w:rPr>
                <w:rFonts w:ascii="Calibri" w:hAnsi="Calibri" w:cs="Calibri"/>
                <w:color w:val="FFFFFF"/>
                <w:sz w:val="14"/>
                <w:szCs w:val="14"/>
                <w:lang w:eastAsia="en-AU"/>
              </w:rPr>
              <w:t>20</w:t>
            </w:r>
            <w:r w:rsidRPr="0010026A">
              <w:rPr>
                <w:rFonts w:ascii="Calibri" w:hAnsi="Calibri" w:cs="Calibri"/>
                <w:b/>
                <w:bCs/>
                <w:color w:val="FFFFFF"/>
                <w:sz w:val="14"/>
                <w:szCs w:val="14"/>
                <w:lang w:eastAsia="en-AU"/>
              </w:rPr>
              <w:t>24-25</w:t>
            </w:r>
          </w:p>
        </w:tc>
        <w:tc>
          <w:tcPr>
            <w:tcW w:w="875" w:type="pct"/>
            <w:gridSpan w:val="3"/>
            <w:tcBorders>
              <w:top w:val="nil"/>
              <w:left w:val="nil"/>
              <w:bottom w:val="single" w:sz="8" w:space="0" w:color="4F81BD"/>
              <w:right w:val="single" w:sz="8" w:space="0" w:color="4F81BD"/>
            </w:tcBorders>
            <w:shd w:val="clear" w:color="000000" w:fill="4F81BD"/>
            <w:vAlign w:val="center"/>
            <w:hideMark/>
          </w:tcPr>
          <w:p w14:paraId="67190F0E" w14:textId="77777777" w:rsidR="00F94186" w:rsidRPr="0010026A" w:rsidRDefault="00F94186" w:rsidP="00F94186">
            <w:pPr>
              <w:jc w:val="center"/>
              <w:rPr>
                <w:rFonts w:ascii="Calibri" w:hAnsi="Calibri" w:cs="Calibri"/>
                <w:color w:val="FFFFFF"/>
                <w:sz w:val="14"/>
                <w:szCs w:val="14"/>
                <w:lang w:eastAsia="en-AU"/>
              </w:rPr>
            </w:pPr>
            <w:r w:rsidRPr="0010026A">
              <w:rPr>
                <w:rFonts w:ascii="Calibri" w:hAnsi="Calibri" w:cs="Calibri"/>
                <w:color w:val="FFFFFF"/>
                <w:sz w:val="14"/>
                <w:szCs w:val="14"/>
                <w:lang w:eastAsia="en-AU"/>
              </w:rPr>
              <w:t>20</w:t>
            </w:r>
            <w:r w:rsidRPr="0010026A">
              <w:rPr>
                <w:rFonts w:ascii="Calibri" w:hAnsi="Calibri" w:cs="Calibri"/>
                <w:b/>
                <w:bCs/>
                <w:color w:val="FFFFFF"/>
                <w:sz w:val="14"/>
                <w:szCs w:val="14"/>
                <w:lang w:eastAsia="en-AU"/>
              </w:rPr>
              <w:t xml:space="preserve">22-23           </w:t>
            </w:r>
            <w:r w:rsidRPr="0010026A">
              <w:rPr>
                <w:rFonts w:ascii="Calibri" w:hAnsi="Calibri" w:cs="Calibri"/>
                <w:color w:val="FFFFFF"/>
                <w:sz w:val="14"/>
                <w:szCs w:val="14"/>
                <w:lang w:eastAsia="en-AU"/>
              </w:rPr>
              <w:t>20</w:t>
            </w:r>
            <w:r w:rsidRPr="0010026A">
              <w:rPr>
                <w:rFonts w:ascii="Calibri" w:hAnsi="Calibri" w:cs="Calibri"/>
                <w:b/>
                <w:bCs/>
                <w:color w:val="FFFFFF"/>
                <w:sz w:val="14"/>
                <w:szCs w:val="14"/>
                <w:lang w:eastAsia="en-AU"/>
              </w:rPr>
              <w:t xml:space="preserve">23-24          </w:t>
            </w:r>
            <w:r w:rsidRPr="0010026A">
              <w:rPr>
                <w:rFonts w:ascii="Calibri" w:hAnsi="Calibri" w:cs="Calibri"/>
                <w:color w:val="FFFFFF"/>
                <w:sz w:val="14"/>
                <w:szCs w:val="14"/>
                <w:lang w:eastAsia="en-AU"/>
              </w:rPr>
              <w:t>20</w:t>
            </w:r>
            <w:r w:rsidRPr="0010026A">
              <w:rPr>
                <w:rFonts w:ascii="Calibri" w:hAnsi="Calibri" w:cs="Calibri"/>
                <w:b/>
                <w:bCs/>
                <w:color w:val="FFFFFF"/>
                <w:sz w:val="14"/>
                <w:szCs w:val="14"/>
                <w:lang w:eastAsia="en-AU"/>
              </w:rPr>
              <w:t>24-25</w:t>
            </w:r>
          </w:p>
        </w:tc>
      </w:tr>
      <w:tr w:rsidR="00F94186" w:rsidRPr="009947E9" w14:paraId="1AB0D270" w14:textId="77777777" w:rsidTr="00F94186">
        <w:trPr>
          <w:trHeight w:val="492"/>
        </w:trPr>
        <w:tc>
          <w:tcPr>
            <w:tcW w:w="1314" w:type="pct"/>
            <w:tcBorders>
              <w:top w:val="nil"/>
              <w:left w:val="single" w:sz="8" w:space="0" w:color="95B3D7"/>
              <w:bottom w:val="single" w:sz="8" w:space="0" w:color="95B3D7"/>
              <w:right w:val="single" w:sz="8" w:space="0" w:color="95B3D7"/>
            </w:tcBorders>
            <w:shd w:val="clear" w:color="000000" w:fill="DBE5F1"/>
            <w:vAlign w:val="center"/>
            <w:hideMark/>
          </w:tcPr>
          <w:p w14:paraId="5020EF08"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1</w:t>
            </w:r>
          </w:p>
        </w:tc>
        <w:tc>
          <w:tcPr>
            <w:tcW w:w="420" w:type="pct"/>
            <w:tcBorders>
              <w:top w:val="nil"/>
              <w:left w:val="nil"/>
              <w:bottom w:val="single" w:sz="8" w:space="0" w:color="95B3D7"/>
              <w:right w:val="single" w:sz="8" w:space="0" w:color="95B3D7"/>
            </w:tcBorders>
            <w:shd w:val="clear" w:color="000000" w:fill="DBE5F1"/>
            <w:vAlign w:val="center"/>
            <w:hideMark/>
          </w:tcPr>
          <w:p w14:paraId="1A7ED3D6"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Declaration of an area</w:t>
            </w:r>
          </w:p>
        </w:tc>
        <w:tc>
          <w:tcPr>
            <w:tcW w:w="672" w:type="pct"/>
            <w:tcBorders>
              <w:top w:val="single" w:sz="8" w:space="0" w:color="4F81BD"/>
              <w:left w:val="nil"/>
              <w:bottom w:val="single" w:sz="8" w:space="0" w:color="95B3D7"/>
              <w:right w:val="single" w:sz="8" w:space="0" w:color="95B3D7"/>
            </w:tcBorders>
            <w:shd w:val="clear" w:color="000000" w:fill="DBE5F1"/>
            <w:vAlign w:val="center"/>
            <w:hideMark/>
          </w:tcPr>
          <w:p w14:paraId="0E9168A0" w14:textId="77777777" w:rsidR="00F94186" w:rsidRPr="0010026A" w:rsidRDefault="00F94186" w:rsidP="00F94186">
            <w:pPr>
              <w:jc w:val="center"/>
              <w:rPr>
                <w:rFonts w:ascii="Calibri" w:hAnsi="Calibri" w:cs="Calibri"/>
                <w:color w:val="17365D"/>
                <w:sz w:val="14"/>
                <w:szCs w:val="14"/>
                <w:lang w:eastAsia="en-AU"/>
              </w:rPr>
            </w:pPr>
            <w:r w:rsidRPr="0010026A">
              <w:rPr>
                <w:rFonts w:ascii="Calibri" w:hAnsi="Calibri" w:cs="Calibri"/>
                <w:color w:val="17365D"/>
                <w:sz w:val="14"/>
                <w:szCs w:val="14"/>
                <w:lang w:eastAsia="en-AU"/>
              </w:rPr>
              <w:t>41</w:t>
            </w:r>
          </w:p>
        </w:tc>
        <w:tc>
          <w:tcPr>
            <w:tcW w:w="336" w:type="pct"/>
            <w:tcBorders>
              <w:top w:val="nil"/>
              <w:left w:val="nil"/>
              <w:bottom w:val="single" w:sz="8" w:space="0" w:color="95B3D7"/>
              <w:right w:val="single" w:sz="8" w:space="0" w:color="95B3D7"/>
            </w:tcBorders>
            <w:shd w:val="clear" w:color="000000" w:fill="DBE5F1"/>
            <w:vAlign w:val="center"/>
            <w:hideMark/>
          </w:tcPr>
          <w:p w14:paraId="7B677838" w14:textId="77777777" w:rsidR="00F94186" w:rsidRPr="0010026A" w:rsidRDefault="00F94186" w:rsidP="00F94186">
            <w:pPr>
              <w:jc w:val="center"/>
              <w:rPr>
                <w:rFonts w:ascii="Calibri" w:hAnsi="Calibri" w:cs="Calibri"/>
                <w:color w:val="17365D"/>
                <w:sz w:val="14"/>
                <w:szCs w:val="14"/>
                <w:lang w:eastAsia="en-AU"/>
              </w:rPr>
            </w:pPr>
            <w:r w:rsidRPr="0010026A">
              <w:rPr>
                <w:rFonts w:ascii="Calibri" w:hAnsi="Calibri" w:cs="Calibri"/>
                <w:color w:val="17365D"/>
                <w:sz w:val="14"/>
                <w:szCs w:val="14"/>
                <w:lang w:eastAsia="en-AU"/>
              </w:rPr>
              <w:t>$637,505</w:t>
            </w:r>
          </w:p>
        </w:tc>
        <w:tc>
          <w:tcPr>
            <w:tcW w:w="336" w:type="pct"/>
            <w:tcBorders>
              <w:top w:val="nil"/>
              <w:left w:val="nil"/>
              <w:bottom w:val="single" w:sz="8" w:space="0" w:color="95B3D7"/>
              <w:right w:val="single" w:sz="8" w:space="0" w:color="95B3D7"/>
            </w:tcBorders>
            <w:shd w:val="clear" w:color="000000" w:fill="DBE5F1"/>
            <w:vAlign w:val="center"/>
            <w:hideMark/>
          </w:tcPr>
          <w:p w14:paraId="4B7C0217" w14:textId="77777777" w:rsidR="00F94186" w:rsidRPr="0010026A" w:rsidRDefault="00F94186" w:rsidP="00F94186">
            <w:pPr>
              <w:jc w:val="center"/>
              <w:rPr>
                <w:rFonts w:ascii="Calibri" w:hAnsi="Calibri" w:cs="Calibri"/>
                <w:color w:val="17365D"/>
                <w:sz w:val="14"/>
                <w:szCs w:val="14"/>
                <w:lang w:eastAsia="en-AU"/>
              </w:rPr>
            </w:pPr>
            <w:r w:rsidRPr="0010026A">
              <w:rPr>
                <w:rFonts w:ascii="Calibri" w:hAnsi="Calibri" w:cs="Calibri"/>
                <w:color w:val="17365D"/>
                <w:sz w:val="14"/>
                <w:szCs w:val="14"/>
                <w:lang w:eastAsia="en-AU"/>
              </w:rPr>
              <w:t>$640,588</w:t>
            </w:r>
          </w:p>
        </w:tc>
        <w:tc>
          <w:tcPr>
            <w:tcW w:w="336" w:type="pct"/>
            <w:tcBorders>
              <w:top w:val="nil"/>
              <w:left w:val="nil"/>
              <w:bottom w:val="single" w:sz="8" w:space="0" w:color="95B3D7"/>
              <w:right w:val="single" w:sz="8" w:space="0" w:color="95B3D7"/>
            </w:tcBorders>
            <w:shd w:val="clear" w:color="000000" w:fill="DBE5F1"/>
            <w:vAlign w:val="center"/>
            <w:hideMark/>
          </w:tcPr>
          <w:p w14:paraId="6F690F09" w14:textId="77777777" w:rsidR="00F94186" w:rsidRPr="0010026A" w:rsidRDefault="00F94186" w:rsidP="00F94186">
            <w:pPr>
              <w:jc w:val="center"/>
              <w:rPr>
                <w:rFonts w:ascii="Calibri" w:hAnsi="Calibri" w:cs="Calibri"/>
                <w:color w:val="17365D"/>
                <w:sz w:val="14"/>
                <w:szCs w:val="14"/>
                <w:lang w:eastAsia="en-AU"/>
              </w:rPr>
            </w:pPr>
            <w:r w:rsidRPr="0010026A">
              <w:rPr>
                <w:rFonts w:ascii="Calibri" w:hAnsi="Calibri" w:cs="Calibri"/>
                <w:color w:val="17365D"/>
                <w:sz w:val="14"/>
                <w:szCs w:val="14"/>
                <w:lang w:eastAsia="en-AU"/>
              </w:rPr>
              <w:t>$644,715</w:t>
            </w:r>
          </w:p>
        </w:tc>
        <w:tc>
          <w:tcPr>
            <w:tcW w:w="237" w:type="pct"/>
            <w:tcBorders>
              <w:top w:val="nil"/>
              <w:left w:val="nil"/>
              <w:bottom w:val="single" w:sz="8" w:space="0" w:color="95B3D7"/>
              <w:right w:val="single" w:sz="8" w:space="0" w:color="95B3D7"/>
            </w:tcBorders>
            <w:shd w:val="clear" w:color="000000" w:fill="DBE5F1"/>
            <w:vAlign w:val="center"/>
            <w:hideMark/>
          </w:tcPr>
          <w:p w14:paraId="2C72AE94" w14:textId="77777777" w:rsidR="00F94186" w:rsidRPr="0010026A" w:rsidRDefault="00F94186" w:rsidP="00F94186">
            <w:pPr>
              <w:jc w:val="center"/>
              <w:rPr>
                <w:rFonts w:ascii="Calibri" w:hAnsi="Calibri" w:cs="Calibri"/>
                <w:color w:val="17365D"/>
                <w:sz w:val="14"/>
                <w:szCs w:val="14"/>
                <w:lang w:eastAsia="en-AU"/>
              </w:rPr>
            </w:pPr>
            <w:r w:rsidRPr="0010026A">
              <w:rPr>
                <w:rFonts w:ascii="Calibri" w:hAnsi="Calibri" w:cs="Calibri"/>
                <w:color w:val="17365D"/>
                <w:sz w:val="14"/>
                <w:szCs w:val="14"/>
                <w:lang w:eastAsia="en-AU"/>
              </w:rPr>
              <w:t>$135,620</w:t>
            </w:r>
          </w:p>
        </w:tc>
        <w:tc>
          <w:tcPr>
            <w:tcW w:w="237" w:type="pct"/>
            <w:tcBorders>
              <w:top w:val="nil"/>
              <w:left w:val="nil"/>
              <w:bottom w:val="single" w:sz="8" w:space="0" w:color="95B3D7"/>
              <w:right w:val="single" w:sz="8" w:space="0" w:color="95B3D7"/>
            </w:tcBorders>
            <w:shd w:val="clear" w:color="000000" w:fill="DBE5F1"/>
            <w:vAlign w:val="center"/>
            <w:hideMark/>
          </w:tcPr>
          <w:p w14:paraId="46A0233B" w14:textId="77777777" w:rsidR="00F94186" w:rsidRPr="0010026A" w:rsidRDefault="00F94186" w:rsidP="00F94186">
            <w:pPr>
              <w:jc w:val="center"/>
              <w:rPr>
                <w:rFonts w:ascii="Calibri" w:hAnsi="Calibri" w:cs="Calibri"/>
                <w:color w:val="17365D"/>
                <w:sz w:val="14"/>
                <w:szCs w:val="14"/>
                <w:lang w:eastAsia="en-AU"/>
              </w:rPr>
            </w:pPr>
            <w:r w:rsidRPr="0010026A">
              <w:rPr>
                <w:rFonts w:ascii="Calibri" w:hAnsi="Calibri" w:cs="Calibri"/>
                <w:color w:val="17365D"/>
                <w:sz w:val="14"/>
                <w:szCs w:val="14"/>
                <w:lang w:eastAsia="en-AU"/>
              </w:rPr>
              <w:t>$136,416</w:t>
            </w:r>
          </w:p>
        </w:tc>
        <w:tc>
          <w:tcPr>
            <w:tcW w:w="237" w:type="pct"/>
            <w:tcBorders>
              <w:top w:val="nil"/>
              <w:left w:val="nil"/>
              <w:bottom w:val="single" w:sz="8" w:space="0" w:color="95B3D7"/>
              <w:right w:val="single" w:sz="8" w:space="0" w:color="95B3D7"/>
            </w:tcBorders>
            <w:shd w:val="clear" w:color="000000" w:fill="DBE5F1"/>
            <w:vAlign w:val="center"/>
            <w:hideMark/>
          </w:tcPr>
          <w:p w14:paraId="08746282" w14:textId="77777777" w:rsidR="00F94186" w:rsidRPr="0010026A" w:rsidRDefault="00F94186" w:rsidP="00F94186">
            <w:pPr>
              <w:jc w:val="center"/>
              <w:rPr>
                <w:rFonts w:ascii="Calibri" w:hAnsi="Calibri" w:cs="Calibri"/>
                <w:color w:val="17365D"/>
                <w:sz w:val="14"/>
                <w:szCs w:val="14"/>
                <w:lang w:eastAsia="en-AU"/>
              </w:rPr>
            </w:pPr>
            <w:r w:rsidRPr="0010026A">
              <w:rPr>
                <w:rFonts w:ascii="Calibri" w:hAnsi="Calibri" w:cs="Calibri"/>
                <w:color w:val="17365D"/>
                <w:sz w:val="14"/>
                <w:szCs w:val="14"/>
                <w:lang w:eastAsia="en-AU"/>
              </w:rPr>
              <w:t>$137,481</w:t>
            </w:r>
          </w:p>
        </w:tc>
        <w:tc>
          <w:tcPr>
            <w:tcW w:w="292" w:type="pct"/>
            <w:tcBorders>
              <w:top w:val="nil"/>
              <w:left w:val="nil"/>
              <w:bottom w:val="single" w:sz="8" w:space="0" w:color="95B3D7"/>
              <w:right w:val="single" w:sz="8" w:space="0" w:color="95B3D7"/>
            </w:tcBorders>
            <w:shd w:val="clear" w:color="000000" w:fill="DBE5F1"/>
            <w:vAlign w:val="center"/>
            <w:hideMark/>
          </w:tcPr>
          <w:p w14:paraId="73F3C10F"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$773,125</w:t>
            </w:r>
          </w:p>
        </w:tc>
        <w:tc>
          <w:tcPr>
            <w:tcW w:w="292" w:type="pct"/>
            <w:tcBorders>
              <w:top w:val="nil"/>
              <w:left w:val="nil"/>
              <w:bottom w:val="single" w:sz="8" w:space="0" w:color="95B3D7"/>
              <w:right w:val="single" w:sz="8" w:space="0" w:color="95B3D7"/>
            </w:tcBorders>
            <w:shd w:val="clear" w:color="000000" w:fill="DBE5F1"/>
            <w:vAlign w:val="center"/>
            <w:hideMark/>
          </w:tcPr>
          <w:p w14:paraId="69424040"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$777,003</w:t>
            </w:r>
          </w:p>
        </w:tc>
        <w:tc>
          <w:tcPr>
            <w:tcW w:w="292" w:type="pct"/>
            <w:tcBorders>
              <w:top w:val="nil"/>
              <w:left w:val="nil"/>
              <w:bottom w:val="single" w:sz="8" w:space="0" w:color="95B3D7"/>
              <w:right w:val="single" w:sz="8" w:space="0" w:color="95B3D7"/>
            </w:tcBorders>
            <w:shd w:val="clear" w:color="000000" w:fill="DBE5F1"/>
            <w:vAlign w:val="center"/>
            <w:hideMark/>
          </w:tcPr>
          <w:p w14:paraId="2DA7D55B"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$782,196</w:t>
            </w:r>
          </w:p>
        </w:tc>
      </w:tr>
      <w:tr w:rsidR="00F94186" w:rsidRPr="009947E9" w14:paraId="5C26696B" w14:textId="77777777" w:rsidTr="00F94186">
        <w:trPr>
          <w:trHeight w:val="732"/>
        </w:trPr>
        <w:tc>
          <w:tcPr>
            <w:tcW w:w="1314" w:type="pct"/>
            <w:tcBorders>
              <w:top w:val="nil"/>
              <w:left w:val="single" w:sz="8" w:space="0" w:color="95B3D7"/>
              <w:bottom w:val="single" w:sz="8" w:space="0" w:color="95B3D7"/>
              <w:right w:val="single" w:sz="8" w:space="0" w:color="95B3D7"/>
            </w:tcBorders>
            <w:shd w:val="clear" w:color="auto" w:fill="auto"/>
            <w:vAlign w:val="center"/>
            <w:hideMark/>
          </w:tcPr>
          <w:p w14:paraId="0C85C604"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2</w:t>
            </w:r>
          </w:p>
        </w:tc>
        <w:tc>
          <w:tcPr>
            <w:tcW w:w="420" w:type="pct"/>
            <w:tcBorders>
              <w:top w:val="nil"/>
              <w:left w:val="nil"/>
              <w:bottom w:val="single" w:sz="8" w:space="0" w:color="95B3D7"/>
              <w:right w:val="single" w:sz="8" w:space="0" w:color="95B3D7"/>
            </w:tcBorders>
            <w:shd w:val="clear" w:color="auto" w:fill="auto"/>
            <w:vAlign w:val="center"/>
            <w:hideMark/>
          </w:tcPr>
          <w:p w14:paraId="030A4B31"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Policy development and regulatory improvement</w:t>
            </w:r>
          </w:p>
        </w:tc>
        <w:tc>
          <w:tcPr>
            <w:tcW w:w="672" w:type="pct"/>
            <w:tcBorders>
              <w:top w:val="single" w:sz="8" w:space="0" w:color="95B3D7"/>
              <w:left w:val="nil"/>
              <w:bottom w:val="single" w:sz="8" w:space="0" w:color="95B3D7"/>
              <w:right w:val="single" w:sz="8" w:space="0" w:color="95B3D7"/>
            </w:tcBorders>
            <w:shd w:val="clear" w:color="auto" w:fill="auto"/>
            <w:vAlign w:val="center"/>
            <w:hideMark/>
          </w:tcPr>
          <w:p w14:paraId="3CF35212" w14:textId="77777777" w:rsidR="00F94186" w:rsidRPr="0010026A" w:rsidRDefault="00F94186" w:rsidP="00F94186">
            <w:pPr>
              <w:jc w:val="center"/>
              <w:rPr>
                <w:rFonts w:ascii="Calibri" w:hAnsi="Calibri" w:cs="Calibri"/>
                <w:color w:val="17365D"/>
                <w:sz w:val="14"/>
                <w:szCs w:val="14"/>
                <w:lang w:eastAsia="en-AU"/>
              </w:rPr>
            </w:pPr>
            <w:r w:rsidRPr="0010026A">
              <w:rPr>
                <w:rFonts w:ascii="Calibri" w:hAnsi="Calibri" w:cs="Calibri"/>
                <w:color w:val="17365D"/>
                <w:sz w:val="14"/>
                <w:szCs w:val="14"/>
                <w:lang w:eastAsia="en-AU"/>
              </w:rPr>
              <w:t>30</w:t>
            </w:r>
          </w:p>
        </w:tc>
        <w:tc>
          <w:tcPr>
            <w:tcW w:w="336" w:type="pct"/>
            <w:tcBorders>
              <w:top w:val="nil"/>
              <w:left w:val="nil"/>
              <w:bottom w:val="single" w:sz="8" w:space="0" w:color="95B3D7"/>
              <w:right w:val="single" w:sz="8" w:space="0" w:color="95B3D7"/>
            </w:tcBorders>
            <w:shd w:val="clear" w:color="auto" w:fill="auto"/>
            <w:vAlign w:val="center"/>
            <w:hideMark/>
          </w:tcPr>
          <w:p w14:paraId="5DA04A04" w14:textId="77777777" w:rsidR="00F94186" w:rsidRPr="0010026A" w:rsidRDefault="00F94186" w:rsidP="00F94186">
            <w:pPr>
              <w:jc w:val="center"/>
              <w:rPr>
                <w:rFonts w:ascii="Calibri" w:hAnsi="Calibri" w:cs="Calibri"/>
                <w:color w:val="17365D"/>
                <w:sz w:val="14"/>
                <w:szCs w:val="14"/>
                <w:lang w:eastAsia="en-AU"/>
              </w:rPr>
            </w:pPr>
            <w:r w:rsidRPr="0010026A">
              <w:rPr>
                <w:rFonts w:ascii="Calibri" w:hAnsi="Calibri" w:cs="Calibri"/>
                <w:color w:val="17365D"/>
                <w:sz w:val="14"/>
                <w:szCs w:val="14"/>
                <w:lang w:eastAsia="en-AU"/>
              </w:rPr>
              <w:t>$474,027</w:t>
            </w:r>
          </w:p>
        </w:tc>
        <w:tc>
          <w:tcPr>
            <w:tcW w:w="336" w:type="pct"/>
            <w:tcBorders>
              <w:top w:val="nil"/>
              <w:left w:val="nil"/>
              <w:bottom w:val="single" w:sz="8" w:space="0" w:color="95B3D7"/>
              <w:right w:val="single" w:sz="8" w:space="0" w:color="95B3D7"/>
            </w:tcBorders>
            <w:shd w:val="clear" w:color="auto" w:fill="auto"/>
            <w:vAlign w:val="center"/>
            <w:hideMark/>
          </w:tcPr>
          <w:p w14:paraId="69446540" w14:textId="77777777" w:rsidR="00F94186" w:rsidRPr="0010026A" w:rsidRDefault="00F94186" w:rsidP="00F94186">
            <w:pPr>
              <w:jc w:val="center"/>
              <w:rPr>
                <w:rFonts w:ascii="Calibri" w:hAnsi="Calibri" w:cs="Calibri"/>
                <w:color w:val="17365D"/>
                <w:sz w:val="14"/>
                <w:szCs w:val="14"/>
                <w:lang w:eastAsia="en-AU"/>
              </w:rPr>
            </w:pPr>
            <w:r w:rsidRPr="0010026A">
              <w:rPr>
                <w:rFonts w:ascii="Calibri" w:hAnsi="Calibri" w:cs="Calibri"/>
                <w:color w:val="17365D"/>
                <w:sz w:val="14"/>
                <w:szCs w:val="14"/>
                <w:lang w:eastAsia="en-AU"/>
              </w:rPr>
              <w:t>$476,319</w:t>
            </w:r>
          </w:p>
        </w:tc>
        <w:tc>
          <w:tcPr>
            <w:tcW w:w="336" w:type="pct"/>
            <w:tcBorders>
              <w:top w:val="nil"/>
              <w:left w:val="nil"/>
              <w:bottom w:val="single" w:sz="8" w:space="0" w:color="95B3D7"/>
              <w:right w:val="single" w:sz="8" w:space="0" w:color="95B3D7"/>
            </w:tcBorders>
            <w:shd w:val="clear" w:color="auto" w:fill="auto"/>
            <w:vAlign w:val="center"/>
            <w:hideMark/>
          </w:tcPr>
          <w:p w14:paraId="7FED345E" w14:textId="77777777" w:rsidR="00F94186" w:rsidRPr="0010026A" w:rsidRDefault="00F94186" w:rsidP="00F94186">
            <w:pPr>
              <w:jc w:val="center"/>
              <w:rPr>
                <w:rFonts w:ascii="Calibri" w:hAnsi="Calibri" w:cs="Calibri"/>
                <w:color w:val="17365D"/>
                <w:sz w:val="14"/>
                <w:szCs w:val="14"/>
                <w:lang w:eastAsia="en-AU"/>
              </w:rPr>
            </w:pPr>
            <w:r w:rsidRPr="0010026A">
              <w:rPr>
                <w:rFonts w:ascii="Calibri" w:hAnsi="Calibri" w:cs="Calibri"/>
                <w:color w:val="17365D"/>
                <w:sz w:val="14"/>
                <w:szCs w:val="14"/>
                <w:lang w:eastAsia="en-AU"/>
              </w:rPr>
              <w:t>$479,388</w:t>
            </w:r>
          </w:p>
        </w:tc>
        <w:tc>
          <w:tcPr>
            <w:tcW w:w="237" w:type="pct"/>
            <w:tcBorders>
              <w:top w:val="nil"/>
              <w:left w:val="nil"/>
              <w:bottom w:val="single" w:sz="8" w:space="0" w:color="95B3D7"/>
              <w:right w:val="single" w:sz="8" w:space="0" w:color="95B3D7"/>
            </w:tcBorders>
            <w:shd w:val="clear" w:color="auto" w:fill="auto"/>
            <w:vAlign w:val="center"/>
            <w:hideMark/>
          </w:tcPr>
          <w:p w14:paraId="49FEFE79" w14:textId="77777777" w:rsidR="00F94186" w:rsidRPr="0010026A" w:rsidRDefault="00F94186" w:rsidP="00F94186">
            <w:pPr>
              <w:jc w:val="center"/>
              <w:rPr>
                <w:rFonts w:ascii="Calibri" w:hAnsi="Calibri" w:cs="Calibri"/>
                <w:color w:val="17365D"/>
                <w:sz w:val="14"/>
                <w:szCs w:val="14"/>
                <w:lang w:eastAsia="en-AU"/>
              </w:rPr>
            </w:pPr>
            <w:r w:rsidRPr="0010026A">
              <w:rPr>
                <w:rFonts w:ascii="Calibri" w:hAnsi="Calibri" w:cs="Calibri"/>
                <w:color w:val="17365D"/>
                <w:sz w:val="14"/>
                <w:szCs w:val="14"/>
                <w:lang w:eastAsia="en-AU"/>
              </w:rPr>
              <w:t>$99,480</w:t>
            </w:r>
          </w:p>
        </w:tc>
        <w:tc>
          <w:tcPr>
            <w:tcW w:w="237" w:type="pct"/>
            <w:tcBorders>
              <w:top w:val="nil"/>
              <w:left w:val="nil"/>
              <w:bottom w:val="single" w:sz="8" w:space="0" w:color="95B3D7"/>
              <w:right w:val="single" w:sz="8" w:space="0" w:color="95B3D7"/>
            </w:tcBorders>
            <w:shd w:val="clear" w:color="auto" w:fill="auto"/>
            <w:vAlign w:val="center"/>
            <w:hideMark/>
          </w:tcPr>
          <w:p w14:paraId="56753967" w14:textId="77777777" w:rsidR="00F94186" w:rsidRPr="0010026A" w:rsidRDefault="00F94186" w:rsidP="00F94186">
            <w:pPr>
              <w:jc w:val="center"/>
              <w:rPr>
                <w:rFonts w:ascii="Calibri" w:hAnsi="Calibri" w:cs="Calibri"/>
                <w:color w:val="17365D"/>
                <w:sz w:val="14"/>
                <w:szCs w:val="14"/>
                <w:lang w:eastAsia="en-AU"/>
              </w:rPr>
            </w:pPr>
            <w:r w:rsidRPr="0010026A">
              <w:rPr>
                <w:rFonts w:ascii="Calibri" w:hAnsi="Calibri" w:cs="Calibri"/>
                <w:color w:val="17365D"/>
                <w:sz w:val="14"/>
                <w:szCs w:val="14"/>
                <w:lang w:eastAsia="en-AU"/>
              </w:rPr>
              <w:t>$100,064</w:t>
            </w:r>
          </w:p>
        </w:tc>
        <w:tc>
          <w:tcPr>
            <w:tcW w:w="237" w:type="pct"/>
            <w:tcBorders>
              <w:top w:val="nil"/>
              <w:left w:val="nil"/>
              <w:bottom w:val="single" w:sz="8" w:space="0" w:color="95B3D7"/>
              <w:right w:val="single" w:sz="8" w:space="0" w:color="95B3D7"/>
            </w:tcBorders>
            <w:shd w:val="clear" w:color="auto" w:fill="auto"/>
            <w:vAlign w:val="center"/>
            <w:hideMark/>
          </w:tcPr>
          <w:p w14:paraId="6A280F43" w14:textId="77777777" w:rsidR="00F94186" w:rsidRPr="0010026A" w:rsidRDefault="00F94186" w:rsidP="00F94186">
            <w:pPr>
              <w:jc w:val="center"/>
              <w:rPr>
                <w:rFonts w:ascii="Calibri" w:hAnsi="Calibri" w:cs="Calibri"/>
                <w:color w:val="17365D"/>
                <w:sz w:val="14"/>
                <w:szCs w:val="14"/>
                <w:lang w:eastAsia="en-AU"/>
              </w:rPr>
            </w:pPr>
            <w:r w:rsidRPr="0010026A">
              <w:rPr>
                <w:rFonts w:ascii="Calibri" w:hAnsi="Calibri" w:cs="Calibri"/>
                <w:color w:val="17365D"/>
                <w:sz w:val="14"/>
                <w:szCs w:val="14"/>
                <w:lang w:eastAsia="en-AU"/>
              </w:rPr>
              <w:t>$100,845</w:t>
            </w:r>
          </w:p>
        </w:tc>
        <w:tc>
          <w:tcPr>
            <w:tcW w:w="292" w:type="pct"/>
            <w:tcBorders>
              <w:top w:val="nil"/>
              <w:left w:val="nil"/>
              <w:bottom w:val="single" w:sz="8" w:space="0" w:color="95B3D7"/>
              <w:right w:val="single" w:sz="8" w:space="0" w:color="95B3D7"/>
            </w:tcBorders>
            <w:shd w:val="clear" w:color="auto" w:fill="auto"/>
            <w:vAlign w:val="center"/>
            <w:hideMark/>
          </w:tcPr>
          <w:p w14:paraId="1DDE7E4B"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$573,507</w:t>
            </w:r>
          </w:p>
        </w:tc>
        <w:tc>
          <w:tcPr>
            <w:tcW w:w="292" w:type="pct"/>
            <w:tcBorders>
              <w:top w:val="nil"/>
              <w:left w:val="nil"/>
              <w:bottom w:val="single" w:sz="8" w:space="0" w:color="95B3D7"/>
              <w:right w:val="single" w:sz="8" w:space="0" w:color="95B3D7"/>
            </w:tcBorders>
            <w:shd w:val="clear" w:color="auto" w:fill="auto"/>
            <w:vAlign w:val="center"/>
            <w:hideMark/>
          </w:tcPr>
          <w:p w14:paraId="7B9FCDDF"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$576,383</w:t>
            </w:r>
          </w:p>
        </w:tc>
        <w:tc>
          <w:tcPr>
            <w:tcW w:w="292" w:type="pct"/>
            <w:tcBorders>
              <w:top w:val="nil"/>
              <w:left w:val="nil"/>
              <w:bottom w:val="single" w:sz="8" w:space="0" w:color="95B3D7"/>
              <w:right w:val="single" w:sz="8" w:space="0" w:color="95B3D7"/>
            </w:tcBorders>
            <w:shd w:val="clear" w:color="auto" w:fill="auto"/>
            <w:vAlign w:val="center"/>
            <w:hideMark/>
          </w:tcPr>
          <w:p w14:paraId="3CA9E0EB"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$580,233</w:t>
            </w:r>
          </w:p>
        </w:tc>
      </w:tr>
      <w:tr w:rsidR="00F94186" w:rsidRPr="009947E9" w14:paraId="55A9FAB6" w14:textId="77777777" w:rsidTr="00F94186">
        <w:trPr>
          <w:trHeight w:val="972"/>
        </w:trPr>
        <w:tc>
          <w:tcPr>
            <w:tcW w:w="1314" w:type="pct"/>
            <w:tcBorders>
              <w:top w:val="nil"/>
              <w:left w:val="single" w:sz="8" w:space="0" w:color="95B3D7"/>
              <w:bottom w:val="single" w:sz="8" w:space="0" w:color="95B3D7"/>
              <w:right w:val="single" w:sz="8" w:space="0" w:color="95B3D7"/>
            </w:tcBorders>
            <w:shd w:val="clear" w:color="000000" w:fill="DBE5F1"/>
            <w:vAlign w:val="center"/>
            <w:hideMark/>
          </w:tcPr>
          <w:p w14:paraId="48A703BD"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3</w:t>
            </w:r>
          </w:p>
        </w:tc>
        <w:tc>
          <w:tcPr>
            <w:tcW w:w="420" w:type="pct"/>
            <w:tcBorders>
              <w:top w:val="nil"/>
              <w:left w:val="nil"/>
              <w:bottom w:val="single" w:sz="8" w:space="0" w:color="95B3D7"/>
              <w:right w:val="single" w:sz="8" w:space="0" w:color="95B3D7"/>
            </w:tcBorders>
            <w:shd w:val="clear" w:color="000000" w:fill="DBE5F1"/>
            <w:vAlign w:val="center"/>
            <w:hideMark/>
          </w:tcPr>
          <w:p w14:paraId="4A4749A5"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Program management, administration and engagement</w:t>
            </w:r>
          </w:p>
        </w:tc>
        <w:tc>
          <w:tcPr>
            <w:tcW w:w="672" w:type="pct"/>
            <w:tcBorders>
              <w:top w:val="single" w:sz="8" w:space="0" w:color="95B3D7"/>
              <w:left w:val="nil"/>
              <w:bottom w:val="single" w:sz="8" w:space="0" w:color="95B3D7"/>
              <w:right w:val="single" w:sz="8" w:space="0" w:color="95B3D7"/>
            </w:tcBorders>
            <w:shd w:val="clear" w:color="000000" w:fill="DBE5F1"/>
            <w:vAlign w:val="center"/>
            <w:hideMark/>
          </w:tcPr>
          <w:p w14:paraId="2BE10C92" w14:textId="77777777" w:rsidR="00F94186" w:rsidRPr="0010026A" w:rsidRDefault="00F94186" w:rsidP="00F94186">
            <w:pPr>
              <w:jc w:val="center"/>
              <w:rPr>
                <w:rFonts w:ascii="Calibri" w:hAnsi="Calibri" w:cs="Calibri"/>
                <w:color w:val="17365D"/>
                <w:sz w:val="14"/>
                <w:szCs w:val="14"/>
                <w:lang w:eastAsia="en-AU"/>
              </w:rPr>
            </w:pPr>
            <w:r w:rsidRPr="0010026A">
              <w:rPr>
                <w:rFonts w:ascii="Calibri" w:hAnsi="Calibri" w:cs="Calibri"/>
                <w:color w:val="17365D"/>
                <w:sz w:val="14"/>
                <w:szCs w:val="14"/>
                <w:lang w:eastAsia="en-AU"/>
              </w:rPr>
              <w:t>29</w:t>
            </w:r>
          </w:p>
        </w:tc>
        <w:tc>
          <w:tcPr>
            <w:tcW w:w="336" w:type="pct"/>
            <w:tcBorders>
              <w:top w:val="nil"/>
              <w:left w:val="nil"/>
              <w:bottom w:val="single" w:sz="8" w:space="0" w:color="95B3D7"/>
              <w:right w:val="single" w:sz="8" w:space="0" w:color="95B3D7"/>
            </w:tcBorders>
            <w:shd w:val="clear" w:color="000000" w:fill="DBE5F1"/>
            <w:vAlign w:val="center"/>
            <w:hideMark/>
          </w:tcPr>
          <w:p w14:paraId="73ABF768" w14:textId="77777777" w:rsidR="00F94186" w:rsidRPr="0010026A" w:rsidRDefault="00F94186" w:rsidP="00F94186">
            <w:pPr>
              <w:jc w:val="center"/>
              <w:rPr>
                <w:rFonts w:ascii="Calibri" w:hAnsi="Calibri" w:cs="Calibri"/>
                <w:color w:val="17365D"/>
                <w:sz w:val="14"/>
                <w:szCs w:val="14"/>
                <w:lang w:eastAsia="en-AU"/>
              </w:rPr>
            </w:pPr>
            <w:r w:rsidRPr="0010026A">
              <w:rPr>
                <w:rFonts w:ascii="Calibri" w:hAnsi="Calibri" w:cs="Calibri"/>
                <w:color w:val="17365D"/>
                <w:sz w:val="14"/>
                <w:szCs w:val="14"/>
                <w:lang w:eastAsia="en-AU"/>
              </w:rPr>
              <w:t>$443,983</w:t>
            </w:r>
          </w:p>
        </w:tc>
        <w:tc>
          <w:tcPr>
            <w:tcW w:w="336" w:type="pct"/>
            <w:tcBorders>
              <w:top w:val="nil"/>
              <w:left w:val="nil"/>
              <w:bottom w:val="single" w:sz="8" w:space="0" w:color="95B3D7"/>
              <w:right w:val="single" w:sz="8" w:space="0" w:color="95B3D7"/>
            </w:tcBorders>
            <w:shd w:val="clear" w:color="000000" w:fill="DBE5F1"/>
            <w:vAlign w:val="center"/>
            <w:hideMark/>
          </w:tcPr>
          <w:p w14:paraId="273F3DBB" w14:textId="77777777" w:rsidR="00F94186" w:rsidRPr="0010026A" w:rsidRDefault="00F94186" w:rsidP="00F94186">
            <w:pPr>
              <w:jc w:val="center"/>
              <w:rPr>
                <w:rFonts w:ascii="Calibri" w:hAnsi="Calibri" w:cs="Calibri"/>
                <w:color w:val="17365D"/>
                <w:sz w:val="14"/>
                <w:szCs w:val="14"/>
                <w:lang w:eastAsia="en-AU"/>
              </w:rPr>
            </w:pPr>
            <w:r w:rsidRPr="0010026A">
              <w:rPr>
                <w:rFonts w:ascii="Calibri" w:hAnsi="Calibri" w:cs="Calibri"/>
                <w:color w:val="17365D"/>
                <w:sz w:val="14"/>
                <w:szCs w:val="14"/>
                <w:lang w:eastAsia="en-AU"/>
              </w:rPr>
              <w:t>$446,130</w:t>
            </w:r>
          </w:p>
        </w:tc>
        <w:tc>
          <w:tcPr>
            <w:tcW w:w="336" w:type="pct"/>
            <w:tcBorders>
              <w:top w:val="nil"/>
              <w:left w:val="nil"/>
              <w:bottom w:val="single" w:sz="8" w:space="0" w:color="95B3D7"/>
              <w:right w:val="single" w:sz="8" w:space="0" w:color="95B3D7"/>
            </w:tcBorders>
            <w:shd w:val="clear" w:color="000000" w:fill="DBE5F1"/>
            <w:vAlign w:val="center"/>
            <w:hideMark/>
          </w:tcPr>
          <w:p w14:paraId="402FE69B" w14:textId="77777777" w:rsidR="00F94186" w:rsidRPr="0010026A" w:rsidRDefault="00F94186" w:rsidP="00F94186">
            <w:pPr>
              <w:jc w:val="center"/>
              <w:rPr>
                <w:rFonts w:ascii="Calibri" w:hAnsi="Calibri" w:cs="Calibri"/>
                <w:color w:val="17365D"/>
                <w:sz w:val="14"/>
                <w:szCs w:val="14"/>
                <w:lang w:eastAsia="en-AU"/>
              </w:rPr>
            </w:pPr>
            <w:r w:rsidRPr="0010026A">
              <w:rPr>
                <w:rFonts w:ascii="Calibri" w:hAnsi="Calibri" w:cs="Calibri"/>
                <w:color w:val="17365D"/>
                <w:sz w:val="14"/>
                <w:szCs w:val="14"/>
                <w:lang w:eastAsia="en-AU"/>
              </w:rPr>
              <w:t>$449,004</w:t>
            </w:r>
          </w:p>
        </w:tc>
        <w:tc>
          <w:tcPr>
            <w:tcW w:w="237" w:type="pct"/>
            <w:tcBorders>
              <w:top w:val="nil"/>
              <w:left w:val="nil"/>
              <w:bottom w:val="single" w:sz="8" w:space="0" w:color="95B3D7"/>
              <w:right w:val="single" w:sz="8" w:space="0" w:color="95B3D7"/>
            </w:tcBorders>
            <w:shd w:val="clear" w:color="000000" w:fill="DBE5F1"/>
            <w:vAlign w:val="center"/>
            <w:hideMark/>
          </w:tcPr>
          <w:p w14:paraId="08AEA094" w14:textId="77777777" w:rsidR="00F94186" w:rsidRPr="0010026A" w:rsidRDefault="00F94186" w:rsidP="00F94186">
            <w:pPr>
              <w:jc w:val="center"/>
              <w:rPr>
                <w:rFonts w:ascii="Calibri" w:hAnsi="Calibri" w:cs="Calibri"/>
                <w:color w:val="17365D"/>
                <w:sz w:val="14"/>
                <w:szCs w:val="14"/>
                <w:lang w:eastAsia="en-AU"/>
              </w:rPr>
            </w:pPr>
            <w:r w:rsidRPr="0010026A">
              <w:rPr>
                <w:rFonts w:ascii="Calibri" w:hAnsi="Calibri" w:cs="Calibri"/>
                <w:color w:val="17365D"/>
                <w:sz w:val="14"/>
                <w:szCs w:val="14"/>
                <w:lang w:eastAsia="en-AU"/>
              </w:rPr>
              <w:t>$99,537</w:t>
            </w:r>
          </w:p>
        </w:tc>
        <w:tc>
          <w:tcPr>
            <w:tcW w:w="237" w:type="pct"/>
            <w:tcBorders>
              <w:top w:val="nil"/>
              <w:left w:val="nil"/>
              <w:bottom w:val="single" w:sz="8" w:space="0" w:color="95B3D7"/>
              <w:right w:val="single" w:sz="8" w:space="0" w:color="95B3D7"/>
            </w:tcBorders>
            <w:shd w:val="clear" w:color="000000" w:fill="DBE5F1"/>
            <w:vAlign w:val="center"/>
            <w:hideMark/>
          </w:tcPr>
          <w:p w14:paraId="2E530032" w14:textId="77777777" w:rsidR="00F94186" w:rsidRPr="0010026A" w:rsidRDefault="00F94186" w:rsidP="00F94186">
            <w:pPr>
              <w:jc w:val="center"/>
              <w:rPr>
                <w:rFonts w:ascii="Calibri" w:hAnsi="Calibri" w:cs="Calibri"/>
                <w:color w:val="17365D"/>
                <w:sz w:val="14"/>
                <w:szCs w:val="14"/>
                <w:lang w:eastAsia="en-AU"/>
              </w:rPr>
            </w:pPr>
            <w:r w:rsidRPr="0010026A">
              <w:rPr>
                <w:rFonts w:ascii="Calibri" w:hAnsi="Calibri" w:cs="Calibri"/>
                <w:color w:val="17365D"/>
                <w:sz w:val="14"/>
                <w:szCs w:val="14"/>
                <w:lang w:eastAsia="en-AU"/>
              </w:rPr>
              <w:t>$100,121</w:t>
            </w:r>
          </w:p>
        </w:tc>
        <w:tc>
          <w:tcPr>
            <w:tcW w:w="237" w:type="pct"/>
            <w:tcBorders>
              <w:top w:val="nil"/>
              <w:left w:val="nil"/>
              <w:bottom w:val="single" w:sz="8" w:space="0" w:color="95B3D7"/>
              <w:right w:val="single" w:sz="8" w:space="0" w:color="95B3D7"/>
            </w:tcBorders>
            <w:shd w:val="clear" w:color="000000" w:fill="DBE5F1"/>
            <w:vAlign w:val="center"/>
            <w:hideMark/>
          </w:tcPr>
          <w:p w14:paraId="413B3B02" w14:textId="77777777" w:rsidR="00F94186" w:rsidRPr="0010026A" w:rsidRDefault="00F94186" w:rsidP="00F94186">
            <w:pPr>
              <w:jc w:val="center"/>
              <w:rPr>
                <w:rFonts w:ascii="Calibri" w:hAnsi="Calibri" w:cs="Calibri"/>
                <w:color w:val="17365D"/>
                <w:sz w:val="14"/>
                <w:szCs w:val="14"/>
                <w:lang w:eastAsia="en-AU"/>
              </w:rPr>
            </w:pPr>
            <w:r w:rsidRPr="0010026A">
              <w:rPr>
                <w:rFonts w:ascii="Calibri" w:hAnsi="Calibri" w:cs="Calibri"/>
                <w:color w:val="17365D"/>
                <w:sz w:val="14"/>
                <w:szCs w:val="14"/>
                <w:lang w:eastAsia="en-AU"/>
              </w:rPr>
              <w:t>$100,902</w:t>
            </w:r>
          </w:p>
        </w:tc>
        <w:tc>
          <w:tcPr>
            <w:tcW w:w="292" w:type="pct"/>
            <w:tcBorders>
              <w:top w:val="nil"/>
              <w:left w:val="nil"/>
              <w:bottom w:val="single" w:sz="8" w:space="0" w:color="95B3D7"/>
              <w:right w:val="single" w:sz="8" w:space="0" w:color="95B3D7"/>
            </w:tcBorders>
            <w:shd w:val="clear" w:color="000000" w:fill="DBE5F1"/>
            <w:vAlign w:val="center"/>
            <w:hideMark/>
          </w:tcPr>
          <w:p w14:paraId="18538216"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$543,520</w:t>
            </w:r>
          </w:p>
        </w:tc>
        <w:tc>
          <w:tcPr>
            <w:tcW w:w="292" w:type="pct"/>
            <w:tcBorders>
              <w:top w:val="nil"/>
              <w:left w:val="nil"/>
              <w:bottom w:val="single" w:sz="8" w:space="0" w:color="95B3D7"/>
              <w:right w:val="single" w:sz="8" w:space="0" w:color="95B3D7"/>
            </w:tcBorders>
            <w:shd w:val="clear" w:color="000000" w:fill="DBE5F1"/>
            <w:vAlign w:val="center"/>
            <w:hideMark/>
          </w:tcPr>
          <w:p w14:paraId="56B24EF9"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$546,251</w:t>
            </w:r>
          </w:p>
        </w:tc>
        <w:tc>
          <w:tcPr>
            <w:tcW w:w="292" w:type="pct"/>
            <w:tcBorders>
              <w:top w:val="nil"/>
              <w:left w:val="nil"/>
              <w:bottom w:val="single" w:sz="8" w:space="0" w:color="95B3D7"/>
              <w:right w:val="single" w:sz="8" w:space="0" w:color="95B3D7"/>
            </w:tcBorders>
            <w:shd w:val="clear" w:color="000000" w:fill="DBE5F1"/>
            <w:vAlign w:val="center"/>
            <w:hideMark/>
          </w:tcPr>
          <w:p w14:paraId="118C7D27"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$549,907</w:t>
            </w:r>
          </w:p>
        </w:tc>
      </w:tr>
      <w:tr w:rsidR="00F94186" w:rsidRPr="009947E9" w14:paraId="7066C8D9" w14:textId="77777777" w:rsidTr="00F94186">
        <w:trPr>
          <w:trHeight w:val="300"/>
        </w:trPr>
        <w:tc>
          <w:tcPr>
            <w:tcW w:w="1314" w:type="pct"/>
            <w:tcBorders>
              <w:top w:val="nil"/>
              <w:left w:val="nil"/>
              <w:bottom w:val="nil"/>
              <w:right w:val="nil"/>
            </w:tcBorders>
            <w:shd w:val="clear" w:color="auto" w:fill="auto"/>
            <w:noWrap/>
            <w:vAlign w:val="bottom"/>
            <w:hideMark/>
          </w:tcPr>
          <w:p w14:paraId="75040523" w14:textId="77777777" w:rsidR="00F94186" w:rsidRPr="0010026A" w:rsidRDefault="00F94186" w:rsidP="00F94186">
            <w:pPr>
              <w:jc w:val="center"/>
              <w:rPr>
                <w:rFonts w:ascii="Calibri" w:hAnsi="Calibri" w:cs="Calibri"/>
                <w:b/>
                <w:bCs/>
                <w:color w:val="17365D"/>
                <w:sz w:val="14"/>
                <w:szCs w:val="14"/>
                <w:lang w:eastAsia="en-AU"/>
              </w:rPr>
            </w:pPr>
          </w:p>
        </w:tc>
        <w:tc>
          <w:tcPr>
            <w:tcW w:w="420" w:type="pct"/>
            <w:tcBorders>
              <w:top w:val="nil"/>
              <w:left w:val="single" w:sz="8" w:space="0" w:color="95B3D7"/>
              <w:bottom w:val="single" w:sz="8" w:space="0" w:color="95B3D7"/>
              <w:right w:val="single" w:sz="8" w:space="0" w:color="95B3D7"/>
            </w:tcBorders>
            <w:shd w:val="clear" w:color="000000" w:fill="DBE5F1"/>
            <w:vAlign w:val="center"/>
            <w:hideMark/>
          </w:tcPr>
          <w:p w14:paraId="3645F492"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Total</w:t>
            </w:r>
          </w:p>
        </w:tc>
        <w:tc>
          <w:tcPr>
            <w:tcW w:w="672" w:type="pct"/>
            <w:tcBorders>
              <w:top w:val="single" w:sz="8" w:space="0" w:color="95B3D7"/>
              <w:left w:val="nil"/>
              <w:bottom w:val="single" w:sz="8" w:space="0" w:color="95B3D7"/>
              <w:right w:val="single" w:sz="8" w:space="0" w:color="95B3D7"/>
            </w:tcBorders>
            <w:shd w:val="clear" w:color="auto" w:fill="auto"/>
            <w:vAlign w:val="center"/>
            <w:hideMark/>
          </w:tcPr>
          <w:p w14:paraId="34C44B66"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100</w:t>
            </w:r>
          </w:p>
        </w:tc>
        <w:tc>
          <w:tcPr>
            <w:tcW w:w="336" w:type="pct"/>
            <w:tcBorders>
              <w:top w:val="nil"/>
              <w:left w:val="nil"/>
              <w:bottom w:val="single" w:sz="8" w:space="0" w:color="95B3D7"/>
              <w:right w:val="single" w:sz="8" w:space="0" w:color="95B3D7"/>
            </w:tcBorders>
            <w:shd w:val="clear" w:color="auto" w:fill="auto"/>
            <w:vAlign w:val="center"/>
            <w:hideMark/>
          </w:tcPr>
          <w:p w14:paraId="698D5108"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$1,555,516</w:t>
            </w:r>
          </w:p>
        </w:tc>
        <w:tc>
          <w:tcPr>
            <w:tcW w:w="336" w:type="pct"/>
            <w:tcBorders>
              <w:top w:val="nil"/>
              <w:left w:val="nil"/>
              <w:bottom w:val="single" w:sz="8" w:space="0" w:color="95B3D7"/>
              <w:right w:val="single" w:sz="8" w:space="0" w:color="95B3D7"/>
            </w:tcBorders>
            <w:shd w:val="clear" w:color="auto" w:fill="auto"/>
            <w:vAlign w:val="center"/>
            <w:hideMark/>
          </w:tcPr>
          <w:p w14:paraId="6D6A9CF6"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$1,563,037</w:t>
            </w:r>
          </w:p>
        </w:tc>
        <w:tc>
          <w:tcPr>
            <w:tcW w:w="336" w:type="pct"/>
            <w:tcBorders>
              <w:top w:val="nil"/>
              <w:left w:val="nil"/>
              <w:bottom w:val="single" w:sz="8" w:space="0" w:color="95B3D7"/>
              <w:right w:val="single" w:sz="8" w:space="0" w:color="95B3D7"/>
            </w:tcBorders>
            <w:shd w:val="clear" w:color="auto" w:fill="auto"/>
            <w:vAlign w:val="center"/>
            <w:hideMark/>
          </w:tcPr>
          <w:p w14:paraId="2E146947"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$1,573,108</w:t>
            </w:r>
          </w:p>
        </w:tc>
        <w:tc>
          <w:tcPr>
            <w:tcW w:w="237" w:type="pct"/>
            <w:tcBorders>
              <w:top w:val="nil"/>
              <w:left w:val="nil"/>
              <w:bottom w:val="single" w:sz="8" w:space="0" w:color="95B3D7"/>
              <w:right w:val="single" w:sz="8" w:space="0" w:color="95B3D7"/>
            </w:tcBorders>
            <w:shd w:val="clear" w:color="auto" w:fill="auto"/>
            <w:vAlign w:val="center"/>
            <w:hideMark/>
          </w:tcPr>
          <w:p w14:paraId="60178F73"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$334,637</w:t>
            </w:r>
          </w:p>
        </w:tc>
        <w:tc>
          <w:tcPr>
            <w:tcW w:w="237" w:type="pct"/>
            <w:tcBorders>
              <w:top w:val="nil"/>
              <w:left w:val="nil"/>
              <w:bottom w:val="single" w:sz="8" w:space="0" w:color="95B3D7"/>
              <w:right w:val="single" w:sz="8" w:space="0" w:color="95B3D7"/>
            </w:tcBorders>
            <w:shd w:val="clear" w:color="auto" w:fill="auto"/>
            <w:vAlign w:val="center"/>
            <w:hideMark/>
          </w:tcPr>
          <w:p w14:paraId="02E713A3"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$336,600</w:t>
            </w:r>
          </w:p>
        </w:tc>
        <w:tc>
          <w:tcPr>
            <w:tcW w:w="237" w:type="pct"/>
            <w:tcBorders>
              <w:top w:val="nil"/>
              <w:left w:val="nil"/>
              <w:bottom w:val="single" w:sz="8" w:space="0" w:color="95B3D7"/>
              <w:right w:val="single" w:sz="8" w:space="0" w:color="95B3D7"/>
            </w:tcBorders>
            <w:shd w:val="clear" w:color="auto" w:fill="auto"/>
            <w:vAlign w:val="center"/>
            <w:hideMark/>
          </w:tcPr>
          <w:p w14:paraId="75E8F40E"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$339,228</w:t>
            </w:r>
          </w:p>
        </w:tc>
        <w:tc>
          <w:tcPr>
            <w:tcW w:w="292" w:type="pct"/>
            <w:tcBorders>
              <w:top w:val="nil"/>
              <w:left w:val="nil"/>
              <w:bottom w:val="single" w:sz="8" w:space="0" w:color="95B3D7"/>
              <w:right w:val="single" w:sz="8" w:space="0" w:color="95B3D7"/>
            </w:tcBorders>
            <w:shd w:val="clear" w:color="auto" w:fill="auto"/>
            <w:vAlign w:val="center"/>
            <w:hideMark/>
          </w:tcPr>
          <w:p w14:paraId="04E7C4DD"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$1,890,153</w:t>
            </w:r>
          </w:p>
        </w:tc>
        <w:tc>
          <w:tcPr>
            <w:tcW w:w="292" w:type="pct"/>
            <w:tcBorders>
              <w:top w:val="nil"/>
              <w:left w:val="nil"/>
              <w:bottom w:val="single" w:sz="8" w:space="0" w:color="95B3D7"/>
              <w:right w:val="single" w:sz="8" w:space="0" w:color="95B3D7"/>
            </w:tcBorders>
            <w:shd w:val="clear" w:color="auto" w:fill="auto"/>
            <w:vAlign w:val="center"/>
            <w:hideMark/>
          </w:tcPr>
          <w:p w14:paraId="4A77FB92"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$1,899,637</w:t>
            </w:r>
          </w:p>
        </w:tc>
        <w:tc>
          <w:tcPr>
            <w:tcW w:w="292" w:type="pct"/>
            <w:tcBorders>
              <w:top w:val="nil"/>
              <w:left w:val="nil"/>
              <w:bottom w:val="single" w:sz="8" w:space="0" w:color="95B3D7"/>
              <w:right w:val="single" w:sz="8" w:space="0" w:color="95B3D7"/>
            </w:tcBorders>
            <w:shd w:val="clear" w:color="auto" w:fill="auto"/>
            <w:vAlign w:val="center"/>
            <w:hideMark/>
          </w:tcPr>
          <w:p w14:paraId="77FAED19" w14:textId="77777777" w:rsidR="00F94186" w:rsidRPr="0010026A" w:rsidRDefault="00F94186" w:rsidP="00F94186">
            <w:pPr>
              <w:jc w:val="center"/>
              <w:rPr>
                <w:rFonts w:ascii="Calibri" w:hAnsi="Calibri" w:cs="Calibri"/>
                <w:b/>
                <w:bCs/>
                <w:color w:val="17365D"/>
                <w:sz w:val="14"/>
                <w:szCs w:val="14"/>
                <w:lang w:eastAsia="en-AU"/>
              </w:rPr>
            </w:pPr>
            <w:r w:rsidRPr="0010026A">
              <w:rPr>
                <w:rFonts w:ascii="Calibri" w:hAnsi="Calibri" w:cs="Calibri"/>
                <w:b/>
                <w:bCs/>
                <w:color w:val="17365D"/>
                <w:sz w:val="14"/>
                <w:szCs w:val="14"/>
                <w:lang w:eastAsia="en-AU"/>
              </w:rPr>
              <w:t>$1,912,336</w:t>
            </w:r>
          </w:p>
        </w:tc>
      </w:tr>
    </w:tbl>
    <w:p w14:paraId="323414E9" w14:textId="77777777" w:rsidR="00F94186" w:rsidRPr="008C0B2E" w:rsidRDefault="00F94186" w:rsidP="00F94186">
      <w:pPr>
        <w:rPr>
          <w:rFonts w:asciiTheme="minorHAnsi" w:hAnsiTheme="minorHAnsi" w:cstheme="minorHAnsi"/>
        </w:rPr>
      </w:pPr>
    </w:p>
    <w:p w14:paraId="1312EDAA" w14:textId="77777777" w:rsidR="00F94186" w:rsidRDefault="00F94186" w:rsidP="00F94186">
      <w:pPr>
        <w:pStyle w:val="Heading3"/>
      </w:pPr>
      <w:bookmarkStart w:id="38" w:name="_Toc98772176"/>
      <w:r w:rsidRPr="00902AA6">
        <w:t>Cost recovery levy</w:t>
      </w:r>
      <w:r>
        <w:t xml:space="preserve"> – DISER (ORE Section)</w:t>
      </w:r>
      <w:bookmarkEnd w:id="38"/>
    </w:p>
    <w:p w14:paraId="58343D04" w14:textId="77777777" w:rsidR="00F94186" w:rsidRPr="00B57ACE" w:rsidRDefault="00F94186" w:rsidP="00F94186">
      <w:pPr>
        <w:ind w:right="270"/>
        <w:rPr>
          <w:rFonts w:asciiTheme="minorHAnsi" w:hAnsiTheme="minorHAnsi" w:cstheme="minorHAnsi"/>
        </w:rPr>
      </w:pPr>
      <w:r w:rsidRPr="00B57ACE">
        <w:rPr>
          <w:rFonts w:asciiTheme="minorHAnsi" w:hAnsiTheme="minorHAnsi" w:cstheme="minorHAnsi"/>
        </w:rPr>
        <w:t xml:space="preserve">An annual Commonwealth levy </w:t>
      </w:r>
      <w:r>
        <w:rPr>
          <w:rFonts w:asciiTheme="minorHAnsi" w:hAnsiTheme="minorHAnsi" w:cstheme="minorHAnsi"/>
        </w:rPr>
        <w:t>will be</w:t>
      </w:r>
      <w:r w:rsidRPr="00B57ACE">
        <w:rPr>
          <w:rFonts w:asciiTheme="minorHAnsi" w:hAnsiTheme="minorHAnsi" w:cstheme="minorHAnsi"/>
        </w:rPr>
        <w:t xml:space="preserve"> imposed on holders of OEI licences. This levy is payable in accordance with the </w:t>
      </w:r>
      <w:r w:rsidRPr="006D6414">
        <w:rPr>
          <w:rFonts w:asciiTheme="minorHAnsi" w:hAnsiTheme="minorHAnsi" w:cstheme="minorHAnsi"/>
          <w:i/>
        </w:rPr>
        <w:t xml:space="preserve">Offshore </w:t>
      </w:r>
      <w:r>
        <w:rPr>
          <w:rFonts w:asciiTheme="minorHAnsi" w:hAnsiTheme="minorHAnsi" w:cstheme="minorHAnsi"/>
          <w:i/>
        </w:rPr>
        <w:t>Infrastructure</w:t>
      </w:r>
      <w:r w:rsidRPr="006D6414">
        <w:rPr>
          <w:rFonts w:asciiTheme="minorHAnsi" w:hAnsiTheme="minorHAnsi" w:cstheme="minorHAnsi"/>
          <w:i/>
        </w:rPr>
        <w:t xml:space="preserve"> Act 2021</w:t>
      </w:r>
      <w:r>
        <w:rPr>
          <w:rFonts w:asciiTheme="minorHAnsi" w:hAnsiTheme="minorHAnsi" w:cstheme="minorHAnsi"/>
        </w:rPr>
        <w:t xml:space="preserve">, the </w:t>
      </w:r>
      <w:r w:rsidRPr="006D6414">
        <w:rPr>
          <w:rFonts w:asciiTheme="minorHAnsi" w:hAnsiTheme="minorHAnsi" w:cstheme="minorHAnsi"/>
          <w:i/>
        </w:rPr>
        <w:t>Offshore Infrastructure (Regulatory Levies) Act 2021</w:t>
      </w:r>
      <w:r>
        <w:rPr>
          <w:rFonts w:asciiTheme="minorHAnsi" w:hAnsiTheme="minorHAnsi" w:cstheme="minorHAnsi"/>
        </w:rPr>
        <w:t xml:space="preserve"> and the </w:t>
      </w:r>
      <w:r w:rsidRPr="008450B9">
        <w:rPr>
          <w:rFonts w:asciiTheme="minorHAnsi" w:hAnsiTheme="minorHAnsi" w:cstheme="minorHAnsi"/>
          <w:i/>
          <w:iCs/>
        </w:rPr>
        <w:t>Offshore Electricity Infrastructure (Regulatory Levies) Regulations 2022</w:t>
      </w:r>
      <w:r>
        <w:rPr>
          <w:rFonts w:asciiTheme="minorHAnsi" w:hAnsiTheme="minorHAnsi" w:cstheme="minorHAnsi"/>
        </w:rPr>
        <w:t>. The levy is payable</w:t>
      </w:r>
      <w:r w:rsidRPr="00B57ACE">
        <w:rPr>
          <w:rFonts w:asciiTheme="minorHAnsi" w:hAnsiTheme="minorHAnsi" w:cstheme="minorHAnsi"/>
          <w:i/>
        </w:rPr>
        <w:t xml:space="preserve"> </w:t>
      </w:r>
      <w:r>
        <w:rPr>
          <w:rFonts w:asciiTheme="minorHAnsi" w:hAnsiTheme="minorHAnsi" w:cstheme="minorHAnsi"/>
        </w:rPr>
        <w:t>u</w:t>
      </w:r>
      <w:r w:rsidRPr="00B57ACE">
        <w:rPr>
          <w:rFonts w:asciiTheme="minorHAnsi" w:hAnsiTheme="minorHAnsi" w:cstheme="minorHAnsi"/>
        </w:rPr>
        <w:t xml:space="preserve">pon the grant of a licence and annually thereafter within 30 days of </w:t>
      </w:r>
      <w:r>
        <w:rPr>
          <w:rFonts w:asciiTheme="minorHAnsi" w:hAnsiTheme="minorHAnsi" w:cstheme="minorHAnsi"/>
        </w:rPr>
        <w:t>the anniversary of the licence. The levy is payable every 12 months calculated on the anniversary of the licence, the calendar month in which the anniversary falls does not have any bearing on the amount of levy payable.</w:t>
      </w:r>
    </w:p>
    <w:p w14:paraId="6715AD60" w14:textId="77777777" w:rsidR="00F94186" w:rsidRPr="00B57ACE" w:rsidRDefault="00F94186" w:rsidP="00F94186">
      <w:pPr>
        <w:ind w:right="412"/>
        <w:rPr>
          <w:rFonts w:asciiTheme="minorHAnsi" w:hAnsiTheme="minorHAnsi" w:cstheme="minorHAnsi"/>
        </w:rPr>
      </w:pPr>
    </w:p>
    <w:p w14:paraId="45A91D6E" w14:textId="77777777" w:rsidR="00F94186" w:rsidRDefault="00F94186" w:rsidP="00F94186">
      <w:pPr>
        <w:ind w:right="412"/>
        <w:rPr>
          <w:rFonts w:asciiTheme="minorHAnsi" w:hAnsiTheme="minorHAnsi" w:cstheme="minorHAnsi"/>
        </w:rPr>
      </w:pPr>
      <w:r>
        <w:rPr>
          <w:rFonts w:asciiTheme="minorHAnsi" w:hAnsiTheme="minorHAnsi" w:cstheme="minorHAnsi"/>
        </w:rPr>
        <w:t>Annual Commonwealth l</w:t>
      </w:r>
      <w:r w:rsidRPr="00B57ACE">
        <w:rPr>
          <w:rFonts w:asciiTheme="minorHAnsi" w:hAnsiTheme="minorHAnsi" w:cstheme="minorHAnsi"/>
        </w:rPr>
        <w:t xml:space="preserve">evy revenue estimates </w:t>
      </w:r>
      <w:r>
        <w:rPr>
          <w:rFonts w:asciiTheme="minorHAnsi" w:hAnsiTheme="minorHAnsi" w:cstheme="minorHAnsi"/>
        </w:rPr>
        <w:t>(</w:t>
      </w:r>
      <w:r>
        <w:rPr>
          <w:rFonts w:asciiTheme="minorHAnsi" w:hAnsiTheme="minorHAnsi" w:cstheme="minorHAnsi"/>
          <w:b/>
          <w:bCs/>
        </w:rPr>
        <w:t xml:space="preserve">Table </w:t>
      </w:r>
      <w:r w:rsidRPr="008450B9">
        <w:rPr>
          <w:rFonts w:asciiTheme="minorHAnsi" w:hAnsiTheme="minorHAnsi" w:cstheme="minorHAnsi"/>
          <w:b/>
          <w:bCs/>
        </w:rPr>
        <w:t>1</w:t>
      </w:r>
      <w:r>
        <w:rPr>
          <w:rFonts w:asciiTheme="minorHAnsi" w:hAnsiTheme="minorHAnsi" w:cstheme="minorHAnsi"/>
          <w:b/>
          <w:bCs/>
        </w:rPr>
        <w:t>0</w:t>
      </w:r>
      <w:r>
        <w:rPr>
          <w:rFonts w:asciiTheme="minorHAnsi" w:hAnsiTheme="minorHAnsi" w:cstheme="minorHAnsi"/>
        </w:rPr>
        <w:t xml:space="preserve">) </w:t>
      </w:r>
      <w:r w:rsidRPr="008450B9">
        <w:rPr>
          <w:rFonts w:asciiTheme="minorHAnsi" w:hAnsiTheme="minorHAnsi" w:cstheme="minorHAnsi"/>
        </w:rPr>
        <w:t>are</w:t>
      </w:r>
      <w:r w:rsidRPr="00B57ACE">
        <w:rPr>
          <w:rFonts w:asciiTheme="minorHAnsi" w:hAnsiTheme="minorHAnsi" w:cstheme="minorHAnsi"/>
        </w:rPr>
        <w:t xml:space="preserve"> based on the anticipated number of granted licences in the forward years. It is difficult to predict the number of potential licence grants given this is a new industry and there are currently no active licences.  </w:t>
      </w:r>
    </w:p>
    <w:p w14:paraId="03DAF1D6" w14:textId="77777777" w:rsidR="00F94186" w:rsidRPr="00B57ACE" w:rsidRDefault="00F94186" w:rsidP="00F94186">
      <w:pPr>
        <w:ind w:right="412"/>
        <w:rPr>
          <w:rFonts w:asciiTheme="minorHAnsi" w:hAnsiTheme="minorHAnsi" w:cstheme="minorHAnsi"/>
        </w:rPr>
      </w:pPr>
    </w:p>
    <w:p w14:paraId="017C4F4D" w14:textId="77777777" w:rsidR="00F94186" w:rsidRPr="004B0F2E" w:rsidRDefault="00F94186" w:rsidP="00F94186">
      <w:pPr>
        <w:ind w:right="270"/>
        <w:rPr>
          <w:rFonts w:asciiTheme="minorHAnsi" w:hAnsiTheme="minorHAnsi" w:cstheme="minorHAnsi"/>
          <w:bCs/>
        </w:rPr>
      </w:pPr>
      <w:r w:rsidRPr="00B57ACE">
        <w:rPr>
          <w:rFonts w:asciiTheme="minorHAnsi" w:hAnsiTheme="minorHAnsi" w:cstheme="minorHAnsi"/>
        </w:rPr>
        <w:t xml:space="preserve">The annual Commonwealth levy will recover the costs associated with the delivery of outputs 2 </w:t>
      </w:r>
      <w:r>
        <w:rPr>
          <w:rFonts w:asciiTheme="minorHAnsi" w:hAnsiTheme="minorHAnsi" w:cstheme="minorHAnsi"/>
        </w:rPr>
        <w:br/>
        <w:t xml:space="preserve">(Policy development and regulatory improvement) </w:t>
      </w:r>
      <w:r w:rsidRPr="00B57ACE">
        <w:rPr>
          <w:rFonts w:asciiTheme="minorHAnsi" w:hAnsiTheme="minorHAnsi" w:cstheme="minorHAnsi"/>
        </w:rPr>
        <w:t>and 3</w:t>
      </w:r>
      <w:r>
        <w:rPr>
          <w:rFonts w:asciiTheme="minorHAnsi" w:hAnsiTheme="minorHAnsi" w:cstheme="minorHAnsi"/>
        </w:rPr>
        <w:t xml:space="preserve"> (Program management, administration and engagement)</w:t>
      </w:r>
      <w:r w:rsidRPr="00B57ACE">
        <w:rPr>
          <w:rFonts w:asciiTheme="minorHAnsi" w:hAnsiTheme="minorHAnsi" w:cstheme="minorHAnsi"/>
        </w:rPr>
        <w:t xml:space="preserve"> from all licence holders. </w:t>
      </w:r>
      <w:r>
        <w:rPr>
          <w:rFonts w:asciiTheme="minorHAnsi" w:hAnsiTheme="minorHAnsi" w:cstheme="minorHAnsi"/>
        </w:rPr>
        <w:t>The</w:t>
      </w:r>
      <w:r w:rsidRPr="00B57ACE">
        <w:rPr>
          <w:rFonts w:asciiTheme="minorHAnsi" w:hAnsiTheme="minorHAnsi" w:cstheme="minorHAnsi"/>
        </w:rPr>
        <w:t xml:space="preserve"> processes involved in the delivery of these outputs, for example policy development, administration and engagement, are undertaken for the benefit of all</w:t>
      </w:r>
      <w:r>
        <w:rPr>
          <w:rFonts w:asciiTheme="minorHAnsi" w:hAnsiTheme="minorHAnsi" w:cstheme="minorHAnsi"/>
        </w:rPr>
        <w:t xml:space="preserve"> OEI licence</w:t>
      </w:r>
      <w:r w:rsidRPr="00B57ACE">
        <w:rPr>
          <w:rFonts w:asciiTheme="minorHAnsi" w:hAnsiTheme="minorHAnsi" w:cstheme="minorHAnsi"/>
        </w:rPr>
        <w:t xml:space="preserve"> holders equally and not for the benefit of any one licence type. These processes comprise the core </w:t>
      </w:r>
      <w:r>
        <w:rPr>
          <w:rFonts w:asciiTheme="minorHAnsi" w:hAnsiTheme="minorHAnsi" w:cstheme="minorHAnsi"/>
        </w:rPr>
        <w:t>work</w:t>
      </w:r>
      <w:r w:rsidRPr="00B57ACE">
        <w:rPr>
          <w:rFonts w:asciiTheme="minorHAnsi" w:hAnsiTheme="minorHAnsi" w:cstheme="minorHAnsi"/>
        </w:rPr>
        <w:t xml:space="preserve"> of the ORE </w:t>
      </w:r>
      <w:r>
        <w:rPr>
          <w:rFonts w:asciiTheme="minorHAnsi" w:hAnsiTheme="minorHAnsi" w:cstheme="minorHAnsi"/>
        </w:rPr>
        <w:t>section</w:t>
      </w:r>
      <w:r w:rsidRPr="00B57ACE">
        <w:rPr>
          <w:rFonts w:asciiTheme="minorHAnsi" w:hAnsiTheme="minorHAnsi" w:cstheme="minorHAnsi"/>
        </w:rPr>
        <w:t xml:space="preserve"> </w:t>
      </w:r>
      <w:r>
        <w:rPr>
          <w:rFonts w:asciiTheme="minorHAnsi" w:hAnsiTheme="minorHAnsi" w:cstheme="minorHAnsi"/>
        </w:rPr>
        <w:t>and</w:t>
      </w:r>
      <w:r w:rsidRPr="00B57ACE">
        <w:rPr>
          <w:rFonts w:asciiTheme="minorHAnsi" w:hAnsiTheme="minorHAnsi" w:cstheme="minorHAnsi"/>
        </w:rPr>
        <w:t xml:space="preserve"> are critical to maintaining an efficient and effective </w:t>
      </w:r>
      <w:r w:rsidRPr="006D6414">
        <w:rPr>
          <w:rFonts w:asciiTheme="minorHAnsi" w:hAnsiTheme="minorHAnsi" w:cstheme="minorHAnsi"/>
          <w:bCs/>
        </w:rPr>
        <w:t>OEI framework</w:t>
      </w:r>
      <w:r>
        <w:rPr>
          <w:rFonts w:asciiTheme="minorHAnsi" w:hAnsiTheme="minorHAnsi" w:cstheme="minorHAnsi"/>
          <w:bCs/>
        </w:rPr>
        <w:t>.</w:t>
      </w:r>
    </w:p>
    <w:p w14:paraId="18FAE510" w14:textId="77777777" w:rsidR="00F94186" w:rsidRDefault="00F94186" w:rsidP="00F94186">
      <w:pPr>
        <w:ind w:right="412"/>
        <w:rPr>
          <w:rFonts w:asciiTheme="minorHAnsi" w:hAnsiTheme="minorHAnsi" w:cstheme="minorHAnsi"/>
        </w:rPr>
      </w:pPr>
    </w:p>
    <w:p w14:paraId="6C32511B" w14:textId="77777777" w:rsidR="00F94186" w:rsidRDefault="00F94186" w:rsidP="00F94186">
      <w:pPr>
        <w:ind w:right="412"/>
        <w:rPr>
          <w:rFonts w:asciiTheme="minorHAnsi" w:hAnsiTheme="minorHAnsi" w:cstheme="minorHAnsi"/>
        </w:rPr>
      </w:pPr>
      <w:r>
        <w:rPr>
          <w:rFonts w:asciiTheme="minorHAnsi" w:hAnsiTheme="minorHAnsi" w:cstheme="minorHAnsi"/>
        </w:rPr>
        <w:t>The costs associated with the delivery of output 1 (D</w:t>
      </w:r>
      <w:r w:rsidRPr="00C03F1E">
        <w:rPr>
          <w:rFonts w:asciiTheme="minorHAnsi" w:hAnsiTheme="minorHAnsi" w:cstheme="minorHAnsi"/>
        </w:rPr>
        <w:t>eclaration of an area)</w:t>
      </w:r>
      <w:r>
        <w:rPr>
          <w:rFonts w:asciiTheme="minorHAnsi" w:hAnsiTheme="minorHAnsi" w:cstheme="minorHAnsi"/>
        </w:rPr>
        <w:t xml:space="preserve"> are imposed on f</w:t>
      </w:r>
      <w:r w:rsidRPr="00B57ACE">
        <w:rPr>
          <w:rFonts w:asciiTheme="minorHAnsi" w:hAnsiTheme="minorHAnsi" w:cstheme="minorHAnsi"/>
        </w:rPr>
        <w:t>easibility licence holders</w:t>
      </w:r>
      <w:r>
        <w:rPr>
          <w:rFonts w:asciiTheme="minorHAnsi" w:hAnsiTheme="minorHAnsi" w:cstheme="minorHAnsi"/>
        </w:rPr>
        <w:t xml:space="preserve"> only. The declaration of an area as suitable for offshore renewable energy infrastructure is required before a feasibility or research or demonstration licence can be granted. </w:t>
      </w:r>
    </w:p>
    <w:p w14:paraId="615E6A49" w14:textId="77777777" w:rsidR="00F94186" w:rsidRDefault="00F94186" w:rsidP="00F94186">
      <w:pPr>
        <w:ind w:right="412"/>
        <w:rPr>
          <w:rFonts w:asciiTheme="minorHAnsi" w:hAnsiTheme="minorHAnsi" w:cstheme="minorHAnsi"/>
        </w:rPr>
      </w:pPr>
    </w:p>
    <w:p w14:paraId="7E206348" w14:textId="77777777" w:rsidR="00F94186" w:rsidRDefault="00F94186" w:rsidP="00F94186">
      <w:pPr>
        <w:ind w:right="412"/>
        <w:rPr>
          <w:rFonts w:asciiTheme="minorHAnsi" w:hAnsiTheme="minorHAnsi" w:cstheme="minorHAnsi"/>
        </w:rPr>
      </w:pPr>
      <w:r>
        <w:rPr>
          <w:rFonts w:asciiTheme="minorHAnsi" w:hAnsiTheme="minorHAnsi" w:cstheme="minorHAnsi"/>
        </w:rPr>
        <w:t xml:space="preserve">Consideration was given to also charging commercial licence holders for costs associated with the delivery of output 1, however because it is not anticipated that any commercial licences will be granted in </w:t>
      </w:r>
      <w:r w:rsidRPr="00AF30A2">
        <w:rPr>
          <w:rFonts w:asciiTheme="minorHAnsi" w:hAnsiTheme="minorHAnsi" w:cstheme="minorHAnsi"/>
        </w:rPr>
        <w:t>202</w:t>
      </w:r>
      <w:r>
        <w:rPr>
          <w:rFonts w:asciiTheme="minorHAnsi" w:hAnsiTheme="minorHAnsi" w:cstheme="minorHAnsi"/>
        </w:rPr>
        <w:t>2</w:t>
      </w:r>
      <w:r w:rsidRPr="00AF30A2">
        <w:rPr>
          <w:rFonts w:asciiTheme="minorHAnsi" w:hAnsiTheme="minorHAnsi" w:cstheme="minorHAnsi"/>
        </w:rPr>
        <w:t>-2</w:t>
      </w:r>
      <w:r>
        <w:rPr>
          <w:rFonts w:asciiTheme="minorHAnsi" w:hAnsiTheme="minorHAnsi" w:cstheme="minorHAnsi"/>
        </w:rPr>
        <w:t xml:space="preserve">3, 2023-24 or 2024-25, doing so would result in a significant delay in the </w:t>
      </w:r>
      <w:r>
        <w:rPr>
          <w:rFonts w:asciiTheme="minorHAnsi" w:hAnsiTheme="minorHAnsi" w:cstheme="minorHAnsi"/>
        </w:rPr>
        <w:br/>
        <w:t xml:space="preserve">ORE section’s ability to fully recover costs and would create a persistent deficit. </w:t>
      </w:r>
    </w:p>
    <w:p w14:paraId="3B8DCF85" w14:textId="77777777" w:rsidR="00F94186" w:rsidRDefault="00F94186" w:rsidP="00F94186">
      <w:pPr>
        <w:rPr>
          <w:rFonts w:asciiTheme="minorHAnsi" w:hAnsiTheme="minorHAnsi" w:cstheme="minorHAnsi"/>
        </w:rPr>
      </w:pPr>
    </w:p>
    <w:p w14:paraId="4A5EFFA7" w14:textId="77777777" w:rsidR="00F94186" w:rsidRDefault="00F94186" w:rsidP="00F94186">
      <w:pPr>
        <w:ind w:right="412"/>
        <w:rPr>
          <w:rFonts w:asciiTheme="minorHAnsi" w:hAnsiTheme="minorHAnsi" w:cstheme="minorHAnsi"/>
        </w:rPr>
      </w:pPr>
      <w:r>
        <w:rPr>
          <w:rFonts w:asciiTheme="minorHAnsi" w:hAnsiTheme="minorHAnsi" w:cstheme="minorHAnsi"/>
        </w:rPr>
        <w:t xml:space="preserve">The purpose of a research and demonstration licence is to research or demonstrate the feasibility or capabilities of new, emerging or under-researched technologies or processes. As projects undertaken under this licence type are intended to advance understanding of new offshore technologies and further develop the capability of OEI, this licence type has been identified as a public good and therefore partial cost recovery, by way of charging only the costs associated </w:t>
      </w:r>
      <w:r w:rsidRPr="00C03F1E">
        <w:rPr>
          <w:rFonts w:asciiTheme="minorHAnsi" w:hAnsiTheme="minorHAnsi" w:cstheme="minorHAnsi"/>
        </w:rPr>
        <w:t xml:space="preserve">with the delivery of </w:t>
      </w:r>
      <w:r w:rsidRPr="00C03F1E">
        <w:rPr>
          <w:rFonts w:asciiTheme="minorHAnsi" w:hAnsiTheme="minorHAnsi" w:cstheme="minorHAnsi"/>
        </w:rPr>
        <w:lastRenderedPageBreak/>
        <w:t>outputs 2 and 3</w:t>
      </w:r>
      <w:r>
        <w:rPr>
          <w:rFonts w:asciiTheme="minorHAnsi" w:hAnsiTheme="minorHAnsi" w:cstheme="minorHAnsi"/>
        </w:rPr>
        <w:t xml:space="preserve">, is considered appropriate. However, it is not anticipated that any research and demonstration licences will be granted in </w:t>
      </w:r>
      <w:r w:rsidRPr="00AF30A2">
        <w:rPr>
          <w:rFonts w:asciiTheme="minorHAnsi" w:hAnsiTheme="minorHAnsi" w:cstheme="minorHAnsi"/>
        </w:rPr>
        <w:t>202</w:t>
      </w:r>
      <w:r>
        <w:rPr>
          <w:rFonts w:asciiTheme="minorHAnsi" w:hAnsiTheme="minorHAnsi" w:cstheme="minorHAnsi"/>
        </w:rPr>
        <w:t>2</w:t>
      </w:r>
      <w:r w:rsidRPr="00AF30A2">
        <w:rPr>
          <w:rFonts w:asciiTheme="minorHAnsi" w:hAnsiTheme="minorHAnsi" w:cstheme="minorHAnsi"/>
        </w:rPr>
        <w:t>-2</w:t>
      </w:r>
      <w:r>
        <w:rPr>
          <w:rFonts w:asciiTheme="minorHAnsi" w:hAnsiTheme="minorHAnsi" w:cstheme="minorHAnsi"/>
        </w:rPr>
        <w:t>3, 2023-24 and 2024-25.</w:t>
      </w:r>
    </w:p>
    <w:p w14:paraId="39827772" w14:textId="77777777" w:rsidR="00F94186" w:rsidRDefault="00F94186" w:rsidP="00F94186">
      <w:pPr>
        <w:ind w:right="412"/>
        <w:rPr>
          <w:rFonts w:asciiTheme="minorHAnsi" w:hAnsiTheme="minorHAnsi" w:cstheme="minorHAnsi"/>
        </w:rPr>
      </w:pPr>
    </w:p>
    <w:p w14:paraId="5D2D18B8" w14:textId="77777777" w:rsidR="00F94186" w:rsidRDefault="00F94186" w:rsidP="00F94186">
      <w:pPr>
        <w:ind w:right="412"/>
        <w:rPr>
          <w:rFonts w:asciiTheme="minorHAnsi" w:hAnsiTheme="minorHAnsi" w:cstheme="minorHAnsi"/>
        </w:rPr>
      </w:pPr>
      <w:r>
        <w:rPr>
          <w:rFonts w:asciiTheme="minorHAnsi" w:hAnsiTheme="minorHAnsi" w:cstheme="minorHAnsi"/>
        </w:rPr>
        <w:t xml:space="preserve">Applications for transmission and infrastructure licences are not dependent on an area being declared by the Minister. Therefore the annual Commonwealth levy imposed on these licence holders will not include costs associated with the delivery of output 1. </w:t>
      </w:r>
    </w:p>
    <w:p w14:paraId="261A2F8D" w14:textId="77777777" w:rsidR="00F94186" w:rsidRPr="00A47731" w:rsidRDefault="00F94186" w:rsidP="00F94186">
      <w:pPr>
        <w:rPr>
          <w:rFonts w:asciiTheme="minorHAnsi" w:hAnsiTheme="minorHAnsi" w:cstheme="minorHAnsi"/>
        </w:rPr>
      </w:pPr>
    </w:p>
    <w:p w14:paraId="559EEC7E" w14:textId="2E3D0F07" w:rsidR="00F94186" w:rsidRDefault="00F94186" w:rsidP="00F94186">
      <w:pPr>
        <w:rPr>
          <w:rFonts w:ascii="Calibri" w:hAnsi="Calibri" w:cs="Calibri"/>
          <w:color w:val="000000"/>
        </w:rPr>
      </w:pPr>
      <w:r w:rsidRPr="006D6414">
        <w:rPr>
          <w:rFonts w:asciiTheme="minorHAnsi" w:hAnsiTheme="minorHAnsi" w:cstheme="minorHAnsi"/>
          <w:b/>
        </w:rPr>
        <w:t>Table 1</w:t>
      </w:r>
      <w:r>
        <w:rPr>
          <w:rFonts w:asciiTheme="minorHAnsi" w:hAnsiTheme="minorHAnsi" w:cstheme="minorHAnsi"/>
          <w:b/>
        </w:rPr>
        <w:t xml:space="preserve">0: </w:t>
      </w:r>
      <w:r w:rsidRPr="004513C9">
        <w:rPr>
          <w:rFonts w:asciiTheme="minorHAnsi" w:hAnsiTheme="minorHAnsi" w:cstheme="minorHAnsi"/>
          <w:bCs/>
        </w:rPr>
        <w:t>Annual</w:t>
      </w:r>
      <w:r>
        <w:rPr>
          <w:rFonts w:asciiTheme="minorHAnsi" w:hAnsiTheme="minorHAnsi" w:cstheme="minorHAnsi"/>
          <w:b/>
        </w:rPr>
        <w:t xml:space="preserve"> </w:t>
      </w:r>
      <w:r>
        <w:rPr>
          <w:rFonts w:asciiTheme="minorHAnsi" w:hAnsiTheme="minorHAnsi" w:cstheme="minorHAnsi"/>
          <w:bCs/>
        </w:rPr>
        <w:t>Commonwealth l</w:t>
      </w:r>
      <w:r w:rsidRPr="006D6414">
        <w:rPr>
          <w:rFonts w:asciiTheme="minorHAnsi" w:hAnsiTheme="minorHAnsi" w:cstheme="minorHAnsi"/>
        </w:rPr>
        <w:t xml:space="preserve">evy revenue estimate </w:t>
      </w:r>
      <w:r>
        <w:rPr>
          <w:rFonts w:ascii="Calibri" w:hAnsi="Calibri" w:cs="Calibri"/>
          <w:color w:val="000000"/>
        </w:rPr>
        <w:t>for 2022-23 to 2024-25</w:t>
      </w:r>
      <w:r w:rsidR="00777ACE" w:rsidRPr="00777ACE">
        <w:rPr>
          <w:rFonts w:ascii="Calibri" w:hAnsi="Calibri" w:cs="Calibri"/>
          <w:color w:val="000000"/>
          <w:vertAlign w:val="superscript"/>
        </w:rPr>
        <w:t>#</w:t>
      </w:r>
    </w:p>
    <w:tbl>
      <w:tblPr>
        <w:tblW w:w="5000" w:type="pct"/>
        <w:tblLook w:val="04A0" w:firstRow="1" w:lastRow="0" w:firstColumn="1" w:lastColumn="0" w:noHBand="0" w:noVBand="1"/>
      </w:tblPr>
      <w:tblGrid>
        <w:gridCol w:w="1567"/>
        <w:gridCol w:w="943"/>
        <w:gridCol w:w="891"/>
        <w:gridCol w:w="891"/>
        <w:gridCol w:w="1544"/>
        <w:gridCol w:w="1174"/>
        <w:gridCol w:w="1188"/>
        <w:gridCol w:w="1225"/>
        <w:gridCol w:w="892"/>
      </w:tblGrid>
      <w:tr w:rsidR="00F94186" w:rsidRPr="007E6FC2" w14:paraId="31E4A72B" w14:textId="77777777" w:rsidTr="00777ACE">
        <w:trPr>
          <w:trHeight w:val="1104"/>
        </w:trPr>
        <w:tc>
          <w:tcPr>
            <w:tcW w:w="760" w:type="pct"/>
            <w:vMerge w:val="restart"/>
            <w:tcBorders>
              <w:top w:val="single" w:sz="8" w:space="0" w:color="4F81BD"/>
              <w:left w:val="single" w:sz="8" w:space="0" w:color="4F81BD"/>
              <w:bottom w:val="single" w:sz="8" w:space="0" w:color="4F81BD"/>
              <w:right w:val="nil"/>
            </w:tcBorders>
            <w:shd w:val="clear" w:color="000000" w:fill="4F81BD"/>
            <w:vAlign w:val="center"/>
            <w:hideMark/>
          </w:tcPr>
          <w:p w14:paraId="4FCF186B" w14:textId="77777777" w:rsidR="00F94186" w:rsidRPr="007E6FC2" w:rsidRDefault="00F94186" w:rsidP="00F94186">
            <w:pPr>
              <w:jc w:val="center"/>
              <w:rPr>
                <w:rFonts w:ascii="Calibri" w:hAnsi="Calibri" w:cs="Calibri"/>
                <w:b/>
                <w:bCs/>
                <w:color w:val="FFFFFF"/>
                <w:sz w:val="20"/>
                <w:szCs w:val="20"/>
                <w:lang w:eastAsia="en-AU"/>
              </w:rPr>
            </w:pPr>
            <w:r w:rsidRPr="007E6FC2">
              <w:rPr>
                <w:rFonts w:ascii="Calibri" w:hAnsi="Calibri" w:cs="Calibri"/>
                <w:b/>
                <w:bCs/>
                <w:color w:val="FFFFFF"/>
                <w:sz w:val="20"/>
                <w:szCs w:val="20"/>
                <w:lang w:eastAsia="en-AU"/>
              </w:rPr>
              <w:t>Licence Type</w:t>
            </w:r>
          </w:p>
        </w:tc>
        <w:tc>
          <w:tcPr>
            <w:tcW w:w="1321" w:type="pct"/>
            <w:gridSpan w:val="3"/>
            <w:tcBorders>
              <w:top w:val="single" w:sz="8" w:space="0" w:color="4F81BD"/>
              <w:left w:val="nil"/>
              <w:bottom w:val="nil"/>
              <w:right w:val="nil"/>
            </w:tcBorders>
            <w:shd w:val="clear" w:color="000000" w:fill="4F81BD"/>
            <w:vAlign w:val="center"/>
            <w:hideMark/>
          </w:tcPr>
          <w:p w14:paraId="56E8A712" w14:textId="77777777" w:rsidR="00F94186" w:rsidRPr="007E6FC2" w:rsidRDefault="00F94186" w:rsidP="00F94186">
            <w:pPr>
              <w:jc w:val="center"/>
              <w:rPr>
                <w:rFonts w:ascii="Calibri" w:hAnsi="Calibri" w:cs="Calibri"/>
                <w:b/>
                <w:bCs/>
                <w:color w:val="FFFFFF"/>
                <w:sz w:val="20"/>
                <w:szCs w:val="20"/>
                <w:lang w:eastAsia="en-AU"/>
              </w:rPr>
            </w:pPr>
            <w:r w:rsidRPr="007E6FC2">
              <w:rPr>
                <w:rFonts w:ascii="Calibri" w:hAnsi="Calibri" w:cs="Calibri"/>
                <w:b/>
                <w:bCs/>
                <w:color w:val="FFFFFF"/>
                <w:sz w:val="20"/>
                <w:szCs w:val="20"/>
                <w:lang w:eastAsia="en-AU"/>
              </w:rPr>
              <w:t>Estimated total number of  granted licences</w:t>
            </w:r>
          </w:p>
        </w:tc>
        <w:tc>
          <w:tcPr>
            <w:tcW w:w="748" w:type="pct"/>
            <w:tcBorders>
              <w:top w:val="single" w:sz="8" w:space="0" w:color="4F81BD"/>
              <w:left w:val="nil"/>
              <w:bottom w:val="nil"/>
              <w:right w:val="nil"/>
            </w:tcBorders>
            <w:shd w:val="clear" w:color="000000" w:fill="4F81BD"/>
            <w:vAlign w:val="center"/>
            <w:hideMark/>
          </w:tcPr>
          <w:p w14:paraId="365E5474" w14:textId="77777777" w:rsidR="00F94186" w:rsidRPr="007E6FC2" w:rsidRDefault="00F94186" w:rsidP="00F94186">
            <w:pPr>
              <w:jc w:val="center"/>
              <w:rPr>
                <w:rFonts w:ascii="Calibri" w:hAnsi="Calibri" w:cs="Calibri"/>
                <w:b/>
                <w:bCs/>
                <w:color w:val="FFFFFF"/>
                <w:sz w:val="20"/>
                <w:szCs w:val="20"/>
                <w:lang w:eastAsia="en-AU"/>
              </w:rPr>
            </w:pPr>
            <w:r w:rsidRPr="007E6FC2">
              <w:rPr>
                <w:rFonts w:ascii="Calibri" w:hAnsi="Calibri" w:cs="Calibri"/>
                <w:b/>
                <w:bCs/>
                <w:color w:val="FFFFFF"/>
                <w:sz w:val="20"/>
                <w:szCs w:val="20"/>
                <w:lang w:eastAsia="en-AU"/>
              </w:rPr>
              <w:t>Proposed Annual Commonwealth</w:t>
            </w:r>
          </w:p>
        </w:tc>
        <w:tc>
          <w:tcPr>
            <w:tcW w:w="1739" w:type="pct"/>
            <w:gridSpan w:val="3"/>
            <w:tcBorders>
              <w:top w:val="single" w:sz="8" w:space="0" w:color="4F81BD"/>
              <w:left w:val="nil"/>
              <w:bottom w:val="nil"/>
              <w:right w:val="nil"/>
            </w:tcBorders>
            <w:shd w:val="clear" w:color="000000" w:fill="4F81BD"/>
            <w:vAlign w:val="center"/>
            <w:hideMark/>
          </w:tcPr>
          <w:p w14:paraId="5BDAA3BB" w14:textId="77777777" w:rsidR="00F94186" w:rsidRPr="007E6FC2" w:rsidRDefault="00F94186" w:rsidP="00F94186">
            <w:pPr>
              <w:jc w:val="center"/>
              <w:rPr>
                <w:rFonts w:ascii="Calibri" w:hAnsi="Calibri" w:cs="Calibri"/>
                <w:b/>
                <w:bCs/>
                <w:color w:val="FFFFFF"/>
                <w:sz w:val="20"/>
                <w:szCs w:val="20"/>
                <w:lang w:eastAsia="en-AU"/>
              </w:rPr>
            </w:pPr>
            <w:r w:rsidRPr="007E6FC2">
              <w:rPr>
                <w:rFonts w:ascii="Calibri" w:hAnsi="Calibri" w:cs="Calibri"/>
                <w:b/>
                <w:bCs/>
                <w:color w:val="FFFFFF"/>
                <w:sz w:val="20"/>
                <w:szCs w:val="20"/>
                <w:lang w:eastAsia="en-AU"/>
              </w:rPr>
              <w:t>Total estimated levy</w:t>
            </w:r>
          </w:p>
        </w:tc>
        <w:tc>
          <w:tcPr>
            <w:tcW w:w="432" w:type="pct"/>
            <w:vMerge w:val="restart"/>
            <w:tcBorders>
              <w:top w:val="single" w:sz="8" w:space="0" w:color="4F81BD"/>
              <w:left w:val="nil"/>
              <w:bottom w:val="single" w:sz="8" w:space="0" w:color="4F81BD"/>
              <w:right w:val="single" w:sz="8" w:space="0" w:color="4F81BD"/>
            </w:tcBorders>
            <w:shd w:val="clear" w:color="000000" w:fill="4F81BD"/>
            <w:vAlign w:val="center"/>
            <w:hideMark/>
          </w:tcPr>
          <w:p w14:paraId="6DC8229C" w14:textId="77777777" w:rsidR="00F94186" w:rsidRPr="007E6FC2" w:rsidRDefault="00F94186" w:rsidP="00F94186">
            <w:pPr>
              <w:jc w:val="center"/>
              <w:rPr>
                <w:rFonts w:ascii="Calibri" w:hAnsi="Calibri" w:cs="Calibri"/>
                <w:b/>
                <w:bCs/>
                <w:color w:val="FFFFFF"/>
                <w:sz w:val="20"/>
                <w:szCs w:val="20"/>
                <w:lang w:eastAsia="en-AU"/>
              </w:rPr>
            </w:pPr>
            <w:r w:rsidRPr="007E6FC2">
              <w:rPr>
                <w:rFonts w:ascii="Calibri" w:hAnsi="Calibri" w:cs="Calibri"/>
                <w:b/>
                <w:bCs/>
                <w:color w:val="FFFFFF"/>
                <w:sz w:val="20"/>
                <w:szCs w:val="20"/>
                <w:lang w:eastAsia="en-AU"/>
              </w:rPr>
              <w:t>Outputs funded</w:t>
            </w:r>
          </w:p>
        </w:tc>
      </w:tr>
      <w:tr w:rsidR="00F94186" w:rsidRPr="007E6FC2" w14:paraId="070DDF81" w14:textId="77777777" w:rsidTr="00777ACE">
        <w:trPr>
          <w:trHeight w:val="288"/>
        </w:trPr>
        <w:tc>
          <w:tcPr>
            <w:tcW w:w="760" w:type="pct"/>
            <w:vMerge/>
            <w:tcBorders>
              <w:top w:val="single" w:sz="8" w:space="0" w:color="4F81BD"/>
              <w:left w:val="single" w:sz="8" w:space="0" w:color="4F81BD"/>
              <w:bottom w:val="single" w:sz="8" w:space="0" w:color="4F81BD"/>
              <w:right w:val="nil"/>
            </w:tcBorders>
            <w:vAlign w:val="center"/>
            <w:hideMark/>
          </w:tcPr>
          <w:p w14:paraId="2BEDF710" w14:textId="77777777" w:rsidR="00F94186" w:rsidRPr="007E6FC2" w:rsidRDefault="00F94186" w:rsidP="00F94186">
            <w:pPr>
              <w:rPr>
                <w:rFonts w:ascii="Calibri" w:hAnsi="Calibri" w:cs="Calibri"/>
                <w:b/>
                <w:bCs/>
                <w:color w:val="FFFFFF"/>
                <w:sz w:val="20"/>
                <w:szCs w:val="20"/>
                <w:lang w:eastAsia="en-AU"/>
              </w:rPr>
            </w:pPr>
          </w:p>
        </w:tc>
        <w:tc>
          <w:tcPr>
            <w:tcW w:w="1321" w:type="pct"/>
            <w:gridSpan w:val="3"/>
            <w:tcBorders>
              <w:top w:val="nil"/>
              <w:left w:val="nil"/>
              <w:bottom w:val="nil"/>
              <w:right w:val="nil"/>
            </w:tcBorders>
            <w:shd w:val="clear" w:color="000000" w:fill="4F81BD"/>
            <w:vAlign w:val="center"/>
            <w:hideMark/>
          </w:tcPr>
          <w:p w14:paraId="632BDD81" w14:textId="77777777" w:rsidR="00F94186" w:rsidRPr="007E6FC2" w:rsidRDefault="00F94186" w:rsidP="00F94186">
            <w:pPr>
              <w:rPr>
                <w:rFonts w:ascii="Calibri" w:hAnsi="Calibri" w:cs="Calibri"/>
                <w:b/>
                <w:bCs/>
                <w:color w:val="FFFFFF"/>
                <w:sz w:val="20"/>
                <w:szCs w:val="20"/>
                <w:lang w:eastAsia="en-AU"/>
              </w:rPr>
            </w:pPr>
            <w:r w:rsidRPr="007E6FC2">
              <w:rPr>
                <w:rFonts w:ascii="Calibri" w:hAnsi="Calibri" w:cs="Calibri"/>
                <w:b/>
                <w:bCs/>
                <w:color w:val="FFFFFF"/>
                <w:sz w:val="20"/>
                <w:szCs w:val="20"/>
                <w:lang w:eastAsia="en-AU"/>
              </w:rPr>
              <w:t>2022-23    2023-24    2024-25</w:t>
            </w:r>
          </w:p>
        </w:tc>
        <w:tc>
          <w:tcPr>
            <w:tcW w:w="748" w:type="pct"/>
            <w:tcBorders>
              <w:top w:val="nil"/>
              <w:left w:val="nil"/>
              <w:bottom w:val="nil"/>
              <w:right w:val="nil"/>
            </w:tcBorders>
            <w:shd w:val="clear" w:color="000000" w:fill="4F81BD"/>
            <w:vAlign w:val="center"/>
            <w:hideMark/>
          </w:tcPr>
          <w:p w14:paraId="24DD7CA6" w14:textId="77777777" w:rsidR="00F94186" w:rsidRPr="007E6FC2" w:rsidRDefault="00F94186" w:rsidP="00F94186">
            <w:pPr>
              <w:jc w:val="center"/>
              <w:rPr>
                <w:rFonts w:ascii="Calibri" w:hAnsi="Calibri" w:cs="Calibri"/>
                <w:b/>
                <w:bCs/>
                <w:color w:val="FFFFFF"/>
                <w:sz w:val="20"/>
                <w:szCs w:val="20"/>
                <w:lang w:eastAsia="en-AU"/>
              </w:rPr>
            </w:pPr>
            <w:r w:rsidRPr="007E6FC2">
              <w:rPr>
                <w:rFonts w:ascii="Calibri" w:hAnsi="Calibri" w:cs="Calibri"/>
                <w:b/>
                <w:bCs/>
                <w:color w:val="FFFFFF"/>
                <w:sz w:val="20"/>
                <w:szCs w:val="20"/>
                <w:lang w:eastAsia="en-AU"/>
              </w:rPr>
              <w:t xml:space="preserve">Levy </w:t>
            </w:r>
          </w:p>
        </w:tc>
        <w:tc>
          <w:tcPr>
            <w:tcW w:w="1739" w:type="pct"/>
            <w:gridSpan w:val="3"/>
            <w:tcBorders>
              <w:top w:val="nil"/>
              <w:left w:val="nil"/>
              <w:bottom w:val="nil"/>
              <w:right w:val="nil"/>
            </w:tcBorders>
            <w:shd w:val="clear" w:color="000000" w:fill="4F81BD"/>
            <w:vAlign w:val="center"/>
            <w:hideMark/>
          </w:tcPr>
          <w:p w14:paraId="6003BD86" w14:textId="77777777" w:rsidR="00F94186" w:rsidRPr="007E6FC2" w:rsidRDefault="00F94186" w:rsidP="00F94186">
            <w:pPr>
              <w:jc w:val="center"/>
              <w:rPr>
                <w:rFonts w:ascii="Calibri" w:hAnsi="Calibri" w:cs="Calibri"/>
                <w:b/>
                <w:bCs/>
                <w:color w:val="FFFFFF"/>
                <w:sz w:val="20"/>
                <w:szCs w:val="20"/>
                <w:lang w:eastAsia="en-AU"/>
              </w:rPr>
            </w:pPr>
            <w:r w:rsidRPr="007E6FC2">
              <w:rPr>
                <w:rFonts w:ascii="Calibri" w:hAnsi="Calibri" w:cs="Calibri"/>
                <w:b/>
                <w:bCs/>
                <w:color w:val="FFFFFF"/>
                <w:sz w:val="20"/>
                <w:szCs w:val="20"/>
                <w:lang w:eastAsia="en-AU"/>
              </w:rPr>
              <w:t> </w:t>
            </w:r>
          </w:p>
        </w:tc>
        <w:tc>
          <w:tcPr>
            <w:tcW w:w="432" w:type="pct"/>
            <w:vMerge/>
            <w:tcBorders>
              <w:top w:val="single" w:sz="8" w:space="0" w:color="4F81BD"/>
              <w:left w:val="nil"/>
              <w:bottom w:val="single" w:sz="8" w:space="0" w:color="4F81BD"/>
              <w:right w:val="single" w:sz="8" w:space="0" w:color="4F81BD"/>
            </w:tcBorders>
            <w:vAlign w:val="center"/>
            <w:hideMark/>
          </w:tcPr>
          <w:p w14:paraId="0A8AB9FD" w14:textId="77777777" w:rsidR="00F94186" w:rsidRPr="007E6FC2" w:rsidRDefault="00F94186" w:rsidP="00F94186">
            <w:pPr>
              <w:rPr>
                <w:rFonts w:ascii="Calibri" w:hAnsi="Calibri" w:cs="Calibri"/>
                <w:b/>
                <w:bCs/>
                <w:color w:val="FFFFFF"/>
                <w:sz w:val="20"/>
                <w:szCs w:val="20"/>
                <w:lang w:eastAsia="en-AU"/>
              </w:rPr>
            </w:pPr>
          </w:p>
        </w:tc>
      </w:tr>
      <w:tr w:rsidR="00F94186" w:rsidRPr="007E6FC2" w14:paraId="6BBB5EF1" w14:textId="77777777" w:rsidTr="00777ACE">
        <w:trPr>
          <w:trHeight w:val="552"/>
        </w:trPr>
        <w:tc>
          <w:tcPr>
            <w:tcW w:w="760" w:type="pct"/>
            <w:vMerge/>
            <w:tcBorders>
              <w:top w:val="single" w:sz="8" w:space="0" w:color="4F81BD"/>
              <w:left w:val="single" w:sz="8" w:space="0" w:color="4F81BD"/>
              <w:bottom w:val="single" w:sz="8" w:space="0" w:color="4F81BD"/>
              <w:right w:val="nil"/>
            </w:tcBorders>
            <w:vAlign w:val="center"/>
            <w:hideMark/>
          </w:tcPr>
          <w:p w14:paraId="3A43FB01" w14:textId="77777777" w:rsidR="00F94186" w:rsidRPr="007E6FC2" w:rsidRDefault="00F94186" w:rsidP="00F94186">
            <w:pPr>
              <w:rPr>
                <w:rFonts w:ascii="Calibri" w:hAnsi="Calibri" w:cs="Calibri"/>
                <w:b/>
                <w:bCs/>
                <w:color w:val="FFFFFF"/>
                <w:sz w:val="20"/>
                <w:szCs w:val="20"/>
                <w:lang w:eastAsia="en-AU"/>
              </w:rPr>
            </w:pPr>
          </w:p>
        </w:tc>
        <w:tc>
          <w:tcPr>
            <w:tcW w:w="1321" w:type="pct"/>
            <w:gridSpan w:val="3"/>
            <w:tcBorders>
              <w:top w:val="nil"/>
              <w:left w:val="nil"/>
              <w:bottom w:val="single" w:sz="8" w:space="0" w:color="4F81BD"/>
              <w:right w:val="nil"/>
            </w:tcBorders>
            <w:shd w:val="clear" w:color="000000" w:fill="4F81BD"/>
            <w:hideMark/>
          </w:tcPr>
          <w:p w14:paraId="5D013678" w14:textId="77777777" w:rsidR="00F94186" w:rsidRPr="007E6FC2" w:rsidRDefault="00F94186" w:rsidP="00F94186">
            <w:pPr>
              <w:rPr>
                <w:rFonts w:ascii="Calibri" w:hAnsi="Calibri" w:cs="Calibri"/>
                <w:color w:val="000000"/>
                <w:sz w:val="22"/>
                <w:szCs w:val="22"/>
                <w:lang w:eastAsia="en-AU"/>
              </w:rPr>
            </w:pPr>
            <w:r w:rsidRPr="007E6FC2">
              <w:rPr>
                <w:rFonts w:ascii="Calibri" w:hAnsi="Calibri" w:cs="Calibri"/>
                <w:color w:val="000000"/>
                <w:sz w:val="22"/>
                <w:szCs w:val="22"/>
                <w:lang w:eastAsia="en-AU"/>
              </w:rPr>
              <w:t> </w:t>
            </w:r>
          </w:p>
        </w:tc>
        <w:tc>
          <w:tcPr>
            <w:tcW w:w="748" w:type="pct"/>
            <w:tcBorders>
              <w:top w:val="nil"/>
              <w:left w:val="nil"/>
              <w:bottom w:val="single" w:sz="8" w:space="0" w:color="4F81BD"/>
              <w:right w:val="nil"/>
            </w:tcBorders>
            <w:shd w:val="clear" w:color="000000" w:fill="4F81BD"/>
            <w:hideMark/>
          </w:tcPr>
          <w:p w14:paraId="12938305" w14:textId="77777777" w:rsidR="00F94186" w:rsidRPr="007E6FC2" w:rsidRDefault="00F94186" w:rsidP="00F94186">
            <w:pPr>
              <w:rPr>
                <w:rFonts w:ascii="Calibri" w:hAnsi="Calibri" w:cs="Calibri"/>
                <w:color w:val="000000"/>
                <w:sz w:val="22"/>
                <w:szCs w:val="22"/>
                <w:lang w:eastAsia="en-AU"/>
              </w:rPr>
            </w:pPr>
            <w:r w:rsidRPr="007E6FC2">
              <w:rPr>
                <w:rFonts w:ascii="Calibri" w:hAnsi="Calibri" w:cs="Calibri"/>
                <w:color w:val="000000"/>
                <w:sz w:val="22"/>
                <w:szCs w:val="22"/>
                <w:lang w:eastAsia="en-AU"/>
              </w:rPr>
              <w:t> </w:t>
            </w:r>
          </w:p>
        </w:tc>
        <w:tc>
          <w:tcPr>
            <w:tcW w:w="1739" w:type="pct"/>
            <w:gridSpan w:val="3"/>
            <w:tcBorders>
              <w:top w:val="nil"/>
              <w:left w:val="nil"/>
              <w:bottom w:val="single" w:sz="8" w:space="0" w:color="4F81BD"/>
              <w:right w:val="nil"/>
            </w:tcBorders>
            <w:shd w:val="clear" w:color="000000" w:fill="4F81BD"/>
            <w:vAlign w:val="center"/>
            <w:hideMark/>
          </w:tcPr>
          <w:p w14:paraId="40162019" w14:textId="77777777" w:rsidR="00F94186" w:rsidRPr="007E6FC2" w:rsidRDefault="00F94186" w:rsidP="00F94186">
            <w:pPr>
              <w:rPr>
                <w:rFonts w:ascii="Calibri" w:hAnsi="Calibri" w:cs="Calibri"/>
                <w:b/>
                <w:bCs/>
                <w:color w:val="FFFFFF"/>
                <w:sz w:val="20"/>
                <w:szCs w:val="20"/>
                <w:lang w:eastAsia="en-AU"/>
              </w:rPr>
            </w:pPr>
            <w:r w:rsidRPr="007E6FC2">
              <w:rPr>
                <w:rFonts w:ascii="Calibri" w:hAnsi="Calibri" w:cs="Calibri"/>
                <w:b/>
                <w:bCs/>
                <w:color w:val="FFFFFF"/>
                <w:sz w:val="20"/>
                <w:szCs w:val="20"/>
                <w:lang w:eastAsia="en-AU"/>
              </w:rPr>
              <w:t>2022-23           2023-24            2024-25</w:t>
            </w:r>
          </w:p>
        </w:tc>
        <w:tc>
          <w:tcPr>
            <w:tcW w:w="432" w:type="pct"/>
            <w:vMerge/>
            <w:tcBorders>
              <w:top w:val="single" w:sz="8" w:space="0" w:color="4F81BD"/>
              <w:left w:val="nil"/>
              <w:bottom w:val="single" w:sz="8" w:space="0" w:color="4F81BD"/>
              <w:right w:val="single" w:sz="8" w:space="0" w:color="4F81BD"/>
            </w:tcBorders>
            <w:vAlign w:val="center"/>
            <w:hideMark/>
          </w:tcPr>
          <w:p w14:paraId="2BDA2B49" w14:textId="77777777" w:rsidR="00F94186" w:rsidRPr="007E6FC2" w:rsidRDefault="00F94186" w:rsidP="00F94186">
            <w:pPr>
              <w:rPr>
                <w:rFonts w:ascii="Calibri" w:hAnsi="Calibri" w:cs="Calibri"/>
                <w:b/>
                <w:bCs/>
                <w:color w:val="FFFFFF"/>
                <w:sz w:val="20"/>
                <w:szCs w:val="20"/>
                <w:lang w:eastAsia="en-AU"/>
              </w:rPr>
            </w:pPr>
          </w:p>
        </w:tc>
      </w:tr>
      <w:tr w:rsidR="00F94186" w:rsidRPr="007E6FC2" w14:paraId="13A24764" w14:textId="77777777" w:rsidTr="00777ACE">
        <w:trPr>
          <w:trHeight w:val="564"/>
        </w:trPr>
        <w:tc>
          <w:tcPr>
            <w:tcW w:w="760" w:type="pct"/>
            <w:tcBorders>
              <w:top w:val="nil"/>
              <w:left w:val="single" w:sz="8" w:space="0" w:color="95B3D7"/>
              <w:bottom w:val="single" w:sz="8" w:space="0" w:color="95B3D7"/>
              <w:right w:val="single" w:sz="8" w:space="0" w:color="95B3D7"/>
            </w:tcBorders>
            <w:shd w:val="clear" w:color="000000" w:fill="DBE5F1"/>
            <w:vAlign w:val="center"/>
            <w:hideMark/>
          </w:tcPr>
          <w:p w14:paraId="0E363213" w14:textId="77777777" w:rsidR="00F94186" w:rsidRPr="007E6FC2" w:rsidRDefault="00F94186" w:rsidP="00F94186">
            <w:pPr>
              <w:rPr>
                <w:rFonts w:ascii="Calibri" w:hAnsi="Calibri" w:cs="Calibri"/>
                <w:color w:val="17365D"/>
                <w:sz w:val="20"/>
                <w:szCs w:val="20"/>
                <w:lang w:eastAsia="en-AU"/>
              </w:rPr>
            </w:pPr>
            <w:r w:rsidRPr="007E6FC2">
              <w:rPr>
                <w:rFonts w:ascii="Calibri" w:hAnsi="Calibri" w:cs="Calibri"/>
                <w:color w:val="17365D"/>
                <w:sz w:val="20"/>
                <w:szCs w:val="20"/>
                <w:lang w:eastAsia="en-AU"/>
              </w:rPr>
              <w:t>Feasibility Licence</w:t>
            </w:r>
          </w:p>
        </w:tc>
        <w:tc>
          <w:tcPr>
            <w:tcW w:w="457" w:type="pct"/>
            <w:tcBorders>
              <w:top w:val="nil"/>
              <w:left w:val="nil"/>
              <w:bottom w:val="single" w:sz="8" w:space="0" w:color="95B3D7"/>
              <w:right w:val="single" w:sz="8" w:space="0" w:color="95B3D7"/>
            </w:tcBorders>
            <w:shd w:val="clear" w:color="000000" w:fill="DBE5F1"/>
            <w:vAlign w:val="center"/>
            <w:hideMark/>
          </w:tcPr>
          <w:p w14:paraId="502BB361"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2</w:t>
            </w:r>
          </w:p>
        </w:tc>
        <w:tc>
          <w:tcPr>
            <w:tcW w:w="432" w:type="pct"/>
            <w:tcBorders>
              <w:top w:val="nil"/>
              <w:left w:val="nil"/>
              <w:bottom w:val="single" w:sz="8" w:space="0" w:color="95B3D7"/>
              <w:right w:val="single" w:sz="8" w:space="0" w:color="95B3D7"/>
            </w:tcBorders>
            <w:shd w:val="clear" w:color="000000" w:fill="DBE5F1"/>
            <w:vAlign w:val="center"/>
            <w:hideMark/>
          </w:tcPr>
          <w:p w14:paraId="378D7E16"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5</w:t>
            </w:r>
          </w:p>
        </w:tc>
        <w:tc>
          <w:tcPr>
            <w:tcW w:w="432" w:type="pct"/>
            <w:tcBorders>
              <w:top w:val="nil"/>
              <w:left w:val="nil"/>
              <w:bottom w:val="single" w:sz="8" w:space="0" w:color="95B3D7"/>
              <w:right w:val="single" w:sz="8" w:space="0" w:color="95B3D7"/>
            </w:tcBorders>
            <w:shd w:val="clear" w:color="000000" w:fill="DBE5F1"/>
            <w:vAlign w:val="center"/>
            <w:hideMark/>
          </w:tcPr>
          <w:p w14:paraId="4A2AD068"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7</w:t>
            </w:r>
          </w:p>
        </w:tc>
        <w:tc>
          <w:tcPr>
            <w:tcW w:w="748" w:type="pct"/>
            <w:tcBorders>
              <w:top w:val="nil"/>
              <w:left w:val="nil"/>
              <w:bottom w:val="single" w:sz="8" w:space="0" w:color="95B3D7"/>
              <w:right w:val="single" w:sz="8" w:space="0" w:color="95B3D7"/>
            </w:tcBorders>
            <w:shd w:val="clear" w:color="000000" w:fill="DBE5F1"/>
            <w:vAlign w:val="center"/>
            <w:hideMark/>
          </w:tcPr>
          <w:p w14:paraId="678A0B62"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$364,818</w:t>
            </w:r>
          </w:p>
        </w:tc>
        <w:tc>
          <w:tcPr>
            <w:tcW w:w="569" w:type="pct"/>
            <w:tcBorders>
              <w:top w:val="nil"/>
              <w:left w:val="nil"/>
              <w:bottom w:val="single" w:sz="8" w:space="0" w:color="95B3D7"/>
              <w:right w:val="single" w:sz="8" w:space="0" w:color="95B3D7"/>
            </w:tcBorders>
            <w:shd w:val="clear" w:color="000000" w:fill="DBE5F1"/>
            <w:vAlign w:val="center"/>
            <w:hideMark/>
          </w:tcPr>
          <w:p w14:paraId="35E39421"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$729,636</w:t>
            </w:r>
          </w:p>
        </w:tc>
        <w:tc>
          <w:tcPr>
            <w:tcW w:w="576" w:type="pct"/>
            <w:tcBorders>
              <w:top w:val="nil"/>
              <w:left w:val="nil"/>
              <w:bottom w:val="single" w:sz="8" w:space="0" w:color="95B3D7"/>
              <w:right w:val="single" w:sz="8" w:space="0" w:color="95B3D7"/>
            </w:tcBorders>
            <w:shd w:val="clear" w:color="000000" w:fill="DBE5F1"/>
            <w:vAlign w:val="center"/>
            <w:hideMark/>
          </w:tcPr>
          <w:p w14:paraId="76B6948B"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$1,824,091</w:t>
            </w:r>
          </w:p>
        </w:tc>
        <w:tc>
          <w:tcPr>
            <w:tcW w:w="594" w:type="pct"/>
            <w:tcBorders>
              <w:top w:val="nil"/>
              <w:left w:val="nil"/>
              <w:bottom w:val="single" w:sz="8" w:space="0" w:color="95B3D7"/>
              <w:right w:val="single" w:sz="8" w:space="0" w:color="95B3D7"/>
            </w:tcBorders>
            <w:shd w:val="clear" w:color="000000" w:fill="DBE5F1"/>
            <w:vAlign w:val="center"/>
            <w:hideMark/>
          </w:tcPr>
          <w:p w14:paraId="556DA18A"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$2,553,728</w:t>
            </w:r>
          </w:p>
        </w:tc>
        <w:tc>
          <w:tcPr>
            <w:tcW w:w="432" w:type="pct"/>
            <w:tcBorders>
              <w:top w:val="nil"/>
              <w:left w:val="nil"/>
              <w:bottom w:val="single" w:sz="8" w:space="0" w:color="95B3D7"/>
              <w:right w:val="single" w:sz="8" w:space="0" w:color="95B3D7"/>
            </w:tcBorders>
            <w:shd w:val="clear" w:color="000000" w:fill="DBE5F1"/>
            <w:vAlign w:val="center"/>
            <w:hideMark/>
          </w:tcPr>
          <w:p w14:paraId="69DB0D83"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1,2,3</w:t>
            </w:r>
          </w:p>
        </w:tc>
      </w:tr>
      <w:tr w:rsidR="00F94186" w:rsidRPr="007E6FC2" w14:paraId="62FE2C81" w14:textId="77777777" w:rsidTr="00777ACE">
        <w:trPr>
          <w:trHeight w:val="564"/>
        </w:trPr>
        <w:tc>
          <w:tcPr>
            <w:tcW w:w="760" w:type="pct"/>
            <w:tcBorders>
              <w:top w:val="nil"/>
              <w:left w:val="single" w:sz="8" w:space="0" w:color="95B3D7"/>
              <w:bottom w:val="single" w:sz="8" w:space="0" w:color="95B3D7"/>
              <w:right w:val="single" w:sz="8" w:space="0" w:color="95B3D7"/>
            </w:tcBorders>
            <w:shd w:val="clear" w:color="auto" w:fill="auto"/>
            <w:vAlign w:val="center"/>
            <w:hideMark/>
          </w:tcPr>
          <w:p w14:paraId="539970EA" w14:textId="77777777" w:rsidR="00F94186" w:rsidRPr="007E6FC2" w:rsidRDefault="00F94186" w:rsidP="00F94186">
            <w:pPr>
              <w:rPr>
                <w:rFonts w:ascii="Calibri" w:hAnsi="Calibri" w:cs="Calibri"/>
                <w:color w:val="17365D"/>
                <w:sz w:val="20"/>
                <w:szCs w:val="20"/>
                <w:lang w:eastAsia="en-AU"/>
              </w:rPr>
            </w:pPr>
            <w:r w:rsidRPr="007E6FC2">
              <w:rPr>
                <w:rFonts w:ascii="Calibri" w:hAnsi="Calibri" w:cs="Calibri"/>
                <w:color w:val="17365D"/>
                <w:sz w:val="20"/>
                <w:szCs w:val="20"/>
                <w:lang w:eastAsia="en-AU"/>
              </w:rPr>
              <w:t>Commercial Licence</w:t>
            </w:r>
          </w:p>
        </w:tc>
        <w:tc>
          <w:tcPr>
            <w:tcW w:w="457" w:type="pct"/>
            <w:tcBorders>
              <w:top w:val="nil"/>
              <w:left w:val="nil"/>
              <w:bottom w:val="single" w:sz="8" w:space="0" w:color="95B3D7"/>
              <w:right w:val="single" w:sz="8" w:space="0" w:color="95B3D7"/>
            </w:tcBorders>
            <w:shd w:val="clear" w:color="auto" w:fill="auto"/>
            <w:vAlign w:val="center"/>
            <w:hideMark/>
          </w:tcPr>
          <w:p w14:paraId="408D9394"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0</w:t>
            </w:r>
          </w:p>
        </w:tc>
        <w:tc>
          <w:tcPr>
            <w:tcW w:w="432" w:type="pct"/>
            <w:tcBorders>
              <w:top w:val="nil"/>
              <w:left w:val="nil"/>
              <w:bottom w:val="single" w:sz="8" w:space="0" w:color="95B3D7"/>
              <w:right w:val="single" w:sz="8" w:space="0" w:color="95B3D7"/>
            </w:tcBorders>
            <w:shd w:val="clear" w:color="auto" w:fill="auto"/>
            <w:vAlign w:val="center"/>
            <w:hideMark/>
          </w:tcPr>
          <w:p w14:paraId="1263750D"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0</w:t>
            </w:r>
          </w:p>
        </w:tc>
        <w:tc>
          <w:tcPr>
            <w:tcW w:w="432" w:type="pct"/>
            <w:tcBorders>
              <w:top w:val="nil"/>
              <w:left w:val="nil"/>
              <w:bottom w:val="single" w:sz="8" w:space="0" w:color="95B3D7"/>
              <w:right w:val="single" w:sz="8" w:space="0" w:color="95B3D7"/>
            </w:tcBorders>
            <w:shd w:val="clear" w:color="auto" w:fill="auto"/>
            <w:vAlign w:val="center"/>
            <w:hideMark/>
          </w:tcPr>
          <w:p w14:paraId="0C8E36DD"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0</w:t>
            </w:r>
          </w:p>
        </w:tc>
        <w:tc>
          <w:tcPr>
            <w:tcW w:w="748" w:type="pct"/>
            <w:tcBorders>
              <w:top w:val="nil"/>
              <w:left w:val="nil"/>
              <w:bottom w:val="single" w:sz="8" w:space="0" w:color="95B3D7"/>
              <w:right w:val="single" w:sz="8" w:space="0" w:color="95B3D7"/>
            </w:tcBorders>
            <w:shd w:val="clear" w:color="auto" w:fill="auto"/>
            <w:vAlign w:val="center"/>
            <w:hideMark/>
          </w:tcPr>
          <w:p w14:paraId="46DB662C" w14:textId="77777777" w:rsidR="00F94186" w:rsidRPr="007E6FC2" w:rsidRDefault="00F94186" w:rsidP="00F94186">
            <w:pPr>
              <w:jc w:val="center"/>
              <w:rPr>
                <w:rFonts w:ascii="Calibri" w:hAnsi="Calibri" w:cs="Calibri"/>
                <w:color w:val="17365D"/>
                <w:sz w:val="20"/>
                <w:szCs w:val="20"/>
                <w:lang w:eastAsia="en-AU"/>
              </w:rPr>
            </w:pPr>
            <w:r>
              <w:rPr>
                <w:rFonts w:ascii="Calibri" w:hAnsi="Calibri" w:cs="Calibri"/>
                <w:color w:val="17365D"/>
                <w:sz w:val="20"/>
                <w:szCs w:val="20"/>
                <w:lang w:eastAsia="en-AU"/>
              </w:rPr>
              <w:t>*</w:t>
            </w:r>
            <w:r w:rsidRPr="007E6FC2">
              <w:rPr>
                <w:rFonts w:ascii="Calibri" w:hAnsi="Calibri" w:cs="Calibri"/>
                <w:color w:val="000000"/>
                <w:sz w:val="20"/>
                <w:szCs w:val="20"/>
                <w:lang w:eastAsia="en-AU"/>
              </w:rPr>
              <w:t>$198,224</w:t>
            </w:r>
          </w:p>
        </w:tc>
        <w:tc>
          <w:tcPr>
            <w:tcW w:w="569" w:type="pct"/>
            <w:tcBorders>
              <w:top w:val="nil"/>
              <w:left w:val="nil"/>
              <w:bottom w:val="single" w:sz="8" w:space="0" w:color="95B3D7"/>
              <w:right w:val="single" w:sz="8" w:space="0" w:color="95B3D7"/>
            </w:tcBorders>
            <w:shd w:val="clear" w:color="auto" w:fill="auto"/>
            <w:vAlign w:val="center"/>
            <w:hideMark/>
          </w:tcPr>
          <w:p w14:paraId="69EB6E10"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 </w:t>
            </w:r>
            <w:r>
              <w:rPr>
                <w:rFonts w:ascii="Calibri" w:hAnsi="Calibri" w:cs="Calibri"/>
                <w:color w:val="000000"/>
                <w:sz w:val="20"/>
                <w:szCs w:val="20"/>
                <w:lang w:eastAsia="en-AU"/>
              </w:rPr>
              <w:t>$0</w:t>
            </w:r>
          </w:p>
        </w:tc>
        <w:tc>
          <w:tcPr>
            <w:tcW w:w="576" w:type="pct"/>
            <w:tcBorders>
              <w:top w:val="nil"/>
              <w:left w:val="nil"/>
              <w:bottom w:val="single" w:sz="8" w:space="0" w:color="95B3D7"/>
              <w:right w:val="single" w:sz="8" w:space="0" w:color="95B3D7"/>
            </w:tcBorders>
            <w:shd w:val="clear" w:color="auto" w:fill="auto"/>
            <w:vAlign w:val="center"/>
            <w:hideMark/>
          </w:tcPr>
          <w:p w14:paraId="07EA51FA" w14:textId="77777777" w:rsidR="00F94186" w:rsidRPr="007E6FC2" w:rsidRDefault="00F94186" w:rsidP="00F94186">
            <w:pPr>
              <w:jc w:val="center"/>
              <w:rPr>
                <w:rFonts w:ascii="Calibri" w:hAnsi="Calibri" w:cs="Calibri"/>
                <w:color w:val="000000"/>
                <w:sz w:val="20"/>
                <w:szCs w:val="20"/>
                <w:lang w:eastAsia="en-AU"/>
              </w:rPr>
            </w:pPr>
            <w:r>
              <w:rPr>
                <w:rFonts w:ascii="Calibri" w:hAnsi="Calibri" w:cs="Calibri"/>
                <w:color w:val="000000"/>
                <w:sz w:val="20"/>
                <w:szCs w:val="20"/>
                <w:lang w:eastAsia="en-AU"/>
              </w:rPr>
              <w:t>$0</w:t>
            </w:r>
          </w:p>
        </w:tc>
        <w:tc>
          <w:tcPr>
            <w:tcW w:w="594" w:type="pct"/>
            <w:tcBorders>
              <w:top w:val="nil"/>
              <w:left w:val="nil"/>
              <w:bottom w:val="single" w:sz="8" w:space="0" w:color="95B3D7"/>
              <w:right w:val="single" w:sz="8" w:space="0" w:color="95B3D7"/>
            </w:tcBorders>
            <w:shd w:val="clear" w:color="auto" w:fill="auto"/>
            <w:vAlign w:val="center"/>
            <w:hideMark/>
          </w:tcPr>
          <w:p w14:paraId="4357A874" w14:textId="77777777" w:rsidR="00F94186" w:rsidRPr="007E6FC2" w:rsidRDefault="00F94186" w:rsidP="00F94186">
            <w:pPr>
              <w:jc w:val="center"/>
              <w:rPr>
                <w:rFonts w:ascii="Calibri" w:hAnsi="Calibri" w:cs="Calibri"/>
                <w:color w:val="000000"/>
                <w:sz w:val="20"/>
                <w:szCs w:val="20"/>
                <w:lang w:eastAsia="en-AU"/>
              </w:rPr>
            </w:pPr>
            <w:r>
              <w:rPr>
                <w:rFonts w:ascii="Calibri" w:hAnsi="Calibri" w:cs="Calibri"/>
                <w:color w:val="000000"/>
                <w:sz w:val="20"/>
                <w:szCs w:val="20"/>
                <w:lang w:eastAsia="en-AU"/>
              </w:rPr>
              <w:t>$0</w:t>
            </w:r>
          </w:p>
        </w:tc>
        <w:tc>
          <w:tcPr>
            <w:tcW w:w="432" w:type="pct"/>
            <w:tcBorders>
              <w:top w:val="nil"/>
              <w:left w:val="nil"/>
              <w:bottom w:val="single" w:sz="8" w:space="0" w:color="95B3D7"/>
              <w:right w:val="single" w:sz="8" w:space="0" w:color="95B3D7"/>
            </w:tcBorders>
            <w:shd w:val="clear" w:color="auto" w:fill="auto"/>
            <w:vAlign w:val="center"/>
            <w:hideMark/>
          </w:tcPr>
          <w:p w14:paraId="14E652AB"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2,3</w:t>
            </w:r>
          </w:p>
        </w:tc>
      </w:tr>
      <w:tr w:rsidR="00F94186" w:rsidRPr="007E6FC2" w14:paraId="5B32DCDF" w14:textId="77777777" w:rsidTr="00777ACE">
        <w:trPr>
          <w:trHeight w:val="840"/>
        </w:trPr>
        <w:tc>
          <w:tcPr>
            <w:tcW w:w="760" w:type="pct"/>
            <w:tcBorders>
              <w:top w:val="nil"/>
              <w:left w:val="single" w:sz="8" w:space="0" w:color="95B3D7"/>
              <w:bottom w:val="single" w:sz="8" w:space="0" w:color="95B3D7"/>
              <w:right w:val="single" w:sz="8" w:space="0" w:color="95B3D7"/>
            </w:tcBorders>
            <w:shd w:val="clear" w:color="000000" w:fill="DBE5F1"/>
            <w:vAlign w:val="center"/>
            <w:hideMark/>
          </w:tcPr>
          <w:p w14:paraId="4BFE4E85" w14:textId="77777777" w:rsidR="00F94186" w:rsidRPr="007E6FC2" w:rsidRDefault="00F94186" w:rsidP="00F94186">
            <w:pPr>
              <w:rPr>
                <w:rFonts w:ascii="Calibri" w:hAnsi="Calibri" w:cs="Calibri"/>
                <w:color w:val="17365D"/>
                <w:sz w:val="20"/>
                <w:szCs w:val="20"/>
                <w:lang w:eastAsia="en-AU"/>
              </w:rPr>
            </w:pPr>
            <w:r w:rsidRPr="007E6FC2">
              <w:rPr>
                <w:rFonts w:ascii="Calibri" w:hAnsi="Calibri" w:cs="Calibri"/>
                <w:color w:val="17365D"/>
                <w:sz w:val="20"/>
                <w:szCs w:val="20"/>
                <w:lang w:eastAsia="en-AU"/>
              </w:rPr>
              <w:t>Research &amp; Demonstration Licence</w:t>
            </w:r>
          </w:p>
        </w:tc>
        <w:tc>
          <w:tcPr>
            <w:tcW w:w="457" w:type="pct"/>
            <w:tcBorders>
              <w:top w:val="nil"/>
              <w:left w:val="nil"/>
              <w:bottom w:val="single" w:sz="8" w:space="0" w:color="95B3D7"/>
              <w:right w:val="single" w:sz="8" w:space="0" w:color="95B3D7"/>
            </w:tcBorders>
            <w:shd w:val="clear" w:color="000000" w:fill="DBE5F1"/>
            <w:vAlign w:val="center"/>
            <w:hideMark/>
          </w:tcPr>
          <w:p w14:paraId="76170F3E"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0</w:t>
            </w:r>
          </w:p>
        </w:tc>
        <w:tc>
          <w:tcPr>
            <w:tcW w:w="432" w:type="pct"/>
            <w:tcBorders>
              <w:top w:val="nil"/>
              <w:left w:val="nil"/>
              <w:bottom w:val="single" w:sz="8" w:space="0" w:color="95B3D7"/>
              <w:right w:val="single" w:sz="8" w:space="0" w:color="95B3D7"/>
            </w:tcBorders>
            <w:shd w:val="clear" w:color="000000" w:fill="DBE5F1"/>
            <w:vAlign w:val="center"/>
            <w:hideMark/>
          </w:tcPr>
          <w:p w14:paraId="6DB0AFF0"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0</w:t>
            </w:r>
          </w:p>
        </w:tc>
        <w:tc>
          <w:tcPr>
            <w:tcW w:w="432" w:type="pct"/>
            <w:tcBorders>
              <w:top w:val="nil"/>
              <w:left w:val="nil"/>
              <w:bottom w:val="single" w:sz="8" w:space="0" w:color="95B3D7"/>
              <w:right w:val="single" w:sz="8" w:space="0" w:color="95B3D7"/>
            </w:tcBorders>
            <w:shd w:val="clear" w:color="000000" w:fill="DBE5F1"/>
            <w:vAlign w:val="center"/>
            <w:hideMark/>
          </w:tcPr>
          <w:p w14:paraId="2E5A721D"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0</w:t>
            </w:r>
          </w:p>
        </w:tc>
        <w:tc>
          <w:tcPr>
            <w:tcW w:w="748" w:type="pct"/>
            <w:tcBorders>
              <w:top w:val="nil"/>
              <w:left w:val="nil"/>
              <w:bottom w:val="single" w:sz="8" w:space="0" w:color="95B3D7"/>
              <w:right w:val="single" w:sz="8" w:space="0" w:color="95B3D7"/>
            </w:tcBorders>
            <w:shd w:val="clear" w:color="000000" w:fill="DBE5F1"/>
            <w:vAlign w:val="center"/>
            <w:hideMark/>
          </w:tcPr>
          <w:p w14:paraId="5ED899FA" w14:textId="77777777" w:rsidR="00F94186" w:rsidRPr="0010026A" w:rsidRDefault="00F94186" w:rsidP="00F94186">
            <w:pPr>
              <w:jc w:val="center"/>
              <w:rPr>
                <w:rFonts w:ascii="Calibri" w:hAnsi="Calibri" w:cs="Calibri"/>
                <w:color w:val="17365D"/>
                <w:sz w:val="20"/>
                <w:szCs w:val="20"/>
                <w:lang w:eastAsia="en-AU"/>
              </w:rPr>
            </w:pPr>
            <w:r>
              <w:rPr>
                <w:rFonts w:ascii="Calibri" w:hAnsi="Calibri" w:cs="Calibri"/>
                <w:color w:val="17365D"/>
                <w:sz w:val="20"/>
                <w:szCs w:val="20"/>
                <w:lang w:eastAsia="en-AU"/>
              </w:rPr>
              <w:t>*</w:t>
            </w:r>
            <w:r w:rsidRPr="0010026A">
              <w:rPr>
                <w:rFonts w:ascii="Calibri" w:hAnsi="Calibri" w:cs="Calibri"/>
                <w:color w:val="17365D"/>
                <w:sz w:val="20"/>
                <w:szCs w:val="20"/>
                <w:lang w:eastAsia="en-AU"/>
              </w:rPr>
              <w:t>$198,224 </w:t>
            </w:r>
          </w:p>
        </w:tc>
        <w:tc>
          <w:tcPr>
            <w:tcW w:w="569" w:type="pct"/>
            <w:tcBorders>
              <w:top w:val="nil"/>
              <w:left w:val="nil"/>
              <w:bottom w:val="single" w:sz="8" w:space="0" w:color="95B3D7"/>
              <w:right w:val="single" w:sz="8" w:space="0" w:color="95B3D7"/>
            </w:tcBorders>
            <w:shd w:val="clear" w:color="000000" w:fill="DBE5F1"/>
            <w:vAlign w:val="center"/>
            <w:hideMark/>
          </w:tcPr>
          <w:p w14:paraId="3697E4B0" w14:textId="77777777" w:rsidR="00F94186" w:rsidRPr="007E6FC2" w:rsidRDefault="00F94186" w:rsidP="00F94186">
            <w:pPr>
              <w:jc w:val="center"/>
              <w:rPr>
                <w:rFonts w:ascii="Calibri" w:hAnsi="Calibri" w:cs="Calibri"/>
                <w:color w:val="000000"/>
                <w:sz w:val="20"/>
                <w:szCs w:val="20"/>
                <w:lang w:eastAsia="en-AU"/>
              </w:rPr>
            </w:pPr>
            <w:r>
              <w:rPr>
                <w:rFonts w:ascii="Calibri" w:hAnsi="Calibri" w:cs="Calibri"/>
                <w:color w:val="000000"/>
                <w:sz w:val="20"/>
                <w:szCs w:val="20"/>
                <w:lang w:eastAsia="en-AU"/>
              </w:rPr>
              <w:t>$0</w:t>
            </w:r>
            <w:r w:rsidRPr="007E6FC2">
              <w:rPr>
                <w:rFonts w:ascii="Calibri" w:hAnsi="Calibri" w:cs="Calibri"/>
                <w:color w:val="000000"/>
                <w:sz w:val="20"/>
                <w:szCs w:val="20"/>
                <w:lang w:eastAsia="en-AU"/>
              </w:rPr>
              <w:t> </w:t>
            </w:r>
          </w:p>
        </w:tc>
        <w:tc>
          <w:tcPr>
            <w:tcW w:w="576" w:type="pct"/>
            <w:tcBorders>
              <w:top w:val="nil"/>
              <w:left w:val="nil"/>
              <w:bottom w:val="single" w:sz="8" w:space="0" w:color="95B3D7"/>
              <w:right w:val="single" w:sz="8" w:space="0" w:color="95B3D7"/>
            </w:tcBorders>
            <w:shd w:val="clear" w:color="000000" w:fill="DBE5F1"/>
            <w:vAlign w:val="center"/>
            <w:hideMark/>
          </w:tcPr>
          <w:p w14:paraId="7C2CF7BF" w14:textId="77777777" w:rsidR="00F94186" w:rsidRPr="007E6FC2" w:rsidRDefault="00F94186" w:rsidP="00F94186">
            <w:pPr>
              <w:jc w:val="center"/>
              <w:rPr>
                <w:rFonts w:ascii="Calibri" w:hAnsi="Calibri" w:cs="Calibri"/>
                <w:color w:val="000000"/>
                <w:sz w:val="20"/>
                <w:szCs w:val="20"/>
                <w:lang w:eastAsia="en-AU"/>
              </w:rPr>
            </w:pPr>
            <w:r>
              <w:rPr>
                <w:rFonts w:ascii="Calibri" w:hAnsi="Calibri" w:cs="Calibri"/>
                <w:color w:val="000000"/>
                <w:sz w:val="20"/>
                <w:szCs w:val="20"/>
                <w:lang w:eastAsia="en-AU"/>
              </w:rPr>
              <w:t>$0</w:t>
            </w:r>
            <w:r w:rsidRPr="007E6FC2">
              <w:rPr>
                <w:rFonts w:ascii="Calibri" w:hAnsi="Calibri" w:cs="Calibri"/>
                <w:color w:val="000000"/>
                <w:sz w:val="20"/>
                <w:szCs w:val="20"/>
                <w:lang w:eastAsia="en-AU"/>
              </w:rPr>
              <w:t> </w:t>
            </w:r>
          </w:p>
        </w:tc>
        <w:tc>
          <w:tcPr>
            <w:tcW w:w="594" w:type="pct"/>
            <w:tcBorders>
              <w:top w:val="nil"/>
              <w:left w:val="nil"/>
              <w:bottom w:val="single" w:sz="8" w:space="0" w:color="95B3D7"/>
              <w:right w:val="single" w:sz="8" w:space="0" w:color="95B3D7"/>
            </w:tcBorders>
            <w:shd w:val="clear" w:color="000000" w:fill="DBE5F1"/>
            <w:vAlign w:val="center"/>
            <w:hideMark/>
          </w:tcPr>
          <w:p w14:paraId="642942FC"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 </w:t>
            </w:r>
            <w:r>
              <w:rPr>
                <w:rFonts w:ascii="Calibri" w:hAnsi="Calibri" w:cs="Calibri"/>
                <w:color w:val="000000"/>
                <w:sz w:val="20"/>
                <w:szCs w:val="20"/>
                <w:lang w:eastAsia="en-AU"/>
              </w:rPr>
              <w:t>$0</w:t>
            </w:r>
          </w:p>
        </w:tc>
        <w:tc>
          <w:tcPr>
            <w:tcW w:w="432" w:type="pct"/>
            <w:tcBorders>
              <w:top w:val="nil"/>
              <w:left w:val="nil"/>
              <w:bottom w:val="single" w:sz="8" w:space="0" w:color="95B3D7"/>
              <w:right w:val="single" w:sz="8" w:space="0" w:color="95B3D7"/>
            </w:tcBorders>
            <w:shd w:val="clear" w:color="000000" w:fill="DBE5F1"/>
            <w:vAlign w:val="center"/>
            <w:hideMark/>
          </w:tcPr>
          <w:p w14:paraId="1DFBAD44"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2,3</w:t>
            </w:r>
          </w:p>
        </w:tc>
      </w:tr>
      <w:tr w:rsidR="00F94186" w:rsidRPr="007E6FC2" w14:paraId="731AC5DF" w14:textId="77777777" w:rsidTr="00777ACE">
        <w:trPr>
          <w:trHeight w:val="840"/>
        </w:trPr>
        <w:tc>
          <w:tcPr>
            <w:tcW w:w="760" w:type="pct"/>
            <w:tcBorders>
              <w:top w:val="nil"/>
              <w:left w:val="single" w:sz="8" w:space="0" w:color="95B3D7"/>
              <w:bottom w:val="single" w:sz="8" w:space="0" w:color="95B3D7"/>
              <w:right w:val="single" w:sz="8" w:space="0" w:color="95B3D7"/>
            </w:tcBorders>
            <w:shd w:val="clear" w:color="auto" w:fill="auto"/>
            <w:vAlign w:val="center"/>
            <w:hideMark/>
          </w:tcPr>
          <w:p w14:paraId="495048AD" w14:textId="77777777" w:rsidR="00F94186" w:rsidRPr="007E6FC2" w:rsidRDefault="00F94186" w:rsidP="00F94186">
            <w:pPr>
              <w:rPr>
                <w:rFonts w:ascii="Calibri" w:hAnsi="Calibri" w:cs="Calibri"/>
                <w:color w:val="17365D"/>
                <w:sz w:val="20"/>
                <w:szCs w:val="20"/>
                <w:lang w:eastAsia="en-AU"/>
              </w:rPr>
            </w:pPr>
            <w:r w:rsidRPr="007E6FC2">
              <w:rPr>
                <w:rFonts w:ascii="Calibri" w:hAnsi="Calibri" w:cs="Calibri"/>
                <w:color w:val="17365D"/>
                <w:sz w:val="20"/>
                <w:szCs w:val="20"/>
                <w:lang w:eastAsia="en-AU"/>
              </w:rPr>
              <w:t>Transmission &amp; Infrastructure Licence</w:t>
            </w:r>
          </w:p>
        </w:tc>
        <w:tc>
          <w:tcPr>
            <w:tcW w:w="457" w:type="pct"/>
            <w:tcBorders>
              <w:top w:val="nil"/>
              <w:left w:val="nil"/>
              <w:bottom w:val="single" w:sz="8" w:space="0" w:color="95B3D7"/>
              <w:right w:val="single" w:sz="8" w:space="0" w:color="95B3D7"/>
            </w:tcBorders>
            <w:shd w:val="clear" w:color="auto" w:fill="auto"/>
            <w:vAlign w:val="center"/>
            <w:hideMark/>
          </w:tcPr>
          <w:p w14:paraId="280103BE"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0</w:t>
            </w:r>
          </w:p>
        </w:tc>
        <w:tc>
          <w:tcPr>
            <w:tcW w:w="432" w:type="pct"/>
            <w:tcBorders>
              <w:top w:val="nil"/>
              <w:left w:val="nil"/>
              <w:bottom w:val="single" w:sz="8" w:space="0" w:color="95B3D7"/>
              <w:right w:val="single" w:sz="8" w:space="0" w:color="95B3D7"/>
            </w:tcBorders>
            <w:shd w:val="clear" w:color="auto" w:fill="auto"/>
            <w:vAlign w:val="center"/>
            <w:hideMark/>
          </w:tcPr>
          <w:p w14:paraId="49F96345"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1</w:t>
            </w:r>
          </w:p>
        </w:tc>
        <w:tc>
          <w:tcPr>
            <w:tcW w:w="432" w:type="pct"/>
            <w:tcBorders>
              <w:top w:val="nil"/>
              <w:left w:val="nil"/>
              <w:bottom w:val="single" w:sz="8" w:space="0" w:color="95B3D7"/>
              <w:right w:val="single" w:sz="8" w:space="0" w:color="95B3D7"/>
            </w:tcBorders>
            <w:shd w:val="clear" w:color="auto" w:fill="auto"/>
            <w:vAlign w:val="center"/>
            <w:hideMark/>
          </w:tcPr>
          <w:p w14:paraId="7F622056"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2</w:t>
            </w:r>
          </w:p>
        </w:tc>
        <w:tc>
          <w:tcPr>
            <w:tcW w:w="748" w:type="pct"/>
            <w:tcBorders>
              <w:top w:val="nil"/>
              <w:left w:val="nil"/>
              <w:bottom w:val="single" w:sz="8" w:space="0" w:color="95B3D7"/>
              <w:right w:val="single" w:sz="8" w:space="0" w:color="95B3D7"/>
            </w:tcBorders>
            <w:shd w:val="clear" w:color="auto" w:fill="auto"/>
            <w:vAlign w:val="center"/>
            <w:hideMark/>
          </w:tcPr>
          <w:p w14:paraId="727F6E03"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$198,224</w:t>
            </w:r>
          </w:p>
        </w:tc>
        <w:tc>
          <w:tcPr>
            <w:tcW w:w="569" w:type="pct"/>
            <w:tcBorders>
              <w:top w:val="nil"/>
              <w:left w:val="nil"/>
              <w:bottom w:val="single" w:sz="8" w:space="0" w:color="95B3D7"/>
              <w:right w:val="single" w:sz="8" w:space="0" w:color="95B3D7"/>
            </w:tcBorders>
            <w:shd w:val="clear" w:color="auto" w:fill="auto"/>
            <w:vAlign w:val="center"/>
            <w:hideMark/>
          </w:tcPr>
          <w:p w14:paraId="1DAC6327"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$0</w:t>
            </w:r>
          </w:p>
        </w:tc>
        <w:tc>
          <w:tcPr>
            <w:tcW w:w="576" w:type="pct"/>
            <w:tcBorders>
              <w:top w:val="nil"/>
              <w:left w:val="nil"/>
              <w:bottom w:val="single" w:sz="8" w:space="0" w:color="95B3D7"/>
              <w:right w:val="single" w:sz="8" w:space="0" w:color="95B3D7"/>
            </w:tcBorders>
            <w:shd w:val="clear" w:color="auto" w:fill="auto"/>
            <w:vAlign w:val="center"/>
            <w:hideMark/>
          </w:tcPr>
          <w:p w14:paraId="79647E98"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$198,224</w:t>
            </w:r>
          </w:p>
        </w:tc>
        <w:tc>
          <w:tcPr>
            <w:tcW w:w="594" w:type="pct"/>
            <w:tcBorders>
              <w:top w:val="nil"/>
              <w:left w:val="nil"/>
              <w:bottom w:val="single" w:sz="8" w:space="0" w:color="95B3D7"/>
              <w:right w:val="single" w:sz="8" w:space="0" w:color="95B3D7"/>
            </w:tcBorders>
            <w:shd w:val="clear" w:color="auto" w:fill="auto"/>
            <w:vAlign w:val="center"/>
            <w:hideMark/>
          </w:tcPr>
          <w:p w14:paraId="1F598C99"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$396,447</w:t>
            </w:r>
          </w:p>
        </w:tc>
        <w:tc>
          <w:tcPr>
            <w:tcW w:w="432" w:type="pct"/>
            <w:tcBorders>
              <w:top w:val="nil"/>
              <w:left w:val="nil"/>
              <w:bottom w:val="single" w:sz="8" w:space="0" w:color="95B3D7"/>
              <w:right w:val="single" w:sz="8" w:space="0" w:color="95B3D7"/>
            </w:tcBorders>
            <w:shd w:val="clear" w:color="auto" w:fill="auto"/>
            <w:vAlign w:val="center"/>
            <w:hideMark/>
          </w:tcPr>
          <w:p w14:paraId="49739B54" w14:textId="77777777" w:rsidR="00F94186" w:rsidRPr="007E6FC2" w:rsidRDefault="00F94186" w:rsidP="00F94186">
            <w:pPr>
              <w:jc w:val="center"/>
              <w:rPr>
                <w:rFonts w:ascii="Calibri" w:hAnsi="Calibri" w:cs="Calibri"/>
                <w:color w:val="000000"/>
                <w:sz w:val="20"/>
                <w:szCs w:val="20"/>
                <w:lang w:eastAsia="en-AU"/>
              </w:rPr>
            </w:pPr>
            <w:r w:rsidRPr="007E6FC2">
              <w:rPr>
                <w:rFonts w:ascii="Calibri" w:hAnsi="Calibri" w:cs="Calibri"/>
                <w:color w:val="000000"/>
                <w:sz w:val="20"/>
                <w:szCs w:val="20"/>
                <w:lang w:eastAsia="en-AU"/>
              </w:rPr>
              <w:t>2,3</w:t>
            </w:r>
          </w:p>
        </w:tc>
      </w:tr>
      <w:tr w:rsidR="00F94186" w:rsidRPr="007E6FC2" w14:paraId="0C174D7F" w14:textId="77777777" w:rsidTr="00777ACE">
        <w:trPr>
          <w:trHeight w:val="300"/>
        </w:trPr>
        <w:tc>
          <w:tcPr>
            <w:tcW w:w="760" w:type="pct"/>
            <w:tcBorders>
              <w:top w:val="nil"/>
              <w:left w:val="single" w:sz="8" w:space="0" w:color="95B3D7"/>
              <w:bottom w:val="single" w:sz="8" w:space="0" w:color="95B3D7"/>
              <w:right w:val="single" w:sz="8" w:space="0" w:color="95B3D7"/>
            </w:tcBorders>
            <w:shd w:val="clear" w:color="000000" w:fill="DBE5F1"/>
            <w:vAlign w:val="center"/>
            <w:hideMark/>
          </w:tcPr>
          <w:p w14:paraId="6525EC7A" w14:textId="77777777" w:rsidR="00F94186" w:rsidRPr="007E6FC2" w:rsidRDefault="00F94186" w:rsidP="00F94186">
            <w:pPr>
              <w:rPr>
                <w:rFonts w:ascii="Calibri" w:hAnsi="Calibri" w:cs="Calibri"/>
                <w:b/>
                <w:bCs/>
                <w:color w:val="17365D"/>
                <w:sz w:val="20"/>
                <w:szCs w:val="20"/>
                <w:lang w:eastAsia="en-AU"/>
              </w:rPr>
            </w:pPr>
            <w:r w:rsidRPr="007E6FC2">
              <w:rPr>
                <w:rFonts w:ascii="Calibri" w:hAnsi="Calibri" w:cs="Calibri"/>
                <w:b/>
                <w:bCs/>
                <w:color w:val="17365D"/>
                <w:sz w:val="20"/>
                <w:szCs w:val="20"/>
                <w:lang w:eastAsia="en-AU"/>
              </w:rPr>
              <w:t>Total</w:t>
            </w:r>
          </w:p>
        </w:tc>
        <w:tc>
          <w:tcPr>
            <w:tcW w:w="457" w:type="pct"/>
            <w:tcBorders>
              <w:top w:val="nil"/>
              <w:left w:val="nil"/>
              <w:bottom w:val="single" w:sz="8" w:space="0" w:color="95B3D7"/>
              <w:right w:val="single" w:sz="8" w:space="0" w:color="95B3D7"/>
            </w:tcBorders>
            <w:shd w:val="clear" w:color="000000" w:fill="DBE5F1"/>
            <w:vAlign w:val="center"/>
            <w:hideMark/>
          </w:tcPr>
          <w:p w14:paraId="7AEDF6E2" w14:textId="77777777" w:rsidR="00F94186" w:rsidRPr="007E6FC2" w:rsidRDefault="00F94186" w:rsidP="00F94186">
            <w:pPr>
              <w:jc w:val="center"/>
              <w:rPr>
                <w:rFonts w:ascii="Calibri" w:hAnsi="Calibri" w:cs="Calibri"/>
                <w:b/>
                <w:bCs/>
                <w:color w:val="000000"/>
                <w:sz w:val="20"/>
                <w:szCs w:val="20"/>
                <w:lang w:eastAsia="en-AU"/>
              </w:rPr>
            </w:pPr>
            <w:r w:rsidRPr="007E6FC2">
              <w:rPr>
                <w:rFonts w:ascii="Calibri" w:hAnsi="Calibri" w:cs="Calibri"/>
                <w:b/>
                <w:bCs/>
                <w:color w:val="000000"/>
                <w:sz w:val="20"/>
                <w:szCs w:val="20"/>
                <w:lang w:eastAsia="en-AU"/>
              </w:rPr>
              <w:t> </w:t>
            </w:r>
          </w:p>
        </w:tc>
        <w:tc>
          <w:tcPr>
            <w:tcW w:w="432" w:type="pct"/>
            <w:tcBorders>
              <w:top w:val="nil"/>
              <w:left w:val="nil"/>
              <w:bottom w:val="single" w:sz="8" w:space="0" w:color="95B3D7"/>
              <w:right w:val="single" w:sz="8" w:space="0" w:color="95B3D7"/>
            </w:tcBorders>
            <w:shd w:val="clear" w:color="000000" w:fill="DBE5F1"/>
            <w:vAlign w:val="center"/>
            <w:hideMark/>
          </w:tcPr>
          <w:p w14:paraId="162531E4" w14:textId="77777777" w:rsidR="00F94186" w:rsidRPr="007E6FC2" w:rsidRDefault="00F94186" w:rsidP="00F94186">
            <w:pPr>
              <w:jc w:val="center"/>
              <w:rPr>
                <w:rFonts w:ascii="Calibri" w:hAnsi="Calibri" w:cs="Calibri"/>
                <w:b/>
                <w:bCs/>
                <w:color w:val="000000"/>
                <w:sz w:val="20"/>
                <w:szCs w:val="20"/>
                <w:lang w:eastAsia="en-AU"/>
              </w:rPr>
            </w:pPr>
            <w:r w:rsidRPr="007E6FC2">
              <w:rPr>
                <w:rFonts w:ascii="Calibri" w:hAnsi="Calibri" w:cs="Calibri"/>
                <w:b/>
                <w:bCs/>
                <w:color w:val="000000"/>
                <w:sz w:val="20"/>
                <w:szCs w:val="20"/>
                <w:lang w:eastAsia="en-AU"/>
              </w:rPr>
              <w:t> </w:t>
            </w:r>
          </w:p>
        </w:tc>
        <w:tc>
          <w:tcPr>
            <w:tcW w:w="432" w:type="pct"/>
            <w:tcBorders>
              <w:top w:val="nil"/>
              <w:left w:val="nil"/>
              <w:bottom w:val="single" w:sz="8" w:space="0" w:color="95B3D7"/>
              <w:right w:val="single" w:sz="8" w:space="0" w:color="95B3D7"/>
            </w:tcBorders>
            <w:shd w:val="clear" w:color="000000" w:fill="DBE5F1"/>
            <w:vAlign w:val="center"/>
            <w:hideMark/>
          </w:tcPr>
          <w:p w14:paraId="2BF7BFFC" w14:textId="77777777" w:rsidR="00F94186" w:rsidRPr="007E6FC2" w:rsidRDefault="00F94186" w:rsidP="00F94186">
            <w:pPr>
              <w:jc w:val="center"/>
              <w:rPr>
                <w:rFonts w:ascii="Calibri" w:hAnsi="Calibri" w:cs="Calibri"/>
                <w:b/>
                <w:bCs/>
                <w:color w:val="000000"/>
                <w:sz w:val="20"/>
                <w:szCs w:val="20"/>
                <w:lang w:eastAsia="en-AU"/>
              </w:rPr>
            </w:pPr>
            <w:r w:rsidRPr="007E6FC2">
              <w:rPr>
                <w:rFonts w:ascii="Calibri" w:hAnsi="Calibri" w:cs="Calibri"/>
                <w:b/>
                <w:bCs/>
                <w:color w:val="000000"/>
                <w:sz w:val="20"/>
                <w:szCs w:val="20"/>
                <w:lang w:eastAsia="en-AU"/>
              </w:rPr>
              <w:t> </w:t>
            </w:r>
          </w:p>
        </w:tc>
        <w:tc>
          <w:tcPr>
            <w:tcW w:w="748" w:type="pct"/>
            <w:tcBorders>
              <w:top w:val="nil"/>
              <w:left w:val="nil"/>
              <w:bottom w:val="single" w:sz="8" w:space="0" w:color="95B3D7"/>
              <w:right w:val="single" w:sz="8" w:space="0" w:color="95B3D7"/>
            </w:tcBorders>
            <w:shd w:val="clear" w:color="000000" w:fill="DBE5F1"/>
            <w:vAlign w:val="center"/>
            <w:hideMark/>
          </w:tcPr>
          <w:p w14:paraId="5A8CFD50" w14:textId="77777777" w:rsidR="00F94186" w:rsidRPr="007E6FC2" w:rsidRDefault="00F94186" w:rsidP="00F94186">
            <w:pPr>
              <w:jc w:val="center"/>
              <w:rPr>
                <w:rFonts w:ascii="Calibri" w:hAnsi="Calibri" w:cs="Calibri"/>
                <w:b/>
                <w:bCs/>
                <w:color w:val="000000"/>
                <w:sz w:val="20"/>
                <w:szCs w:val="20"/>
                <w:lang w:eastAsia="en-AU"/>
              </w:rPr>
            </w:pPr>
            <w:r w:rsidRPr="007E6FC2">
              <w:rPr>
                <w:rFonts w:ascii="Calibri" w:hAnsi="Calibri" w:cs="Calibri"/>
                <w:b/>
                <w:bCs/>
                <w:color w:val="000000"/>
                <w:sz w:val="20"/>
                <w:szCs w:val="20"/>
                <w:lang w:eastAsia="en-AU"/>
              </w:rPr>
              <w:t> </w:t>
            </w:r>
          </w:p>
        </w:tc>
        <w:tc>
          <w:tcPr>
            <w:tcW w:w="569" w:type="pct"/>
            <w:tcBorders>
              <w:top w:val="nil"/>
              <w:left w:val="nil"/>
              <w:bottom w:val="single" w:sz="8" w:space="0" w:color="95B3D7"/>
              <w:right w:val="single" w:sz="8" w:space="0" w:color="95B3D7"/>
            </w:tcBorders>
            <w:shd w:val="clear" w:color="000000" w:fill="DBE5F1"/>
            <w:vAlign w:val="center"/>
            <w:hideMark/>
          </w:tcPr>
          <w:p w14:paraId="6DDECCF0" w14:textId="77777777" w:rsidR="00F94186" w:rsidRPr="007E6FC2" w:rsidRDefault="00F94186" w:rsidP="00F94186">
            <w:pPr>
              <w:jc w:val="center"/>
              <w:rPr>
                <w:rFonts w:ascii="Calibri" w:hAnsi="Calibri" w:cs="Calibri"/>
                <w:b/>
                <w:bCs/>
                <w:color w:val="000000"/>
                <w:sz w:val="20"/>
                <w:szCs w:val="20"/>
                <w:lang w:eastAsia="en-AU"/>
              </w:rPr>
            </w:pPr>
            <w:r w:rsidRPr="007E6FC2">
              <w:rPr>
                <w:rFonts w:ascii="Calibri" w:hAnsi="Calibri" w:cs="Calibri"/>
                <w:b/>
                <w:bCs/>
                <w:color w:val="000000"/>
                <w:sz w:val="20"/>
                <w:szCs w:val="20"/>
                <w:lang w:eastAsia="en-AU"/>
              </w:rPr>
              <w:t>$729,636</w:t>
            </w:r>
          </w:p>
        </w:tc>
        <w:tc>
          <w:tcPr>
            <w:tcW w:w="576" w:type="pct"/>
            <w:tcBorders>
              <w:top w:val="nil"/>
              <w:left w:val="nil"/>
              <w:bottom w:val="single" w:sz="8" w:space="0" w:color="95B3D7"/>
              <w:right w:val="single" w:sz="8" w:space="0" w:color="95B3D7"/>
            </w:tcBorders>
            <w:shd w:val="clear" w:color="000000" w:fill="DBE5F1"/>
            <w:vAlign w:val="center"/>
            <w:hideMark/>
          </w:tcPr>
          <w:p w14:paraId="1768FC17" w14:textId="77777777" w:rsidR="00F94186" w:rsidRPr="007E6FC2" w:rsidRDefault="00F94186" w:rsidP="00F94186">
            <w:pPr>
              <w:jc w:val="center"/>
              <w:rPr>
                <w:rFonts w:ascii="Calibri" w:hAnsi="Calibri" w:cs="Calibri"/>
                <w:b/>
                <w:bCs/>
                <w:color w:val="000000"/>
                <w:sz w:val="20"/>
                <w:szCs w:val="20"/>
                <w:lang w:eastAsia="en-AU"/>
              </w:rPr>
            </w:pPr>
            <w:r w:rsidRPr="007E6FC2">
              <w:rPr>
                <w:rFonts w:ascii="Calibri" w:hAnsi="Calibri" w:cs="Calibri"/>
                <w:b/>
                <w:bCs/>
                <w:color w:val="000000"/>
                <w:sz w:val="20"/>
                <w:szCs w:val="20"/>
                <w:lang w:eastAsia="en-AU"/>
              </w:rPr>
              <w:t>$2,022,315</w:t>
            </w:r>
          </w:p>
        </w:tc>
        <w:tc>
          <w:tcPr>
            <w:tcW w:w="594" w:type="pct"/>
            <w:tcBorders>
              <w:top w:val="nil"/>
              <w:left w:val="nil"/>
              <w:bottom w:val="single" w:sz="8" w:space="0" w:color="95B3D7"/>
              <w:right w:val="single" w:sz="8" w:space="0" w:color="95B3D7"/>
            </w:tcBorders>
            <w:shd w:val="clear" w:color="000000" w:fill="DBE5F1"/>
            <w:vAlign w:val="center"/>
            <w:hideMark/>
          </w:tcPr>
          <w:p w14:paraId="319BBD39" w14:textId="77777777" w:rsidR="00F94186" w:rsidRPr="007E6FC2" w:rsidRDefault="00F94186" w:rsidP="00F94186">
            <w:pPr>
              <w:jc w:val="center"/>
              <w:rPr>
                <w:rFonts w:ascii="Calibri" w:hAnsi="Calibri" w:cs="Calibri"/>
                <w:b/>
                <w:bCs/>
                <w:color w:val="000000"/>
                <w:sz w:val="20"/>
                <w:szCs w:val="20"/>
                <w:lang w:eastAsia="en-AU"/>
              </w:rPr>
            </w:pPr>
            <w:r w:rsidRPr="007E6FC2">
              <w:rPr>
                <w:rFonts w:ascii="Calibri" w:hAnsi="Calibri" w:cs="Calibri"/>
                <w:b/>
                <w:bCs/>
                <w:color w:val="000000"/>
                <w:sz w:val="20"/>
                <w:szCs w:val="20"/>
                <w:lang w:eastAsia="en-AU"/>
              </w:rPr>
              <w:t>$2,950,175</w:t>
            </w:r>
          </w:p>
        </w:tc>
        <w:tc>
          <w:tcPr>
            <w:tcW w:w="432" w:type="pct"/>
            <w:tcBorders>
              <w:top w:val="nil"/>
              <w:left w:val="nil"/>
              <w:bottom w:val="single" w:sz="8" w:space="0" w:color="95B3D7"/>
              <w:right w:val="single" w:sz="8" w:space="0" w:color="95B3D7"/>
            </w:tcBorders>
            <w:shd w:val="clear" w:color="000000" w:fill="DBE5F1"/>
            <w:vAlign w:val="center"/>
            <w:hideMark/>
          </w:tcPr>
          <w:p w14:paraId="3EB6F665" w14:textId="77777777" w:rsidR="00F94186" w:rsidRPr="007E6FC2" w:rsidRDefault="00F94186" w:rsidP="00F94186">
            <w:pPr>
              <w:jc w:val="center"/>
              <w:rPr>
                <w:rFonts w:ascii="Calibri" w:hAnsi="Calibri" w:cs="Calibri"/>
                <w:b/>
                <w:bCs/>
                <w:color w:val="000000"/>
                <w:sz w:val="20"/>
                <w:szCs w:val="20"/>
                <w:lang w:eastAsia="en-AU"/>
              </w:rPr>
            </w:pPr>
            <w:r w:rsidRPr="007E6FC2">
              <w:rPr>
                <w:rFonts w:ascii="Calibri" w:hAnsi="Calibri" w:cs="Calibri"/>
                <w:b/>
                <w:bCs/>
                <w:color w:val="000000"/>
                <w:sz w:val="20"/>
                <w:szCs w:val="20"/>
                <w:lang w:eastAsia="en-AU"/>
              </w:rPr>
              <w:t> </w:t>
            </w:r>
          </w:p>
        </w:tc>
      </w:tr>
    </w:tbl>
    <w:p w14:paraId="7504BB94" w14:textId="5D9075EC" w:rsidR="00F94186" w:rsidRPr="008C0B2E" w:rsidRDefault="00777ACE" w:rsidP="00F94186">
      <w:pPr>
        <w:rPr>
          <w:rFonts w:asciiTheme="minorHAnsi" w:hAnsiTheme="minorHAnsi" w:cstheme="minorHAnsi"/>
        </w:rPr>
      </w:pPr>
      <w:r>
        <w:rPr>
          <w:sz w:val="16"/>
          <w:szCs w:val="16"/>
        </w:rPr>
        <w:t># T</w:t>
      </w:r>
      <w:r w:rsidRPr="00777ACE">
        <w:rPr>
          <w:sz w:val="16"/>
          <w:szCs w:val="16"/>
        </w:rPr>
        <w:t xml:space="preserve">he Estimated </w:t>
      </w:r>
      <w:r>
        <w:rPr>
          <w:sz w:val="16"/>
          <w:szCs w:val="16"/>
        </w:rPr>
        <w:t>t</w:t>
      </w:r>
      <w:r w:rsidRPr="00777ACE">
        <w:rPr>
          <w:sz w:val="16"/>
          <w:szCs w:val="16"/>
        </w:rPr>
        <w:t xml:space="preserve">otal </w:t>
      </w:r>
      <w:r>
        <w:rPr>
          <w:sz w:val="16"/>
          <w:szCs w:val="16"/>
        </w:rPr>
        <w:t>number of granted l</w:t>
      </w:r>
      <w:r w:rsidRPr="00777ACE">
        <w:rPr>
          <w:sz w:val="16"/>
          <w:szCs w:val="16"/>
        </w:rPr>
        <w:t>icences is not a limit, and is an estimate only based on DISER understanding of likely interest at end 2021 to be tested during consultation</w:t>
      </w:r>
      <w:r>
        <w:rPr>
          <w:sz w:val="16"/>
          <w:szCs w:val="16"/>
        </w:rPr>
        <w:t>.</w:t>
      </w:r>
    </w:p>
    <w:p w14:paraId="1195BD0E" w14:textId="0A08BCB3" w:rsidR="00F94186" w:rsidRDefault="00F94186" w:rsidP="00F94186">
      <w:pPr>
        <w:pStyle w:val="Footer"/>
        <w:rPr>
          <w:sz w:val="16"/>
          <w:szCs w:val="16"/>
        </w:rPr>
      </w:pPr>
      <w:r w:rsidRPr="009202FE">
        <w:rPr>
          <w:sz w:val="16"/>
          <w:szCs w:val="16"/>
        </w:rPr>
        <w:t>*</w:t>
      </w:r>
      <w:r>
        <w:rPr>
          <w:sz w:val="16"/>
          <w:szCs w:val="16"/>
        </w:rPr>
        <w:t xml:space="preserve"> It is not anticipated that any commercial, or research and demonstration, licences will be granted in 2022-23, 2023-24 or 2024-25. At this stage, these figures are placeholders only. The proposed annual Commonwealth levy imposed on these licence holders will be reviewed in the event an application for a commercial, or research and demonstration licence is received or when this CRIS is reviewed in accordance with the Australian Government Charging Framework.</w:t>
      </w:r>
    </w:p>
    <w:p w14:paraId="38826D65" w14:textId="77777777" w:rsidR="00F94186" w:rsidRPr="002E39B6" w:rsidRDefault="00F94186" w:rsidP="00F94186">
      <w:pPr>
        <w:pStyle w:val="Heading2"/>
        <w:tabs>
          <w:tab w:val="num" w:pos="709"/>
        </w:tabs>
        <w:ind w:left="709" w:hanging="709"/>
        <w:rPr>
          <w:rFonts w:asciiTheme="minorHAnsi" w:hAnsiTheme="minorHAnsi" w:cstheme="minorHAnsi"/>
          <w:i w:val="0"/>
          <w:iCs w:val="0"/>
        </w:rPr>
      </w:pPr>
      <w:bookmarkStart w:id="39" w:name="_Toc98772177"/>
      <w:r w:rsidRPr="002E39B6">
        <w:rPr>
          <w:rFonts w:asciiTheme="minorHAnsi" w:hAnsiTheme="minorHAnsi" w:cstheme="minorHAnsi"/>
          <w:i w:val="0"/>
          <w:iCs w:val="0"/>
        </w:rPr>
        <w:t>R</w:t>
      </w:r>
      <w:r>
        <w:rPr>
          <w:rFonts w:asciiTheme="minorHAnsi" w:hAnsiTheme="minorHAnsi" w:cstheme="minorHAnsi"/>
          <w:i w:val="0"/>
          <w:iCs w:val="0"/>
        </w:rPr>
        <w:t>isk Assessment</w:t>
      </w:r>
      <w:bookmarkEnd w:id="39"/>
    </w:p>
    <w:p w14:paraId="7EAB9514" w14:textId="77777777" w:rsidR="00F94186" w:rsidRDefault="00F94186" w:rsidP="00F94186">
      <w:pPr>
        <w:pStyle w:val="CommentText"/>
        <w:rPr>
          <w:rFonts w:asciiTheme="minorHAnsi" w:hAnsiTheme="minorHAnsi" w:cstheme="minorHAnsi"/>
          <w:iCs/>
          <w:sz w:val="24"/>
          <w:szCs w:val="24"/>
          <w:lang w:val="en-US"/>
        </w:rPr>
      </w:pPr>
      <w:r>
        <w:rPr>
          <w:rFonts w:asciiTheme="minorHAnsi" w:hAnsiTheme="minorHAnsi" w:cstheme="minorHAnsi"/>
          <w:iCs/>
          <w:sz w:val="24"/>
          <w:szCs w:val="24"/>
          <w:lang w:val="en-US"/>
        </w:rPr>
        <w:t>In accordance with the CRA</w:t>
      </w:r>
      <w:r w:rsidRPr="009B0DBC">
        <w:rPr>
          <w:rFonts w:asciiTheme="minorHAnsi" w:hAnsiTheme="minorHAnsi" w:cstheme="minorHAnsi"/>
          <w:iCs/>
          <w:sz w:val="24"/>
          <w:szCs w:val="24"/>
          <w:lang w:val="en-US"/>
        </w:rPr>
        <w:t xml:space="preserve"> template</w:t>
      </w:r>
      <w:r>
        <w:rPr>
          <w:rFonts w:asciiTheme="minorHAnsi" w:hAnsiTheme="minorHAnsi" w:cstheme="minorHAnsi"/>
          <w:iCs/>
          <w:sz w:val="24"/>
          <w:szCs w:val="24"/>
          <w:lang w:val="en-US"/>
        </w:rPr>
        <w:t>,</w:t>
      </w:r>
      <w:r w:rsidRPr="009B0DBC">
        <w:rPr>
          <w:rFonts w:asciiTheme="minorHAnsi" w:hAnsiTheme="minorHAnsi" w:cstheme="minorHAnsi"/>
          <w:iCs/>
          <w:sz w:val="24"/>
          <w:szCs w:val="24"/>
          <w:lang w:val="en-US"/>
        </w:rPr>
        <w:t xml:space="preserve"> </w:t>
      </w:r>
      <w:r>
        <w:rPr>
          <w:rFonts w:asciiTheme="minorHAnsi" w:hAnsiTheme="minorHAnsi" w:cstheme="minorHAnsi"/>
          <w:iCs/>
          <w:sz w:val="24"/>
          <w:szCs w:val="24"/>
          <w:lang w:val="en-US"/>
        </w:rPr>
        <w:t>the ORE section has assessed t</w:t>
      </w:r>
      <w:r w:rsidRPr="009B0DBC">
        <w:rPr>
          <w:rFonts w:asciiTheme="minorHAnsi" w:hAnsiTheme="minorHAnsi" w:cstheme="minorHAnsi"/>
          <w:iCs/>
          <w:sz w:val="24"/>
          <w:szCs w:val="24"/>
          <w:lang w:val="en-US"/>
        </w:rPr>
        <w:t xml:space="preserve">he overall risk rating of the cost recovered activity as </w:t>
      </w:r>
      <w:r>
        <w:rPr>
          <w:rFonts w:asciiTheme="minorHAnsi" w:hAnsiTheme="minorHAnsi" w:cstheme="minorHAnsi"/>
          <w:i/>
          <w:sz w:val="24"/>
          <w:szCs w:val="24"/>
          <w:lang w:val="en-US"/>
        </w:rPr>
        <w:t>high</w:t>
      </w:r>
      <w:r>
        <w:rPr>
          <w:rFonts w:asciiTheme="minorHAnsi" w:hAnsiTheme="minorHAnsi" w:cstheme="minorHAnsi"/>
          <w:iCs/>
          <w:sz w:val="24"/>
          <w:szCs w:val="24"/>
          <w:lang w:val="en-US"/>
        </w:rPr>
        <w:t>.</w:t>
      </w:r>
      <w:r w:rsidRPr="009B0DBC">
        <w:rPr>
          <w:rFonts w:asciiTheme="minorHAnsi" w:hAnsiTheme="minorHAnsi" w:cstheme="minorHAnsi"/>
          <w:iCs/>
          <w:sz w:val="24"/>
          <w:szCs w:val="24"/>
          <w:lang w:val="en-US"/>
        </w:rPr>
        <w:t xml:space="preserve"> </w:t>
      </w:r>
      <w:r>
        <w:rPr>
          <w:rFonts w:asciiTheme="minorHAnsi" w:hAnsiTheme="minorHAnsi" w:cstheme="minorHAnsi"/>
          <w:iCs/>
          <w:sz w:val="24"/>
          <w:szCs w:val="24"/>
          <w:lang w:val="en-US"/>
        </w:rPr>
        <w:t>This is</w:t>
      </w:r>
      <w:r w:rsidRPr="009B0DBC">
        <w:rPr>
          <w:rFonts w:asciiTheme="minorHAnsi" w:hAnsiTheme="minorHAnsi" w:cstheme="minorHAnsi"/>
          <w:iCs/>
          <w:sz w:val="24"/>
          <w:szCs w:val="24"/>
          <w:lang w:val="en-US"/>
        </w:rPr>
        <w:t xml:space="preserve"> because the </w:t>
      </w:r>
      <w:r>
        <w:rPr>
          <w:rFonts w:asciiTheme="minorHAnsi" w:hAnsiTheme="minorHAnsi" w:cstheme="minorHAnsi"/>
          <w:iCs/>
          <w:sz w:val="24"/>
          <w:szCs w:val="24"/>
          <w:lang w:val="en-US"/>
        </w:rPr>
        <w:t>cost recovery charging is for a new activity and the expected impact on industry is high given the cumulative effect of the Registrar, ORE section and the Regulator’s cost recovery charging.</w:t>
      </w:r>
    </w:p>
    <w:p w14:paraId="178314DB" w14:textId="77777777" w:rsidR="00F94186" w:rsidRPr="009B0DBC" w:rsidRDefault="00F94186" w:rsidP="00F94186">
      <w:pPr>
        <w:pStyle w:val="CommentText"/>
        <w:rPr>
          <w:rFonts w:asciiTheme="minorHAnsi" w:hAnsiTheme="minorHAnsi" w:cstheme="minorHAnsi"/>
          <w:iCs/>
          <w:sz w:val="24"/>
          <w:szCs w:val="24"/>
          <w:lang w:val="en-US"/>
        </w:rPr>
      </w:pPr>
    </w:p>
    <w:p w14:paraId="1AC3E150" w14:textId="77777777" w:rsidR="00F94186" w:rsidRDefault="00F94186" w:rsidP="00F94186">
      <w:pPr>
        <w:pStyle w:val="CommentText"/>
        <w:rPr>
          <w:rFonts w:asciiTheme="minorHAnsi" w:hAnsiTheme="minorHAnsi" w:cstheme="minorHAnsi"/>
          <w:iCs/>
          <w:sz w:val="24"/>
          <w:szCs w:val="24"/>
          <w:lang w:val="en-US"/>
        </w:rPr>
      </w:pPr>
      <w:r w:rsidRPr="009B0DBC">
        <w:rPr>
          <w:rFonts w:asciiTheme="minorHAnsi" w:hAnsiTheme="minorHAnsi" w:cstheme="minorHAnsi"/>
          <w:iCs/>
          <w:sz w:val="24"/>
          <w:szCs w:val="24"/>
          <w:lang w:val="en-US"/>
        </w:rPr>
        <w:t xml:space="preserve">The major risk for </w:t>
      </w:r>
      <w:r>
        <w:rPr>
          <w:rFonts w:asciiTheme="minorHAnsi" w:hAnsiTheme="minorHAnsi" w:cstheme="minorHAnsi"/>
          <w:iCs/>
          <w:sz w:val="24"/>
          <w:szCs w:val="24"/>
          <w:lang w:val="en-US"/>
        </w:rPr>
        <w:t xml:space="preserve">the ORE section </w:t>
      </w:r>
      <w:r w:rsidRPr="009B0DBC">
        <w:rPr>
          <w:rFonts w:asciiTheme="minorHAnsi" w:hAnsiTheme="minorHAnsi" w:cstheme="minorHAnsi"/>
          <w:iCs/>
          <w:sz w:val="24"/>
          <w:szCs w:val="24"/>
          <w:lang w:val="en-US"/>
        </w:rPr>
        <w:t xml:space="preserve">would be a significant </w:t>
      </w:r>
      <w:r w:rsidRPr="00BF1623">
        <w:rPr>
          <w:rFonts w:asciiTheme="minorHAnsi" w:hAnsiTheme="minorHAnsi" w:cstheme="minorHAnsi"/>
          <w:iCs/>
          <w:sz w:val="24"/>
          <w:szCs w:val="24"/>
          <w:lang w:val="en-US"/>
        </w:rPr>
        <w:t>increase or</w:t>
      </w:r>
      <w:r w:rsidRPr="009B0DBC">
        <w:rPr>
          <w:rFonts w:asciiTheme="minorHAnsi" w:hAnsiTheme="minorHAnsi" w:cstheme="minorHAnsi"/>
          <w:iCs/>
          <w:sz w:val="24"/>
          <w:szCs w:val="24"/>
          <w:lang w:val="en-US"/>
        </w:rPr>
        <w:t xml:space="preserve"> decrease in the number </w:t>
      </w:r>
      <w:r>
        <w:rPr>
          <w:rFonts w:asciiTheme="minorHAnsi" w:hAnsiTheme="minorHAnsi" w:cstheme="minorHAnsi"/>
          <w:iCs/>
          <w:sz w:val="24"/>
          <w:szCs w:val="24"/>
          <w:lang w:val="en-US"/>
        </w:rPr>
        <w:t>of licences granted by the Registrar. This could result in either a substantial revenue deficit or surplus.</w:t>
      </w:r>
    </w:p>
    <w:p w14:paraId="67A7860A" w14:textId="77777777" w:rsidR="00F94186" w:rsidRDefault="00F94186" w:rsidP="00F94186">
      <w:pPr>
        <w:pStyle w:val="CommentText"/>
        <w:rPr>
          <w:rFonts w:asciiTheme="minorHAnsi" w:hAnsiTheme="minorHAnsi" w:cstheme="minorHAnsi"/>
          <w:iCs/>
          <w:sz w:val="24"/>
          <w:szCs w:val="24"/>
          <w:lang w:val="en-US"/>
        </w:rPr>
      </w:pPr>
    </w:p>
    <w:p w14:paraId="20CE0E84" w14:textId="77777777" w:rsidR="00F94186" w:rsidRDefault="00F94186" w:rsidP="00F94186">
      <w:pPr>
        <w:pStyle w:val="CommentText"/>
        <w:rPr>
          <w:rFonts w:asciiTheme="minorHAnsi" w:hAnsiTheme="minorHAnsi" w:cstheme="minorHAnsi"/>
          <w:iCs/>
          <w:sz w:val="24"/>
          <w:szCs w:val="24"/>
          <w:lang w:val="en-US"/>
        </w:rPr>
      </w:pPr>
      <w:r>
        <w:rPr>
          <w:rFonts w:asciiTheme="minorHAnsi" w:hAnsiTheme="minorHAnsi" w:cstheme="minorHAnsi"/>
          <w:iCs/>
          <w:sz w:val="24"/>
          <w:szCs w:val="24"/>
          <w:lang w:val="en-US"/>
        </w:rPr>
        <w:t>The ORE section will continue to engage with the Registrar</w:t>
      </w:r>
      <w:r w:rsidRPr="009B0DBC">
        <w:rPr>
          <w:rFonts w:asciiTheme="minorHAnsi" w:hAnsiTheme="minorHAnsi" w:cstheme="minorHAnsi"/>
          <w:iCs/>
          <w:sz w:val="24"/>
          <w:szCs w:val="24"/>
          <w:lang w:val="en-US"/>
        </w:rPr>
        <w:t xml:space="preserve"> </w:t>
      </w:r>
      <w:r>
        <w:rPr>
          <w:rFonts w:asciiTheme="minorHAnsi" w:hAnsiTheme="minorHAnsi" w:cstheme="minorHAnsi"/>
          <w:iCs/>
          <w:sz w:val="24"/>
          <w:szCs w:val="24"/>
          <w:lang w:val="en-US"/>
        </w:rPr>
        <w:t>and industry to</w:t>
      </w:r>
      <w:r w:rsidRPr="009B0DBC">
        <w:rPr>
          <w:rFonts w:asciiTheme="minorHAnsi" w:hAnsiTheme="minorHAnsi" w:cstheme="minorHAnsi"/>
          <w:iCs/>
          <w:sz w:val="24"/>
          <w:szCs w:val="24"/>
          <w:lang w:val="en-US"/>
        </w:rPr>
        <w:t xml:space="preserve"> monitor the cost recovery arrangements to ensure that they remain cost effective and equitable among</w:t>
      </w:r>
      <w:r>
        <w:rPr>
          <w:rFonts w:asciiTheme="minorHAnsi" w:hAnsiTheme="minorHAnsi" w:cstheme="minorHAnsi"/>
          <w:iCs/>
          <w:sz w:val="24"/>
          <w:szCs w:val="24"/>
          <w:lang w:val="en-US"/>
        </w:rPr>
        <w:t xml:space="preserve"> licence </w:t>
      </w:r>
      <w:r w:rsidRPr="009B0DBC">
        <w:rPr>
          <w:rFonts w:asciiTheme="minorHAnsi" w:hAnsiTheme="minorHAnsi" w:cstheme="minorHAnsi"/>
          <w:iCs/>
          <w:sz w:val="24"/>
          <w:szCs w:val="24"/>
          <w:lang w:val="en-US"/>
        </w:rPr>
        <w:t>holders.</w:t>
      </w:r>
      <w:r>
        <w:rPr>
          <w:rFonts w:asciiTheme="minorHAnsi" w:hAnsiTheme="minorHAnsi" w:cstheme="minorHAnsi"/>
          <w:iCs/>
          <w:sz w:val="24"/>
          <w:szCs w:val="24"/>
          <w:lang w:val="en-US"/>
        </w:rPr>
        <w:t xml:space="preserve"> </w:t>
      </w:r>
    </w:p>
    <w:p w14:paraId="1C0FB27A" w14:textId="77777777" w:rsidR="00F94186" w:rsidRPr="002E39B6" w:rsidRDefault="00F94186" w:rsidP="00F94186">
      <w:pPr>
        <w:pStyle w:val="Heading2"/>
        <w:tabs>
          <w:tab w:val="num" w:pos="709"/>
        </w:tabs>
        <w:ind w:left="709" w:hanging="709"/>
        <w:rPr>
          <w:rFonts w:asciiTheme="minorHAnsi" w:hAnsiTheme="minorHAnsi" w:cstheme="minorHAnsi"/>
          <w:i w:val="0"/>
          <w:iCs w:val="0"/>
        </w:rPr>
      </w:pPr>
      <w:bookmarkStart w:id="40" w:name="_Toc98772178"/>
      <w:r w:rsidRPr="002E39B6">
        <w:rPr>
          <w:rFonts w:asciiTheme="minorHAnsi" w:hAnsiTheme="minorHAnsi" w:cstheme="minorHAnsi"/>
          <w:i w:val="0"/>
          <w:iCs w:val="0"/>
        </w:rPr>
        <w:t>S</w:t>
      </w:r>
      <w:r>
        <w:rPr>
          <w:rFonts w:asciiTheme="minorHAnsi" w:hAnsiTheme="minorHAnsi" w:cstheme="minorHAnsi"/>
          <w:i w:val="0"/>
          <w:iCs w:val="0"/>
        </w:rPr>
        <w:t>takeholder Engagement</w:t>
      </w:r>
      <w:bookmarkEnd w:id="40"/>
    </w:p>
    <w:p w14:paraId="213EA19A" w14:textId="77777777" w:rsidR="00F94186" w:rsidRDefault="00F94186" w:rsidP="00F94186">
      <w:pPr>
        <w:widowControl w:val="0"/>
        <w:autoSpaceDE w:val="0"/>
        <w:autoSpaceDN w:val="0"/>
        <w:adjustRightInd w:val="0"/>
        <w:spacing w:line="241" w:lineRule="atLeast"/>
        <w:jc w:val="both"/>
        <w:rPr>
          <w:iCs/>
          <w:color w:val="808080"/>
        </w:rPr>
      </w:pPr>
    </w:p>
    <w:p w14:paraId="7ACA5C05" w14:textId="77777777" w:rsidR="00F94186" w:rsidRPr="0033665D" w:rsidRDefault="00F94186" w:rsidP="00F94186">
      <w:pPr>
        <w:rPr>
          <w:rFonts w:asciiTheme="minorHAnsi" w:hAnsiTheme="minorHAnsi" w:cstheme="minorHAnsi"/>
          <w:b/>
          <w:bCs/>
          <w:i/>
          <w:iCs/>
        </w:rPr>
      </w:pPr>
      <w:r w:rsidRPr="0033665D">
        <w:rPr>
          <w:rFonts w:asciiTheme="minorHAnsi" w:hAnsiTheme="minorHAnsi" w:cstheme="minorHAnsi"/>
          <w:b/>
          <w:bCs/>
          <w:i/>
          <w:iCs/>
        </w:rPr>
        <w:t xml:space="preserve">Cost recovery consultation </w:t>
      </w:r>
    </w:p>
    <w:p w14:paraId="40392C2B" w14:textId="77777777" w:rsidR="00F94186" w:rsidRDefault="00F94186" w:rsidP="00F94186">
      <w:pPr>
        <w:pStyle w:val="CommentText"/>
        <w:rPr>
          <w:rFonts w:asciiTheme="minorHAnsi" w:hAnsiTheme="minorHAnsi" w:cstheme="minorHAnsi"/>
          <w:sz w:val="24"/>
          <w:szCs w:val="24"/>
        </w:rPr>
      </w:pPr>
      <w:r w:rsidRPr="00950A04">
        <w:rPr>
          <w:rFonts w:asciiTheme="minorHAnsi" w:hAnsiTheme="minorHAnsi" w:cstheme="minorHAnsi"/>
          <w:sz w:val="24"/>
          <w:szCs w:val="24"/>
        </w:rPr>
        <w:t>[To be included post consultation with industry]</w:t>
      </w:r>
    </w:p>
    <w:p w14:paraId="6C604D4D" w14:textId="77777777" w:rsidR="00F94186" w:rsidRPr="002E39B6" w:rsidRDefault="00F94186" w:rsidP="00F94186">
      <w:pPr>
        <w:pStyle w:val="Heading2"/>
        <w:tabs>
          <w:tab w:val="num" w:pos="709"/>
        </w:tabs>
        <w:ind w:left="709" w:hanging="709"/>
        <w:rPr>
          <w:rFonts w:asciiTheme="minorHAnsi" w:hAnsiTheme="minorHAnsi" w:cstheme="minorHAnsi"/>
          <w:i w:val="0"/>
          <w:iCs w:val="0"/>
        </w:rPr>
      </w:pPr>
      <w:bookmarkStart w:id="41" w:name="_Toc98772179"/>
      <w:r w:rsidRPr="002E39B6">
        <w:rPr>
          <w:rFonts w:asciiTheme="minorHAnsi" w:hAnsiTheme="minorHAnsi" w:cstheme="minorHAnsi"/>
          <w:i w:val="0"/>
          <w:iCs w:val="0"/>
        </w:rPr>
        <w:lastRenderedPageBreak/>
        <w:t>F</w:t>
      </w:r>
      <w:r>
        <w:rPr>
          <w:rFonts w:asciiTheme="minorHAnsi" w:hAnsiTheme="minorHAnsi" w:cstheme="minorHAnsi"/>
          <w:i w:val="0"/>
          <w:iCs w:val="0"/>
        </w:rPr>
        <w:t>inancial Estimates</w:t>
      </w:r>
      <w:bookmarkEnd w:id="41"/>
      <w:r w:rsidRPr="002E39B6">
        <w:rPr>
          <w:rFonts w:asciiTheme="minorHAnsi" w:hAnsiTheme="minorHAnsi" w:cstheme="minorHAnsi"/>
          <w:i w:val="0"/>
          <w:iCs w:val="0"/>
        </w:rPr>
        <w:t xml:space="preserve"> </w:t>
      </w:r>
    </w:p>
    <w:p w14:paraId="45828174" w14:textId="77777777" w:rsidR="00F94186" w:rsidRPr="00862634" w:rsidRDefault="00F94186" w:rsidP="00F94186">
      <w:pPr>
        <w:widowControl w:val="0"/>
        <w:autoSpaceDE w:val="0"/>
        <w:autoSpaceDN w:val="0"/>
        <w:adjustRightInd w:val="0"/>
        <w:spacing w:line="241" w:lineRule="atLeast"/>
        <w:ind w:right="412"/>
        <w:rPr>
          <w:rFonts w:asciiTheme="minorHAnsi" w:hAnsiTheme="minorHAnsi" w:cstheme="minorHAnsi"/>
          <w:iCs/>
          <w:color w:val="000000" w:themeColor="text1"/>
          <w:lang w:val="en-US"/>
        </w:rPr>
      </w:pPr>
      <w:r w:rsidRPr="00862634">
        <w:rPr>
          <w:rFonts w:asciiTheme="minorHAnsi" w:hAnsiTheme="minorHAnsi" w:cstheme="minorHAnsi"/>
          <w:iCs/>
          <w:color w:val="000000" w:themeColor="text1"/>
          <w:lang w:val="en-US"/>
        </w:rPr>
        <w:t xml:space="preserve">Financial estimates are provided below in </w:t>
      </w:r>
      <w:r w:rsidRPr="00C353A0">
        <w:rPr>
          <w:rFonts w:asciiTheme="minorHAnsi" w:hAnsiTheme="minorHAnsi" w:cstheme="minorHAnsi"/>
          <w:b/>
          <w:bCs/>
          <w:iCs/>
          <w:color w:val="000000" w:themeColor="text1"/>
          <w:lang w:val="en-US"/>
        </w:rPr>
        <w:t xml:space="preserve">Table </w:t>
      </w:r>
      <w:r>
        <w:rPr>
          <w:rFonts w:asciiTheme="minorHAnsi" w:hAnsiTheme="minorHAnsi" w:cstheme="minorHAnsi"/>
          <w:b/>
          <w:bCs/>
          <w:iCs/>
          <w:color w:val="000000" w:themeColor="text1"/>
          <w:lang w:val="en-US"/>
        </w:rPr>
        <w:t>11</w:t>
      </w:r>
      <w:r w:rsidRPr="000941CA">
        <w:rPr>
          <w:rFonts w:asciiTheme="minorHAnsi" w:hAnsiTheme="minorHAnsi" w:cstheme="minorHAnsi"/>
          <w:iCs/>
          <w:color w:val="000000" w:themeColor="text1"/>
          <w:lang w:val="en-US"/>
        </w:rPr>
        <w:t>.</w:t>
      </w:r>
      <w:r w:rsidRPr="00862634">
        <w:rPr>
          <w:rFonts w:asciiTheme="minorHAnsi" w:hAnsiTheme="minorHAnsi" w:cstheme="minorHAnsi"/>
          <w:iCs/>
          <w:color w:val="000000" w:themeColor="text1"/>
          <w:lang w:val="en-US"/>
        </w:rPr>
        <w:t xml:space="preserve">  As these financial estimates change</w:t>
      </w:r>
      <w:r>
        <w:rPr>
          <w:rFonts w:asciiTheme="minorHAnsi" w:hAnsiTheme="minorHAnsi" w:cstheme="minorHAnsi"/>
          <w:iCs/>
          <w:color w:val="000000" w:themeColor="text1"/>
          <w:lang w:val="en-US"/>
        </w:rPr>
        <w:t>,</w:t>
      </w:r>
      <w:r w:rsidRPr="00862634">
        <w:rPr>
          <w:rFonts w:asciiTheme="minorHAnsi" w:hAnsiTheme="minorHAnsi" w:cstheme="minorHAnsi"/>
          <w:iCs/>
          <w:color w:val="000000" w:themeColor="text1"/>
          <w:lang w:val="en-US"/>
        </w:rPr>
        <w:t xml:space="preserve"> the CRIS will be updated accordingly.</w:t>
      </w:r>
    </w:p>
    <w:p w14:paraId="3AAD09FF" w14:textId="77777777" w:rsidR="00F94186" w:rsidRPr="00862634" w:rsidRDefault="00F94186" w:rsidP="00F94186">
      <w:pPr>
        <w:widowControl w:val="0"/>
        <w:autoSpaceDE w:val="0"/>
        <w:autoSpaceDN w:val="0"/>
        <w:adjustRightInd w:val="0"/>
        <w:spacing w:line="241" w:lineRule="atLeast"/>
        <w:jc w:val="both"/>
        <w:rPr>
          <w:rFonts w:asciiTheme="minorHAnsi" w:hAnsiTheme="minorHAnsi" w:cstheme="minorHAnsi"/>
          <w:iCs/>
          <w:color w:val="000000" w:themeColor="text1"/>
          <w:lang w:val="en-US"/>
        </w:rPr>
      </w:pPr>
    </w:p>
    <w:p w14:paraId="1B6540B9" w14:textId="77777777" w:rsidR="00F94186" w:rsidRDefault="00F94186" w:rsidP="00F94186">
      <w:pPr>
        <w:keepNext/>
        <w:widowControl w:val="0"/>
        <w:autoSpaceDE w:val="0"/>
        <w:autoSpaceDN w:val="0"/>
        <w:adjustRightInd w:val="0"/>
        <w:spacing w:line="241" w:lineRule="atLeast"/>
        <w:jc w:val="both"/>
        <w:rPr>
          <w:rFonts w:ascii="Calibri" w:hAnsi="Calibri" w:cs="Calibri"/>
          <w:color w:val="000000"/>
        </w:rPr>
      </w:pPr>
      <w:r w:rsidRPr="00107D3F">
        <w:rPr>
          <w:rFonts w:asciiTheme="minorHAnsi" w:hAnsiTheme="minorHAnsi" w:cstheme="minorHAnsi"/>
          <w:b/>
          <w:bCs/>
          <w:iCs/>
          <w:color w:val="000000" w:themeColor="text1"/>
          <w:lang w:val="en-US"/>
        </w:rPr>
        <w:t xml:space="preserve">Table </w:t>
      </w:r>
      <w:r>
        <w:rPr>
          <w:rFonts w:asciiTheme="minorHAnsi" w:hAnsiTheme="minorHAnsi" w:cstheme="minorHAnsi"/>
          <w:b/>
          <w:bCs/>
          <w:iCs/>
          <w:color w:val="000000" w:themeColor="text1"/>
          <w:lang w:val="en-US"/>
        </w:rPr>
        <w:t>11</w:t>
      </w:r>
      <w:r w:rsidRPr="00C9351D">
        <w:rPr>
          <w:rFonts w:asciiTheme="minorHAnsi" w:hAnsiTheme="minorHAnsi" w:cstheme="minorHAnsi"/>
          <w:iCs/>
          <w:color w:val="000000" w:themeColor="text1"/>
          <w:lang w:val="en-US"/>
        </w:rPr>
        <w:t>: Summary of financial estimates</w:t>
      </w:r>
      <w:r w:rsidRPr="00465868">
        <w:rPr>
          <w:rFonts w:ascii="Calibri" w:hAnsi="Calibri" w:cs="Calibri"/>
          <w:color w:val="000000"/>
        </w:rPr>
        <w:t xml:space="preserve"> </w:t>
      </w:r>
      <w:r>
        <w:rPr>
          <w:rFonts w:ascii="Calibri" w:hAnsi="Calibri" w:cs="Calibri"/>
          <w:color w:val="000000"/>
        </w:rPr>
        <w:t>for 2022-23 to 2024-25</w:t>
      </w:r>
    </w:p>
    <w:tbl>
      <w:tblPr>
        <w:tblW w:w="5000" w:type="pct"/>
        <w:tblLook w:val="04A0" w:firstRow="1" w:lastRow="0" w:firstColumn="1" w:lastColumn="0" w:noHBand="0" w:noVBand="1"/>
      </w:tblPr>
      <w:tblGrid>
        <w:gridCol w:w="2751"/>
        <w:gridCol w:w="1881"/>
        <w:gridCol w:w="1881"/>
        <w:gridCol w:w="1881"/>
        <w:gridCol w:w="1921"/>
      </w:tblGrid>
      <w:tr w:rsidR="00F94186" w:rsidRPr="00D91600" w14:paraId="70FCCAA8" w14:textId="77777777" w:rsidTr="00051C99">
        <w:trPr>
          <w:trHeight w:val="840"/>
        </w:trPr>
        <w:tc>
          <w:tcPr>
            <w:tcW w:w="1333" w:type="pct"/>
            <w:tcBorders>
              <w:top w:val="single" w:sz="8" w:space="0" w:color="4F81BD"/>
              <w:left w:val="single" w:sz="8" w:space="0" w:color="4F81BD"/>
              <w:bottom w:val="single" w:sz="8" w:space="0" w:color="4F81BD"/>
              <w:right w:val="nil"/>
            </w:tcBorders>
            <w:shd w:val="clear" w:color="000000" w:fill="4F81BD"/>
            <w:vAlign w:val="center"/>
            <w:hideMark/>
          </w:tcPr>
          <w:p w14:paraId="7E5527F2" w14:textId="77777777" w:rsidR="00F94186" w:rsidRPr="00D91600" w:rsidRDefault="00F94186" w:rsidP="00F94186">
            <w:pPr>
              <w:rPr>
                <w:rFonts w:ascii="Calibri" w:hAnsi="Calibri" w:cs="Calibri"/>
                <w:b/>
                <w:bCs/>
                <w:color w:val="FFFFFF"/>
                <w:sz w:val="20"/>
                <w:szCs w:val="20"/>
                <w:lang w:eastAsia="en-AU"/>
              </w:rPr>
            </w:pPr>
            <w:r w:rsidRPr="00D91600">
              <w:rPr>
                <w:rFonts w:ascii="Calibri" w:hAnsi="Calibri" w:cs="Calibri"/>
                <w:b/>
                <w:bCs/>
                <w:color w:val="FFFFFF"/>
                <w:sz w:val="20"/>
                <w:szCs w:val="20"/>
                <w:lang w:eastAsia="en-AU"/>
              </w:rPr>
              <w:t> </w:t>
            </w:r>
          </w:p>
        </w:tc>
        <w:tc>
          <w:tcPr>
            <w:tcW w:w="912" w:type="pct"/>
            <w:tcBorders>
              <w:top w:val="single" w:sz="8" w:space="0" w:color="4F81BD"/>
              <w:left w:val="nil"/>
              <w:bottom w:val="single" w:sz="8" w:space="0" w:color="4F81BD"/>
              <w:right w:val="nil"/>
            </w:tcBorders>
            <w:shd w:val="clear" w:color="000000" w:fill="4F81BD"/>
            <w:vAlign w:val="center"/>
            <w:hideMark/>
          </w:tcPr>
          <w:p w14:paraId="23EA6ED2" w14:textId="77777777" w:rsidR="00F94186" w:rsidRPr="00D91600" w:rsidRDefault="00F94186" w:rsidP="00F94186">
            <w:pPr>
              <w:jc w:val="center"/>
              <w:rPr>
                <w:rFonts w:ascii="Calibri" w:hAnsi="Calibri" w:cs="Calibri"/>
                <w:b/>
                <w:bCs/>
                <w:color w:val="FFFFFF"/>
                <w:sz w:val="20"/>
                <w:szCs w:val="20"/>
                <w:lang w:eastAsia="en-AU"/>
              </w:rPr>
            </w:pPr>
            <w:r w:rsidRPr="00D91600">
              <w:rPr>
                <w:rFonts w:ascii="Calibri" w:hAnsi="Calibri" w:cs="Calibri"/>
                <w:b/>
                <w:bCs/>
                <w:color w:val="FFFFFF"/>
                <w:sz w:val="20"/>
                <w:szCs w:val="20"/>
                <w:lang w:eastAsia="en-AU"/>
              </w:rPr>
              <w:t>2022-23</w:t>
            </w:r>
          </w:p>
        </w:tc>
        <w:tc>
          <w:tcPr>
            <w:tcW w:w="912" w:type="pct"/>
            <w:tcBorders>
              <w:top w:val="single" w:sz="8" w:space="0" w:color="4F81BD"/>
              <w:left w:val="nil"/>
              <w:bottom w:val="single" w:sz="8" w:space="0" w:color="4F81BD"/>
              <w:right w:val="nil"/>
            </w:tcBorders>
            <w:shd w:val="clear" w:color="000000" w:fill="4F81BD"/>
            <w:vAlign w:val="center"/>
            <w:hideMark/>
          </w:tcPr>
          <w:p w14:paraId="73AA2429" w14:textId="77777777" w:rsidR="00F94186" w:rsidRPr="00D91600" w:rsidRDefault="00F94186" w:rsidP="00F94186">
            <w:pPr>
              <w:jc w:val="center"/>
              <w:rPr>
                <w:rFonts w:ascii="Calibri" w:hAnsi="Calibri" w:cs="Calibri"/>
                <w:b/>
                <w:bCs/>
                <w:color w:val="FFFFFF"/>
                <w:sz w:val="20"/>
                <w:szCs w:val="20"/>
                <w:lang w:eastAsia="en-AU"/>
              </w:rPr>
            </w:pPr>
            <w:r w:rsidRPr="00D91600">
              <w:rPr>
                <w:rFonts w:ascii="Calibri" w:hAnsi="Calibri" w:cs="Calibri"/>
                <w:b/>
                <w:bCs/>
                <w:color w:val="FFFFFF"/>
                <w:sz w:val="20"/>
                <w:szCs w:val="20"/>
                <w:lang w:eastAsia="en-AU"/>
              </w:rPr>
              <w:t>2023-24</w:t>
            </w:r>
          </w:p>
        </w:tc>
        <w:tc>
          <w:tcPr>
            <w:tcW w:w="912" w:type="pct"/>
            <w:tcBorders>
              <w:top w:val="single" w:sz="8" w:space="0" w:color="4F81BD"/>
              <w:left w:val="nil"/>
              <w:bottom w:val="single" w:sz="8" w:space="0" w:color="4F81BD"/>
              <w:right w:val="nil"/>
            </w:tcBorders>
            <w:shd w:val="clear" w:color="000000" w:fill="4F81BD"/>
            <w:vAlign w:val="center"/>
            <w:hideMark/>
          </w:tcPr>
          <w:p w14:paraId="613A29BC" w14:textId="77777777" w:rsidR="00F94186" w:rsidRPr="00D91600" w:rsidRDefault="00F94186" w:rsidP="00F94186">
            <w:pPr>
              <w:jc w:val="center"/>
              <w:rPr>
                <w:rFonts w:ascii="Calibri" w:hAnsi="Calibri" w:cs="Calibri"/>
                <w:b/>
                <w:bCs/>
                <w:color w:val="FFFFFF"/>
                <w:sz w:val="20"/>
                <w:szCs w:val="20"/>
                <w:lang w:eastAsia="en-AU"/>
              </w:rPr>
            </w:pPr>
            <w:r w:rsidRPr="00D91600">
              <w:rPr>
                <w:rFonts w:ascii="Calibri" w:hAnsi="Calibri" w:cs="Calibri"/>
                <w:b/>
                <w:bCs/>
                <w:color w:val="FFFFFF"/>
                <w:sz w:val="20"/>
                <w:szCs w:val="20"/>
                <w:lang w:eastAsia="en-AU"/>
              </w:rPr>
              <w:t>2024-25</w:t>
            </w:r>
          </w:p>
        </w:tc>
        <w:tc>
          <w:tcPr>
            <w:tcW w:w="931" w:type="pct"/>
            <w:tcBorders>
              <w:top w:val="single" w:sz="8" w:space="0" w:color="4F81BD"/>
              <w:left w:val="nil"/>
              <w:bottom w:val="single" w:sz="8" w:space="0" w:color="4F81BD"/>
              <w:right w:val="single" w:sz="8" w:space="0" w:color="4F81BD"/>
            </w:tcBorders>
            <w:shd w:val="clear" w:color="000000" w:fill="4F81BD"/>
            <w:vAlign w:val="center"/>
            <w:hideMark/>
          </w:tcPr>
          <w:p w14:paraId="0F60006B" w14:textId="77777777" w:rsidR="00F94186" w:rsidRPr="00D91600" w:rsidRDefault="00F94186" w:rsidP="00F94186">
            <w:pPr>
              <w:jc w:val="center"/>
              <w:rPr>
                <w:rFonts w:ascii="Calibri" w:hAnsi="Calibri" w:cs="Calibri"/>
                <w:b/>
                <w:bCs/>
                <w:color w:val="FFFFFF"/>
                <w:sz w:val="20"/>
                <w:szCs w:val="20"/>
                <w:lang w:eastAsia="en-AU"/>
              </w:rPr>
            </w:pPr>
            <w:r w:rsidRPr="00D91600">
              <w:rPr>
                <w:rFonts w:ascii="Calibri" w:hAnsi="Calibri" w:cs="Calibri"/>
                <w:b/>
                <w:bCs/>
                <w:color w:val="FFFFFF"/>
                <w:sz w:val="20"/>
                <w:szCs w:val="20"/>
                <w:lang w:eastAsia="en-AU"/>
              </w:rPr>
              <w:t>Total over forward years</w:t>
            </w:r>
          </w:p>
        </w:tc>
      </w:tr>
      <w:tr w:rsidR="00F94186" w:rsidRPr="00D91600" w14:paraId="2EE2F1F5" w14:textId="77777777" w:rsidTr="00051C99">
        <w:trPr>
          <w:trHeight w:val="300"/>
        </w:trPr>
        <w:tc>
          <w:tcPr>
            <w:tcW w:w="1333" w:type="pct"/>
            <w:tcBorders>
              <w:top w:val="nil"/>
              <w:left w:val="single" w:sz="8" w:space="0" w:color="95B3D7"/>
              <w:bottom w:val="single" w:sz="8" w:space="0" w:color="95B3D7"/>
              <w:right w:val="single" w:sz="8" w:space="0" w:color="95B3D7"/>
            </w:tcBorders>
            <w:shd w:val="clear" w:color="000000" w:fill="DBE5F1"/>
            <w:vAlign w:val="center"/>
            <w:hideMark/>
          </w:tcPr>
          <w:p w14:paraId="2CF77B4E" w14:textId="77777777" w:rsidR="00F94186" w:rsidRPr="00D91600" w:rsidRDefault="00F94186" w:rsidP="00F94186">
            <w:pPr>
              <w:rPr>
                <w:rFonts w:ascii="Calibri" w:hAnsi="Calibri" w:cs="Calibri"/>
                <w:color w:val="17365D"/>
                <w:sz w:val="20"/>
                <w:szCs w:val="20"/>
                <w:lang w:eastAsia="en-AU"/>
              </w:rPr>
            </w:pPr>
            <w:r w:rsidRPr="00D91600">
              <w:rPr>
                <w:rFonts w:ascii="Calibri" w:hAnsi="Calibri" w:cs="Calibri"/>
                <w:color w:val="17365D"/>
                <w:sz w:val="20"/>
                <w:szCs w:val="20"/>
                <w:lang w:eastAsia="en-AU"/>
              </w:rPr>
              <w:t>Revenue</w:t>
            </w:r>
          </w:p>
        </w:tc>
        <w:tc>
          <w:tcPr>
            <w:tcW w:w="912" w:type="pct"/>
            <w:tcBorders>
              <w:top w:val="nil"/>
              <w:left w:val="nil"/>
              <w:bottom w:val="single" w:sz="8" w:space="0" w:color="95B3D7"/>
              <w:right w:val="single" w:sz="8" w:space="0" w:color="95B3D7"/>
            </w:tcBorders>
            <w:shd w:val="clear" w:color="000000" w:fill="DBE5F1"/>
            <w:vAlign w:val="center"/>
            <w:hideMark/>
          </w:tcPr>
          <w:p w14:paraId="2D4224F2" w14:textId="77777777" w:rsidR="00F94186" w:rsidRPr="00D91600" w:rsidRDefault="00F94186" w:rsidP="00F94186">
            <w:pPr>
              <w:jc w:val="center"/>
              <w:rPr>
                <w:rFonts w:ascii="Calibri" w:hAnsi="Calibri" w:cs="Calibri"/>
                <w:color w:val="17365D"/>
                <w:sz w:val="20"/>
                <w:szCs w:val="20"/>
                <w:lang w:eastAsia="en-AU"/>
              </w:rPr>
            </w:pPr>
            <w:r w:rsidRPr="00D91600">
              <w:rPr>
                <w:rFonts w:ascii="Calibri" w:hAnsi="Calibri" w:cs="Calibri"/>
                <w:color w:val="17365D"/>
                <w:sz w:val="20"/>
                <w:szCs w:val="20"/>
                <w:lang w:eastAsia="en-AU"/>
              </w:rPr>
              <w:t>$729,636</w:t>
            </w:r>
          </w:p>
        </w:tc>
        <w:tc>
          <w:tcPr>
            <w:tcW w:w="912" w:type="pct"/>
            <w:tcBorders>
              <w:top w:val="nil"/>
              <w:left w:val="nil"/>
              <w:bottom w:val="single" w:sz="8" w:space="0" w:color="95B3D7"/>
              <w:right w:val="single" w:sz="8" w:space="0" w:color="95B3D7"/>
            </w:tcBorders>
            <w:shd w:val="clear" w:color="000000" w:fill="DBE5F1"/>
            <w:vAlign w:val="center"/>
            <w:hideMark/>
          </w:tcPr>
          <w:p w14:paraId="5D9027F0" w14:textId="77777777" w:rsidR="00F94186" w:rsidRPr="00D91600" w:rsidRDefault="00F94186" w:rsidP="00F94186">
            <w:pPr>
              <w:jc w:val="center"/>
              <w:rPr>
                <w:rFonts w:ascii="Calibri" w:hAnsi="Calibri" w:cs="Calibri"/>
                <w:color w:val="17365D"/>
                <w:sz w:val="20"/>
                <w:szCs w:val="20"/>
                <w:lang w:eastAsia="en-AU"/>
              </w:rPr>
            </w:pPr>
            <w:r w:rsidRPr="00D91600">
              <w:rPr>
                <w:rFonts w:ascii="Calibri" w:hAnsi="Calibri" w:cs="Calibri"/>
                <w:color w:val="17365D"/>
                <w:sz w:val="20"/>
                <w:szCs w:val="20"/>
                <w:lang w:eastAsia="en-AU"/>
              </w:rPr>
              <w:t>$2,022,315</w:t>
            </w:r>
          </w:p>
        </w:tc>
        <w:tc>
          <w:tcPr>
            <w:tcW w:w="912" w:type="pct"/>
            <w:tcBorders>
              <w:top w:val="nil"/>
              <w:left w:val="nil"/>
              <w:bottom w:val="single" w:sz="8" w:space="0" w:color="95B3D7"/>
              <w:right w:val="single" w:sz="8" w:space="0" w:color="95B3D7"/>
            </w:tcBorders>
            <w:shd w:val="clear" w:color="000000" w:fill="DBE5F1"/>
            <w:vAlign w:val="center"/>
            <w:hideMark/>
          </w:tcPr>
          <w:p w14:paraId="7E58FBB9" w14:textId="77777777" w:rsidR="00F94186" w:rsidRPr="00D91600" w:rsidRDefault="00F94186" w:rsidP="00F94186">
            <w:pPr>
              <w:jc w:val="center"/>
              <w:rPr>
                <w:rFonts w:ascii="Calibri" w:hAnsi="Calibri" w:cs="Calibri"/>
                <w:color w:val="17365D"/>
                <w:sz w:val="20"/>
                <w:szCs w:val="20"/>
                <w:lang w:eastAsia="en-AU"/>
              </w:rPr>
            </w:pPr>
            <w:r w:rsidRPr="00D91600">
              <w:rPr>
                <w:rFonts w:ascii="Calibri" w:hAnsi="Calibri" w:cs="Calibri"/>
                <w:color w:val="17365D"/>
                <w:sz w:val="20"/>
                <w:szCs w:val="20"/>
                <w:lang w:eastAsia="en-AU"/>
              </w:rPr>
              <w:t>$2,950,175</w:t>
            </w:r>
          </w:p>
        </w:tc>
        <w:tc>
          <w:tcPr>
            <w:tcW w:w="931" w:type="pct"/>
            <w:tcBorders>
              <w:top w:val="nil"/>
              <w:left w:val="nil"/>
              <w:bottom w:val="single" w:sz="8" w:space="0" w:color="95B3D7"/>
              <w:right w:val="single" w:sz="8" w:space="0" w:color="95B3D7"/>
            </w:tcBorders>
            <w:shd w:val="clear" w:color="000000" w:fill="DBE5F1"/>
            <w:vAlign w:val="center"/>
            <w:hideMark/>
          </w:tcPr>
          <w:p w14:paraId="36BDEABC" w14:textId="77777777" w:rsidR="00F94186" w:rsidRPr="00D91600" w:rsidRDefault="00F94186" w:rsidP="00F94186">
            <w:pPr>
              <w:jc w:val="center"/>
              <w:rPr>
                <w:rFonts w:ascii="Calibri" w:hAnsi="Calibri" w:cs="Calibri"/>
                <w:color w:val="17365D"/>
                <w:sz w:val="20"/>
                <w:szCs w:val="20"/>
                <w:lang w:eastAsia="en-AU"/>
              </w:rPr>
            </w:pPr>
            <w:r w:rsidRPr="00D91600">
              <w:rPr>
                <w:rFonts w:ascii="Calibri" w:hAnsi="Calibri" w:cs="Calibri"/>
                <w:color w:val="17365D"/>
                <w:sz w:val="20"/>
                <w:szCs w:val="20"/>
                <w:lang w:eastAsia="en-AU"/>
              </w:rPr>
              <w:t>$5,702,126</w:t>
            </w:r>
          </w:p>
        </w:tc>
      </w:tr>
      <w:tr w:rsidR="00F94186" w:rsidRPr="00D91600" w14:paraId="083E8E52" w14:textId="77777777" w:rsidTr="00051C99">
        <w:trPr>
          <w:trHeight w:val="300"/>
        </w:trPr>
        <w:tc>
          <w:tcPr>
            <w:tcW w:w="1333" w:type="pct"/>
            <w:tcBorders>
              <w:top w:val="nil"/>
              <w:left w:val="single" w:sz="8" w:space="0" w:color="95B3D7"/>
              <w:bottom w:val="single" w:sz="8" w:space="0" w:color="95B3D7"/>
              <w:right w:val="single" w:sz="8" w:space="0" w:color="95B3D7"/>
            </w:tcBorders>
            <w:shd w:val="clear" w:color="auto" w:fill="auto"/>
            <w:vAlign w:val="center"/>
            <w:hideMark/>
          </w:tcPr>
          <w:p w14:paraId="53691EAB" w14:textId="77777777" w:rsidR="00F94186" w:rsidRPr="00D91600" w:rsidRDefault="00F94186" w:rsidP="00F94186">
            <w:pPr>
              <w:rPr>
                <w:rFonts w:ascii="Calibri" w:hAnsi="Calibri" w:cs="Calibri"/>
                <w:color w:val="17365D"/>
                <w:sz w:val="20"/>
                <w:szCs w:val="20"/>
                <w:lang w:eastAsia="en-AU"/>
              </w:rPr>
            </w:pPr>
            <w:r w:rsidRPr="00D91600">
              <w:rPr>
                <w:rFonts w:ascii="Calibri" w:hAnsi="Calibri" w:cs="Calibri"/>
                <w:color w:val="17365D"/>
                <w:sz w:val="20"/>
                <w:szCs w:val="20"/>
                <w:lang w:eastAsia="en-AU"/>
              </w:rPr>
              <w:t>Expenses</w:t>
            </w:r>
          </w:p>
        </w:tc>
        <w:tc>
          <w:tcPr>
            <w:tcW w:w="912" w:type="pct"/>
            <w:tcBorders>
              <w:top w:val="nil"/>
              <w:left w:val="nil"/>
              <w:bottom w:val="single" w:sz="8" w:space="0" w:color="95B3D7"/>
              <w:right w:val="single" w:sz="8" w:space="0" w:color="95B3D7"/>
            </w:tcBorders>
            <w:shd w:val="clear" w:color="auto" w:fill="auto"/>
            <w:vAlign w:val="center"/>
            <w:hideMark/>
          </w:tcPr>
          <w:p w14:paraId="02CA57B9" w14:textId="77777777" w:rsidR="00F94186" w:rsidRPr="00D91600" w:rsidRDefault="00F94186" w:rsidP="00F94186">
            <w:pPr>
              <w:jc w:val="center"/>
              <w:rPr>
                <w:rFonts w:ascii="Calibri" w:hAnsi="Calibri" w:cs="Calibri"/>
                <w:color w:val="17365D"/>
                <w:sz w:val="20"/>
                <w:szCs w:val="20"/>
                <w:lang w:eastAsia="en-AU"/>
              </w:rPr>
            </w:pPr>
            <w:r w:rsidRPr="00D91600">
              <w:rPr>
                <w:rFonts w:ascii="Calibri" w:hAnsi="Calibri" w:cs="Calibri"/>
                <w:color w:val="17365D"/>
                <w:sz w:val="20"/>
                <w:szCs w:val="20"/>
                <w:lang w:eastAsia="en-AU"/>
              </w:rPr>
              <w:t>$1,890,153</w:t>
            </w:r>
          </w:p>
        </w:tc>
        <w:tc>
          <w:tcPr>
            <w:tcW w:w="912" w:type="pct"/>
            <w:tcBorders>
              <w:top w:val="nil"/>
              <w:left w:val="nil"/>
              <w:bottom w:val="single" w:sz="8" w:space="0" w:color="95B3D7"/>
              <w:right w:val="single" w:sz="8" w:space="0" w:color="95B3D7"/>
            </w:tcBorders>
            <w:shd w:val="clear" w:color="auto" w:fill="auto"/>
            <w:vAlign w:val="center"/>
            <w:hideMark/>
          </w:tcPr>
          <w:p w14:paraId="27940044" w14:textId="77777777" w:rsidR="00F94186" w:rsidRPr="00D91600" w:rsidRDefault="00F94186" w:rsidP="00F94186">
            <w:pPr>
              <w:jc w:val="center"/>
              <w:rPr>
                <w:rFonts w:ascii="Calibri" w:hAnsi="Calibri" w:cs="Calibri"/>
                <w:color w:val="17365D"/>
                <w:sz w:val="20"/>
                <w:szCs w:val="20"/>
                <w:lang w:eastAsia="en-AU"/>
              </w:rPr>
            </w:pPr>
            <w:r w:rsidRPr="00D91600">
              <w:rPr>
                <w:rFonts w:ascii="Calibri" w:hAnsi="Calibri" w:cs="Calibri"/>
                <w:color w:val="17365D"/>
                <w:sz w:val="20"/>
                <w:szCs w:val="20"/>
                <w:lang w:eastAsia="en-AU"/>
              </w:rPr>
              <w:t>$1,899,637</w:t>
            </w:r>
          </w:p>
        </w:tc>
        <w:tc>
          <w:tcPr>
            <w:tcW w:w="912" w:type="pct"/>
            <w:tcBorders>
              <w:top w:val="nil"/>
              <w:left w:val="nil"/>
              <w:bottom w:val="single" w:sz="8" w:space="0" w:color="95B3D7"/>
              <w:right w:val="single" w:sz="8" w:space="0" w:color="95B3D7"/>
            </w:tcBorders>
            <w:shd w:val="clear" w:color="auto" w:fill="auto"/>
            <w:vAlign w:val="center"/>
            <w:hideMark/>
          </w:tcPr>
          <w:p w14:paraId="73DB030C" w14:textId="77777777" w:rsidR="00F94186" w:rsidRPr="00D91600" w:rsidRDefault="00F94186" w:rsidP="00F94186">
            <w:pPr>
              <w:jc w:val="center"/>
              <w:rPr>
                <w:rFonts w:ascii="Calibri" w:hAnsi="Calibri" w:cs="Calibri"/>
                <w:color w:val="17365D"/>
                <w:sz w:val="20"/>
                <w:szCs w:val="20"/>
                <w:lang w:eastAsia="en-AU"/>
              </w:rPr>
            </w:pPr>
            <w:r w:rsidRPr="00D91600">
              <w:rPr>
                <w:rFonts w:ascii="Calibri" w:hAnsi="Calibri" w:cs="Calibri"/>
                <w:color w:val="17365D"/>
                <w:sz w:val="20"/>
                <w:szCs w:val="20"/>
                <w:lang w:eastAsia="en-AU"/>
              </w:rPr>
              <w:t>$1,912,336</w:t>
            </w:r>
          </w:p>
        </w:tc>
        <w:tc>
          <w:tcPr>
            <w:tcW w:w="931" w:type="pct"/>
            <w:tcBorders>
              <w:top w:val="nil"/>
              <w:left w:val="nil"/>
              <w:bottom w:val="single" w:sz="8" w:space="0" w:color="95B3D7"/>
              <w:right w:val="single" w:sz="8" w:space="0" w:color="95B3D7"/>
            </w:tcBorders>
            <w:shd w:val="clear" w:color="auto" w:fill="auto"/>
            <w:vAlign w:val="center"/>
            <w:hideMark/>
          </w:tcPr>
          <w:p w14:paraId="3410EC1B" w14:textId="77777777" w:rsidR="00F94186" w:rsidRPr="00D91600" w:rsidRDefault="00F94186" w:rsidP="00F94186">
            <w:pPr>
              <w:jc w:val="center"/>
              <w:rPr>
                <w:rFonts w:ascii="Calibri" w:hAnsi="Calibri" w:cs="Calibri"/>
                <w:color w:val="17365D"/>
                <w:sz w:val="20"/>
                <w:szCs w:val="20"/>
                <w:lang w:eastAsia="en-AU"/>
              </w:rPr>
            </w:pPr>
            <w:r w:rsidRPr="00D91600">
              <w:rPr>
                <w:rFonts w:ascii="Calibri" w:hAnsi="Calibri" w:cs="Calibri"/>
                <w:color w:val="17365D"/>
                <w:sz w:val="20"/>
                <w:szCs w:val="20"/>
                <w:lang w:eastAsia="en-AU"/>
              </w:rPr>
              <w:t>$5,702,126</w:t>
            </w:r>
          </w:p>
        </w:tc>
      </w:tr>
      <w:tr w:rsidR="00F94186" w:rsidRPr="00D91600" w14:paraId="159C099C" w14:textId="77777777" w:rsidTr="00051C99">
        <w:trPr>
          <w:trHeight w:val="300"/>
        </w:trPr>
        <w:tc>
          <w:tcPr>
            <w:tcW w:w="1333" w:type="pct"/>
            <w:tcBorders>
              <w:top w:val="nil"/>
              <w:left w:val="single" w:sz="8" w:space="0" w:color="95B3D7"/>
              <w:bottom w:val="single" w:sz="8" w:space="0" w:color="95B3D7"/>
              <w:right w:val="single" w:sz="8" w:space="0" w:color="95B3D7"/>
            </w:tcBorders>
            <w:shd w:val="clear" w:color="000000" w:fill="DBE5F1"/>
            <w:vAlign w:val="center"/>
            <w:hideMark/>
          </w:tcPr>
          <w:p w14:paraId="62E69057" w14:textId="77777777" w:rsidR="00F94186" w:rsidRPr="00D91600" w:rsidRDefault="00F94186" w:rsidP="00F94186">
            <w:pPr>
              <w:rPr>
                <w:rFonts w:ascii="Calibri" w:hAnsi="Calibri" w:cs="Calibri"/>
                <w:color w:val="17365D"/>
                <w:sz w:val="20"/>
                <w:szCs w:val="20"/>
                <w:lang w:eastAsia="en-AU"/>
              </w:rPr>
            </w:pPr>
            <w:r w:rsidRPr="00D91600">
              <w:rPr>
                <w:rFonts w:ascii="Calibri" w:hAnsi="Calibri" w:cs="Calibri"/>
                <w:color w:val="17365D"/>
                <w:sz w:val="20"/>
                <w:szCs w:val="20"/>
                <w:lang w:eastAsia="en-AU"/>
              </w:rPr>
              <w:t>Surplus/(Deficit)</w:t>
            </w:r>
          </w:p>
        </w:tc>
        <w:tc>
          <w:tcPr>
            <w:tcW w:w="912" w:type="pct"/>
            <w:tcBorders>
              <w:top w:val="nil"/>
              <w:left w:val="nil"/>
              <w:bottom w:val="single" w:sz="8" w:space="0" w:color="95B3D7"/>
              <w:right w:val="single" w:sz="8" w:space="0" w:color="95B3D7"/>
            </w:tcBorders>
            <w:shd w:val="clear" w:color="000000" w:fill="DBE5F1"/>
            <w:vAlign w:val="center"/>
            <w:hideMark/>
          </w:tcPr>
          <w:p w14:paraId="423C4E6B" w14:textId="77777777" w:rsidR="00F94186" w:rsidRPr="00D91600" w:rsidRDefault="00F94186" w:rsidP="00F94186">
            <w:pPr>
              <w:jc w:val="center"/>
              <w:rPr>
                <w:rFonts w:ascii="Calibri" w:hAnsi="Calibri" w:cs="Calibri"/>
                <w:color w:val="17365D"/>
                <w:sz w:val="20"/>
                <w:szCs w:val="20"/>
                <w:lang w:eastAsia="en-AU"/>
              </w:rPr>
            </w:pPr>
            <w:r w:rsidRPr="00D91600">
              <w:rPr>
                <w:rFonts w:ascii="Calibri" w:hAnsi="Calibri" w:cs="Calibri"/>
                <w:color w:val="17365D"/>
                <w:sz w:val="20"/>
                <w:szCs w:val="20"/>
                <w:lang w:eastAsia="en-AU"/>
              </w:rPr>
              <w:t>-$1,160,516</w:t>
            </w:r>
          </w:p>
        </w:tc>
        <w:tc>
          <w:tcPr>
            <w:tcW w:w="912" w:type="pct"/>
            <w:tcBorders>
              <w:top w:val="nil"/>
              <w:left w:val="nil"/>
              <w:bottom w:val="single" w:sz="8" w:space="0" w:color="95B3D7"/>
              <w:right w:val="single" w:sz="8" w:space="0" w:color="95B3D7"/>
            </w:tcBorders>
            <w:shd w:val="clear" w:color="000000" w:fill="DBE5F1"/>
            <w:vAlign w:val="center"/>
            <w:hideMark/>
          </w:tcPr>
          <w:p w14:paraId="1E993F88" w14:textId="77777777" w:rsidR="00F94186" w:rsidRPr="00D91600" w:rsidRDefault="00F94186" w:rsidP="00F94186">
            <w:pPr>
              <w:jc w:val="center"/>
              <w:rPr>
                <w:rFonts w:ascii="Calibri" w:hAnsi="Calibri" w:cs="Calibri"/>
                <w:color w:val="17365D"/>
                <w:sz w:val="20"/>
                <w:szCs w:val="20"/>
                <w:lang w:eastAsia="en-AU"/>
              </w:rPr>
            </w:pPr>
            <w:r w:rsidRPr="00D91600">
              <w:rPr>
                <w:rFonts w:ascii="Calibri" w:hAnsi="Calibri" w:cs="Calibri"/>
                <w:color w:val="17365D"/>
                <w:sz w:val="20"/>
                <w:szCs w:val="20"/>
                <w:lang w:eastAsia="en-AU"/>
              </w:rPr>
              <w:t>$122,678</w:t>
            </w:r>
          </w:p>
        </w:tc>
        <w:tc>
          <w:tcPr>
            <w:tcW w:w="912" w:type="pct"/>
            <w:tcBorders>
              <w:top w:val="nil"/>
              <w:left w:val="nil"/>
              <w:bottom w:val="single" w:sz="8" w:space="0" w:color="95B3D7"/>
              <w:right w:val="single" w:sz="8" w:space="0" w:color="95B3D7"/>
            </w:tcBorders>
            <w:shd w:val="clear" w:color="000000" w:fill="DBE5F1"/>
            <w:vAlign w:val="center"/>
            <w:hideMark/>
          </w:tcPr>
          <w:p w14:paraId="78270404" w14:textId="77777777" w:rsidR="00F94186" w:rsidRPr="00D91600" w:rsidRDefault="00F94186" w:rsidP="00F94186">
            <w:pPr>
              <w:jc w:val="center"/>
              <w:rPr>
                <w:rFonts w:ascii="Calibri" w:hAnsi="Calibri" w:cs="Calibri"/>
                <w:color w:val="17365D"/>
                <w:sz w:val="20"/>
                <w:szCs w:val="20"/>
                <w:lang w:eastAsia="en-AU"/>
              </w:rPr>
            </w:pPr>
            <w:r w:rsidRPr="00D91600">
              <w:rPr>
                <w:rFonts w:ascii="Calibri" w:hAnsi="Calibri" w:cs="Calibri"/>
                <w:color w:val="17365D"/>
                <w:sz w:val="20"/>
                <w:szCs w:val="20"/>
                <w:lang w:eastAsia="en-AU"/>
              </w:rPr>
              <w:t>$1,037,838</w:t>
            </w:r>
          </w:p>
        </w:tc>
        <w:tc>
          <w:tcPr>
            <w:tcW w:w="931" w:type="pct"/>
            <w:tcBorders>
              <w:top w:val="nil"/>
              <w:left w:val="nil"/>
              <w:bottom w:val="single" w:sz="8" w:space="0" w:color="95B3D7"/>
              <w:right w:val="single" w:sz="8" w:space="0" w:color="95B3D7"/>
            </w:tcBorders>
            <w:shd w:val="clear" w:color="000000" w:fill="DBE5F1"/>
            <w:vAlign w:val="center"/>
            <w:hideMark/>
          </w:tcPr>
          <w:p w14:paraId="0BD215D3" w14:textId="77777777" w:rsidR="00F94186" w:rsidRPr="00D91600" w:rsidRDefault="00F94186" w:rsidP="00F94186">
            <w:pPr>
              <w:jc w:val="center"/>
              <w:rPr>
                <w:rFonts w:ascii="Calibri" w:hAnsi="Calibri" w:cs="Calibri"/>
                <w:color w:val="17365D"/>
                <w:sz w:val="20"/>
                <w:szCs w:val="20"/>
                <w:lang w:eastAsia="en-AU"/>
              </w:rPr>
            </w:pPr>
            <w:r w:rsidRPr="00D91600">
              <w:rPr>
                <w:rFonts w:ascii="Calibri" w:hAnsi="Calibri" w:cs="Calibri"/>
                <w:color w:val="17365D"/>
                <w:sz w:val="20"/>
                <w:szCs w:val="20"/>
                <w:lang w:eastAsia="en-AU"/>
              </w:rPr>
              <w:t>$0</w:t>
            </w:r>
          </w:p>
        </w:tc>
      </w:tr>
    </w:tbl>
    <w:p w14:paraId="1E2963DD" w14:textId="77777777" w:rsidR="00F94186" w:rsidRPr="00862634" w:rsidRDefault="00F94186" w:rsidP="00F94186">
      <w:pPr>
        <w:keepNext/>
        <w:widowControl w:val="0"/>
        <w:autoSpaceDE w:val="0"/>
        <w:autoSpaceDN w:val="0"/>
        <w:adjustRightInd w:val="0"/>
        <w:spacing w:line="241" w:lineRule="atLeast"/>
        <w:jc w:val="both"/>
        <w:rPr>
          <w:rFonts w:asciiTheme="minorHAnsi" w:hAnsiTheme="minorHAnsi" w:cstheme="minorHAnsi"/>
          <w:iCs/>
          <w:color w:val="000000" w:themeColor="text1"/>
          <w:lang w:val="en-US"/>
        </w:rPr>
      </w:pPr>
    </w:p>
    <w:p w14:paraId="34E8E5FC" w14:textId="77777777" w:rsidR="00F94186" w:rsidRDefault="00F94186" w:rsidP="00F94186">
      <w:pPr>
        <w:ind w:right="270"/>
        <w:rPr>
          <w:rFonts w:asciiTheme="minorHAnsi" w:hAnsiTheme="minorHAnsi" w:cstheme="minorHAnsi"/>
        </w:rPr>
      </w:pPr>
      <w:r>
        <w:rPr>
          <w:rFonts w:asciiTheme="minorHAnsi" w:hAnsiTheme="minorHAnsi" w:cstheme="minorHAnsi"/>
        </w:rPr>
        <w:t xml:space="preserve">The anticipated revenue for 2022-23 is not likely to be received until the end of the financial year at the earliest. </w:t>
      </w:r>
    </w:p>
    <w:p w14:paraId="65CBC013" w14:textId="77777777" w:rsidR="00F94186" w:rsidRDefault="00F94186" w:rsidP="00F94186">
      <w:pPr>
        <w:ind w:right="270"/>
        <w:rPr>
          <w:rFonts w:asciiTheme="minorHAnsi" w:hAnsiTheme="minorHAnsi" w:cstheme="minorHAnsi"/>
        </w:rPr>
      </w:pPr>
    </w:p>
    <w:p w14:paraId="54947656" w14:textId="77777777" w:rsidR="00F94186" w:rsidRDefault="00F94186" w:rsidP="00F94186">
      <w:pPr>
        <w:ind w:right="270"/>
        <w:rPr>
          <w:rFonts w:asciiTheme="minorHAnsi" w:hAnsiTheme="minorHAnsi" w:cstheme="minorHAnsi"/>
        </w:rPr>
      </w:pPr>
      <w:r>
        <w:rPr>
          <w:rFonts w:asciiTheme="minorHAnsi" w:hAnsiTheme="minorHAnsi" w:cstheme="minorHAnsi"/>
        </w:rPr>
        <w:t>The OEI framework is due to commence on 2 June 2022 unless an earlier date is fixed by proclamation. Once the framework commences, there are a number of processes required before certain licences can be applied for. This includes the declaration of an area as suitable for offshore renewable energy infrastructure and the commencement of supporting regulations that, amongst other things, set out the licensing scheme. Once these processes have been undertaken, it will take additional time for the Registrar to assess any applications and for the Minister to grant licences. As a result it is anticipated that cost recovery charging for the ORE section’s regulatory activities will not commence until mid-2023 at the earliest.</w:t>
      </w:r>
    </w:p>
    <w:p w14:paraId="5E8CAE7C" w14:textId="77777777" w:rsidR="00F94186" w:rsidRDefault="00F94186" w:rsidP="00F94186">
      <w:pPr>
        <w:ind w:right="270"/>
        <w:rPr>
          <w:rFonts w:asciiTheme="minorHAnsi" w:hAnsiTheme="minorHAnsi" w:cstheme="minorHAnsi"/>
        </w:rPr>
      </w:pPr>
    </w:p>
    <w:p w14:paraId="560EC4CE" w14:textId="77777777" w:rsidR="00F94186" w:rsidRDefault="00F94186" w:rsidP="00F94186">
      <w:pPr>
        <w:ind w:right="270"/>
      </w:pPr>
      <w:r>
        <w:rPr>
          <w:rFonts w:asciiTheme="minorHAnsi" w:hAnsiTheme="minorHAnsi" w:cstheme="minorHAnsi"/>
        </w:rPr>
        <w:t xml:space="preserve">As the OEI framework is new, and the industry in its infancy, it is anticipated that it will take until late 2023-24 for the ORE section to potentially be operating with a surplus. It will take time for the industry to develop and for the cumulative effect of granted licences to reach a point where full cost recovery </w:t>
      </w:r>
      <w:r>
        <w:rPr>
          <w:rFonts w:asciiTheme="minorHAnsi" w:hAnsiTheme="minorHAnsi" w:cstheme="minorHAnsi"/>
        </w:rPr>
        <w:br/>
        <w:t>is occurring.</w:t>
      </w:r>
    </w:p>
    <w:p w14:paraId="566B0EFB" w14:textId="77777777" w:rsidR="009F3BC3" w:rsidRPr="009F3BC3" w:rsidRDefault="009F3BC3" w:rsidP="009F3BC3"/>
    <w:p w14:paraId="5B92E7A5" w14:textId="2F68F82D" w:rsidR="005828B8" w:rsidRDefault="005828B8" w:rsidP="00123A7F">
      <w:pPr>
        <w:sectPr w:rsidR="005828B8" w:rsidSect="001B0682">
          <w:pgSz w:w="11906" w:h="16838"/>
          <w:pgMar w:top="720" w:right="720" w:bottom="851" w:left="851" w:header="709" w:footer="709" w:gutter="0"/>
          <w:cols w:space="708"/>
          <w:docGrid w:linePitch="360"/>
        </w:sectPr>
      </w:pPr>
    </w:p>
    <w:p w14:paraId="5C6837CC" w14:textId="1C2E36F6" w:rsidR="00902AA6" w:rsidRPr="00902AA6" w:rsidRDefault="002E39B6" w:rsidP="00902AA6">
      <w:pPr>
        <w:pStyle w:val="Heading1"/>
        <w:tabs>
          <w:tab w:val="clear" w:pos="432"/>
          <w:tab w:val="num" w:pos="709"/>
        </w:tabs>
        <w:ind w:left="709" w:hanging="709"/>
        <w:jc w:val="left"/>
        <w:rPr>
          <w:rFonts w:asciiTheme="minorHAnsi" w:hAnsiTheme="minorHAnsi" w:cstheme="minorHAnsi"/>
          <w:b/>
          <w:bCs/>
          <w:i w:val="0"/>
          <w:iCs w:val="0"/>
          <w:sz w:val="32"/>
          <w:szCs w:val="32"/>
        </w:rPr>
      </w:pPr>
      <w:bookmarkStart w:id="42" w:name="_Toc98772180"/>
      <w:r>
        <w:rPr>
          <w:rFonts w:asciiTheme="minorHAnsi" w:hAnsiTheme="minorHAnsi" w:cstheme="minorHAnsi"/>
          <w:b/>
          <w:bCs/>
          <w:i w:val="0"/>
          <w:iCs w:val="0"/>
          <w:sz w:val="32"/>
          <w:szCs w:val="32"/>
        </w:rPr>
        <w:lastRenderedPageBreak/>
        <w:t>OFFSHORE I</w:t>
      </w:r>
      <w:r w:rsidRPr="00EC6523">
        <w:rPr>
          <w:rFonts w:asciiTheme="minorHAnsi" w:hAnsiTheme="minorHAnsi" w:cstheme="minorHAnsi"/>
          <w:b/>
          <w:bCs/>
          <w:i w:val="0"/>
          <w:iCs w:val="0"/>
          <w:sz w:val="32"/>
          <w:szCs w:val="32"/>
        </w:rPr>
        <w:t>NFRASTRUCTURE REG</w:t>
      </w:r>
      <w:r>
        <w:rPr>
          <w:rFonts w:asciiTheme="minorHAnsi" w:hAnsiTheme="minorHAnsi" w:cstheme="minorHAnsi"/>
          <w:b/>
          <w:bCs/>
          <w:i w:val="0"/>
          <w:iCs w:val="0"/>
          <w:sz w:val="32"/>
          <w:szCs w:val="32"/>
        </w:rPr>
        <w:t>ULATOR</w:t>
      </w:r>
      <w:bookmarkEnd w:id="42"/>
    </w:p>
    <w:p w14:paraId="1792C497" w14:textId="4C3466A0" w:rsidR="004C17C3" w:rsidRDefault="00902AA6" w:rsidP="00902AA6">
      <w:pPr>
        <w:pStyle w:val="Heading2"/>
        <w:tabs>
          <w:tab w:val="clear" w:pos="576"/>
          <w:tab w:val="num" w:pos="709"/>
        </w:tabs>
        <w:ind w:left="709" w:hanging="709"/>
        <w:rPr>
          <w:rFonts w:asciiTheme="minorHAnsi" w:hAnsiTheme="minorHAnsi" w:cstheme="minorHAnsi"/>
          <w:i w:val="0"/>
          <w:iCs w:val="0"/>
        </w:rPr>
      </w:pPr>
      <w:bookmarkStart w:id="43" w:name="_Toc98772181"/>
      <w:r w:rsidRPr="00F2024B">
        <w:rPr>
          <w:rFonts w:asciiTheme="minorHAnsi" w:hAnsiTheme="minorHAnsi" w:cstheme="minorHAnsi"/>
          <w:i w:val="0"/>
          <w:iCs w:val="0"/>
        </w:rPr>
        <w:t>Description of the regulatory charging activity</w:t>
      </w:r>
      <w:bookmarkEnd w:id="43"/>
    </w:p>
    <w:p w14:paraId="56027EAA" w14:textId="39FC8134" w:rsidR="00FE225F" w:rsidRDefault="00FE225F" w:rsidP="00FE225F">
      <w:pPr>
        <w:rPr>
          <w:rFonts w:asciiTheme="minorHAnsi" w:hAnsiTheme="minorHAnsi" w:cstheme="minorHAnsi"/>
        </w:rPr>
      </w:pPr>
      <w:r>
        <w:rPr>
          <w:rFonts w:asciiTheme="minorHAnsi" w:hAnsiTheme="minorHAnsi" w:cstheme="minorHAnsi"/>
        </w:rPr>
        <w:t>The OEI Act defines NOPSEMA as the Regulator. NOPSEMA is an independent statutory authority established as the National Offshore Petroleum Safety Authority (</w:t>
      </w:r>
      <w:r w:rsidRPr="00FE225F">
        <w:rPr>
          <w:rFonts w:asciiTheme="minorHAnsi" w:hAnsiTheme="minorHAnsi" w:cstheme="minorHAnsi"/>
          <w:b/>
          <w:bCs/>
        </w:rPr>
        <w:t>NOPSA</w:t>
      </w:r>
      <w:r>
        <w:rPr>
          <w:rFonts w:asciiTheme="minorHAnsi" w:hAnsiTheme="minorHAnsi" w:cstheme="minorHAnsi"/>
        </w:rPr>
        <w:t>) on 1 January 2005 and expanded with additional responsibilities to become NOPSEMA on 1 January 2012.</w:t>
      </w:r>
    </w:p>
    <w:p w14:paraId="38C228F5" w14:textId="77777777" w:rsidR="00FE225F" w:rsidRDefault="00FE225F" w:rsidP="00FE225F">
      <w:pPr>
        <w:rPr>
          <w:rFonts w:asciiTheme="minorHAnsi" w:hAnsiTheme="minorHAnsi" w:cstheme="minorHAnsi"/>
        </w:rPr>
      </w:pPr>
    </w:p>
    <w:p w14:paraId="0BAA19BF" w14:textId="090792B7" w:rsidR="00FE225F" w:rsidRDefault="00FE225F" w:rsidP="00FE225F">
      <w:pPr>
        <w:rPr>
          <w:rFonts w:asciiTheme="minorHAnsi" w:hAnsiTheme="minorHAnsi" w:cstheme="minorHAnsi"/>
        </w:rPr>
      </w:pPr>
      <w:r>
        <w:rPr>
          <w:rFonts w:asciiTheme="minorHAnsi" w:hAnsiTheme="minorHAnsi" w:cstheme="minorHAnsi"/>
        </w:rPr>
        <w:t xml:space="preserve">The OEI Act provides that the Regulator will have core responsibilities for work health and safety, infrastructure integrity, environmental management, and financial securities for OEI activities in Commonwealth offshore areas. In addition, the Regulator will provide specialist technical advice and support to DISER, the Minister for Energy and the Registrar in relation to the performance of their functions and related activities under the OEI Act as well as performing a critical role in advising the industry and broader community on the operation of, and compliance with, the </w:t>
      </w:r>
      <w:r w:rsidR="002C2E29">
        <w:rPr>
          <w:rFonts w:asciiTheme="minorHAnsi" w:hAnsiTheme="minorHAnsi" w:cstheme="minorHAnsi"/>
        </w:rPr>
        <w:br/>
      </w:r>
      <w:r>
        <w:rPr>
          <w:rFonts w:asciiTheme="minorHAnsi" w:hAnsiTheme="minorHAnsi" w:cstheme="minorHAnsi"/>
        </w:rPr>
        <w:t xml:space="preserve">OEI regime. </w:t>
      </w:r>
    </w:p>
    <w:p w14:paraId="17AA6697" w14:textId="77777777" w:rsidR="00FE225F" w:rsidRDefault="00FE225F" w:rsidP="00FE225F">
      <w:pPr>
        <w:rPr>
          <w:rFonts w:asciiTheme="minorHAnsi" w:hAnsiTheme="minorHAnsi" w:cstheme="minorHAnsi"/>
        </w:rPr>
      </w:pPr>
    </w:p>
    <w:p w14:paraId="7F2E7D27" w14:textId="029422FE" w:rsidR="00FE225F" w:rsidRDefault="00FE225F" w:rsidP="00FE225F">
      <w:pPr>
        <w:rPr>
          <w:rFonts w:asciiTheme="minorHAnsi" w:hAnsiTheme="minorHAnsi" w:cstheme="minorHAnsi"/>
        </w:rPr>
      </w:pPr>
      <w:r>
        <w:rPr>
          <w:rFonts w:asciiTheme="minorHAnsi" w:hAnsiTheme="minorHAnsi" w:cstheme="minorHAnsi"/>
        </w:rPr>
        <w:t xml:space="preserve">Effective regulation of high hazard, technically complex offshore industries requires a regulator to hold and maintain a core staff of highly qualified and experienced regulatory personnel including engineers, work health and safety specialists and environmental management practitioners. </w:t>
      </w:r>
      <w:r w:rsidR="002C2E29">
        <w:rPr>
          <w:rFonts w:asciiTheme="minorHAnsi" w:hAnsiTheme="minorHAnsi" w:cstheme="minorHAnsi"/>
        </w:rPr>
        <w:br/>
      </w:r>
      <w:r>
        <w:rPr>
          <w:rFonts w:asciiTheme="minorHAnsi" w:hAnsiTheme="minorHAnsi" w:cstheme="minorHAnsi"/>
        </w:rPr>
        <w:t xml:space="preserve">This approach is consistent with leading practice internationally. Through providing NOPSEMA the functions of the Regulator under the OEI Act the specialist technical expertise of the organisation can be effectively leveraged to deliver regulatory functions at reduced cost to the industry. </w:t>
      </w:r>
    </w:p>
    <w:p w14:paraId="35843A41" w14:textId="77777777" w:rsidR="00FE225F" w:rsidRDefault="00FE225F" w:rsidP="00FE225F">
      <w:pPr>
        <w:rPr>
          <w:rFonts w:asciiTheme="minorHAnsi" w:hAnsiTheme="minorHAnsi" w:cstheme="minorHAnsi"/>
        </w:rPr>
      </w:pPr>
    </w:p>
    <w:p w14:paraId="2CBB9779" w14:textId="77777777" w:rsidR="00FE225F" w:rsidRDefault="00FE225F" w:rsidP="00FE225F">
      <w:pPr>
        <w:rPr>
          <w:rFonts w:asciiTheme="minorHAnsi" w:hAnsiTheme="minorHAnsi" w:cstheme="minorHAnsi"/>
        </w:rPr>
      </w:pPr>
      <w:r>
        <w:rPr>
          <w:rFonts w:asciiTheme="minorHAnsi" w:hAnsiTheme="minorHAnsi" w:cstheme="minorHAnsi"/>
        </w:rPr>
        <w:t xml:space="preserve">The Regulator has the capacity to appoint inspectors under section 192 of the OEI Act and will deliver the primary compliance monitoring and investigation functions under the framework in relation to licence holder compliance with requirements under the OEI Act and its regulations.   </w:t>
      </w:r>
    </w:p>
    <w:p w14:paraId="33AEB7DA" w14:textId="77777777" w:rsidR="00FE225F" w:rsidRDefault="00FE225F" w:rsidP="00FE225F">
      <w:pPr>
        <w:rPr>
          <w:rFonts w:asciiTheme="minorHAnsi" w:hAnsiTheme="minorHAnsi" w:cstheme="minorHAnsi"/>
        </w:rPr>
      </w:pPr>
    </w:p>
    <w:p w14:paraId="50CFF731" w14:textId="56D77CB1" w:rsidR="00FE225F" w:rsidRDefault="00FE225F" w:rsidP="00FE225F">
      <w:pPr>
        <w:rPr>
          <w:rFonts w:asciiTheme="minorHAnsi" w:hAnsiTheme="minorHAnsi" w:cstheme="minorHAnsi"/>
        </w:rPr>
      </w:pPr>
      <w:r>
        <w:rPr>
          <w:rFonts w:asciiTheme="minorHAnsi" w:hAnsiTheme="minorHAnsi" w:cstheme="minorHAnsi"/>
        </w:rPr>
        <w:t xml:space="preserve">The Regulator will </w:t>
      </w:r>
      <w:r w:rsidR="00A95413">
        <w:rPr>
          <w:rFonts w:asciiTheme="minorHAnsi" w:hAnsiTheme="minorHAnsi" w:cstheme="minorHAnsi"/>
        </w:rPr>
        <w:t>fulfil</w:t>
      </w:r>
      <w:r>
        <w:rPr>
          <w:rFonts w:asciiTheme="minorHAnsi" w:hAnsiTheme="minorHAnsi" w:cstheme="minorHAnsi"/>
        </w:rPr>
        <w:t xml:space="preserve"> its statutory functions by undertaking assessment, inspection, investigation, enforcement, promotion and advisory activities. The Regulator’s statutory functions are to be fully cost recovered through a combination of fees and levies. These activities are separately identifiable tasks that can be allocated to an appropriate levy or charged as a fee. The activities are undertaken on a not-for-profit basis.</w:t>
      </w:r>
    </w:p>
    <w:p w14:paraId="554AFA33" w14:textId="77777777" w:rsidR="00FE225F" w:rsidRDefault="00FE225F" w:rsidP="00FE225F">
      <w:pPr>
        <w:rPr>
          <w:rFonts w:asciiTheme="minorHAnsi" w:hAnsiTheme="minorHAnsi" w:cstheme="minorHAnsi"/>
        </w:rPr>
      </w:pPr>
    </w:p>
    <w:p w14:paraId="386D69D8" w14:textId="77777777" w:rsidR="00FE225F" w:rsidRDefault="00FE225F" w:rsidP="00FE225F">
      <w:pPr>
        <w:rPr>
          <w:rFonts w:asciiTheme="minorHAnsi" w:hAnsiTheme="minorHAnsi" w:cstheme="minorHAnsi"/>
          <w:color w:val="000000"/>
        </w:rPr>
      </w:pPr>
      <w:r>
        <w:rPr>
          <w:rFonts w:asciiTheme="minorHAnsi" w:hAnsiTheme="minorHAnsi" w:cstheme="minorHAnsi"/>
          <w:color w:val="000000"/>
        </w:rPr>
        <w:t>Under the OEI Act, the Regulator has the following legislated functions:</w:t>
      </w:r>
    </w:p>
    <w:p w14:paraId="19A4AF82" w14:textId="77777777" w:rsidR="00FE225F" w:rsidRDefault="00FE225F" w:rsidP="00FE225F">
      <w:pPr>
        <w:pStyle w:val="ListParagraph"/>
        <w:numPr>
          <w:ilvl w:val="0"/>
          <w:numId w:val="17"/>
        </w:numPr>
        <w:rPr>
          <w:rFonts w:asciiTheme="minorHAnsi" w:hAnsiTheme="minorHAnsi" w:cstheme="minorHAnsi"/>
          <w:color w:val="000000"/>
        </w:rPr>
      </w:pPr>
      <w:r>
        <w:rPr>
          <w:rFonts w:asciiTheme="minorHAnsi" w:hAnsiTheme="minorHAnsi" w:cstheme="minorHAnsi"/>
          <w:color w:val="000000"/>
        </w:rPr>
        <w:t xml:space="preserve">To promote the work health and safety of persons engaged in offshore infrastructure activities; </w:t>
      </w:r>
    </w:p>
    <w:p w14:paraId="5DEDC260" w14:textId="5C3C1AE1" w:rsidR="00FE225F" w:rsidRDefault="00FE225F" w:rsidP="00FE225F">
      <w:pPr>
        <w:pStyle w:val="ListParagraph"/>
        <w:numPr>
          <w:ilvl w:val="0"/>
          <w:numId w:val="17"/>
        </w:numPr>
        <w:rPr>
          <w:rFonts w:asciiTheme="minorHAnsi" w:hAnsiTheme="minorHAnsi" w:cstheme="minorHAnsi"/>
          <w:color w:val="000000"/>
        </w:rPr>
      </w:pPr>
      <w:r>
        <w:rPr>
          <w:rFonts w:asciiTheme="minorHAnsi" w:hAnsiTheme="minorHAnsi" w:cstheme="minorHAnsi"/>
          <w:color w:val="000000"/>
        </w:rPr>
        <w:t xml:space="preserve">To develop and implement effective monitoring and enforcement strategies to secure compliance by persons with their obligations under the OEI Act, the applied work health </w:t>
      </w:r>
      <w:r w:rsidR="00F4042A">
        <w:rPr>
          <w:rFonts w:asciiTheme="minorHAnsi" w:hAnsiTheme="minorHAnsi" w:cstheme="minorHAnsi"/>
          <w:color w:val="000000"/>
        </w:rPr>
        <w:br/>
      </w:r>
      <w:r>
        <w:rPr>
          <w:rFonts w:asciiTheme="minorHAnsi" w:hAnsiTheme="minorHAnsi" w:cstheme="minorHAnsi"/>
          <w:color w:val="000000"/>
        </w:rPr>
        <w:t xml:space="preserve">and safety provisions or a licence or in relation to matters related to the following: </w:t>
      </w:r>
    </w:p>
    <w:p w14:paraId="0546C6E7" w14:textId="77777777" w:rsidR="00FE225F" w:rsidRDefault="00FE225F" w:rsidP="00FE225F">
      <w:pPr>
        <w:pStyle w:val="ListParagraph"/>
        <w:ind w:left="1440"/>
        <w:rPr>
          <w:rFonts w:asciiTheme="minorHAnsi" w:hAnsiTheme="minorHAnsi" w:cstheme="minorHAnsi"/>
          <w:color w:val="000000"/>
        </w:rPr>
      </w:pPr>
      <w:r>
        <w:rPr>
          <w:rFonts w:asciiTheme="minorHAnsi" w:hAnsiTheme="minorHAnsi" w:cstheme="minorHAnsi"/>
          <w:color w:val="000000"/>
        </w:rPr>
        <w:t xml:space="preserve">(i) work health and safety; </w:t>
      </w:r>
    </w:p>
    <w:p w14:paraId="07494039" w14:textId="77777777" w:rsidR="00FE225F" w:rsidRDefault="00FE225F" w:rsidP="00FE225F">
      <w:pPr>
        <w:pStyle w:val="ListParagraph"/>
        <w:ind w:left="1440"/>
        <w:rPr>
          <w:rFonts w:asciiTheme="minorHAnsi" w:hAnsiTheme="minorHAnsi" w:cstheme="minorHAnsi"/>
          <w:color w:val="000000"/>
        </w:rPr>
      </w:pPr>
      <w:r>
        <w:rPr>
          <w:rFonts w:asciiTheme="minorHAnsi" w:hAnsiTheme="minorHAnsi" w:cstheme="minorHAnsi"/>
          <w:color w:val="000000"/>
        </w:rPr>
        <w:t xml:space="preserve">(ii) environmental management; </w:t>
      </w:r>
    </w:p>
    <w:p w14:paraId="203175F1" w14:textId="77777777" w:rsidR="00FE225F" w:rsidRDefault="00FE225F" w:rsidP="00FE225F">
      <w:pPr>
        <w:pStyle w:val="ListParagraph"/>
        <w:ind w:left="1440"/>
        <w:rPr>
          <w:rFonts w:asciiTheme="minorHAnsi" w:hAnsiTheme="minorHAnsi" w:cstheme="minorHAnsi"/>
          <w:color w:val="000000"/>
        </w:rPr>
      </w:pPr>
      <w:r>
        <w:rPr>
          <w:rFonts w:asciiTheme="minorHAnsi" w:hAnsiTheme="minorHAnsi" w:cstheme="minorHAnsi"/>
          <w:color w:val="000000"/>
        </w:rPr>
        <w:t xml:space="preserve">(iii) the infrastructure integrity of offshore renewable energy infrastructure and offshore electricity transmission infrastructure; </w:t>
      </w:r>
    </w:p>
    <w:p w14:paraId="248670F9" w14:textId="77777777" w:rsidR="00FE225F" w:rsidRDefault="00FE225F" w:rsidP="00FE225F">
      <w:pPr>
        <w:pStyle w:val="ListParagraph"/>
        <w:numPr>
          <w:ilvl w:val="0"/>
          <w:numId w:val="17"/>
        </w:numPr>
        <w:rPr>
          <w:rFonts w:asciiTheme="minorHAnsi" w:hAnsiTheme="minorHAnsi" w:cstheme="minorHAnsi"/>
          <w:color w:val="000000"/>
        </w:rPr>
      </w:pPr>
      <w:r>
        <w:rPr>
          <w:rFonts w:asciiTheme="minorHAnsi" w:hAnsiTheme="minorHAnsi" w:cstheme="minorHAnsi"/>
          <w:color w:val="000000"/>
        </w:rPr>
        <w:t xml:space="preserve">To investigate accidents, occurrences and circumstances: </w:t>
      </w:r>
    </w:p>
    <w:p w14:paraId="54A8D2CD" w14:textId="77777777" w:rsidR="00FE225F" w:rsidRDefault="00FE225F" w:rsidP="00FE225F">
      <w:pPr>
        <w:pStyle w:val="ListParagraph"/>
        <w:ind w:left="1440"/>
        <w:rPr>
          <w:rFonts w:asciiTheme="minorHAnsi" w:hAnsiTheme="minorHAnsi" w:cstheme="minorHAnsi"/>
          <w:color w:val="000000"/>
        </w:rPr>
      </w:pPr>
      <w:r>
        <w:rPr>
          <w:rFonts w:asciiTheme="minorHAnsi" w:hAnsiTheme="minorHAnsi" w:cstheme="minorHAnsi"/>
          <w:color w:val="000000"/>
        </w:rPr>
        <w:t xml:space="preserve">(i) that affect, or have the potential to affect, the work health and safety of persons engaged in offshore infrastructure activities; or </w:t>
      </w:r>
    </w:p>
    <w:p w14:paraId="6BABF436" w14:textId="77777777" w:rsidR="00FE225F" w:rsidRDefault="00FE225F" w:rsidP="00FE225F">
      <w:pPr>
        <w:pStyle w:val="ListParagraph"/>
        <w:ind w:left="1440"/>
        <w:rPr>
          <w:rFonts w:asciiTheme="minorHAnsi" w:hAnsiTheme="minorHAnsi" w:cstheme="minorHAnsi"/>
          <w:color w:val="000000"/>
        </w:rPr>
      </w:pPr>
      <w:r>
        <w:rPr>
          <w:rFonts w:asciiTheme="minorHAnsi" w:hAnsiTheme="minorHAnsi" w:cstheme="minorHAnsi"/>
          <w:color w:val="000000"/>
        </w:rPr>
        <w:t xml:space="preserve">(ii) that involve, or may involve, deficiencies in environmental management in connection with offshore infrastructure activities; or </w:t>
      </w:r>
    </w:p>
    <w:p w14:paraId="3EC4B17B" w14:textId="77777777" w:rsidR="00FE225F" w:rsidRDefault="00FE225F" w:rsidP="00FE225F">
      <w:pPr>
        <w:pStyle w:val="ListParagraph"/>
        <w:ind w:left="1440"/>
        <w:rPr>
          <w:rFonts w:asciiTheme="minorHAnsi" w:hAnsiTheme="minorHAnsi" w:cstheme="minorHAnsi"/>
          <w:color w:val="000000"/>
        </w:rPr>
      </w:pPr>
      <w:r>
        <w:rPr>
          <w:rFonts w:asciiTheme="minorHAnsi" w:hAnsiTheme="minorHAnsi" w:cstheme="minorHAnsi"/>
          <w:color w:val="000000"/>
        </w:rPr>
        <w:lastRenderedPageBreak/>
        <w:t xml:space="preserve">(iii) that involve or may involve deficiencies in the infrastructure integrity of offshore renewable energy infrastructure or offshore electricity transmission infrastructure; </w:t>
      </w:r>
    </w:p>
    <w:p w14:paraId="1AD98AE3" w14:textId="77777777" w:rsidR="00FE225F" w:rsidRDefault="00FE225F" w:rsidP="00FE225F">
      <w:pPr>
        <w:pStyle w:val="ListParagraph"/>
        <w:numPr>
          <w:ilvl w:val="0"/>
          <w:numId w:val="17"/>
        </w:numPr>
        <w:rPr>
          <w:rFonts w:asciiTheme="minorHAnsi" w:hAnsiTheme="minorHAnsi" w:cstheme="minorHAnsi"/>
          <w:color w:val="000000"/>
        </w:rPr>
      </w:pPr>
      <w:r>
        <w:rPr>
          <w:rFonts w:asciiTheme="minorHAnsi" w:hAnsiTheme="minorHAnsi" w:cstheme="minorHAnsi"/>
          <w:color w:val="000000"/>
        </w:rPr>
        <w:t xml:space="preserve">To report, as appropriate, to the Minister on investigations; </w:t>
      </w:r>
    </w:p>
    <w:p w14:paraId="26B1D9B8" w14:textId="77777777" w:rsidR="00FE225F" w:rsidRDefault="00FE225F" w:rsidP="00FE225F">
      <w:pPr>
        <w:pStyle w:val="ListParagraph"/>
        <w:numPr>
          <w:ilvl w:val="0"/>
          <w:numId w:val="17"/>
        </w:numPr>
        <w:rPr>
          <w:rFonts w:asciiTheme="minorHAnsi" w:hAnsiTheme="minorHAnsi" w:cstheme="minorHAnsi"/>
          <w:color w:val="000000"/>
        </w:rPr>
      </w:pPr>
      <w:r>
        <w:rPr>
          <w:rFonts w:asciiTheme="minorHAnsi" w:hAnsiTheme="minorHAnsi" w:cstheme="minorHAnsi"/>
          <w:color w:val="000000"/>
        </w:rPr>
        <w:t xml:space="preserve">To advise persons, either on its own initiative or on request, on matters relating to work health and safety, environmental protection and infrastructure integrity in connection with offshore infrastructure activities; </w:t>
      </w:r>
    </w:p>
    <w:p w14:paraId="0FFA249D" w14:textId="77777777" w:rsidR="00FE225F" w:rsidRDefault="00FE225F" w:rsidP="00FE225F">
      <w:pPr>
        <w:pStyle w:val="ListParagraph"/>
        <w:numPr>
          <w:ilvl w:val="0"/>
          <w:numId w:val="17"/>
        </w:numPr>
        <w:rPr>
          <w:rFonts w:asciiTheme="minorHAnsi" w:hAnsiTheme="minorHAnsi" w:cstheme="minorHAnsi"/>
          <w:color w:val="000000"/>
        </w:rPr>
      </w:pPr>
      <w:r>
        <w:rPr>
          <w:rFonts w:asciiTheme="minorHAnsi" w:hAnsiTheme="minorHAnsi" w:cstheme="minorHAnsi"/>
          <w:color w:val="000000"/>
        </w:rPr>
        <w:t xml:space="preserve">To make reports, including recommendations, to the Minister on issues relating to work health and safety, environmental protection and infrastructure integrity in connection with offshore infrastructure activities; </w:t>
      </w:r>
    </w:p>
    <w:p w14:paraId="0A5B5A6E" w14:textId="77777777" w:rsidR="00FE225F" w:rsidRDefault="00FE225F" w:rsidP="00FE225F">
      <w:pPr>
        <w:pStyle w:val="ListParagraph"/>
        <w:numPr>
          <w:ilvl w:val="0"/>
          <w:numId w:val="17"/>
        </w:numPr>
        <w:rPr>
          <w:rFonts w:asciiTheme="minorHAnsi" w:hAnsiTheme="minorHAnsi" w:cstheme="minorHAnsi"/>
          <w:color w:val="000000"/>
        </w:rPr>
      </w:pPr>
      <w:r>
        <w:rPr>
          <w:rFonts w:asciiTheme="minorHAnsi" w:hAnsiTheme="minorHAnsi" w:cstheme="minorHAnsi"/>
          <w:color w:val="000000"/>
        </w:rPr>
        <w:t>To provide information, assessments, analysis, reports, advice and recommendations to the Minister in relation to the administration and functioning of the OEI Act and the applied work health and safety provisions;</w:t>
      </w:r>
    </w:p>
    <w:p w14:paraId="6DA8D4B2" w14:textId="77777777" w:rsidR="00FE225F" w:rsidRDefault="00FE225F" w:rsidP="00FE225F">
      <w:pPr>
        <w:pStyle w:val="ListParagraph"/>
        <w:numPr>
          <w:ilvl w:val="0"/>
          <w:numId w:val="17"/>
        </w:numPr>
        <w:rPr>
          <w:rFonts w:asciiTheme="minorHAnsi" w:hAnsiTheme="minorHAnsi" w:cstheme="minorHAnsi"/>
          <w:color w:val="000000"/>
        </w:rPr>
      </w:pPr>
      <w:r>
        <w:rPr>
          <w:rFonts w:asciiTheme="minorHAnsi" w:hAnsiTheme="minorHAnsi" w:cstheme="minorHAnsi"/>
          <w:color w:val="000000"/>
        </w:rPr>
        <w:t xml:space="preserve">To cooperate with the Registrar in matters relating to the administration and enforcement of the OEI Act and the applied work health and safety provisions; </w:t>
      </w:r>
    </w:p>
    <w:p w14:paraId="00F4AD59" w14:textId="77777777" w:rsidR="00FE225F" w:rsidRDefault="00FE225F" w:rsidP="00FE225F">
      <w:pPr>
        <w:pStyle w:val="ListParagraph"/>
        <w:numPr>
          <w:ilvl w:val="0"/>
          <w:numId w:val="17"/>
        </w:numPr>
        <w:rPr>
          <w:rFonts w:asciiTheme="minorHAnsi" w:hAnsiTheme="minorHAnsi" w:cstheme="minorHAnsi"/>
          <w:color w:val="000000"/>
        </w:rPr>
      </w:pPr>
      <w:r>
        <w:rPr>
          <w:rFonts w:asciiTheme="minorHAnsi" w:hAnsiTheme="minorHAnsi" w:cstheme="minorHAnsi"/>
          <w:color w:val="000000"/>
        </w:rPr>
        <w:t>To cooperate with other Commonwealth, State or Territory agencies and authorities having functions relating to the regulation of offshore infrastructure activities;</w:t>
      </w:r>
    </w:p>
    <w:p w14:paraId="45AAEC66" w14:textId="77777777" w:rsidR="00FE225F" w:rsidRDefault="00FE225F" w:rsidP="00FE225F">
      <w:pPr>
        <w:pStyle w:val="ListParagraph"/>
        <w:numPr>
          <w:ilvl w:val="0"/>
          <w:numId w:val="17"/>
        </w:numPr>
        <w:rPr>
          <w:rFonts w:asciiTheme="minorHAnsi" w:hAnsiTheme="minorHAnsi" w:cstheme="minorHAnsi"/>
          <w:color w:val="000000"/>
        </w:rPr>
      </w:pPr>
      <w:r>
        <w:rPr>
          <w:rFonts w:asciiTheme="minorHAnsi" w:hAnsiTheme="minorHAnsi" w:cstheme="minorHAnsi"/>
          <w:color w:val="000000"/>
        </w:rPr>
        <w:t xml:space="preserve">To perform the functions conferred on the Regulator by the applied work health and safety provisions; </w:t>
      </w:r>
    </w:p>
    <w:p w14:paraId="493BE051" w14:textId="2A6B3ECA" w:rsidR="00FE225F" w:rsidRDefault="00FE225F" w:rsidP="00FE225F">
      <w:pPr>
        <w:pStyle w:val="ListParagraph"/>
        <w:numPr>
          <w:ilvl w:val="0"/>
          <w:numId w:val="17"/>
        </w:numPr>
        <w:rPr>
          <w:rFonts w:asciiTheme="minorHAnsi" w:hAnsiTheme="minorHAnsi" w:cstheme="minorHAnsi"/>
          <w:color w:val="000000"/>
        </w:rPr>
      </w:pPr>
      <w:r>
        <w:rPr>
          <w:rFonts w:asciiTheme="minorHAnsi" w:hAnsiTheme="minorHAnsi" w:cstheme="minorHAnsi"/>
          <w:color w:val="000000"/>
        </w:rPr>
        <w:t xml:space="preserve">To perform such other functions as are conferred on the Regulator by or under the </w:t>
      </w:r>
      <w:r w:rsidR="00312C81">
        <w:rPr>
          <w:rFonts w:asciiTheme="minorHAnsi" w:hAnsiTheme="minorHAnsi" w:cstheme="minorHAnsi"/>
          <w:color w:val="000000"/>
        </w:rPr>
        <w:br/>
      </w:r>
      <w:r>
        <w:rPr>
          <w:rFonts w:asciiTheme="minorHAnsi" w:hAnsiTheme="minorHAnsi" w:cstheme="minorHAnsi"/>
          <w:color w:val="000000"/>
        </w:rPr>
        <w:t xml:space="preserve">OEI Act; </w:t>
      </w:r>
      <w:r w:rsidR="007F6AD3">
        <w:rPr>
          <w:rFonts w:asciiTheme="minorHAnsi" w:hAnsiTheme="minorHAnsi" w:cstheme="minorHAnsi"/>
          <w:color w:val="000000"/>
        </w:rPr>
        <w:t xml:space="preserve">and </w:t>
      </w:r>
    </w:p>
    <w:p w14:paraId="191971DF" w14:textId="77777777" w:rsidR="00FE225F" w:rsidRDefault="00FE225F" w:rsidP="00FE225F">
      <w:pPr>
        <w:pStyle w:val="ListParagraph"/>
        <w:numPr>
          <w:ilvl w:val="0"/>
          <w:numId w:val="17"/>
        </w:numPr>
        <w:rPr>
          <w:rFonts w:asciiTheme="minorHAnsi" w:hAnsiTheme="minorHAnsi" w:cstheme="minorHAnsi"/>
          <w:color w:val="000000"/>
        </w:rPr>
      </w:pPr>
      <w:r>
        <w:rPr>
          <w:rFonts w:asciiTheme="minorHAnsi" w:hAnsiTheme="minorHAnsi" w:cstheme="minorHAnsi"/>
          <w:color w:val="000000"/>
        </w:rPr>
        <w:t>To do anything incidental to or conducive to the performance of any of the above functions.</w:t>
      </w:r>
    </w:p>
    <w:p w14:paraId="003247D1" w14:textId="77777777" w:rsidR="00FE225F" w:rsidRDefault="00FE225F" w:rsidP="00FE225F">
      <w:pPr>
        <w:pStyle w:val="ListParagraph"/>
        <w:rPr>
          <w:rFonts w:asciiTheme="minorHAnsi" w:hAnsiTheme="minorHAnsi" w:cstheme="minorHAnsi"/>
          <w:color w:val="000000"/>
        </w:rPr>
      </w:pPr>
    </w:p>
    <w:p w14:paraId="23F9BB33" w14:textId="77777777" w:rsidR="00FE225F" w:rsidRDefault="00FE225F" w:rsidP="00FE225F">
      <w:pPr>
        <w:rPr>
          <w:rFonts w:asciiTheme="minorHAnsi" w:hAnsiTheme="minorHAnsi" w:cstheme="minorHAnsi"/>
          <w:color w:val="000000"/>
        </w:rPr>
      </w:pPr>
      <w:r>
        <w:rPr>
          <w:rFonts w:asciiTheme="minorHAnsi" w:hAnsiTheme="minorHAnsi" w:cstheme="minorHAnsi"/>
          <w:color w:val="000000"/>
        </w:rPr>
        <w:t xml:space="preserve">The functions of the Regulator may be performed within or outside Australia. The Regulator will share offices with NOPSEMA, NOPTA and the Registrar located in Perth and Melbourne. </w:t>
      </w:r>
    </w:p>
    <w:p w14:paraId="3E8F55B1" w14:textId="77777777" w:rsidR="00FE225F" w:rsidRDefault="00FE225F" w:rsidP="00FE225F">
      <w:pPr>
        <w:rPr>
          <w:rFonts w:asciiTheme="minorHAnsi" w:hAnsiTheme="minorHAnsi" w:cstheme="minorHAnsi"/>
          <w:color w:val="000000"/>
        </w:rPr>
      </w:pPr>
    </w:p>
    <w:p w14:paraId="1BD73813" w14:textId="77777777" w:rsidR="00FE225F" w:rsidRDefault="00FE225F" w:rsidP="00FE225F">
      <w:pPr>
        <w:rPr>
          <w:rFonts w:asciiTheme="minorHAnsi" w:hAnsiTheme="minorHAnsi" w:cstheme="minorHAnsi"/>
          <w:b/>
          <w:bCs/>
          <w:u w:val="single"/>
        </w:rPr>
      </w:pPr>
      <w:r>
        <w:rPr>
          <w:rFonts w:asciiTheme="minorHAnsi" w:hAnsiTheme="minorHAnsi" w:cstheme="minorHAnsi"/>
          <w:b/>
          <w:bCs/>
          <w:u w:val="single"/>
        </w:rPr>
        <w:t>Operational cost drivers</w:t>
      </w:r>
    </w:p>
    <w:p w14:paraId="2A8F0366" w14:textId="77777777" w:rsidR="00FE225F" w:rsidRDefault="00FE225F" w:rsidP="00FE225F">
      <w:pPr>
        <w:rPr>
          <w:rFonts w:asciiTheme="minorHAnsi" w:hAnsiTheme="minorHAnsi" w:cstheme="minorHAnsi"/>
        </w:rPr>
      </w:pPr>
    </w:p>
    <w:p w14:paraId="6AC02D70" w14:textId="6F548659" w:rsidR="00FE225F" w:rsidRDefault="00FE225F" w:rsidP="00FE225F">
      <w:pPr>
        <w:rPr>
          <w:rFonts w:asciiTheme="minorHAnsi" w:hAnsiTheme="minorHAnsi" w:cstheme="minorHAnsi"/>
        </w:rPr>
      </w:pPr>
      <w:r>
        <w:rPr>
          <w:rFonts w:asciiTheme="minorHAnsi" w:hAnsiTheme="minorHAnsi" w:cstheme="minorHAnsi"/>
        </w:rPr>
        <w:t xml:space="preserve">NOPSEMA is a Corporate Commonwealth Entity and has operated on a full cost recovery basis since 1 January 2005. NOPSEMA’s ability to effectively administer and discharge its functions as the Regulator under the OEI Act is underpinned by access to sufficient resources, capacity, and qualified personnel. In order to reduce regulatory costs while the offshore electricity infrastructure industry is becoming established, it is intended that the Regulator will utilise the specialist technical expertise and capability of NOPSEMA staff as needed during periods of peak workload and to support regulatory activities such as the assessment of regulatory applications. In addition to accessing specialist expertise where required, the Regulator will need to maintain core staffing to deliver its functions on an ongoing basis from commencement of the framework. Crucially this will involve provision of guidance and advice to the industry, government and broader stakeholders in relation to the requirements of the regime. </w:t>
      </w:r>
    </w:p>
    <w:p w14:paraId="699C13A7" w14:textId="77777777" w:rsidR="00FE225F" w:rsidRDefault="00FE225F" w:rsidP="00FE225F">
      <w:pPr>
        <w:rPr>
          <w:rFonts w:asciiTheme="minorHAnsi" w:hAnsiTheme="minorHAnsi" w:cstheme="minorHAnsi"/>
        </w:rPr>
      </w:pPr>
    </w:p>
    <w:p w14:paraId="23AAD213" w14:textId="77777777" w:rsidR="00FE225F" w:rsidRDefault="00FE225F" w:rsidP="00FE225F">
      <w:pPr>
        <w:rPr>
          <w:rFonts w:asciiTheme="minorHAnsi" w:hAnsiTheme="minorHAnsi" w:cstheme="minorHAnsi"/>
        </w:rPr>
      </w:pPr>
      <w:r>
        <w:rPr>
          <w:rFonts w:asciiTheme="minorHAnsi" w:hAnsiTheme="minorHAnsi" w:cstheme="minorHAnsi"/>
        </w:rPr>
        <w:t>Core staffing will be modified over time in response to industry activity levels and associated regulatory activities. Costs associated with core staffing and the utilisation of NOPSEMA staff to deliver the functions of the Regulator will be fully recovered through fees and levies collected under the OEI framework.</w:t>
      </w:r>
    </w:p>
    <w:p w14:paraId="6B49E5A9" w14:textId="77777777" w:rsidR="00FE225F" w:rsidRDefault="00FE225F" w:rsidP="00FE225F">
      <w:pPr>
        <w:rPr>
          <w:rFonts w:asciiTheme="minorHAnsi" w:hAnsiTheme="minorHAnsi" w:cstheme="minorHAnsi"/>
        </w:rPr>
      </w:pPr>
    </w:p>
    <w:p w14:paraId="0CFC7E88" w14:textId="2679F0D4" w:rsidR="00FE225F" w:rsidRDefault="00FE225F" w:rsidP="00FE225F">
      <w:pPr>
        <w:rPr>
          <w:rFonts w:asciiTheme="minorHAnsi" w:hAnsiTheme="minorHAnsi" w:cstheme="minorHAnsi"/>
        </w:rPr>
      </w:pPr>
      <w:r>
        <w:rPr>
          <w:rFonts w:asciiTheme="minorHAnsi" w:hAnsiTheme="minorHAnsi" w:cstheme="minorHAnsi"/>
        </w:rPr>
        <w:t>Importantly, there is distinct legislative separation between NOPSEMA’s functions, duties and cost recovery in relation to offshore petroleum and greenhouse gas storage and the functions, duties and cost recovery of the Regulator under the OEI Act. Government has directed that there is to be no cross</w:t>
      </w:r>
      <w:r w:rsidR="007F6AD3">
        <w:rPr>
          <w:rFonts w:asciiTheme="minorHAnsi" w:hAnsiTheme="minorHAnsi" w:cstheme="minorHAnsi"/>
        </w:rPr>
        <w:t>-</w:t>
      </w:r>
      <w:r>
        <w:rPr>
          <w:rFonts w:asciiTheme="minorHAnsi" w:hAnsiTheme="minorHAnsi" w:cstheme="minorHAnsi"/>
        </w:rPr>
        <w:t xml:space="preserve">subsidisation between NOPSEMA and the Regulator. </w:t>
      </w:r>
    </w:p>
    <w:p w14:paraId="46698241" w14:textId="2F18A9EB" w:rsidR="00FE225F" w:rsidRPr="00F0376F" w:rsidRDefault="00FE225F" w:rsidP="00FE225F">
      <w:pPr>
        <w:rPr>
          <w:rFonts w:asciiTheme="minorHAnsi" w:hAnsiTheme="minorHAnsi" w:cstheme="minorHAnsi"/>
        </w:rPr>
      </w:pPr>
      <w:r>
        <w:rPr>
          <w:rFonts w:asciiTheme="minorHAnsi" w:hAnsiTheme="minorHAnsi" w:cstheme="minorHAnsi"/>
        </w:rPr>
        <w:lastRenderedPageBreak/>
        <w:t xml:space="preserve">The Regulator is to be fully funded through the cost recovery fees and levies imposed under the </w:t>
      </w:r>
      <w:r w:rsidR="007F6AD3">
        <w:rPr>
          <w:rFonts w:asciiTheme="minorHAnsi" w:hAnsiTheme="minorHAnsi" w:cstheme="minorHAnsi"/>
        </w:rPr>
        <w:br/>
      </w:r>
      <w:r>
        <w:rPr>
          <w:rFonts w:asciiTheme="minorHAnsi" w:hAnsiTheme="minorHAnsi" w:cstheme="minorHAnsi"/>
        </w:rPr>
        <w:t xml:space="preserve">OEI legislation. The Regulator does not receive an annual departmental appropriation and does not have any other available funding streams. </w:t>
      </w:r>
    </w:p>
    <w:p w14:paraId="4212BD72" w14:textId="4F88DBCD" w:rsidR="00F0376F" w:rsidRPr="00F0376F" w:rsidRDefault="00C44099" w:rsidP="00F0376F">
      <w:pPr>
        <w:pStyle w:val="Heading2"/>
        <w:tabs>
          <w:tab w:val="clear" w:pos="576"/>
          <w:tab w:val="num" w:pos="709"/>
        </w:tabs>
        <w:ind w:left="709" w:hanging="709"/>
        <w:rPr>
          <w:rFonts w:asciiTheme="minorHAnsi" w:hAnsiTheme="minorHAnsi" w:cstheme="minorHAnsi"/>
          <w:i w:val="0"/>
          <w:iCs w:val="0"/>
        </w:rPr>
      </w:pPr>
      <w:bookmarkStart w:id="44" w:name="_Toc98772182"/>
      <w:r w:rsidRPr="00902AA6">
        <w:rPr>
          <w:rFonts w:asciiTheme="minorHAnsi" w:hAnsiTheme="minorHAnsi" w:cstheme="minorHAnsi"/>
          <w:i w:val="0"/>
          <w:iCs w:val="0"/>
        </w:rPr>
        <w:t>C</w:t>
      </w:r>
      <w:r>
        <w:rPr>
          <w:rFonts w:asciiTheme="minorHAnsi" w:hAnsiTheme="minorHAnsi" w:cstheme="minorHAnsi"/>
          <w:i w:val="0"/>
          <w:iCs w:val="0"/>
        </w:rPr>
        <w:t>ost Recovery Model</w:t>
      </w:r>
      <w:bookmarkEnd w:id="44"/>
    </w:p>
    <w:p w14:paraId="72869C34" w14:textId="77777777" w:rsidR="00F0376F" w:rsidRPr="00F2024B" w:rsidRDefault="00F0376F" w:rsidP="00F0376F">
      <w:pPr>
        <w:pStyle w:val="Heading3"/>
        <w:rPr>
          <w:i/>
          <w:iCs/>
        </w:rPr>
      </w:pPr>
      <w:bookmarkStart w:id="45" w:name="_Toc90968208"/>
      <w:bookmarkStart w:id="46" w:name="_Toc98772183"/>
      <w:r w:rsidRPr="00F2024B">
        <w:t>Outputs and business processes of the regulatory charging activity</w:t>
      </w:r>
      <w:bookmarkEnd w:id="45"/>
      <w:bookmarkEnd w:id="46"/>
      <w:r w:rsidRPr="00F2024B">
        <w:t xml:space="preserve"> </w:t>
      </w:r>
    </w:p>
    <w:p w14:paraId="35948862" w14:textId="22E71CE7" w:rsidR="00F0376F" w:rsidRDefault="00F0376F" w:rsidP="00F0376F">
      <w:pPr>
        <w:rPr>
          <w:rFonts w:asciiTheme="minorHAnsi" w:hAnsiTheme="minorHAnsi" w:cstheme="minorHAnsi"/>
        </w:rPr>
      </w:pPr>
      <w:r>
        <w:rPr>
          <w:rFonts w:asciiTheme="minorHAnsi" w:hAnsiTheme="minorHAnsi" w:cstheme="minorHAnsi"/>
        </w:rPr>
        <w:t>From 1 July 2022</w:t>
      </w:r>
      <w:r w:rsidRPr="00010A00">
        <w:rPr>
          <w:rFonts w:asciiTheme="minorHAnsi" w:hAnsiTheme="minorHAnsi" w:cstheme="minorHAnsi"/>
        </w:rPr>
        <w:t xml:space="preserve">, </w:t>
      </w:r>
      <w:r>
        <w:rPr>
          <w:rFonts w:asciiTheme="minorHAnsi" w:hAnsiTheme="minorHAnsi" w:cstheme="minorHAnsi"/>
        </w:rPr>
        <w:t>the Regulator</w:t>
      </w:r>
      <w:r w:rsidRPr="00010A00">
        <w:rPr>
          <w:rFonts w:asciiTheme="minorHAnsi" w:hAnsiTheme="minorHAnsi" w:cstheme="minorHAnsi"/>
        </w:rPr>
        <w:t xml:space="preserve"> will have </w:t>
      </w:r>
      <w:r>
        <w:rPr>
          <w:rFonts w:asciiTheme="minorHAnsi" w:hAnsiTheme="minorHAnsi" w:cstheme="minorHAnsi"/>
        </w:rPr>
        <w:t>4</w:t>
      </w:r>
      <w:r w:rsidR="00DD7ECF">
        <w:rPr>
          <w:rFonts w:asciiTheme="minorHAnsi" w:hAnsiTheme="minorHAnsi" w:cstheme="minorHAnsi"/>
        </w:rPr>
        <w:t>.0</w:t>
      </w:r>
      <w:r>
        <w:rPr>
          <w:rFonts w:asciiTheme="minorHAnsi" w:hAnsiTheme="minorHAnsi" w:cstheme="minorHAnsi"/>
        </w:rPr>
        <w:t xml:space="preserve"> FTE</w:t>
      </w:r>
      <w:r w:rsidRPr="00010A00">
        <w:rPr>
          <w:rFonts w:asciiTheme="minorHAnsi" w:hAnsiTheme="minorHAnsi" w:cstheme="minorHAnsi"/>
        </w:rPr>
        <w:t xml:space="preserve"> staff (including contractors</w:t>
      </w:r>
      <w:r>
        <w:rPr>
          <w:rFonts w:asciiTheme="minorHAnsi" w:hAnsiTheme="minorHAnsi" w:cstheme="minorHAnsi"/>
        </w:rPr>
        <w:t>)</w:t>
      </w:r>
      <w:r w:rsidRPr="00010A00">
        <w:rPr>
          <w:rFonts w:asciiTheme="minorHAnsi" w:hAnsiTheme="minorHAnsi" w:cstheme="minorHAnsi"/>
        </w:rPr>
        <w:t xml:space="preserve"> employed to deliver its legislated functions</w:t>
      </w:r>
      <w:r>
        <w:rPr>
          <w:rFonts w:asciiTheme="minorHAnsi" w:hAnsiTheme="minorHAnsi" w:cstheme="minorHAnsi"/>
        </w:rPr>
        <w:t xml:space="preserve"> under the OEI Act</w:t>
      </w:r>
      <w:r w:rsidRPr="00010A00">
        <w:rPr>
          <w:rFonts w:asciiTheme="minorHAnsi" w:hAnsiTheme="minorHAnsi" w:cstheme="minorHAnsi"/>
        </w:rPr>
        <w:t>:</w:t>
      </w:r>
    </w:p>
    <w:p w14:paraId="186CB9CA" w14:textId="77777777" w:rsidR="005A4E62" w:rsidRPr="00010A00" w:rsidRDefault="005A4E62" w:rsidP="00F0376F">
      <w:pPr>
        <w:rPr>
          <w:rFonts w:asciiTheme="minorHAnsi" w:hAnsiTheme="minorHAnsi" w:cstheme="minorHAnsi"/>
        </w:rPr>
      </w:pPr>
    </w:p>
    <w:p w14:paraId="1E40F81D" w14:textId="77777777" w:rsidR="00F0376F" w:rsidRPr="00010A00" w:rsidRDefault="00F0376F" w:rsidP="00F0376F">
      <w:pPr>
        <w:pStyle w:val="ListParagraph"/>
        <w:numPr>
          <w:ilvl w:val="0"/>
          <w:numId w:val="11"/>
        </w:numPr>
        <w:rPr>
          <w:rFonts w:asciiTheme="minorHAnsi" w:hAnsiTheme="minorHAnsi" w:cstheme="minorHAnsi"/>
        </w:rPr>
      </w:pPr>
      <w:r>
        <w:rPr>
          <w:rFonts w:asciiTheme="minorHAnsi" w:hAnsiTheme="minorHAnsi" w:cstheme="minorHAnsi"/>
        </w:rPr>
        <w:t>One full-time EL1 Team Lead (1.0 FTE)</w:t>
      </w:r>
    </w:p>
    <w:p w14:paraId="3D7B2237" w14:textId="77777777" w:rsidR="00F0376F" w:rsidRPr="00AE016A" w:rsidRDefault="00F0376F" w:rsidP="00F0376F">
      <w:pPr>
        <w:pStyle w:val="ListParagraph"/>
        <w:numPr>
          <w:ilvl w:val="0"/>
          <w:numId w:val="11"/>
        </w:numPr>
        <w:rPr>
          <w:rFonts w:asciiTheme="minorHAnsi" w:hAnsiTheme="minorHAnsi" w:cstheme="minorHAnsi"/>
        </w:rPr>
      </w:pPr>
      <w:r>
        <w:rPr>
          <w:rFonts w:asciiTheme="minorHAnsi" w:hAnsiTheme="minorHAnsi" w:cstheme="minorHAnsi"/>
        </w:rPr>
        <w:t>Three</w:t>
      </w:r>
      <w:r w:rsidRPr="001D3465">
        <w:rPr>
          <w:rFonts w:asciiTheme="minorHAnsi" w:hAnsiTheme="minorHAnsi" w:cstheme="minorHAnsi"/>
        </w:rPr>
        <w:t xml:space="preserve"> </w:t>
      </w:r>
      <w:r>
        <w:rPr>
          <w:rFonts w:asciiTheme="minorHAnsi" w:hAnsiTheme="minorHAnsi" w:cstheme="minorHAnsi"/>
        </w:rPr>
        <w:t>full</w:t>
      </w:r>
      <w:r w:rsidRPr="001D3465">
        <w:rPr>
          <w:rFonts w:asciiTheme="minorHAnsi" w:hAnsiTheme="minorHAnsi" w:cstheme="minorHAnsi"/>
        </w:rPr>
        <w:t xml:space="preserve">-time </w:t>
      </w:r>
      <w:r>
        <w:rPr>
          <w:rFonts w:asciiTheme="minorHAnsi" w:hAnsiTheme="minorHAnsi" w:cstheme="minorHAnsi"/>
        </w:rPr>
        <w:t>APS6 Senior Advisors</w:t>
      </w:r>
      <w:r w:rsidRPr="001D3465">
        <w:rPr>
          <w:rFonts w:asciiTheme="minorHAnsi" w:hAnsiTheme="minorHAnsi" w:cstheme="minorHAnsi"/>
        </w:rPr>
        <w:t xml:space="preserve"> </w:t>
      </w:r>
      <w:r>
        <w:rPr>
          <w:rFonts w:asciiTheme="minorHAnsi" w:hAnsiTheme="minorHAnsi" w:cstheme="minorHAnsi"/>
        </w:rPr>
        <w:t>(3.0 FTE)</w:t>
      </w:r>
    </w:p>
    <w:p w14:paraId="37DC5BDE" w14:textId="77777777" w:rsidR="00F0376F" w:rsidRDefault="00F0376F" w:rsidP="00F0376F">
      <w:pPr>
        <w:pStyle w:val="ListParagraph"/>
        <w:rPr>
          <w:rFonts w:asciiTheme="minorHAnsi" w:hAnsiTheme="minorHAnsi" w:cstheme="minorHAnsi"/>
        </w:rPr>
      </w:pPr>
    </w:p>
    <w:p w14:paraId="1BBD1CDB" w14:textId="47FBC450" w:rsidR="00F0376F" w:rsidRDefault="00F0376F" w:rsidP="00F0376F">
      <w:pPr>
        <w:rPr>
          <w:rFonts w:asciiTheme="minorHAnsi" w:hAnsiTheme="minorHAnsi" w:cstheme="minorHAnsi"/>
        </w:rPr>
      </w:pPr>
      <w:r>
        <w:rPr>
          <w:rFonts w:asciiTheme="minorHAnsi" w:hAnsiTheme="minorHAnsi" w:cstheme="minorHAnsi"/>
        </w:rPr>
        <w:t>From 1 January 2023</w:t>
      </w:r>
      <w:r w:rsidRPr="00010A00">
        <w:rPr>
          <w:rFonts w:asciiTheme="minorHAnsi" w:hAnsiTheme="minorHAnsi" w:cstheme="minorHAnsi"/>
        </w:rPr>
        <w:t xml:space="preserve">, </w:t>
      </w:r>
      <w:r>
        <w:rPr>
          <w:rFonts w:asciiTheme="minorHAnsi" w:hAnsiTheme="minorHAnsi" w:cstheme="minorHAnsi"/>
        </w:rPr>
        <w:t>the Regulator</w:t>
      </w:r>
      <w:r w:rsidRPr="00010A00">
        <w:rPr>
          <w:rFonts w:asciiTheme="minorHAnsi" w:hAnsiTheme="minorHAnsi" w:cstheme="minorHAnsi"/>
        </w:rPr>
        <w:t xml:space="preserve"> will have </w:t>
      </w:r>
      <w:r>
        <w:rPr>
          <w:rFonts w:asciiTheme="minorHAnsi" w:hAnsiTheme="minorHAnsi" w:cstheme="minorHAnsi"/>
        </w:rPr>
        <w:t>5</w:t>
      </w:r>
      <w:r w:rsidR="000F3E02">
        <w:rPr>
          <w:rFonts w:asciiTheme="minorHAnsi" w:hAnsiTheme="minorHAnsi" w:cstheme="minorHAnsi"/>
        </w:rPr>
        <w:t>.0</w:t>
      </w:r>
      <w:r w:rsidRPr="00010A00">
        <w:rPr>
          <w:rFonts w:asciiTheme="minorHAnsi" w:hAnsiTheme="minorHAnsi" w:cstheme="minorHAnsi"/>
        </w:rPr>
        <w:t xml:space="preserve"> </w:t>
      </w:r>
      <w:r w:rsidR="009D3DF3">
        <w:rPr>
          <w:rFonts w:asciiTheme="minorHAnsi" w:hAnsiTheme="minorHAnsi" w:cstheme="minorHAnsi"/>
        </w:rPr>
        <w:t>FTE</w:t>
      </w:r>
      <w:r w:rsidRPr="00010A00">
        <w:rPr>
          <w:rFonts w:asciiTheme="minorHAnsi" w:hAnsiTheme="minorHAnsi" w:cstheme="minorHAnsi"/>
        </w:rPr>
        <w:t xml:space="preserve"> staff (including contractors</w:t>
      </w:r>
      <w:r>
        <w:rPr>
          <w:rFonts w:asciiTheme="minorHAnsi" w:hAnsiTheme="minorHAnsi" w:cstheme="minorHAnsi"/>
        </w:rPr>
        <w:t>)</w:t>
      </w:r>
      <w:r w:rsidRPr="00010A00">
        <w:rPr>
          <w:rFonts w:asciiTheme="minorHAnsi" w:hAnsiTheme="minorHAnsi" w:cstheme="minorHAnsi"/>
        </w:rPr>
        <w:t xml:space="preserve"> employed to deliver its legislated functions</w:t>
      </w:r>
      <w:r>
        <w:rPr>
          <w:rFonts w:asciiTheme="minorHAnsi" w:hAnsiTheme="minorHAnsi" w:cstheme="minorHAnsi"/>
        </w:rPr>
        <w:t xml:space="preserve"> under the OEI Act</w:t>
      </w:r>
      <w:r w:rsidRPr="00010A00">
        <w:rPr>
          <w:rFonts w:asciiTheme="minorHAnsi" w:hAnsiTheme="minorHAnsi" w:cstheme="minorHAnsi"/>
        </w:rPr>
        <w:t>:</w:t>
      </w:r>
    </w:p>
    <w:p w14:paraId="5768F61B" w14:textId="77777777" w:rsidR="005A4E62" w:rsidRPr="00F2102C" w:rsidRDefault="005A4E62" w:rsidP="00F0376F">
      <w:pPr>
        <w:rPr>
          <w:rFonts w:asciiTheme="minorHAnsi" w:hAnsiTheme="minorHAnsi" w:cstheme="minorHAnsi"/>
        </w:rPr>
      </w:pPr>
    </w:p>
    <w:p w14:paraId="4108C2CB" w14:textId="77777777" w:rsidR="00F0376F" w:rsidRDefault="00F0376F" w:rsidP="00F0376F">
      <w:pPr>
        <w:pStyle w:val="ListParagraph"/>
        <w:numPr>
          <w:ilvl w:val="0"/>
          <w:numId w:val="19"/>
        </w:numPr>
        <w:ind w:left="709" w:hanging="283"/>
        <w:rPr>
          <w:rFonts w:asciiTheme="minorHAnsi" w:hAnsiTheme="minorHAnsi" w:cstheme="minorHAnsi"/>
        </w:rPr>
      </w:pPr>
      <w:r>
        <w:rPr>
          <w:rFonts w:asciiTheme="minorHAnsi" w:hAnsiTheme="minorHAnsi" w:cstheme="minorHAnsi"/>
        </w:rPr>
        <w:t>One full-time EL2 Team Manager (1.0 FTE)</w:t>
      </w:r>
    </w:p>
    <w:p w14:paraId="0825B94B" w14:textId="77777777" w:rsidR="00F0376F" w:rsidRDefault="00F0376F" w:rsidP="00F0376F">
      <w:pPr>
        <w:pStyle w:val="ListParagraph"/>
        <w:numPr>
          <w:ilvl w:val="0"/>
          <w:numId w:val="19"/>
        </w:numPr>
        <w:ind w:left="709" w:hanging="283"/>
        <w:rPr>
          <w:rFonts w:asciiTheme="minorHAnsi" w:hAnsiTheme="minorHAnsi" w:cstheme="minorHAnsi"/>
        </w:rPr>
      </w:pPr>
      <w:r>
        <w:rPr>
          <w:rFonts w:asciiTheme="minorHAnsi" w:hAnsiTheme="minorHAnsi" w:cstheme="minorHAnsi"/>
        </w:rPr>
        <w:t>One full-time EL1 Regulatory Specialist (1.0 FTE)</w:t>
      </w:r>
    </w:p>
    <w:p w14:paraId="2A423A07" w14:textId="77777777" w:rsidR="00F0376F" w:rsidRDefault="00F0376F" w:rsidP="00F0376F">
      <w:pPr>
        <w:pStyle w:val="ListParagraph"/>
        <w:numPr>
          <w:ilvl w:val="0"/>
          <w:numId w:val="19"/>
        </w:numPr>
        <w:ind w:left="709" w:hanging="283"/>
        <w:rPr>
          <w:rFonts w:asciiTheme="minorHAnsi" w:hAnsiTheme="minorHAnsi" w:cstheme="minorHAnsi"/>
        </w:rPr>
      </w:pPr>
      <w:r>
        <w:rPr>
          <w:rFonts w:asciiTheme="minorHAnsi" w:hAnsiTheme="minorHAnsi" w:cstheme="minorHAnsi"/>
        </w:rPr>
        <w:t>Three</w:t>
      </w:r>
      <w:r w:rsidRPr="001D3465">
        <w:rPr>
          <w:rFonts w:asciiTheme="minorHAnsi" w:hAnsiTheme="minorHAnsi" w:cstheme="minorHAnsi"/>
        </w:rPr>
        <w:t xml:space="preserve"> </w:t>
      </w:r>
      <w:r>
        <w:rPr>
          <w:rFonts w:asciiTheme="minorHAnsi" w:hAnsiTheme="minorHAnsi" w:cstheme="minorHAnsi"/>
        </w:rPr>
        <w:t>full</w:t>
      </w:r>
      <w:r w:rsidRPr="001D3465">
        <w:rPr>
          <w:rFonts w:asciiTheme="minorHAnsi" w:hAnsiTheme="minorHAnsi" w:cstheme="minorHAnsi"/>
        </w:rPr>
        <w:t xml:space="preserve">-time </w:t>
      </w:r>
      <w:r>
        <w:rPr>
          <w:rFonts w:asciiTheme="minorHAnsi" w:hAnsiTheme="minorHAnsi" w:cstheme="minorHAnsi"/>
        </w:rPr>
        <w:t>APS6 Senior Advisors</w:t>
      </w:r>
      <w:r w:rsidRPr="001D3465">
        <w:rPr>
          <w:rFonts w:asciiTheme="minorHAnsi" w:hAnsiTheme="minorHAnsi" w:cstheme="minorHAnsi"/>
        </w:rPr>
        <w:t xml:space="preserve"> </w:t>
      </w:r>
      <w:r>
        <w:rPr>
          <w:rFonts w:asciiTheme="minorHAnsi" w:hAnsiTheme="minorHAnsi" w:cstheme="minorHAnsi"/>
        </w:rPr>
        <w:t>(3.0 FTE)</w:t>
      </w:r>
    </w:p>
    <w:p w14:paraId="49B8F8D5" w14:textId="77777777" w:rsidR="00F0376F" w:rsidRDefault="00F0376F" w:rsidP="00F0376F">
      <w:pPr>
        <w:rPr>
          <w:rFonts w:asciiTheme="minorHAnsi" w:hAnsiTheme="minorHAnsi" w:cstheme="minorHAnsi"/>
        </w:rPr>
      </w:pPr>
    </w:p>
    <w:p w14:paraId="582ED87F" w14:textId="46429018" w:rsidR="00F0376F" w:rsidRDefault="00F0376F" w:rsidP="00F0376F">
      <w:pPr>
        <w:rPr>
          <w:rFonts w:asciiTheme="minorHAnsi" w:hAnsiTheme="minorHAnsi" w:cstheme="minorHAnsi"/>
        </w:rPr>
      </w:pPr>
      <w:r>
        <w:rPr>
          <w:rFonts w:asciiTheme="minorHAnsi" w:hAnsiTheme="minorHAnsi" w:cstheme="minorHAnsi"/>
        </w:rPr>
        <w:t>From 1 January 2024</w:t>
      </w:r>
      <w:r w:rsidRPr="00010A00">
        <w:rPr>
          <w:rFonts w:asciiTheme="minorHAnsi" w:hAnsiTheme="minorHAnsi" w:cstheme="minorHAnsi"/>
        </w:rPr>
        <w:t xml:space="preserve">, </w:t>
      </w:r>
      <w:r>
        <w:rPr>
          <w:rFonts w:asciiTheme="minorHAnsi" w:hAnsiTheme="minorHAnsi" w:cstheme="minorHAnsi"/>
        </w:rPr>
        <w:t>the Regulator</w:t>
      </w:r>
      <w:r w:rsidRPr="00010A00">
        <w:rPr>
          <w:rFonts w:asciiTheme="minorHAnsi" w:hAnsiTheme="minorHAnsi" w:cstheme="minorHAnsi"/>
        </w:rPr>
        <w:t xml:space="preserve"> will have </w:t>
      </w:r>
      <w:r>
        <w:rPr>
          <w:rFonts w:asciiTheme="minorHAnsi" w:hAnsiTheme="minorHAnsi" w:cstheme="minorHAnsi"/>
        </w:rPr>
        <w:t>8</w:t>
      </w:r>
      <w:r w:rsidR="000F3E02">
        <w:rPr>
          <w:rFonts w:asciiTheme="minorHAnsi" w:hAnsiTheme="minorHAnsi" w:cstheme="minorHAnsi"/>
        </w:rPr>
        <w:t>.0</w:t>
      </w:r>
      <w:r w:rsidRPr="00010A00">
        <w:rPr>
          <w:rFonts w:asciiTheme="minorHAnsi" w:hAnsiTheme="minorHAnsi" w:cstheme="minorHAnsi"/>
        </w:rPr>
        <w:t xml:space="preserve"> F</w:t>
      </w:r>
      <w:r w:rsidR="009D3DF3">
        <w:rPr>
          <w:rFonts w:asciiTheme="minorHAnsi" w:hAnsiTheme="minorHAnsi" w:cstheme="minorHAnsi"/>
        </w:rPr>
        <w:t>TE</w:t>
      </w:r>
      <w:r w:rsidRPr="00010A00">
        <w:rPr>
          <w:rFonts w:asciiTheme="minorHAnsi" w:hAnsiTheme="minorHAnsi" w:cstheme="minorHAnsi"/>
        </w:rPr>
        <w:t xml:space="preserve"> staff (including contractors</w:t>
      </w:r>
      <w:r>
        <w:rPr>
          <w:rFonts w:asciiTheme="minorHAnsi" w:hAnsiTheme="minorHAnsi" w:cstheme="minorHAnsi"/>
        </w:rPr>
        <w:t>)</w:t>
      </w:r>
      <w:r w:rsidRPr="00010A00">
        <w:rPr>
          <w:rFonts w:asciiTheme="minorHAnsi" w:hAnsiTheme="minorHAnsi" w:cstheme="minorHAnsi"/>
        </w:rPr>
        <w:t xml:space="preserve"> employed to deliver its legislated functions</w:t>
      </w:r>
      <w:r>
        <w:rPr>
          <w:rFonts w:asciiTheme="minorHAnsi" w:hAnsiTheme="minorHAnsi" w:cstheme="minorHAnsi"/>
        </w:rPr>
        <w:t xml:space="preserve"> under the OEI Act</w:t>
      </w:r>
      <w:r w:rsidRPr="00010A00">
        <w:rPr>
          <w:rFonts w:asciiTheme="minorHAnsi" w:hAnsiTheme="minorHAnsi" w:cstheme="minorHAnsi"/>
        </w:rPr>
        <w:t>:</w:t>
      </w:r>
    </w:p>
    <w:p w14:paraId="1B81C6A7" w14:textId="77777777" w:rsidR="005A4E62" w:rsidRDefault="005A4E62" w:rsidP="00F0376F">
      <w:pPr>
        <w:rPr>
          <w:rFonts w:asciiTheme="minorHAnsi" w:hAnsiTheme="minorHAnsi" w:cstheme="minorHAnsi"/>
        </w:rPr>
      </w:pPr>
    </w:p>
    <w:p w14:paraId="1834672A" w14:textId="77777777" w:rsidR="00F0376F" w:rsidRDefault="00F0376F" w:rsidP="00F0376F">
      <w:pPr>
        <w:pStyle w:val="ListParagraph"/>
        <w:numPr>
          <w:ilvl w:val="0"/>
          <w:numId w:val="21"/>
        </w:numPr>
        <w:ind w:left="709" w:hanging="283"/>
        <w:rPr>
          <w:rFonts w:asciiTheme="minorHAnsi" w:hAnsiTheme="minorHAnsi" w:cstheme="minorHAnsi"/>
        </w:rPr>
      </w:pPr>
      <w:r>
        <w:rPr>
          <w:rFonts w:asciiTheme="minorHAnsi" w:hAnsiTheme="minorHAnsi" w:cstheme="minorHAnsi"/>
        </w:rPr>
        <w:t>One full-time EL2 Team Manager (1.0 FTE)</w:t>
      </w:r>
    </w:p>
    <w:p w14:paraId="2D6686BB" w14:textId="77777777" w:rsidR="00F0376F" w:rsidRDefault="00F0376F" w:rsidP="00F0376F">
      <w:pPr>
        <w:pStyle w:val="ListParagraph"/>
        <w:numPr>
          <w:ilvl w:val="0"/>
          <w:numId w:val="21"/>
        </w:numPr>
        <w:ind w:left="709" w:hanging="283"/>
        <w:rPr>
          <w:rFonts w:asciiTheme="minorHAnsi" w:hAnsiTheme="minorHAnsi" w:cstheme="minorHAnsi"/>
        </w:rPr>
      </w:pPr>
      <w:r>
        <w:rPr>
          <w:rFonts w:asciiTheme="minorHAnsi" w:hAnsiTheme="minorHAnsi" w:cstheme="minorHAnsi"/>
        </w:rPr>
        <w:t>Two full-time EL1 Regulatory Specialists (2.0 FTE)</w:t>
      </w:r>
    </w:p>
    <w:p w14:paraId="514B90EB" w14:textId="77777777" w:rsidR="00F0376F" w:rsidRDefault="00F0376F" w:rsidP="00F0376F">
      <w:pPr>
        <w:pStyle w:val="ListParagraph"/>
        <w:numPr>
          <w:ilvl w:val="0"/>
          <w:numId w:val="21"/>
        </w:numPr>
        <w:ind w:left="709" w:hanging="283"/>
        <w:rPr>
          <w:rFonts w:asciiTheme="minorHAnsi" w:hAnsiTheme="minorHAnsi" w:cstheme="minorHAnsi"/>
        </w:rPr>
      </w:pPr>
      <w:r>
        <w:rPr>
          <w:rFonts w:asciiTheme="minorHAnsi" w:hAnsiTheme="minorHAnsi" w:cstheme="minorHAnsi"/>
        </w:rPr>
        <w:t>Four full</w:t>
      </w:r>
      <w:r w:rsidRPr="001D3465">
        <w:rPr>
          <w:rFonts w:asciiTheme="minorHAnsi" w:hAnsiTheme="minorHAnsi" w:cstheme="minorHAnsi"/>
        </w:rPr>
        <w:t xml:space="preserve">-time </w:t>
      </w:r>
      <w:r>
        <w:rPr>
          <w:rFonts w:asciiTheme="minorHAnsi" w:hAnsiTheme="minorHAnsi" w:cstheme="minorHAnsi"/>
        </w:rPr>
        <w:t>APS6 Senior Advisors</w:t>
      </w:r>
      <w:r w:rsidRPr="001D3465">
        <w:rPr>
          <w:rFonts w:asciiTheme="minorHAnsi" w:hAnsiTheme="minorHAnsi" w:cstheme="minorHAnsi"/>
        </w:rPr>
        <w:t xml:space="preserve"> </w:t>
      </w:r>
      <w:r>
        <w:rPr>
          <w:rFonts w:asciiTheme="minorHAnsi" w:hAnsiTheme="minorHAnsi" w:cstheme="minorHAnsi"/>
        </w:rPr>
        <w:t>(4.0 FTE)</w:t>
      </w:r>
    </w:p>
    <w:p w14:paraId="5B03712B" w14:textId="77777777" w:rsidR="00F0376F" w:rsidRDefault="00F0376F" w:rsidP="00F0376F">
      <w:pPr>
        <w:pStyle w:val="ListParagraph"/>
        <w:numPr>
          <w:ilvl w:val="0"/>
          <w:numId w:val="21"/>
        </w:numPr>
        <w:ind w:left="709" w:hanging="283"/>
        <w:rPr>
          <w:rFonts w:asciiTheme="minorHAnsi" w:hAnsiTheme="minorHAnsi" w:cstheme="minorHAnsi"/>
        </w:rPr>
      </w:pPr>
      <w:r>
        <w:rPr>
          <w:rFonts w:asciiTheme="minorHAnsi" w:hAnsiTheme="minorHAnsi" w:cstheme="minorHAnsi"/>
        </w:rPr>
        <w:t>One full-time APS4 Regulatory Assistant (1.0 FTE)</w:t>
      </w:r>
    </w:p>
    <w:p w14:paraId="2E196ABE" w14:textId="77777777" w:rsidR="00F0376F" w:rsidRDefault="00F0376F" w:rsidP="00F0376F">
      <w:pPr>
        <w:rPr>
          <w:rFonts w:asciiTheme="minorHAnsi" w:hAnsiTheme="minorHAnsi" w:cstheme="minorHAnsi"/>
        </w:rPr>
      </w:pPr>
    </w:p>
    <w:p w14:paraId="2020D8FC" w14:textId="5CAEAA3E" w:rsidR="00F0376F" w:rsidRDefault="00F0376F" w:rsidP="00F0376F">
      <w:pPr>
        <w:rPr>
          <w:rFonts w:asciiTheme="minorHAnsi" w:hAnsiTheme="minorHAnsi" w:cstheme="minorHAnsi"/>
        </w:rPr>
      </w:pPr>
      <w:r w:rsidRPr="00010A00">
        <w:rPr>
          <w:rFonts w:asciiTheme="minorHAnsi" w:hAnsiTheme="minorHAnsi" w:cstheme="minorHAnsi"/>
        </w:rPr>
        <w:t xml:space="preserve">These teams </w:t>
      </w:r>
      <w:r>
        <w:rPr>
          <w:rFonts w:asciiTheme="minorHAnsi" w:hAnsiTheme="minorHAnsi" w:cstheme="minorHAnsi"/>
        </w:rPr>
        <w:t xml:space="preserve">will be </w:t>
      </w:r>
      <w:r w:rsidRPr="00010A00">
        <w:rPr>
          <w:rFonts w:asciiTheme="minorHAnsi" w:hAnsiTheme="minorHAnsi" w:cstheme="minorHAnsi"/>
        </w:rPr>
        <w:t xml:space="preserve">supported by: </w:t>
      </w:r>
    </w:p>
    <w:p w14:paraId="33C5E17E" w14:textId="77777777" w:rsidR="005A4E62" w:rsidRPr="00010A00" w:rsidRDefault="005A4E62" w:rsidP="00F0376F">
      <w:pPr>
        <w:rPr>
          <w:rFonts w:asciiTheme="minorHAnsi" w:hAnsiTheme="minorHAnsi" w:cstheme="minorHAnsi"/>
        </w:rPr>
      </w:pPr>
    </w:p>
    <w:p w14:paraId="27310CD9" w14:textId="77777777" w:rsidR="00F0376F" w:rsidRPr="00C06E96" w:rsidRDefault="00F0376F" w:rsidP="009D3DF3">
      <w:pPr>
        <w:pStyle w:val="ListParagraph"/>
        <w:numPr>
          <w:ilvl w:val="0"/>
          <w:numId w:val="20"/>
        </w:numPr>
        <w:ind w:left="709"/>
        <w:rPr>
          <w:rFonts w:asciiTheme="minorHAnsi" w:hAnsiTheme="minorHAnsi" w:cstheme="minorHAnsi"/>
        </w:rPr>
      </w:pPr>
      <w:bookmarkStart w:id="47" w:name="_Hlk89853337"/>
      <w:r w:rsidRPr="00C06E96">
        <w:rPr>
          <w:rFonts w:asciiTheme="minorHAnsi" w:hAnsiTheme="minorHAnsi" w:cstheme="minorHAnsi"/>
        </w:rPr>
        <w:t xml:space="preserve">Information Technology Team (0.4 FTE) </w:t>
      </w:r>
    </w:p>
    <w:p w14:paraId="1FC69762" w14:textId="77777777" w:rsidR="00F0376F" w:rsidRPr="00C06E96" w:rsidRDefault="00F0376F" w:rsidP="009D3DF3">
      <w:pPr>
        <w:pStyle w:val="ListParagraph"/>
        <w:numPr>
          <w:ilvl w:val="0"/>
          <w:numId w:val="20"/>
        </w:numPr>
        <w:ind w:left="709"/>
        <w:rPr>
          <w:rFonts w:asciiTheme="minorHAnsi" w:hAnsiTheme="minorHAnsi" w:cstheme="minorHAnsi"/>
        </w:rPr>
      </w:pPr>
      <w:r w:rsidRPr="00C06E96">
        <w:rPr>
          <w:rFonts w:asciiTheme="minorHAnsi" w:hAnsiTheme="minorHAnsi" w:cstheme="minorHAnsi"/>
        </w:rPr>
        <w:t>Legal and Risk Team (0.3 FTE)</w:t>
      </w:r>
    </w:p>
    <w:p w14:paraId="20AA4712" w14:textId="77777777" w:rsidR="00F0376F" w:rsidRPr="00C06E96" w:rsidRDefault="00F0376F" w:rsidP="009D3DF3">
      <w:pPr>
        <w:pStyle w:val="ListParagraph"/>
        <w:numPr>
          <w:ilvl w:val="0"/>
          <w:numId w:val="20"/>
        </w:numPr>
        <w:ind w:left="709"/>
        <w:rPr>
          <w:rFonts w:asciiTheme="minorHAnsi" w:hAnsiTheme="minorHAnsi" w:cstheme="minorHAnsi"/>
        </w:rPr>
      </w:pPr>
      <w:r w:rsidRPr="00C06E96">
        <w:rPr>
          <w:rFonts w:asciiTheme="minorHAnsi" w:hAnsiTheme="minorHAnsi" w:cstheme="minorHAnsi"/>
        </w:rPr>
        <w:t xml:space="preserve">Office of the Chief Executive (0.4 FTE) </w:t>
      </w:r>
    </w:p>
    <w:p w14:paraId="3F75476B" w14:textId="77777777" w:rsidR="00F0376F" w:rsidRPr="00C06E96" w:rsidRDefault="00F0376F" w:rsidP="009D3DF3">
      <w:pPr>
        <w:pStyle w:val="ListParagraph"/>
        <w:numPr>
          <w:ilvl w:val="0"/>
          <w:numId w:val="20"/>
        </w:numPr>
        <w:ind w:left="709"/>
        <w:rPr>
          <w:rFonts w:asciiTheme="minorHAnsi" w:hAnsiTheme="minorHAnsi" w:cstheme="minorHAnsi"/>
        </w:rPr>
      </w:pPr>
      <w:r w:rsidRPr="00C06E96">
        <w:rPr>
          <w:rFonts w:asciiTheme="minorHAnsi" w:hAnsiTheme="minorHAnsi" w:cstheme="minorHAnsi"/>
        </w:rPr>
        <w:t xml:space="preserve">Finance and Human Resources Teams (0.6 FTE) </w:t>
      </w:r>
    </w:p>
    <w:bookmarkEnd w:id="47"/>
    <w:p w14:paraId="1141B176" w14:textId="77777777" w:rsidR="00F0376F" w:rsidRPr="008F5921" w:rsidRDefault="00F0376F" w:rsidP="00F0376F">
      <w:pPr>
        <w:rPr>
          <w:rFonts w:asciiTheme="minorHAnsi" w:hAnsiTheme="minorHAnsi" w:cstheme="minorHAnsi"/>
        </w:rPr>
      </w:pPr>
    </w:p>
    <w:p w14:paraId="2041AA53" w14:textId="77777777" w:rsidR="00F0376F" w:rsidRPr="008F5921" w:rsidRDefault="00F0376F" w:rsidP="00F0376F">
      <w:pPr>
        <w:rPr>
          <w:rFonts w:asciiTheme="minorHAnsi" w:hAnsiTheme="minorHAnsi" w:cstheme="minorHAnsi"/>
        </w:rPr>
      </w:pPr>
      <w:r w:rsidRPr="008F5921">
        <w:rPr>
          <w:rFonts w:asciiTheme="minorHAnsi" w:hAnsiTheme="minorHAnsi" w:cstheme="minorHAnsi"/>
        </w:rPr>
        <w:t xml:space="preserve">The costs of the above functions are allocated across the Regulator’s OEI activities based on estimations of effort. </w:t>
      </w:r>
    </w:p>
    <w:p w14:paraId="122FFD4F" w14:textId="77777777" w:rsidR="00F0376F" w:rsidRPr="008F5921" w:rsidRDefault="00F0376F" w:rsidP="00F0376F">
      <w:pPr>
        <w:rPr>
          <w:rFonts w:asciiTheme="minorHAnsi" w:hAnsiTheme="minorHAnsi" w:cstheme="minorHAnsi"/>
        </w:rPr>
      </w:pPr>
    </w:p>
    <w:p w14:paraId="56157A4B" w14:textId="77777777" w:rsidR="00F0376F" w:rsidRPr="00747553" w:rsidRDefault="00F0376F" w:rsidP="00F0376F">
      <w:pPr>
        <w:rPr>
          <w:rFonts w:asciiTheme="minorHAnsi" w:hAnsiTheme="minorHAnsi" w:cstheme="minorHAnsi"/>
          <w:highlight w:val="yellow"/>
        </w:rPr>
      </w:pPr>
    </w:p>
    <w:p w14:paraId="11016ABD" w14:textId="77777777" w:rsidR="00F0376F" w:rsidRPr="004029F0" w:rsidRDefault="00F0376F" w:rsidP="00F0376F">
      <w:pPr>
        <w:rPr>
          <w:rFonts w:asciiTheme="minorHAnsi" w:hAnsiTheme="minorHAnsi" w:cstheme="minorHAnsi"/>
        </w:rPr>
      </w:pPr>
    </w:p>
    <w:p w14:paraId="7E687FD1" w14:textId="77777777" w:rsidR="00F0376F" w:rsidRPr="00D212A5" w:rsidRDefault="00F0376F" w:rsidP="00F0376F">
      <w:pPr>
        <w:rPr>
          <w:lang w:val="en-US"/>
        </w:rPr>
      </w:pPr>
    </w:p>
    <w:p w14:paraId="09FC66BF" w14:textId="77777777" w:rsidR="00F0376F" w:rsidRDefault="00F0376F" w:rsidP="00F0376F"/>
    <w:p w14:paraId="32FE5D91" w14:textId="77777777" w:rsidR="00F0376F" w:rsidRDefault="00F0376F" w:rsidP="00F0376F"/>
    <w:p w14:paraId="635855A5" w14:textId="77777777" w:rsidR="00F0376F" w:rsidRDefault="00F0376F" w:rsidP="00F0376F">
      <w:pPr>
        <w:sectPr w:rsidR="00F0376F" w:rsidSect="00F2024B">
          <w:pgSz w:w="11906" w:h="16838"/>
          <w:pgMar w:top="720" w:right="991" w:bottom="720" w:left="1134" w:header="708" w:footer="708" w:gutter="0"/>
          <w:cols w:space="708"/>
          <w:docGrid w:linePitch="360"/>
        </w:sectPr>
      </w:pPr>
    </w:p>
    <w:p w14:paraId="4EDA9034" w14:textId="77777777" w:rsidR="00F0376F" w:rsidRPr="00902AA6" w:rsidRDefault="00F0376F" w:rsidP="00F0376F">
      <w:pPr>
        <w:pStyle w:val="Heading3"/>
      </w:pPr>
      <w:bookmarkStart w:id="48" w:name="_Toc90968209"/>
      <w:bookmarkStart w:id="49" w:name="_Toc98772184"/>
      <w:r w:rsidRPr="00902AA6">
        <w:lastRenderedPageBreak/>
        <w:t>Outputs and business processes</w:t>
      </w:r>
      <w:bookmarkEnd w:id="48"/>
      <w:bookmarkEnd w:id="49"/>
      <w:r w:rsidRPr="00902AA6">
        <w:t xml:space="preserve">  </w:t>
      </w:r>
    </w:p>
    <w:p w14:paraId="31DAFEFF" w14:textId="77777777" w:rsidR="00F0376F" w:rsidRPr="009D18A6" w:rsidRDefault="00F0376F" w:rsidP="00F0376F">
      <w:pPr>
        <w:rPr>
          <w:rFonts w:asciiTheme="minorHAnsi" w:hAnsiTheme="minorHAnsi" w:cstheme="minorHAnsi"/>
        </w:rPr>
      </w:pPr>
      <w:r w:rsidRPr="00756565">
        <w:rPr>
          <w:rFonts w:asciiTheme="minorHAnsi" w:hAnsiTheme="minorHAnsi" w:cstheme="minorHAnsi"/>
        </w:rPr>
        <w:t>All references are to the OEI Act unless otherwise stated.</w:t>
      </w:r>
    </w:p>
    <w:p w14:paraId="397549E3" w14:textId="77777777" w:rsidR="00F0376F" w:rsidRDefault="00F0376F" w:rsidP="00F0376F"/>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446"/>
        <w:gridCol w:w="11209"/>
      </w:tblGrid>
      <w:tr w:rsidR="00F0376F" w:rsidRPr="00762402" w14:paraId="619DA84E" w14:textId="77777777" w:rsidTr="009D3DF3">
        <w:tc>
          <w:tcPr>
            <w:tcW w:w="804" w:type="dxa"/>
            <w:shd w:val="clear" w:color="auto" w:fill="244061" w:themeFill="accent1" w:themeFillShade="80"/>
          </w:tcPr>
          <w:p w14:paraId="63A06DB8" w14:textId="77777777" w:rsidR="00F0376F" w:rsidRPr="00762402" w:rsidRDefault="00F0376F" w:rsidP="00D637F6">
            <w:pPr>
              <w:jc w:val="center"/>
              <w:rPr>
                <w:rFonts w:asciiTheme="minorHAnsi" w:hAnsiTheme="minorHAnsi" w:cstheme="minorHAnsi"/>
                <w:b/>
                <w:bCs/>
                <w:sz w:val="20"/>
                <w:szCs w:val="20"/>
              </w:rPr>
            </w:pPr>
            <w:r w:rsidRPr="00762402">
              <w:rPr>
                <w:rFonts w:asciiTheme="minorHAnsi" w:hAnsiTheme="minorHAnsi" w:cstheme="minorHAnsi"/>
                <w:b/>
                <w:bCs/>
                <w:sz w:val="20"/>
                <w:szCs w:val="20"/>
              </w:rPr>
              <w:t>No</w:t>
            </w:r>
          </w:p>
        </w:tc>
        <w:tc>
          <w:tcPr>
            <w:tcW w:w="2446" w:type="dxa"/>
            <w:shd w:val="clear" w:color="auto" w:fill="244061" w:themeFill="accent1" w:themeFillShade="80"/>
          </w:tcPr>
          <w:p w14:paraId="1C9E0709" w14:textId="77777777" w:rsidR="00F0376F" w:rsidRPr="00762402" w:rsidRDefault="00F0376F" w:rsidP="00D637F6">
            <w:pPr>
              <w:jc w:val="center"/>
              <w:rPr>
                <w:rFonts w:asciiTheme="minorHAnsi" w:hAnsiTheme="minorHAnsi" w:cstheme="minorHAnsi"/>
                <w:b/>
                <w:bCs/>
                <w:sz w:val="20"/>
                <w:szCs w:val="20"/>
              </w:rPr>
            </w:pPr>
            <w:r>
              <w:rPr>
                <w:rFonts w:asciiTheme="minorHAnsi" w:hAnsiTheme="minorHAnsi" w:cstheme="minorHAnsi"/>
                <w:b/>
                <w:bCs/>
                <w:sz w:val="20"/>
                <w:szCs w:val="20"/>
              </w:rPr>
              <w:t>ACTIVITIES</w:t>
            </w:r>
          </w:p>
        </w:tc>
        <w:tc>
          <w:tcPr>
            <w:tcW w:w="11209" w:type="dxa"/>
            <w:shd w:val="clear" w:color="auto" w:fill="244061" w:themeFill="accent1" w:themeFillShade="80"/>
          </w:tcPr>
          <w:p w14:paraId="758099EA" w14:textId="77777777" w:rsidR="00F0376F" w:rsidRPr="00762402" w:rsidRDefault="00F0376F" w:rsidP="00D637F6">
            <w:pPr>
              <w:jc w:val="center"/>
              <w:rPr>
                <w:rFonts w:asciiTheme="minorHAnsi" w:hAnsiTheme="minorHAnsi" w:cstheme="minorHAnsi"/>
                <w:b/>
                <w:bCs/>
                <w:sz w:val="20"/>
                <w:szCs w:val="20"/>
              </w:rPr>
            </w:pPr>
            <w:r w:rsidRPr="00762402">
              <w:rPr>
                <w:rFonts w:asciiTheme="minorHAnsi" w:hAnsiTheme="minorHAnsi" w:cstheme="minorHAnsi"/>
                <w:b/>
                <w:bCs/>
                <w:sz w:val="20"/>
                <w:szCs w:val="20"/>
              </w:rPr>
              <w:t xml:space="preserve">PROCESS </w:t>
            </w:r>
            <w:r>
              <w:rPr>
                <w:rFonts w:asciiTheme="minorHAnsi" w:hAnsiTheme="minorHAnsi" w:cstheme="minorHAnsi"/>
                <w:b/>
                <w:bCs/>
                <w:sz w:val="20"/>
                <w:szCs w:val="20"/>
              </w:rPr>
              <w:t xml:space="preserve"> </w:t>
            </w:r>
          </w:p>
        </w:tc>
      </w:tr>
      <w:tr w:rsidR="00F0376F" w:rsidRPr="00762402" w14:paraId="7D709DA9" w14:textId="77777777" w:rsidTr="009D3DF3">
        <w:trPr>
          <w:trHeight w:val="1507"/>
        </w:trPr>
        <w:tc>
          <w:tcPr>
            <w:tcW w:w="804" w:type="dxa"/>
          </w:tcPr>
          <w:p w14:paraId="784EB3BD" w14:textId="77777777" w:rsidR="00F0376F" w:rsidRDefault="00F0376F" w:rsidP="00D637F6">
            <w:pPr>
              <w:jc w:val="center"/>
              <w:rPr>
                <w:rFonts w:asciiTheme="minorHAnsi" w:hAnsiTheme="minorHAnsi" w:cstheme="minorHAnsi"/>
                <w:b/>
                <w:bCs/>
                <w:sz w:val="20"/>
                <w:szCs w:val="20"/>
              </w:rPr>
            </w:pPr>
            <w:r>
              <w:rPr>
                <w:rFonts w:asciiTheme="minorHAnsi" w:hAnsiTheme="minorHAnsi" w:cstheme="minorHAnsi"/>
                <w:b/>
                <w:bCs/>
                <w:sz w:val="20"/>
                <w:szCs w:val="20"/>
              </w:rPr>
              <w:t>1</w:t>
            </w:r>
          </w:p>
        </w:tc>
        <w:tc>
          <w:tcPr>
            <w:tcW w:w="2446" w:type="dxa"/>
          </w:tcPr>
          <w:p w14:paraId="7E526014" w14:textId="77777777" w:rsidR="00F0376F" w:rsidRDefault="00F0376F" w:rsidP="00D637F6">
            <w:pPr>
              <w:rPr>
                <w:rFonts w:asciiTheme="minorHAnsi" w:hAnsiTheme="minorHAnsi" w:cstheme="minorHAnsi"/>
                <w:b/>
                <w:bCs/>
                <w:sz w:val="20"/>
                <w:szCs w:val="20"/>
              </w:rPr>
            </w:pPr>
            <w:r>
              <w:rPr>
                <w:rFonts w:asciiTheme="minorHAnsi" w:hAnsiTheme="minorHAnsi" w:cstheme="minorHAnsi"/>
                <w:b/>
                <w:bCs/>
                <w:sz w:val="20"/>
                <w:szCs w:val="20"/>
              </w:rPr>
              <w:t>Declaration of an area</w:t>
            </w:r>
          </w:p>
          <w:p w14:paraId="393CDA60" w14:textId="77777777" w:rsidR="00F0376F" w:rsidRDefault="00F0376F" w:rsidP="00D637F6">
            <w:pPr>
              <w:rPr>
                <w:rFonts w:asciiTheme="minorHAnsi" w:hAnsiTheme="minorHAnsi" w:cstheme="minorHAnsi"/>
                <w:b/>
                <w:bCs/>
                <w:sz w:val="20"/>
                <w:szCs w:val="20"/>
              </w:rPr>
            </w:pPr>
            <w:r w:rsidRPr="00A96780">
              <w:rPr>
                <w:rFonts w:asciiTheme="minorHAnsi" w:hAnsiTheme="minorHAnsi" w:cstheme="minorHAnsi"/>
                <w:bCs/>
                <w:sz w:val="20"/>
                <w:szCs w:val="20"/>
              </w:rPr>
              <w:t>(Chapter 2)</w:t>
            </w:r>
          </w:p>
        </w:tc>
        <w:tc>
          <w:tcPr>
            <w:tcW w:w="11209" w:type="dxa"/>
          </w:tcPr>
          <w:p w14:paraId="6E925922" w14:textId="77777777" w:rsidR="00F0376F" w:rsidRDefault="00F0376F" w:rsidP="00D637F6">
            <w:pPr>
              <w:rPr>
                <w:rFonts w:asciiTheme="minorHAnsi" w:hAnsiTheme="minorHAnsi" w:cstheme="minorHAnsi"/>
                <w:b/>
                <w:bCs/>
                <w:i/>
                <w:iCs/>
                <w:sz w:val="20"/>
                <w:szCs w:val="20"/>
              </w:rPr>
            </w:pPr>
            <w:r w:rsidRPr="00E77007">
              <w:rPr>
                <w:rFonts w:asciiTheme="minorHAnsi" w:hAnsiTheme="minorHAnsi" w:cstheme="minorHAnsi"/>
                <w:b/>
                <w:bCs/>
                <w:i/>
                <w:iCs/>
                <w:sz w:val="20"/>
                <w:szCs w:val="20"/>
              </w:rPr>
              <w:t>Area identification and declaration</w:t>
            </w:r>
          </w:p>
          <w:p w14:paraId="7F725965" w14:textId="73971AF2" w:rsidR="00F0376F" w:rsidRDefault="00F0376F" w:rsidP="00D637F6">
            <w:pPr>
              <w:pStyle w:val="ListParagraph"/>
              <w:numPr>
                <w:ilvl w:val="0"/>
                <w:numId w:val="6"/>
              </w:numPr>
              <w:rPr>
                <w:rFonts w:asciiTheme="minorHAnsi" w:hAnsiTheme="minorHAnsi" w:cstheme="minorHAnsi"/>
                <w:bCs/>
                <w:iCs/>
                <w:sz w:val="20"/>
                <w:szCs w:val="20"/>
              </w:rPr>
            </w:pPr>
            <w:r>
              <w:rPr>
                <w:rFonts w:asciiTheme="minorHAnsi" w:hAnsiTheme="minorHAnsi" w:cstheme="minorHAnsi"/>
                <w:bCs/>
                <w:iCs/>
                <w:sz w:val="20"/>
                <w:szCs w:val="20"/>
              </w:rPr>
              <w:t>Provision of operational and regulatory advice to DISER</w:t>
            </w:r>
            <w:r w:rsidR="00A34AD1">
              <w:rPr>
                <w:rFonts w:asciiTheme="minorHAnsi" w:hAnsiTheme="minorHAnsi" w:cstheme="minorHAnsi"/>
                <w:bCs/>
                <w:iCs/>
                <w:sz w:val="20"/>
                <w:szCs w:val="20"/>
              </w:rPr>
              <w:t>.</w:t>
            </w:r>
          </w:p>
          <w:p w14:paraId="60DC7532" w14:textId="06F1AD5B" w:rsidR="00F0376F" w:rsidRDefault="00F0376F" w:rsidP="00D637F6">
            <w:pPr>
              <w:pStyle w:val="ListParagraph"/>
              <w:numPr>
                <w:ilvl w:val="0"/>
                <w:numId w:val="6"/>
              </w:numPr>
              <w:rPr>
                <w:rFonts w:asciiTheme="minorHAnsi" w:hAnsiTheme="minorHAnsi" w:cstheme="minorHAnsi"/>
                <w:bCs/>
                <w:iCs/>
                <w:sz w:val="20"/>
                <w:szCs w:val="20"/>
              </w:rPr>
            </w:pPr>
            <w:r>
              <w:rPr>
                <w:rFonts w:asciiTheme="minorHAnsi" w:hAnsiTheme="minorHAnsi" w:cstheme="minorHAnsi"/>
                <w:bCs/>
                <w:iCs/>
                <w:sz w:val="20"/>
                <w:szCs w:val="20"/>
              </w:rPr>
              <w:t xml:space="preserve">Provision of </w:t>
            </w:r>
            <w:r w:rsidRPr="00E77007">
              <w:rPr>
                <w:rFonts w:asciiTheme="minorHAnsi" w:hAnsiTheme="minorHAnsi" w:cstheme="minorHAnsi"/>
                <w:bCs/>
                <w:iCs/>
                <w:sz w:val="20"/>
                <w:szCs w:val="20"/>
              </w:rPr>
              <w:t>information, assessments, analysis, reports, advice and recommendations to the Minister in relation to the administration and functioning of the OEI Act</w:t>
            </w:r>
            <w:r>
              <w:rPr>
                <w:rFonts w:asciiTheme="minorHAnsi" w:hAnsiTheme="minorHAnsi" w:cstheme="minorHAnsi"/>
                <w:bCs/>
                <w:iCs/>
                <w:sz w:val="20"/>
                <w:szCs w:val="20"/>
              </w:rPr>
              <w:t xml:space="preserve"> (on request)</w:t>
            </w:r>
            <w:r w:rsidR="00A34AD1">
              <w:rPr>
                <w:rFonts w:asciiTheme="minorHAnsi" w:hAnsiTheme="minorHAnsi" w:cstheme="minorHAnsi"/>
                <w:bCs/>
                <w:iCs/>
                <w:sz w:val="20"/>
                <w:szCs w:val="20"/>
              </w:rPr>
              <w:t>.</w:t>
            </w:r>
          </w:p>
          <w:p w14:paraId="1269BC7C" w14:textId="7811CE45" w:rsidR="00F0376F" w:rsidRPr="00FA70ED" w:rsidRDefault="00F0376F" w:rsidP="00D637F6">
            <w:pPr>
              <w:pStyle w:val="ListParagraph"/>
              <w:numPr>
                <w:ilvl w:val="0"/>
                <w:numId w:val="6"/>
              </w:numPr>
              <w:rPr>
                <w:rFonts w:asciiTheme="minorHAnsi" w:hAnsiTheme="minorHAnsi" w:cstheme="minorHAnsi"/>
                <w:bCs/>
                <w:iCs/>
                <w:sz w:val="20"/>
                <w:szCs w:val="20"/>
              </w:rPr>
            </w:pPr>
            <w:r>
              <w:rPr>
                <w:rFonts w:asciiTheme="minorHAnsi" w:hAnsiTheme="minorHAnsi" w:cstheme="minorHAnsi"/>
                <w:bCs/>
                <w:iCs/>
                <w:sz w:val="20"/>
                <w:szCs w:val="20"/>
              </w:rPr>
              <w:t>Engagement, p</w:t>
            </w:r>
            <w:r w:rsidRPr="00E77007">
              <w:rPr>
                <w:rFonts w:asciiTheme="minorHAnsi" w:hAnsiTheme="minorHAnsi" w:cstheme="minorHAnsi"/>
                <w:bCs/>
                <w:iCs/>
                <w:sz w:val="20"/>
                <w:szCs w:val="20"/>
              </w:rPr>
              <w:t xml:space="preserve">rovision of advice </w:t>
            </w:r>
            <w:r>
              <w:rPr>
                <w:rFonts w:asciiTheme="minorHAnsi" w:hAnsiTheme="minorHAnsi" w:cstheme="minorHAnsi"/>
                <w:bCs/>
                <w:iCs/>
                <w:sz w:val="20"/>
                <w:szCs w:val="20"/>
              </w:rPr>
              <w:t xml:space="preserve">and guidance </w:t>
            </w:r>
            <w:r w:rsidRPr="00E77007">
              <w:rPr>
                <w:rFonts w:asciiTheme="minorHAnsi" w:hAnsiTheme="minorHAnsi" w:cstheme="minorHAnsi"/>
                <w:bCs/>
                <w:iCs/>
                <w:sz w:val="20"/>
                <w:szCs w:val="20"/>
              </w:rPr>
              <w:t>to potential applicants on matters relating to work health and safety, environmental protection</w:t>
            </w:r>
            <w:r>
              <w:rPr>
                <w:rFonts w:asciiTheme="minorHAnsi" w:hAnsiTheme="minorHAnsi" w:cstheme="minorHAnsi"/>
                <w:bCs/>
                <w:iCs/>
                <w:sz w:val="20"/>
                <w:szCs w:val="20"/>
              </w:rPr>
              <w:t>,</w:t>
            </w:r>
            <w:r w:rsidRPr="00E77007">
              <w:rPr>
                <w:rFonts w:asciiTheme="minorHAnsi" w:hAnsiTheme="minorHAnsi" w:cstheme="minorHAnsi"/>
                <w:bCs/>
                <w:iCs/>
                <w:sz w:val="20"/>
                <w:szCs w:val="20"/>
              </w:rPr>
              <w:t xml:space="preserve"> infrastructure integrity</w:t>
            </w:r>
            <w:r>
              <w:rPr>
                <w:rFonts w:asciiTheme="minorHAnsi" w:hAnsiTheme="minorHAnsi" w:cstheme="minorHAnsi"/>
                <w:bCs/>
                <w:iCs/>
                <w:sz w:val="20"/>
                <w:szCs w:val="20"/>
              </w:rPr>
              <w:t>, financial securities and compliance with the Act and regulations</w:t>
            </w:r>
            <w:r w:rsidRPr="00E77007">
              <w:rPr>
                <w:rFonts w:asciiTheme="minorHAnsi" w:hAnsiTheme="minorHAnsi" w:cstheme="minorHAnsi"/>
                <w:bCs/>
                <w:iCs/>
                <w:sz w:val="20"/>
                <w:szCs w:val="20"/>
              </w:rPr>
              <w:t xml:space="preserve"> in connection with </w:t>
            </w:r>
            <w:r>
              <w:rPr>
                <w:rFonts w:asciiTheme="minorHAnsi" w:hAnsiTheme="minorHAnsi" w:cstheme="minorHAnsi"/>
                <w:bCs/>
                <w:iCs/>
                <w:sz w:val="20"/>
                <w:szCs w:val="20"/>
              </w:rPr>
              <w:t xml:space="preserve">proposed licences and </w:t>
            </w:r>
            <w:r w:rsidRPr="00E77007">
              <w:rPr>
                <w:rFonts w:asciiTheme="minorHAnsi" w:hAnsiTheme="minorHAnsi" w:cstheme="minorHAnsi"/>
                <w:bCs/>
                <w:iCs/>
                <w:sz w:val="20"/>
                <w:szCs w:val="20"/>
              </w:rPr>
              <w:t>offshore infrastructure activities</w:t>
            </w:r>
            <w:r>
              <w:rPr>
                <w:rFonts w:asciiTheme="minorHAnsi" w:hAnsiTheme="minorHAnsi" w:cstheme="minorHAnsi"/>
                <w:bCs/>
                <w:iCs/>
                <w:sz w:val="20"/>
                <w:szCs w:val="20"/>
              </w:rPr>
              <w:t xml:space="preserve"> in declared areas. </w:t>
            </w:r>
          </w:p>
        </w:tc>
      </w:tr>
      <w:tr w:rsidR="00F0376F" w:rsidRPr="00762402" w14:paraId="07B49FAC" w14:textId="77777777" w:rsidTr="009D3DF3">
        <w:trPr>
          <w:trHeight w:val="1507"/>
        </w:trPr>
        <w:tc>
          <w:tcPr>
            <w:tcW w:w="804" w:type="dxa"/>
          </w:tcPr>
          <w:p w14:paraId="645D5A92" w14:textId="77777777" w:rsidR="00F0376F" w:rsidRPr="00762402" w:rsidRDefault="00F0376F" w:rsidP="00D637F6">
            <w:pPr>
              <w:jc w:val="center"/>
              <w:rPr>
                <w:rFonts w:asciiTheme="minorHAnsi" w:hAnsiTheme="minorHAnsi" w:cstheme="minorHAnsi"/>
                <w:b/>
                <w:bCs/>
                <w:sz w:val="20"/>
                <w:szCs w:val="20"/>
              </w:rPr>
            </w:pPr>
            <w:r>
              <w:rPr>
                <w:rFonts w:asciiTheme="minorHAnsi" w:hAnsiTheme="minorHAnsi" w:cstheme="minorHAnsi"/>
                <w:b/>
                <w:bCs/>
                <w:sz w:val="20"/>
                <w:szCs w:val="20"/>
              </w:rPr>
              <w:t>2</w:t>
            </w:r>
          </w:p>
        </w:tc>
        <w:tc>
          <w:tcPr>
            <w:tcW w:w="2446" w:type="dxa"/>
          </w:tcPr>
          <w:p w14:paraId="6C688EBE" w14:textId="77777777" w:rsidR="00F0376F" w:rsidRPr="00762402" w:rsidRDefault="00F0376F" w:rsidP="00D637F6">
            <w:pPr>
              <w:rPr>
                <w:rFonts w:asciiTheme="minorHAnsi" w:hAnsiTheme="minorHAnsi" w:cstheme="minorHAnsi"/>
                <w:b/>
                <w:bCs/>
                <w:sz w:val="20"/>
                <w:szCs w:val="20"/>
              </w:rPr>
            </w:pPr>
            <w:r>
              <w:rPr>
                <w:rFonts w:asciiTheme="minorHAnsi" w:hAnsiTheme="minorHAnsi" w:cstheme="minorHAnsi"/>
                <w:b/>
                <w:bCs/>
                <w:sz w:val="20"/>
                <w:szCs w:val="20"/>
              </w:rPr>
              <w:t>Feasibility Licence</w:t>
            </w:r>
          </w:p>
          <w:p w14:paraId="02390AF5" w14:textId="77777777" w:rsidR="00F0376F" w:rsidRPr="00762402" w:rsidRDefault="00F0376F" w:rsidP="00D637F6">
            <w:pPr>
              <w:rPr>
                <w:rFonts w:asciiTheme="minorHAnsi" w:hAnsiTheme="minorHAnsi" w:cstheme="minorHAnsi"/>
                <w:sz w:val="20"/>
                <w:szCs w:val="20"/>
              </w:rPr>
            </w:pPr>
            <w:r w:rsidRPr="00762402">
              <w:rPr>
                <w:rFonts w:asciiTheme="minorHAnsi" w:hAnsiTheme="minorHAnsi" w:cstheme="minorHAnsi"/>
                <w:sz w:val="20"/>
                <w:szCs w:val="20"/>
              </w:rPr>
              <w:t>(</w:t>
            </w:r>
            <w:r>
              <w:rPr>
                <w:rFonts w:asciiTheme="minorHAnsi" w:hAnsiTheme="minorHAnsi" w:cstheme="minorHAnsi"/>
                <w:sz w:val="20"/>
                <w:szCs w:val="20"/>
              </w:rPr>
              <w:t>Chapter 3</w:t>
            </w:r>
            <w:r w:rsidRPr="00762402">
              <w:rPr>
                <w:rFonts w:asciiTheme="minorHAnsi" w:hAnsiTheme="minorHAnsi" w:cstheme="minorHAnsi"/>
                <w:sz w:val="20"/>
                <w:szCs w:val="20"/>
              </w:rPr>
              <w:t>)</w:t>
            </w:r>
          </w:p>
        </w:tc>
        <w:tc>
          <w:tcPr>
            <w:tcW w:w="11209" w:type="dxa"/>
          </w:tcPr>
          <w:p w14:paraId="61661D43" w14:textId="77777777" w:rsidR="00F0376F" w:rsidRDefault="00F0376F" w:rsidP="00D637F6">
            <w:pPr>
              <w:rPr>
                <w:rFonts w:asciiTheme="minorHAnsi" w:hAnsiTheme="minorHAnsi" w:cstheme="minorHAnsi"/>
                <w:b/>
                <w:bCs/>
                <w:i/>
                <w:iCs/>
                <w:sz w:val="20"/>
                <w:szCs w:val="20"/>
              </w:rPr>
            </w:pPr>
            <w:r w:rsidRPr="00762402">
              <w:rPr>
                <w:rFonts w:asciiTheme="minorHAnsi" w:hAnsiTheme="minorHAnsi" w:cstheme="minorHAnsi"/>
                <w:b/>
                <w:bCs/>
                <w:i/>
                <w:iCs/>
                <w:sz w:val="20"/>
                <w:szCs w:val="20"/>
              </w:rPr>
              <w:t>Grant</w:t>
            </w:r>
            <w:r>
              <w:rPr>
                <w:rFonts w:asciiTheme="minorHAnsi" w:hAnsiTheme="minorHAnsi" w:cstheme="minorHAnsi"/>
                <w:b/>
                <w:bCs/>
                <w:i/>
                <w:iCs/>
                <w:sz w:val="20"/>
                <w:szCs w:val="20"/>
              </w:rPr>
              <w:t xml:space="preserve">, Extension, Variation, Surrender, Cancellation  </w:t>
            </w:r>
          </w:p>
          <w:p w14:paraId="257D7F64" w14:textId="77777777" w:rsidR="00F0376F" w:rsidRPr="00317BB6" w:rsidRDefault="00F0376F" w:rsidP="00D637F6">
            <w:pPr>
              <w:rPr>
                <w:rFonts w:asciiTheme="minorHAnsi" w:hAnsiTheme="minorHAnsi" w:cstheme="minorHAnsi"/>
                <w:bCs/>
                <w:i/>
                <w:iCs/>
                <w:sz w:val="20"/>
                <w:szCs w:val="20"/>
              </w:rPr>
            </w:pPr>
            <w:r w:rsidRPr="00317BB6">
              <w:rPr>
                <w:rFonts w:asciiTheme="minorHAnsi" w:hAnsiTheme="minorHAnsi" w:cstheme="minorHAnsi"/>
                <w:bCs/>
                <w:i/>
                <w:iCs/>
                <w:sz w:val="20"/>
                <w:szCs w:val="20"/>
              </w:rPr>
              <w:t>General overview of process</w:t>
            </w:r>
          </w:p>
          <w:p w14:paraId="5A8CE6F5" w14:textId="00941DDB" w:rsidR="00F0376F"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Consultation and provision of information to the Registrar on request</w:t>
            </w:r>
            <w:r w:rsidR="00A34AD1">
              <w:rPr>
                <w:rFonts w:asciiTheme="minorHAnsi" w:hAnsiTheme="minorHAnsi" w:cstheme="minorHAnsi"/>
                <w:sz w:val="20"/>
                <w:szCs w:val="20"/>
              </w:rPr>
              <w:t>.</w:t>
            </w:r>
          </w:p>
          <w:p w14:paraId="6A8537B8" w14:textId="4D4A0AF6" w:rsidR="00F0376F"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Stakeholder engagement and promotion of good practice both prior to grant and during the life of a licence</w:t>
            </w:r>
            <w:r w:rsidR="00A34AD1">
              <w:rPr>
                <w:rFonts w:asciiTheme="minorHAnsi" w:hAnsiTheme="minorHAnsi" w:cstheme="minorHAnsi"/>
                <w:sz w:val="20"/>
                <w:szCs w:val="20"/>
              </w:rPr>
              <w:t>.</w:t>
            </w:r>
          </w:p>
          <w:p w14:paraId="13B76B35" w14:textId="2C93663F" w:rsidR="00F0376F" w:rsidRDefault="00F0376F" w:rsidP="00D637F6">
            <w:pPr>
              <w:pStyle w:val="ListParagraph"/>
              <w:numPr>
                <w:ilvl w:val="0"/>
                <w:numId w:val="6"/>
              </w:numPr>
              <w:rPr>
                <w:rFonts w:asciiTheme="minorHAnsi" w:hAnsiTheme="minorHAnsi" w:cstheme="minorHAnsi"/>
                <w:bCs/>
                <w:iCs/>
                <w:sz w:val="20"/>
                <w:szCs w:val="20"/>
              </w:rPr>
            </w:pPr>
            <w:r>
              <w:rPr>
                <w:rFonts w:asciiTheme="minorHAnsi" w:hAnsiTheme="minorHAnsi" w:cstheme="minorHAnsi"/>
                <w:bCs/>
                <w:iCs/>
                <w:sz w:val="20"/>
                <w:szCs w:val="20"/>
              </w:rPr>
              <w:t xml:space="preserve">Provision of </w:t>
            </w:r>
            <w:r w:rsidRPr="00E77007">
              <w:rPr>
                <w:rFonts w:asciiTheme="minorHAnsi" w:hAnsiTheme="minorHAnsi" w:cstheme="minorHAnsi"/>
                <w:bCs/>
                <w:iCs/>
                <w:sz w:val="20"/>
                <w:szCs w:val="20"/>
              </w:rPr>
              <w:t>information, assessments, analysis, reports, advice and recommendations to the Minister in relation to the administration and functioning of the OEI Act</w:t>
            </w:r>
            <w:r>
              <w:rPr>
                <w:rFonts w:asciiTheme="minorHAnsi" w:hAnsiTheme="minorHAnsi" w:cstheme="minorHAnsi"/>
                <w:bCs/>
                <w:iCs/>
                <w:sz w:val="20"/>
                <w:szCs w:val="20"/>
              </w:rPr>
              <w:t xml:space="preserve"> (on request)</w:t>
            </w:r>
            <w:r w:rsidR="00A34AD1">
              <w:rPr>
                <w:rFonts w:asciiTheme="minorHAnsi" w:hAnsiTheme="minorHAnsi" w:cstheme="minorHAnsi"/>
                <w:bCs/>
                <w:iCs/>
                <w:sz w:val="20"/>
                <w:szCs w:val="20"/>
              </w:rPr>
              <w:t>.</w:t>
            </w:r>
          </w:p>
          <w:p w14:paraId="7E98902A" w14:textId="77777777" w:rsidR="00F0376F" w:rsidRDefault="00F0376F" w:rsidP="00D637F6">
            <w:pPr>
              <w:pStyle w:val="ListParagraph"/>
              <w:numPr>
                <w:ilvl w:val="0"/>
                <w:numId w:val="6"/>
              </w:numPr>
              <w:rPr>
                <w:rFonts w:asciiTheme="minorHAnsi" w:hAnsiTheme="minorHAnsi" w:cstheme="minorHAnsi"/>
                <w:bCs/>
                <w:iCs/>
                <w:sz w:val="20"/>
                <w:szCs w:val="20"/>
              </w:rPr>
            </w:pPr>
            <w:r>
              <w:rPr>
                <w:rFonts w:asciiTheme="minorHAnsi" w:hAnsiTheme="minorHAnsi" w:cstheme="minorHAnsi"/>
                <w:bCs/>
                <w:iCs/>
                <w:sz w:val="20"/>
                <w:szCs w:val="20"/>
              </w:rPr>
              <w:t>Engagement, p</w:t>
            </w:r>
            <w:r w:rsidRPr="00E77007">
              <w:rPr>
                <w:rFonts w:asciiTheme="minorHAnsi" w:hAnsiTheme="minorHAnsi" w:cstheme="minorHAnsi"/>
                <w:bCs/>
                <w:iCs/>
                <w:sz w:val="20"/>
                <w:szCs w:val="20"/>
              </w:rPr>
              <w:t xml:space="preserve">rovision of advice </w:t>
            </w:r>
            <w:r>
              <w:rPr>
                <w:rFonts w:asciiTheme="minorHAnsi" w:hAnsiTheme="minorHAnsi" w:cstheme="minorHAnsi"/>
                <w:bCs/>
                <w:iCs/>
                <w:sz w:val="20"/>
                <w:szCs w:val="20"/>
              </w:rPr>
              <w:t xml:space="preserve">and guidance </w:t>
            </w:r>
            <w:r w:rsidRPr="00E77007">
              <w:rPr>
                <w:rFonts w:asciiTheme="minorHAnsi" w:hAnsiTheme="minorHAnsi" w:cstheme="minorHAnsi"/>
                <w:bCs/>
                <w:iCs/>
                <w:sz w:val="20"/>
                <w:szCs w:val="20"/>
              </w:rPr>
              <w:t>to potential applicants on matters relating to work health and safety, environmental protection</w:t>
            </w:r>
            <w:r>
              <w:rPr>
                <w:rFonts w:asciiTheme="minorHAnsi" w:hAnsiTheme="minorHAnsi" w:cstheme="minorHAnsi"/>
                <w:bCs/>
                <w:iCs/>
                <w:sz w:val="20"/>
                <w:szCs w:val="20"/>
              </w:rPr>
              <w:t>,</w:t>
            </w:r>
            <w:r w:rsidRPr="00E77007">
              <w:rPr>
                <w:rFonts w:asciiTheme="minorHAnsi" w:hAnsiTheme="minorHAnsi" w:cstheme="minorHAnsi"/>
                <w:bCs/>
                <w:iCs/>
                <w:sz w:val="20"/>
                <w:szCs w:val="20"/>
              </w:rPr>
              <w:t xml:space="preserve"> infrastructure integrity</w:t>
            </w:r>
            <w:r>
              <w:rPr>
                <w:rFonts w:asciiTheme="minorHAnsi" w:hAnsiTheme="minorHAnsi" w:cstheme="minorHAnsi"/>
                <w:bCs/>
                <w:iCs/>
                <w:sz w:val="20"/>
                <w:szCs w:val="20"/>
              </w:rPr>
              <w:t>, financial securities and compliance with the Act and regulations</w:t>
            </w:r>
            <w:r w:rsidRPr="00E77007">
              <w:rPr>
                <w:rFonts w:asciiTheme="minorHAnsi" w:hAnsiTheme="minorHAnsi" w:cstheme="minorHAnsi"/>
                <w:bCs/>
                <w:iCs/>
                <w:sz w:val="20"/>
                <w:szCs w:val="20"/>
              </w:rPr>
              <w:t xml:space="preserve"> in connection with </w:t>
            </w:r>
            <w:r>
              <w:rPr>
                <w:rFonts w:asciiTheme="minorHAnsi" w:hAnsiTheme="minorHAnsi" w:cstheme="minorHAnsi"/>
                <w:bCs/>
                <w:iCs/>
                <w:sz w:val="20"/>
                <w:szCs w:val="20"/>
              </w:rPr>
              <w:t xml:space="preserve">proposed licences and </w:t>
            </w:r>
            <w:r w:rsidRPr="00E77007">
              <w:rPr>
                <w:rFonts w:asciiTheme="minorHAnsi" w:hAnsiTheme="minorHAnsi" w:cstheme="minorHAnsi"/>
                <w:bCs/>
                <w:iCs/>
                <w:sz w:val="20"/>
                <w:szCs w:val="20"/>
              </w:rPr>
              <w:t>offshore infrastructure activities</w:t>
            </w:r>
            <w:r>
              <w:rPr>
                <w:rFonts w:asciiTheme="minorHAnsi" w:hAnsiTheme="minorHAnsi" w:cstheme="minorHAnsi"/>
                <w:bCs/>
                <w:iCs/>
                <w:sz w:val="20"/>
                <w:szCs w:val="20"/>
              </w:rPr>
              <w:t xml:space="preserve"> in declared areas. </w:t>
            </w:r>
          </w:p>
          <w:p w14:paraId="3DDF9923" w14:textId="2DC64CE3" w:rsidR="00F0376F" w:rsidRPr="005B014E" w:rsidRDefault="00F0376F" w:rsidP="00D637F6">
            <w:pPr>
              <w:pStyle w:val="ListParagraph"/>
              <w:numPr>
                <w:ilvl w:val="0"/>
                <w:numId w:val="6"/>
              </w:numPr>
              <w:rPr>
                <w:rFonts w:asciiTheme="minorHAnsi" w:hAnsiTheme="minorHAnsi" w:cstheme="minorHAnsi"/>
                <w:bCs/>
                <w:iCs/>
                <w:sz w:val="20"/>
                <w:szCs w:val="20"/>
              </w:rPr>
            </w:pPr>
            <w:r>
              <w:rPr>
                <w:rFonts w:asciiTheme="minorHAnsi" w:hAnsiTheme="minorHAnsi" w:cstheme="minorHAnsi"/>
                <w:sz w:val="20"/>
                <w:szCs w:val="20"/>
              </w:rPr>
              <w:t>Cooperation with other Commonwealth, State and Territory agencies</w:t>
            </w:r>
            <w:r>
              <w:rPr>
                <w:color w:val="000000"/>
                <w:sz w:val="22"/>
                <w:szCs w:val="22"/>
                <w:shd w:val="clear" w:color="auto" w:fill="FFFFFF"/>
              </w:rPr>
              <w:t xml:space="preserve"> </w:t>
            </w:r>
            <w:r w:rsidRPr="000277D3">
              <w:rPr>
                <w:rFonts w:asciiTheme="minorHAnsi" w:hAnsiTheme="minorHAnsi" w:cstheme="minorHAnsi"/>
                <w:sz w:val="20"/>
                <w:szCs w:val="20"/>
              </w:rPr>
              <w:t>and authorities having functions relating to the regulation of offshore infrastructure activities</w:t>
            </w:r>
            <w:r w:rsidR="00A34AD1">
              <w:rPr>
                <w:rFonts w:asciiTheme="minorHAnsi" w:hAnsiTheme="minorHAnsi" w:cstheme="minorHAnsi"/>
                <w:sz w:val="20"/>
                <w:szCs w:val="20"/>
              </w:rPr>
              <w:t>.</w:t>
            </w:r>
          </w:p>
          <w:p w14:paraId="4602B38C" w14:textId="2B807DAD" w:rsidR="00F0376F"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Ongoing compliance monitoring activities, inspections and investigations against licence conditions</w:t>
            </w:r>
            <w:r w:rsidR="00A34AD1">
              <w:rPr>
                <w:rFonts w:asciiTheme="minorHAnsi" w:hAnsiTheme="minorHAnsi" w:cstheme="minorHAnsi"/>
                <w:sz w:val="20"/>
                <w:szCs w:val="20"/>
              </w:rPr>
              <w:t>.</w:t>
            </w:r>
          </w:p>
          <w:p w14:paraId="0103BEA0" w14:textId="5A45F47B" w:rsidR="00F0376F" w:rsidRPr="00FA70ED"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As-required enforcement activities including directions, notices, infringements, civil and criminal prosecutions</w:t>
            </w:r>
            <w:r w:rsidR="00A34AD1">
              <w:rPr>
                <w:rFonts w:asciiTheme="minorHAnsi" w:hAnsiTheme="minorHAnsi" w:cstheme="minorHAnsi"/>
                <w:sz w:val="20"/>
                <w:szCs w:val="20"/>
              </w:rPr>
              <w:t>.</w:t>
            </w:r>
          </w:p>
        </w:tc>
      </w:tr>
      <w:tr w:rsidR="00F0376F" w:rsidRPr="00762402" w14:paraId="175B199C" w14:textId="77777777" w:rsidTr="009D3DF3">
        <w:tc>
          <w:tcPr>
            <w:tcW w:w="804" w:type="dxa"/>
          </w:tcPr>
          <w:p w14:paraId="375E4F05" w14:textId="77777777" w:rsidR="00F0376F" w:rsidRPr="00762402" w:rsidRDefault="00F0376F" w:rsidP="00D637F6">
            <w:pPr>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2446" w:type="dxa"/>
          </w:tcPr>
          <w:p w14:paraId="380A4760" w14:textId="77777777" w:rsidR="00F0376F" w:rsidRPr="00762402" w:rsidRDefault="00F0376F" w:rsidP="00D637F6">
            <w:pPr>
              <w:rPr>
                <w:rFonts w:asciiTheme="minorHAnsi" w:hAnsiTheme="minorHAnsi" w:cstheme="minorHAnsi"/>
                <w:sz w:val="20"/>
                <w:szCs w:val="20"/>
              </w:rPr>
            </w:pPr>
            <w:r>
              <w:rPr>
                <w:rFonts w:asciiTheme="minorHAnsi" w:hAnsiTheme="minorHAnsi" w:cstheme="minorHAnsi"/>
                <w:b/>
                <w:bCs/>
                <w:sz w:val="20"/>
                <w:szCs w:val="20"/>
              </w:rPr>
              <w:t>Commercial Licence</w:t>
            </w:r>
          </w:p>
          <w:p w14:paraId="7D60F3DB" w14:textId="77777777" w:rsidR="00F0376F" w:rsidRPr="00762402" w:rsidRDefault="00F0376F" w:rsidP="00D637F6">
            <w:pPr>
              <w:rPr>
                <w:rFonts w:asciiTheme="minorHAnsi" w:hAnsiTheme="minorHAnsi" w:cstheme="minorHAnsi"/>
                <w:sz w:val="20"/>
                <w:szCs w:val="20"/>
              </w:rPr>
            </w:pPr>
            <w:r w:rsidRPr="00762402">
              <w:rPr>
                <w:rFonts w:asciiTheme="minorHAnsi" w:hAnsiTheme="minorHAnsi" w:cstheme="minorHAnsi"/>
                <w:sz w:val="20"/>
                <w:szCs w:val="20"/>
              </w:rPr>
              <w:t>(</w:t>
            </w:r>
            <w:r>
              <w:rPr>
                <w:rFonts w:asciiTheme="minorHAnsi" w:hAnsiTheme="minorHAnsi" w:cstheme="minorHAnsi"/>
                <w:sz w:val="20"/>
                <w:szCs w:val="20"/>
              </w:rPr>
              <w:t>Chapter 3</w:t>
            </w:r>
            <w:r w:rsidRPr="00762402">
              <w:rPr>
                <w:rFonts w:asciiTheme="minorHAnsi" w:hAnsiTheme="minorHAnsi" w:cstheme="minorHAnsi"/>
                <w:sz w:val="20"/>
                <w:szCs w:val="20"/>
              </w:rPr>
              <w:t>)</w:t>
            </w:r>
          </w:p>
        </w:tc>
        <w:tc>
          <w:tcPr>
            <w:tcW w:w="11209" w:type="dxa"/>
          </w:tcPr>
          <w:p w14:paraId="0B780B6D" w14:textId="0092C733" w:rsidR="00F0376F" w:rsidRPr="00762402" w:rsidRDefault="00F0376F" w:rsidP="00D637F6">
            <w:pPr>
              <w:rPr>
                <w:rFonts w:asciiTheme="minorHAnsi" w:hAnsiTheme="minorHAnsi" w:cstheme="minorHAnsi"/>
                <w:sz w:val="20"/>
                <w:szCs w:val="20"/>
              </w:rPr>
            </w:pPr>
            <w:r>
              <w:rPr>
                <w:rFonts w:asciiTheme="minorHAnsi" w:hAnsiTheme="minorHAnsi" w:cstheme="minorHAnsi"/>
                <w:sz w:val="20"/>
                <w:szCs w:val="20"/>
              </w:rPr>
              <w:t>See item 2 for g</w:t>
            </w:r>
            <w:r w:rsidRPr="00762402">
              <w:rPr>
                <w:rFonts w:asciiTheme="minorHAnsi" w:hAnsiTheme="minorHAnsi" w:cstheme="minorHAnsi"/>
                <w:sz w:val="20"/>
                <w:szCs w:val="20"/>
              </w:rPr>
              <w:t>eneral overview of process</w:t>
            </w:r>
            <w:r w:rsidR="00A34AD1">
              <w:rPr>
                <w:rFonts w:asciiTheme="minorHAnsi" w:hAnsiTheme="minorHAnsi" w:cstheme="minorHAnsi"/>
                <w:sz w:val="20"/>
                <w:szCs w:val="20"/>
              </w:rPr>
              <w:t>.</w:t>
            </w:r>
          </w:p>
        </w:tc>
      </w:tr>
      <w:tr w:rsidR="00F0376F" w:rsidRPr="00762402" w14:paraId="53F38AC7" w14:textId="77777777" w:rsidTr="009D3DF3">
        <w:trPr>
          <w:trHeight w:val="756"/>
        </w:trPr>
        <w:tc>
          <w:tcPr>
            <w:tcW w:w="804" w:type="dxa"/>
          </w:tcPr>
          <w:p w14:paraId="1CF23450" w14:textId="77777777" w:rsidR="00F0376F" w:rsidRPr="00762402" w:rsidRDefault="00F0376F" w:rsidP="00D637F6">
            <w:pPr>
              <w:jc w:val="center"/>
              <w:rPr>
                <w:rFonts w:asciiTheme="minorHAnsi" w:hAnsiTheme="minorHAnsi" w:cstheme="minorHAnsi"/>
                <w:b/>
                <w:bCs/>
                <w:sz w:val="20"/>
                <w:szCs w:val="20"/>
              </w:rPr>
            </w:pPr>
            <w:r>
              <w:rPr>
                <w:rFonts w:asciiTheme="minorHAnsi" w:hAnsiTheme="minorHAnsi" w:cstheme="minorHAnsi"/>
                <w:b/>
                <w:bCs/>
                <w:sz w:val="20"/>
                <w:szCs w:val="20"/>
              </w:rPr>
              <w:t>4</w:t>
            </w:r>
          </w:p>
        </w:tc>
        <w:tc>
          <w:tcPr>
            <w:tcW w:w="2446" w:type="dxa"/>
          </w:tcPr>
          <w:p w14:paraId="12CDB536" w14:textId="77777777" w:rsidR="00F0376F" w:rsidRPr="00762402" w:rsidRDefault="00F0376F" w:rsidP="00D637F6">
            <w:pPr>
              <w:rPr>
                <w:rFonts w:asciiTheme="minorHAnsi" w:hAnsiTheme="minorHAnsi" w:cstheme="minorHAnsi"/>
                <w:sz w:val="20"/>
                <w:szCs w:val="20"/>
              </w:rPr>
            </w:pPr>
            <w:r>
              <w:rPr>
                <w:rFonts w:asciiTheme="minorHAnsi" w:hAnsiTheme="minorHAnsi" w:cstheme="minorHAnsi"/>
                <w:b/>
                <w:bCs/>
                <w:sz w:val="20"/>
                <w:szCs w:val="20"/>
              </w:rPr>
              <w:t>Research and Demonstration Licence</w:t>
            </w:r>
          </w:p>
          <w:p w14:paraId="78AD8B6A" w14:textId="77777777" w:rsidR="00F0376F" w:rsidRPr="00762402" w:rsidRDefault="00F0376F" w:rsidP="00D637F6">
            <w:pPr>
              <w:rPr>
                <w:rFonts w:asciiTheme="minorHAnsi" w:hAnsiTheme="minorHAnsi" w:cstheme="minorHAnsi"/>
                <w:sz w:val="20"/>
                <w:szCs w:val="20"/>
              </w:rPr>
            </w:pPr>
            <w:r w:rsidRPr="00762402">
              <w:rPr>
                <w:rFonts w:asciiTheme="minorHAnsi" w:hAnsiTheme="minorHAnsi" w:cstheme="minorHAnsi"/>
                <w:sz w:val="20"/>
                <w:szCs w:val="20"/>
              </w:rPr>
              <w:t>(</w:t>
            </w:r>
            <w:r>
              <w:rPr>
                <w:rFonts w:asciiTheme="minorHAnsi" w:hAnsiTheme="minorHAnsi" w:cstheme="minorHAnsi"/>
                <w:sz w:val="20"/>
                <w:szCs w:val="20"/>
              </w:rPr>
              <w:t>Chapter 3</w:t>
            </w:r>
            <w:r w:rsidRPr="00762402">
              <w:rPr>
                <w:rFonts w:asciiTheme="minorHAnsi" w:hAnsiTheme="minorHAnsi" w:cstheme="minorHAnsi"/>
                <w:sz w:val="20"/>
                <w:szCs w:val="20"/>
              </w:rPr>
              <w:t>)</w:t>
            </w:r>
          </w:p>
        </w:tc>
        <w:tc>
          <w:tcPr>
            <w:tcW w:w="11209" w:type="dxa"/>
          </w:tcPr>
          <w:p w14:paraId="34CA678E" w14:textId="19F0A867" w:rsidR="00F0376F" w:rsidRPr="00762402" w:rsidRDefault="00F0376F" w:rsidP="00D637F6">
            <w:pPr>
              <w:rPr>
                <w:rFonts w:asciiTheme="minorHAnsi" w:hAnsiTheme="minorHAnsi" w:cstheme="minorHAnsi"/>
                <w:sz w:val="20"/>
                <w:szCs w:val="20"/>
              </w:rPr>
            </w:pPr>
            <w:r>
              <w:rPr>
                <w:rFonts w:asciiTheme="minorHAnsi" w:hAnsiTheme="minorHAnsi" w:cstheme="minorHAnsi"/>
                <w:sz w:val="20"/>
                <w:szCs w:val="20"/>
              </w:rPr>
              <w:t>See item 2 for g</w:t>
            </w:r>
            <w:r w:rsidRPr="00762402">
              <w:rPr>
                <w:rFonts w:asciiTheme="minorHAnsi" w:hAnsiTheme="minorHAnsi" w:cstheme="minorHAnsi"/>
                <w:sz w:val="20"/>
                <w:szCs w:val="20"/>
              </w:rPr>
              <w:t>eneral overview of process</w:t>
            </w:r>
            <w:r w:rsidR="00A34AD1">
              <w:rPr>
                <w:rFonts w:asciiTheme="minorHAnsi" w:hAnsiTheme="minorHAnsi" w:cstheme="minorHAnsi"/>
                <w:sz w:val="20"/>
                <w:szCs w:val="20"/>
              </w:rPr>
              <w:t>.</w:t>
            </w:r>
          </w:p>
        </w:tc>
      </w:tr>
      <w:tr w:rsidR="00F0376F" w:rsidRPr="00762402" w14:paraId="574701B7" w14:textId="77777777" w:rsidTr="009D3DF3">
        <w:trPr>
          <w:trHeight w:val="756"/>
        </w:trPr>
        <w:tc>
          <w:tcPr>
            <w:tcW w:w="804" w:type="dxa"/>
          </w:tcPr>
          <w:p w14:paraId="411FC61D" w14:textId="77777777" w:rsidR="00F0376F" w:rsidRPr="00762402" w:rsidRDefault="00F0376F" w:rsidP="00D637F6">
            <w:pPr>
              <w:jc w:val="center"/>
              <w:rPr>
                <w:rFonts w:asciiTheme="minorHAnsi" w:hAnsiTheme="minorHAnsi" w:cstheme="minorHAnsi"/>
                <w:b/>
                <w:bCs/>
                <w:sz w:val="20"/>
                <w:szCs w:val="20"/>
              </w:rPr>
            </w:pPr>
            <w:r>
              <w:rPr>
                <w:rFonts w:asciiTheme="minorHAnsi" w:hAnsiTheme="minorHAnsi" w:cstheme="minorHAnsi"/>
                <w:b/>
                <w:bCs/>
                <w:sz w:val="20"/>
                <w:szCs w:val="20"/>
              </w:rPr>
              <w:t>5</w:t>
            </w:r>
          </w:p>
        </w:tc>
        <w:tc>
          <w:tcPr>
            <w:tcW w:w="2446" w:type="dxa"/>
          </w:tcPr>
          <w:p w14:paraId="7B002DDC" w14:textId="77777777" w:rsidR="00F0376F" w:rsidRPr="00762402" w:rsidRDefault="00F0376F" w:rsidP="00D637F6">
            <w:pPr>
              <w:rPr>
                <w:rFonts w:asciiTheme="minorHAnsi" w:hAnsiTheme="minorHAnsi" w:cstheme="minorHAnsi"/>
                <w:sz w:val="20"/>
                <w:szCs w:val="20"/>
              </w:rPr>
            </w:pPr>
            <w:r>
              <w:rPr>
                <w:rFonts w:asciiTheme="minorHAnsi" w:hAnsiTheme="minorHAnsi" w:cstheme="minorHAnsi"/>
                <w:b/>
                <w:bCs/>
                <w:sz w:val="20"/>
                <w:szCs w:val="20"/>
              </w:rPr>
              <w:t>Transmission and Infrastructure Licence</w:t>
            </w:r>
          </w:p>
          <w:p w14:paraId="50EC3D44" w14:textId="77777777" w:rsidR="00F0376F" w:rsidRPr="00296794" w:rsidRDefault="00F0376F" w:rsidP="00D637F6">
            <w:pPr>
              <w:rPr>
                <w:rFonts w:asciiTheme="minorHAnsi" w:hAnsiTheme="minorHAnsi" w:cstheme="minorHAnsi"/>
                <w:sz w:val="20"/>
                <w:szCs w:val="20"/>
              </w:rPr>
            </w:pPr>
            <w:r w:rsidRPr="00762402">
              <w:rPr>
                <w:rFonts w:asciiTheme="minorHAnsi" w:hAnsiTheme="minorHAnsi" w:cstheme="minorHAnsi"/>
                <w:sz w:val="20"/>
                <w:szCs w:val="20"/>
              </w:rPr>
              <w:t>(</w:t>
            </w:r>
            <w:r>
              <w:rPr>
                <w:rFonts w:asciiTheme="minorHAnsi" w:hAnsiTheme="minorHAnsi" w:cstheme="minorHAnsi"/>
                <w:sz w:val="20"/>
                <w:szCs w:val="20"/>
              </w:rPr>
              <w:t>Chapter 3</w:t>
            </w:r>
            <w:r w:rsidRPr="00762402">
              <w:rPr>
                <w:rFonts w:asciiTheme="minorHAnsi" w:hAnsiTheme="minorHAnsi" w:cstheme="minorHAnsi"/>
                <w:sz w:val="20"/>
                <w:szCs w:val="20"/>
              </w:rPr>
              <w:t>)</w:t>
            </w:r>
          </w:p>
        </w:tc>
        <w:tc>
          <w:tcPr>
            <w:tcW w:w="11209" w:type="dxa"/>
          </w:tcPr>
          <w:p w14:paraId="11F74CB9" w14:textId="407925BA" w:rsidR="00F0376F" w:rsidRPr="00762402" w:rsidRDefault="00F0376F" w:rsidP="00D637F6">
            <w:pPr>
              <w:rPr>
                <w:rFonts w:asciiTheme="minorHAnsi" w:hAnsiTheme="minorHAnsi" w:cstheme="minorHAnsi"/>
                <w:sz w:val="20"/>
                <w:szCs w:val="20"/>
              </w:rPr>
            </w:pPr>
            <w:r>
              <w:rPr>
                <w:rFonts w:asciiTheme="minorHAnsi" w:hAnsiTheme="minorHAnsi" w:cstheme="minorHAnsi"/>
                <w:sz w:val="20"/>
                <w:szCs w:val="20"/>
              </w:rPr>
              <w:t>See item 2 for g</w:t>
            </w:r>
            <w:r w:rsidRPr="00762402">
              <w:rPr>
                <w:rFonts w:asciiTheme="minorHAnsi" w:hAnsiTheme="minorHAnsi" w:cstheme="minorHAnsi"/>
                <w:sz w:val="20"/>
                <w:szCs w:val="20"/>
              </w:rPr>
              <w:t>eneral overview of process</w:t>
            </w:r>
            <w:r w:rsidR="00A34AD1">
              <w:rPr>
                <w:rFonts w:asciiTheme="minorHAnsi" w:hAnsiTheme="minorHAnsi" w:cstheme="minorHAnsi"/>
                <w:sz w:val="20"/>
                <w:szCs w:val="20"/>
              </w:rPr>
              <w:t>.</w:t>
            </w:r>
          </w:p>
        </w:tc>
      </w:tr>
      <w:tr w:rsidR="00F0376F" w:rsidRPr="00762402" w14:paraId="084012EB" w14:textId="77777777" w:rsidTr="009D3DF3">
        <w:trPr>
          <w:trHeight w:val="70"/>
        </w:trPr>
        <w:tc>
          <w:tcPr>
            <w:tcW w:w="804" w:type="dxa"/>
          </w:tcPr>
          <w:p w14:paraId="5A199F46" w14:textId="77777777" w:rsidR="00F0376F" w:rsidRPr="00762402" w:rsidRDefault="00F0376F" w:rsidP="00D637F6">
            <w:pPr>
              <w:jc w:val="center"/>
              <w:rPr>
                <w:rFonts w:asciiTheme="minorHAnsi" w:hAnsiTheme="minorHAnsi" w:cstheme="minorHAnsi"/>
                <w:b/>
                <w:bCs/>
                <w:sz w:val="20"/>
                <w:szCs w:val="20"/>
              </w:rPr>
            </w:pPr>
            <w:r>
              <w:rPr>
                <w:rFonts w:asciiTheme="minorHAnsi" w:hAnsiTheme="minorHAnsi" w:cstheme="minorHAnsi"/>
                <w:b/>
                <w:bCs/>
                <w:sz w:val="20"/>
                <w:szCs w:val="20"/>
              </w:rPr>
              <w:t>6</w:t>
            </w:r>
          </w:p>
        </w:tc>
        <w:tc>
          <w:tcPr>
            <w:tcW w:w="2446" w:type="dxa"/>
          </w:tcPr>
          <w:p w14:paraId="24001972" w14:textId="77777777" w:rsidR="00F0376F" w:rsidRPr="00762402" w:rsidRDefault="00F0376F" w:rsidP="00D637F6">
            <w:pPr>
              <w:rPr>
                <w:rFonts w:asciiTheme="minorHAnsi" w:hAnsiTheme="minorHAnsi" w:cstheme="minorHAnsi"/>
                <w:b/>
                <w:bCs/>
                <w:sz w:val="20"/>
                <w:szCs w:val="20"/>
              </w:rPr>
            </w:pPr>
            <w:r w:rsidRPr="00762402">
              <w:rPr>
                <w:rFonts w:asciiTheme="minorHAnsi" w:hAnsiTheme="minorHAnsi" w:cstheme="minorHAnsi"/>
                <w:b/>
                <w:bCs/>
                <w:sz w:val="20"/>
                <w:szCs w:val="20"/>
              </w:rPr>
              <w:t>Transfers</w:t>
            </w:r>
          </w:p>
          <w:p w14:paraId="32DCFC29" w14:textId="77777777" w:rsidR="00F0376F" w:rsidRPr="00296794" w:rsidRDefault="00F0376F" w:rsidP="00D637F6">
            <w:pPr>
              <w:rPr>
                <w:rFonts w:asciiTheme="minorHAnsi" w:hAnsiTheme="minorHAnsi" w:cstheme="minorHAnsi"/>
                <w:sz w:val="20"/>
                <w:szCs w:val="20"/>
              </w:rPr>
            </w:pPr>
            <w:r w:rsidRPr="00762402">
              <w:rPr>
                <w:rFonts w:asciiTheme="minorHAnsi" w:hAnsiTheme="minorHAnsi" w:cstheme="minorHAnsi"/>
                <w:sz w:val="20"/>
                <w:szCs w:val="20"/>
              </w:rPr>
              <w:t>(</w:t>
            </w:r>
            <w:r>
              <w:rPr>
                <w:rFonts w:asciiTheme="minorHAnsi" w:hAnsiTheme="minorHAnsi" w:cstheme="minorHAnsi"/>
                <w:sz w:val="20"/>
                <w:szCs w:val="20"/>
              </w:rPr>
              <w:t>Chapter 3)</w:t>
            </w:r>
          </w:p>
        </w:tc>
        <w:tc>
          <w:tcPr>
            <w:tcW w:w="11209" w:type="dxa"/>
          </w:tcPr>
          <w:p w14:paraId="62C29140" w14:textId="77777777" w:rsidR="00F0376F" w:rsidRPr="00762402" w:rsidRDefault="00F0376F" w:rsidP="00D637F6">
            <w:pPr>
              <w:rPr>
                <w:rFonts w:asciiTheme="minorHAnsi" w:hAnsiTheme="minorHAnsi" w:cstheme="minorHAnsi"/>
                <w:b/>
                <w:bCs/>
                <w:i/>
                <w:iCs/>
                <w:sz w:val="20"/>
                <w:szCs w:val="20"/>
              </w:rPr>
            </w:pPr>
            <w:r w:rsidRPr="00762402">
              <w:rPr>
                <w:rFonts w:asciiTheme="minorHAnsi" w:hAnsiTheme="minorHAnsi" w:cstheme="minorHAnsi"/>
                <w:b/>
                <w:bCs/>
                <w:i/>
                <w:iCs/>
                <w:sz w:val="20"/>
                <w:szCs w:val="20"/>
              </w:rPr>
              <w:t xml:space="preserve">Transfer of </w:t>
            </w:r>
            <w:r>
              <w:rPr>
                <w:rFonts w:asciiTheme="minorHAnsi" w:hAnsiTheme="minorHAnsi" w:cstheme="minorHAnsi"/>
                <w:b/>
                <w:bCs/>
                <w:i/>
                <w:iCs/>
                <w:sz w:val="20"/>
                <w:szCs w:val="20"/>
              </w:rPr>
              <w:t>licence</w:t>
            </w:r>
          </w:p>
          <w:p w14:paraId="293242F9" w14:textId="02A9194B" w:rsidR="00F0376F" w:rsidRPr="000277D3" w:rsidRDefault="00F0376F" w:rsidP="00EC279B">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Consultation and provision of regulatory information to the Registrar</w:t>
            </w:r>
            <w:r w:rsidR="00A34AD1">
              <w:rPr>
                <w:rFonts w:asciiTheme="minorHAnsi" w:hAnsiTheme="minorHAnsi" w:cstheme="minorHAnsi"/>
                <w:sz w:val="20"/>
                <w:szCs w:val="20"/>
              </w:rPr>
              <w:t>.</w:t>
            </w:r>
          </w:p>
        </w:tc>
      </w:tr>
      <w:tr w:rsidR="00F0376F" w:rsidRPr="00762402" w14:paraId="78422FFB" w14:textId="77777777" w:rsidTr="009D3DF3">
        <w:trPr>
          <w:trHeight w:val="188"/>
        </w:trPr>
        <w:tc>
          <w:tcPr>
            <w:tcW w:w="804" w:type="dxa"/>
          </w:tcPr>
          <w:p w14:paraId="1D22674A" w14:textId="77777777" w:rsidR="00F0376F" w:rsidRPr="00762402" w:rsidRDefault="00F0376F" w:rsidP="00D637F6">
            <w:pPr>
              <w:jc w:val="center"/>
              <w:rPr>
                <w:rFonts w:asciiTheme="minorHAnsi" w:hAnsiTheme="minorHAnsi" w:cstheme="minorHAnsi"/>
                <w:b/>
                <w:sz w:val="20"/>
                <w:szCs w:val="20"/>
              </w:rPr>
            </w:pPr>
            <w:r>
              <w:rPr>
                <w:rFonts w:asciiTheme="minorHAnsi" w:hAnsiTheme="minorHAnsi" w:cstheme="minorHAnsi"/>
                <w:b/>
                <w:sz w:val="20"/>
                <w:szCs w:val="20"/>
              </w:rPr>
              <w:t>7</w:t>
            </w:r>
          </w:p>
        </w:tc>
        <w:tc>
          <w:tcPr>
            <w:tcW w:w="2446" w:type="dxa"/>
          </w:tcPr>
          <w:p w14:paraId="4BE131E9" w14:textId="77777777" w:rsidR="00F0376F" w:rsidRPr="00762402" w:rsidRDefault="00F0376F" w:rsidP="00D637F6">
            <w:pPr>
              <w:rPr>
                <w:rFonts w:asciiTheme="minorHAnsi" w:hAnsiTheme="minorHAnsi" w:cstheme="minorHAnsi"/>
                <w:b/>
                <w:sz w:val="20"/>
                <w:szCs w:val="20"/>
              </w:rPr>
            </w:pPr>
            <w:r>
              <w:rPr>
                <w:rFonts w:asciiTheme="minorHAnsi" w:hAnsiTheme="minorHAnsi" w:cstheme="minorHAnsi"/>
                <w:b/>
                <w:sz w:val="20"/>
                <w:szCs w:val="20"/>
              </w:rPr>
              <w:t>Change in Control</w:t>
            </w:r>
          </w:p>
          <w:p w14:paraId="1944A20C" w14:textId="77777777" w:rsidR="00F0376F" w:rsidRPr="00296794" w:rsidRDefault="00F0376F" w:rsidP="00D637F6">
            <w:pPr>
              <w:rPr>
                <w:rFonts w:asciiTheme="minorHAnsi" w:hAnsiTheme="minorHAnsi" w:cstheme="minorHAnsi"/>
                <w:bCs/>
                <w:sz w:val="20"/>
                <w:szCs w:val="20"/>
              </w:rPr>
            </w:pPr>
            <w:r w:rsidRPr="00762402">
              <w:rPr>
                <w:rFonts w:asciiTheme="minorHAnsi" w:hAnsiTheme="minorHAnsi" w:cstheme="minorHAnsi"/>
                <w:bCs/>
                <w:sz w:val="20"/>
                <w:szCs w:val="20"/>
              </w:rPr>
              <w:t>(</w:t>
            </w:r>
            <w:r>
              <w:rPr>
                <w:rFonts w:asciiTheme="minorHAnsi" w:hAnsiTheme="minorHAnsi" w:cstheme="minorHAnsi"/>
                <w:bCs/>
                <w:sz w:val="20"/>
                <w:szCs w:val="20"/>
              </w:rPr>
              <w:t>Chapter 3</w:t>
            </w:r>
            <w:r w:rsidRPr="00762402">
              <w:rPr>
                <w:rFonts w:asciiTheme="minorHAnsi" w:hAnsiTheme="minorHAnsi" w:cstheme="minorHAnsi"/>
                <w:bCs/>
                <w:sz w:val="20"/>
                <w:szCs w:val="20"/>
              </w:rPr>
              <w:t>)</w:t>
            </w:r>
          </w:p>
        </w:tc>
        <w:tc>
          <w:tcPr>
            <w:tcW w:w="11209" w:type="dxa"/>
          </w:tcPr>
          <w:p w14:paraId="79095722" w14:textId="77777777" w:rsidR="00F0376F" w:rsidRPr="0091192E" w:rsidRDefault="00F0376F" w:rsidP="00D637F6">
            <w:pPr>
              <w:rPr>
                <w:rFonts w:asciiTheme="minorHAnsi" w:hAnsiTheme="minorHAnsi" w:cstheme="minorHAnsi"/>
                <w:b/>
                <w:bCs/>
                <w:i/>
                <w:iCs/>
                <w:sz w:val="20"/>
                <w:szCs w:val="20"/>
              </w:rPr>
            </w:pPr>
            <w:r w:rsidRPr="0091192E">
              <w:rPr>
                <w:rFonts w:asciiTheme="minorHAnsi" w:hAnsiTheme="minorHAnsi" w:cstheme="minorHAnsi"/>
                <w:b/>
                <w:bCs/>
                <w:i/>
                <w:iCs/>
                <w:sz w:val="20"/>
                <w:szCs w:val="20"/>
              </w:rPr>
              <w:t>Change in control in relation to licence</w:t>
            </w:r>
          </w:p>
          <w:p w14:paraId="7660BD11" w14:textId="2C3BFD68" w:rsidR="00F0376F" w:rsidRPr="000277D3"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Consultation and provision of regulatory information to the Registrar</w:t>
            </w:r>
            <w:r w:rsidR="00A34AD1">
              <w:rPr>
                <w:rFonts w:asciiTheme="minorHAnsi" w:hAnsiTheme="minorHAnsi" w:cstheme="minorHAnsi"/>
                <w:sz w:val="20"/>
                <w:szCs w:val="20"/>
              </w:rPr>
              <w:t>.</w:t>
            </w:r>
          </w:p>
        </w:tc>
      </w:tr>
      <w:tr w:rsidR="00F0376F" w:rsidRPr="00762402" w14:paraId="7C79BD6E" w14:textId="77777777" w:rsidTr="009D3DF3">
        <w:trPr>
          <w:trHeight w:val="188"/>
        </w:trPr>
        <w:tc>
          <w:tcPr>
            <w:tcW w:w="804" w:type="dxa"/>
          </w:tcPr>
          <w:p w14:paraId="1E37A54D" w14:textId="77777777" w:rsidR="00F0376F" w:rsidRDefault="00F0376F" w:rsidP="00D637F6">
            <w:pPr>
              <w:jc w:val="center"/>
              <w:rPr>
                <w:rFonts w:asciiTheme="minorHAnsi" w:hAnsiTheme="minorHAnsi" w:cstheme="minorHAnsi"/>
                <w:b/>
                <w:sz w:val="20"/>
                <w:szCs w:val="20"/>
              </w:rPr>
            </w:pPr>
            <w:r>
              <w:rPr>
                <w:rFonts w:asciiTheme="minorHAnsi" w:hAnsiTheme="minorHAnsi" w:cstheme="minorHAnsi"/>
                <w:b/>
                <w:sz w:val="20"/>
                <w:szCs w:val="20"/>
              </w:rPr>
              <w:lastRenderedPageBreak/>
              <w:t>8</w:t>
            </w:r>
          </w:p>
        </w:tc>
        <w:tc>
          <w:tcPr>
            <w:tcW w:w="2446" w:type="dxa"/>
          </w:tcPr>
          <w:p w14:paraId="57CD2ADA" w14:textId="77777777" w:rsidR="00F0376F" w:rsidRDefault="00F0376F" w:rsidP="00D637F6">
            <w:pPr>
              <w:rPr>
                <w:rFonts w:asciiTheme="minorHAnsi" w:hAnsiTheme="minorHAnsi" w:cstheme="minorHAnsi"/>
                <w:b/>
                <w:sz w:val="20"/>
                <w:szCs w:val="20"/>
              </w:rPr>
            </w:pPr>
            <w:r>
              <w:rPr>
                <w:rFonts w:asciiTheme="minorHAnsi" w:hAnsiTheme="minorHAnsi" w:cstheme="minorHAnsi"/>
                <w:b/>
                <w:sz w:val="20"/>
                <w:szCs w:val="20"/>
              </w:rPr>
              <w:t xml:space="preserve">Design Notification </w:t>
            </w:r>
          </w:p>
          <w:p w14:paraId="74F1C9A7" w14:textId="77777777" w:rsidR="00F0376F" w:rsidRPr="00F75621" w:rsidRDefault="00F0376F" w:rsidP="00D637F6">
            <w:pPr>
              <w:rPr>
                <w:rFonts w:asciiTheme="minorHAnsi" w:hAnsiTheme="minorHAnsi" w:cstheme="minorHAnsi"/>
                <w:sz w:val="20"/>
                <w:szCs w:val="20"/>
              </w:rPr>
            </w:pPr>
            <w:r w:rsidRPr="00F75621">
              <w:rPr>
                <w:rFonts w:asciiTheme="minorHAnsi" w:hAnsiTheme="minorHAnsi" w:cstheme="minorHAnsi"/>
                <w:sz w:val="20"/>
                <w:szCs w:val="20"/>
              </w:rPr>
              <w:t>(Chapters 4 and 5)</w:t>
            </w:r>
          </w:p>
        </w:tc>
        <w:tc>
          <w:tcPr>
            <w:tcW w:w="11209" w:type="dxa"/>
          </w:tcPr>
          <w:p w14:paraId="7AD21169" w14:textId="2DF60436" w:rsidR="00F0376F" w:rsidRPr="00762402"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R</w:t>
            </w:r>
            <w:r w:rsidRPr="00762402">
              <w:rPr>
                <w:rFonts w:asciiTheme="minorHAnsi" w:hAnsiTheme="minorHAnsi" w:cstheme="minorHAnsi"/>
                <w:sz w:val="20"/>
                <w:szCs w:val="20"/>
              </w:rPr>
              <w:t>eceipt of application</w:t>
            </w:r>
            <w:r>
              <w:rPr>
                <w:rFonts w:asciiTheme="minorHAnsi" w:hAnsiTheme="minorHAnsi" w:cstheme="minorHAnsi"/>
                <w:sz w:val="20"/>
                <w:szCs w:val="20"/>
              </w:rPr>
              <w:t>s</w:t>
            </w:r>
            <w:r w:rsidR="00A34AD1">
              <w:rPr>
                <w:rFonts w:asciiTheme="minorHAnsi" w:hAnsiTheme="minorHAnsi" w:cstheme="minorHAnsi"/>
                <w:sz w:val="20"/>
                <w:szCs w:val="20"/>
              </w:rPr>
              <w:t>.</w:t>
            </w:r>
          </w:p>
          <w:p w14:paraId="67F2F230" w14:textId="520C48E8" w:rsidR="00F0376F"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A</w:t>
            </w:r>
            <w:r w:rsidRPr="00762402">
              <w:rPr>
                <w:rFonts w:asciiTheme="minorHAnsi" w:hAnsiTheme="minorHAnsi" w:cstheme="minorHAnsi"/>
                <w:sz w:val="20"/>
                <w:szCs w:val="20"/>
              </w:rPr>
              <w:t>ssessment of application</w:t>
            </w:r>
            <w:r>
              <w:rPr>
                <w:rFonts w:asciiTheme="minorHAnsi" w:hAnsiTheme="minorHAnsi" w:cstheme="minorHAnsi"/>
                <w:sz w:val="20"/>
                <w:szCs w:val="20"/>
              </w:rPr>
              <w:t>s</w:t>
            </w:r>
            <w:r w:rsidRPr="00762402">
              <w:rPr>
                <w:rFonts w:asciiTheme="minorHAnsi" w:hAnsiTheme="minorHAnsi" w:cstheme="minorHAnsi"/>
                <w:sz w:val="20"/>
                <w:szCs w:val="20"/>
              </w:rPr>
              <w:t xml:space="preserve"> </w:t>
            </w:r>
            <w:r>
              <w:rPr>
                <w:rFonts w:asciiTheme="minorHAnsi" w:hAnsiTheme="minorHAnsi" w:cstheme="minorHAnsi"/>
                <w:sz w:val="20"/>
                <w:szCs w:val="20"/>
              </w:rPr>
              <w:t>(including any procedural fairness requirements)</w:t>
            </w:r>
            <w:r w:rsidR="00A34AD1">
              <w:rPr>
                <w:rFonts w:asciiTheme="minorHAnsi" w:hAnsiTheme="minorHAnsi" w:cstheme="minorHAnsi"/>
                <w:sz w:val="20"/>
                <w:szCs w:val="20"/>
              </w:rPr>
              <w:t>.</w:t>
            </w:r>
          </w:p>
          <w:p w14:paraId="6E41FDD1" w14:textId="44F6FE65" w:rsidR="00F0376F" w:rsidRPr="00762402"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Consultation with the Registrar (where applicable)</w:t>
            </w:r>
            <w:r w:rsidR="00A34AD1">
              <w:rPr>
                <w:rFonts w:asciiTheme="minorHAnsi" w:hAnsiTheme="minorHAnsi" w:cstheme="minorHAnsi"/>
                <w:sz w:val="20"/>
                <w:szCs w:val="20"/>
              </w:rPr>
              <w:t>.</w:t>
            </w:r>
          </w:p>
          <w:p w14:paraId="74B327B8" w14:textId="1D04AEA2" w:rsidR="00F0376F" w:rsidRPr="00762402"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I</w:t>
            </w:r>
            <w:r w:rsidRPr="00762402">
              <w:rPr>
                <w:rFonts w:asciiTheme="minorHAnsi" w:hAnsiTheme="minorHAnsi" w:cstheme="minorHAnsi"/>
                <w:sz w:val="20"/>
                <w:szCs w:val="20"/>
              </w:rPr>
              <w:t>mplement</w:t>
            </w:r>
            <w:r>
              <w:rPr>
                <w:rFonts w:asciiTheme="minorHAnsi" w:hAnsiTheme="minorHAnsi" w:cstheme="minorHAnsi"/>
                <w:sz w:val="20"/>
                <w:szCs w:val="20"/>
              </w:rPr>
              <w:t xml:space="preserve">ation of </w:t>
            </w:r>
            <w:r w:rsidRPr="00762402">
              <w:rPr>
                <w:rFonts w:asciiTheme="minorHAnsi" w:hAnsiTheme="minorHAnsi" w:cstheme="minorHAnsi"/>
                <w:sz w:val="20"/>
                <w:szCs w:val="20"/>
              </w:rPr>
              <w:t>decision</w:t>
            </w:r>
            <w:r>
              <w:rPr>
                <w:rFonts w:asciiTheme="minorHAnsi" w:hAnsiTheme="minorHAnsi" w:cstheme="minorHAnsi"/>
                <w:sz w:val="20"/>
                <w:szCs w:val="20"/>
              </w:rPr>
              <w:t>s</w:t>
            </w:r>
            <w:r w:rsidR="00A34AD1">
              <w:rPr>
                <w:rFonts w:asciiTheme="minorHAnsi" w:hAnsiTheme="minorHAnsi" w:cstheme="minorHAnsi"/>
                <w:sz w:val="20"/>
                <w:szCs w:val="20"/>
              </w:rPr>
              <w:t>.</w:t>
            </w:r>
          </w:p>
          <w:p w14:paraId="1807B429" w14:textId="57AC3AF7" w:rsidR="00F0376F" w:rsidRPr="00762402"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D</w:t>
            </w:r>
            <w:r w:rsidRPr="00762402">
              <w:rPr>
                <w:rFonts w:asciiTheme="minorHAnsi" w:hAnsiTheme="minorHAnsi" w:cstheme="minorHAnsi"/>
                <w:sz w:val="20"/>
                <w:szCs w:val="20"/>
              </w:rPr>
              <w:t xml:space="preserve">issemination </w:t>
            </w:r>
            <w:r>
              <w:rPr>
                <w:rFonts w:asciiTheme="minorHAnsi" w:hAnsiTheme="minorHAnsi" w:cstheme="minorHAnsi"/>
                <w:sz w:val="20"/>
                <w:szCs w:val="20"/>
              </w:rPr>
              <w:t xml:space="preserve">and publication </w:t>
            </w:r>
            <w:r w:rsidRPr="00762402">
              <w:rPr>
                <w:rFonts w:asciiTheme="minorHAnsi" w:hAnsiTheme="minorHAnsi" w:cstheme="minorHAnsi"/>
                <w:sz w:val="20"/>
                <w:szCs w:val="20"/>
              </w:rPr>
              <w:t>of information</w:t>
            </w:r>
            <w:r w:rsidR="00A34AD1">
              <w:rPr>
                <w:rFonts w:asciiTheme="minorHAnsi" w:hAnsiTheme="minorHAnsi" w:cstheme="minorHAnsi"/>
                <w:sz w:val="20"/>
                <w:szCs w:val="20"/>
              </w:rPr>
              <w:t>.</w:t>
            </w:r>
            <w:r w:rsidRPr="00762402">
              <w:rPr>
                <w:rFonts w:asciiTheme="minorHAnsi" w:hAnsiTheme="minorHAnsi" w:cstheme="minorHAnsi"/>
                <w:sz w:val="20"/>
                <w:szCs w:val="20"/>
              </w:rPr>
              <w:t xml:space="preserve"> </w:t>
            </w:r>
          </w:p>
          <w:p w14:paraId="7A97352D" w14:textId="055F05D4" w:rsidR="00F0376F"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O</w:t>
            </w:r>
            <w:r w:rsidRPr="00762402">
              <w:rPr>
                <w:rFonts w:asciiTheme="minorHAnsi" w:hAnsiTheme="minorHAnsi" w:cstheme="minorHAnsi"/>
                <w:sz w:val="20"/>
                <w:szCs w:val="20"/>
              </w:rPr>
              <w:t>ngoing assessment</w:t>
            </w:r>
            <w:r>
              <w:rPr>
                <w:rFonts w:asciiTheme="minorHAnsi" w:hAnsiTheme="minorHAnsi" w:cstheme="minorHAnsi"/>
                <w:sz w:val="20"/>
                <w:szCs w:val="20"/>
              </w:rPr>
              <w:t xml:space="preserve"> of revisions</w:t>
            </w:r>
            <w:r w:rsidR="00A34AD1">
              <w:rPr>
                <w:rFonts w:asciiTheme="minorHAnsi" w:hAnsiTheme="minorHAnsi" w:cstheme="minorHAnsi"/>
                <w:sz w:val="20"/>
                <w:szCs w:val="20"/>
              </w:rPr>
              <w:t>.</w:t>
            </w:r>
          </w:p>
          <w:p w14:paraId="15DFE69A" w14:textId="296F3F4E" w:rsidR="00F0376F"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Stakeholder engagement and promotion of good practice both prior to and during the assessment</w:t>
            </w:r>
            <w:r w:rsidR="00A34AD1">
              <w:rPr>
                <w:rFonts w:asciiTheme="minorHAnsi" w:hAnsiTheme="minorHAnsi" w:cstheme="minorHAnsi"/>
                <w:sz w:val="20"/>
                <w:szCs w:val="20"/>
              </w:rPr>
              <w:t>.</w:t>
            </w:r>
          </w:p>
          <w:p w14:paraId="499E611C" w14:textId="2BDC4A09" w:rsidR="00F0376F"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Core process development, implementation and maintenance</w:t>
            </w:r>
            <w:r w:rsidR="00A34AD1">
              <w:rPr>
                <w:rFonts w:asciiTheme="minorHAnsi" w:hAnsiTheme="minorHAnsi" w:cstheme="minorHAnsi"/>
                <w:sz w:val="20"/>
                <w:szCs w:val="20"/>
              </w:rPr>
              <w:t>.</w:t>
            </w:r>
            <w:r>
              <w:rPr>
                <w:rFonts w:asciiTheme="minorHAnsi" w:hAnsiTheme="minorHAnsi" w:cstheme="minorHAnsi"/>
                <w:sz w:val="20"/>
                <w:szCs w:val="20"/>
              </w:rPr>
              <w:t xml:space="preserve"> </w:t>
            </w:r>
          </w:p>
          <w:p w14:paraId="5C004DBB" w14:textId="3D1105AD" w:rsidR="00F0376F"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D</w:t>
            </w:r>
            <w:r w:rsidRPr="0009725E">
              <w:rPr>
                <w:rFonts w:asciiTheme="minorHAnsi" w:hAnsiTheme="minorHAnsi" w:cstheme="minorHAnsi"/>
                <w:sz w:val="20"/>
                <w:szCs w:val="20"/>
              </w:rPr>
              <w:t>evelop</w:t>
            </w:r>
            <w:r>
              <w:rPr>
                <w:rFonts w:asciiTheme="minorHAnsi" w:hAnsiTheme="minorHAnsi" w:cstheme="minorHAnsi"/>
                <w:sz w:val="20"/>
                <w:szCs w:val="20"/>
              </w:rPr>
              <w:t>ing and m</w:t>
            </w:r>
            <w:r w:rsidRPr="0009725E">
              <w:rPr>
                <w:rFonts w:asciiTheme="minorHAnsi" w:hAnsiTheme="minorHAnsi" w:cstheme="minorHAnsi"/>
                <w:sz w:val="20"/>
                <w:szCs w:val="20"/>
              </w:rPr>
              <w:t>aintain</w:t>
            </w:r>
            <w:r>
              <w:rPr>
                <w:rFonts w:asciiTheme="minorHAnsi" w:hAnsiTheme="minorHAnsi" w:cstheme="minorHAnsi"/>
                <w:sz w:val="20"/>
                <w:szCs w:val="20"/>
              </w:rPr>
              <w:t>ing</w:t>
            </w:r>
            <w:r w:rsidRPr="0009725E">
              <w:rPr>
                <w:rFonts w:asciiTheme="minorHAnsi" w:hAnsiTheme="minorHAnsi" w:cstheme="minorHAnsi"/>
                <w:sz w:val="20"/>
                <w:szCs w:val="20"/>
              </w:rPr>
              <w:t xml:space="preserve"> guidance material for applicants</w:t>
            </w:r>
            <w:r>
              <w:rPr>
                <w:rFonts w:asciiTheme="minorHAnsi" w:hAnsiTheme="minorHAnsi" w:cstheme="minorHAnsi"/>
                <w:sz w:val="20"/>
                <w:szCs w:val="20"/>
              </w:rPr>
              <w:t xml:space="preserve"> and licence holders</w:t>
            </w:r>
            <w:r w:rsidR="00A34AD1">
              <w:rPr>
                <w:rFonts w:asciiTheme="minorHAnsi" w:hAnsiTheme="minorHAnsi" w:cstheme="minorHAnsi"/>
                <w:sz w:val="20"/>
                <w:szCs w:val="20"/>
              </w:rPr>
              <w:t>.</w:t>
            </w:r>
          </w:p>
          <w:p w14:paraId="12B2E19E" w14:textId="51137F7C" w:rsidR="00F0376F"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Developing and maintaining a regulatory management system and associated records</w:t>
            </w:r>
            <w:r w:rsidR="00A34AD1">
              <w:rPr>
                <w:rFonts w:asciiTheme="minorHAnsi" w:hAnsiTheme="minorHAnsi" w:cstheme="minorHAnsi"/>
                <w:sz w:val="20"/>
                <w:szCs w:val="20"/>
              </w:rPr>
              <w:t>.</w:t>
            </w:r>
          </w:p>
          <w:p w14:paraId="73862657" w14:textId="740E9661" w:rsidR="00F0376F" w:rsidRPr="005B014E" w:rsidRDefault="00F0376F" w:rsidP="00D637F6">
            <w:pPr>
              <w:pStyle w:val="ListParagraph"/>
              <w:numPr>
                <w:ilvl w:val="0"/>
                <w:numId w:val="6"/>
              </w:numPr>
              <w:rPr>
                <w:rFonts w:asciiTheme="minorHAnsi" w:hAnsiTheme="minorHAnsi" w:cstheme="minorHAnsi"/>
                <w:b/>
                <w:bCs/>
                <w:i/>
                <w:iCs/>
                <w:sz w:val="20"/>
                <w:szCs w:val="20"/>
              </w:rPr>
            </w:pPr>
            <w:r>
              <w:rPr>
                <w:rFonts w:asciiTheme="minorHAnsi" w:hAnsiTheme="minorHAnsi" w:cstheme="minorHAnsi"/>
                <w:sz w:val="20"/>
                <w:szCs w:val="20"/>
              </w:rPr>
              <w:t>C</w:t>
            </w:r>
            <w:r w:rsidRPr="005B014E">
              <w:rPr>
                <w:rFonts w:asciiTheme="minorHAnsi" w:hAnsiTheme="minorHAnsi" w:cstheme="minorHAnsi"/>
                <w:sz w:val="20"/>
                <w:szCs w:val="20"/>
              </w:rPr>
              <w:t>ooperation with other Commonwealth, State and Territory agencies</w:t>
            </w:r>
            <w:r w:rsidRPr="005B014E">
              <w:rPr>
                <w:color w:val="000000"/>
                <w:sz w:val="22"/>
                <w:szCs w:val="22"/>
                <w:shd w:val="clear" w:color="auto" w:fill="FFFFFF"/>
              </w:rPr>
              <w:t xml:space="preserve"> </w:t>
            </w:r>
            <w:r w:rsidRPr="005B014E">
              <w:rPr>
                <w:rFonts w:asciiTheme="minorHAnsi" w:hAnsiTheme="minorHAnsi" w:cstheme="minorHAnsi"/>
                <w:sz w:val="20"/>
                <w:szCs w:val="20"/>
              </w:rPr>
              <w:t>and authorities having functions relating to the regulation of offshore infrastructure activities</w:t>
            </w:r>
            <w:r w:rsidR="00A34AD1">
              <w:rPr>
                <w:rFonts w:asciiTheme="minorHAnsi" w:hAnsiTheme="minorHAnsi" w:cstheme="minorHAnsi"/>
                <w:sz w:val="20"/>
                <w:szCs w:val="20"/>
              </w:rPr>
              <w:t>.</w:t>
            </w:r>
          </w:p>
        </w:tc>
      </w:tr>
      <w:tr w:rsidR="00F0376F" w:rsidRPr="00762402" w14:paraId="1E983D31" w14:textId="77777777" w:rsidTr="009D3DF3">
        <w:trPr>
          <w:trHeight w:val="188"/>
        </w:trPr>
        <w:tc>
          <w:tcPr>
            <w:tcW w:w="804" w:type="dxa"/>
          </w:tcPr>
          <w:p w14:paraId="65651F77" w14:textId="77777777" w:rsidR="00F0376F" w:rsidRDefault="00F0376F" w:rsidP="00D637F6">
            <w:pPr>
              <w:jc w:val="center"/>
              <w:rPr>
                <w:rFonts w:asciiTheme="minorHAnsi" w:hAnsiTheme="minorHAnsi" w:cstheme="minorHAnsi"/>
                <w:b/>
                <w:sz w:val="20"/>
                <w:szCs w:val="20"/>
              </w:rPr>
            </w:pPr>
            <w:r>
              <w:rPr>
                <w:rFonts w:asciiTheme="minorHAnsi" w:hAnsiTheme="minorHAnsi" w:cstheme="minorHAnsi"/>
                <w:b/>
                <w:sz w:val="20"/>
                <w:szCs w:val="20"/>
              </w:rPr>
              <w:t>9</w:t>
            </w:r>
          </w:p>
        </w:tc>
        <w:tc>
          <w:tcPr>
            <w:tcW w:w="2446" w:type="dxa"/>
          </w:tcPr>
          <w:p w14:paraId="737517D5" w14:textId="77777777" w:rsidR="00F0376F" w:rsidRDefault="00F0376F" w:rsidP="00D637F6">
            <w:pPr>
              <w:rPr>
                <w:rFonts w:asciiTheme="minorHAnsi" w:hAnsiTheme="minorHAnsi" w:cstheme="minorHAnsi"/>
                <w:b/>
                <w:sz w:val="20"/>
                <w:szCs w:val="20"/>
              </w:rPr>
            </w:pPr>
            <w:r>
              <w:rPr>
                <w:rFonts w:asciiTheme="minorHAnsi" w:hAnsiTheme="minorHAnsi" w:cstheme="minorHAnsi"/>
                <w:b/>
                <w:sz w:val="20"/>
                <w:szCs w:val="20"/>
              </w:rPr>
              <w:t>Management Plan/Revision</w:t>
            </w:r>
          </w:p>
          <w:p w14:paraId="6E202D07" w14:textId="77777777" w:rsidR="00F0376F" w:rsidRDefault="00F0376F" w:rsidP="00D637F6">
            <w:pPr>
              <w:rPr>
                <w:rFonts w:asciiTheme="minorHAnsi" w:hAnsiTheme="minorHAnsi" w:cstheme="minorHAnsi"/>
                <w:b/>
                <w:sz w:val="20"/>
                <w:szCs w:val="20"/>
              </w:rPr>
            </w:pPr>
            <w:r w:rsidRPr="00F75621">
              <w:rPr>
                <w:rFonts w:asciiTheme="minorHAnsi" w:hAnsiTheme="minorHAnsi" w:cstheme="minorHAnsi"/>
                <w:sz w:val="20"/>
                <w:szCs w:val="20"/>
              </w:rPr>
              <w:t xml:space="preserve">(Chapters </w:t>
            </w:r>
            <w:r>
              <w:rPr>
                <w:rFonts w:asciiTheme="minorHAnsi" w:hAnsiTheme="minorHAnsi" w:cstheme="minorHAnsi"/>
                <w:sz w:val="20"/>
                <w:szCs w:val="20"/>
              </w:rPr>
              <w:t xml:space="preserve">2, </w:t>
            </w:r>
            <w:r w:rsidRPr="00F75621">
              <w:rPr>
                <w:rFonts w:asciiTheme="minorHAnsi" w:hAnsiTheme="minorHAnsi" w:cstheme="minorHAnsi"/>
                <w:sz w:val="20"/>
                <w:szCs w:val="20"/>
              </w:rPr>
              <w:t>4</w:t>
            </w:r>
            <w:r>
              <w:rPr>
                <w:rFonts w:asciiTheme="minorHAnsi" w:hAnsiTheme="minorHAnsi" w:cstheme="minorHAnsi"/>
                <w:sz w:val="20"/>
                <w:szCs w:val="20"/>
              </w:rPr>
              <w:t>, 5, 6</w:t>
            </w:r>
            <w:r w:rsidRPr="00F75621">
              <w:rPr>
                <w:rFonts w:asciiTheme="minorHAnsi" w:hAnsiTheme="minorHAnsi" w:cstheme="minorHAnsi"/>
                <w:sz w:val="20"/>
                <w:szCs w:val="20"/>
              </w:rPr>
              <w:t xml:space="preserve"> and </w:t>
            </w:r>
            <w:r>
              <w:rPr>
                <w:rFonts w:asciiTheme="minorHAnsi" w:hAnsiTheme="minorHAnsi" w:cstheme="minorHAnsi"/>
                <w:sz w:val="20"/>
                <w:szCs w:val="20"/>
              </w:rPr>
              <w:t>7</w:t>
            </w:r>
            <w:r w:rsidRPr="00F75621">
              <w:rPr>
                <w:rFonts w:asciiTheme="minorHAnsi" w:hAnsiTheme="minorHAnsi" w:cstheme="minorHAnsi"/>
                <w:sz w:val="20"/>
                <w:szCs w:val="20"/>
              </w:rPr>
              <w:t>)</w:t>
            </w:r>
          </w:p>
        </w:tc>
        <w:tc>
          <w:tcPr>
            <w:tcW w:w="11209" w:type="dxa"/>
          </w:tcPr>
          <w:p w14:paraId="636C600D" w14:textId="1D0DEBD1" w:rsidR="00F0376F" w:rsidRPr="00762402"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R</w:t>
            </w:r>
            <w:r w:rsidRPr="00762402">
              <w:rPr>
                <w:rFonts w:asciiTheme="minorHAnsi" w:hAnsiTheme="minorHAnsi" w:cstheme="minorHAnsi"/>
                <w:sz w:val="20"/>
                <w:szCs w:val="20"/>
              </w:rPr>
              <w:t>eceipt of application</w:t>
            </w:r>
            <w:r>
              <w:rPr>
                <w:rFonts w:asciiTheme="minorHAnsi" w:hAnsiTheme="minorHAnsi" w:cstheme="minorHAnsi"/>
                <w:sz w:val="20"/>
                <w:szCs w:val="20"/>
              </w:rPr>
              <w:t>s</w:t>
            </w:r>
            <w:r w:rsidR="00A34AD1">
              <w:rPr>
                <w:rFonts w:asciiTheme="minorHAnsi" w:hAnsiTheme="minorHAnsi" w:cstheme="minorHAnsi"/>
                <w:sz w:val="20"/>
                <w:szCs w:val="20"/>
              </w:rPr>
              <w:t>.</w:t>
            </w:r>
          </w:p>
          <w:p w14:paraId="4FADABF6" w14:textId="3A1C70D7" w:rsidR="00F0376F"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A</w:t>
            </w:r>
            <w:r w:rsidRPr="00762402">
              <w:rPr>
                <w:rFonts w:asciiTheme="minorHAnsi" w:hAnsiTheme="minorHAnsi" w:cstheme="minorHAnsi"/>
                <w:sz w:val="20"/>
                <w:szCs w:val="20"/>
              </w:rPr>
              <w:t>ssessment of application</w:t>
            </w:r>
            <w:r>
              <w:rPr>
                <w:rFonts w:asciiTheme="minorHAnsi" w:hAnsiTheme="minorHAnsi" w:cstheme="minorHAnsi"/>
                <w:sz w:val="20"/>
                <w:szCs w:val="20"/>
              </w:rPr>
              <w:t>s</w:t>
            </w:r>
            <w:r w:rsidRPr="00762402">
              <w:rPr>
                <w:rFonts w:asciiTheme="minorHAnsi" w:hAnsiTheme="minorHAnsi" w:cstheme="minorHAnsi"/>
                <w:sz w:val="20"/>
                <w:szCs w:val="20"/>
              </w:rPr>
              <w:t xml:space="preserve"> </w:t>
            </w:r>
            <w:r>
              <w:rPr>
                <w:rFonts w:asciiTheme="minorHAnsi" w:hAnsiTheme="minorHAnsi" w:cstheme="minorHAnsi"/>
                <w:sz w:val="20"/>
                <w:szCs w:val="20"/>
              </w:rPr>
              <w:t>(including any procedural fairness and public consultation requirements)</w:t>
            </w:r>
            <w:r w:rsidR="00A34AD1">
              <w:rPr>
                <w:rFonts w:asciiTheme="minorHAnsi" w:hAnsiTheme="minorHAnsi" w:cstheme="minorHAnsi"/>
                <w:sz w:val="20"/>
                <w:szCs w:val="20"/>
              </w:rPr>
              <w:t>.</w:t>
            </w:r>
          </w:p>
          <w:p w14:paraId="54AAE305" w14:textId="59C11698" w:rsidR="00F0376F" w:rsidRPr="00762402"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Consultation with the Registrar (where applicable)</w:t>
            </w:r>
            <w:r w:rsidR="00A34AD1">
              <w:rPr>
                <w:rFonts w:asciiTheme="minorHAnsi" w:hAnsiTheme="minorHAnsi" w:cstheme="minorHAnsi"/>
                <w:sz w:val="20"/>
                <w:szCs w:val="20"/>
              </w:rPr>
              <w:t>.</w:t>
            </w:r>
          </w:p>
          <w:p w14:paraId="3AD40AD0" w14:textId="32963EEA" w:rsidR="00F0376F" w:rsidRPr="00762402"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I</w:t>
            </w:r>
            <w:r w:rsidRPr="00762402">
              <w:rPr>
                <w:rFonts w:asciiTheme="minorHAnsi" w:hAnsiTheme="minorHAnsi" w:cstheme="minorHAnsi"/>
                <w:sz w:val="20"/>
                <w:szCs w:val="20"/>
              </w:rPr>
              <w:t>mplement</w:t>
            </w:r>
            <w:r>
              <w:rPr>
                <w:rFonts w:asciiTheme="minorHAnsi" w:hAnsiTheme="minorHAnsi" w:cstheme="minorHAnsi"/>
                <w:sz w:val="20"/>
                <w:szCs w:val="20"/>
              </w:rPr>
              <w:t xml:space="preserve">ation of </w:t>
            </w:r>
            <w:r w:rsidRPr="00762402">
              <w:rPr>
                <w:rFonts w:asciiTheme="minorHAnsi" w:hAnsiTheme="minorHAnsi" w:cstheme="minorHAnsi"/>
                <w:sz w:val="20"/>
                <w:szCs w:val="20"/>
              </w:rPr>
              <w:t>decision</w:t>
            </w:r>
            <w:r>
              <w:rPr>
                <w:rFonts w:asciiTheme="minorHAnsi" w:hAnsiTheme="minorHAnsi" w:cstheme="minorHAnsi"/>
                <w:sz w:val="20"/>
                <w:szCs w:val="20"/>
              </w:rPr>
              <w:t>s</w:t>
            </w:r>
            <w:r w:rsidR="00A34AD1">
              <w:rPr>
                <w:rFonts w:asciiTheme="minorHAnsi" w:hAnsiTheme="minorHAnsi" w:cstheme="minorHAnsi"/>
                <w:sz w:val="20"/>
                <w:szCs w:val="20"/>
              </w:rPr>
              <w:t>.</w:t>
            </w:r>
          </w:p>
          <w:p w14:paraId="73AF98CA" w14:textId="7A707025" w:rsidR="00F0376F" w:rsidRPr="00762402"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D</w:t>
            </w:r>
            <w:r w:rsidRPr="00762402">
              <w:rPr>
                <w:rFonts w:asciiTheme="minorHAnsi" w:hAnsiTheme="minorHAnsi" w:cstheme="minorHAnsi"/>
                <w:sz w:val="20"/>
                <w:szCs w:val="20"/>
              </w:rPr>
              <w:t xml:space="preserve">issemination </w:t>
            </w:r>
            <w:r>
              <w:rPr>
                <w:rFonts w:asciiTheme="minorHAnsi" w:hAnsiTheme="minorHAnsi" w:cstheme="minorHAnsi"/>
                <w:sz w:val="20"/>
                <w:szCs w:val="20"/>
              </w:rPr>
              <w:t xml:space="preserve">and publication </w:t>
            </w:r>
            <w:r w:rsidRPr="00762402">
              <w:rPr>
                <w:rFonts w:asciiTheme="minorHAnsi" w:hAnsiTheme="minorHAnsi" w:cstheme="minorHAnsi"/>
                <w:sz w:val="20"/>
                <w:szCs w:val="20"/>
              </w:rPr>
              <w:t>of information</w:t>
            </w:r>
            <w:r w:rsidR="00A34AD1">
              <w:rPr>
                <w:rFonts w:asciiTheme="minorHAnsi" w:hAnsiTheme="minorHAnsi" w:cstheme="minorHAnsi"/>
                <w:sz w:val="20"/>
                <w:szCs w:val="20"/>
              </w:rPr>
              <w:t>.</w:t>
            </w:r>
          </w:p>
          <w:p w14:paraId="3285654F" w14:textId="468B2B76" w:rsidR="00F0376F"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O</w:t>
            </w:r>
            <w:r w:rsidRPr="00762402">
              <w:rPr>
                <w:rFonts w:asciiTheme="minorHAnsi" w:hAnsiTheme="minorHAnsi" w:cstheme="minorHAnsi"/>
                <w:sz w:val="20"/>
                <w:szCs w:val="20"/>
              </w:rPr>
              <w:t>ngoing assessment</w:t>
            </w:r>
            <w:r>
              <w:rPr>
                <w:rFonts w:asciiTheme="minorHAnsi" w:hAnsiTheme="minorHAnsi" w:cstheme="minorHAnsi"/>
                <w:sz w:val="20"/>
                <w:szCs w:val="20"/>
              </w:rPr>
              <w:t xml:space="preserve"> of revisions</w:t>
            </w:r>
            <w:r w:rsidR="00A34AD1">
              <w:rPr>
                <w:rFonts w:asciiTheme="minorHAnsi" w:hAnsiTheme="minorHAnsi" w:cstheme="minorHAnsi"/>
                <w:sz w:val="20"/>
                <w:szCs w:val="20"/>
              </w:rPr>
              <w:t>.</w:t>
            </w:r>
          </w:p>
          <w:p w14:paraId="428C5F24" w14:textId="640F169F" w:rsidR="00F0376F"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Determination and ongoing administration of financial securities</w:t>
            </w:r>
            <w:r w:rsidR="00A34AD1">
              <w:rPr>
                <w:rFonts w:asciiTheme="minorHAnsi" w:hAnsiTheme="minorHAnsi" w:cstheme="minorHAnsi"/>
                <w:sz w:val="20"/>
                <w:szCs w:val="20"/>
              </w:rPr>
              <w:t>.</w:t>
            </w:r>
          </w:p>
          <w:p w14:paraId="1E2AC0F2" w14:textId="31E3B9EA" w:rsidR="00F0376F"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Ongoing compliance monitoring activities, inspections and investigations</w:t>
            </w:r>
            <w:r w:rsidR="00A34AD1">
              <w:rPr>
                <w:rFonts w:asciiTheme="minorHAnsi" w:hAnsiTheme="minorHAnsi" w:cstheme="minorHAnsi"/>
                <w:sz w:val="20"/>
                <w:szCs w:val="20"/>
              </w:rPr>
              <w:t>.</w:t>
            </w:r>
          </w:p>
          <w:p w14:paraId="6938C7B9" w14:textId="08600BEB" w:rsidR="00F0376F"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As-required enforcement activities including directions, notices, infringements, civil and criminal prosecutions</w:t>
            </w:r>
            <w:r w:rsidR="00A34AD1">
              <w:rPr>
                <w:rFonts w:asciiTheme="minorHAnsi" w:hAnsiTheme="minorHAnsi" w:cstheme="minorHAnsi"/>
                <w:sz w:val="20"/>
                <w:szCs w:val="20"/>
              </w:rPr>
              <w:t>.</w:t>
            </w:r>
          </w:p>
          <w:p w14:paraId="4252ECCF" w14:textId="67B5FBE7" w:rsidR="00F0376F"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Infrastructure decommissioning planning and oversight</w:t>
            </w:r>
            <w:r w:rsidR="00A34AD1">
              <w:rPr>
                <w:rFonts w:asciiTheme="minorHAnsi" w:hAnsiTheme="minorHAnsi" w:cstheme="minorHAnsi"/>
                <w:sz w:val="20"/>
                <w:szCs w:val="20"/>
              </w:rPr>
              <w:t>.</w:t>
            </w:r>
          </w:p>
          <w:p w14:paraId="02538A8F" w14:textId="4B8DBC56" w:rsidR="00F0376F"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D</w:t>
            </w:r>
            <w:r w:rsidRPr="0009725E">
              <w:rPr>
                <w:rFonts w:asciiTheme="minorHAnsi" w:hAnsiTheme="minorHAnsi" w:cstheme="minorHAnsi"/>
                <w:sz w:val="20"/>
                <w:szCs w:val="20"/>
              </w:rPr>
              <w:t>evelop</w:t>
            </w:r>
            <w:r>
              <w:rPr>
                <w:rFonts w:asciiTheme="minorHAnsi" w:hAnsiTheme="minorHAnsi" w:cstheme="minorHAnsi"/>
                <w:sz w:val="20"/>
                <w:szCs w:val="20"/>
              </w:rPr>
              <w:t>ing and m</w:t>
            </w:r>
            <w:r w:rsidRPr="0009725E">
              <w:rPr>
                <w:rFonts w:asciiTheme="minorHAnsi" w:hAnsiTheme="minorHAnsi" w:cstheme="minorHAnsi"/>
                <w:sz w:val="20"/>
                <w:szCs w:val="20"/>
              </w:rPr>
              <w:t>aintain</w:t>
            </w:r>
            <w:r>
              <w:rPr>
                <w:rFonts w:asciiTheme="minorHAnsi" w:hAnsiTheme="minorHAnsi" w:cstheme="minorHAnsi"/>
                <w:sz w:val="20"/>
                <w:szCs w:val="20"/>
              </w:rPr>
              <w:t>ing</w:t>
            </w:r>
            <w:r w:rsidRPr="0009725E">
              <w:rPr>
                <w:rFonts w:asciiTheme="minorHAnsi" w:hAnsiTheme="minorHAnsi" w:cstheme="minorHAnsi"/>
                <w:sz w:val="20"/>
                <w:szCs w:val="20"/>
              </w:rPr>
              <w:t xml:space="preserve"> guidance material for applicants</w:t>
            </w:r>
            <w:r>
              <w:rPr>
                <w:rFonts w:asciiTheme="minorHAnsi" w:hAnsiTheme="minorHAnsi" w:cstheme="minorHAnsi"/>
                <w:sz w:val="20"/>
                <w:szCs w:val="20"/>
              </w:rPr>
              <w:t xml:space="preserve"> and licence holders</w:t>
            </w:r>
            <w:r w:rsidR="00A34AD1">
              <w:rPr>
                <w:rFonts w:asciiTheme="minorHAnsi" w:hAnsiTheme="minorHAnsi" w:cstheme="minorHAnsi"/>
                <w:sz w:val="20"/>
                <w:szCs w:val="20"/>
              </w:rPr>
              <w:t>.</w:t>
            </w:r>
          </w:p>
          <w:p w14:paraId="59F73CC1" w14:textId="177F0CE8" w:rsidR="00F0376F"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Developing and maintaining a regulatory management system and associated records</w:t>
            </w:r>
            <w:r w:rsidR="00A34AD1">
              <w:rPr>
                <w:rFonts w:asciiTheme="minorHAnsi" w:hAnsiTheme="minorHAnsi" w:cstheme="minorHAnsi"/>
                <w:sz w:val="20"/>
                <w:szCs w:val="20"/>
              </w:rPr>
              <w:t>.</w:t>
            </w:r>
          </w:p>
          <w:p w14:paraId="7CE2A9C7" w14:textId="001ED5B6" w:rsidR="00F0376F" w:rsidRPr="005B014E"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C</w:t>
            </w:r>
            <w:r w:rsidRPr="005B014E">
              <w:rPr>
                <w:rFonts w:asciiTheme="minorHAnsi" w:hAnsiTheme="minorHAnsi" w:cstheme="minorHAnsi"/>
                <w:sz w:val="20"/>
                <w:szCs w:val="20"/>
              </w:rPr>
              <w:t>ooperation with other Commonwealth, State and Territory agencies</w:t>
            </w:r>
            <w:r w:rsidRPr="005B014E">
              <w:rPr>
                <w:color w:val="000000"/>
                <w:sz w:val="22"/>
                <w:szCs w:val="22"/>
                <w:shd w:val="clear" w:color="auto" w:fill="FFFFFF"/>
              </w:rPr>
              <w:t xml:space="preserve"> </w:t>
            </w:r>
            <w:r w:rsidRPr="005B014E">
              <w:rPr>
                <w:rFonts w:asciiTheme="minorHAnsi" w:hAnsiTheme="minorHAnsi" w:cstheme="minorHAnsi"/>
                <w:sz w:val="20"/>
                <w:szCs w:val="20"/>
              </w:rPr>
              <w:t>and authorities having functions relating to the regulation of offshore infrastructure activities</w:t>
            </w:r>
            <w:r w:rsidR="00A34AD1">
              <w:rPr>
                <w:rFonts w:asciiTheme="minorHAnsi" w:hAnsiTheme="minorHAnsi" w:cstheme="minorHAnsi"/>
                <w:sz w:val="20"/>
                <w:szCs w:val="20"/>
              </w:rPr>
              <w:t>.</w:t>
            </w:r>
          </w:p>
        </w:tc>
      </w:tr>
      <w:tr w:rsidR="00F0376F" w:rsidRPr="00762402" w14:paraId="21E500CC" w14:textId="77777777" w:rsidTr="009D3DF3">
        <w:trPr>
          <w:trHeight w:val="188"/>
        </w:trPr>
        <w:tc>
          <w:tcPr>
            <w:tcW w:w="804" w:type="dxa"/>
          </w:tcPr>
          <w:p w14:paraId="51704B0E" w14:textId="77777777" w:rsidR="00F0376F" w:rsidRDefault="00F0376F" w:rsidP="00D637F6">
            <w:pPr>
              <w:jc w:val="center"/>
              <w:rPr>
                <w:rFonts w:asciiTheme="minorHAnsi" w:hAnsiTheme="minorHAnsi" w:cstheme="minorHAnsi"/>
                <w:b/>
                <w:sz w:val="20"/>
                <w:szCs w:val="20"/>
              </w:rPr>
            </w:pPr>
            <w:r>
              <w:rPr>
                <w:rFonts w:asciiTheme="minorHAnsi" w:hAnsiTheme="minorHAnsi" w:cstheme="minorHAnsi"/>
                <w:b/>
                <w:sz w:val="20"/>
                <w:szCs w:val="20"/>
              </w:rPr>
              <w:t>10</w:t>
            </w:r>
          </w:p>
        </w:tc>
        <w:tc>
          <w:tcPr>
            <w:tcW w:w="2446" w:type="dxa"/>
          </w:tcPr>
          <w:p w14:paraId="5BFC3226" w14:textId="77777777" w:rsidR="00F0376F" w:rsidRDefault="00F0376F" w:rsidP="00D637F6">
            <w:pPr>
              <w:rPr>
                <w:rFonts w:asciiTheme="minorHAnsi" w:hAnsiTheme="minorHAnsi" w:cstheme="minorHAnsi"/>
                <w:b/>
                <w:sz w:val="20"/>
                <w:szCs w:val="20"/>
              </w:rPr>
            </w:pPr>
            <w:r>
              <w:rPr>
                <w:rFonts w:asciiTheme="minorHAnsi" w:hAnsiTheme="minorHAnsi" w:cstheme="minorHAnsi"/>
                <w:b/>
                <w:sz w:val="20"/>
                <w:szCs w:val="20"/>
              </w:rPr>
              <w:t>Safety Zones</w:t>
            </w:r>
          </w:p>
          <w:p w14:paraId="751CC261" w14:textId="77777777" w:rsidR="00F0376F" w:rsidRPr="00F75621" w:rsidRDefault="00F0376F" w:rsidP="00D637F6">
            <w:pPr>
              <w:rPr>
                <w:rFonts w:asciiTheme="minorHAnsi" w:hAnsiTheme="minorHAnsi" w:cstheme="minorHAnsi"/>
                <w:sz w:val="20"/>
                <w:szCs w:val="20"/>
              </w:rPr>
            </w:pPr>
            <w:r w:rsidRPr="00F75621">
              <w:rPr>
                <w:rFonts w:asciiTheme="minorHAnsi" w:hAnsiTheme="minorHAnsi" w:cstheme="minorHAnsi"/>
                <w:sz w:val="20"/>
                <w:szCs w:val="20"/>
              </w:rPr>
              <w:t>(Chapter 4)</w:t>
            </w:r>
          </w:p>
        </w:tc>
        <w:tc>
          <w:tcPr>
            <w:tcW w:w="11209" w:type="dxa"/>
          </w:tcPr>
          <w:p w14:paraId="75574DD6" w14:textId="624DB654" w:rsidR="00F0376F" w:rsidRPr="00762402"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R</w:t>
            </w:r>
            <w:r w:rsidRPr="00762402">
              <w:rPr>
                <w:rFonts w:asciiTheme="minorHAnsi" w:hAnsiTheme="minorHAnsi" w:cstheme="minorHAnsi"/>
                <w:sz w:val="20"/>
                <w:szCs w:val="20"/>
              </w:rPr>
              <w:t>eceipt of application</w:t>
            </w:r>
            <w:r>
              <w:rPr>
                <w:rFonts w:asciiTheme="minorHAnsi" w:hAnsiTheme="minorHAnsi" w:cstheme="minorHAnsi"/>
                <w:sz w:val="20"/>
                <w:szCs w:val="20"/>
              </w:rPr>
              <w:t>s</w:t>
            </w:r>
            <w:r w:rsidR="00FA70ED">
              <w:rPr>
                <w:rFonts w:asciiTheme="minorHAnsi" w:hAnsiTheme="minorHAnsi" w:cstheme="minorHAnsi"/>
                <w:sz w:val="20"/>
                <w:szCs w:val="20"/>
              </w:rPr>
              <w:t>.</w:t>
            </w:r>
            <w:r w:rsidRPr="00762402">
              <w:rPr>
                <w:rFonts w:asciiTheme="minorHAnsi" w:hAnsiTheme="minorHAnsi" w:cstheme="minorHAnsi"/>
                <w:sz w:val="20"/>
                <w:szCs w:val="20"/>
              </w:rPr>
              <w:t xml:space="preserve"> </w:t>
            </w:r>
          </w:p>
          <w:p w14:paraId="3151F25F" w14:textId="5A58A8A7" w:rsidR="00F0376F"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A</w:t>
            </w:r>
            <w:r w:rsidRPr="00762402">
              <w:rPr>
                <w:rFonts w:asciiTheme="minorHAnsi" w:hAnsiTheme="minorHAnsi" w:cstheme="minorHAnsi"/>
                <w:sz w:val="20"/>
                <w:szCs w:val="20"/>
              </w:rPr>
              <w:t>ssessment of application</w:t>
            </w:r>
            <w:r>
              <w:rPr>
                <w:rFonts w:asciiTheme="minorHAnsi" w:hAnsiTheme="minorHAnsi" w:cstheme="minorHAnsi"/>
                <w:sz w:val="20"/>
                <w:szCs w:val="20"/>
              </w:rPr>
              <w:t>s</w:t>
            </w:r>
            <w:r w:rsidRPr="00762402">
              <w:rPr>
                <w:rFonts w:asciiTheme="minorHAnsi" w:hAnsiTheme="minorHAnsi" w:cstheme="minorHAnsi"/>
                <w:sz w:val="20"/>
                <w:szCs w:val="20"/>
              </w:rPr>
              <w:t xml:space="preserve"> </w:t>
            </w:r>
            <w:r>
              <w:rPr>
                <w:rFonts w:asciiTheme="minorHAnsi" w:hAnsiTheme="minorHAnsi" w:cstheme="minorHAnsi"/>
                <w:sz w:val="20"/>
                <w:szCs w:val="20"/>
              </w:rPr>
              <w:t>(including any procedural fairness requirements)</w:t>
            </w:r>
            <w:r w:rsidR="00FA70ED">
              <w:rPr>
                <w:rFonts w:asciiTheme="minorHAnsi" w:hAnsiTheme="minorHAnsi" w:cstheme="minorHAnsi"/>
                <w:sz w:val="20"/>
                <w:szCs w:val="20"/>
              </w:rPr>
              <w:t>.</w:t>
            </w:r>
          </w:p>
          <w:p w14:paraId="2FCBE215" w14:textId="164AFD57" w:rsidR="00F0376F" w:rsidRPr="00762402"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Consultation with the Registrar (where applicable)</w:t>
            </w:r>
            <w:r w:rsidR="00FA70ED">
              <w:rPr>
                <w:rFonts w:asciiTheme="minorHAnsi" w:hAnsiTheme="minorHAnsi" w:cstheme="minorHAnsi"/>
                <w:sz w:val="20"/>
                <w:szCs w:val="20"/>
              </w:rPr>
              <w:t>.</w:t>
            </w:r>
            <w:r>
              <w:rPr>
                <w:rFonts w:asciiTheme="minorHAnsi" w:hAnsiTheme="minorHAnsi" w:cstheme="minorHAnsi"/>
                <w:sz w:val="20"/>
                <w:szCs w:val="20"/>
              </w:rPr>
              <w:t xml:space="preserve"> </w:t>
            </w:r>
          </w:p>
          <w:p w14:paraId="3BAD029E" w14:textId="2AF24F6A" w:rsidR="00F0376F" w:rsidRPr="00762402"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I</w:t>
            </w:r>
            <w:r w:rsidRPr="00762402">
              <w:rPr>
                <w:rFonts w:asciiTheme="minorHAnsi" w:hAnsiTheme="minorHAnsi" w:cstheme="minorHAnsi"/>
                <w:sz w:val="20"/>
                <w:szCs w:val="20"/>
              </w:rPr>
              <w:t>mplement</w:t>
            </w:r>
            <w:r>
              <w:rPr>
                <w:rFonts w:asciiTheme="minorHAnsi" w:hAnsiTheme="minorHAnsi" w:cstheme="minorHAnsi"/>
                <w:sz w:val="20"/>
                <w:szCs w:val="20"/>
              </w:rPr>
              <w:t xml:space="preserve">ation of </w:t>
            </w:r>
            <w:r w:rsidRPr="00762402">
              <w:rPr>
                <w:rFonts w:asciiTheme="minorHAnsi" w:hAnsiTheme="minorHAnsi" w:cstheme="minorHAnsi"/>
                <w:sz w:val="20"/>
                <w:szCs w:val="20"/>
              </w:rPr>
              <w:t>decision</w:t>
            </w:r>
            <w:r>
              <w:rPr>
                <w:rFonts w:asciiTheme="minorHAnsi" w:hAnsiTheme="minorHAnsi" w:cstheme="minorHAnsi"/>
                <w:sz w:val="20"/>
                <w:szCs w:val="20"/>
              </w:rPr>
              <w:t>s</w:t>
            </w:r>
            <w:r w:rsidR="00FA70ED">
              <w:rPr>
                <w:rFonts w:asciiTheme="minorHAnsi" w:hAnsiTheme="minorHAnsi" w:cstheme="minorHAnsi"/>
                <w:sz w:val="20"/>
                <w:szCs w:val="20"/>
              </w:rPr>
              <w:t>.</w:t>
            </w:r>
          </w:p>
          <w:p w14:paraId="774A29B5" w14:textId="2F6839FB" w:rsidR="00F0376F" w:rsidRPr="00762402"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D</w:t>
            </w:r>
            <w:r w:rsidRPr="00762402">
              <w:rPr>
                <w:rFonts w:asciiTheme="minorHAnsi" w:hAnsiTheme="minorHAnsi" w:cstheme="minorHAnsi"/>
                <w:sz w:val="20"/>
                <w:szCs w:val="20"/>
              </w:rPr>
              <w:t xml:space="preserve">issemination </w:t>
            </w:r>
            <w:r>
              <w:rPr>
                <w:rFonts w:asciiTheme="minorHAnsi" w:hAnsiTheme="minorHAnsi" w:cstheme="minorHAnsi"/>
                <w:sz w:val="20"/>
                <w:szCs w:val="20"/>
              </w:rPr>
              <w:t xml:space="preserve">and publication </w:t>
            </w:r>
            <w:r w:rsidRPr="00762402">
              <w:rPr>
                <w:rFonts w:asciiTheme="minorHAnsi" w:hAnsiTheme="minorHAnsi" w:cstheme="minorHAnsi"/>
                <w:sz w:val="20"/>
                <w:szCs w:val="20"/>
              </w:rPr>
              <w:t>of information</w:t>
            </w:r>
            <w:r w:rsidR="00FA70ED">
              <w:rPr>
                <w:rFonts w:asciiTheme="minorHAnsi" w:hAnsiTheme="minorHAnsi" w:cstheme="minorHAnsi"/>
                <w:sz w:val="20"/>
                <w:szCs w:val="20"/>
              </w:rPr>
              <w:t>.</w:t>
            </w:r>
          </w:p>
          <w:p w14:paraId="732EFB70" w14:textId="4C851851" w:rsidR="00F0376F"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Ongoing compliance monitoring activities, inspections and investigations</w:t>
            </w:r>
            <w:r w:rsidR="00FA70ED">
              <w:rPr>
                <w:rFonts w:asciiTheme="minorHAnsi" w:hAnsiTheme="minorHAnsi" w:cstheme="minorHAnsi"/>
                <w:sz w:val="20"/>
                <w:szCs w:val="20"/>
              </w:rPr>
              <w:t>.</w:t>
            </w:r>
          </w:p>
          <w:p w14:paraId="6C70ED19" w14:textId="7246678C" w:rsidR="00F0376F"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As-required enforcement activities</w:t>
            </w:r>
            <w:r w:rsidR="00FA70ED">
              <w:rPr>
                <w:rFonts w:asciiTheme="minorHAnsi" w:hAnsiTheme="minorHAnsi" w:cstheme="minorHAnsi"/>
                <w:sz w:val="20"/>
                <w:szCs w:val="20"/>
              </w:rPr>
              <w:t>.</w:t>
            </w:r>
          </w:p>
          <w:p w14:paraId="4344CA33" w14:textId="11FF622B" w:rsidR="00F0376F"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D</w:t>
            </w:r>
            <w:r w:rsidRPr="0009725E">
              <w:rPr>
                <w:rFonts w:asciiTheme="minorHAnsi" w:hAnsiTheme="minorHAnsi" w:cstheme="minorHAnsi"/>
                <w:sz w:val="20"/>
                <w:szCs w:val="20"/>
              </w:rPr>
              <w:t>evelop</w:t>
            </w:r>
            <w:r>
              <w:rPr>
                <w:rFonts w:asciiTheme="minorHAnsi" w:hAnsiTheme="minorHAnsi" w:cstheme="minorHAnsi"/>
                <w:sz w:val="20"/>
                <w:szCs w:val="20"/>
              </w:rPr>
              <w:t>ing and m</w:t>
            </w:r>
            <w:r w:rsidRPr="0009725E">
              <w:rPr>
                <w:rFonts w:asciiTheme="minorHAnsi" w:hAnsiTheme="minorHAnsi" w:cstheme="minorHAnsi"/>
                <w:sz w:val="20"/>
                <w:szCs w:val="20"/>
              </w:rPr>
              <w:t>aintain</w:t>
            </w:r>
            <w:r>
              <w:rPr>
                <w:rFonts w:asciiTheme="minorHAnsi" w:hAnsiTheme="minorHAnsi" w:cstheme="minorHAnsi"/>
                <w:sz w:val="20"/>
                <w:szCs w:val="20"/>
              </w:rPr>
              <w:t>ing</w:t>
            </w:r>
            <w:r w:rsidRPr="0009725E">
              <w:rPr>
                <w:rFonts w:asciiTheme="minorHAnsi" w:hAnsiTheme="minorHAnsi" w:cstheme="minorHAnsi"/>
                <w:sz w:val="20"/>
                <w:szCs w:val="20"/>
              </w:rPr>
              <w:t xml:space="preserve"> guidance material for applicants</w:t>
            </w:r>
            <w:r>
              <w:rPr>
                <w:rFonts w:asciiTheme="minorHAnsi" w:hAnsiTheme="minorHAnsi" w:cstheme="minorHAnsi"/>
                <w:sz w:val="20"/>
                <w:szCs w:val="20"/>
              </w:rPr>
              <w:t xml:space="preserve"> and licence holders</w:t>
            </w:r>
            <w:r w:rsidR="00FA70ED">
              <w:rPr>
                <w:rFonts w:asciiTheme="minorHAnsi" w:hAnsiTheme="minorHAnsi" w:cstheme="minorHAnsi"/>
                <w:sz w:val="20"/>
                <w:szCs w:val="20"/>
              </w:rPr>
              <w:t>.</w:t>
            </w:r>
          </w:p>
          <w:p w14:paraId="410DD294" w14:textId="0D65CC4A" w:rsidR="00F0376F" w:rsidRDefault="00F0376F" w:rsidP="00D637F6">
            <w:pPr>
              <w:pStyle w:val="ListParagraph"/>
              <w:numPr>
                <w:ilvl w:val="0"/>
                <w:numId w:val="6"/>
              </w:numPr>
              <w:ind w:left="337" w:hanging="337"/>
              <w:rPr>
                <w:rFonts w:asciiTheme="minorHAnsi" w:hAnsiTheme="minorHAnsi" w:cstheme="minorHAnsi"/>
                <w:sz w:val="20"/>
                <w:szCs w:val="20"/>
              </w:rPr>
            </w:pPr>
            <w:r>
              <w:rPr>
                <w:rFonts w:asciiTheme="minorHAnsi" w:hAnsiTheme="minorHAnsi" w:cstheme="minorHAnsi"/>
                <w:sz w:val="20"/>
                <w:szCs w:val="20"/>
              </w:rPr>
              <w:t>Developing and maintaining a regulatory management system and associated records</w:t>
            </w:r>
            <w:r w:rsidR="00FA70ED">
              <w:rPr>
                <w:rFonts w:asciiTheme="minorHAnsi" w:hAnsiTheme="minorHAnsi" w:cstheme="minorHAnsi"/>
                <w:sz w:val="20"/>
                <w:szCs w:val="20"/>
              </w:rPr>
              <w:t>.</w:t>
            </w:r>
          </w:p>
          <w:p w14:paraId="0887A2C7" w14:textId="77777777" w:rsidR="00F0376F" w:rsidRPr="00FA70ED" w:rsidRDefault="00F0376F" w:rsidP="00D637F6">
            <w:pPr>
              <w:pStyle w:val="ListParagraph"/>
              <w:numPr>
                <w:ilvl w:val="0"/>
                <w:numId w:val="6"/>
              </w:numPr>
              <w:rPr>
                <w:rFonts w:asciiTheme="minorHAnsi" w:hAnsiTheme="minorHAnsi" w:cstheme="minorHAnsi"/>
                <w:b/>
                <w:bCs/>
                <w:i/>
                <w:iCs/>
                <w:sz w:val="20"/>
                <w:szCs w:val="20"/>
              </w:rPr>
            </w:pPr>
            <w:r>
              <w:rPr>
                <w:rFonts w:asciiTheme="minorHAnsi" w:hAnsiTheme="minorHAnsi" w:cstheme="minorHAnsi"/>
                <w:sz w:val="20"/>
                <w:szCs w:val="20"/>
              </w:rPr>
              <w:t>C</w:t>
            </w:r>
            <w:r w:rsidRPr="005B014E">
              <w:rPr>
                <w:rFonts w:asciiTheme="minorHAnsi" w:hAnsiTheme="minorHAnsi" w:cstheme="minorHAnsi"/>
                <w:sz w:val="20"/>
                <w:szCs w:val="20"/>
              </w:rPr>
              <w:t>ooperation with other Commonwealth, State and Territory agencies</w:t>
            </w:r>
            <w:r w:rsidRPr="005B014E">
              <w:rPr>
                <w:color w:val="000000"/>
                <w:sz w:val="22"/>
                <w:szCs w:val="22"/>
                <w:shd w:val="clear" w:color="auto" w:fill="FFFFFF"/>
              </w:rPr>
              <w:t xml:space="preserve"> </w:t>
            </w:r>
            <w:r w:rsidRPr="005B014E">
              <w:rPr>
                <w:rFonts w:asciiTheme="minorHAnsi" w:hAnsiTheme="minorHAnsi" w:cstheme="minorHAnsi"/>
                <w:sz w:val="20"/>
                <w:szCs w:val="20"/>
              </w:rPr>
              <w:t>and authorities having functions relating to the regulation of offshore infrastructure activities</w:t>
            </w:r>
            <w:r w:rsidR="00FA70ED">
              <w:rPr>
                <w:rFonts w:asciiTheme="minorHAnsi" w:hAnsiTheme="minorHAnsi" w:cstheme="minorHAnsi"/>
                <w:sz w:val="20"/>
                <w:szCs w:val="20"/>
              </w:rPr>
              <w:t>.</w:t>
            </w:r>
          </w:p>
          <w:p w14:paraId="4A545F9E" w14:textId="59DCD942" w:rsidR="00FA70ED" w:rsidRPr="005B014E" w:rsidRDefault="00FA70ED" w:rsidP="00FA70ED">
            <w:pPr>
              <w:pStyle w:val="ListParagraph"/>
              <w:ind w:left="366"/>
              <w:rPr>
                <w:rFonts w:asciiTheme="minorHAnsi" w:hAnsiTheme="minorHAnsi" w:cstheme="minorHAnsi"/>
                <w:b/>
                <w:bCs/>
                <w:i/>
                <w:iCs/>
                <w:sz w:val="20"/>
                <w:szCs w:val="20"/>
              </w:rPr>
            </w:pPr>
          </w:p>
        </w:tc>
      </w:tr>
      <w:tr w:rsidR="00F0376F" w:rsidRPr="00762402" w14:paraId="420C4D44" w14:textId="77777777" w:rsidTr="009D3DF3">
        <w:trPr>
          <w:trHeight w:val="188"/>
        </w:trPr>
        <w:tc>
          <w:tcPr>
            <w:tcW w:w="804" w:type="dxa"/>
          </w:tcPr>
          <w:p w14:paraId="695C6820" w14:textId="77777777" w:rsidR="00F0376F" w:rsidRDefault="00F0376F" w:rsidP="00D637F6">
            <w:pPr>
              <w:jc w:val="center"/>
              <w:rPr>
                <w:rFonts w:asciiTheme="minorHAnsi" w:hAnsiTheme="minorHAnsi" w:cstheme="minorHAnsi"/>
                <w:b/>
                <w:sz w:val="20"/>
                <w:szCs w:val="20"/>
              </w:rPr>
            </w:pPr>
            <w:r>
              <w:rPr>
                <w:rFonts w:asciiTheme="minorHAnsi" w:hAnsiTheme="minorHAnsi" w:cstheme="minorHAnsi"/>
                <w:b/>
                <w:sz w:val="20"/>
                <w:szCs w:val="20"/>
              </w:rPr>
              <w:lastRenderedPageBreak/>
              <w:t>11</w:t>
            </w:r>
          </w:p>
        </w:tc>
        <w:tc>
          <w:tcPr>
            <w:tcW w:w="2446" w:type="dxa"/>
          </w:tcPr>
          <w:p w14:paraId="1913818C" w14:textId="77777777" w:rsidR="00F0376F" w:rsidRDefault="00F0376F" w:rsidP="00D637F6">
            <w:pPr>
              <w:rPr>
                <w:rFonts w:asciiTheme="minorHAnsi" w:hAnsiTheme="minorHAnsi" w:cstheme="minorHAnsi"/>
                <w:b/>
                <w:sz w:val="20"/>
                <w:szCs w:val="20"/>
              </w:rPr>
            </w:pPr>
            <w:r>
              <w:rPr>
                <w:rFonts w:asciiTheme="minorHAnsi" w:hAnsiTheme="minorHAnsi" w:cstheme="minorHAnsi"/>
                <w:b/>
                <w:sz w:val="20"/>
                <w:szCs w:val="20"/>
              </w:rPr>
              <w:t>Protection Zones</w:t>
            </w:r>
          </w:p>
          <w:p w14:paraId="1C5D9D3F" w14:textId="77777777" w:rsidR="00F0376F" w:rsidRDefault="00F0376F" w:rsidP="00D637F6">
            <w:pPr>
              <w:rPr>
                <w:rFonts w:asciiTheme="minorHAnsi" w:hAnsiTheme="minorHAnsi" w:cstheme="minorHAnsi"/>
                <w:b/>
                <w:sz w:val="20"/>
                <w:szCs w:val="20"/>
              </w:rPr>
            </w:pPr>
            <w:r w:rsidRPr="00F75621">
              <w:rPr>
                <w:rFonts w:asciiTheme="minorHAnsi" w:hAnsiTheme="minorHAnsi" w:cstheme="minorHAnsi"/>
                <w:sz w:val="20"/>
                <w:szCs w:val="20"/>
              </w:rPr>
              <w:t>(Chapter 4)</w:t>
            </w:r>
          </w:p>
        </w:tc>
        <w:tc>
          <w:tcPr>
            <w:tcW w:w="11209" w:type="dxa"/>
          </w:tcPr>
          <w:p w14:paraId="4E663501" w14:textId="567C720D" w:rsidR="00F0376F" w:rsidRPr="005B014E" w:rsidRDefault="00F0376F" w:rsidP="00D637F6">
            <w:pPr>
              <w:rPr>
                <w:rFonts w:asciiTheme="minorHAnsi" w:hAnsiTheme="minorHAnsi" w:cstheme="minorHAnsi"/>
                <w:bCs/>
                <w:iCs/>
                <w:sz w:val="20"/>
                <w:szCs w:val="20"/>
              </w:rPr>
            </w:pPr>
            <w:r>
              <w:rPr>
                <w:rFonts w:asciiTheme="minorHAnsi" w:hAnsiTheme="minorHAnsi" w:cstheme="minorHAnsi"/>
                <w:bCs/>
                <w:iCs/>
                <w:sz w:val="20"/>
                <w:szCs w:val="20"/>
              </w:rPr>
              <w:t xml:space="preserve">See </w:t>
            </w:r>
            <w:r w:rsidRPr="00066A76">
              <w:rPr>
                <w:rFonts w:asciiTheme="minorHAnsi" w:hAnsiTheme="minorHAnsi" w:cstheme="minorHAnsi"/>
                <w:b/>
                <w:bCs/>
                <w:iCs/>
                <w:sz w:val="20"/>
                <w:szCs w:val="20"/>
              </w:rPr>
              <w:t>Item 1</w:t>
            </w:r>
            <w:r>
              <w:rPr>
                <w:rFonts w:asciiTheme="minorHAnsi" w:hAnsiTheme="minorHAnsi" w:cstheme="minorHAnsi"/>
                <w:b/>
                <w:bCs/>
                <w:iCs/>
                <w:sz w:val="20"/>
                <w:szCs w:val="20"/>
              </w:rPr>
              <w:t>0</w:t>
            </w:r>
            <w:r>
              <w:rPr>
                <w:rFonts w:asciiTheme="minorHAnsi" w:hAnsiTheme="minorHAnsi" w:cstheme="minorHAnsi"/>
                <w:bCs/>
                <w:iCs/>
                <w:sz w:val="20"/>
                <w:szCs w:val="20"/>
              </w:rPr>
              <w:t xml:space="preserve"> for general overview of process</w:t>
            </w:r>
            <w:r w:rsidR="00FA70ED">
              <w:rPr>
                <w:rFonts w:asciiTheme="minorHAnsi" w:hAnsiTheme="minorHAnsi" w:cstheme="minorHAnsi"/>
                <w:bCs/>
                <w:iCs/>
                <w:sz w:val="20"/>
                <w:szCs w:val="20"/>
              </w:rPr>
              <w:t>.</w:t>
            </w:r>
          </w:p>
        </w:tc>
      </w:tr>
      <w:tr w:rsidR="00F0376F" w:rsidRPr="00762402" w14:paraId="19BAD5F7" w14:textId="77777777" w:rsidTr="009D3DF3">
        <w:trPr>
          <w:trHeight w:val="188"/>
        </w:trPr>
        <w:tc>
          <w:tcPr>
            <w:tcW w:w="804" w:type="dxa"/>
          </w:tcPr>
          <w:p w14:paraId="6CFD04BD" w14:textId="6C9E0352" w:rsidR="00F0376F" w:rsidRPr="00FD28BA" w:rsidRDefault="00F0376F" w:rsidP="00D637F6">
            <w:pPr>
              <w:jc w:val="center"/>
              <w:rPr>
                <w:rFonts w:asciiTheme="minorHAnsi" w:hAnsiTheme="minorHAnsi" w:cstheme="minorHAnsi"/>
                <w:b/>
                <w:sz w:val="20"/>
                <w:szCs w:val="20"/>
              </w:rPr>
            </w:pPr>
            <w:r w:rsidRPr="00FD28BA">
              <w:rPr>
                <w:rFonts w:asciiTheme="minorHAnsi" w:hAnsiTheme="minorHAnsi" w:cstheme="minorHAnsi"/>
                <w:b/>
                <w:sz w:val="20"/>
                <w:szCs w:val="20"/>
              </w:rPr>
              <w:t>1</w:t>
            </w:r>
            <w:r w:rsidR="00FD28BA">
              <w:rPr>
                <w:rFonts w:asciiTheme="minorHAnsi" w:hAnsiTheme="minorHAnsi" w:cstheme="minorHAnsi"/>
                <w:b/>
                <w:sz w:val="20"/>
                <w:szCs w:val="20"/>
              </w:rPr>
              <w:t>2</w:t>
            </w:r>
          </w:p>
        </w:tc>
        <w:tc>
          <w:tcPr>
            <w:tcW w:w="2446" w:type="dxa"/>
          </w:tcPr>
          <w:p w14:paraId="41ABBB19" w14:textId="77777777" w:rsidR="00F0376F" w:rsidRDefault="00F0376F" w:rsidP="00D637F6">
            <w:pPr>
              <w:rPr>
                <w:rFonts w:asciiTheme="minorHAnsi" w:hAnsiTheme="minorHAnsi" w:cstheme="minorHAnsi"/>
                <w:b/>
                <w:sz w:val="20"/>
                <w:szCs w:val="20"/>
              </w:rPr>
            </w:pPr>
            <w:r>
              <w:rPr>
                <w:rFonts w:asciiTheme="minorHAnsi" w:hAnsiTheme="minorHAnsi" w:cstheme="minorHAnsi"/>
                <w:b/>
                <w:sz w:val="20"/>
                <w:szCs w:val="20"/>
              </w:rPr>
              <w:t>Legislative development</w:t>
            </w:r>
          </w:p>
          <w:p w14:paraId="74359268" w14:textId="77777777" w:rsidR="00F0376F" w:rsidRPr="00F75621" w:rsidRDefault="00F0376F" w:rsidP="00D637F6">
            <w:pPr>
              <w:rPr>
                <w:rFonts w:asciiTheme="minorHAnsi" w:hAnsiTheme="minorHAnsi" w:cstheme="minorHAnsi"/>
                <w:sz w:val="20"/>
                <w:szCs w:val="20"/>
              </w:rPr>
            </w:pPr>
            <w:r w:rsidRPr="00F75621">
              <w:rPr>
                <w:rFonts w:asciiTheme="minorHAnsi" w:hAnsiTheme="minorHAnsi" w:cstheme="minorHAnsi"/>
                <w:sz w:val="20"/>
                <w:szCs w:val="20"/>
              </w:rPr>
              <w:t>(Chapters 2-7)</w:t>
            </w:r>
          </w:p>
        </w:tc>
        <w:tc>
          <w:tcPr>
            <w:tcW w:w="11209" w:type="dxa"/>
          </w:tcPr>
          <w:p w14:paraId="463EA84D" w14:textId="7F303AAE" w:rsidR="00F0376F" w:rsidRDefault="00F0376F" w:rsidP="00D637F6">
            <w:pPr>
              <w:pStyle w:val="ListParagraph"/>
              <w:numPr>
                <w:ilvl w:val="0"/>
                <w:numId w:val="6"/>
              </w:numPr>
              <w:rPr>
                <w:rFonts w:asciiTheme="minorHAnsi" w:hAnsiTheme="minorHAnsi" w:cstheme="minorHAnsi"/>
                <w:bCs/>
                <w:iCs/>
                <w:sz w:val="20"/>
                <w:szCs w:val="20"/>
              </w:rPr>
            </w:pPr>
            <w:r>
              <w:rPr>
                <w:rFonts w:asciiTheme="minorHAnsi" w:hAnsiTheme="minorHAnsi" w:cstheme="minorHAnsi"/>
                <w:bCs/>
                <w:iCs/>
                <w:sz w:val="20"/>
                <w:szCs w:val="20"/>
              </w:rPr>
              <w:t>Provision of operational and regulatory advice to DISER on ongoing policy and regulatory development and reform</w:t>
            </w:r>
            <w:r w:rsidR="00FA70ED">
              <w:rPr>
                <w:rFonts w:asciiTheme="minorHAnsi" w:hAnsiTheme="minorHAnsi" w:cstheme="minorHAnsi"/>
                <w:bCs/>
                <w:iCs/>
                <w:sz w:val="20"/>
                <w:szCs w:val="20"/>
              </w:rPr>
              <w:t>.</w:t>
            </w:r>
          </w:p>
          <w:p w14:paraId="6CCB6A03" w14:textId="78481CDE" w:rsidR="00F0376F" w:rsidRDefault="00F0376F" w:rsidP="00D637F6">
            <w:pPr>
              <w:pStyle w:val="ListParagraph"/>
              <w:numPr>
                <w:ilvl w:val="0"/>
                <w:numId w:val="6"/>
              </w:numPr>
              <w:rPr>
                <w:rFonts w:asciiTheme="minorHAnsi" w:hAnsiTheme="minorHAnsi" w:cstheme="minorHAnsi"/>
                <w:bCs/>
                <w:iCs/>
                <w:sz w:val="20"/>
                <w:szCs w:val="20"/>
              </w:rPr>
            </w:pPr>
            <w:r>
              <w:rPr>
                <w:rFonts w:asciiTheme="minorHAnsi" w:hAnsiTheme="minorHAnsi" w:cstheme="minorHAnsi"/>
                <w:bCs/>
                <w:iCs/>
                <w:sz w:val="20"/>
                <w:szCs w:val="20"/>
              </w:rPr>
              <w:t>Development of drafting instructions and liaison with relevant state and commonwealth government agencies in relation to regulatory initiatives</w:t>
            </w:r>
            <w:r w:rsidR="00FA70ED">
              <w:rPr>
                <w:rFonts w:asciiTheme="minorHAnsi" w:hAnsiTheme="minorHAnsi" w:cstheme="minorHAnsi"/>
                <w:bCs/>
                <w:iCs/>
                <w:sz w:val="20"/>
                <w:szCs w:val="20"/>
              </w:rPr>
              <w:t>.</w:t>
            </w:r>
          </w:p>
          <w:p w14:paraId="52AEDF56" w14:textId="01887400" w:rsidR="00F0376F" w:rsidRPr="00A34BED" w:rsidRDefault="00F0376F" w:rsidP="00D637F6">
            <w:pPr>
              <w:pStyle w:val="ListParagraph"/>
              <w:numPr>
                <w:ilvl w:val="0"/>
                <w:numId w:val="6"/>
              </w:numPr>
              <w:rPr>
                <w:rFonts w:asciiTheme="minorHAnsi" w:hAnsiTheme="minorHAnsi" w:cstheme="minorHAnsi"/>
                <w:bCs/>
                <w:iCs/>
                <w:sz w:val="20"/>
                <w:szCs w:val="20"/>
              </w:rPr>
            </w:pPr>
            <w:r>
              <w:rPr>
                <w:rFonts w:asciiTheme="minorHAnsi" w:hAnsiTheme="minorHAnsi" w:cstheme="minorHAnsi"/>
                <w:bCs/>
                <w:iCs/>
                <w:sz w:val="20"/>
                <w:szCs w:val="20"/>
              </w:rPr>
              <w:t>Consultation with relevant stakeholders on regulatory initiatives and requirements</w:t>
            </w:r>
            <w:r w:rsidR="00FA70ED">
              <w:rPr>
                <w:rFonts w:asciiTheme="minorHAnsi" w:hAnsiTheme="minorHAnsi" w:cstheme="minorHAnsi"/>
                <w:bCs/>
                <w:iCs/>
                <w:sz w:val="20"/>
                <w:szCs w:val="20"/>
              </w:rPr>
              <w:t>.</w:t>
            </w:r>
          </w:p>
        </w:tc>
      </w:tr>
      <w:tr w:rsidR="00F0376F" w:rsidRPr="00762402" w14:paraId="55B50766" w14:textId="77777777" w:rsidTr="009D3DF3">
        <w:trPr>
          <w:trHeight w:val="188"/>
        </w:trPr>
        <w:tc>
          <w:tcPr>
            <w:tcW w:w="804" w:type="dxa"/>
          </w:tcPr>
          <w:p w14:paraId="2FAF118A" w14:textId="5F29DCEB" w:rsidR="00F0376F" w:rsidRPr="00FD28BA" w:rsidRDefault="00F0376F" w:rsidP="00D637F6">
            <w:pPr>
              <w:jc w:val="center"/>
              <w:rPr>
                <w:rFonts w:asciiTheme="minorHAnsi" w:hAnsiTheme="minorHAnsi" w:cstheme="minorHAnsi"/>
                <w:b/>
                <w:sz w:val="20"/>
                <w:szCs w:val="20"/>
              </w:rPr>
            </w:pPr>
            <w:r w:rsidRPr="00FD28BA">
              <w:rPr>
                <w:rFonts w:asciiTheme="minorHAnsi" w:hAnsiTheme="minorHAnsi" w:cstheme="minorHAnsi"/>
                <w:b/>
                <w:sz w:val="20"/>
                <w:szCs w:val="20"/>
              </w:rPr>
              <w:t>1</w:t>
            </w:r>
            <w:r w:rsidR="00FD28BA">
              <w:rPr>
                <w:rFonts w:asciiTheme="minorHAnsi" w:hAnsiTheme="minorHAnsi" w:cstheme="minorHAnsi"/>
                <w:b/>
                <w:sz w:val="20"/>
                <w:szCs w:val="20"/>
              </w:rPr>
              <w:t>3</w:t>
            </w:r>
          </w:p>
        </w:tc>
        <w:tc>
          <w:tcPr>
            <w:tcW w:w="2446" w:type="dxa"/>
          </w:tcPr>
          <w:p w14:paraId="6A40A66F" w14:textId="77777777" w:rsidR="00F0376F" w:rsidRDefault="00F0376F" w:rsidP="00D637F6">
            <w:pPr>
              <w:rPr>
                <w:rFonts w:asciiTheme="minorHAnsi" w:hAnsiTheme="minorHAnsi" w:cstheme="minorHAnsi"/>
                <w:b/>
                <w:sz w:val="20"/>
                <w:szCs w:val="20"/>
              </w:rPr>
            </w:pPr>
            <w:r>
              <w:rPr>
                <w:rFonts w:asciiTheme="minorHAnsi" w:hAnsiTheme="minorHAnsi" w:cstheme="minorHAnsi"/>
                <w:b/>
                <w:sz w:val="20"/>
                <w:szCs w:val="20"/>
              </w:rPr>
              <w:t>Regulatory Implementation</w:t>
            </w:r>
          </w:p>
          <w:p w14:paraId="4D3DDF38" w14:textId="77777777" w:rsidR="00F0376F" w:rsidRPr="00F75621" w:rsidRDefault="00F0376F" w:rsidP="00D637F6">
            <w:pPr>
              <w:rPr>
                <w:rFonts w:asciiTheme="minorHAnsi" w:hAnsiTheme="minorHAnsi" w:cstheme="minorHAnsi"/>
                <w:sz w:val="20"/>
                <w:szCs w:val="20"/>
              </w:rPr>
            </w:pPr>
            <w:r w:rsidRPr="00F75621">
              <w:rPr>
                <w:rFonts w:asciiTheme="minorHAnsi" w:hAnsiTheme="minorHAnsi" w:cstheme="minorHAnsi"/>
                <w:sz w:val="20"/>
                <w:szCs w:val="20"/>
              </w:rPr>
              <w:t>(Chapter 5)</w:t>
            </w:r>
          </w:p>
        </w:tc>
        <w:tc>
          <w:tcPr>
            <w:tcW w:w="11209" w:type="dxa"/>
          </w:tcPr>
          <w:p w14:paraId="59A93A96" w14:textId="6AD6E782" w:rsidR="00F0376F" w:rsidRDefault="00F0376F" w:rsidP="00D637F6">
            <w:pPr>
              <w:pStyle w:val="ListParagraph"/>
              <w:numPr>
                <w:ilvl w:val="0"/>
                <w:numId w:val="6"/>
              </w:numPr>
              <w:rPr>
                <w:rFonts w:asciiTheme="minorHAnsi" w:hAnsiTheme="minorHAnsi" w:cstheme="minorHAnsi"/>
                <w:bCs/>
                <w:iCs/>
                <w:sz w:val="20"/>
                <w:szCs w:val="20"/>
              </w:rPr>
            </w:pPr>
            <w:r>
              <w:rPr>
                <w:rFonts w:asciiTheme="minorHAnsi" w:hAnsiTheme="minorHAnsi" w:cstheme="minorHAnsi"/>
                <w:bCs/>
                <w:iCs/>
                <w:sz w:val="20"/>
                <w:szCs w:val="20"/>
              </w:rPr>
              <w:t>Development and implementation of regulatory policies and guidance</w:t>
            </w:r>
            <w:r w:rsidR="00FA70ED">
              <w:rPr>
                <w:rFonts w:asciiTheme="minorHAnsi" w:hAnsiTheme="minorHAnsi" w:cstheme="minorHAnsi"/>
                <w:bCs/>
                <w:iCs/>
                <w:sz w:val="20"/>
                <w:szCs w:val="20"/>
              </w:rPr>
              <w:t>.</w:t>
            </w:r>
          </w:p>
          <w:p w14:paraId="4C398520" w14:textId="517C5951" w:rsidR="00F0376F" w:rsidRPr="00A34BED" w:rsidRDefault="00F0376F" w:rsidP="00D637F6">
            <w:pPr>
              <w:pStyle w:val="ListParagraph"/>
              <w:numPr>
                <w:ilvl w:val="0"/>
                <w:numId w:val="6"/>
              </w:numPr>
              <w:rPr>
                <w:rFonts w:asciiTheme="minorHAnsi" w:hAnsiTheme="minorHAnsi" w:cstheme="minorHAnsi"/>
                <w:bCs/>
                <w:iCs/>
                <w:sz w:val="20"/>
                <w:szCs w:val="20"/>
              </w:rPr>
            </w:pPr>
            <w:r>
              <w:rPr>
                <w:rFonts w:asciiTheme="minorHAnsi" w:hAnsiTheme="minorHAnsi" w:cstheme="minorHAnsi"/>
                <w:bCs/>
                <w:iCs/>
                <w:sz w:val="20"/>
                <w:szCs w:val="20"/>
              </w:rPr>
              <w:t>Development and implementation of regulatory management systems, electronic approvals tracking, consultation platforms, inspection, investigation and enforcement systems</w:t>
            </w:r>
            <w:r w:rsidR="00FA70ED">
              <w:rPr>
                <w:rFonts w:asciiTheme="minorHAnsi" w:hAnsiTheme="minorHAnsi" w:cstheme="minorHAnsi"/>
                <w:bCs/>
                <w:iCs/>
                <w:sz w:val="20"/>
                <w:szCs w:val="20"/>
              </w:rPr>
              <w:t>.</w:t>
            </w:r>
          </w:p>
        </w:tc>
      </w:tr>
      <w:tr w:rsidR="00F0376F" w:rsidRPr="00762402" w14:paraId="1138D83A" w14:textId="77777777" w:rsidTr="009D3DF3">
        <w:trPr>
          <w:trHeight w:val="188"/>
        </w:trPr>
        <w:tc>
          <w:tcPr>
            <w:tcW w:w="804" w:type="dxa"/>
          </w:tcPr>
          <w:p w14:paraId="1CE9A7AD" w14:textId="644ED046" w:rsidR="00F0376F" w:rsidRPr="00FD28BA" w:rsidRDefault="00F0376F" w:rsidP="00D637F6">
            <w:pPr>
              <w:jc w:val="center"/>
              <w:rPr>
                <w:rFonts w:asciiTheme="minorHAnsi" w:hAnsiTheme="minorHAnsi" w:cstheme="minorHAnsi"/>
                <w:b/>
                <w:sz w:val="20"/>
                <w:szCs w:val="20"/>
              </w:rPr>
            </w:pPr>
            <w:r w:rsidRPr="00FD28BA">
              <w:rPr>
                <w:rFonts w:asciiTheme="minorHAnsi" w:hAnsiTheme="minorHAnsi" w:cstheme="minorHAnsi"/>
                <w:b/>
                <w:sz w:val="20"/>
                <w:szCs w:val="20"/>
              </w:rPr>
              <w:t>1</w:t>
            </w:r>
            <w:r w:rsidR="00FD28BA">
              <w:rPr>
                <w:rFonts w:asciiTheme="minorHAnsi" w:hAnsiTheme="minorHAnsi" w:cstheme="minorHAnsi"/>
                <w:b/>
                <w:sz w:val="20"/>
                <w:szCs w:val="20"/>
              </w:rPr>
              <w:t>4</w:t>
            </w:r>
          </w:p>
        </w:tc>
        <w:tc>
          <w:tcPr>
            <w:tcW w:w="2446" w:type="dxa"/>
          </w:tcPr>
          <w:p w14:paraId="4AD26699" w14:textId="77777777" w:rsidR="00F0376F" w:rsidRDefault="00F0376F" w:rsidP="00D637F6">
            <w:pPr>
              <w:rPr>
                <w:rFonts w:asciiTheme="minorHAnsi" w:hAnsiTheme="minorHAnsi" w:cstheme="minorHAnsi"/>
                <w:b/>
                <w:sz w:val="20"/>
                <w:szCs w:val="20"/>
              </w:rPr>
            </w:pPr>
            <w:r>
              <w:rPr>
                <w:rFonts w:asciiTheme="minorHAnsi" w:hAnsiTheme="minorHAnsi" w:cstheme="minorHAnsi"/>
                <w:b/>
                <w:sz w:val="20"/>
                <w:szCs w:val="20"/>
              </w:rPr>
              <w:t xml:space="preserve">Engagement </w:t>
            </w:r>
          </w:p>
          <w:p w14:paraId="04B6D1C1" w14:textId="77777777" w:rsidR="00F0376F" w:rsidRPr="00F75621" w:rsidRDefault="00F0376F" w:rsidP="00D637F6">
            <w:pPr>
              <w:rPr>
                <w:rFonts w:asciiTheme="minorHAnsi" w:hAnsiTheme="minorHAnsi" w:cstheme="minorHAnsi"/>
                <w:sz w:val="20"/>
                <w:szCs w:val="20"/>
              </w:rPr>
            </w:pPr>
            <w:r w:rsidRPr="00F75621">
              <w:rPr>
                <w:rFonts w:asciiTheme="minorHAnsi" w:hAnsiTheme="minorHAnsi" w:cstheme="minorHAnsi"/>
                <w:sz w:val="20"/>
                <w:szCs w:val="20"/>
              </w:rPr>
              <w:t>(Chapter 5)</w:t>
            </w:r>
          </w:p>
        </w:tc>
        <w:tc>
          <w:tcPr>
            <w:tcW w:w="11209" w:type="dxa"/>
          </w:tcPr>
          <w:p w14:paraId="7499883E" w14:textId="2A7B5DCE" w:rsidR="00F0376F" w:rsidRDefault="00F0376F" w:rsidP="00D637F6">
            <w:pPr>
              <w:pStyle w:val="ListParagraph"/>
              <w:numPr>
                <w:ilvl w:val="0"/>
                <w:numId w:val="6"/>
              </w:numPr>
              <w:rPr>
                <w:rFonts w:asciiTheme="minorHAnsi" w:hAnsiTheme="minorHAnsi" w:cstheme="minorHAnsi"/>
                <w:bCs/>
                <w:iCs/>
                <w:sz w:val="20"/>
                <w:szCs w:val="20"/>
              </w:rPr>
            </w:pPr>
            <w:r>
              <w:rPr>
                <w:rFonts w:asciiTheme="minorHAnsi" w:hAnsiTheme="minorHAnsi" w:cstheme="minorHAnsi"/>
                <w:bCs/>
                <w:iCs/>
                <w:sz w:val="20"/>
                <w:szCs w:val="20"/>
              </w:rPr>
              <w:t>Consultation and engagement with industry on requirements of and compliance with the regime</w:t>
            </w:r>
            <w:r w:rsidR="00FA70ED">
              <w:rPr>
                <w:rFonts w:asciiTheme="minorHAnsi" w:hAnsiTheme="minorHAnsi" w:cstheme="minorHAnsi"/>
                <w:bCs/>
                <w:iCs/>
                <w:sz w:val="20"/>
                <w:szCs w:val="20"/>
              </w:rPr>
              <w:t>.</w:t>
            </w:r>
          </w:p>
          <w:p w14:paraId="410C9607" w14:textId="59CA7875" w:rsidR="00F0376F" w:rsidRPr="00A34BED" w:rsidRDefault="00F0376F" w:rsidP="00D637F6">
            <w:pPr>
              <w:pStyle w:val="ListParagraph"/>
              <w:numPr>
                <w:ilvl w:val="0"/>
                <w:numId w:val="6"/>
              </w:numPr>
              <w:rPr>
                <w:rFonts w:asciiTheme="minorHAnsi" w:hAnsiTheme="minorHAnsi" w:cstheme="minorHAnsi"/>
                <w:bCs/>
                <w:iCs/>
                <w:sz w:val="20"/>
                <w:szCs w:val="20"/>
              </w:rPr>
            </w:pPr>
            <w:r>
              <w:rPr>
                <w:rFonts w:asciiTheme="minorHAnsi" w:hAnsiTheme="minorHAnsi" w:cstheme="minorHAnsi"/>
                <w:sz w:val="20"/>
                <w:szCs w:val="20"/>
              </w:rPr>
              <w:t>C</w:t>
            </w:r>
            <w:r w:rsidRPr="005B014E">
              <w:rPr>
                <w:rFonts w:asciiTheme="minorHAnsi" w:hAnsiTheme="minorHAnsi" w:cstheme="minorHAnsi"/>
                <w:sz w:val="20"/>
                <w:szCs w:val="20"/>
              </w:rPr>
              <w:t>ooperation with other Commonwealth, State and Territory agencies</w:t>
            </w:r>
            <w:r w:rsidRPr="005B014E">
              <w:rPr>
                <w:color w:val="000000"/>
                <w:sz w:val="22"/>
                <w:szCs w:val="22"/>
                <w:shd w:val="clear" w:color="auto" w:fill="FFFFFF"/>
              </w:rPr>
              <w:t xml:space="preserve"> </w:t>
            </w:r>
            <w:r w:rsidRPr="005B014E">
              <w:rPr>
                <w:rFonts w:asciiTheme="minorHAnsi" w:hAnsiTheme="minorHAnsi" w:cstheme="minorHAnsi"/>
                <w:sz w:val="20"/>
                <w:szCs w:val="20"/>
              </w:rPr>
              <w:t>and authorities having functions relating to the regulation of offshore infrastructure activities</w:t>
            </w:r>
            <w:r w:rsidR="00FA70ED">
              <w:rPr>
                <w:rFonts w:asciiTheme="minorHAnsi" w:hAnsiTheme="minorHAnsi" w:cstheme="minorHAnsi"/>
                <w:sz w:val="20"/>
                <w:szCs w:val="20"/>
              </w:rPr>
              <w:t>.</w:t>
            </w:r>
          </w:p>
          <w:p w14:paraId="1AE46CC7" w14:textId="477C0B6D" w:rsidR="00F0376F" w:rsidRPr="001C3CDC" w:rsidRDefault="00F0376F" w:rsidP="00D637F6">
            <w:pPr>
              <w:pStyle w:val="ListParagraph"/>
              <w:numPr>
                <w:ilvl w:val="0"/>
                <w:numId w:val="6"/>
              </w:numPr>
              <w:rPr>
                <w:rFonts w:asciiTheme="minorHAnsi" w:hAnsiTheme="minorHAnsi" w:cstheme="minorHAnsi"/>
                <w:bCs/>
                <w:iCs/>
                <w:sz w:val="20"/>
                <w:szCs w:val="20"/>
              </w:rPr>
            </w:pPr>
            <w:r>
              <w:rPr>
                <w:rFonts w:asciiTheme="minorHAnsi" w:hAnsiTheme="minorHAnsi" w:cstheme="minorHAnsi"/>
                <w:sz w:val="20"/>
                <w:szCs w:val="20"/>
              </w:rPr>
              <w:t>Consultation and engagement with domestic and international stakeholders</w:t>
            </w:r>
            <w:r w:rsidR="00FA70ED">
              <w:rPr>
                <w:rFonts w:asciiTheme="minorHAnsi" w:hAnsiTheme="minorHAnsi" w:cstheme="minorHAnsi"/>
                <w:sz w:val="20"/>
                <w:szCs w:val="20"/>
              </w:rPr>
              <w:t>.</w:t>
            </w:r>
          </w:p>
          <w:p w14:paraId="482DC6CA" w14:textId="7CCF3627" w:rsidR="00F0376F" w:rsidRDefault="00F0376F" w:rsidP="00D637F6">
            <w:pPr>
              <w:pStyle w:val="ListParagraph"/>
              <w:numPr>
                <w:ilvl w:val="0"/>
                <w:numId w:val="6"/>
              </w:numPr>
              <w:rPr>
                <w:rFonts w:asciiTheme="minorHAnsi" w:hAnsiTheme="minorHAnsi" w:cstheme="minorHAnsi"/>
                <w:bCs/>
                <w:iCs/>
                <w:sz w:val="20"/>
                <w:szCs w:val="20"/>
              </w:rPr>
            </w:pPr>
            <w:r>
              <w:rPr>
                <w:rFonts w:asciiTheme="minorHAnsi" w:hAnsiTheme="minorHAnsi" w:cstheme="minorHAnsi"/>
                <w:bCs/>
                <w:iCs/>
                <w:sz w:val="20"/>
                <w:szCs w:val="20"/>
              </w:rPr>
              <w:t>Development and ongoing management of website and communications collateral</w:t>
            </w:r>
            <w:r w:rsidR="00FA70ED">
              <w:rPr>
                <w:rFonts w:asciiTheme="minorHAnsi" w:hAnsiTheme="minorHAnsi" w:cstheme="minorHAnsi"/>
                <w:bCs/>
                <w:iCs/>
                <w:sz w:val="20"/>
                <w:szCs w:val="20"/>
              </w:rPr>
              <w:t>.</w:t>
            </w:r>
          </w:p>
          <w:p w14:paraId="1F300B93" w14:textId="345D630A" w:rsidR="00F0376F" w:rsidRPr="00A34BED" w:rsidRDefault="00F0376F" w:rsidP="00D637F6">
            <w:pPr>
              <w:pStyle w:val="ListParagraph"/>
              <w:numPr>
                <w:ilvl w:val="0"/>
                <w:numId w:val="6"/>
              </w:numPr>
              <w:rPr>
                <w:rFonts w:asciiTheme="minorHAnsi" w:hAnsiTheme="minorHAnsi" w:cstheme="minorHAnsi"/>
                <w:bCs/>
                <w:iCs/>
                <w:sz w:val="20"/>
                <w:szCs w:val="20"/>
              </w:rPr>
            </w:pPr>
            <w:r>
              <w:rPr>
                <w:rFonts w:asciiTheme="minorHAnsi" w:hAnsiTheme="minorHAnsi" w:cstheme="minorHAnsi"/>
                <w:bCs/>
                <w:iCs/>
                <w:sz w:val="20"/>
                <w:szCs w:val="20"/>
              </w:rPr>
              <w:t>Management of feedback and complaints</w:t>
            </w:r>
            <w:r w:rsidR="00FA70ED">
              <w:rPr>
                <w:rFonts w:asciiTheme="minorHAnsi" w:hAnsiTheme="minorHAnsi" w:cstheme="minorHAnsi"/>
                <w:bCs/>
                <w:iCs/>
                <w:sz w:val="20"/>
                <w:szCs w:val="20"/>
              </w:rPr>
              <w:t>.</w:t>
            </w:r>
          </w:p>
        </w:tc>
      </w:tr>
      <w:tr w:rsidR="00F0376F" w:rsidRPr="00762402" w14:paraId="5AE10003" w14:textId="77777777" w:rsidTr="009D3DF3">
        <w:trPr>
          <w:trHeight w:val="188"/>
        </w:trPr>
        <w:tc>
          <w:tcPr>
            <w:tcW w:w="804" w:type="dxa"/>
          </w:tcPr>
          <w:p w14:paraId="4CCBEA08" w14:textId="0F28C2FC" w:rsidR="00F0376F" w:rsidRPr="00FD28BA" w:rsidRDefault="00F0376F" w:rsidP="00D637F6">
            <w:pPr>
              <w:jc w:val="center"/>
              <w:rPr>
                <w:rFonts w:asciiTheme="minorHAnsi" w:hAnsiTheme="minorHAnsi" w:cstheme="minorHAnsi"/>
                <w:b/>
                <w:sz w:val="20"/>
                <w:szCs w:val="20"/>
              </w:rPr>
            </w:pPr>
            <w:r w:rsidRPr="00FD28BA">
              <w:rPr>
                <w:rFonts w:asciiTheme="minorHAnsi" w:hAnsiTheme="minorHAnsi" w:cstheme="minorHAnsi"/>
                <w:b/>
                <w:sz w:val="20"/>
                <w:szCs w:val="20"/>
              </w:rPr>
              <w:t>1</w:t>
            </w:r>
            <w:r w:rsidR="00FD28BA">
              <w:rPr>
                <w:rFonts w:asciiTheme="minorHAnsi" w:hAnsiTheme="minorHAnsi" w:cstheme="minorHAnsi"/>
                <w:b/>
                <w:sz w:val="20"/>
                <w:szCs w:val="20"/>
              </w:rPr>
              <w:t>5</w:t>
            </w:r>
          </w:p>
        </w:tc>
        <w:tc>
          <w:tcPr>
            <w:tcW w:w="2446" w:type="dxa"/>
          </w:tcPr>
          <w:p w14:paraId="45DE2141" w14:textId="77777777" w:rsidR="00F0376F" w:rsidRDefault="00F0376F" w:rsidP="00D637F6">
            <w:pPr>
              <w:rPr>
                <w:rFonts w:asciiTheme="minorHAnsi" w:hAnsiTheme="minorHAnsi" w:cstheme="minorHAnsi"/>
                <w:b/>
                <w:sz w:val="20"/>
                <w:szCs w:val="20"/>
              </w:rPr>
            </w:pPr>
            <w:r>
              <w:rPr>
                <w:rFonts w:asciiTheme="minorHAnsi" w:hAnsiTheme="minorHAnsi" w:cstheme="minorHAnsi"/>
                <w:b/>
                <w:sz w:val="20"/>
                <w:szCs w:val="20"/>
              </w:rPr>
              <w:t>Governance</w:t>
            </w:r>
          </w:p>
          <w:p w14:paraId="75AE871D" w14:textId="77777777" w:rsidR="00F0376F" w:rsidRPr="00F75621" w:rsidRDefault="00F0376F" w:rsidP="00D637F6">
            <w:pPr>
              <w:rPr>
                <w:rFonts w:asciiTheme="minorHAnsi" w:hAnsiTheme="minorHAnsi" w:cstheme="minorHAnsi"/>
                <w:sz w:val="20"/>
                <w:szCs w:val="20"/>
              </w:rPr>
            </w:pPr>
            <w:r w:rsidRPr="00F75621">
              <w:rPr>
                <w:rFonts w:asciiTheme="minorHAnsi" w:hAnsiTheme="minorHAnsi" w:cstheme="minorHAnsi"/>
                <w:sz w:val="20"/>
                <w:szCs w:val="20"/>
              </w:rPr>
              <w:t>(Chapter 5)</w:t>
            </w:r>
          </w:p>
        </w:tc>
        <w:tc>
          <w:tcPr>
            <w:tcW w:w="11209" w:type="dxa"/>
          </w:tcPr>
          <w:p w14:paraId="43824ED5" w14:textId="7DAD4D9F" w:rsidR="00F0376F" w:rsidRDefault="00F0376F" w:rsidP="00D637F6">
            <w:pPr>
              <w:pStyle w:val="ListParagraph"/>
              <w:numPr>
                <w:ilvl w:val="0"/>
                <w:numId w:val="6"/>
              </w:numPr>
              <w:rPr>
                <w:rFonts w:asciiTheme="minorHAnsi" w:hAnsiTheme="minorHAnsi" w:cstheme="minorHAnsi"/>
                <w:bCs/>
                <w:iCs/>
                <w:sz w:val="20"/>
                <w:szCs w:val="20"/>
              </w:rPr>
            </w:pPr>
            <w:r>
              <w:rPr>
                <w:rFonts w:asciiTheme="minorHAnsi" w:hAnsiTheme="minorHAnsi" w:cstheme="minorHAnsi"/>
                <w:bCs/>
                <w:iCs/>
                <w:sz w:val="20"/>
                <w:szCs w:val="20"/>
              </w:rPr>
              <w:t>Management of resourcing to deliver regulatory functions</w:t>
            </w:r>
            <w:r w:rsidR="00FA70ED">
              <w:rPr>
                <w:rFonts w:asciiTheme="minorHAnsi" w:hAnsiTheme="minorHAnsi" w:cstheme="minorHAnsi"/>
                <w:bCs/>
                <w:iCs/>
                <w:sz w:val="20"/>
                <w:szCs w:val="20"/>
              </w:rPr>
              <w:t>.</w:t>
            </w:r>
          </w:p>
          <w:p w14:paraId="79171F69" w14:textId="7C87C88A" w:rsidR="00F0376F" w:rsidRDefault="00F0376F" w:rsidP="00D637F6">
            <w:pPr>
              <w:pStyle w:val="ListParagraph"/>
              <w:numPr>
                <w:ilvl w:val="0"/>
                <w:numId w:val="6"/>
              </w:numPr>
              <w:rPr>
                <w:rFonts w:asciiTheme="minorHAnsi" w:hAnsiTheme="minorHAnsi" w:cstheme="minorHAnsi"/>
                <w:bCs/>
                <w:iCs/>
                <w:sz w:val="20"/>
                <w:szCs w:val="20"/>
              </w:rPr>
            </w:pPr>
            <w:r>
              <w:rPr>
                <w:rFonts w:asciiTheme="minorHAnsi" w:hAnsiTheme="minorHAnsi" w:cstheme="minorHAnsi"/>
                <w:bCs/>
                <w:iCs/>
                <w:sz w:val="20"/>
                <w:szCs w:val="20"/>
              </w:rPr>
              <w:t>Management of cost recovery through fees and levies</w:t>
            </w:r>
            <w:r w:rsidR="00FA70ED">
              <w:rPr>
                <w:rFonts w:asciiTheme="minorHAnsi" w:hAnsiTheme="minorHAnsi" w:cstheme="minorHAnsi"/>
                <w:bCs/>
                <w:iCs/>
                <w:sz w:val="20"/>
                <w:szCs w:val="20"/>
              </w:rPr>
              <w:t>.</w:t>
            </w:r>
          </w:p>
          <w:p w14:paraId="071CFDC7" w14:textId="00255909" w:rsidR="00F0376F" w:rsidRDefault="00F0376F" w:rsidP="00D637F6">
            <w:pPr>
              <w:pStyle w:val="ListParagraph"/>
              <w:numPr>
                <w:ilvl w:val="0"/>
                <w:numId w:val="6"/>
              </w:numPr>
              <w:rPr>
                <w:rFonts w:asciiTheme="minorHAnsi" w:hAnsiTheme="minorHAnsi" w:cstheme="minorHAnsi"/>
                <w:bCs/>
                <w:iCs/>
                <w:sz w:val="20"/>
                <w:szCs w:val="20"/>
              </w:rPr>
            </w:pPr>
            <w:r>
              <w:rPr>
                <w:rFonts w:asciiTheme="minorHAnsi" w:hAnsiTheme="minorHAnsi" w:cstheme="minorHAnsi"/>
                <w:bCs/>
                <w:iCs/>
                <w:sz w:val="20"/>
                <w:szCs w:val="20"/>
              </w:rPr>
              <w:t>Management of statutory reviews, senate estimates and other oversight arrangements</w:t>
            </w:r>
            <w:r w:rsidR="00FA70ED">
              <w:rPr>
                <w:rFonts w:asciiTheme="minorHAnsi" w:hAnsiTheme="minorHAnsi" w:cstheme="minorHAnsi"/>
                <w:bCs/>
                <w:iCs/>
                <w:sz w:val="20"/>
                <w:szCs w:val="20"/>
              </w:rPr>
              <w:t>.</w:t>
            </w:r>
          </w:p>
          <w:p w14:paraId="7E406DDE" w14:textId="3E5EE591" w:rsidR="00F0376F" w:rsidRDefault="00F0376F" w:rsidP="00D637F6">
            <w:pPr>
              <w:pStyle w:val="ListParagraph"/>
              <w:numPr>
                <w:ilvl w:val="0"/>
                <w:numId w:val="6"/>
              </w:numPr>
              <w:rPr>
                <w:rFonts w:asciiTheme="minorHAnsi" w:hAnsiTheme="minorHAnsi" w:cstheme="minorHAnsi"/>
                <w:bCs/>
                <w:iCs/>
                <w:sz w:val="20"/>
                <w:szCs w:val="20"/>
              </w:rPr>
            </w:pPr>
            <w:r>
              <w:rPr>
                <w:rFonts w:asciiTheme="minorHAnsi" w:hAnsiTheme="minorHAnsi" w:cstheme="minorHAnsi"/>
                <w:bCs/>
                <w:iCs/>
                <w:sz w:val="20"/>
                <w:szCs w:val="20"/>
              </w:rPr>
              <w:t>Corporate planning, annual reporting, ad-hoc reports to the Minister</w:t>
            </w:r>
            <w:r w:rsidR="00FA70ED">
              <w:rPr>
                <w:rFonts w:asciiTheme="minorHAnsi" w:hAnsiTheme="minorHAnsi" w:cstheme="minorHAnsi"/>
                <w:bCs/>
                <w:iCs/>
                <w:sz w:val="20"/>
                <w:szCs w:val="20"/>
              </w:rPr>
              <w:t>.</w:t>
            </w:r>
          </w:p>
          <w:p w14:paraId="08C3CECB" w14:textId="5999B5A1" w:rsidR="00F0376F" w:rsidRPr="001C3CDC" w:rsidRDefault="00F0376F" w:rsidP="00D637F6">
            <w:pPr>
              <w:pStyle w:val="ListParagraph"/>
              <w:numPr>
                <w:ilvl w:val="0"/>
                <w:numId w:val="6"/>
              </w:numPr>
              <w:rPr>
                <w:rFonts w:asciiTheme="minorHAnsi" w:hAnsiTheme="minorHAnsi" w:cstheme="minorHAnsi"/>
                <w:bCs/>
                <w:iCs/>
                <w:sz w:val="20"/>
                <w:szCs w:val="20"/>
              </w:rPr>
            </w:pPr>
            <w:r>
              <w:rPr>
                <w:rFonts w:asciiTheme="minorHAnsi" w:hAnsiTheme="minorHAnsi" w:cstheme="minorHAnsi"/>
                <w:bCs/>
                <w:iCs/>
                <w:sz w:val="20"/>
                <w:szCs w:val="20"/>
              </w:rPr>
              <w:t>ICT and record keeping</w:t>
            </w:r>
            <w:r w:rsidR="00FA70ED">
              <w:rPr>
                <w:rFonts w:asciiTheme="minorHAnsi" w:hAnsiTheme="minorHAnsi" w:cstheme="minorHAnsi"/>
                <w:bCs/>
                <w:iCs/>
                <w:sz w:val="20"/>
                <w:szCs w:val="20"/>
              </w:rPr>
              <w:t>.</w:t>
            </w:r>
          </w:p>
        </w:tc>
      </w:tr>
    </w:tbl>
    <w:p w14:paraId="04CA4AC3" w14:textId="77777777" w:rsidR="00F0376F" w:rsidRDefault="00F0376F" w:rsidP="00F0376F">
      <w:pPr>
        <w:sectPr w:rsidR="00F0376F" w:rsidSect="00E35000">
          <w:pgSz w:w="16838" w:h="11906" w:orient="landscape"/>
          <w:pgMar w:top="851" w:right="720" w:bottom="720" w:left="851" w:header="708" w:footer="708" w:gutter="0"/>
          <w:cols w:space="708"/>
          <w:docGrid w:linePitch="360"/>
        </w:sectPr>
      </w:pPr>
    </w:p>
    <w:p w14:paraId="5FA2BBE2" w14:textId="77777777" w:rsidR="00F0376F" w:rsidRPr="00902AA6" w:rsidRDefault="00F0376F" w:rsidP="00F0376F">
      <w:pPr>
        <w:pStyle w:val="Heading3"/>
      </w:pPr>
      <w:bookmarkStart w:id="50" w:name="_Toc90968210"/>
      <w:bookmarkStart w:id="51" w:name="_Toc98772185"/>
      <w:r w:rsidRPr="00902AA6">
        <w:lastRenderedPageBreak/>
        <w:t>Costs of the regulatory charging activity</w:t>
      </w:r>
      <w:bookmarkEnd w:id="50"/>
      <w:bookmarkEnd w:id="51"/>
    </w:p>
    <w:p w14:paraId="010EAAEA" w14:textId="77777777" w:rsidR="00F0376F" w:rsidRDefault="00F0376F" w:rsidP="00F0376F">
      <w:pPr>
        <w:rPr>
          <w:rFonts w:asciiTheme="minorHAnsi" w:hAnsiTheme="minorHAnsi" w:cstheme="minorHAnsi"/>
        </w:rPr>
      </w:pPr>
      <w:r>
        <w:rPr>
          <w:rFonts w:asciiTheme="minorHAnsi" w:hAnsiTheme="minorHAnsi" w:cstheme="minorHAnsi"/>
        </w:rPr>
        <w:t>D</w:t>
      </w:r>
      <w:r w:rsidRPr="005E2EC1">
        <w:rPr>
          <w:rFonts w:asciiTheme="minorHAnsi" w:hAnsiTheme="minorHAnsi" w:cstheme="minorHAnsi"/>
        </w:rPr>
        <w:t>irect and indirect costs</w:t>
      </w:r>
      <w:r>
        <w:rPr>
          <w:rFonts w:asciiTheme="minorHAnsi" w:hAnsiTheme="minorHAnsi" w:cstheme="minorHAnsi"/>
        </w:rPr>
        <w:t xml:space="preserve"> are allocated</w:t>
      </w:r>
      <w:r w:rsidRPr="005E2EC1">
        <w:rPr>
          <w:rFonts w:asciiTheme="minorHAnsi" w:hAnsiTheme="minorHAnsi" w:cstheme="minorHAnsi"/>
        </w:rPr>
        <w:t xml:space="preserve"> to each output based on management estimates of effort required</w:t>
      </w:r>
      <w:r>
        <w:rPr>
          <w:rFonts w:asciiTheme="minorHAnsi" w:hAnsiTheme="minorHAnsi" w:cstheme="minorHAnsi"/>
        </w:rPr>
        <w:t xml:space="preserve"> (</w:t>
      </w:r>
      <w:r>
        <w:rPr>
          <w:rFonts w:asciiTheme="minorHAnsi" w:hAnsiTheme="minorHAnsi" w:cstheme="minorHAnsi"/>
          <w:b/>
          <w:bCs/>
        </w:rPr>
        <w:t>Table 12</w:t>
      </w:r>
      <w:r w:rsidRPr="00A62032">
        <w:rPr>
          <w:rFonts w:asciiTheme="minorHAnsi" w:hAnsiTheme="minorHAnsi" w:cstheme="minorHAnsi"/>
        </w:rPr>
        <w:t>)</w:t>
      </w:r>
      <w:r w:rsidRPr="005E2EC1">
        <w:rPr>
          <w:rFonts w:asciiTheme="minorHAnsi" w:hAnsiTheme="minorHAnsi" w:cstheme="minorHAnsi"/>
        </w:rPr>
        <w:t>.</w:t>
      </w:r>
      <w:r w:rsidRPr="00A62032">
        <w:rPr>
          <w:rFonts w:asciiTheme="minorHAnsi" w:hAnsiTheme="minorHAnsi" w:cstheme="minorHAnsi"/>
        </w:rPr>
        <w:t xml:space="preserve"> </w:t>
      </w:r>
      <w:r w:rsidRPr="00591FD1">
        <w:rPr>
          <w:rFonts w:asciiTheme="minorHAnsi" w:hAnsiTheme="minorHAnsi" w:cstheme="minorHAnsi"/>
        </w:rPr>
        <w:t>Indirect costs are allocated using headcount.</w:t>
      </w:r>
    </w:p>
    <w:p w14:paraId="2ABF965F" w14:textId="77777777" w:rsidR="00F0376F" w:rsidRPr="005E2EC1" w:rsidRDefault="00F0376F" w:rsidP="00F0376F">
      <w:pPr>
        <w:rPr>
          <w:rFonts w:asciiTheme="minorHAnsi" w:hAnsiTheme="minorHAnsi" w:cstheme="minorHAnsi"/>
        </w:rPr>
      </w:pPr>
    </w:p>
    <w:p w14:paraId="12F8794E" w14:textId="5C5D608E" w:rsidR="00F0376F" w:rsidRPr="005E2EC1" w:rsidRDefault="00F0376F" w:rsidP="00F0376F">
      <w:pPr>
        <w:rPr>
          <w:rFonts w:asciiTheme="minorHAnsi" w:hAnsiTheme="minorHAnsi" w:cstheme="minorHAnsi"/>
        </w:rPr>
      </w:pPr>
      <w:r w:rsidRPr="005E2EC1">
        <w:rPr>
          <w:rFonts w:asciiTheme="minorHAnsi" w:hAnsiTheme="minorHAnsi" w:cstheme="minorHAnsi"/>
        </w:rPr>
        <w:t xml:space="preserve">Direct costs </w:t>
      </w:r>
      <w:r w:rsidR="00C5189E">
        <w:rPr>
          <w:rFonts w:asciiTheme="minorHAnsi" w:hAnsiTheme="minorHAnsi" w:cstheme="minorHAnsi"/>
        </w:rPr>
        <w:t>(</w:t>
      </w:r>
      <w:r w:rsidR="00C5189E">
        <w:rPr>
          <w:rFonts w:asciiTheme="minorHAnsi" w:hAnsiTheme="minorHAnsi" w:cstheme="minorHAnsi"/>
          <w:b/>
          <w:bCs/>
        </w:rPr>
        <w:t xml:space="preserve">Table </w:t>
      </w:r>
      <w:r w:rsidR="00C5189E" w:rsidRPr="00EC279B">
        <w:rPr>
          <w:rFonts w:asciiTheme="minorHAnsi" w:hAnsiTheme="minorHAnsi" w:cstheme="minorHAnsi"/>
          <w:b/>
          <w:bCs/>
        </w:rPr>
        <w:t>13</w:t>
      </w:r>
      <w:r w:rsidR="00C5189E">
        <w:rPr>
          <w:rFonts w:asciiTheme="minorHAnsi" w:hAnsiTheme="minorHAnsi" w:cstheme="minorHAnsi"/>
        </w:rPr>
        <w:t xml:space="preserve">) </w:t>
      </w:r>
      <w:r w:rsidRPr="005E2EC1">
        <w:rPr>
          <w:rFonts w:asciiTheme="minorHAnsi" w:hAnsiTheme="minorHAnsi" w:cstheme="minorHAnsi"/>
        </w:rPr>
        <w:t xml:space="preserve">are </w:t>
      </w:r>
      <w:r>
        <w:rPr>
          <w:rFonts w:asciiTheme="minorHAnsi" w:hAnsiTheme="minorHAnsi" w:cstheme="minorHAnsi"/>
        </w:rPr>
        <w:t xml:space="preserve">budgeted </w:t>
      </w:r>
      <w:r w:rsidRPr="005E2EC1">
        <w:rPr>
          <w:rFonts w:asciiTheme="minorHAnsi" w:hAnsiTheme="minorHAnsi" w:cstheme="minorHAnsi"/>
        </w:rPr>
        <w:t xml:space="preserve">at </w:t>
      </w:r>
      <w:r>
        <w:rPr>
          <w:rFonts w:asciiTheme="minorHAnsi" w:hAnsiTheme="minorHAnsi" w:cstheme="minorHAnsi"/>
        </w:rPr>
        <w:t>$1,178,643</w:t>
      </w:r>
      <w:r w:rsidRPr="005E2EC1">
        <w:rPr>
          <w:rFonts w:asciiTheme="minorHAnsi" w:hAnsiTheme="minorHAnsi" w:cstheme="minorHAnsi"/>
        </w:rPr>
        <w:t xml:space="preserve"> f</w:t>
      </w:r>
      <w:r>
        <w:rPr>
          <w:rFonts w:asciiTheme="minorHAnsi" w:hAnsiTheme="minorHAnsi" w:cstheme="minorHAnsi"/>
        </w:rPr>
        <w:t>or</w:t>
      </w:r>
      <w:r w:rsidRPr="005E2EC1">
        <w:rPr>
          <w:rFonts w:asciiTheme="minorHAnsi" w:hAnsiTheme="minorHAnsi" w:cstheme="minorHAnsi"/>
        </w:rPr>
        <w:t xml:space="preserve"> 202</w:t>
      </w:r>
      <w:r>
        <w:rPr>
          <w:rFonts w:asciiTheme="minorHAnsi" w:hAnsiTheme="minorHAnsi" w:cstheme="minorHAnsi"/>
        </w:rPr>
        <w:t>2-23,</w:t>
      </w:r>
      <w:r w:rsidRPr="005E2EC1">
        <w:rPr>
          <w:rFonts w:asciiTheme="minorHAnsi" w:hAnsiTheme="minorHAnsi" w:cstheme="minorHAnsi"/>
        </w:rPr>
        <w:t xml:space="preserve"> </w:t>
      </w:r>
      <w:r w:rsidRPr="00B7069E">
        <w:rPr>
          <w:rFonts w:asciiTheme="minorHAnsi" w:hAnsiTheme="minorHAnsi" w:cstheme="minorHAnsi"/>
        </w:rPr>
        <w:t>$</w:t>
      </w:r>
      <w:r>
        <w:rPr>
          <w:rFonts w:asciiTheme="minorHAnsi" w:hAnsiTheme="minorHAnsi" w:cstheme="minorHAnsi"/>
        </w:rPr>
        <w:t xml:space="preserve">1,600,266 for 2023-24, </w:t>
      </w:r>
      <w:r w:rsidRPr="005E2EC1">
        <w:rPr>
          <w:rFonts w:asciiTheme="minorHAnsi" w:hAnsiTheme="minorHAnsi" w:cstheme="minorHAnsi"/>
        </w:rPr>
        <w:t>and</w:t>
      </w:r>
      <w:r>
        <w:rPr>
          <w:rFonts w:asciiTheme="minorHAnsi" w:hAnsiTheme="minorHAnsi" w:cstheme="minorHAnsi"/>
        </w:rPr>
        <w:t xml:space="preserve"> $1,879,357 </w:t>
      </w:r>
      <w:r w:rsidR="00F4042A">
        <w:rPr>
          <w:rFonts w:asciiTheme="minorHAnsi" w:hAnsiTheme="minorHAnsi" w:cstheme="minorHAnsi"/>
        </w:rPr>
        <w:br/>
      </w:r>
      <w:r>
        <w:rPr>
          <w:rFonts w:asciiTheme="minorHAnsi" w:hAnsiTheme="minorHAnsi" w:cstheme="minorHAnsi"/>
        </w:rPr>
        <w:t>for 2024-25, and</w:t>
      </w:r>
      <w:r w:rsidRPr="005E2EC1">
        <w:rPr>
          <w:rFonts w:asciiTheme="minorHAnsi" w:hAnsiTheme="minorHAnsi" w:cstheme="minorHAnsi"/>
        </w:rPr>
        <w:t xml:space="preserve"> are made up of:</w:t>
      </w:r>
    </w:p>
    <w:p w14:paraId="61526C8E" w14:textId="1AE85E83" w:rsidR="00F0376F" w:rsidRDefault="00F0376F" w:rsidP="00F0376F">
      <w:pPr>
        <w:pStyle w:val="ListParagraph"/>
        <w:numPr>
          <w:ilvl w:val="0"/>
          <w:numId w:val="5"/>
        </w:numPr>
        <w:contextualSpacing w:val="0"/>
        <w:rPr>
          <w:rFonts w:asciiTheme="minorHAnsi" w:hAnsiTheme="minorHAnsi" w:cstheme="minorHAnsi"/>
        </w:rPr>
      </w:pPr>
      <w:r w:rsidRPr="002578CD">
        <w:rPr>
          <w:rFonts w:asciiTheme="minorHAnsi" w:hAnsiTheme="minorHAnsi" w:cstheme="minorHAnsi"/>
        </w:rPr>
        <w:t xml:space="preserve">Employee and associated expenses (e.g. salary, superannuation, leave entitlement, learning </w:t>
      </w:r>
      <w:r>
        <w:rPr>
          <w:rFonts w:asciiTheme="minorHAnsi" w:hAnsiTheme="minorHAnsi" w:cstheme="minorHAnsi"/>
        </w:rPr>
        <w:t>and</w:t>
      </w:r>
      <w:r w:rsidRPr="002578CD">
        <w:rPr>
          <w:rFonts w:asciiTheme="minorHAnsi" w:hAnsiTheme="minorHAnsi" w:cstheme="minorHAnsi"/>
        </w:rPr>
        <w:t xml:space="preserve"> development, professional membership)</w:t>
      </w:r>
    </w:p>
    <w:p w14:paraId="321B6328" w14:textId="77777777" w:rsidR="00F0376F" w:rsidRPr="002578CD" w:rsidRDefault="00F0376F" w:rsidP="00F0376F">
      <w:pPr>
        <w:pStyle w:val="ListParagraph"/>
        <w:numPr>
          <w:ilvl w:val="0"/>
          <w:numId w:val="5"/>
        </w:numPr>
        <w:contextualSpacing w:val="0"/>
        <w:rPr>
          <w:rFonts w:asciiTheme="minorHAnsi" w:hAnsiTheme="minorHAnsi" w:cstheme="minorHAnsi"/>
        </w:rPr>
      </w:pPr>
      <w:r>
        <w:rPr>
          <w:rFonts w:asciiTheme="minorHAnsi" w:hAnsiTheme="minorHAnsi" w:cstheme="minorHAnsi"/>
        </w:rPr>
        <w:t xml:space="preserve">Liaison and engagement (Travel and Accommodation) </w:t>
      </w:r>
    </w:p>
    <w:p w14:paraId="5FB7D656" w14:textId="77777777" w:rsidR="00F0376F" w:rsidRDefault="00F0376F" w:rsidP="00F0376F">
      <w:pPr>
        <w:pStyle w:val="ListParagraph"/>
        <w:numPr>
          <w:ilvl w:val="0"/>
          <w:numId w:val="5"/>
        </w:numPr>
        <w:contextualSpacing w:val="0"/>
        <w:rPr>
          <w:rFonts w:asciiTheme="minorHAnsi" w:hAnsiTheme="minorHAnsi" w:cstheme="minorHAnsi"/>
        </w:rPr>
      </w:pPr>
      <w:r>
        <w:rPr>
          <w:rFonts w:asciiTheme="minorHAnsi" w:hAnsiTheme="minorHAnsi" w:cstheme="minorHAnsi"/>
        </w:rPr>
        <w:t xml:space="preserve">IT Systems development, implementation, and maintenance (website, regulatory management system) </w:t>
      </w:r>
    </w:p>
    <w:p w14:paraId="2AA69528" w14:textId="77777777" w:rsidR="00F0376F" w:rsidRDefault="00F0376F" w:rsidP="00F0376F">
      <w:pPr>
        <w:pStyle w:val="ListParagraph"/>
        <w:numPr>
          <w:ilvl w:val="0"/>
          <w:numId w:val="5"/>
        </w:numPr>
        <w:contextualSpacing w:val="0"/>
        <w:rPr>
          <w:rFonts w:asciiTheme="minorHAnsi" w:hAnsiTheme="minorHAnsi" w:cstheme="minorHAnsi"/>
        </w:rPr>
      </w:pPr>
      <w:r>
        <w:rPr>
          <w:rFonts w:asciiTheme="minorHAnsi" w:hAnsiTheme="minorHAnsi" w:cstheme="minorHAnsi"/>
        </w:rPr>
        <w:t>External contract expertise and contract maintenance</w:t>
      </w:r>
    </w:p>
    <w:p w14:paraId="53B4F94B" w14:textId="77777777" w:rsidR="00F0376F" w:rsidRPr="00756565" w:rsidRDefault="00F0376F" w:rsidP="00F0376F">
      <w:pPr>
        <w:pStyle w:val="ListParagraph"/>
        <w:numPr>
          <w:ilvl w:val="0"/>
          <w:numId w:val="5"/>
        </w:numPr>
        <w:contextualSpacing w:val="0"/>
        <w:rPr>
          <w:rFonts w:asciiTheme="minorHAnsi" w:hAnsiTheme="minorHAnsi" w:cstheme="minorHAnsi"/>
        </w:rPr>
      </w:pPr>
      <w:r>
        <w:rPr>
          <w:rFonts w:asciiTheme="minorHAnsi" w:hAnsiTheme="minorHAnsi" w:cstheme="minorHAnsi"/>
        </w:rPr>
        <w:t>Legal advice and support</w:t>
      </w:r>
    </w:p>
    <w:p w14:paraId="60CCA350" w14:textId="77777777" w:rsidR="00F0376F" w:rsidRDefault="00F0376F" w:rsidP="00F0376F">
      <w:pPr>
        <w:rPr>
          <w:rFonts w:asciiTheme="minorHAnsi" w:hAnsiTheme="minorHAnsi" w:cstheme="minorHAnsi"/>
        </w:rPr>
      </w:pPr>
    </w:p>
    <w:p w14:paraId="25A21193" w14:textId="478C9FF7" w:rsidR="00F0376F" w:rsidRPr="005508BD" w:rsidRDefault="00F0376F" w:rsidP="00F0376F">
      <w:pPr>
        <w:rPr>
          <w:rFonts w:asciiTheme="minorHAnsi" w:hAnsiTheme="minorHAnsi" w:cstheme="minorHAnsi"/>
        </w:rPr>
      </w:pPr>
      <w:r w:rsidRPr="00935579">
        <w:rPr>
          <w:rFonts w:asciiTheme="minorHAnsi" w:hAnsiTheme="minorHAnsi" w:cstheme="minorHAnsi"/>
        </w:rPr>
        <w:t xml:space="preserve">The direct costs </w:t>
      </w:r>
      <w:r w:rsidRPr="00EC279B">
        <w:rPr>
          <w:rFonts w:asciiTheme="minorHAnsi" w:hAnsiTheme="minorHAnsi" w:cstheme="minorHAnsi"/>
        </w:rPr>
        <w:t>are</w:t>
      </w:r>
      <w:r w:rsidRPr="00935579">
        <w:rPr>
          <w:rFonts w:asciiTheme="minorHAnsi" w:hAnsiTheme="minorHAnsi" w:cstheme="minorHAnsi"/>
        </w:rPr>
        <w:t xml:space="preserve"> readily identifiable in the financial management and information system. Managers allocate and verify time on the key outputs and business processes. </w:t>
      </w:r>
      <w:r>
        <w:rPr>
          <w:rFonts w:asciiTheme="minorHAnsi" w:hAnsiTheme="minorHAnsi" w:cstheme="minorHAnsi"/>
        </w:rPr>
        <w:t xml:space="preserve">The Regulator will time write </w:t>
      </w:r>
      <w:r w:rsidRPr="00935579">
        <w:rPr>
          <w:rFonts w:asciiTheme="minorHAnsi" w:hAnsiTheme="minorHAnsi" w:cstheme="minorHAnsi"/>
        </w:rPr>
        <w:t>to validate the actual time spent on each function. The direct costs are allocated to various outputs based on estimated levels of effort.</w:t>
      </w:r>
      <w:r>
        <w:rPr>
          <w:rFonts w:asciiTheme="minorHAnsi" w:hAnsiTheme="minorHAnsi" w:cstheme="minorHAnsi"/>
        </w:rPr>
        <w:t xml:space="preserve"> </w:t>
      </w:r>
    </w:p>
    <w:p w14:paraId="55890240" w14:textId="77777777" w:rsidR="00F0376F" w:rsidRDefault="00F0376F" w:rsidP="00F0376F"/>
    <w:p w14:paraId="042846E4" w14:textId="0F49DB5C" w:rsidR="00F0376F" w:rsidRPr="001A10AE" w:rsidRDefault="00F0376F" w:rsidP="00F0376F">
      <w:pPr>
        <w:rPr>
          <w:rFonts w:asciiTheme="minorHAnsi" w:hAnsiTheme="minorHAnsi" w:cstheme="minorHAnsi"/>
        </w:rPr>
      </w:pPr>
      <w:r w:rsidRPr="001A10AE">
        <w:rPr>
          <w:rFonts w:asciiTheme="minorHAnsi" w:hAnsiTheme="minorHAnsi" w:cstheme="minorHAnsi"/>
        </w:rPr>
        <w:t xml:space="preserve">Indirect costs </w:t>
      </w:r>
      <w:r w:rsidR="00EC279B">
        <w:rPr>
          <w:rFonts w:asciiTheme="minorHAnsi" w:hAnsiTheme="minorHAnsi" w:cstheme="minorHAnsi"/>
        </w:rPr>
        <w:t>(</w:t>
      </w:r>
      <w:r w:rsidR="00EC279B" w:rsidRPr="00EC279B">
        <w:rPr>
          <w:rFonts w:asciiTheme="minorHAnsi" w:hAnsiTheme="minorHAnsi" w:cstheme="minorHAnsi"/>
          <w:b/>
          <w:bCs/>
        </w:rPr>
        <w:t>Table 13</w:t>
      </w:r>
      <w:r w:rsidR="00EC279B">
        <w:rPr>
          <w:rFonts w:asciiTheme="minorHAnsi" w:hAnsiTheme="minorHAnsi" w:cstheme="minorHAnsi"/>
        </w:rPr>
        <w:t xml:space="preserve">) </w:t>
      </w:r>
      <w:r w:rsidRPr="001A10AE">
        <w:rPr>
          <w:rFonts w:asciiTheme="minorHAnsi" w:hAnsiTheme="minorHAnsi" w:cstheme="minorHAnsi"/>
        </w:rPr>
        <w:t>are budgeted at $</w:t>
      </w:r>
      <w:r>
        <w:rPr>
          <w:rFonts w:asciiTheme="minorHAnsi" w:hAnsiTheme="minorHAnsi" w:cstheme="minorHAnsi"/>
        </w:rPr>
        <w:t>522,320</w:t>
      </w:r>
      <w:r w:rsidRPr="001A10AE">
        <w:rPr>
          <w:rFonts w:asciiTheme="minorHAnsi" w:hAnsiTheme="minorHAnsi" w:cstheme="minorHAnsi"/>
        </w:rPr>
        <w:t xml:space="preserve"> for 2022-23</w:t>
      </w:r>
      <w:r>
        <w:rPr>
          <w:rFonts w:asciiTheme="minorHAnsi" w:hAnsiTheme="minorHAnsi" w:cstheme="minorHAnsi"/>
        </w:rPr>
        <w:t>,</w:t>
      </w:r>
      <w:r w:rsidRPr="001A10AE">
        <w:rPr>
          <w:rFonts w:asciiTheme="minorHAnsi" w:hAnsiTheme="minorHAnsi" w:cstheme="minorHAnsi"/>
        </w:rPr>
        <w:t xml:space="preserve"> $</w:t>
      </w:r>
      <w:r>
        <w:rPr>
          <w:rFonts w:asciiTheme="minorHAnsi" w:hAnsiTheme="minorHAnsi" w:cstheme="minorHAnsi"/>
        </w:rPr>
        <w:t>761,021</w:t>
      </w:r>
      <w:r w:rsidRPr="001A10AE">
        <w:rPr>
          <w:rFonts w:asciiTheme="minorHAnsi" w:hAnsiTheme="minorHAnsi" w:cstheme="minorHAnsi"/>
        </w:rPr>
        <w:t xml:space="preserve"> for 2023-24, </w:t>
      </w:r>
      <w:r>
        <w:rPr>
          <w:rFonts w:asciiTheme="minorHAnsi" w:hAnsiTheme="minorHAnsi" w:cstheme="minorHAnsi"/>
        </w:rPr>
        <w:t xml:space="preserve">and $944,280 for 2024-25 </w:t>
      </w:r>
      <w:r w:rsidRPr="001A10AE">
        <w:rPr>
          <w:rFonts w:asciiTheme="minorHAnsi" w:hAnsiTheme="minorHAnsi" w:cstheme="minorHAnsi"/>
        </w:rPr>
        <w:t>and are made up of:</w:t>
      </w:r>
    </w:p>
    <w:p w14:paraId="1834530D" w14:textId="77777777" w:rsidR="00F0376F" w:rsidRDefault="00F0376F" w:rsidP="00F0376F">
      <w:pPr>
        <w:pStyle w:val="ListParagraph"/>
        <w:numPr>
          <w:ilvl w:val="0"/>
          <w:numId w:val="18"/>
        </w:numPr>
        <w:contextualSpacing w:val="0"/>
        <w:rPr>
          <w:rFonts w:asciiTheme="minorHAnsi" w:hAnsiTheme="minorHAnsi" w:cstheme="minorHAnsi"/>
        </w:rPr>
      </w:pPr>
      <w:r>
        <w:rPr>
          <w:rFonts w:asciiTheme="minorHAnsi" w:hAnsiTheme="minorHAnsi" w:cstheme="minorHAnsi"/>
        </w:rPr>
        <w:t>Information Technology Support</w:t>
      </w:r>
    </w:p>
    <w:p w14:paraId="2A62D25F" w14:textId="77777777" w:rsidR="00F0376F" w:rsidRDefault="00F0376F" w:rsidP="00F0376F">
      <w:pPr>
        <w:pStyle w:val="ListParagraph"/>
        <w:numPr>
          <w:ilvl w:val="0"/>
          <w:numId w:val="18"/>
        </w:numPr>
        <w:contextualSpacing w:val="0"/>
        <w:rPr>
          <w:rFonts w:asciiTheme="minorHAnsi" w:hAnsiTheme="minorHAnsi" w:cstheme="minorHAnsi"/>
        </w:rPr>
      </w:pPr>
      <w:r>
        <w:rPr>
          <w:rFonts w:asciiTheme="minorHAnsi" w:hAnsiTheme="minorHAnsi" w:cstheme="minorHAnsi"/>
        </w:rPr>
        <w:t>Legal and Risk Support</w:t>
      </w:r>
    </w:p>
    <w:p w14:paraId="2C2D4647" w14:textId="77777777" w:rsidR="00F0376F" w:rsidRDefault="00F0376F" w:rsidP="00F0376F">
      <w:pPr>
        <w:pStyle w:val="ListParagraph"/>
        <w:numPr>
          <w:ilvl w:val="0"/>
          <w:numId w:val="18"/>
        </w:numPr>
        <w:contextualSpacing w:val="0"/>
        <w:rPr>
          <w:rFonts w:asciiTheme="minorHAnsi" w:hAnsiTheme="minorHAnsi" w:cstheme="minorHAnsi"/>
        </w:rPr>
      </w:pPr>
      <w:r>
        <w:rPr>
          <w:rFonts w:asciiTheme="minorHAnsi" w:hAnsiTheme="minorHAnsi" w:cstheme="minorHAnsi"/>
        </w:rPr>
        <w:t>Office of the Chief Executive Support</w:t>
      </w:r>
    </w:p>
    <w:p w14:paraId="5FEDDB5F" w14:textId="2CE7DF5E" w:rsidR="00F0376F" w:rsidRDefault="00F0376F" w:rsidP="00F0376F">
      <w:pPr>
        <w:pStyle w:val="ListParagraph"/>
        <w:numPr>
          <w:ilvl w:val="0"/>
          <w:numId w:val="18"/>
        </w:numPr>
        <w:contextualSpacing w:val="0"/>
        <w:rPr>
          <w:rFonts w:asciiTheme="minorHAnsi" w:hAnsiTheme="minorHAnsi" w:cstheme="minorHAnsi"/>
        </w:rPr>
      </w:pPr>
      <w:r>
        <w:rPr>
          <w:rFonts w:asciiTheme="minorHAnsi" w:hAnsiTheme="minorHAnsi" w:cstheme="minorHAnsi"/>
        </w:rPr>
        <w:t>Finance and Human Resources Support</w:t>
      </w:r>
    </w:p>
    <w:p w14:paraId="5670EAD2" w14:textId="53E941DB" w:rsidR="00465868" w:rsidRDefault="00465868" w:rsidP="00465868">
      <w:pPr>
        <w:rPr>
          <w:rFonts w:asciiTheme="minorHAnsi" w:hAnsiTheme="minorHAnsi" w:cstheme="minorHAnsi"/>
        </w:rPr>
      </w:pPr>
    </w:p>
    <w:p w14:paraId="4305B396" w14:textId="7E6389A4" w:rsidR="00F0376F" w:rsidRPr="00465868" w:rsidRDefault="00465868" w:rsidP="00465868">
      <w:pPr>
        <w:rPr>
          <w:rFonts w:asciiTheme="minorHAnsi" w:hAnsiTheme="minorHAnsi" w:cstheme="minorHAnsi"/>
        </w:rPr>
      </w:pPr>
      <w:r>
        <w:rPr>
          <w:rFonts w:ascii="Calibri" w:hAnsi="Calibri" w:cs="Calibri"/>
          <w:b/>
          <w:bCs/>
          <w:color w:val="000000"/>
        </w:rPr>
        <w:t>Table 12</w:t>
      </w:r>
      <w:r>
        <w:rPr>
          <w:rFonts w:ascii="Calibri" w:hAnsi="Calibri" w:cs="Calibri"/>
          <w:color w:val="000000"/>
        </w:rPr>
        <w:t xml:space="preserve">: Budgeted costs of outputs for 2022-23 to 2024-25 </w:t>
      </w:r>
      <w:r>
        <w:rPr>
          <w:color w:val="000000"/>
          <w:sz w:val="16"/>
          <w:szCs w:val="16"/>
        </w:rPr>
        <w:t> </w:t>
      </w:r>
    </w:p>
    <w:tbl>
      <w:tblPr>
        <w:tblW w:w="7136" w:type="dxa"/>
        <w:tblInd w:w="-5" w:type="dxa"/>
        <w:tblCellMar>
          <w:left w:w="0" w:type="dxa"/>
          <w:right w:w="0" w:type="dxa"/>
        </w:tblCellMar>
        <w:tblLook w:val="04A0" w:firstRow="1" w:lastRow="0" w:firstColumn="1" w:lastColumn="0" w:noHBand="0" w:noVBand="1"/>
      </w:tblPr>
      <w:tblGrid>
        <w:gridCol w:w="1660"/>
        <w:gridCol w:w="1997"/>
        <w:gridCol w:w="1840"/>
        <w:gridCol w:w="1639"/>
      </w:tblGrid>
      <w:tr w:rsidR="00F0376F" w14:paraId="53E3DE11" w14:textId="77777777" w:rsidTr="00465868">
        <w:trPr>
          <w:trHeight w:val="263"/>
        </w:trPr>
        <w:tc>
          <w:tcPr>
            <w:tcW w:w="1660" w:type="dxa"/>
            <w:tcBorders>
              <w:top w:val="single" w:sz="4" w:space="0" w:color="4F81BD"/>
              <w:left w:val="single" w:sz="4" w:space="0" w:color="4F81BD"/>
              <w:bottom w:val="single" w:sz="4" w:space="0" w:color="4F81BD"/>
              <w:right w:val="single" w:sz="4" w:space="0" w:color="4F81BD"/>
            </w:tcBorders>
            <w:shd w:val="clear" w:color="000000" w:fill="4F81BD"/>
            <w:vAlign w:val="center"/>
            <w:hideMark/>
          </w:tcPr>
          <w:p w14:paraId="67825379" w14:textId="77777777" w:rsidR="00F0376F" w:rsidRDefault="00F0376F" w:rsidP="003841EE">
            <w:pPr>
              <w:spacing w:after="60"/>
              <w:jc w:val="center"/>
              <w:rPr>
                <w:rFonts w:ascii="Calibri" w:hAnsi="Calibri" w:cs="Calibri"/>
                <w:b/>
                <w:bCs/>
                <w:color w:val="FFFFFF"/>
                <w:sz w:val="20"/>
                <w:szCs w:val="20"/>
              </w:rPr>
            </w:pPr>
            <w:r>
              <w:rPr>
                <w:rFonts w:ascii="Calibri" w:hAnsi="Calibri" w:cs="Calibri"/>
                <w:b/>
                <w:bCs/>
                <w:color w:val="FFFFFF"/>
                <w:sz w:val="20"/>
                <w:szCs w:val="20"/>
              </w:rPr>
              <w:t> </w:t>
            </w:r>
          </w:p>
        </w:tc>
        <w:tc>
          <w:tcPr>
            <w:tcW w:w="1997" w:type="dxa"/>
            <w:tcBorders>
              <w:top w:val="single" w:sz="4" w:space="0" w:color="4F81BD"/>
              <w:left w:val="nil"/>
              <w:bottom w:val="single" w:sz="4" w:space="0" w:color="4F81BD"/>
              <w:right w:val="single" w:sz="4" w:space="0" w:color="4F81BD"/>
            </w:tcBorders>
            <w:shd w:val="clear" w:color="000000" w:fill="4F81BD"/>
            <w:vAlign w:val="center"/>
            <w:hideMark/>
          </w:tcPr>
          <w:p w14:paraId="0DC93C0D" w14:textId="77777777" w:rsidR="00F0376F" w:rsidRDefault="00F0376F" w:rsidP="003841EE">
            <w:pPr>
              <w:spacing w:after="60"/>
              <w:jc w:val="center"/>
              <w:rPr>
                <w:rFonts w:ascii="Calibri" w:hAnsi="Calibri" w:cs="Calibri"/>
                <w:b/>
                <w:bCs/>
                <w:color w:val="FFFFFF"/>
                <w:sz w:val="20"/>
                <w:szCs w:val="20"/>
              </w:rPr>
            </w:pPr>
            <w:r>
              <w:rPr>
                <w:rFonts w:ascii="Calibri" w:hAnsi="Calibri" w:cs="Calibri"/>
                <w:b/>
                <w:bCs/>
                <w:color w:val="FFFFFF"/>
                <w:sz w:val="20"/>
                <w:szCs w:val="20"/>
              </w:rPr>
              <w:t>2022-23</w:t>
            </w:r>
          </w:p>
        </w:tc>
        <w:tc>
          <w:tcPr>
            <w:tcW w:w="1840" w:type="dxa"/>
            <w:tcBorders>
              <w:top w:val="single" w:sz="4" w:space="0" w:color="4F81BD"/>
              <w:left w:val="nil"/>
              <w:bottom w:val="single" w:sz="4" w:space="0" w:color="4F81BD"/>
              <w:right w:val="single" w:sz="4" w:space="0" w:color="4F81BD"/>
            </w:tcBorders>
            <w:shd w:val="clear" w:color="000000" w:fill="4F81BD"/>
            <w:vAlign w:val="center"/>
            <w:hideMark/>
          </w:tcPr>
          <w:p w14:paraId="7C117232" w14:textId="77777777" w:rsidR="00F0376F" w:rsidRDefault="00F0376F" w:rsidP="003841EE">
            <w:pPr>
              <w:spacing w:after="60"/>
              <w:jc w:val="center"/>
              <w:rPr>
                <w:rFonts w:ascii="Calibri" w:hAnsi="Calibri" w:cs="Calibri"/>
                <w:b/>
                <w:bCs/>
                <w:color w:val="FFFFFF"/>
                <w:sz w:val="20"/>
                <w:szCs w:val="20"/>
              </w:rPr>
            </w:pPr>
            <w:r>
              <w:rPr>
                <w:rFonts w:ascii="Calibri" w:hAnsi="Calibri" w:cs="Calibri"/>
                <w:b/>
                <w:bCs/>
                <w:color w:val="FFFFFF"/>
                <w:sz w:val="20"/>
                <w:szCs w:val="20"/>
              </w:rPr>
              <w:t>2023-24</w:t>
            </w:r>
          </w:p>
        </w:tc>
        <w:tc>
          <w:tcPr>
            <w:tcW w:w="1639" w:type="dxa"/>
            <w:tcBorders>
              <w:top w:val="single" w:sz="4" w:space="0" w:color="4F81BD"/>
              <w:left w:val="nil"/>
              <w:bottom w:val="single" w:sz="4" w:space="0" w:color="4F81BD"/>
              <w:right w:val="single" w:sz="4" w:space="0" w:color="4F81BD"/>
            </w:tcBorders>
            <w:shd w:val="clear" w:color="000000" w:fill="4F81BD"/>
            <w:vAlign w:val="center"/>
          </w:tcPr>
          <w:p w14:paraId="4456E033" w14:textId="77777777" w:rsidR="00F0376F" w:rsidRDefault="00F0376F" w:rsidP="003841EE">
            <w:pPr>
              <w:spacing w:after="60"/>
              <w:jc w:val="center"/>
              <w:rPr>
                <w:rFonts w:ascii="Calibri" w:hAnsi="Calibri" w:cs="Calibri"/>
                <w:b/>
                <w:bCs/>
                <w:color w:val="FFFFFF"/>
                <w:sz w:val="20"/>
                <w:szCs w:val="20"/>
              </w:rPr>
            </w:pPr>
            <w:r>
              <w:rPr>
                <w:rFonts w:ascii="Calibri" w:hAnsi="Calibri" w:cs="Calibri"/>
                <w:b/>
                <w:bCs/>
                <w:color w:val="FFFFFF"/>
                <w:sz w:val="20"/>
                <w:szCs w:val="20"/>
              </w:rPr>
              <w:t>2024-25</w:t>
            </w:r>
          </w:p>
        </w:tc>
      </w:tr>
      <w:tr w:rsidR="00F0376F" w14:paraId="3EE8CE67" w14:textId="77777777" w:rsidTr="00465868">
        <w:trPr>
          <w:trHeight w:val="263"/>
        </w:trPr>
        <w:tc>
          <w:tcPr>
            <w:tcW w:w="1660" w:type="dxa"/>
            <w:tcBorders>
              <w:top w:val="nil"/>
              <w:left w:val="single" w:sz="4" w:space="0" w:color="4F81BD"/>
              <w:bottom w:val="single" w:sz="4" w:space="0" w:color="4F81BD"/>
              <w:right w:val="single" w:sz="4" w:space="0" w:color="4F81BD"/>
            </w:tcBorders>
            <w:shd w:val="clear" w:color="000000" w:fill="DBE5F1"/>
            <w:vAlign w:val="center"/>
            <w:hideMark/>
          </w:tcPr>
          <w:p w14:paraId="67CB0E56" w14:textId="77777777" w:rsidR="00F0376F" w:rsidRDefault="00F0376F" w:rsidP="003841EE">
            <w:pPr>
              <w:spacing w:after="60"/>
              <w:rPr>
                <w:rFonts w:ascii="Calibri" w:hAnsi="Calibri" w:cs="Calibri"/>
                <w:color w:val="17365D"/>
                <w:sz w:val="20"/>
                <w:szCs w:val="20"/>
              </w:rPr>
            </w:pPr>
            <w:r>
              <w:rPr>
                <w:rFonts w:ascii="Calibri" w:hAnsi="Calibri" w:cs="Calibri"/>
                <w:color w:val="17365D"/>
                <w:sz w:val="20"/>
                <w:szCs w:val="20"/>
              </w:rPr>
              <w:t>Direct costs</w:t>
            </w:r>
          </w:p>
        </w:tc>
        <w:tc>
          <w:tcPr>
            <w:tcW w:w="1997" w:type="dxa"/>
            <w:tcBorders>
              <w:top w:val="nil"/>
              <w:left w:val="nil"/>
              <w:bottom w:val="single" w:sz="4" w:space="0" w:color="4F81BD"/>
              <w:right w:val="single" w:sz="4" w:space="0" w:color="4F81BD"/>
            </w:tcBorders>
            <w:shd w:val="clear" w:color="000000" w:fill="DBE5F1"/>
            <w:vAlign w:val="center"/>
            <w:hideMark/>
          </w:tcPr>
          <w:p w14:paraId="73F1E31D" w14:textId="77777777" w:rsidR="00F0376F" w:rsidRDefault="00F0376F" w:rsidP="003841EE">
            <w:pPr>
              <w:spacing w:after="60"/>
              <w:jc w:val="center"/>
              <w:rPr>
                <w:rFonts w:ascii="Calibri" w:hAnsi="Calibri" w:cs="Calibri"/>
                <w:color w:val="17365D"/>
                <w:sz w:val="20"/>
                <w:szCs w:val="20"/>
              </w:rPr>
            </w:pPr>
            <w:r>
              <w:rPr>
                <w:rFonts w:ascii="Calibri" w:hAnsi="Calibri" w:cs="Calibri"/>
                <w:color w:val="17365D"/>
                <w:sz w:val="20"/>
                <w:szCs w:val="20"/>
              </w:rPr>
              <w:t>1,178,643</w:t>
            </w:r>
          </w:p>
        </w:tc>
        <w:tc>
          <w:tcPr>
            <w:tcW w:w="1840" w:type="dxa"/>
            <w:tcBorders>
              <w:top w:val="nil"/>
              <w:left w:val="nil"/>
              <w:bottom w:val="single" w:sz="4" w:space="0" w:color="4F81BD"/>
              <w:right w:val="single" w:sz="4" w:space="0" w:color="4F81BD"/>
            </w:tcBorders>
            <w:shd w:val="clear" w:color="000000" w:fill="DBE5F1"/>
            <w:vAlign w:val="center"/>
            <w:hideMark/>
          </w:tcPr>
          <w:p w14:paraId="21A2C2A1" w14:textId="77777777" w:rsidR="00F0376F" w:rsidRDefault="00F0376F" w:rsidP="003841EE">
            <w:pPr>
              <w:spacing w:after="60"/>
              <w:jc w:val="center"/>
              <w:rPr>
                <w:rFonts w:ascii="Calibri" w:hAnsi="Calibri" w:cs="Calibri"/>
                <w:color w:val="17365D"/>
                <w:sz w:val="20"/>
                <w:szCs w:val="20"/>
              </w:rPr>
            </w:pPr>
            <w:r>
              <w:rPr>
                <w:rFonts w:ascii="Calibri" w:hAnsi="Calibri" w:cs="Calibri"/>
                <w:color w:val="17365D"/>
                <w:sz w:val="20"/>
                <w:szCs w:val="20"/>
              </w:rPr>
              <w:t>1,600,266</w:t>
            </w:r>
          </w:p>
        </w:tc>
        <w:tc>
          <w:tcPr>
            <w:tcW w:w="1639" w:type="dxa"/>
            <w:tcBorders>
              <w:top w:val="nil"/>
              <w:left w:val="nil"/>
              <w:bottom w:val="single" w:sz="4" w:space="0" w:color="4F81BD"/>
              <w:right w:val="single" w:sz="4" w:space="0" w:color="4F81BD"/>
            </w:tcBorders>
            <w:shd w:val="clear" w:color="000000" w:fill="DBE5F1"/>
            <w:vAlign w:val="center"/>
          </w:tcPr>
          <w:p w14:paraId="7C114DF6" w14:textId="77777777" w:rsidR="00F0376F" w:rsidRDefault="00F0376F" w:rsidP="003841EE">
            <w:pPr>
              <w:spacing w:after="60"/>
              <w:jc w:val="center"/>
              <w:rPr>
                <w:rFonts w:ascii="Calibri" w:hAnsi="Calibri" w:cs="Calibri"/>
                <w:color w:val="17365D"/>
                <w:sz w:val="20"/>
                <w:szCs w:val="20"/>
              </w:rPr>
            </w:pPr>
            <w:r>
              <w:rPr>
                <w:rFonts w:ascii="Calibri" w:hAnsi="Calibri" w:cs="Calibri"/>
                <w:color w:val="17365D"/>
                <w:sz w:val="20"/>
                <w:szCs w:val="20"/>
              </w:rPr>
              <w:t>1,879,357</w:t>
            </w:r>
          </w:p>
        </w:tc>
      </w:tr>
      <w:tr w:rsidR="00F0376F" w14:paraId="3B71041B" w14:textId="77777777" w:rsidTr="00465868">
        <w:trPr>
          <w:trHeight w:val="263"/>
        </w:trPr>
        <w:tc>
          <w:tcPr>
            <w:tcW w:w="1660" w:type="dxa"/>
            <w:tcBorders>
              <w:top w:val="nil"/>
              <w:left w:val="single" w:sz="4" w:space="0" w:color="4F81BD"/>
              <w:bottom w:val="single" w:sz="4" w:space="0" w:color="4F81BD"/>
              <w:right w:val="single" w:sz="4" w:space="0" w:color="4F81BD"/>
            </w:tcBorders>
            <w:shd w:val="clear" w:color="auto" w:fill="auto"/>
            <w:vAlign w:val="center"/>
            <w:hideMark/>
          </w:tcPr>
          <w:p w14:paraId="04431EF6" w14:textId="77777777" w:rsidR="00F0376F" w:rsidRDefault="00F0376F" w:rsidP="003841EE">
            <w:pPr>
              <w:spacing w:after="60"/>
              <w:rPr>
                <w:rFonts w:ascii="Calibri" w:hAnsi="Calibri" w:cs="Calibri"/>
                <w:color w:val="17365D"/>
                <w:sz w:val="20"/>
                <w:szCs w:val="20"/>
              </w:rPr>
            </w:pPr>
            <w:r>
              <w:rPr>
                <w:rFonts w:ascii="Calibri" w:hAnsi="Calibri" w:cs="Calibri"/>
                <w:color w:val="17365D"/>
                <w:sz w:val="20"/>
                <w:szCs w:val="20"/>
              </w:rPr>
              <w:t>Indirect costs</w:t>
            </w:r>
          </w:p>
        </w:tc>
        <w:tc>
          <w:tcPr>
            <w:tcW w:w="1997" w:type="dxa"/>
            <w:tcBorders>
              <w:top w:val="nil"/>
              <w:left w:val="nil"/>
              <w:bottom w:val="single" w:sz="4" w:space="0" w:color="4F81BD"/>
              <w:right w:val="single" w:sz="4" w:space="0" w:color="4F81BD"/>
            </w:tcBorders>
            <w:shd w:val="clear" w:color="auto" w:fill="auto"/>
            <w:vAlign w:val="center"/>
            <w:hideMark/>
          </w:tcPr>
          <w:p w14:paraId="1E07792B" w14:textId="77777777" w:rsidR="00F0376F" w:rsidRDefault="00F0376F" w:rsidP="003841EE">
            <w:pPr>
              <w:spacing w:after="60"/>
              <w:jc w:val="center"/>
              <w:rPr>
                <w:rFonts w:ascii="Calibri" w:hAnsi="Calibri" w:cs="Calibri"/>
                <w:color w:val="17365D"/>
                <w:sz w:val="20"/>
                <w:szCs w:val="20"/>
              </w:rPr>
            </w:pPr>
            <w:r>
              <w:rPr>
                <w:rFonts w:ascii="Calibri" w:hAnsi="Calibri" w:cs="Calibri"/>
                <w:color w:val="17365D"/>
                <w:sz w:val="20"/>
                <w:szCs w:val="20"/>
              </w:rPr>
              <w:t>522,320</w:t>
            </w:r>
          </w:p>
        </w:tc>
        <w:tc>
          <w:tcPr>
            <w:tcW w:w="1840" w:type="dxa"/>
            <w:tcBorders>
              <w:top w:val="nil"/>
              <w:left w:val="nil"/>
              <w:bottom w:val="single" w:sz="4" w:space="0" w:color="4F81BD"/>
              <w:right w:val="single" w:sz="4" w:space="0" w:color="4F81BD"/>
            </w:tcBorders>
            <w:shd w:val="clear" w:color="auto" w:fill="auto"/>
            <w:vAlign w:val="center"/>
            <w:hideMark/>
          </w:tcPr>
          <w:p w14:paraId="1FC02A22" w14:textId="77777777" w:rsidR="00F0376F" w:rsidRDefault="00F0376F" w:rsidP="003841EE">
            <w:pPr>
              <w:spacing w:after="60"/>
              <w:jc w:val="center"/>
              <w:rPr>
                <w:rFonts w:ascii="Calibri" w:hAnsi="Calibri" w:cs="Calibri"/>
                <w:color w:val="17365D"/>
                <w:sz w:val="20"/>
                <w:szCs w:val="20"/>
              </w:rPr>
            </w:pPr>
            <w:r>
              <w:rPr>
                <w:rFonts w:ascii="Calibri" w:hAnsi="Calibri" w:cs="Calibri"/>
                <w:color w:val="17365D"/>
                <w:sz w:val="20"/>
                <w:szCs w:val="20"/>
              </w:rPr>
              <w:t>761,021</w:t>
            </w:r>
          </w:p>
        </w:tc>
        <w:tc>
          <w:tcPr>
            <w:tcW w:w="1639" w:type="dxa"/>
            <w:tcBorders>
              <w:top w:val="nil"/>
              <w:left w:val="nil"/>
              <w:bottom w:val="single" w:sz="4" w:space="0" w:color="4F81BD"/>
              <w:right w:val="single" w:sz="4" w:space="0" w:color="4F81BD"/>
            </w:tcBorders>
            <w:vAlign w:val="center"/>
          </w:tcPr>
          <w:p w14:paraId="2A1D2714" w14:textId="77777777" w:rsidR="00F0376F" w:rsidRDefault="00F0376F" w:rsidP="003841EE">
            <w:pPr>
              <w:spacing w:after="60"/>
              <w:jc w:val="center"/>
              <w:rPr>
                <w:rFonts w:ascii="Calibri" w:hAnsi="Calibri" w:cs="Calibri"/>
                <w:color w:val="17365D"/>
                <w:sz w:val="20"/>
                <w:szCs w:val="20"/>
              </w:rPr>
            </w:pPr>
            <w:r>
              <w:rPr>
                <w:rFonts w:ascii="Calibri" w:hAnsi="Calibri" w:cs="Calibri"/>
                <w:color w:val="17365D"/>
                <w:sz w:val="20"/>
                <w:szCs w:val="20"/>
              </w:rPr>
              <w:t>944,280</w:t>
            </w:r>
          </w:p>
        </w:tc>
      </w:tr>
      <w:tr w:rsidR="00F0376F" w14:paraId="77A0FFE3" w14:textId="77777777" w:rsidTr="00465868">
        <w:trPr>
          <w:trHeight w:val="263"/>
        </w:trPr>
        <w:tc>
          <w:tcPr>
            <w:tcW w:w="1660" w:type="dxa"/>
            <w:tcBorders>
              <w:top w:val="nil"/>
              <w:left w:val="single" w:sz="4" w:space="0" w:color="4F81BD"/>
              <w:bottom w:val="single" w:sz="4" w:space="0" w:color="4F81BD"/>
              <w:right w:val="single" w:sz="4" w:space="0" w:color="4F81BD"/>
            </w:tcBorders>
            <w:shd w:val="clear" w:color="000000" w:fill="DBE5F1"/>
            <w:vAlign w:val="center"/>
            <w:hideMark/>
          </w:tcPr>
          <w:p w14:paraId="79B7517A" w14:textId="77777777" w:rsidR="00F0376F" w:rsidRPr="003841EE" w:rsidRDefault="00F0376F" w:rsidP="003841EE">
            <w:pPr>
              <w:spacing w:after="60"/>
              <w:rPr>
                <w:rFonts w:ascii="Calibri" w:hAnsi="Calibri" w:cs="Calibri"/>
                <w:b/>
                <w:bCs/>
                <w:color w:val="17365D"/>
                <w:sz w:val="20"/>
                <w:szCs w:val="20"/>
              </w:rPr>
            </w:pPr>
            <w:r w:rsidRPr="003841EE">
              <w:rPr>
                <w:rFonts w:ascii="Calibri" w:hAnsi="Calibri" w:cs="Calibri"/>
                <w:b/>
                <w:bCs/>
                <w:color w:val="17365D"/>
                <w:sz w:val="20"/>
                <w:szCs w:val="20"/>
              </w:rPr>
              <w:t>Total costs</w:t>
            </w:r>
          </w:p>
        </w:tc>
        <w:tc>
          <w:tcPr>
            <w:tcW w:w="1997" w:type="dxa"/>
            <w:tcBorders>
              <w:top w:val="nil"/>
              <w:left w:val="nil"/>
              <w:bottom w:val="single" w:sz="4" w:space="0" w:color="4F81BD"/>
              <w:right w:val="single" w:sz="4" w:space="0" w:color="4F81BD"/>
            </w:tcBorders>
            <w:shd w:val="clear" w:color="000000" w:fill="DBE5F1"/>
            <w:vAlign w:val="center"/>
            <w:hideMark/>
          </w:tcPr>
          <w:p w14:paraId="08BDB514" w14:textId="63476EE1" w:rsidR="00F0376F" w:rsidRDefault="00147871" w:rsidP="003841EE">
            <w:pPr>
              <w:spacing w:after="60"/>
              <w:jc w:val="center"/>
              <w:rPr>
                <w:rFonts w:ascii="Calibri" w:hAnsi="Calibri" w:cs="Calibri"/>
                <w:b/>
                <w:bCs/>
                <w:color w:val="17365D"/>
                <w:sz w:val="20"/>
                <w:szCs w:val="20"/>
              </w:rPr>
            </w:pPr>
            <w:r>
              <w:rPr>
                <w:rFonts w:ascii="Calibri" w:hAnsi="Calibri" w:cs="Calibri"/>
                <w:b/>
                <w:bCs/>
                <w:color w:val="17365D"/>
                <w:sz w:val="20"/>
                <w:szCs w:val="20"/>
              </w:rPr>
              <w:t>$</w:t>
            </w:r>
            <w:r w:rsidR="00F0376F">
              <w:rPr>
                <w:rFonts w:ascii="Calibri" w:hAnsi="Calibri" w:cs="Calibri"/>
                <w:b/>
                <w:bCs/>
                <w:color w:val="17365D"/>
                <w:sz w:val="20"/>
                <w:szCs w:val="20"/>
              </w:rPr>
              <w:t>1,700,963</w:t>
            </w:r>
          </w:p>
        </w:tc>
        <w:tc>
          <w:tcPr>
            <w:tcW w:w="1840" w:type="dxa"/>
            <w:tcBorders>
              <w:top w:val="nil"/>
              <w:left w:val="nil"/>
              <w:bottom w:val="single" w:sz="4" w:space="0" w:color="4F81BD"/>
              <w:right w:val="single" w:sz="4" w:space="0" w:color="4F81BD"/>
            </w:tcBorders>
            <w:shd w:val="clear" w:color="000000" w:fill="DBE5F1"/>
            <w:vAlign w:val="center"/>
            <w:hideMark/>
          </w:tcPr>
          <w:p w14:paraId="70D86833" w14:textId="4675A03B" w:rsidR="00F0376F" w:rsidRDefault="00147871" w:rsidP="003841EE">
            <w:pPr>
              <w:spacing w:after="60"/>
              <w:jc w:val="center"/>
              <w:rPr>
                <w:rFonts w:ascii="Calibri" w:hAnsi="Calibri" w:cs="Calibri"/>
                <w:b/>
                <w:bCs/>
                <w:color w:val="17365D"/>
                <w:sz w:val="20"/>
                <w:szCs w:val="20"/>
              </w:rPr>
            </w:pPr>
            <w:r>
              <w:rPr>
                <w:rFonts w:ascii="Calibri" w:hAnsi="Calibri" w:cs="Calibri"/>
                <w:b/>
                <w:bCs/>
                <w:color w:val="17365D"/>
                <w:sz w:val="20"/>
                <w:szCs w:val="20"/>
              </w:rPr>
              <w:t>$</w:t>
            </w:r>
            <w:r w:rsidR="00F0376F">
              <w:rPr>
                <w:rFonts w:ascii="Calibri" w:hAnsi="Calibri" w:cs="Calibri"/>
                <w:b/>
                <w:bCs/>
                <w:color w:val="17365D"/>
                <w:sz w:val="20"/>
                <w:szCs w:val="20"/>
              </w:rPr>
              <w:t>2,361,287</w:t>
            </w:r>
          </w:p>
        </w:tc>
        <w:tc>
          <w:tcPr>
            <w:tcW w:w="1639" w:type="dxa"/>
            <w:tcBorders>
              <w:top w:val="nil"/>
              <w:left w:val="nil"/>
              <w:bottom w:val="single" w:sz="4" w:space="0" w:color="4F81BD"/>
              <w:right w:val="single" w:sz="4" w:space="0" w:color="4F81BD"/>
            </w:tcBorders>
            <w:shd w:val="clear" w:color="000000" w:fill="DBE5F1"/>
            <w:vAlign w:val="center"/>
          </w:tcPr>
          <w:p w14:paraId="3922659D" w14:textId="2990BFE4" w:rsidR="00F0376F" w:rsidRDefault="00147871" w:rsidP="003841EE">
            <w:pPr>
              <w:spacing w:after="60"/>
              <w:jc w:val="center"/>
              <w:rPr>
                <w:rFonts w:ascii="Calibri" w:hAnsi="Calibri" w:cs="Calibri"/>
                <w:b/>
                <w:bCs/>
                <w:color w:val="17365D"/>
                <w:sz w:val="20"/>
                <w:szCs w:val="20"/>
              </w:rPr>
            </w:pPr>
            <w:r>
              <w:rPr>
                <w:rFonts w:ascii="Calibri" w:hAnsi="Calibri" w:cs="Calibri"/>
                <w:b/>
                <w:bCs/>
                <w:color w:val="17365D"/>
                <w:sz w:val="20"/>
                <w:szCs w:val="20"/>
              </w:rPr>
              <w:t>$</w:t>
            </w:r>
            <w:r w:rsidR="00F0376F">
              <w:rPr>
                <w:rFonts w:ascii="Calibri" w:hAnsi="Calibri" w:cs="Calibri"/>
                <w:b/>
                <w:bCs/>
                <w:color w:val="17365D"/>
                <w:sz w:val="20"/>
                <w:szCs w:val="20"/>
              </w:rPr>
              <w:t>2,823,637</w:t>
            </w:r>
          </w:p>
        </w:tc>
      </w:tr>
    </w:tbl>
    <w:p w14:paraId="7685AF15" w14:textId="57E025FD" w:rsidR="00F0376F" w:rsidRDefault="00F0376F" w:rsidP="00F0376F"/>
    <w:p w14:paraId="4D1E3293" w14:textId="1A871F2D" w:rsidR="00313029" w:rsidRDefault="00313029" w:rsidP="00F0376F"/>
    <w:p w14:paraId="4CC3B8CB" w14:textId="0B952D79" w:rsidR="00313029" w:rsidRDefault="00313029" w:rsidP="00F0376F"/>
    <w:p w14:paraId="74FE39BE" w14:textId="57FA3677" w:rsidR="00313029" w:rsidRDefault="00313029" w:rsidP="00F0376F"/>
    <w:p w14:paraId="35086A98" w14:textId="1EEE0A42" w:rsidR="00313029" w:rsidRDefault="00313029" w:rsidP="00F0376F"/>
    <w:p w14:paraId="2D0C52EE" w14:textId="4CD63CD7" w:rsidR="00313029" w:rsidRDefault="00313029" w:rsidP="00F0376F"/>
    <w:p w14:paraId="51E8EFC7" w14:textId="70437FCE" w:rsidR="00313029" w:rsidRDefault="00313029" w:rsidP="00F0376F"/>
    <w:p w14:paraId="688AEBDB" w14:textId="348731A9" w:rsidR="00313029" w:rsidRDefault="00313029" w:rsidP="00F0376F"/>
    <w:p w14:paraId="4188F8F6" w14:textId="3EC3C3AB" w:rsidR="00313029" w:rsidRDefault="00313029" w:rsidP="00F0376F"/>
    <w:p w14:paraId="773649D7" w14:textId="0C721DF9" w:rsidR="00313029" w:rsidRDefault="00313029" w:rsidP="00F0376F"/>
    <w:p w14:paraId="10F499E6" w14:textId="12C0C820" w:rsidR="003841EE" w:rsidRDefault="003841EE" w:rsidP="00F0376F"/>
    <w:p w14:paraId="08CA369D" w14:textId="77777777" w:rsidR="003841EE" w:rsidRDefault="003841EE" w:rsidP="00F0376F"/>
    <w:tbl>
      <w:tblPr>
        <w:tblW w:w="10104" w:type="dxa"/>
        <w:tblCellMar>
          <w:left w:w="0" w:type="dxa"/>
          <w:right w:w="0" w:type="dxa"/>
        </w:tblCellMar>
        <w:tblLook w:val="04A0" w:firstRow="1" w:lastRow="0" w:firstColumn="1" w:lastColumn="0" w:noHBand="0" w:noVBand="1"/>
      </w:tblPr>
      <w:tblGrid>
        <w:gridCol w:w="4172"/>
        <w:gridCol w:w="2098"/>
        <w:gridCol w:w="2098"/>
        <w:gridCol w:w="1768"/>
      </w:tblGrid>
      <w:tr w:rsidR="00F0376F" w14:paraId="6ACAD1AA" w14:textId="77777777" w:rsidTr="00313029">
        <w:trPr>
          <w:trHeight w:val="320"/>
        </w:trPr>
        <w:tc>
          <w:tcPr>
            <w:tcW w:w="8352" w:type="dxa"/>
            <w:gridSpan w:val="3"/>
            <w:tcBorders>
              <w:top w:val="nil"/>
              <w:left w:val="nil"/>
              <w:bottom w:val="nil"/>
              <w:right w:val="nil"/>
            </w:tcBorders>
            <w:shd w:val="clear" w:color="auto" w:fill="auto"/>
            <w:noWrap/>
            <w:vAlign w:val="center"/>
            <w:hideMark/>
          </w:tcPr>
          <w:p w14:paraId="17DA16A9" w14:textId="77777777" w:rsidR="00B3709C" w:rsidRDefault="00B3709C" w:rsidP="00D637F6">
            <w:pPr>
              <w:rPr>
                <w:rFonts w:ascii="Calibri" w:hAnsi="Calibri" w:cs="Calibri"/>
                <w:b/>
                <w:bCs/>
                <w:color w:val="000000"/>
              </w:rPr>
            </w:pPr>
          </w:p>
          <w:p w14:paraId="019AB025" w14:textId="60E6F88D" w:rsidR="00F0376F" w:rsidRDefault="00F0376F" w:rsidP="00D637F6">
            <w:pPr>
              <w:rPr>
                <w:rFonts w:ascii="Calibri" w:hAnsi="Calibri" w:cs="Calibri"/>
                <w:b/>
                <w:bCs/>
                <w:color w:val="000000"/>
              </w:rPr>
            </w:pPr>
            <w:r>
              <w:rPr>
                <w:rFonts w:ascii="Calibri" w:hAnsi="Calibri" w:cs="Calibri"/>
                <w:b/>
                <w:bCs/>
                <w:color w:val="000000"/>
              </w:rPr>
              <w:lastRenderedPageBreak/>
              <w:t>Table 13</w:t>
            </w:r>
            <w:r>
              <w:rPr>
                <w:rFonts w:ascii="Calibri" w:hAnsi="Calibri" w:cs="Calibri"/>
                <w:color w:val="000000"/>
              </w:rPr>
              <w:t>: Direct and indirect costs estimated for 2022-23 to 2024-25</w:t>
            </w:r>
            <w:r>
              <w:rPr>
                <w:color w:val="000000"/>
                <w:sz w:val="16"/>
                <w:szCs w:val="16"/>
              </w:rPr>
              <w:t> </w:t>
            </w:r>
          </w:p>
        </w:tc>
        <w:tc>
          <w:tcPr>
            <w:tcW w:w="1752" w:type="dxa"/>
            <w:tcBorders>
              <w:top w:val="nil"/>
              <w:left w:val="nil"/>
              <w:bottom w:val="nil"/>
              <w:right w:val="nil"/>
            </w:tcBorders>
            <w:shd w:val="clear" w:color="auto" w:fill="auto"/>
            <w:noWrap/>
            <w:vAlign w:val="bottom"/>
            <w:hideMark/>
          </w:tcPr>
          <w:p w14:paraId="26642421" w14:textId="77777777" w:rsidR="00F0376F" w:rsidRDefault="00F0376F" w:rsidP="00D637F6">
            <w:pPr>
              <w:rPr>
                <w:rFonts w:ascii="Calibri" w:hAnsi="Calibri" w:cs="Calibri"/>
                <w:b/>
                <w:bCs/>
                <w:color w:val="000000"/>
              </w:rPr>
            </w:pPr>
          </w:p>
        </w:tc>
      </w:tr>
      <w:tr w:rsidR="00F0376F" w14:paraId="06A2D272" w14:textId="77777777" w:rsidTr="00313029">
        <w:trPr>
          <w:trHeight w:val="370"/>
        </w:trPr>
        <w:tc>
          <w:tcPr>
            <w:tcW w:w="4394" w:type="dxa"/>
            <w:vMerge w:val="restart"/>
            <w:tcBorders>
              <w:top w:val="single" w:sz="8" w:space="0" w:color="4F81BD"/>
              <w:left w:val="single" w:sz="8" w:space="0" w:color="4F81BD"/>
              <w:bottom w:val="single" w:sz="8" w:space="0" w:color="4F81BD"/>
              <w:right w:val="nil"/>
            </w:tcBorders>
            <w:shd w:val="clear" w:color="000000" w:fill="4F81BD"/>
            <w:vAlign w:val="center"/>
            <w:hideMark/>
          </w:tcPr>
          <w:p w14:paraId="01DA5DA3" w14:textId="77777777" w:rsidR="00F0376F" w:rsidRDefault="00F0376F" w:rsidP="00D637F6">
            <w:pPr>
              <w:rPr>
                <w:rFonts w:ascii="Calibri" w:hAnsi="Calibri" w:cs="Calibri"/>
                <w:b/>
                <w:bCs/>
                <w:color w:val="FFFFFF"/>
              </w:rPr>
            </w:pPr>
            <w:r>
              <w:rPr>
                <w:rFonts w:ascii="Calibri" w:hAnsi="Calibri" w:cs="Calibri"/>
                <w:b/>
                <w:bCs/>
                <w:color w:val="FFFFFF"/>
              </w:rPr>
              <w:t>Delivery of Regulatory Functions</w:t>
            </w:r>
          </w:p>
        </w:tc>
        <w:tc>
          <w:tcPr>
            <w:tcW w:w="5710" w:type="dxa"/>
            <w:gridSpan w:val="3"/>
            <w:tcBorders>
              <w:top w:val="nil"/>
              <w:left w:val="nil"/>
              <w:bottom w:val="nil"/>
              <w:right w:val="nil"/>
            </w:tcBorders>
            <w:shd w:val="clear" w:color="000000" w:fill="4F81BD"/>
            <w:vAlign w:val="center"/>
            <w:hideMark/>
          </w:tcPr>
          <w:p w14:paraId="3146DD41" w14:textId="77777777" w:rsidR="00F0376F" w:rsidRDefault="00F0376F" w:rsidP="00D637F6">
            <w:pPr>
              <w:jc w:val="center"/>
              <w:rPr>
                <w:rFonts w:ascii="Calibri" w:hAnsi="Calibri" w:cs="Calibri"/>
                <w:b/>
                <w:bCs/>
                <w:color w:val="FFFFFF"/>
              </w:rPr>
            </w:pPr>
            <w:r>
              <w:rPr>
                <w:rFonts w:ascii="Calibri" w:hAnsi="Calibri" w:cs="Calibri"/>
                <w:b/>
                <w:bCs/>
                <w:color w:val="FFFFFF"/>
              </w:rPr>
              <w:t>Financial Year</w:t>
            </w:r>
          </w:p>
        </w:tc>
      </w:tr>
      <w:tr w:rsidR="00F0376F" w14:paraId="32025740" w14:textId="77777777" w:rsidTr="00313029">
        <w:trPr>
          <w:trHeight w:val="330"/>
        </w:trPr>
        <w:tc>
          <w:tcPr>
            <w:tcW w:w="0" w:type="auto"/>
            <w:vMerge/>
            <w:tcBorders>
              <w:top w:val="single" w:sz="8" w:space="0" w:color="4F81BD"/>
              <w:left w:val="single" w:sz="8" w:space="0" w:color="4F81BD"/>
              <w:bottom w:val="single" w:sz="8" w:space="0" w:color="4F81BD"/>
              <w:right w:val="nil"/>
            </w:tcBorders>
            <w:vAlign w:val="center"/>
            <w:hideMark/>
          </w:tcPr>
          <w:p w14:paraId="2F702300" w14:textId="77777777" w:rsidR="00F0376F" w:rsidRDefault="00F0376F" w:rsidP="00D637F6">
            <w:pPr>
              <w:rPr>
                <w:rFonts w:ascii="Calibri" w:hAnsi="Calibri" w:cs="Calibri"/>
                <w:b/>
                <w:bCs/>
                <w:color w:val="FFFFFF"/>
              </w:rPr>
            </w:pPr>
          </w:p>
        </w:tc>
        <w:tc>
          <w:tcPr>
            <w:tcW w:w="1979" w:type="dxa"/>
            <w:tcBorders>
              <w:top w:val="nil"/>
              <w:left w:val="nil"/>
              <w:bottom w:val="single" w:sz="8" w:space="0" w:color="4F81BD"/>
              <w:right w:val="nil"/>
            </w:tcBorders>
            <w:shd w:val="clear" w:color="000000" w:fill="4F81BD"/>
            <w:vAlign w:val="center"/>
            <w:hideMark/>
          </w:tcPr>
          <w:p w14:paraId="7BFB8AB1" w14:textId="77777777" w:rsidR="00F0376F" w:rsidRDefault="00F0376F" w:rsidP="00D637F6">
            <w:pPr>
              <w:jc w:val="center"/>
              <w:rPr>
                <w:rFonts w:ascii="Calibri" w:hAnsi="Calibri" w:cs="Calibri"/>
                <w:b/>
                <w:bCs/>
                <w:color w:val="FFFFFF"/>
              </w:rPr>
            </w:pPr>
            <w:r>
              <w:rPr>
                <w:rFonts w:ascii="Calibri" w:hAnsi="Calibri" w:cs="Calibri"/>
                <w:b/>
                <w:bCs/>
                <w:color w:val="FFFFFF"/>
              </w:rPr>
              <w:t>2022-23</w:t>
            </w:r>
          </w:p>
        </w:tc>
        <w:tc>
          <w:tcPr>
            <w:tcW w:w="1979" w:type="dxa"/>
            <w:tcBorders>
              <w:top w:val="nil"/>
              <w:left w:val="nil"/>
              <w:bottom w:val="single" w:sz="8" w:space="0" w:color="4F81BD"/>
              <w:right w:val="single" w:sz="8" w:space="0" w:color="4F81BD"/>
            </w:tcBorders>
            <w:shd w:val="clear" w:color="000000" w:fill="4F81BD"/>
            <w:vAlign w:val="center"/>
            <w:hideMark/>
          </w:tcPr>
          <w:p w14:paraId="7C04A461" w14:textId="77777777" w:rsidR="00F0376F" w:rsidRDefault="00F0376F" w:rsidP="00D637F6">
            <w:pPr>
              <w:jc w:val="center"/>
              <w:rPr>
                <w:rFonts w:ascii="Calibri" w:hAnsi="Calibri" w:cs="Calibri"/>
                <w:b/>
                <w:bCs/>
                <w:color w:val="FFFFFF"/>
              </w:rPr>
            </w:pPr>
            <w:r>
              <w:rPr>
                <w:rFonts w:ascii="Calibri" w:hAnsi="Calibri" w:cs="Calibri"/>
                <w:b/>
                <w:bCs/>
                <w:color w:val="FFFFFF"/>
              </w:rPr>
              <w:t xml:space="preserve"> 2023-24</w:t>
            </w:r>
          </w:p>
        </w:tc>
        <w:tc>
          <w:tcPr>
            <w:tcW w:w="1752" w:type="dxa"/>
            <w:tcBorders>
              <w:top w:val="nil"/>
              <w:left w:val="nil"/>
              <w:bottom w:val="single" w:sz="8" w:space="0" w:color="4F81BD"/>
              <w:right w:val="single" w:sz="8" w:space="0" w:color="4F81BD"/>
            </w:tcBorders>
            <w:shd w:val="clear" w:color="000000" w:fill="4F81BD"/>
            <w:vAlign w:val="center"/>
            <w:hideMark/>
          </w:tcPr>
          <w:p w14:paraId="592315A6" w14:textId="77777777" w:rsidR="00F0376F" w:rsidRDefault="00F0376F" w:rsidP="00D637F6">
            <w:pPr>
              <w:jc w:val="center"/>
              <w:rPr>
                <w:rFonts w:ascii="Calibri" w:hAnsi="Calibri" w:cs="Calibri"/>
                <w:b/>
                <w:bCs/>
                <w:color w:val="FFFFFF"/>
              </w:rPr>
            </w:pPr>
            <w:r>
              <w:rPr>
                <w:rFonts w:ascii="Calibri" w:hAnsi="Calibri" w:cs="Calibri"/>
                <w:b/>
                <w:bCs/>
                <w:color w:val="FFFFFF"/>
              </w:rPr>
              <w:t xml:space="preserve"> 2024-25</w:t>
            </w:r>
          </w:p>
        </w:tc>
      </w:tr>
      <w:tr w:rsidR="00F0376F" w14:paraId="07D9EB21" w14:textId="77777777" w:rsidTr="00313029">
        <w:trPr>
          <w:trHeight w:val="270"/>
        </w:trPr>
        <w:tc>
          <w:tcPr>
            <w:tcW w:w="4394" w:type="dxa"/>
            <w:tcBorders>
              <w:top w:val="nil"/>
              <w:left w:val="single" w:sz="8" w:space="0" w:color="95B3D7"/>
              <w:bottom w:val="single" w:sz="8" w:space="0" w:color="95B3D7"/>
              <w:right w:val="single" w:sz="8" w:space="0" w:color="95B3D7"/>
            </w:tcBorders>
            <w:shd w:val="clear" w:color="000000" w:fill="DBE5F1"/>
            <w:vAlign w:val="center"/>
            <w:hideMark/>
          </w:tcPr>
          <w:p w14:paraId="1ED9F2D7" w14:textId="77777777" w:rsidR="00F0376F" w:rsidRDefault="00F0376F" w:rsidP="00D637F6">
            <w:pPr>
              <w:rPr>
                <w:rFonts w:ascii="Calibri" w:hAnsi="Calibri" w:cs="Calibri"/>
                <w:b/>
                <w:bCs/>
                <w:color w:val="17365D"/>
                <w:sz w:val="20"/>
                <w:szCs w:val="20"/>
              </w:rPr>
            </w:pPr>
            <w:r>
              <w:rPr>
                <w:rFonts w:ascii="Calibri" w:hAnsi="Calibri" w:cs="Calibri"/>
                <w:b/>
                <w:bCs/>
                <w:color w:val="17365D"/>
                <w:sz w:val="20"/>
                <w:szCs w:val="20"/>
              </w:rPr>
              <w:t>Staff Costs including Staff Benefits (Direct)</w:t>
            </w:r>
          </w:p>
        </w:tc>
        <w:tc>
          <w:tcPr>
            <w:tcW w:w="1979" w:type="dxa"/>
            <w:tcBorders>
              <w:top w:val="nil"/>
              <w:left w:val="nil"/>
              <w:bottom w:val="single" w:sz="8" w:space="0" w:color="95B3D7"/>
              <w:right w:val="single" w:sz="8" w:space="0" w:color="95B3D7"/>
            </w:tcBorders>
            <w:shd w:val="clear" w:color="000000" w:fill="DBE5F1"/>
            <w:vAlign w:val="center"/>
            <w:hideMark/>
          </w:tcPr>
          <w:p w14:paraId="2A45EB9D" w14:textId="77777777" w:rsidR="00F0376F" w:rsidRDefault="00F0376F" w:rsidP="00D637F6">
            <w:pPr>
              <w:jc w:val="center"/>
              <w:rPr>
                <w:color w:val="000000"/>
                <w:sz w:val="18"/>
                <w:szCs w:val="18"/>
              </w:rPr>
            </w:pPr>
            <w:r>
              <w:rPr>
                <w:color w:val="000000"/>
                <w:sz w:val="18"/>
                <w:szCs w:val="18"/>
              </w:rPr>
              <w:t> </w:t>
            </w:r>
          </w:p>
        </w:tc>
        <w:tc>
          <w:tcPr>
            <w:tcW w:w="1979" w:type="dxa"/>
            <w:tcBorders>
              <w:top w:val="nil"/>
              <w:left w:val="nil"/>
              <w:bottom w:val="single" w:sz="8" w:space="0" w:color="95B3D7"/>
              <w:right w:val="single" w:sz="8" w:space="0" w:color="95B3D7"/>
            </w:tcBorders>
            <w:shd w:val="clear" w:color="000000" w:fill="DBE5F1"/>
            <w:vAlign w:val="center"/>
            <w:hideMark/>
          </w:tcPr>
          <w:p w14:paraId="576CA0C7" w14:textId="77777777" w:rsidR="00F0376F" w:rsidRDefault="00F0376F" w:rsidP="00D637F6">
            <w:pPr>
              <w:jc w:val="center"/>
              <w:rPr>
                <w:color w:val="000000"/>
                <w:sz w:val="18"/>
                <w:szCs w:val="18"/>
              </w:rPr>
            </w:pPr>
            <w:r>
              <w:rPr>
                <w:color w:val="000000"/>
                <w:sz w:val="18"/>
                <w:szCs w:val="18"/>
              </w:rPr>
              <w:t> </w:t>
            </w:r>
          </w:p>
        </w:tc>
        <w:tc>
          <w:tcPr>
            <w:tcW w:w="1752" w:type="dxa"/>
            <w:tcBorders>
              <w:top w:val="nil"/>
              <w:left w:val="nil"/>
              <w:bottom w:val="single" w:sz="8" w:space="0" w:color="95B3D7"/>
              <w:right w:val="single" w:sz="8" w:space="0" w:color="95B3D7"/>
            </w:tcBorders>
            <w:shd w:val="clear" w:color="000000" w:fill="DBE5F1"/>
            <w:vAlign w:val="center"/>
            <w:hideMark/>
          </w:tcPr>
          <w:p w14:paraId="7D60DBB7" w14:textId="77777777" w:rsidR="00F0376F" w:rsidRDefault="00F0376F" w:rsidP="00D637F6">
            <w:pPr>
              <w:jc w:val="center"/>
              <w:rPr>
                <w:color w:val="000000"/>
                <w:sz w:val="18"/>
                <w:szCs w:val="18"/>
              </w:rPr>
            </w:pPr>
            <w:r>
              <w:rPr>
                <w:color w:val="000000"/>
                <w:sz w:val="18"/>
                <w:szCs w:val="18"/>
              </w:rPr>
              <w:t> </w:t>
            </w:r>
          </w:p>
        </w:tc>
      </w:tr>
      <w:tr w:rsidR="00F0376F" w14:paraId="43ED4660" w14:textId="77777777" w:rsidTr="00313029">
        <w:trPr>
          <w:trHeight w:val="270"/>
        </w:trPr>
        <w:tc>
          <w:tcPr>
            <w:tcW w:w="4394" w:type="dxa"/>
            <w:tcBorders>
              <w:top w:val="nil"/>
              <w:left w:val="single" w:sz="8" w:space="0" w:color="95B3D7"/>
              <w:bottom w:val="single" w:sz="8" w:space="0" w:color="95B3D7"/>
              <w:right w:val="single" w:sz="8" w:space="0" w:color="95B3D7"/>
            </w:tcBorders>
            <w:shd w:val="clear" w:color="auto" w:fill="auto"/>
            <w:vAlign w:val="center"/>
            <w:hideMark/>
          </w:tcPr>
          <w:p w14:paraId="4E1DF6FA" w14:textId="77777777" w:rsidR="00F0376F" w:rsidRDefault="00F0376F" w:rsidP="00D637F6">
            <w:pPr>
              <w:rPr>
                <w:rFonts w:ascii="Calibri" w:hAnsi="Calibri" w:cs="Calibri"/>
                <w:color w:val="17365D"/>
                <w:sz w:val="20"/>
                <w:szCs w:val="20"/>
              </w:rPr>
            </w:pPr>
            <w:r>
              <w:rPr>
                <w:rFonts w:ascii="Calibri" w:hAnsi="Calibri" w:cs="Calibri"/>
                <w:color w:val="17365D"/>
                <w:sz w:val="20"/>
                <w:szCs w:val="20"/>
              </w:rPr>
              <w:t xml:space="preserve">EL2R Regulatory Team Manager </w:t>
            </w:r>
          </w:p>
        </w:tc>
        <w:tc>
          <w:tcPr>
            <w:tcW w:w="1979" w:type="dxa"/>
            <w:tcBorders>
              <w:top w:val="nil"/>
              <w:left w:val="nil"/>
              <w:bottom w:val="single" w:sz="8" w:space="0" w:color="95B3D7"/>
              <w:right w:val="single" w:sz="8" w:space="0" w:color="95B3D7"/>
            </w:tcBorders>
            <w:shd w:val="clear" w:color="auto" w:fill="auto"/>
            <w:vAlign w:val="center"/>
            <w:hideMark/>
          </w:tcPr>
          <w:p w14:paraId="6E98B22E" w14:textId="3F6B2929"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173,286</w:t>
            </w:r>
          </w:p>
        </w:tc>
        <w:tc>
          <w:tcPr>
            <w:tcW w:w="1979" w:type="dxa"/>
            <w:tcBorders>
              <w:top w:val="nil"/>
              <w:left w:val="nil"/>
              <w:bottom w:val="single" w:sz="8" w:space="0" w:color="95B3D7"/>
              <w:right w:val="single" w:sz="8" w:space="0" w:color="95B3D7"/>
            </w:tcBorders>
            <w:shd w:val="clear" w:color="auto" w:fill="auto"/>
            <w:vAlign w:val="center"/>
            <w:hideMark/>
          </w:tcPr>
          <w:p w14:paraId="72F874FC" w14:textId="25419748"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344,456</w:t>
            </w:r>
          </w:p>
        </w:tc>
        <w:tc>
          <w:tcPr>
            <w:tcW w:w="1752" w:type="dxa"/>
            <w:tcBorders>
              <w:top w:val="nil"/>
              <w:left w:val="nil"/>
              <w:bottom w:val="single" w:sz="8" w:space="0" w:color="95B3D7"/>
              <w:right w:val="single" w:sz="8" w:space="0" w:color="95B3D7"/>
            </w:tcBorders>
            <w:shd w:val="clear" w:color="auto" w:fill="auto"/>
            <w:vAlign w:val="center"/>
            <w:hideMark/>
          </w:tcPr>
          <w:p w14:paraId="40ACE580" w14:textId="4FB8ADF3"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352,897</w:t>
            </w:r>
          </w:p>
        </w:tc>
      </w:tr>
      <w:tr w:rsidR="00F0376F" w14:paraId="3D71347B" w14:textId="77777777" w:rsidTr="00313029">
        <w:trPr>
          <w:trHeight w:val="270"/>
        </w:trPr>
        <w:tc>
          <w:tcPr>
            <w:tcW w:w="4394" w:type="dxa"/>
            <w:tcBorders>
              <w:top w:val="nil"/>
              <w:left w:val="single" w:sz="8" w:space="0" w:color="95B3D7"/>
              <w:bottom w:val="single" w:sz="8" w:space="0" w:color="95B3D7"/>
              <w:right w:val="single" w:sz="8" w:space="0" w:color="95B3D7"/>
            </w:tcBorders>
            <w:shd w:val="clear" w:color="000000" w:fill="DBE5F1"/>
            <w:vAlign w:val="center"/>
            <w:hideMark/>
          </w:tcPr>
          <w:p w14:paraId="00B1B9C7" w14:textId="77777777" w:rsidR="00F0376F" w:rsidRDefault="00F0376F" w:rsidP="00D637F6">
            <w:pPr>
              <w:rPr>
                <w:rFonts w:ascii="Calibri" w:hAnsi="Calibri" w:cs="Calibri"/>
                <w:color w:val="17365D"/>
                <w:sz w:val="20"/>
                <w:szCs w:val="20"/>
              </w:rPr>
            </w:pPr>
            <w:r>
              <w:rPr>
                <w:rFonts w:ascii="Calibri" w:hAnsi="Calibri" w:cs="Calibri"/>
                <w:color w:val="17365D"/>
                <w:sz w:val="20"/>
                <w:szCs w:val="20"/>
              </w:rPr>
              <w:t>EL1R Regulatory Specialist</w:t>
            </w:r>
          </w:p>
        </w:tc>
        <w:tc>
          <w:tcPr>
            <w:tcW w:w="1979" w:type="dxa"/>
            <w:tcBorders>
              <w:top w:val="nil"/>
              <w:left w:val="nil"/>
              <w:bottom w:val="single" w:sz="8" w:space="0" w:color="95B3D7"/>
              <w:right w:val="single" w:sz="8" w:space="0" w:color="95B3D7"/>
            </w:tcBorders>
            <w:shd w:val="clear" w:color="000000" w:fill="DBE5F1"/>
            <w:vAlign w:val="center"/>
            <w:hideMark/>
          </w:tcPr>
          <w:p w14:paraId="3D30C629" w14:textId="0D16EE74"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270,489</w:t>
            </w:r>
          </w:p>
        </w:tc>
        <w:tc>
          <w:tcPr>
            <w:tcW w:w="1979" w:type="dxa"/>
            <w:tcBorders>
              <w:top w:val="nil"/>
              <w:left w:val="nil"/>
              <w:bottom w:val="single" w:sz="8" w:space="0" w:color="95B3D7"/>
              <w:right w:val="single" w:sz="8" w:space="0" w:color="95B3D7"/>
            </w:tcBorders>
            <w:shd w:val="clear" w:color="000000" w:fill="DBE5F1"/>
            <w:vAlign w:val="center"/>
            <w:hideMark/>
          </w:tcPr>
          <w:p w14:paraId="132ED596" w14:textId="605559FB"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272,426</w:t>
            </w:r>
          </w:p>
        </w:tc>
        <w:tc>
          <w:tcPr>
            <w:tcW w:w="1752" w:type="dxa"/>
            <w:tcBorders>
              <w:top w:val="nil"/>
              <w:left w:val="nil"/>
              <w:bottom w:val="single" w:sz="8" w:space="0" w:color="95B3D7"/>
              <w:right w:val="single" w:sz="8" w:space="0" w:color="95B3D7"/>
            </w:tcBorders>
            <w:shd w:val="clear" w:color="000000" w:fill="DBE5F1"/>
            <w:vAlign w:val="center"/>
            <w:hideMark/>
          </w:tcPr>
          <w:p w14:paraId="06C48D66" w14:textId="7AF6322B"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272,272</w:t>
            </w:r>
          </w:p>
        </w:tc>
      </w:tr>
      <w:tr w:rsidR="00F0376F" w14:paraId="5752BB38" w14:textId="77777777" w:rsidTr="00313029">
        <w:trPr>
          <w:trHeight w:val="270"/>
        </w:trPr>
        <w:tc>
          <w:tcPr>
            <w:tcW w:w="4394" w:type="dxa"/>
            <w:tcBorders>
              <w:top w:val="nil"/>
              <w:left w:val="single" w:sz="8" w:space="0" w:color="95B3D7"/>
              <w:bottom w:val="single" w:sz="8" w:space="0" w:color="95B3D7"/>
              <w:right w:val="single" w:sz="8" w:space="0" w:color="95B3D7"/>
            </w:tcBorders>
            <w:shd w:val="clear" w:color="auto" w:fill="auto"/>
            <w:vAlign w:val="center"/>
            <w:hideMark/>
          </w:tcPr>
          <w:p w14:paraId="3AF735E4" w14:textId="77777777" w:rsidR="00F0376F" w:rsidRDefault="00F0376F" w:rsidP="00D637F6">
            <w:pPr>
              <w:rPr>
                <w:rFonts w:ascii="Calibri" w:hAnsi="Calibri" w:cs="Calibri"/>
                <w:color w:val="17365D"/>
                <w:sz w:val="20"/>
                <w:szCs w:val="20"/>
              </w:rPr>
            </w:pPr>
            <w:r>
              <w:rPr>
                <w:rFonts w:ascii="Calibri" w:hAnsi="Calibri" w:cs="Calibri"/>
                <w:color w:val="17365D"/>
                <w:sz w:val="20"/>
                <w:szCs w:val="20"/>
              </w:rPr>
              <w:t>EL1R Regulatory Specialist</w:t>
            </w:r>
          </w:p>
        </w:tc>
        <w:tc>
          <w:tcPr>
            <w:tcW w:w="1979" w:type="dxa"/>
            <w:tcBorders>
              <w:top w:val="nil"/>
              <w:left w:val="nil"/>
              <w:bottom w:val="single" w:sz="8" w:space="0" w:color="95B3D7"/>
              <w:right w:val="single" w:sz="8" w:space="0" w:color="95B3D7"/>
            </w:tcBorders>
            <w:shd w:val="clear" w:color="auto" w:fill="auto"/>
            <w:vAlign w:val="center"/>
            <w:hideMark/>
          </w:tcPr>
          <w:p w14:paraId="38DB3230" w14:textId="77777777" w:rsidR="00F0376F" w:rsidRDefault="00F0376F" w:rsidP="00D637F6">
            <w:pPr>
              <w:jc w:val="center"/>
              <w:rPr>
                <w:rFonts w:ascii="Calibri" w:hAnsi="Calibri" w:cs="Calibri"/>
                <w:color w:val="17365D"/>
                <w:sz w:val="20"/>
                <w:szCs w:val="20"/>
              </w:rPr>
            </w:pPr>
          </w:p>
        </w:tc>
        <w:tc>
          <w:tcPr>
            <w:tcW w:w="1979" w:type="dxa"/>
            <w:tcBorders>
              <w:top w:val="nil"/>
              <w:left w:val="nil"/>
              <w:bottom w:val="single" w:sz="8" w:space="0" w:color="95B3D7"/>
              <w:right w:val="single" w:sz="8" w:space="0" w:color="95B3D7"/>
            </w:tcBorders>
            <w:shd w:val="clear" w:color="auto" w:fill="auto"/>
            <w:vAlign w:val="center"/>
            <w:hideMark/>
          </w:tcPr>
          <w:p w14:paraId="4C21246B" w14:textId="4569CE32"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136,213</w:t>
            </w:r>
          </w:p>
        </w:tc>
        <w:tc>
          <w:tcPr>
            <w:tcW w:w="1752" w:type="dxa"/>
            <w:tcBorders>
              <w:top w:val="nil"/>
              <w:left w:val="nil"/>
              <w:bottom w:val="single" w:sz="8" w:space="0" w:color="95B3D7"/>
              <w:right w:val="single" w:sz="8" w:space="0" w:color="95B3D7"/>
            </w:tcBorders>
            <w:shd w:val="clear" w:color="auto" w:fill="auto"/>
            <w:vAlign w:val="center"/>
            <w:hideMark/>
          </w:tcPr>
          <w:p w14:paraId="2E7EF391" w14:textId="51EF953B"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272,272</w:t>
            </w:r>
          </w:p>
        </w:tc>
      </w:tr>
      <w:tr w:rsidR="00F0376F" w14:paraId="61D37988" w14:textId="77777777" w:rsidTr="00313029">
        <w:trPr>
          <w:trHeight w:val="270"/>
        </w:trPr>
        <w:tc>
          <w:tcPr>
            <w:tcW w:w="4394" w:type="dxa"/>
            <w:tcBorders>
              <w:top w:val="nil"/>
              <w:left w:val="single" w:sz="8" w:space="0" w:color="95B3D7"/>
              <w:bottom w:val="single" w:sz="8" w:space="0" w:color="95B3D7"/>
              <w:right w:val="single" w:sz="8" w:space="0" w:color="95B3D7"/>
            </w:tcBorders>
            <w:shd w:val="clear" w:color="000000" w:fill="DBE5F1"/>
            <w:vAlign w:val="center"/>
            <w:hideMark/>
          </w:tcPr>
          <w:p w14:paraId="1BE5405E" w14:textId="77777777" w:rsidR="00F0376F" w:rsidRDefault="00F0376F" w:rsidP="00D637F6">
            <w:pPr>
              <w:rPr>
                <w:rFonts w:ascii="Calibri" w:hAnsi="Calibri" w:cs="Calibri"/>
                <w:color w:val="17365D"/>
                <w:sz w:val="20"/>
                <w:szCs w:val="20"/>
              </w:rPr>
            </w:pPr>
            <w:r>
              <w:rPr>
                <w:rFonts w:ascii="Calibri" w:hAnsi="Calibri" w:cs="Calibri"/>
                <w:color w:val="17365D"/>
                <w:sz w:val="20"/>
                <w:szCs w:val="20"/>
              </w:rPr>
              <w:t>APS6 Regulatory Officer/Senior Advisor</w:t>
            </w:r>
          </w:p>
        </w:tc>
        <w:tc>
          <w:tcPr>
            <w:tcW w:w="1979" w:type="dxa"/>
            <w:tcBorders>
              <w:top w:val="nil"/>
              <w:left w:val="nil"/>
              <w:bottom w:val="single" w:sz="8" w:space="0" w:color="95B3D7"/>
              <w:right w:val="single" w:sz="8" w:space="0" w:color="95B3D7"/>
            </w:tcBorders>
            <w:shd w:val="clear" w:color="000000" w:fill="DBE5F1"/>
            <w:vAlign w:val="center"/>
            <w:hideMark/>
          </w:tcPr>
          <w:p w14:paraId="44E314A3" w14:textId="43C6827A"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129,564</w:t>
            </w:r>
          </w:p>
        </w:tc>
        <w:tc>
          <w:tcPr>
            <w:tcW w:w="1979" w:type="dxa"/>
            <w:tcBorders>
              <w:top w:val="nil"/>
              <w:left w:val="nil"/>
              <w:bottom w:val="single" w:sz="8" w:space="0" w:color="95B3D7"/>
              <w:right w:val="single" w:sz="8" w:space="0" w:color="95B3D7"/>
            </w:tcBorders>
            <w:shd w:val="clear" w:color="000000" w:fill="DBE5F1"/>
            <w:vAlign w:val="center"/>
            <w:hideMark/>
          </w:tcPr>
          <w:p w14:paraId="569B9DC9" w14:textId="0718301B"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133,623</w:t>
            </w:r>
          </w:p>
        </w:tc>
        <w:tc>
          <w:tcPr>
            <w:tcW w:w="1752" w:type="dxa"/>
            <w:tcBorders>
              <w:top w:val="nil"/>
              <w:left w:val="nil"/>
              <w:bottom w:val="single" w:sz="8" w:space="0" w:color="95B3D7"/>
              <w:right w:val="single" w:sz="8" w:space="0" w:color="95B3D7"/>
            </w:tcBorders>
            <w:shd w:val="clear" w:color="000000" w:fill="DBE5F1"/>
            <w:vAlign w:val="center"/>
            <w:hideMark/>
          </w:tcPr>
          <w:p w14:paraId="2B01096E" w14:textId="6F3CCAC7"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135,498</w:t>
            </w:r>
          </w:p>
        </w:tc>
      </w:tr>
      <w:tr w:rsidR="00F0376F" w14:paraId="06EAC655" w14:textId="77777777" w:rsidTr="00313029">
        <w:trPr>
          <w:trHeight w:val="270"/>
        </w:trPr>
        <w:tc>
          <w:tcPr>
            <w:tcW w:w="4394" w:type="dxa"/>
            <w:tcBorders>
              <w:top w:val="nil"/>
              <w:left w:val="single" w:sz="8" w:space="0" w:color="95B3D7"/>
              <w:bottom w:val="single" w:sz="8" w:space="0" w:color="95B3D7"/>
              <w:right w:val="single" w:sz="8" w:space="0" w:color="95B3D7"/>
            </w:tcBorders>
            <w:shd w:val="clear" w:color="auto" w:fill="auto"/>
            <w:vAlign w:val="center"/>
            <w:hideMark/>
          </w:tcPr>
          <w:p w14:paraId="08EA3592" w14:textId="77777777" w:rsidR="00F0376F" w:rsidRDefault="00F0376F" w:rsidP="00D637F6">
            <w:pPr>
              <w:rPr>
                <w:rFonts w:ascii="Calibri" w:hAnsi="Calibri" w:cs="Calibri"/>
                <w:color w:val="17365D"/>
                <w:sz w:val="20"/>
                <w:szCs w:val="20"/>
              </w:rPr>
            </w:pPr>
            <w:r>
              <w:rPr>
                <w:rFonts w:ascii="Calibri" w:hAnsi="Calibri" w:cs="Calibri"/>
                <w:color w:val="17365D"/>
                <w:sz w:val="20"/>
                <w:szCs w:val="20"/>
              </w:rPr>
              <w:t>APS6 Regulatory Officer/Senior Advisor</w:t>
            </w:r>
          </w:p>
        </w:tc>
        <w:tc>
          <w:tcPr>
            <w:tcW w:w="1979" w:type="dxa"/>
            <w:tcBorders>
              <w:top w:val="nil"/>
              <w:left w:val="nil"/>
              <w:bottom w:val="single" w:sz="8" w:space="0" w:color="95B3D7"/>
              <w:right w:val="single" w:sz="8" w:space="0" w:color="95B3D7"/>
            </w:tcBorders>
            <w:shd w:val="clear" w:color="auto" w:fill="auto"/>
            <w:vAlign w:val="center"/>
            <w:hideMark/>
          </w:tcPr>
          <w:p w14:paraId="1C15C961" w14:textId="31884DD9"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129,564</w:t>
            </w:r>
          </w:p>
        </w:tc>
        <w:tc>
          <w:tcPr>
            <w:tcW w:w="1979" w:type="dxa"/>
            <w:tcBorders>
              <w:top w:val="nil"/>
              <w:left w:val="nil"/>
              <w:bottom w:val="single" w:sz="8" w:space="0" w:color="95B3D7"/>
              <w:right w:val="single" w:sz="8" w:space="0" w:color="95B3D7"/>
            </w:tcBorders>
            <w:shd w:val="clear" w:color="auto" w:fill="auto"/>
            <w:vAlign w:val="center"/>
            <w:hideMark/>
          </w:tcPr>
          <w:p w14:paraId="0ADB4F94" w14:textId="45FA2A6A"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133,623</w:t>
            </w:r>
          </w:p>
        </w:tc>
        <w:tc>
          <w:tcPr>
            <w:tcW w:w="1752" w:type="dxa"/>
            <w:tcBorders>
              <w:top w:val="nil"/>
              <w:left w:val="nil"/>
              <w:bottom w:val="single" w:sz="8" w:space="0" w:color="95B3D7"/>
              <w:right w:val="single" w:sz="8" w:space="0" w:color="95B3D7"/>
            </w:tcBorders>
            <w:shd w:val="clear" w:color="auto" w:fill="auto"/>
            <w:vAlign w:val="center"/>
            <w:hideMark/>
          </w:tcPr>
          <w:p w14:paraId="1A88A33B" w14:textId="0A3C260A"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135,498</w:t>
            </w:r>
          </w:p>
        </w:tc>
      </w:tr>
      <w:tr w:rsidR="00F0376F" w14:paraId="50080131" w14:textId="77777777" w:rsidTr="00313029">
        <w:trPr>
          <w:trHeight w:val="270"/>
        </w:trPr>
        <w:tc>
          <w:tcPr>
            <w:tcW w:w="4394" w:type="dxa"/>
            <w:tcBorders>
              <w:top w:val="nil"/>
              <w:left w:val="single" w:sz="8" w:space="0" w:color="95B3D7"/>
              <w:bottom w:val="single" w:sz="8" w:space="0" w:color="95B3D7"/>
              <w:right w:val="single" w:sz="8" w:space="0" w:color="95B3D7"/>
            </w:tcBorders>
            <w:shd w:val="clear" w:color="000000" w:fill="DBE5F1"/>
            <w:vAlign w:val="center"/>
            <w:hideMark/>
          </w:tcPr>
          <w:p w14:paraId="77C771AF" w14:textId="77777777" w:rsidR="00F0376F" w:rsidRDefault="00F0376F" w:rsidP="00D637F6">
            <w:pPr>
              <w:rPr>
                <w:rFonts w:ascii="Calibri" w:hAnsi="Calibri" w:cs="Calibri"/>
                <w:color w:val="17365D"/>
                <w:sz w:val="20"/>
                <w:szCs w:val="20"/>
              </w:rPr>
            </w:pPr>
            <w:r>
              <w:rPr>
                <w:rFonts w:ascii="Calibri" w:hAnsi="Calibri" w:cs="Calibri"/>
                <w:color w:val="17365D"/>
                <w:sz w:val="20"/>
                <w:szCs w:val="20"/>
              </w:rPr>
              <w:t>APS6 Regulatory Officer/Senior Advisor</w:t>
            </w:r>
          </w:p>
        </w:tc>
        <w:tc>
          <w:tcPr>
            <w:tcW w:w="1979" w:type="dxa"/>
            <w:tcBorders>
              <w:top w:val="nil"/>
              <w:left w:val="nil"/>
              <w:bottom w:val="single" w:sz="8" w:space="0" w:color="95B3D7"/>
              <w:right w:val="single" w:sz="8" w:space="0" w:color="95B3D7"/>
            </w:tcBorders>
            <w:shd w:val="clear" w:color="000000" w:fill="DBE5F1"/>
            <w:vAlign w:val="center"/>
            <w:hideMark/>
          </w:tcPr>
          <w:p w14:paraId="3961395D" w14:textId="551F5B44"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129.564 </w:t>
            </w:r>
          </w:p>
        </w:tc>
        <w:tc>
          <w:tcPr>
            <w:tcW w:w="1979" w:type="dxa"/>
            <w:tcBorders>
              <w:top w:val="nil"/>
              <w:left w:val="nil"/>
              <w:bottom w:val="single" w:sz="8" w:space="0" w:color="95B3D7"/>
              <w:right w:val="single" w:sz="8" w:space="0" w:color="95B3D7"/>
            </w:tcBorders>
            <w:shd w:val="clear" w:color="000000" w:fill="DBE5F1"/>
            <w:vAlign w:val="center"/>
            <w:hideMark/>
          </w:tcPr>
          <w:p w14:paraId="61E2891D" w14:textId="2939FD99"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133,623</w:t>
            </w:r>
          </w:p>
        </w:tc>
        <w:tc>
          <w:tcPr>
            <w:tcW w:w="1752" w:type="dxa"/>
            <w:tcBorders>
              <w:top w:val="nil"/>
              <w:left w:val="nil"/>
              <w:bottom w:val="single" w:sz="8" w:space="0" w:color="95B3D7"/>
              <w:right w:val="single" w:sz="8" w:space="0" w:color="95B3D7"/>
            </w:tcBorders>
            <w:shd w:val="clear" w:color="000000" w:fill="DBE5F1"/>
            <w:vAlign w:val="center"/>
            <w:hideMark/>
          </w:tcPr>
          <w:p w14:paraId="4AB2FFB1" w14:textId="408BF6EB"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135,498</w:t>
            </w:r>
          </w:p>
        </w:tc>
      </w:tr>
      <w:tr w:rsidR="00F0376F" w14:paraId="43304182" w14:textId="77777777" w:rsidTr="00313029">
        <w:trPr>
          <w:trHeight w:val="270"/>
        </w:trPr>
        <w:tc>
          <w:tcPr>
            <w:tcW w:w="4394" w:type="dxa"/>
            <w:tcBorders>
              <w:top w:val="nil"/>
              <w:left w:val="single" w:sz="8" w:space="0" w:color="95B3D7"/>
              <w:bottom w:val="single" w:sz="8" w:space="0" w:color="95B3D7"/>
              <w:right w:val="single" w:sz="8" w:space="0" w:color="95B3D7"/>
            </w:tcBorders>
            <w:shd w:val="clear" w:color="auto" w:fill="auto"/>
            <w:vAlign w:val="center"/>
            <w:hideMark/>
          </w:tcPr>
          <w:p w14:paraId="5E22911C" w14:textId="77777777" w:rsidR="00F0376F" w:rsidRDefault="00F0376F" w:rsidP="00D637F6">
            <w:pPr>
              <w:rPr>
                <w:rFonts w:ascii="Calibri" w:hAnsi="Calibri" w:cs="Calibri"/>
                <w:color w:val="17365D"/>
                <w:sz w:val="20"/>
                <w:szCs w:val="20"/>
              </w:rPr>
            </w:pPr>
            <w:r>
              <w:rPr>
                <w:rFonts w:ascii="Calibri" w:hAnsi="Calibri" w:cs="Calibri"/>
                <w:color w:val="17365D"/>
                <w:sz w:val="20"/>
                <w:szCs w:val="20"/>
              </w:rPr>
              <w:t>APS6 Regulatory Officer/Senior Advisor</w:t>
            </w:r>
          </w:p>
        </w:tc>
        <w:tc>
          <w:tcPr>
            <w:tcW w:w="1979" w:type="dxa"/>
            <w:tcBorders>
              <w:top w:val="nil"/>
              <w:left w:val="nil"/>
              <w:bottom w:val="single" w:sz="8" w:space="0" w:color="95B3D7"/>
              <w:right w:val="single" w:sz="8" w:space="0" w:color="95B3D7"/>
            </w:tcBorders>
            <w:shd w:val="clear" w:color="auto" w:fill="auto"/>
            <w:vAlign w:val="center"/>
            <w:hideMark/>
          </w:tcPr>
          <w:p w14:paraId="6F25D6FB" w14:textId="77777777" w:rsidR="00F0376F" w:rsidRDefault="00F0376F" w:rsidP="00D637F6">
            <w:pPr>
              <w:jc w:val="center"/>
              <w:rPr>
                <w:rFonts w:ascii="Calibri" w:hAnsi="Calibri" w:cs="Calibri"/>
                <w:color w:val="17365D"/>
                <w:sz w:val="20"/>
                <w:szCs w:val="20"/>
              </w:rPr>
            </w:pPr>
            <w:r>
              <w:rPr>
                <w:rFonts w:ascii="Calibri" w:hAnsi="Calibri" w:cs="Calibri"/>
                <w:color w:val="17365D"/>
                <w:sz w:val="20"/>
                <w:szCs w:val="20"/>
              </w:rPr>
              <w:t> </w:t>
            </w:r>
          </w:p>
        </w:tc>
        <w:tc>
          <w:tcPr>
            <w:tcW w:w="1979" w:type="dxa"/>
            <w:tcBorders>
              <w:top w:val="nil"/>
              <w:left w:val="nil"/>
              <w:bottom w:val="single" w:sz="8" w:space="0" w:color="95B3D7"/>
              <w:right w:val="single" w:sz="8" w:space="0" w:color="95B3D7"/>
            </w:tcBorders>
            <w:shd w:val="clear" w:color="auto" w:fill="auto"/>
            <w:vAlign w:val="center"/>
            <w:hideMark/>
          </w:tcPr>
          <w:p w14:paraId="19B54609" w14:textId="30C2AF4C"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66,811</w:t>
            </w:r>
          </w:p>
        </w:tc>
        <w:tc>
          <w:tcPr>
            <w:tcW w:w="1752" w:type="dxa"/>
            <w:tcBorders>
              <w:top w:val="nil"/>
              <w:left w:val="nil"/>
              <w:bottom w:val="single" w:sz="8" w:space="0" w:color="95B3D7"/>
              <w:right w:val="single" w:sz="8" w:space="0" w:color="95B3D7"/>
            </w:tcBorders>
            <w:shd w:val="clear" w:color="auto" w:fill="auto"/>
            <w:vAlign w:val="center"/>
            <w:hideMark/>
          </w:tcPr>
          <w:p w14:paraId="5A4C7BA5" w14:textId="548C726E"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135,498</w:t>
            </w:r>
          </w:p>
        </w:tc>
      </w:tr>
      <w:tr w:rsidR="00F0376F" w14:paraId="5F3A36C0" w14:textId="77777777" w:rsidTr="00313029">
        <w:trPr>
          <w:trHeight w:val="270"/>
        </w:trPr>
        <w:tc>
          <w:tcPr>
            <w:tcW w:w="4394" w:type="dxa"/>
            <w:tcBorders>
              <w:top w:val="nil"/>
              <w:left w:val="single" w:sz="8" w:space="0" w:color="95B3D7"/>
              <w:bottom w:val="single" w:sz="8" w:space="0" w:color="95B3D7"/>
              <w:right w:val="single" w:sz="8" w:space="0" w:color="95B3D7"/>
            </w:tcBorders>
            <w:shd w:val="clear" w:color="000000" w:fill="DBE5F1"/>
            <w:vAlign w:val="center"/>
            <w:hideMark/>
          </w:tcPr>
          <w:p w14:paraId="2D4DE687" w14:textId="77777777" w:rsidR="00F0376F" w:rsidRDefault="00F0376F" w:rsidP="00D637F6">
            <w:pPr>
              <w:rPr>
                <w:rFonts w:ascii="Calibri" w:hAnsi="Calibri" w:cs="Calibri"/>
                <w:color w:val="17365D"/>
                <w:sz w:val="20"/>
                <w:szCs w:val="20"/>
              </w:rPr>
            </w:pPr>
            <w:r>
              <w:rPr>
                <w:rFonts w:ascii="Calibri" w:hAnsi="Calibri" w:cs="Calibri"/>
                <w:color w:val="17365D"/>
                <w:sz w:val="20"/>
                <w:szCs w:val="20"/>
              </w:rPr>
              <w:t>APS4 Regulatory Assistant</w:t>
            </w:r>
          </w:p>
        </w:tc>
        <w:tc>
          <w:tcPr>
            <w:tcW w:w="1979" w:type="dxa"/>
            <w:tcBorders>
              <w:top w:val="nil"/>
              <w:left w:val="nil"/>
              <w:bottom w:val="single" w:sz="8" w:space="0" w:color="95B3D7"/>
              <w:right w:val="single" w:sz="8" w:space="0" w:color="95B3D7"/>
            </w:tcBorders>
            <w:shd w:val="clear" w:color="000000" w:fill="DBE5F1"/>
            <w:vAlign w:val="center"/>
            <w:hideMark/>
          </w:tcPr>
          <w:p w14:paraId="20919BC4" w14:textId="77777777" w:rsidR="00F0376F" w:rsidRDefault="00F0376F" w:rsidP="00D637F6">
            <w:pPr>
              <w:jc w:val="center"/>
              <w:rPr>
                <w:rFonts w:ascii="Calibri" w:hAnsi="Calibri" w:cs="Calibri"/>
                <w:color w:val="17365D"/>
                <w:sz w:val="20"/>
                <w:szCs w:val="20"/>
              </w:rPr>
            </w:pPr>
            <w:r>
              <w:rPr>
                <w:rFonts w:ascii="Calibri" w:hAnsi="Calibri" w:cs="Calibri"/>
                <w:color w:val="17365D"/>
                <w:sz w:val="20"/>
                <w:szCs w:val="20"/>
              </w:rPr>
              <w:t> </w:t>
            </w:r>
          </w:p>
        </w:tc>
        <w:tc>
          <w:tcPr>
            <w:tcW w:w="1979" w:type="dxa"/>
            <w:tcBorders>
              <w:top w:val="nil"/>
              <w:left w:val="nil"/>
              <w:bottom w:val="single" w:sz="8" w:space="0" w:color="95B3D7"/>
              <w:right w:val="single" w:sz="8" w:space="0" w:color="95B3D7"/>
            </w:tcBorders>
            <w:shd w:val="clear" w:color="000000" w:fill="DBE5F1"/>
            <w:vAlign w:val="center"/>
            <w:hideMark/>
          </w:tcPr>
          <w:p w14:paraId="0D117610" w14:textId="37CBD2D9"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49,251</w:t>
            </w:r>
          </w:p>
        </w:tc>
        <w:tc>
          <w:tcPr>
            <w:tcW w:w="1752" w:type="dxa"/>
            <w:tcBorders>
              <w:top w:val="nil"/>
              <w:left w:val="nil"/>
              <w:bottom w:val="single" w:sz="8" w:space="0" w:color="95B3D7"/>
              <w:right w:val="single" w:sz="8" w:space="0" w:color="95B3D7"/>
            </w:tcBorders>
            <w:shd w:val="clear" w:color="000000" w:fill="DBE5F1"/>
            <w:vAlign w:val="center"/>
            <w:hideMark/>
          </w:tcPr>
          <w:p w14:paraId="71EAFEB4" w14:textId="2B0ED6BB"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100,630</w:t>
            </w:r>
          </w:p>
        </w:tc>
      </w:tr>
      <w:tr w:rsidR="00F0376F" w14:paraId="45CA7522" w14:textId="77777777" w:rsidTr="00313029">
        <w:trPr>
          <w:trHeight w:val="270"/>
        </w:trPr>
        <w:tc>
          <w:tcPr>
            <w:tcW w:w="4394" w:type="dxa"/>
            <w:tcBorders>
              <w:top w:val="nil"/>
              <w:left w:val="single" w:sz="8" w:space="0" w:color="95B3D7"/>
              <w:bottom w:val="single" w:sz="8" w:space="0" w:color="95B3D7"/>
              <w:right w:val="single" w:sz="8" w:space="0" w:color="95B3D7"/>
            </w:tcBorders>
            <w:shd w:val="clear" w:color="auto" w:fill="auto"/>
            <w:vAlign w:val="center"/>
            <w:hideMark/>
          </w:tcPr>
          <w:p w14:paraId="57534B3A" w14:textId="77777777" w:rsidR="00F0376F" w:rsidRDefault="00F0376F" w:rsidP="00D637F6">
            <w:pPr>
              <w:rPr>
                <w:rFonts w:ascii="Calibri" w:hAnsi="Calibri" w:cs="Calibri"/>
                <w:color w:val="17365D"/>
                <w:sz w:val="20"/>
                <w:szCs w:val="20"/>
              </w:rPr>
            </w:pPr>
            <w:r>
              <w:rPr>
                <w:rFonts w:ascii="Calibri" w:hAnsi="Calibri" w:cs="Calibri"/>
                <w:color w:val="17365D"/>
                <w:sz w:val="20"/>
                <w:szCs w:val="20"/>
              </w:rPr>
              <w:t>SES Band 1</w:t>
            </w:r>
          </w:p>
        </w:tc>
        <w:tc>
          <w:tcPr>
            <w:tcW w:w="1979" w:type="dxa"/>
            <w:tcBorders>
              <w:top w:val="nil"/>
              <w:left w:val="nil"/>
              <w:bottom w:val="single" w:sz="8" w:space="0" w:color="95B3D7"/>
              <w:right w:val="single" w:sz="8" w:space="0" w:color="95B3D7"/>
            </w:tcBorders>
            <w:shd w:val="clear" w:color="auto" w:fill="auto"/>
            <w:vAlign w:val="center"/>
            <w:hideMark/>
          </w:tcPr>
          <w:p w14:paraId="3179C3FE" w14:textId="2EFD2CF3"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78,697</w:t>
            </w:r>
          </w:p>
        </w:tc>
        <w:tc>
          <w:tcPr>
            <w:tcW w:w="1979" w:type="dxa"/>
            <w:tcBorders>
              <w:top w:val="nil"/>
              <w:left w:val="nil"/>
              <w:bottom w:val="single" w:sz="8" w:space="0" w:color="95B3D7"/>
              <w:right w:val="single" w:sz="8" w:space="0" w:color="95B3D7"/>
            </w:tcBorders>
            <w:shd w:val="clear" w:color="auto" w:fill="auto"/>
            <w:vAlign w:val="center"/>
            <w:hideMark/>
          </w:tcPr>
          <w:p w14:paraId="2760AB89" w14:textId="21649950"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80,240</w:t>
            </w:r>
          </w:p>
        </w:tc>
        <w:tc>
          <w:tcPr>
            <w:tcW w:w="1752" w:type="dxa"/>
            <w:tcBorders>
              <w:top w:val="nil"/>
              <w:left w:val="nil"/>
              <w:bottom w:val="single" w:sz="8" w:space="0" w:color="95B3D7"/>
              <w:right w:val="single" w:sz="8" w:space="0" w:color="95B3D7"/>
            </w:tcBorders>
            <w:shd w:val="clear" w:color="auto" w:fill="auto"/>
            <w:vAlign w:val="center"/>
            <w:hideMark/>
          </w:tcPr>
          <w:p w14:paraId="42A16C74" w14:textId="73508591"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89,294</w:t>
            </w:r>
          </w:p>
        </w:tc>
      </w:tr>
      <w:tr w:rsidR="00F0376F" w14:paraId="35C7E63B" w14:textId="77777777" w:rsidTr="00313029">
        <w:trPr>
          <w:trHeight w:val="270"/>
        </w:trPr>
        <w:tc>
          <w:tcPr>
            <w:tcW w:w="4394" w:type="dxa"/>
            <w:tcBorders>
              <w:top w:val="nil"/>
              <w:left w:val="single" w:sz="8" w:space="0" w:color="95B3D7"/>
              <w:bottom w:val="single" w:sz="8" w:space="0" w:color="95B3D7"/>
              <w:right w:val="single" w:sz="8" w:space="0" w:color="95B3D7"/>
            </w:tcBorders>
            <w:shd w:val="clear" w:color="000000" w:fill="DBE5F1"/>
            <w:vAlign w:val="center"/>
            <w:hideMark/>
          </w:tcPr>
          <w:p w14:paraId="02FC6EC6" w14:textId="77777777" w:rsidR="00F0376F" w:rsidRDefault="00F0376F" w:rsidP="00D637F6">
            <w:pPr>
              <w:rPr>
                <w:rFonts w:ascii="Calibri" w:hAnsi="Calibri" w:cs="Calibri"/>
                <w:color w:val="17365D"/>
                <w:sz w:val="20"/>
                <w:szCs w:val="20"/>
              </w:rPr>
            </w:pPr>
            <w:r>
              <w:rPr>
                <w:rFonts w:ascii="Calibri" w:hAnsi="Calibri" w:cs="Calibri"/>
                <w:color w:val="17365D"/>
                <w:sz w:val="20"/>
                <w:szCs w:val="20"/>
              </w:rPr>
              <w:t>Liaison and Engagement (Travel, accommodation)</w:t>
            </w:r>
          </w:p>
        </w:tc>
        <w:tc>
          <w:tcPr>
            <w:tcW w:w="1979" w:type="dxa"/>
            <w:tcBorders>
              <w:top w:val="nil"/>
              <w:left w:val="nil"/>
              <w:bottom w:val="single" w:sz="8" w:space="0" w:color="95B3D7"/>
              <w:right w:val="single" w:sz="8" w:space="0" w:color="95B3D7"/>
            </w:tcBorders>
            <w:shd w:val="clear" w:color="000000" w:fill="DBE5F1"/>
            <w:vAlign w:val="center"/>
            <w:hideMark/>
          </w:tcPr>
          <w:p w14:paraId="2932581B" w14:textId="41B239AC"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22,480</w:t>
            </w:r>
          </w:p>
        </w:tc>
        <w:tc>
          <w:tcPr>
            <w:tcW w:w="1979" w:type="dxa"/>
            <w:tcBorders>
              <w:top w:val="nil"/>
              <w:left w:val="nil"/>
              <w:bottom w:val="single" w:sz="8" w:space="0" w:color="95B3D7"/>
              <w:right w:val="single" w:sz="8" w:space="0" w:color="95B3D7"/>
            </w:tcBorders>
            <w:shd w:val="clear" w:color="000000" w:fill="DBE5F1"/>
            <w:vAlign w:val="center"/>
            <w:hideMark/>
          </w:tcPr>
          <w:p w14:paraId="0B6AC3CE" w14:textId="2B5A5AAB"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50,000</w:t>
            </w:r>
          </w:p>
        </w:tc>
        <w:tc>
          <w:tcPr>
            <w:tcW w:w="1752" w:type="dxa"/>
            <w:tcBorders>
              <w:top w:val="nil"/>
              <w:left w:val="nil"/>
              <w:bottom w:val="single" w:sz="8" w:space="0" w:color="95B3D7"/>
              <w:right w:val="single" w:sz="8" w:space="0" w:color="95B3D7"/>
            </w:tcBorders>
            <w:shd w:val="clear" w:color="000000" w:fill="DBE5F1"/>
            <w:vAlign w:val="center"/>
            <w:hideMark/>
          </w:tcPr>
          <w:p w14:paraId="19E65E99" w14:textId="7321105F"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50,000</w:t>
            </w:r>
          </w:p>
        </w:tc>
      </w:tr>
      <w:tr w:rsidR="00F0376F" w14:paraId="1EDCFAF9" w14:textId="77777777" w:rsidTr="00313029">
        <w:trPr>
          <w:trHeight w:val="530"/>
        </w:trPr>
        <w:tc>
          <w:tcPr>
            <w:tcW w:w="4394" w:type="dxa"/>
            <w:tcBorders>
              <w:top w:val="nil"/>
              <w:left w:val="single" w:sz="8" w:space="0" w:color="95B3D7"/>
              <w:bottom w:val="single" w:sz="8" w:space="0" w:color="95B3D7"/>
              <w:right w:val="single" w:sz="8" w:space="0" w:color="95B3D7"/>
            </w:tcBorders>
            <w:shd w:val="clear" w:color="auto" w:fill="auto"/>
            <w:vAlign w:val="center"/>
            <w:hideMark/>
          </w:tcPr>
          <w:p w14:paraId="50D82652" w14:textId="77777777" w:rsidR="00F0376F" w:rsidRDefault="00F0376F" w:rsidP="00D637F6">
            <w:pPr>
              <w:rPr>
                <w:rFonts w:ascii="Calibri" w:hAnsi="Calibri" w:cs="Calibri"/>
                <w:color w:val="17365D"/>
                <w:sz w:val="20"/>
                <w:szCs w:val="20"/>
              </w:rPr>
            </w:pPr>
            <w:r>
              <w:rPr>
                <w:rFonts w:ascii="Calibri" w:hAnsi="Calibri" w:cs="Calibri"/>
                <w:color w:val="17365D"/>
                <w:sz w:val="20"/>
                <w:szCs w:val="20"/>
              </w:rPr>
              <w:t>IT Systems Development, Implementation &amp; Maintenance</w:t>
            </w:r>
          </w:p>
        </w:tc>
        <w:tc>
          <w:tcPr>
            <w:tcW w:w="1979" w:type="dxa"/>
            <w:tcBorders>
              <w:top w:val="nil"/>
              <w:left w:val="nil"/>
              <w:bottom w:val="single" w:sz="8" w:space="0" w:color="95B3D7"/>
              <w:right w:val="single" w:sz="8" w:space="0" w:color="95B3D7"/>
            </w:tcBorders>
            <w:shd w:val="clear" w:color="auto" w:fill="auto"/>
            <w:vAlign w:val="center"/>
            <w:hideMark/>
          </w:tcPr>
          <w:p w14:paraId="0F42FD2C" w14:textId="6D5B5BB1"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95,000</w:t>
            </w:r>
          </w:p>
        </w:tc>
        <w:tc>
          <w:tcPr>
            <w:tcW w:w="1979" w:type="dxa"/>
            <w:tcBorders>
              <w:top w:val="nil"/>
              <w:left w:val="nil"/>
              <w:bottom w:val="single" w:sz="8" w:space="0" w:color="95B3D7"/>
              <w:right w:val="single" w:sz="8" w:space="0" w:color="95B3D7"/>
            </w:tcBorders>
            <w:shd w:val="clear" w:color="auto" w:fill="auto"/>
            <w:vAlign w:val="center"/>
            <w:hideMark/>
          </w:tcPr>
          <w:p w14:paraId="17F72B3F" w14:textId="44552C56"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50,000</w:t>
            </w:r>
          </w:p>
        </w:tc>
        <w:tc>
          <w:tcPr>
            <w:tcW w:w="1752" w:type="dxa"/>
            <w:tcBorders>
              <w:top w:val="nil"/>
              <w:left w:val="nil"/>
              <w:bottom w:val="single" w:sz="8" w:space="0" w:color="95B3D7"/>
              <w:right w:val="single" w:sz="8" w:space="0" w:color="95B3D7"/>
            </w:tcBorders>
            <w:shd w:val="clear" w:color="auto" w:fill="auto"/>
            <w:vAlign w:val="center"/>
            <w:hideMark/>
          </w:tcPr>
          <w:p w14:paraId="0042D473" w14:textId="567E00B9"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50,000</w:t>
            </w:r>
          </w:p>
        </w:tc>
      </w:tr>
      <w:tr w:rsidR="00F0376F" w14:paraId="241BF6A0" w14:textId="77777777" w:rsidTr="00313029">
        <w:trPr>
          <w:trHeight w:val="270"/>
        </w:trPr>
        <w:tc>
          <w:tcPr>
            <w:tcW w:w="4394" w:type="dxa"/>
            <w:tcBorders>
              <w:top w:val="nil"/>
              <w:left w:val="single" w:sz="8" w:space="0" w:color="95B3D7"/>
              <w:bottom w:val="single" w:sz="8" w:space="0" w:color="95B3D7"/>
              <w:right w:val="single" w:sz="8" w:space="0" w:color="95B3D7"/>
            </w:tcBorders>
            <w:shd w:val="clear" w:color="000000" w:fill="DBE5F1"/>
            <w:vAlign w:val="center"/>
            <w:hideMark/>
          </w:tcPr>
          <w:p w14:paraId="1E94E8F8" w14:textId="77777777" w:rsidR="00F0376F" w:rsidRDefault="00F0376F" w:rsidP="00D637F6">
            <w:pPr>
              <w:rPr>
                <w:rFonts w:ascii="Calibri" w:hAnsi="Calibri" w:cs="Calibri"/>
                <w:color w:val="17365D"/>
                <w:sz w:val="20"/>
                <w:szCs w:val="20"/>
              </w:rPr>
            </w:pPr>
            <w:r>
              <w:rPr>
                <w:rFonts w:ascii="Calibri" w:hAnsi="Calibri" w:cs="Calibri"/>
                <w:color w:val="17365D"/>
                <w:sz w:val="20"/>
                <w:szCs w:val="20"/>
              </w:rPr>
              <w:t>External contract expertise and contract maintenance</w:t>
            </w:r>
          </w:p>
        </w:tc>
        <w:tc>
          <w:tcPr>
            <w:tcW w:w="1979" w:type="dxa"/>
            <w:tcBorders>
              <w:top w:val="nil"/>
              <w:left w:val="nil"/>
              <w:bottom w:val="single" w:sz="8" w:space="0" w:color="95B3D7"/>
              <w:right w:val="single" w:sz="8" w:space="0" w:color="95B3D7"/>
            </w:tcBorders>
            <w:shd w:val="clear" w:color="000000" w:fill="DBE5F1"/>
            <w:vAlign w:val="center"/>
            <w:hideMark/>
          </w:tcPr>
          <w:p w14:paraId="51BA3108" w14:textId="64D977D4"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100,000</w:t>
            </w:r>
          </w:p>
        </w:tc>
        <w:tc>
          <w:tcPr>
            <w:tcW w:w="1979" w:type="dxa"/>
            <w:tcBorders>
              <w:top w:val="nil"/>
              <w:left w:val="nil"/>
              <w:bottom w:val="single" w:sz="8" w:space="0" w:color="95B3D7"/>
              <w:right w:val="single" w:sz="8" w:space="0" w:color="95B3D7"/>
            </w:tcBorders>
            <w:shd w:val="clear" w:color="000000" w:fill="DBE5F1"/>
            <w:vAlign w:val="center"/>
            <w:hideMark/>
          </w:tcPr>
          <w:p w14:paraId="6EF7EFEC" w14:textId="1292AD65"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100,000</w:t>
            </w:r>
          </w:p>
        </w:tc>
        <w:tc>
          <w:tcPr>
            <w:tcW w:w="1752" w:type="dxa"/>
            <w:tcBorders>
              <w:top w:val="nil"/>
              <w:left w:val="nil"/>
              <w:bottom w:val="single" w:sz="8" w:space="0" w:color="95B3D7"/>
              <w:right w:val="single" w:sz="8" w:space="0" w:color="95B3D7"/>
            </w:tcBorders>
            <w:shd w:val="clear" w:color="000000" w:fill="DBE5F1"/>
            <w:vAlign w:val="center"/>
            <w:hideMark/>
          </w:tcPr>
          <w:p w14:paraId="38BC1FC7" w14:textId="3AEEAEEC"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100,000</w:t>
            </w:r>
          </w:p>
        </w:tc>
      </w:tr>
      <w:tr w:rsidR="00F0376F" w14:paraId="41E37220" w14:textId="77777777" w:rsidTr="00313029">
        <w:trPr>
          <w:trHeight w:val="270"/>
        </w:trPr>
        <w:tc>
          <w:tcPr>
            <w:tcW w:w="4394" w:type="dxa"/>
            <w:tcBorders>
              <w:top w:val="nil"/>
              <w:left w:val="single" w:sz="8" w:space="0" w:color="95B3D7"/>
              <w:bottom w:val="single" w:sz="8" w:space="0" w:color="95B3D7"/>
              <w:right w:val="single" w:sz="8" w:space="0" w:color="95B3D7"/>
            </w:tcBorders>
            <w:shd w:val="clear" w:color="auto" w:fill="auto"/>
            <w:vAlign w:val="center"/>
            <w:hideMark/>
          </w:tcPr>
          <w:p w14:paraId="5FD13017" w14:textId="77777777" w:rsidR="00F0376F" w:rsidRDefault="00F0376F" w:rsidP="00D637F6">
            <w:pPr>
              <w:rPr>
                <w:rFonts w:ascii="Calibri" w:hAnsi="Calibri" w:cs="Calibri"/>
                <w:color w:val="17365D"/>
                <w:sz w:val="20"/>
                <w:szCs w:val="20"/>
              </w:rPr>
            </w:pPr>
            <w:r>
              <w:rPr>
                <w:rFonts w:ascii="Calibri" w:hAnsi="Calibri" w:cs="Calibri"/>
                <w:color w:val="17365D"/>
                <w:sz w:val="20"/>
                <w:szCs w:val="20"/>
              </w:rPr>
              <w:t>Legal advice and support</w:t>
            </w:r>
          </w:p>
        </w:tc>
        <w:tc>
          <w:tcPr>
            <w:tcW w:w="1979" w:type="dxa"/>
            <w:tcBorders>
              <w:top w:val="nil"/>
              <w:left w:val="nil"/>
              <w:bottom w:val="single" w:sz="8" w:space="0" w:color="95B3D7"/>
              <w:right w:val="single" w:sz="8" w:space="0" w:color="95B3D7"/>
            </w:tcBorders>
            <w:shd w:val="clear" w:color="auto" w:fill="auto"/>
            <w:vAlign w:val="center"/>
            <w:hideMark/>
          </w:tcPr>
          <w:p w14:paraId="772EC5A2" w14:textId="05D6FAD4"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50,000</w:t>
            </w:r>
          </w:p>
        </w:tc>
        <w:tc>
          <w:tcPr>
            <w:tcW w:w="1979" w:type="dxa"/>
            <w:tcBorders>
              <w:top w:val="nil"/>
              <w:left w:val="nil"/>
              <w:bottom w:val="single" w:sz="8" w:space="0" w:color="95B3D7"/>
              <w:right w:val="single" w:sz="8" w:space="0" w:color="95B3D7"/>
            </w:tcBorders>
            <w:shd w:val="clear" w:color="auto" w:fill="auto"/>
            <w:vAlign w:val="center"/>
            <w:hideMark/>
          </w:tcPr>
          <w:p w14:paraId="5860CB8A" w14:textId="2012C07A"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50,000</w:t>
            </w:r>
          </w:p>
        </w:tc>
        <w:tc>
          <w:tcPr>
            <w:tcW w:w="1752" w:type="dxa"/>
            <w:tcBorders>
              <w:top w:val="nil"/>
              <w:left w:val="nil"/>
              <w:bottom w:val="single" w:sz="8" w:space="0" w:color="95B3D7"/>
              <w:right w:val="single" w:sz="8" w:space="0" w:color="95B3D7"/>
            </w:tcBorders>
            <w:shd w:val="clear" w:color="auto" w:fill="auto"/>
            <w:vAlign w:val="center"/>
            <w:hideMark/>
          </w:tcPr>
          <w:p w14:paraId="146D585C" w14:textId="71B954EB"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50,000</w:t>
            </w:r>
          </w:p>
        </w:tc>
      </w:tr>
      <w:tr w:rsidR="00F0376F" w14:paraId="03D537C3" w14:textId="77777777" w:rsidTr="00313029">
        <w:trPr>
          <w:trHeight w:val="270"/>
        </w:trPr>
        <w:tc>
          <w:tcPr>
            <w:tcW w:w="4394" w:type="dxa"/>
            <w:tcBorders>
              <w:top w:val="nil"/>
              <w:left w:val="single" w:sz="8" w:space="0" w:color="95B3D7"/>
              <w:bottom w:val="single" w:sz="8" w:space="0" w:color="95B3D7"/>
              <w:right w:val="single" w:sz="8" w:space="0" w:color="95B3D7"/>
            </w:tcBorders>
            <w:shd w:val="clear" w:color="auto" w:fill="auto"/>
            <w:vAlign w:val="center"/>
            <w:hideMark/>
          </w:tcPr>
          <w:p w14:paraId="23884CBC" w14:textId="77777777" w:rsidR="00F0376F" w:rsidRDefault="00F0376F" w:rsidP="00D637F6">
            <w:pPr>
              <w:rPr>
                <w:rFonts w:ascii="Calibri" w:hAnsi="Calibri" w:cs="Calibri"/>
                <w:color w:val="17365D"/>
                <w:sz w:val="20"/>
                <w:szCs w:val="20"/>
              </w:rPr>
            </w:pPr>
            <w:r>
              <w:rPr>
                <w:rFonts w:ascii="Calibri" w:hAnsi="Calibri" w:cs="Calibri"/>
                <w:color w:val="17365D"/>
                <w:sz w:val="20"/>
                <w:szCs w:val="20"/>
              </w:rPr>
              <w:t>Sub-total (Direct Costs)</w:t>
            </w:r>
          </w:p>
        </w:tc>
        <w:tc>
          <w:tcPr>
            <w:tcW w:w="1979" w:type="dxa"/>
            <w:tcBorders>
              <w:top w:val="nil"/>
              <w:left w:val="nil"/>
              <w:bottom w:val="single" w:sz="8" w:space="0" w:color="95B3D7"/>
              <w:right w:val="single" w:sz="8" w:space="0" w:color="95B3D7"/>
            </w:tcBorders>
            <w:shd w:val="clear" w:color="auto" w:fill="auto"/>
            <w:vAlign w:val="center"/>
            <w:hideMark/>
          </w:tcPr>
          <w:p w14:paraId="3EF493E6" w14:textId="59C06946" w:rsidR="00F0376F" w:rsidRPr="00313029" w:rsidRDefault="00147871" w:rsidP="00D637F6">
            <w:pPr>
              <w:jc w:val="center"/>
              <w:rPr>
                <w:rFonts w:ascii="Calibri" w:hAnsi="Calibri" w:cs="Calibri"/>
                <w:b/>
                <w:bCs/>
                <w:color w:val="17365D"/>
                <w:sz w:val="20"/>
                <w:szCs w:val="20"/>
              </w:rPr>
            </w:pPr>
            <w:r>
              <w:rPr>
                <w:rFonts w:ascii="Calibri" w:hAnsi="Calibri" w:cs="Calibri"/>
                <w:b/>
                <w:bCs/>
                <w:color w:val="17365D"/>
                <w:sz w:val="20"/>
                <w:szCs w:val="20"/>
              </w:rPr>
              <w:t>$</w:t>
            </w:r>
            <w:r w:rsidR="00F0376F" w:rsidRPr="00313029">
              <w:rPr>
                <w:rFonts w:ascii="Calibri" w:hAnsi="Calibri" w:cs="Calibri"/>
                <w:b/>
                <w:bCs/>
                <w:color w:val="17365D"/>
                <w:sz w:val="20"/>
                <w:szCs w:val="20"/>
              </w:rPr>
              <w:t>1,178,643</w:t>
            </w:r>
          </w:p>
        </w:tc>
        <w:tc>
          <w:tcPr>
            <w:tcW w:w="1979" w:type="dxa"/>
            <w:tcBorders>
              <w:top w:val="nil"/>
              <w:left w:val="nil"/>
              <w:bottom w:val="single" w:sz="8" w:space="0" w:color="95B3D7"/>
              <w:right w:val="single" w:sz="8" w:space="0" w:color="95B3D7"/>
            </w:tcBorders>
            <w:shd w:val="clear" w:color="auto" w:fill="auto"/>
            <w:vAlign w:val="center"/>
            <w:hideMark/>
          </w:tcPr>
          <w:p w14:paraId="47DAC2F5" w14:textId="45939572" w:rsidR="00F0376F" w:rsidRPr="00313029" w:rsidRDefault="00147871" w:rsidP="00D637F6">
            <w:pPr>
              <w:jc w:val="center"/>
              <w:rPr>
                <w:rFonts w:ascii="Calibri" w:hAnsi="Calibri" w:cs="Calibri"/>
                <w:b/>
                <w:bCs/>
                <w:color w:val="17365D"/>
                <w:sz w:val="20"/>
                <w:szCs w:val="20"/>
              </w:rPr>
            </w:pPr>
            <w:r>
              <w:rPr>
                <w:rFonts w:ascii="Calibri" w:hAnsi="Calibri" w:cs="Calibri"/>
                <w:b/>
                <w:bCs/>
                <w:color w:val="17365D"/>
                <w:sz w:val="20"/>
                <w:szCs w:val="20"/>
              </w:rPr>
              <w:t>$</w:t>
            </w:r>
            <w:r w:rsidR="00F0376F" w:rsidRPr="00313029">
              <w:rPr>
                <w:rFonts w:ascii="Calibri" w:hAnsi="Calibri" w:cs="Calibri"/>
                <w:b/>
                <w:bCs/>
                <w:color w:val="17365D"/>
                <w:sz w:val="20"/>
                <w:szCs w:val="20"/>
              </w:rPr>
              <w:t>1,600,266</w:t>
            </w:r>
          </w:p>
        </w:tc>
        <w:tc>
          <w:tcPr>
            <w:tcW w:w="1752" w:type="dxa"/>
            <w:tcBorders>
              <w:top w:val="nil"/>
              <w:left w:val="nil"/>
              <w:bottom w:val="single" w:sz="8" w:space="0" w:color="95B3D7"/>
              <w:right w:val="single" w:sz="8" w:space="0" w:color="95B3D7"/>
            </w:tcBorders>
            <w:shd w:val="clear" w:color="auto" w:fill="auto"/>
            <w:vAlign w:val="center"/>
            <w:hideMark/>
          </w:tcPr>
          <w:p w14:paraId="2E761A21" w14:textId="49D90949" w:rsidR="00F0376F" w:rsidRPr="00313029" w:rsidRDefault="00147871" w:rsidP="00D637F6">
            <w:pPr>
              <w:jc w:val="center"/>
              <w:rPr>
                <w:rFonts w:ascii="Calibri" w:hAnsi="Calibri" w:cs="Calibri"/>
                <w:b/>
                <w:bCs/>
                <w:color w:val="17365D"/>
                <w:sz w:val="20"/>
                <w:szCs w:val="20"/>
              </w:rPr>
            </w:pPr>
            <w:r>
              <w:rPr>
                <w:rFonts w:ascii="Calibri" w:hAnsi="Calibri" w:cs="Calibri"/>
                <w:b/>
                <w:bCs/>
                <w:color w:val="17365D"/>
                <w:sz w:val="20"/>
                <w:szCs w:val="20"/>
              </w:rPr>
              <w:t>$</w:t>
            </w:r>
            <w:r w:rsidR="00F0376F" w:rsidRPr="00313029">
              <w:rPr>
                <w:rFonts w:ascii="Calibri" w:hAnsi="Calibri" w:cs="Calibri"/>
                <w:b/>
                <w:bCs/>
                <w:color w:val="17365D"/>
                <w:sz w:val="20"/>
                <w:szCs w:val="20"/>
              </w:rPr>
              <w:t>1,879,358</w:t>
            </w:r>
          </w:p>
        </w:tc>
      </w:tr>
      <w:tr w:rsidR="00F0376F" w14:paraId="74EAB6D8" w14:textId="77777777" w:rsidTr="00313029">
        <w:trPr>
          <w:trHeight w:val="260"/>
        </w:trPr>
        <w:tc>
          <w:tcPr>
            <w:tcW w:w="4394" w:type="dxa"/>
            <w:tcBorders>
              <w:top w:val="nil"/>
              <w:left w:val="single" w:sz="8" w:space="0" w:color="95B3D7"/>
              <w:bottom w:val="single" w:sz="8" w:space="0" w:color="95B3D7"/>
              <w:right w:val="nil"/>
            </w:tcBorders>
            <w:shd w:val="clear" w:color="000000" w:fill="DBE5F1"/>
            <w:vAlign w:val="center"/>
            <w:hideMark/>
          </w:tcPr>
          <w:p w14:paraId="25C8EA2A" w14:textId="496877DD" w:rsidR="00F0376F" w:rsidRPr="00313029" w:rsidRDefault="00313029" w:rsidP="00D637F6">
            <w:pPr>
              <w:rPr>
                <w:color w:val="000000"/>
                <w:sz w:val="18"/>
                <w:szCs w:val="18"/>
              </w:rPr>
            </w:pPr>
            <w:r w:rsidRPr="00313029">
              <w:rPr>
                <w:rFonts w:ascii="Calibri" w:hAnsi="Calibri" w:cs="Calibri"/>
                <w:b/>
                <w:bCs/>
                <w:color w:val="17365D"/>
                <w:sz w:val="20"/>
                <w:szCs w:val="20"/>
              </w:rPr>
              <w:t>Indirect Costs</w:t>
            </w:r>
          </w:p>
        </w:tc>
        <w:tc>
          <w:tcPr>
            <w:tcW w:w="1979" w:type="dxa"/>
            <w:tcBorders>
              <w:top w:val="nil"/>
              <w:left w:val="nil"/>
              <w:bottom w:val="single" w:sz="8" w:space="0" w:color="95B3D7"/>
              <w:right w:val="nil"/>
            </w:tcBorders>
            <w:shd w:val="clear" w:color="000000" w:fill="DBE5F1"/>
            <w:vAlign w:val="center"/>
            <w:hideMark/>
          </w:tcPr>
          <w:p w14:paraId="27CC1B2F" w14:textId="77777777" w:rsidR="00F0376F" w:rsidRDefault="00F0376F" w:rsidP="00D637F6">
            <w:pPr>
              <w:rPr>
                <w:b/>
                <w:bCs/>
                <w:color w:val="000000"/>
                <w:sz w:val="18"/>
                <w:szCs w:val="18"/>
              </w:rPr>
            </w:pPr>
            <w:r>
              <w:rPr>
                <w:b/>
                <w:bCs/>
                <w:color w:val="000000"/>
                <w:sz w:val="18"/>
                <w:szCs w:val="18"/>
              </w:rPr>
              <w:t> </w:t>
            </w:r>
          </w:p>
        </w:tc>
        <w:tc>
          <w:tcPr>
            <w:tcW w:w="1979" w:type="dxa"/>
            <w:tcBorders>
              <w:top w:val="nil"/>
              <w:left w:val="nil"/>
              <w:bottom w:val="single" w:sz="8" w:space="0" w:color="95B3D7"/>
              <w:right w:val="single" w:sz="8" w:space="0" w:color="95B3D7"/>
            </w:tcBorders>
            <w:shd w:val="clear" w:color="000000" w:fill="DBE5F1"/>
            <w:vAlign w:val="center"/>
            <w:hideMark/>
          </w:tcPr>
          <w:p w14:paraId="5C3BB051" w14:textId="77777777" w:rsidR="00F0376F" w:rsidRDefault="00F0376F" w:rsidP="00D637F6">
            <w:pPr>
              <w:rPr>
                <w:b/>
                <w:bCs/>
                <w:color w:val="000000"/>
                <w:sz w:val="18"/>
                <w:szCs w:val="18"/>
              </w:rPr>
            </w:pPr>
            <w:r>
              <w:rPr>
                <w:b/>
                <w:bCs/>
                <w:color w:val="000000"/>
                <w:sz w:val="18"/>
                <w:szCs w:val="18"/>
              </w:rPr>
              <w:t> </w:t>
            </w:r>
          </w:p>
        </w:tc>
        <w:tc>
          <w:tcPr>
            <w:tcW w:w="1752" w:type="dxa"/>
            <w:tcBorders>
              <w:top w:val="nil"/>
              <w:left w:val="nil"/>
              <w:bottom w:val="single" w:sz="8" w:space="0" w:color="95B3D7"/>
              <w:right w:val="single" w:sz="8" w:space="0" w:color="95B3D7"/>
            </w:tcBorders>
            <w:shd w:val="clear" w:color="000000" w:fill="DBE5F1"/>
            <w:vAlign w:val="center"/>
            <w:hideMark/>
          </w:tcPr>
          <w:p w14:paraId="78E7EFE2" w14:textId="77777777" w:rsidR="00F0376F" w:rsidRDefault="00F0376F" w:rsidP="00D637F6">
            <w:pPr>
              <w:rPr>
                <w:b/>
                <w:bCs/>
                <w:color w:val="000000"/>
                <w:sz w:val="18"/>
                <w:szCs w:val="18"/>
              </w:rPr>
            </w:pPr>
            <w:r>
              <w:rPr>
                <w:b/>
                <w:bCs/>
                <w:color w:val="000000"/>
                <w:sz w:val="18"/>
                <w:szCs w:val="18"/>
              </w:rPr>
              <w:t> </w:t>
            </w:r>
          </w:p>
        </w:tc>
      </w:tr>
      <w:tr w:rsidR="00F0376F" w14:paraId="2B9E4AC2" w14:textId="77777777" w:rsidTr="00313029">
        <w:trPr>
          <w:trHeight w:val="270"/>
        </w:trPr>
        <w:tc>
          <w:tcPr>
            <w:tcW w:w="4394" w:type="dxa"/>
            <w:tcBorders>
              <w:top w:val="nil"/>
              <w:left w:val="single" w:sz="8" w:space="0" w:color="95B3D7"/>
              <w:bottom w:val="single" w:sz="8" w:space="0" w:color="95B3D7"/>
              <w:right w:val="single" w:sz="8" w:space="0" w:color="95B3D7"/>
            </w:tcBorders>
            <w:shd w:val="clear" w:color="auto" w:fill="auto"/>
            <w:vAlign w:val="center"/>
            <w:hideMark/>
          </w:tcPr>
          <w:p w14:paraId="6B758583" w14:textId="77777777" w:rsidR="00F0376F" w:rsidRDefault="00F0376F" w:rsidP="00D637F6">
            <w:pPr>
              <w:rPr>
                <w:rFonts w:ascii="Calibri" w:hAnsi="Calibri" w:cs="Calibri"/>
                <w:color w:val="17365D"/>
                <w:sz w:val="20"/>
                <w:szCs w:val="20"/>
              </w:rPr>
            </w:pPr>
            <w:r>
              <w:rPr>
                <w:rFonts w:ascii="Calibri" w:hAnsi="Calibri" w:cs="Calibri"/>
                <w:color w:val="17365D"/>
                <w:sz w:val="20"/>
                <w:szCs w:val="20"/>
              </w:rPr>
              <w:t>Information Technology Support</w:t>
            </w:r>
          </w:p>
        </w:tc>
        <w:tc>
          <w:tcPr>
            <w:tcW w:w="1979" w:type="dxa"/>
            <w:tcBorders>
              <w:top w:val="nil"/>
              <w:left w:val="nil"/>
              <w:bottom w:val="single" w:sz="8" w:space="0" w:color="95B3D7"/>
              <w:right w:val="single" w:sz="8" w:space="0" w:color="95B3D7"/>
            </w:tcBorders>
            <w:shd w:val="clear" w:color="auto" w:fill="auto"/>
            <w:vAlign w:val="center"/>
            <w:hideMark/>
          </w:tcPr>
          <w:p w14:paraId="168FD4F9" w14:textId="23613F54"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103,549</w:t>
            </w:r>
          </w:p>
        </w:tc>
        <w:tc>
          <w:tcPr>
            <w:tcW w:w="1979" w:type="dxa"/>
            <w:tcBorders>
              <w:top w:val="nil"/>
              <w:left w:val="nil"/>
              <w:bottom w:val="single" w:sz="8" w:space="0" w:color="95B3D7"/>
              <w:right w:val="single" w:sz="8" w:space="0" w:color="95B3D7"/>
            </w:tcBorders>
            <w:shd w:val="clear" w:color="auto" w:fill="auto"/>
            <w:vAlign w:val="center"/>
            <w:hideMark/>
          </w:tcPr>
          <w:p w14:paraId="26EA1AF7" w14:textId="0A6ED86C"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150,871</w:t>
            </w:r>
          </w:p>
        </w:tc>
        <w:tc>
          <w:tcPr>
            <w:tcW w:w="1752" w:type="dxa"/>
            <w:tcBorders>
              <w:top w:val="nil"/>
              <w:left w:val="nil"/>
              <w:bottom w:val="single" w:sz="8" w:space="0" w:color="95B3D7"/>
              <w:right w:val="single" w:sz="8" w:space="0" w:color="95B3D7"/>
            </w:tcBorders>
            <w:shd w:val="clear" w:color="auto" w:fill="auto"/>
            <w:vAlign w:val="center"/>
            <w:hideMark/>
          </w:tcPr>
          <w:p w14:paraId="7E194CA5" w14:textId="6DFBBC9F"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187,202</w:t>
            </w:r>
          </w:p>
        </w:tc>
      </w:tr>
      <w:tr w:rsidR="00F0376F" w14:paraId="5ED3B280" w14:textId="77777777" w:rsidTr="00313029">
        <w:trPr>
          <w:trHeight w:val="270"/>
        </w:trPr>
        <w:tc>
          <w:tcPr>
            <w:tcW w:w="4394" w:type="dxa"/>
            <w:tcBorders>
              <w:top w:val="nil"/>
              <w:left w:val="single" w:sz="8" w:space="0" w:color="95B3D7"/>
              <w:bottom w:val="single" w:sz="8" w:space="0" w:color="95B3D7"/>
              <w:right w:val="single" w:sz="8" w:space="0" w:color="95B3D7"/>
            </w:tcBorders>
            <w:shd w:val="clear" w:color="000000" w:fill="DBE5F1"/>
            <w:vAlign w:val="center"/>
            <w:hideMark/>
          </w:tcPr>
          <w:p w14:paraId="72A6AED8" w14:textId="77777777" w:rsidR="00F0376F" w:rsidRDefault="00F0376F" w:rsidP="00D637F6">
            <w:pPr>
              <w:rPr>
                <w:rFonts w:ascii="Calibri" w:hAnsi="Calibri" w:cs="Calibri"/>
                <w:color w:val="17365D"/>
                <w:sz w:val="20"/>
                <w:szCs w:val="20"/>
              </w:rPr>
            </w:pPr>
            <w:r>
              <w:rPr>
                <w:rFonts w:ascii="Calibri" w:hAnsi="Calibri" w:cs="Calibri"/>
                <w:color w:val="17365D"/>
                <w:sz w:val="20"/>
                <w:szCs w:val="20"/>
              </w:rPr>
              <w:t>Legal and Risk Support</w:t>
            </w:r>
          </w:p>
        </w:tc>
        <w:tc>
          <w:tcPr>
            <w:tcW w:w="1979" w:type="dxa"/>
            <w:tcBorders>
              <w:top w:val="nil"/>
              <w:left w:val="nil"/>
              <w:bottom w:val="single" w:sz="8" w:space="0" w:color="95B3D7"/>
              <w:right w:val="single" w:sz="8" w:space="0" w:color="95B3D7"/>
            </w:tcBorders>
            <w:shd w:val="clear" w:color="000000" w:fill="DBE5F1"/>
            <w:vAlign w:val="center"/>
            <w:hideMark/>
          </w:tcPr>
          <w:p w14:paraId="7F8E8169" w14:textId="64C748B7"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49,471</w:t>
            </w:r>
          </w:p>
        </w:tc>
        <w:tc>
          <w:tcPr>
            <w:tcW w:w="1979" w:type="dxa"/>
            <w:tcBorders>
              <w:top w:val="nil"/>
              <w:left w:val="nil"/>
              <w:bottom w:val="single" w:sz="8" w:space="0" w:color="95B3D7"/>
              <w:right w:val="single" w:sz="8" w:space="0" w:color="95B3D7"/>
            </w:tcBorders>
            <w:shd w:val="clear" w:color="000000" w:fill="DBE5F1"/>
            <w:vAlign w:val="center"/>
            <w:hideMark/>
          </w:tcPr>
          <w:p w14:paraId="19079D8C" w14:textId="59716161"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72,079</w:t>
            </w:r>
          </w:p>
        </w:tc>
        <w:tc>
          <w:tcPr>
            <w:tcW w:w="1752" w:type="dxa"/>
            <w:tcBorders>
              <w:top w:val="nil"/>
              <w:left w:val="nil"/>
              <w:bottom w:val="single" w:sz="8" w:space="0" w:color="95B3D7"/>
              <w:right w:val="single" w:sz="8" w:space="0" w:color="95B3D7"/>
            </w:tcBorders>
            <w:shd w:val="clear" w:color="000000" w:fill="DBE5F1"/>
            <w:vAlign w:val="center"/>
            <w:hideMark/>
          </w:tcPr>
          <w:p w14:paraId="5433B5D6" w14:textId="6D800656"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89,436</w:t>
            </w:r>
          </w:p>
        </w:tc>
      </w:tr>
      <w:tr w:rsidR="00F0376F" w14:paraId="13E4CC8F" w14:textId="77777777" w:rsidTr="00313029">
        <w:trPr>
          <w:trHeight w:val="270"/>
        </w:trPr>
        <w:tc>
          <w:tcPr>
            <w:tcW w:w="4394" w:type="dxa"/>
            <w:tcBorders>
              <w:top w:val="nil"/>
              <w:left w:val="single" w:sz="8" w:space="0" w:color="95B3D7"/>
              <w:bottom w:val="single" w:sz="8" w:space="0" w:color="95B3D7"/>
              <w:right w:val="single" w:sz="8" w:space="0" w:color="95B3D7"/>
            </w:tcBorders>
            <w:shd w:val="clear" w:color="auto" w:fill="auto"/>
            <w:vAlign w:val="center"/>
            <w:hideMark/>
          </w:tcPr>
          <w:p w14:paraId="7A73B795" w14:textId="77777777" w:rsidR="00F0376F" w:rsidRDefault="00F0376F" w:rsidP="00D637F6">
            <w:pPr>
              <w:rPr>
                <w:rFonts w:ascii="Calibri" w:hAnsi="Calibri" w:cs="Calibri"/>
                <w:color w:val="17365D"/>
                <w:sz w:val="20"/>
                <w:szCs w:val="20"/>
              </w:rPr>
            </w:pPr>
            <w:r>
              <w:rPr>
                <w:rFonts w:ascii="Calibri" w:hAnsi="Calibri" w:cs="Calibri"/>
                <w:color w:val="17365D"/>
                <w:sz w:val="20"/>
                <w:szCs w:val="20"/>
              </w:rPr>
              <w:t>Office of the Chief Executive Support</w:t>
            </w:r>
          </w:p>
        </w:tc>
        <w:tc>
          <w:tcPr>
            <w:tcW w:w="1979" w:type="dxa"/>
            <w:tcBorders>
              <w:top w:val="nil"/>
              <w:left w:val="nil"/>
              <w:bottom w:val="single" w:sz="8" w:space="0" w:color="95B3D7"/>
              <w:right w:val="single" w:sz="8" w:space="0" w:color="95B3D7"/>
            </w:tcBorders>
            <w:shd w:val="clear" w:color="auto" w:fill="auto"/>
            <w:vAlign w:val="center"/>
            <w:hideMark/>
          </w:tcPr>
          <w:p w14:paraId="4456BC39" w14:textId="4C3D6E18"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98,591</w:t>
            </w:r>
          </w:p>
        </w:tc>
        <w:tc>
          <w:tcPr>
            <w:tcW w:w="1979" w:type="dxa"/>
            <w:tcBorders>
              <w:top w:val="nil"/>
              <w:left w:val="nil"/>
              <w:bottom w:val="single" w:sz="8" w:space="0" w:color="95B3D7"/>
              <w:right w:val="single" w:sz="8" w:space="0" w:color="95B3D7"/>
            </w:tcBorders>
            <w:shd w:val="clear" w:color="auto" w:fill="auto"/>
            <w:vAlign w:val="center"/>
            <w:hideMark/>
          </w:tcPr>
          <w:p w14:paraId="4E7FC287" w14:textId="6DB19E47"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143,647</w:t>
            </w:r>
          </w:p>
        </w:tc>
        <w:tc>
          <w:tcPr>
            <w:tcW w:w="1752" w:type="dxa"/>
            <w:tcBorders>
              <w:top w:val="nil"/>
              <w:left w:val="nil"/>
              <w:bottom w:val="single" w:sz="8" w:space="0" w:color="95B3D7"/>
              <w:right w:val="single" w:sz="8" w:space="0" w:color="95B3D7"/>
            </w:tcBorders>
            <w:shd w:val="clear" w:color="auto" w:fill="auto"/>
            <w:vAlign w:val="center"/>
            <w:hideMark/>
          </w:tcPr>
          <w:p w14:paraId="16569D7F" w14:textId="638004B4"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178,238</w:t>
            </w:r>
          </w:p>
        </w:tc>
      </w:tr>
      <w:tr w:rsidR="00F0376F" w14:paraId="4296FA6F" w14:textId="77777777" w:rsidTr="00313029">
        <w:trPr>
          <w:trHeight w:val="270"/>
        </w:trPr>
        <w:tc>
          <w:tcPr>
            <w:tcW w:w="4394" w:type="dxa"/>
            <w:tcBorders>
              <w:top w:val="nil"/>
              <w:left w:val="single" w:sz="8" w:space="0" w:color="95B3D7"/>
              <w:bottom w:val="single" w:sz="8" w:space="0" w:color="95B3D7"/>
              <w:right w:val="single" w:sz="8" w:space="0" w:color="95B3D7"/>
            </w:tcBorders>
            <w:shd w:val="clear" w:color="000000" w:fill="DBE5F1"/>
            <w:vAlign w:val="center"/>
            <w:hideMark/>
          </w:tcPr>
          <w:p w14:paraId="4B883F00" w14:textId="77777777" w:rsidR="00F0376F" w:rsidRDefault="00F0376F" w:rsidP="00D637F6">
            <w:pPr>
              <w:rPr>
                <w:rFonts w:ascii="Calibri" w:hAnsi="Calibri" w:cs="Calibri"/>
                <w:color w:val="17365D"/>
                <w:sz w:val="20"/>
                <w:szCs w:val="20"/>
              </w:rPr>
            </w:pPr>
            <w:r>
              <w:rPr>
                <w:rFonts w:ascii="Calibri" w:hAnsi="Calibri" w:cs="Calibri"/>
                <w:color w:val="17365D"/>
                <w:sz w:val="20"/>
                <w:szCs w:val="20"/>
              </w:rPr>
              <w:t>Finance and Human Resources Support</w:t>
            </w:r>
          </w:p>
        </w:tc>
        <w:tc>
          <w:tcPr>
            <w:tcW w:w="1979" w:type="dxa"/>
            <w:tcBorders>
              <w:top w:val="nil"/>
              <w:left w:val="nil"/>
              <w:bottom w:val="single" w:sz="8" w:space="0" w:color="95B3D7"/>
              <w:right w:val="single" w:sz="8" w:space="0" w:color="95B3D7"/>
            </w:tcBorders>
            <w:shd w:val="clear" w:color="000000" w:fill="DBE5F1"/>
            <w:vAlign w:val="center"/>
            <w:hideMark/>
          </w:tcPr>
          <w:p w14:paraId="44E5AD8E" w14:textId="6BB571D9"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92,519</w:t>
            </w:r>
          </w:p>
        </w:tc>
        <w:tc>
          <w:tcPr>
            <w:tcW w:w="1979" w:type="dxa"/>
            <w:tcBorders>
              <w:top w:val="nil"/>
              <w:left w:val="nil"/>
              <w:bottom w:val="single" w:sz="8" w:space="0" w:color="95B3D7"/>
              <w:right w:val="single" w:sz="8" w:space="0" w:color="95B3D7"/>
            </w:tcBorders>
            <w:shd w:val="clear" w:color="000000" w:fill="DBE5F1"/>
            <w:vAlign w:val="center"/>
            <w:hideMark/>
          </w:tcPr>
          <w:p w14:paraId="3A3FF029" w14:textId="5211F40A"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134,800</w:t>
            </w:r>
          </w:p>
        </w:tc>
        <w:tc>
          <w:tcPr>
            <w:tcW w:w="1752" w:type="dxa"/>
            <w:tcBorders>
              <w:top w:val="nil"/>
              <w:left w:val="nil"/>
              <w:bottom w:val="single" w:sz="8" w:space="0" w:color="95B3D7"/>
              <w:right w:val="single" w:sz="8" w:space="0" w:color="95B3D7"/>
            </w:tcBorders>
            <w:shd w:val="clear" w:color="000000" w:fill="DBE5F1"/>
            <w:vAlign w:val="center"/>
            <w:hideMark/>
          </w:tcPr>
          <w:p w14:paraId="41ED2AFD" w14:textId="41416A25"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167,261</w:t>
            </w:r>
          </w:p>
        </w:tc>
      </w:tr>
      <w:tr w:rsidR="00F0376F" w14:paraId="5F93D0E1" w14:textId="77777777" w:rsidTr="00313029">
        <w:trPr>
          <w:trHeight w:val="270"/>
        </w:trPr>
        <w:tc>
          <w:tcPr>
            <w:tcW w:w="4394" w:type="dxa"/>
            <w:tcBorders>
              <w:top w:val="nil"/>
              <w:left w:val="single" w:sz="8" w:space="0" w:color="95B3D7"/>
              <w:bottom w:val="single" w:sz="8" w:space="0" w:color="95B3D7"/>
              <w:right w:val="single" w:sz="8" w:space="0" w:color="95B3D7"/>
            </w:tcBorders>
            <w:shd w:val="clear" w:color="auto" w:fill="auto"/>
            <w:vAlign w:val="center"/>
            <w:hideMark/>
          </w:tcPr>
          <w:p w14:paraId="35125BF3" w14:textId="26460B50" w:rsidR="00F0376F" w:rsidRDefault="00F0376F" w:rsidP="00D637F6">
            <w:pPr>
              <w:rPr>
                <w:rFonts w:ascii="Calibri" w:hAnsi="Calibri" w:cs="Calibri"/>
                <w:color w:val="17365D"/>
                <w:sz w:val="20"/>
                <w:szCs w:val="20"/>
              </w:rPr>
            </w:pPr>
            <w:r>
              <w:rPr>
                <w:rFonts w:ascii="Calibri" w:hAnsi="Calibri" w:cs="Calibri"/>
                <w:color w:val="17365D"/>
                <w:sz w:val="20"/>
                <w:szCs w:val="20"/>
              </w:rPr>
              <w:t xml:space="preserve">Office Accommodation and </w:t>
            </w:r>
            <w:r w:rsidR="00147871">
              <w:rPr>
                <w:rFonts w:ascii="Calibri" w:hAnsi="Calibri" w:cs="Calibri"/>
                <w:color w:val="17365D"/>
                <w:sz w:val="20"/>
                <w:szCs w:val="20"/>
              </w:rPr>
              <w:br/>
            </w:r>
            <w:r>
              <w:rPr>
                <w:rFonts w:ascii="Calibri" w:hAnsi="Calibri" w:cs="Calibri"/>
                <w:color w:val="17365D"/>
                <w:sz w:val="20"/>
                <w:szCs w:val="20"/>
              </w:rPr>
              <w:t>Administration Support</w:t>
            </w:r>
          </w:p>
        </w:tc>
        <w:tc>
          <w:tcPr>
            <w:tcW w:w="1979" w:type="dxa"/>
            <w:tcBorders>
              <w:top w:val="nil"/>
              <w:left w:val="nil"/>
              <w:bottom w:val="single" w:sz="8" w:space="0" w:color="95B3D7"/>
              <w:right w:val="single" w:sz="8" w:space="0" w:color="95B3D7"/>
            </w:tcBorders>
            <w:shd w:val="clear" w:color="auto" w:fill="auto"/>
            <w:vAlign w:val="center"/>
            <w:hideMark/>
          </w:tcPr>
          <w:p w14:paraId="1C5E5B23" w14:textId="2ADD7796"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178,190</w:t>
            </w:r>
          </w:p>
        </w:tc>
        <w:tc>
          <w:tcPr>
            <w:tcW w:w="1979" w:type="dxa"/>
            <w:tcBorders>
              <w:top w:val="nil"/>
              <w:left w:val="nil"/>
              <w:bottom w:val="single" w:sz="8" w:space="0" w:color="95B3D7"/>
              <w:right w:val="single" w:sz="8" w:space="0" w:color="95B3D7"/>
            </w:tcBorders>
            <w:shd w:val="clear" w:color="auto" w:fill="auto"/>
            <w:vAlign w:val="center"/>
            <w:hideMark/>
          </w:tcPr>
          <w:p w14:paraId="6ADB09BB" w14:textId="15CC135B"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259,624</w:t>
            </w:r>
          </w:p>
        </w:tc>
        <w:tc>
          <w:tcPr>
            <w:tcW w:w="1752" w:type="dxa"/>
            <w:tcBorders>
              <w:top w:val="nil"/>
              <w:left w:val="nil"/>
              <w:bottom w:val="single" w:sz="8" w:space="0" w:color="95B3D7"/>
              <w:right w:val="single" w:sz="8" w:space="0" w:color="95B3D7"/>
            </w:tcBorders>
            <w:shd w:val="clear" w:color="auto" w:fill="auto"/>
            <w:vAlign w:val="center"/>
            <w:hideMark/>
          </w:tcPr>
          <w:p w14:paraId="701137BA" w14:textId="0591F7D8" w:rsidR="00F0376F" w:rsidRDefault="00461F88" w:rsidP="00D637F6">
            <w:pPr>
              <w:jc w:val="center"/>
              <w:rPr>
                <w:rFonts w:ascii="Calibri" w:hAnsi="Calibri" w:cs="Calibri"/>
                <w:color w:val="17365D"/>
                <w:sz w:val="20"/>
                <w:szCs w:val="20"/>
              </w:rPr>
            </w:pPr>
            <w:r>
              <w:rPr>
                <w:rFonts w:ascii="Calibri" w:hAnsi="Calibri" w:cs="Calibri"/>
                <w:color w:val="17365D"/>
                <w:sz w:val="20"/>
                <w:szCs w:val="20"/>
              </w:rPr>
              <w:t>$</w:t>
            </w:r>
            <w:r w:rsidR="00F0376F">
              <w:rPr>
                <w:rFonts w:ascii="Calibri" w:hAnsi="Calibri" w:cs="Calibri"/>
                <w:color w:val="17365D"/>
                <w:sz w:val="20"/>
                <w:szCs w:val="20"/>
              </w:rPr>
              <w:t>322,143</w:t>
            </w:r>
          </w:p>
        </w:tc>
      </w:tr>
      <w:tr w:rsidR="00F0376F" w14:paraId="45E3DFB6" w14:textId="77777777" w:rsidTr="00313029">
        <w:trPr>
          <w:trHeight w:val="270"/>
        </w:trPr>
        <w:tc>
          <w:tcPr>
            <w:tcW w:w="4394" w:type="dxa"/>
            <w:tcBorders>
              <w:top w:val="nil"/>
              <w:left w:val="single" w:sz="8" w:space="0" w:color="95B3D7"/>
              <w:bottom w:val="single" w:sz="8" w:space="0" w:color="95B3D7"/>
              <w:right w:val="single" w:sz="8" w:space="0" w:color="95B3D7"/>
            </w:tcBorders>
            <w:shd w:val="clear" w:color="auto" w:fill="auto"/>
            <w:vAlign w:val="center"/>
            <w:hideMark/>
          </w:tcPr>
          <w:p w14:paraId="65957419" w14:textId="77777777" w:rsidR="00F0376F" w:rsidRDefault="00F0376F" w:rsidP="00D637F6">
            <w:pPr>
              <w:rPr>
                <w:rFonts w:ascii="Calibri" w:hAnsi="Calibri" w:cs="Calibri"/>
                <w:color w:val="17365D"/>
                <w:sz w:val="20"/>
                <w:szCs w:val="20"/>
              </w:rPr>
            </w:pPr>
            <w:r>
              <w:rPr>
                <w:rFonts w:ascii="Calibri" w:hAnsi="Calibri" w:cs="Calibri"/>
                <w:color w:val="17365D"/>
                <w:sz w:val="20"/>
                <w:szCs w:val="20"/>
              </w:rPr>
              <w:t>Sub-total (Indirect Costs)</w:t>
            </w:r>
          </w:p>
        </w:tc>
        <w:tc>
          <w:tcPr>
            <w:tcW w:w="1979" w:type="dxa"/>
            <w:tcBorders>
              <w:top w:val="nil"/>
              <w:left w:val="nil"/>
              <w:bottom w:val="single" w:sz="8" w:space="0" w:color="95B3D7"/>
              <w:right w:val="single" w:sz="8" w:space="0" w:color="95B3D7"/>
            </w:tcBorders>
            <w:shd w:val="clear" w:color="auto" w:fill="auto"/>
            <w:vAlign w:val="center"/>
            <w:hideMark/>
          </w:tcPr>
          <w:p w14:paraId="3193CFF4" w14:textId="0D4182BF" w:rsidR="00F0376F" w:rsidRPr="00313029" w:rsidRDefault="00461F88" w:rsidP="00D637F6">
            <w:pPr>
              <w:jc w:val="center"/>
              <w:rPr>
                <w:rFonts w:ascii="Calibri" w:hAnsi="Calibri" w:cs="Calibri"/>
                <w:b/>
                <w:bCs/>
                <w:color w:val="17365D"/>
                <w:sz w:val="20"/>
                <w:szCs w:val="20"/>
              </w:rPr>
            </w:pPr>
            <w:r>
              <w:rPr>
                <w:rFonts w:ascii="Calibri" w:hAnsi="Calibri" w:cs="Calibri"/>
                <w:b/>
                <w:bCs/>
                <w:color w:val="17365D"/>
                <w:sz w:val="20"/>
                <w:szCs w:val="20"/>
              </w:rPr>
              <w:t>$</w:t>
            </w:r>
            <w:r w:rsidR="00F0376F" w:rsidRPr="00313029">
              <w:rPr>
                <w:rFonts w:ascii="Calibri" w:hAnsi="Calibri" w:cs="Calibri"/>
                <w:b/>
                <w:bCs/>
                <w:color w:val="17365D"/>
                <w:sz w:val="20"/>
                <w:szCs w:val="20"/>
              </w:rPr>
              <w:t>522,320</w:t>
            </w:r>
          </w:p>
        </w:tc>
        <w:tc>
          <w:tcPr>
            <w:tcW w:w="1979" w:type="dxa"/>
            <w:tcBorders>
              <w:top w:val="nil"/>
              <w:left w:val="nil"/>
              <w:bottom w:val="single" w:sz="8" w:space="0" w:color="95B3D7"/>
              <w:right w:val="single" w:sz="8" w:space="0" w:color="95B3D7"/>
            </w:tcBorders>
            <w:shd w:val="clear" w:color="auto" w:fill="auto"/>
            <w:vAlign w:val="center"/>
            <w:hideMark/>
          </w:tcPr>
          <w:p w14:paraId="0E9D9A90" w14:textId="510F36DD" w:rsidR="00F0376F" w:rsidRPr="00313029" w:rsidRDefault="00461F88" w:rsidP="00D637F6">
            <w:pPr>
              <w:jc w:val="center"/>
              <w:rPr>
                <w:rFonts w:ascii="Calibri" w:hAnsi="Calibri" w:cs="Calibri"/>
                <w:b/>
                <w:bCs/>
                <w:color w:val="17365D"/>
                <w:sz w:val="20"/>
                <w:szCs w:val="20"/>
              </w:rPr>
            </w:pPr>
            <w:r>
              <w:rPr>
                <w:rFonts w:ascii="Calibri" w:hAnsi="Calibri" w:cs="Calibri"/>
                <w:b/>
                <w:bCs/>
                <w:color w:val="17365D"/>
                <w:sz w:val="20"/>
                <w:szCs w:val="20"/>
              </w:rPr>
              <w:t>$</w:t>
            </w:r>
            <w:r w:rsidR="00F0376F" w:rsidRPr="00313029">
              <w:rPr>
                <w:rFonts w:ascii="Calibri" w:hAnsi="Calibri" w:cs="Calibri"/>
                <w:b/>
                <w:bCs/>
                <w:color w:val="17365D"/>
                <w:sz w:val="20"/>
                <w:szCs w:val="20"/>
              </w:rPr>
              <w:t>761,021</w:t>
            </w:r>
          </w:p>
        </w:tc>
        <w:tc>
          <w:tcPr>
            <w:tcW w:w="1752" w:type="dxa"/>
            <w:tcBorders>
              <w:top w:val="nil"/>
              <w:left w:val="nil"/>
              <w:bottom w:val="single" w:sz="8" w:space="0" w:color="95B3D7"/>
              <w:right w:val="single" w:sz="8" w:space="0" w:color="95B3D7"/>
            </w:tcBorders>
            <w:shd w:val="clear" w:color="auto" w:fill="auto"/>
            <w:vAlign w:val="center"/>
            <w:hideMark/>
          </w:tcPr>
          <w:p w14:paraId="4F3F2E66" w14:textId="4BDDCA3F" w:rsidR="00F0376F" w:rsidRPr="00313029" w:rsidRDefault="00461F88" w:rsidP="00D637F6">
            <w:pPr>
              <w:jc w:val="center"/>
              <w:rPr>
                <w:rFonts w:ascii="Calibri" w:hAnsi="Calibri" w:cs="Calibri"/>
                <w:b/>
                <w:bCs/>
                <w:color w:val="17365D"/>
                <w:sz w:val="20"/>
                <w:szCs w:val="20"/>
              </w:rPr>
            </w:pPr>
            <w:r>
              <w:rPr>
                <w:rFonts w:ascii="Calibri" w:hAnsi="Calibri" w:cs="Calibri"/>
                <w:b/>
                <w:bCs/>
                <w:color w:val="17365D"/>
                <w:sz w:val="20"/>
                <w:szCs w:val="20"/>
              </w:rPr>
              <w:t>$</w:t>
            </w:r>
            <w:r w:rsidR="00F0376F" w:rsidRPr="00313029">
              <w:rPr>
                <w:rFonts w:ascii="Calibri" w:hAnsi="Calibri" w:cs="Calibri"/>
                <w:b/>
                <w:bCs/>
                <w:color w:val="17365D"/>
                <w:sz w:val="20"/>
                <w:szCs w:val="20"/>
              </w:rPr>
              <w:t>944,280</w:t>
            </w:r>
          </w:p>
        </w:tc>
      </w:tr>
      <w:tr w:rsidR="00F0376F" w14:paraId="3196955E" w14:textId="77777777" w:rsidTr="00313029">
        <w:trPr>
          <w:trHeight w:val="270"/>
        </w:trPr>
        <w:tc>
          <w:tcPr>
            <w:tcW w:w="4394" w:type="dxa"/>
            <w:tcBorders>
              <w:top w:val="nil"/>
              <w:left w:val="single" w:sz="8" w:space="0" w:color="95B3D7"/>
              <w:bottom w:val="single" w:sz="8" w:space="0" w:color="95B3D7"/>
              <w:right w:val="single" w:sz="8" w:space="0" w:color="95B3D7"/>
            </w:tcBorders>
            <w:shd w:val="clear" w:color="000000" w:fill="DBE5F1"/>
            <w:vAlign w:val="center"/>
            <w:hideMark/>
          </w:tcPr>
          <w:p w14:paraId="520A2F18" w14:textId="77777777" w:rsidR="00F0376F" w:rsidRDefault="00F0376F" w:rsidP="00D637F6">
            <w:pPr>
              <w:rPr>
                <w:rFonts w:ascii="Calibri" w:hAnsi="Calibri" w:cs="Calibri"/>
                <w:b/>
                <w:bCs/>
                <w:color w:val="17365D"/>
                <w:sz w:val="20"/>
                <w:szCs w:val="20"/>
              </w:rPr>
            </w:pPr>
            <w:r>
              <w:rPr>
                <w:rFonts w:ascii="Calibri" w:hAnsi="Calibri" w:cs="Calibri"/>
                <w:b/>
                <w:bCs/>
                <w:color w:val="17365D"/>
                <w:sz w:val="20"/>
                <w:szCs w:val="20"/>
              </w:rPr>
              <w:t>Total</w:t>
            </w:r>
          </w:p>
        </w:tc>
        <w:tc>
          <w:tcPr>
            <w:tcW w:w="1979" w:type="dxa"/>
            <w:tcBorders>
              <w:top w:val="nil"/>
              <w:left w:val="nil"/>
              <w:bottom w:val="single" w:sz="8" w:space="0" w:color="95B3D7"/>
              <w:right w:val="single" w:sz="8" w:space="0" w:color="95B3D7"/>
            </w:tcBorders>
            <w:shd w:val="clear" w:color="000000" w:fill="DBE5F1"/>
            <w:vAlign w:val="center"/>
            <w:hideMark/>
          </w:tcPr>
          <w:p w14:paraId="6BBD8DB9" w14:textId="682CD513" w:rsidR="00F0376F" w:rsidRDefault="00147871" w:rsidP="00D637F6">
            <w:pPr>
              <w:jc w:val="center"/>
              <w:rPr>
                <w:rFonts w:ascii="Calibri" w:hAnsi="Calibri" w:cs="Calibri"/>
                <w:b/>
                <w:bCs/>
                <w:color w:val="17365D"/>
                <w:sz w:val="20"/>
                <w:szCs w:val="20"/>
              </w:rPr>
            </w:pPr>
            <w:r>
              <w:rPr>
                <w:rFonts w:ascii="Calibri" w:hAnsi="Calibri" w:cs="Calibri"/>
                <w:b/>
                <w:bCs/>
                <w:color w:val="17365D"/>
                <w:sz w:val="20"/>
                <w:szCs w:val="20"/>
              </w:rPr>
              <w:t>$</w:t>
            </w:r>
            <w:r w:rsidR="00F0376F">
              <w:rPr>
                <w:rFonts w:ascii="Calibri" w:hAnsi="Calibri" w:cs="Calibri"/>
                <w:b/>
                <w:bCs/>
                <w:color w:val="17365D"/>
                <w:sz w:val="20"/>
                <w:szCs w:val="20"/>
              </w:rPr>
              <w:t>1,700,963</w:t>
            </w:r>
          </w:p>
        </w:tc>
        <w:tc>
          <w:tcPr>
            <w:tcW w:w="1979" w:type="dxa"/>
            <w:tcBorders>
              <w:top w:val="nil"/>
              <w:left w:val="nil"/>
              <w:bottom w:val="single" w:sz="8" w:space="0" w:color="95B3D7"/>
              <w:right w:val="single" w:sz="8" w:space="0" w:color="95B3D7"/>
            </w:tcBorders>
            <w:shd w:val="clear" w:color="000000" w:fill="DBE5F1"/>
            <w:vAlign w:val="center"/>
            <w:hideMark/>
          </w:tcPr>
          <w:p w14:paraId="61F2E286" w14:textId="1AF73204" w:rsidR="00F0376F" w:rsidRDefault="00147871" w:rsidP="00D637F6">
            <w:pPr>
              <w:jc w:val="center"/>
              <w:rPr>
                <w:rFonts w:ascii="Calibri" w:hAnsi="Calibri" w:cs="Calibri"/>
                <w:b/>
                <w:bCs/>
                <w:color w:val="17365D"/>
                <w:sz w:val="20"/>
                <w:szCs w:val="20"/>
              </w:rPr>
            </w:pPr>
            <w:r>
              <w:rPr>
                <w:rFonts w:ascii="Calibri" w:hAnsi="Calibri" w:cs="Calibri"/>
                <w:b/>
                <w:bCs/>
                <w:color w:val="17365D"/>
                <w:sz w:val="20"/>
                <w:szCs w:val="20"/>
              </w:rPr>
              <w:t>$</w:t>
            </w:r>
            <w:r w:rsidR="00F0376F">
              <w:rPr>
                <w:rFonts w:ascii="Calibri" w:hAnsi="Calibri" w:cs="Calibri"/>
                <w:b/>
                <w:bCs/>
                <w:color w:val="17365D"/>
                <w:sz w:val="20"/>
                <w:szCs w:val="20"/>
              </w:rPr>
              <w:t>2,361,287</w:t>
            </w:r>
          </w:p>
        </w:tc>
        <w:tc>
          <w:tcPr>
            <w:tcW w:w="1752" w:type="dxa"/>
            <w:tcBorders>
              <w:top w:val="nil"/>
              <w:left w:val="nil"/>
              <w:bottom w:val="single" w:sz="8" w:space="0" w:color="95B3D7"/>
              <w:right w:val="single" w:sz="8" w:space="0" w:color="95B3D7"/>
            </w:tcBorders>
            <w:shd w:val="clear" w:color="000000" w:fill="DBE5F1"/>
            <w:vAlign w:val="center"/>
            <w:hideMark/>
          </w:tcPr>
          <w:p w14:paraId="3DE9134F" w14:textId="18467D73" w:rsidR="00F0376F" w:rsidRDefault="00147871" w:rsidP="00D637F6">
            <w:pPr>
              <w:jc w:val="center"/>
              <w:rPr>
                <w:rFonts w:ascii="Calibri" w:hAnsi="Calibri" w:cs="Calibri"/>
                <w:b/>
                <w:bCs/>
                <w:color w:val="17365D"/>
                <w:sz w:val="20"/>
                <w:szCs w:val="20"/>
              </w:rPr>
            </w:pPr>
            <w:r>
              <w:rPr>
                <w:rFonts w:ascii="Calibri" w:hAnsi="Calibri" w:cs="Calibri"/>
                <w:b/>
                <w:bCs/>
                <w:color w:val="17365D"/>
                <w:sz w:val="20"/>
                <w:szCs w:val="20"/>
              </w:rPr>
              <w:t>$</w:t>
            </w:r>
            <w:r w:rsidR="00F0376F">
              <w:rPr>
                <w:rFonts w:ascii="Calibri" w:hAnsi="Calibri" w:cs="Calibri"/>
                <w:b/>
                <w:bCs/>
                <w:color w:val="17365D"/>
                <w:sz w:val="20"/>
                <w:szCs w:val="20"/>
              </w:rPr>
              <w:t>2,823,637</w:t>
            </w:r>
          </w:p>
        </w:tc>
      </w:tr>
    </w:tbl>
    <w:p w14:paraId="6CBC3117" w14:textId="77777777" w:rsidR="00E77E32" w:rsidRPr="00E77E32" w:rsidRDefault="00E77E32" w:rsidP="00E77E32">
      <w:pPr>
        <w:pStyle w:val="Heading3"/>
        <w:numPr>
          <w:ilvl w:val="0"/>
          <w:numId w:val="0"/>
        </w:numPr>
        <w:spacing w:before="0" w:after="0"/>
        <w:ind w:left="720"/>
        <w:rPr>
          <w:rFonts w:asciiTheme="minorHAnsi" w:hAnsiTheme="minorHAnsi" w:cstheme="minorHAnsi"/>
          <w:b w:val="0"/>
          <w:bCs w:val="0"/>
          <w:sz w:val="16"/>
          <w:szCs w:val="16"/>
        </w:rPr>
      </w:pPr>
      <w:bookmarkStart w:id="52" w:name="_Toc90968211"/>
    </w:p>
    <w:p w14:paraId="1DCBA8A9" w14:textId="1E598E7E" w:rsidR="00C5189E" w:rsidRDefault="00C5189E" w:rsidP="00C5189E">
      <w:pPr>
        <w:pStyle w:val="Heading3"/>
      </w:pPr>
      <w:bookmarkStart w:id="53" w:name="_Toc98772186"/>
      <w:r w:rsidRPr="00902AA6">
        <w:t>Costs of the activity</w:t>
      </w:r>
      <w:bookmarkEnd w:id="52"/>
      <w:bookmarkEnd w:id="53"/>
      <w:r w:rsidRPr="00902AA6">
        <w:t xml:space="preserve"> </w:t>
      </w:r>
    </w:p>
    <w:p w14:paraId="29121E28" w14:textId="24A41847" w:rsidR="00C5189E" w:rsidRDefault="00C5189E" w:rsidP="00C5189E">
      <w:pPr>
        <w:rPr>
          <w:rFonts w:asciiTheme="minorHAnsi" w:hAnsiTheme="minorHAnsi" w:cstheme="minorHAnsi"/>
        </w:rPr>
      </w:pPr>
      <w:bookmarkStart w:id="54" w:name="_Hlk90372449"/>
      <w:r>
        <w:rPr>
          <w:rFonts w:asciiTheme="minorHAnsi" w:hAnsiTheme="minorHAnsi" w:cstheme="minorHAnsi"/>
        </w:rPr>
        <w:t>The Regulator’s</w:t>
      </w:r>
      <w:r w:rsidRPr="00A263BB">
        <w:rPr>
          <w:rFonts w:asciiTheme="minorHAnsi" w:hAnsiTheme="minorHAnsi" w:cstheme="minorHAnsi"/>
        </w:rPr>
        <w:t xml:space="preserve"> total budget for</w:t>
      </w:r>
      <w:r>
        <w:rPr>
          <w:rFonts w:asciiTheme="minorHAnsi" w:hAnsiTheme="minorHAnsi" w:cstheme="minorHAnsi"/>
        </w:rPr>
        <w:t xml:space="preserve"> OEI activities </w:t>
      </w:r>
      <w:r w:rsidRPr="00A263BB">
        <w:rPr>
          <w:rFonts w:asciiTheme="minorHAnsi" w:hAnsiTheme="minorHAnsi" w:cstheme="minorHAnsi"/>
        </w:rPr>
        <w:t>is $</w:t>
      </w:r>
      <w:r>
        <w:rPr>
          <w:rFonts w:asciiTheme="minorHAnsi" w:hAnsiTheme="minorHAnsi" w:cstheme="minorHAnsi"/>
        </w:rPr>
        <w:t>1,700,963 for</w:t>
      </w:r>
      <w:r w:rsidRPr="00A263BB">
        <w:rPr>
          <w:rFonts w:asciiTheme="minorHAnsi" w:hAnsiTheme="minorHAnsi" w:cstheme="minorHAnsi"/>
        </w:rPr>
        <w:t xml:space="preserve"> 2022</w:t>
      </w:r>
      <w:r>
        <w:rPr>
          <w:rFonts w:asciiTheme="minorHAnsi" w:hAnsiTheme="minorHAnsi" w:cstheme="minorHAnsi"/>
        </w:rPr>
        <w:t>-23, $2,361,287 for 2023-24 and $2,823,637 for 2024-25</w:t>
      </w:r>
      <w:r w:rsidRPr="00A263BB">
        <w:rPr>
          <w:rFonts w:asciiTheme="minorHAnsi" w:hAnsiTheme="minorHAnsi" w:cstheme="minorHAnsi"/>
        </w:rPr>
        <w:t>.</w:t>
      </w:r>
      <w:r w:rsidRPr="002A67C7">
        <w:rPr>
          <w:rFonts w:asciiTheme="minorHAnsi" w:hAnsiTheme="minorHAnsi" w:cstheme="minorHAnsi"/>
        </w:rPr>
        <w:t xml:space="preserve"> </w:t>
      </w:r>
    </w:p>
    <w:bookmarkEnd w:id="54"/>
    <w:p w14:paraId="371BB84D" w14:textId="77777777" w:rsidR="00C5189E" w:rsidRDefault="00C5189E" w:rsidP="00C5189E">
      <w:pPr>
        <w:rPr>
          <w:rFonts w:asciiTheme="minorHAnsi" w:hAnsiTheme="minorHAnsi" w:cstheme="minorHAnsi"/>
        </w:rPr>
      </w:pPr>
    </w:p>
    <w:p w14:paraId="3D7A3EA9" w14:textId="77777777" w:rsidR="00C5189E" w:rsidRDefault="00C5189E" w:rsidP="00C5189E">
      <w:pPr>
        <w:rPr>
          <w:rFonts w:asciiTheme="minorHAnsi" w:hAnsiTheme="minorHAnsi" w:cstheme="minorHAnsi"/>
        </w:rPr>
      </w:pPr>
      <w:r>
        <w:rPr>
          <w:rFonts w:asciiTheme="minorHAnsi" w:hAnsiTheme="minorHAnsi" w:cstheme="minorHAnsi"/>
        </w:rPr>
        <w:t xml:space="preserve">Based on analysis of effort required, </w:t>
      </w:r>
      <w:r w:rsidRPr="00A62032">
        <w:rPr>
          <w:rFonts w:asciiTheme="minorHAnsi" w:hAnsiTheme="minorHAnsi" w:cstheme="minorHAnsi"/>
          <w:b/>
          <w:bCs/>
        </w:rPr>
        <w:t xml:space="preserve">Table </w:t>
      </w:r>
      <w:r>
        <w:rPr>
          <w:rFonts w:asciiTheme="minorHAnsi" w:hAnsiTheme="minorHAnsi" w:cstheme="minorHAnsi"/>
          <w:b/>
          <w:bCs/>
        </w:rPr>
        <w:t>14</w:t>
      </w:r>
      <w:r>
        <w:rPr>
          <w:rFonts w:asciiTheme="minorHAnsi" w:hAnsiTheme="minorHAnsi" w:cstheme="minorHAnsi"/>
        </w:rPr>
        <w:t xml:space="preserve"> shows the allocation of the Regulator’s costs to outputs for 2022-23 to 2024-25 based on anticipated operational licences and consequent regulatory activities. The figures were derived by multiplying the direct and indirect costs of each specialist team by the level of effort estimated to achieve each output.</w:t>
      </w:r>
    </w:p>
    <w:p w14:paraId="15C2A753" w14:textId="77777777" w:rsidR="00C5189E" w:rsidRDefault="00C5189E" w:rsidP="00C5189E">
      <w:pPr>
        <w:rPr>
          <w:rFonts w:asciiTheme="minorHAnsi" w:hAnsiTheme="minorHAnsi" w:cstheme="minorHAnsi"/>
        </w:rPr>
      </w:pPr>
    </w:p>
    <w:p w14:paraId="07344C76" w14:textId="77777777" w:rsidR="003841EE" w:rsidRDefault="003841EE" w:rsidP="003841EE">
      <w:pPr>
        <w:rPr>
          <w:rFonts w:asciiTheme="minorHAnsi" w:hAnsiTheme="minorHAnsi" w:cstheme="minorHAnsi"/>
        </w:rPr>
      </w:pPr>
    </w:p>
    <w:p w14:paraId="6799CB08" w14:textId="1749D9C6" w:rsidR="003841EE" w:rsidRPr="003841EE" w:rsidRDefault="003841EE" w:rsidP="003841EE">
      <w:pPr>
        <w:rPr>
          <w:rFonts w:asciiTheme="minorHAnsi" w:hAnsiTheme="minorHAnsi" w:cstheme="minorHAnsi"/>
        </w:rPr>
        <w:sectPr w:rsidR="003841EE" w:rsidRPr="003841EE" w:rsidSect="00F4042A">
          <w:pgSz w:w="12240" w:h="15840"/>
          <w:pgMar w:top="720" w:right="720" w:bottom="851" w:left="851" w:header="720" w:footer="720" w:gutter="0"/>
          <w:cols w:space="720"/>
        </w:sectPr>
      </w:pPr>
    </w:p>
    <w:p w14:paraId="20E3D2F2" w14:textId="07551183" w:rsidR="00C5189E" w:rsidRDefault="00147871" w:rsidP="00C5189E">
      <w:pPr>
        <w:rPr>
          <w:rFonts w:asciiTheme="minorHAnsi" w:hAnsiTheme="minorHAnsi" w:cstheme="minorHAnsi"/>
        </w:rPr>
      </w:pPr>
      <w:r>
        <w:rPr>
          <w:rFonts w:ascii="Calibri" w:hAnsi="Calibri" w:cs="Calibri"/>
          <w:b/>
          <w:bCs/>
          <w:color w:val="000000"/>
        </w:rPr>
        <w:lastRenderedPageBreak/>
        <w:t>Table 14</w:t>
      </w:r>
      <w:r>
        <w:rPr>
          <w:rFonts w:ascii="Calibri" w:hAnsi="Calibri" w:cs="Calibri"/>
          <w:color w:val="000000"/>
        </w:rPr>
        <w:t>: Cost allocated to outputs 2022-23 to 2024-25</w:t>
      </w:r>
    </w:p>
    <w:tbl>
      <w:tblPr>
        <w:tblW w:w="13586" w:type="dxa"/>
        <w:tblCellMar>
          <w:left w:w="0" w:type="dxa"/>
          <w:right w:w="0" w:type="dxa"/>
        </w:tblCellMar>
        <w:tblLook w:val="04A0" w:firstRow="1" w:lastRow="0" w:firstColumn="1" w:lastColumn="0" w:noHBand="0" w:noVBand="1"/>
      </w:tblPr>
      <w:tblGrid>
        <w:gridCol w:w="614"/>
        <w:gridCol w:w="2466"/>
        <w:gridCol w:w="488"/>
        <w:gridCol w:w="965"/>
        <w:gridCol w:w="1084"/>
        <w:gridCol w:w="965"/>
        <w:gridCol w:w="488"/>
        <w:gridCol w:w="965"/>
        <w:gridCol w:w="1084"/>
        <w:gridCol w:w="965"/>
        <w:gridCol w:w="488"/>
        <w:gridCol w:w="965"/>
        <w:gridCol w:w="1084"/>
        <w:gridCol w:w="965"/>
      </w:tblGrid>
      <w:tr w:rsidR="00147871" w:rsidRPr="00F04AAB" w14:paraId="40CE6235" w14:textId="77777777" w:rsidTr="00147871">
        <w:trPr>
          <w:trHeight w:val="265"/>
        </w:trPr>
        <w:tc>
          <w:tcPr>
            <w:tcW w:w="0" w:type="auto"/>
            <w:tcBorders>
              <w:top w:val="nil"/>
              <w:left w:val="nil"/>
              <w:bottom w:val="nil"/>
              <w:right w:val="nil"/>
            </w:tcBorders>
            <w:shd w:val="clear" w:color="000000" w:fill="4F81BD"/>
            <w:vAlign w:val="center"/>
            <w:hideMark/>
          </w:tcPr>
          <w:p w14:paraId="5F205625"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 xml:space="preserve">Output </w:t>
            </w:r>
          </w:p>
          <w:p w14:paraId="7695A72C"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No.</w:t>
            </w:r>
          </w:p>
        </w:tc>
        <w:tc>
          <w:tcPr>
            <w:tcW w:w="2467" w:type="dxa"/>
            <w:tcBorders>
              <w:top w:val="nil"/>
              <w:left w:val="nil"/>
              <w:bottom w:val="nil"/>
              <w:right w:val="nil"/>
            </w:tcBorders>
            <w:shd w:val="clear" w:color="000000" w:fill="4F81BD"/>
            <w:vAlign w:val="center"/>
            <w:hideMark/>
          </w:tcPr>
          <w:p w14:paraId="663B4C1A"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Output</w:t>
            </w:r>
          </w:p>
        </w:tc>
        <w:tc>
          <w:tcPr>
            <w:tcW w:w="0" w:type="auto"/>
            <w:tcBorders>
              <w:top w:val="nil"/>
              <w:left w:val="nil"/>
              <w:bottom w:val="nil"/>
              <w:right w:val="nil"/>
            </w:tcBorders>
            <w:shd w:val="clear" w:color="000000" w:fill="4F81BD"/>
            <w:vAlign w:val="center"/>
            <w:hideMark/>
          </w:tcPr>
          <w:p w14:paraId="0BE36ADF"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w:t>
            </w:r>
          </w:p>
        </w:tc>
        <w:tc>
          <w:tcPr>
            <w:tcW w:w="0" w:type="auto"/>
            <w:gridSpan w:val="2"/>
            <w:tcBorders>
              <w:top w:val="nil"/>
              <w:left w:val="nil"/>
              <w:bottom w:val="nil"/>
              <w:right w:val="nil"/>
            </w:tcBorders>
            <w:shd w:val="clear" w:color="000000" w:fill="4F81BD"/>
            <w:vAlign w:val="center"/>
            <w:hideMark/>
          </w:tcPr>
          <w:p w14:paraId="2E87B64B"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FY2022-23</w:t>
            </w:r>
          </w:p>
        </w:tc>
        <w:tc>
          <w:tcPr>
            <w:tcW w:w="0" w:type="auto"/>
            <w:tcBorders>
              <w:top w:val="nil"/>
              <w:left w:val="nil"/>
              <w:bottom w:val="nil"/>
              <w:right w:val="nil"/>
            </w:tcBorders>
            <w:shd w:val="clear" w:color="000000" w:fill="4F81BD"/>
            <w:vAlign w:val="center"/>
            <w:hideMark/>
          </w:tcPr>
          <w:p w14:paraId="27692773"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Total</w:t>
            </w:r>
          </w:p>
        </w:tc>
        <w:tc>
          <w:tcPr>
            <w:tcW w:w="0" w:type="auto"/>
            <w:tcBorders>
              <w:top w:val="nil"/>
              <w:left w:val="nil"/>
              <w:bottom w:val="nil"/>
              <w:right w:val="nil"/>
            </w:tcBorders>
            <w:shd w:val="clear" w:color="000000" w:fill="4F81BD"/>
            <w:vAlign w:val="center"/>
            <w:hideMark/>
          </w:tcPr>
          <w:p w14:paraId="081B3634"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w:t>
            </w:r>
          </w:p>
        </w:tc>
        <w:tc>
          <w:tcPr>
            <w:tcW w:w="0" w:type="auto"/>
            <w:gridSpan w:val="2"/>
            <w:tcBorders>
              <w:top w:val="nil"/>
              <w:left w:val="nil"/>
              <w:bottom w:val="nil"/>
              <w:right w:val="nil"/>
            </w:tcBorders>
            <w:shd w:val="clear" w:color="000000" w:fill="4F81BD"/>
            <w:vAlign w:val="center"/>
            <w:hideMark/>
          </w:tcPr>
          <w:p w14:paraId="16FB310D"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FY2023-24</w:t>
            </w:r>
          </w:p>
        </w:tc>
        <w:tc>
          <w:tcPr>
            <w:tcW w:w="0" w:type="auto"/>
            <w:tcBorders>
              <w:top w:val="nil"/>
              <w:left w:val="nil"/>
              <w:bottom w:val="nil"/>
              <w:right w:val="nil"/>
            </w:tcBorders>
            <w:shd w:val="clear" w:color="000000" w:fill="4F81BD"/>
            <w:vAlign w:val="center"/>
            <w:hideMark/>
          </w:tcPr>
          <w:p w14:paraId="3D957020"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Total</w:t>
            </w:r>
          </w:p>
        </w:tc>
        <w:tc>
          <w:tcPr>
            <w:tcW w:w="0" w:type="auto"/>
            <w:tcBorders>
              <w:top w:val="nil"/>
              <w:left w:val="nil"/>
              <w:bottom w:val="nil"/>
              <w:right w:val="nil"/>
            </w:tcBorders>
            <w:shd w:val="clear" w:color="000000" w:fill="4F81BD"/>
            <w:vAlign w:val="center"/>
            <w:hideMark/>
          </w:tcPr>
          <w:p w14:paraId="28FB6281"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w:t>
            </w:r>
          </w:p>
        </w:tc>
        <w:tc>
          <w:tcPr>
            <w:tcW w:w="0" w:type="auto"/>
            <w:gridSpan w:val="2"/>
            <w:tcBorders>
              <w:top w:val="nil"/>
              <w:left w:val="nil"/>
              <w:bottom w:val="nil"/>
              <w:right w:val="nil"/>
            </w:tcBorders>
            <w:shd w:val="clear" w:color="000000" w:fill="4F81BD"/>
            <w:vAlign w:val="center"/>
            <w:hideMark/>
          </w:tcPr>
          <w:p w14:paraId="4EFEB166"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FY2024-25</w:t>
            </w:r>
          </w:p>
        </w:tc>
        <w:tc>
          <w:tcPr>
            <w:tcW w:w="0" w:type="auto"/>
            <w:tcBorders>
              <w:top w:val="nil"/>
              <w:left w:val="nil"/>
              <w:bottom w:val="nil"/>
              <w:right w:val="single" w:sz="8" w:space="0" w:color="FFFFFF"/>
            </w:tcBorders>
            <w:shd w:val="clear" w:color="000000" w:fill="4F81BD"/>
            <w:vAlign w:val="center"/>
            <w:hideMark/>
          </w:tcPr>
          <w:p w14:paraId="1BE87B49"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Total</w:t>
            </w:r>
          </w:p>
        </w:tc>
      </w:tr>
      <w:tr w:rsidR="00147871" w:rsidRPr="00F04AAB" w14:paraId="2C029E2E" w14:textId="77777777" w:rsidTr="00147871">
        <w:trPr>
          <w:trHeight w:val="275"/>
        </w:trPr>
        <w:tc>
          <w:tcPr>
            <w:tcW w:w="0" w:type="auto"/>
            <w:tcBorders>
              <w:top w:val="nil"/>
              <w:left w:val="nil"/>
              <w:bottom w:val="single" w:sz="8" w:space="0" w:color="auto"/>
              <w:right w:val="nil"/>
            </w:tcBorders>
            <w:shd w:val="clear" w:color="000000" w:fill="4F81BD"/>
            <w:vAlign w:val="center"/>
            <w:hideMark/>
          </w:tcPr>
          <w:p w14:paraId="489A580E" w14:textId="77777777" w:rsidR="00147871" w:rsidRPr="00F04AAB" w:rsidRDefault="00147871" w:rsidP="00D637F6">
            <w:pPr>
              <w:rPr>
                <w:rFonts w:ascii="Calibri" w:hAnsi="Calibri" w:cs="Calibri"/>
                <w:b/>
                <w:bCs/>
                <w:color w:val="FFFFFF"/>
                <w:sz w:val="20"/>
                <w:szCs w:val="20"/>
              </w:rPr>
            </w:pPr>
            <w:r w:rsidRPr="00F04AAB">
              <w:rPr>
                <w:rFonts w:ascii="Calibri" w:hAnsi="Calibri" w:cs="Calibri"/>
                <w:b/>
                <w:bCs/>
                <w:color w:val="FFFFFF"/>
                <w:sz w:val="20"/>
                <w:szCs w:val="20"/>
              </w:rPr>
              <w:t> </w:t>
            </w:r>
          </w:p>
        </w:tc>
        <w:tc>
          <w:tcPr>
            <w:tcW w:w="2467" w:type="dxa"/>
            <w:tcBorders>
              <w:top w:val="nil"/>
              <w:left w:val="nil"/>
              <w:bottom w:val="single" w:sz="8" w:space="0" w:color="auto"/>
              <w:right w:val="nil"/>
            </w:tcBorders>
            <w:shd w:val="clear" w:color="000000" w:fill="4F81BD"/>
            <w:vAlign w:val="center"/>
            <w:hideMark/>
          </w:tcPr>
          <w:p w14:paraId="6430F1E4" w14:textId="77777777" w:rsidR="00147871" w:rsidRPr="00F04AAB" w:rsidRDefault="00147871" w:rsidP="00D637F6">
            <w:pPr>
              <w:rPr>
                <w:rFonts w:ascii="Calibri" w:hAnsi="Calibri" w:cs="Calibri"/>
                <w:b/>
                <w:bCs/>
                <w:color w:val="FFFFFF"/>
                <w:sz w:val="20"/>
                <w:szCs w:val="20"/>
              </w:rPr>
            </w:pPr>
            <w:r w:rsidRPr="00F04AAB">
              <w:rPr>
                <w:rFonts w:ascii="Calibri" w:hAnsi="Calibri" w:cs="Calibri"/>
                <w:b/>
                <w:bCs/>
                <w:color w:val="FFFFFF"/>
                <w:sz w:val="20"/>
                <w:szCs w:val="20"/>
              </w:rPr>
              <w:t> </w:t>
            </w:r>
          </w:p>
        </w:tc>
        <w:tc>
          <w:tcPr>
            <w:tcW w:w="0" w:type="auto"/>
            <w:tcBorders>
              <w:top w:val="nil"/>
              <w:left w:val="nil"/>
              <w:bottom w:val="single" w:sz="8" w:space="0" w:color="auto"/>
              <w:right w:val="nil"/>
            </w:tcBorders>
            <w:shd w:val="clear" w:color="000000" w:fill="4F81BD"/>
            <w:vAlign w:val="center"/>
            <w:hideMark/>
          </w:tcPr>
          <w:p w14:paraId="44BCABBE"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Effort</w:t>
            </w:r>
          </w:p>
        </w:tc>
        <w:tc>
          <w:tcPr>
            <w:tcW w:w="0" w:type="auto"/>
            <w:tcBorders>
              <w:top w:val="nil"/>
              <w:left w:val="nil"/>
              <w:bottom w:val="single" w:sz="8" w:space="0" w:color="auto"/>
              <w:right w:val="nil"/>
            </w:tcBorders>
            <w:shd w:val="clear" w:color="000000" w:fill="4F81BD"/>
            <w:vAlign w:val="center"/>
            <w:hideMark/>
          </w:tcPr>
          <w:p w14:paraId="151571CA"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Direct Cost</w:t>
            </w:r>
          </w:p>
        </w:tc>
        <w:tc>
          <w:tcPr>
            <w:tcW w:w="0" w:type="auto"/>
            <w:tcBorders>
              <w:top w:val="nil"/>
              <w:left w:val="nil"/>
              <w:bottom w:val="single" w:sz="8" w:space="0" w:color="auto"/>
              <w:right w:val="nil"/>
            </w:tcBorders>
            <w:shd w:val="clear" w:color="000000" w:fill="4F81BD"/>
            <w:vAlign w:val="center"/>
            <w:hideMark/>
          </w:tcPr>
          <w:p w14:paraId="72BB1D15"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Indirect Cost</w:t>
            </w:r>
          </w:p>
        </w:tc>
        <w:tc>
          <w:tcPr>
            <w:tcW w:w="0" w:type="auto"/>
            <w:tcBorders>
              <w:top w:val="nil"/>
              <w:left w:val="nil"/>
              <w:bottom w:val="single" w:sz="8" w:space="0" w:color="auto"/>
              <w:right w:val="nil"/>
            </w:tcBorders>
            <w:shd w:val="clear" w:color="000000" w:fill="4F81BD"/>
            <w:vAlign w:val="center"/>
            <w:hideMark/>
          </w:tcPr>
          <w:p w14:paraId="0F57B282"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2022-23</w:t>
            </w:r>
          </w:p>
        </w:tc>
        <w:tc>
          <w:tcPr>
            <w:tcW w:w="0" w:type="auto"/>
            <w:tcBorders>
              <w:top w:val="nil"/>
              <w:left w:val="nil"/>
              <w:bottom w:val="single" w:sz="8" w:space="0" w:color="auto"/>
              <w:right w:val="nil"/>
            </w:tcBorders>
            <w:shd w:val="clear" w:color="000000" w:fill="4F81BD"/>
            <w:vAlign w:val="center"/>
            <w:hideMark/>
          </w:tcPr>
          <w:p w14:paraId="3267CCB7"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Effort</w:t>
            </w:r>
          </w:p>
        </w:tc>
        <w:tc>
          <w:tcPr>
            <w:tcW w:w="0" w:type="auto"/>
            <w:tcBorders>
              <w:top w:val="nil"/>
              <w:left w:val="nil"/>
              <w:bottom w:val="single" w:sz="8" w:space="0" w:color="auto"/>
              <w:right w:val="nil"/>
            </w:tcBorders>
            <w:shd w:val="clear" w:color="000000" w:fill="4F81BD"/>
            <w:vAlign w:val="center"/>
            <w:hideMark/>
          </w:tcPr>
          <w:p w14:paraId="532557C1"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Direct Cost</w:t>
            </w:r>
          </w:p>
        </w:tc>
        <w:tc>
          <w:tcPr>
            <w:tcW w:w="0" w:type="auto"/>
            <w:tcBorders>
              <w:top w:val="nil"/>
              <w:left w:val="nil"/>
              <w:bottom w:val="single" w:sz="8" w:space="0" w:color="auto"/>
              <w:right w:val="nil"/>
            </w:tcBorders>
            <w:shd w:val="clear" w:color="000000" w:fill="4F81BD"/>
            <w:vAlign w:val="center"/>
            <w:hideMark/>
          </w:tcPr>
          <w:p w14:paraId="5AA467B2"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Indirect Cost</w:t>
            </w:r>
          </w:p>
        </w:tc>
        <w:tc>
          <w:tcPr>
            <w:tcW w:w="0" w:type="auto"/>
            <w:tcBorders>
              <w:top w:val="nil"/>
              <w:left w:val="nil"/>
              <w:bottom w:val="single" w:sz="8" w:space="0" w:color="auto"/>
              <w:right w:val="nil"/>
            </w:tcBorders>
            <w:shd w:val="clear" w:color="000000" w:fill="4F81BD"/>
            <w:vAlign w:val="center"/>
            <w:hideMark/>
          </w:tcPr>
          <w:p w14:paraId="702AF6AC"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2023-24</w:t>
            </w:r>
          </w:p>
        </w:tc>
        <w:tc>
          <w:tcPr>
            <w:tcW w:w="0" w:type="auto"/>
            <w:tcBorders>
              <w:top w:val="nil"/>
              <w:left w:val="nil"/>
              <w:bottom w:val="single" w:sz="8" w:space="0" w:color="auto"/>
              <w:right w:val="nil"/>
            </w:tcBorders>
            <w:shd w:val="clear" w:color="000000" w:fill="4F81BD"/>
            <w:vAlign w:val="center"/>
            <w:hideMark/>
          </w:tcPr>
          <w:p w14:paraId="3B460A9D"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Effort</w:t>
            </w:r>
          </w:p>
        </w:tc>
        <w:tc>
          <w:tcPr>
            <w:tcW w:w="0" w:type="auto"/>
            <w:tcBorders>
              <w:top w:val="nil"/>
              <w:left w:val="nil"/>
              <w:bottom w:val="single" w:sz="8" w:space="0" w:color="auto"/>
              <w:right w:val="nil"/>
            </w:tcBorders>
            <w:shd w:val="clear" w:color="000000" w:fill="4F81BD"/>
            <w:vAlign w:val="center"/>
            <w:hideMark/>
          </w:tcPr>
          <w:p w14:paraId="0911F2B1"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Direct Cost</w:t>
            </w:r>
          </w:p>
        </w:tc>
        <w:tc>
          <w:tcPr>
            <w:tcW w:w="0" w:type="auto"/>
            <w:tcBorders>
              <w:top w:val="nil"/>
              <w:left w:val="nil"/>
              <w:bottom w:val="single" w:sz="8" w:space="0" w:color="auto"/>
              <w:right w:val="nil"/>
            </w:tcBorders>
            <w:shd w:val="clear" w:color="000000" w:fill="4F81BD"/>
            <w:vAlign w:val="center"/>
            <w:hideMark/>
          </w:tcPr>
          <w:p w14:paraId="109838FC"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Indirect Cost</w:t>
            </w:r>
          </w:p>
        </w:tc>
        <w:tc>
          <w:tcPr>
            <w:tcW w:w="0" w:type="auto"/>
            <w:tcBorders>
              <w:top w:val="nil"/>
              <w:left w:val="nil"/>
              <w:bottom w:val="single" w:sz="8" w:space="0" w:color="auto"/>
              <w:right w:val="single" w:sz="8" w:space="0" w:color="FFFFFF"/>
            </w:tcBorders>
            <w:shd w:val="clear" w:color="000000" w:fill="4F81BD"/>
            <w:vAlign w:val="center"/>
            <w:hideMark/>
          </w:tcPr>
          <w:p w14:paraId="3ACED65E"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2024-25</w:t>
            </w:r>
          </w:p>
        </w:tc>
      </w:tr>
      <w:tr w:rsidR="00147871" w:rsidRPr="00F04AAB" w14:paraId="2BBAF99E" w14:textId="77777777" w:rsidTr="00147871">
        <w:trPr>
          <w:trHeight w:val="407"/>
        </w:trPr>
        <w:tc>
          <w:tcPr>
            <w:tcW w:w="0" w:type="auto"/>
            <w:tcBorders>
              <w:top w:val="nil"/>
              <w:left w:val="nil"/>
              <w:bottom w:val="nil"/>
              <w:right w:val="single" w:sz="8" w:space="0" w:color="FFFFFF"/>
            </w:tcBorders>
            <w:shd w:val="clear" w:color="000000" w:fill="4F81BD"/>
            <w:vAlign w:val="center"/>
            <w:hideMark/>
          </w:tcPr>
          <w:p w14:paraId="7B7B0FDE" w14:textId="77777777" w:rsidR="00147871" w:rsidRPr="00F04AAB" w:rsidRDefault="00147871" w:rsidP="00D637F6">
            <w:pPr>
              <w:jc w:val="center"/>
              <w:rPr>
                <w:rFonts w:ascii="Calibri" w:hAnsi="Calibri" w:cs="Calibri"/>
                <w:color w:val="FFFFFF"/>
                <w:sz w:val="20"/>
                <w:szCs w:val="20"/>
              </w:rPr>
            </w:pPr>
            <w:r w:rsidRPr="00F04AAB">
              <w:rPr>
                <w:rFonts w:ascii="Calibri" w:hAnsi="Calibri" w:cs="Calibri"/>
                <w:color w:val="FFFFFF"/>
                <w:sz w:val="20"/>
                <w:szCs w:val="20"/>
              </w:rPr>
              <w:t>1</w:t>
            </w:r>
          </w:p>
        </w:tc>
        <w:tc>
          <w:tcPr>
            <w:tcW w:w="2467" w:type="dxa"/>
            <w:tcBorders>
              <w:top w:val="nil"/>
              <w:left w:val="nil"/>
              <w:bottom w:val="nil"/>
              <w:right w:val="single" w:sz="8" w:space="0" w:color="FFFFFF"/>
            </w:tcBorders>
            <w:shd w:val="clear" w:color="000000" w:fill="DBE5F1"/>
            <w:vAlign w:val="center"/>
            <w:hideMark/>
          </w:tcPr>
          <w:p w14:paraId="3B1CAA97" w14:textId="77777777" w:rsidR="00147871" w:rsidRPr="00F04AAB" w:rsidRDefault="00147871" w:rsidP="00D637F6">
            <w:pPr>
              <w:rPr>
                <w:rFonts w:ascii="Calibri" w:hAnsi="Calibri" w:cs="Calibri"/>
                <w:color w:val="000000"/>
                <w:sz w:val="20"/>
                <w:szCs w:val="20"/>
              </w:rPr>
            </w:pPr>
            <w:r w:rsidRPr="006375EA">
              <w:rPr>
                <w:rFonts w:ascii="Calibri" w:hAnsi="Calibri" w:cs="Calibri"/>
                <w:color w:val="17365D"/>
                <w:sz w:val="20"/>
                <w:szCs w:val="20"/>
              </w:rPr>
              <w:t>Declaration of an area</w:t>
            </w:r>
          </w:p>
        </w:tc>
        <w:tc>
          <w:tcPr>
            <w:tcW w:w="0" w:type="auto"/>
            <w:tcBorders>
              <w:top w:val="nil"/>
              <w:left w:val="nil"/>
              <w:bottom w:val="nil"/>
              <w:right w:val="single" w:sz="8" w:space="0" w:color="FFFFFF"/>
            </w:tcBorders>
            <w:shd w:val="clear" w:color="000000" w:fill="DBE5F1"/>
            <w:vAlign w:val="center"/>
            <w:hideMark/>
          </w:tcPr>
          <w:p w14:paraId="55C92EE8"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6%</w:t>
            </w:r>
          </w:p>
        </w:tc>
        <w:tc>
          <w:tcPr>
            <w:tcW w:w="0" w:type="auto"/>
            <w:tcBorders>
              <w:top w:val="nil"/>
              <w:left w:val="nil"/>
              <w:bottom w:val="nil"/>
              <w:right w:val="single" w:sz="8" w:space="0" w:color="FFFFFF"/>
            </w:tcBorders>
            <w:shd w:val="clear" w:color="000000" w:fill="DBE5F1"/>
            <w:vAlign w:val="center"/>
            <w:hideMark/>
          </w:tcPr>
          <w:p w14:paraId="22196222" w14:textId="0E5F41F4" w:rsidR="00147871" w:rsidRPr="006375EA" w:rsidRDefault="000775FC"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70,689</w:t>
            </w:r>
          </w:p>
        </w:tc>
        <w:tc>
          <w:tcPr>
            <w:tcW w:w="0" w:type="auto"/>
            <w:tcBorders>
              <w:top w:val="nil"/>
              <w:left w:val="nil"/>
              <w:bottom w:val="nil"/>
              <w:right w:val="single" w:sz="8" w:space="0" w:color="FFFFFF"/>
            </w:tcBorders>
            <w:shd w:val="clear" w:color="000000" w:fill="DBE5F1"/>
            <w:vAlign w:val="center"/>
            <w:hideMark/>
          </w:tcPr>
          <w:p w14:paraId="42D682C0" w14:textId="7771D9C5" w:rsidR="00147871" w:rsidRPr="006375EA" w:rsidRDefault="000775FC"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31,326</w:t>
            </w:r>
          </w:p>
        </w:tc>
        <w:tc>
          <w:tcPr>
            <w:tcW w:w="0" w:type="auto"/>
            <w:tcBorders>
              <w:top w:val="nil"/>
              <w:left w:val="nil"/>
              <w:bottom w:val="nil"/>
              <w:right w:val="single" w:sz="8" w:space="0" w:color="FFFFFF"/>
            </w:tcBorders>
            <w:shd w:val="clear" w:color="000000" w:fill="DBE5F1"/>
            <w:vAlign w:val="center"/>
            <w:hideMark/>
          </w:tcPr>
          <w:p w14:paraId="3A62D5C5" w14:textId="65BC5A3E" w:rsidR="00147871" w:rsidRPr="006375EA" w:rsidRDefault="000775FC"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102,015</w:t>
            </w:r>
          </w:p>
        </w:tc>
        <w:tc>
          <w:tcPr>
            <w:tcW w:w="0" w:type="auto"/>
            <w:tcBorders>
              <w:top w:val="nil"/>
              <w:left w:val="nil"/>
              <w:bottom w:val="nil"/>
              <w:right w:val="single" w:sz="8" w:space="0" w:color="FFFFFF"/>
            </w:tcBorders>
            <w:shd w:val="clear" w:color="000000" w:fill="DBE5F1"/>
            <w:vAlign w:val="center"/>
            <w:hideMark/>
          </w:tcPr>
          <w:p w14:paraId="7CAFAE1F"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8%</w:t>
            </w:r>
          </w:p>
        </w:tc>
        <w:tc>
          <w:tcPr>
            <w:tcW w:w="0" w:type="auto"/>
            <w:tcBorders>
              <w:top w:val="nil"/>
              <w:left w:val="nil"/>
              <w:bottom w:val="nil"/>
              <w:right w:val="single" w:sz="8" w:space="0" w:color="FFFFFF"/>
            </w:tcBorders>
            <w:shd w:val="clear" w:color="000000" w:fill="DBE5F1"/>
            <w:vAlign w:val="center"/>
            <w:hideMark/>
          </w:tcPr>
          <w:p w14:paraId="7AB7C701" w14:textId="7C59C8F2" w:rsidR="00147871" w:rsidRPr="006375EA" w:rsidRDefault="000775FC"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127,974</w:t>
            </w:r>
          </w:p>
        </w:tc>
        <w:tc>
          <w:tcPr>
            <w:tcW w:w="0" w:type="auto"/>
            <w:tcBorders>
              <w:top w:val="nil"/>
              <w:left w:val="nil"/>
              <w:bottom w:val="nil"/>
              <w:right w:val="single" w:sz="8" w:space="0" w:color="FFFFFF"/>
            </w:tcBorders>
            <w:shd w:val="clear" w:color="000000" w:fill="DBE5F1"/>
            <w:vAlign w:val="center"/>
            <w:hideMark/>
          </w:tcPr>
          <w:p w14:paraId="775A795B" w14:textId="6BBFB47A" w:rsidR="00147871" w:rsidRPr="006375EA" w:rsidRDefault="000775FC"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60,859</w:t>
            </w:r>
          </w:p>
        </w:tc>
        <w:tc>
          <w:tcPr>
            <w:tcW w:w="0" w:type="auto"/>
            <w:tcBorders>
              <w:top w:val="nil"/>
              <w:left w:val="nil"/>
              <w:bottom w:val="nil"/>
              <w:right w:val="single" w:sz="8" w:space="0" w:color="FFFFFF"/>
            </w:tcBorders>
            <w:shd w:val="clear" w:color="000000" w:fill="DBE5F1"/>
            <w:vAlign w:val="center"/>
            <w:hideMark/>
          </w:tcPr>
          <w:p w14:paraId="64EE8BF9" w14:textId="034F33C7" w:rsidR="00147871" w:rsidRPr="006375EA" w:rsidRDefault="000775FC"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188,833</w:t>
            </w:r>
          </w:p>
        </w:tc>
        <w:tc>
          <w:tcPr>
            <w:tcW w:w="0" w:type="auto"/>
            <w:tcBorders>
              <w:top w:val="nil"/>
              <w:left w:val="nil"/>
              <w:bottom w:val="nil"/>
              <w:right w:val="single" w:sz="8" w:space="0" w:color="FFFFFF"/>
            </w:tcBorders>
            <w:shd w:val="clear" w:color="000000" w:fill="DBE5F1"/>
            <w:vAlign w:val="center"/>
            <w:hideMark/>
          </w:tcPr>
          <w:p w14:paraId="2E7CA94C"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2%</w:t>
            </w:r>
          </w:p>
        </w:tc>
        <w:tc>
          <w:tcPr>
            <w:tcW w:w="0" w:type="auto"/>
            <w:tcBorders>
              <w:top w:val="nil"/>
              <w:left w:val="nil"/>
              <w:bottom w:val="nil"/>
              <w:right w:val="single" w:sz="8" w:space="0" w:color="FFFFFF"/>
            </w:tcBorders>
            <w:shd w:val="clear" w:color="000000" w:fill="DBE5F1"/>
            <w:vAlign w:val="center"/>
            <w:hideMark/>
          </w:tcPr>
          <w:p w14:paraId="7F779A47" w14:textId="69CBC0BF" w:rsidR="00147871" w:rsidRPr="006375EA" w:rsidRDefault="000775FC"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43,778</w:t>
            </w:r>
          </w:p>
        </w:tc>
        <w:tc>
          <w:tcPr>
            <w:tcW w:w="0" w:type="auto"/>
            <w:tcBorders>
              <w:top w:val="nil"/>
              <w:left w:val="nil"/>
              <w:bottom w:val="nil"/>
              <w:right w:val="single" w:sz="8" w:space="0" w:color="FFFFFF"/>
            </w:tcBorders>
            <w:shd w:val="clear" w:color="000000" w:fill="DBE5F1"/>
            <w:vAlign w:val="center"/>
            <w:hideMark/>
          </w:tcPr>
          <w:p w14:paraId="2A66958C" w14:textId="6023A8BD" w:rsidR="00147871" w:rsidRPr="006375EA" w:rsidRDefault="000775FC"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21,996</w:t>
            </w:r>
          </w:p>
        </w:tc>
        <w:tc>
          <w:tcPr>
            <w:tcW w:w="0" w:type="auto"/>
            <w:tcBorders>
              <w:top w:val="nil"/>
              <w:left w:val="nil"/>
              <w:bottom w:val="nil"/>
              <w:right w:val="single" w:sz="8" w:space="0" w:color="FFFFFF"/>
            </w:tcBorders>
            <w:shd w:val="clear" w:color="000000" w:fill="DBE5F1"/>
            <w:vAlign w:val="center"/>
            <w:hideMark/>
          </w:tcPr>
          <w:p w14:paraId="3C83EA29" w14:textId="066FD8DA" w:rsidR="00147871" w:rsidRPr="006375EA" w:rsidRDefault="000775FC"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65,775</w:t>
            </w:r>
          </w:p>
        </w:tc>
      </w:tr>
      <w:tr w:rsidR="00147871" w:rsidRPr="00F04AAB" w14:paraId="42A873BC" w14:textId="77777777" w:rsidTr="00147871">
        <w:trPr>
          <w:trHeight w:val="407"/>
        </w:trPr>
        <w:tc>
          <w:tcPr>
            <w:tcW w:w="0" w:type="auto"/>
            <w:tcBorders>
              <w:top w:val="single" w:sz="8" w:space="0" w:color="FFFFFF"/>
              <w:left w:val="nil"/>
              <w:bottom w:val="single" w:sz="8" w:space="0" w:color="FFFFFF"/>
              <w:right w:val="single" w:sz="8" w:space="0" w:color="FFFFFF"/>
            </w:tcBorders>
            <w:shd w:val="clear" w:color="000000" w:fill="4F81BD"/>
            <w:vAlign w:val="center"/>
            <w:hideMark/>
          </w:tcPr>
          <w:p w14:paraId="3F06EA41" w14:textId="77777777" w:rsidR="00147871" w:rsidRPr="00F04AAB" w:rsidRDefault="00147871" w:rsidP="00D637F6">
            <w:pPr>
              <w:jc w:val="center"/>
              <w:rPr>
                <w:rFonts w:ascii="Calibri" w:hAnsi="Calibri" w:cs="Calibri"/>
                <w:color w:val="FFFFFF"/>
                <w:sz w:val="20"/>
                <w:szCs w:val="20"/>
              </w:rPr>
            </w:pPr>
            <w:r w:rsidRPr="00F04AAB">
              <w:rPr>
                <w:rFonts w:ascii="Calibri" w:hAnsi="Calibri" w:cs="Calibri"/>
                <w:color w:val="FFFFFF"/>
                <w:sz w:val="20"/>
                <w:szCs w:val="20"/>
              </w:rPr>
              <w:t>2</w:t>
            </w:r>
          </w:p>
        </w:tc>
        <w:tc>
          <w:tcPr>
            <w:tcW w:w="2467" w:type="dxa"/>
            <w:tcBorders>
              <w:top w:val="nil"/>
              <w:left w:val="nil"/>
              <w:bottom w:val="single" w:sz="8" w:space="0" w:color="FFFFFF"/>
              <w:right w:val="single" w:sz="8" w:space="0" w:color="FFFFFF"/>
            </w:tcBorders>
            <w:shd w:val="clear" w:color="000000" w:fill="B8CCE4"/>
            <w:vAlign w:val="center"/>
            <w:hideMark/>
          </w:tcPr>
          <w:p w14:paraId="0755A0E0" w14:textId="77777777" w:rsidR="00147871" w:rsidRPr="00F04AAB" w:rsidRDefault="00147871" w:rsidP="00D637F6">
            <w:pPr>
              <w:rPr>
                <w:rFonts w:ascii="Calibri" w:hAnsi="Calibri" w:cs="Calibri"/>
                <w:color w:val="000000"/>
                <w:sz w:val="20"/>
                <w:szCs w:val="20"/>
              </w:rPr>
            </w:pPr>
            <w:r w:rsidRPr="007023C9">
              <w:rPr>
                <w:rFonts w:ascii="Calibri" w:hAnsi="Calibri" w:cs="Calibri"/>
                <w:color w:val="17365D"/>
                <w:sz w:val="20"/>
                <w:szCs w:val="20"/>
              </w:rPr>
              <w:t>Feasibility Licence</w:t>
            </w:r>
          </w:p>
        </w:tc>
        <w:tc>
          <w:tcPr>
            <w:tcW w:w="0" w:type="auto"/>
            <w:tcBorders>
              <w:top w:val="nil"/>
              <w:left w:val="nil"/>
              <w:bottom w:val="single" w:sz="8" w:space="0" w:color="FFFFFF"/>
              <w:right w:val="single" w:sz="8" w:space="0" w:color="FFFFFF"/>
            </w:tcBorders>
            <w:shd w:val="clear" w:color="000000" w:fill="B8CCE4"/>
            <w:vAlign w:val="center"/>
            <w:hideMark/>
          </w:tcPr>
          <w:p w14:paraId="7B095C02"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5%</w:t>
            </w:r>
          </w:p>
        </w:tc>
        <w:tc>
          <w:tcPr>
            <w:tcW w:w="0" w:type="auto"/>
            <w:tcBorders>
              <w:top w:val="nil"/>
              <w:left w:val="nil"/>
              <w:bottom w:val="single" w:sz="8" w:space="0" w:color="FFFFFF"/>
              <w:right w:val="single" w:sz="8" w:space="0" w:color="FFFFFF"/>
            </w:tcBorders>
            <w:shd w:val="clear" w:color="000000" w:fill="B8CCE4"/>
            <w:vAlign w:val="center"/>
            <w:hideMark/>
          </w:tcPr>
          <w:p w14:paraId="311BA021" w14:textId="05DEEA26" w:rsidR="00147871" w:rsidRPr="007023C9" w:rsidRDefault="000775FC"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53,494</w:t>
            </w:r>
          </w:p>
        </w:tc>
        <w:tc>
          <w:tcPr>
            <w:tcW w:w="0" w:type="auto"/>
            <w:tcBorders>
              <w:top w:val="nil"/>
              <w:left w:val="nil"/>
              <w:bottom w:val="single" w:sz="8" w:space="0" w:color="FFFFFF"/>
              <w:right w:val="single" w:sz="8" w:space="0" w:color="FFFFFF"/>
            </w:tcBorders>
            <w:shd w:val="clear" w:color="000000" w:fill="B8CCE4"/>
            <w:vAlign w:val="center"/>
            <w:hideMark/>
          </w:tcPr>
          <w:p w14:paraId="0BDADEF1" w14:textId="53C95D50" w:rsidR="00147871" w:rsidRPr="007023C9" w:rsidRDefault="000775FC"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23,706</w:t>
            </w:r>
          </w:p>
        </w:tc>
        <w:tc>
          <w:tcPr>
            <w:tcW w:w="0" w:type="auto"/>
            <w:tcBorders>
              <w:top w:val="nil"/>
              <w:left w:val="nil"/>
              <w:bottom w:val="single" w:sz="8" w:space="0" w:color="FFFFFF"/>
              <w:right w:val="single" w:sz="8" w:space="0" w:color="FFFFFF"/>
            </w:tcBorders>
            <w:shd w:val="clear" w:color="000000" w:fill="B8CCE4"/>
            <w:vAlign w:val="center"/>
            <w:hideMark/>
          </w:tcPr>
          <w:p w14:paraId="66A78BEE" w14:textId="6F0DB807" w:rsidR="00147871" w:rsidRPr="007023C9" w:rsidRDefault="000775FC"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77,201</w:t>
            </w:r>
          </w:p>
        </w:tc>
        <w:tc>
          <w:tcPr>
            <w:tcW w:w="0" w:type="auto"/>
            <w:tcBorders>
              <w:top w:val="nil"/>
              <w:left w:val="nil"/>
              <w:bottom w:val="single" w:sz="8" w:space="0" w:color="FFFFFF"/>
              <w:right w:val="single" w:sz="8" w:space="0" w:color="FFFFFF"/>
            </w:tcBorders>
            <w:shd w:val="clear" w:color="000000" w:fill="B8CCE4"/>
            <w:vAlign w:val="center"/>
            <w:hideMark/>
          </w:tcPr>
          <w:p w14:paraId="44B01522"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6%</w:t>
            </w:r>
          </w:p>
        </w:tc>
        <w:tc>
          <w:tcPr>
            <w:tcW w:w="0" w:type="auto"/>
            <w:tcBorders>
              <w:top w:val="nil"/>
              <w:left w:val="nil"/>
              <w:bottom w:val="single" w:sz="8" w:space="0" w:color="FFFFFF"/>
              <w:right w:val="single" w:sz="8" w:space="0" w:color="FFFFFF"/>
            </w:tcBorders>
            <w:shd w:val="clear" w:color="000000" w:fill="B8CCE4"/>
            <w:vAlign w:val="center"/>
            <w:hideMark/>
          </w:tcPr>
          <w:p w14:paraId="322793DE" w14:textId="1B7ED50B" w:rsidR="00147871" w:rsidRPr="007023C9" w:rsidRDefault="000775FC"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103,468</w:t>
            </w:r>
          </w:p>
        </w:tc>
        <w:tc>
          <w:tcPr>
            <w:tcW w:w="0" w:type="auto"/>
            <w:tcBorders>
              <w:top w:val="nil"/>
              <w:left w:val="nil"/>
              <w:bottom w:val="single" w:sz="8" w:space="0" w:color="FFFFFF"/>
              <w:right w:val="single" w:sz="8" w:space="0" w:color="FFFFFF"/>
            </w:tcBorders>
            <w:shd w:val="clear" w:color="000000" w:fill="B8CCE4"/>
            <w:vAlign w:val="center"/>
            <w:hideMark/>
          </w:tcPr>
          <w:p w14:paraId="33606F4F" w14:textId="347B8FFA" w:rsidR="00147871" w:rsidRPr="007023C9" w:rsidRDefault="000775FC"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49,205</w:t>
            </w:r>
          </w:p>
        </w:tc>
        <w:tc>
          <w:tcPr>
            <w:tcW w:w="0" w:type="auto"/>
            <w:tcBorders>
              <w:top w:val="nil"/>
              <w:left w:val="nil"/>
              <w:bottom w:val="single" w:sz="8" w:space="0" w:color="FFFFFF"/>
              <w:right w:val="single" w:sz="8" w:space="0" w:color="FFFFFF"/>
            </w:tcBorders>
            <w:shd w:val="clear" w:color="000000" w:fill="B8CCE4"/>
            <w:vAlign w:val="center"/>
            <w:hideMark/>
          </w:tcPr>
          <w:p w14:paraId="159B045E" w14:textId="1082177D" w:rsidR="00147871" w:rsidRPr="007023C9" w:rsidRDefault="000775FC"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152,674</w:t>
            </w:r>
          </w:p>
        </w:tc>
        <w:tc>
          <w:tcPr>
            <w:tcW w:w="0" w:type="auto"/>
            <w:tcBorders>
              <w:top w:val="nil"/>
              <w:left w:val="nil"/>
              <w:bottom w:val="single" w:sz="8" w:space="0" w:color="FFFFFF"/>
              <w:right w:val="single" w:sz="8" w:space="0" w:color="FFFFFF"/>
            </w:tcBorders>
            <w:shd w:val="clear" w:color="000000" w:fill="B8CCE4"/>
            <w:vAlign w:val="center"/>
            <w:hideMark/>
          </w:tcPr>
          <w:p w14:paraId="77033561"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5%</w:t>
            </w:r>
          </w:p>
        </w:tc>
        <w:tc>
          <w:tcPr>
            <w:tcW w:w="0" w:type="auto"/>
            <w:tcBorders>
              <w:top w:val="nil"/>
              <w:left w:val="nil"/>
              <w:bottom w:val="single" w:sz="8" w:space="0" w:color="FFFFFF"/>
              <w:right w:val="single" w:sz="8" w:space="0" w:color="FFFFFF"/>
            </w:tcBorders>
            <w:shd w:val="clear" w:color="000000" w:fill="B8CCE4"/>
            <w:vAlign w:val="center"/>
            <w:hideMark/>
          </w:tcPr>
          <w:p w14:paraId="5123C306" w14:textId="48AE41EB" w:rsidR="00147871" w:rsidRPr="007023C9" w:rsidRDefault="000775FC"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105,068</w:t>
            </w:r>
          </w:p>
        </w:tc>
        <w:tc>
          <w:tcPr>
            <w:tcW w:w="0" w:type="auto"/>
            <w:tcBorders>
              <w:top w:val="nil"/>
              <w:left w:val="nil"/>
              <w:bottom w:val="single" w:sz="8" w:space="0" w:color="FFFFFF"/>
              <w:right w:val="single" w:sz="8" w:space="0" w:color="FFFFFF"/>
            </w:tcBorders>
            <w:shd w:val="clear" w:color="000000" w:fill="B8CCE4"/>
            <w:vAlign w:val="center"/>
            <w:hideMark/>
          </w:tcPr>
          <w:p w14:paraId="63FD8F86" w14:textId="530D48BB" w:rsidR="00147871" w:rsidRPr="007023C9" w:rsidRDefault="000775FC"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52,791</w:t>
            </w:r>
          </w:p>
        </w:tc>
        <w:tc>
          <w:tcPr>
            <w:tcW w:w="0" w:type="auto"/>
            <w:tcBorders>
              <w:top w:val="nil"/>
              <w:left w:val="nil"/>
              <w:bottom w:val="single" w:sz="8" w:space="0" w:color="FFFFFF"/>
              <w:right w:val="single" w:sz="8" w:space="0" w:color="FFFFFF"/>
            </w:tcBorders>
            <w:shd w:val="clear" w:color="000000" w:fill="B8CCE4"/>
            <w:vAlign w:val="center"/>
            <w:hideMark/>
          </w:tcPr>
          <w:p w14:paraId="1177F96D" w14:textId="0BDED0D5" w:rsidR="00147871" w:rsidRPr="007023C9" w:rsidRDefault="000775FC"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152,859</w:t>
            </w:r>
          </w:p>
        </w:tc>
      </w:tr>
      <w:tr w:rsidR="00147871" w:rsidRPr="00F04AAB" w14:paraId="22DED652" w14:textId="77777777" w:rsidTr="00147871">
        <w:trPr>
          <w:trHeight w:val="407"/>
        </w:trPr>
        <w:tc>
          <w:tcPr>
            <w:tcW w:w="0" w:type="auto"/>
            <w:tcBorders>
              <w:top w:val="nil"/>
              <w:left w:val="nil"/>
              <w:bottom w:val="nil"/>
              <w:right w:val="single" w:sz="8" w:space="0" w:color="FFFFFF"/>
            </w:tcBorders>
            <w:shd w:val="clear" w:color="000000" w:fill="4F81BD"/>
            <w:vAlign w:val="center"/>
            <w:hideMark/>
          </w:tcPr>
          <w:p w14:paraId="536CC26C" w14:textId="77777777" w:rsidR="00147871" w:rsidRPr="00F04AAB" w:rsidRDefault="00147871" w:rsidP="00D637F6">
            <w:pPr>
              <w:jc w:val="center"/>
              <w:rPr>
                <w:rFonts w:ascii="Calibri" w:hAnsi="Calibri" w:cs="Calibri"/>
                <w:color w:val="FFFFFF"/>
                <w:sz w:val="20"/>
                <w:szCs w:val="20"/>
              </w:rPr>
            </w:pPr>
            <w:r w:rsidRPr="00F04AAB">
              <w:rPr>
                <w:rFonts w:ascii="Calibri" w:hAnsi="Calibri" w:cs="Calibri"/>
                <w:color w:val="FFFFFF"/>
                <w:sz w:val="20"/>
                <w:szCs w:val="20"/>
              </w:rPr>
              <w:t>3</w:t>
            </w:r>
          </w:p>
        </w:tc>
        <w:tc>
          <w:tcPr>
            <w:tcW w:w="2467" w:type="dxa"/>
            <w:tcBorders>
              <w:top w:val="nil"/>
              <w:left w:val="nil"/>
              <w:bottom w:val="nil"/>
              <w:right w:val="single" w:sz="8" w:space="0" w:color="FFFFFF"/>
            </w:tcBorders>
            <w:shd w:val="clear" w:color="000000" w:fill="DBE5F1"/>
            <w:vAlign w:val="center"/>
            <w:hideMark/>
          </w:tcPr>
          <w:p w14:paraId="0E6B7BE2" w14:textId="77777777" w:rsidR="00147871" w:rsidRPr="006375EA" w:rsidRDefault="00147871" w:rsidP="00D637F6">
            <w:pPr>
              <w:rPr>
                <w:rFonts w:ascii="Calibri" w:hAnsi="Calibri" w:cs="Calibri"/>
                <w:color w:val="17365D"/>
                <w:sz w:val="20"/>
                <w:szCs w:val="20"/>
              </w:rPr>
            </w:pPr>
            <w:r w:rsidRPr="006375EA">
              <w:rPr>
                <w:rFonts w:ascii="Calibri" w:hAnsi="Calibri" w:cs="Calibri"/>
                <w:color w:val="17365D"/>
                <w:sz w:val="20"/>
                <w:szCs w:val="20"/>
              </w:rPr>
              <w:t>Commercial Licence</w:t>
            </w:r>
          </w:p>
        </w:tc>
        <w:tc>
          <w:tcPr>
            <w:tcW w:w="0" w:type="auto"/>
            <w:tcBorders>
              <w:top w:val="nil"/>
              <w:left w:val="nil"/>
              <w:bottom w:val="nil"/>
              <w:right w:val="single" w:sz="8" w:space="0" w:color="FFFFFF"/>
            </w:tcBorders>
            <w:shd w:val="clear" w:color="000000" w:fill="DBE5F1"/>
            <w:vAlign w:val="center"/>
            <w:hideMark/>
          </w:tcPr>
          <w:p w14:paraId="4C7C4DFD"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57C8C849"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4CB88F81"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5F6632C9"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6EB72A93"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03E93647"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24D3F26C"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7207EEA6"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355B5935"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0C7A0652"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405136E1"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06B32D55"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r>
      <w:tr w:rsidR="00147871" w:rsidRPr="00F04AAB" w14:paraId="3FE19FED" w14:textId="77777777" w:rsidTr="00147871">
        <w:trPr>
          <w:trHeight w:val="540"/>
        </w:trPr>
        <w:tc>
          <w:tcPr>
            <w:tcW w:w="0" w:type="auto"/>
            <w:tcBorders>
              <w:top w:val="single" w:sz="8" w:space="0" w:color="FFFFFF"/>
              <w:left w:val="nil"/>
              <w:bottom w:val="single" w:sz="8" w:space="0" w:color="FFFFFF"/>
              <w:right w:val="single" w:sz="8" w:space="0" w:color="FFFFFF"/>
            </w:tcBorders>
            <w:shd w:val="clear" w:color="000000" w:fill="4F81BD"/>
            <w:vAlign w:val="center"/>
            <w:hideMark/>
          </w:tcPr>
          <w:p w14:paraId="59D0C35B" w14:textId="77777777" w:rsidR="00147871" w:rsidRPr="00F04AAB" w:rsidRDefault="00147871" w:rsidP="00D637F6">
            <w:pPr>
              <w:jc w:val="center"/>
              <w:rPr>
                <w:rFonts w:ascii="Calibri" w:hAnsi="Calibri" w:cs="Calibri"/>
                <w:color w:val="FFFFFF"/>
                <w:sz w:val="20"/>
                <w:szCs w:val="20"/>
              </w:rPr>
            </w:pPr>
            <w:r w:rsidRPr="00F04AAB">
              <w:rPr>
                <w:rFonts w:ascii="Calibri" w:hAnsi="Calibri" w:cs="Calibri"/>
                <w:color w:val="FFFFFF"/>
                <w:sz w:val="20"/>
                <w:szCs w:val="20"/>
              </w:rPr>
              <w:t>4</w:t>
            </w:r>
          </w:p>
        </w:tc>
        <w:tc>
          <w:tcPr>
            <w:tcW w:w="2467" w:type="dxa"/>
            <w:tcBorders>
              <w:top w:val="nil"/>
              <w:left w:val="nil"/>
              <w:bottom w:val="single" w:sz="8" w:space="0" w:color="FFFFFF"/>
              <w:right w:val="single" w:sz="8" w:space="0" w:color="FFFFFF"/>
            </w:tcBorders>
            <w:shd w:val="clear" w:color="000000" w:fill="B8CCE4"/>
            <w:vAlign w:val="center"/>
            <w:hideMark/>
          </w:tcPr>
          <w:p w14:paraId="38E36369" w14:textId="77777777" w:rsidR="00147871" w:rsidRPr="007023C9" w:rsidRDefault="00147871" w:rsidP="00D637F6">
            <w:pPr>
              <w:rPr>
                <w:rFonts w:ascii="Calibri" w:hAnsi="Calibri" w:cs="Calibri"/>
                <w:color w:val="17365D"/>
                <w:sz w:val="20"/>
                <w:szCs w:val="20"/>
              </w:rPr>
            </w:pPr>
            <w:r w:rsidRPr="007023C9">
              <w:rPr>
                <w:rFonts w:ascii="Calibri" w:hAnsi="Calibri" w:cs="Calibri"/>
                <w:color w:val="17365D"/>
                <w:sz w:val="20"/>
                <w:szCs w:val="20"/>
              </w:rPr>
              <w:t>Research and Demonstration Licence</w:t>
            </w:r>
          </w:p>
        </w:tc>
        <w:tc>
          <w:tcPr>
            <w:tcW w:w="0" w:type="auto"/>
            <w:tcBorders>
              <w:top w:val="nil"/>
              <w:left w:val="nil"/>
              <w:bottom w:val="single" w:sz="8" w:space="0" w:color="FFFFFF"/>
              <w:right w:val="single" w:sz="8" w:space="0" w:color="FFFFFF"/>
            </w:tcBorders>
            <w:shd w:val="clear" w:color="000000" w:fill="B8CCE4"/>
            <w:vAlign w:val="center"/>
            <w:hideMark/>
          </w:tcPr>
          <w:p w14:paraId="06697576"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16CBD9D4"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25706911"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647B7CDA"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7071A291"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527679AE"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2626DC5B"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3BE06839"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2B0B3264"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6798FE71"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73662644"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30D6EA27"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r>
      <w:tr w:rsidR="00147871" w:rsidRPr="00F04AAB" w14:paraId="331BCE0D" w14:textId="77777777" w:rsidTr="00147871">
        <w:trPr>
          <w:trHeight w:val="540"/>
        </w:trPr>
        <w:tc>
          <w:tcPr>
            <w:tcW w:w="0" w:type="auto"/>
            <w:tcBorders>
              <w:top w:val="nil"/>
              <w:left w:val="nil"/>
              <w:bottom w:val="nil"/>
              <w:right w:val="single" w:sz="8" w:space="0" w:color="FFFFFF"/>
            </w:tcBorders>
            <w:shd w:val="clear" w:color="000000" w:fill="4F81BD"/>
            <w:vAlign w:val="center"/>
            <w:hideMark/>
          </w:tcPr>
          <w:p w14:paraId="4DC1250F" w14:textId="77777777" w:rsidR="00147871" w:rsidRPr="00F04AAB" w:rsidRDefault="00147871" w:rsidP="00D637F6">
            <w:pPr>
              <w:jc w:val="center"/>
              <w:rPr>
                <w:rFonts w:ascii="Calibri" w:hAnsi="Calibri" w:cs="Calibri"/>
                <w:color w:val="FFFFFF"/>
                <w:sz w:val="20"/>
                <w:szCs w:val="20"/>
              </w:rPr>
            </w:pPr>
            <w:r w:rsidRPr="00F04AAB">
              <w:rPr>
                <w:rFonts w:ascii="Calibri" w:hAnsi="Calibri" w:cs="Calibri"/>
                <w:color w:val="FFFFFF"/>
                <w:sz w:val="20"/>
                <w:szCs w:val="20"/>
              </w:rPr>
              <w:t>5</w:t>
            </w:r>
          </w:p>
        </w:tc>
        <w:tc>
          <w:tcPr>
            <w:tcW w:w="2467" w:type="dxa"/>
            <w:tcBorders>
              <w:top w:val="nil"/>
              <w:left w:val="nil"/>
              <w:bottom w:val="nil"/>
              <w:right w:val="single" w:sz="8" w:space="0" w:color="FFFFFF"/>
            </w:tcBorders>
            <w:shd w:val="clear" w:color="000000" w:fill="DBE5F1"/>
            <w:vAlign w:val="center"/>
            <w:hideMark/>
          </w:tcPr>
          <w:p w14:paraId="05B781C0" w14:textId="77777777" w:rsidR="00147871" w:rsidRPr="006375EA" w:rsidRDefault="00147871" w:rsidP="00D637F6">
            <w:pPr>
              <w:rPr>
                <w:rFonts w:ascii="Calibri" w:hAnsi="Calibri" w:cs="Calibri"/>
                <w:color w:val="17365D"/>
                <w:sz w:val="20"/>
                <w:szCs w:val="20"/>
              </w:rPr>
            </w:pPr>
            <w:r w:rsidRPr="006375EA">
              <w:rPr>
                <w:rFonts w:ascii="Calibri" w:hAnsi="Calibri" w:cs="Calibri"/>
                <w:color w:val="17365D"/>
                <w:sz w:val="20"/>
                <w:szCs w:val="20"/>
              </w:rPr>
              <w:t xml:space="preserve">Transmission and </w:t>
            </w:r>
            <w:r w:rsidRPr="006375EA">
              <w:rPr>
                <w:rFonts w:ascii="Calibri" w:hAnsi="Calibri" w:cs="Calibri"/>
                <w:color w:val="17365D"/>
                <w:sz w:val="20"/>
                <w:szCs w:val="20"/>
              </w:rPr>
              <w:br/>
              <w:t>Infrastructure Licence</w:t>
            </w:r>
          </w:p>
        </w:tc>
        <w:tc>
          <w:tcPr>
            <w:tcW w:w="0" w:type="auto"/>
            <w:tcBorders>
              <w:top w:val="nil"/>
              <w:left w:val="nil"/>
              <w:bottom w:val="nil"/>
              <w:right w:val="single" w:sz="8" w:space="0" w:color="FFFFFF"/>
            </w:tcBorders>
            <w:shd w:val="clear" w:color="000000" w:fill="DBE5F1"/>
            <w:vAlign w:val="center"/>
            <w:hideMark/>
          </w:tcPr>
          <w:p w14:paraId="6BF9594C"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57E39B70"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51CF0801"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0E72F2EC"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6ADDF211"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2%</w:t>
            </w:r>
          </w:p>
        </w:tc>
        <w:tc>
          <w:tcPr>
            <w:tcW w:w="0" w:type="auto"/>
            <w:tcBorders>
              <w:top w:val="nil"/>
              <w:left w:val="nil"/>
              <w:bottom w:val="nil"/>
              <w:right w:val="single" w:sz="8" w:space="0" w:color="FFFFFF"/>
            </w:tcBorders>
            <w:shd w:val="clear" w:color="000000" w:fill="DBE5F1"/>
            <w:vAlign w:val="center"/>
            <w:hideMark/>
          </w:tcPr>
          <w:p w14:paraId="5F9C6811" w14:textId="2C303CE2"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34,489</w:t>
            </w:r>
          </w:p>
        </w:tc>
        <w:tc>
          <w:tcPr>
            <w:tcW w:w="0" w:type="auto"/>
            <w:tcBorders>
              <w:top w:val="nil"/>
              <w:left w:val="nil"/>
              <w:bottom w:val="nil"/>
              <w:right w:val="single" w:sz="8" w:space="0" w:color="FFFFFF"/>
            </w:tcBorders>
            <w:shd w:val="clear" w:color="000000" w:fill="DBE5F1"/>
            <w:vAlign w:val="center"/>
            <w:hideMark/>
          </w:tcPr>
          <w:p w14:paraId="0E51319D" w14:textId="519C7F1B"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16,402</w:t>
            </w:r>
          </w:p>
        </w:tc>
        <w:tc>
          <w:tcPr>
            <w:tcW w:w="0" w:type="auto"/>
            <w:tcBorders>
              <w:top w:val="nil"/>
              <w:left w:val="nil"/>
              <w:bottom w:val="nil"/>
              <w:right w:val="single" w:sz="8" w:space="0" w:color="FFFFFF"/>
            </w:tcBorders>
            <w:shd w:val="clear" w:color="000000" w:fill="DBE5F1"/>
            <w:vAlign w:val="center"/>
            <w:hideMark/>
          </w:tcPr>
          <w:p w14:paraId="5BE91AEA" w14:textId="7BC51E90"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50,891</w:t>
            </w:r>
          </w:p>
        </w:tc>
        <w:tc>
          <w:tcPr>
            <w:tcW w:w="0" w:type="auto"/>
            <w:tcBorders>
              <w:top w:val="nil"/>
              <w:left w:val="nil"/>
              <w:bottom w:val="nil"/>
              <w:right w:val="single" w:sz="8" w:space="0" w:color="FFFFFF"/>
            </w:tcBorders>
            <w:shd w:val="clear" w:color="000000" w:fill="DBE5F1"/>
            <w:vAlign w:val="center"/>
            <w:hideMark/>
          </w:tcPr>
          <w:p w14:paraId="18BA7CC5"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2%</w:t>
            </w:r>
          </w:p>
        </w:tc>
        <w:tc>
          <w:tcPr>
            <w:tcW w:w="0" w:type="auto"/>
            <w:tcBorders>
              <w:top w:val="nil"/>
              <w:left w:val="nil"/>
              <w:bottom w:val="nil"/>
              <w:right w:val="single" w:sz="8" w:space="0" w:color="FFFFFF"/>
            </w:tcBorders>
            <w:shd w:val="clear" w:color="000000" w:fill="DBE5F1"/>
            <w:vAlign w:val="center"/>
            <w:hideMark/>
          </w:tcPr>
          <w:p w14:paraId="45514B69" w14:textId="5432641C"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35,023</w:t>
            </w:r>
          </w:p>
        </w:tc>
        <w:tc>
          <w:tcPr>
            <w:tcW w:w="0" w:type="auto"/>
            <w:tcBorders>
              <w:top w:val="nil"/>
              <w:left w:val="nil"/>
              <w:bottom w:val="nil"/>
              <w:right w:val="single" w:sz="8" w:space="0" w:color="FFFFFF"/>
            </w:tcBorders>
            <w:shd w:val="clear" w:color="000000" w:fill="DBE5F1"/>
            <w:vAlign w:val="center"/>
            <w:hideMark/>
          </w:tcPr>
          <w:p w14:paraId="5AC6DDAD" w14:textId="2C37724C"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17,597</w:t>
            </w:r>
          </w:p>
        </w:tc>
        <w:tc>
          <w:tcPr>
            <w:tcW w:w="0" w:type="auto"/>
            <w:tcBorders>
              <w:top w:val="nil"/>
              <w:left w:val="nil"/>
              <w:bottom w:val="nil"/>
              <w:right w:val="single" w:sz="8" w:space="0" w:color="FFFFFF"/>
            </w:tcBorders>
            <w:shd w:val="clear" w:color="000000" w:fill="DBE5F1"/>
            <w:vAlign w:val="center"/>
            <w:hideMark/>
          </w:tcPr>
          <w:p w14:paraId="1A330A38" w14:textId="66288534"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52,620</w:t>
            </w:r>
          </w:p>
        </w:tc>
      </w:tr>
      <w:tr w:rsidR="00147871" w:rsidRPr="00F04AAB" w14:paraId="5892D514" w14:textId="77777777" w:rsidTr="00147871">
        <w:trPr>
          <w:trHeight w:val="407"/>
        </w:trPr>
        <w:tc>
          <w:tcPr>
            <w:tcW w:w="0" w:type="auto"/>
            <w:tcBorders>
              <w:top w:val="single" w:sz="8" w:space="0" w:color="FFFFFF"/>
              <w:left w:val="nil"/>
              <w:bottom w:val="single" w:sz="8" w:space="0" w:color="FFFFFF"/>
              <w:right w:val="single" w:sz="8" w:space="0" w:color="FFFFFF"/>
            </w:tcBorders>
            <w:shd w:val="clear" w:color="000000" w:fill="4F81BD"/>
            <w:vAlign w:val="center"/>
            <w:hideMark/>
          </w:tcPr>
          <w:p w14:paraId="4CBC9C0B" w14:textId="77777777" w:rsidR="00147871" w:rsidRPr="00F04AAB" w:rsidRDefault="00147871" w:rsidP="00D637F6">
            <w:pPr>
              <w:jc w:val="center"/>
              <w:rPr>
                <w:rFonts w:ascii="Calibri" w:hAnsi="Calibri" w:cs="Calibri"/>
                <w:color w:val="FFFFFF"/>
                <w:sz w:val="20"/>
                <w:szCs w:val="20"/>
              </w:rPr>
            </w:pPr>
            <w:r w:rsidRPr="00F04AAB">
              <w:rPr>
                <w:rFonts w:ascii="Calibri" w:hAnsi="Calibri" w:cs="Calibri"/>
                <w:color w:val="FFFFFF"/>
                <w:sz w:val="20"/>
                <w:szCs w:val="20"/>
              </w:rPr>
              <w:t>6</w:t>
            </w:r>
          </w:p>
        </w:tc>
        <w:tc>
          <w:tcPr>
            <w:tcW w:w="2467" w:type="dxa"/>
            <w:tcBorders>
              <w:top w:val="nil"/>
              <w:left w:val="nil"/>
              <w:bottom w:val="single" w:sz="8" w:space="0" w:color="FFFFFF"/>
              <w:right w:val="single" w:sz="8" w:space="0" w:color="FFFFFF"/>
            </w:tcBorders>
            <w:shd w:val="clear" w:color="000000" w:fill="B8CCE4"/>
            <w:vAlign w:val="center"/>
            <w:hideMark/>
          </w:tcPr>
          <w:p w14:paraId="7ABB2B3C" w14:textId="77777777" w:rsidR="00147871" w:rsidRPr="007023C9" w:rsidRDefault="00147871" w:rsidP="00D637F6">
            <w:pPr>
              <w:rPr>
                <w:rFonts w:ascii="Calibri" w:hAnsi="Calibri" w:cs="Calibri"/>
                <w:color w:val="17365D"/>
                <w:sz w:val="20"/>
                <w:szCs w:val="20"/>
              </w:rPr>
            </w:pPr>
            <w:r w:rsidRPr="007023C9">
              <w:rPr>
                <w:rFonts w:ascii="Calibri" w:hAnsi="Calibri" w:cs="Calibri"/>
                <w:color w:val="17365D"/>
                <w:sz w:val="20"/>
                <w:szCs w:val="20"/>
              </w:rPr>
              <w:t>Transfer (all licences)</w:t>
            </w:r>
          </w:p>
        </w:tc>
        <w:tc>
          <w:tcPr>
            <w:tcW w:w="0" w:type="auto"/>
            <w:tcBorders>
              <w:top w:val="nil"/>
              <w:left w:val="nil"/>
              <w:bottom w:val="single" w:sz="8" w:space="0" w:color="FFFFFF"/>
              <w:right w:val="single" w:sz="8" w:space="0" w:color="FFFFFF"/>
            </w:tcBorders>
            <w:shd w:val="clear" w:color="000000" w:fill="B8CCE4"/>
            <w:vAlign w:val="center"/>
            <w:hideMark/>
          </w:tcPr>
          <w:p w14:paraId="79768372" w14:textId="77777777" w:rsidR="00147871" w:rsidRPr="007023C9" w:rsidRDefault="00147871" w:rsidP="00D637F6">
            <w:pPr>
              <w:rPr>
                <w:rFonts w:ascii="Calibri" w:hAnsi="Calibri" w:cs="Calibri"/>
                <w:color w:val="17365D"/>
                <w:sz w:val="20"/>
                <w:szCs w:val="20"/>
              </w:rPr>
            </w:pPr>
            <w:r w:rsidRPr="007023C9">
              <w:rPr>
                <w:rFonts w:ascii="Calibri" w:hAnsi="Calibri" w:cs="Calibri"/>
                <w:color w:val="17365D"/>
                <w:sz w:val="20"/>
                <w:szCs w:val="20"/>
              </w:rPr>
              <w:t> </w:t>
            </w:r>
          </w:p>
        </w:tc>
        <w:tc>
          <w:tcPr>
            <w:tcW w:w="0" w:type="auto"/>
            <w:tcBorders>
              <w:top w:val="nil"/>
              <w:left w:val="nil"/>
              <w:bottom w:val="single" w:sz="8" w:space="0" w:color="FFFFFF"/>
              <w:right w:val="single" w:sz="8" w:space="0" w:color="FFFFFF"/>
            </w:tcBorders>
            <w:shd w:val="clear" w:color="000000" w:fill="B8CCE4"/>
            <w:vAlign w:val="center"/>
            <w:hideMark/>
          </w:tcPr>
          <w:p w14:paraId="529DA6EC"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051984FA"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3F0F2B1C"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43F5A52B" w14:textId="77777777" w:rsidR="00147871" w:rsidRPr="007023C9" w:rsidRDefault="00147871" w:rsidP="00D637F6">
            <w:pPr>
              <w:rPr>
                <w:rFonts w:ascii="Calibri" w:hAnsi="Calibri" w:cs="Calibri"/>
                <w:color w:val="17365D"/>
                <w:sz w:val="20"/>
                <w:szCs w:val="20"/>
              </w:rPr>
            </w:pPr>
            <w:r w:rsidRPr="007023C9">
              <w:rPr>
                <w:rFonts w:ascii="Calibri" w:hAnsi="Calibri" w:cs="Calibri"/>
                <w:color w:val="17365D"/>
                <w:sz w:val="20"/>
                <w:szCs w:val="20"/>
              </w:rPr>
              <w:t> </w:t>
            </w:r>
          </w:p>
        </w:tc>
        <w:tc>
          <w:tcPr>
            <w:tcW w:w="0" w:type="auto"/>
            <w:tcBorders>
              <w:top w:val="nil"/>
              <w:left w:val="nil"/>
              <w:bottom w:val="single" w:sz="8" w:space="0" w:color="FFFFFF"/>
              <w:right w:val="single" w:sz="8" w:space="0" w:color="FFFFFF"/>
            </w:tcBorders>
            <w:shd w:val="clear" w:color="000000" w:fill="B8CCE4"/>
            <w:vAlign w:val="center"/>
            <w:hideMark/>
          </w:tcPr>
          <w:p w14:paraId="41CE2DD9"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1DC1C5C3"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2DCC7AD8"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1891825E" w14:textId="77777777" w:rsidR="00147871" w:rsidRPr="007023C9" w:rsidRDefault="00147871" w:rsidP="00D637F6">
            <w:pPr>
              <w:rPr>
                <w:rFonts w:ascii="Calibri" w:hAnsi="Calibri" w:cs="Calibri"/>
                <w:color w:val="17365D"/>
                <w:sz w:val="20"/>
                <w:szCs w:val="20"/>
              </w:rPr>
            </w:pPr>
            <w:r w:rsidRPr="007023C9">
              <w:rPr>
                <w:rFonts w:ascii="Calibri" w:hAnsi="Calibri" w:cs="Calibri"/>
                <w:color w:val="17365D"/>
                <w:sz w:val="20"/>
                <w:szCs w:val="20"/>
              </w:rPr>
              <w:t> </w:t>
            </w:r>
          </w:p>
        </w:tc>
        <w:tc>
          <w:tcPr>
            <w:tcW w:w="0" w:type="auto"/>
            <w:tcBorders>
              <w:top w:val="nil"/>
              <w:left w:val="nil"/>
              <w:bottom w:val="single" w:sz="8" w:space="0" w:color="FFFFFF"/>
              <w:right w:val="single" w:sz="8" w:space="0" w:color="FFFFFF"/>
            </w:tcBorders>
            <w:shd w:val="clear" w:color="000000" w:fill="B8CCE4"/>
            <w:vAlign w:val="center"/>
            <w:hideMark/>
          </w:tcPr>
          <w:p w14:paraId="21431815"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25FF9F7E"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5A9671A6"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r>
      <w:tr w:rsidR="00147871" w:rsidRPr="00F04AAB" w14:paraId="4F40144B" w14:textId="77777777" w:rsidTr="00147871">
        <w:trPr>
          <w:trHeight w:val="540"/>
        </w:trPr>
        <w:tc>
          <w:tcPr>
            <w:tcW w:w="0" w:type="auto"/>
            <w:tcBorders>
              <w:top w:val="nil"/>
              <w:left w:val="nil"/>
              <w:bottom w:val="nil"/>
              <w:right w:val="single" w:sz="8" w:space="0" w:color="FFFFFF"/>
            </w:tcBorders>
            <w:shd w:val="clear" w:color="000000" w:fill="4F81BD"/>
            <w:vAlign w:val="center"/>
            <w:hideMark/>
          </w:tcPr>
          <w:p w14:paraId="14055010" w14:textId="77777777" w:rsidR="00147871" w:rsidRPr="00F04AAB" w:rsidRDefault="00147871" w:rsidP="00D637F6">
            <w:pPr>
              <w:jc w:val="center"/>
              <w:rPr>
                <w:rFonts w:ascii="Calibri" w:hAnsi="Calibri" w:cs="Calibri"/>
                <w:color w:val="FFFFFF"/>
                <w:sz w:val="20"/>
                <w:szCs w:val="20"/>
              </w:rPr>
            </w:pPr>
            <w:r w:rsidRPr="00F04AAB">
              <w:rPr>
                <w:rFonts w:ascii="Calibri" w:hAnsi="Calibri" w:cs="Calibri"/>
                <w:color w:val="FFFFFF"/>
                <w:sz w:val="20"/>
                <w:szCs w:val="20"/>
              </w:rPr>
              <w:t>7</w:t>
            </w:r>
          </w:p>
        </w:tc>
        <w:tc>
          <w:tcPr>
            <w:tcW w:w="2467" w:type="dxa"/>
            <w:tcBorders>
              <w:top w:val="nil"/>
              <w:left w:val="nil"/>
              <w:bottom w:val="nil"/>
              <w:right w:val="single" w:sz="8" w:space="0" w:color="FFFFFF"/>
            </w:tcBorders>
            <w:shd w:val="clear" w:color="000000" w:fill="DBE5F1"/>
            <w:vAlign w:val="center"/>
            <w:hideMark/>
          </w:tcPr>
          <w:p w14:paraId="2ADD2997" w14:textId="77777777" w:rsidR="00147871" w:rsidRPr="006375EA" w:rsidRDefault="00147871" w:rsidP="00D637F6">
            <w:pPr>
              <w:rPr>
                <w:rFonts w:ascii="Calibri" w:hAnsi="Calibri" w:cs="Calibri"/>
                <w:color w:val="17365D"/>
                <w:sz w:val="20"/>
                <w:szCs w:val="20"/>
              </w:rPr>
            </w:pPr>
            <w:r w:rsidRPr="006375EA">
              <w:rPr>
                <w:rFonts w:ascii="Calibri" w:hAnsi="Calibri" w:cs="Calibri"/>
                <w:color w:val="17365D"/>
                <w:sz w:val="20"/>
                <w:szCs w:val="20"/>
              </w:rPr>
              <w:t>Change in Control (all licences)</w:t>
            </w:r>
          </w:p>
        </w:tc>
        <w:tc>
          <w:tcPr>
            <w:tcW w:w="0" w:type="auto"/>
            <w:tcBorders>
              <w:top w:val="nil"/>
              <w:left w:val="nil"/>
              <w:bottom w:val="nil"/>
              <w:right w:val="single" w:sz="8" w:space="0" w:color="FFFFFF"/>
            </w:tcBorders>
            <w:shd w:val="clear" w:color="000000" w:fill="DBE5F1"/>
            <w:vAlign w:val="center"/>
            <w:hideMark/>
          </w:tcPr>
          <w:p w14:paraId="01914D0B" w14:textId="77777777" w:rsidR="00147871" w:rsidRPr="006375EA" w:rsidRDefault="00147871" w:rsidP="00D637F6">
            <w:pPr>
              <w:rPr>
                <w:rFonts w:ascii="Calibri" w:hAnsi="Calibri" w:cs="Calibri"/>
                <w:color w:val="17365D"/>
                <w:sz w:val="20"/>
                <w:szCs w:val="20"/>
              </w:rPr>
            </w:pPr>
            <w:r w:rsidRPr="006375EA">
              <w:rPr>
                <w:rFonts w:ascii="Calibri" w:hAnsi="Calibri" w:cs="Calibri"/>
                <w:color w:val="17365D"/>
                <w:sz w:val="20"/>
                <w:szCs w:val="20"/>
              </w:rPr>
              <w:t> </w:t>
            </w:r>
          </w:p>
        </w:tc>
        <w:tc>
          <w:tcPr>
            <w:tcW w:w="0" w:type="auto"/>
            <w:tcBorders>
              <w:top w:val="nil"/>
              <w:left w:val="nil"/>
              <w:bottom w:val="nil"/>
              <w:right w:val="single" w:sz="8" w:space="0" w:color="FFFFFF"/>
            </w:tcBorders>
            <w:shd w:val="clear" w:color="000000" w:fill="DBE5F1"/>
            <w:vAlign w:val="center"/>
            <w:hideMark/>
          </w:tcPr>
          <w:p w14:paraId="3E45418A"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01F01ADD"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7343330D"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740A5E5A" w14:textId="77777777" w:rsidR="00147871" w:rsidRPr="006375EA" w:rsidRDefault="00147871" w:rsidP="00D637F6">
            <w:pPr>
              <w:rPr>
                <w:rFonts w:ascii="Calibri" w:hAnsi="Calibri" w:cs="Calibri"/>
                <w:color w:val="17365D"/>
                <w:sz w:val="20"/>
                <w:szCs w:val="20"/>
              </w:rPr>
            </w:pPr>
            <w:r w:rsidRPr="006375EA">
              <w:rPr>
                <w:rFonts w:ascii="Calibri" w:hAnsi="Calibri" w:cs="Calibri"/>
                <w:color w:val="17365D"/>
                <w:sz w:val="20"/>
                <w:szCs w:val="20"/>
              </w:rPr>
              <w:t> </w:t>
            </w:r>
          </w:p>
        </w:tc>
        <w:tc>
          <w:tcPr>
            <w:tcW w:w="0" w:type="auto"/>
            <w:tcBorders>
              <w:top w:val="nil"/>
              <w:left w:val="nil"/>
              <w:bottom w:val="nil"/>
              <w:right w:val="single" w:sz="8" w:space="0" w:color="FFFFFF"/>
            </w:tcBorders>
            <w:shd w:val="clear" w:color="000000" w:fill="DBE5F1"/>
            <w:vAlign w:val="center"/>
            <w:hideMark/>
          </w:tcPr>
          <w:p w14:paraId="4CD2915D"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451F8190"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64BA56EA"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5BA53489" w14:textId="77777777" w:rsidR="00147871" w:rsidRPr="006375EA" w:rsidRDefault="00147871" w:rsidP="00D637F6">
            <w:pPr>
              <w:rPr>
                <w:rFonts w:ascii="Calibri" w:hAnsi="Calibri" w:cs="Calibri"/>
                <w:color w:val="17365D"/>
                <w:sz w:val="20"/>
                <w:szCs w:val="20"/>
              </w:rPr>
            </w:pPr>
            <w:r w:rsidRPr="006375EA">
              <w:rPr>
                <w:rFonts w:ascii="Calibri" w:hAnsi="Calibri" w:cs="Calibri"/>
                <w:color w:val="17365D"/>
                <w:sz w:val="20"/>
                <w:szCs w:val="20"/>
              </w:rPr>
              <w:t> </w:t>
            </w:r>
          </w:p>
        </w:tc>
        <w:tc>
          <w:tcPr>
            <w:tcW w:w="0" w:type="auto"/>
            <w:tcBorders>
              <w:top w:val="nil"/>
              <w:left w:val="nil"/>
              <w:bottom w:val="nil"/>
              <w:right w:val="single" w:sz="8" w:space="0" w:color="FFFFFF"/>
            </w:tcBorders>
            <w:shd w:val="clear" w:color="000000" w:fill="DBE5F1"/>
            <w:vAlign w:val="center"/>
            <w:hideMark/>
          </w:tcPr>
          <w:p w14:paraId="6BDD4A54"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23795B33"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01AC6F8D"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r>
      <w:tr w:rsidR="00147871" w:rsidRPr="00F04AAB" w14:paraId="1CFD4AA3" w14:textId="77777777" w:rsidTr="00147871">
        <w:trPr>
          <w:trHeight w:val="407"/>
        </w:trPr>
        <w:tc>
          <w:tcPr>
            <w:tcW w:w="0" w:type="auto"/>
            <w:tcBorders>
              <w:top w:val="single" w:sz="8" w:space="0" w:color="FFFFFF"/>
              <w:left w:val="nil"/>
              <w:bottom w:val="single" w:sz="8" w:space="0" w:color="FFFFFF"/>
              <w:right w:val="single" w:sz="8" w:space="0" w:color="FFFFFF"/>
            </w:tcBorders>
            <w:shd w:val="clear" w:color="000000" w:fill="4F81BD"/>
            <w:vAlign w:val="center"/>
            <w:hideMark/>
          </w:tcPr>
          <w:p w14:paraId="68575132" w14:textId="77777777" w:rsidR="00147871" w:rsidRPr="00F04AAB" w:rsidRDefault="00147871" w:rsidP="00D637F6">
            <w:pPr>
              <w:jc w:val="center"/>
              <w:rPr>
                <w:rFonts w:ascii="Calibri" w:hAnsi="Calibri" w:cs="Calibri"/>
                <w:color w:val="FFFFFF"/>
                <w:sz w:val="20"/>
                <w:szCs w:val="20"/>
              </w:rPr>
            </w:pPr>
            <w:r w:rsidRPr="00F04AAB">
              <w:rPr>
                <w:rFonts w:ascii="Calibri" w:hAnsi="Calibri" w:cs="Calibri"/>
                <w:color w:val="FFFFFF"/>
                <w:sz w:val="20"/>
                <w:szCs w:val="20"/>
              </w:rPr>
              <w:t>8</w:t>
            </w:r>
          </w:p>
        </w:tc>
        <w:tc>
          <w:tcPr>
            <w:tcW w:w="2467" w:type="dxa"/>
            <w:tcBorders>
              <w:top w:val="nil"/>
              <w:left w:val="nil"/>
              <w:bottom w:val="single" w:sz="8" w:space="0" w:color="FFFFFF"/>
              <w:right w:val="single" w:sz="8" w:space="0" w:color="FFFFFF"/>
            </w:tcBorders>
            <w:shd w:val="clear" w:color="000000" w:fill="B8CCE4"/>
            <w:vAlign w:val="center"/>
            <w:hideMark/>
          </w:tcPr>
          <w:p w14:paraId="78D2D4BC" w14:textId="77777777" w:rsidR="00147871" w:rsidRPr="007023C9" w:rsidRDefault="00147871" w:rsidP="00D637F6">
            <w:pPr>
              <w:rPr>
                <w:rFonts w:ascii="Calibri" w:hAnsi="Calibri" w:cs="Calibri"/>
                <w:color w:val="17365D"/>
                <w:sz w:val="20"/>
                <w:szCs w:val="20"/>
              </w:rPr>
            </w:pPr>
            <w:r w:rsidRPr="007023C9">
              <w:rPr>
                <w:rFonts w:ascii="Calibri" w:hAnsi="Calibri" w:cs="Calibri"/>
                <w:color w:val="17365D"/>
                <w:sz w:val="20"/>
                <w:szCs w:val="20"/>
              </w:rPr>
              <w:t>Design Notification</w:t>
            </w:r>
          </w:p>
        </w:tc>
        <w:tc>
          <w:tcPr>
            <w:tcW w:w="0" w:type="auto"/>
            <w:tcBorders>
              <w:top w:val="nil"/>
              <w:left w:val="nil"/>
              <w:bottom w:val="single" w:sz="8" w:space="0" w:color="FFFFFF"/>
              <w:right w:val="single" w:sz="8" w:space="0" w:color="FFFFFF"/>
            </w:tcBorders>
            <w:shd w:val="clear" w:color="000000" w:fill="B8CCE4"/>
            <w:vAlign w:val="center"/>
            <w:hideMark/>
          </w:tcPr>
          <w:p w14:paraId="4B382DE0"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4544D4B3"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7CA0A732"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3A3B3701"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0CB9F55D"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550695A6"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78A7E93A"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5CAB53CC"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33BAB185"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6%</w:t>
            </w:r>
          </w:p>
        </w:tc>
        <w:tc>
          <w:tcPr>
            <w:tcW w:w="0" w:type="auto"/>
            <w:tcBorders>
              <w:top w:val="nil"/>
              <w:left w:val="nil"/>
              <w:bottom w:val="single" w:sz="8" w:space="0" w:color="FFFFFF"/>
              <w:right w:val="single" w:sz="8" w:space="0" w:color="FFFFFF"/>
            </w:tcBorders>
            <w:shd w:val="clear" w:color="000000" w:fill="B8CCE4"/>
            <w:vAlign w:val="center"/>
            <w:hideMark/>
          </w:tcPr>
          <w:p w14:paraId="1C391130" w14:textId="3B8B138D" w:rsidR="00147871" w:rsidRPr="007023C9" w:rsidRDefault="00572DD3"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114,699</w:t>
            </w:r>
          </w:p>
        </w:tc>
        <w:tc>
          <w:tcPr>
            <w:tcW w:w="0" w:type="auto"/>
            <w:tcBorders>
              <w:top w:val="nil"/>
              <w:left w:val="nil"/>
              <w:bottom w:val="single" w:sz="8" w:space="0" w:color="FFFFFF"/>
              <w:right w:val="single" w:sz="8" w:space="0" w:color="FFFFFF"/>
            </w:tcBorders>
            <w:shd w:val="clear" w:color="000000" w:fill="B8CCE4"/>
            <w:vAlign w:val="center"/>
            <w:hideMark/>
          </w:tcPr>
          <w:p w14:paraId="5455180E" w14:textId="1C582C2F" w:rsidR="00147871" w:rsidRPr="007023C9" w:rsidRDefault="00572DD3"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57,630</w:t>
            </w:r>
          </w:p>
        </w:tc>
        <w:tc>
          <w:tcPr>
            <w:tcW w:w="0" w:type="auto"/>
            <w:tcBorders>
              <w:top w:val="nil"/>
              <w:left w:val="nil"/>
              <w:bottom w:val="single" w:sz="8" w:space="0" w:color="FFFFFF"/>
              <w:right w:val="single" w:sz="8" w:space="0" w:color="FFFFFF"/>
            </w:tcBorders>
            <w:shd w:val="clear" w:color="000000" w:fill="B8CCE4"/>
            <w:vAlign w:val="center"/>
            <w:hideMark/>
          </w:tcPr>
          <w:p w14:paraId="5F88C513" w14:textId="1093FE3B" w:rsidR="00147871" w:rsidRPr="007023C9" w:rsidRDefault="00572DD3"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172,329</w:t>
            </w:r>
          </w:p>
        </w:tc>
      </w:tr>
      <w:tr w:rsidR="00147871" w:rsidRPr="00F04AAB" w14:paraId="5B2DC3B5" w14:textId="77777777" w:rsidTr="00147871">
        <w:trPr>
          <w:trHeight w:val="407"/>
        </w:trPr>
        <w:tc>
          <w:tcPr>
            <w:tcW w:w="0" w:type="auto"/>
            <w:tcBorders>
              <w:top w:val="nil"/>
              <w:left w:val="nil"/>
              <w:bottom w:val="nil"/>
              <w:right w:val="single" w:sz="8" w:space="0" w:color="FFFFFF"/>
            </w:tcBorders>
            <w:shd w:val="clear" w:color="000000" w:fill="4F81BD"/>
            <w:vAlign w:val="center"/>
            <w:hideMark/>
          </w:tcPr>
          <w:p w14:paraId="3C2515CC" w14:textId="77777777" w:rsidR="00147871" w:rsidRPr="00F04AAB" w:rsidRDefault="00147871" w:rsidP="00D637F6">
            <w:pPr>
              <w:jc w:val="center"/>
              <w:rPr>
                <w:rFonts w:ascii="Calibri" w:hAnsi="Calibri" w:cs="Calibri"/>
                <w:color w:val="FFFFFF"/>
                <w:sz w:val="20"/>
                <w:szCs w:val="20"/>
              </w:rPr>
            </w:pPr>
            <w:r w:rsidRPr="00F04AAB">
              <w:rPr>
                <w:rFonts w:ascii="Calibri" w:hAnsi="Calibri" w:cs="Calibri"/>
                <w:color w:val="FFFFFF"/>
                <w:sz w:val="20"/>
                <w:szCs w:val="20"/>
              </w:rPr>
              <w:t>9</w:t>
            </w:r>
          </w:p>
        </w:tc>
        <w:tc>
          <w:tcPr>
            <w:tcW w:w="2467" w:type="dxa"/>
            <w:tcBorders>
              <w:top w:val="nil"/>
              <w:left w:val="nil"/>
              <w:bottom w:val="nil"/>
              <w:right w:val="single" w:sz="8" w:space="0" w:color="FFFFFF"/>
            </w:tcBorders>
            <w:shd w:val="clear" w:color="000000" w:fill="DBE5F1"/>
            <w:vAlign w:val="center"/>
            <w:hideMark/>
          </w:tcPr>
          <w:p w14:paraId="75C210FE" w14:textId="77777777" w:rsidR="00147871" w:rsidRPr="006375EA" w:rsidRDefault="00147871" w:rsidP="00D637F6">
            <w:pPr>
              <w:rPr>
                <w:rFonts w:ascii="Calibri" w:hAnsi="Calibri" w:cs="Calibri"/>
                <w:color w:val="17365D"/>
                <w:sz w:val="20"/>
                <w:szCs w:val="20"/>
              </w:rPr>
            </w:pPr>
            <w:r w:rsidRPr="006375EA">
              <w:rPr>
                <w:rFonts w:ascii="Calibri" w:hAnsi="Calibri" w:cs="Calibri"/>
                <w:color w:val="17365D"/>
                <w:sz w:val="20"/>
                <w:szCs w:val="20"/>
              </w:rPr>
              <w:t>Management Plan</w:t>
            </w:r>
          </w:p>
        </w:tc>
        <w:tc>
          <w:tcPr>
            <w:tcW w:w="0" w:type="auto"/>
            <w:tcBorders>
              <w:top w:val="nil"/>
              <w:left w:val="nil"/>
              <w:bottom w:val="nil"/>
              <w:right w:val="single" w:sz="8" w:space="0" w:color="FFFFFF"/>
            </w:tcBorders>
            <w:shd w:val="clear" w:color="000000" w:fill="DBE5F1"/>
            <w:vAlign w:val="center"/>
            <w:hideMark/>
          </w:tcPr>
          <w:p w14:paraId="3112D0F8"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39E774C3"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7F773F4B"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1CC41403"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294082FE"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2AEE2430"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0CEF1E15"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4C61BA89"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5C3DE85E"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12%</w:t>
            </w:r>
          </w:p>
        </w:tc>
        <w:tc>
          <w:tcPr>
            <w:tcW w:w="0" w:type="auto"/>
            <w:tcBorders>
              <w:top w:val="nil"/>
              <w:left w:val="nil"/>
              <w:bottom w:val="nil"/>
              <w:right w:val="single" w:sz="8" w:space="0" w:color="FFFFFF"/>
            </w:tcBorders>
            <w:shd w:val="clear" w:color="000000" w:fill="DBE5F1"/>
            <w:vAlign w:val="center"/>
            <w:hideMark/>
          </w:tcPr>
          <w:p w14:paraId="4E084CBE" w14:textId="6179E522"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229,398</w:t>
            </w:r>
          </w:p>
        </w:tc>
        <w:tc>
          <w:tcPr>
            <w:tcW w:w="0" w:type="auto"/>
            <w:tcBorders>
              <w:top w:val="nil"/>
              <w:left w:val="nil"/>
              <w:bottom w:val="nil"/>
              <w:right w:val="single" w:sz="8" w:space="0" w:color="FFFFFF"/>
            </w:tcBorders>
            <w:shd w:val="clear" w:color="000000" w:fill="DBE5F1"/>
            <w:vAlign w:val="center"/>
            <w:hideMark/>
          </w:tcPr>
          <w:p w14:paraId="2F74F2C3" w14:textId="7DA3D0F3"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115,261</w:t>
            </w:r>
          </w:p>
        </w:tc>
        <w:tc>
          <w:tcPr>
            <w:tcW w:w="0" w:type="auto"/>
            <w:tcBorders>
              <w:top w:val="nil"/>
              <w:left w:val="nil"/>
              <w:bottom w:val="nil"/>
              <w:right w:val="single" w:sz="8" w:space="0" w:color="FFFFFF"/>
            </w:tcBorders>
            <w:shd w:val="clear" w:color="000000" w:fill="DBE5F1"/>
            <w:vAlign w:val="center"/>
            <w:hideMark/>
          </w:tcPr>
          <w:p w14:paraId="3491DF3C" w14:textId="188CCBF8"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344,659</w:t>
            </w:r>
          </w:p>
        </w:tc>
      </w:tr>
      <w:tr w:rsidR="00147871" w:rsidRPr="00F04AAB" w14:paraId="459180CC" w14:textId="77777777" w:rsidTr="00147871">
        <w:trPr>
          <w:trHeight w:val="540"/>
        </w:trPr>
        <w:tc>
          <w:tcPr>
            <w:tcW w:w="0" w:type="auto"/>
            <w:tcBorders>
              <w:top w:val="single" w:sz="8" w:space="0" w:color="FFFFFF"/>
              <w:left w:val="nil"/>
              <w:bottom w:val="single" w:sz="8" w:space="0" w:color="FFFFFF"/>
              <w:right w:val="single" w:sz="8" w:space="0" w:color="FFFFFF"/>
            </w:tcBorders>
            <w:shd w:val="clear" w:color="000000" w:fill="4F81BD"/>
            <w:vAlign w:val="center"/>
            <w:hideMark/>
          </w:tcPr>
          <w:p w14:paraId="05B9D877" w14:textId="77777777" w:rsidR="00147871" w:rsidRPr="00F04AAB" w:rsidRDefault="00147871" w:rsidP="00D637F6">
            <w:pPr>
              <w:jc w:val="center"/>
              <w:rPr>
                <w:rFonts w:ascii="Calibri" w:hAnsi="Calibri" w:cs="Calibri"/>
                <w:color w:val="FFFFFF"/>
                <w:sz w:val="20"/>
                <w:szCs w:val="20"/>
              </w:rPr>
            </w:pPr>
            <w:r w:rsidRPr="00F04AAB">
              <w:rPr>
                <w:rFonts w:ascii="Calibri" w:hAnsi="Calibri" w:cs="Calibri"/>
                <w:color w:val="FFFFFF"/>
                <w:sz w:val="20"/>
                <w:szCs w:val="20"/>
              </w:rPr>
              <w:t>10</w:t>
            </w:r>
          </w:p>
        </w:tc>
        <w:tc>
          <w:tcPr>
            <w:tcW w:w="2467" w:type="dxa"/>
            <w:tcBorders>
              <w:top w:val="nil"/>
              <w:left w:val="nil"/>
              <w:bottom w:val="single" w:sz="8" w:space="0" w:color="FFFFFF"/>
              <w:right w:val="single" w:sz="8" w:space="0" w:color="FFFFFF"/>
            </w:tcBorders>
            <w:shd w:val="clear" w:color="000000" w:fill="B8CCE4"/>
            <w:vAlign w:val="center"/>
            <w:hideMark/>
          </w:tcPr>
          <w:p w14:paraId="45B1FB50" w14:textId="77777777" w:rsidR="00147871" w:rsidRPr="007023C9" w:rsidRDefault="00147871" w:rsidP="00D637F6">
            <w:pPr>
              <w:rPr>
                <w:rFonts w:ascii="Calibri" w:hAnsi="Calibri" w:cs="Calibri"/>
                <w:color w:val="17365D"/>
                <w:sz w:val="20"/>
                <w:szCs w:val="20"/>
              </w:rPr>
            </w:pPr>
            <w:r w:rsidRPr="007023C9">
              <w:rPr>
                <w:rFonts w:ascii="Calibri" w:hAnsi="Calibri" w:cs="Calibri"/>
                <w:color w:val="17365D"/>
                <w:sz w:val="20"/>
                <w:szCs w:val="20"/>
              </w:rPr>
              <w:t>Management Plan Revision</w:t>
            </w:r>
          </w:p>
        </w:tc>
        <w:tc>
          <w:tcPr>
            <w:tcW w:w="0" w:type="auto"/>
            <w:tcBorders>
              <w:top w:val="nil"/>
              <w:left w:val="nil"/>
              <w:bottom w:val="single" w:sz="8" w:space="0" w:color="FFFFFF"/>
              <w:right w:val="single" w:sz="8" w:space="0" w:color="FFFFFF"/>
            </w:tcBorders>
            <w:shd w:val="clear" w:color="000000" w:fill="B8CCE4"/>
            <w:vAlign w:val="center"/>
            <w:hideMark/>
          </w:tcPr>
          <w:p w14:paraId="5802FABC"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0559F3DD"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66ED1889"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30D322E7"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2EEEB74F"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16FB1ECE"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3AD974CA"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43624CD0"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2D29A2D4"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31585BA2"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25C02DAB"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58A4CE77"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r>
      <w:tr w:rsidR="00147871" w:rsidRPr="00F04AAB" w14:paraId="62EC90B6" w14:textId="77777777" w:rsidTr="00147871">
        <w:trPr>
          <w:trHeight w:val="407"/>
        </w:trPr>
        <w:tc>
          <w:tcPr>
            <w:tcW w:w="0" w:type="auto"/>
            <w:tcBorders>
              <w:top w:val="nil"/>
              <w:left w:val="nil"/>
              <w:bottom w:val="nil"/>
              <w:right w:val="single" w:sz="8" w:space="0" w:color="FFFFFF"/>
            </w:tcBorders>
            <w:shd w:val="clear" w:color="000000" w:fill="4F81BD"/>
            <w:vAlign w:val="center"/>
            <w:hideMark/>
          </w:tcPr>
          <w:p w14:paraId="7A06FC94" w14:textId="77777777" w:rsidR="00147871" w:rsidRPr="00F04AAB" w:rsidRDefault="00147871" w:rsidP="00D637F6">
            <w:pPr>
              <w:jc w:val="center"/>
              <w:rPr>
                <w:rFonts w:ascii="Calibri" w:hAnsi="Calibri" w:cs="Calibri"/>
                <w:color w:val="FFFFFF"/>
                <w:sz w:val="20"/>
                <w:szCs w:val="20"/>
              </w:rPr>
            </w:pPr>
            <w:r w:rsidRPr="00F04AAB">
              <w:rPr>
                <w:rFonts w:ascii="Calibri" w:hAnsi="Calibri" w:cs="Calibri"/>
                <w:color w:val="FFFFFF"/>
                <w:sz w:val="20"/>
                <w:szCs w:val="20"/>
              </w:rPr>
              <w:t>11</w:t>
            </w:r>
          </w:p>
        </w:tc>
        <w:tc>
          <w:tcPr>
            <w:tcW w:w="2467" w:type="dxa"/>
            <w:tcBorders>
              <w:top w:val="nil"/>
              <w:left w:val="nil"/>
              <w:bottom w:val="nil"/>
              <w:right w:val="single" w:sz="8" w:space="0" w:color="FFFFFF"/>
            </w:tcBorders>
            <w:shd w:val="clear" w:color="000000" w:fill="DBE5F1"/>
            <w:vAlign w:val="center"/>
            <w:hideMark/>
          </w:tcPr>
          <w:p w14:paraId="7914BE3C" w14:textId="77777777" w:rsidR="00147871" w:rsidRPr="006375EA" w:rsidRDefault="00147871" w:rsidP="00D637F6">
            <w:pPr>
              <w:rPr>
                <w:rFonts w:ascii="Calibri" w:hAnsi="Calibri" w:cs="Calibri"/>
                <w:color w:val="17365D"/>
                <w:sz w:val="20"/>
                <w:szCs w:val="20"/>
              </w:rPr>
            </w:pPr>
            <w:r w:rsidRPr="006375EA">
              <w:rPr>
                <w:rFonts w:ascii="Calibri" w:hAnsi="Calibri" w:cs="Calibri"/>
                <w:color w:val="17365D"/>
                <w:sz w:val="20"/>
                <w:szCs w:val="20"/>
              </w:rPr>
              <w:t>Safety Zone</w:t>
            </w:r>
          </w:p>
        </w:tc>
        <w:tc>
          <w:tcPr>
            <w:tcW w:w="0" w:type="auto"/>
            <w:tcBorders>
              <w:top w:val="nil"/>
              <w:left w:val="nil"/>
              <w:bottom w:val="nil"/>
              <w:right w:val="single" w:sz="8" w:space="0" w:color="FFFFFF"/>
            </w:tcBorders>
            <w:shd w:val="clear" w:color="000000" w:fill="DBE5F1"/>
            <w:vAlign w:val="center"/>
            <w:hideMark/>
          </w:tcPr>
          <w:p w14:paraId="2BD30965"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5A1C3C6F"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084758E0"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34294817"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2EBF7578"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020A51A4"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60EABA45"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27F8E407"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0</w:t>
            </w:r>
          </w:p>
        </w:tc>
        <w:tc>
          <w:tcPr>
            <w:tcW w:w="0" w:type="auto"/>
            <w:tcBorders>
              <w:top w:val="nil"/>
              <w:left w:val="nil"/>
              <w:bottom w:val="nil"/>
              <w:right w:val="single" w:sz="8" w:space="0" w:color="FFFFFF"/>
            </w:tcBorders>
            <w:shd w:val="clear" w:color="000000" w:fill="DBE5F1"/>
            <w:vAlign w:val="center"/>
            <w:hideMark/>
          </w:tcPr>
          <w:p w14:paraId="1250ADCC"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6%</w:t>
            </w:r>
          </w:p>
        </w:tc>
        <w:tc>
          <w:tcPr>
            <w:tcW w:w="0" w:type="auto"/>
            <w:tcBorders>
              <w:top w:val="nil"/>
              <w:left w:val="nil"/>
              <w:bottom w:val="nil"/>
              <w:right w:val="single" w:sz="8" w:space="0" w:color="FFFFFF"/>
            </w:tcBorders>
            <w:shd w:val="clear" w:color="000000" w:fill="DBE5F1"/>
            <w:vAlign w:val="center"/>
            <w:hideMark/>
          </w:tcPr>
          <w:p w14:paraId="3C282900" w14:textId="6C7994D9"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114,699</w:t>
            </w:r>
          </w:p>
        </w:tc>
        <w:tc>
          <w:tcPr>
            <w:tcW w:w="0" w:type="auto"/>
            <w:tcBorders>
              <w:top w:val="nil"/>
              <w:left w:val="nil"/>
              <w:bottom w:val="nil"/>
              <w:right w:val="single" w:sz="8" w:space="0" w:color="FFFFFF"/>
            </w:tcBorders>
            <w:shd w:val="clear" w:color="000000" w:fill="DBE5F1"/>
            <w:vAlign w:val="center"/>
            <w:hideMark/>
          </w:tcPr>
          <w:p w14:paraId="6BB9C02F" w14:textId="1681AAD9"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57,630</w:t>
            </w:r>
          </w:p>
        </w:tc>
        <w:tc>
          <w:tcPr>
            <w:tcW w:w="0" w:type="auto"/>
            <w:tcBorders>
              <w:top w:val="nil"/>
              <w:left w:val="nil"/>
              <w:bottom w:val="nil"/>
              <w:right w:val="single" w:sz="8" w:space="0" w:color="FFFFFF"/>
            </w:tcBorders>
            <w:shd w:val="clear" w:color="000000" w:fill="DBE5F1"/>
            <w:vAlign w:val="center"/>
            <w:hideMark/>
          </w:tcPr>
          <w:p w14:paraId="500ECD73" w14:textId="6C6BA2C6"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172,329</w:t>
            </w:r>
          </w:p>
        </w:tc>
      </w:tr>
      <w:tr w:rsidR="00147871" w:rsidRPr="00F04AAB" w14:paraId="71A09BA0" w14:textId="77777777" w:rsidTr="00147871">
        <w:trPr>
          <w:trHeight w:val="407"/>
        </w:trPr>
        <w:tc>
          <w:tcPr>
            <w:tcW w:w="0" w:type="auto"/>
            <w:tcBorders>
              <w:top w:val="single" w:sz="8" w:space="0" w:color="FFFFFF"/>
              <w:left w:val="nil"/>
              <w:bottom w:val="single" w:sz="8" w:space="0" w:color="FFFFFF"/>
              <w:right w:val="single" w:sz="8" w:space="0" w:color="FFFFFF"/>
            </w:tcBorders>
            <w:shd w:val="clear" w:color="000000" w:fill="4F81BD"/>
            <w:vAlign w:val="center"/>
            <w:hideMark/>
          </w:tcPr>
          <w:p w14:paraId="28789173" w14:textId="77777777" w:rsidR="00147871" w:rsidRPr="00F04AAB" w:rsidRDefault="00147871" w:rsidP="00D637F6">
            <w:pPr>
              <w:jc w:val="center"/>
              <w:rPr>
                <w:rFonts w:ascii="Calibri" w:hAnsi="Calibri" w:cs="Calibri"/>
                <w:color w:val="FFFFFF"/>
                <w:sz w:val="20"/>
                <w:szCs w:val="20"/>
              </w:rPr>
            </w:pPr>
            <w:r w:rsidRPr="00F04AAB">
              <w:rPr>
                <w:rFonts w:ascii="Calibri" w:hAnsi="Calibri" w:cs="Calibri"/>
                <w:color w:val="FFFFFF"/>
                <w:sz w:val="20"/>
                <w:szCs w:val="20"/>
              </w:rPr>
              <w:t>12</w:t>
            </w:r>
          </w:p>
        </w:tc>
        <w:tc>
          <w:tcPr>
            <w:tcW w:w="2467" w:type="dxa"/>
            <w:tcBorders>
              <w:top w:val="nil"/>
              <w:left w:val="nil"/>
              <w:bottom w:val="single" w:sz="8" w:space="0" w:color="FFFFFF"/>
              <w:right w:val="single" w:sz="8" w:space="0" w:color="FFFFFF"/>
            </w:tcBorders>
            <w:shd w:val="clear" w:color="000000" w:fill="B8CCE4"/>
            <w:vAlign w:val="center"/>
            <w:hideMark/>
          </w:tcPr>
          <w:p w14:paraId="3470C1DE" w14:textId="77777777" w:rsidR="00147871" w:rsidRPr="007023C9" w:rsidRDefault="00147871" w:rsidP="00D637F6">
            <w:pPr>
              <w:rPr>
                <w:rFonts w:ascii="Calibri" w:hAnsi="Calibri" w:cs="Calibri"/>
                <w:color w:val="17365D"/>
                <w:sz w:val="20"/>
                <w:szCs w:val="20"/>
              </w:rPr>
            </w:pPr>
            <w:r w:rsidRPr="007023C9">
              <w:rPr>
                <w:rFonts w:ascii="Calibri" w:hAnsi="Calibri" w:cs="Calibri"/>
                <w:color w:val="17365D"/>
                <w:sz w:val="20"/>
                <w:szCs w:val="20"/>
              </w:rPr>
              <w:t>Protection Zone</w:t>
            </w:r>
          </w:p>
        </w:tc>
        <w:tc>
          <w:tcPr>
            <w:tcW w:w="0" w:type="auto"/>
            <w:tcBorders>
              <w:top w:val="nil"/>
              <w:left w:val="nil"/>
              <w:bottom w:val="single" w:sz="8" w:space="0" w:color="FFFFFF"/>
              <w:right w:val="single" w:sz="8" w:space="0" w:color="FFFFFF"/>
            </w:tcBorders>
            <w:shd w:val="clear" w:color="000000" w:fill="B8CCE4"/>
            <w:vAlign w:val="center"/>
            <w:hideMark/>
          </w:tcPr>
          <w:p w14:paraId="64CA3A5D"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3D2DDE06"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23AB56A9"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7F2859FF"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4A118C37"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1E3CE822"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21A22523"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64777FD0"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0</w:t>
            </w:r>
          </w:p>
        </w:tc>
        <w:tc>
          <w:tcPr>
            <w:tcW w:w="0" w:type="auto"/>
            <w:tcBorders>
              <w:top w:val="nil"/>
              <w:left w:val="nil"/>
              <w:bottom w:val="single" w:sz="8" w:space="0" w:color="FFFFFF"/>
              <w:right w:val="single" w:sz="8" w:space="0" w:color="FFFFFF"/>
            </w:tcBorders>
            <w:shd w:val="clear" w:color="000000" w:fill="B8CCE4"/>
            <w:vAlign w:val="center"/>
            <w:hideMark/>
          </w:tcPr>
          <w:p w14:paraId="576F2F12"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6%</w:t>
            </w:r>
          </w:p>
        </w:tc>
        <w:tc>
          <w:tcPr>
            <w:tcW w:w="0" w:type="auto"/>
            <w:tcBorders>
              <w:top w:val="nil"/>
              <w:left w:val="nil"/>
              <w:bottom w:val="single" w:sz="8" w:space="0" w:color="FFFFFF"/>
              <w:right w:val="single" w:sz="8" w:space="0" w:color="FFFFFF"/>
            </w:tcBorders>
            <w:shd w:val="clear" w:color="000000" w:fill="B8CCE4"/>
            <w:vAlign w:val="center"/>
            <w:hideMark/>
          </w:tcPr>
          <w:p w14:paraId="5F6D9D94" w14:textId="0F504C09" w:rsidR="00147871" w:rsidRPr="007023C9" w:rsidRDefault="00572DD3"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114,699</w:t>
            </w:r>
          </w:p>
        </w:tc>
        <w:tc>
          <w:tcPr>
            <w:tcW w:w="0" w:type="auto"/>
            <w:tcBorders>
              <w:top w:val="nil"/>
              <w:left w:val="nil"/>
              <w:bottom w:val="single" w:sz="8" w:space="0" w:color="FFFFFF"/>
              <w:right w:val="single" w:sz="8" w:space="0" w:color="FFFFFF"/>
            </w:tcBorders>
            <w:shd w:val="clear" w:color="000000" w:fill="B8CCE4"/>
            <w:vAlign w:val="center"/>
            <w:hideMark/>
          </w:tcPr>
          <w:p w14:paraId="0B432104" w14:textId="0783F571" w:rsidR="00147871" w:rsidRPr="007023C9" w:rsidRDefault="00572DD3"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57,630</w:t>
            </w:r>
          </w:p>
        </w:tc>
        <w:tc>
          <w:tcPr>
            <w:tcW w:w="0" w:type="auto"/>
            <w:tcBorders>
              <w:top w:val="nil"/>
              <w:left w:val="nil"/>
              <w:bottom w:val="single" w:sz="8" w:space="0" w:color="FFFFFF"/>
              <w:right w:val="single" w:sz="8" w:space="0" w:color="FFFFFF"/>
            </w:tcBorders>
            <w:shd w:val="clear" w:color="000000" w:fill="B8CCE4"/>
            <w:vAlign w:val="center"/>
            <w:hideMark/>
          </w:tcPr>
          <w:p w14:paraId="29565FA9" w14:textId="78508501" w:rsidR="00147871" w:rsidRPr="007023C9" w:rsidRDefault="00572DD3"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172,329</w:t>
            </w:r>
          </w:p>
        </w:tc>
      </w:tr>
      <w:tr w:rsidR="00147871" w:rsidRPr="00F04AAB" w14:paraId="5DDA62E6" w14:textId="77777777" w:rsidTr="00147871">
        <w:trPr>
          <w:trHeight w:val="540"/>
        </w:trPr>
        <w:tc>
          <w:tcPr>
            <w:tcW w:w="0" w:type="auto"/>
            <w:tcBorders>
              <w:top w:val="nil"/>
              <w:left w:val="nil"/>
              <w:bottom w:val="nil"/>
              <w:right w:val="single" w:sz="8" w:space="0" w:color="FFFFFF"/>
            </w:tcBorders>
            <w:shd w:val="clear" w:color="000000" w:fill="4F81BD"/>
            <w:vAlign w:val="center"/>
            <w:hideMark/>
          </w:tcPr>
          <w:p w14:paraId="397F4309" w14:textId="77777777" w:rsidR="00147871" w:rsidRPr="00F04AAB" w:rsidRDefault="00147871" w:rsidP="00D637F6">
            <w:pPr>
              <w:jc w:val="center"/>
              <w:rPr>
                <w:rFonts w:ascii="Calibri" w:hAnsi="Calibri" w:cs="Calibri"/>
                <w:color w:val="FFFFFF"/>
                <w:sz w:val="20"/>
                <w:szCs w:val="20"/>
              </w:rPr>
            </w:pPr>
            <w:r w:rsidRPr="00F04AAB">
              <w:rPr>
                <w:rFonts w:ascii="Calibri" w:hAnsi="Calibri" w:cs="Calibri"/>
                <w:color w:val="FFFFFF"/>
                <w:sz w:val="20"/>
                <w:szCs w:val="20"/>
              </w:rPr>
              <w:t>13</w:t>
            </w:r>
          </w:p>
        </w:tc>
        <w:tc>
          <w:tcPr>
            <w:tcW w:w="2467" w:type="dxa"/>
            <w:tcBorders>
              <w:top w:val="nil"/>
              <w:left w:val="nil"/>
              <w:bottom w:val="nil"/>
              <w:right w:val="single" w:sz="8" w:space="0" w:color="FFFFFF"/>
            </w:tcBorders>
            <w:shd w:val="clear" w:color="000000" w:fill="DBE5F1"/>
            <w:vAlign w:val="center"/>
            <w:hideMark/>
          </w:tcPr>
          <w:p w14:paraId="623B7820" w14:textId="77777777" w:rsidR="00147871" w:rsidRPr="006375EA" w:rsidRDefault="00147871" w:rsidP="00D637F6">
            <w:pPr>
              <w:rPr>
                <w:rFonts w:ascii="Calibri" w:hAnsi="Calibri" w:cs="Calibri"/>
                <w:color w:val="17365D"/>
                <w:sz w:val="20"/>
                <w:szCs w:val="20"/>
              </w:rPr>
            </w:pPr>
            <w:r w:rsidRPr="006375EA">
              <w:rPr>
                <w:rFonts w:ascii="Calibri" w:hAnsi="Calibri" w:cs="Calibri"/>
                <w:color w:val="17365D"/>
                <w:sz w:val="20"/>
                <w:szCs w:val="20"/>
              </w:rPr>
              <w:t>Legislative Development</w:t>
            </w:r>
          </w:p>
        </w:tc>
        <w:tc>
          <w:tcPr>
            <w:tcW w:w="0" w:type="auto"/>
            <w:tcBorders>
              <w:top w:val="nil"/>
              <w:left w:val="nil"/>
              <w:bottom w:val="nil"/>
              <w:right w:val="single" w:sz="8" w:space="0" w:color="FFFFFF"/>
            </w:tcBorders>
            <w:shd w:val="clear" w:color="000000" w:fill="DBE5F1"/>
            <w:vAlign w:val="center"/>
            <w:hideMark/>
          </w:tcPr>
          <w:p w14:paraId="1E7C44E2"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11%</w:t>
            </w:r>
          </w:p>
        </w:tc>
        <w:tc>
          <w:tcPr>
            <w:tcW w:w="0" w:type="auto"/>
            <w:tcBorders>
              <w:top w:val="nil"/>
              <w:left w:val="nil"/>
              <w:bottom w:val="nil"/>
              <w:right w:val="single" w:sz="8" w:space="0" w:color="FFFFFF"/>
            </w:tcBorders>
            <w:shd w:val="clear" w:color="000000" w:fill="DBE5F1"/>
            <w:vAlign w:val="center"/>
            <w:hideMark/>
          </w:tcPr>
          <w:p w14:paraId="206B631A" w14:textId="440B79F7"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127,813</w:t>
            </w:r>
          </w:p>
        </w:tc>
        <w:tc>
          <w:tcPr>
            <w:tcW w:w="0" w:type="auto"/>
            <w:tcBorders>
              <w:top w:val="nil"/>
              <w:left w:val="nil"/>
              <w:bottom w:val="nil"/>
              <w:right w:val="single" w:sz="8" w:space="0" w:color="FFFFFF"/>
            </w:tcBorders>
            <w:shd w:val="clear" w:color="000000" w:fill="DBE5F1"/>
            <w:vAlign w:val="center"/>
            <w:hideMark/>
          </w:tcPr>
          <w:p w14:paraId="52C59D7B" w14:textId="74D37F16"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56,641</w:t>
            </w:r>
          </w:p>
        </w:tc>
        <w:tc>
          <w:tcPr>
            <w:tcW w:w="0" w:type="auto"/>
            <w:tcBorders>
              <w:top w:val="nil"/>
              <w:left w:val="nil"/>
              <w:bottom w:val="nil"/>
              <w:right w:val="single" w:sz="8" w:space="0" w:color="FFFFFF"/>
            </w:tcBorders>
            <w:shd w:val="clear" w:color="000000" w:fill="DBE5F1"/>
            <w:vAlign w:val="center"/>
            <w:hideMark/>
          </w:tcPr>
          <w:p w14:paraId="02376B01" w14:textId="4B81FEE8"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184,454</w:t>
            </w:r>
          </w:p>
        </w:tc>
        <w:tc>
          <w:tcPr>
            <w:tcW w:w="0" w:type="auto"/>
            <w:tcBorders>
              <w:top w:val="nil"/>
              <w:left w:val="nil"/>
              <w:bottom w:val="nil"/>
              <w:right w:val="single" w:sz="8" w:space="0" w:color="FFFFFF"/>
            </w:tcBorders>
            <w:shd w:val="clear" w:color="000000" w:fill="DBE5F1"/>
            <w:vAlign w:val="center"/>
            <w:hideMark/>
          </w:tcPr>
          <w:p w14:paraId="2310A762"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10%</w:t>
            </w:r>
          </w:p>
        </w:tc>
        <w:tc>
          <w:tcPr>
            <w:tcW w:w="0" w:type="auto"/>
            <w:tcBorders>
              <w:top w:val="nil"/>
              <w:left w:val="nil"/>
              <w:bottom w:val="nil"/>
              <w:right w:val="single" w:sz="8" w:space="0" w:color="FFFFFF"/>
            </w:tcBorders>
            <w:shd w:val="clear" w:color="000000" w:fill="DBE5F1"/>
            <w:vAlign w:val="center"/>
            <w:hideMark/>
          </w:tcPr>
          <w:p w14:paraId="50F21FE9" w14:textId="65FB0628"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161,737</w:t>
            </w:r>
          </w:p>
        </w:tc>
        <w:tc>
          <w:tcPr>
            <w:tcW w:w="0" w:type="auto"/>
            <w:tcBorders>
              <w:top w:val="nil"/>
              <w:left w:val="nil"/>
              <w:bottom w:val="nil"/>
              <w:right w:val="single" w:sz="8" w:space="0" w:color="FFFFFF"/>
            </w:tcBorders>
            <w:shd w:val="clear" w:color="000000" w:fill="DBE5F1"/>
            <w:vAlign w:val="center"/>
            <w:hideMark/>
          </w:tcPr>
          <w:p w14:paraId="73BF1F28" w14:textId="310DA6FF"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76,916</w:t>
            </w:r>
          </w:p>
        </w:tc>
        <w:tc>
          <w:tcPr>
            <w:tcW w:w="0" w:type="auto"/>
            <w:tcBorders>
              <w:top w:val="nil"/>
              <w:left w:val="nil"/>
              <w:bottom w:val="nil"/>
              <w:right w:val="single" w:sz="8" w:space="0" w:color="FFFFFF"/>
            </w:tcBorders>
            <w:shd w:val="clear" w:color="000000" w:fill="DBE5F1"/>
            <w:vAlign w:val="center"/>
            <w:hideMark/>
          </w:tcPr>
          <w:p w14:paraId="061B48DB" w14:textId="1CF01043"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238,653</w:t>
            </w:r>
          </w:p>
        </w:tc>
        <w:tc>
          <w:tcPr>
            <w:tcW w:w="0" w:type="auto"/>
            <w:tcBorders>
              <w:top w:val="nil"/>
              <w:left w:val="nil"/>
              <w:bottom w:val="nil"/>
              <w:right w:val="single" w:sz="8" w:space="0" w:color="FFFFFF"/>
            </w:tcBorders>
            <w:shd w:val="clear" w:color="000000" w:fill="DBE5F1"/>
            <w:vAlign w:val="center"/>
            <w:hideMark/>
          </w:tcPr>
          <w:p w14:paraId="5FC6AED5"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6%</w:t>
            </w:r>
          </w:p>
        </w:tc>
        <w:tc>
          <w:tcPr>
            <w:tcW w:w="0" w:type="auto"/>
            <w:tcBorders>
              <w:top w:val="nil"/>
              <w:left w:val="nil"/>
              <w:bottom w:val="nil"/>
              <w:right w:val="single" w:sz="8" w:space="0" w:color="FFFFFF"/>
            </w:tcBorders>
            <w:shd w:val="clear" w:color="000000" w:fill="DBE5F1"/>
            <w:vAlign w:val="center"/>
            <w:hideMark/>
          </w:tcPr>
          <w:p w14:paraId="642E00D6" w14:textId="5707E7CC"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112,948</w:t>
            </w:r>
          </w:p>
        </w:tc>
        <w:tc>
          <w:tcPr>
            <w:tcW w:w="0" w:type="auto"/>
            <w:tcBorders>
              <w:top w:val="nil"/>
              <w:left w:val="nil"/>
              <w:bottom w:val="nil"/>
              <w:right w:val="single" w:sz="8" w:space="0" w:color="FFFFFF"/>
            </w:tcBorders>
            <w:shd w:val="clear" w:color="000000" w:fill="DBE5F1"/>
            <w:vAlign w:val="center"/>
            <w:hideMark/>
          </w:tcPr>
          <w:p w14:paraId="53E2FB51" w14:textId="004811B9"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56,750</w:t>
            </w:r>
          </w:p>
        </w:tc>
        <w:tc>
          <w:tcPr>
            <w:tcW w:w="0" w:type="auto"/>
            <w:tcBorders>
              <w:top w:val="nil"/>
              <w:left w:val="nil"/>
              <w:bottom w:val="nil"/>
              <w:right w:val="single" w:sz="8" w:space="0" w:color="FFFFFF"/>
            </w:tcBorders>
            <w:shd w:val="clear" w:color="000000" w:fill="DBE5F1"/>
            <w:vAlign w:val="center"/>
            <w:hideMark/>
          </w:tcPr>
          <w:p w14:paraId="45D029A4" w14:textId="2FE8B455"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169,698</w:t>
            </w:r>
          </w:p>
        </w:tc>
      </w:tr>
      <w:tr w:rsidR="00147871" w:rsidRPr="00F04AAB" w14:paraId="1640B6D7" w14:textId="77777777" w:rsidTr="00147871">
        <w:trPr>
          <w:trHeight w:val="407"/>
        </w:trPr>
        <w:tc>
          <w:tcPr>
            <w:tcW w:w="0" w:type="auto"/>
            <w:tcBorders>
              <w:top w:val="single" w:sz="8" w:space="0" w:color="FFFFFF"/>
              <w:left w:val="nil"/>
              <w:bottom w:val="single" w:sz="8" w:space="0" w:color="FFFFFF"/>
              <w:right w:val="single" w:sz="8" w:space="0" w:color="FFFFFF"/>
            </w:tcBorders>
            <w:shd w:val="clear" w:color="000000" w:fill="4F81BD"/>
            <w:vAlign w:val="center"/>
            <w:hideMark/>
          </w:tcPr>
          <w:p w14:paraId="1E110818" w14:textId="77777777" w:rsidR="00147871" w:rsidRPr="00F04AAB" w:rsidRDefault="00147871" w:rsidP="00D637F6">
            <w:pPr>
              <w:jc w:val="center"/>
              <w:rPr>
                <w:rFonts w:ascii="Calibri" w:hAnsi="Calibri" w:cs="Calibri"/>
                <w:color w:val="FFFFFF"/>
                <w:sz w:val="20"/>
                <w:szCs w:val="20"/>
              </w:rPr>
            </w:pPr>
            <w:r w:rsidRPr="00F04AAB">
              <w:rPr>
                <w:rFonts w:ascii="Calibri" w:hAnsi="Calibri" w:cs="Calibri"/>
                <w:color w:val="FFFFFF"/>
                <w:sz w:val="20"/>
                <w:szCs w:val="20"/>
              </w:rPr>
              <w:t>14</w:t>
            </w:r>
          </w:p>
        </w:tc>
        <w:tc>
          <w:tcPr>
            <w:tcW w:w="2467" w:type="dxa"/>
            <w:tcBorders>
              <w:top w:val="nil"/>
              <w:left w:val="nil"/>
              <w:bottom w:val="single" w:sz="8" w:space="0" w:color="FFFFFF"/>
              <w:right w:val="single" w:sz="8" w:space="0" w:color="FFFFFF"/>
            </w:tcBorders>
            <w:shd w:val="clear" w:color="000000" w:fill="B8CCE4"/>
            <w:vAlign w:val="center"/>
            <w:hideMark/>
          </w:tcPr>
          <w:p w14:paraId="0E7041D6" w14:textId="77777777" w:rsidR="00147871" w:rsidRPr="007023C9" w:rsidRDefault="00147871" w:rsidP="00D637F6">
            <w:pPr>
              <w:rPr>
                <w:rFonts w:ascii="Calibri" w:hAnsi="Calibri" w:cs="Calibri"/>
                <w:color w:val="17365D"/>
                <w:sz w:val="20"/>
                <w:szCs w:val="20"/>
              </w:rPr>
            </w:pPr>
            <w:r w:rsidRPr="007023C9">
              <w:rPr>
                <w:rFonts w:ascii="Calibri" w:hAnsi="Calibri" w:cs="Calibri"/>
                <w:color w:val="17365D"/>
                <w:sz w:val="20"/>
                <w:szCs w:val="20"/>
              </w:rPr>
              <w:t>Regulatory Operations</w:t>
            </w:r>
          </w:p>
        </w:tc>
        <w:tc>
          <w:tcPr>
            <w:tcW w:w="0" w:type="auto"/>
            <w:tcBorders>
              <w:top w:val="nil"/>
              <w:left w:val="nil"/>
              <w:bottom w:val="single" w:sz="8" w:space="0" w:color="FFFFFF"/>
              <w:right w:val="single" w:sz="8" w:space="0" w:color="FFFFFF"/>
            </w:tcBorders>
            <w:shd w:val="clear" w:color="000000" w:fill="B8CCE4"/>
            <w:vAlign w:val="center"/>
            <w:hideMark/>
          </w:tcPr>
          <w:p w14:paraId="039A5C4D"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33%</w:t>
            </w:r>
          </w:p>
        </w:tc>
        <w:tc>
          <w:tcPr>
            <w:tcW w:w="0" w:type="auto"/>
            <w:tcBorders>
              <w:top w:val="nil"/>
              <w:left w:val="nil"/>
              <w:bottom w:val="single" w:sz="8" w:space="0" w:color="FFFFFF"/>
              <w:right w:val="single" w:sz="8" w:space="0" w:color="FFFFFF"/>
            </w:tcBorders>
            <w:shd w:val="clear" w:color="000000" w:fill="B8CCE4"/>
            <w:vAlign w:val="center"/>
            <w:hideMark/>
          </w:tcPr>
          <w:p w14:paraId="53D3BA3B" w14:textId="0752C34A" w:rsidR="00147871" w:rsidRPr="007023C9" w:rsidRDefault="00572DD3"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394,091</w:t>
            </w:r>
          </w:p>
        </w:tc>
        <w:tc>
          <w:tcPr>
            <w:tcW w:w="0" w:type="auto"/>
            <w:tcBorders>
              <w:top w:val="nil"/>
              <w:left w:val="nil"/>
              <w:bottom w:val="single" w:sz="8" w:space="0" w:color="FFFFFF"/>
              <w:right w:val="single" w:sz="8" w:space="0" w:color="FFFFFF"/>
            </w:tcBorders>
            <w:shd w:val="clear" w:color="000000" w:fill="B8CCE4"/>
            <w:vAlign w:val="center"/>
            <w:hideMark/>
          </w:tcPr>
          <w:p w14:paraId="7C9C557A" w14:textId="70BF569E" w:rsidR="00147871" w:rsidRPr="007023C9" w:rsidRDefault="00572DD3"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174,643</w:t>
            </w:r>
          </w:p>
        </w:tc>
        <w:tc>
          <w:tcPr>
            <w:tcW w:w="0" w:type="auto"/>
            <w:tcBorders>
              <w:top w:val="nil"/>
              <w:left w:val="nil"/>
              <w:bottom w:val="single" w:sz="8" w:space="0" w:color="FFFFFF"/>
              <w:right w:val="single" w:sz="8" w:space="0" w:color="FFFFFF"/>
            </w:tcBorders>
            <w:shd w:val="clear" w:color="000000" w:fill="B8CCE4"/>
            <w:vAlign w:val="center"/>
            <w:hideMark/>
          </w:tcPr>
          <w:p w14:paraId="148826AE" w14:textId="551CDD73" w:rsidR="00147871" w:rsidRPr="007023C9" w:rsidRDefault="00572DD3"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568,734</w:t>
            </w:r>
          </w:p>
        </w:tc>
        <w:tc>
          <w:tcPr>
            <w:tcW w:w="0" w:type="auto"/>
            <w:tcBorders>
              <w:top w:val="nil"/>
              <w:left w:val="nil"/>
              <w:bottom w:val="single" w:sz="8" w:space="0" w:color="FFFFFF"/>
              <w:right w:val="single" w:sz="8" w:space="0" w:color="FFFFFF"/>
            </w:tcBorders>
            <w:shd w:val="clear" w:color="000000" w:fill="B8CCE4"/>
            <w:vAlign w:val="center"/>
            <w:hideMark/>
          </w:tcPr>
          <w:p w14:paraId="46409057"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31%</w:t>
            </w:r>
          </w:p>
        </w:tc>
        <w:tc>
          <w:tcPr>
            <w:tcW w:w="0" w:type="auto"/>
            <w:tcBorders>
              <w:top w:val="nil"/>
              <w:left w:val="nil"/>
              <w:bottom w:val="single" w:sz="8" w:space="0" w:color="FFFFFF"/>
              <w:right w:val="single" w:sz="8" w:space="0" w:color="FFFFFF"/>
            </w:tcBorders>
            <w:shd w:val="clear" w:color="000000" w:fill="B8CCE4"/>
            <w:vAlign w:val="center"/>
            <w:hideMark/>
          </w:tcPr>
          <w:p w14:paraId="35EE3D1C" w14:textId="6A28253D" w:rsidR="00147871" w:rsidRPr="007023C9" w:rsidRDefault="00572DD3"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498,691</w:t>
            </w:r>
          </w:p>
        </w:tc>
        <w:tc>
          <w:tcPr>
            <w:tcW w:w="0" w:type="auto"/>
            <w:tcBorders>
              <w:top w:val="nil"/>
              <w:left w:val="nil"/>
              <w:bottom w:val="single" w:sz="8" w:space="0" w:color="FFFFFF"/>
              <w:right w:val="single" w:sz="8" w:space="0" w:color="FFFFFF"/>
            </w:tcBorders>
            <w:shd w:val="clear" w:color="000000" w:fill="B8CCE4"/>
            <w:vAlign w:val="center"/>
            <w:hideMark/>
          </w:tcPr>
          <w:p w14:paraId="0FAB3D68" w14:textId="73CC5748" w:rsidR="00147871" w:rsidRPr="007023C9" w:rsidRDefault="00572DD3"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237,157</w:t>
            </w:r>
          </w:p>
        </w:tc>
        <w:tc>
          <w:tcPr>
            <w:tcW w:w="0" w:type="auto"/>
            <w:tcBorders>
              <w:top w:val="nil"/>
              <w:left w:val="nil"/>
              <w:bottom w:val="single" w:sz="8" w:space="0" w:color="FFFFFF"/>
              <w:right w:val="single" w:sz="8" w:space="0" w:color="FFFFFF"/>
            </w:tcBorders>
            <w:shd w:val="clear" w:color="000000" w:fill="B8CCE4"/>
            <w:vAlign w:val="center"/>
            <w:hideMark/>
          </w:tcPr>
          <w:p w14:paraId="375F7747" w14:textId="40ACA229" w:rsidR="00147871" w:rsidRPr="007023C9" w:rsidRDefault="00572DD3"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735,847</w:t>
            </w:r>
          </w:p>
        </w:tc>
        <w:tc>
          <w:tcPr>
            <w:tcW w:w="0" w:type="auto"/>
            <w:tcBorders>
              <w:top w:val="nil"/>
              <w:left w:val="nil"/>
              <w:bottom w:val="single" w:sz="8" w:space="0" w:color="FFFFFF"/>
              <w:right w:val="single" w:sz="8" w:space="0" w:color="FFFFFF"/>
            </w:tcBorders>
            <w:shd w:val="clear" w:color="000000" w:fill="B8CCE4"/>
            <w:vAlign w:val="center"/>
            <w:hideMark/>
          </w:tcPr>
          <w:p w14:paraId="646FB6FB"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29%</w:t>
            </w:r>
          </w:p>
        </w:tc>
        <w:tc>
          <w:tcPr>
            <w:tcW w:w="0" w:type="auto"/>
            <w:tcBorders>
              <w:top w:val="nil"/>
              <w:left w:val="nil"/>
              <w:bottom w:val="single" w:sz="8" w:space="0" w:color="FFFFFF"/>
              <w:right w:val="single" w:sz="8" w:space="0" w:color="FFFFFF"/>
            </w:tcBorders>
            <w:shd w:val="clear" w:color="000000" w:fill="B8CCE4"/>
            <w:vAlign w:val="center"/>
            <w:hideMark/>
          </w:tcPr>
          <w:p w14:paraId="2CCBB35F" w14:textId="65546110" w:rsidR="00147871" w:rsidRPr="007023C9" w:rsidRDefault="00572DD3"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542,632</w:t>
            </w:r>
          </w:p>
        </w:tc>
        <w:tc>
          <w:tcPr>
            <w:tcW w:w="0" w:type="auto"/>
            <w:tcBorders>
              <w:top w:val="nil"/>
              <w:left w:val="nil"/>
              <w:bottom w:val="single" w:sz="8" w:space="0" w:color="FFFFFF"/>
              <w:right w:val="single" w:sz="8" w:space="0" w:color="FFFFFF"/>
            </w:tcBorders>
            <w:shd w:val="clear" w:color="000000" w:fill="B8CCE4"/>
            <w:vAlign w:val="center"/>
            <w:hideMark/>
          </w:tcPr>
          <w:p w14:paraId="1DAD047A" w14:textId="67DCA2F9" w:rsidR="00147871" w:rsidRPr="007023C9" w:rsidRDefault="00572DD3"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272,644</w:t>
            </w:r>
          </w:p>
        </w:tc>
        <w:tc>
          <w:tcPr>
            <w:tcW w:w="0" w:type="auto"/>
            <w:tcBorders>
              <w:top w:val="nil"/>
              <w:left w:val="nil"/>
              <w:bottom w:val="single" w:sz="8" w:space="0" w:color="FFFFFF"/>
              <w:right w:val="single" w:sz="8" w:space="0" w:color="FFFFFF"/>
            </w:tcBorders>
            <w:shd w:val="clear" w:color="000000" w:fill="B8CCE4"/>
            <w:vAlign w:val="center"/>
            <w:hideMark/>
          </w:tcPr>
          <w:p w14:paraId="1191824E" w14:textId="0D5AEC56" w:rsidR="00147871" w:rsidRPr="007023C9" w:rsidRDefault="00572DD3"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815,276</w:t>
            </w:r>
          </w:p>
        </w:tc>
      </w:tr>
      <w:tr w:rsidR="00147871" w:rsidRPr="00F04AAB" w14:paraId="4D2BCD7B" w14:textId="77777777" w:rsidTr="00147871">
        <w:trPr>
          <w:trHeight w:val="407"/>
        </w:trPr>
        <w:tc>
          <w:tcPr>
            <w:tcW w:w="0" w:type="auto"/>
            <w:tcBorders>
              <w:top w:val="nil"/>
              <w:left w:val="nil"/>
              <w:bottom w:val="nil"/>
              <w:right w:val="single" w:sz="8" w:space="0" w:color="FFFFFF"/>
            </w:tcBorders>
            <w:shd w:val="clear" w:color="000000" w:fill="4F81BD"/>
            <w:vAlign w:val="center"/>
            <w:hideMark/>
          </w:tcPr>
          <w:p w14:paraId="4BB31B0A" w14:textId="77777777" w:rsidR="00147871" w:rsidRPr="00F04AAB" w:rsidRDefault="00147871" w:rsidP="00D637F6">
            <w:pPr>
              <w:jc w:val="center"/>
              <w:rPr>
                <w:rFonts w:ascii="Calibri" w:hAnsi="Calibri" w:cs="Calibri"/>
                <w:color w:val="FFFFFF"/>
                <w:sz w:val="20"/>
                <w:szCs w:val="20"/>
              </w:rPr>
            </w:pPr>
            <w:r w:rsidRPr="00F04AAB">
              <w:rPr>
                <w:rFonts w:ascii="Calibri" w:hAnsi="Calibri" w:cs="Calibri"/>
                <w:color w:val="FFFFFF"/>
                <w:sz w:val="20"/>
                <w:szCs w:val="20"/>
              </w:rPr>
              <w:t>15</w:t>
            </w:r>
          </w:p>
        </w:tc>
        <w:tc>
          <w:tcPr>
            <w:tcW w:w="2467" w:type="dxa"/>
            <w:tcBorders>
              <w:top w:val="nil"/>
              <w:left w:val="nil"/>
              <w:bottom w:val="nil"/>
              <w:right w:val="single" w:sz="8" w:space="0" w:color="FFFFFF"/>
            </w:tcBorders>
            <w:shd w:val="clear" w:color="000000" w:fill="DBE5F1"/>
            <w:vAlign w:val="center"/>
            <w:hideMark/>
          </w:tcPr>
          <w:p w14:paraId="31212CAB" w14:textId="77777777" w:rsidR="00147871" w:rsidRPr="006375EA" w:rsidRDefault="00147871" w:rsidP="00D637F6">
            <w:pPr>
              <w:rPr>
                <w:rFonts w:ascii="Calibri" w:hAnsi="Calibri" w:cs="Calibri"/>
                <w:color w:val="17365D"/>
                <w:sz w:val="20"/>
                <w:szCs w:val="20"/>
              </w:rPr>
            </w:pPr>
            <w:r w:rsidRPr="006375EA">
              <w:rPr>
                <w:rFonts w:ascii="Calibri" w:hAnsi="Calibri" w:cs="Calibri"/>
                <w:color w:val="17365D"/>
                <w:sz w:val="20"/>
                <w:szCs w:val="20"/>
              </w:rPr>
              <w:t>Engagement</w:t>
            </w:r>
          </w:p>
        </w:tc>
        <w:tc>
          <w:tcPr>
            <w:tcW w:w="0" w:type="auto"/>
            <w:tcBorders>
              <w:top w:val="nil"/>
              <w:left w:val="nil"/>
              <w:bottom w:val="nil"/>
              <w:right w:val="single" w:sz="8" w:space="0" w:color="FFFFFF"/>
            </w:tcBorders>
            <w:shd w:val="clear" w:color="000000" w:fill="DBE5F1"/>
            <w:vAlign w:val="center"/>
            <w:hideMark/>
          </w:tcPr>
          <w:p w14:paraId="60BB7463"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22%</w:t>
            </w:r>
          </w:p>
        </w:tc>
        <w:tc>
          <w:tcPr>
            <w:tcW w:w="0" w:type="auto"/>
            <w:tcBorders>
              <w:top w:val="nil"/>
              <w:left w:val="nil"/>
              <w:bottom w:val="nil"/>
              <w:right w:val="single" w:sz="8" w:space="0" w:color="FFFFFF"/>
            </w:tcBorders>
            <w:shd w:val="clear" w:color="000000" w:fill="DBE5F1"/>
            <w:vAlign w:val="center"/>
            <w:hideMark/>
          </w:tcPr>
          <w:p w14:paraId="126CD2C2" w14:textId="0D1A9719"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255,627</w:t>
            </w:r>
          </w:p>
        </w:tc>
        <w:tc>
          <w:tcPr>
            <w:tcW w:w="0" w:type="auto"/>
            <w:tcBorders>
              <w:top w:val="nil"/>
              <w:left w:val="nil"/>
              <w:bottom w:val="nil"/>
              <w:right w:val="single" w:sz="8" w:space="0" w:color="FFFFFF"/>
            </w:tcBorders>
            <w:shd w:val="clear" w:color="000000" w:fill="DBE5F1"/>
            <w:vAlign w:val="center"/>
            <w:hideMark/>
          </w:tcPr>
          <w:p w14:paraId="73DE1951" w14:textId="776ACD54"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113,282</w:t>
            </w:r>
          </w:p>
        </w:tc>
        <w:tc>
          <w:tcPr>
            <w:tcW w:w="0" w:type="auto"/>
            <w:tcBorders>
              <w:top w:val="nil"/>
              <w:left w:val="nil"/>
              <w:bottom w:val="nil"/>
              <w:right w:val="single" w:sz="8" w:space="0" w:color="FFFFFF"/>
            </w:tcBorders>
            <w:shd w:val="clear" w:color="000000" w:fill="DBE5F1"/>
            <w:vAlign w:val="center"/>
            <w:hideMark/>
          </w:tcPr>
          <w:p w14:paraId="2A7E2526" w14:textId="4F687671"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368,908</w:t>
            </w:r>
          </w:p>
        </w:tc>
        <w:tc>
          <w:tcPr>
            <w:tcW w:w="0" w:type="auto"/>
            <w:tcBorders>
              <w:top w:val="nil"/>
              <w:left w:val="nil"/>
              <w:bottom w:val="nil"/>
              <w:right w:val="single" w:sz="8" w:space="0" w:color="FFFFFF"/>
            </w:tcBorders>
            <w:shd w:val="clear" w:color="000000" w:fill="DBE5F1"/>
            <w:vAlign w:val="center"/>
            <w:hideMark/>
          </w:tcPr>
          <w:p w14:paraId="4463EBDC"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20%</w:t>
            </w:r>
          </w:p>
        </w:tc>
        <w:tc>
          <w:tcPr>
            <w:tcW w:w="0" w:type="auto"/>
            <w:tcBorders>
              <w:top w:val="nil"/>
              <w:left w:val="nil"/>
              <w:bottom w:val="nil"/>
              <w:right w:val="single" w:sz="8" w:space="0" w:color="FFFFFF"/>
            </w:tcBorders>
            <w:shd w:val="clear" w:color="000000" w:fill="DBE5F1"/>
            <w:vAlign w:val="center"/>
            <w:hideMark/>
          </w:tcPr>
          <w:p w14:paraId="485C3495" w14:textId="212986E7"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323,475</w:t>
            </w:r>
          </w:p>
        </w:tc>
        <w:tc>
          <w:tcPr>
            <w:tcW w:w="0" w:type="auto"/>
            <w:tcBorders>
              <w:top w:val="nil"/>
              <w:left w:val="nil"/>
              <w:bottom w:val="nil"/>
              <w:right w:val="single" w:sz="8" w:space="0" w:color="FFFFFF"/>
            </w:tcBorders>
            <w:shd w:val="clear" w:color="000000" w:fill="DBE5F1"/>
            <w:vAlign w:val="center"/>
            <w:hideMark/>
          </w:tcPr>
          <w:p w14:paraId="145A13EB" w14:textId="013D4C69"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153,831</w:t>
            </w:r>
          </w:p>
        </w:tc>
        <w:tc>
          <w:tcPr>
            <w:tcW w:w="0" w:type="auto"/>
            <w:tcBorders>
              <w:top w:val="nil"/>
              <w:left w:val="nil"/>
              <w:bottom w:val="nil"/>
              <w:right w:val="single" w:sz="8" w:space="0" w:color="FFFFFF"/>
            </w:tcBorders>
            <w:shd w:val="clear" w:color="000000" w:fill="DBE5F1"/>
            <w:vAlign w:val="center"/>
            <w:hideMark/>
          </w:tcPr>
          <w:p w14:paraId="5EBAE567" w14:textId="39D5C97D"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477,306</w:t>
            </w:r>
          </w:p>
        </w:tc>
        <w:tc>
          <w:tcPr>
            <w:tcW w:w="0" w:type="auto"/>
            <w:tcBorders>
              <w:top w:val="nil"/>
              <w:left w:val="nil"/>
              <w:bottom w:val="nil"/>
              <w:right w:val="single" w:sz="8" w:space="0" w:color="FFFFFF"/>
            </w:tcBorders>
            <w:shd w:val="clear" w:color="000000" w:fill="DBE5F1"/>
            <w:vAlign w:val="center"/>
            <w:hideMark/>
          </w:tcPr>
          <w:p w14:paraId="42FF81C0" w14:textId="77777777" w:rsidR="00147871" w:rsidRPr="006375EA" w:rsidRDefault="00147871" w:rsidP="00D637F6">
            <w:pPr>
              <w:jc w:val="right"/>
              <w:rPr>
                <w:rFonts w:ascii="Calibri" w:hAnsi="Calibri" w:cs="Calibri"/>
                <w:color w:val="17365D"/>
                <w:sz w:val="20"/>
                <w:szCs w:val="20"/>
              </w:rPr>
            </w:pPr>
            <w:r w:rsidRPr="006375EA">
              <w:rPr>
                <w:rFonts w:ascii="Calibri" w:hAnsi="Calibri" w:cs="Calibri"/>
                <w:color w:val="17365D"/>
                <w:sz w:val="20"/>
                <w:szCs w:val="20"/>
              </w:rPr>
              <w:t>12%</w:t>
            </w:r>
          </w:p>
        </w:tc>
        <w:tc>
          <w:tcPr>
            <w:tcW w:w="0" w:type="auto"/>
            <w:tcBorders>
              <w:top w:val="nil"/>
              <w:left w:val="nil"/>
              <w:bottom w:val="nil"/>
              <w:right w:val="single" w:sz="8" w:space="0" w:color="FFFFFF"/>
            </w:tcBorders>
            <w:shd w:val="clear" w:color="000000" w:fill="DBE5F1"/>
            <w:vAlign w:val="center"/>
            <w:hideMark/>
          </w:tcPr>
          <w:p w14:paraId="5F217AB7" w14:textId="711C887D"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221,693</w:t>
            </w:r>
          </w:p>
        </w:tc>
        <w:tc>
          <w:tcPr>
            <w:tcW w:w="0" w:type="auto"/>
            <w:tcBorders>
              <w:top w:val="nil"/>
              <w:left w:val="nil"/>
              <w:bottom w:val="nil"/>
              <w:right w:val="single" w:sz="8" w:space="0" w:color="FFFFFF"/>
            </w:tcBorders>
            <w:shd w:val="clear" w:color="000000" w:fill="DBE5F1"/>
            <w:vAlign w:val="center"/>
            <w:hideMark/>
          </w:tcPr>
          <w:p w14:paraId="226DA1C3" w14:textId="16651037"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111,389</w:t>
            </w:r>
          </w:p>
        </w:tc>
        <w:tc>
          <w:tcPr>
            <w:tcW w:w="0" w:type="auto"/>
            <w:tcBorders>
              <w:top w:val="nil"/>
              <w:left w:val="nil"/>
              <w:bottom w:val="nil"/>
              <w:right w:val="single" w:sz="8" w:space="0" w:color="FFFFFF"/>
            </w:tcBorders>
            <w:shd w:val="clear" w:color="000000" w:fill="DBE5F1"/>
            <w:vAlign w:val="center"/>
            <w:hideMark/>
          </w:tcPr>
          <w:p w14:paraId="62E3832A" w14:textId="74294F58" w:rsidR="00147871" w:rsidRPr="006375EA" w:rsidRDefault="00572DD3" w:rsidP="00D637F6">
            <w:pPr>
              <w:jc w:val="right"/>
              <w:rPr>
                <w:rFonts w:ascii="Calibri" w:hAnsi="Calibri" w:cs="Calibri"/>
                <w:color w:val="17365D"/>
                <w:sz w:val="20"/>
                <w:szCs w:val="20"/>
              </w:rPr>
            </w:pPr>
            <w:r w:rsidRPr="006375EA">
              <w:rPr>
                <w:rFonts w:ascii="Calibri" w:hAnsi="Calibri" w:cs="Calibri"/>
                <w:color w:val="17365D"/>
                <w:sz w:val="20"/>
                <w:szCs w:val="20"/>
              </w:rPr>
              <w:t>$</w:t>
            </w:r>
            <w:r w:rsidR="00147871" w:rsidRPr="006375EA">
              <w:rPr>
                <w:rFonts w:ascii="Calibri" w:hAnsi="Calibri" w:cs="Calibri"/>
                <w:color w:val="17365D"/>
                <w:sz w:val="20"/>
                <w:szCs w:val="20"/>
              </w:rPr>
              <w:t>333,083</w:t>
            </w:r>
          </w:p>
        </w:tc>
      </w:tr>
      <w:tr w:rsidR="00147871" w:rsidRPr="00F04AAB" w14:paraId="0CB11691" w14:textId="77777777" w:rsidTr="00147871">
        <w:trPr>
          <w:trHeight w:val="407"/>
        </w:trPr>
        <w:tc>
          <w:tcPr>
            <w:tcW w:w="0" w:type="auto"/>
            <w:tcBorders>
              <w:top w:val="single" w:sz="8" w:space="0" w:color="FFFFFF"/>
              <w:left w:val="nil"/>
              <w:bottom w:val="single" w:sz="8" w:space="0" w:color="FFFFFF"/>
              <w:right w:val="single" w:sz="8" w:space="0" w:color="FFFFFF"/>
            </w:tcBorders>
            <w:shd w:val="clear" w:color="000000" w:fill="4F81BD"/>
            <w:vAlign w:val="center"/>
            <w:hideMark/>
          </w:tcPr>
          <w:p w14:paraId="2476BEC1" w14:textId="77777777" w:rsidR="00147871" w:rsidRPr="00F04AAB" w:rsidRDefault="00147871" w:rsidP="00D637F6">
            <w:pPr>
              <w:jc w:val="center"/>
              <w:rPr>
                <w:rFonts w:ascii="Calibri" w:hAnsi="Calibri" w:cs="Calibri"/>
                <w:color w:val="FFFFFF"/>
                <w:sz w:val="20"/>
                <w:szCs w:val="20"/>
              </w:rPr>
            </w:pPr>
            <w:r w:rsidRPr="00F04AAB">
              <w:rPr>
                <w:rFonts w:ascii="Calibri" w:hAnsi="Calibri" w:cs="Calibri"/>
                <w:color w:val="FFFFFF"/>
                <w:sz w:val="20"/>
                <w:szCs w:val="20"/>
              </w:rPr>
              <w:t>16</w:t>
            </w:r>
          </w:p>
        </w:tc>
        <w:tc>
          <w:tcPr>
            <w:tcW w:w="2467" w:type="dxa"/>
            <w:tcBorders>
              <w:top w:val="nil"/>
              <w:left w:val="nil"/>
              <w:bottom w:val="single" w:sz="8" w:space="0" w:color="FFFFFF"/>
              <w:right w:val="single" w:sz="8" w:space="0" w:color="FFFFFF"/>
            </w:tcBorders>
            <w:shd w:val="clear" w:color="000000" w:fill="B8CCE4"/>
            <w:vAlign w:val="center"/>
            <w:hideMark/>
          </w:tcPr>
          <w:p w14:paraId="7A80A822" w14:textId="77777777" w:rsidR="00147871" w:rsidRPr="007023C9" w:rsidRDefault="00147871" w:rsidP="00D637F6">
            <w:pPr>
              <w:rPr>
                <w:rFonts w:ascii="Calibri" w:hAnsi="Calibri" w:cs="Calibri"/>
                <w:color w:val="17365D"/>
                <w:sz w:val="20"/>
                <w:szCs w:val="20"/>
              </w:rPr>
            </w:pPr>
            <w:r w:rsidRPr="007023C9">
              <w:rPr>
                <w:rFonts w:ascii="Calibri" w:hAnsi="Calibri" w:cs="Calibri"/>
                <w:color w:val="17365D"/>
                <w:sz w:val="20"/>
                <w:szCs w:val="20"/>
              </w:rPr>
              <w:t>Governance</w:t>
            </w:r>
          </w:p>
        </w:tc>
        <w:tc>
          <w:tcPr>
            <w:tcW w:w="0" w:type="auto"/>
            <w:tcBorders>
              <w:top w:val="nil"/>
              <w:left w:val="nil"/>
              <w:bottom w:val="single" w:sz="8" w:space="0" w:color="FFFFFF"/>
              <w:right w:val="single" w:sz="8" w:space="0" w:color="FFFFFF"/>
            </w:tcBorders>
            <w:shd w:val="clear" w:color="000000" w:fill="B8CCE4"/>
            <w:vAlign w:val="center"/>
            <w:hideMark/>
          </w:tcPr>
          <w:p w14:paraId="34BF1F22"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23%</w:t>
            </w:r>
          </w:p>
        </w:tc>
        <w:tc>
          <w:tcPr>
            <w:tcW w:w="0" w:type="auto"/>
            <w:tcBorders>
              <w:top w:val="nil"/>
              <w:left w:val="nil"/>
              <w:bottom w:val="single" w:sz="8" w:space="0" w:color="FFFFFF"/>
              <w:right w:val="single" w:sz="8" w:space="0" w:color="FFFFFF"/>
            </w:tcBorders>
            <w:shd w:val="clear" w:color="000000" w:fill="B8CCE4"/>
            <w:vAlign w:val="center"/>
            <w:hideMark/>
          </w:tcPr>
          <w:p w14:paraId="231A1BB8" w14:textId="502349D0" w:rsidR="00147871" w:rsidRPr="007023C9" w:rsidRDefault="00572DD3"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276,929</w:t>
            </w:r>
          </w:p>
        </w:tc>
        <w:tc>
          <w:tcPr>
            <w:tcW w:w="0" w:type="auto"/>
            <w:tcBorders>
              <w:top w:val="nil"/>
              <w:left w:val="nil"/>
              <w:bottom w:val="single" w:sz="8" w:space="0" w:color="FFFFFF"/>
              <w:right w:val="single" w:sz="8" w:space="0" w:color="FFFFFF"/>
            </w:tcBorders>
            <w:shd w:val="clear" w:color="000000" w:fill="B8CCE4"/>
            <w:vAlign w:val="center"/>
            <w:hideMark/>
          </w:tcPr>
          <w:p w14:paraId="3BA61672" w14:textId="5753F8F0" w:rsidR="00147871" w:rsidRPr="007023C9" w:rsidRDefault="00572DD3"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122,722</w:t>
            </w:r>
          </w:p>
        </w:tc>
        <w:tc>
          <w:tcPr>
            <w:tcW w:w="0" w:type="auto"/>
            <w:tcBorders>
              <w:top w:val="nil"/>
              <w:left w:val="nil"/>
              <w:bottom w:val="single" w:sz="8" w:space="0" w:color="FFFFFF"/>
              <w:right w:val="single" w:sz="8" w:space="0" w:color="FFFFFF"/>
            </w:tcBorders>
            <w:shd w:val="clear" w:color="000000" w:fill="B8CCE4"/>
            <w:vAlign w:val="center"/>
            <w:hideMark/>
          </w:tcPr>
          <w:p w14:paraId="6DB7DA85" w14:textId="7594BBF1" w:rsidR="00147871" w:rsidRPr="007023C9" w:rsidRDefault="00572DD3"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399,651</w:t>
            </w:r>
          </w:p>
        </w:tc>
        <w:tc>
          <w:tcPr>
            <w:tcW w:w="0" w:type="auto"/>
            <w:tcBorders>
              <w:top w:val="nil"/>
              <w:left w:val="nil"/>
              <w:bottom w:val="single" w:sz="8" w:space="0" w:color="FFFFFF"/>
              <w:right w:val="single" w:sz="8" w:space="0" w:color="FFFFFF"/>
            </w:tcBorders>
            <w:shd w:val="clear" w:color="000000" w:fill="B8CCE4"/>
            <w:vAlign w:val="center"/>
            <w:hideMark/>
          </w:tcPr>
          <w:p w14:paraId="4147089E"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22%</w:t>
            </w:r>
          </w:p>
        </w:tc>
        <w:tc>
          <w:tcPr>
            <w:tcW w:w="0" w:type="auto"/>
            <w:tcBorders>
              <w:top w:val="nil"/>
              <w:left w:val="nil"/>
              <w:bottom w:val="single" w:sz="8" w:space="0" w:color="FFFFFF"/>
              <w:right w:val="single" w:sz="8" w:space="0" w:color="FFFFFF"/>
            </w:tcBorders>
            <w:shd w:val="clear" w:color="000000" w:fill="B8CCE4"/>
            <w:vAlign w:val="center"/>
            <w:hideMark/>
          </w:tcPr>
          <w:p w14:paraId="5D22693E" w14:textId="51291B6B" w:rsidR="00147871" w:rsidRPr="007023C9" w:rsidRDefault="00572DD3"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350,431</w:t>
            </w:r>
          </w:p>
        </w:tc>
        <w:tc>
          <w:tcPr>
            <w:tcW w:w="0" w:type="auto"/>
            <w:tcBorders>
              <w:top w:val="nil"/>
              <w:left w:val="nil"/>
              <w:bottom w:val="single" w:sz="8" w:space="0" w:color="FFFFFF"/>
              <w:right w:val="single" w:sz="8" w:space="0" w:color="FFFFFF"/>
            </w:tcBorders>
            <w:shd w:val="clear" w:color="000000" w:fill="B8CCE4"/>
            <w:vAlign w:val="center"/>
            <w:hideMark/>
          </w:tcPr>
          <w:p w14:paraId="0C2C532E" w14:textId="27A91750" w:rsidR="00147871" w:rsidRPr="007023C9" w:rsidRDefault="00572DD3"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166,651</w:t>
            </w:r>
          </w:p>
        </w:tc>
        <w:tc>
          <w:tcPr>
            <w:tcW w:w="0" w:type="auto"/>
            <w:tcBorders>
              <w:top w:val="nil"/>
              <w:left w:val="nil"/>
              <w:bottom w:val="single" w:sz="8" w:space="0" w:color="FFFFFF"/>
              <w:right w:val="single" w:sz="8" w:space="0" w:color="FFFFFF"/>
            </w:tcBorders>
            <w:shd w:val="clear" w:color="000000" w:fill="B8CCE4"/>
            <w:vAlign w:val="center"/>
            <w:hideMark/>
          </w:tcPr>
          <w:p w14:paraId="1B7FD585" w14:textId="599F803F" w:rsidR="00147871" w:rsidRPr="007023C9" w:rsidRDefault="00572DD3"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517,082</w:t>
            </w:r>
          </w:p>
        </w:tc>
        <w:tc>
          <w:tcPr>
            <w:tcW w:w="0" w:type="auto"/>
            <w:tcBorders>
              <w:top w:val="nil"/>
              <w:left w:val="nil"/>
              <w:bottom w:val="single" w:sz="8" w:space="0" w:color="FFFFFF"/>
              <w:right w:val="single" w:sz="8" w:space="0" w:color="FFFFFF"/>
            </w:tcBorders>
            <w:shd w:val="clear" w:color="000000" w:fill="B8CCE4"/>
            <w:vAlign w:val="center"/>
            <w:hideMark/>
          </w:tcPr>
          <w:p w14:paraId="122EFF93" w14:textId="77777777" w:rsidR="00147871" w:rsidRPr="007023C9" w:rsidRDefault="00147871" w:rsidP="00D637F6">
            <w:pPr>
              <w:jc w:val="right"/>
              <w:rPr>
                <w:rFonts w:ascii="Calibri" w:hAnsi="Calibri" w:cs="Calibri"/>
                <w:color w:val="17365D"/>
                <w:sz w:val="20"/>
                <w:szCs w:val="20"/>
              </w:rPr>
            </w:pPr>
            <w:r w:rsidRPr="007023C9">
              <w:rPr>
                <w:rFonts w:ascii="Calibri" w:hAnsi="Calibri" w:cs="Calibri"/>
                <w:color w:val="17365D"/>
                <w:sz w:val="20"/>
                <w:szCs w:val="20"/>
              </w:rPr>
              <w:t>13%</w:t>
            </w:r>
          </w:p>
        </w:tc>
        <w:tc>
          <w:tcPr>
            <w:tcW w:w="0" w:type="auto"/>
            <w:tcBorders>
              <w:top w:val="nil"/>
              <w:left w:val="nil"/>
              <w:bottom w:val="single" w:sz="8" w:space="0" w:color="FFFFFF"/>
              <w:right w:val="single" w:sz="8" w:space="0" w:color="FFFFFF"/>
            </w:tcBorders>
            <w:shd w:val="clear" w:color="000000" w:fill="B8CCE4"/>
            <w:vAlign w:val="center"/>
            <w:hideMark/>
          </w:tcPr>
          <w:p w14:paraId="300F5CFB" w14:textId="6EAD0FE7" w:rsidR="00147871" w:rsidRPr="007023C9" w:rsidRDefault="00572DD3"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244,721</w:t>
            </w:r>
          </w:p>
        </w:tc>
        <w:tc>
          <w:tcPr>
            <w:tcW w:w="0" w:type="auto"/>
            <w:tcBorders>
              <w:top w:val="nil"/>
              <w:left w:val="nil"/>
              <w:bottom w:val="single" w:sz="8" w:space="0" w:color="FFFFFF"/>
              <w:right w:val="single" w:sz="8" w:space="0" w:color="FFFFFF"/>
            </w:tcBorders>
            <w:shd w:val="clear" w:color="000000" w:fill="B8CCE4"/>
            <w:vAlign w:val="center"/>
            <w:hideMark/>
          </w:tcPr>
          <w:p w14:paraId="586ED3F6" w14:textId="3E2BC31B" w:rsidR="00147871" w:rsidRPr="007023C9" w:rsidRDefault="00572DD3"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122,959</w:t>
            </w:r>
          </w:p>
        </w:tc>
        <w:tc>
          <w:tcPr>
            <w:tcW w:w="0" w:type="auto"/>
            <w:tcBorders>
              <w:top w:val="nil"/>
              <w:left w:val="nil"/>
              <w:bottom w:val="single" w:sz="8" w:space="0" w:color="FFFFFF"/>
              <w:right w:val="single" w:sz="8" w:space="0" w:color="FFFFFF"/>
            </w:tcBorders>
            <w:shd w:val="clear" w:color="000000" w:fill="B8CCE4"/>
            <w:vAlign w:val="center"/>
            <w:hideMark/>
          </w:tcPr>
          <w:p w14:paraId="2EC668D9" w14:textId="6FD5D455" w:rsidR="00147871" w:rsidRPr="007023C9" w:rsidRDefault="00572DD3" w:rsidP="00D637F6">
            <w:pPr>
              <w:jc w:val="right"/>
              <w:rPr>
                <w:rFonts w:ascii="Calibri" w:hAnsi="Calibri" w:cs="Calibri"/>
                <w:color w:val="17365D"/>
                <w:sz w:val="20"/>
                <w:szCs w:val="20"/>
              </w:rPr>
            </w:pPr>
            <w:r w:rsidRPr="007023C9">
              <w:rPr>
                <w:rFonts w:ascii="Calibri" w:hAnsi="Calibri" w:cs="Calibri"/>
                <w:color w:val="17365D"/>
                <w:sz w:val="20"/>
                <w:szCs w:val="20"/>
              </w:rPr>
              <w:t>$</w:t>
            </w:r>
            <w:r w:rsidR="00147871" w:rsidRPr="007023C9">
              <w:rPr>
                <w:rFonts w:ascii="Calibri" w:hAnsi="Calibri" w:cs="Calibri"/>
                <w:color w:val="17365D"/>
                <w:sz w:val="20"/>
                <w:szCs w:val="20"/>
              </w:rPr>
              <w:t>367,680</w:t>
            </w:r>
          </w:p>
        </w:tc>
      </w:tr>
      <w:tr w:rsidR="00147871" w:rsidRPr="00F04AAB" w14:paraId="0FF7E65B" w14:textId="77777777" w:rsidTr="00147871">
        <w:trPr>
          <w:trHeight w:val="407"/>
        </w:trPr>
        <w:tc>
          <w:tcPr>
            <w:tcW w:w="0" w:type="auto"/>
            <w:tcBorders>
              <w:top w:val="nil"/>
              <w:left w:val="nil"/>
              <w:bottom w:val="nil"/>
              <w:right w:val="single" w:sz="8" w:space="0" w:color="FFFFFF"/>
            </w:tcBorders>
            <w:shd w:val="clear" w:color="000000" w:fill="4F81BD"/>
            <w:vAlign w:val="center"/>
            <w:hideMark/>
          </w:tcPr>
          <w:p w14:paraId="00BB61F7" w14:textId="77777777" w:rsidR="00147871" w:rsidRPr="00F04AAB" w:rsidRDefault="00147871" w:rsidP="00D637F6">
            <w:pPr>
              <w:jc w:val="center"/>
              <w:rPr>
                <w:rFonts w:ascii="Calibri" w:hAnsi="Calibri" w:cs="Calibri"/>
                <w:b/>
                <w:bCs/>
                <w:color w:val="FFFFFF"/>
                <w:sz w:val="20"/>
                <w:szCs w:val="20"/>
              </w:rPr>
            </w:pPr>
            <w:r w:rsidRPr="00F04AAB">
              <w:rPr>
                <w:rFonts w:ascii="Calibri" w:hAnsi="Calibri" w:cs="Calibri"/>
                <w:b/>
                <w:bCs/>
                <w:color w:val="FFFFFF"/>
                <w:sz w:val="20"/>
                <w:szCs w:val="20"/>
              </w:rPr>
              <w:t>Total</w:t>
            </w:r>
          </w:p>
        </w:tc>
        <w:tc>
          <w:tcPr>
            <w:tcW w:w="2467" w:type="dxa"/>
            <w:tcBorders>
              <w:top w:val="nil"/>
              <w:left w:val="nil"/>
              <w:bottom w:val="nil"/>
              <w:right w:val="single" w:sz="8" w:space="0" w:color="FFFFFF"/>
            </w:tcBorders>
            <w:shd w:val="clear" w:color="000000" w:fill="DBE5F1"/>
            <w:vAlign w:val="center"/>
            <w:hideMark/>
          </w:tcPr>
          <w:p w14:paraId="2FA9F76E" w14:textId="77777777" w:rsidR="00147871" w:rsidRPr="00F04AAB" w:rsidRDefault="00147871" w:rsidP="00D637F6">
            <w:pPr>
              <w:rPr>
                <w:rFonts w:ascii="Calibri" w:hAnsi="Calibri" w:cs="Calibri"/>
                <w:b/>
                <w:bCs/>
                <w:color w:val="000000"/>
                <w:sz w:val="20"/>
                <w:szCs w:val="20"/>
              </w:rPr>
            </w:pPr>
            <w:r w:rsidRPr="00F04AAB">
              <w:rPr>
                <w:rFonts w:ascii="Calibri" w:hAnsi="Calibri" w:cs="Calibri"/>
                <w:b/>
                <w:bCs/>
                <w:color w:val="000000"/>
                <w:sz w:val="20"/>
                <w:szCs w:val="20"/>
              </w:rPr>
              <w:t> </w:t>
            </w:r>
          </w:p>
        </w:tc>
        <w:tc>
          <w:tcPr>
            <w:tcW w:w="0" w:type="auto"/>
            <w:tcBorders>
              <w:top w:val="nil"/>
              <w:left w:val="nil"/>
              <w:bottom w:val="nil"/>
              <w:right w:val="single" w:sz="8" w:space="0" w:color="FFFFFF"/>
            </w:tcBorders>
            <w:shd w:val="clear" w:color="000000" w:fill="DBE5F1"/>
            <w:vAlign w:val="center"/>
            <w:hideMark/>
          </w:tcPr>
          <w:p w14:paraId="2686015E" w14:textId="77777777" w:rsidR="00147871" w:rsidRPr="007023C9" w:rsidRDefault="00147871" w:rsidP="00D637F6">
            <w:pPr>
              <w:jc w:val="right"/>
              <w:rPr>
                <w:rFonts w:ascii="Calibri" w:hAnsi="Calibri" w:cs="Calibri"/>
                <w:b/>
                <w:bCs/>
                <w:color w:val="17365D"/>
                <w:sz w:val="20"/>
                <w:szCs w:val="20"/>
              </w:rPr>
            </w:pPr>
            <w:r w:rsidRPr="007023C9">
              <w:rPr>
                <w:rFonts w:ascii="Calibri" w:hAnsi="Calibri" w:cs="Calibri"/>
                <w:b/>
                <w:bCs/>
                <w:color w:val="17365D"/>
                <w:sz w:val="20"/>
                <w:szCs w:val="20"/>
              </w:rPr>
              <w:t>100%</w:t>
            </w:r>
          </w:p>
        </w:tc>
        <w:tc>
          <w:tcPr>
            <w:tcW w:w="0" w:type="auto"/>
            <w:tcBorders>
              <w:top w:val="nil"/>
              <w:left w:val="nil"/>
              <w:bottom w:val="nil"/>
              <w:right w:val="single" w:sz="8" w:space="0" w:color="FFFFFF"/>
            </w:tcBorders>
            <w:shd w:val="clear" w:color="000000" w:fill="DBE5F1"/>
            <w:vAlign w:val="center"/>
            <w:hideMark/>
          </w:tcPr>
          <w:p w14:paraId="7DEF4049" w14:textId="6C1AC5E3" w:rsidR="00147871" w:rsidRPr="007023C9" w:rsidRDefault="00147871" w:rsidP="00D637F6">
            <w:pPr>
              <w:jc w:val="right"/>
              <w:rPr>
                <w:rFonts w:ascii="Calibri" w:hAnsi="Calibri" w:cs="Calibri"/>
                <w:b/>
                <w:bCs/>
                <w:color w:val="17365D"/>
                <w:sz w:val="20"/>
                <w:szCs w:val="20"/>
              </w:rPr>
            </w:pPr>
            <w:r w:rsidRPr="007023C9">
              <w:rPr>
                <w:rFonts w:ascii="Calibri" w:hAnsi="Calibri" w:cs="Calibri"/>
                <w:b/>
                <w:bCs/>
                <w:color w:val="17365D"/>
                <w:sz w:val="20"/>
                <w:szCs w:val="20"/>
              </w:rPr>
              <w:t>$1,178,643</w:t>
            </w:r>
          </w:p>
        </w:tc>
        <w:tc>
          <w:tcPr>
            <w:tcW w:w="0" w:type="auto"/>
            <w:tcBorders>
              <w:top w:val="nil"/>
              <w:left w:val="nil"/>
              <w:bottom w:val="nil"/>
              <w:right w:val="single" w:sz="8" w:space="0" w:color="FFFFFF"/>
            </w:tcBorders>
            <w:shd w:val="clear" w:color="000000" w:fill="DBE5F1"/>
            <w:vAlign w:val="center"/>
            <w:hideMark/>
          </w:tcPr>
          <w:p w14:paraId="5E821D80" w14:textId="5A2696B7" w:rsidR="00147871" w:rsidRPr="007023C9" w:rsidRDefault="00147871" w:rsidP="00D637F6">
            <w:pPr>
              <w:jc w:val="right"/>
              <w:rPr>
                <w:rFonts w:ascii="Calibri" w:hAnsi="Calibri" w:cs="Calibri"/>
                <w:b/>
                <w:bCs/>
                <w:color w:val="17365D"/>
                <w:sz w:val="20"/>
                <w:szCs w:val="20"/>
              </w:rPr>
            </w:pPr>
            <w:r w:rsidRPr="007023C9">
              <w:rPr>
                <w:rFonts w:ascii="Calibri" w:hAnsi="Calibri" w:cs="Calibri"/>
                <w:b/>
                <w:bCs/>
                <w:color w:val="17365D"/>
                <w:sz w:val="20"/>
                <w:szCs w:val="20"/>
              </w:rPr>
              <w:t>$522,320</w:t>
            </w:r>
          </w:p>
        </w:tc>
        <w:tc>
          <w:tcPr>
            <w:tcW w:w="0" w:type="auto"/>
            <w:tcBorders>
              <w:top w:val="nil"/>
              <w:left w:val="nil"/>
              <w:bottom w:val="nil"/>
              <w:right w:val="single" w:sz="8" w:space="0" w:color="FFFFFF"/>
            </w:tcBorders>
            <w:shd w:val="clear" w:color="000000" w:fill="DBE5F1"/>
            <w:vAlign w:val="center"/>
            <w:hideMark/>
          </w:tcPr>
          <w:p w14:paraId="40B2AC2A" w14:textId="1570D10F" w:rsidR="00147871" w:rsidRPr="007023C9" w:rsidRDefault="00147871" w:rsidP="00D637F6">
            <w:pPr>
              <w:jc w:val="right"/>
              <w:rPr>
                <w:rFonts w:ascii="Calibri" w:hAnsi="Calibri" w:cs="Calibri"/>
                <w:b/>
                <w:bCs/>
                <w:color w:val="17365D"/>
                <w:sz w:val="20"/>
                <w:szCs w:val="20"/>
              </w:rPr>
            </w:pPr>
            <w:r w:rsidRPr="007023C9">
              <w:rPr>
                <w:rFonts w:ascii="Calibri" w:hAnsi="Calibri" w:cs="Calibri"/>
                <w:b/>
                <w:bCs/>
                <w:color w:val="17365D"/>
                <w:sz w:val="20"/>
                <w:szCs w:val="20"/>
              </w:rPr>
              <w:t>$1,700,963</w:t>
            </w:r>
          </w:p>
        </w:tc>
        <w:tc>
          <w:tcPr>
            <w:tcW w:w="0" w:type="auto"/>
            <w:tcBorders>
              <w:top w:val="nil"/>
              <w:left w:val="nil"/>
              <w:bottom w:val="nil"/>
              <w:right w:val="single" w:sz="8" w:space="0" w:color="FFFFFF"/>
            </w:tcBorders>
            <w:shd w:val="clear" w:color="000000" w:fill="DBE5F1"/>
            <w:vAlign w:val="center"/>
            <w:hideMark/>
          </w:tcPr>
          <w:p w14:paraId="218399FB" w14:textId="77777777" w:rsidR="00147871" w:rsidRPr="007023C9" w:rsidRDefault="00147871" w:rsidP="00D637F6">
            <w:pPr>
              <w:jc w:val="right"/>
              <w:rPr>
                <w:rFonts w:ascii="Calibri" w:hAnsi="Calibri" w:cs="Calibri"/>
                <w:b/>
                <w:bCs/>
                <w:color w:val="17365D"/>
                <w:sz w:val="20"/>
                <w:szCs w:val="20"/>
              </w:rPr>
            </w:pPr>
            <w:r w:rsidRPr="007023C9">
              <w:rPr>
                <w:rFonts w:ascii="Calibri" w:hAnsi="Calibri" w:cs="Calibri"/>
                <w:b/>
                <w:bCs/>
                <w:color w:val="17365D"/>
                <w:sz w:val="20"/>
                <w:szCs w:val="20"/>
              </w:rPr>
              <w:t>100%</w:t>
            </w:r>
          </w:p>
        </w:tc>
        <w:tc>
          <w:tcPr>
            <w:tcW w:w="0" w:type="auto"/>
            <w:tcBorders>
              <w:top w:val="nil"/>
              <w:left w:val="nil"/>
              <w:bottom w:val="nil"/>
              <w:right w:val="single" w:sz="8" w:space="0" w:color="FFFFFF"/>
            </w:tcBorders>
            <w:shd w:val="clear" w:color="000000" w:fill="DBE5F1"/>
            <w:vAlign w:val="center"/>
            <w:hideMark/>
          </w:tcPr>
          <w:p w14:paraId="50B6FA0A" w14:textId="2410F97A" w:rsidR="00147871" w:rsidRPr="007023C9" w:rsidRDefault="00147871" w:rsidP="00D637F6">
            <w:pPr>
              <w:jc w:val="right"/>
              <w:rPr>
                <w:rFonts w:ascii="Calibri" w:hAnsi="Calibri" w:cs="Calibri"/>
                <w:b/>
                <w:bCs/>
                <w:color w:val="17365D"/>
                <w:sz w:val="20"/>
                <w:szCs w:val="20"/>
              </w:rPr>
            </w:pPr>
            <w:r w:rsidRPr="007023C9">
              <w:rPr>
                <w:rFonts w:ascii="Calibri" w:hAnsi="Calibri" w:cs="Calibri"/>
                <w:b/>
                <w:bCs/>
                <w:color w:val="17365D"/>
                <w:sz w:val="20"/>
                <w:szCs w:val="20"/>
              </w:rPr>
              <w:t>$1,600,266</w:t>
            </w:r>
          </w:p>
        </w:tc>
        <w:tc>
          <w:tcPr>
            <w:tcW w:w="0" w:type="auto"/>
            <w:tcBorders>
              <w:top w:val="nil"/>
              <w:left w:val="nil"/>
              <w:bottom w:val="nil"/>
              <w:right w:val="single" w:sz="8" w:space="0" w:color="FFFFFF"/>
            </w:tcBorders>
            <w:shd w:val="clear" w:color="000000" w:fill="DBE5F1"/>
            <w:vAlign w:val="center"/>
            <w:hideMark/>
          </w:tcPr>
          <w:p w14:paraId="16A332E5" w14:textId="3A3F8CAC" w:rsidR="00147871" w:rsidRPr="007023C9" w:rsidRDefault="00147871" w:rsidP="00D637F6">
            <w:pPr>
              <w:jc w:val="right"/>
              <w:rPr>
                <w:rFonts w:ascii="Calibri" w:hAnsi="Calibri" w:cs="Calibri"/>
                <w:b/>
                <w:bCs/>
                <w:color w:val="17365D"/>
                <w:sz w:val="20"/>
                <w:szCs w:val="20"/>
              </w:rPr>
            </w:pPr>
            <w:r w:rsidRPr="007023C9">
              <w:rPr>
                <w:rFonts w:ascii="Calibri" w:hAnsi="Calibri" w:cs="Calibri"/>
                <w:b/>
                <w:bCs/>
                <w:color w:val="17365D"/>
                <w:sz w:val="20"/>
                <w:szCs w:val="20"/>
              </w:rPr>
              <w:t>$761,021</w:t>
            </w:r>
          </w:p>
        </w:tc>
        <w:tc>
          <w:tcPr>
            <w:tcW w:w="0" w:type="auto"/>
            <w:tcBorders>
              <w:top w:val="nil"/>
              <w:left w:val="nil"/>
              <w:bottom w:val="nil"/>
              <w:right w:val="single" w:sz="8" w:space="0" w:color="FFFFFF"/>
            </w:tcBorders>
            <w:shd w:val="clear" w:color="000000" w:fill="DBE5F1"/>
            <w:vAlign w:val="center"/>
            <w:hideMark/>
          </w:tcPr>
          <w:p w14:paraId="0DE425D4" w14:textId="330463AC" w:rsidR="00147871" w:rsidRPr="007023C9" w:rsidRDefault="00147871" w:rsidP="00D637F6">
            <w:pPr>
              <w:jc w:val="right"/>
              <w:rPr>
                <w:rFonts w:ascii="Calibri" w:hAnsi="Calibri" w:cs="Calibri"/>
                <w:b/>
                <w:bCs/>
                <w:color w:val="17365D"/>
                <w:sz w:val="20"/>
                <w:szCs w:val="20"/>
              </w:rPr>
            </w:pPr>
            <w:r w:rsidRPr="007023C9">
              <w:rPr>
                <w:rFonts w:ascii="Calibri" w:hAnsi="Calibri" w:cs="Calibri"/>
                <w:b/>
                <w:bCs/>
                <w:color w:val="17365D"/>
                <w:sz w:val="20"/>
                <w:szCs w:val="20"/>
              </w:rPr>
              <w:t>$2,361,287</w:t>
            </w:r>
          </w:p>
        </w:tc>
        <w:tc>
          <w:tcPr>
            <w:tcW w:w="0" w:type="auto"/>
            <w:tcBorders>
              <w:top w:val="nil"/>
              <w:left w:val="nil"/>
              <w:bottom w:val="nil"/>
              <w:right w:val="single" w:sz="8" w:space="0" w:color="FFFFFF"/>
            </w:tcBorders>
            <w:shd w:val="clear" w:color="000000" w:fill="DBE5F1"/>
            <w:vAlign w:val="center"/>
            <w:hideMark/>
          </w:tcPr>
          <w:p w14:paraId="048BF70F" w14:textId="77777777" w:rsidR="00147871" w:rsidRPr="007023C9" w:rsidRDefault="00147871" w:rsidP="00D637F6">
            <w:pPr>
              <w:jc w:val="right"/>
              <w:rPr>
                <w:rFonts w:ascii="Calibri" w:hAnsi="Calibri" w:cs="Calibri"/>
                <w:b/>
                <w:bCs/>
                <w:color w:val="17365D"/>
                <w:sz w:val="20"/>
                <w:szCs w:val="20"/>
              </w:rPr>
            </w:pPr>
            <w:r w:rsidRPr="007023C9">
              <w:rPr>
                <w:rFonts w:ascii="Calibri" w:hAnsi="Calibri" w:cs="Calibri"/>
                <w:b/>
                <w:bCs/>
                <w:color w:val="17365D"/>
                <w:sz w:val="20"/>
                <w:szCs w:val="20"/>
              </w:rPr>
              <w:t>100%</w:t>
            </w:r>
          </w:p>
        </w:tc>
        <w:tc>
          <w:tcPr>
            <w:tcW w:w="0" w:type="auto"/>
            <w:tcBorders>
              <w:top w:val="nil"/>
              <w:left w:val="nil"/>
              <w:bottom w:val="nil"/>
              <w:right w:val="single" w:sz="8" w:space="0" w:color="FFFFFF"/>
            </w:tcBorders>
            <w:shd w:val="clear" w:color="000000" w:fill="DBE5F1"/>
            <w:vAlign w:val="center"/>
            <w:hideMark/>
          </w:tcPr>
          <w:p w14:paraId="0891A10A" w14:textId="4A70985F" w:rsidR="00147871" w:rsidRPr="007023C9" w:rsidRDefault="00147871" w:rsidP="00D637F6">
            <w:pPr>
              <w:jc w:val="right"/>
              <w:rPr>
                <w:rFonts w:ascii="Calibri" w:hAnsi="Calibri" w:cs="Calibri"/>
                <w:b/>
                <w:bCs/>
                <w:color w:val="17365D"/>
                <w:sz w:val="20"/>
                <w:szCs w:val="20"/>
              </w:rPr>
            </w:pPr>
            <w:r w:rsidRPr="007023C9">
              <w:rPr>
                <w:rFonts w:ascii="Calibri" w:hAnsi="Calibri" w:cs="Calibri"/>
                <w:b/>
                <w:bCs/>
                <w:color w:val="17365D"/>
                <w:sz w:val="20"/>
                <w:szCs w:val="20"/>
              </w:rPr>
              <w:t>$1,879,358</w:t>
            </w:r>
          </w:p>
        </w:tc>
        <w:tc>
          <w:tcPr>
            <w:tcW w:w="0" w:type="auto"/>
            <w:tcBorders>
              <w:top w:val="nil"/>
              <w:left w:val="nil"/>
              <w:bottom w:val="nil"/>
              <w:right w:val="single" w:sz="8" w:space="0" w:color="FFFFFF"/>
            </w:tcBorders>
            <w:shd w:val="clear" w:color="000000" w:fill="DBE5F1"/>
            <w:vAlign w:val="center"/>
            <w:hideMark/>
          </w:tcPr>
          <w:p w14:paraId="55DBC503" w14:textId="5C925B03" w:rsidR="00147871" w:rsidRPr="007023C9" w:rsidRDefault="00147871" w:rsidP="00D637F6">
            <w:pPr>
              <w:jc w:val="right"/>
              <w:rPr>
                <w:rFonts w:ascii="Calibri" w:hAnsi="Calibri" w:cs="Calibri"/>
                <w:b/>
                <w:bCs/>
                <w:color w:val="17365D"/>
                <w:sz w:val="20"/>
                <w:szCs w:val="20"/>
              </w:rPr>
            </w:pPr>
            <w:r w:rsidRPr="007023C9">
              <w:rPr>
                <w:rFonts w:ascii="Calibri" w:hAnsi="Calibri" w:cs="Calibri"/>
                <w:b/>
                <w:bCs/>
                <w:color w:val="17365D"/>
                <w:sz w:val="20"/>
                <w:szCs w:val="20"/>
              </w:rPr>
              <w:t>$944,280</w:t>
            </w:r>
          </w:p>
        </w:tc>
        <w:tc>
          <w:tcPr>
            <w:tcW w:w="0" w:type="auto"/>
            <w:tcBorders>
              <w:top w:val="nil"/>
              <w:left w:val="nil"/>
              <w:bottom w:val="nil"/>
              <w:right w:val="single" w:sz="8" w:space="0" w:color="FFFFFF"/>
            </w:tcBorders>
            <w:shd w:val="clear" w:color="000000" w:fill="DBE5F1"/>
            <w:vAlign w:val="center"/>
            <w:hideMark/>
          </w:tcPr>
          <w:p w14:paraId="6B21EFC2" w14:textId="75BA6E82" w:rsidR="00147871" w:rsidRPr="007023C9" w:rsidRDefault="00147871" w:rsidP="00D637F6">
            <w:pPr>
              <w:jc w:val="right"/>
              <w:rPr>
                <w:rFonts w:ascii="Calibri" w:hAnsi="Calibri" w:cs="Calibri"/>
                <w:b/>
                <w:bCs/>
                <w:color w:val="17365D"/>
                <w:sz w:val="20"/>
                <w:szCs w:val="20"/>
              </w:rPr>
            </w:pPr>
            <w:r w:rsidRPr="007023C9">
              <w:rPr>
                <w:rFonts w:ascii="Calibri" w:hAnsi="Calibri" w:cs="Calibri"/>
                <w:b/>
                <w:bCs/>
                <w:color w:val="17365D"/>
                <w:sz w:val="20"/>
                <w:szCs w:val="20"/>
              </w:rPr>
              <w:t>$2,823,637</w:t>
            </w:r>
          </w:p>
        </w:tc>
      </w:tr>
    </w:tbl>
    <w:p w14:paraId="15117870" w14:textId="0EDF2039" w:rsidR="00147871" w:rsidRDefault="00147871" w:rsidP="00C5189E">
      <w:pPr>
        <w:rPr>
          <w:rFonts w:asciiTheme="minorHAnsi" w:hAnsiTheme="minorHAnsi" w:cstheme="minorHAnsi"/>
        </w:rPr>
        <w:sectPr w:rsidR="00147871" w:rsidSect="00D637F6">
          <w:pgSz w:w="15840" w:h="12240" w:orient="landscape"/>
          <w:pgMar w:top="1440" w:right="1440" w:bottom="1440" w:left="1440" w:header="720" w:footer="720" w:gutter="0"/>
          <w:cols w:space="720"/>
          <w:docGrid w:linePitch="326"/>
        </w:sectPr>
      </w:pPr>
    </w:p>
    <w:p w14:paraId="4C30100F" w14:textId="77777777" w:rsidR="00C5189E" w:rsidRPr="00902AA6" w:rsidRDefault="00C5189E" w:rsidP="00C5189E">
      <w:pPr>
        <w:pStyle w:val="Heading3"/>
      </w:pPr>
      <w:bookmarkStart w:id="55" w:name="_Toc90968212"/>
      <w:bookmarkStart w:id="56" w:name="_Toc98772187"/>
      <w:r w:rsidRPr="00902AA6">
        <w:lastRenderedPageBreak/>
        <w:t>Design of regulatory charges</w:t>
      </w:r>
      <w:bookmarkEnd w:id="55"/>
      <w:bookmarkEnd w:id="56"/>
      <w:r w:rsidRPr="00902AA6">
        <w:t xml:space="preserve"> </w:t>
      </w:r>
    </w:p>
    <w:p w14:paraId="6E09C8B2" w14:textId="457D4AB3" w:rsidR="00C5189E" w:rsidRDefault="00C5189E" w:rsidP="00C5189E">
      <w:pPr>
        <w:rPr>
          <w:rFonts w:asciiTheme="minorHAnsi" w:hAnsiTheme="minorHAnsi" w:cstheme="minorHAnsi"/>
        </w:rPr>
      </w:pPr>
      <w:r>
        <w:rPr>
          <w:rFonts w:asciiTheme="minorHAnsi" w:hAnsiTheme="minorHAnsi" w:cstheme="minorHAnsi"/>
        </w:rPr>
        <w:t xml:space="preserve">The Regulator’s cost model has been designed to ensure stable revenue to enable effective delivery of regulatory services on an ongoing basis. In order to achieve this outcome, the Regulator will need to have </w:t>
      </w:r>
      <w:r w:rsidRPr="00802985">
        <w:rPr>
          <w:rFonts w:asciiTheme="minorHAnsi" w:hAnsiTheme="minorHAnsi" w:cstheme="minorHAnsi"/>
        </w:rPr>
        <w:t>access to sufficient resources, capacity, and qualified personnel</w:t>
      </w:r>
      <w:r>
        <w:rPr>
          <w:rFonts w:asciiTheme="minorHAnsi" w:hAnsiTheme="minorHAnsi" w:cstheme="minorHAnsi"/>
        </w:rPr>
        <w:t xml:space="preserve">. It is proposed that this will be delivered through a combination of levies and fees which will allow the Regulator to implement an agile structure that can be responsive to changes in industry activity and associated workload over time.  </w:t>
      </w:r>
    </w:p>
    <w:p w14:paraId="08653CE5" w14:textId="77777777" w:rsidR="00C5189E" w:rsidRDefault="00C5189E" w:rsidP="00C5189E">
      <w:pPr>
        <w:rPr>
          <w:rFonts w:asciiTheme="minorHAnsi" w:hAnsiTheme="minorHAnsi" w:cstheme="minorHAnsi"/>
        </w:rPr>
      </w:pPr>
    </w:p>
    <w:p w14:paraId="2EDDC3C8" w14:textId="25678EAD" w:rsidR="00C5189E" w:rsidRDefault="00C5189E" w:rsidP="00C5189E">
      <w:pPr>
        <w:rPr>
          <w:rFonts w:asciiTheme="minorHAnsi" w:hAnsiTheme="minorHAnsi" w:cstheme="minorHAnsi"/>
        </w:rPr>
      </w:pPr>
      <w:r>
        <w:rPr>
          <w:rFonts w:asciiTheme="minorHAnsi" w:hAnsiTheme="minorHAnsi" w:cstheme="minorHAnsi"/>
        </w:rPr>
        <w:t>The Regulator’s</w:t>
      </w:r>
      <w:r w:rsidRPr="002A67C7">
        <w:rPr>
          <w:rFonts w:asciiTheme="minorHAnsi" w:hAnsiTheme="minorHAnsi" w:cstheme="minorHAnsi"/>
        </w:rPr>
        <w:t xml:space="preserve"> cost recovery charges </w:t>
      </w:r>
      <w:r>
        <w:rPr>
          <w:rFonts w:asciiTheme="minorHAnsi" w:hAnsiTheme="minorHAnsi" w:cstheme="minorHAnsi"/>
        </w:rPr>
        <w:t xml:space="preserve">comprise </w:t>
      </w:r>
      <w:r w:rsidRPr="002A67C7">
        <w:rPr>
          <w:rFonts w:asciiTheme="minorHAnsi" w:hAnsiTheme="minorHAnsi" w:cstheme="minorHAnsi"/>
        </w:rPr>
        <w:t>an annual</w:t>
      </w:r>
      <w:r>
        <w:rPr>
          <w:rFonts w:asciiTheme="minorHAnsi" w:hAnsiTheme="minorHAnsi" w:cstheme="minorHAnsi"/>
        </w:rPr>
        <w:t xml:space="preserve"> compliance</w:t>
      </w:r>
      <w:r w:rsidRPr="002A67C7">
        <w:rPr>
          <w:rFonts w:asciiTheme="minorHAnsi" w:hAnsiTheme="minorHAnsi" w:cstheme="minorHAnsi"/>
        </w:rPr>
        <w:t xml:space="preserve"> levy imp</w:t>
      </w:r>
      <w:r>
        <w:rPr>
          <w:rFonts w:asciiTheme="minorHAnsi" w:hAnsiTheme="minorHAnsi" w:cstheme="minorHAnsi"/>
        </w:rPr>
        <w:t>lemented through</w:t>
      </w:r>
      <w:r w:rsidRPr="002A67C7">
        <w:rPr>
          <w:rFonts w:asciiTheme="minorHAnsi" w:hAnsiTheme="minorHAnsi" w:cstheme="minorHAnsi"/>
        </w:rPr>
        <w:t xml:space="preserve"> different types of </w:t>
      </w:r>
      <w:r>
        <w:rPr>
          <w:rFonts w:asciiTheme="minorHAnsi" w:hAnsiTheme="minorHAnsi" w:cstheme="minorHAnsi"/>
        </w:rPr>
        <w:t>licences</w:t>
      </w:r>
      <w:r w:rsidRPr="002A67C7">
        <w:rPr>
          <w:rFonts w:asciiTheme="minorHAnsi" w:hAnsiTheme="minorHAnsi" w:cstheme="minorHAnsi"/>
        </w:rPr>
        <w:t xml:space="preserve"> and fees charged on applications made to the </w:t>
      </w:r>
      <w:r>
        <w:rPr>
          <w:rFonts w:asciiTheme="minorHAnsi" w:hAnsiTheme="minorHAnsi" w:cstheme="minorHAnsi"/>
        </w:rPr>
        <w:t>Regulator</w:t>
      </w:r>
      <w:r w:rsidRPr="002A67C7">
        <w:rPr>
          <w:rFonts w:asciiTheme="minorHAnsi" w:hAnsiTheme="minorHAnsi" w:cstheme="minorHAnsi"/>
        </w:rPr>
        <w:t xml:space="preserve"> for the approval of </w:t>
      </w:r>
      <w:r>
        <w:rPr>
          <w:rFonts w:asciiTheme="minorHAnsi" w:hAnsiTheme="minorHAnsi" w:cstheme="minorHAnsi"/>
        </w:rPr>
        <w:t>activities under the OEI Act and regulations</w:t>
      </w:r>
      <w:r w:rsidR="00F04AAB">
        <w:rPr>
          <w:rFonts w:asciiTheme="minorHAnsi" w:hAnsiTheme="minorHAnsi" w:cstheme="minorHAnsi"/>
        </w:rPr>
        <w:t xml:space="preserve"> (</w:t>
      </w:r>
      <w:r w:rsidR="00F04AAB" w:rsidRPr="00F04AAB">
        <w:rPr>
          <w:rFonts w:asciiTheme="minorHAnsi" w:hAnsiTheme="minorHAnsi" w:cstheme="minorHAnsi"/>
          <w:b/>
          <w:bCs/>
        </w:rPr>
        <w:t>Table 15</w:t>
      </w:r>
      <w:r w:rsidR="00F04AAB">
        <w:rPr>
          <w:rFonts w:asciiTheme="minorHAnsi" w:hAnsiTheme="minorHAnsi" w:cstheme="minorHAnsi"/>
        </w:rPr>
        <w:t>)</w:t>
      </w:r>
      <w:r w:rsidRPr="002A67C7">
        <w:rPr>
          <w:rFonts w:asciiTheme="minorHAnsi" w:hAnsiTheme="minorHAnsi" w:cstheme="minorHAnsi"/>
        </w:rPr>
        <w:t>.</w:t>
      </w:r>
      <w:r>
        <w:rPr>
          <w:rFonts w:asciiTheme="minorHAnsi" w:hAnsiTheme="minorHAnsi" w:cstheme="minorHAnsi"/>
        </w:rPr>
        <w:t xml:space="preserve"> </w:t>
      </w:r>
    </w:p>
    <w:p w14:paraId="0CAC980A" w14:textId="77777777" w:rsidR="00C5189E" w:rsidRDefault="00C5189E" w:rsidP="00C5189E">
      <w:pPr>
        <w:rPr>
          <w:rFonts w:asciiTheme="minorHAnsi" w:hAnsiTheme="minorHAnsi" w:cstheme="minorHAnsi"/>
        </w:rPr>
      </w:pPr>
    </w:p>
    <w:p w14:paraId="54517CF1" w14:textId="1BA8557C" w:rsidR="00C5189E" w:rsidRDefault="00C5189E" w:rsidP="00C5189E">
      <w:pPr>
        <w:rPr>
          <w:rFonts w:asciiTheme="minorHAnsi" w:hAnsiTheme="minorHAnsi" w:cstheme="minorHAnsi"/>
        </w:rPr>
      </w:pPr>
      <w:r>
        <w:rPr>
          <w:rFonts w:asciiTheme="minorHAnsi" w:hAnsiTheme="minorHAnsi" w:cstheme="minorHAnsi"/>
        </w:rPr>
        <w:t>The Regulator will be required to establish and maintain a core team to deliver regulatory services on an ongoing basis from commencement of the legislative framework (</w:t>
      </w:r>
      <w:r w:rsidR="005A4E62">
        <w:rPr>
          <w:rFonts w:asciiTheme="minorHAnsi" w:hAnsiTheme="minorHAnsi" w:cstheme="minorHAnsi"/>
        </w:rPr>
        <w:t xml:space="preserve">2 </w:t>
      </w:r>
      <w:r>
        <w:rPr>
          <w:rFonts w:asciiTheme="minorHAnsi" w:hAnsiTheme="minorHAnsi" w:cstheme="minorHAnsi"/>
        </w:rPr>
        <w:t>Jun</w:t>
      </w:r>
      <w:r w:rsidR="005A4E62">
        <w:rPr>
          <w:rFonts w:asciiTheme="minorHAnsi" w:hAnsiTheme="minorHAnsi" w:cstheme="minorHAnsi"/>
        </w:rPr>
        <w:t>e</w:t>
      </w:r>
      <w:r>
        <w:rPr>
          <w:rFonts w:asciiTheme="minorHAnsi" w:hAnsiTheme="minorHAnsi" w:cstheme="minorHAnsi"/>
        </w:rPr>
        <w:t xml:space="preserve"> 2022). This team will be required to develop and maintain core processes and systems; provide regulatory and operational advice to government on</w:t>
      </w:r>
      <w:r w:rsidRPr="003F7334">
        <w:rPr>
          <w:rFonts w:asciiTheme="minorHAnsi" w:hAnsiTheme="minorHAnsi" w:cstheme="minorHAnsi"/>
        </w:rPr>
        <w:t xml:space="preserve"> </w:t>
      </w:r>
      <w:r>
        <w:rPr>
          <w:rFonts w:asciiTheme="minorHAnsi" w:hAnsiTheme="minorHAnsi" w:cstheme="minorHAnsi"/>
        </w:rPr>
        <w:t xml:space="preserve">continued development, implementation and maintenance of the legislative and regulatory regime; provide advice and support to DISER, the Registrar and the Minister in relation to declaration and licencing processes; provide guidance and advice to industry and external stakeholders on the requirements of, and compliance with, the regime; undertake compliance monitoring, investigation and enforcement activities and meet governance and reporting requirements in accordance with the OEI Act and other legislative frameworks. The cost recovery structure will seek to recover the full costs associated with the delivery of regulatory </w:t>
      </w:r>
      <w:r w:rsidR="00243F43">
        <w:rPr>
          <w:rFonts w:asciiTheme="minorHAnsi" w:hAnsiTheme="minorHAnsi" w:cstheme="minorHAnsi"/>
        </w:rPr>
        <w:t>services through</w:t>
      </w:r>
      <w:r>
        <w:rPr>
          <w:rFonts w:asciiTheme="minorHAnsi" w:hAnsiTheme="minorHAnsi" w:cstheme="minorHAnsi"/>
        </w:rPr>
        <w:t xml:space="preserve"> this core team</w:t>
      </w:r>
      <w:r w:rsidR="00243F43">
        <w:rPr>
          <w:rFonts w:asciiTheme="minorHAnsi" w:hAnsiTheme="minorHAnsi" w:cstheme="minorHAnsi"/>
        </w:rPr>
        <w:t>, which are likely to be the majority of regulatory costs in the early stages of the framework, from</w:t>
      </w:r>
      <w:r>
        <w:rPr>
          <w:rFonts w:asciiTheme="minorHAnsi" w:hAnsiTheme="minorHAnsi" w:cstheme="minorHAnsi"/>
        </w:rPr>
        <w:t xml:space="preserve"> annual levies on operational licences under the regime as described further </w:t>
      </w:r>
      <w:r w:rsidR="00B3709C">
        <w:rPr>
          <w:rFonts w:asciiTheme="minorHAnsi" w:hAnsiTheme="minorHAnsi" w:cstheme="minorHAnsi"/>
        </w:rPr>
        <w:t>below</w:t>
      </w:r>
      <w:r>
        <w:rPr>
          <w:rFonts w:asciiTheme="minorHAnsi" w:hAnsiTheme="minorHAnsi" w:cstheme="minorHAnsi"/>
        </w:rPr>
        <w:t xml:space="preserve">. </w:t>
      </w:r>
    </w:p>
    <w:p w14:paraId="55330410" w14:textId="77777777" w:rsidR="00C5189E" w:rsidRDefault="00C5189E" w:rsidP="00C5189E">
      <w:pPr>
        <w:rPr>
          <w:rFonts w:asciiTheme="minorHAnsi" w:hAnsiTheme="minorHAnsi" w:cstheme="minorHAnsi"/>
        </w:rPr>
      </w:pPr>
    </w:p>
    <w:p w14:paraId="212FC3D7" w14:textId="77777777" w:rsidR="00C5189E" w:rsidRDefault="00C5189E" w:rsidP="00C5189E">
      <w:pPr>
        <w:rPr>
          <w:rFonts w:asciiTheme="minorHAnsi" w:hAnsiTheme="minorHAnsi" w:cstheme="minorHAnsi"/>
        </w:rPr>
      </w:pPr>
      <w:r>
        <w:rPr>
          <w:rFonts w:asciiTheme="minorHAnsi" w:hAnsiTheme="minorHAnsi" w:cstheme="minorHAnsi"/>
        </w:rPr>
        <w:t xml:space="preserve">Additional costs will be incurred by the Regulator associated with receiving, assessing, and making decisions on applications required under the OEI framework. Assessment of these applications will require specialist technical skills to be accessed from existing NOPSEMA staff and/or from external sources where additional expertise are required. The nature and scale of regulatory submissions to the Regulator are likely to be highly variable dependent on the projects to which the applications relate. For example, a management plan for construction, commissioning and operation of a single interconnector cable on a transmission and infrastructure licence is likely to be far less complex and therefore require significantly less regulatory effort, than a management plan for a large-scale offshore wind farm project involving hundreds of turbines and associated in field and export infrastructure across a broad geographic area. </w:t>
      </w:r>
    </w:p>
    <w:p w14:paraId="4078C368" w14:textId="77777777" w:rsidR="00C5189E" w:rsidRDefault="00C5189E" w:rsidP="00C5189E">
      <w:pPr>
        <w:rPr>
          <w:rFonts w:asciiTheme="minorHAnsi" w:hAnsiTheme="minorHAnsi" w:cstheme="minorHAnsi"/>
        </w:rPr>
      </w:pPr>
    </w:p>
    <w:p w14:paraId="73ED3E60" w14:textId="65488C32" w:rsidR="00C5189E" w:rsidRDefault="00C5189E" w:rsidP="00C5189E">
      <w:pPr>
        <w:rPr>
          <w:rFonts w:asciiTheme="minorHAnsi" w:hAnsiTheme="minorHAnsi" w:cstheme="minorHAnsi"/>
        </w:rPr>
      </w:pPr>
      <w:r>
        <w:rPr>
          <w:rFonts w:asciiTheme="minorHAnsi" w:hAnsiTheme="minorHAnsi" w:cstheme="minorHAnsi"/>
        </w:rPr>
        <w:t xml:space="preserve">In order to ensure that costs associated with assessing these plans are equitably recovered from regulated entities it is proposed that application fees will be calculated on a cost for effort basis as described further </w:t>
      </w:r>
      <w:r w:rsidR="00B3709C">
        <w:rPr>
          <w:rFonts w:asciiTheme="minorHAnsi" w:hAnsiTheme="minorHAnsi" w:cstheme="minorHAnsi"/>
        </w:rPr>
        <w:t>below</w:t>
      </w:r>
      <w:r>
        <w:rPr>
          <w:rFonts w:asciiTheme="minorHAnsi" w:hAnsiTheme="minorHAnsi" w:cstheme="minorHAnsi"/>
        </w:rPr>
        <w:t xml:space="preserve">.   </w:t>
      </w:r>
    </w:p>
    <w:p w14:paraId="6CDF94AA" w14:textId="6AA6AE10" w:rsidR="00B16C12" w:rsidRDefault="00B16C12">
      <w:pPr>
        <w:spacing w:after="200" w:line="276" w:lineRule="auto"/>
        <w:rPr>
          <w:rFonts w:asciiTheme="minorHAnsi" w:hAnsiTheme="minorHAnsi" w:cstheme="minorHAnsi"/>
        </w:rPr>
      </w:pPr>
      <w:r>
        <w:rPr>
          <w:rFonts w:asciiTheme="minorHAnsi" w:hAnsiTheme="minorHAnsi" w:cstheme="minorHAnsi"/>
        </w:rPr>
        <w:br w:type="page"/>
      </w:r>
    </w:p>
    <w:tbl>
      <w:tblPr>
        <w:tblW w:w="9296" w:type="dxa"/>
        <w:tblCellMar>
          <w:left w:w="0" w:type="dxa"/>
          <w:right w:w="0" w:type="dxa"/>
        </w:tblCellMar>
        <w:tblLook w:val="04A0" w:firstRow="1" w:lastRow="0" w:firstColumn="1" w:lastColumn="0" w:noHBand="0" w:noVBand="1"/>
      </w:tblPr>
      <w:tblGrid>
        <w:gridCol w:w="3192"/>
        <w:gridCol w:w="2040"/>
        <w:gridCol w:w="2040"/>
        <w:gridCol w:w="2040"/>
      </w:tblGrid>
      <w:tr w:rsidR="00C5189E" w14:paraId="6EBB44DC" w14:textId="77777777" w:rsidTr="00B16C12">
        <w:trPr>
          <w:trHeight w:val="323"/>
        </w:trPr>
        <w:tc>
          <w:tcPr>
            <w:tcW w:w="9296" w:type="dxa"/>
            <w:gridSpan w:val="4"/>
            <w:tcBorders>
              <w:top w:val="nil"/>
              <w:left w:val="nil"/>
              <w:bottom w:val="single" w:sz="8" w:space="0" w:color="95B3D7"/>
              <w:right w:val="nil"/>
            </w:tcBorders>
            <w:shd w:val="clear" w:color="auto" w:fill="auto"/>
            <w:noWrap/>
            <w:vAlign w:val="center"/>
            <w:hideMark/>
          </w:tcPr>
          <w:p w14:paraId="373E5E7A" w14:textId="77777777" w:rsidR="00C5189E" w:rsidRDefault="00C5189E" w:rsidP="00D637F6">
            <w:pPr>
              <w:rPr>
                <w:rFonts w:ascii="Calibri" w:hAnsi="Calibri" w:cs="Calibri"/>
                <w:b/>
                <w:bCs/>
                <w:color w:val="000000"/>
              </w:rPr>
            </w:pPr>
            <w:r>
              <w:rPr>
                <w:rFonts w:ascii="Calibri" w:hAnsi="Calibri" w:cs="Calibri"/>
                <w:b/>
                <w:bCs/>
                <w:color w:val="000000"/>
              </w:rPr>
              <w:lastRenderedPageBreak/>
              <w:t>Table 15:</w:t>
            </w:r>
            <w:r>
              <w:rPr>
                <w:rFonts w:ascii="Calibri" w:hAnsi="Calibri" w:cs="Calibri"/>
                <w:color w:val="000000"/>
              </w:rPr>
              <w:t xml:space="preserve"> Cost recovery structure for OEI activities in 2022-23 to 2024-25</w:t>
            </w:r>
          </w:p>
        </w:tc>
      </w:tr>
      <w:tr w:rsidR="00C5189E" w14:paraId="24E8A339" w14:textId="77777777" w:rsidTr="00B16C12">
        <w:trPr>
          <w:trHeight w:val="263"/>
        </w:trPr>
        <w:tc>
          <w:tcPr>
            <w:tcW w:w="3527" w:type="dxa"/>
            <w:vMerge w:val="restart"/>
            <w:tcBorders>
              <w:top w:val="nil"/>
              <w:left w:val="single" w:sz="8" w:space="0" w:color="95B3D7"/>
              <w:bottom w:val="single" w:sz="8" w:space="0" w:color="4F81BD"/>
              <w:right w:val="nil"/>
            </w:tcBorders>
            <w:shd w:val="clear" w:color="000000" w:fill="4F81BD"/>
            <w:vAlign w:val="center"/>
            <w:hideMark/>
          </w:tcPr>
          <w:p w14:paraId="214DA442" w14:textId="77777777" w:rsidR="00C5189E" w:rsidRPr="00F04AAB" w:rsidRDefault="00C5189E" w:rsidP="00F04AAB">
            <w:pPr>
              <w:spacing w:after="60"/>
              <w:rPr>
                <w:rFonts w:ascii="Calibri" w:hAnsi="Calibri" w:cs="Calibri"/>
                <w:b/>
                <w:bCs/>
                <w:color w:val="FFFFFF"/>
                <w:sz w:val="20"/>
                <w:szCs w:val="20"/>
              </w:rPr>
            </w:pPr>
            <w:r w:rsidRPr="00F04AAB">
              <w:rPr>
                <w:rFonts w:ascii="Calibri" w:hAnsi="Calibri" w:cs="Calibri"/>
                <w:b/>
                <w:bCs/>
                <w:color w:val="FFFFFF"/>
                <w:sz w:val="20"/>
                <w:szCs w:val="20"/>
              </w:rPr>
              <w:t xml:space="preserve">Cost Recovery Estimates </w:t>
            </w:r>
          </w:p>
        </w:tc>
        <w:tc>
          <w:tcPr>
            <w:tcW w:w="5769" w:type="dxa"/>
            <w:gridSpan w:val="3"/>
            <w:tcBorders>
              <w:top w:val="single" w:sz="8" w:space="0" w:color="95B3D7"/>
              <w:left w:val="nil"/>
              <w:bottom w:val="nil"/>
              <w:right w:val="single" w:sz="8" w:space="0" w:color="95B3D7"/>
            </w:tcBorders>
            <w:shd w:val="clear" w:color="000000" w:fill="4F81BD"/>
            <w:vAlign w:val="center"/>
            <w:hideMark/>
          </w:tcPr>
          <w:p w14:paraId="3AA34707" w14:textId="77777777" w:rsidR="00C5189E" w:rsidRPr="00F04AAB" w:rsidRDefault="00C5189E" w:rsidP="00F04AAB">
            <w:pPr>
              <w:spacing w:after="60"/>
              <w:jc w:val="center"/>
              <w:rPr>
                <w:rFonts w:ascii="Calibri" w:hAnsi="Calibri" w:cs="Calibri"/>
                <w:b/>
                <w:bCs/>
                <w:color w:val="FFFFFF"/>
                <w:sz w:val="20"/>
                <w:szCs w:val="20"/>
              </w:rPr>
            </w:pPr>
            <w:r w:rsidRPr="00F04AAB">
              <w:rPr>
                <w:rFonts w:ascii="Calibri" w:hAnsi="Calibri" w:cs="Calibri"/>
                <w:b/>
                <w:bCs/>
                <w:color w:val="FFFFFF"/>
                <w:sz w:val="20"/>
                <w:szCs w:val="20"/>
              </w:rPr>
              <w:t>Financial Year</w:t>
            </w:r>
          </w:p>
        </w:tc>
      </w:tr>
      <w:tr w:rsidR="00C5189E" w14:paraId="6A2B9F48" w14:textId="77777777" w:rsidTr="00B16C12">
        <w:trPr>
          <w:trHeight w:val="270"/>
        </w:trPr>
        <w:tc>
          <w:tcPr>
            <w:tcW w:w="0" w:type="auto"/>
            <w:vMerge/>
            <w:tcBorders>
              <w:top w:val="nil"/>
              <w:left w:val="single" w:sz="8" w:space="0" w:color="95B3D7"/>
              <w:bottom w:val="single" w:sz="8" w:space="0" w:color="4F81BD"/>
              <w:right w:val="nil"/>
            </w:tcBorders>
            <w:vAlign w:val="center"/>
            <w:hideMark/>
          </w:tcPr>
          <w:p w14:paraId="0BCA86B8" w14:textId="77777777" w:rsidR="00C5189E" w:rsidRPr="00F04AAB" w:rsidRDefault="00C5189E" w:rsidP="00F04AAB">
            <w:pPr>
              <w:spacing w:after="60"/>
              <w:rPr>
                <w:rFonts w:ascii="Calibri" w:hAnsi="Calibri" w:cs="Calibri"/>
                <w:b/>
                <w:bCs/>
                <w:color w:val="FFFFFF"/>
                <w:sz w:val="20"/>
                <w:szCs w:val="20"/>
              </w:rPr>
            </w:pPr>
          </w:p>
        </w:tc>
        <w:tc>
          <w:tcPr>
            <w:tcW w:w="1923" w:type="dxa"/>
            <w:tcBorders>
              <w:top w:val="nil"/>
              <w:left w:val="nil"/>
              <w:bottom w:val="single" w:sz="8" w:space="0" w:color="4F81BD"/>
              <w:right w:val="nil"/>
            </w:tcBorders>
            <w:shd w:val="clear" w:color="000000" w:fill="4F81BD"/>
            <w:vAlign w:val="center"/>
            <w:hideMark/>
          </w:tcPr>
          <w:p w14:paraId="739EFF7B" w14:textId="77777777" w:rsidR="00C5189E" w:rsidRPr="00F04AAB" w:rsidRDefault="00C5189E" w:rsidP="00F04AAB">
            <w:pPr>
              <w:spacing w:after="60"/>
              <w:jc w:val="center"/>
              <w:rPr>
                <w:rFonts w:ascii="Calibri" w:hAnsi="Calibri" w:cs="Calibri"/>
                <w:b/>
                <w:bCs/>
                <w:color w:val="FFFFFF"/>
                <w:sz w:val="20"/>
                <w:szCs w:val="20"/>
              </w:rPr>
            </w:pPr>
            <w:r w:rsidRPr="00F04AAB">
              <w:rPr>
                <w:rFonts w:ascii="Calibri" w:hAnsi="Calibri" w:cs="Calibri"/>
                <w:b/>
                <w:bCs/>
                <w:color w:val="FFFFFF"/>
                <w:sz w:val="20"/>
                <w:szCs w:val="20"/>
              </w:rPr>
              <w:t>2022-23</w:t>
            </w:r>
          </w:p>
        </w:tc>
        <w:tc>
          <w:tcPr>
            <w:tcW w:w="1923" w:type="dxa"/>
            <w:tcBorders>
              <w:top w:val="nil"/>
              <w:left w:val="nil"/>
              <w:bottom w:val="single" w:sz="8" w:space="0" w:color="4F81BD"/>
              <w:right w:val="nil"/>
            </w:tcBorders>
            <w:shd w:val="clear" w:color="000000" w:fill="4F81BD"/>
            <w:vAlign w:val="center"/>
            <w:hideMark/>
          </w:tcPr>
          <w:p w14:paraId="35BC0C31" w14:textId="77777777" w:rsidR="00C5189E" w:rsidRPr="00F04AAB" w:rsidRDefault="00C5189E" w:rsidP="00F04AAB">
            <w:pPr>
              <w:spacing w:after="60"/>
              <w:jc w:val="center"/>
              <w:rPr>
                <w:rFonts w:ascii="Calibri" w:hAnsi="Calibri" w:cs="Calibri"/>
                <w:b/>
                <w:bCs/>
                <w:color w:val="FFFFFF"/>
                <w:sz w:val="20"/>
                <w:szCs w:val="20"/>
              </w:rPr>
            </w:pPr>
            <w:r w:rsidRPr="00F04AAB">
              <w:rPr>
                <w:rFonts w:ascii="Calibri" w:hAnsi="Calibri" w:cs="Calibri"/>
                <w:b/>
                <w:bCs/>
                <w:color w:val="FFFFFF"/>
                <w:sz w:val="20"/>
                <w:szCs w:val="20"/>
              </w:rPr>
              <w:t>2023-24</w:t>
            </w:r>
          </w:p>
        </w:tc>
        <w:tc>
          <w:tcPr>
            <w:tcW w:w="1923" w:type="dxa"/>
            <w:tcBorders>
              <w:top w:val="nil"/>
              <w:left w:val="nil"/>
              <w:bottom w:val="single" w:sz="8" w:space="0" w:color="4F81BD"/>
              <w:right w:val="single" w:sz="8" w:space="0" w:color="95B3D7"/>
            </w:tcBorders>
            <w:shd w:val="clear" w:color="000000" w:fill="4F81BD"/>
            <w:vAlign w:val="center"/>
            <w:hideMark/>
          </w:tcPr>
          <w:p w14:paraId="0A2C8D0B" w14:textId="77777777" w:rsidR="00C5189E" w:rsidRPr="00F04AAB" w:rsidRDefault="00C5189E" w:rsidP="00F04AAB">
            <w:pPr>
              <w:spacing w:after="60"/>
              <w:jc w:val="center"/>
              <w:rPr>
                <w:rFonts w:ascii="Calibri" w:hAnsi="Calibri" w:cs="Calibri"/>
                <w:b/>
                <w:bCs/>
                <w:color w:val="FFFFFF"/>
                <w:sz w:val="20"/>
                <w:szCs w:val="20"/>
              </w:rPr>
            </w:pPr>
            <w:r w:rsidRPr="00F04AAB">
              <w:rPr>
                <w:rFonts w:ascii="Calibri" w:hAnsi="Calibri" w:cs="Calibri"/>
                <w:b/>
                <w:bCs/>
                <w:color w:val="FFFFFF"/>
                <w:sz w:val="20"/>
                <w:szCs w:val="20"/>
              </w:rPr>
              <w:t>2024-25</w:t>
            </w:r>
          </w:p>
        </w:tc>
      </w:tr>
      <w:tr w:rsidR="00C5189E" w14:paraId="4AD01C06" w14:textId="77777777" w:rsidTr="00B16C12">
        <w:trPr>
          <w:trHeight w:val="270"/>
        </w:trPr>
        <w:tc>
          <w:tcPr>
            <w:tcW w:w="3527" w:type="dxa"/>
            <w:tcBorders>
              <w:top w:val="nil"/>
              <w:left w:val="single" w:sz="8" w:space="0" w:color="95B3D7"/>
              <w:bottom w:val="single" w:sz="8" w:space="0" w:color="95B3D7"/>
              <w:right w:val="single" w:sz="8" w:space="0" w:color="95B3D7"/>
            </w:tcBorders>
            <w:shd w:val="clear" w:color="000000" w:fill="DBE5F1"/>
            <w:vAlign w:val="center"/>
            <w:hideMark/>
          </w:tcPr>
          <w:p w14:paraId="268A8784" w14:textId="77777777" w:rsidR="00C5189E" w:rsidRPr="00F04AAB" w:rsidRDefault="00C5189E" w:rsidP="00F04AAB">
            <w:pPr>
              <w:spacing w:after="60"/>
              <w:rPr>
                <w:rFonts w:ascii="Calibri" w:hAnsi="Calibri" w:cs="Calibri"/>
                <w:color w:val="17365D"/>
                <w:sz w:val="20"/>
                <w:szCs w:val="20"/>
              </w:rPr>
            </w:pPr>
            <w:r w:rsidRPr="00F04AAB">
              <w:rPr>
                <w:rFonts w:ascii="Calibri" w:hAnsi="Calibri" w:cs="Calibri"/>
                <w:color w:val="17365D"/>
                <w:sz w:val="20"/>
                <w:szCs w:val="20"/>
              </w:rPr>
              <w:t>Annual Levies</w:t>
            </w:r>
          </w:p>
        </w:tc>
        <w:tc>
          <w:tcPr>
            <w:tcW w:w="1923" w:type="dxa"/>
            <w:tcBorders>
              <w:top w:val="nil"/>
              <w:left w:val="nil"/>
              <w:bottom w:val="single" w:sz="8" w:space="0" w:color="95B3D7"/>
              <w:right w:val="single" w:sz="8" w:space="0" w:color="95B3D7"/>
            </w:tcBorders>
            <w:shd w:val="clear" w:color="000000" w:fill="DBE5F1"/>
            <w:vAlign w:val="center"/>
            <w:hideMark/>
          </w:tcPr>
          <w:p w14:paraId="2B7D9E2F" w14:textId="23E4282D" w:rsidR="00C5189E" w:rsidRPr="00F04AAB" w:rsidRDefault="00C5189E" w:rsidP="00F04AAB">
            <w:pPr>
              <w:spacing w:after="60"/>
              <w:jc w:val="center"/>
              <w:rPr>
                <w:rFonts w:ascii="Calibri" w:hAnsi="Calibri" w:cs="Calibri"/>
                <w:color w:val="17365D"/>
                <w:sz w:val="20"/>
                <w:szCs w:val="20"/>
              </w:rPr>
            </w:pPr>
            <w:r w:rsidRPr="00F04AAB">
              <w:rPr>
                <w:rFonts w:ascii="Calibri" w:hAnsi="Calibri" w:cs="Calibri"/>
                <w:color w:val="17365D"/>
                <w:sz w:val="20"/>
                <w:szCs w:val="20"/>
              </w:rPr>
              <w:t>$1,</w:t>
            </w:r>
            <w:r w:rsidR="0017693E">
              <w:rPr>
                <w:rFonts w:ascii="Calibri" w:hAnsi="Calibri" w:cs="Calibri"/>
                <w:color w:val="17365D"/>
                <w:sz w:val="20"/>
                <w:szCs w:val="20"/>
              </w:rPr>
              <w:t>300,000</w:t>
            </w:r>
          </w:p>
        </w:tc>
        <w:tc>
          <w:tcPr>
            <w:tcW w:w="1923" w:type="dxa"/>
            <w:tcBorders>
              <w:top w:val="nil"/>
              <w:left w:val="nil"/>
              <w:bottom w:val="single" w:sz="8" w:space="0" w:color="95B3D7"/>
              <w:right w:val="single" w:sz="8" w:space="0" w:color="95B3D7"/>
            </w:tcBorders>
            <w:shd w:val="clear" w:color="000000" w:fill="DBE5F1"/>
            <w:vAlign w:val="center"/>
            <w:hideMark/>
          </w:tcPr>
          <w:p w14:paraId="0D2A32A4" w14:textId="02E60DAF" w:rsidR="00C5189E" w:rsidRPr="00F04AAB" w:rsidRDefault="00C5189E" w:rsidP="00F04AAB">
            <w:pPr>
              <w:spacing w:after="60"/>
              <w:jc w:val="center"/>
              <w:rPr>
                <w:rFonts w:ascii="Calibri" w:hAnsi="Calibri" w:cs="Calibri"/>
                <w:color w:val="17365D"/>
                <w:sz w:val="20"/>
                <w:szCs w:val="20"/>
              </w:rPr>
            </w:pPr>
            <w:r w:rsidRPr="00F04AAB">
              <w:rPr>
                <w:rFonts w:ascii="Calibri" w:hAnsi="Calibri" w:cs="Calibri"/>
                <w:color w:val="17365D"/>
                <w:sz w:val="20"/>
                <w:szCs w:val="20"/>
              </w:rPr>
              <w:t>$3,</w:t>
            </w:r>
            <w:r w:rsidR="0017693E">
              <w:rPr>
                <w:rFonts w:ascii="Calibri" w:hAnsi="Calibri" w:cs="Calibri"/>
                <w:color w:val="17365D"/>
                <w:sz w:val="20"/>
                <w:szCs w:val="20"/>
              </w:rPr>
              <w:t>350,000</w:t>
            </w:r>
          </w:p>
        </w:tc>
        <w:tc>
          <w:tcPr>
            <w:tcW w:w="1923" w:type="dxa"/>
            <w:tcBorders>
              <w:top w:val="nil"/>
              <w:left w:val="nil"/>
              <w:bottom w:val="single" w:sz="8" w:space="0" w:color="95B3D7"/>
              <w:right w:val="single" w:sz="8" w:space="0" w:color="95B3D7"/>
            </w:tcBorders>
            <w:shd w:val="clear" w:color="000000" w:fill="DBE5F1"/>
            <w:vAlign w:val="center"/>
            <w:hideMark/>
          </w:tcPr>
          <w:p w14:paraId="26E56E95" w14:textId="4EA7A30D" w:rsidR="00C5189E" w:rsidRPr="00F04AAB" w:rsidRDefault="00C5189E" w:rsidP="00F04AAB">
            <w:pPr>
              <w:spacing w:after="60"/>
              <w:jc w:val="center"/>
              <w:rPr>
                <w:rFonts w:ascii="Calibri" w:hAnsi="Calibri" w:cs="Calibri"/>
                <w:color w:val="17365D"/>
                <w:sz w:val="20"/>
                <w:szCs w:val="20"/>
              </w:rPr>
            </w:pPr>
            <w:r w:rsidRPr="00F04AAB">
              <w:rPr>
                <w:rFonts w:ascii="Calibri" w:hAnsi="Calibri" w:cs="Calibri"/>
                <w:color w:val="17365D"/>
                <w:sz w:val="20"/>
                <w:szCs w:val="20"/>
              </w:rPr>
              <w:t>$</w:t>
            </w:r>
            <w:r w:rsidR="0017693E">
              <w:rPr>
                <w:rFonts w:ascii="Calibri" w:hAnsi="Calibri" w:cs="Calibri"/>
                <w:color w:val="17365D"/>
                <w:sz w:val="20"/>
                <w:szCs w:val="20"/>
              </w:rPr>
              <w:t>4,550,000</w:t>
            </w:r>
          </w:p>
        </w:tc>
      </w:tr>
      <w:tr w:rsidR="00C5189E" w14:paraId="6AAFAD83" w14:textId="77777777" w:rsidTr="00B16C12">
        <w:trPr>
          <w:trHeight w:val="270"/>
        </w:trPr>
        <w:tc>
          <w:tcPr>
            <w:tcW w:w="3527" w:type="dxa"/>
            <w:tcBorders>
              <w:top w:val="nil"/>
              <w:left w:val="single" w:sz="8" w:space="0" w:color="95B3D7"/>
              <w:bottom w:val="single" w:sz="8" w:space="0" w:color="95B3D7"/>
              <w:right w:val="single" w:sz="8" w:space="0" w:color="95B3D7"/>
            </w:tcBorders>
            <w:shd w:val="clear" w:color="auto" w:fill="auto"/>
            <w:vAlign w:val="center"/>
            <w:hideMark/>
          </w:tcPr>
          <w:p w14:paraId="2CD0007A" w14:textId="69245A06" w:rsidR="00C5189E" w:rsidRPr="00F04AAB" w:rsidRDefault="00C5189E" w:rsidP="00F04AAB">
            <w:pPr>
              <w:spacing w:after="60"/>
              <w:rPr>
                <w:rFonts w:ascii="Calibri" w:hAnsi="Calibri" w:cs="Calibri"/>
                <w:color w:val="17365D"/>
                <w:sz w:val="20"/>
                <w:szCs w:val="20"/>
              </w:rPr>
            </w:pPr>
            <w:r w:rsidRPr="00F04AAB">
              <w:rPr>
                <w:rFonts w:ascii="Calibri" w:hAnsi="Calibri" w:cs="Calibri"/>
                <w:color w:val="17365D"/>
                <w:sz w:val="20"/>
                <w:szCs w:val="20"/>
              </w:rPr>
              <w:t xml:space="preserve">Application </w:t>
            </w:r>
            <w:r w:rsidR="00C12D2F">
              <w:rPr>
                <w:rFonts w:ascii="Calibri" w:hAnsi="Calibri" w:cs="Calibri"/>
                <w:color w:val="17365D"/>
                <w:sz w:val="20"/>
                <w:szCs w:val="20"/>
              </w:rPr>
              <w:t>F</w:t>
            </w:r>
            <w:r w:rsidRPr="00F04AAB">
              <w:rPr>
                <w:rFonts w:ascii="Calibri" w:hAnsi="Calibri" w:cs="Calibri"/>
                <w:color w:val="17365D"/>
                <w:sz w:val="20"/>
                <w:szCs w:val="20"/>
              </w:rPr>
              <w:t xml:space="preserve">ees </w:t>
            </w:r>
          </w:p>
        </w:tc>
        <w:tc>
          <w:tcPr>
            <w:tcW w:w="1923" w:type="dxa"/>
            <w:tcBorders>
              <w:top w:val="nil"/>
              <w:left w:val="nil"/>
              <w:bottom w:val="single" w:sz="8" w:space="0" w:color="95B3D7"/>
              <w:right w:val="single" w:sz="8" w:space="0" w:color="95B3D7"/>
            </w:tcBorders>
            <w:shd w:val="clear" w:color="auto" w:fill="auto"/>
            <w:vAlign w:val="center"/>
            <w:hideMark/>
          </w:tcPr>
          <w:p w14:paraId="42AF0A2F" w14:textId="77777777" w:rsidR="00C5189E" w:rsidRPr="00F04AAB" w:rsidRDefault="00C5189E" w:rsidP="00F04AAB">
            <w:pPr>
              <w:spacing w:after="60"/>
              <w:jc w:val="center"/>
              <w:rPr>
                <w:rFonts w:ascii="Calibri" w:hAnsi="Calibri" w:cs="Calibri"/>
                <w:color w:val="17365D"/>
                <w:sz w:val="20"/>
                <w:szCs w:val="20"/>
              </w:rPr>
            </w:pPr>
            <w:r w:rsidRPr="00F04AAB">
              <w:rPr>
                <w:rFonts w:ascii="Calibri" w:hAnsi="Calibri" w:cs="Calibri"/>
                <w:color w:val="17365D"/>
                <w:sz w:val="20"/>
                <w:szCs w:val="20"/>
              </w:rPr>
              <w:t>$0</w:t>
            </w:r>
          </w:p>
        </w:tc>
        <w:tc>
          <w:tcPr>
            <w:tcW w:w="1923" w:type="dxa"/>
            <w:tcBorders>
              <w:top w:val="nil"/>
              <w:left w:val="nil"/>
              <w:bottom w:val="single" w:sz="8" w:space="0" w:color="95B3D7"/>
              <w:right w:val="single" w:sz="8" w:space="0" w:color="95B3D7"/>
            </w:tcBorders>
            <w:shd w:val="clear" w:color="auto" w:fill="auto"/>
            <w:vAlign w:val="center"/>
            <w:hideMark/>
          </w:tcPr>
          <w:p w14:paraId="502679F3" w14:textId="77777777" w:rsidR="00C5189E" w:rsidRPr="00F04AAB" w:rsidRDefault="00C5189E" w:rsidP="00F04AAB">
            <w:pPr>
              <w:spacing w:after="60"/>
              <w:jc w:val="center"/>
              <w:rPr>
                <w:rFonts w:ascii="Calibri" w:hAnsi="Calibri" w:cs="Calibri"/>
                <w:color w:val="17365D"/>
                <w:sz w:val="20"/>
                <w:szCs w:val="20"/>
              </w:rPr>
            </w:pPr>
            <w:r w:rsidRPr="00F04AAB">
              <w:rPr>
                <w:rFonts w:ascii="Calibri" w:hAnsi="Calibri" w:cs="Calibri"/>
                <w:color w:val="17365D"/>
                <w:sz w:val="20"/>
                <w:szCs w:val="20"/>
              </w:rPr>
              <w:t>$0</w:t>
            </w:r>
          </w:p>
        </w:tc>
        <w:tc>
          <w:tcPr>
            <w:tcW w:w="1923" w:type="dxa"/>
            <w:tcBorders>
              <w:top w:val="nil"/>
              <w:left w:val="nil"/>
              <w:bottom w:val="single" w:sz="8" w:space="0" w:color="95B3D7"/>
              <w:right w:val="single" w:sz="8" w:space="0" w:color="95B3D7"/>
            </w:tcBorders>
            <w:shd w:val="clear" w:color="auto" w:fill="auto"/>
            <w:vAlign w:val="center"/>
            <w:hideMark/>
          </w:tcPr>
          <w:p w14:paraId="6F21470D" w14:textId="77777777" w:rsidR="00C5189E" w:rsidRPr="00F04AAB" w:rsidRDefault="00C5189E" w:rsidP="00F04AAB">
            <w:pPr>
              <w:spacing w:after="60"/>
              <w:jc w:val="center"/>
              <w:rPr>
                <w:rFonts w:ascii="Calibri" w:hAnsi="Calibri" w:cs="Calibri"/>
                <w:color w:val="17365D"/>
                <w:sz w:val="20"/>
                <w:szCs w:val="20"/>
              </w:rPr>
            </w:pPr>
            <w:r w:rsidRPr="00F04AAB">
              <w:rPr>
                <w:rFonts w:ascii="Calibri" w:hAnsi="Calibri" w:cs="Calibri"/>
                <w:color w:val="17365D"/>
                <w:sz w:val="20"/>
                <w:szCs w:val="20"/>
              </w:rPr>
              <w:t>$550,000</w:t>
            </w:r>
          </w:p>
        </w:tc>
      </w:tr>
      <w:tr w:rsidR="00C5189E" w14:paraId="62B06CAF" w14:textId="77777777" w:rsidTr="00B16C12">
        <w:trPr>
          <w:trHeight w:val="270"/>
        </w:trPr>
        <w:tc>
          <w:tcPr>
            <w:tcW w:w="3527" w:type="dxa"/>
            <w:tcBorders>
              <w:top w:val="nil"/>
              <w:left w:val="single" w:sz="8" w:space="0" w:color="95B3D7"/>
              <w:bottom w:val="single" w:sz="8" w:space="0" w:color="95B3D7"/>
              <w:right w:val="single" w:sz="8" w:space="0" w:color="95B3D7"/>
            </w:tcBorders>
            <w:shd w:val="clear" w:color="000000" w:fill="DBE5F1"/>
            <w:vAlign w:val="center"/>
            <w:hideMark/>
          </w:tcPr>
          <w:p w14:paraId="70A07B17" w14:textId="77777777" w:rsidR="00C5189E" w:rsidRPr="00F04AAB" w:rsidRDefault="00C5189E" w:rsidP="00F04AAB">
            <w:pPr>
              <w:spacing w:after="60"/>
              <w:rPr>
                <w:rFonts w:ascii="Calibri" w:hAnsi="Calibri" w:cs="Calibri"/>
                <w:b/>
                <w:bCs/>
                <w:color w:val="17365D"/>
                <w:sz w:val="20"/>
                <w:szCs w:val="20"/>
              </w:rPr>
            </w:pPr>
            <w:r w:rsidRPr="00F04AAB">
              <w:rPr>
                <w:rFonts w:ascii="Calibri" w:hAnsi="Calibri" w:cs="Calibri"/>
                <w:b/>
                <w:bCs/>
                <w:color w:val="17365D"/>
                <w:sz w:val="20"/>
                <w:szCs w:val="20"/>
              </w:rPr>
              <w:t xml:space="preserve">Total </w:t>
            </w:r>
          </w:p>
        </w:tc>
        <w:tc>
          <w:tcPr>
            <w:tcW w:w="1923" w:type="dxa"/>
            <w:tcBorders>
              <w:top w:val="nil"/>
              <w:left w:val="nil"/>
              <w:bottom w:val="single" w:sz="8" w:space="0" w:color="95B3D7"/>
              <w:right w:val="single" w:sz="8" w:space="0" w:color="95B3D7"/>
            </w:tcBorders>
            <w:shd w:val="clear" w:color="000000" w:fill="DBE5F1"/>
            <w:vAlign w:val="center"/>
            <w:hideMark/>
          </w:tcPr>
          <w:p w14:paraId="579F0EE6" w14:textId="10271793" w:rsidR="00C5189E" w:rsidRPr="00F04AAB" w:rsidRDefault="00C5189E" w:rsidP="00F04AAB">
            <w:pPr>
              <w:spacing w:after="60"/>
              <w:jc w:val="center"/>
              <w:rPr>
                <w:rFonts w:ascii="Calibri" w:hAnsi="Calibri" w:cs="Calibri"/>
                <w:b/>
                <w:bCs/>
                <w:color w:val="17365D"/>
                <w:sz w:val="20"/>
                <w:szCs w:val="20"/>
              </w:rPr>
            </w:pPr>
            <w:r w:rsidRPr="00F04AAB">
              <w:rPr>
                <w:rFonts w:ascii="Calibri" w:hAnsi="Calibri" w:cs="Calibri"/>
                <w:b/>
                <w:bCs/>
                <w:color w:val="17365D"/>
                <w:sz w:val="20"/>
                <w:szCs w:val="20"/>
              </w:rPr>
              <w:t>$1,</w:t>
            </w:r>
            <w:r w:rsidR="00E015BC">
              <w:rPr>
                <w:rFonts w:ascii="Calibri" w:hAnsi="Calibri" w:cs="Calibri"/>
                <w:b/>
                <w:bCs/>
                <w:color w:val="17365D"/>
                <w:sz w:val="20"/>
                <w:szCs w:val="20"/>
              </w:rPr>
              <w:t>300,000</w:t>
            </w:r>
          </w:p>
        </w:tc>
        <w:tc>
          <w:tcPr>
            <w:tcW w:w="1923" w:type="dxa"/>
            <w:tcBorders>
              <w:top w:val="nil"/>
              <w:left w:val="nil"/>
              <w:bottom w:val="single" w:sz="8" w:space="0" w:color="95B3D7"/>
              <w:right w:val="single" w:sz="8" w:space="0" w:color="95B3D7"/>
            </w:tcBorders>
            <w:shd w:val="clear" w:color="000000" w:fill="DBE5F1"/>
            <w:vAlign w:val="center"/>
            <w:hideMark/>
          </w:tcPr>
          <w:p w14:paraId="0C0B7CFA" w14:textId="46C01175" w:rsidR="00C5189E" w:rsidRPr="00F04AAB" w:rsidRDefault="00C5189E" w:rsidP="00F04AAB">
            <w:pPr>
              <w:spacing w:after="60"/>
              <w:jc w:val="center"/>
              <w:rPr>
                <w:rFonts w:ascii="Calibri" w:hAnsi="Calibri" w:cs="Calibri"/>
                <w:b/>
                <w:bCs/>
                <w:color w:val="17365D"/>
                <w:sz w:val="20"/>
                <w:szCs w:val="20"/>
              </w:rPr>
            </w:pPr>
            <w:r w:rsidRPr="00F04AAB">
              <w:rPr>
                <w:rFonts w:ascii="Calibri" w:hAnsi="Calibri" w:cs="Calibri"/>
                <w:b/>
                <w:bCs/>
                <w:color w:val="17365D"/>
                <w:sz w:val="20"/>
                <w:szCs w:val="20"/>
              </w:rPr>
              <w:t>$3,</w:t>
            </w:r>
            <w:r w:rsidR="00E015BC">
              <w:rPr>
                <w:rFonts w:ascii="Calibri" w:hAnsi="Calibri" w:cs="Calibri"/>
                <w:b/>
                <w:bCs/>
                <w:color w:val="17365D"/>
                <w:sz w:val="20"/>
                <w:szCs w:val="20"/>
              </w:rPr>
              <w:t>350,000</w:t>
            </w:r>
          </w:p>
        </w:tc>
        <w:tc>
          <w:tcPr>
            <w:tcW w:w="1923" w:type="dxa"/>
            <w:tcBorders>
              <w:top w:val="nil"/>
              <w:left w:val="nil"/>
              <w:bottom w:val="single" w:sz="8" w:space="0" w:color="95B3D7"/>
              <w:right w:val="single" w:sz="8" w:space="0" w:color="95B3D7"/>
            </w:tcBorders>
            <w:shd w:val="clear" w:color="000000" w:fill="DBE5F1"/>
            <w:vAlign w:val="center"/>
            <w:hideMark/>
          </w:tcPr>
          <w:p w14:paraId="2FC63A1E" w14:textId="516A920A" w:rsidR="00C5189E" w:rsidRPr="00F04AAB" w:rsidRDefault="00C5189E" w:rsidP="00F04AAB">
            <w:pPr>
              <w:spacing w:after="60"/>
              <w:jc w:val="center"/>
              <w:rPr>
                <w:rFonts w:ascii="Calibri" w:hAnsi="Calibri" w:cs="Calibri"/>
                <w:b/>
                <w:bCs/>
                <w:color w:val="17365D"/>
                <w:sz w:val="20"/>
                <w:szCs w:val="20"/>
              </w:rPr>
            </w:pPr>
            <w:r w:rsidRPr="00F04AAB">
              <w:rPr>
                <w:rFonts w:ascii="Calibri" w:hAnsi="Calibri" w:cs="Calibri"/>
                <w:b/>
                <w:bCs/>
                <w:color w:val="17365D"/>
                <w:sz w:val="20"/>
                <w:szCs w:val="20"/>
              </w:rPr>
              <w:t>$5,</w:t>
            </w:r>
            <w:r w:rsidR="00E015BC">
              <w:rPr>
                <w:rFonts w:ascii="Calibri" w:hAnsi="Calibri" w:cs="Calibri"/>
                <w:b/>
                <w:bCs/>
                <w:color w:val="17365D"/>
                <w:sz w:val="20"/>
                <w:szCs w:val="20"/>
              </w:rPr>
              <w:t>100,000</w:t>
            </w:r>
          </w:p>
        </w:tc>
      </w:tr>
    </w:tbl>
    <w:p w14:paraId="5166CD71" w14:textId="77777777" w:rsidR="00B16C12" w:rsidRDefault="00B16C12" w:rsidP="00C5189E">
      <w:pPr>
        <w:rPr>
          <w:rFonts w:asciiTheme="minorHAnsi" w:hAnsiTheme="minorHAnsi" w:cstheme="minorHAnsi"/>
        </w:rPr>
      </w:pPr>
    </w:p>
    <w:p w14:paraId="428A1E90" w14:textId="23A7D744" w:rsidR="00C5189E" w:rsidRPr="00F04AAB" w:rsidRDefault="00C5189E" w:rsidP="00C5189E">
      <w:pPr>
        <w:rPr>
          <w:rFonts w:asciiTheme="minorHAnsi" w:hAnsiTheme="minorHAnsi" w:cstheme="minorHAnsi"/>
        </w:rPr>
      </w:pPr>
      <w:r>
        <w:rPr>
          <w:rFonts w:asciiTheme="minorHAnsi" w:hAnsiTheme="minorHAnsi" w:cstheme="minorHAnsi"/>
        </w:rPr>
        <w:t>In the Regulator’s view, transparency and s</w:t>
      </w:r>
      <w:r w:rsidRPr="00F4498D">
        <w:rPr>
          <w:rFonts w:asciiTheme="minorHAnsi" w:hAnsiTheme="minorHAnsi" w:cstheme="minorHAnsi"/>
        </w:rPr>
        <w:t xml:space="preserve">tability in the level of fees and levies is </w:t>
      </w:r>
      <w:r>
        <w:rPr>
          <w:rFonts w:asciiTheme="minorHAnsi" w:hAnsiTheme="minorHAnsi" w:cstheme="minorHAnsi"/>
        </w:rPr>
        <w:t>critical to</w:t>
      </w:r>
      <w:r w:rsidRPr="00F4498D">
        <w:rPr>
          <w:rFonts w:asciiTheme="minorHAnsi" w:hAnsiTheme="minorHAnsi" w:cstheme="minorHAnsi"/>
        </w:rPr>
        <w:t xml:space="preserve"> providing consistency</w:t>
      </w:r>
      <w:r>
        <w:rPr>
          <w:rFonts w:asciiTheme="minorHAnsi" w:hAnsiTheme="minorHAnsi" w:cstheme="minorHAnsi"/>
        </w:rPr>
        <w:t xml:space="preserve"> and clarity</w:t>
      </w:r>
      <w:r w:rsidRPr="00F4498D">
        <w:rPr>
          <w:rFonts w:asciiTheme="minorHAnsi" w:hAnsiTheme="minorHAnsi" w:cstheme="minorHAnsi"/>
        </w:rPr>
        <w:t xml:space="preserve"> for industry and</w:t>
      </w:r>
      <w:r>
        <w:rPr>
          <w:rFonts w:asciiTheme="minorHAnsi" w:hAnsiTheme="minorHAnsi" w:cstheme="minorHAnsi"/>
        </w:rPr>
        <w:t xml:space="preserve"> enabling potential licence holders to engage with and understand their obligations under the regime</w:t>
      </w:r>
      <w:r w:rsidRPr="00F4498D">
        <w:rPr>
          <w:rFonts w:asciiTheme="minorHAnsi" w:hAnsiTheme="minorHAnsi" w:cstheme="minorHAnsi"/>
        </w:rPr>
        <w:t>.</w:t>
      </w:r>
      <w:r>
        <w:rPr>
          <w:rFonts w:asciiTheme="minorHAnsi" w:hAnsiTheme="minorHAnsi" w:cstheme="minorHAnsi"/>
        </w:rPr>
        <w:t xml:space="preserve"> It is proposed that fees and levies be reviewed within 24 months of commencement. The Regulator will maintain full transparency by notifying and consulting industry where required prior to any potential future changes to cost recovery amounts or structures. </w:t>
      </w:r>
    </w:p>
    <w:p w14:paraId="47C35D98" w14:textId="59521118" w:rsidR="00C5189E" w:rsidRDefault="00C5189E" w:rsidP="00C5189E">
      <w:pPr>
        <w:pStyle w:val="Heading3"/>
      </w:pPr>
      <w:bookmarkStart w:id="57" w:name="_Toc90968213"/>
      <w:bookmarkStart w:id="58" w:name="_Toc98772188"/>
      <w:r w:rsidRPr="00902AA6">
        <w:t>Cost recovery lev</w:t>
      </w:r>
      <w:r>
        <w:t>ies</w:t>
      </w:r>
      <w:bookmarkEnd w:id="57"/>
      <w:r w:rsidR="0033665D">
        <w:t xml:space="preserve"> – Regulator</w:t>
      </w:r>
      <w:bookmarkEnd w:id="58"/>
      <w:r w:rsidR="0033665D">
        <w:t xml:space="preserve"> </w:t>
      </w:r>
    </w:p>
    <w:p w14:paraId="361388B8" w14:textId="2E69D6FF" w:rsidR="00C5189E" w:rsidRDefault="00C5189E" w:rsidP="00C5189E">
      <w:pPr>
        <w:rPr>
          <w:rFonts w:ascii="Calibri" w:hAnsi="Calibri" w:cs="Calibri"/>
          <w:color w:val="000000"/>
          <w:lang w:eastAsia="en-AU"/>
        </w:rPr>
      </w:pPr>
      <w:r w:rsidRPr="00D159C9">
        <w:rPr>
          <w:rFonts w:ascii="Calibri" w:hAnsi="Calibri" w:cs="Calibri"/>
          <w:color w:val="000000"/>
          <w:lang w:eastAsia="en-AU"/>
        </w:rPr>
        <w:t xml:space="preserve">Prior to </w:t>
      </w:r>
      <w:r>
        <w:rPr>
          <w:rFonts w:ascii="Calibri" w:hAnsi="Calibri" w:cs="Calibri"/>
          <w:color w:val="000000"/>
          <w:lang w:eastAsia="en-AU"/>
        </w:rPr>
        <w:t xml:space="preserve">any </w:t>
      </w:r>
      <w:r w:rsidRPr="00D159C9">
        <w:rPr>
          <w:rFonts w:ascii="Calibri" w:hAnsi="Calibri" w:cs="Calibri"/>
          <w:color w:val="000000"/>
          <w:lang w:eastAsia="en-AU"/>
        </w:rPr>
        <w:t>activities commencing under the OEI regime the Regulator will need to be established and</w:t>
      </w:r>
      <w:r>
        <w:rPr>
          <w:rFonts w:ascii="Calibri" w:hAnsi="Calibri" w:cs="Calibri"/>
          <w:color w:val="000000"/>
          <w:lang w:eastAsia="en-AU"/>
        </w:rPr>
        <w:t xml:space="preserve"> delivering regulatory functions. To allow cost recovery to occur at the earliest practicable point in the OEI lifecycle it is proposed that the bulk of costs associated with delivery of the functions of the Regulator will be recovered through an annual compliance levy imposed on each licence granted under the regime</w:t>
      </w:r>
      <w:r w:rsidR="00687C08">
        <w:rPr>
          <w:rFonts w:ascii="Calibri" w:hAnsi="Calibri" w:cs="Calibri"/>
          <w:color w:val="000000"/>
          <w:lang w:eastAsia="en-AU"/>
        </w:rPr>
        <w:t xml:space="preserve"> (</w:t>
      </w:r>
      <w:r w:rsidR="00687C08" w:rsidRPr="00465868">
        <w:rPr>
          <w:rFonts w:ascii="Calibri" w:hAnsi="Calibri" w:cs="Calibri"/>
          <w:b/>
          <w:bCs/>
          <w:color w:val="000000"/>
          <w:lang w:eastAsia="en-AU"/>
        </w:rPr>
        <w:t>Table 16</w:t>
      </w:r>
      <w:r w:rsidR="00687C08">
        <w:rPr>
          <w:rFonts w:ascii="Calibri" w:hAnsi="Calibri" w:cs="Calibri"/>
          <w:color w:val="000000"/>
          <w:lang w:eastAsia="en-AU"/>
        </w:rPr>
        <w:t>).</w:t>
      </w:r>
      <w:r>
        <w:rPr>
          <w:rFonts w:ascii="Calibri" w:hAnsi="Calibri" w:cs="Calibri"/>
          <w:color w:val="000000"/>
          <w:lang w:eastAsia="en-AU"/>
        </w:rPr>
        <w:t xml:space="preserve"> Effective regulatory oversight will necessitate advice, guidance, </w:t>
      </w:r>
      <w:r w:rsidRPr="00165A13">
        <w:rPr>
          <w:rFonts w:ascii="Calibri" w:hAnsi="Calibri" w:cs="Calibri"/>
          <w:color w:val="000000"/>
          <w:lang w:eastAsia="en-AU"/>
        </w:rPr>
        <w:t xml:space="preserve">compliance monitoring </w:t>
      </w:r>
      <w:r>
        <w:rPr>
          <w:rFonts w:ascii="Calibri" w:hAnsi="Calibri" w:cs="Calibri"/>
          <w:color w:val="000000"/>
          <w:lang w:eastAsia="en-AU"/>
        </w:rPr>
        <w:t>and other regulatory s</w:t>
      </w:r>
      <w:r w:rsidR="0015473B">
        <w:rPr>
          <w:rFonts w:ascii="Calibri" w:hAnsi="Calibri" w:cs="Calibri"/>
          <w:color w:val="000000"/>
          <w:lang w:eastAsia="en-AU"/>
        </w:rPr>
        <w:t>ervices being provided to licenc</w:t>
      </w:r>
      <w:r>
        <w:rPr>
          <w:rFonts w:ascii="Calibri" w:hAnsi="Calibri" w:cs="Calibri"/>
          <w:color w:val="000000"/>
          <w:lang w:eastAsia="en-AU"/>
        </w:rPr>
        <w:t xml:space="preserve">ees. Particularly in the early stages of the regime an annual levy will provide the Regulator with a necessary stable funding base to allow delivery of its regulatory functions. </w:t>
      </w:r>
    </w:p>
    <w:p w14:paraId="7A059D67" w14:textId="77777777" w:rsidR="00465868" w:rsidRPr="00465868" w:rsidRDefault="00465868" w:rsidP="00C5189E">
      <w:pPr>
        <w:rPr>
          <w:rFonts w:ascii="Calibri" w:hAnsi="Calibri" w:cs="Calibri"/>
          <w:color w:val="000000"/>
          <w:sz w:val="22"/>
          <w:szCs w:val="22"/>
          <w:lang w:eastAsia="en-AU"/>
        </w:rPr>
      </w:pPr>
    </w:p>
    <w:p w14:paraId="7AD46F52" w14:textId="3D9E1254" w:rsidR="00C5189E" w:rsidRDefault="00C5189E" w:rsidP="00C5189E">
      <w:pPr>
        <w:rPr>
          <w:rFonts w:ascii="Calibri" w:hAnsi="Calibri" w:cs="Calibri"/>
          <w:color w:val="000000"/>
          <w:lang w:eastAsia="en-AU"/>
        </w:rPr>
      </w:pPr>
      <w:r>
        <w:rPr>
          <w:rFonts w:ascii="Calibri" w:hAnsi="Calibri" w:cs="Calibri"/>
          <w:color w:val="000000"/>
          <w:lang w:eastAsia="en-AU"/>
        </w:rPr>
        <w:t xml:space="preserve">It is proposed that the </w:t>
      </w:r>
      <w:r w:rsidRPr="00165A13">
        <w:rPr>
          <w:rFonts w:ascii="Calibri" w:hAnsi="Calibri" w:cs="Calibri"/>
          <w:color w:val="000000"/>
          <w:lang w:eastAsia="en-AU"/>
        </w:rPr>
        <w:t>annual compliance levy be constructed</w:t>
      </w:r>
      <w:r>
        <w:rPr>
          <w:rFonts w:ascii="Calibri" w:hAnsi="Calibri" w:cs="Calibri"/>
          <w:color w:val="000000"/>
          <w:lang w:eastAsia="en-AU"/>
        </w:rPr>
        <w:t xml:space="preserve"> such that licences under which commercial projects will be developed and operated attract proportionately higher levies than licences for research and development projects. This differentiation will be achieved through setting a base rate </w:t>
      </w:r>
      <w:r w:rsidR="00A53DE3">
        <w:rPr>
          <w:rFonts w:ascii="Calibri" w:hAnsi="Calibri" w:cs="Calibri"/>
          <w:color w:val="000000"/>
          <w:lang w:eastAsia="en-AU"/>
        </w:rPr>
        <w:t xml:space="preserve">for each licence type </w:t>
      </w:r>
      <w:r>
        <w:rPr>
          <w:rFonts w:ascii="Calibri" w:hAnsi="Calibri" w:cs="Calibri"/>
          <w:color w:val="000000"/>
          <w:lang w:eastAsia="en-AU"/>
        </w:rPr>
        <w:t xml:space="preserve">with a </w:t>
      </w:r>
      <w:r w:rsidR="00A53DE3">
        <w:rPr>
          <w:rFonts w:ascii="Calibri" w:hAnsi="Calibri" w:cs="Calibri"/>
          <w:color w:val="000000"/>
          <w:lang w:eastAsia="en-AU"/>
        </w:rPr>
        <w:t>variable component calculated on the basis of total licence area</w:t>
      </w:r>
      <w:r w:rsidR="00687C08">
        <w:rPr>
          <w:rFonts w:ascii="Calibri" w:hAnsi="Calibri" w:cs="Calibri"/>
          <w:color w:val="000000"/>
          <w:lang w:eastAsia="en-AU"/>
        </w:rPr>
        <w:t xml:space="preserve">. </w:t>
      </w:r>
      <w:r w:rsidR="00A53DE3">
        <w:rPr>
          <w:rFonts w:ascii="Calibri" w:hAnsi="Calibri" w:cs="Calibri"/>
          <w:color w:val="000000"/>
          <w:lang w:eastAsia="en-AU"/>
        </w:rPr>
        <w:t xml:space="preserve">The variable component of the levy will ensure that larger scale projects, which are likely to have more frequent and complex offshore infrastructure activities, attract proportionately higher levies. </w:t>
      </w:r>
      <w:r w:rsidRPr="00E62D5C">
        <w:rPr>
          <w:rFonts w:ascii="Calibri" w:hAnsi="Calibri" w:cs="Calibri"/>
          <w:color w:val="000000"/>
          <w:lang w:eastAsia="en-AU"/>
        </w:rPr>
        <w:t>Transmission and infrastructure licences will attract a flat per licence rate</w:t>
      </w:r>
      <w:r w:rsidR="00A53DE3">
        <w:rPr>
          <w:rFonts w:ascii="Calibri" w:hAnsi="Calibri" w:cs="Calibri"/>
          <w:color w:val="000000"/>
          <w:lang w:eastAsia="en-AU"/>
        </w:rPr>
        <w:t xml:space="preserve"> as it is not anticipated that the length of transmission infrastructure will significantly alter required regulatory effort</w:t>
      </w:r>
      <w:r w:rsidRPr="00E62D5C">
        <w:rPr>
          <w:rFonts w:ascii="Calibri" w:hAnsi="Calibri" w:cs="Calibri"/>
          <w:color w:val="000000"/>
          <w:lang w:eastAsia="en-AU"/>
        </w:rPr>
        <w:t>.</w:t>
      </w:r>
      <w:r>
        <w:rPr>
          <w:rFonts w:ascii="Calibri" w:hAnsi="Calibri" w:cs="Calibri"/>
          <w:color w:val="000000"/>
          <w:lang w:eastAsia="en-AU"/>
        </w:rPr>
        <w:t xml:space="preserve">   </w:t>
      </w:r>
    </w:p>
    <w:p w14:paraId="43865A9C" w14:textId="6FE445EF" w:rsidR="00B16C12" w:rsidRDefault="00B16C12">
      <w:pPr>
        <w:spacing w:after="200" w:line="276" w:lineRule="auto"/>
        <w:rPr>
          <w:rFonts w:ascii="Arial" w:eastAsia="Calibri" w:hAnsi="Arial" w:cs="Arial"/>
          <w:sz w:val="18"/>
          <w:szCs w:val="18"/>
        </w:rPr>
      </w:pPr>
      <w:r>
        <w:rPr>
          <w:rFonts w:ascii="Arial" w:eastAsia="Calibri" w:hAnsi="Arial" w:cs="Arial"/>
          <w:sz w:val="18"/>
          <w:szCs w:val="18"/>
        </w:rPr>
        <w:br w:type="page"/>
      </w:r>
    </w:p>
    <w:tbl>
      <w:tblPr>
        <w:tblW w:w="10604" w:type="dxa"/>
        <w:tblCellMar>
          <w:left w:w="0" w:type="dxa"/>
          <w:right w:w="0" w:type="dxa"/>
        </w:tblCellMar>
        <w:tblLook w:val="04A0" w:firstRow="1" w:lastRow="0" w:firstColumn="1" w:lastColumn="0" w:noHBand="0" w:noVBand="1"/>
      </w:tblPr>
      <w:tblGrid>
        <w:gridCol w:w="9"/>
        <w:gridCol w:w="1688"/>
        <w:gridCol w:w="618"/>
        <w:gridCol w:w="617"/>
        <w:gridCol w:w="617"/>
        <w:gridCol w:w="685"/>
        <w:gridCol w:w="1392"/>
        <w:gridCol w:w="1226"/>
        <w:gridCol w:w="1239"/>
        <w:gridCol w:w="1293"/>
        <w:gridCol w:w="1219"/>
        <w:gridCol w:w="17"/>
      </w:tblGrid>
      <w:tr w:rsidR="0017693E" w14:paraId="4BD2D7F1" w14:textId="77777777" w:rsidTr="00777ACE">
        <w:trPr>
          <w:trHeight w:val="310"/>
        </w:trPr>
        <w:tc>
          <w:tcPr>
            <w:tcW w:w="10604" w:type="dxa"/>
            <w:gridSpan w:val="12"/>
            <w:tcBorders>
              <w:top w:val="nil"/>
              <w:left w:val="nil"/>
              <w:bottom w:val="nil"/>
              <w:right w:val="nil"/>
            </w:tcBorders>
            <w:shd w:val="clear" w:color="auto" w:fill="auto"/>
            <w:noWrap/>
            <w:vAlign w:val="center"/>
            <w:hideMark/>
          </w:tcPr>
          <w:p w14:paraId="2DF5DAAD" w14:textId="1319E9A0" w:rsidR="0017693E" w:rsidRDefault="0017693E">
            <w:pPr>
              <w:rPr>
                <w:rFonts w:ascii="Calibri" w:hAnsi="Calibri" w:cs="Calibri"/>
                <w:b/>
                <w:bCs/>
                <w:color w:val="000000"/>
              </w:rPr>
            </w:pPr>
            <w:r>
              <w:rPr>
                <w:rFonts w:ascii="Calibri" w:hAnsi="Calibri" w:cs="Calibri"/>
                <w:b/>
                <w:bCs/>
                <w:color w:val="000000"/>
              </w:rPr>
              <w:lastRenderedPageBreak/>
              <w:t>Table 16:</w:t>
            </w:r>
            <w:r>
              <w:rPr>
                <w:rFonts w:ascii="Calibri" w:hAnsi="Calibri" w:cs="Calibri"/>
                <w:color w:val="000000"/>
              </w:rPr>
              <w:t xml:space="preserve"> Annual </w:t>
            </w:r>
            <w:r w:rsidR="00E015BC">
              <w:rPr>
                <w:rFonts w:ascii="Calibri" w:hAnsi="Calibri" w:cs="Calibri"/>
                <w:color w:val="000000"/>
              </w:rPr>
              <w:t>compliance</w:t>
            </w:r>
            <w:r>
              <w:rPr>
                <w:rFonts w:ascii="Calibri" w:hAnsi="Calibri" w:cs="Calibri"/>
                <w:color w:val="000000"/>
              </w:rPr>
              <w:t xml:space="preserve"> levy revenue estimates for 2022-23 to 2024-25</w:t>
            </w:r>
            <w:r w:rsidR="00777ACE" w:rsidRPr="00777ACE">
              <w:rPr>
                <w:rFonts w:ascii="Calibri" w:hAnsi="Calibri" w:cs="Calibri"/>
                <w:color w:val="000000"/>
                <w:vertAlign w:val="superscript"/>
              </w:rPr>
              <w:t>#</w:t>
            </w:r>
          </w:p>
        </w:tc>
      </w:tr>
      <w:tr w:rsidR="0017693E" w14:paraId="3D082507" w14:textId="77777777" w:rsidTr="00777ACE">
        <w:trPr>
          <w:gridBefore w:val="1"/>
          <w:gridAfter w:val="1"/>
          <w:wBefore w:w="9" w:type="dxa"/>
          <w:wAfter w:w="25" w:type="dxa"/>
          <w:trHeight w:val="520"/>
        </w:trPr>
        <w:tc>
          <w:tcPr>
            <w:tcW w:w="1669" w:type="dxa"/>
            <w:vMerge w:val="restart"/>
            <w:tcBorders>
              <w:top w:val="single" w:sz="8" w:space="0" w:color="4F81BD"/>
              <w:left w:val="single" w:sz="8" w:space="0" w:color="4F81BD"/>
              <w:bottom w:val="nil"/>
              <w:right w:val="nil"/>
            </w:tcBorders>
            <w:shd w:val="clear" w:color="000000" w:fill="4F81BD"/>
            <w:hideMark/>
          </w:tcPr>
          <w:p w14:paraId="11CA5421" w14:textId="77777777" w:rsidR="0017693E" w:rsidRDefault="0017693E">
            <w:pPr>
              <w:jc w:val="center"/>
              <w:rPr>
                <w:rFonts w:ascii="Calibri" w:hAnsi="Calibri" w:cs="Calibri"/>
                <w:b/>
                <w:bCs/>
                <w:color w:val="FFFFFF"/>
                <w:sz w:val="20"/>
                <w:szCs w:val="20"/>
              </w:rPr>
            </w:pPr>
            <w:r>
              <w:rPr>
                <w:rFonts w:ascii="Calibri" w:hAnsi="Calibri" w:cs="Calibri"/>
                <w:b/>
                <w:bCs/>
                <w:color w:val="FFFFFF"/>
                <w:sz w:val="20"/>
                <w:szCs w:val="20"/>
              </w:rPr>
              <w:t>Title Type</w:t>
            </w:r>
          </w:p>
        </w:tc>
        <w:tc>
          <w:tcPr>
            <w:tcW w:w="1920" w:type="dxa"/>
            <w:gridSpan w:val="3"/>
            <w:tcBorders>
              <w:top w:val="single" w:sz="8" w:space="0" w:color="4F81BD"/>
              <w:left w:val="nil"/>
              <w:bottom w:val="nil"/>
              <w:right w:val="nil"/>
            </w:tcBorders>
            <w:shd w:val="clear" w:color="000000" w:fill="4F81BD"/>
            <w:hideMark/>
          </w:tcPr>
          <w:p w14:paraId="1A0A41E5" w14:textId="77777777" w:rsidR="0017693E" w:rsidRDefault="0017693E">
            <w:pPr>
              <w:jc w:val="center"/>
              <w:rPr>
                <w:rFonts w:ascii="Calibri" w:hAnsi="Calibri" w:cs="Calibri"/>
                <w:b/>
                <w:bCs/>
                <w:color w:val="FFFFFF"/>
                <w:sz w:val="20"/>
                <w:szCs w:val="20"/>
              </w:rPr>
            </w:pPr>
            <w:r>
              <w:rPr>
                <w:rFonts w:ascii="Calibri" w:hAnsi="Calibri" w:cs="Calibri"/>
                <w:b/>
                <w:bCs/>
                <w:color w:val="FFFFFF"/>
                <w:sz w:val="20"/>
                <w:szCs w:val="20"/>
              </w:rPr>
              <w:t>Estimated Total</w:t>
            </w:r>
            <w:r>
              <w:rPr>
                <w:rFonts w:ascii="Calibri" w:hAnsi="Calibri" w:cs="Calibri"/>
                <w:b/>
                <w:bCs/>
                <w:color w:val="FFFFFF"/>
                <w:sz w:val="20"/>
                <w:szCs w:val="20"/>
              </w:rPr>
              <w:br/>
              <w:t xml:space="preserve"> No. of licences</w:t>
            </w:r>
          </w:p>
        </w:tc>
        <w:tc>
          <w:tcPr>
            <w:tcW w:w="3338" w:type="dxa"/>
            <w:gridSpan w:val="3"/>
            <w:tcBorders>
              <w:top w:val="single" w:sz="8" w:space="0" w:color="4F81BD"/>
              <w:left w:val="nil"/>
              <w:bottom w:val="nil"/>
              <w:right w:val="nil"/>
            </w:tcBorders>
            <w:shd w:val="clear" w:color="000000" w:fill="4F81BD"/>
            <w:hideMark/>
          </w:tcPr>
          <w:p w14:paraId="168EA1BF" w14:textId="77777777" w:rsidR="0017693E" w:rsidRDefault="0017693E">
            <w:pPr>
              <w:jc w:val="center"/>
              <w:rPr>
                <w:rFonts w:ascii="Calibri" w:hAnsi="Calibri" w:cs="Calibri"/>
                <w:b/>
                <w:bCs/>
                <w:color w:val="FFFFFF"/>
                <w:sz w:val="20"/>
                <w:szCs w:val="20"/>
              </w:rPr>
            </w:pPr>
            <w:r>
              <w:rPr>
                <w:rFonts w:ascii="Calibri" w:hAnsi="Calibri" w:cs="Calibri"/>
                <w:b/>
                <w:bCs/>
                <w:color w:val="FFFFFF"/>
                <w:sz w:val="20"/>
                <w:szCs w:val="20"/>
              </w:rPr>
              <w:t>Proposed</w:t>
            </w:r>
            <w:r>
              <w:rPr>
                <w:rFonts w:ascii="Calibri" w:hAnsi="Calibri" w:cs="Calibri"/>
                <w:color w:val="FFFFFF"/>
                <w:sz w:val="20"/>
                <w:szCs w:val="20"/>
              </w:rPr>
              <w:t xml:space="preserve"> </w:t>
            </w:r>
            <w:r>
              <w:rPr>
                <w:rFonts w:ascii="Calibri" w:hAnsi="Calibri" w:cs="Calibri"/>
                <w:b/>
                <w:bCs/>
                <w:color w:val="FFFFFF"/>
                <w:sz w:val="20"/>
                <w:szCs w:val="20"/>
              </w:rPr>
              <w:t>levy rate</w:t>
            </w:r>
            <w:r>
              <w:rPr>
                <w:rFonts w:ascii="Calibri" w:hAnsi="Calibri" w:cs="Calibri"/>
                <w:b/>
                <w:bCs/>
                <w:color w:val="FFFFFF"/>
                <w:sz w:val="20"/>
                <w:szCs w:val="20"/>
              </w:rPr>
              <w:br/>
              <w:t xml:space="preserve"> from 1 July 2022</w:t>
            </w:r>
          </w:p>
        </w:tc>
        <w:tc>
          <w:tcPr>
            <w:tcW w:w="3643" w:type="dxa"/>
            <w:gridSpan w:val="3"/>
            <w:tcBorders>
              <w:top w:val="single" w:sz="8" w:space="0" w:color="4F81BD"/>
              <w:left w:val="nil"/>
              <w:bottom w:val="nil"/>
              <w:right w:val="single" w:sz="8" w:space="0" w:color="4F81BD"/>
            </w:tcBorders>
            <w:shd w:val="clear" w:color="000000" w:fill="4F81BD"/>
            <w:hideMark/>
          </w:tcPr>
          <w:p w14:paraId="78DFCEA9" w14:textId="77777777" w:rsidR="0017693E" w:rsidRDefault="0017693E">
            <w:pPr>
              <w:jc w:val="center"/>
              <w:rPr>
                <w:rFonts w:ascii="Calibri" w:hAnsi="Calibri" w:cs="Calibri"/>
                <w:b/>
                <w:bCs/>
                <w:color w:val="FFFFFF"/>
                <w:sz w:val="20"/>
                <w:szCs w:val="20"/>
              </w:rPr>
            </w:pPr>
            <w:r>
              <w:rPr>
                <w:rFonts w:ascii="Calibri" w:hAnsi="Calibri" w:cs="Calibri"/>
                <w:b/>
                <w:bCs/>
                <w:color w:val="FFFFFF"/>
                <w:sz w:val="20"/>
                <w:szCs w:val="20"/>
              </w:rPr>
              <w:t>Levy amount</w:t>
            </w:r>
          </w:p>
        </w:tc>
      </w:tr>
      <w:tr w:rsidR="0017693E" w14:paraId="2105FF08" w14:textId="77777777" w:rsidTr="00777ACE">
        <w:trPr>
          <w:gridBefore w:val="1"/>
          <w:gridAfter w:val="1"/>
          <w:wBefore w:w="9" w:type="dxa"/>
          <w:wAfter w:w="25" w:type="dxa"/>
          <w:trHeight w:val="310"/>
        </w:trPr>
        <w:tc>
          <w:tcPr>
            <w:tcW w:w="0" w:type="auto"/>
            <w:vMerge/>
            <w:tcBorders>
              <w:top w:val="single" w:sz="8" w:space="0" w:color="4F81BD"/>
              <w:left w:val="single" w:sz="8" w:space="0" w:color="4F81BD"/>
              <w:bottom w:val="nil"/>
              <w:right w:val="nil"/>
            </w:tcBorders>
            <w:vAlign w:val="center"/>
            <w:hideMark/>
          </w:tcPr>
          <w:p w14:paraId="7C814C4A" w14:textId="77777777" w:rsidR="0017693E" w:rsidRDefault="0017693E">
            <w:pPr>
              <w:rPr>
                <w:rFonts w:ascii="Calibri" w:hAnsi="Calibri" w:cs="Calibri"/>
                <w:b/>
                <w:bCs/>
                <w:color w:val="FFFFFF"/>
                <w:sz w:val="20"/>
                <w:szCs w:val="20"/>
              </w:rPr>
            </w:pPr>
          </w:p>
        </w:tc>
        <w:tc>
          <w:tcPr>
            <w:tcW w:w="640" w:type="dxa"/>
            <w:tcBorders>
              <w:top w:val="nil"/>
              <w:left w:val="nil"/>
              <w:bottom w:val="nil"/>
              <w:right w:val="nil"/>
            </w:tcBorders>
            <w:shd w:val="clear" w:color="000000" w:fill="4F81BD"/>
            <w:vAlign w:val="bottom"/>
            <w:hideMark/>
          </w:tcPr>
          <w:p w14:paraId="0758AF6B" w14:textId="77777777" w:rsidR="0017693E" w:rsidRDefault="0017693E">
            <w:pPr>
              <w:jc w:val="center"/>
              <w:rPr>
                <w:rFonts w:ascii="Calibri" w:hAnsi="Calibri" w:cs="Calibri"/>
                <w:b/>
                <w:bCs/>
                <w:color w:val="FFFFFF"/>
                <w:sz w:val="18"/>
                <w:szCs w:val="18"/>
              </w:rPr>
            </w:pPr>
            <w:r>
              <w:rPr>
                <w:rFonts w:ascii="Calibri" w:hAnsi="Calibri" w:cs="Calibri"/>
                <w:b/>
                <w:bCs/>
                <w:color w:val="FFFFFF"/>
                <w:sz w:val="18"/>
                <w:szCs w:val="18"/>
              </w:rPr>
              <w:t>2022-23</w:t>
            </w:r>
          </w:p>
        </w:tc>
        <w:tc>
          <w:tcPr>
            <w:tcW w:w="640" w:type="dxa"/>
            <w:tcBorders>
              <w:top w:val="nil"/>
              <w:left w:val="nil"/>
              <w:bottom w:val="nil"/>
              <w:right w:val="nil"/>
            </w:tcBorders>
            <w:shd w:val="clear" w:color="000000" w:fill="4F81BD"/>
            <w:vAlign w:val="bottom"/>
            <w:hideMark/>
          </w:tcPr>
          <w:p w14:paraId="704E4B26" w14:textId="77777777" w:rsidR="0017693E" w:rsidRDefault="0017693E">
            <w:pPr>
              <w:jc w:val="center"/>
              <w:rPr>
                <w:rFonts w:ascii="Calibri" w:hAnsi="Calibri" w:cs="Calibri"/>
                <w:b/>
                <w:bCs/>
                <w:color w:val="FFFFFF"/>
                <w:sz w:val="18"/>
                <w:szCs w:val="18"/>
              </w:rPr>
            </w:pPr>
            <w:r>
              <w:rPr>
                <w:rFonts w:ascii="Calibri" w:hAnsi="Calibri" w:cs="Calibri"/>
                <w:b/>
                <w:bCs/>
                <w:color w:val="FFFFFF"/>
                <w:sz w:val="18"/>
                <w:szCs w:val="18"/>
              </w:rPr>
              <w:t>2023-24</w:t>
            </w:r>
          </w:p>
        </w:tc>
        <w:tc>
          <w:tcPr>
            <w:tcW w:w="640" w:type="dxa"/>
            <w:tcBorders>
              <w:top w:val="nil"/>
              <w:left w:val="nil"/>
              <w:bottom w:val="nil"/>
              <w:right w:val="nil"/>
            </w:tcBorders>
            <w:shd w:val="clear" w:color="000000" w:fill="4F81BD"/>
            <w:vAlign w:val="bottom"/>
            <w:hideMark/>
          </w:tcPr>
          <w:p w14:paraId="06A5E240" w14:textId="77777777" w:rsidR="0017693E" w:rsidRDefault="0017693E">
            <w:pPr>
              <w:jc w:val="center"/>
              <w:rPr>
                <w:rFonts w:ascii="Calibri" w:hAnsi="Calibri" w:cs="Calibri"/>
                <w:b/>
                <w:bCs/>
                <w:color w:val="FFFFFF"/>
                <w:sz w:val="18"/>
                <w:szCs w:val="18"/>
              </w:rPr>
            </w:pPr>
            <w:r>
              <w:rPr>
                <w:rFonts w:ascii="Calibri" w:hAnsi="Calibri" w:cs="Calibri"/>
                <w:b/>
                <w:bCs/>
                <w:color w:val="FFFFFF"/>
                <w:sz w:val="18"/>
                <w:szCs w:val="18"/>
              </w:rPr>
              <w:t>2024-25</w:t>
            </w:r>
          </w:p>
        </w:tc>
        <w:tc>
          <w:tcPr>
            <w:tcW w:w="0" w:type="auto"/>
            <w:tcBorders>
              <w:top w:val="single" w:sz="8" w:space="0" w:color="4F81BD"/>
              <w:left w:val="nil"/>
              <w:bottom w:val="nil"/>
              <w:right w:val="nil"/>
            </w:tcBorders>
            <w:shd w:val="clear" w:color="000000" w:fill="4F81BD"/>
            <w:noWrap/>
            <w:vAlign w:val="bottom"/>
            <w:hideMark/>
          </w:tcPr>
          <w:p w14:paraId="24E56507" w14:textId="77777777" w:rsidR="0017693E" w:rsidRDefault="0017693E">
            <w:pPr>
              <w:rPr>
                <w:rFonts w:ascii="Calibri" w:hAnsi="Calibri" w:cs="Calibri"/>
                <w:b/>
                <w:bCs/>
                <w:color w:val="FFFFFF"/>
                <w:sz w:val="20"/>
                <w:szCs w:val="20"/>
              </w:rPr>
            </w:pPr>
            <w:r>
              <w:rPr>
                <w:rFonts w:ascii="Calibri" w:hAnsi="Calibri" w:cs="Calibri"/>
                <w:b/>
                <w:bCs/>
                <w:color w:val="FFFFFF"/>
                <w:sz w:val="20"/>
                <w:szCs w:val="20"/>
              </w:rPr>
              <w:t xml:space="preserve">Area </w:t>
            </w:r>
            <w:r>
              <w:rPr>
                <w:rFonts w:ascii="Calibri" w:hAnsi="Calibri" w:cs="Calibri"/>
                <w:b/>
                <w:bCs/>
                <w:color w:val="FFFFFF"/>
                <w:sz w:val="20"/>
                <w:szCs w:val="20"/>
              </w:rPr>
              <w:br/>
              <w:t>Km</w:t>
            </w:r>
            <w:r>
              <w:rPr>
                <w:rFonts w:ascii="Calibri" w:hAnsi="Calibri" w:cs="Calibri"/>
                <w:b/>
                <w:bCs/>
                <w:color w:val="FFFFFF"/>
                <w:sz w:val="20"/>
                <w:szCs w:val="20"/>
                <w:vertAlign w:val="superscript"/>
              </w:rPr>
              <w:t>2</w:t>
            </w:r>
          </w:p>
        </w:tc>
        <w:tc>
          <w:tcPr>
            <w:tcW w:w="0" w:type="auto"/>
            <w:tcBorders>
              <w:top w:val="single" w:sz="8" w:space="0" w:color="4F81BD"/>
              <w:left w:val="nil"/>
              <w:bottom w:val="nil"/>
              <w:right w:val="nil"/>
            </w:tcBorders>
            <w:shd w:val="clear" w:color="000000" w:fill="4F81BD"/>
            <w:noWrap/>
            <w:hideMark/>
          </w:tcPr>
          <w:p w14:paraId="0F6184BA" w14:textId="77777777" w:rsidR="0017693E" w:rsidRDefault="0017693E">
            <w:pPr>
              <w:rPr>
                <w:rFonts w:ascii="Calibri" w:hAnsi="Calibri" w:cs="Calibri"/>
                <w:b/>
                <w:bCs/>
                <w:color w:val="FFFFFF"/>
                <w:sz w:val="20"/>
                <w:szCs w:val="20"/>
              </w:rPr>
            </w:pPr>
            <w:r>
              <w:rPr>
                <w:rFonts w:ascii="Calibri" w:hAnsi="Calibri" w:cs="Calibri"/>
                <w:b/>
                <w:bCs/>
                <w:color w:val="FFFFFF"/>
                <w:sz w:val="20"/>
                <w:szCs w:val="20"/>
              </w:rPr>
              <w:t>First 100 Km</w:t>
            </w:r>
            <w:r>
              <w:rPr>
                <w:rFonts w:ascii="Calibri" w:hAnsi="Calibri" w:cs="Calibri"/>
                <w:b/>
                <w:bCs/>
                <w:color w:val="FFFFFF"/>
                <w:sz w:val="20"/>
                <w:szCs w:val="20"/>
                <w:vertAlign w:val="superscript"/>
              </w:rPr>
              <w:t>2</w:t>
            </w:r>
          </w:p>
        </w:tc>
        <w:tc>
          <w:tcPr>
            <w:tcW w:w="1253" w:type="dxa"/>
            <w:tcBorders>
              <w:top w:val="nil"/>
              <w:left w:val="nil"/>
              <w:bottom w:val="single" w:sz="8" w:space="0" w:color="4F81BD"/>
              <w:right w:val="nil"/>
            </w:tcBorders>
            <w:shd w:val="clear" w:color="000000" w:fill="4F81BD"/>
            <w:hideMark/>
          </w:tcPr>
          <w:p w14:paraId="2B2D9C7A" w14:textId="77777777" w:rsidR="0017693E" w:rsidRDefault="0017693E">
            <w:pPr>
              <w:jc w:val="center"/>
              <w:rPr>
                <w:rFonts w:ascii="Calibri" w:hAnsi="Calibri" w:cs="Calibri"/>
                <w:b/>
                <w:bCs/>
                <w:sz w:val="20"/>
                <w:szCs w:val="20"/>
              </w:rPr>
            </w:pPr>
            <w:r>
              <w:rPr>
                <w:rFonts w:ascii="Calibri" w:hAnsi="Calibri" w:cs="Calibri"/>
                <w:b/>
                <w:bCs/>
                <w:sz w:val="20"/>
                <w:szCs w:val="20"/>
              </w:rPr>
              <w:t> </w:t>
            </w:r>
          </w:p>
        </w:tc>
        <w:tc>
          <w:tcPr>
            <w:tcW w:w="1195" w:type="dxa"/>
            <w:tcBorders>
              <w:top w:val="nil"/>
              <w:left w:val="nil"/>
              <w:bottom w:val="nil"/>
              <w:right w:val="nil"/>
            </w:tcBorders>
            <w:shd w:val="clear" w:color="000000" w:fill="4F81BD"/>
            <w:vAlign w:val="bottom"/>
            <w:hideMark/>
          </w:tcPr>
          <w:p w14:paraId="0FD8C40C" w14:textId="77777777" w:rsidR="0017693E" w:rsidRDefault="0017693E">
            <w:pPr>
              <w:jc w:val="center"/>
              <w:rPr>
                <w:rFonts w:ascii="Calibri" w:hAnsi="Calibri" w:cs="Calibri"/>
                <w:b/>
                <w:bCs/>
                <w:color w:val="FFFFFF"/>
                <w:sz w:val="18"/>
                <w:szCs w:val="18"/>
              </w:rPr>
            </w:pPr>
            <w:r>
              <w:rPr>
                <w:rFonts w:ascii="Calibri" w:hAnsi="Calibri" w:cs="Calibri"/>
                <w:b/>
                <w:bCs/>
                <w:color w:val="FFFFFF"/>
                <w:sz w:val="18"/>
                <w:szCs w:val="18"/>
              </w:rPr>
              <w:t xml:space="preserve">2022-23      </w:t>
            </w:r>
          </w:p>
        </w:tc>
        <w:tc>
          <w:tcPr>
            <w:tcW w:w="1288" w:type="dxa"/>
            <w:tcBorders>
              <w:top w:val="nil"/>
              <w:left w:val="nil"/>
              <w:bottom w:val="nil"/>
              <w:right w:val="nil"/>
            </w:tcBorders>
            <w:shd w:val="clear" w:color="000000" w:fill="4F81BD"/>
            <w:vAlign w:val="bottom"/>
            <w:hideMark/>
          </w:tcPr>
          <w:p w14:paraId="09E5BE07" w14:textId="77777777" w:rsidR="0017693E" w:rsidRDefault="0017693E">
            <w:pPr>
              <w:jc w:val="center"/>
              <w:rPr>
                <w:rFonts w:ascii="Calibri" w:hAnsi="Calibri" w:cs="Calibri"/>
                <w:b/>
                <w:bCs/>
                <w:color w:val="FFFFFF"/>
                <w:sz w:val="18"/>
                <w:szCs w:val="18"/>
              </w:rPr>
            </w:pPr>
            <w:r>
              <w:rPr>
                <w:rFonts w:ascii="Calibri" w:hAnsi="Calibri" w:cs="Calibri"/>
                <w:b/>
                <w:bCs/>
                <w:color w:val="FFFFFF"/>
                <w:sz w:val="18"/>
                <w:szCs w:val="18"/>
              </w:rPr>
              <w:t>2023-24</w:t>
            </w:r>
          </w:p>
        </w:tc>
        <w:tc>
          <w:tcPr>
            <w:tcW w:w="1160" w:type="dxa"/>
            <w:tcBorders>
              <w:top w:val="nil"/>
              <w:left w:val="nil"/>
              <w:bottom w:val="nil"/>
              <w:right w:val="single" w:sz="8" w:space="0" w:color="4F81BD"/>
            </w:tcBorders>
            <w:shd w:val="clear" w:color="000000" w:fill="4F81BD"/>
            <w:vAlign w:val="bottom"/>
            <w:hideMark/>
          </w:tcPr>
          <w:p w14:paraId="4DB7D8D3" w14:textId="77777777" w:rsidR="0017693E" w:rsidRDefault="0017693E">
            <w:pPr>
              <w:jc w:val="center"/>
              <w:rPr>
                <w:rFonts w:ascii="Calibri" w:hAnsi="Calibri" w:cs="Calibri"/>
                <w:b/>
                <w:bCs/>
                <w:color w:val="FFFFFF"/>
                <w:sz w:val="18"/>
                <w:szCs w:val="18"/>
              </w:rPr>
            </w:pPr>
            <w:r>
              <w:rPr>
                <w:rFonts w:ascii="Calibri" w:hAnsi="Calibri" w:cs="Calibri"/>
                <w:b/>
                <w:bCs/>
                <w:color w:val="FFFFFF"/>
                <w:sz w:val="18"/>
                <w:szCs w:val="18"/>
              </w:rPr>
              <w:t>2024-25</w:t>
            </w:r>
          </w:p>
        </w:tc>
      </w:tr>
      <w:tr w:rsidR="0017693E" w14:paraId="3B0914E9" w14:textId="77777777" w:rsidTr="00777ACE">
        <w:trPr>
          <w:gridBefore w:val="1"/>
          <w:gridAfter w:val="1"/>
          <w:wBefore w:w="9" w:type="dxa"/>
          <w:wAfter w:w="25" w:type="dxa"/>
          <w:trHeight w:val="820"/>
        </w:trPr>
        <w:tc>
          <w:tcPr>
            <w:tcW w:w="1669" w:type="dxa"/>
            <w:tcBorders>
              <w:top w:val="single" w:sz="8" w:space="0" w:color="4F81BD"/>
              <w:left w:val="single" w:sz="8" w:space="0" w:color="4F81BD"/>
              <w:bottom w:val="nil"/>
              <w:right w:val="single" w:sz="8" w:space="0" w:color="95B3D7"/>
            </w:tcBorders>
            <w:shd w:val="clear" w:color="000000" w:fill="DBE5F1"/>
            <w:vAlign w:val="center"/>
            <w:hideMark/>
          </w:tcPr>
          <w:p w14:paraId="7E158A5A" w14:textId="77777777" w:rsidR="0017693E" w:rsidRDefault="0017693E">
            <w:pPr>
              <w:rPr>
                <w:rFonts w:ascii="Calibri" w:hAnsi="Calibri" w:cs="Calibri"/>
                <w:color w:val="17365D"/>
                <w:sz w:val="20"/>
                <w:szCs w:val="20"/>
              </w:rPr>
            </w:pPr>
            <w:r>
              <w:rPr>
                <w:rFonts w:ascii="Calibri" w:hAnsi="Calibri" w:cs="Calibri"/>
                <w:color w:val="17365D"/>
                <w:sz w:val="20"/>
                <w:szCs w:val="20"/>
              </w:rPr>
              <w:t>Feasibility licence</w:t>
            </w:r>
          </w:p>
        </w:tc>
        <w:tc>
          <w:tcPr>
            <w:tcW w:w="640" w:type="dxa"/>
            <w:tcBorders>
              <w:top w:val="single" w:sz="8" w:space="0" w:color="4F81BD"/>
              <w:left w:val="nil"/>
              <w:bottom w:val="nil"/>
              <w:right w:val="single" w:sz="8" w:space="0" w:color="95B3D7"/>
            </w:tcBorders>
            <w:shd w:val="clear" w:color="000000" w:fill="DBE5F1"/>
            <w:vAlign w:val="center"/>
            <w:hideMark/>
          </w:tcPr>
          <w:p w14:paraId="1B69A498"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2</w:t>
            </w:r>
          </w:p>
        </w:tc>
        <w:tc>
          <w:tcPr>
            <w:tcW w:w="640" w:type="dxa"/>
            <w:tcBorders>
              <w:top w:val="single" w:sz="8" w:space="0" w:color="4F81BD"/>
              <w:left w:val="nil"/>
              <w:bottom w:val="nil"/>
              <w:right w:val="single" w:sz="8" w:space="0" w:color="95B3D7"/>
            </w:tcBorders>
            <w:shd w:val="clear" w:color="000000" w:fill="DBE5F1"/>
            <w:vAlign w:val="center"/>
            <w:hideMark/>
          </w:tcPr>
          <w:p w14:paraId="3EDC2579"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5</w:t>
            </w:r>
          </w:p>
        </w:tc>
        <w:tc>
          <w:tcPr>
            <w:tcW w:w="640" w:type="dxa"/>
            <w:tcBorders>
              <w:top w:val="single" w:sz="8" w:space="0" w:color="4F81BD"/>
              <w:left w:val="nil"/>
              <w:bottom w:val="nil"/>
              <w:right w:val="single" w:sz="8" w:space="0" w:color="95B3D7"/>
            </w:tcBorders>
            <w:shd w:val="clear" w:color="000000" w:fill="DBE5F1"/>
            <w:vAlign w:val="center"/>
            <w:hideMark/>
          </w:tcPr>
          <w:p w14:paraId="1E966D06"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7</w:t>
            </w:r>
          </w:p>
        </w:tc>
        <w:tc>
          <w:tcPr>
            <w:tcW w:w="786" w:type="dxa"/>
            <w:tcBorders>
              <w:top w:val="single" w:sz="8" w:space="0" w:color="4F81BD"/>
              <w:left w:val="nil"/>
              <w:bottom w:val="nil"/>
              <w:right w:val="single" w:sz="8" w:space="0" w:color="95B3D7"/>
            </w:tcBorders>
            <w:shd w:val="clear" w:color="000000" w:fill="DBE5F1"/>
            <w:vAlign w:val="center"/>
            <w:hideMark/>
          </w:tcPr>
          <w:p w14:paraId="0BE13F66"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700</w:t>
            </w:r>
          </w:p>
        </w:tc>
        <w:tc>
          <w:tcPr>
            <w:tcW w:w="1299" w:type="dxa"/>
            <w:tcBorders>
              <w:top w:val="single" w:sz="8" w:space="0" w:color="4F81BD"/>
              <w:left w:val="nil"/>
              <w:bottom w:val="nil"/>
              <w:right w:val="single" w:sz="8" w:space="0" w:color="95B3D7"/>
            </w:tcBorders>
            <w:shd w:val="clear" w:color="000000" w:fill="DBE5F1"/>
            <w:vAlign w:val="center"/>
            <w:hideMark/>
          </w:tcPr>
          <w:p w14:paraId="5B49D2B7"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$200,000</w:t>
            </w:r>
          </w:p>
        </w:tc>
        <w:tc>
          <w:tcPr>
            <w:tcW w:w="1253" w:type="dxa"/>
            <w:tcBorders>
              <w:top w:val="nil"/>
              <w:left w:val="nil"/>
              <w:bottom w:val="nil"/>
              <w:right w:val="single" w:sz="8" w:space="0" w:color="95B3D7"/>
            </w:tcBorders>
            <w:shd w:val="clear" w:color="000000" w:fill="DBE5F1"/>
            <w:vAlign w:val="center"/>
            <w:hideMark/>
          </w:tcPr>
          <w:p w14:paraId="3A25AC32"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$7,500 per 10km</w:t>
            </w:r>
            <w:r>
              <w:rPr>
                <w:rFonts w:ascii="Calibri" w:hAnsi="Calibri" w:cs="Calibri"/>
                <w:color w:val="17365D"/>
                <w:sz w:val="20"/>
                <w:szCs w:val="20"/>
                <w:vertAlign w:val="superscript"/>
              </w:rPr>
              <w:t>2</w:t>
            </w:r>
            <w:r>
              <w:rPr>
                <w:rFonts w:ascii="Calibri" w:hAnsi="Calibri" w:cs="Calibri"/>
                <w:color w:val="17365D"/>
                <w:sz w:val="20"/>
                <w:szCs w:val="20"/>
              </w:rPr>
              <w:t xml:space="preserve"> thereafter</w:t>
            </w:r>
          </w:p>
        </w:tc>
        <w:tc>
          <w:tcPr>
            <w:tcW w:w="1195" w:type="dxa"/>
            <w:tcBorders>
              <w:top w:val="single" w:sz="8" w:space="0" w:color="4F81BD"/>
              <w:left w:val="nil"/>
              <w:bottom w:val="nil"/>
              <w:right w:val="single" w:sz="8" w:space="0" w:color="95B3D7"/>
            </w:tcBorders>
            <w:shd w:val="clear" w:color="000000" w:fill="DBE5F1"/>
            <w:vAlign w:val="center"/>
            <w:hideMark/>
          </w:tcPr>
          <w:p w14:paraId="524BBB5A"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$1,300,000</w:t>
            </w:r>
          </w:p>
        </w:tc>
        <w:tc>
          <w:tcPr>
            <w:tcW w:w="1288" w:type="dxa"/>
            <w:tcBorders>
              <w:top w:val="single" w:sz="8" w:space="0" w:color="4F81BD"/>
              <w:left w:val="nil"/>
              <w:bottom w:val="nil"/>
              <w:right w:val="single" w:sz="8" w:space="0" w:color="95B3D7"/>
            </w:tcBorders>
            <w:shd w:val="clear" w:color="000000" w:fill="DBE5F1"/>
            <w:vAlign w:val="center"/>
            <w:hideMark/>
          </w:tcPr>
          <w:p w14:paraId="3E5F4695"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$3,250,000</w:t>
            </w:r>
          </w:p>
        </w:tc>
        <w:tc>
          <w:tcPr>
            <w:tcW w:w="1160" w:type="dxa"/>
            <w:tcBorders>
              <w:top w:val="single" w:sz="8" w:space="0" w:color="4F81BD"/>
              <w:left w:val="nil"/>
              <w:bottom w:val="nil"/>
              <w:right w:val="single" w:sz="8" w:space="0" w:color="95B3D7"/>
            </w:tcBorders>
            <w:shd w:val="clear" w:color="000000" w:fill="DBE5F1"/>
            <w:vAlign w:val="center"/>
            <w:hideMark/>
          </w:tcPr>
          <w:p w14:paraId="6823A8A1"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$4,550,000</w:t>
            </w:r>
          </w:p>
        </w:tc>
      </w:tr>
      <w:tr w:rsidR="0017693E" w14:paraId="2FDBEC2D" w14:textId="77777777" w:rsidTr="00777ACE">
        <w:trPr>
          <w:gridBefore w:val="1"/>
          <w:gridAfter w:val="1"/>
          <w:wBefore w:w="9" w:type="dxa"/>
          <w:wAfter w:w="25" w:type="dxa"/>
          <w:trHeight w:val="790"/>
        </w:trPr>
        <w:tc>
          <w:tcPr>
            <w:tcW w:w="1669" w:type="dxa"/>
            <w:tcBorders>
              <w:top w:val="single" w:sz="8" w:space="0" w:color="95B3D7"/>
              <w:left w:val="single" w:sz="8" w:space="0" w:color="4F81BD"/>
              <w:bottom w:val="nil"/>
              <w:right w:val="single" w:sz="8" w:space="0" w:color="95B3D7"/>
            </w:tcBorders>
            <w:shd w:val="clear" w:color="auto" w:fill="auto"/>
            <w:vAlign w:val="center"/>
            <w:hideMark/>
          </w:tcPr>
          <w:p w14:paraId="6674021D" w14:textId="77777777" w:rsidR="0017693E" w:rsidRDefault="0017693E">
            <w:pPr>
              <w:rPr>
                <w:rFonts w:ascii="Calibri" w:hAnsi="Calibri" w:cs="Calibri"/>
                <w:color w:val="17365D"/>
                <w:sz w:val="20"/>
                <w:szCs w:val="20"/>
              </w:rPr>
            </w:pPr>
            <w:r>
              <w:rPr>
                <w:rFonts w:ascii="Calibri" w:hAnsi="Calibri" w:cs="Calibri"/>
                <w:color w:val="17365D"/>
                <w:sz w:val="20"/>
                <w:szCs w:val="20"/>
              </w:rPr>
              <w:t>Commercial licence</w:t>
            </w:r>
          </w:p>
        </w:tc>
        <w:tc>
          <w:tcPr>
            <w:tcW w:w="640" w:type="dxa"/>
            <w:tcBorders>
              <w:top w:val="single" w:sz="8" w:space="0" w:color="95B3D7"/>
              <w:left w:val="nil"/>
              <w:bottom w:val="nil"/>
              <w:right w:val="single" w:sz="8" w:space="0" w:color="95B3D7"/>
            </w:tcBorders>
            <w:shd w:val="clear" w:color="auto" w:fill="auto"/>
            <w:vAlign w:val="center"/>
            <w:hideMark/>
          </w:tcPr>
          <w:p w14:paraId="0B81F9B7"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0</w:t>
            </w:r>
          </w:p>
        </w:tc>
        <w:tc>
          <w:tcPr>
            <w:tcW w:w="640" w:type="dxa"/>
            <w:tcBorders>
              <w:top w:val="single" w:sz="8" w:space="0" w:color="95B3D7"/>
              <w:left w:val="nil"/>
              <w:bottom w:val="nil"/>
              <w:right w:val="single" w:sz="8" w:space="0" w:color="95B3D7"/>
            </w:tcBorders>
            <w:shd w:val="clear" w:color="auto" w:fill="auto"/>
            <w:vAlign w:val="center"/>
            <w:hideMark/>
          </w:tcPr>
          <w:p w14:paraId="14559988"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0</w:t>
            </w:r>
          </w:p>
        </w:tc>
        <w:tc>
          <w:tcPr>
            <w:tcW w:w="640" w:type="dxa"/>
            <w:tcBorders>
              <w:top w:val="single" w:sz="8" w:space="0" w:color="95B3D7"/>
              <w:left w:val="nil"/>
              <w:bottom w:val="nil"/>
              <w:right w:val="single" w:sz="8" w:space="0" w:color="95B3D7"/>
            </w:tcBorders>
            <w:shd w:val="clear" w:color="auto" w:fill="auto"/>
            <w:vAlign w:val="center"/>
            <w:hideMark/>
          </w:tcPr>
          <w:p w14:paraId="32EFA4CA"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0</w:t>
            </w:r>
          </w:p>
        </w:tc>
        <w:tc>
          <w:tcPr>
            <w:tcW w:w="786" w:type="dxa"/>
            <w:tcBorders>
              <w:top w:val="single" w:sz="8" w:space="0" w:color="95B3D7"/>
              <w:left w:val="nil"/>
              <w:bottom w:val="nil"/>
              <w:right w:val="single" w:sz="8" w:space="0" w:color="95B3D7"/>
            </w:tcBorders>
            <w:shd w:val="clear" w:color="auto" w:fill="auto"/>
            <w:vAlign w:val="center"/>
            <w:hideMark/>
          </w:tcPr>
          <w:p w14:paraId="2E919D92"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500</w:t>
            </w:r>
          </w:p>
        </w:tc>
        <w:tc>
          <w:tcPr>
            <w:tcW w:w="1299" w:type="dxa"/>
            <w:tcBorders>
              <w:top w:val="single" w:sz="8" w:space="0" w:color="95B3D7"/>
              <w:left w:val="nil"/>
              <w:bottom w:val="nil"/>
              <w:right w:val="single" w:sz="8" w:space="0" w:color="95B3D7"/>
            </w:tcBorders>
            <w:shd w:val="clear" w:color="auto" w:fill="auto"/>
            <w:vAlign w:val="center"/>
            <w:hideMark/>
          </w:tcPr>
          <w:p w14:paraId="2356A8C2"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$300,000</w:t>
            </w:r>
          </w:p>
        </w:tc>
        <w:tc>
          <w:tcPr>
            <w:tcW w:w="1253" w:type="dxa"/>
            <w:tcBorders>
              <w:top w:val="single" w:sz="8" w:space="0" w:color="95B3D7"/>
              <w:left w:val="nil"/>
              <w:bottom w:val="single" w:sz="8" w:space="0" w:color="95B3D7"/>
              <w:right w:val="single" w:sz="8" w:space="0" w:color="95B3D7"/>
            </w:tcBorders>
            <w:shd w:val="clear" w:color="auto" w:fill="auto"/>
            <w:vAlign w:val="center"/>
            <w:hideMark/>
          </w:tcPr>
          <w:p w14:paraId="4E94CF3A"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$10,000 per 10km2 thereafter</w:t>
            </w:r>
          </w:p>
        </w:tc>
        <w:tc>
          <w:tcPr>
            <w:tcW w:w="1195" w:type="dxa"/>
            <w:tcBorders>
              <w:top w:val="single" w:sz="8" w:space="0" w:color="95B3D7"/>
              <w:left w:val="nil"/>
              <w:bottom w:val="nil"/>
              <w:right w:val="single" w:sz="8" w:space="0" w:color="95B3D7"/>
            </w:tcBorders>
            <w:shd w:val="clear" w:color="auto" w:fill="auto"/>
            <w:vAlign w:val="center"/>
            <w:hideMark/>
          </w:tcPr>
          <w:p w14:paraId="3DDEB91D"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$0</w:t>
            </w:r>
          </w:p>
        </w:tc>
        <w:tc>
          <w:tcPr>
            <w:tcW w:w="1288" w:type="dxa"/>
            <w:tcBorders>
              <w:top w:val="single" w:sz="8" w:space="0" w:color="95B3D7"/>
              <w:left w:val="nil"/>
              <w:bottom w:val="nil"/>
              <w:right w:val="single" w:sz="8" w:space="0" w:color="95B3D7"/>
            </w:tcBorders>
            <w:shd w:val="clear" w:color="auto" w:fill="auto"/>
            <w:vAlign w:val="center"/>
            <w:hideMark/>
          </w:tcPr>
          <w:p w14:paraId="24706D98"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$0</w:t>
            </w:r>
          </w:p>
        </w:tc>
        <w:tc>
          <w:tcPr>
            <w:tcW w:w="1160" w:type="dxa"/>
            <w:tcBorders>
              <w:top w:val="single" w:sz="8" w:space="0" w:color="95B3D7"/>
              <w:left w:val="nil"/>
              <w:bottom w:val="nil"/>
              <w:right w:val="single" w:sz="8" w:space="0" w:color="4F81BD"/>
            </w:tcBorders>
            <w:shd w:val="clear" w:color="auto" w:fill="auto"/>
            <w:vAlign w:val="center"/>
            <w:hideMark/>
          </w:tcPr>
          <w:p w14:paraId="082934D1"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$0</w:t>
            </w:r>
          </w:p>
        </w:tc>
      </w:tr>
      <w:tr w:rsidR="0017693E" w14:paraId="4AE573B7" w14:textId="77777777" w:rsidTr="00777ACE">
        <w:trPr>
          <w:gridBefore w:val="1"/>
          <w:gridAfter w:val="1"/>
          <w:wBefore w:w="9" w:type="dxa"/>
          <w:wAfter w:w="25" w:type="dxa"/>
          <w:trHeight w:val="780"/>
        </w:trPr>
        <w:tc>
          <w:tcPr>
            <w:tcW w:w="1669" w:type="dxa"/>
            <w:tcBorders>
              <w:top w:val="single" w:sz="8" w:space="0" w:color="95B3D7"/>
              <w:left w:val="single" w:sz="8" w:space="0" w:color="4F81BD"/>
              <w:bottom w:val="nil"/>
              <w:right w:val="single" w:sz="8" w:space="0" w:color="95B3D7"/>
            </w:tcBorders>
            <w:shd w:val="clear" w:color="000000" w:fill="DBE5F1"/>
            <w:vAlign w:val="center"/>
            <w:hideMark/>
          </w:tcPr>
          <w:p w14:paraId="2300414F" w14:textId="77777777" w:rsidR="0017693E" w:rsidRDefault="0017693E">
            <w:pPr>
              <w:rPr>
                <w:rFonts w:ascii="Calibri" w:hAnsi="Calibri" w:cs="Calibri"/>
                <w:color w:val="17365D"/>
                <w:sz w:val="20"/>
                <w:szCs w:val="20"/>
              </w:rPr>
            </w:pPr>
            <w:r>
              <w:rPr>
                <w:rFonts w:ascii="Calibri" w:hAnsi="Calibri" w:cs="Calibri"/>
                <w:color w:val="17365D"/>
                <w:sz w:val="20"/>
                <w:szCs w:val="20"/>
              </w:rPr>
              <w:t>Research &amp; demonstration licence</w:t>
            </w:r>
          </w:p>
        </w:tc>
        <w:tc>
          <w:tcPr>
            <w:tcW w:w="640" w:type="dxa"/>
            <w:tcBorders>
              <w:top w:val="single" w:sz="8" w:space="0" w:color="95B3D7"/>
              <w:left w:val="nil"/>
              <w:bottom w:val="nil"/>
              <w:right w:val="single" w:sz="8" w:space="0" w:color="95B3D7"/>
            </w:tcBorders>
            <w:shd w:val="clear" w:color="000000" w:fill="DBE5F1"/>
            <w:vAlign w:val="center"/>
            <w:hideMark/>
          </w:tcPr>
          <w:p w14:paraId="5BD627B3"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0</w:t>
            </w:r>
          </w:p>
        </w:tc>
        <w:tc>
          <w:tcPr>
            <w:tcW w:w="640" w:type="dxa"/>
            <w:tcBorders>
              <w:top w:val="single" w:sz="8" w:space="0" w:color="95B3D7"/>
              <w:left w:val="nil"/>
              <w:bottom w:val="nil"/>
              <w:right w:val="single" w:sz="8" w:space="0" w:color="95B3D7"/>
            </w:tcBorders>
            <w:shd w:val="clear" w:color="000000" w:fill="DBE5F1"/>
            <w:vAlign w:val="center"/>
            <w:hideMark/>
          </w:tcPr>
          <w:p w14:paraId="41BDDA1D"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0</w:t>
            </w:r>
          </w:p>
        </w:tc>
        <w:tc>
          <w:tcPr>
            <w:tcW w:w="640" w:type="dxa"/>
            <w:tcBorders>
              <w:top w:val="single" w:sz="8" w:space="0" w:color="95B3D7"/>
              <w:left w:val="nil"/>
              <w:bottom w:val="nil"/>
              <w:right w:val="single" w:sz="8" w:space="0" w:color="95B3D7"/>
            </w:tcBorders>
            <w:shd w:val="clear" w:color="000000" w:fill="DBE5F1"/>
            <w:vAlign w:val="center"/>
            <w:hideMark/>
          </w:tcPr>
          <w:p w14:paraId="2B656D71"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0</w:t>
            </w:r>
          </w:p>
        </w:tc>
        <w:tc>
          <w:tcPr>
            <w:tcW w:w="786" w:type="dxa"/>
            <w:tcBorders>
              <w:top w:val="single" w:sz="8" w:space="0" w:color="95B3D7"/>
              <w:left w:val="nil"/>
              <w:bottom w:val="nil"/>
              <w:right w:val="single" w:sz="8" w:space="0" w:color="95B3D7"/>
            </w:tcBorders>
            <w:shd w:val="clear" w:color="000000" w:fill="DBE5F1"/>
            <w:vAlign w:val="center"/>
            <w:hideMark/>
          </w:tcPr>
          <w:p w14:paraId="6D2458E5"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100</w:t>
            </w:r>
          </w:p>
        </w:tc>
        <w:tc>
          <w:tcPr>
            <w:tcW w:w="1299" w:type="dxa"/>
            <w:tcBorders>
              <w:top w:val="single" w:sz="8" w:space="0" w:color="95B3D7"/>
              <w:left w:val="nil"/>
              <w:bottom w:val="nil"/>
              <w:right w:val="single" w:sz="8" w:space="0" w:color="95B3D7"/>
            </w:tcBorders>
            <w:shd w:val="clear" w:color="000000" w:fill="DBE5F1"/>
            <w:vAlign w:val="center"/>
            <w:hideMark/>
          </w:tcPr>
          <w:p w14:paraId="26734905"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$100,000</w:t>
            </w:r>
          </w:p>
        </w:tc>
        <w:tc>
          <w:tcPr>
            <w:tcW w:w="1253" w:type="dxa"/>
            <w:tcBorders>
              <w:top w:val="nil"/>
              <w:left w:val="nil"/>
              <w:bottom w:val="nil"/>
              <w:right w:val="single" w:sz="8" w:space="0" w:color="95B3D7"/>
            </w:tcBorders>
            <w:shd w:val="clear" w:color="000000" w:fill="DBE5F1"/>
            <w:vAlign w:val="center"/>
            <w:hideMark/>
          </w:tcPr>
          <w:p w14:paraId="2FC51A29"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$5,000 per 10km2 thereafter</w:t>
            </w:r>
          </w:p>
        </w:tc>
        <w:tc>
          <w:tcPr>
            <w:tcW w:w="1195" w:type="dxa"/>
            <w:tcBorders>
              <w:top w:val="single" w:sz="8" w:space="0" w:color="95B3D7"/>
              <w:left w:val="nil"/>
              <w:bottom w:val="nil"/>
              <w:right w:val="single" w:sz="8" w:space="0" w:color="95B3D7"/>
            </w:tcBorders>
            <w:shd w:val="clear" w:color="000000" w:fill="DBE5F1"/>
            <w:vAlign w:val="center"/>
            <w:hideMark/>
          </w:tcPr>
          <w:p w14:paraId="37896C77"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$0</w:t>
            </w:r>
          </w:p>
        </w:tc>
        <w:tc>
          <w:tcPr>
            <w:tcW w:w="1288" w:type="dxa"/>
            <w:tcBorders>
              <w:top w:val="single" w:sz="8" w:space="0" w:color="95B3D7"/>
              <w:left w:val="nil"/>
              <w:bottom w:val="nil"/>
              <w:right w:val="single" w:sz="8" w:space="0" w:color="95B3D7"/>
            </w:tcBorders>
            <w:shd w:val="clear" w:color="000000" w:fill="DBE5F1"/>
            <w:vAlign w:val="center"/>
            <w:hideMark/>
          </w:tcPr>
          <w:p w14:paraId="2E12D557"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$0</w:t>
            </w:r>
          </w:p>
        </w:tc>
        <w:tc>
          <w:tcPr>
            <w:tcW w:w="1160" w:type="dxa"/>
            <w:tcBorders>
              <w:top w:val="single" w:sz="8" w:space="0" w:color="95B3D7"/>
              <w:left w:val="nil"/>
              <w:bottom w:val="nil"/>
              <w:right w:val="single" w:sz="8" w:space="0" w:color="4F81BD"/>
            </w:tcBorders>
            <w:shd w:val="clear" w:color="000000" w:fill="DBE5F1"/>
            <w:vAlign w:val="center"/>
            <w:hideMark/>
          </w:tcPr>
          <w:p w14:paraId="238F48B8"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$0</w:t>
            </w:r>
          </w:p>
        </w:tc>
      </w:tr>
      <w:tr w:rsidR="0017693E" w14:paraId="02439A0D" w14:textId="77777777" w:rsidTr="00777ACE">
        <w:trPr>
          <w:gridBefore w:val="1"/>
          <w:gridAfter w:val="1"/>
          <w:wBefore w:w="9" w:type="dxa"/>
          <w:wAfter w:w="25" w:type="dxa"/>
          <w:trHeight w:val="790"/>
        </w:trPr>
        <w:tc>
          <w:tcPr>
            <w:tcW w:w="1669" w:type="dxa"/>
            <w:tcBorders>
              <w:top w:val="nil"/>
              <w:left w:val="single" w:sz="8" w:space="0" w:color="4F81BD"/>
              <w:bottom w:val="single" w:sz="8" w:space="0" w:color="95B3D7"/>
              <w:right w:val="single" w:sz="8" w:space="0" w:color="95B3D7"/>
            </w:tcBorders>
            <w:shd w:val="clear" w:color="auto" w:fill="auto"/>
            <w:vAlign w:val="center"/>
            <w:hideMark/>
          </w:tcPr>
          <w:p w14:paraId="5F950826" w14:textId="77777777" w:rsidR="0017693E" w:rsidRDefault="0017693E">
            <w:pPr>
              <w:rPr>
                <w:rFonts w:ascii="Calibri" w:hAnsi="Calibri" w:cs="Calibri"/>
                <w:color w:val="17365D"/>
                <w:sz w:val="20"/>
                <w:szCs w:val="20"/>
              </w:rPr>
            </w:pPr>
            <w:r>
              <w:rPr>
                <w:rFonts w:ascii="Calibri" w:hAnsi="Calibri" w:cs="Calibri"/>
                <w:color w:val="17365D"/>
                <w:sz w:val="20"/>
                <w:szCs w:val="20"/>
              </w:rPr>
              <w:t>Transmission &amp; infrastructure licence</w:t>
            </w:r>
          </w:p>
        </w:tc>
        <w:tc>
          <w:tcPr>
            <w:tcW w:w="640" w:type="dxa"/>
            <w:tcBorders>
              <w:top w:val="nil"/>
              <w:left w:val="nil"/>
              <w:bottom w:val="single" w:sz="8" w:space="0" w:color="95B3D7"/>
              <w:right w:val="single" w:sz="8" w:space="0" w:color="95B3D7"/>
            </w:tcBorders>
            <w:shd w:val="clear" w:color="auto" w:fill="auto"/>
            <w:vAlign w:val="center"/>
            <w:hideMark/>
          </w:tcPr>
          <w:p w14:paraId="73667D62"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0</w:t>
            </w:r>
          </w:p>
        </w:tc>
        <w:tc>
          <w:tcPr>
            <w:tcW w:w="640" w:type="dxa"/>
            <w:tcBorders>
              <w:top w:val="nil"/>
              <w:left w:val="nil"/>
              <w:bottom w:val="single" w:sz="8" w:space="0" w:color="95B3D7"/>
              <w:right w:val="single" w:sz="8" w:space="0" w:color="95B3D7"/>
            </w:tcBorders>
            <w:shd w:val="clear" w:color="auto" w:fill="auto"/>
            <w:vAlign w:val="center"/>
            <w:hideMark/>
          </w:tcPr>
          <w:p w14:paraId="3DE501CD"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1</w:t>
            </w:r>
          </w:p>
        </w:tc>
        <w:tc>
          <w:tcPr>
            <w:tcW w:w="640" w:type="dxa"/>
            <w:tcBorders>
              <w:top w:val="nil"/>
              <w:left w:val="nil"/>
              <w:bottom w:val="single" w:sz="8" w:space="0" w:color="95B3D7"/>
              <w:right w:val="single" w:sz="8" w:space="0" w:color="95B3D7"/>
            </w:tcBorders>
            <w:shd w:val="clear" w:color="auto" w:fill="auto"/>
            <w:vAlign w:val="center"/>
            <w:hideMark/>
          </w:tcPr>
          <w:p w14:paraId="1582F037"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2</w:t>
            </w:r>
          </w:p>
        </w:tc>
        <w:tc>
          <w:tcPr>
            <w:tcW w:w="786" w:type="dxa"/>
            <w:tcBorders>
              <w:top w:val="nil"/>
              <w:left w:val="nil"/>
              <w:bottom w:val="single" w:sz="8" w:space="0" w:color="95B3D7"/>
              <w:right w:val="single" w:sz="8" w:space="0" w:color="95B3D7"/>
            </w:tcBorders>
            <w:shd w:val="clear" w:color="auto" w:fill="auto"/>
            <w:vAlign w:val="center"/>
            <w:hideMark/>
          </w:tcPr>
          <w:p w14:paraId="5B46202E"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N/A</w:t>
            </w:r>
          </w:p>
        </w:tc>
        <w:tc>
          <w:tcPr>
            <w:tcW w:w="1299" w:type="dxa"/>
            <w:tcBorders>
              <w:top w:val="nil"/>
              <w:left w:val="nil"/>
              <w:bottom w:val="single" w:sz="8" w:space="0" w:color="95B3D7"/>
              <w:right w:val="single" w:sz="8" w:space="0" w:color="95B3D7"/>
            </w:tcBorders>
            <w:shd w:val="clear" w:color="auto" w:fill="auto"/>
            <w:vAlign w:val="center"/>
            <w:hideMark/>
          </w:tcPr>
          <w:p w14:paraId="2C4D7960"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N/A</w:t>
            </w:r>
          </w:p>
        </w:tc>
        <w:tc>
          <w:tcPr>
            <w:tcW w:w="1253" w:type="dxa"/>
            <w:tcBorders>
              <w:top w:val="nil"/>
              <w:left w:val="nil"/>
              <w:bottom w:val="single" w:sz="8" w:space="0" w:color="95B3D7"/>
              <w:right w:val="single" w:sz="8" w:space="0" w:color="95B3D7"/>
            </w:tcBorders>
            <w:shd w:val="clear" w:color="auto" w:fill="auto"/>
            <w:vAlign w:val="center"/>
            <w:hideMark/>
          </w:tcPr>
          <w:p w14:paraId="33362A99"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$100,000</w:t>
            </w:r>
          </w:p>
        </w:tc>
        <w:tc>
          <w:tcPr>
            <w:tcW w:w="1195" w:type="dxa"/>
            <w:tcBorders>
              <w:top w:val="nil"/>
              <w:left w:val="nil"/>
              <w:bottom w:val="single" w:sz="8" w:space="0" w:color="95B3D7"/>
              <w:right w:val="single" w:sz="8" w:space="0" w:color="95B3D7"/>
            </w:tcBorders>
            <w:shd w:val="clear" w:color="auto" w:fill="auto"/>
            <w:vAlign w:val="center"/>
            <w:hideMark/>
          </w:tcPr>
          <w:p w14:paraId="400CF770"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$0</w:t>
            </w:r>
          </w:p>
        </w:tc>
        <w:tc>
          <w:tcPr>
            <w:tcW w:w="1288" w:type="dxa"/>
            <w:tcBorders>
              <w:top w:val="nil"/>
              <w:left w:val="nil"/>
              <w:bottom w:val="single" w:sz="8" w:space="0" w:color="95B3D7"/>
              <w:right w:val="single" w:sz="8" w:space="0" w:color="95B3D7"/>
            </w:tcBorders>
            <w:shd w:val="clear" w:color="auto" w:fill="auto"/>
            <w:vAlign w:val="center"/>
            <w:hideMark/>
          </w:tcPr>
          <w:p w14:paraId="4C7D64F2"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$100,000</w:t>
            </w:r>
          </w:p>
        </w:tc>
        <w:tc>
          <w:tcPr>
            <w:tcW w:w="1160" w:type="dxa"/>
            <w:tcBorders>
              <w:top w:val="nil"/>
              <w:left w:val="nil"/>
              <w:bottom w:val="single" w:sz="8" w:space="0" w:color="95B3D7"/>
              <w:right w:val="single" w:sz="8" w:space="0" w:color="4F81BD"/>
            </w:tcBorders>
            <w:shd w:val="clear" w:color="auto" w:fill="auto"/>
            <w:vAlign w:val="center"/>
            <w:hideMark/>
          </w:tcPr>
          <w:p w14:paraId="019668EA"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$200,000</w:t>
            </w:r>
          </w:p>
        </w:tc>
      </w:tr>
      <w:tr w:rsidR="0017693E" w14:paraId="0A323371" w14:textId="77777777" w:rsidTr="00777ACE">
        <w:trPr>
          <w:gridBefore w:val="1"/>
          <w:gridAfter w:val="1"/>
          <w:wBefore w:w="9" w:type="dxa"/>
          <w:wAfter w:w="25" w:type="dxa"/>
          <w:trHeight w:val="260"/>
        </w:trPr>
        <w:tc>
          <w:tcPr>
            <w:tcW w:w="1669" w:type="dxa"/>
            <w:tcBorders>
              <w:top w:val="nil"/>
              <w:left w:val="single" w:sz="8" w:space="0" w:color="4F81BD"/>
              <w:bottom w:val="single" w:sz="8" w:space="0" w:color="95B3D7"/>
              <w:right w:val="single" w:sz="8" w:space="0" w:color="95B3D7"/>
            </w:tcBorders>
            <w:shd w:val="clear" w:color="000000" w:fill="DBE5F1"/>
            <w:vAlign w:val="center"/>
            <w:hideMark/>
          </w:tcPr>
          <w:p w14:paraId="76798B4F" w14:textId="77777777" w:rsidR="0017693E" w:rsidRDefault="0017693E">
            <w:pPr>
              <w:rPr>
                <w:rFonts w:ascii="Calibri" w:hAnsi="Calibri" w:cs="Calibri"/>
                <w:b/>
                <w:bCs/>
                <w:color w:val="17365D"/>
                <w:sz w:val="20"/>
                <w:szCs w:val="20"/>
              </w:rPr>
            </w:pPr>
            <w:r>
              <w:rPr>
                <w:rFonts w:ascii="Calibri" w:hAnsi="Calibri" w:cs="Calibri"/>
                <w:b/>
                <w:bCs/>
                <w:color w:val="17365D"/>
                <w:sz w:val="20"/>
                <w:szCs w:val="20"/>
              </w:rPr>
              <w:t>Levy Estimate</w:t>
            </w:r>
          </w:p>
        </w:tc>
        <w:tc>
          <w:tcPr>
            <w:tcW w:w="640" w:type="dxa"/>
            <w:tcBorders>
              <w:top w:val="nil"/>
              <w:left w:val="nil"/>
              <w:bottom w:val="single" w:sz="8" w:space="0" w:color="95B3D7"/>
              <w:right w:val="single" w:sz="8" w:space="0" w:color="95B3D7"/>
            </w:tcBorders>
            <w:shd w:val="clear" w:color="000000" w:fill="DBE5F1"/>
            <w:vAlign w:val="center"/>
            <w:hideMark/>
          </w:tcPr>
          <w:p w14:paraId="2FE24FF2"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 </w:t>
            </w:r>
          </w:p>
        </w:tc>
        <w:tc>
          <w:tcPr>
            <w:tcW w:w="640" w:type="dxa"/>
            <w:tcBorders>
              <w:top w:val="nil"/>
              <w:left w:val="nil"/>
              <w:bottom w:val="single" w:sz="8" w:space="0" w:color="95B3D7"/>
              <w:right w:val="single" w:sz="8" w:space="0" w:color="95B3D7"/>
            </w:tcBorders>
            <w:shd w:val="clear" w:color="000000" w:fill="DBE5F1"/>
            <w:vAlign w:val="center"/>
            <w:hideMark/>
          </w:tcPr>
          <w:p w14:paraId="1821B3FC"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 </w:t>
            </w:r>
          </w:p>
        </w:tc>
        <w:tc>
          <w:tcPr>
            <w:tcW w:w="640" w:type="dxa"/>
            <w:tcBorders>
              <w:top w:val="nil"/>
              <w:left w:val="nil"/>
              <w:bottom w:val="single" w:sz="8" w:space="0" w:color="95B3D7"/>
              <w:right w:val="single" w:sz="8" w:space="0" w:color="95B3D7"/>
            </w:tcBorders>
            <w:shd w:val="clear" w:color="000000" w:fill="DBE5F1"/>
            <w:vAlign w:val="center"/>
            <w:hideMark/>
          </w:tcPr>
          <w:p w14:paraId="60027F72"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 </w:t>
            </w:r>
          </w:p>
        </w:tc>
        <w:tc>
          <w:tcPr>
            <w:tcW w:w="786" w:type="dxa"/>
            <w:tcBorders>
              <w:top w:val="nil"/>
              <w:left w:val="nil"/>
              <w:bottom w:val="single" w:sz="8" w:space="0" w:color="95B3D7"/>
              <w:right w:val="single" w:sz="8" w:space="0" w:color="95B3D7"/>
            </w:tcBorders>
            <w:shd w:val="clear" w:color="000000" w:fill="DBE5F1"/>
            <w:vAlign w:val="center"/>
            <w:hideMark/>
          </w:tcPr>
          <w:p w14:paraId="5AE01B65" w14:textId="77777777" w:rsidR="0017693E" w:rsidRDefault="0017693E">
            <w:pPr>
              <w:jc w:val="center"/>
              <w:rPr>
                <w:rFonts w:ascii="Calibri" w:hAnsi="Calibri" w:cs="Calibri"/>
                <w:color w:val="17365D"/>
                <w:sz w:val="20"/>
                <w:szCs w:val="20"/>
              </w:rPr>
            </w:pPr>
            <w:r>
              <w:rPr>
                <w:rFonts w:ascii="Calibri" w:hAnsi="Calibri" w:cs="Calibri"/>
                <w:color w:val="17365D"/>
                <w:sz w:val="20"/>
                <w:szCs w:val="20"/>
              </w:rPr>
              <w:t> </w:t>
            </w:r>
          </w:p>
        </w:tc>
        <w:tc>
          <w:tcPr>
            <w:tcW w:w="1299" w:type="dxa"/>
            <w:tcBorders>
              <w:top w:val="nil"/>
              <w:left w:val="nil"/>
              <w:bottom w:val="single" w:sz="8" w:space="0" w:color="95B3D7"/>
              <w:right w:val="single" w:sz="8" w:space="0" w:color="95B3D7"/>
            </w:tcBorders>
            <w:shd w:val="clear" w:color="000000" w:fill="DBE5F1"/>
            <w:vAlign w:val="center"/>
            <w:hideMark/>
          </w:tcPr>
          <w:p w14:paraId="6287C981" w14:textId="77777777" w:rsidR="0017693E" w:rsidRDefault="0017693E">
            <w:pPr>
              <w:rPr>
                <w:rFonts w:ascii="Calibri" w:hAnsi="Calibri" w:cs="Calibri"/>
                <w:color w:val="17365D"/>
                <w:sz w:val="20"/>
                <w:szCs w:val="20"/>
              </w:rPr>
            </w:pPr>
            <w:r>
              <w:rPr>
                <w:rFonts w:ascii="Calibri" w:hAnsi="Calibri" w:cs="Calibri"/>
                <w:color w:val="17365D"/>
                <w:sz w:val="20"/>
                <w:szCs w:val="20"/>
              </w:rPr>
              <w:t> </w:t>
            </w:r>
          </w:p>
        </w:tc>
        <w:tc>
          <w:tcPr>
            <w:tcW w:w="1253" w:type="dxa"/>
            <w:tcBorders>
              <w:top w:val="nil"/>
              <w:left w:val="nil"/>
              <w:bottom w:val="single" w:sz="8" w:space="0" w:color="95B3D7"/>
              <w:right w:val="single" w:sz="8" w:space="0" w:color="95B3D7"/>
            </w:tcBorders>
            <w:shd w:val="clear" w:color="000000" w:fill="DBE5F1"/>
            <w:vAlign w:val="center"/>
            <w:hideMark/>
          </w:tcPr>
          <w:p w14:paraId="0E4A5593" w14:textId="77777777" w:rsidR="0017693E" w:rsidRDefault="0017693E">
            <w:pPr>
              <w:rPr>
                <w:rFonts w:ascii="Calibri" w:hAnsi="Calibri" w:cs="Calibri"/>
                <w:color w:val="17365D"/>
                <w:sz w:val="20"/>
                <w:szCs w:val="20"/>
              </w:rPr>
            </w:pPr>
            <w:r>
              <w:rPr>
                <w:rFonts w:ascii="Calibri" w:hAnsi="Calibri" w:cs="Calibri"/>
                <w:color w:val="17365D"/>
                <w:sz w:val="20"/>
                <w:szCs w:val="20"/>
              </w:rPr>
              <w:t> </w:t>
            </w:r>
          </w:p>
        </w:tc>
        <w:tc>
          <w:tcPr>
            <w:tcW w:w="1195" w:type="dxa"/>
            <w:tcBorders>
              <w:top w:val="nil"/>
              <w:left w:val="nil"/>
              <w:bottom w:val="single" w:sz="8" w:space="0" w:color="95B3D7"/>
              <w:right w:val="single" w:sz="8" w:space="0" w:color="95B3D7"/>
            </w:tcBorders>
            <w:shd w:val="clear" w:color="000000" w:fill="DBE5F1"/>
            <w:vAlign w:val="center"/>
            <w:hideMark/>
          </w:tcPr>
          <w:p w14:paraId="54C1979B" w14:textId="77777777" w:rsidR="0017693E" w:rsidRDefault="0017693E">
            <w:pPr>
              <w:jc w:val="center"/>
              <w:rPr>
                <w:rFonts w:ascii="Calibri" w:hAnsi="Calibri" w:cs="Calibri"/>
                <w:b/>
                <w:bCs/>
                <w:color w:val="17365D"/>
                <w:sz w:val="20"/>
                <w:szCs w:val="20"/>
              </w:rPr>
            </w:pPr>
            <w:r>
              <w:rPr>
                <w:rFonts w:ascii="Calibri" w:hAnsi="Calibri" w:cs="Calibri"/>
                <w:b/>
                <w:bCs/>
                <w:color w:val="17365D"/>
                <w:sz w:val="20"/>
                <w:szCs w:val="20"/>
              </w:rPr>
              <w:t>$1,300,000</w:t>
            </w:r>
          </w:p>
        </w:tc>
        <w:tc>
          <w:tcPr>
            <w:tcW w:w="1288" w:type="dxa"/>
            <w:tcBorders>
              <w:top w:val="nil"/>
              <w:left w:val="nil"/>
              <w:bottom w:val="single" w:sz="8" w:space="0" w:color="95B3D7"/>
              <w:right w:val="single" w:sz="8" w:space="0" w:color="95B3D7"/>
            </w:tcBorders>
            <w:shd w:val="clear" w:color="000000" w:fill="DBE5F1"/>
            <w:vAlign w:val="center"/>
            <w:hideMark/>
          </w:tcPr>
          <w:p w14:paraId="21E1FFC9" w14:textId="77777777" w:rsidR="0017693E" w:rsidRDefault="0017693E">
            <w:pPr>
              <w:jc w:val="center"/>
              <w:rPr>
                <w:rFonts w:ascii="Calibri" w:hAnsi="Calibri" w:cs="Calibri"/>
                <w:b/>
                <w:bCs/>
                <w:color w:val="17365D"/>
                <w:sz w:val="20"/>
                <w:szCs w:val="20"/>
              </w:rPr>
            </w:pPr>
            <w:r>
              <w:rPr>
                <w:rFonts w:ascii="Calibri" w:hAnsi="Calibri" w:cs="Calibri"/>
                <w:b/>
                <w:bCs/>
                <w:color w:val="17365D"/>
                <w:sz w:val="20"/>
                <w:szCs w:val="20"/>
              </w:rPr>
              <w:t>$3,350,000</w:t>
            </w:r>
          </w:p>
        </w:tc>
        <w:tc>
          <w:tcPr>
            <w:tcW w:w="1160" w:type="dxa"/>
            <w:tcBorders>
              <w:top w:val="nil"/>
              <w:left w:val="nil"/>
              <w:bottom w:val="single" w:sz="8" w:space="0" w:color="95B3D7"/>
              <w:right w:val="single" w:sz="8" w:space="0" w:color="4F81BD"/>
            </w:tcBorders>
            <w:shd w:val="clear" w:color="000000" w:fill="DBE5F1"/>
            <w:vAlign w:val="center"/>
            <w:hideMark/>
          </w:tcPr>
          <w:p w14:paraId="761E79C3" w14:textId="77777777" w:rsidR="0017693E" w:rsidRDefault="0017693E">
            <w:pPr>
              <w:jc w:val="center"/>
              <w:rPr>
                <w:rFonts w:ascii="Calibri" w:hAnsi="Calibri" w:cs="Calibri"/>
                <w:b/>
                <w:bCs/>
                <w:color w:val="17365D"/>
                <w:sz w:val="20"/>
                <w:szCs w:val="20"/>
              </w:rPr>
            </w:pPr>
            <w:r>
              <w:rPr>
                <w:rFonts w:ascii="Calibri" w:hAnsi="Calibri" w:cs="Calibri"/>
                <w:b/>
                <w:bCs/>
                <w:color w:val="17365D"/>
                <w:sz w:val="20"/>
                <w:szCs w:val="20"/>
              </w:rPr>
              <w:t>$4,750,000</w:t>
            </w:r>
          </w:p>
        </w:tc>
      </w:tr>
    </w:tbl>
    <w:p w14:paraId="29B5F503" w14:textId="6CBFBF47" w:rsidR="0017693E" w:rsidRDefault="00777ACE" w:rsidP="00C5189E">
      <w:r>
        <w:rPr>
          <w:sz w:val="16"/>
          <w:szCs w:val="16"/>
        </w:rPr>
        <w:t># T</w:t>
      </w:r>
      <w:r w:rsidRPr="00777ACE">
        <w:rPr>
          <w:sz w:val="16"/>
          <w:szCs w:val="16"/>
        </w:rPr>
        <w:t xml:space="preserve">he Estimated Total No. of </w:t>
      </w:r>
      <w:r>
        <w:rPr>
          <w:sz w:val="16"/>
          <w:szCs w:val="16"/>
        </w:rPr>
        <w:t>l</w:t>
      </w:r>
      <w:r w:rsidRPr="00777ACE">
        <w:rPr>
          <w:sz w:val="16"/>
          <w:szCs w:val="16"/>
        </w:rPr>
        <w:t>icences is not a limit, and is an estimate only based on DISER understanding of likely interest at end 2021 to be tested during consultation</w:t>
      </w:r>
      <w:r>
        <w:rPr>
          <w:sz w:val="16"/>
          <w:szCs w:val="16"/>
        </w:rPr>
        <w:t>.</w:t>
      </w:r>
    </w:p>
    <w:p w14:paraId="7BCC52B4" w14:textId="542C81D6" w:rsidR="00C5189E" w:rsidRPr="00902AA6" w:rsidRDefault="00C5189E" w:rsidP="00C5189E">
      <w:pPr>
        <w:pStyle w:val="Heading3"/>
      </w:pPr>
      <w:bookmarkStart w:id="59" w:name="_Toc90968214"/>
      <w:bookmarkStart w:id="60" w:name="_Toc98772189"/>
      <w:r w:rsidRPr="00902AA6">
        <w:t>Cost recovery fees</w:t>
      </w:r>
      <w:bookmarkEnd w:id="59"/>
      <w:r w:rsidR="0033665D">
        <w:t xml:space="preserve"> – Regulator</w:t>
      </w:r>
      <w:bookmarkEnd w:id="60"/>
      <w:r w:rsidR="0033665D">
        <w:t xml:space="preserve"> </w:t>
      </w:r>
    </w:p>
    <w:p w14:paraId="40A77495" w14:textId="1C248285" w:rsidR="005A4E62" w:rsidRDefault="00C5189E" w:rsidP="00465868">
      <w:pPr>
        <w:rPr>
          <w:rFonts w:asciiTheme="minorHAnsi" w:eastAsia="Calibri" w:hAnsiTheme="minorHAnsi" w:cstheme="minorHAnsi"/>
        </w:rPr>
      </w:pPr>
      <w:r w:rsidRPr="00A731C8">
        <w:rPr>
          <w:rFonts w:asciiTheme="minorHAnsi" w:eastAsia="Calibri" w:hAnsiTheme="minorHAnsi" w:cstheme="minorHAnsi"/>
          <w:iCs/>
          <w:lang w:val="en-US"/>
        </w:rPr>
        <w:t xml:space="preserve">Fees payable to </w:t>
      </w:r>
      <w:r w:rsidRPr="00C96EBD">
        <w:rPr>
          <w:rFonts w:asciiTheme="minorHAnsi" w:eastAsia="Calibri" w:hAnsiTheme="minorHAnsi" w:cstheme="minorHAnsi"/>
          <w:bCs/>
          <w:iCs/>
          <w:lang w:val="en-US"/>
        </w:rPr>
        <w:t>the Regulator</w:t>
      </w:r>
      <w:r w:rsidRPr="00A731C8">
        <w:rPr>
          <w:rFonts w:asciiTheme="minorHAnsi" w:eastAsia="Calibri" w:hAnsiTheme="minorHAnsi" w:cstheme="minorHAnsi"/>
          <w:iCs/>
          <w:lang w:val="en-US"/>
        </w:rPr>
        <w:t xml:space="preserve"> will be calculated as a base </w:t>
      </w:r>
      <w:r w:rsidRPr="00A731C8">
        <w:rPr>
          <w:rFonts w:asciiTheme="minorHAnsi" w:eastAsia="Calibri" w:hAnsiTheme="minorHAnsi" w:cstheme="minorHAnsi"/>
        </w:rPr>
        <w:t>application fee per occurrence plus a sliding scale assessment fee for further work invoiced periodically throughout the assessment. The total fee will represent the full cost to the Regulator for undertaking an assessment of a submission and will consist of:</w:t>
      </w:r>
    </w:p>
    <w:p w14:paraId="3FAFEA41" w14:textId="77777777" w:rsidR="00DD7ECF" w:rsidRPr="00A731C8" w:rsidRDefault="00DD7ECF" w:rsidP="00465868">
      <w:pPr>
        <w:rPr>
          <w:rFonts w:asciiTheme="minorHAnsi" w:eastAsia="Calibri" w:hAnsiTheme="minorHAnsi" w:cstheme="minorHAnsi"/>
        </w:rPr>
      </w:pPr>
    </w:p>
    <w:p w14:paraId="0287E64E" w14:textId="77777777" w:rsidR="00C5189E" w:rsidRPr="00A731C8" w:rsidRDefault="00C5189E" w:rsidP="00465868">
      <w:pPr>
        <w:numPr>
          <w:ilvl w:val="0"/>
          <w:numId w:val="22"/>
        </w:numPr>
        <w:ind w:left="426"/>
        <w:rPr>
          <w:rFonts w:asciiTheme="minorHAnsi" w:eastAsia="Calibri" w:hAnsiTheme="minorHAnsi" w:cstheme="minorHAnsi"/>
        </w:rPr>
      </w:pPr>
      <w:r w:rsidRPr="00A731C8">
        <w:rPr>
          <w:rFonts w:asciiTheme="minorHAnsi" w:eastAsia="Calibri" w:hAnsiTheme="minorHAnsi" w:cstheme="minorHAnsi"/>
        </w:rPr>
        <w:t xml:space="preserve">an </w:t>
      </w:r>
      <w:r w:rsidRPr="00A731C8">
        <w:rPr>
          <w:rFonts w:asciiTheme="minorHAnsi" w:eastAsia="Calibri" w:hAnsiTheme="minorHAnsi" w:cstheme="minorHAnsi"/>
          <w:b/>
        </w:rPr>
        <w:t xml:space="preserve">application fee </w:t>
      </w:r>
      <w:r w:rsidRPr="00444928">
        <w:rPr>
          <w:rFonts w:asciiTheme="minorHAnsi" w:eastAsia="Calibri" w:hAnsiTheme="minorHAnsi" w:cstheme="minorHAnsi"/>
        </w:rPr>
        <w:t>–</w:t>
      </w:r>
      <w:r w:rsidRPr="00A731C8">
        <w:rPr>
          <w:rFonts w:asciiTheme="minorHAnsi" w:eastAsia="Calibri" w:hAnsiTheme="minorHAnsi" w:cstheme="minorHAnsi"/>
          <w:b/>
        </w:rPr>
        <w:t xml:space="preserve"> </w:t>
      </w:r>
      <w:r w:rsidRPr="00A731C8">
        <w:rPr>
          <w:rFonts w:asciiTheme="minorHAnsi" w:eastAsia="Calibri" w:hAnsiTheme="minorHAnsi" w:cstheme="minorHAnsi"/>
        </w:rPr>
        <w:t>to accompany each application; and</w:t>
      </w:r>
    </w:p>
    <w:p w14:paraId="329B00A6" w14:textId="77777777" w:rsidR="00C5189E" w:rsidRPr="00A731C8" w:rsidRDefault="00C5189E" w:rsidP="00465868">
      <w:pPr>
        <w:numPr>
          <w:ilvl w:val="0"/>
          <w:numId w:val="22"/>
        </w:numPr>
        <w:ind w:left="426"/>
        <w:rPr>
          <w:rFonts w:asciiTheme="minorHAnsi" w:eastAsia="Calibri" w:hAnsiTheme="minorHAnsi" w:cstheme="minorHAnsi"/>
        </w:rPr>
      </w:pPr>
      <w:r w:rsidRPr="00A731C8">
        <w:rPr>
          <w:rFonts w:asciiTheme="minorHAnsi" w:eastAsia="Calibri" w:hAnsiTheme="minorHAnsi" w:cstheme="minorHAnsi"/>
        </w:rPr>
        <w:t xml:space="preserve">an </w:t>
      </w:r>
      <w:r w:rsidRPr="00A731C8">
        <w:rPr>
          <w:rFonts w:asciiTheme="minorHAnsi" w:eastAsia="Calibri" w:hAnsiTheme="minorHAnsi" w:cstheme="minorHAnsi"/>
          <w:b/>
        </w:rPr>
        <w:t>assessment fee</w:t>
      </w:r>
      <w:r w:rsidRPr="00A731C8">
        <w:rPr>
          <w:rFonts w:asciiTheme="minorHAnsi" w:eastAsia="Calibri" w:hAnsiTheme="minorHAnsi" w:cstheme="minorHAnsi"/>
        </w:rPr>
        <w:t xml:space="preserve"> - to be paid throughout the course of an assessment with a final fee payment at conclusion of the assessment.  </w:t>
      </w:r>
    </w:p>
    <w:p w14:paraId="7F74B0A0" w14:textId="4F72E045" w:rsidR="00C5189E" w:rsidRDefault="00C5189E" w:rsidP="00465868">
      <w:pPr>
        <w:rPr>
          <w:rFonts w:asciiTheme="minorHAnsi" w:eastAsia="Calibri" w:hAnsiTheme="minorHAnsi" w:cstheme="minorHAnsi"/>
        </w:rPr>
      </w:pPr>
      <w:r w:rsidRPr="00A731C8">
        <w:rPr>
          <w:rFonts w:asciiTheme="minorHAnsi" w:eastAsia="Calibri" w:hAnsiTheme="minorHAnsi" w:cstheme="minorHAnsi"/>
        </w:rPr>
        <w:t xml:space="preserve">The </w:t>
      </w:r>
      <w:r w:rsidRPr="00A731C8">
        <w:rPr>
          <w:rFonts w:asciiTheme="minorHAnsi" w:eastAsia="Calibri" w:hAnsiTheme="minorHAnsi" w:cstheme="minorHAnsi"/>
          <w:b/>
        </w:rPr>
        <w:t>application fee</w:t>
      </w:r>
      <w:r w:rsidRPr="00A731C8">
        <w:rPr>
          <w:rFonts w:asciiTheme="minorHAnsi" w:eastAsia="Calibri" w:hAnsiTheme="minorHAnsi" w:cstheme="minorHAnsi"/>
        </w:rPr>
        <w:t xml:space="preserve"> will be paid to coincide with submission of an application. The quantum of this fee reflects the effort and specialist skills required to manage receipt of submissions including registration in the Regulator’s management systems and publication of applications where required.  </w:t>
      </w:r>
    </w:p>
    <w:p w14:paraId="05129B53" w14:textId="77777777" w:rsidR="00465868" w:rsidRPr="00A731C8" w:rsidRDefault="00465868" w:rsidP="00465868">
      <w:pPr>
        <w:rPr>
          <w:rFonts w:asciiTheme="minorHAnsi" w:eastAsia="Calibri" w:hAnsiTheme="minorHAnsi" w:cstheme="minorHAnsi"/>
          <w:u w:val="single"/>
        </w:rPr>
      </w:pPr>
    </w:p>
    <w:p w14:paraId="3AA8F68B" w14:textId="35DD73FA" w:rsidR="00C5189E" w:rsidRDefault="00C5189E" w:rsidP="00465868">
      <w:pPr>
        <w:rPr>
          <w:rFonts w:asciiTheme="minorHAnsi" w:eastAsia="Calibri" w:hAnsiTheme="minorHAnsi" w:cstheme="minorHAnsi"/>
        </w:rPr>
      </w:pPr>
      <w:r w:rsidRPr="00A731C8">
        <w:rPr>
          <w:rFonts w:asciiTheme="minorHAnsi" w:eastAsia="Calibri" w:hAnsiTheme="minorHAnsi" w:cstheme="minorHAnsi"/>
        </w:rPr>
        <w:t xml:space="preserve">The </w:t>
      </w:r>
      <w:r w:rsidRPr="00A731C8">
        <w:rPr>
          <w:rFonts w:asciiTheme="minorHAnsi" w:eastAsia="Calibri" w:hAnsiTheme="minorHAnsi" w:cstheme="minorHAnsi"/>
          <w:b/>
        </w:rPr>
        <w:t>assessment fee</w:t>
      </w:r>
      <w:r w:rsidRPr="00A731C8">
        <w:rPr>
          <w:rFonts w:asciiTheme="minorHAnsi" w:eastAsia="Calibri" w:hAnsiTheme="minorHAnsi" w:cstheme="minorHAnsi"/>
        </w:rPr>
        <w:t xml:space="preserve"> will cover additional costs incurred by the Regulator in assessing each application on a fee-for-service basis.  The assessment fee will become due when the Regulator issues an invoice to the applicant, payable according to the invoice. For extended assessments, invoicing will occur quarterly.</w:t>
      </w:r>
    </w:p>
    <w:p w14:paraId="0BB719D6" w14:textId="77777777" w:rsidR="00465868" w:rsidRPr="00A731C8" w:rsidRDefault="00465868" w:rsidP="00465868">
      <w:pPr>
        <w:rPr>
          <w:rFonts w:asciiTheme="minorHAnsi" w:eastAsia="Calibri" w:hAnsiTheme="minorHAnsi" w:cstheme="minorHAnsi"/>
        </w:rPr>
      </w:pPr>
    </w:p>
    <w:p w14:paraId="7F06F541" w14:textId="0A66DC52" w:rsidR="00C5189E" w:rsidRDefault="00C5189E" w:rsidP="00465868">
      <w:pPr>
        <w:rPr>
          <w:rFonts w:asciiTheme="minorHAnsi" w:eastAsia="Calibri" w:hAnsiTheme="minorHAnsi" w:cstheme="minorHAnsi"/>
        </w:rPr>
      </w:pPr>
      <w:r w:rsidRPr="00A731C8">
        <w:rPr>
          <w:rFonts w:asciiTheme="minorHAnsi" w:eastAsia="Calibri" w:hAnsiTheme="minorHAnsi" w:cstheme="minorHAnsi"/>
        </w:rPr>
        <w:t xml:space="preserve">The amount payable for any fee must not exceed the total costs to the Regulator for assessing an application. The Regulator will calculate the assessment component of any fee on the basis of the total number of hours expended by the staff of the Regulator in assessing any particular submission. Fee rates will be advised to applicants on </w:t>
      </w:r>
      <w:r>
        <w:rPr>
          <w:rFonts w:asciiTheme="minorHAnsi" w:eastAsia="Calibri" w:hAnsiTheme="minorHAnsi" w:cstheme="minorHAnsi"/>
        </w:rPr>
        <w:t>receipt</w:t>
      </w:r>
      <w:r w:rsidRPr="00A731C8">
        <w:rPr>
          <w:rFonts w:asciiTheme="minorHAnsi" w:eastAsia="Calibri" w:hAnsiTheme="minorHAnsi" w:cstheme="minorHAnsi"/>
        </w:rPr>
        <w:t xml:space="preserve"> of an application.    </w:t>
      </w:r>
    </w:p>
    <w:p w14:paraId="271EE465" w14:textId="77777777" w:rsidR="00465868" w:rsidRPr="00A731C8" w:rsidRDefault="00465868" w:rsidP="00465868">
      <w:pPr>
        <w:rPr>
          <w:rFonts w:asciiTheme="minorHAnsi" w:eastAsia="Calibri" w:hAnsiTheme="minorHAnsi" w:cstheme="minorHAnsi"/>
        </w:rPr>
      </w:pPr>
    </w:p>
    <w:p w14:paraId="48FBB8BF" w14:textId="0EE6ABED" w:rsidR="00C5189E" w:rsidRDefault="00C5189E" w:rsidP="00465868">
      <w:pPr>
        <w:rPr>
          <w:rFonts w:asciiTheme="minorHAnsi" w:eastAsia="Calibri" w:hAnsiTheme="minorHAnsi" w:cstheme="minorHAnsi"/>
        </w:rPr>
      </w:pPr>
      <w:r w:rsidRPr="00A731C8">
        <w:rPr>
          <w:rFonts w:asciiTheme="minorHAnsi" w:eastAsia="Calibri" w:hAnsiTheme="minorHAnsi" w:cstheme="minorHAnsi"/>
        </w:rPr>
        <w:t>The fee structure</w:t>
      </w:r>
      <w:r w:rsidR="00465868">
        <w:rPr>
          <w:rFonts w:asciiTheme="minorHAnsi" w:eastAsia="Calibri" w:hAnsiTheme="minorHAnsi" w:cstheme="minorHAnsi"/>
        </w:rPr>
        <w:t xml:space="preserve"> (</w:t>
      </w:r>
      <w:r w:rsidR="00465868" w:rsidRPr="00465868">
        <w:rPr>
          <w:rFonts w:asciiTheme="minorHAnsi" w:eastAsia="Calibri" w:hAnsiTheme="minorHAnsi" w:cstheme="minorHAnsi"/>
          <w:b/>
          <w:bCs/>
        </w:rPr>
        <w:t>Table 17</w:t>
      </w:r>
      <w:r w:rsidR="00465868">
        <w:rPr>
          <w:rFonts w:asciiTheme="minorHAnsi" w:eastAsia="Calibri" w:hAnsiTheme="minorHAnsi" w:cstheme="minorHAnsi"/>
        </w:rPr>
        <w:t>)</w:t>
      </w:r>
      <w:r w:rsidRPr="00A731C8">
        <w:rPr>
          <w:rFonts w:asciiTheme="minorHAnsi" w:eastAsia="Calibri" w:hAnsiTheme="minorHAnsi" w:cstheme="minorHAnsi"/>
        </w:rPr>
        <w:t xml:space="preserve"> is designed to ensure equitable cost recovery in relation to assessment effort as the nature and scale of applications to the Regulator are likely to be highly variable </w:t>
      </w:r>
      <w:r>
        <w:rPr>
          <w:rFonts w:asciiTheme="minorHAnsi" w:eastAsia="Calibri" w:hAnsiTheme="minorHAnsi" w:cstheme="minorHAnsi"/>
        </w:rPr>
        <w:t xml:space="preserve">and </w:t>
      </w:r>
      <w:r w:rsidRPr="00A731C8">
        <w:rPr>
          <w:rFonts w:asciiTheme="minorHAnsi" w:eastAsia="Calibri" w:hAnsiTheme="minorHAnsi" w:cstheme="minorHAnsi"/>
        </w:rPr>
        <w:t xml:space="preserve">dependent on </w:t>
      </w:r>
      <w:r>
        <w:rPr>
          <w:rFonts w:asciiTheme="minorHAnsi" w:eastAsia="Calibri" w:hAnsiTheme="minorHAnsi" w:cstheme="minorHAnsi"/>
        </w:rPr>
        <w:t xml:space="preserve">application type and </w:t>
      </w:r>
      <w:r w:rsidRPr="00A731C8">
        <w:rPr>
          <w:rFonts w:asciiTheme="minorHAnsi" w:eastAsia="Calibri" w:hAnsiTheme="minorHAnsi" w:cstheme="minorHAnsi"/>
        </w:rPr>
        <w:t xml:space="preserve">the projects to which the applications relate. For example, a management plan for construction, commissioning, and operation of a single interconnector cable on a transmission and infrastructure licence is likely to be far less complex and therefore require significantly less regulatory effort, </w:t>
      </w:r>
      <w:r w:rsidRPr="00A731C8">
        <w:rPr>
          <w:rFonts w:asciiTheme="minorHAnsi" w:eastAsia="Calibri" w:hAnsiTheme="minorHAnsi" w:cstheme="minorHAnsi"/>
        </w:rPr>
        <w:lastRenderedPageBreak/>
        <w:t xml:space="preserve">than a management plan for a large-scale offshore wind farm project involving hundreds of turbines and associated in-field and export infrastructure across a broad geographic area. </w:t>
      </w:r>
    </w:p>
    <w:p w14:paraId="3D2C045F" w14:textId="77777777" w:rsidR="00465868" w:rsidRPr="00A731C8" w:rsidRDefault="00465868" w:rsidP="00465868">
      <w:pPr>
        <w:rPr>
          <w:rFonts w:asciiTheme="minorHAnsi" w:eastAsia="Calibri" w:hAnsiTheme="minorHAnsi" w:cstheme="minorHAnsi"/>
        </w:rPr>
      </w:pPr>
    </w:p>
    <w:p w14:paraId="6EB3C1B2" w14:textId="171421EE" w:rsidR="00465868" w:rsidRDefault="00C5189E" w:rsidP="00C5189E">
      <w:pPr>
        <w:rPr>
          <w:rFonts w:asciiTheme="minorHAnsi" w:eastAsia="Calibri" w:hAnsiTheme="minorHAnsi" w:cstheme="minorHAnsi"/>
        </w:rPr>
      </w:pPr>
      <w:r w:rsidRPr="00A731C8">
        <w:rPr>
          <w:rFonts w:asciiTheme="minorHAnsi" w:eastAsia="Calibri" w:hAnsiTheme="minorHAnsi" w:cstheme="minorHAnsi"/>
        </w:rPr>
        <w:t xml:space="preserve">The proposed fee structure is considered to provide an appropriately equitable method for the charging of assessment related regulatory costs to licence holders and will ensure that costs for small scale projects are not prohibitively high and that cross-subsidisation of regulatory costs associated with assessments is avoided. </w:t>
      </w:r>
    </w:p>
    <w:p w14:paraId="7A666BF1" w14:textId="77777777" w:rsidR="001A2A2B" w:rsidRDefault="001A2A2B" w:rsidP="00C5189E">
      <w:pPr>
        <w:rPr>
          <w:rFonts w:asciiTheme="minorHAnsi" w:eastAsia="Calibri" w:hAnsiTheme="minorHAnsi" w:cstheme="minorHAnsi"/>
        </w:rPr>
      </w:pPr>
    </w:p>
    <w:tbl>
      <w:tblPr>
        <w:tblW w:w="10337" w:type="dxa"/>
        <w:tblCellMar>
          <w:left w:w="0" w:type="dxa"/>
          <w:right w:w="0" w:type="dxa"/>
        </w:tblCellMar>
        <w:tblLook w:val="04A0" w:firstRow="1" w:lastRow="0" w:firstColumn="1" w:lastColumn="0" w:noHBand="0" w:noVBand="1"/>
      </w:tblPr>
      <w:tblGrid>
        <w:gridCol w:w="1838"/>
        <w:gridCol w:w="876"/>
        <w:gridCol w:w="876"/>
        <w:gridCol w:w="876"/>
        <w:gridCol w:w="1426"/>
        <w:gridCol w:w="1459"/>
        <w:gridCol w:w="876"/>
        <w:gridCol w:w="876"/>
        <w:gridCol w:w="1251"/>
      </w:tblGrid>
      <w:tr w:rsidR="001A2A2B" w14:paraId="30CBF8DB" w14:textId="77777777" w:rsidTr="00777ACE">
        <w:trPr>
          <w:trHeight w:val="323"/>
        </w:trPr>
        <w:tc>
          <w:tcPr>
            <w:tcW w:w="10337" w:type="dxa"/>
            <w:gridSpan w:val="9"/>
            <w:tcBorders>
              <w:top w:val="nil"/>
              <w:left w:val="nil"/>
              <w:bottom w:val="single" w:sz="8" w:space="0" w:color="4F81BD"/>
              <w:right w:val="nil"/>
            </w:tcBorders>
            <w:shd w:val="clear" w:color="auto" w:fill="auto"/>
            <w:noWrap/>
            <w:vAlign w:val="center"/>
            <w:hideMark/>
          </w:tcPr>
          <w:p w14:paraId="3FFEE60B" w14:textId="24BF30FD" w:rsidR="001A2A2B" w:rsidRDefault="001A2A2B" w:rsidP="00EF683E">
            <w:pPr>
              <w:rPr>
                <w:rFonts w:ascii="Calibri" w:hAnsi="Calibri" w:cs="Calibri"/>
                <w:b/>
                <w:bCs/>
                <w:color w:val="000000"/>
              </w:rPr>
            </w:pPr>
            <w:r>
              <w:rPr>
                <w:rFonts w:ascii="Calibri" w:hAnsi="Calibri" w:cs="Calibri"/>
                <w:b/>
                <w:bCs/>
                <w:color w:val="000000"/>
              </w:rPr>
              <w:t>Table 17:</w:t>
            </w:r>
            <w:r w:rsidR="00EF683E">
              <w:rPr>
                <w:rFonts w:ascii="Calibri" w:hAnsi="Calibri" w:cs="Calibri"/>
                <w:color w:val="000000"/>
              </w:rPr>
              <w:t xml:space="preserve"> Annual regulatory </w:t>
            </w:r>
            <w:r>
              <w:rPr>
                <w:rFonts w:ascii="Calibri" w:hAnsi="Calibri" w:cs="Calibri"/>
                <w:color w:val="000000"/>
              </w:rPr>
              <w:t>fee revenue estimates for 2022-23 to 2024-25</w:t>
            </w:r>
            <w:r w:rsidR="00777ACE" w:rsidRPr="00777ACE">
              <w:rPr>
                <w:rFonts w:ascii="Calibri" w:hAnsi="Calibri" w:cs="Calibri"/>
                <w:color w:val="000000"/>
                <w:vertAlign w:val="superscript"/>
              </w:rPr>
              <w:t>#</w:t>
            </w:r>
          </w:p>
        </w:tc>
      </w:tr>
      <w:tr w:rsidR="001A2A2B" w14:paraId="7208BE51" w14:textId="77777777" w:rsidTr="00777ACE">
        <w:trPr>
          <w:trHeight w:val="638"/>
        </w:trPr>
        <w:tc>
          <w:tcPr>
            <w:tcW w:w="1776" w:type="dxa"/>
            <w:vMerge w:val="restart"/>
            <w:tcBorders>
              <w:top w:val="nil"/>
              <w:left w:val="single" w:sz="8" w:space="0" w:color="4F81BD"/>
              <w:bottom w:val="nil"/>
              <w:right w:val="nil"/>
            </w:tcBorders>
            <w:shd w:val="clear" w:color="000000" w:fill="4F81BD"/>
            <w:hideMark/>
          </w:tcPr>
          <w:p w14:paraId="1C16C0A1" w14:textId="5973709B" w:rsidR="001A2A2B" w:rsidRDefault="0036358F" w:rsidP="00D637F6">
            <w:pPr>
              <w:jc w:val="center"/>
              <w:rPr>
                <w:rFonts w:ascii="Calibri" w:hAnsi="Calibri" w:cs="Calibri"/>
                <w:b/>
                <w:bCs/>
                <w:color w:val="FFFFFF"/>
                <w:sz w:val="20"/>
                <w:szCs w:val="20"/>
              </w:rPr>
            </w:pPr>
            <w:r>
              <w:rPr>
                <w:rFonts w:ascii="Calibri" w:hAnsi="Calibri" w:cs="Calibri"/>
                <w:b/>
                <w:bCs/>
                <w:color w:val="FFFFFF"/>
                <w:sz w:val="20"/>
                <w:szCs w:val="20"/>
              </w:rPr>
              <w:t>Application</w:t>
            </w:r>
            <w:r w:rsidR="001A2A2B">
              <w:rPr>
                <w:rFonts w:ascii="Calibri" w:hAnsi="Calibri" w:cs="Calibri"/>
                <w:b/>
                <w:bCs/>
                <w:color w:val="FFFFFF"/>
                <w:sz w:val="20"/>
                <w:szCs w:val="20"/>
              </w:rPr>
              <w:t xml:space="preserve"> Type</w:t>
            </w:r>
          </w:p>
        </w:tc>
        <w:tc>
          <w:tcPr>
            <w:tcW w:w="2865" w:type="dxa"/>
            <w:gridSpan w:val="3"/>
            <w:tcBorders>
              <w:top w:val="single" w:sz="8" w:space="0" w:color="4F81BD"/>
              <w:left w:val="nil"/>
              <w:bottom w:val="nil"/>
              <w:right w:val="nil"/>
            </w:tcBorders>
            <w:shd w:val="clear" w:color="000000" w:fill="4F81BD"/>
            <w:hideMark/>
          </w:tcPr>
          <w:p w14:paraId="2FE89683" w14:textId="77777777" w:rsidR="001A2A2B" w:rsidRDefault="001A2A2B" w:rsidP="00D637F6">
            <w:pPr>
              <w:jc w:val="center"/>
              <w:rPr>
                <w:rFonts w:ascii="Calibri" w:hAnsi="Calibri" w:cs="Calibri"/>
                <w:b/>
                <w:bCs/>
                <w:color w:val="FFFFFF"/>
                <w:sz w:val="20"/>
                <w:szCs w:val="20"/>
              </w:rPr>
            </w:pPr>
            <w:r>
              <w:rPr>
                <w:rFonts w:ascii="Calibri" w:hAnsi="Calibri" w:cs="Calibri"/>
                <w:b/>
                <w:bCs/>
                <w:color w:val="FFFFFF"/>
                <w:sz w:val="20"/>
                <w:szCs w:val="20"/>
              </w:rPr>
              <w:t>Estimated Total</w:t>
            </w:r>
            <w:r>
              <w:rPr>
                <w:rFonts w:ascii="Calibri" w:hAnsi="Calibri" w:cs="Calibri"/>
                <w:b/>
                <w:bCs/>
                <w:color w:val="FFFFFF"/>
                <w:sz w:val="20"/>
                <w:szCs w:val="20"/>
              </w:rPr>
              <w:br/>
              <w:t xml:space="preserve"> No. of submissions</w:t>
            </w:r>
          </w:p>
        </w:tc>
        <w:tc>
          <w:tcPr>
            <w:tcW w:w="2602" w:type="dxa"/>
            <w:gridSpan w:val="2"/>
            <w:tcBorders>
              <w:top w:val="single" w:sz="8" w:space="0" w:color="4F81BD"/>
              <w:left w:val="nil"/>
              <w:bottom w:val="nil"/>
              <w:right w:val="nil"/>
            </w:tcBorders>
            <w:shd w:val="clear" w:color="000000" w:fill="4F81BD"/>
            <w:hideMark/>
          </w:tcPr>
          <w:p w14:paraId="08E2F802" w14:textId="77777777" w:rsidR="001A2A2B" w:rsidRDefault="001A2A2B" w:rsidP="00D637F6">
            <w:pPr>
              <w:jc w:val="center"/>
              <w:rPr>
                <w:rFonts w:ascii="Calibri" w:hAnsi="Calibri" w:cs="Calibri"/>
                <w:b/>
                <w:bCs/>
                <w:color w:val="FFFFFF"/>
                <w:sz w:val="20"/>
                <w:szCs w:val="20"/>
              </w:rPr>
            </w:pPr>
            <w:r>
              <w:rPr>
                <w:rFonts w:ascii="Calibri" w:hAnsi="Calibri" w:cs="Calibri"/>
                <w:b/>
                <w:bCs/>
                <w:color w:val="FFFFFF"/>
                <w:sz w:val="20"/>
                <w:szCs w:val="20"/>
              </w:rPr>
              <w:t>Proposed</w:t>
            </w:r>
            <w:r>
              <w:rPr>
                <w:rFonts w:ascii="Calibri" w:hAnsi="Calibri" w:cs="Calibri"/>
                <w:color w:val="FFFFFF"/>
                <w:sz w:val="20"/>
                <w:szCs w:val="20"/>
              </w:rPr>
              <w:t xml:space="preserve"> fee</w:t>
            </w:r>
            <w:r>
              <w:rPr>
                <w:rFonts w:ascii="Calibri" w:hAnsi="Calibri" w:cs="Calibri"/>
                <w:b/>
                <w:bCs/>
                <w:color w:val="FFFFFF"/>
                <w:sz w:val="20"/>
                <w:szCs w:val="20"/>
              </w:rPr>
              <w:t xml:space="preserve"> rate</w:t>
            </w:r>
            <w:r>
              <w:rPr>
                <w:rFonts w:ascii="Calibri" w:hAnsi="Calibri" w:cs="Calibri"/>
                <w:b/>
                <w:bCs/>
                <w:color w:val="FFFFFF"/>
                <w:sz w:val="20"/>
                <w:szCs w:val="20"/>
              </w:rPr>
              <w:br/>
              <w:t xml:space="preserve"> from 1 July 2022</w:t>
            </w:r>
          </w:p>
        </w:tc>
        <w:tc>
          <w:tcPr>
            <w:tcW w:w="3094" w:type="dxa"/>
            <w:gridSpan w:val="3"/>
            <w:tcBorders>
              <w:top w:val="single" w:sz="8" w:space="0" w:color="4F81BD"/>
              <w:left w:val="nil"/>
              <w:bottom w:val="nil"/>
              <w:right w:val="single" w:sz="8" w:space="0" w:color="4F81BD"/>
            </w:tcBorders>
            <w:shd w:val="clear" w:color="000000" w:fill="4F81BD"/>
            <w:hideMark/>
          </w:tcPr>
          <w:p w14:paraId="06512518" w14:textId="77777777" w:rsidR="001A2A2B" w:rsidRDefault="001A2A2B" w:rsidP="00D637F6">
            <w:pPr>
              <w:jc w:val="center"/>
              <w:rPr>
                <w:rFonts w:ascii="Calibri" w:hAnsi="Calibri" w:cs="Calibri"/>
                <w:b/>
                <w:bCs/>
                <w:color w:val="FFFFFF"/>
                <w:sz w:val="20"/>
                <w:szCs w:val="20"/>
              </w:rPr>
            </w:pPr>
            <w:r>
              <w:rPr>
                <w:rFonts w:ascii="Calibri" w:hAnsi="Calibri" w:cs="Calibri"/>
                <w:b/>
                <w:bCs/>
                <w:color w:val="FFFFFF"/>
                <w:sz w:val="20"/>
                <w:szCs w:val="20"/>
              </w:rPr>
              <w:t>Fee amount</w:t>
            </w:r>
          </w:p>
        </w:tc>
      </w:tr>
      <w:tr w:rsidR="001A2A2B" w14:paraId="732025F8" w14:textId="77777777" w:rsidTr="00777ACE">
        <w:trPr>
          <w:trHeight w:val="578"/>
        </w:trPr>
        <w:tc>
          <w:tcPr>
            <w:tcW w:w="0" w:type="auto"/>
            <w:vMerge/>
            <w:tcBorders>
              <w:top w:val="nil"/>
              <w:left w:val="single" w:sz="8" w:space="0" w:color="4F81BD"/>
              <w:bottom w:val="nil"/>
              <w:right w:val="nil"/>
            </w:tcBorders>
            <w:vAlign w:val="center"/>
            <w:hideMark/>
          </w:tcPr>
          <w:p w14:paraId="547A16E5" w14:textId="77777777" w:rsidR="001A2A2B" w:rsidRDefault="001A2A2B" w:rsidP="00D637F6">
            <w:pPr>
              <w:rPr>
                <w:rFonts w:ascii="Calibri" w:hAnsi="Calibri" w:cs="Calibri"/>
                <w:b/>
                <w:bCs/>
                <w:color w:val="FFFFFF"/>
                <w:sz w:val="20"/>
                <w:szCs w:val="20"/>
              </w:rPr>
            </w:pPr>
          </w:p>
        </w:tc>
        <w:tc>
          <w:tcPr>
            <w:tcW w:w="955" w:type="dxa"/>
            <w:tcBorders>
              <w:top w:val="nil"/>
              <w:left w:val="nil"/>
              <w:bottom w:val="nil"/>
              <w:right w:val="nil"/>
            </w:tcBorders>
            <w:shd w:val="clear" w:color="000000" w:fill="4F81BD"/>
            <w:hideMark/>
          </w:tcPr>
          <w:p w14:paraId="6ACD3790" w14:textId="77777777" w:rsidR="001A2A2B" w:rsidRDefault="001A2A2B" w:rsidP="00D637F6">
            <w:pPr>
              <w:jc w:val="center"/>
              <w:rPr>
                <w:rFonts w:ascii="Calibri" w:hAnsi="Calibri" w:cs="Calibri"/>
                <w:b/>
                <w:bCs/>
                <w:color w:val="FFFFFF"/>
                <w:sz w:val="18"/>
                <w:szCs w:val="18"/>
              </w:rPr>
            </w:pPr>
            <w:r>
              <w:rPr>
                <w:rFonts w:ascii="Calibri" w:hAnsi="Calibri" w:cs="Calibri"/>
                <w:b/>
                <w:bCs/>
                <w:color w:val="FFFFFF"/>
                <w:sz w:val="18"/>
                <w:szCs w:val="18"/>
              </w:rPr>
              <w:t>2022-23</w:t>
            </w:r>
          </w:p>
        </w:tc>
        <w:tc>
          <w:tcPr>
            <w:tcW w:w="955" w:type="dxa"/>
            <w:tcBorders>
              <w:top w:val="nil"/>
              <w:left w:val="nil"/>
              <w:bottom w:val="nil"/>
              <w:right w:val="nil"/>
            </w:tcBorders>
            <w:shd w:val="clear" w:color="000000" w:fill="4F81BD"/>
            <w:hideMark/>
          </w:tcPr>
          <w:p w14:paraId="5DD9907D" w14:textId="77777777" w:rsidR="001A2A2B" w:rsidRDefault="001A2A2B" w:rsidP="00D637F6">
            <w:pPr>
              <w:jc w:val="center"/>
              <w:rPr>
                <w:rFonts w:ascii="Calibri" w:hAnsi="Calibri" w:cs="Calibri"/>
                <w:b/>
                <w:bCs/>
                <w:color w:val="FFFFFF"/>
                <w:sz w:val="18"/>
                <w:szCs w:val="18"/>
              </w:rPr>
            </w:pPr>
            <w:r>
              <w:rPr>
                <w:rFonts w:ascii="Calibri" w:hAnsi="Calibri" w:cs="Calibri"/>
                <w:b/>
                <w:bCs/>
                <w:color w:val="FFFFFF"/>
                <w:sz w:val="18"/>
                <w:szCs w:val="18"/>
              </w:rPr>
              <w:t>2023-24</w:t>
            </w:r>
          </w:p>
        </w:tc>
        <w:tc>
          <w:tcPr>
            <w:tcW w:w="955" w:type="dxa"/>
            <w:tcBorders>
              <w:top w:val="nil"/>
              <w:left w:val="nil"/>
              <w:bottom w:val="nil"/>
              <w:right w:val="nil"/>
            </w:tcBorders>
            <w:shd w:val="clear" w:color="000000" w:fill="4F81BD"/>
            <w:hideMark/>
          </w:tcPr>
          <w:p w14:paraId="7E88EAF1" w14:textId="77777777" w:rsidR="001A2A2B" w:rsidRDefault="001A2A2B" w:rsidP="00D637F6">
            <w:pPr>
              <w:jc w:val="center"/>
              <w:rPr>
                <w:rFonts w:ascii="Calibri" w:hAnsi="Calibri" w:cs="Calibri"/>
                <w:b/>
                <w:bCs/>
                <w:color w:val="FFFFFF"/>
                <w:sz w:val="18"/>
                <w:szCs w:val="18"/>
              </w:rPr>
            </w:pPr>
            <w:r>
              <w:rPr>
                <w:rFonts w:ascii="Calibri" w:hAnsi="Calibri" w:cs="Calibri"/>
                <w:b/>
                <w:bCs/>
                <w:color w:val="FFFFFF"/>
                <w:sz w:val="18"/>
                <w:szCs w:val="18"/>
              </w:rPr>
              <w:t>2024-25</w:t>
            </w:r>
          </w:p>
        </w:tc>
        <w:tc>
          <w:tcPr>
            <w:tcW w:w="1291" w:type="dxa"/>
            <w:tcBorders>
              <w:top w:val="nil"/>
              <w:left w:val="nil"/>
              <w:bottom w:val="single" w:sz="8" w:space="0" w:color="4F81BD"/>
              <w:right w:val="nil"/>
            </w:tcBorders>
            <w:shd w:val="clear" w:color="000000" w:fill="4F81BD"/>
            <w:hideMark/>
          </w:tcPr>
          <w:p w14:paraId="65AA1017" w14:textId="77777777" w:rsidR="001A2A2B" w:rsidRDefault="001A2A2B" w:rsidP="00D637F6">
            <w:pPr>
              <w:jc w:val="center"/>
              <w:rPr>
                <w:rFonts w:ascii="Calibri" w:hAnsi="Calibri" w:cs="Calibri"/>
                <w:b/>
                <w:bCs/>
                <w:sz w:val="20"/>
                <w:szCs w:val="20"/>
              </w:rPr>
            </w:pPr>
            <w:r w:rsidRPr="00C96EBD">
              <w:rPr>
                <w:rFonts w:ascii="Calibri" w:hAnsi="Calibri" w:cs="Calibri"/>
                <w:b/>
                <w:bCs/>
                <w:color w:val="FFFFFF" w:themeColor="background1"/>
                <w:sz w:val="20"/>
                <w:szCs w:val="20"/>
              </w:rPr>
              <w:t>Application</w:t>
            </w:r>
            <w:r w:rsidRPr="00C96EBD">
              <w:rPr>
                <w:rFonts w:ascii="Calibri" w:hAnsi="Calibri" w:cs="Calibri"/>
                <w:b/>
                <w:bCs/>
                <w:color w:val="FFFFFF" w:themeColor="background1"/>
                <w:sz w:val="20"/>
                <w:szCs w:val="20"/>
              </w:rPr>
              <w:br/>
              <w:t xml:space="preserve"> Fee</w:t>
            </w:r>
          </w:p>
        </w:tc>
        <w:tc>
          <w:tcPr>
            <w:tcW w:w="1311" w:type="dxa"/>
            <w:tcBorders>
              <w:top w:val="nil"/>
              <w:left w:val="nil"/>
              <w:bottom w:val="single" w:sz="8" w:space="0" w:color="4F81BD"/>
              <w:right w:val="nil"/>
            </w:tcBorders>
            <w:shd w:val="clear" w:color="000000" w:fill="4F81BD"/>
            <w:hideMark/>
          </w:tcPr>
          <w:p w14:paraId="48383BF7" w14:textId="77777777" w:rsidR="001A2A2B" w:rsidRDefault="001A2A2B" w:rsidP="00D637F6">
            <w:pPr>
              <w:jc w:val="center"/>
              <w:rPr>
                <w:rFonts w:ascii="Calibri" w:hAnsi="Calibri" w:cs="Calibri"/>
                <w:b/>
                <w:bCs/>
                <w:sz w:val="20"/>
                <w:szCs w:val="20"/>
              </w:rPr>
            </w:pPr>
            <w:r w:rsidRPr="00C96EBD">
              <w:rPr>
                <w:rFonts w:ascii="Calibri" w:hAnsi="Calibri" w:cs="Calibri"/>
                <w:b/>
                <w:bCs/>
                <w:color w:val="FFFFFF" w:themeColor="background1"/>
                <w:sz w:val="20"/>
                <w:szCs w:val="20"/>
              </w:rPr>
              <w:t>Assessment</w:t>
            </w:r>
            <w:r w:rsidRPr="00C96EBD">
              <w:rPr>
                <w:rFonts w:ascii="Calibri" w:hAnsi="Calibri" w:cs="Calibri"/>
                <w:b/>
                <w:bCs/>
                <w:color w:val="FFFFFF" w:themeColor="background1"/>
                <w:sz w:val="20"/>
                <w:szCs w:val="20"/>
              </w:rPr>
              <w:br/>
              <w:t xml:space="preserve"> Fee</w:t>
            </w:r>
            <w:r>
              <w:rPr>
                <w:rFonts w:ascii="Calibri" w:hAnsi="Calibri" w:cs="Calibri"/>
                <w:b/>
                <w:bCs/>
                <w:color w:val="FFFFFF" w:themeColor="background1"/>
                <w:sz w:val="20"/>
                <w:szCs w:val="20"/>
              </w:rPr>
              <w:t xml:space="preserve"> (indicative) </w:t>
            </w:r>
          </w:p>
        </w:tc>
        <w:tc>
          <w:tcPr>
            <w:tcW w:w="955" w:type="dxa"/>
            <w:tcBorders>
              <w:top w:val="nil"/>
              <w:left w:val="nil"/>
              <w:bottom w:val="nil"/>
              <w:right w:val="nil"/>
            </w:tcBorders>
            <w:shd w:val="clear" w:color="000000" w:fill="4F81BD"/>
            <w:hideMark/>
          </w:tcPr>
          <w:p w14:paraId="30614501" w14:textId="77777777" w:rsidR="001A2A2B" w:rsidRDefault="001A2A2B" w:rsidP="00D637F6">
            <w:pPr>
              <w:jc w:val="center"/>
              <w:rPr>
                <w:rFonts w:ascii="Calibri" w:hAnsi="Calibri" w:cs="Calibri"/>
                <w:b/>
                <w:bCs/>
                <w:color w:val="FFFFFF"/>
                <w:sz w:val="18"/>
                <w:szCs w:val="18"/>
              </w:rPr>
            </w:pPr>
            <w:r>
              <w:rPr>
                <w:rFonts w:ascii="Calibri" w:hAnsi="Calibri" w:cs="Calibri"/>
                <w:b/>
                <w:bCs/>
                <w:color w:val="FFFFFF"/>
                <w:sz w:val="18"/>
                <w:szCs w:val="18"/>
              </w:rPr>
              <w:t xml:space="preserve">2022-23      </w:t>
            </w:r>
          </w:p>
        </w:tc>
        <w:tc>
          <w:tcPr>
            <w:tcW w:w="955" w:type="dxa"/>
            <w:tcBorders>
              <w:top w:val="nil"/>
              <w:left w:val="nil"/>
              <w:bottom w:val="nil"/>
              <w:right w:val="nil"/>
            </w:tcBorders>
            <w:shd w:val="clear" w:color="000000" w:fill="4F81BD"/>
            <w:hideMark/>
          </w:tcPr>
          <w:p w14:paraId="1EA0FBC6" w14:textId="77777777" w:rsidR="001A2A2B" w:rsidRDefault="001A2A2B" w:rsidP="00D637F6">
            <w:pPr>
              <w:jc w:val="center"/>
              <w:rPr>
                <w:rFonts w:ascii="Calibri" w:hAnsi="Calibri" w:cs="Calibri"/>
                <w:b/>
                <w:bCs/>
                <w:color w:val="FFFFFF"/>
                <w:sz w:val="18"/>
                <w:szCs w:val="18"/>
              </w:rPr>
            </w:pPr>
            <w:r>
              <w:rPr>
                <w:rFonts w:ascii="Calibri" w:hAnsi="Calibri" w:cs="Calibri"/>
                <w:b/>
                <w:bCs/>
                <w:color w:val="FFFFFF"/>
                <w:sz w:val="18"/>
                <w:szCs w:val="18"/>
              </w:rPr>
              <w:t>2023-24</w:t>
            </w:r>
          </w:p>
        </w:tc>
        <w:tc>
          <w:tcPr>
            <w:tcW w:w="1184" w:type="dxa"/>
            <w:tcBorders>
              <w:top w:val="nil"/>
              <w:left w:val="nil"/>
              <w:bottom w:val="nil"/>
              <w:right w:val="single" w:sz="8" w:space="0" w:color="4F81BD"/>
            </w:tcBorders>
            <w:shd w:val="clear" w:color="000000" w:fill="4F81BD"/>
            <w:hideMark/>
          </w:tcPr>
          <w:p w14:paraId="20E7AE8D" w14:textId="77777777" w:rsidR="001A2A2B" w:rsidRDefault="001A2A2B" w:rsidP="00D637F6">
            <w:pPr>
              <w:jc w:val="center"/>
              <w:rPr>
                <w:rFonts w:ascii="Calibri" w:hAnsi="Calibri" w:cs="Calibri"/>
                <w:b/>
                <w:bCs/>
                <w:color w:val="FFFFFF"/>
                <w:sz w:val="18"/>
                <w:szCs w:val="18"/>
              </w:rPr>
            </w:pPr>
            <w:r>
              <w:rPr>
                <w:rFonts w:ascii="Calibri" w:hAnsi="Calibri" w:cs="Calibri"/>
                <w:b/>
                <w:bCs/>
                <w:color w:val="FFFFFF"/>
                <w:sz w:val="18"/>
                <w:szCs w:val="18"/>
              </w:rPr>
              <w:t>2024-25</w:t>
            </w:r>
          </w:p>
        </w:tc>
      </w:tr>
      <w:tr w:rsidR="001A2A2B" w14:paraId="3BF6D0F5" w14:textId="77777777" w:rsidTr="00777ACE">
        <w:trPr>
          <w:trHeight w:val="117"/>
        </w:trPr>
        <w:tc>
          <w:tcPr>
            <w:tcW w:w="1776" w:type="dxa"/>
            <w:tcBorders>
              <w:top w:val="single" w:sz="8" w:space="0" w:color="4F81BD"/>
              <w:left w:val="single" w:sz="8" w:space="0" w:color="4F81BD"/>
              <w:bottom w:val="single" w:sz="8" w:space="0" w:color="95B3D7"/>
              <w:right w:val="single" w:sz="8" w:space="0" w:color="95B3D7"/>
            </w:tcBorders>
            <w:shd w:val="clear" w:color="auto" w:fill="auto"/>
            <w:vAlign w:val="center"/>
            <w:hideMark/>
          </w:tcPr>
          <w:p w14:paraId="335D97A0" w14:textId="77777777" w:rsidR="001A2A2B" w:rsidRDefault="001A2A2B" w:rsidP="00D637F6">
            <w:pPr>
              <w:spacing w:after="60"/>
              <w:rPr>
                <w:rFonts w:ascii="Calibri" w:hAnsi="Calibri" w:cs="Calibri"/>
                <w:color w:val="17365D"/>
                <w:sz w:val="20"/>
                <w:szCs w:val="20"/>
              </w:rPr>
            </w:pPr>
            <w:r>
              <w:rPr>
                <w:rFonts w:ascii="Calibri" w:hAnsi="Calibri" w:cs="Calibri"/>
                <w:color w:val="17365D"/>
                <w:sz w:val="20"/>
                <w:szCs w:val="20"/>
              </w:rPr>
              <w:t>Design Notification</w:t>
            </w:r>
          </w:p>
        </w:tc>
        <w:tc>
          <w:tcPr>
            <w:tcW w:w="955" w:type="dxa"/>
            <w:tcBorders>
              <w:top w:val="single" w:sz="8" w:space="0" w:color="4F81BD"/>
              <w:left w:val="nil"/>
              <w:bottom w:val="single" w:sz="8" w:space="0" w:color="95B3D7"/>
              <w:right w:val="single" w:sz="8" w:space="0" w:color="95B3D7"/>
            </w:tcBorders>
            <w:shd w:val="clear" w:color="auto" w:fill="auto"/>
            <w:vAlign w:val="center"/>
            <w:hideMark/>
          </w:tcPr>
          <w:p w14:paraId="288EAAC5"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0</w:t>
            </w:r>
          </w:p>
        </w:tc>
        <w:tc>
          <w:tcPr>
            <w:tcW w:w="955" w:type="dxa"/>
            <w:tcBorders>
              <w:top w:val="single" w:sz="8" w:space="0" w:color="4F81BD"/>
              <w:left w:val="nil"/>
              <w:bottom w:val="single" w:sz="8" w:space="0" w:color="95B3D7"/>
              <w:right w:val="single" w:sz="8" w:space="0" w:color="95B3D7"/>
            </w:tcBorders>
            <w:shd w:val="clear" w:color="auto" w:fill="auto"/>
            <w:vAlign w:val="center"/>
            <w:hideMark/>
          </w:tcPr>
          <w:p w14:paraId="043A12A6"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0</w:t>
            </w:r>
          </w:p>
        </w:tc>
        <w:tc>
          <w:tcPr>
            <w:tcW w:w="955" w:type="dxa"/>
            <w:tcBorders>
              <w:top w:val="single" w:sz="8" w:space="0" w:color="4F81BD"/>
              <w:left w:val="nil"/>
              <w:bottom w:val="single" w:sz="8" w:space="0" w:color="95B3D7"/>
              <w:right w:val="single" w:sz="8" w:space="0" w:color="95B3D7"/>
            </w:tcBorders>
            <w:shd w:val="clear" w:color="auto" w:fill="auto"/>
            <w:vAlign w:val="center"/>
            <w:hideMark/>
          </w:tcPr>
          <w:p w14:paraId="42EA1DEE"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1</w:t>
            </w:r>
          </w:p>
        </w:tc>
        <w:tc>
          <w:tcPr>
            <w:tcW w:w="1291" w:type="dxa"/>
            <w:tcBorders>
              <w:top w:val="nil"/>
              <w:left w:val="nil"/>
              <w:bottom w:val="single" w:sz="8" w:space="0" w:color="95B3D7"/>
              <w:right w:val="single" w:sz="8" w:space="0" w:color="95B3D7"/>
            </w:tcBorders>
            <w:shd w:val="clear" w:color="auto" w:fill="auto"/>
            <w:vAlign w:val="center"/>
            <w:hideMark/>
          </w:tcPr>
          <w:p w14:paraId="2A8B1312"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$10,000</w:t>
            </w:r>
          </w:p>
        </w:tc>
        <w:tc>
          <w:tcPr>
            <w:tcW w:w="1311" w:type="dxa"/>
            <w:tcBorders>
              <w:top w:val="nil"/>
              <w:left w:val="nil"/>
              <w:bottom w:val="single" w:sz="8" w:space="0" w:color="95B3D7"/>
              <w:right w:val="single" w:sz="8" w:space="0" w:color="95B3D7"/>
            </w:tcBorders>
            <w:shd w:val="clear" w:color="auto" w:fill="auto"/>
            <w:vAlign w:val="center"/>
            <w:hideMark/>
          </w:tcPr>
          <w:p w14:paraId="34676AB0"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$100,000</w:t>
            </w:r>
          </w:p>
        </w:tc>
        <w:tc>
          <w:tcPr>
            <w:tcW w:w="955" w:type="dxa"/>
            <w:tcBorders>
              <w:top w:val="single" w:sz="8" w:space="0" w:color="4F81BD"/>
              <w:left w:val="nil"/>
              <w:bottom w:val="single" w:sz="8" w:space="0" w:color="95B3D7"/>
              <w:right w:val="single" w:sz="8" w:space="0" w:color="95B3D7"/>
            </w:tcBorders>
            <w:shd w:val="clear" w:color="auto" w:fill="auto"/>
            <w:vAlign w:val="center"/>
            <w:hideMark/>
          </w:tcPr>
          <w:p w14:paraId="7E74B0E9"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$0</w:t>
            </w:r>
          </w:p>
        </w:tc>
        <w:tc>
          <w:tcPr>
            <w:tcW w:w="955" w:type="dxa"/>
            <w:tcBorders>
              <w:top w:val="single" w:sz="8" w:space="0" w:color="4F81BD"/>
              <w:left w:val="nil"/>
              <w:bottom w:val="single" w:sz="8" w:space="0" w:color="95B3D7"/>
              <w:right w:val="single" w:sz="8" w:space="0" w:color="95B3D7"/>
            </w:tcBorders>
            <w:shd w:val="clear" w:color="auto" w:fill="auto"/>
            <w:vAlign w:val="center"/>
            <w:hideMark/>
          </w:tcPr>
          <w:p w14:paraId="5DB3C5B7"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$0</w:t>
            </w:r>
          </w:p>
        </w:tc>
        <w:tc>
          <w:tcPr>
            <w:tcW w:w="1184" w:type="dxa"/>
            <w:tcBorders>
              <w:top w:val="single" w:sz="8" w:space="0" w:color="4F81BD"/>
              <w:left w:val="nil"/>
              <w:bottom w:val="single" w:sz="8" w:space="0" w:color="95B3D7"/>
              <w:right w:val="single" w:sz="8" w:space="0" w:color="4F81BD"/>
            </w:tcBorders>
            <w:shd w:val="clear" w:color="auto" w:fill="auto"/>
            <w:vAlign w:val="center"/>
            <w:hideMark/>
          </w:tcPr>
          <w:p w14:paraId="54B4ED0C"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$110,000</w:t>
            </w:r>
          </w:p>
        </w:tc>
      </w:tr>
      <w:tr w:rsidR="001A2A2B" w14:paraId="606CF019" w14:textId="77777777" w:rsidTr="00777ACE">
        <w:trPr>
          <w:trHeight w:val="265"/>
        </w:trPr>
        <w:tc>
          <w:tcPr>
            <w:tcW w:w="1776" w:type="dxa"/>
            <w:tcBorders>
              <w:top w:val="nil"/>
              <w:left w:val="single" w:sz="8" w:space="0" w:color="4F81BD"/>
              <w:bottom w:val="single" w:sz="8" w:space="0" w:color="95B3D7"/>
              <w:right w:val="single" w:sz="8" w:space="0" w:color="95B3D7"/>
            </w:tcBorders>
            <w:shd w:val="clear" w:color="000000" w:fill="DBE5F1"/>
            <w:vAlign w:val="center"/>
            <w:hideMark/>
          </w:tcPr>
          <w:p w14:paraId="06BB1A8E" w14:textId="77777777" w:rsidR="001A2A2B" w:rsidRDefault="001A2A2B" w:rsidP="00D637F6">
            <w:pPr>
              <w:spacing w:after="60"/>
              <w:rPr>
                <w:rFonts w:ascii="Calibri" w:hAnsi="Calibri" w:cs="Calibri"/>
                <w:color w:val="17365D"/>
                <w:sz w:val="20"/>
                <w:szCs w:val="20"/>
              </w:rPr>
            </w:pPr>
            <w:r>
              <w:rPr>
                <w:rFonts w:ascii="Calibri" w:hAnsi="Calibri" w:cs="Calibri"/>
                <w:color w:val="17365D"/>
                <w:sz w:val="20"/>
                <w:szCs w:val="20"/>
              </w:rPr>
              <w:t>Management Plan</w:t>
            </w:r>
          </w:p>
        </w:tc>
        <w:tc>
          <w:tcPr>
            <w:tcW w:w="955" w:type="dxa"/>
            <w:tcBorders>
              <w:top w:val="nil"/>
              <w:left w:val="nil"/>
              <w:bottom w:val="single" w:sz="8" w:space="0" w:color="95B3D7"/>
              <w:right w:val="single" w:sz="8" w:space="0" w:color="95B3D7"/>
            </w:tcBorders>
            <w:shd w:val="clear" w:color="000000" w:fill="DBE5F1"/>
            <w:vAlign w:val="center"/>
            <w:hideMark/>
          </w:tcPr>
          <w:p w14:paraId="52F65B01"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0</w:t>
            </w:r>
          </w:p>
        </w:tc>
        <w:tc>
          <w:tcPr>
            <w:tcW w:w="955" w:type="dxa"/>
            <w:tcBorders>
              <w:top w:val="nil"/>
              <w:left w:val="nil"/>
              <w:bottom w:val="single" w:sz="8" w:space="0" w:color="95B3D7"/>
              <w:right w:val="single" w:sz="8" w:space="0" w:color="95B3D7"/>
            </w:tcBorders>
            <w:shd w:val="clear" w:color="000000" w:fill="DBE5F1"/>
            <w:vAlign w:val="center"/>
            <w:hideMark/>
          </w:tcPr>
          <w:p w14:paraId="500E0FA7"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0</w:t>
            </w:r>
          </w:p>
        </w:tc>
        <w:tc>
          <w:tcPr>
            <w:tcW w:w="955" w:type="dxa"/>
            <w:tcBorders>
              <w:top w:val="nil"/>
              <w:left w:val="nil"/>
              <w:bottom w:val="single" w:sz="8" w:space="0" w:color="95B3D7"/>
              <w:right w:val="single" w:sz="8" w:space="0" w:color="95B3D7"/>
            </w:tcBorders>
            <w:shd w:val="clear" w:color="000000" w:fill="DBE5F1"/>
            <w:vAlign w:val="center"/>
            <w:hideMark/>
          </w:tcPr>
          <w:p w14:paraId="467B4EC9"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2</w:t>
            </w:r>
          </w:p>
        </w:tc>
        <w:tc>
          <w:tcPr>
            <w:tcW w:w="1291" w:type="dxa"/>
            <w:tcBorders>
              <w:top w:val="nil"/>
              <w:left w:val="nil"/>
              <w:bottom w:val="single" w:sz="8" w:space="0" w:color="95B3D7"/>
              <w:right w:val="single" w:sz="8" w:space="0" w:color="95B3D7"/>
            </w:tcBorders>
            <w:shd w:val="clear" w:color="000000" w:fill="DBE5F1"/>
            <w:vAlign w:val="center"/>
            <w:hideMark/>
          </w:tcPr>
          <w:p w14:paraId="038A5C0D"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$10,000</w:t>
            </w:r>
          </w:p>
        </w:tc>
        <w:tc>
          <w:tcPr>
            <w:tcW w:w="1311" w:type="dxa"/>
            <w:tcBorders>
              <w:top w:val="nil"/>
              <w:left w:val="nil"/>
              <w:bottom w:val="single" w:sz="8" w:space="0" w:color="95B3D7"/>
              <w:right w:val="single" w:sz="8" w:space="0" w:color="95B3D7"/>
            </w:tcBorders>
            <w:shd w:val="clear" w:color="000000" w:fill="DBE5F1"/>
            <w:vAlign w:val="center"/>
            <w:hideMark/>
          </w:tcPr>
          <w:p w14:paraId="6DFA08D4"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$100,000</w:t>
            </w:r>
          </w:p>
        </w:tc>
        <w:tc>
          <w:tcPr>
            <w:tcW w:w="955" w:type="dxa"/>
            <w:tcBorders>
              <w:top w:val="nil"/>
              <w:left w:val="nil"/>
              <w:bottom w:val="single" w:sz="8" w:space="0" w:color="95B3D7"/>
              <w:right w:val="single" w:sz="8" w:space="0" w:color="95B3D7"/>
            </w:tcBorders>
            <w:shd w:val="clear" w:color="000000" w:fill="DBE5F1"/>
            <w:vAlign w:val="center"/>
            <w:hideMark/>
          </w:tcPr>
          <w:p w14:paraId="2C31B05E"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$0</w:t>
            </w:r>
          </w:p>
        </w:tc>
        <w:tc>
          <w:tcPr>
            <w:tcW w:w="955" w:type="dxa"/>
            <w:tcBorders>
              <w:top w:val="nil"/>
              <w:left w:val="nil"/>
              <w:bottom w:val="single" w:sz="8" w:space="0" w:color="95B3D7"/>
              <w:right w:val="single" w:sz="8" w:space="0" w:color="95B3D7"/>
            </w:tcBorders>
            <w:shd w:val="clear" w:color="000000" w:fill="DBE5F1"/>
            <w:vAlign w:val="center"/>
            <w:hideMark/>
          </w:tcPr>
          <w:p w14:paraId="0947C9AA"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$0</w:t>
            </w:r>
          </w:p>
        </w:tc>
        <w:tc>
          <w:tcPr>
            <w:tcW w:w="1184" w:type="dxa"/>
            <w:tcBorders>
              <w:top w:val="nil"/>
              <w:left w:val="nil"/>
              <w:bottom w:val="single" w:sz="8" w:space="0" w:color="95B3D7"/>
              <w:right w:val="single" w:sz="8" w:space="0" w:color="4F81BD"/>
            </w:tcBorders>
            <w:shd w:val="clear" w:color="000000" w:fill="DBE5F1"/>
            <w:vAlign w:val="center"/>
            <w:hideMark/>
          </w:tcPr>
          <w:p w14:paraId="22102520"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$220,000</w:t>
            </w:r>
          </w:p>
        </w:tc>
      </w:tr>
      <w:tr w:rsidR="001A2A2B" w14:paraId="45A956D0" w14:textId="77777777" w:rsidTr="00777ACE">
        <w:trPr>
          <w:trHeight w:val="409"/>
        </w:trPr>
        <w:tc>
          <w:tcPr>
            <w:tcW w:w="1776" w:type="dxa"/>
            <w:tcBorders>
              <w:top w:val="nil"/>
              <w:left w:val="single" w:sz="8" w:space="0" w:color="4F81BD"/>
              <w:bottom w:val="single" w:sz="8" w:space="0" w:color="95B3D7"/>
              <w:right w:val="single" w:sz="8" w:space="0" w:color="95B3D7"/>
            </w:tcBorders>
            <w:shd w:val="clear" w:color="auto" w:fill="auto"/>
            <w:vAlign w:val="center"/>
            <w:hideMark/>
          </w:tcPr>
          <w:p w14:paraId="4E43E71E" w14:textId="77777777" w:rsidR="001A2A2B" w:rsidRDefault="001A2A2B" w:rsidP="00D637F6">
            <w:pPr>
              <w:spacing w:after="60"/>
              <w:rPr>
                <w:rFonts w:ascii="Calibri" w:hAnsi="Calibri" w:cs="Calibri"/>
                <w:color w:val="17365D"/>
                <w:sz w:val="20"/>
                <w:szCs w:val="20"/>
              </w:rPr>
            </w:pPr>
            <w:r>
              <w:rPr>
                <w:rFonts w:ascii="Calibri" w:hAnsi="Calibri" w:cs="Calibri"/>
                <w:color w:val="17365D"/>
                <w:sz w:val="20"/>
                <w:szCs w:val="20"/>
              </w:rPr>
              <w:t>Management Plan Revision</w:t>
            </w:r>
          </w:p>
        </w:tc>
        <w:tc>
          <w:tcPr>
            <w:tcW w:w="955" w:type="dxa"/>
            <w:tcBorders>
              <w:top w:val="nil"/>
              <w:left w:val="nil"/>
              <w:bottom w:val="single" w:sz="8" w:space="0" w:color="95B3D7"/>
              <w:right w:val="single" w:sz="8" w:space="0" w:color="95B3D7"/>
            </w:tcBorders>
            <w:shd w:val="clear" w:color="auto" w:fill="auto"/>
            <w:vAlign w:val="center"/>
            <w:hideMark/>
          </w:tcPr>
          <w:p w14:paraId="1E06434A"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0</w:t>
            </w:r>
          </w:p>
        </w:tc>
        <w:tc>
          <w:tcPr>
            <w:tcW w:w="955" w:type="dxa"/>
            <w:tcBorders>
              <w:top w:val="nil"/>
              <w:left w:val="nil"/>
              <w:bottom w:val="single" w:sz="8" w:space="0" w:color="95B3D7"/>
              <w:right w:val="single" w:sz="8" w:space="0" w:color="95B3D7"/>
            </w:tcBorders>
            <w:shd w:val="clear" w:color="auto" w:fill="auto"/>
            <w:vAlign w:val="center"/>
            <w:hideMark/>
          </w:tcPr>
          <w:p w14:paraId="71503C1B"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0</w:t>
            </w:r>
          </w:p>
        </w:tc>
        <w:tc>
          <w:tcPr>
            <w:tcW w:w="955" w:type="dxa"/>
            <w:tcBorders>
              <w:top w:val="nil"/>
              <w:left w:val="nil"/>
              <w:bottom w:val="single" w:sz="8" w:space="0" w:color="95B3D7"/>
              <w:right w:val="single" w:sz="8" w:space="0" w:color="95B3D7"/>
            </w:tcBorders>
            <w:shd w:val="clear" w:color="auto" w:fill="auto"/>
            <w:vAlign w:val="center"/>
            <w:hideMark/>
          </w:tcPr>
          <w:p w14:paraId="2E1EC9ED"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0</w:t>
            </w:r>
          </w:p>
        </w:tc>
        <w:tc>
          <w:tcPr>
            <w:tcW w:w="1291" w:type="dxa"/>
            <w:tcBorders>
              <w:top w:val="nil"/>
              <w:left w:val="nil"/>
              <w:bottom w:val="single" w:sz="8" w:space="0" w:color="95B3D7"/>
              <w:right w:val="single" w:sz="8" w:space="0" w:color="95B3D7"/>
            </w:tcBorders>
            <w:shd w:val="clear" w:color="auto" w:fill="auto"/>
            <w:vAlign w:val="center"/>
            <w:hideMark/>
          </w:tcPr>
          <w:p w14:paraId="6E355526"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$10,000</w:t>
            </w:r>
          </w:p>
        </w:tc>
        <w:tc>
          <w:tcPr>
            <w:tcW w:w="1311" w:type="dxa"/>
            <w:tcBorders>
              <w:top w:val="nil"/>
              <w:left w:val="nil"/>
              <w:bottom w:val="single" w:sz="8" w:space="0" w:color="95B3D7"/>
              <w:right w:val="single" w:sz="8" w:space="0" w:color="95B3D7"/>
            </w:tcBorders>
            <w:shd w:val="clear" w:color="auto" w:fill="auto"/>
            <w:vAlign w:val="center"/>
            <w:hideMark/>
          </w:tcPr>
          <w:p w14:paraId="0F107AA9"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$100,000</w:t>
            </w:r>
          </w:p>
        </w:tc>
        <w:tc>
          <w:tcPr>
            <w:tcW w:w="955" w:type="dxa"/>
            <w:tcBorders>
              <w:top w:val="nil"/>
              <w:left w:val="nil"/>
              <w:bottom w:val="single" w:sz="8" w:space="0" w:color="95B3D7"/>
              <w:right w:val="single" w:sz="8" w:space="0" w:color="95B3D7"/>
            </w:tcBorders>
            <w:shd w:val="clear" w:color="auto" w:fill="auto"/>
            <w:vAlign w:val="center"/>
            <w:hideMark/>
          </w:tcPr>
          <w:p w14:paraId="063E4F95"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$0</w:t>
            </w:r>
          </w:p>
        </w:tc>
        <w:tc>
          <w:tcPr>
            <w:tcW w:w="955" w:type="dxa"/>
            <w:tcBorders>
              <w:top w:val="nil"/>
              <w:left w:val="nil"/>
              <w:bottom w:val="single" w:sz="8" w:space="0" w:color="95B3D7"/>
              <w:right w:val="single" w:sz="8" w:space="0" w:color="95B3D7"/>
            </w:tcBorders>
            <w:shd w:val="clear" w:color="auto" w:fill="auto"/>
            <w:vAlign w:val="center"/>
            <w:hideMark/>
          </w:tcPr>
          <w:p w14:paraId="1F7FC4B9"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$0</w:t>
            </w:r>
          </w:p>
        </w:tc>
        <w:tc>
          <w:tcPr>
            <w:tcW w:w="1184" w:type="dxa"/>
            <w:tcBorders>
              <w:top w:val="nil"/>
              <w:left w:val="nil"/>
              <w:bottom w:val="single" w:sz="8" w:space="0" w:color="95B3D7"/>
              <w:right w:val="single" w:sz="8" w:space="0" w:color="4F81BD"/>
            </w:tcBorders>
            <w:shd w:val="clear" w:color="auto" w:fill="auto"/>
            <w:vAlign w:val="center"/>
            <w:hideMark/>
          </w:tcPr>
          <w:p w14:paraId="03AAAC87"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$0</w:t>
            </w:r>
          </w:p>
        </w:tc>
      </w:tr>
      <w:tr w:rsidR="001A2A2B" w14:paraId="4D2B95FC" w14:textId="77777777" w:rsidTr="00777ACE">
        <w:trPr>
          <w:trHeight w:val="60"/>
        </w:trPr>
        <w:tc>
          <w:tcPr>
            <w:tcW w:w="1776" w:type="dxa"/>
            <w:tcBorders>
              <w:top w:val="nil"/>
              <w:left w:val="single" w:sz="8" w:space="0" w:color="4F81BD"/>
              <w:bottom w:val="single" w:sz="8" w:space="0" w:color="95B3D7"/>
              <w:right w:val="single" w:sz="8" w:space="0" w:color="95B3D7"/>
            </w:tcBorders>
            <w:shd w:val="clear" w:color="000000" w:fill="DBE5F1"/>
            <w:vAlign w:val="center"/>
            <w:hideMark/>
          </w:tcPr>
          <w:p w14:paraId="0C744401" w14:textId="77777777" w:rsidR="001A2A2B" w:rsidRDefault="001A2A2B" w:rsidP="00D637F6">
            <w:pPr>
              <w:spacing w:after="60"/>
              <w:rPr>
                <w:rFonts w:ascii="Calibri" w:hAnsi="Calibri" w:cs="Calibri"/>
                <w:color w:val="17365D"/>
                <w:sz w:val="20"/>
                <w:szCs w:val="20"/>
              </w:rPr>
            </w:pPr>
            <w:r>
              <w:rPr>
                <w:rFonts w:ascii="Calibri" w:hAnsi="Calibri" w:cs="Calibri"/>
                <w:color w:val="17365D"/>
                <w:sz w:val="20"/>
                <w:szCs w:val="20"/>
              </w:rPr>
              <w:t>Safety Zone</w:t>
            </w:r>
          </w:p>
        </w:tc>
        <w:tc>
          <w:tcPr>
            <w:tcW w:w="955" w:type="dxa"/>
            <w:tcBorders>
              <w:top w:val="nil"/>
              <w:left w:val="nil"/>
              <w:bottom w:val="single" w:sz="8" w:space="0" w:color="95B3D7"/>
              <w:right w:val="single" w:sz="8" w:space="0" w:color="95B3D7"/>
            </w:tcBorders>
            <w:shd w:val="clear" w:color="000000" w:fill="DBE5F1"/>
            <w:vAlign w:val="center"/>
            <w:hideMark/>
          </w:tcPr>
          <w:p w14:paraId="6361970E"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0</w:t>
            </w:r>
          </w:p>
        </w:tc>
        <w:tc>
          <w:tcPr>
            <w:tcW w:w="955" w:type="dxa"/>
            <w:tcBorders>
              <w:top w:val="nil"/>
              <w:left w:val="nil"/>
              <w:bottom w:val="single" w:sz="8" w:space="0" w:color="95B3D7"/>
              <w:right w:val="single" w:sz="8" w:space="0" w:color="95B3D7"/>
            </w:tcBorders>
            <w:shd w:val="clear" w:color="000000" w:fill="DBE5F1"/>
            <w:vAlign w:val="center"/>
            <w:hideMark/>
          </w:tcPr>
          <w:p w14:paraId="31ECD2DF"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0</w:t>
            </w:r>
          </w:p>
        </w:tc>
        <w:tc>
          <w:tcPr>
            <w:tcW w:w="955" w:type="dxa"/>
            <w:tcBorders>
              <w:top w:val="nil"/>
              <w:left w:val="nil"/>
              <w:bottom w:val="single" w:sz="8" w:space="0" w:color="95B3D7"/>
              <w:right w:val="single" w:sz="8" w:space="0" w:color="95B3D7"/>
            </w:tcBorders>
            <w:shd w:val="clear" w:color="000000" w:fill="DBE5F1"/>
            <w:vAlign w:val="center"/>
            <w:hideMark/>
          </w:tcPr>
          <w:p w14:paraId="6562863B"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1</w:t>
            </w:r>
          </w:p>
        </w:tc>
        <w:tc>
          <w:tcPr>
            <w:tcW w:w="1291" w:type="dxa"/>
            <w:tcBorders>
              <w:top w:val="nil"/>
              <w:left w:val="nil"/>
              <w:bottom w:val="single" w:sz="8" w:space="0" w:color="95B3D7"/>
              <w:right w:val="single" w:sz="8" w:space="0" w:color="95B3D7"/>
            </w:tcBorders>
            <w:shd w:val="clear" w:color="000000" w:fill="DBE5F1"/>
            <w:vAlign w:val="center"/>
            <w:hideMark/>
          </w:tcPr>
          <w:p w14:paraId="0FC481BE"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$10,000</w:t>
            </w:r>
          </w:p>
        </w:tc>
        <w:tc>
          <w:tcPr>
            <w:tcW w:w="1311" w:type="dxa"/>
            <w:tcBorders>
              <w:top w:val="nil"/>
              <w:left w:val="nil"/>
              <w:bottom w:val="single" w:sz="8" w:space="0" w:color="95B3D7"/>
              <w:right w:val="single" w:sz="8" w:space="0" w:color="95B3D7"/>
            </w:tcBorders>
            <w:shd w:val="clear" w:color="000000" w:fill="DBE5F1"/>
            <w:vAlign w:val="center"/>
            <w:hideMark/>
          </w:tcPr>
          <w:p w14:paraId="00B2169E"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$100,000</w:t>
            </w:r>
          </w:p>
        </w:tc>
        <w:tc>
          <w:tcPr>
            <w:tcW w:w="955" w:type="dxa"/>
            <w:tcBorders>
              <w:top w:val="nil"/>
              <w:left w:val="nil"/>
              <w:bottom w:val="single" w:sz="8" w:space="0" w:color="95B3D7"/>
              <w:right w:val="single" w:sz="8" w:space="0" w:color="95B3D7"/>
            </w:tcBorders>
            <w:shd w:val="clear" w:color="000000" w:fill="DBE5F1"/>
            <w:vAlign w:val="center"/>
            <w:hideMark/>
          </w:tcPr>
          <w:p w14:paraId="4B1A4E8A"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$0</w:t>
            </w:r>
          </w:p>
        </w:tc>
        <w:tc>
          <w:tcPr>
            <w:tcW w:w="955" w:type="dxa"/>
            <w:tcBorders>
              <w:top w:val="nil"/>
              <w:left w:val="nil"/>
              <w:bottom w:val="single" w:sz="8" w:space="0" w:color="95B3D7"/>
              <w:right w:val="single" w:sz="8" w:space="0" w:color="95B3D7"/>
            </w:tcBorders>
            <w:shd w:val="clear" w:color="000000" w:fill="DBE5F1"/>
            <w:vAlign w:val="center"/>
            <w:hideMark/>
          </w:tcPr>
          <w:p w14:paraId="4B43E53E"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$0</w:t>
            </w:r>
          </w:p>
        </w:tc>
        <w:tc>
          <w:tcPr>
            <w:tcW w:w="1184" w:type="dxa"/>
            <w:tcBorders>
              <w:top w:val="nil"/>
              <w:left w:val="nil"/>
              <w:bottom w:val="single" w:sz="8" w:space="0" w:color="95B3D7"/>
              <w:right w:val="single" w:sz="8" w:space="0" w:color="4F81BD"/>
            </w:tcBorders>
            <w:shd w:val="clear" w:color="000000" w:fill="DBE5F1"/>
            <w:vAlign w:val="center"/>
            <w:hideMark/>
          </w:tcPr>
          <w:p w14:paraId="06BE4A0D"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$110,000</w:t>
            </w:r>
          </w:p>
        </w:tc>
      </w:tr>
      <w:tr w:rsidR="001A2A2B" w14:paraId="55F689E2" w14:textId="77777777" w:rsidTr="00777ACE">
        <w:trPr>
          <w:trHeight w:val="65"/>
        </w:trPr>
        <w:tc>
          <w:tcPr>
            <w:tcW w:w="1776" w:type="dxa"/>
            <w:tcBorders>
              <w:top w:val="nil"/>
              <w:left w:val="single" w:sz="8" w:space="0" w:color="4F81BD"/>
              <w:bottom w:val="single" w:sz="8" w:space="0" w:color="95B3D7"/>
              <w:right w:val="single" w:sz="8" w:space="0" w:color="95B3D7"/>
            </w:tcBorders>
            <w:shd w:val="clear" w:color="auto" w:fill="auto"/>
            <w:vAlign w:val="center"/>
            <w:hideMark/>
          </w:tcPr>
          <w:p w14:paraId="1C25C668" w14:textId="77777777" w:rsidR="001A2A2B" w:rsidRDefault="001A2A2B" w:rsidP="00D637F6">
            <w:pPr>
              <w:spacing w:after="60"/>
              <w:rPr>
                <w:rFonts w:ascii="Calibri" w:hAnsi="Calibri" w:cs="Calibri"/>
                <w:color w:val="17365D"/>
                <w:sz w:val="20"/>
                <w:szCs w:val="20"/>
              </w:rPr>
            </w:pPr>
            <w:r>
              <w:rPr>
                <w:rFonts w:ascii="Calibri" w:hAnsi="Calibri" w:cs="Calibri"/>
                <w:color w:val="17365D"/>
                <w:sz w:val="20"/>
                <w:szCs w:val="20"/>
              </w:rPr>
              <w:t>Protection Zone</w:t>
            </w:r>
          </w:p>
        </w:tc>
        <w:tc>
          <w:tcPr>
            <w:tcW w:w="955" w:type="dxa"/>
            <w:tcBorders>
              <w:top w:val="nil"/>
              <w:left w:val="nil"/>
              <w:bottom w:val="single" w:sz="8" w:space="0" w:color="95B3D7"/>
              <w:right w:val="single" w:sz="8" w:space="0" w:color="95B3D7"/>
            </w:tcBorders>
            <w:shd w:val="clear" w:color="auto" w:fill="auto"/>
            <w:vAlign w:val="center"/>
            <w:hideMark/>
          </w:tcPr>
          <w:p w14:paraId="70393FCC"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0</w:t>
            </w:r>
          </w:p>
        </w:tc>
        <w:tc>
          <w:tcPr>
            <w:tcW w:w="955" w:type="dxa"/>
            <w:tcBorders>
              <w:top w:val="nil"/>
              <w:left w:val="nil"/>
              <w:bottom w:val="single" w:sz="8" w:space="0" w:color="95B3D7"/>
              <w:right w:val="single" w:sz="8" w:space="0" w:color="95B3D7"/>
            </w:tcBorders>
            <w:shd w:val="clear" w:color="auto" w:fill="auto"/>
            <w:vAlign w:val="center"/>
            <w:hideMark/>
          </w:tcPr>
          <w:p w14:paraId="5F5161E7"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0</w:t>
            </w:r>
          </w:p>
        </w:tc>
        <w:tc>
          <w:tcPr>
            <w:tcW w:w="955" w:type="dxa"/>
            <w:tcBorders>
              <w:top w:val="nil"/>
              <w:left w:val="nil"/>
              <w:bottom w:val="single" w:sz="8" w:space="0" w:color="95B3D7"/>
              <w:right w:val="single" w:sz="8" w:space="0" w:color="95B3D7"/>
            </w:tcBorders>
            <w:shd w:val="clear" w:color="auto" w:fill="auto"/>
            <w:vAlign w:val="center"/>
            <w:hideMark/>
          </w:tcPr>
          <w:p w14:paraId="5025D13B"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1</w:t>
            </w:r>
          </w:p>
        </w:tc>
        <w:tc>
          <w:tcPr>
            <w:tcW w:w="1291" w:type="dxa"/>
            <w:tcBorders>
              <w:top w:val="nil"/>
              <w:left w:val="nil"/>
              <w:bottom w:val="single" w:sz="8" w:space="0" w:color="95B3D7"/>
              <w:right w:val="single" w:sz="8" w:space="0" w:color="95B3D7"/>
            </w:tcBorders>
            <w:shd w:val="clear" w:color="auto" w:fill="auto"/>
            <w:vAlign w:val="center"/>
            <w:hideMark/>
          </w:tcPr>
          <w:p w14:paraId="55D89701"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$10,000</w:t>
            </w:r>
          </w:p>
        </w:tc>
        <w:tc>
          <w:tcPr>
            <w:tcW w:w="1311" w:type="dxa"/>
            <w:tcBorders>
              <w:top w:val="nil"/>
              <w:left w:val="nil"/>
              <w:bottom w:val="single" w:sz="8" w:space="0" w:color="95B3D7"/>
              <w:right w:val="single" w:sz="8" w:space="0" w:color="95B3D7"/>
            </w:tcBorders>
            <w:shd w:val="clear" w:color="auto" w:fill="auto"/>
            <w:vAlign w:val="center"/>
            <w:hideMark/>
          </w:tcPr>
          <w:p w14:paraId="7125E1A5"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$100,000</w:t>
            </w:r>
          </w:p>
        </w:tc>
        <w:tc>
          <w:tcPr>
            <w:tcW w:w="955" w:type="dxa"/>
            <w:tcBorders>
              <w:top w:val="nil"/>
              <w:left w:val="nil"/>
              <w:bottom w:val="single" w:sz="8" w:space="0" w:color="95B3D7"/>
              <w:right w:val="single" w:sz="8" w:space="0" w:color="95B3D7"/>
            </w:tcBorders>
            <w:shd w:val="clear" w:color="auto" w:fill="auto"/>
            <w:vAlign w:val="center"/>
            <w:hideMark/>
          </w:tcPr>
          <w:p w14:paraId="554E6071"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$0</w:t>
            </w:r>
          </w:p>
        </w:tc>
        <w:tc>
          <w:tcPr>
            <w:tcW w:w="955" w:type="dxa"/>
            <w:tcBorders>
              <w:top w:val="nil"/>
              <w:left w:val="nil"/>
              <w:bottom w:val="single" w:sz="8" w:space="0" w:color="95B3D7"/>
              <w:right w:val="single" w:sz="8" w:space="0" w:color="95B3D7"/>
            </w:tcBorders>
            <w:shd w:val="clear" w:color="auto" w:fill="auto"/>
            <w:vAlign w:val="center"/>
            <w:hideMark/>
          </w:tcPr>
          <w:p w14:paraId="3AD69F4D"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$0</w:t>
            </w:r>
          </w:p>
        </w:tc>
        <w:tc>
          <w:tcPr>
            <w:tcW w:w="1184" w:type="dxa"/>
            <w:tcBorders>
              <w:top w:val="nil"/>
              <w:left w:val="nil"/>
              <w:bottom w:val="single" w:sz="8" w:space="0" w:color="95B3D7"/>
              <w:right w:val="single" w:sz="8" w:space="0" w:color="4F81BD"/>
            </w:tcBorders>
            <w:shd w:val="clear" w:color="auto" w:fill="auto"/>
            <w:vAlign w:val="center"/>
            <w:hideMark/>
          </w:tcPr>
          <w:p w14:paraId="56AA150D" w14:textId="77777777" w:rsidR="001A2A2B" w:rsidRDefault="001A2A2B" w:rsidP="00D637F6">
            <w:pPr>
              <w:spacing w:after="60"/>
              <w:jc w:val="center"/>
              <w:rPr>
                <w:rFonts w:ascii="Calibri" w:hAnsi="Calibri" w:cs="Calibri"/>
                <w:color w:val="17365D"/>
                <w:sz w:val="20"/>
                <w:szCs w:val="20"/>
              </w:rPr>
            </w:pPr>
            <w:r>
              <w:rPr>
                <w:rFonts w:ascii="Calibri" w:hAnsi="Calibri" w:cs="Calibri"/>
                <w:color w:val="17365D"/>
                <w:sz w:val="20"/>
                <w:szCs w:val="20"/>
              </w:rPr>
              <w:t>$110,000</w:t>
            </w:r>
          </w:p>
        </w:tc>
      </w:tr>
      <w:tr w:rsidR="001A2A2B" w14:paraId="43E3A0F6" w14:textId="77777777" w:rsidTr="00777ACE">
        <w:trPr>
          <w:trHeight w:val="270"/>
        </w:trPr>
        <w:tc>
          <w:tcPr>
            <w:tcW w:w="1776" w:type="dxa"/>
            <w:tcBorders>
              <w:top w:val="nil"/>
              <w:left w:val="single" w:sz="8" w:space="0" w:color="4F81BD"/>
              <w:bottom w:val="single" w:sz="8" w:space="0" w:color="95B3D7"/>
              <w:right w:val="single" w:sz="8" w:space="0" w:color="95B3D7"/>
            </w:tcBorders>
            <w:shd w:val="clear" w:color="000000" w:fill="DBE5F1"/>
            <w:vAlign w:val="center"/>
            <w:hideMark/>
          </w:tcPr>
          <w:p w14:paraId="6E148E19" w14:textId="49F9A20D" w:rsidR="001A2A2B" w:rsidRDefault="00EF683E" w:rsidP="00D637F6">
            <w:pPr>
              <w:rPr>
                <w:rFonts w:ascii="Calibri" w:hAnsi="Calibri" w:cs="Calibri"/>
                <w:b/>
                <w:bCs/>
                <w:color w:val="17365D"/>
                <w:sz w:val="20"/>
                <w:szCs w:val="20"/>
              </w:rPr>
            </w:pPr>
            <w:r>
              <w:rPr>
                <w:rFonts w:ascii="Calibri" w:hAnsi="Calibri" w:cs="Calibri"/>
                <w:b/>
                <w:bCs/>
                <w:color w:val="17365D"/>
                <w:sz w:val="20"/>
                <w:szCs w:val="20"/>
              </w:rPr>
              <w:t>Total Fee</w:t>
            </w:r>
            <w:r w:rsidR="001A2A2B">
              <w:rPr>
                <w:rFonts w:ascii="Calibri" w:hAnsi="Calibri" w:cs="Calibri"/>
                <w:b/>
                <w:bCs/>
                <w:color w:val="17365D"/>
                <w:sz w:val="20"/>
                <w:szCs w:val="20"/>
              </w:rPr>
              <w:t xml:space="preserve"> Estimate</w:t>
            </w:r>
          </w:p>
        </w:tc>
        <w:tc>
          <w:tcPr>
            <w:tcW w:w="955" w:type="dxa"/>
            <w:tcBorders>
              <w:top w:val="nil"/>
              <w:left w:val="nil"/>
              <w:bottom w:val="single" w:sz="8" w:space="0" w:color="95B3D7"/>
              <w:right w:val="single" w:sz="8" w:space="0" w:color="95B3D7"/>
            </w:tcBorders>
            <w:shd w:val="clear" w:color="000000" w:fill="DBE5F1"/>
            <w:vAlign w:val="center"/>
            <w:hideMark/>
          </w:tcPr>
          <w:p w14:paraId="259C3D9C" w14:textId="77777777" w:rsidR="001A2A2B" w:rsidRDefault="001A2A2B" w:rsidP="00D637F6">
            <w:pPr>
              <w:jc w:val="center"/>
              <w:rPr>
                <w:rFonts w:ascii="Calibri" w:hAnsi="Calibri" w:cs="Calibri"/>
                <w:color w:val="17365D"/>
                <w:sz w:val="20"/>
                <w:szCs w:val="20"/>
              </w:rPr>
            </w:pPr>
            <w:r>
              <w:rPr>
                <w:rFonts w:ascii="Calibri" w:hAnsi="Calibri" w:cs="Calibri"/>
                <w:color w:val="17365D"/>
                <w:sz w:val="20"/>
                <w:szCs w:val="20"/>
              </w:rPr>
              <w:t> </w:t>
            </w:r>
          </w:p>
        </w:tc>
        <w:tc>
          <w:tcPr>
            <w:tcW w:w="955" w:type="dxa"/>
            <w:tcBorders>
              <w:top w:val="nil"/>
              <w:left w:val="nil"/>
              <w:bottom w:val="single" w:sz="8" w:space="0" w:color="95B3D7"/>
              <w:right w:val="single" w:sz="8" w:space="0" w:color="95B3D7"/>
            </w:tcBorders>
            <w:shd w:val="clear" w:color="000000" w:fill="DBE5F1"/>
            <w:vAlign w:val="center"/>
            <w:hideMark/>
          </w:tcPr>
          <w:p w14:paraId="75F44C21" w14:textId="77777777" w:rsidR="001A2A2B" w:rsidRDefault="001A2A2B" w:rsidP="00D637F6">
            <w:pPr>
              <w:jc w:val="center"/>
              <w:rPr>
                <w:rFonts w:ascii="Calibri" w:hAnsi="Calibri" w:cs="Calibri"/>
                <w:color w:val="17365D"/>
                <w:sz w:val="20"/>
                <w:szCs w:val="20"/>
              </w:rPr>
            </w:pPr>
            <w:r>
              <w:rPr>
                <w:rFonts w:ascii="Calibri" w:hAnsi="Calibri" w:cs="Calibri"/>
                <w:color w:val="17365D"/>
                <w:sz w:val="20"/>
                <w:szCs w:val="20"/>
              </w:rPr>
              <w:t> </w:t>
            </w:r>
          </w:p>
        </w:tc>
        <w:tc>
          <w:tcPr>
            <w:tcW w:w="955" w:type="dxa"/>
            <w:tcBorders>
              <w:top w:val="nil"/>
              <w:left w:val="nil"/>
              <w:bottom w:val="single" w:sz="8" w:space="0" w:color="95B3D7"/>
              <w:right w:val="single" w:sz="8" w:space="0" w:color="95B3D7"/>
            </w:tcBorders>
            <w:shd w:val="clear" w:color="000000" w:fill="DBE5F1"/>
            <w:vAlign w:val="center"/>
            <w:hideMark/>
          </w:tcPr>
          <w:p w14:paraId="3819929D" w14:textId="77777777" w:rsidR="001A2A2B" w:rsidRDefault="001A2A2B" w:rsidP="00D637F6">
            <w:pPr>
              <w:jc w:val="center"/>
              <w:rPr>
                <w:rFonts w:ascii="Calibri" w:hAnsi="Calibri" w:cs="Calibri"/>
                <w:color w:val="17365D"/>
                <w:sz w:val="20"/>
                <w:szCs w:val="20"/>
              </w:rPr>
            </w:pPr>
            <w:r>
              <w:rPr>
                <w:rFonts w:ascii="Calibri" w:hAnsi="Calibri" w:cs="Calibri"/>
                <w:color w:val="17365D"/>
                <w:sz w:val="20"/>
                <w:szCs w:val="20"/>
              </w:rPr>
              <w:t> </w:t>
            </w:r>
          </w:p>
        </w:tc>
        <w:tc>
          <w:tcPr>
            <w:tcW w:w="1291" w:type="dxa"/>
            <w:tcBorders>
              <w:top w:val="nil"/>
              <w:left w:val="nil"/>
              <w:bottom w:val="single" w:sz="8" w:space="0" w:color="95B3D7"/>
              <w:right w:val="single" w:sz="8" w:space="0" w:color="95B3D7"/>
            </w:tcBorders>
            <w:shd w:val="clear" w:color="000000" w:fill="DBE5F1"/>
            <w:vAlign w:val="center"/>
            <w:hideMark/>
          </w:tcPr>
          <w:p w14:paraId="481A57FE" w14:textId="77777777" w:rsidR="001A2A2B" w:rsidRDefault="001A2A2B" w:rsidP="00D637F6">
            <w:pPr>
              <w:rPr>
                <w:rFonts w:ascii="Calibri" w:hAnsi="Calibri" w:cs="Calibri"/>
                <w:color w:val="17365D"/>
                <w:sz w:val="20"/>
                <w:szCs w:val="20"/>
              </w:rPr>
            </w:pPr>
            <w:r>
              <w:rPr>
                <w:rFonts w:ascii="Calibri" w:hAnsi="Calibri" w:cs="Calibri"/>
                <w:color w:val="17365D"/>
                <w:sz w:val="20"/>
                <w:szCs w:val="20"/>
              </w:rPr>
              <w:t> </w:t>
            </w:r>
          </w:p>
        </w:tc>
        <w:tc>
          <w:tcPr>
            <w:tcW w:w="1311" w:type="dxa"/>
            <w:tcBorders>
              <w:top w:val="nil"/>
              <w:left w:val="nil"/>
              <w:bottom w:val="single" w:sz="8" w:space="0" w:color="95B3D7"/>
              <w:right w:val="single" w:sz="8" w:space="0" w:color="95B3D7"/>
            </w:tcBorders>
            <w:shd w:val="clear" w:color="000000" w:fill="DBE5F1"/>
            <w:vAlign w:val="center"/>
            <w:hideMark/>
          </w:tcPr>
          <w:p w14:paraId="35AE85A3" w14:textId="77777777" w:rsidR="001A2A2B" w:rsidRDefault="001A2A2B" w:rsidP="00D637F6">
            <w:pPr>
              <w:jc w:val="center"/>
              <w:rPr>
                <w:rFonts w:ascii="Calibri" w:hAnsi="Calibri" w:cs="Calibri"/>
                <w:b/>
                <w:bCs/>
                <w:color w:val="17365D"/>
                <w:sz w:val="20"/>
                <w:szCs w:val="20"/>
              </w:rPr>
            </w:pPr>
            <w:r>
              <w:rPr>
                <w:rFonts w:ascii="Calibri" w:hAnsi="Calibri" w:cs="Calibri"/>
                <w:b/>
                <w:bCs/>
                <w:color w:val="17365D"/>
                <w:sz w:val="20"/>
                <w:szCs w:val="20"/>
              </w:rPr>
              <w:t> </w:t>
            </w:r>
          </w:p>
        </w:tc>
        <w:tc>
          <w:tcPr>
            <w:tcW w:w="955" w:type="dxa"/>
            <w:tcBorders>
              <w:top w:val="nil"/>
              <w:left w:val="nil"/>
              <w:bottom w:val="single" w:sz="8" w:space="0" w:color="95B3D7"/>
              <w:right w:val="single" w:sz="8" w:space="0" w:color="95B3D7"/>
            </w:tcBorders>
            <w:shd w:val="clear" w:color="000000" w:fill="DBE5F1"/>
            <w:vAlign w:val="center"/>
            <w:hideMark/>
          </w:tcPr>
          <w:p w14:paraId="03499A4E" w14:textId="77777777" w:rsidR="001A2A2B" w:rsidRDefault="001A2A2B" w:rsidP="00D637F6">
            <w:pPr>
              <w:jc w:val="center"/>
              <w:rPr>
                <w:rFonts w:ascii="Calibri" w:hAnsi="Calibri" w:cs="Calibri"/>
                <w:b/>
                <w:bCs/>
                <w:color w:val="17365D"/>
                <w:sz w:val="20"/>
                <w:szCs w:val="20"/>
              </w:rPr>
            </w:pPr>
            <w:r>
              <w:rPr>
                <w:rFonts w:ascii="Calibri" w:hAnsi="Calibri" w:cs="Calibri"/>
                <w:b/>
                <w:bCs/>
                <w:color w:val="17365D"/>
                <w:sz w:val="20"/>
                <w:szCs w:val="20"/>
              </w:rPr>
              <w:t>$0</w:t>
            </w:r>
          </w:p>
        </w:tc>
        <w:tc>
          <w:tcPr>
            <w:tcW w:w="955" w:type="dxa"/>
            <w:tcBorders>
              <w:top w:val="nil"/>
              <w:left w:val="nil"/>
              <w:bottom w:val="single" w:sz="8" w:space="0" w:color="95B3D7"/>
              <w:right w:val="single" w:sz="8" w:space="0" w:color="95B3D7"/>
            </w:tcBorders>
            <w:shd w:val="clear" w:color="000000" w:fill="DBE5F1"/>
            <w:vAlign w:val="center"/>
            <w:hideMark/>
          </w:tcPr>
          <w:p w14:paraId="39B15EE1" w14:textId="77777777" w:rsidR="001A2A2B" w:rsidRDefault="001A2A2B" w:rsidP="00D637F6">
            <w:pPr>
              <w:jc w:val="center"/>
              <w:rPr>
                <w:rFonts w:ascii="Calibri" w:hAnsi="Calibri" w:cs="Calibri"/>
                <w:b/>
                <w:bCs/>
                <w:color w:val="17365D"/>
                <w:sz w:val="20"/>
                <w:szCs w:val="20"/>
              </w:rPr>
            </w:pPr>
            <w:r>
              <w:rPr>
                <w:rFonts w:ascii="Calibri" w:hAnsi="Calibri" w:cs="Calibri"/>
                <w:b/>
                <w:bCs/>
                <w:color w:val="17365D"/>
                <w:sz w:val="20"/>
                <w:szCs w:val="20"/>
              </w:rPr>
              <w:t>$0</w:t>
            </w:r>
          </w:p>
        </w:tc>
        <w:tc>
          <w:tcPr>
            <w:tcW w:w="1184" w:type="dxa"/>
            <w:tcBorders>
              <w:top w:val="nil"/>
              <w:left w:val="nil"/>
              <w:bottom w:val="single" w:sz="8" w:space="0" w:color="95B3D7"/>
              <w:right w:val="single" w:sz="8" w:space="0" w:color="4F81BD"/>
            </w:tcBorders>
            <w:shd w:val="clear" w:color="000000" w:fill="DBE5F1"/>
            <w:vAlign w:val="center"/>
            <w:hideMark/>
          </w:tcPr>
          <w:p w14:paraId="6491AE96" w14:textId="77777777" w:rsidR="001A2A2B" w:rsidRDefault="001A2A2B" w:rsidP="00D637F6">
            <w:pPr>
              <w:jc w:val="center"/>
              <w:rPr>
                <w:rFonts w:ascii="Calibri" w:hAnsi="Calibri" w:cs="Calibri"/>
                <w:b/>
                <w:bCs/>
                <w:color w:val="17365D"/>
                <w:sz w:val="20"/>
                <w:szCs w:val="20"/>
              </w:rPr>
            </w:pPr>
            <w:r>
              <w:rPr>
                <w:rFonts w:ascii="Calibri" w:hAnsi="Calibri" w:cs="Calibri"/>
                <w:b/>
                <w:bCs/>
                <w:color w:val="17365D"/>
                <w:sz w:val="20"/>
                <w:szCs w:val="20"/>
              </w:rPr>
              <w:t>$550,000</w:t>
            </w:r>
          </w:p>
        </w:tc>
      </w:tr>
    </w:tbl>
    <w:p w14:paraId="6575C3E6" w14:textId="53F4171F" w:rsidR="001A2A2B" w:rsidRPr="001A2A2B" w:rsidRDefault="00777ACE" w:rsidP="00C5189E">
      <w:pPr>
        <w:rPr>
          <w:rFonts w:asciiTheme="minorHAnsi" w:eastAsia="Calibri" w:hAnsiTheme="minorHAnsi" w:cstheme="minorHAnsi"/>
        </w:rPr>
      </w:pPr>
      <w:r>
        <w:rPr>
          <w:sz w:val="16"/>
          <w:szCs w:val="16"/>
        </w:rPr>
        <w:t># T</w:t>
      </w:r>
      <w:r w:rsidRPr="00777ACE">
        <w:rPr>
          <w:sz w:val="16"/>
          <w:szCs w:val="16"/>
        </w:rPr>
        <w:t xml:space="preserve">he Estimated Total No. of </w:t>
      </w:r>
      <w:r>
        <w:rPr>
          <w:sz w:val="16"/>
          <w:szCs w:val="16"/>
        </w:rPr>
        <w:t>submissions</w:t>
      </w:r>
      <w:r w:rsidRPr="00777ACE">
        <w:rPr>
          <w:sz w:val="16"/>
          <w:szCs w:val="16"/>
        </w:rPr>
        <w:t xml:space="preserve"> is not a limit, and is an estimate only based on DISER understanding of likely interest at end 2021 to be tested during consultation</w:t>
      </w:r>
      <w:r>
        <w:rPr>
          <w:sz w:val="16"/>
          <w:szCs w:val="16"/>
        </w:rPr>
        <w:t>.</w:t>
      </w:r>
    </w:p>
    <w:p w14:paraId="2D67FDC1" w14:textId="7E891DC0" w:rsidR="00C5189E" w:rsidRPr="005A4E62" w:rsidRDefault="00C5189E" w:rsidP="00C5189E">
      <w:pPr>
        <w:pStyle w:val="Heading2"/>
        <w:tabs>
          <w:tab w:val="clear" w:pos="576"/>
          <w:tab w:val="num" w:pos="709"/>
        </w:tabs>
        <w:ind w:left="709" w:hanging="709"/>
        <w:rPr>
          <w:rFonts w:asciiTheme="minorHAnsi" w:hAnsiTheme="minorHAnsi" w:cstheme="minorHAnsi"/>
          <w:i w:val="0"/>
          <w:iCs w:val="0"/>
        </w:rPr>
      </w:pPr>
      <w:bookmarkStart w:id="61" w:name="_Toc90968215"/>
      <w:bookmarkStart w:id="62" w:name="_Toc98772190"/>
      <w:r w:rsidRPr="005A4E62">
        <w:rPr>
          <w:rFonts w:asciiTheme="minorHAnsi" w:hAnsiTheme="minorHAnsi" w:cstheme="minorHAnsi"/>
          <w:i w:val="0"/>
          <w:iCs w:val="0"/>
        </w:rPr>
        <w:t>Risk Assessment</w:t>
      </w:r>
      <w:bookmarkEnd w:id="61"/>
      <w:bookmarkEnd w:id="62"/>
    </w:p>
    <w:p w14:paraId="097E9555" w14:textId="72952A07" w:rsidR="00C5189E" w:rsidRPr="00A731C8" w:rsidRDefault="00C5189E" w:rsidP="00C5189E">
      <w:pPr>
        <w:rPr>
          <w:rFonts w:asciiTheme="minorHAnsi" w:eastAsia="Calibri" w:hAnsiTheme="minorHAnsi" w:cstheme="minorHAnsi"/>
        </w:rPr>
      </w:pPr>
      <w:r w:rsidRPr="00A731C8">
        <w:rPr>
          <w:rFonts w:asciiTheme="minorHAnsi" w:eastAsia="Calibri" w:hAnsiTheme="minorHAnsi" w:cstheme="minorHAnsi"/>
        </w:rPr>
        <w:t>In accordance with the CRA template,</w:t>
      </w:r>
      <w:r>
        <w:rPr>
          <w:rFonts w:asciiTheme="minorHAnsi" w:eastAsia="Calibri" w:hAnsiTheme="minorHAnsi" w:cstheme="minorHAnsi"/>
        </w:rPr>
        <w:t xml:space="preserve"> the Regulator</w:t>
      </w:r>
      <w:r w:rsidRPr="00A731C8">
        <w:rPr>
          <w:rFonts w:asciiTheme="minorHAnsi" w:eastAsia="Calibri" w:hAnsiTheme="minorHAnsi" w:cstheme="minorHAnsi"/>
        </w:rPr>
        <w:t xml:space="preserve"> has assessed the overall risk rating of the cost </w:t>
      </w:r>
      <w:r w:rsidR="00081E09">
        <w:rPr>
          <w:rFonts w:asciiTheme="minorHAnsi" w:eastAsia="Calibri" w:hAnsiTheme="minorHAnsi" w:cstheme="minorHAnsi"/>
        </w:rPr>
        <w:br/>
      </w:r>
      <w:r w:rsidRPr="00A731C8">
        <w:rPr>
          <w:rFonts w:asciiTheme="minorHAnsi" w:eastAsia="Calibri" w:hAnsiTheme="minorHAnsi" w:cstheme="minorHAnsi"/>
        </w:rPr>
        <w:t xml:space="preserve">recovered activity as </w:t>
      </w:r>
      <w:r w:rsidRPr="003C294C">
        <w:rPr>
          <w:rFonts w:asciiTheme="minorHAnsi" w:eastAsia="Calibri" w:hAnsiTheme="minorHAnsi" w:cstheme="minorHAnsi"/>
          <w:i/>
          <w:iCs/>
        </w:rPr>
        <w:t>high</w:t>
      </w:r>
      <w:r w:rsidRPr="00A731C8">
        <w:rPr>
          <w:rFonts w:asciiTheme="minorHAnsi" w:eastAsia="Calibri" w:hAnsiTheme="minorHAnsi" w:cstheme="minorHAnsi"/>
        </w:rPr>
        <w:t>.</w:t>
      </w:r>
    </w:p>
    <w:p w14:paraId="5833848A" w14:textId="77777777" w:rsidR="00C5189E" w:rsidRDefault="00C5189E" w:rsidP="00C5189E">
      <w:pPr>
        <w:pStyle w:val="CommentText"/>
      </w:pPr>
    </w:p>
    <w:tbl>
      <w:tblPr>
        <w:tblW w:w="6760" w:type="dxa"/>
        <w:tblCellMar>
          <w:left w:w="0" w:type="dxa"/>
          <w:right w:w="0" w:type="dxa"/>
        </w:tblCellMar>
        <w:tblLook w:val="04A0" w:firstRow="1" w:lastRow="0" w:firstColumn="1" w:lastColumn="0" w:noHBand="0" w:noVBand="1"/>
      </w:tblPr>
      <w:tblGrid>
        <w:gridCol w:w="4480"/>
        <w:gridCol w:w="2280"/>
      </w:tblGrid>
      <w:tr w:rsidR="00C5189E" w14:paraId="36C597B5" w14:textId="77777777" w:rsidTr="00D637F6">
        <w:trPr>
          <w:trHeight w:val="260"/>
        </w:trPr>
        <w:tc>
          <w:tcPr>
            <w:tcW w:w="4480" w:type="dxa"/>
            <w:vMerge w:val="restart"/>
            <w:tcBorders>
              <w:top w:val="single" w:sz="8" w:space="0" w:color="4F81BD"/>
              <w:left w:val="single" w:sz="8" w:space="0" w:color="4F81BD"/>
              <w:bottom w:val="nil"/>
              <w:right w:val="nil"/>
            </w:tcBorders>
            <w:shd w:val="clear" w:color="000000" w:fill="4F81BD"/>
            <w:hideMark/>
          </w:tcPr>
          <w:p w14:paraId="4B7097D8" w14:textId="1AE5B98D" w:rsidR="00C5189E" w:rsidRDefault="00A37442" w:rsidP="00A37442">
            <w:pPr>
              <w:keepNext/>
              <w:keepLines/>
              <w:rPr>
                <w:rFonts w:ascii="Calibri" w:hAnsi="Calibri" w:cs="Calibri"/>
                <w:b/>
                <w:bCs/>
                <w:color w:val="FFFFFF"/>
                <w:sz w:val="20"/>
                <w:szCs w:val="20"/>
              </w:rPr>
            </w:pPr>
            <w:r>
              <w:rPr>
                <w:rFonts w:ascii="Calibri" w:hAnsi="Calibri" w:cs="Calibri"/>
                <w:b/>
                <w:bCs/>
                <w:color w:val="FFFFFF"/>
                <w:sz w:val="20"/>
                <w:szCs w:val="20"/>
              </w:rPr>
              <w:t xml:space="preserve"> </w:t>
            </w:r>
            <w:r w:rsidR="00C5189E">
              <w:rPr>
                <w:rFonts w:ascii="Calibri" w:hAnsi="Calibri" w:cs="Calibri"/>
                <w:b/>
                <w:bCs/>
                <w:color w:val="FFFFFF"/>
                <w:sz w:val="20"/>
                <w:szCs w:val="20"/>
              </w:rPr>
              <w:t>Implementation Task</w:t>
            </w:r>
          </w:p>
        </w:tc>
        <w:tc>
          <w:tcPr>
            <w:tcW w:w="2280" w:type="dxa"/>
            <w:tcBorders>
              <w:top w:val="single" w:sz="8" w:space="0" w:color="4F81BD"/>
              <w:left w:val="nil"/>
              <w:bottom w:val="nil"/>
              <w:right w:val="single" w:sz="8" w:space="0" w:color="4F81BD"/>
            </w:tcBorders>
            <w:shd w:val="clear" w:color="000000" w:fill="4F81BD"/>
            <w:hideMark/>
          </w:tcPr>
          <w:p w14:paraId="397E2105" w14:textId="77777777" w:rsidR="00C5189E" w:rsidRDefault="00C5189E" w:rsidP="00D637F6">
            <w:pPr>
              <w:keepNext/>
              <w:keepLines/>
              <w:jc w:val="center"/>
              <w:rPr>
                <w:rFonts w:ascii="Calibri" w:hAnsi="Calibri" w:cs="Calibri"/>
                <w:b/>
                <w:bCs/>
                <w:color w:val="FFFFFF"/>
                <w:sz w:val="20"/>
                <w:szCs w:val="20"/>
              </w:rPr>
            </w:pPr>
            <w:r>
              <w:rPr>
                <w:rFonts w:ascii="Calibri" w:hAnsi="Calibri" w:cs="Calibri"/>
                <w:b/>
                <w:bCs/>
                <w:color w:val="FFFFFF"/>
                <w:sz w:val="20"/>
                <w:szCs w:val="20"/>
              </w:rPr>
              <w:t>Rating</w:t>
            </w:r>
          </w:p>
        </w:tc>
      </w:tr>
      <w:tr w:rsidR="00C5189E" w14:paraId="0060CFB9" w14:textId="77777777" w:rsidTr="00D637F6">
        <w:trPr>
          <w:trHeight w:val="250"/>
        </w:trPr>
        <w:tc>
          <w:tcPr>
            <w:tcW w:w="0" w:type="auto"/>
            <w:vMerge/>
            <w:tcBorders>
              <w:top w:val="single" w:sz="8" w:space="0" w:color="4F81BD"/>
              <w:left w:val="single" w:sz="8" w:space="0" w:color="4F81BD"/>
              <w:bottom w:val="nil"/>
              <w:right w:val="nil"/>
            </w:tcBorders>
            <w:vAlign w:val="center"/>
            <w:hideMark/>
          </w:tcPr>
          <w:p w14:paraId="5559BAE4" w14:textId="77777777" w:rsidR="00C5189E" w:rsidRDefault="00C5189E" w:rsidP="00D637F6">
            <w:pPr>
              <w:keepNext/>
              <w:keepLines/>
              <w:rPr>
                <w:rFonts w:ascii="Calibri" w:hAnsi="Calibri" w:cs="Calibri"/>
                <w:b/>
                <w:bCs/>
                <w:color w:val="FFFFFF"/>
                <w:sz w:val="20"/>
                <w:szCs w:val="20"/>
              </w:rPr>
            </w:pPr>
          </w:p>
        </w:tc>
        <w:tc>
          <w:tcPr>
            <w:tcW w:w="2280" w:type="dxa"/>
            <w:tcBorders>
              <w:top w:val="nil"/>
              <w:left w:val="nil"/>
              <w:bottom w:val="nil"/>
              <w:right w:val="single" w:sz="8" w:space="0" w:color="4F81BD"/>
            </w:tcBorders>
            <w:shd w:val="clear" w:color="000000" w:fill="4F81BD"/>
            <w:hideMark/>
          </w:tcPr>
          <w:p w14:paraId="6E63A93F" w14:textId="77777777" w:rsidR="00C5189E" w:rsidRDefault="00C5189E" w:rsidP="00D637F6">
            <w:pPr>
              <w:keepNext/>
              <w:keepLines/>
              <w:jc w:val="center"/>
              <w:rPr>
                <w:rFonts w:ascii="Calibri" w:hAnsi="Calibri" w:cs="Calibri"/>
                <w:b/>
                <w:bCs/>
                <w:color w:val="FFFFFF"/>
                <w:sz w:val="18"/>
                <w:szCs w:val="18"/>
              </w:rPr>
            </w:pPr>
            <w:r>
              <w:rPr>
                <w:rFonts w:ascii="Calibri" w:hAnsi="Calibri" w:cs="Calibri"/>
                <w:b/>
                <w:bCs/>
                <w:color w:val="FFFFFF"/>
                <w:sz w:val="18"/>
                <w:szCs w:val="18"/>
              </w:rPr>
              <w:t> </w:t>
            </w:r>
          </w:p>
        </w:tc>
      </w:tr>
      <w:tr w:rsidR="00C5189E" w14:paraId="4C7EA2FB" w14:textId="77777777" w:rsidTr="00D637F6">
        <w:trPr>
          <w:trHeight w:val="270"/>
        </w:trPr>
        <w:tc>
          <w:tcPr>
            <w:tcW w:w="4480" w:type="dxa"/>
            <w:tcBorders>
              <w:top w:val="single" w:sz="4" w:space="0" w:color="auto"/>
              <w:left w:val="single" w:sz="8" w:space="0" w:color="4F81BD"/>
              <w:bottom w:val="single" w:sz="8" w:space="0" w:color="95B3D7"/>
              <w:right w:val="single" w:sz="8" w:space="0" w:color="95B3D7"/>
            </w:tcBorders>
            <w:shd w:val="clear" w:color="000000" w:fill="DBE5F1"/>
            <w:vAlign w:val="center"/>
            <w:hideMark/>
          </w:tcPr>
          <w:p w14:paraId="1D0DAD2C" w14:textId="6F29336D" w:rsidR="00C5189E" w:rsidRDefault="00081E09" w:rsidP="00E77E32">
            <w:pPr>
              <w:keepNext/>
              <w:keepLines/>
              <w:spacing w:after="60"/>
              <w:rPr>
                <w:rFonts w:ascii="Calibri" w:hAnsi="Calibri" w:cs="Calibri"/>
                <w:color w:val="17365D"/>
                <w:sz w:val="20"/>
                <w:szCs w:val="20"/>
              </w:rPr>
            </w:pPr>
            <w:r>
              <w:rPr>
                <w:rFonts w:ascii="Calibri" w:hAnsi="Calibri" w:cs="Calibri"/>
                <w:color w:val="17365D"/>
                <w:sz w:val="20"/>
                <w:szCs w:val="20"/>
              </w:rPr>
              <w:t xml:space="preserve"> </w:t>
            </w:r>
            <w:r w:rsidR="00C5189E">
              <w:rPr>
                <w:rFonts w:ascii="Calibri" w:hAnsi="Calibri" w:cs="Calibri"/>
                <w:color w:val="17365D"/>
                <w:sz w:val="20"/>
                <w:szCs w:val="20"/>
              </w:rPr>
              <w:t>Changes in cost recovery revenue</w:t>
            </w:r>
          </w:p>
        </w:tc>
        <w:tc>
          <w:tcPr>
            <w:tcW w:w="2280" w:type="dxa"/>
            <w:tcBorders>
              <w:top w:val="single" w:sz="4" w:space="0" w:color="auto"/>
              <w:left w:val="nil"/>
              <w:bottom w:val="single" w:sz="8" w:space="0" w:color="95B3D7"/>
              <w:right w:val="single" w:sz="8" w:space="0" w:color="4F81BD"/>
            </w:tcBorders>
            <w:shd w:val="clear" w:color="000000" w:fill="DBE5F1"/>
            <w:vAlign w:val="center"/>
            <w:hideMark/>
          </w:tcPr>
          <w:p w14:paraId="30B936F8" w14:textId="77777777" w:rsidR="00C5189E" w:rsidRDefault="00C5189E" w:rsidP="00E77E32">
            <w:pPr>
              <w:keepNext/>
              <w:keepLines/>
              <w:spacing w:after="60"/>
              <w:jc w:val="center"/>
              <w:rPr>
                <w:rFonts w:ascii="Calibri" w:hAnsi="Calibri" w:cs="Calibri"/>
                <w:color w:val="17365D"/>
                <w:sz w:val="20"/>
                <w:szCs w:val="20"/>
              </w:rPr>
            </w:pPr>
            <w:r>
              <w:rPr>
                <w:rFonts w:ascii="Calibri" w:hAnsi="Calibri" w:cs="Calibri"/>
                <w:color w:val="17365D"/>
                <w:sz w:val="20"/>
                <w:szCs w:val="20"/>
              </w:rPr>
              <w:t>High</w:t>
            </w:r>
          </w:p>
        </w:tc>
      </w:tr>
      <w:tr w:rsidR="00C5189E" w14:paraId="1D52801C" w14:textId="77777777" w:rsidTr="00D637F6">
        <w:trPr>
          <w:trHeight w:val="270"/>
        </w:trPr>
        <w:tc>
          <w:tcPr>
            <w:tcW w:w="4480" w:type="dxa"/>
            <w:tcBorders>
              <w:top w:val="nil"/>
              <w:left w:val="single" w:sz="8" w:space="0" w:color="4F81BD"/>
              <w:bottom w:val="single" w:sz="8" w:space="0" w:color="95B3D7"/>
              <w:right w:val="single" w:sz="8" w:space="0" w:color="95B3D7"/>
            </w:tcBorders>
            <w:shd w:val="clear" w:color="auto" w:fill="auto"/>
            <w:vAlign w:val="center"/>
            <w:hideMark/>
          </w:tcPr>
          <w:p w14:paraId="313F5DB0" w14:textId="1AA6C054" w:rsidR="00C5189E" w:rsidRDefault="00081E09" w:rsidP="00E77E32">
            <w:pPr>
              <w:keepNext/>
              <w:keepLines/>
              <w:spacing w:after="60"/>
              <w:rPr>
                <w:rFonts w:ascii="Calibri" w:hAnsi="Calibri" w:cs="Calibri"/>
                <w:color w:val="17365D"/>
                <w:sz w:val="20"/>
                <w:szCs w:val="20"/>
              </w:rPr>
            </w:pPr>
            <w:r>
              <w:rPr>
                <w:rFonts w:ascii="Calibri" w:hAnsi="Calibri" w:cs="Calibri"/>
                <w:color w:val="17365D"/>
                <w:sz w:val="20"/>
                <w:szCs w:val="20"/>
              </w:rPr>
              <w:t xml:space="preserve"> </w:t>
            </w:r>
            <w:r w:rsidR="00C5189E">
              <w:rPr>
                <w:rFonts w:ascii="Calibri" w:hAnsi="Calibri" w:cs="Calibri"/>
                <w:color w:val="17365D"/>
                <w:sz w:val="20"/>
                <w:szCs w:val="20"/>
              </w:rPr>
              <w:t>Total Proposed annual cost recovery revenue</w:t>
            </w:r>
          </w:p>
        </w:tc>
        <w:tc>
          <w:tcPr>
            <w:tcW w:w="2280" w:type="dxa"/>
            <w:tcBorders>
              <w:top w:val="nil"/>
              <w:left w:val="nil"/>
              <w:bottom w:val="single" w:sz="8" w:space="0" w:color="95B3D7"/>
              <w:right w:val="single" w:sz="8" w:space="0" w:color="4F81BD"/>
            </w:tcBorders>
            <w:shd w:val="clear" w:color="auto" w:fill="auto"/>
            <w:vAlign w:val="center"/>
            <w:hideMark/>
          </w:tcPr>
          <w:p w14:paraId="66F9EEFE" w14:textId="77777777" w:rsidR="00C5189E" w:rsidRDefault="00C5189E" w:rsidP="00E77E32">
            <w:pPr>
              <w:keepNext/>
              <w:keepLines/>
              <w:spacing w:after="60"/>
              <w:jc w:val="center"/>
              <w:rPr>
                <w:rFonts w:ascii="Calibri" w:hAnsi="Calibri" w:cs="Calibri"/>
                <w:color w:val="17365D"/>
                <w:sz w:val="20"/>
                <w:szCs w:val="20"/>
              </w:rPr>
            </w:pPr>
            <w:r>
              <w:rPr>
                <w:rFonts w:ascii="Calibri" w:hAnsi="Calibri" w:cs="Calibri"/>
                <w:color w:val="17365D"/>
                <w:sz w:val="20"/>
                <w:szCs w:val="20"/>
              </w:rPr>
              <w:t>Low</w:t>
            </w:r>
          </w:p>
        </w:tc>
      </w:tr>
      <w:tr w:rsidR="00C5189E" w14:paraId="58108ABF" w14:textId="77777777" w:rsidTr="00D637F6">
        <w:trPr>
          <w:trHeight w:val="270"/>
        </w:trPr>
        <w:tc>
          <w:tcPr>
            <w:tcW w:w="4480" w:type="dxa"/>
            <w:tcBorders>
              <w:top w:val="nil"/>
              <w:left w:val="single" w:sz="8" w:space="0" w:color="4F81BD"/>
              <w:bottom w:val="single" w:sz="8" w:space="0" w:color="95B3D7"/>
              <w:right w:val="single" w:sz="8" w:space="0" w:color="95B3D7"/>
            </w:tcBorders>
            <w:shd w:val="clear" w:color="000000" w:fill="DBE5F1"/>
            <w:vAlign w:val="center"/>
            <w:hideMark/>
          </w:tcPr>
          <w:p w14:paraId="010972FD" w14:textId="0A2D275E" w:rsidR="00C5189E" w:rsidRDefault="00081E09" w:rsidP="00E77E32">
            <w:pPr>
              <w:keepNext/>
              <w:keepLines/>
              <w:spacing w:after="60"/>
              <w:rPr>
                <w:rFonts w:ascii="Calibri" w:hAnsi="Calibri" w:cs="Calibri"/>
                <w:color w:val="17365D"/>
                <w:sz w:val="20"/>
                <w:szCs w:val="20"/>
              </w:rPr>
            </w:pPr>
            <w:r>
              <w:rPr>
                <w:rFonts w:ascii="Calibri" w:hAnsi="Calibri" w:cs="Calibri"/>
                <w:color w:val="17365D"/>
                <w:sz w:val="20"/>
                <w:szCs w:val="20"/>
              </w:rPr>
              <w:t xml:space="preserve"> </w:t>
            </w:r>
            <w:r w:rsidR="00C5189E">
              <w:rPr>
                <w:rFonts w:ascii="Calibri" w:hAnsi="Calibri" w:cs="Calibri"/>
                <w:color w:val="17365D"/>
                <w:sz w:val="20"/>
                <w:szCs w:val="20"/>
              </w:rPr>
              <w:t>Policy or activity change requirements</w:t>
            </w:r>
          </w:p>
        </w:tc>
        <w:tc>
          <w:tcPr>
            <w:tcW w:w="2280" w:type="dxa"/>
            <w:tcBorders>
              <w:top w:val="nil"/>
              <w:left w:val="nil"/>
              <w:bottom w:val="single" w:sz="8" w:space="0" w:color="95B3D7"/>
              <w:right w:val="single" w:sz="8" w:space="0" w:color="4F81BD"/>
            </w:tcBorders>
            <w:shd w:val="clear" w:color="000000" w:fill="DBE5F1"/>
            <w:vAlign w:val="center"/>
            <w:hideMark/>
          </w:tcPr>
          <w:p w14:paraId="628D0BF4" w14:textId="77777777" w:rsidR="00C5189E" w:rsidRDefault="00C5189E" w:rsidP="00E77E32">
            <w:pPr>
              <w:keepNext/>
              <w:keepLines/>
              <w:spacing w:after="60"/>
              <w:jc w:val="center"/>
              <w:rPr>
                <w:rFonts w:ascii="Calibri" w:hAnsi="Calibri" w:cs="Calibri"/>
                <w:color w:val="17365D"/>
                <w:sz w:val="20"/>
                <w:szCs w:val="20"/>
              </w:rPr>
            </w:pPr>
            <w:r>
              <w:rPr>
                <w:rFonts w:ascii="Calibri" w:hAnsi="Calibri" w:cs="Calibri"/>
                <w:color w:val="17365D"/>
                <w:sz w:val="20"/>
                <w:szCs w:val="20"/>
              </w:rPr>
              <w:t>High</w:t>
            </w:r>
          </w:p>
        </w:tc>
      </w:tr>
      <w:tr w:rsidR="00C5189E" w14:paraId="35B8C64E" w14:textId="77777777" w:rsidTr="00D637F6">
        <w:trPr>
          <w:trHeight w:val="270"/>
        </w:trPr>
        <w:tc>
          <w:tcPr>
            <w:tcW w:w="4480" w:type="dxa"/>
            <w:tcBorders>
              <w:top w:val="nil"/>
              <w:left w:val="single" w:sz="8" w:space="0" w:color="4F81BD"/>
              <w:bottom w:val="single" w:sz="8" w:space="0" w:color="95B3D7"/>
              <w:right w:val="single" w:sz="8" w:space="0" w:color="95B3D7"/>
            </w:tcBorders>
            <w:shd w:val="clear" w:color="auto" w:fill="auto"/>
            <w:vAlign w:val="center"/>
            <w:hideMark/>
          </w:tcPr>
          <w:p w14:paraId="0DA7B767" w14:textId="014BF441" w:rsidR="00C5189E" w:rsidRDefault="00081E09" w:rsidP="00E77E32">
            <w:pPr>
              <w:keepNext/>
              <w:keepLines/>
              <w:spacing w:after="60"/>
              <w:rPr>
                <w:rFonts w:ascii="Calibri" w:hAnsi="Calibri" w:cs="Calibri"/>
                <w:color w:val="17365D"/>
                <w:sz w:val="20"/>
                <w:szCs w:val="20"/>
              </w:rPr>
            </w:pPr>
            <w:r>
              <w:rPr>
                <w:rFonts w:ascii="Calibri" w:hAnsi="Calibri" w:cs="Calibri"/>
                <w:color w:val="17365D"/>
                <w:sz w:val="20"/>
                <w:szCs w:val="20"/>
              </w:rPr>
              <w:t xml:space="preserve"> </w:t>
            </w:r>
            <w:r w:rsidR="00C5189E">
              <w:rPr>
                <w:rFonts w:ascii="Calibri" w:hAnsi="Calibri" w:cs="Calibri"/>
                <w:color w:val="17365D"/>
                <w:sz w:val="20"/>
                <w:szCs w:val="20"/>
              </w:rPr>
              <w:t>Type of cost recovery charges used</w:t>
            </w:r>
          </w:p>
        </w:tc>
        <w:tc>
          <w:tcPr>
            <w:tcW w:w="2280" w:type="dxa"/>
            <w:tcBorders>
              <w:top w:val="nil"/>
              <w:left w:val="nil"/>
              <w:bottom w:val="single" w:sz="8" w:space="0" w:color="95B3D7"/>
              <w:right w:val="single" w:sz="8" w:space="0" w:color="4F81BD"/>
            </w:tcBorders>
            <w:shd w:val="clear" w:color="auto" w:fill="auto"/>
            <w:vAlign w:val="center"/>
            <w:hideMark/>
          </w:tcPr>
          <w:p w14:paraId="7633A11D" w14:textId="77777777" w:rsidR="00C5189E" w:rsidRDefault="00C5189E" w:rsidP="00E77E32">
            <w:pPr>
              <w:keepNext/>
              <w:keepLines/>
              <w:spacing w:after="60"/>
              <w:jc w:val="center"/>
              <w:rPr>
                <w:rFonts w:ascii="Calibri" w:hAnsi="Calibri" w:cs="Calibri"/>
                <w:color w:val="17365D"/>
                <w:sz w:val="20"/>
                <w:szCs w:val="20"/>
              </w:rPr>
            </w:pPr>
            <w:r>
              <w:rPr>
                <w:rFonts w:ascii="Calibri" w:hAnsi="Calibri" w:cs="Calibri"/>
                <w:color w:val="17365D"/>
                <w:sz w:val="20"/>
                <w:szCs w:val="20"/>
              </w:rPr>
              <w:t>High</w:t>
            </w:r>
          </w:p>
        </w:tc>
      </w:tr>
      <w:tr w:rsidR="00C5189E" w14:paraId="1769F06A" w14:textId="77777777" w:rsidTr="00D637F6">
        <w:trPr>
          <w:trHeight w:val="270"/>
        </w:trPr>
        <w:tc>
          <w:tcPr>
            <w:tcW w:w="4480" w:type="dxa"/>
            <w:tcBorders>
              <w:top w:val="nil"/>
              <w:left w:val="single" w:sz="8" w:space="0" w:color="4F81BD"/>
              <w:bottom w:val="single" w:sz="8" w:space="0" w:color="95B3D7"/>
              <w:right w:val="single" w:sz="8" w:space="0" w:color="95B3D7"/>
            </w:tcBorders>
            <w:shd w:val="clear" w:color="000000" w:fill="DBE5F1"/>
            <w:vAlign w:val="center"/>
            <w:hideMark/>
          </w:tcPr>
          <w:p w14:paraId="0C9C600D" w14:textId="59E61071" w:rsidR="00C5189E" w:rsidRDefault="00081E09" w:rsidP="00E77E32">
            <w:pPr>
              <w:keepNext/>
              <w:keepLines/>
              <w:spacing w:after="60"/>
              <w:rPr>
                <w:rFonts w:ascii="Calibri" w:hAnsi="Calibri" w:cs="Calibri"/>
                <w:color w:val="17365D"/>
                <w:sz w:val="20"/>
                <w:szCs w:val="20"/>
              </w:rPr>
            </w:pPr>
            <w:r>
              <w:rPr>
                <w:rFonts w:ascii="Calibri" w:hAnsi="Calibri" w:cs="Calibri"/>
                <w:color w:val="17365D"/>
                <w:sz w:val="20"/>
                <w:szCs w:val="20"/>
              </w:rPr>
              <w:t xml:space="preserve"> </w:t>
            </w:r>
            <w:r w:rsidR="00C5189E">
              <w:rPr>
                <w:rFonts w:ascii="Calibri" w:hAnsi="Calibri" w:cs="Calibri"/>
                <w:color w:val="17365D"/>
                <w:sz w:val="20"/>
                <w:szCs w:val="20"/>
              </w:rPr>
              <w:t>Policy or activity change requirements</w:t>
            </w:r>
          </w:p>
        </w:tc>
        <w:tc>
          <w:tcPr>
            <w:tcW w:w="2280" w:type="dxa"/>
            <w:tcBorders>
              <w:top w:val="nil"/>
              <w:left w:val="nil"/>
              <w:bottom w:val="single" w:sz="8" w:space="0" w:color="95B3D7"/>
              <w:right w:val="single" w:sz="8" w:space="0" w:color="4F81BD"/>
            </w:tcBorders>
            <w:shd w:val="clear" w:color="000000" w:fill="DBE5F1"/>
            <w:vAlign w:val="center"/>
            <w:hideMark/>
          </w:tcPr>
          <w:p w14:paraId="661D91A9" w14:textId="77777777" w:rsidR="00C5189E" w:rsidRDefault="00C5189E" w:rsidP="00E77E32">
            <w:pPr>
              <w:keepNext/>
              <w:keepLines/>
              <w:spacing w:after="60"/>
              <w:jc w:val="center"/>
              <w:rPr>
                <w:rFonts w:ascii="Calibri" w:hAnsi="Calibri" w:cs="Calibri"/>
                <w:color w:val="17365D"/>
                <w:sz w:val="20"/>
                <w:szCs w:val="20"/>
              </w:rPr>
            </w:pPr>
            <w:r>
              <w:rPr>
                <w:rFonts w:ascii="Calibri" w:hAnsi="Calibri" w:cs="Calibri"/>
                <w:color w:val="17365D"/>
                <w:sz w:val="20"/>
                <w:szCs w:val="20"/>
              </w:rPr>
              <w:t>High</w:t>
            </w:r>
          </w:p>
        </w:tc>
      </w:tr>
      <w:tr w:rsidR="00C5189E" w14:paraId="7D6E1ACA" w14:textId="77777777" w:rsidTr="00D637F6">
        <w:trPr>
          <w:trHeight w:val="270"/>
        </w:trPr>
        <w:tc>
          <w:tcPr>
            <w:tcW w:w="4480" w:type="dxa"/>
            <w:tcBorders>
              <w:top w:val="nil"/>
              <w:left w:val="single" w:sz="8" w:space="0" w:color="4F81BD"/>
              <w:bottom w:val="single" w:sz="8" w:space="0" w:color="95B3D7"/>
              <w:right w:val="single" w:sz="8" w:space="0" w:color="95B3D7"/>
            </w:tcBorders>
            <w:shd w:val="clear" w:color="auto" w:fill="auto"/>
            <w:vAlign w:val="center"/>
            <w:hideMark/>
          </w:tcPr>
          <w:p w14:paraId="5638DB30" w14:textId="6A11AD0B" w:rsidR="00C5189E" w:rsidRDefault="00081E09" w:rsidP="00E77E32">
            <w:pPr>
              <w:keepNext/>
              <w:keepLines/>
              <w:spacing w:after="60"/>
              <w:rPr>
                <w:rFonts w:ascii="Calibri" w:hAnsi="Calibri" w:cs="Calibri"/>
                <w:color w:val="17365D"/>
                <w:sz w:val="20"/>
                <w:szCs w:val="20"/>
              </w:rPr>
            </w:pPr>
            <w:r>
              <w:rPr>
                <w:rFonts w:ascii="Calibri" w:hAnsi="Calibri" w:cs="Calibri"/>
                <w:color w:val="17365D"/>
                <w:sz w:val="20"/>
                <w:szCs w:val="20"/>
              </w:rPr>
              <w:t xml:space="preserve"> </w:t>
            </w:r>
            <w:r w:rsidR="00C5189E">
              <w:rPr>
                <w:rFonts w:ascii="Calibri" w:hAnsi="Calibri" w:cs="Calibri"/>
                <w:color w:val="17365D"/>
                <w:sz w:val="20"/>
                <w:szCs w:val="20"/>
              </w:rPr>
              <w:t>Involvement with other Commonwealth entities</w:t>
            </w:r>
          </w:p>
        </w:tc>
        <w:tc>
          <w:tcPr>
            <w:tcW w:w="2280" w:type="dxa"/>
            <w:tcBorders>
              <w:top w:val="nil"/>
              <w:left w:val="nil"/>
              <w:bottom w:val="single" w:sz="8" w:space="0" w:color="95B3D7"/>
              <w:right w:val="single" w:sz="8" w:space="0" w:color="4F81BD"/>
            </w:tcBorders>
            <w:shd w:val="clear" w:color="auto" w:fill="auto"/>
            <w:vAlign w:val="center"/>
            <w:hideMark/>
          </w:tcPr>
          <w:p w14:paraId="5E3DA19E" w14:textId="77777777" w:rsidR="00C5189E" w:rsidRDefault="00C5189E" w:rsidP="00E77E32">
            <w:pPr>
              <w:keepNext/>
              <w:keepLines/>
              <w:spacing w:after="60"/>
              <w:jc w:val="center"/>
              <w:rPr>
                <w:rFonts w:ascii="Calibri" w:hAnsi="Calibri" w:cs="Calibri"/>
                <w:color w:val="17365D"/>
                <w:sz w:val="20"/>
                <w:szCs w:val="20"/>
              </w:rPr>
            </w:pPr>
            <w:r>
              <w:rPr>
                <w:rFonts w:ascii="Calibri" w:hAnsi="Calibri" w:cs="Calibri"/>
                <w:color w:val="17365D"/>
                <w:sz w:val="20"/>
                <w:szCs w:val="20"/>
              </w:rPr>
              <w:t>High</w:t>
            </w:r>
          </w:p>
        </w:tc>
      </w:tr>
      <w:tr w:rsidR="00C5189E" w14:paraId="77A725B1" w14:textId="77777777" w:rsidTr="00D637F6">
        <w:trPr>
          <w:trHeight w:val="270"/>
        </w:trPr>
        <w:tc>
          <w:tcPr>
            <w:tcW w:w="4480" w:type="dxa"/>
            <w:tcBorders>
              <w:top w:val="nil"/>
              <w:left w:val="single" w:sz="8" w:space="0" w:color="4F81BD"/>
              <w:bottom w:val="single" w:sz="8" w:space="0" w:color="95B3D7"/>
              <w:right w:val="single" w:sz="8" w:space="0" w:color="95B3D7"/>
            </w:tcBorders>
            <w:shd w:val="clear" w:color="000000" w:fill="DBE5F1"/>
            <w:vAlign w:val="center"/>
            <w:hideMark/>
          </w:tcPr>
          <w:p w14:paraId="0406A2E9" w14:textId="43287D2D" w:rsidR="00C5189E" w:rsidRDefault="00081E09" w:rsidP="00E77E32">
            <w:pPr>
              <w:keepNext/>
              <w:keepLines/>
              <w:spacing w:after="60"/>
              <w:rPr>
                <w:rFonts w:ascii="Calibri" w:hAnsi="Calibri" w:cs="Calibri"/>
                <w:color w:val="17365D"/>
                <w:sz w:val="20"/>
                <w:szCs w:val="20"/>
              </w:rPr>
            </w:pPr>
            <w:r>
              <w:rPr>
                <w:rFonts w:ascii="Calibri" w:hAnsi="Calibri" w:cs="Calibri"/>
                <w:color w:val="17365D"/>
                <w:sz w:val="20"/>
                <w:szCs w:val="20"/>
              </w:rPr>
              <w:t xml:space="preserve"> </w:t>
            </w:r>
            <w:r w:rsidR="00C5189E">
              <w:rPr>
                <w:rFonts w:ascii="Calibri" w:hAnsi="Calibri" w:cs="Calibri"/>
                <w:color w:val="17365D"/>
                <w:sz w:val="20"/>
                <w:szCs w:val="20"/>
              </w:rPr>
              <w:t>Policy or activity change requirements</w:t>
            </w:r>
          </w:p>
        </w:tc>
        <w:tc>
          <w:tcPr>
            <w:tcW w:w="2280" w:type="dxa"/>
            <w:tcBorders>
              <w:top w:val="nil"/>
              <w:left w:val="nil"/>
              <w:bottom w:val="single" w:sz="8" w:space="0" w:color="95B3D7"/>
              <w:right w:val="single" w:sz="8" w:space="0" w:color="4F81BD"/>
            </w:tcBorders>
            <w:shd w:val="clear" w:color="000000" w:fill="DBE5F1"/>
            <w:vAlign w:val="center"/>
            <w:hideMark/>
          </w:tcPr>
          <w:p w14:paraId="0DA46AF0" w14:textId="77777777" w:rsidR="00C5189E" w:rsidRDefault="00C5189E" w:rsidP="00E77E32">
            <w:pPr>
              <w:keepNext/>
              <w:keepLines/>
              <w:spacing w:after="60"/>
              <w:jc w:val="center"/>
              <w:rPr>
                <w:rFonts w:ascii="Calibri" w:hAnsi="Calibri" w:cs="Calibri"/>
                <w:color w:val="17365D"/>
                <w:sz w:val="20"/>
                <w:szCs w:val="20"/>
              </w:rPr>
            </w:pPr>
            <w:r>
              <w:rPr>
                <w:rFonts w:ascii="Calibri" w:hAnsi="Calibri" w:cs="Calibri"/>
                <w:color w:val="17365D"/>
                <w:sz w:val="20"/>
                <w:szCs w:val="20"/>
              </w:rPr>
              <w:t>Low</w:t>
            </w:r>
          </w:p>
        </w:tc>
      </w:tr>
      <w:tr w:rsidR="00C5189E" w14:paraId="5CBDA7EF" w14:textId="77777777" w:rsidTr="00D637F6">
        <w:trPr>
          <w:trHeight w:val="270"/>
        </w:trPr>
        <w:tc>
          <w:tcPr>
            <w:tcW w:w="4480" w:type="dxa"/>
            <w:tcBorders>
              <w:top w:val="nil"/>
              <w:left w:val="single" w:sz="8" w:space="0" w:color="4F81BD"/>
              <w:bottom w:val="single" w:sz="8" w:space="0" w:color="95B3D7"/>
              <w:right w:val="single" w:sz="8" w:space="0" w:color="95B3D7"/>
            </w:tcBorders>
            <w:shd w:val="clear" w:color="auto" w:fill="auto"/>
            <w:vAlign w:val="center"/>
            <w:hideMark/>
          </w:tcPr>
          <w:p w14:paraId="625DF375" w14:textId="0356FCB2" w:rsidR="00C5189E" w:rsidRDefault="00081E09" w:rsidP="00E77E32">
            <w:pPr>
              <w:keepNext/>
              <w:keepLines/>
              <w:spacing w:after="60"/>
              <w:rPr>
                <w:rFonts w:ascii="Calibri" w:hAnsi="Calibri" w:cs="Calibri"/>
                <w:color w:val="17365D"/>
                <w:sz w:val="20"/>
                <w:szCs w:val="20"/>
              </w:rPr>
            </w:pPr>
            <w:r>
              <w:rPr>
                <w:rFonts w:ascii="Calibri" w:hAnsi="Calibri" w:cs="Calibri"/>
                <w:color w:val="17365D"/>
                <w:sz w:val="20"/>
                <w:szCs w:val="20"/>
              </w:rPr>
              <w:t xml:space="preserve"> </w:t>
            </w:r>
            <w:r w:rsidR="00C5189E">
              <w:rPr>
                <w:rFonts w:ascii="Calibri" w:hAnsi="Calibri" w:cs="Calibri"/>
                <w:color w:val="17365D"/>
                <w:sz w:val="20"/>
                <w:szCs w:val="20"/>
              </w:rPr>
              <w:t>Consultation with stakeholders</w:t>
            </w:r>
          </w:p>
        </w:tc>
        <w:tc>
          <w:tcPr>
            <w:tcW w:w="2280" w:type="dxa"/>
            <w:tcBorders>
              <w:top w:val="nil"/>
              <w:left w:val="nil"/>
              <w:bottom w:val="single" w:sz="8" w:space="0" w:color="95B3D7"/>
              <w:right w:val="single" w:sz="8" w:space="0" w:color="4F81BD"/>
            </w:tcBorders>
            <w:shd w:val="clear" w:color="auto" w:fill="auto"/>
            <w:vAlign w:val="center"/>
            <w:hideMark/>
          </w:tcPr>
          <w:p w14:paraId="4951A898" w14:textId="77777777" w:rsidR="00C5189E" w:rsidRDefault="00C5189E" w:rsidP="00E77E32">
            <w:pPr>
              <w:keepNext/>
              <w:keepLines/>
              <w:spacing w:after="60"/>
              <w:jc w:val="center"/>
              <w:rPr>
                <w:rFonts w:ascii="Calibri" w:hAnsi="Calibri" w:cs="Calibri"/>
                <w:color w:val="17365D"/>
                <w:sz w:val="20"/>
                <w:szCs w:val="20"/>
              </w:rPr>
            </w:pPr>
            <w:r>
              <w:rPr>
                <w:rFonts w:ascii="Calibri" w:hAnsi="Calibri" w:cs="Calibri"/>
                <w:color w:val="17365D"/>
                <w:sz w:val="20"/>
                <w:szCs w:val="20"/>
              </w:rPr>
              <w:t>High</w:t>
            </w:r>
          </w:p>
        </w:tc>
      </w:tr>
      <w:tr w:rsidR="00C5189E" w14:paraId="2BD98E01" w14:textId="77777777" w:rsidTr="00D637F6">
        <w:trPr>
          <w:trHeight w:val="270"/>
        </w:trPr>
        <w:tc>
          <w:tcPr>
            <w:tcW w:w="4480" w:type="dxa"/>
            <w:tcBorders>
              <w:top w:val="nil"/>
              <w:left w:val="single" w:sz="8" w:space="0" w:color="4F81BD"/>
              <w:bottom w:val="single" w:sz="8" w:space="0" w:color="4F81BD"/>
              <w:right w:val="single" w:sz="8" w:space="0" w:color="95B3D7"/>
            </w:tcBorders>
            <w:shd w:val="clear" w:color="000000" w:fill="DBE5F1"/>
            <w:vAlign w:val="center"/>
            <w:hideMark/>
          </w:tcPr>
          <w:p w14:paraId="72E0580F" w14:textId="3B28E7DF" w:rsidR="00C5189E" w:rsidRDefault="00081E09" w:rsidP="00D637F6">
            <w:pPr>
              <w:keepNext/>
              <w:keepLines/>
              <w:rPr>
                <w:rFonts w:ascii="Calibri" w:hAnsi="Calibri" w:cs="Calibri"/>
                <w:color w:val="17365D"/>
                <w:sz w:val="20"/>
                <w:szCs w:val="20"/>
              </w:rPr>
            </w:pPr>
            <w:r>
              <w:rPr>
                <w:rFonts w:ascii="Calibri" w:hAnsi="Calibri" w:cs="Calibri"/>
                <w:color w:val="17365D"/>
                <w:sz w:val="20"/>
                <w:szCs w:val="20"/>
              </w:rPr>
              <w:t xml:space="preserve"> </w:t>
            </w:r>
            <w:r w:rsidR="00C5189E">
              <w:rPr>
                <w:rFonts w:ascii="Calibri" w:hAnsi="Calibri" w:cs="Calibri"/>
                <w:color w:val="17365D"/>
                <w:sz w:val="20"/>
                <w:szCs w:val="20"/>
              </w:rPr>
              <w:t>Policy or activity change requirements</w:t>
            </w:r>
          </w:p>
        </w:tc>
        <w:tc>
          <w:tcPr>
            <w:tcW w:w="2280" w:type="dxa"/>
            <w:tcBorders>
              <w:top w:val="nil"/>
              <w:left w:val="nil"/>
              <w:bottom w:val="single" w:sz="8" w:space="0" w:color="4F81BD"/>
              <w:right w:val="single" w:sz="8" w:space="0" w:color="4F81BD"/>
            </w:tcBorders>
            <w:shd w:val="clear" w:color="000000" w:fill="DBE5F1"/>
            <w:vAlign w:val="center"/>
            <w:hideMark/>
          </w:tcPr>
          <w:p w14:paraId="239F284B" w14:textId="77777777" w:rsidR="00C5189E" w:rsidRDefault="00C5189E" w:rsidP="00D637F6">
            <w:pPr>
              <w:keepNext/>
              <w:keepLines/>
              <w:jc w:val="center"/>
              <w:rPr>
                <w:rFonts w:ascii="Calibri" w:hAnsi="Calibri" w:cs="Calibri"/>
                <w:color w:val="17365D"/>
                <w:sz w:val="20"/>
                <w:szCs w:val="20"/>
              </w:rPr>
            </w:pPr>
            <w:r>
              <w:rPr>
                <w:rFonts w:ascii="Calibri" w:hAnsi="Calibri" w:cs="Calibri"/>
                <w:color w:val="17365D"/>
                <w:sz w:val="20"/>
                <w:szCs w:val="20"/>
              </w:rPr>
              <w:t>High</w:t>
            </w:r>
          </w:p>
        </w:tc>
      </w:tr>
    </w:tbl>
    <w:p w14:paraId="54297E26" w14:textId="77777777" w:rsidR="00C5189E" w:rsidRPr="00A731C8" w:rsidRDefault="00C5189E" w:rsidP="00C5189E">
      <w:pPr>
        <w:rPr>
          <w:rFonts w:asciiTheme="minorHAnsi" w:eastAsia="Calibri" w:hAnsiTheme="minorHAnsi" w:cstheme="minorHAnsi"/>
        </w:rPr>
      </w:pPr>
    </w:p>
    <w:p w14:paraId="56D96413" w14:textId="36322DD6" w:rsidR="00C5189E" w:rsidRDefault="00C5189E" w:rsidP="00C5189E">
      <w:pPr>
        <w:rPr>
          <w:rFonts w:asciiTheme="minorHAnsi" w:eastAsia="Calibri" w:hAnsiTheme="minorHAnsi" w:cstheme="minorHAnsi"/>
        </w:rPr>
      </w:pPr>
      <w:r w:rsidRPr="00A731C8">
        <w:rPr>
          <w:rFonts w:asciiTheme="minorHAnsi" w:eastAsia="Calibri" w:hAnsiTheme="minorHAnsi" w:cstheme="minorHAnsi"/>
        </w:rPr>
        <w:t>The Regulator will continue to monitor the cost recovery arrangements to ensure that they remain cost effective and equitable among licence holders.</w:t>
      </w:r>
    </w:p>
    <w:p w14:paraId="3E154089" w14:textId="5059A0C9" w:rsidR="003C294C" w:rsidRDefault="003C294C" w:rsidP="00C5189E">
      <w:pPr>
        <w:rPr>
          <w:rFonts w:asciiTheme="minorHAnsi" w:eastAsia="Calibri" w:hAnsiTheme="minorHAnsi" w:cstheme="minorHAnsi"/>
        </w:rPr>
      </w:pPr>
    </w:p>
    <w:p w14:paraId="7AE20F8F" w14:textId="3698D750" w:rsidR="003C294C" w:rsidRDefault="003C294C" w:rsidP="003C294C">
      <w:pPr>
        <w:pStyle w:val="CommentText"/>
        <w:rPr>
          <w:rFonts w:asciiTheme="minorHAnsi" w:hAnsiTheme="minorHAnsi" w:cstheme="minorHAnsi"/>
          <w:iCs/>
          <w:sz w:val="24"/>
          <w:szCs w:val="24"/>
          <w:lang w:val="en-US"/>
        </w:rPr>
      </w:pPr>
      <w:r w:rsidRPr="009B0DBC">
        <w:rPr>
          <w:rFonts w:asciiTheme="minorHAnsi" w:hAnsiTheme="minorHAnsi" w:cstheme="minorHAnsi"/>
          <w:iCs/>
          <w:sz w:val="24"/>
          <w:szCs w:val="24"/>
          <w:lang w:val="en-US"/>
        </w:rPr>
        <w:t xml:space="preserve">The major risk for </w:t>
      </w:r>
      <w:r>
        <w:rPr>
          <w:rFonts w:asciiTheme="minorHAnsi" w:hAnsiTheme="minorHAnsi" w:cstheme="minorHAnsi"/>
          <w:iCs/>
          <w:sz w:val="24"/>
          <w:szCs w:val="24"/>
          <w:lang w:val="en-US"/>
        </w:rPr>
        <w:t xml:space="preserve">the Regulator </w:t>
      </w:r>
      <w:r w:rsidRPr="009B0DBC">
        <w:rPr>
          <w:rFonts w:asciiTheme="minorHAnsi" w:hAnsiTheme="minorHAnsi" w:cstheme="minorHAnsi"/>
          <w:iCs/>
          <w:sz w:val="24"/>
          <w:szCs w:val="24"/>
          <w:lang w:val="en-US"/>
        </w:rPr>
        <w:t xml:space="preserve">would be a significant </w:t>
      </w:r>
      <w:r w:rsidRPr="00BF1623">
        <w:rPr>
          <w:rFonts w:asciiTheme="minorHAnsi" w:hAnsiTheme="minorHAnsi" w:cstheme="minorHAnsi"/>
          <w:iCs/>
          <w:sz w:val="24"/>
          <w:szCs w:val="24"/>
          <w:lang w:val="en-US"/>
        </w:rPr>
        <w:t>increase or</w:t>
      </w:r>
      <w:r w:rsidRPr="009B0DBC">
        <w:rPr>
          <w:rFonts w:asciiTheme="minorHAnsi" w:hAnsiTheme="minorHAnsi" w:cstheme="minorHAnsi"/>
          <w:iCs/>
          <w:sz w:val="24"/>
          <w:szCs w:val="24"/>
          <w:lang w:val="en-US"/>
        </w:rPr>
        <w:t xml:space="preserve"> decrease in the number </w:t>
      </w:r>
      <w:r>
        <w:rPr>
          <w:rFonts w:asciiTheme="minorHAnsi" w:hAnsiTheme="minorHAnsi" w:cstheme="minorHAnsi"/>
          <w:iCs/>
          <w:sz w:val="24"/>
          <w:szCs w:val="24"/>
          <w:lang w:val="en-US"/>
        </w:rPr>
        <w:t xml:space="preserve">and size of licences granted by the Registrar. This could result in either a substantial revenue deficit or surplus. For this </w:t>
      </w:r>
      <w:r>
        <w:rPr>
          <w:rFonts w:asciiTheme="minorHAnsi" w:hAnsiTheme="minorHAnsi" w:cstheme="minorHAnsi"/>
          <w:iCs/>
          <w:sz w:val="24"/>
          <w:szCs w:val="24"/>
          <w:lang w:val="en-US"/>
        </w:rPr>
        <w:lastRenderedPageBreak/>
        <w:t xml:space="preserve">reason the charging framework has been structured conservatively in the early stages and will be adapted over time in response to licencing and industry activity. </w:t>
      </w:r>
    </w:p>
    <w:p w14:paraId="2088F4AD" w14:textId="411F57CE" w:rsidR="003C294C" w:rsidRDefault="003C294C" w:rsidP="003C294C">
      <w:pPr>
        <w:pStyle w:val="CommentText"/>
        <w:rPr>
          <w:rFonts w:asciiTheme="minorHAnsi" w:hAnsiTheme="minorHAnsi" w:cstheme="minorHAnsi"/>
          <w:iCs/>
          <w:sz w:val="24"/>
          <w:szCs w:val="24"/>
          <w:lang w:val="en-US"/>
        </w:rPr>
      </w:pPr>
    </w:p>
    <w:p w14:paraId="197A10C5" w14:textId="1F00A4D0" w:rsidR="003C294C" w:rsidRPr="003C294C" w:rsidRDefault="003C294C" w:rsidP="003C294C">
      <w:pPr>
        <w:pStyle w:val="CommentText"/>
        <w:rPr>
          <w:rFonts w:asciiTheme="minorHAnsi" w:hAnsiTheme="minorHAnsi" w:cstheme="minorHAnsi"/>
          <w:iCs/>
          <w:sz w:val="24"/>
          <w:szCs w:val="24"/>
          <w:lang w:val="en-US"/>
        </w:rPr>
      </w:pPr>
      <w:r w:rsidRPr="003C294C">
        <w:rPr>
          <w:rFonts w:asciiTheme="minorHAnsi" w:hAnsiTheme="minorHAnsi" w:cstheme="minorHAnsi"/>
          <w:iCs/>
          <w:sz w:val="24"/>
          <w:szCs w:val="24"/>
          <w:lang w:val="en-US"/>
        </w:rPr>
        <w:t xml:space="preserve">Any required modifications in fees and/or levies will be considered as part of as part of a CRIS review cycle. </w:t>
      </w:r>
      <w:r w:rsidRPr="003C294C">
        <w:rPr>
          <w:rFonts w:asciiTheme="minorHAnsi" w:hAnsiTheme="minorHAnsi" w:cstheme="minorHAnsi"/>
          <w:iCs/>
          <w:sz w:val="24"/>
          <w:szCs w:val="24"/>
          <w:lang w:val="en-US"/>
        </w:rPr>
        <w:br/>
        <w:t xml:space="preserve">The Regulator will actively engage with industry representatives and raise issues relating to cost structures </w:t>
      </w:r>
      <w:r w:rsidRPr="003C294C">
        <w:rPr>
          <w:rFonts w:asciiTheme="minorHAnsi" w:hAnsiTheme="minorHAnsi" w:cstheme="minorHAnsi"/>
          <w:iCs/>
          <w:sz w:val="24"/>
          <w:szCs w:val="24"/>
          <w:lang w:val="en-US"/>
        </w:rPr>
        <w:br/>
        <w:t>as they arise</w:t>
      </w:r>
      <w:r>
        <w:rPr>
          <w:rFonts w:asciiTheme="minorHAnsi" w:hAnsiTheme="minorHAnsi" w:cstheme="minorHAnsi"/>
          <w:iCs/>
          <w:sz w:val="24"/>
          <w:szCs w:val="24"/>
          <w:lang w:val="en-US"/>
        </w:rPr>
        <w:t xml:space="preserve">. </w:t>
      </w:r>
    </w:p>
    <w:p w14:paraId="0288CDC8" w14:textId="77777777" w:rsidR="00C5189E" w:rsidRPr="002E39B6" w:rsidRDefault="00C5189E" w:rsidP="00C5189E">
      <w:pPr>
        <w:pStyle w:val="Heading2"/>
        <w:tabs>
          <w:tab w:val="clear" w:pos="576"/>
          <w:tab w:val="num" w:pos="709"/>
        </w:tabs>
        <w:ind w:left="709" w:hanging="709"/>
        <w:rPr>
          <w:rFonts w:asciiTheme="minorHAnsi" w:hAnsiTheme="minorHAnsi" w:cstheme="minorHAnsi"/>
          <w:i w:val="0"/>
          <w:iCs w:val="0"/>
        </w:rPr>
      </w:pPr>
      <w:bookmarkStart w:id="63" w:name="_Toc90968216"/>
      <w:bookmarkStart w:id="64" w:name="_Toc98772191"/>
      <w:r w:rsidRPr="002E39B6">
        <w:rPr>
          <w:rFonts w:asciiTheme="minorHAnsi" w:hAnsiTheme="minorHAnsi" w:cstheme="minorHAnsi"/>
          <w:i w:val="0"/>
          <w:iCs w:val="0"/>
        </w:rPr>
        <w:t>S</w:t>
      </w:r>
      <w:r>
        <w:rPr>
          <w:rFonts w:asciiTheme="minorHAnsi" w:hAnsiTheme="minorHAnsi" w:cstheme="minorHAnsi"/>
          <w:i w:val="0"/>
          <w:iCs w:val="0"/>
        </w:rPr>
        <w:t>takeholder Engagement</w:t>
      </w:r>
      <w:bookmarkEnd w:id="63"/>
      <w:bookmarkEnd w:id="64"/>
    </w:p>
    <w:p w14:paraId="40326BA3" w14:textId="77777777" w:rsidR="00C5189E" w:rsidRPr="0033665D" w:rsidRDefault="00C5189E" w:rsidP="0033665D">
      <w:pPr>
        <w:rPr>
          <w:rFonts w:asciiTheme="minorHAnsi" w:hAnsiTheme="minorHAnsi" w:cstheme="minorHAnsi"/>
          <w:b/>
          <w:bCs/>
          <w:i/>
          <w:iCs/>
        </w:rPr>
      </w:pPr>
      <w:bookmarkStart w:id="65" w:name="_Toc90968217"/>
      <w:r w:rsidRPr="0033665D">
        <w:rPr>
          <w:rFonts w:asciiTheme="minorHAnsi" w:hAnsiTheme="minorHAnsi" w:cstheme="minorHAnsi"/>
          <w:b/>
          <w:bCs/>
          <w:i/>
          <w:iCs/>
        </w:rPr>
        <w:t>Cost recovery consultation</w:t>
      </w:r>
      <w:bookmarkEnd w:id="65"/>
      <w:r w:rsidRPr="0033665D">
        <w:rPr>
          <w:rFonts w:asciiTheme="minorHAnsi" w:hAnsiTheme="minorHAnsi" w:cstheme="minorHAnsi"/>
          <w:b/>
          <w:bCs/>
          <w:i/>
          <w:iCs/>
        </w:rPr>
        <w:t xml:space="preserve"> </w:t>
      </w:r>
    </w:p>
    <w:p w14:paraId="371366CD" w14:textId="6452C464" w:rsidR="00C5189E" w:rsidRPr="00C5189E" w:rsidRDefault="00C5189E" w:rsidP="00C5189E">
      <w:pPr>
        <w:pStyle w:val="CommentText"/>
        <w:rPr>
          <w:rFonts w:asciiTheme="minorHAnsi" w:hAnsiTheme="minorHAnsi" w:cstheme="minorHAnsi"/>
          <w:b/>
          <w:bCs/>
          <w:iCs/>
          <w:sz w:val="24"/>
          <w:szCs w:val="24"/>
          <w:lang w:val="en-US"/>
        </w:rPr>
      </w:pPr>
      <w:r w:rsidRPr="00950A04">
        <w:rPr>
          <w:rFonts w:asciiTheme="minorHAnsi" w:hAnsiTheme="minorHAnsi" w:cstheme="minorHAnsi"/>
          <w:sz w:val="24"/>
          <w:szCs w:val="24"/>
        </w:rPr>
        <w:t>[To be included post consultation with industry]</w:t>
      </w:r>
    </w:p>
    <w:p w14:paraId="7E5B95AB" w14:textId="77777777" w:rsidR="00C5189E" w:rsidRPr="002E39B6" w:rsidRDefault="00C5189E" w:rsidP="00C5189E">
      <w:pPr>
        <w:pStyle w:val="Heading2"/>
        <w:tabs>
          <w:tab w:val="clear" w:pos="576"/>
          <w:tab w:val="num" w:pos="709"/>
        </w:tabs>
        <w:ind w:left="709" w:hanging="709"/>
        <w:rPr>
          <w:rFonts w:asciiTheme="minorHAnsi" w:hAnsiTheme="minorHAnsi" w:cstheme="minorHAnsi"/>
          <w:i w:val="0"/>
          <w:iCs w:val="0"/>
        </w:rPr>
      </w:pPr>
      <w:bookmarkStart w:id="66" w:name="_Toc90968218"/>
      <w:bookmarkStart w:id="67" w:name="_Toc98772192"/>
      <w:r w:rsidRPr="002E39B6">
        <w:rPr>
          <w:rFonts w:asciiTheme="minorHAnsi" w:hAnsiTheme="minorHAnsi" w:cstheme="minorHAnsi"/>
          <w:i w:val="0"/>
          <w:iCs w:val="0"/>
        </w:rPr>
        <w:t>F</w:t>
      </w:r>
      <w:r>
        <w:rPr>
          <w:rFonts w:asciiTheme="minorHAnsi" w:hAnsiTheme="minorHAnsi" w:cstheme="minorHAnsi"/>
          <w:i w:val="0"/>
          <w:iCs w:val="0"/>
        </w:rPr>
        <w:t>inancial Estimates</w:t>
      </w:r>
      <w:bookmarkEnd w:id="66"/>
      <w:bookmarkEnd w:id="67"/>
      <w:r w:rsidRPr="002E39B6">
        <w:rPr>
          <w:rFonts w:asciiTheme="minorHAnsi" w:hAnsiTheme="minorHAnsi" w:cstheme="minorHAnsi"/>
          <w:i w:val="0"/>
          <w:iCs w:val="0"/>
        </w:rPr>
        <w:t xml:space="preserve"> </w:t>
      </w:r>
    </w:p>
    <w:p w14:paraId="1A89C11A" w14:textId="13026F8C" w:rsidR="00C5189E" w:rsidRDefault="00C5189E" w:rsidP="00C5189E">
      <w:pPr>
        <w:rPr>
          <w:rFonts w:asciiTheme="minorHAnsi" w:eastAsia="Calibri" w:hAnsiTheme="minorHAnsi" w:cstheme="minorHAnsi"/>
        </w:rPr>
      </w:pPr>
      <w:r w:rsidRPr="00A731C8">
        <w:rPr>
          <w:rFonts w:asciiTheme="minorHAnsi" w:eastAsia="Calibri" w:hAnsiTheme="minorHAnsi" w:cstheme="minorHAnsi"/>
        </w:rPr>
        <w:t xml:space="preserve">Financial estimates are provided below in </w:t>
      </w:r>
      <w:r w:rsidRPr="00A731C8">
        <w:rPr>
          <w:rFonts w:asciiTheme="minorHAnsi" w:eastAsia="Calibri" w:hAnsiTheme="minorHAnsi" w:cstheme="minorHAnsi"/>
          <w:b/>
        </w:rPr>
        <w:t xml:space="preserve">Table </w:t>
      </w:r>
      <w:r>
        <w:rPr>
          <w:rFonts w:asciiTheme="minorHAnsi" w:eastAsia="Calibri" w:hAnsiTheme="minorHAnsi" w:cstheme="minorHAnsi"/>
          <w:b/>
        </w:rPr>
        <w:t>1</w:t>
      </w:r>
      <w:r w:rsidRPr="00A731C8">
        <w:rPr>
          <w:rFonts w:asciiTheme="minorHAnsi" w:eastAsia="Calibri" w:hAnsiTheme="minorHAnsi" w:cstheme="minorHAnsi"/>
          <w:b/>
        </w:rPr>
        <w:t>8</w:t>
      </w:r>
      <w:r w:rsidRPr="00A731C8">
        <w:rPr>
          <w:rFonts w:asciiTheme="minorHAnsi" w:eastAsia="Calibri" w:hAnsiTheme="minorHAnsi" w:cstheme="minorHAnsi"/>
        </w:rPr>
        <w:t>.  As these financial estimates change the CRIS will be updated accordingly.</w:t>
      </w:r>
    </w:p>
    <w:p w14:paraId="5F7E0E39" w14:textId="01F47BAD" w:rsidR="00E77E32" w:rsidRDefault="00E77E32" w:rsidP="00C5189E">
      <w:pPr>
        <w:rPr>
          <w:rFonts w:asciiTheme="minorHAnsi" w:eastAsia="Calibri" w:hAnsiTheme="minorHAnsi" w:cstheme="minorHAnsi"/>
        </w:rPr>
      </w:pPr>
    </w:p>
    <w:p w14:paraId="31C1BF37" w14:textId="4C335874" w:rsidR="00C5189E" w:rsidRPr="00E77E32" w:rsidRDefault="00E77E32" w:rsidP="00E77E32">
      <w:pPr>
        <w:rPr>
          <w:rFonts w:asciiTheme="minorHAnsi" w:eastAsia="Calibri" w:hAnsiTheme="minorHAnsi" w:cstheme="minorHAnsi"/>
        </w:rPr>
      </w:pPr>
      <w:r>
        <w:rPr>
          <w:rFonts w:ascii="Calibri" w:hAnsi="Calibri" w:cs="Calibri"/>
          <w:b/>
          <w:bCs/>
          <w:color w:val="000000"/>
        </w:rPr>
        <w:t>Table 18</w:t>
      </w:r>
      <w:r>
        <w:rPr>
          <w:rFonts w:ascii="Calibri" w:hAnsi="Calibri" w:cs="Calibri"/>
          <w:color w:val="000000"/>
        </w:rPr>
        <w:t>: Summary of financial estimates for 2022-23 to 2024-25</w:t>
      </w:r>
    </w:p>
    <w:tbl>
      <w:tblPr>
        <w:tblW w:w="7632" w:type="dxa"/>
        <w:tblInd w:w="-10" w:type="dxa"/>
        <w:tblCellMar>
          <w:left w:w="0" w:type="dxa"/>
          <w:right w:w="0" w:type="dxa"/>
        </w:tblCellMar>
        <w:tblLook w:val="04A0" w:firstRow="1" w:lastRow="0" w:firstColumn="1" w:lastColumn="0" w:noHBand="0" w:noVBand="1"/>
      </w:tblPr>
      <w:tblGrid>
        <w:gridCol w:w="2320"/>
        <w:gridCol w:w="1760"/>
        <w:gridCol w:w="1776"/>
        <w:gridCol w:w="1776"/>
      </w:tblGrid>
      <w:tr w:rsidR="00C5189E" w14:paraId="25681404" w14:textId="77777777" w:rsidTr="00E77E32">
        <w:trPr>
          <w:trHeight w:val="263"/>
        </w:trPr>
        <w:tc>
          <w:tcPr>
            <w:tcW w:w="2320" w:type="dxa"/>
            <w:vMerge w:val="restart"/>
            <w:tcBorders>
              <w:top w:val="nil"/>
              <w:left w:val="single" w:sz="8" w:space="0" w:color="4F81BD"/>
              <w:bottom w:val="single" w:sz="8" w:space="0" w:color="4F81BD"/>
              <w:right w:val="nil"/>
            </w:tcBorders>
            <w:shd w:val="clear" w:color="000000" w:fill="4F81BD"/>
            <w:vAlign w:val="center"/>
            <w:hideMark/>
          </w:tcPr>
          <w:p w14:paraId="418182C7" w14:textId="77777777" w:rsidR="00C5189E" w:rsidRDefault="00C5189E" w:rsidP="00D637F6">
            <w:pPr>
              <w:rPr>
                <w:rFonts w:ascii="Calibri" w:hAnsi="Calibri" w:cs="Calibri"/>
                <w:b/>
                <w:bCs/>
                <w:color w:val="FFFFFF"/>
                <w:sz w:val="20"/>
                <w:szCs w:val="20"/>
              </w:rPr>
            </w:pPr>
            <w:r>
              <w:rPr>
                <w:rFonts w:ascii="Calibri" w:hAnsi="Calibri" w:cs="Calibri"/>
                <w:b/>
                <w:bCs/>
                <w:color w:val="FFFFFF"/>
                <w:sz w:val="20"/>
                <w:szCs w:val="20"/>
              </w:rPr>
              <w:t> </w:t>
            </w:r>
          </w:p>
        </w:tc>
        <w:tc>
          <w:tcPr>
            <w:tcW w:w="1760" w:type="dxa"/>
            <w:tcBorders>
              <w:top w:val="nil"/>
              <w:left w:val="nil"/>
              <w:bottom w:val="nil"/>
              <w:right w:val="nil"/>
            </w:tcBorders>
            <w:shd w:val="clear" w:color="000000" w:fill="4F81BD"/>
            <w:vAlign w:val="center"/>
            <w:hideMark/>
          </w:tcPr>
          <w:p w14:paraId="2082EFA6" w14:textId="77777777" w:rsidR="00C5189E" w:rsidRDefault="00C5189E" w:rsidP="00D637F6">
            <w:pPr>
              <w:jc w:val="center"/>
              <w:rPr>
                <w:rFonts w:ascii="Calibri" w:hAnsi="Calibri" w:cs="Calibri"/>
                <w:b/>
                <w:bCs/>
                <w:color w:val="FFFFFF"/>
                <w:sz w:val="20"/>
                <w:szCs w:val="20"/>
              </w:rPr>
            </w:pPr>
            <w:r>
              <w:rPr>
                <w:rFonts w:ascii="Calibri" w:hAnsi="Calibri" w:cs="Calibri"/>
                <w:b/>
                <w:bCs/>
                <w:color w:val="FFFFFF"/>
                <w:sz w:val="20"/>
                <w:szCs w:val="20"/>
              </w:rPr>
              <w:t>2022-23</w:t>
            </w:r>
          </w:p>
        </w:tc>
        <w:tc>
          <w:tcPr>
            <w:tcW w:w="1776" w:type="dxa"/>
            <w:tcBorders>
              <w:top w:val="nil"/>
              <w:left w:val="nil"/>
              <w:bottom w:val="nil"/>
              <w:right w:val="nil"/>
            </w:tcBorders>
            <w:shd w:val="clear" w:color="000000" w:fill="4F81BD"/>
            <w:vAlign w:val="center"/>
            <w:hideMark/>
          </w:tcPr>
          <w:p w14:paraId="5A308799" w14:textId="77777777" w:rsidR="00C5189E" w:rsidRDefault="00C5189E" w:rsidP="00D637F6">
            <w:pPr>
              <w:jc w:val="center"/>
              <w:rPr>
                <w:rFonts w:ascii="Calibri" w:hAnsi="Calibri" w:cs="Calibri"/>
                <w:b/>
                <w:bCs/>
                <w:color w:val="FFFFFF"/>
                <w:sz w:val="20"/>
                <w:szCs w:val="20"/>
              </w:rPr>
            </w:pPr>
            <w:r>
              <w:rPr>
                <w:rFonts w:ascii="Calibri" w:hAnsi="Calibri" w:cs="Calibri"/>
                <w:b/>
                <w:bCs/>
                <w:color w:val="FFFFFF"/>
                <w:sz w:val="20"/>
                <w:szCs w:val="20"/>
              </w:rPr>
              <w:t>2023-24</w:t>
            </w:r>
          </w:p>
        </w:tc>
        <w:tc>
          <w:tcPr>
            <w:tcW w:w="1776" w:type="dxa"/>
            <w:tcBorders>
              <w:top w:val="nil"/>
              <w:left w:val="nil"/>
              <w:bottom w:val="nil"/>
              <w:right w:val="single" w:sz="8" w:space="0" w:color="4F81BD"/>
            </w:tcBorders>
            <w:shd w:val="clear" w:color="000000" w:fill="4F81BD"/>
            <w:vAlign w:val="center"/>
            <w:hideMark/>
          </w:tcPr>
          <w:p w14:paraId="12CEDFB0" w14:textId="77777777" w:rsidR="00C5189E" w:rsidRDefault="00C5189E" w:rsidP="00D637F6">
            <w:pPr>
              <w:jc w:val="center"/>
              <w:rPr>
                <w:rFonts w:ascii="Calibri" w:hAnsi="Calibri" w:cs="Calibri"/>
                <w:b/>
                <w:bCs/>
                <w:color w:val="FFFFFF"/>
                <w:sz w:val="20"/>
                <w:szCs w:val="20"/>
              </w:rPr>
            </w:pPr>
            <w:r>
              <w:rPr>
                <w:rFonts w:ascii="Calibri" w:hAnsi="Calibri" w:cs="Calibri"/>
                <w:b/>
                <w:bCs/>
                <w:color w:val="FFFFFF"/>
                <w:sz w:val="20"/>
                <w:szCs w:val="20"/>
              </w:rPr>
              <w:t>2024-25</w:t>
            </w:r>
          </w:p>
        </w:tc>
      </w:tr>
      <w:tr w:rsidR="00C5189E" w14:paraId="08723023" w14:textId="77777777" w:rsidTr="00E77E32">
        <w:trPr>
          <w:trHeight w:val="270"/>
        </w:trPr>
        <w:tc>
          <w:tcPr>
            <w:tcW w:w="0" w:type="auto"/>
            <w:vMerge/>
            <w:tcBorders>
              <w:top w:val="nil"/>
              <w:left w:val="single" w:sz="8" w:space="0" w:color="4F81BD"/>
              <w:bottom w:val="single" w:sz="8" w:space="0" w:color="4F81BD"/>
              <w:right w:val="nil"/>
            </w:tcBorders>
            <w:vAlign w:val="center"/>
            <w:hideMark/>
          </w:tcPr>
          <w:p w14:paraId="24D4B652" w14:textId="77777777" w:rsidR="00C5189E" w:rsidRDefault="00C5189E" w:rsidP="00D637F6">
            <w:pPr>
              <w:rPr>
                <w:rFonts w:ascii="Calibri" w:hAnsi="Calibri" w:cs="Calibri"/>
                <w:b/>
                <w:bCs/>
                <w:color w:val="FFFFFF"/>
                <w:sz w:val="20"/>
                <w:szCs w:val="20"/>
              </w:rPr>
            </w:pPr>
          </w:p>
        </w:tc>
        <w:tc>
          <w:tcPr>
            <w:tcW w:w="1760" w:type="dxa"/>
            <w:tcBorders>
              <w:top w:val="nil"/>
              <w:left w:val="nil"/>
              <w:bottom w:val="single" w:sz="8" w:space="0" w:color="4F81BD"/>
              <w:right w:val="nil"/>
            </w:tcBorders>
            <w:shd w:val="clear" w:color="000000" w:fill="4F81BD"/>
            <w:vAlign w:val="center"/>
            <w:hideMark/>
          </w:tcPr>
          <w:p w14:paraId="0F632B9A" w14:textId="77777777" w:rsidR="00C5189E" w:rsidRDefault="00C5189E" w:rsidP="00D637F6">
            <w:pPr>
              <w:jc w:val="center"/>
              <w:rPr>
                <w:rFonts w:ascii="Calibri" w:hAnsi="Calibri" w:cs="Calibri"/>
                <w:color w:val="FFFFFF"/>
                <w:sz w:val="20"/>
                <w:szCs w:val="20"/>
              </w:rPr>
            </w:pPr>
            <w:r>
              <w:rPr>
                <w:rFonts w:ascii="Calibri" w:hAnsi="Calibri" w:cs="Calibri"/>
                <w:color w:val="FFFFFF"/>
                <w:sz w:val="20"/>
                <w:szCs w:val="20"/>
              </w:rPr>
              <w:t>$000 </w:t>
            </w:r>
          </w:p>
        </w:tc>
        <w:tc>
          <w:tcPr>
            <w:tcW w:w="1776" w:type="dxa"/>
            <w:tcBorders>
              <w:top w:val="nil"/>
              <w:left w:val="nil"/>
              <w:bottom w:val="single" w:sz="8" w:space="0" w:color="4F81BD"/>
              <w:right w:val="nil"/>
            </w:tcBorders>
            <w:shd w:val="clear" w:color="000000" w:fill="4F81BD"/>
            <w:vAlign w:val="center"/>
            <w:hideMark/>
          </w:tcPr>
          <w:p w14:paraId="6A8C752E" w14:textId="77777777" w:rsidR="00C5189E" w:rsidRDefault="00C5189E" w:rsidP="00D637F6">
            <w:pPr>
              <w:jc w:val="center"/>
              <w:rPr>
                <w:rFonts w:ascii="Calibri" w:hAnsi="Calibri" w:cs="Calibri"/>
                <w:color w:val="FFFFFF"/>
                <w:sz w:val="20"/>
                <w:szCs w:val="20"/>
              </w:rPr>
            </w:pPr>
            <w:r>
              <w:rPr>
                <w:rFonts w:ascii="Calibri" w:hAnsi="Calibri" w:cs="Calibri"/>
                <w:color w:val="FFFFFF"/>
                <w:sz w:val="20"/>
                <w:szCs w:val="20"/>
              </w:rPr>
              <w:t> $000</w:t>
            </w:r>
          </w:p>
        </w:tc>
        <w:tc>
          <w:tcPr>
            <w:tcW w:w="1776" w:type="dxa"/>
            <w:tcBorders>
              <w:top w:val="nil"/>
              <w:left w:val="nil"/>
              <w:bottom w:val="single" w:sz="8" w:space="0" w:color="4F81BD"/>
              <w:right w:val="single" w:sz="8" w:space="0" w:color="4F81BD"/>
            </w:tcBorders>
            <w:shd w:val="clear" w:color="000000" w:fill="4F81BD"/>
            <w:vAlign w:val="center"/>
            <w:hideMark/>
          </w:tcPr>
          <w:p w14:paraId="2978556E" w14:textId="77777777" w:rsidR="00C5189E" w:rsidRDefault="00C5189E" w:rsidP="00D637F6">
            <w:pPr>
              <w:jc w:val="center"/>
              <w:rPr>
                <w:rFonts w:ascii="Calibri" w:hAnsi="Calibri" w:cs="Calibri"/>
                <w:color w:val="FFFFFF"/>
                <w:sz w:val="20"/>
                <w:szCs w:val="20"/>
              </w:rPr>
            </w:pPr>
            <w:r>
              <w:rPr>
                <w:rFonts w:ascii="Calibri" w:hAnsi="Calibri" w:cs="Calibri"/>
                <w:color w:val="FFFFFF"/>
                <w:sz w:val="20"/>
                <w:szCs w:val="20"/>
              </w:rPr>
              <w:t>$000 </w:t>
            </w:r>
          </w:p>
        </w:tc>
      </w:tr>
      <w:tr w:rsidR="00C5189E" w14:paraId="301FFA1E" w14:textId="77777777" w:rsidTr="00E77E32">
        <w:trPr>
          <w:trHeight w:val="270"/>
        </w:trPr>
        <w:tc>
          <w:tcPr>
            <w:tcW w:w="2320" w:type="dxa"/>
            <w:tcBorders>
              <w:top w:val="nil"/>
              <w:left w:val="single" w:sz="8" w:space="0" w:color="95B3D7"/>
              <w:bottom w:val="single" w:sz="8" w:space="0" w:color="95B3D7"/>
              <w:right w:val="single" w:sz="8" w:space="0" w:color="95B3D7"/>
            </w:tcBorders>
            <w:shd w:val="clear" w:color="000000" w:fill="DBE5F1"/>
            <w:vAlign w:val="center"/>
            <w:hideMark/>
          </w:tcPr>
          <w:p w14:paraId="1FAD53A8" w14:textId="77777777" w:rsidR="00C5189E" w:rsidRDefault="00C5189E" w:rsidP="00D637F6">
            <w:pPr>
              <w:rPr>
                <w:rFonts w:ascii="Calibri" w:hAnsi="Calibri" w:cs="Calibri"/>
                <w:color w:val="17365D"/>
                <w:sz w:val="20"/>
                <w:szCs w:val="20"/>
              </w:rPr>
            </w:pPr>
            <w:r>
              <w:rPr>
                <w:rFonts w:ascii="Calibri" w:hAnsi="Calibri" w:cs="Calibri"/>
                <w:color w:val="17365D"/>
                <w:sz w:val="20"/>
                <w:szCs w:val="20"/>
              </w:rPr>
              <w:t>Revenue</w:t>
            </w:r>
          </w:p>
        </w:tc>
        <w:tc>
          <w:tcPr>
            <w:tcW w:w="1760" w:type="dxa"/>
            <w:tcBorders>
              <w:top w:val="nil"/>
              <w:left w:val="nil"/>
              <w:bottom w:val="single" w:sz="8" w:space="0" w:color="95B3D7"/>
              <w:right w:val="single" w:sz="8" w:space="0" w:color="95B3D7"/>
            </w:tcBorders>
            <w:shd w:val="clear" w:color="000000" w:fill="DBE5F1"/>
            <w:vAlign w:val="center"/>
            <w:hideMark/>
          </w:tcPr>
          <w:p w14:paraId="576F1C90" w14:textId="3A8F7B8D" w:rsidR="00C5189E" w:rsidRDefault="00C5189E" w:rsidP="00D637F6">
            <w:pPr>
              <w:jc w:val="center"/>
              <w:rPr>
                <w:rFonts w:ascii="Calibri" w:hAnsi="Calibri" w:cs="Calibri"/>
                <w:color w:val="17365D"/>
                <w:sz w:val="20"/>
                <w:szCs w:val="20"/>
              </w:rPr>
            </w:pPr>
            <w:r>
              <w:rPr>
                <w:rFonts w:ascii="Calibri" w:hAnsi="Calibri" w:cs="Calibri"/>
                <w:color w:val="17365D"/>
                <w:sz w:val="20"/>
                <w:szCs w:val="20"/>
              </w:rPr>
              <w:t>$1,</w:t>
            </w:r>
            <w:r w:rsidR="0017693E">
              <w:rPr>
                <w:rFonts w:ascii="Calibri" w:hAnsi="Calibri" w:cs="Calibri"/>
                <w:color w:val="17365D"/>
                <w:sz w:val="20"/>
                <w:szCs w:val="20"/>
              </w:rPr>
              <w:t>3</w:t>
            </w:r>
            <w:r>
              <w:rPr>
                <w:rFonts w:ascii="Calibri" w:hAnsi="Calibri" w:cs="Calibri"/>
                <w:color w:val="17365D"/>
                <w:sz w:val="20"/>
                <w:szCs w:val="20"/>
              </w:rPr>
              <w:t>00</w:t>
            </w:r>
          </w:p>
        </w:tc>
        <w:tc>
          <w:tcPr>
            <w:tcW w:w="1776" w:type="dxa"/>
            <w:tcBorders>
              <w:top w:val="nil"/>
              <w:left w:val="nil"/>
              <w:bottom w:val="single" w:sz="8" w:space="0" w:color="95B3D7"/>
              <w:right w:val="single" w:sz="8" w:space="0" w:color="95B3D7"/>
            </w:tcBorders>
            <w:shd w:val="clear" w:color="000000" w:fill="DBE5F1"/>
            <w:vAlign w:val="center"/>
            <w:hideMark/>
          </w:tcPr>
          <w:p w14:paraId="5CA7938E" w14:textId="2D83B501" w:rsidR="00C5189E" w:rsidRDefault="00C5189E" w:rsidP="00D637F6">
            <w:pPr>
              <w:jc w:val="center"/>
              <w:rPr>
                <w:rFonts w:ascii="Calibri" w:hAnsi="Calibri" w:cs="Calibri"/>
                <w:color w:val="17365D"/>
                <w:sz w:val="20"/>
                <w:szCs w:val="20"/>
              </w:rPr>
            </w:pPr>
            <w:r>
              <w:rPr>
                <w:rFonts w:ascii="Calibri" w:hAnsi="Calibri" w:cs="Calibri"/>
                <w:color w:val="17365D"/>
                <w:sz w:val="20"/>
                <w:szCs w:val="20"/>
              </w:rPr>
              <w:t>$3,</w:t>
            </w:r>
            <w:r w:rsidR="0017693E">
              <w:rPr>
                <w:rFonts w:ascii="Calibri" w:hAnsi="Calibri" w:cs="Calibri"/>
                <w:color w:val="17365D"/>
                <w:sz w:val="20"/>
                <w:szCs w:val="20"/>
              </w:rPr>
              <w:t>350</w:t>
            </w:r>
          </w:p>
        </w:tc>
        <w:tc>
          <w:tcPr>
            <w:tcW w:w="1776" w:type="dxa"/>
            <w:tcBorders>
              <w:top w:val="nil"/>
              <w:left w:val="nil"/>
              <w:bottom w:val="single" w:sz="8" w:space="0" w:color="95B3D7"/>
              <w:right w:val="single" w:sz="8" w:space="0" w:color="95B3D7"/>
            </w:tcBorders>
            <w:shd w:val="clear" w:color="000000" w:fill="DBE5F1"/>
            <w:vAlign w:val="center"/>
            <w:hideMark/>
          </w:tcPr>
          <w:p w14:paraId="23D4A739" w14:textId="30C3A69B" w:rsidR="00C5189E" w:rsidRDefault="00C5189E" w:rsidP="00D637F6">
            <w:pPr>
              <w:jc w:val="center"/>
              <w:rPr>
                <w:rFonts w:ascii="Calibri" w:hAnsi="Calibri" w:cs="Calibri"/>
                <w:color w:val="17365D"/>
                <w:sz w:val="20"/>
                <w:szCs w:val="20"/>
              </w:rPr>
            </w:pPr>
            <w:r>
              <w:rPr>
                <w:rFonts w:ascii="Calibri" w:hAnsi="Calibri" w:cs="Calibri"/>
                <w:color w:val="17365D"/>
                <w:sz w:val="20"/>
                <w:szCs w:val="20"/>
              </w:rPr>
              <w:t>$</w:t>
            </w:r>
            <w:r w:rsidR="009557EB">
              <w:rPr>
                <w:rFonts w:ascii="Calibri" w:hAnsi="Calibri" w:cs="Calibri"/>
                <w:color w:val="17365D"/>
                <w:sz w:val="20"/>
                <w:szCs w:val="20"/>
              </w:rPr>
              <w:t>5,300</w:t>
            </w:r>
          </w:p>
        </w:tc>
      </w:tr>
      <w:tr w:rsidR="00C5189E" w14:paraId="31642A1D" w14:textId="77777777" w:rsidTr="00E77E32">
        <w:trPr>
          <w:trHeight w:val="270"/>
        </w:trPr>
        <w:tc>
          <w:tcPr>
            <w:tcW w:w="2320" w:type="dxa"/>
            <w:tcBorders>
              <w:top w:val="nil"/>
              <w:left w:val="single" w:sz="8" w:space="0" w:color="95B3D7"/>
              <w:bottom w:val="single" w:sz="8" w:space="0" w:color="95B3D7"/>
              <w:right w:val="single" w:sz="8" w:space="0" w:color="95B3D7"/>
            </w:tcBorders>
            <w:shd w:val="clear" w:color="auto" w:fill="auto"/>
            <w:vAlign w:val="center"/>
            <w:hideMark/>
          </w:tcPr>
          <w:p w14:paraId="55CB2484" w14:textId="77777777" w:rsidR="00C5189E" w:rsidRDefault="00C5189E" w:rsidP="00D637F6">
            <w:pPr>
              <w:rPr>
                <w:rFonts w:ascii="Calibri" w:hAnsi="Calibri" w:cs="Calibri"/>
                <w:color w:val="17365D"/>
                <w:sz w:val="20"/>
                <w:szCs w:val="20"/>
              </w:rPr>
            </w:pPr>
            <w:r>
              <w:rPr>
                <w:rFonts w:ascii="Calibri" w:hAnsi="Calibri" w:cs="Calibri"/>
                <w:color w:val="17365D"/>
                <w:sz w:val="20"/>
                <w:szCs w:val="20"/>
              </w:rPr>
              <w:t>Expenses</w:t>
            </w:r>
          </w:p>
        </w:tc>
        <w:tc>
          <w:tcPr>
            <w:tcW w:w="1760" w:type="dxa"/>
            <w:tcBorders>
              <w:top w:val="nil"/>
              <w:left w:val="nil"/>
              <w:bottom w:val="single" w:sz="8" w:space="0" w:color="95B3D7"/>
              <w:right w:val="single" w:sz="8" w:space="0" w:color="95B3D7"/>
            </w:tcBorders>
            <w:shd w:val="clear" w:color="auto" w:fill="auto"/>
            <w:vAlign w:val="center"/>
            <w:hideMark/>
          </w:tcPr>
          <w:p w14:paraId="6D44D110" w14:textId="77777777" w:rsidR="00C5189E" w:rsidRDefault="00C5189E" w:rsidP="00D637F6">
            <w:pPr>
              <w:jc w:val="center"/>
              <w:rPr>
                <w:rFonts w:ascii="Calibri" w:hAnsi="Calibri" w:cs="Calibri"/>
                <w:color w:val="17365D"/>
                <w:sz w:val="20"/>
                <w:szCs w:val="20"/>
              </w:rPr>
            </w:pPr>
            <w:r>
              <w:rPr>
                <w:rFonts w:ascii="Calibri" w:hAnsi="Calibri" w:cs="Calibri"/>
                <w:color w:val="17365D"/>
                <w:sz w:val="20"/>
                <w:szCs w:val="20"/>
              </w:rPr>
              <w:t>$1,701</w:t>
            </w:r>
          </w:p>
        </w:tc>
        <w:tc>
          <w:tcPr>
            <w:tcW w:w="1776" w:type="dxa"/>
            <w:tcBorders>
              <w:top w:val="nil"/>
              <w:left w:val="nil"/>
              <w:bottom w:val="single" w:sz="8" w:space="0" w:color="95B3D7"/>
              <w:right w:val="single" w:sz="8" w:space="0" w:color="95B3D7"/>
            </w:tcBorders>
            <w:shd w:val="clear" w:color="auto" w:fill="auto"/>
            <w:vAlign w:val="center"/>
            <w:hideMark/>
          </w:tcPr>
          <w:p w14:paraId="04154F59" w14:textId="77777777" w:rsidR="00C5189E" w:rsidRDefault="00C5189E" w:rsidP="00D637F6">
            <w:pPr>
              <w:jc w:val="center"/>
              <w:rPr>
                <w:rFonts w:ascii="Calibri" w:hAnsi="Calibri" w:cs="Calibri"/>
                <w:color w:val="17365D"/>
                <w:sz w:val="20"/>
                <w:szCs w:val="20"/>
              </w:rPr>
            </w:pPr>
            <w:r>
              <w:rPr>
                <w:rFonts w:ascii="Calibri" w:hAnsi="Calibri" w:cs="Calibri"/>
                <w:color w:val="17365D"/>
                <w:sz w:val="20"/>
                <w:szCs w:val="20"/>
              </w:rPr>
              <w:t>$2,361</w:t>
            </w:r>
          </w:p>
        </w:tc>
        <w:tc>
          <w:tcPr>
            <w:tcW w:w="1776" w:type="dxa"/>
            <w:tcBorders>
              <w:top w:val="nil"/>
              <w:left w:val="nil"/>
              <w:bottom w:val="single" w:sz="8" w:space="0" w:color="95B3D7"/>
              <w:right w:val="single" w:sz="8" w:space="0" w:color="95B3D7"/>
            </w:tcBorders>
            <w:shd w:val="clear" w:color="auto" w:fill="auto"/>
            <w:vAlign w:val="center"/>
            <w:hideMark/>
          </w:tcPr>
          <w:p w14:paraId="4091B89D" w14:textId="77777777" w:rsidR="00C5189E" w:rsidRDefault="00C5189E" w:rsidP="00D637F6">
            <w:pPr>
              <w:jc w:val="center"/>
              <w:rPr>
                <w:rFonts w:ascii="Calibri" w:hAnsi="Calibri" w:cs="Calibri"/>
                <w:color w:val="17365D"/>
                <w:sz w:val="20"/>
                <w:szCs w:val="20"/>
              </w:rPr>
            </w:pPr>
            <w:r>
              <w:rPr>
                <w:rFonts w:ascii="Calibri" w:hAnsi="Calibri" w:cs="Calibri"/>
                <w:color w:val="17365D"/>
                <w:sz w:val="20"/>
                <w:szCs w:val="20"/>
              </w:rPr>
              <w:t>$2,824</w:t>
            </w:r>
          </w:p>
        </w:tc>
      </w:tr>
      <w:tr w:rsidR="00C5189E" w14:paraId="02779FF7" w14:textId="77777777" w:rsidTr="00E77E32">
        <w:trPr>
          <w:trHeight w:val="300"/>
        </w:trPr>
        <w:tc>
          <w:tcPr>
            <w:tcW w:w="2320" w:type="dxa"/>
            <w:tcBorders>
              <w:top w:val="nil"/>
              <w:left w:val="single" w:sz="8" w:space="0" w:color="95B3D7"/>
              <w:bottom w:val="single" w:sz="8" w:space="0" w:color="95B3D7"/>
              <w:right w:val="single" w:sz="8" w:space="0" w:color="95B3D7"/>
            </w:tcBorders>
            <w:shd w:val="clear" w:color="000000" w:fill="DBE5F1"/>
            <w:vAlign w:val="center"/>
            <w:hideMark/>
          </w:tcPr>
          <w:p w14:paraId="6AB07486" w14:textId="77777777" w:rsidR="00C5189E" w:rsidRDefault="00C5189E" w:rsidP="00D637F6">
            <w:pPr>
              <w:rPr>
                <w:rFonts w:ascii="Calibri" w:hAnsi="Calibri" w:cs="Calibri"/>
                <w:color w:val="17365D"/>
                <w:sz w:val="20"/>
                <w:szCs w:val="20"/>
              </w:rPr>
            </w:pPr>
            <w:r>
              <w:rPr>
                <w:rFonts w:ascii="Calibri" w:hAnsi="Calibri" w:cs="Calibri"/>
                <w:color w:val="17365D"/>
                <w:sz w:val="20"/>
                <w:szCs w:val="20"/>
              </w:rPr>
              <w:t>Surplus/(Deficit)</w:t>
            </w:r>
          </w:p>
        </w:tc>
        <w:tc>
          <w:tcPr>
            <w:tcW w:w="1760" w:type="dxa"/>
            <w:tcBorders>
              <w:top w:val="nil"/>
              <w:left w:val="nil"/>
              <w:bottom w:val="single" w:sz="8" w:space="0" w:color="95B3D7"/>
              <w:right w:val="single" w:sz="8" w:space="0" w:color="95B3D7"/>
            </w:tcBorders>
            <w:shd w:val="clear" w:color="000000" w:fill="DBE5F1"/>
            <w:vAlign w:val="center"/>
            <w:hideMark/>
          </w:tcPr>
          <w:p w14:paraId="0E73184B" w14:textId="5CDB4779" w:rsidR="00C5189E" w:rsidRDefault="00C5189E" w:rsidP="00D637F6">
            <w:pPr>
              <w:jc w:val="center"/>
              <w:rPr>
                <w:rFonts w:ascii="Calibri" w:hAnsi="Calibri" w:cs="Calibri"/>
                <w:color w:val="17365D"/>
                <w:sz w:val="20"/>
                <w:szCs w:val="20"/>
              </w:rPr>
            </w:pPr>
            <w:r>
              <w:rPr>
                <w:rFonts w:ascii="Calibri" w:hAnsi="Calibri" w:cs="Calibri"/>
                <w:color w:val="17365D"/>
                <w:sz w:val="20"/>
                <w:szCs w:val="20"/>
              </w:rPr>
              <w:t>$(</w:t>
            </w:r>
            <w:r w:rsidR="0017693E">
              <w:rPr>
                <w:rFonts w:ascii="Calibri" w:hAnsi="Calibri" w:cs="Calibri"/>
                <w:color w:val="17365D"/>
                <w:sz w:val="20"/>
                <w:szCs w:val="20"/>
              </w:rPr>
              <w:t>4</w:t>
            </w:r>
            <w:r>
              <w:rPr>
                <w:rFonts w:ascii="Calibri" w:hAnsi="Calibri" w:cs="Calibri"/>
                <w:color w:val="17365D"/>
                <w:sz w:val="20"/>
                <w:szCs w:val="20"/>
              </w:rPr>
              <w:t>01)</w:t>
            </w:r>
          </w:p>
        </w:tc>
        <w:tc>
          <w:tcPr>
            <w:tcW w:w="1776" w:type="dxa"/>
            <w:tcBorders>
              <w:top w:val="nil"/>
              <w:left w:val="nil"/>
              <w:bottom w:val="single" w:sz="8" w:space="0" w:color="95B3D7"/>
              <w:right w:val="single" w:sz="8" w:space="0" w:color="95B3D7"/>
            </w:tcBorders>
            <w:shd w:val="clear" w:color="000000" w:fill="DBE5F1"/>
            <w:vAlign w:val="center"/>
            <w:hideMark/>
          </w:tcPr>
          <w:p w14:paraId="7077A007" w14:textId="6351CB84" w:rsidR="00C5189E" w:rsidRDefault="00C5189E" w:rsidP="00D637F6">
            <w:pPr>
              <w:jc w:val="center"/>
              <w:rPr>
                <w:rFonts w:ascii="Calibri" w:hAnsi="Calibri" w:cs="Calibri"/>
                <w:color w:val="17365D"/>
                <w:sz w:val="20"/>
                <w:szCs w:val="20"/>
              </w:rPr>
            </w:pPr>
            <w:r>
              <w:rPr>
                <w:rFonts w:ascii="Calibri" w:hAnsi="Calibri" w:cs="Calibri"/>
                <w:color w:val="17365D"/>
                <w:sz w:val="20"/>
                <w:szCs w:val="20"/>
              </w:rPr>
              <w:t>$</w:t>
            </w:r>
            <w:r w:rsidR="0017693E">
              <w:rPr>
                <w:rFonts w:ascii="Calibri" w:hAnsi="Calibri" w:cs="Calibri"/>
                <w:color w:val="17365D"/>
                <w:sz w:val="20"/>
                <w:szCs w:val="20"/>
              </w:rPr>
              <w:t>989</w:t>
            </w:r>
          </w:p>
        </w:tc>
        <w:tc>
          <w:tcPr>
            <w:tcW w:w="1776" w:type="dxa"/>
            <w:tcBorders>
              <w:top w:val="nil"/>
              <w:left w:val="nil"/>
              <w:bottom w:val="single" w:sz="8" w:space="0" w:color="95B3D7"/>
              <w:right w:val="single" w:sz="8" w:space="0" w:color="95B3D7"/>
            </w:tcBorders>
            <w:shd w:val="clear" w:color="000000" w:fill="DBE5F1"/>
            <w:vAlign w:val="center"/>
            <w:hideMark/>
          </w:tcPr>
          <w:p w14:paraId="384321E2" w14:textId="53F969A2" w:rsidR="00C5189E" w:rsidRDefault="00C5189E" w:rsidP="00D637F6">
            <w:pPr>
              <w:jc w:val="center"/>
              <w:rPr>
                <w:rFonts w:ascii="Calibri" w:hAnsi="Calibri" w:cs="Calibri"/>
                <w:color w:val="17365D"/>
                <w:sz w:val="20"/>
                <w:szCs w:val="20"/>
              </w:rPr>
            </w:pPr>
            <w:r>
              <w:rPr>
                <w:rFonts w:ascii="Calibri" w:hAnsi="Calibri" w:cs="Calibri"/>
                <w:color w:val="17365D"/>
                <w:sz w:val="20"/>
                <w:szCs w:val="20"/>
              </w:rPr>
              <w:t>$</w:t>
            </w:r>
            <w:r w:rsidR="009557EB">
              <w:rPr>
                <w:rFonts w:ascii="Calibri" w:hAnsi="Calibri" w:cs="Calibri"/>
                <w:color w:val="17365D"/>
                <w:sz w:val="20"/>
                <w:szCs w:val="20"/>
              </w:rPr>
              <w:t>2,476</w:t>
            </w:r>
          </w:p>
        </w:tc>
      </w:tr>
    </w:tbl>
    <w:p w14:paraId="149DD50C" w14:textId="77777777" w:rsidR="00CF4B97" w:rsidRDefault="00CF4B97" w:rsidP="00CF4B97">
      <w:pPr>
        <w:ind w:right="270"/>
        <w:rPr>
          <w:rFonts w:asciiTheme="minorHAnsi" w:hAnsiTheme="minorHAnsi" w:cstheme="minorHAnsi"/>
        </w:rPr>
      </w:pPr>
      <w:bookmarkStart w:id="68" w:name="_Toc90968219"/>
    </w:p>
    <w:p w14:paraId="3D4F6DB4" w14:textId="6A031DDF" w:rsidR="00CF4B97" w:rsidRDefault="00CF4B97" w:rsidP="00CF4B97">
      <w:pPr>
        <w:ind w:right="270"/>
        <w:rPr>
          <w:rFonts w:asciiTheme="minorHAnsi" w:hAnsiTheme="minorHAnsi" w:cstheme="minorHAnsi"/>
        </w:rPr>
      </w:pPr>
      <w:r>
        <w:rPr>
          <w:rFonts w:asciiTheme="minorHAnsi" w:hAnsiTheme="minorHAnsi" w:cstheme="minorHAnsi"/>
        </w:rPr>
        <w:t>The OEI framework is due to commence on 2 June 2022 unless an earlier date is fixed by proclamation. Once the framework commences, there are a number of processes required before licences can be applied for and granted. This includes the declaration of an area as suitable for offshore renewable energy infrastructure and the commencement of supporting regulations that, amongst other things, set out the licensing scheme. Once these processes have been undertaken, it will take additional time for the Registrar to assess any applications and for the Minister to grant licences. As a result it is anticipated that cost recovery charging for the Regulator’s regulatory activities will not commence until mid-2023 at the earliest.</w:t>
      </w:r>
    </w:p>
    <w:p w14:paraId="2B3054B4" w14:textId="77777777" w:rsidR="00CF4B97" w:rsidRDefault="00CF4B97" w:rsidP="00CF4B97">
      <w:pPr>
        <w:ind w:right="270"/>
        <w:rPr>
          <w:rFonts w:asciiTheme="minorHAnsi" w:hAnsiTheme="minorHAnsi" w:cstheme="minorHAnsi"/>
        </w:rPr>
      </w:pPr>
    </w:p>
    <w:p w14:paraId="782E4DB6" w14:textId="77777777" w:rsidR="00CF4B97" w:rsidRPr="00092BC7" w:rsidRDefault="00CF4B97" w:rsidP="00CF4B97">
      <w:pPr>
        <w:ind w:right="270"/>
      </w:pPr>
      <w:r>
        <w:rPr>
          <w:rFonts w:asciiTheme="minorHAnsi" w:hAnsiTheme="minorHAnsi" w:cstheme="minorHAnsi"/>
        </w:rPr>
        <w:t xml:space="preserve">As the OEI framework is new, and the industry in its infancy, it is anticipated that it will take until late 2023-24 for the Regulator to potentially be operating with a surplus. It will take time for the industry to develop and for the cumulative effect of granted licences to reach a point where full cost recovery </w:t>
      </w:r>
      <w:r>
        <w:rPr>
          <w:rFonts w:asciiTheme="minorHAnsi" w:hAnsiTheme="minorHAnsi" w:cstheme="minorHAnsi"/>
        </w:rPr>
        <w:br/>
        <w:t>is occurring.</w:t>
      </w:r>
    </w:p>
    <w:p w14:paraId="3B0B6A89" w14:textId="2C0AD7C5" w:rsidR="00C5189E" w:rsidRPr="002E39B6" w:rsidRDefault="00C5189E" w:rsidP="00C5189E">
      <w:pPr>
        <w:pStyle w:val="Heading2"/>
        <w:tabs>
          <w:tab w:val="clear" w:pos="576"/>
          <w:tab w:val="num" w:pos="709"/>
        </w:tabs>
        <w:ind w:left="709" w:hanging="709"/>
        <w:rPr>
          <w:rFonts w:asciiTheme="minorHAnsi" w:hAnsiTheme="minorHAnsi" w:cstheme="minorHAnsi"/>
          <w:i w:val="0"/>
          <w:iCs w:val="0"/>
        </w:rPr>
      </w:pPr>
      <w:bookmarkStart w:id="69" w:name="_Toc98772193"/>
      <w:r w:rsidRPr="002E39B6">
        <w:rPr>
          <w:rFonts w:asciiTheme="minorHAnsi" w:hAnsiTheme="minorHAnsi" w:cstheme="minorHAnsi"/>
          <w:i w:val="0"/>
          <w:iCs w:val="0"/>
        </w:rPr>
        <w:t>N</w:t>
      </w:r>
      <w:r>
        <w:rPr>
          <w:rFonts w:asciiTheme="minorHAnsi" w:hAnsiTheme="minorHAnsi" w:cstheme="minorHAnsi"/>
          <w:i w:val="0"/>
          <w:iCs w:val="0"/>
        </w:rPr>
        <w:t>on-Financial Performance</w:t>
      </w:r>
      <w:bookmarkEnd w:id="68"/>
      <w:bookmarkEnd w:id="69"/>
    </w:p>
    <w:p w14:paraId="7A8E7E03" w14:textId="78A2595F" w:rsidR="00C5189E" w:rsidRPr="00C5189E" w:rsidRDefault="00C5189E" w:rsidP="00F0376F">
      <w:pPr>
        <w:rPr>
          <w:rFonts w:asciiTheme="minorHAnsi" w:hAnsiTheme="minorHAnsi" w:cstheme="minorHAnsi"/>
        </w:rPr>
      </w:pPr>
      <w:r w:rsidRPr="00A731C8">
        <w:rPr>
          <w:rFonts w:asciiTheme="minorHAnsi" w:hAnsiTheme="minorHAnsi" w:cstheme="minorHAnsi"/>
        </w:rPr>
        <w:t xml:space="preserve">The Regulator’s regulation of the offshore electricity infrastructure sector is subject to a range of governance controls including, parliamentary oversight, ministerial policy direction and independent statutory reviews. </w:t>
      </w:r>
      <w:bookmarkEnd w:id="27"/>
    </w:p>
    <w:sectPr w:rsidR="00C5189E" w:rsidRPr="00C5189E" w:rsidSect="00B3709C">
      <w:pgSz w:w="12240" w:h="15840"/>
      <w:pgMar w:top="720" w:right="720"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B97A4" w14:textId="77777777" w:rsidR="00EF61E7" w:rsidRDefault="00EF61E7" w:rsidP="008B679D">
      <w:r>
        <w:separator/>
      </w:r>
    </w:p>
  </w:endnote>
  <w:endnote w:type="continuationSeparator" w:id="0">
    <w:p w14:paraId="74C39CFB" w14:textId="77777777" w:rsidR="00EF61E7" w:rsidRDefault="00EF61E7" w:rsidP="008B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E8528" w14:textId="2174B13D" w:rsidR="00F44233" w:rsidRDefault="00F44233">
    <w:pPr>
      <w:pStyle w:val="Footer"/>
    </w:pPr>
    <w:r>
      <w:rPr>
        <w:noProof/>
        <w:lang w:eastAsia="en-AU"/>
      </w:rPr>
      <mc:AlternateContent>
        <mc:Choice Requires="wps">
          <w:drawing>
            <wp:anchor distT="0" distB="0" distL="0" distR="0" simplePos="0" relativeHeight="251659264" behindDoc="0" locked="0" layoutInCell="1" allowOverlap="1" wp14:anchorId="14C02816" wp14:editId="16875941">
              <wp:simplePos x="635" y="635"/>
              <wp:positionH relativeFrom="column">
                <wp:align>center</wp:align>
              </wp:positionH>
              <wp:positionV relativeFrom="paragraph">
                <wp:posOffset>635</wp:posOffset>
              </wp:positionV>
              <wp:extent cx="443865" cy="443865"/>
              <wp:effectExtent l="0" t="0" r="18415" b="10795"/>
              <wp:wrapSquare wrapText="bothSides"/>
              <wp:docPr id="5" name="Text Box 5"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9CB41C" w14:textId="3EB67FBF" w:rsidR="00F44233" w:rsidRPr="004B5186" w:rsidRDefault="00F44233">
                          <w:pPr>
                            <w:rPr>
                              <w:rFonts w:ascii="Arial" w:eastAsia="Arial" w:hAnsi="Arial" w:cs="Arial"/>
                              <w:color w:val="FF0000"/>
                              <w:sz w:val="22"/>
                              <w:szCs w:val="22"/>
                            </w:rPr>
                          </w:pPr>
                          <w:r w:rsidRPr="004B5186">
                            <w:rPr>
                              <w:rFonts w:ascii="Arial" w:eastAsia="Arial" w:hAnsi="Arial" w:cs="Arial"/>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C02816" id="_x0000_t202" coordsize="21600,21600" o:spt="202" path="m,l,21600r21600,l21600,xe">
              <v:stroke joinstyle="miter"/>
              <v:path gradientshapeok="t" o:connecttype="rect"/>
            </v:shapetype>
            <v:shape id="Text Box 5" o:spid="_x0000_s1031"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VnXgIAAKIEAAAOAAAAZHJzL2Uyb0RvYy54bWysVF1v2jAUfZ+0/2D5nQYYbVlEqAI0UyVU&#10;KsHUZ+M4ECmxLduQdNP+e48d0m3dnqa9mJv7fc69l9ldW1fkLIwtlUzo6GpIiZBc5aU8JPTrLhtM&#10;KbGOyZxVSoqEvghL7+YfP8waHYuxOqoqF4YgibRxoxN6dE7HUWT5UdTMXiktJIyFMjVz+DSHKDes&#10;Qfa6isbD4U3UKJNro7iwFtpVZ6TzkL8oBHeborDCkSqh6M2F14R3799oPmPxwTB9LPmlDfYPXdSs&#10;lCj6lmrFHCMnU/6Rqi65UVYV7oqrOlJFUXIRMADNaPgOzfbItAhYQI7VbzTZ/5eWP56fDCnzhF5T&#10;IlmNEe1E68hCtQSaXFgOtjZZ9rB8SNcBIsxr6zxY7xhAfr9O7yejLB0PlsMsG0wmt8PB58VqMrjO&#10;0tUynd4uF/fjH57sKESF+KjRNg71/bSCuNVoxrUojl3y7l5vofTV2sLU/hekEdgxzZe3CfpOOJST&#10;yafpDfrmMF3krmgfrI11X4SqiRcSarAgARQ7o6fOtXfxtaTKyqqCnsWV/E0BIF4TQHQd+l5du28D&#10;m+O++73KXwDKqG71rOZZidJrZt0TM9g14MD9uA2eolJNQtVFouSozLe/6b0/VgBWShrsbkIljouS&#10;6kFiNfya94LphX0vyFO9VDiGEe5S8yAiwLiqFwuj6mccVeprwMQkR6WEul5cuu5+cJRcpGlwwjJr&#10;5tZyq7lP7ZnyNO7aZ2b0hWuHIT2qfqdZ/I7yztdHWp2eHIgP8/CsdhxeyMYhhDW6HK2/tF+/g9fP&#10;v5b5K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b5JFZ14CAACiBAAADgAAAAAAAAAAAAAAAAAuAgAAZHJzL2Uyb0RvYy54bWxQSwEC&#10;LQAUAAYACAAAACEAhLDTKNYAAAADAQAADwAAAAAAAAAAAAAAAAC4BAAAZHJzL2Rvd25yZXYueG1s&#10;UEsFBgAAAAAEAAQA8wAAALsFAAAAAA==&#10;" filled="f" stroked="f">
              <v:textbox style="mso-fit-shape-to-text:t" inset="0,0,0,0">
                <w:txbxContent>
                  <w:p w14:paraId="489CB41C" w14:textId="3EB67FBF" w:rsidR="00F44233" w:rsidRPr="004B5186" w:rsidRDefault="00F44233">
                    <w:pPr>
                      <w:rPr>
                        <w:rFonts w:ascii="Arial" w:eastAsia="Arial" w:hAnsi="Arial" w:cs="Arial"/>
                        <w:color w:val="FF0000"/>
                        <w:sz w:val="22"/>
                        <w:szCs w:val="22"/>
                      </w:rPr>
                    </w:pPr>
                    <w:r w:rsidRPr="004B5186">
                      <w:rPr>
                        <w:rFonts w:ascii="Arial" w:eastAsia="Arial" w:hAnsi="Arial" w:cs="Arial"/>
                        <w:color w:val="FF0000"/>
                        <w:sz w:val="22"/>
                        <w:szCs w:val="22"/>
                      </w:rPr>
                      <w:t>OFFICIAL</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119AA" w14:textId="27CC13DA" w:rsidR="00F44233" w:rsidRPr="00107D3F" w:rsidRDefault="00EF61E7" w:rsidP="0049626C">
    <w:pPr>
      <w:pStyle w:val="Footer"/>
      <w:jc w:val="center"/>
      <w:rPr>
        <w:color w:val="000000" w:themeColor="text1"/>
      </w:rPr>
    </w:pPr>
    <w:sdt>
      <w:sdtPr>
        <w:rPr>
          <w:color w:val="000000" w:themeColor="text1"/>
        </w:rPr>
        <w:id w:val="436551888"/>
        <w:docPartObj>
          <w:docPartGallery w:val="Page Numbers (Bottom of Page)"/>
          <w:docPartUnique/>
        </w:docPartObj>
      </w:sdtPr>
      <w:sdtEndPr/>
      <w:sdtContent>
        <w:sdt>
          <w:sdtPr>
            <w:rPr>
              <w:color w:val="000000" w:themeColor="text1"/>
            </w:rPr>
            <w:id w:val="565050523"/>
            <w:docPartObj>
              <w:docPartGallery w:val="Page Numbers (Top of Page)"/>
              <w:docPartUnique/>
            </w:docPartObj>
          </w:sdtPr>
          <w:sdtEndPr/>
          <w:sdtContent>
            <w:r w:rsidR="00F44233" w:rsidRPr="00107D3F">
              <w:rPr>
                <w:color w:val="000000" w:themeColor="text1"/>
              </w:rPr>
              <w:t xml:space="preserve">Page </w:t>
            </w:r>
            <w:r w:rsidR="00F44233" w:rsidRPr="00107D3F">
              <w:rPr>
                <w:b/>
                <w:color w:val="000000" w:themeColor="text1"/>
              </w:rPr>
              <w:fldChar w:fldCharType="begin"/>
            </w:r>
            <w:r w:rsidR="00F44233" w:rsidRPr="00107D3F">
              <w:rPr>
                <w:b/>
                <w:color w:val="000000" w:themeColor="text1"/>
              </w:rPr>
              <w:instrText xml:space="preserve"> PAGE </w:instrText>
            </w:r>
            <w:r w:rsidR="00F44233" w:rsidRPr="00107D3F">
              <w:rPr>
                <w:b/>
                <w:color w:val="000000" w:themeColor="text1"/>
              </w:rPr>
              <w:fldChar w:fldCharType="separate"/>
            </w:r>
            <w:r w:rsidR="00251F03">
              <w:rPr>
                <w:b/>
                <w:noProof/>
                <w:color w:val="000000" w:themeColor="text1"/>
              </w:rPr>
              <w:t>3</w:t>
            </w:r>
            <w:r w:rsidR="00F44233" w:rsidRPr="00107D3F">
              <w:rPr>
                <w:b/>
                <w:color w:val="000000" w:themeColor="text1"/>
              </w:rPr>
              <w:fldChar w:fldCharType="end"/>
            </w:r>
            <w:r w:rsidR="00F44233" w:rsidRPr="00107D3F">
              <w:rPr>
                <w:color w:val="000000" w:themeColor="text1"/>
              </w:rPr>
              <w:t xml:space="preserve"> of </w:t>
            </w:r>
            <w:r w:rsidR="00F44233" w:rsidRPr="00107D3F">
              <w:rPr>
                <w:b/>
                <w:color w:val="000000" w:themeColor="text1"/>
              </w:rPr>
              <w:fldChar w:fldCharType="begin"/>
            </w:r>
            <w:r w:rsidR="00F44233" w:rsidRPr="00107D3F">
              <w:rPr>
                <w:b/>
                <w:color w:val="000000" w:themeColor="text1"/>
              </w:rPr>
              <w:instrText xml:space="preserve"> NUMPAGES  </w:instrText>
            </w:r>
            <w:r w:rsidR="00F44233" w:rsidRPr="00107D3F">
              <w:rPr>
                <w:b/>
                <w:color w:val="000000" w:themeColor="text1"/>
              </w:rPr>
              <w:fldChar w:fldCharType="separate"/>
            </w:r>
            <w:r w:rsidR="00251F03">
              <w:rPr>
                <w:b/>
                <w:noProof/>
                <w:color w:val="000000" w:themeColor="text1"/>
              </w:rPr>
              <w:t>39</w:t>
            </w:r>
            <w:r w:rsidR="00F44233" w:rsidRPr="00107D3F">
              <w:rPr>
                <w:b/>
                <w:color w:val="000000" w:themeColor="text1"/>
              </w:rPr>
              <w:fldChar w:fldCharType="end"/>
            </w:r>
          </w:sdtContent>
        </w:sdt>
      </w:sdtContent>
    </w:sdt>
  </w:p>
  <w:p w14:paraId="7DB25D81" w14:textId="77777777" w:rsidR="00F44233" w:rsidRDefault="00F442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273C0" w14:textId="409961C7" w:rsidR="00F44233" w:rsidRDefault="00F44233">
    <w:pPr>
      <w:pStyle w:val="Footer"/>
    </w:pPr>
    <w:r>
      <w:rPr>
        <w:noProof/>
        <w:lang w:eastAsia="en-AU"/>
      </w:rPr>
      <mc:AlternateContent>
        <mc:Choice Requires="wps">
          <w:drawing>
            <wp:anchor distT="0" distB="0" distL="0" distR="0" simplePos="0" relativeHeight="251658240" behindDoc="0" locked="0" layoutInCell="1" allowOverlap="1" wp14:anchorId="5748DCEB" wp14:editId="235483DC">
              <wp:simplePos x="635" y="635"/>
              <wp:positionH relativeFrom="column">
                <wp:align>center</wp:align>
              </wp:positionH>
              <wp:positionV relativeFrom="paragraph">
                <wp:posOffset>635</wp:posOffset>
              </wp:positionV>
              <wp:extent cx="443865" cy="443865"/>
              <wp:effectExtent l="0" t="0" r="18415" b="10795"/>
              <wp:wrapSquare wrapText="bothSides"/>
              <wp:docPr id="4" name="Text Box 4"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B4837" w14:textId="657E304F" w:rsidR="00F44233" w:rsidRPr="004B5186" w:rsidRDefault="00F44233">
                          <w:pPr>
                            <w:rPr>
                              <w:rFonts w:ascii="Arial" w:eastAsia="Arial" w:hAnsi="Arial" w:cs="Arial"/>
                              <w:color w:val="FF0000"/>
                              <w:sz w:val="22"/>
                              <w:szCs w:val="22"/>
                            </w:rPr>
                          </w:pPr>
                          <w:r w:rsidRPr="004B5186">
                            <w:rPr>
                              <w:rFonts w:ascii="Arial" w:eastAsia="Arial" w:hAnsi="Arial" w:cs="Arial"/>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48DCEB" id="_x0000_t202" coordsize="21600,21600" o:spt="202" path="m,l,21600r21600,l21600,xe">
              <v:stroke joinstyle="miter"/>
              <v:path gradientshapeok="t" o:connecttype="rect"/>
            </v:shapetype>
            <v:shape id="Text Box 4" o:spid="_x0000_s1033"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1AXQIAAKIEAAAOAAAAZHJzL2Uyb0RvYy54bWysVEuP2jAQvlfqf7B8hwQadmlEWAXYVCuh&#10;ZSWo9mwch0SKH7INCa3633fsJLTd9lT1Yibz/r6ZYfHQ8hpdmDaVFAmejEOMmKAyr8QpwV8P2WiO&#10;kbFE5KSWgiX4ygx+WH78sGhUzKaylHXONIIkwsSNSnBprYqDwNCScWLGUjEBxkJqTix86lOQa9JA&#10;dl4H0zC8Cxqpc6UlZcaAdtMZ8dLnLwpG7a4oDLOoTjD0Zv2r/Xt0b7BckPikiSor2rdB/qELTioB&#10;RW+pNsQSdNbVH6l4RbU0srBjKnkgi6KizGMANJPwHZp9SRTzWIAco240mf+Xlj5fXjSq8gRHGAnC&#10;YUQH1lq0ki0CTc4MBbZ2Wfa0fkq3HiKYt8Y6sM7Rg/w+Sx+jSZZOR+swy0ZRdB+OPq820WiWpZt1&#10;Or9frx6nPxzZgY/y8UGjTOzru2l5ca+gGdtCcdgl5+70BpSuWlto7n6BNAR2mOb1NkHXCQVlFH2a&#10;380womDq5a7oEKy0sV+Y5MgJCdawIB4UuUBPnevg4moJmVV1DXoS1+I3BQBxGg+i69D1attj27PZ&#10;d3+U+RVAadmtnlE0q6D0lhj7QjTsGuCA+7E7eIpaNgmWvYRRKfW3v+mdP6wAWDFqYHcTLOC4MKqf&#10;BKyGW/NB0INwHARx5msJxzCBu1TUixCgbT2IhZb8FY4qdTXARASFSgm2g7i23f3AUVKWpt4JllkR&#10;uxV7RV1qx5Sj8dC+Eq16ri0M6VkOO03id5R3vi7SqPRsgXg/D8dqx2FPNhyCX6P+aN2l/frtvX7+&#10;tSzf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BZRT1AXQIAAKIEAAAOAAAAAAAAAAAAAAAAAC4CAABkcnMvZTJvRG9jLnhtbFBLAQIt&#10;ABQABgAIAAAAIQCEsNMo1gAAAAMBAAAPAAAAAAAAAAAAAAAAALcEAABkcnMvZG93bnJldi54bWxQ&#10;SwUGAAAAAAQABADzAAAAugUAAAAA&#10;" filled="f" stroked="f">
              <v:textbox style="mso-fit-shape-to-text:t" inset="0,0,0,0">
                <w:txbxContent>
                  <w:p w14:paraId="262B4837" w14:textId="657E304F" w:rsidR="00F44233" w:rsidRPr="004B5186" w:rsidRDefault="00F44233">
                    <w:pPr>
                      <w:rPr>
                        <w:rFonts w:ascii="Arial" w:eastAsia="Arial" w:hAnsi="Arial" w:cs="Arial"/>
                        <w:color w:val="FF0000"/>
                        <w:sz w:val="22"/>
                        <w:szCs w:val="22"/>
                      </w:rPr>
                    </w:pPr>
                    <w:r w:rsidRPr="004B5186">
                      <w:rPr>
                        <w:rFonts w:ascii="Arial" w:eastAsia="Arial" w:hAnsi="Arial" w:cs="Arial"/>
                        <w:color w:val="FF0000"/>
                        <w:sz w:val="22"/>
                        <w:szCs w:val="22"/>
                      </w:rPr>
                      <w:t>OFFICIAL</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A757A" w14:textId="77777777" w:rsidR="00EF61E7" w:rsidRDefault="00EF61E7" w:rsidP="008B679D">
      <w:r>
        <w:separator/>
      </w:r>
    </w:p>
  </w:footnote>
  <w:footnote w:type="continuationSeparator" w:id="0">
    <w:p w14:paraId="747E3F27" w14:textId="77777777" w:rsidR="00EF61E7" w:rsidRDefault="00EF61E7" w:rsidP="008B679D">
      <w:r>
        <w:continuationSeparator/>
      </w:r>
    </w:p>
  </w:footnote>
  <w:footnote w:id="1">
    <w:p w14:paraId="26633052" w14:textId="77777777" w:rsidR="00F44233" w:rsidRPr="006A2116" w:rsidRDefault="00F44233" w:rsidP="00101163">
      <w:pPr>
        <w:pStyle w:val="FootnoteText"/>
      </w:pPr>
      <w:r w:rsidRPr="007A7DA5">
        <w:rPr>
          <w:rStyle w:val="FootnoteReference"/>
          <w:color w:val="auto"/>
          <w:sz w:val="16"/>
          <w:szCs w:val="16"/>
        </w:rPr>
        <w:footnoteRef/>
      </w:r>
      <w:r w:rsidRPr="007A7DA5">
        <w:rPr>
          <w:rStyle w:val="FootnoteReference"/>
          <w:color w:val="auto"/>
          <w:sz w:val="16"/>
          <w:szCs w:val="16"/>
        </w:rPr>
        <w:t xml:space="preserve"> </w:t>
      </w:r>
      <w:r>
        <w:t>The Australian Government Charging Framework and the CRGs are available on the Department of Finance website (</w:t>
      </w:r>
      <w:hyperlink r:id="rId1" w:history="1">
        <w:r w:rsidRPr="00101163">
          <w:rPr>
            <w:rStyle w:val="Hyperlink"/>
          </w:rPr>
          <w:t>www.</w:t>
        </w:r>
        <w:r w:rsidRPr="00A91DC2">
          <w:rPr>
            <w:rStyle w:val="Hyperlink"/>
            <w:color w:val="auto"/>
          </w:rPr>
          <w:t>finance</w:t>
        </w:r>
        <w:r w:rsidRPr="006A2116">
          <w:rPr>
            <w:rStyle w:val="Hyperlink"/>
          </w:rPr>
          <w:t>.gov.au</w:t>
        </w:r>
      </w:hyperlink>
      <w:r>
        <w:t>)</w:t>
      </w:r>
      <w:r w:rsidRPr="006A2116">
        <w:t>.</w:t>
      </w:r>
    </w:p>
  </w:footnote>
  <w:footnote w:id="2">
    <w:p w14:paraId="7E4490B5" w14:textId="0B7BAE79" w:rsidR="00F44233" w:rsidRDefault="00F44233">
      <w:pPr>
        <w:pStyle w:val="FootnoteText"/>
      </w:pPr>
      <w:r>
        <w:rPr>
          <w:rStyle w:val="FootnoteReference"/>
        </w:rPr>
        <w:footnoteRef/>
      </w:r>
      <w:r>
        <w:t xml:space="preserve"> Note: The Specialist Technical Officer will increase to 2.5 FTE for commercial licence applications.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B1A64" w14:textId="7A373F09" w:rsidR="00F44233" w:rsidRDefault="00F44233">
    <w:pPr>
      <w:pStyle w:val="Header"/>
    </w:pPr>
    <w:r>
      <w:rPr>
        <w:noProof/>
        <w:lang w:eastAsia="en-AU"/>
      </w:rPr>
      <mc:AlternateContent>
        <mc:Choice Requires="wps">
          <w:drawing>
            <wp:anchor distT="0" distB="0" distL="0" distR="0" simplePos="0" relativeHeight="251656192" behindDoc="0" locked="0" layoutInCell="1" allowOverlap="1" wp14:anchorId="347A3701" wp14:editId="634BBC6E">
              <wp:simplePos x="635" y="635"/>
              <wp:positionH relativeFrom="column">
                <wp:align>center</wp:align>
              </wp:positionH>
              <wp:positionV relativeFrom="paragraph">
                <wp:posOffset>635</wp:posOffset>
              </wp:positionV>
              <wp:extent cx="443865" cy="443865"/>
              <wp:effectExtent l="0" t="0" r="18415" b="10795"/>
              <wp:wrapSquare wrapText="bothSides"/>
              <wp:docPr id="2" name="Text Box 2"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53E6F1" w14:textId="6CCF92F3" w:rsidR="00F44233" w:rsidRPr="004B5186" w:rsidRDefault="00F44233">
                          <w:pPr>
                            <w:rPr>
                              <w:rFonts w:ascii="Arial" w:eastAsia="Arial" w:hAnsi="Arial" w:cs="Arial"/>
                              <w:color w:val="FF0000"/>
                              <w:sz w:val="22"/>
                              <w:szCs w:val="22"/>
                            </w:rPr>
                          </w:pPr>
                          <w:r w:rsidRPr="004B5186">
                            <w:rPr>
                              <w:rFonts w:ascii="Arial" w:eastAsia="Arial" w:hAnsi="Arial" w:cs="Arial"/>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7A3701" id="_x0000_t202" coordsize="21600,21600" o:spt="202" path="m,l,21600r21600,l21600,xe">
              <v:stroke joinstyle="miter"/>
              <v:path gradientshapeok="t" o:connecttype="rect"/>
            </v:shapetype>
            <v:shape id="Text Box 2" o:spid="_x0000_s1029" type="#_x0000_t202" alt="OFFICIAL"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jgWwIAAJsEAAAOAAAAZHJzL2Uyb0RvYy54bWysVEuP2jAQvlfqf7B8hwQadmlEWAXYVCuh&#10;ZSWo9mwch0SKH7INCa3633fsJLTd9lT1Yibz/r6ZYfHQ8hpdmDaVFAmejEOMmKAyr8QpwV8P2WiO&#10;kbFE5KSWgiX4ygx+WH78sGhUzKaylHXONIIkwsSNSnBprYqDwNCScWLGUjEBxkJqTix86lOQa9JA&#10;dl4H0zC8Cxqpc6UlZcaAdtMZ8dLnLwpG7a4oDLOoTjD0Zv2r/Xt0b7BckPikiSor2rdB/qELTioB&#10;RW+pNsQSdNbVH6l4RbU0srBjKnkgi6KizGMANJPwHZp9SRTzWIAco240mf+Xlj5fXjSq8gRPMRKE&#10;w4gOrLVoJVsEmpwZCmztsuxp/ZRuPUQwb411YJ2jB/l9lj5GkyydjtZhlo2i6D4cfV5totEsSzfr&#10;dH6/Xj1OfziyAx/l44NGmdjXd9Py4l5BM7aF4rBLzt3pDShdtbbQ3P0CaQjsMM3rbYKuEwrKKPo0&#10;v5thRMHUy13RIVhpY78wyZETEqxhQTwocoGeOtfBxdUSMqvqGvQkrsVvCgDiNB5E16Hr1bbHtm/7&#10;KPMroNGy2zmjaFZBzS0x9oVoWDIAAIdjd/AUtWwSLHsJo1Lqb3/TO3+YPVgxamBpEyzgqjCqnwTs&#10;hNvvQdCDcBwEceZrCVcwgYNU1IsQoG09iIWW/BWuKXU1wEQEhUoJtoO4tt3hwDVSlqbeCbZYEbsV&#10;e0VdakeR4+/QvhKtepItTOdZDstM4ndcd74u0qj0bIFxPwhHZ8dhzzJcgN+f/lrdif367b1+/qcs&#10;3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ONf44FsCAACbBAAADgAAAAAAAAAAAAAAAAAuAgAAZHJzL2Uyb0RvYy54bWxQSwECLQAU&#10;AAYACAAAACEAhLDTKNYAAAADAQAADwAAAAAAAAAAAAAAAAC1BAAAZHJzL2Rvd25yZXYueG1sUEsF&#10;BgAAAAAEAAQA8wAAALgFAAAAAA==&#10;" filled="f" stroked="f">
              <v:textbox style="mso-fit-shape-to-text:t" inset="0,0,0,0">
                <w:txbxContent>
                  <w:p w14:paraId="4B53E6F1" w14:textId="6CCF92F3" w:rsidR="00F44233" w:rsidRPr="004B5186" w:rsidRDefault="00F44233">
                    <w:pPr>
                      <w:rPr>
                        <w:rFonts w:ascii="Arial" w:eastAsia="Arial" w:hAnsi="Arial" w:cs="Arial"/>
                        <w:color w:val="FF0000"/>
                        <w:sz w:val="22"/>
                        <w:szCs w:val="22"/>
                      </w:rPr>
                    </w:pPr>
                    <w:r w:rsidRPr="004B5186">
                      <w:rPr>
                        <w:rFonts w:ascii="Arial" w:eastAsia="Arial" w:hAnsi="Arial" w:cs="Arial"/>
                        <w:color w:val="FF0000"/>
                        <w:sz w:val="22"/>
                        <w:szCs w:val="22"/>
                      </w:rPr>
                      <w:t>OFFICIAL</w:t>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26550" w14:textId="74A85C26" w:rsidR="00F44233" w:rsidRDefault="00F44233">
    <w:pPr>
      <w:pStyle w:val="Header"/>
    </w:pPr>
    <w:r>
      <w:rPr>
        <w:noProof/>
        <w:lang w:eastAsia="en-AU"/>
      </w:rPr>
      <mc:AlternateContent>
        <mc:Choice Requires="wps">
          <w:drawing>
            <wp:anchor distT="0" distB="0" distL="0" distR="0" simplePos="0" relativeHeight="251657216" behindDoc="0" locked="0" layoutInCell="1" allowOverlap="1" wp14:anchorId="79E4189C" wp14:editId="58A7297D">
              <wp:simplePos x="723900" y="447675"/>
              <wp:positionH relativeFrom="column">
                <wp:align>center</wp:align>
              </wp:positionH>
              <wp:positionV relativeFrom="paragraph">
                <wp:posOffset>635</wp:posOffset>
              </wp:positionV>
              <wp:extent cx="443865" cy="443865"/>
              <wp:effectExtent l="0" t="0" r="18415" b="10795"/>
              <wp:wrapSquare wrapText="bothSides"/>
              <wp:docPr id="3" name="Text Box 3"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C1CCD" w14:textId="26D62177" w:rsidR="00F44233" w:rsidRPr="004B5186" w:rsidRDefault="00F44233">
                          <w:pPr>
                            <w:rPr>
                              <w:rFonts w:ascii="Arial" w:eastAsia="Arial" w:hAnsi="Arial" w:cs="Arial"/>
                              <w:color w:val="FF0000"/>
                              <w:sz w:val="22"/>
                              <w:szCs w:val="22"/>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E4189C" id="_x0000_t202" coordsize="21600,21600" o:spt="202" path="m,l,21600r21600,l21600,xe">
              <v:stroke joinstyle="miter"/>
              <v:path gradientshapeok="t" o:connecttype="rect"/>
            </v:shapetype>
            <v:shape id="Text Box 3" o:spid="_x0000_s1030" type="#_x0000_t202" alt="OFFICIAL"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nRIXQIAAKIEAAAOAAAAZHJzL2Uyb0RvYy54bWysVEuP2jAQvlfqf7B8hwQ27NKIsAqwqVZC&#10;y0pQ7dk4DokUP2QbElr1v3fsJLTd9lT1Yibz/r6ZYfHY8hpdmDaVFAmejEOMmKAyr8QpwV8O2WiO&#10;kbFE5KSWgiX4ygx+XH78sGhUzKaylHXONIIkwsSNSnBprYqDwNCScWLGUjEBxkJqTix86lOQa9JA&#10;dl4H0zC8Dxqpc6UlZcaAdtMZ8dLnLwpG7a4oDLOoTjD0Zv2r/Xt0b7BckPikiSor2rdB/qELTioB&#10;RW+pNsQSdNbVH6l4RbU0srBjKnkgi6KizGMANJPwHZp9SRTzWIAco240mf+Xlr5cXjWq8gTfYSQI&#10;hxEdWGvRSrYINDkzFNjaZdnz+jndeohg3hrrwDpHD/LbLH2KJlk6Ha3DLBtF0UM4+rTaRKNZlm7W&#10;6fxhvXqafndkBz7KxweNMrGv76blxb2CZmwLxWGXnLvTG1C6am2hufsF0hDYYZrX2wRdJxSUUXQ3&#10;v59hRMHUy13RIVhpYz8zyZETEqxhQTwocoGeOtfBxdUSMqvqGvQkrsVvCgDiNB5E16Hr1bbH1rN5&#10;6/4o8yuA0rJbPaNoVkHpLTH2lWjYNcAB92N38BS1bBIsewmjUuqvf9M7f1gBsGLUwO4mWMBxYVQ/&#10;C1gNt+aDoAfhOAjizNcSjmECd6moFyFA23oQCy35GxxV6mqAiQgKlRJsB3Ftu/uBo6QsTb0TLLMi&#10;div2irrUjilH46F9I1r1XFsY0oscdprE7yjvfF2kUenZAvF+Ho7VjsOebDgEv0b90bpL+/Xbe/38&#10;a1n+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15nRIXQIAAKIEAAAOAAAAAAAAAAAAAAAAAC4CAABkcnMvZTJvRG9jLnhtbFBLAQIt&#10;ABQABgAIAAAAIQCEsNMo1gAAAAMBAAAPAAAAAAAAAAAAAAAAALcEAABkcnMvZG93bnJldi54bWxQ&#10;SwUGAAAAAAQABADzAAAAugUAAAAA&#10;" filled="f" stroked="f">
              <v:textbox style="mso-fit-shape-to-text:t" inset="0,0,0,0">
                <w:txbxContent>
                  <w:p w14:paraId="438C1CCD" w14:textId="26D62177" w:rsidR="00F44233" w:rsidRPr="004B5186" w:rsidRDefault="00F44233">
                    <w:pPr>
                      <w:rPr>
                        <w:rFonts w:ascii="Arial" w:eastAsia="Arial" w:hAnsi="Arial" w:cs="Arial"/>
                        <w:color w:val="FF0000"/>
                        <w:sz w:val="22"/>
                        <w:szCs w:val="22"/>
                      </w:rPr>
                    </w:pPr>
                  </w:p>
                </w:txbxContent>
              </v:textbox>
              <w10:wrap type="square"/>
            </v:shape>
          </w:pict>
        </mc:Fallback>
      </mc:AlternateContent>
    </w:r>
  </w:p>
  <w:sdt>
    <w:sdtPr>
      <w:id w:val="1798646870"/>
      <w:docPartObj>
        <w:docPartGallery w:val="Watermarks"/>
        <w:docPartUnique/>
      </w:docPartObj>
    </w:sdtPr>
    <w:sdtEndPr/>
    <w:sdtContent>
      <w:p w14:paraId="0BA83084" w14:textId="77777777" w:rsidR="00F44233" w:rsidRDefault="00EF61E7">
        <w:pPr>
          <w:pStyle w:val="Header"/>
        </w:pPr>
        <w:r>
          <w:rPr>
            <w:noProof/>
          </w:rPr>
          <w:pict w14:anchorId="7C824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853A0" w14:textId="21E36727" w:rsidR="00F44233" w:rsidRDefault="00F44233">
    <w:pPr>
      <w:pStyle w:val="Header"/>
    </w:pPr>
    <w:r>
      <w:rPr>
        <w:noProof/>
        <w:lang w:eastAsia="en-AU"/>
      </w:rPr>
      <mc:AlternateContent>
        <mc:Choice Requires="wps">
          <w:drawing>
            <wp:anchor distT="0" distB="0" distL="0" distR="0" simplePos="0" relativeHeight="251655168" behindDoc="0" locked="0" layoutInCell="1" allowOverlap="1" wp14:anchorId="2BF9119F" wp14:editId="3D0C3DB9">
              <wp:simplePos x="635" y="635"/>
              <wp:positionH relativeFrom="column">
                <wp:align>center</wp:align>
              </wp:positionH>
              <wp:positionV relativeFrom="paragraph">
                <wp:posOffset>635</wp:posOffset>
              </wp:positionV>
              <wp:extent cx="443865" cy="443865"/>
              <wp:effectExtent l="0" t="0" r="18415" b="10795"/>
              <wp:wrapSquare wrapText="bothSides"/>
              <wp:docPr id="1" name="Text Box 1"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0ABDD1" w14:textId="2320EB3F" w:rsidR="00F44233" w:rsidRPr="004B5186" w:rsidRDefault="00F44233">
                          <w:pPr>
                            <w:rPr>
                              <w:rFonts w:ascii="Arial" w:eastAsia="Arial" w:hAnsi="Arial" w:cs="Arial"/>
                              <w:color w:val="FF0000"/>
                              <w:sz w:val="22"/>
                              <w:szCs w:val="22"/>
                            </w:rPr>
                          </w:pPr>
                          <w:r w:rsidRPr="004B5186">
                            <w:rPr>
                              <w:rFonts w:ascii="Arial" w:eastAsia="Arial" w:hAnsi="Arial" w:cs="Arial"/>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F9119F" id="_x0000_t202" coordsize="21600,21600" o:spt="202" path="m,l,21600r21600,l21600,xe">
              <v:stroke joinstyle="miter"/>
              <v:path gradientshapeok="t" o:connecttype="rect"/>
            </v:shapetype>
            <v:shape id="Text Box 1" o:spid="_x0000_s1032" type="#_x0000_t202" alt="OFFICIAL" style="position:absolute;margin-left:0;margin-top:.05pt;width:34.95pt;height:34.95pt;z-index:2516551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YXAXQIAAKIEAAAOAAAAZHJzL2Uyb0RvYy54bWysVF1v2jAUfZ+0/2D5nQYotCxqqAI0UyVU&#10;KsHUZ+M4ECmxLduQdNP++44d0m3dnqa9mJv7fc69l7v7tq7IWRhbKpnQ0dWQEiG5ykt5SOiXXTaY&#10;UWIdkzmrlBQJfRWW3s8/frhrdCzG6qiqXBiCJNLGjU7o0TkdR5HlR1Eze6W0kDAWytTM4dMcotyw&#10;BtnrKhoPhzdRo0yujeLCWmhXnZHOQ/6iENxtisIKR6qEojcXXhPevX+j+R2LD4bpY8kvbbB/6KJm&#10;pUTRt1Qr5hg5mfKPVHXJjbKqcFdc1ZEqipKLgAFoRsN3aLZHpkXAAnKsfqPJ/r+0/On8bEiZY3aU&#10;SFZjRDvROrJQLYEmF5aDrU2WPS4f03WACPPaOg/WOwaQ36bpw2SUpePBcphlg8nkdjj4tFhNBtMs&#10;XS3T2e1y8TD+7smOQlSIjxpt41DfTyuIW41mXIvivh+4e72F0ldrC1P7X5BGYMc0X98m6DvhUE4m&#10;17ObKSUcpovcFe2DtbHus1A18UJCDRYkgGJn9NS59i6+llRZWVXQs7iSvykAxGsCiK5D36tr921g&#10;87rvfq/yV4Ayqls9q3lWovSaWffMDHYNOHA/boOnqFSTUHWRKDkq8/Vveu+PFYCVkga7m1CJ46Kk&#10;epRYDb/mvWB6Yd8L8lQvFY4Bw0UvQUSAcVUvFkbVLziq1NeAiUmOSgl1vbh03f3gKLlI0+CEZdbM&#10;reVWc5/aM+Vp3LUvzOgL1w5DelL9TrP4HeWdr4+0Oj05EB/m4VntOLyQjUMIa3Q5Wn9pv34Hr59/&#10;LfMf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Bs1YXAXQIAAKIEAAAOAAAAAAAAAAAAAAAAAC4CAABkcnMvZTJvRG9jLnhtbFBLAQIt&#10;ABQABgAIAAAAIQCEsNMo1gAAAAMBAAAPAAAAAAAAAAAAAAAAALcEAABkcnMvZG93bnJldi54bWxQ&#10;SwUGAAAAAAQABADzAAAAugUAAAAA&#10;" filled="f" stroked="f">
              <v:textbox style="mso-fit-shape-to-text:t" inset="0,0,0,0">
                <w:txbxContent>
                  <w:p w14:paraId="5C0ABDD1" w14:textId="2320EB3F" w:rsidR="00F44233" w:rsidRPr="004B5186" w:rsidRDefault="00F44233">
                    <w:pPr>
                      <w:rPr>
                        <w:rFonts w:ascii="Arial" w:eastAsia="Arial" w:hAnsi="Arial" w:cs="Arial"/>
                        <w:color w:val="FF0000"/>
                        <w:sz w:val="22"/>
                        <w:szCs w:val="22"/>
                      </w:rPr>
                    </w:pPr>
                    <w:r w:rsidRPr="004B5186">
                      <w:rPr>
                        <w:rFonts w:ascii="Arial" w:eastAsia="Arial" w:hAnsi="Arial" w:cs="Arial"/>
                        <w:color w:val="FF0000"/>
                        <w:sz w:val="22"/>
                        <w:szCs w:val="22"/>
                      </w:rPr>
                      <w:t>OFFICIAL</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3C6DE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4C22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84A3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086C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4C54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36EF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4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604F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7C5F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3E5F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271DA"/>
    <w:multiLevelType w:val="hybridMultilevel"/>
    <w:tmpl w:val="FE10626A"/>
    <w:lvl w:ilvl="0" w:tplc="0C090019">
      <w:start w:val="1"/>
      <w:numFmt w:val="lowerLetter"/>
      <w:lvlText w:val="%1."/>
      <w:lvlJc w:val="left"/>
      <w:pPr>
        <w:ind w:left="1495" w:hanging="360"/>
      </w:pPr>
    </w:lvl>
    <w:lvl w:ilvl="1" w:tplc="0C090019">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1" w15:restartNumberingAfterBreak="0">
    <w:nsid w:val="0BAD24C7"/>
    <w:multiLevelType w:val="multilevel"/>
    <w:tmpl w:val="2392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8B71CE"/>
    <w:multiLevelType w:val="hybridMultilevel"/>
    <w:tmpl w:val="902C5A06"/>
    <w:lvl w:ilvl="0" w:tplc="E932B75A">
      <w:start w:val="1"/>
      <w:numFmt w:val="bullet"/>
      <w:lvlText w:val="-"/>
      <w:lvlJc w:val="left"/>
      <w:pPr>
        <w:ind w:left="366" w:hanging="360"/>
      </w:pPr>
      <w:rPr>
        <w:rFonts w:ascii="Courier New" w:hAnsi="Courier New"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13" w15:restartNumberingAfterBreak="0">
    <w:nsid w:val="0FD046EC"/>
    <w:multiLevelType w:val="hybridMultilevel"/>
    <w:tmpl w:val="07327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0F287C"/>
    <w:multiLevelType w:val="hybridMultilevel"/>
    <w:tmpl w:val="C8284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FF5E2C"/>
    <w:multiLevelType w:val="hybridMultilevel"/>
    <w:tmpl w:val="3D74FC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FB0FE6"/>
    <w:multiLevelType w:val="hybridMultilevel"/>
    <w:tmpl w:val="4704BEF2"/>
    <w:lvl w:ilvl="0" w:tplc="E27EA0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95620AC"/>
    <w:multiLevelType w:val="hybridMultilevel"/>
    <w:tmpl w:val="2F88D7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DA902F5"/>
    <w:multiLevelType w:val="hybridMultilevel"/>
    <w:tmpl w:val="56B48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56095D"/>
    <w:multiLevelType w:val="hybridMultilevel"/>
    <w:tmpl w:val="3D74FC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9C261C"/>
    <w:multiLevelType w:val="hybridMultilevel"/>
    <w:tmpl w:val="97B0C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E64B7D"/>
    <w:multiLevelType w:val="hybridMultilevel"/>
    <w:tmpl w:val="61849F54"/>
    <w:lvl w:ilvl="0" w:tplc="0C090001">
      <w:start w:val="1"/>
      <w:numFmt w:val="bullet"/>
      <w:lvlText w:val=""/>
      <w:lvlJc w:val="left"/>
      <w:pPr>
        <w:ind w:left="366" w:hanging="360"/>
      </w:pPr>
      <w:rPr>
        <w:rFonts w:ascii="Symbol" w:hAnsi="Symbo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22" w15:restartNumberingAfterBreak="0">
    <w:nsid w:val="41494498"/>
    <w:multiLevelType w:val="hybridMultilevel"/>
    <w:tmpl w:val="7BEED114"/>
    <w:lvl w:ilvl="0" w:tplc="6CD49652">
      <w:start w:val="1"/>
      <w:numFmt w:val="bullet"/>
      <w:lvlText w:val=""/>
      <w:lvlJc w:val="left"/>
      <w:pPr>
        <w:ind w:left="780" w:hanging="360"/>
      </w:pPr>
      <w:rPr>
        <w:rFonts w:ascii="Symbol" w:hAnsi="Symbol" w:hint="default"/>
        <w:sz w:val="20"/>
        <w:szCs w:val="2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2DD5748"/>
    <w:multiLevelType w:val="hybridMultilevel"/>
    <w:tmpl w:val="2F88D7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6954E7"/>
    <w:multiLevelType w:val="hybridMultilevel"/>
    <w:tmpl w:val="2F88D7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8A22607"/>
    <w:multiLevelType w:val="hybridMultilevel"/>
    <w:tmpl w:val="26027C6C"/>
    <w:lvl w:ilvl="0" w:tplc="9CDAE8A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A670984"/>
    <w:multiLevelType w:val="hybridMultilevel"/>
    <w:tmpl w:val="26027C6C"/>
    <w:lvl w:ilvl="0" w:tplc="9CDAE8A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0551145"/>
    <w:multiLevelType w:val="hybridMultilevel"/>
    <w:tmpl w:val="5950C250"/>
    <w:lvl w:ilvl="0" w:tplc="0C090013">
      <w:start w:val="1"/>
      <w:numFmt w:val="upp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047C71"/>
    <w:multiLevelType w:val="hybridMultilevel"/>
    <w:tmpl w:val="3D74FC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6354D7"/>
    <w:multiLevelType w:val="hybridMultilevel"/>
    <w:tmpl w:val="08AE48F0"/>
    <w:lvl w:ilvl="0" w:tplc="7E447B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CC08EC"/>
    <w:multiLevelType w:val="hybridMultilevel"/>
    <w:tmpl w:val="12E43094"/>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CA648DB"/>
    <w:multiLevelType w:val="multilevel"/>
    <w:tmpl w:val="72DAB668"/>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5257"/>
        </w:tabs>
        <w:ind w:left="5257" w:hanging="720"/>
      </w:pPr>
      <w:rPr>
        <w:rFonts w:cs="Times New Roman"/>
        <w:i w:val="0"/>
        <w:iCs w:val="0"/>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abstractNumId w:val="31"/>
  </w:num>
  <w:num w:numId="2">
    <w:abstractNumId w:val="9"/>
  </w:num>
  <w:num w:numId="3">
    <w:abstractNumId w:val="21"/>
  </w:num>
  <w:num w:numId="4">
    <w:abstractNumId w:val="11"/>
  </w:num>
  <w:num w:numId="5">
    <w:abstractNumId w:val="18"/>
  </w:num>
  <w:num w:numId="6">
    <w:abstractNumId w:val="12"/>
  </w:num>
  <w:num w:numId="7">
    <w:abstractNumId w:val="19"/>
  </w:num>
  <w:num w:numId="8">
    <w:abstractNumId w:val="17"/>
  </w:num>
  <w:num w:numId="9">
    <w:abstractNumId w:val="22"/>
  </w:num>
  <w:num w:numId="10">
    <w:abstractNumId w:val="20"/>
  </w:num>
  <w:num w:numId="11">
    <w:abstractNumId w:val="15"/>
  </w:num>
  <w:num w:numId="12">
    <w:abstractNumId w:val="23"/>
  </w:num>
  <w:num w:numId="13">
    <w:abstractNumId w:val="27"/>
  </w:num>
  <w:num w:numId="14">
    <w:abstractNumId w:val="30"/>
  </w:num>
  <w:num w:numId="15">
    <w:abstractNumId w:val="28"/>
  </w:num>
  <w:num w:numId="16">
    <w:abstractNumId w:val="24"/>
  </w:num>
  <w:num w:numId="17">
    <w:abstractNumId w:val="20"/>
  </w:num>
  <w:num w:numId="18">
    <w:abstractNumId w:val="14"/>
  </w:num>
  <w:num w:numId="19">
    <w:abstractNumId w:val="25"/>
  </w:num>
  <w:num w:numId="20">
    <w:abstractNumId w:val="26"/>
  </w:num>
  <w:num w:numId="21">
    <w:abstractNumId w:val="16"/>
  </w:num>
  <w:num w:numId="22">
    <w:abstractNumId w:val="10"/>
  </w:num>
  <w:num w:numId="23">
    <w:abstractNumId w:val="29"/>
  </w:num>
  <w:num w:numId="24">
    <w:abstractNumId w:val="31"/>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9D"/>
    <w:rsid w:val="000010FB"/>
    <w:rsid w:val="0000138A"/>
    <w:rsid w:val="00003987"/>
    <w:rsid w:val="00005390"/>
    <w:rsid w:val="00006175"/>
    <w:rsid w:val="00006382"/>
    <w:rsid w:val="00007020"/>
    <w:rsid w:val="000079D0"/>
    <w:rsid w:val="00007EA8"/>
    <w:rsid w:val="00011C3A"/>
    <w:rsid w:val="00011EF1"/>
    <w:rsid w:val="000126B8"/>
    <w:rsid w:val="00014ADE"/>
    <w:rsid w:val="000170BD"/>
    <w:rsid w:val="000170D3"/>
    <w:rsid w:val="0002029D"/>
    <w:rsid w:val="0002263E"/>
    <w:rsid w:val="00023CDE"/>
    <w:rsid w:val="0002769F"/>
    <w:rsid w:val="00031056"/>
    <w:rsid w:val="00032F77"/>
    <w:rsid w:val="00033255"/>
    <w:rsid w:val="00033DB6"/>
    <w:rsid w:val="00036728"/>
    <w:rsid w:val="00036FAE"/>
    <w:rsid w:val="00037881"/>
    <w:rsid w:val="00042349"/>
    <w:rsid w:val="00042EEE"/>
    <w:rsid w:val="000444F8"/>
    <w:rsid w:val="00044B84"/>
    <w:rsid w:val="00045118"/>
    <w:rsid w:val="0004544C"/>
    <w:rsid w:val="00045CA2"/>
    <w:rsid w:val="00045EE6"/>
    <w:rsid w:val="000466DF"/>
    <w:rsid w:val="00046732"/>
    <w:rsid w:val="00046DB3"/>
    <w:rsid w:val="000472FB"/>
    <w:rsid w:val="000511DC"/>
    <w:rsid w:val="00051C99"/>
    <w:rsid w:val="0005223D"/>
    <w:rsid w:val="000525B4"/>
    <w:rsid w:val="00053C3D"/>
    <w:rsid w:val="000542C2"/>
    <w:rsid w:val="000549D0"/>
    <w:rsid w:val="00056122"/>
    <w:rsid w:val="00056618"/>
    <w:rsid w:val="000569E8"/>
    <w:rsid w:val="000575B3"/>
    <w:rsid w:val="00057AC9"/>
    <w:rsid w:val="0006238B"/>
    <w:rsid w:val="000624B5"/>
    <w:rsid w:val="0006346E"/>
    <w:rsid w:val="00064DC3"/>
    <w:rsid w:val="00067457"/>
    <w:rsid w:val="00070897"/>
    <w:rsid w:val="00071011"/>
    <w:rsid w:val="00071819"/>
    <w:rsid w:val="00072038"/>
    <w:rsid w:val="0007214E"/>
    <w:rsid w:val="00072B97"/>
    <w:rsid w:val="00076460"/>
    <w:rsid w:val="00076936"/>
    <w:rsid w:val="000775FC"/>
    <w:rsid w:val="00077DE8"/>
    <w:rsid w:val="00081277"/>
    <w:rsid w:val="000814CF"/>
    <w:rsid w:val="00081E09"/>
    <w:rsid w:val="00083FBD"/>
    <w:rsid w:val="00085F35"/>
    <w:rsid w:val="000876F1"/>
    <w:rsid w:val="00087850"/>
    <w:rsid w:val="00090A2C"/>
    <w:rsid w:val="000941CA"/>
    <w:rsid w:val="000945F5"/>
    <w:rsid w:val="00094BFC"/>
    <w:rsid w:val="0009725E"/>
    <w:rsid w:val="000A05E3"/>
    <w:rsid w:val="000A1E86"/>
    <w:rsid w:val="000A20EC"/>
    <w:rsid w:val="000A2E2B"/>
    <w:rsid w:val="000A3793"/>
    <w:rsid w:val="000A480F"/>
    <w:rsid w:val="000A4E8A"/>
    <w:rsid w:val="000A7D4E"/>
    <w:rsid w:val="000B03ED"/>
    <w:rsid w:val="000B06E2"/>
    <w:rsid w:val="000B177A"/>
    <w:rsid w:val="000B1C17"/>
    <w:rsid w:val="000B337F"/>
    <w:rsid w:val="000B4500"/>
    <w:rsid w:val="000B4E26"/>
    <w:rsid w:val="000B612F"/>
    <w:rsid w:val="000C0801"/>
    <w:rsid w:val="000C094E"/>
    <w:rsid w:val="000C2969"/>
    <w:rsid w:val="000C30D4"/>
    <w:rsid w:val="000C3347"/>
    <w:rsid w:val="000C4E6C"/>
    <w:rsid w:val="000C55CF"/>
    <w:rsid w:val="000C6D0C"/>
    <w:rsid w:val="000D0E31"/>
    <w:rsid w:val="000D0EE8"/>
    <w:rsid w:val="000D2368"/>
    <w:rsid w:val="000D64DD"/>
    <w:rsid w:val="000D65A5"/>
    <w:rsid w:val="000E422A"/>
    <w:rsid w:val="000E5258"/>
    <w:rsid w:val="000E5AAC"/>
    <w:rsid w:val="000E7D71"/>
    <w:rsid w:val="000E7E57"/>
    <w:rsid w:val="000F1259"/>
    <w:rsid w:val="000F1DF6"/>
    <w:rsid w:val="000F3432"/>
    <w:rsid w:val="000F3E02"/>
    <w:rsid w:val="000F5B8F"/>
    <w:rsid w:val="000F6114"/>
    <w:rsid w:val="00101163"/>
    <w:rsid w:val="001016B2"/>
    <w:rsid w:val="0010181F"/>
    <w:rsid w:val="001024DE"/>
    <w:rsid w:val="00103389"/>
    <w:rsid w:val="00103AAB"/>
    <w:rsid w:val="00103BC4"/>
    <w:rsid w:val="00104CAD"/>
    <w:rsid w:val="001069CE"/>
    <w:rsid w:val="00107D3F"/>
    <w:rsid w:val="001103D2"/>
    <w:rsid w:val="00110448"/>
    <w:rsid w:val="00110BF5"/>
    <w:rsid w:val="00110E56"/>
    <w:rsid w:val="00111001"/>
    <w:rsid w:val="00111F29"/>
    <w:rsid w:val="00113386"/>
    <w:rsid w:val="00120BD0"/>
    <w:rsid w:val="0012117B"/>
    <w:rsid w:val="001230AB"/>
    <w:rsid w:val="00123439"/>
    <w:rsid w:val="00123A7F"/>
    <w:rsid w:val="00125950"/>
    <w:rsid w:val="00127E03"/>
    <w:rsid w:val="001308DF"/>
    <w:rsid w:val="00133185"/>
    <w:rsid w:val="001337B9"/>
    <w:rsid w:val="001343EC"/>
    <w:rsid w:val="0013503F"/>
    <w:rsid w:val="001367BA"/>
    <w:rsid w:val="0013705B"/>
    <w:rsid w:val="0013705E"/>
    <w:rsid w:val="00137622"/>
    <w:rsid w:val="00137E84"/>
    <w:rsid w:val="001409EC"/>
    <w:rsid w:val="001421AC"/>
    <w:rsid w:val="00143AA2"/>
    <w:rsid w:val="0014483C"/>
    <w:rsid w:val="00146A13"/>
    <w:rsid w:val="001471F2"/>
    <w:rsid w:val="00147871"/>
    <w:rsid w:val="00147957"/>
    <w:rsid w:val="0015473B"/>
    <w:rsid w:val="00154D28"/>
    <w:rsid w:val="00155E96"/>
    <w:rsid w:val="00157980"/>
    <w:rsid w:val="00157C28"/>
    <w:rsid w:val="00161F6F"/>
    <w:rsid w:val="00162262"/>
    <w:rsid w:val="00162B55"/>
    <w:rsid w:val="00162C48"/>
    <w:rsid w:val="00164208"/>
    <w:rsid w:val="001666D1"/>
    <w:rsid w:val="0016712E"/>
    <w:rsid w:val="001671F7"/>
    <w:rsid w:val="00170877"/>
    <w:rsid w:val="00173FB4"/>
    <w:rsid w:val="001747AA"/>
    <w:rsid w:val="00175C29"/>
    <w:rsid w:val="0017693E"/>
    <w:rsid w:val="00176E1A"/>
    <w:rsid w:val="00177127"/>
    <w:rsid w:val="00181A3A"/>
    <w:rsid w:val="00181EE4"/>
    <w:rsid w:val="00182AD8"/>
    <w:rsid w:val="00182B10"/>
    <w:rsid w:val="00183D20"/>
    <w:rsid w:val="001841D9"/>
    <w:rsid w:val="00184E74"/>
    <w:rsid w:val="00186147"/>
    <w:rsid w:val="0018637A"/>
    <w:rsid w:val="00186B93"/>
    <w:rsid w:val="00190CF1"/>
    <w:rsid w:val="00192860"/>
    <w:rsid w:val="0019457E"/>
    <w:rsid w:val="001972E3"/>
    <w:rsid w:val="00197648"/>
    <w:rsid w:val="001A04FF"/>
    <w:rsid w:val="001A17A4"/>
    <w:rsid w:val="001A1C97"/>
    <w:rsid w:val="001A2A2B"/>
    <w:rsid w:val="001A3EA8"/>
    <w:rsid w:val="001A5666"/>
    <w:rsid w:val="001A592E"/>
    <w:rsid w:val="001A649D"/>
    <w:rsid w:val="001A6B05"/>
    <w:rsid w:val="001B0211"/>
    <w:rsid w:val="001B0682"/>
    <w:rsid w:val="001B2AAD"/>
    <w:rsid w:val="001B3530"/>
    <w:rsid w:val="001B3D43"/>
    <w:rsid w:val="001B40B4"/>
    <w:rsid w:val="001B40FE"/>
    <w:rsid w:val="001C0630"/>
    <w:rsid w:val="001C0B3C"/>
    <w:rsid w:val="001C1666"/>
    <w:rsid w:val="001D15D6"/>
    <w:rsid w:val="001D22A0"/>
    <w:rsid w:val="001D3465"/>
    <w:rsid w:val="001D520F"/>
    <w:rsid w:val="001D55C1"/>
    <w:rsid w:val="001D6435"/>
    <w:rsid w:val="001D64AC"/>
    <w:rsid w:val="001D6DEF"/>
    <w:rsid w:val="001E3055"/>
    <w:rsid w:val="001E50B1"/>
    <w:rsid w:val="001E71B4"/>
    <w:rsid w:val="001F00D0"/>
    <w:rsid w:val="001F1734"/>
    <w:rsid w:val="001F20E3"/>
    <w:rsid w:val="001F2A9D"/>
    <w:rsid w:val="001F3385"/>
    <w:rsid w:val="001F3E83"/>
    <w:rsid w:val="001F4081"/>
    <w:rsid w:val="001F6923"/>
    <w:rsid w:val="00204207"/>
    <w:rsid w:val="002054A8"/>
    <w:rsid w:val="00205982"/>
    <w:rsid w:val="002066B0"/>
    <w:rsid w:val="0020678D"/>
    <w:rsid w:val="00210653"/>
    <w:rsid w:val="0021130A"/>
    <w:rsid w:val="0021323B"/>
    <w:rsid w:val="002149F6"/>
    <w:rsid w:val="00215CE6"/>
    <w:rsid w:val="00216413"/>
    <w:rsid w:val="00216440"/>
    <w:rsid w:val="0021671F"/>
    <w:rsid w:val="00217083"/>
    <w:rsid w:val="00217794"/>
    <w:rsid w:val="00220CA7"/>
    <w:rsid w:val="00222055"/>
    <w:rsid w:val="00222774"/>
    <w:rsid w:val="0023148E"/>
    <w:rsid w:val="00231A51"/>
    <w:rsid w:val="00232B9C"/>
    <w:rsid w:val="0023386B"/>
    <w:rsid w:val="00233B90"/>
    <w:rsid w:val="00236122"/>
    <w:rsid w:val="002361D7"/>
    <w:rsid w:val="002414E3"/>
    <w:rsid w:val="002415B2"/>
    <w:rsid w:val="00242151"/>
    <w:rsid w:val="00243708"/>
    <w:rsid w:val="00243F43"/>
    <w:rsid w:val="00245DA7"/>
    <w:rsid w:val="00246040"/>
    <w:rsid w:val="00247878"/>
    <w:rsid w:val="00247FF2"/>
    <w:rsid w:val="00250A98"/>
    <w:rsid w:val="00251F03"/>
    <w:rsid w:val="0025229D"/>
    <w:rsid w:val="00253448"/>
    <w:rsid w:val="00253AAF"/>
    <w:rsid w:val="00253BE0"/>
    <w:rsid w:val="00253C98"/>
    <w:rsid w:val="00255096"/>
    <w:rsid w:val="002563C9"/>
    <w:rsid w:val="00256737"/>
    <w:rsid w:val="00256BE5"/>
    <w:rsid w:val="00256FA8"/>
    <w:rsid w:val="002578CD"/>
    <w:rsid w:val="00260084"/>
    <w:rsid w:val="00261A51"/>
    <w:rsid w:val="00261F48"/>
    <w:rsid w:val="00266524"/>
    <w:rsid w:val="00267389"/>
    <w:rsid w:val="002717F3"/>
    <w:rsid w:val="00271D05"/>
    <w:rsid w:val="002721CB"/>
    <w:rsid w:val="00272786"/>
    <w:rsid w:val="00272BA1"/>
    <w:rsid w:val="002745FD"/>
    <w:rsid w:val="00275D74"/>
    <w:rsid w:val="00275FDB"/>
    <w:rsid w:val="00280A10"/>
    <w:rsid w:val="00280D87"/>
    <w:rsid w:val="00283353"/>
    <w:rsid w:val="00283C39"/>
    <w:rsid w:val="00284234"/>
    <w:rsid w:val="0028472E"/>
    <w:rsid w:val="00285F10"/>
    <w:rsid w:val="00290001"/>
    <w:rsid w:val="00293B50"/>
    <w:rsid w:val="00295E82"/>
    <w:rsid w:val="00296794"/>
    <w:rsid w:val="00296CC3"/>
    <w:rsid w:val="002A08DA"/>
    <w:rsid w:val="002A241E"/>
    <w:rsid w:val="002A273A"/>
    <w:rsid w:val="002A3322"/>
    <w:rsid w:val="002A3657"/>
    <w:rsid w:val="002A3F93"/>
    <w:rsid w:val="002A4B37"/>
    <w:rsid w:val="002A6525"/>
    <w:rsid w:val="002A67C7"/>
    <w:rsid w:val="002A6A5B"/>
    <w:rsid w:val="002B0255"/>
    <w:rsid w:val="002B6588"/>
    <w:rsid w:val="002B68AF"/>
    <w:rsid w:val="002B7A21"/>
    <w:rsid w:val="002B7BB1"/>
    <w:rsid w:val="002C17F3"/>
    <w:rsid w:val="002C2E29"/>
    <w:rsid w:val="002C325C"/>
    <w:rsid w:val="002C33E4"/>
    <w:rsid w:val="002C378E"/>
    <w:rsid w:val="002C433C"/>
    <w:rsid w:val="002C5D62"/>
    <w:rsid w:val="002C5D92"/>
    <w:rsid w:val="002C68D4"/>
    <w:rsid w:val="002C7871"/>
    <w:rsid w:val="002C7B40"/>
    <w:rsid w:val="002C7DB0"/>
    <w:rsid w:val="002D0D01"/>
    <w:rsid w:val="002D2A43"/>
    <w:rsid w:val="002D3532"/>
    <w:rsid w:val="002D3F08"/>
    <w:rsid w:val="002D5EF9"/>
    <w:rsid w:val="002D714D"/>
    <w:rsid w:val="002D76FD"/>
    <w:rsid w:val="002E0FF9"/>
    <w:rsid w:val="002E16C6"/>
    <w:rsid w:val="002E2287"/>
    <w:rsid w:val="002E2995"/>
    <w:rsid w:val="002E39B6"/>
    <w:rsid w:val="002E4C0A"/>
    <w:rsid w:val="002E6781"/>
    <w:rsid w:val="002E683C"/>
    <w:rsid w:val="002F0754"/>
    <w:rsid w:val="002F0C80"/>
    <w:rsid w:val="002F58D0"/>
    <w:rsid w:val="002F746C"/>
    <w:rsid w:val="003001B8"/>
    <w:rsid w:val="003014DD"/>
    <w:rsid w:val="0030275B"/>
    <w:rsid w:val="00304F6F"/>
    <w:rsid w:val="00305F9D"/>
    <w:rsid w:val="00307E59"/>
    <w:rsid w:val="003115A0"/>
    <w:rsid w:val="00312961"/>
    <w:rsid w:val="00312C81"/>
    <w:rsid w:val="00313029"/>
    <w:rsid w:val="003130A3"/>
    <w:rsid w:val="00313AA4"/>
    <w:rsid w:val="00314066"/>
    <w:rsid w:val="003153E1"/>
    <w:rsid w:val="00316A15"/>
    <w:rsid w:val="00322F2B"/>
    <w:rsid w:val="0032348B"/>
    <w:rsid w:val="00323DFB"/>
    <w:rsid w:val="0032542B"/>
    <w:rsid w:val="00326343"/>
    <w:rsid w:val="00331529"/>
    <w:rsid w:val="0033172F"/>
    <w:rsid w:val="003335D6"/>
    <w:rsid w:val="0033514C"/>
    <w:rsid w:val="0033561D"/>
    <w:rsid w:val="0033665D"/>
    <w:rsid w:val="00336F6F"/>
    <w:rsid w:val="003379E6"/>
    <w:rsid w:val="00340D49"/>
    <w:rsid w:val="003411A2"/>
    <w:rsid w:val="003422DF"/>
    <w:rsid w:val="0034301D"/>
    <w:rsid w:val="00344E86"/>
    <w:rsid w:val="003451A0"/>
    <w:rsid w:val="003461A2"/>
    <w:rsid w:val="0034708D"/>
    <w:rsid w:val="003513B7"/>
    <w:rsid w:val="00352391"/>
    <w:rsid w:val="003536A4"/>
    <w:rsid w:val="00354849"/>
    <w:rsid w:val="00355C27"/>
    <w:rsid w:val="003560A7"/>
    <w:rsid w:val="00360005"/>
    <w:rsid w:val="00361DC8"/>
    <w:rsid w:val="0036358F"/>
    <w:rsid w:val="00364A46"/>
    <w:rsid w:val="00365D82"/>
    <w:rsid w:val="00366340"/>
    <w:rsid w:val="00366F16"/>
    <w:rsid w:val="003670F8"/>
    <w:rsid w:val="00370FA7"/>
    <w:rsid w:val="00371C1B"/>
    <w:rsid w:val="00374081"/>
    <w:rsid w:val="00381170"/>
    <w:rsid w:val="003821B5"/>
    <w:rsid w:val="00382FFE"/>
    <w:rsid w:val="00384127"/>
    <w:rsid w:val="003841EE"/>
    <w:rsid w:val="0038525B"/>
    <w:rsid w:val="00385D41"/>
    <w:rsid w:val="0038680C"/>
    <w:rsid w:val="00386F37"/>
    <w:rsid w:val="00390887"/>
    <w:rsid w:val="003915D0"/>
    <w:rsid w:val="00392769"/>
    <w:rsid w:val="00394BAB"/>
    <w:rsid w:val="00394D92"/>
    <w:rsid w:val="00394F4D"/>
    <w:rsid w:val="00395556"/>
    <w:rsid w:val="0039760C"/>
    <w:rsid w:val="003A0912"/>
    <w:rsid w:val="003A1789"/>
    <w:rsid w:val="003A3B63"/>
    <w:rsid w:val="003B0D17"/>
    <w:rsid w:val="003B2141"/>
    <w:rsid w:val="003B4085"/>
    <w:rsid w:val="003B41A4"/>
    <w:rsid w:val="003B46DD"/>
    <w:rsid w:val="003B6510"/>
    <w:rsid w:val="003C246E"/>
    <w:rsid w:val="003C294C"/>
    <w:rsid w:val="003C31F1"/>
    <w:rsid w:val="003C33DF"/>
    <w:rsid w:val="003C3995"/>
    <w:rsid w:val="003C4E5A"/>
    <w:rsid w:val="003C60CC"/>
    <w:rsid w:val="003C6581"/>
    <w:rsid w:val="003D0733"/>
    <w:rsid w:val="003D0E49"/>
    <w:rsid w:val="003D30C5"/>
    <w:rsid w:val="003D3202"/>
    <w:rsid w:val="003D520D"/>
    <w:rsid w:val="003D6A7A"/>
    <w:rsid w:val="003E292F"/>
    <w:rsid w:val="003E2DAE"/>
    <w:rsid w:val="003E3206"/>
    <w:rsid w:val="003E39E8"/>
    <w:rsid w:val="003E5A64"/>
    <w:rsid w:val="003E7454"/>
    <w:rsid w:val="003F2521"/>
    <w:rsid w:val="003F7C34"/>
    <w:rsid w:val="003F7E34"/>
    <w:rsid w:val="004018CA"/>
    <w:rsid w:val="004022D8"/>
    <w:rsid w:val="00402662"/>
    <w:rsid w:val="004029F0"/>
    <w:rsid w:val="004044FD"/>
    <w:rsid w:val="00406DEA"/>
    <w:rsid w:val="00407073"/>
    <w:rsid w:val="00410888"/>
    <w:rsid w:val="00410972"/>
    <w:rsid w:val="00411E1B"/>
    <w:rsid w:val="0041443D"/>
    <w:rsid w:val="0041742A"/>
    <w:rsid w:val="00422A61"/>
    <w:rsid w:val="00422FA7"/>
    <w:rsid w:val="00423AEF"/>
    <w:rsid w:val="00423EAD"/>
    <w:rsid w:val="00423EBE"/>
    <w:rsid w:val="004246EB"/>
    <w:rsid w:val="0042504F"/>
    <w:rsid w:val="004253E5"/>
    <w:rsid w:val="0042617A"/>
    <w:rsid w:val="00427A84"/>
    <w:rsid w:val="00427B93"/>
    <w:rsid w:val="00435036"/>
    <w:rsid w:val="004350D5"/>
    <w:rsid w:val="004358DA"/>
    <w:rsid w:val="00436A8B"/>
    <w:rsid w:val="00440E67"/>
    <w:rsid w:val="00442030"/>
    <w:rsid w:val="00444750"/>
    <w:rsid w:val="00444BC1"/>
    <w:rsid w:val="00445114"/>
    <w:rsid w:val="00446709"/>
    <w:rsid w:val="004513C9"/>
    <w:rsid w:val="00451A76"/>
    <w:rsid w:val="00452E92"/>
    <w:rsid w:val="004533AC"/>
    <w:rsid w:val="0045693A"/>
    <w:rsid w:val="00456FCB"/>
    <w:rsid w:val="004579ED"/>
    <w:rsid w:val="00457BBC"/>
    <w:rsid w:val="00457BE1"/>
    <w:rsid w:val="00457F6F"/>
    <w:rsid w:val="00460F91"/>
    <w:rsid w:val="00461245"/>
    <w:rsid w:val="0046198B"/>
    <w:rsid w:val="00461F88"/>
    <w:rsid w:val="00462E41"/>
    <w:rsid w:val="00464CE6"/>
    <w:rsid w:val="00465868"/>
    <w:rsid w:val="00466782"/>
    <w:rsid w:val="00467735"/>
    <w:rsid w:val="00467CB6"/>
    <w:rsid w:val="00471230"/>
    <w:rsid w:val="00472769"/>
    <w:rsid w:val="004727A1"/>
    <w:rsid w:val="004729A7"/>
    <w:rsid w:val="00472BA8"/>
    <w:rsid w:val="00472FB0"/>
    <w:rsid w:val="004804E7"/>
    <w:rsid w:val="0048079B"/>
    <w:rsid w:val="00482152"/>
    <w:rsid w:val="004835CC"/>
    <w:rsid w:val="004838DE"/>
    <w:rsid w:val="00483D5F"/>
    <w:rsid w:val="00485B58"/>
    <w:rsid w:val="00486885"/>
    <w:rsid w:val="00487AEE"/>
    <w:rsid w:val="004904DD"/>
    <w:rsid w:val="004921F3"/>
    <w:rsid w:val="004928B5"/>
    <w:rsid w:val="00492C2B"/>
    <w:rsid w:val="00492DE5"/>
    <w:rsid w:val="0049314F"/>
    <w:rsid w:val="00494B36"/>
    <w:rsid w:val="0049626C"/>
    <w:rsid w:val="004A0E9C"/>
    <w:rsid w:val="004A2228"/>
    <w:rsid w:val="004A6E8B"/>
    <w:rsid w:val="004A770A"/>
    <w:rsid w:val="004B4210"/>
    <w:rsid w:val="004B5186"/>
    <w:rsid w:val="004B646B"/>
    <w:rsid w:val="004B6586"/>
    <w:rsid w:val="004B6D52"/>
    <w:rsid w:val="004C14AD"/>
    <w:rsid w:val="004C175C"/>
    <w:rsid w:val="004C17C3"/>
    <w:rsid w:val="004C1CDF"/>
    <w:rsid w:val="004C2294"/>
    <w:rsid w:val="004C2690"/>
    <w:rsid w:val="004C3549"/>
    <w:rsid w:val="004C5CA4"/>
    <w:rsid w:val="004C6A22"/>
    <w:rsid w:val="004D1651"/>
    <w:rsid w:val="004D16AB"/>
    <w:rsid w:val="004D1C97"/>
    <w:rsid w:val="004D2BB0"/>
    <w:rsid w:val="004D3913"/>
    <w:rsid w:val="004D57F8"/>
    <w:rsid w:val="004E1318"/>
    <w:rsid w:val="004E1B13"/>
    <w:rsid w:val="004E1D77"/>
    <w:rsid w:val="004E1E41"/>
    <w:rsid w:val="004E3C63"/>
    <w:rsid w:val="004E4035"/>
    <w:rsid w:val="004E4AA0"/>
    <w:rsid w:val="004E5B5B"/>
    <w:rsid w:val="004E765B"/>
    <w:rsid w:val="004F08D6"/>
    <w:rsid w:val="004F1D63"/>
    <w:rsid w:val="004F2067"/>
    <w:rsid w:val="004F2F2F"/>
    <w:rsid w:val="004F3E74"/>
    <w:rsid w:val="004F4D12"/>
    <w:rsid w:val="0050105E"/>
    <w:rsid w:val="00501F2C"/>
    <w:rsid w:val="00502E89"/>
    <w:rsid w:val="0050308F"/>
    <w:rsid w:val="005046DE"/>
    <w:rsid w:val="005049CD"/>
    <w:rsid w:val="00504E70"/>
    <w:rsid w:val="00506C6D"/>
    <w:rsid w:val="00511027"/>
    <w:rsid w:val="00514817"/>
    <w:rsid w:val="00515183"/>
    <w:rsid w:val="005166BC"/>
    <w:rsid w:val="005169E2"/>
    <w:rsid w:val="005169EE"/>
    <w:rsid w:val="00516C42"/>
    <w:rsid w:val="00516DED"/>
    <w:rsid w:val="00516DEF"/>
    <w:rsid w:val="00517253"/>
    <w:rsid w:val="0052017F"/>
    <w:rsid w:val="00521F8C"/>
    <w:rsid w:val="0052263D"/>
    <w:rsid w:val="00522A5A"/>
    <w:rsid w:val="00523044"/>
    <w:rsid w:val="005253CB"/>
    <w:rsid w:val="00526D03"/>
    <w:rsid w:val="00527830"/>
    <w:rsid w:val="00530646"/>
    <w:rsid w:val="0053210C"/>
    <w:rsid w:val="0053260B"/>
    <w:rsid w:val="00532D24"/>
    <w:rsid w:val="00533FE7"/>
    <w:rsid w:val="005355DC"/>
    <w:rsid w:val="00535A07"/>
    <w:rsid w:val="00535D5A"/>
    <w:rsid w:val="005362D0"/>
    <w:rsid w:val="00540A4B"/>
    <w:rsid w:val="005431D4"/>
    <w:rsid w:val="00543C93"/>
    <w:rsid w:val="005442C5"/>
    <w:rsid w:val="005461C5"/>
    <w:rsid w:val="005508BD"/>
    <w:rsid w:val="005514C5"/>
    <w:rsid w:val="00551917"/>
    <w:rsid w:val="00554A05"/>
    <w:rsid w:val="00556429"/>
    <w:rsid w:val="0055720B"/>
    <w:rsid w:val="00557A28"/>
    <w:rsid w:val="00557D2A"/>
    <w:rsid w:val="00560BE3"/>
    <w:rsid w:val="005615D6"/>
    <w:rsid w:val="0056264C"/>
    <w:rsid w:val="00565EF3"/>
    <w:rsid w:val="00566C8C"/>
    <w:rsid w:val="00567A2A"/>
    <w:rsid w:val="005700EE"/>
    <w:rsid w:val="00570D14"/>
    <w:rsid w:val="005717D1"/>
    <w:rsid w:val="00572A05"/>
    <w:rsid w:val="00572DD3"/>
    <w:rsid w:val="00573115"/>
    <w:rsid w:val="00574C74"/>
    <w:rsid w:val="005755A9"/>
    <w:rsid w:val="00576DAE"/>
    <w:rsid w:val="005770E2"/>
    <w:rsid w:val="00580788"/>
    <w:rsid w:val="005827AF"/>
    <w:rsid w:val="005828B8"/>
    <w:rsid w:val="00582C86"/>
    <w:rsid w:val="0058472F"/>
    <w:rsid w:val="00584DAB"/>
    <w:rsid w:val="00584EDE"/>
    <w:rsid w:val="005854D4"/>
    <w:rsid w:val="00585D25"/>
    <w:rsid w:val="0058632F"/>
    <w:rsid w:val="00587B41"/>
    <w:rsid w:val="00591115"/>
    <w:rsid w:val="00591FD1"/>
    <w:rsid w:val="00592946"/>
    <w:rsid w:val="005938EA"/>
    <w:rsid w:val="0059392C"/>
    <w:rsid w:val="005953FB"/>
    <w:rsid w:val="005A02C2"/>
    <w:rsid w:val="005A0736"/>
    <w:rsid w:val="005A1689"/>
    <w:rsid w:val="005A3B95"/>
    <w:rsid w:val="005A42A6"/>
    <w:rsid w:val="005A4B24"/>
    <w:rsid w:val="005A4E62"/>
    <w:rsid w:val="005A50CD"/>
    <w:rsid w:val="005A5577"/>
    <w:rsid w:val="005A613A"/>
    <w:rsid w:val="005A6FFA"/>
    <w:rsid w:val="005A721C"/>
    <w:rsid w:val="005A7461"/>
    <w:rsid w:val="005B0022"/>
    <w:rsid w:val="005B02F7"/>
    <w:rsid w:val="005B0921"/>
    <w:rsid w:val="005B374E"/>
    <w:rsid w:val="005B4258"/>
    <w:rsid w:val="005B5CE6"/>
    <w:rsid w:val="005B5EEF"/>
    <w:rsid w:val="005C0C8B"/>
    <w:rsid w:val="005C104E"/>
    <w:rsid w:val="005C42F6"/>
    <w:rsid w:val="005C4AEB"/>
    <w:rsid w:val="005C5EBE"/>
    <w:rsid w:val="005C7164"/>
    <w:rsid w:val="005C735C"/>
    <w:rsid w:val="005C7DF8"/>
    <w:rsid w:val="005D13C1"/>
    <w:rsid w:val="005D18C8"/>
    <w:rsid w:val="005D285C"/>
    <w:rsid w:val="005D3622"/>
    <w:rsid w:val="005D3D4C"/>
    <w:rsid w:val="005D5BE4"/>
    <w:rsid w:val="005D6F06"/>
    <w:rsid w:val="005D7243"/>
    <w:rsid w:val="005E24F2"/>
    <w:rsid w:val="005E2EC1"/>
    <w:rsid w:val="005E3000"/>
    <w:rsid w:val="005E358D"/>
    <w:rsid w:val="005E39DB"/>
    <w:rsid w:val="005E4166"/>
    <w:rsid w:val="005E4C63"/>
    <w:rsid w:val="005E50DC"/>
    <w:rsid w:val="005F02C9"/>
    <w:rsid w:val="005F0B68"/>
    <w:rsid w:val="005F2588"/>
    <w:rsid w:val="005F3DF0"/>
    <w:rsid w:val="005F408F"/>
    <w:rsid w:val="005F460F"/>
    <w:rsid w:val="005F52CD"/>
    <w:rsid w:val="005F53EB"/>
    <w:rsid w:val="005F55F5"/>
    <w:rsid w:val="005F5ACC"/>
    <w:rsid w:val="005F7635"/>
    <w:rsid w:val="005F79B9"/>
    <w:rsid w:val="0060111A"/>
    <w:rsid w:val="0060166A"/>
    <w:rsid w:val="00605BA0"/>
    <w:rsid w:val="00605FB6"/>
    <w:rsid w:val="006065F6"/>
    <w:rsid w:val="00610937"/>
    <w:rsid w:val="0061306F"/>
    <w:rsid w:val="00613A83"/>
    <w:rsid w:val="006163EE"/>
    <w:rsid w:val="00620767"/>
    <w:rsid w:val="006212EA"/>
    <w:rsid w:val="00623186"/>
    <w:rsid w:val="00623ECE"/>
    <w:rsid w:val="0062575C"/>
    <w:rsid w:val="00626C6C"/>
    <w:rsid w:val="00631567"/>
    <w:rsid w:val="00632602"/>
    <w:rsid w:val="00632871"/>
    <w:rsid w:val="0063382E"/>
    <w:rsid w:val="006375EA"/>
    <w:rsid w:val="0064212A"/>
    <w:rsid w:val="00644D89"/>
    <w:rsid w:val="0064697A"/>
    <w:rsid w:val="00651E66"/>
    <w:rsid w:val="00654624"/>
    <w:rsid w:val="0066137C"/>
    <w:rsid w:val="00661AA6"/>
    <w:rsid w:val="006624D9"/>
    <w:rsid w:val="00662E46"/>
    <w:rsid w:val="00662EB5"/>
    <w:rsid w:val="00663839"/>
    <w:rsid w:val="00664F31"/>
    <w:rsid w:val="00664F35"/>
    <w:rsid w:val="006657A0"/>
    <w:rsid w:val="00665928"/>
    <w:rsid w:val="00666E2C"/>
    <w:rsid w:val="00667B57"/>
    <w:rsid w:val="00667C6A"/>
    <w:rsid w:val="00672972"/>
    <w:rsid w:val="00673153"/>
    <w:rsid w:val="00673BD6"/>
    <w:rsid w:val="00675337"/>
    <w:rsid w:val="006761B8"/>
    <w:rsid w:val="006768FF"/>
    <w:rsid w:val="00681164"/>
    <w:rsid w:val="0068234A"/>
    <w:rsid w:val="006825D4"/>
    <w:rsid w:val="00682F99"/>
    <w:rsid w:val="00685439"/>
    <w:rsid w:val="00685878"/>
    <w:rsid w:val="00686386"/>
    <w:rsid w:val="00686439"/>
    <w:rsid w:val="00686505"/>
    <w:rsid w:val="00686FDE"/>
    <w:rsid w:val="00687C08"/>
    <w:rsid w:val="0069462C"/>
    <w:rsid w:val="00696EAC"/>
    <w:rsid w:val="006A0290"/>
    <w:rsid w:val="006A1329"/>
    <w:rsid w:val="006A13DE"/>
    <w:rsid w:val="006A187B"/>
    <w:rsid w:val="006A1B42"/>
    <w:rsid w:val="006A2109"/>
    <w:rsid w:val="006A2116"/>
    <w:rsid w:val="006A3A0B"/>
    <w:rsid w:val="006A4275"/>
    <w:rsid w:val="006A534C"/>
    <w:rsid w:val="006A5DF2"/>
    <w:rsid w:val="006B18E9"/>
    <w:rsid w:val="006B5A46"/>
    <w:rsid w:val="006B5A55"/>
    <w:rsid w:val="006B769C"/>
    <w:rsid w:val="006C0340"/>
    <w:rsid w:val="006C1949"/>
    <w:rsid w:val="006C2B7C"/>
    <w:rsid w:val="006C2CCF"/>
    <w:rsid w:val="006C419D"/>
    <w:rsid w:val="006C574B"/>
    <w:rsid w:val="006D1838"/>
    <w:rsid w:val="006D2553"/>
    <w:rsid w:val="006D2825"/>
    <w:rsid w:val="006D4972"/>
    <w:rsid w:val="006D6683"/>
    <w:rsid w:val="006D678B"/>
    <w:rsid w:val="006D70F5"/>
    <w:rsid w:val="006D7F3F"/>
    <w:rsid w:val="006E0072"/>
    <w:rsid w:val="006E05D7"/>
    <w:rsid w:val="006E2893"/>
    <w:rsid w:val="006E33C9"/>
    <w:rsid w:val="006E483E"/>
    <w:rsid w:val="006E57AE"/>
    <w:rsid w:val="006F0CB9"/>
    <w:rsid w:val="006F27B8"/>
    <w:rsid w:val="006F2990"/>
    <w:rsid w:val="006F48D8"/>
    <w:rsid w:val="006F4FA4"/>
    <w:rsid w:val="00701E12"/>
    <w:rsid w:val="007023C9"/>
    <w:rsid w:val="0070299E"/>
    <w:rsid w:val="007033FE"/>
    <w:rsid w:val="007060F4"/>
    <w:rsid w:val="0070745E"/>
    <w:rsid w:val="007140E5"/>
    <w:rsid w:val="00714539"/>
    <w:rsid w:val="00714F4C"/>
    <w:rsid w:val="00716CA3"/>
    <w:rsid w:val="00720660"/>
    <w:rsid w:val="00721210"/>
    <w:rsid w:val="0072299F"/>
    <w:rsid w:val="007231D7"/>
    <w:rsid w:val="007239C6"/>
    <w:rsid w:val="00725954"/>
    <w:rsid w:val="0072626C"/>
    <w:rsid w:val="00727004"/>
    <w:rsid w:val="00730555"/>
    <w:rsid w:val="007305F2"/>
    <w:rsid w:val="00731980"/>
    <w:rsid w:val="0073335A"/>
    <w:rsid w:val="007345BD"/>
    <w:rsid w:val="00734F58"/>
    <w:rsid w:val="00735C37"/>
    <w:rsid w:val="007361A9"/>
    <w:rsid w:val="00740472"/>
    <w:rsid w:val="00740542"/>
    <w:rsid w:val="00740999"/>
    <w:rsid w:val="007409DC"/>
    <w:rsid w:val="007420BE"/>
    <w:rsid w:val="00743172"/>
    <w:rsid w:val="00744913"/>
    <w:rsid w:val="00744B68"/>
    <w:rsid w:val="00747EEF"/>
    <w:rsid w:val="00750409"/>
    <w:rsid w:val="00750C1F"/>
    <w:rsid w:val="00751076"/>
    <w:rsid w:val="0075339F"/>
    <w:rsid w:val="007551F7"/>
    <w:rsid w:val="0075521B"/>
    <w:rsid w:val="00756BC6"/>
    <w:rsid w:val="00756CEA"/>
    <w:rsid w:val="007577F4"/>
    <w:rsid w:val="00757AD2"/>
    <w:rsid w:val="00760FFC"/>
    <w:rsid w:val="00762402"/>
    <w:rsid w:val="007647DF"/>
    <w:rsid w:val="00770462"/>
    <w:rsid w:val="0077244F"/>
    <w:rsid w:val="00773EA9"/>
    <w:rsid w:val="00775E87"/>
    <w:rsid w:val="00777ACE"/>
    <w:rsid w:val="0078133C"/>
    <w:rsid w:val="007838A7"/>
    <w:rsid w:val="007844F4"/>
    <w:rsid w:val="00784EF0"/>
    <w:rsid w:val="007862BE"/>
    <w:rsid w:val="00791A65"/>
    <w:rsid w:val="00792A30"/>
    <w:rsid w:val="00793720"/>
    <w:rsid w:val="00794E78"/>
    <w:rsid w:val="00796105"/>
    <w:rsid w:val="007962C8"/>
    <w:rsid w:val="007969DD"/>
    <w:rsid w:val="00796EF6"/>
    <w:rsid w:val="007A4138"/>
    <w:rsid w:val="007A6658"/>
    <w:rsid w:val="007A7DA5"/>
    <w:rsid w:val="007B1216"/>
    <w:rsid w:val="007B268A"/>
    <w:rsid w:val="007B4FA5"/>
    <w:rsid w:val="007B5E8A"/>
    <w:rsid w:val="007B69E9"/>
    <w:rsid w:val="007B6CC1"/>
    <w:rsid w:val="007B7FF8"/>
    <w:rsid w:val="007C00D8"/>
    <w:rsid w:val="007C08B5"/>
    <w:rsid w:val="007C096D"/>
    <w:rsid w:val="007C0F79"/>
    <w:rsid w:val="007C450F"/>
    <w:rsid w:val="007C5199"/>
    <w:rsid w:val="007D1CC1"/>
    <w:rsid w:val="007D2713"/>
    <w:rsid w:val="007D5786"/>
    <w:rsid w:val="007D5A32"/>
    <w:rsid w:val="007D7A99"/>
    <w:rsid w:val="007E06FA"/>
    <w:rsid w:val="007E14DD"/>
    <w:rsid w:val="007E304E"/>
    <w:rsid w:val="007E6E72"/>
    <w:rsid w:val="007E7352"/>
    <w:rsid w:val="007E74A5"/>
    <w:rsid w:val="007E7CCF"/>
    <w:rsid w:val="007F0025"/>
    <w:rsid w:val="007F24FF"/>
    <w:rsid w:val="007F66F4"/>
    <w:rsid w:val="007F6AD3"/>
    <w:rsid w:val="007F7F49"/>
    <w:rsid w:val="00802167"/>
    <w:rsid w:val="00802264"/>
    <w:rsid w:val="00802CD3"/>
    <w:rsid w:val="00803D1B"/>
    <w:rsid w:val="0080474E"/>
    <w:rsid w:val="00804AEE"/>
    <w:rsid w:val="00811B0F"/>
    <w:rsid w:val="00812743"/>
    <w:rsid w:val="0081416D"/>
    <w:rsid w:val="00814B19"/>
    <w:rsid w:val="00814EBF"/>
    <w:rsid w:val="00816393"/>
    <w:rsid w:val="0081730B"/>
    <w:rsid w:val="00820E3C"/>
    <w:rsid w:val="008254A7"/>
    <w:rsid w:val="00826229"/>
    <w:rsid w:val="00826703"/>
    <w:rsid w:val="00831470"/>
    <w:rsid w:val="00834944"/>
    <w:rsid w:val="00835062"/>
    <w:rsid w:val="0083550C"/>
    <w:rsid w:val="00835867"/>
    <w:rsid w:val="008364B5"/>
    <w:rsid w:val="008369ED"/>
    <w:rsid w:val="0083746D"/>
    <w:rsid w:val="00841288"/>
    <w:rsid w:val="00841D47"/>
    <w:rsid w:val="00843506"/>
    <w:rsid w:val="0084401D"/>
    <w:rsid w:val="008443D2"/>
    <w:rsid w:val="008450B9"/>
    <w:rsid w:val="008450D9"/>
    <w:rsid w:val="008451DF"/>
    <w:rsid w:val="00845B05"/>
    <w:rsid w:val="00845E46"/>
    <w:rsid w:val="00845F43"/>
    <w:rsid w:val="008461A4"/>
    <w:rsid w:val="008514B6"/>
    <w:rsid w:val="00851BEE"/>
    <w:rsid w:val="00854681"/>
    <w:rsid w:val="00854833"/>
    <w:rsid w:val="008558FB"/>
    <w:rsid w:val="008617B0"/>
    <w:rsid w:val="00861EE9"/>
    <w:rsid w:val="0086261E"/>
    <w:rsid w:val="00862634"/>
    <w:rsid w:val="008661A1"/>
    <w:rsid w:val="0086625E"/>
    <w:rsid w:val="00867FB1"/>
    <w:rsid w:val="00871067"/>
    <w:rsid w:val="00871F76"/>
    <w:rsid w:val="00874D36"/>
    <w:rsid w:val="00874DD4"/>
    <w:rsid w:val="00876D41"/>
    <w:rsid w:val="00881A96"/>
    <w:rsid w:val="00881BB9"/>
    <w:rsid w:val="00882BD6"/>
    <w:rsid w:val="00884808"/>
    <w:rsid w:val="00884AE6"/>
    <w:rsid w:val="00886D1A"/>
    <w:rsid w:val="00890424"/>
    <w:rsid w:val="008905EE"/>
    <w:rsid w:val="00892600"/>
    <w:rsid w:val="00897B24"/>
    <w:rsid w:val="00897E66"/>
    <w:rsid w:val="008A09AA"/>
    <w:rsid w:val="008A149D"/>
    <w:rsid w:val="008A193F"/>
    <w:rsid w:val="008A1D22"/>
    <w:rsid w:val="008A2C35"/>
    <w:rsid w:val="008A59B8"/>
    <w:rsid w:val="008A5EBD"/>
    <w:rsid w:val="008A66B4"/>
    <w:rsid w:val="008B103D"/>
    <w:rsid w:val="008B22E4"/>
    <w:rsid w:val="008B23E9"/>
    <w:rsid w:val="008B337E"/>
    <w:rsid w:val="008B679D"/>
    <w:rsid w:val="008B6EC4"/>
    <w:rsid w:val="008C0052"/>
    <w:rsid w:val="008C0B2E"/>
    <w:rsid w:val="008C2F51"/>
    <w:rsid w:val="008C5615"/>
    <w:rsid w:val="008C57D0"/>
    <w:rsid w:val="008C608E"/>
    <w:rsid w:val="008C6CAD"/>
    <w:rsid w:val="008D16A4"/>
    <w:rsid w:val="008D292A"/>
    <w:rsid w:val="008D6BE2"/>
    <w:rsid w:val="008D6C27"/>
    <w:rsid w:val="008D717E"/>
    <w:rsid w:val="008D7425"/>
    <w:rsid w:val="008E005D"/>
    <w:rsid w:val="008E210B"/>
    <w:rsid w:val="008E2A32"/>
    <w:rsid w:val="008E47F4"/>
    <w:rsid w:val="008E4CF9"/>
    <w:rsid w:val="008E70F7"/>
    <w:rsid w:val="008E7B2E"/>
    <w:rsid w:val="008F0034"/>
    <w:rsid w:val="008F1940"/>
    <w:rsid w:val="008F39B3"/>
    <w:rsid w:val="008F3A94"/>
    <w:rsid w:val="008F4D6C"/>
    <w:rsid w:val="008F503F"/>
    <w:rsid w:val="008F75EB"/>
    <w:rsid w:val="009014BA"/>
    <w:rsid w:val="00902AA6"/>
    <w:rsid w:val="00905A19"/>
    <w:rsid w:val="00905F47"/>
    <w:rsid w:val="009078A6"/>
    <w:rsid w:val="0091192E"/>
    <w:rsid w:val="009128B6"/>
    <w:rsid w:val="00912BE6"/>
    <w:rsid w:val="00914013"/>
    <w:rsid w:val="0091481D"/>
    <w:rsid w:val="00916CEE"/>
    <w:rsid w:val="009217E4"/>
    <w:rsid w:val="00925637"/>
    <w:rsid w:val="00925778"/>
    <w:rsid w:val="009260AB"/>
    <w:rsid w:val="0093232F"/>
    <w:rsid w:val="00932739"/>
    <w:rsid w:val="009339CD"/>
    <w:rsid w:val="00935579"/>
    <w:rsid w:val="00935743"/>
    <w:rsid w:val="009375F3"/>
    <w:rsid w:val="00940EBC"/>
    <w:rsid w:val="009458BB"/>
    <w:rsid w:val="00946B49"/>
    <w:rsid w:val="00947FB6"/>
    <w:rsid w:val="00950A04"/>
    <w:rsid w:val="00950DAE"/>
    <w:rsid w:val="009517E2"/>
    <w:rsid w:val="00951877"/>
    <w:rsid w:val="0095313D"/>
    <w:rsid w:val="009545A9"/>
    <w:rsid w:val="009557EB"/>
    <w:rsid w:val="00955A4D"/>
    <w:rsid w:val="00955B2A"/>
    <w:rsid w:val="00956292"/>
    <w:rsid w:val="00956CA3"/>
    <w:rsid w:val="00957E8B"/>
    <w:rsid w:val="00960D48"/>
    <w:rsid w:val="00960E6C"/>
    <w:rsid w:val="00962837"/>
    <w:rsid w:val="00962BD3"/>
    <w:rsid w:val="00964D26"/>
    <w:rsid w:val="00964DEE"/>
    <w:rsid w:val="0097048B"/>
    <w:rsid w:val="00970B5B"/>
    <w:rsid w:val="009717F0"/>
    <w:rsid w:val="00971D5C"/>
    <w:rsid w:val="0097303B"/>
    <w:rsid w:val="00985DB4"/>
    <w:rsid w:val="00986621"/>
    <w:rsid w:val="009868E5"/>
    <w:rsid w:val="00990A3D"/>
    <w:rsid w:val="00991619"/>
    <w:rsid w:val="0099545A"/>
    <w:rsid w:val="00995C6A"/>
    <w:rsid w:val="0099618C"/>
    <w:rsid w:val="0099625D"/>
    <w:rsid w:val="009A1CFD"/>
    <w:rsid w:val="009A20DC"/>
    <w:rsid w:val="009A30DC"/>
    <w:rsid w:val="009A4839"/>
    <w:rsid w:val="009A6F94"/>
    <w:rsid w:val="009B0D38"/>
    <w:rsid w:val="009B0DBC"/>
    <w:rsid w:val="009B0FFE"/>
    <w:rsid w:val="009B1C8A"/>
    <w:rsid w:val="009B392C"/>
    <w:rsid w:val="009B39D0"/>
    <w:rsid w:val="009B731D"/>
    <w:rsid w:val="009B747D"/>
    <w:rsid w:val="009C06FB"/>
    <w:rsid w:val="009C13BE"/>
    <w:rsid w:val="009C1A52"/>
    <w:rsid w:val="009C48FA"/>
    <w:rsid w:val="009C5BDD"/>
    <w:rsid w:val="009C5E79"/>
    <w:rsid w:val="009C6C59"/>
    <w:rsid w:val="009D090F"/>
    <w:rsid w:val="009D1596"/>
    <w:rsid w:val="009D18A6"/>
    <w:rsid w:val="009D19A4"/>
    <w:rsid w:val="009D3DF3"/>
    <w:rsid w:val="009D49D1"/>
    <w:rsid w:val="009D527E"/>
    <w:rsid w:val="009D7F3A"/>
    <w:rsid w:val="009E0DD1"/>
    <w:rsid w:val="009E0FE9"/>
    <w:rsid w:val="009E331B"/>
    <w:rsid w:val="009E3862"/>
    <w:rsid w:val="009E3C69"/>
    <w:rsid w:val="009E4F07"/>
    <w:rsid w:val="009E555F"/>
    <w:rsid w:val="009E6BB5"/>
    <w:rsid w:val="009E79D3"/>
    <w:rsid w:val="009F07B9"/>
    <w:rsid w:val="009F17FB"/>
    <w:rsid w:val="009F2E81"/>
    <w:rsid w:val="009F2FEF"/>
    <w:rsid w:val="009F309C"/>
    <w:rsid w:val="009F3BC3"/>
    <w:rsid w:val="009F4CCC"/>
    <w:rsid w:val="009F5410"/>
    <w:rsid w:val="009F5C69"/>
    <w:rsid w:val="009F6602"/>
    <w:rsid w:val="009F7F7C"/>
    <w:rsid w:val="00A00B81"/>
    <w:rsid w:val="00A02375"/>
    <w:rsid w:val="00A055BC"/>
    <w:rsid w:val="00A056EF"/>
    <w:rsid w:val="00A11BE2"/>
    <w:rsid w:val="00A131E3"/>
    <w:rsid w:val="00A14DFA"/>
    <w:rsid w:val="00A173CD"/>
    <w:rsid w:val="00A174D5"/>
    <w:rsid w:val="00A17978"/>
    <w:rsid w:val="00A17E18"/>
    <w:rsid w:val="00A20519"/>
    <w:rsid w:val="00A21D27"/>
    <w:rsid w:val="00A2205F"/>
    <w:rsid w:val="00A24C58"/>
    <w:rsid w:val="00A24FC8"/>
    <w:rsid w:val="00A25914"/>
    <w:rsid w:val="00A25D50"/>
    <w:rsid w:val="00A25DC0"/>
    <w:rsid w:val="00A25E57"/>
    <w:rsid w:val="00A263BB"/>
    <w:rsid w:val="00A266EC"/>
    <w:rsid w:val="00A27AD0"/>
    <w:rsid w:val="00A27FC8"/>
    <w:rsid w:val="00A33AF0"/>
    <w:rsid w:val="00A33E2A"/>
    <w:rsid w:val="00A34AD1"/>
    <w:rsid w:val="00A35995"/>
    <w:rsid w:val="00A37442"/>
    <w:rsid w:val="00A40531"/>
    <w:rsid w:val="00A40C76"/>
    <w:rsid w:val="00A41043"/>
    <w:rsid w:val="00A41AF3"/>
    <w:rsid w:val="00A42015"/>
    <w:rsid w:val="00A476FF"/>
    <w:rsid w:val="00A47731"/>
    <w:rsid w:val="00A50CF8"/>
    <w:rsid w:val="00A51B77"/>
    <w:rsid w:val="00A52DA0"/>
    <w:rsid w:val="00A53DE3"/>
    <w:rsid w:val="00A5457F"/>
    <w:rsid w:val="00A55C14"/>
    <w:rsid w:val="00A57471"/>
    <w:rsid w:val="00A601DA"/>
    <w:rsid w:val="00A604B7"/>
    <w:rsid w:val="00A6141A"/>
    <w:rsid w:val="00A62032"/>
    <w:rsid w:val="00A64BB0"/>
    <w:rsid w:val="00A65883"/>
    <w:rsid w:val="00A66510"/>
    <w:rsid w:val="00A67448"/>
    <w:rsid w:val="00A70D65"/>
    <w:rsid w:val="00A7289A"/>
    <w:rsid w:val="00A72B94"/>
    <w:rsid w:val="00A73156"/>
    <w:rsid w:val="00A73C41"/>
    <w:rsid w:val="00A7486A"/>
    <w:rsid w:val="00A74B9B"/>
    <w:rsid w:val="00A750F6"/>
    <w:rsid w:val="00A755D5"/>
    <w:rsid w:val="00A75826"/>
    <w:rsid w:val="00A769F2"/>
    <w:rsid w:val="00A77BDB"/>
    <w:rsid w:val="00A77F0E"/>
    <w:rsid w:val="00A809AF"/>
    <w:rsid w:val="00A82253"/>
    <w:rsid w:val="00A828A0"/>
    <w:rsid w:val="00A83480"/>
    <w:rsid w:val="00A83BC7"/>
    <w:rsid w:val="00A84307"/>
    <w:rsid w:val="00A84960"/>
    <w:rsid w:val="00A84E03"/>
    <w:rsid w:val="00A8715C"/>
    <w:rsid w:val="00A91DC2"/>
    <w:rsid w:val="00A927F2"/>
    <w:rsid w:val="00A92AD7"/>
    <w:rsid w:val="00A92DBD"/>
    <w:rsid w:val="00A93209"/>
    <w:rsid w:val="00A933A7"/>
    <w:rsid w:val="00A93EF8"/>
    <w:rsid w:val="00A94001"/>
    <w:rsid w:val="00A942F6"/>
    <w:rsid w:val="00A94FED"/>
    <w:rsid w:val="00A95413"/>
    <w:rsid w:val="00A95B1C"/>
    <w:rsid w:val="00AA1649"/>
    <w:rsid w:val="00AA2E5F"/>
    <w:rsid w:val="00AA3F18"/>
    <w:rsid w:val="00AA6484"/>
    <w:rsid w:val="00AA7258"/>
    <w:rsid w:val="00AB0CA6"/>
    <w:rsid w:val="00AB20F0"/>
    <w:rsid w:val="00AB5F3B"/>
    <w:rsid w:val="00AB7A42"/>
    <w:rsid w:val="00AC1494"/>
    <w:rsid w:val="00AC1F26"/>
    <w:rsid w:val="00AC213E"/>
    <w:rsid w:val="00AC2E9F"/>
    <w:rsid w:val="00AC4D7B"/>
    <w:rsid w:val="00AC75D6"/>
    <w:rsid w:val="00AD1C89"/>
    <w:rsid w:val="00AD3461"/>
    <w:rsid w:val="00AD7AF5"/>
    <w:rsid w:val="00AE1693"/>
    <w:rsid w:val="00AE3D48"/>
    <w:rsid w:val="00AE48A1"/>
    <w:rsid w:val="00AE5C9C"/>
    <w:rsid w:val="00AE605D"/>
    <w:rsid w:val="00AE7108"/>
    <w:rsid w:val="00AE7776"/>
    <w:rsid w:val="00AF1ECD"/>
    <w:rsid w:val="00AF2C8D"/>
    <w:rsid w:val="00AF30A2"/>
    <w:rsid w:val="00AF4E35"/>
    <w:rsid w:val="00AF73C7"/>
    <w:rsid w:val="00AF7463"/>
    <w:rsid w:val="00AF7823"/>
    <w:rsid w:val="00AF7CD6"/>
    <w:rsid w:val="00B00577"/>
    <w:rsid w:val="00B00D27"/>
    <w:rsid w:val="00B06D2B"/>
    <w:rsid w:val="00B0701A"/>
    <w:rsid w:val="00B10737"/>
    <w:rsid w:val="00B11586"/>
    <w:rsid w:val="00B11DDB"/>
    <w:rsid w:val="00B12159"/>
    <w:rsid w:val="00B14942"/>
    <w:rsid w:val="00B16C12"/>
    <w:rsid w:val="00B21A34"/>
    <w:rsid w:val="00B2294A"/>
    <w:rsid w:val="00B23A34"/>
    <w:rsid w:val="00B24ADF"/>
    <w:rsid w:val="00B27126"/>
    <w:rsid w:val="00B30A5A"/>
    <w:rsid w:val="00B31958"/>
    <w:rsid w:val="00B32074"/>
    <w:rsid w:val="00B32547"/>
    <w:rsid w:val="00B3382D"/>
    <w:rsid w:val="00B34024"/>
    <w:rsid w:val="00B34473"/>
    <w:rsid w:val="00B3534F"/>
    <w:rsid w:val="00B354E7"/>
    <w:rsid w:val="00B3709C"/>
    <w:rsid w:val="00B40B6D"/>
    <w:rsid w:val="00B42AC0"/>
    <w:rsid w:val="00B43286"/>
    <w:rsid w:val="00B450AD"/>
    <w:rsid w:val="00B46436"/>
    <w:rsid w:val="00B46AD6"/>
    <w:rsid w:val="00B53F0F"/>
    <w:rsid w:val="00B545D6"/>
    <w:rsid w:val="00B54F17"/>
    <w:rsid w:val="00B5546B"/>
    <w:rsid w:val="00B6067B"/>
    <w:rsid w:val="00B612FD"/>
    <w:rsid w:val="00B616F2"/>
    <w:rsid w:val="00B62990"/>
    <w:rsid w:val="00B7069E"/>
    <w:rsid w:val="00B77E7E"/>
    <w:rsid w:val="00B8081D"/>
    <w:rsid w:val="00B8128B"/>
    <w:rsid w:val="00B81F87"/>
    <w:rsid w:val="00B8370B"/>
    <w:rsid w:val="00B83CD7"/>
    <w:rsid w:val="00B849BD"/>
    <w:rsid w:val="00B912C5"/>
    <w:rsid w:val="00B92D31"/>
    <w:rsid w:val="00B96E8C"/>
    <w:rsid w:val="00B973D3"/>
    <w:rsid w:val="00BA4B5A"/>
    <w:rsid w:val="00BA5E8D"/>
    <w:rsid w:val="00BA6E6D"/>
    <w:rsid w:val="00BB180E"/>
    <w:rsid w:val="00BB326B"/>
    <w:rsid w:val="00BB3486"/>
    <w:rsid w:val="00BB4D5A"/>
    <w:rsid w:val="00BB5A29"/>
    <w:rsid w:val="00BB7141"/>
    <w:rsid w:val="00BB75BF"/>
    <w:rsid w:val="00BC07B8"/>
    <w:rsid w:val="00BC462F"/>
    <w:rsid w:val="00BC4F05"/>
    <w:rsid w:val="00BD31BB"/>
    <w:rsid w:val="00BD508F"/>
    <w:rsid w:val="00BD5711"/>
    <w:rsid w:val="00BE143B"/>
    <w:rsid w:val="00BE2E42"/>
    <w:rsid w:val="00BE48D7"/>
    <w:rsid w:val="00BE61DE"/>
    <w:rsid w:val="00BE6386"/>
    <w:rsid w:val="00BE6BE3"/>
    <w:rsid w:val="00BE71D3"/>
    <w:rsid w:val="00BE7240"/>
    <w:rsid w:val="00BE78BA"/>
    <w:rsid w:val="00BF0078"/>
    <w:rsid w:val="00BF052A"/>
    <w:rsid w:val="00BF0F80"/>
    <w:rsid w:val="00BF0FEA"/>
    <w:rsid w:val="00BF109B"/>
    <w:rsid w:val="00BF1623"/>
    <w:rsid w:val="00BF420B"/>
    <w:rsid w:val="00BF44DD"/>
    <w:rsid w:val="00BF4B3C"/>
    <w:rsid w:val="00BF4DE3"/>
    <w:rsid w:val="00BF4E91"/>
    <w:rsid w:val="00BF611A"/>
    <w:rsid w:val="00BF6170"/>
    <w:rsid w:val="00BF656F"/>
    <w:rsid w:val="00BF66B7"/>
    <w:rsid w:val="00C004D0"/>
    <w:rsid w:val="00C00768"/>
    <w:rsid w:val="00C01EBF"/>
    <w:rsid w:val="00C03F99"/>
    <w:rsid w:val="00C06812"/>
    <w:rsid w:val="00C10905"/>
    <w:rsid w:val="00C12D2F"/>
    <w:rsid w:val="00C14195"/>
    <w:rsid w:val="00C145FF"/>
    <w:rsid w:val="00C15520"/>
    <w:rsid w:val="00C15B88"/>
    <w:rsid w:val="00C169DB"/>
    <w:rsid w:val="00C17FDB"/>
    <w:rsid w:val="00C21D6C"/>
    <w:rsid w:val="00C21DCE"/>
    <w:rsid w:val="00C225F9"/>
    <w:rsid w:val="00C23607"/>
    <w:rsid w:val="00C23948"/>
    <w:rsid w:val="00C24391"/>
    <w:rsid w:val="00C244BC"/>
    <w:rsid w:val="00C2490B"/>
    <w:rsid w:val="00C25C5F"/>
    <w:rsid w:val="00C261AC"/>
    <w:rsid w:val="00C26405"/>
    <w:rsid w:val="00C26DA7"/>
    <w:rsid w:val="00C27D54"/>
    <w:rsid w:val="00C30235"/>
    <w:rsid w:val="00C3253B"/>
    <w:rsid w:val="00C32DF8"/>
    <w:rsid w:val="00C353A0"/>
    <w:rsid w:val="00C371C4"/>
    <w:rsid w:val="00C37F43"/>
    <w:rsid w:val="00C44099"/>
    <w:rsid w:val="00C4472D"/>
    <w:rsid w:val="00C45EA8"/>
    <w:rsid w:val="00C4749B"/>
    <w:rsid w:val="00C5189E"/>
    <w:rsid w:val="00C52647"/>
    <w:rsid w:val="00C539CC"/>
    <w:rsid w:val="00C54DCD"/>
    <w:rsid w:val="00C55966"/>
    <w:rsid w:val="00C55DE1"/>
    <w:rsid w:val="00C56A40"/>
    <w:rsid w:val="00C5739E"/>
    <w:rsid w:val="00C5749D"/>
    <w:rsid w:val="00C616F9"/>
    <w:rsid w:val="00C6177E"/>
    <w:rsid w:val="00C65A94"/>
    <w:rsid w:val="00C67316"/>
    <w:rsid w:val="00C703E4"/>
    <w:rsid w:val="00C70501"/>
    <w:rsid w:val="00C70A29"/>
    <w:rsid w:val="00C723AD"/>
    <w:rsid w:val="00C73A48"/>
    <w:rsid w:val="00C741B4"/>
    <w:rsid w:val="00C7593A"/>
    <w:rsid w:val="00C7634C"/>
    <w:rsid w:val="00C7756E"/>
    <w:rsid w:val="00C77712"/>
    <w:rsid w:val="00C83799"/>
    <w:rsid w:val="00C84A75"/>
    <w:rsid w:val="00C85AAE"/>
    <w:rsid w:val="00C85CD7"/>
    <w:rsid w:val="00C867A5"/>
    <w:rsid w:val="00C90E9C"/>
    <w:rsid w:val="00C90F01"/>
    <w:rsid w:val="00C92425"/>
    <w:rsid w:val="00C9351D"/>
    <w:rsid w:val="00C94495"/>
    <w:rsid w:val="00C95143"/>
    <w:rsid w:val="00C9600D"/>
    <w:rsid w:val="00C961FE"/>
    <w:rsid w:val="00C970AB"/>
    <w:rsid w:val="00C97B7E"/>
    <w:rsid w:val="00CA0706"/>
    <w:rsid w:val="00CA2FD7"/>
    <w:rsid w:val="00CA5221"/>
    <w:rsid w:val="00CB0845"/>
    <w:rsid w:val="00CB23D2"/>
    <w:rsid w:val="00CB2C39"/>
    <w:rsid w:val="00CB3016"/>
    <w:rsid w:val="00CB3A40"/>
    <w:rsid w:val="00CB52D4"/>
    <w:rsid w:val="00CB5AA5"/>
    <w:rsid w:val="00CB5C20"/>
    <w:rsid w:val="00CB5D72"/>
    <w:rsid w:val="00CB6F1E"/>
    <w:rsid w:val="00CB71DE"/>
    <w:rsid w:val="00CB7777"/>
    <w:rsid w:val="00CC0D2B"/>
    <w:rsid w:val="00CC3059"/>
    <w:rsid w:val="00CC3D7B"/>
    <w:rsid w:val="00CC576C"/>
    <w:rsid w:val="00CC640B"/>
    <w:rsid w:val="00CC6F54"/>
    <w:rsid w:val="00CC7E93"/>
    <w:rsid w:val="00CD0167"/>
    <w:rsid w:val="00CD07E4"/>
    <w:rsid w:val="00CD4C6F"/>
    <w:rsid w:val="00CD6F36"/>
    <w:rsid w:val="00CE0389"/>
    <w:rsid w:val="00CE0CDA"/>
    <w:rsid w:val="00CE1049"/>
    <w:rsid w:val="00CE207C"/>
    <w:rsid w:val="00CE375D"/>
    <w:rsid w:val="00CE3AF9"/>
    <w:rsid w:val="00CE6194"/>
    <w:rsid w:val="00CE74AA"/>
    <w:rsid w:val="00CE7B4D"/>
    <w:rsid w:val="00CF2B54"/>
    <w:rsid w:val="00CF31F9"/>
    <w:rsid w:val="00CF4991"/>
    <w:rsid w:val="00CF4B97"/>
    <w:rsid w:val="00CF781A"/>
    <w:rsid w:val="00D00EB3"/>
    <w:rsid w:val="00D04B6A"/>
    <w:rsid w:val="00D05E7D"/>
    <w:rsid w:val="00D07C85"/>
    <w:rsid w:val="00D10943"/>
    <w:rsid w:val="00D109A3"/>
    <w:rsid w:val="00D10F57"/>
    <w:rsid w:val="00D1274B"/>
    <w:rsid w:val="00D130C4"/>
    <w:rsid w:val="00D13DA7"/>
    <w:rsid w:val="00D162CF"/>
    <w:rsid w:val="00D16625"/>
    <w:rsid w:val="00D16CDA"/>
    <w:rsid w:val="00D16FCA"/>
    <w:rsid w:val="00D17B22"/>
    <w:rsid w:val="00D17D71"/>
    <w:rsid w:val="00D212A5"/>
    <w:rsid w:val="00D22075"/>
    <w:rsid w:val="00D22352"/>
    <w:rsid w:val="00D22EB6"/>
    <w:rsid w:val="00D2325D"/>
    <w:rsid w:val="00D24634"/>
    <w:rsid w:val="00D25FBA"/>
    <w:rsid w:val="00D26DFC"/>
    <w:rsid w:val="00D30EB7"/>
    <w:rsid w:val="00D34D58"/>
    <w:rsid w:val="00D36C40"/>
    <w:rsid w:val="00D36D32"/>
    <w:rsid w:val="00D4160C"/>
    <w:rsid w:val="00D42686"/>
    <w:rsid w:val="00D43A2D"/>
    <w:rsid w:val="00D44423"/>
    <w:rsid w:val="00D45BAA"/>
    <w:rsid w:val="00D45C06"/>
    <w:rsid w:val="00D46B86"/>
    <w:rsid w:val="00D508A3"/>
    <w:rsid w:val="00D50D11"/>
    <w:rsid w:val="00D5153C"/>
    <w:rsid w:val="00D52500"/>
    <w:rsid w:val="00D53085"/>
    <w:rsid w:val="00D532E4"/>
    <w:rsid w:val="00D538E0"/>
    <w:rsid w:val="00D53987"/>
    <w:rsid w:val="00D57192"/>
    <w:rsid w:val="00D637F6"/>
    <w:rsid w:val="00D64C21"/>
    <w:rsid w:val="00D65996"/>
    <w:rsid w:val="00D65CE9"/>
    <w:rsid w:val="00D66C3C"/>
    <w:rsid w:val="00D67576"/>
    <w:rsid w:val="00D71A07"/>
    <w:rsid w:val="00D71D09"/>
    <w:rsid w:val="00D728C2"/>
    <w:rsid w:val="00D72A48"/>
    <w:rsid w:val="00D72CB0"/>
    <w:rsid w:val="00D7441F"/>
    <w:rsid w:val="00D74E09"/>
    <w:rsid w:val="00D758BF"/>
    <w:rsid w:val="00D75D66"/>
    <w:rsid w:val="00D8278C"/>
    <w:rsid w:val="00D830B4"/>
    <w:rsid w:val="00D84F1E"/>
    <w:rsid w:val="00D86586"/>
    <w:rsid w:val="00D8784E"/>
    <w:rsid w:val="00D87BB7"/>
    <w:rsid w:val="00D90A7B"/>
    <w:rsid w:val="00D94F6F"/>
    <w:rsid w:val="00D95308"/>
    <w:rsid w:val="00D957E2"/>
    <w:rsid w:val="00D95D0A"/>
    <w:rsid w:val="00D9609D"/>
    <w:rsid w:val="00D96559"/>
    <w:rsid w:val="00DA21A7"/>
    <w:rsid w:val="00DA425B"/>
    <w:rsid w:val="00DA48FF"/>
    <w:rsid w:val="00DA52FA"/>
    <w:rsid w:val="00DB16C6"/>
    <w:rsid w:val="00DB3CA0"/>
    <w:rsid w:val="00DB54B2"/>
    <w:rsid w:val="00DB6C4D"/>
    <w:rsid w:val="00DB7327"/>
    <w:rsid w:val="00DC4185"/>
    <w:rsid w:val="00DC7963"/>
    <w:rsid w:val="00DC7D3E"/>
    <w:rsid w:val="00DD24A9"/>
    <w:rsid w:val="00DD290F"/>
    <w:rsid w:val="00DD3CF3"/>
    <w:rsid w:val="00DD50AA"/>
    <w:rsid w:val="00DD6716"/>
    <w:rsid w:val="00DD76BB"/>
    <w:rsid w:val="00DD7ECF"/>
    <w:rsid w:val="00DE0836"/>
    <w:rsid w:val="00DE0CE0"/>
    <w:rsid w:val="00DE7389"/>
    <w:rsid w:val="00DF12DD"/>
    <w:rsid w:val="00DF2AF8"/>
    <w:rsid w:val="00DF36E0"/>
    <w:rsid w:val="00DF461B"/>
    <w:rsid w:val="00DF5288"/>
    <w:rsid w:val="00DF59B0"/>
    <w:rsid w:val="00DF5CF8"/>
    <w:rsid w:val="00DF659E"/>
    <w:rsid w:val="00DF6823"/>
    <w:rsid w:val="00DF7D4F"/>
    <w:rsid w:val="00E00B77"/>
    <w:rsid w:val="00E015BC"/>
    <w:rsid w:val="00E02EA6"/>
    <w:rsid w:val="00E031E2"/>
    <w:rsid w:val="00E049E4"/>
    <w:rsid w:val="00E04BC9"/>
    <w:rsid w:val="00E0699F"/>
    <w:rsid w:val="00E06B32"/>
    <w:rsid w:val="00E105BD"/>
    <w:rsid w:val="00E10842"/>
    <w:rsid w:val="00E10B8E"/>
    <w:rsid w:val="00E114DF"/>
    <w:rsid w:val="00E129DD"/>
    <w:rsid w:val="00E15E16"/>
    <w:rsid w:val="00E163E7"/>
    <w:rsid w:val="00E1710C"/>
    <w:rsid w:val="00E17C46"/>
    <w:rsid w:val="00E207E7"/>
    <w:rsid w:val="00E21ADE"/>
    <w:rsid w:val="00E21F17"/>
    <w:rsid w:val="00E229D7"/>
    <w:rsid w:val="00E22BE5"/>
    <w:rsid w:val="00E23849"/>
    <w:rsid w:val="00E23C75"/>
    <w:rsid w:val="00E2687D"/>
    <w:rsid w:val="00E26CA3"/>
    <w:rsid w:val="00E27441"/>
    <w:rsid w:val="00E315FB"/>
    <w:rsid w:val="00E32FAB"/>
    <w:rsid w:val="00E33EF6"/>
    <w:rsid w:val="00E35000"/>
    <w:rsid w:val="00E3599A"/>
    <w:rsid w:val="00E402FC"/>
    <w:rsid w:val="00E42192"/>
    <w:rsid w:val="00E44A15"/>
    <w:rsid w:val="00E44ED7"/>
    <w:rsid w:val="00E450AC"/>
    <w:rsid w:val="00E46B76"/>
    <w:rsid w:val="00E47C15"/>
    <w:rsid w:val="00E50FD8"/>
    <w:rsid w:val="00E514A1"/>
    <w:rsid w:val="00E5354E"/>
    <w:rsid w:val="00E55AFA"/>
    <w:rsid w:val="00E55DCF"/>
    <w:rsid w:val="00E564DD"/>
    <w:rsid w:val="00E60261"/>
    <w:rsid w:val="00E6144A"/>
    <w:rsid w:val="00E61829"/>
    <w:rsid w:val="00E62173"/>
    <w:rsid w:val="00E62364"/>
    <w:rsid w:val="00E628B6"/>
    <w:rsid w:val="00E62A57"/>
    <w:rsid w:val="00E63703"/>
    <w:rsid w:val="00E63B14"/>
    <w:rsid w:val="00E63E87"/>
    <w:rsid w:val="00E65DF0"/>
    <w:rsid w:val="00E66C54"/>
    <w:rsid w:val="00E67E50"/>
    <w:rsid w:val="00E708CF"/>
    <w:rsid w:val="00E71AD0"/>
    <w:rsid w:val="00E72210"/>
    <w:rsid w:val="00E73A7F"/>
    <w:rsid w:val="00E73DD2"/>
    <w:rsid w:val="00E75476"/>
    <w:rsid w:val="00E77E32"/>
    <w:rsid w:val="00E8260B"/>
    <w:rsid w:val="00E842F2"/>
    <w:rsid w:val="00E843EF"/>
    <w:rsid w:val="00E861ED"/>
    <w:rsid w:val="00E90DFE"/>
    <w:rsid w:val="00E918AB"/>
    <w:rsid w:val="00E93825"/>
    <w:rsid w:val="00E94498"/>
    <w:rsid w:val="00E9459E"/>
    <w:rsid w:val="00E95B2B"/>
    <w:rsid w:val="00E96047"/>
    <w:rsid w:val="00E9698A"/>
    <w:rsid w:val="00E96D73"/>
    <w:rsid w:val="00EA0960"/>
    <w:rsid w:val="00EA1ED3"/>
    <w:rsid w:val="00EA3F8A"/>
    <w:rsid w:val="00EA5827"/>
    <w:rsid w:val="00EA6A09"/>
    <w:rsid w:val="00EA7703"/>
    <w:rsid w:val="00EB0BE6"/>
    <w:rsid w:val="00EB14B8"/>
    <w:rsid w:val="00EB43E2"/>
    <w:rsid w:val="00EB4DA8"/>
    <w:rsid w:val="00EB65BC"/>
    <w:rsid w:val="00EC05DE"/>
    <w:rsid w:val="00EC06C3"/>
    <w:rsid w:val="00EC279B"/>
    <w:rsid w:val="00EC2F2E"/>
    <w:rsid w:val="00EC6094"/>
    <w:rsid w:val="00EC6523"/>
    <w:rsid w:val="00EC70D1"/>
    <w:rsid w:val="00EC7173"/>
    <w:rsid w:val="00ED03A4"/>
    <w:rsid w:val="00ED15F9"/>
    <w:rsid w:val="00ED1959"/>
    <w:rsid w:val="00ED2AF8"/>
    <w:rsid w:val="00ED2F9B"/>
    <w:rsid w:val="00ED333C"/>
    <w:rsid w:val="00EE2E48"/>
    <w:rsid w:val="00EE41CD"/>
    <w:rsid w:val="00EE574F"/>
    <w:rsid w:val="00EE5BEC"/>
    <w:rsid w:val="00EE6C82"/>
    <w:rsid w:val="00EE6CE0"/>
    <w:rsid w:val="00EF0213"/>
    <w:rsid w:val="00EF2D95"/>
    <w:rsid w:val="00EF3D98"/>
    <w:rsid w:val="00EF44F7"/>
    <w:rsid w:val="00EF5ECE"/>
    <w:rsid w:val="00EF61E7"/>
    <w:rsid w:val="00EF683E"/>
    <w:rsid w:val="00EF6B8F"/>
    <w:rsid w:val="00F01666"/>
    <w:rsid w:val="00F0180B"/>
    <w:rsid w:val="00F027B6"/>
    <w:rsid w:val="00F0376F"/>
    <w:rsid w:val="00F03FDA"/>
    <w:rsid w:val="00F0444E"/>
    <w:rsid w:val="00F04AAB"/>
    <w:rsid w:val="00F051EA"/>
    <w:rsid w:val="00F06F0C"/>
    <w:rsid w:val="00F07A0C"/>
    <w:rsid w:val="00F1255A"/>
    <w:rsid w:val="00F140CC"/>
    <w:rsid w:val="00F155D6"/>
    <w:rsid w:val="00F17CDF"/>
    <w:rsid w:val="00F17E1E"/>
    <w:rsid w:val="00F2024B"/>
    <w:rsid w:val="00F20CB6"/>
    <w:rsid w:val="00F233FE"/>
    <w:rsid w:val="00F23489"/>
    <w:rsid w:val="00F252E7"/>
    <w:rsid w:val="00F25F34"/>
    <w:rsid w:val="00F2722F"/>
    <w:rsid w:val="00F30B4F"/>
    <w:rsid w:val="00F30BBA"/>
    <w:rsid w:val="00F323C5"/>
    <w:rsid w:val="00F3582A"/>
    <w:rsid w:val="00F37967"/>
    <w:rsid w:val="00F4042A"/>
    <w:rsid w:val="00F404FA"/>
    <w:rsid w:val="00F44233"/>
    <w:rsid w:val="00F4498D"/>
    <w:rsid w:val="00F44B7A"/>
    <w:rsid w:val="00F45353"/>
    <w:rsid w:val="00F468B1"/>
    <w:rsid w:val="00F46AFB"/>
    <w:rsid w:val="00F507ED"/>
    <w:rsid w:val="00F52020"/>
    <w:rsid w:val="00F53C43"/>
    <w:rsid w:val="00F54798"/>
    <w:rsid w:val="00F5690F"/>
    <w:rsid w:val="00F578E4"/>
    <w:rsid w:val="00F61085"/>
    <w:rsid w:val="00F625FC"/>
    <w:rsid w:val="00F70411"/>
    <w:rsid w:val="00F70704"/>
    <w:rsid w:val="00F71C03"/>
    <w:rsid w:val="00F72C5C"/>
    <w:rsid w:val="00F74621"/>
    <w:rsid w:val="00F7528B"/>
    <w:rsid w:val="00F75ED8"/>
    <w:rsid w:val="00F760F9"/>
    <w:rsid w:val="00F7705E"/>
    <w:rsid w:val="00F774BA"/>
    <w:rsid w:val="00F77512"/>
    <w:rsid w:val="00F779F6"/>
    <w:rsid w:val="00F80353"/>
    <w:rsid w:val="00F80FB5"/>
    <w:rsid w:val="00F81BFA"/>
    <w:rsid w:val="00F8423F"/>
    <w:rsid w:val="00F8474B"/>
    <w:rsid w:val="00F8651D"/>
    <w:rsid w:val="00F8710B"/>
    <w:rsid w:val="00F874AD"/>
    <w:rsid w:val="00F900D2"/>
    <w:rsid w:val="00F901B3"/>
    <w:rsid w:val="00F92605"/>
    <w:rsid w:val="00F93B1C"/>
    <w:rsid w:val="00F94186"/>
    <w:rsid w:val="00F95EA5"/>
    <w:rsid w:val="00F965B2"/>
    <w:rsid w:val="00F97621"/>
    <w:rsid w:val="00F97DFB"/>
    <w:rsid w:val="00FA017B"/>
    <w:rsid w:val="00FA18BD"/>
    <w:rsid w:val="00FA27D4"/>
    <w:rsid w:val="00FA2C57"/>
    <w:rsid w:val="00FA520F"/>
    <w:rsid w:val="00FA52FF"/>
    <w:rsid w:val="00FA61D9"/>
    <w:rsid w:val="00FA70ED"/>
    <w:rsid w:val="00FB1033"/>
    <w:rsid w:val="00FB19C3"/>
    <w:rsid w:val="00FB1B0C"/>
    <w:rsid w:val="00FB1D4F"/>
    <w:rsid w:val="00FB2032"/>
    <w:rsid w:val="00FB291E"/>
    <w:rsid w:val="00FB4351"/>
    <w:rsid w:val="00FB4E6B"/>
    <w:rsid w:val="00FB5B8E"/>
    <w:rsid w:val="00FB60A8"/>
    <w:rsid w:val="00FB7944"/>
    <w:rsid w:val="00FC07B0"/>
    <w:rsid w:val="00FC07E0"/>
    <w:rsid w:val="00FC1478"/>
    <w:rsid w:val="00FC306D"/>
    <w:rsid w:val="00FC43E7"/>
    <w:rsid w:val="00FC47A9"/>
    <w:rsid w:val="00FC4970"/>
    <w:rsid w:val="00FC4CB8"/>
    <w:rsid w:val="00FC5698"/>
    <w:rsid w:val="00FC7409"/>
    <w:rsid w:val="00FD21F3"/>
    <w:rsid w:val="00FD28BA"/>
    <w:rsid w:val="00FD6A1B"/>
    <w:rsid w:val="00FD6E47"/>
    <w:rsid w:val="00FD71C2"/>
    <w:rsid w:val="00FD7E8A"/>
    <w:rsid w:val="00FE225F"/>
    <w:rsid w:val="00FE36D4"/>
    <w:rsid w:val="00FE5DA0"/>
    <w:rsid w:val="00FF0F4F"/>
    <w:rsid w:val="00FF1DE9"/>
    <w:rsid w:val="00FF30E3"/>
    <w:rsid w:val="00FF5110"/>
    <w:rsid w:val="00FF5DBF"/>
    <w:rsid w:val="00FF6B46"/>
    <w:rsid w:val="00FF6D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2D9B3E"/>
  <w15:docId w15:val="{7CD5DE66-24D9-497A-A35C-525ADC07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E8A"/>
    <w:pPr>
      <w:spacing w:after="0" w:line="240" w:lineRule="auto"/>
    </w:pPr>
    <w:rPr>
      <w:rFonts w:ascii="Times New Roman" w:eastAsia="Times New Roman" w:hAnsi="Times New Roman" w:cs="Times New Roman"/>
      <w:sz w:val="24"/>
      <w:szCs w:val="24"/>
    </w:rPr>
  </w:style>
  <w:style w:type="paragraph" w:styleId="Heading1">
    <w:name w:val="heading 1"/>
    <w:aliases w:val="CAB Section Heading"/>
    <w:basedOn w:val="Normal"/>
    <w:next w:val="Normal"/>
    <w:link w:val="Heading1Char"/>
    <w:uiPriority w:val="99"/>
    <w:qFormat/>
    <w:rsid w:val="008B679D"/>
    <w:pPr>
      <w:keepNext/>
      <w:numPr>
        <w:numId w:val="1"/>
      </w:numPr>
      <w:jc w:val="center"/>
      <w:outlineLvl w:val="0"/>
    </w:pPr>
    <w:rPr>
      <w:i/>
      <w:iCs/>
      <w:lang w:val="en-US"/>
    </w:rPr>
  </w:style>
  <w:style w:type="paragraph" w:styleId="Heading2">
    <w:name w:val="heading 2"/>
    <w:basedOn w:val="Normal"/>
    <w:next w:val="Normal"/>
    <w:link w:val="Heading2Char"/>
    <w:uiPriority w:val="99"/>
    <w:qFormat/>
    <w:rsid w:val="008B679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C7871"/>
    <w:pPr>
      <w:keepNext/>
      <w:numPr>
        <w:ilvl w:val="2"/>
        <w:numId w:val="1"/>
      </w:numPr>
      <w:tabs>
        <w:tab w:val="clear" w:pos="5257"/>
        <w:tab w:val="num" w:pos="720"/>
      </w:tabs>
      <w:spacing w:before="240" w:after="60"/>
      <w:ind w:left="720"/>
      <w:outlineLvl w:val="2"/>
    </w:pPr>
    <w:rPr>
      <w:rFonts w:ascii="Arial" w:hAnsi="Arial" w:cs="Arial"/>
      <w:b/>
      <w:bCs/>
      <w:szCs w:val="26"/>
    </w:rPr>
  </w:style>
  <w:style w:type="paragraph" w:styleId="Heading4">
    <w:name w:val="heading 4"/>
    <w:basedOn w:val="Normal"/>
    <w:next w:val="Normal"/>
    <w:link w:val="Heading4Char"/>
    <w:uiPriority w:val="99"/>
    <w:qFormat/>
    <w:rsid w:val="008B679D"/>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8B679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B679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8B679D"/>
    <w:pPr>
      <w:numPr>
        <w:ilvl w:val="6"/>
        <w:numId w:val="1"/>
      </w:numPr>
      <w:spacing w:before="240" w:after="60"/>
      <w:outlineLvl w:val="6"/>
    </w:pPr>
  </w:style>
  <w:style w:type="paragraph" w:styleId="Heading8">
    <w:name w:val="heading 8"/>
    <w:basedOn w:val="Normal"/>
    <w:next w:val="Normal"/>
    <w:link w:val="Heading8Char"/>
    <w:uiPriority w:val="99"/>
    <w:qFormat/>
    <w:rsid w:val="008B679D"/>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8B679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B Section Heading Char"/>
    <w:basedOn w:val="DefaultParagraphFont"/>
    <w:link w:val="Heading1"/>
    <w:uiPriority w:val="99"/>
    <w:rsid w:val="008B679D"/>
    <w:rPr>
      <w:rFonts w:ascii="Times New Roman" w:eastAsia="Times New Roman" w:hAnsi="Times New Roman" w:cs="Times New Roman"/>
      <w:i/>
      <w:iCs/>
      <w:sz w:val="24"/>
      <w:szCs w:val="24"/>
      <w:lang w:val="en-US"/>
    </w:rPr>
  </w:style>
  <w:style w:type="character" w:customStyle="1" w:styleId="Heading2Char">
    <w:name w:val="Heading 2 Char"/>
    <w:basedOn w:val="DefaultParagraphFont"/>
    <w:link w:val="Heading2"/>
    <w:uiPriority w:val="99"/>
    <w:rsid w:val="008B679D"/>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2C7871"/>
    <w:rPr>
      <w:rFonts w:ascii="Arial" w:eastAsia="Times New Roman" w:hAnsi="Arial" w:cs="Arial"/>
      <w:b/>
      <w:bCs/>
      <w:sz w:val="24"/>
      <w:szCs w:val="26"/>
    </w:rPr>
  </w:style>
  <w:style w:type="character" w:customStyle="1" w:styleId="Heading4Char">
    <w:name w:val="Heading 4 Char"/>
    <w:basedOn w:val="DefaultParagraphFont"/>
    <w:link w:val="Heading4"/>
    <w:uiPriority w:val="99"/>
    <w:rsid w:val="008B679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B679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B679D"/>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B679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B67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B679D"/>
    <w:rPr>
      <w:rFonts w:ascii="Arial" w:eastAsia="Times New Roman" w:hAnsi="Arial" w:cs="Arial"/>
    </w:rPr>
  </w:style>
  <w:style w:type="paragraph" w:customStyle="1" w:styleId="Pa4">
    <w:name w:val="Pa4"/>
    <w:basedOn w:val="Normal"/>
    <w:next w:val="Normal"/>
    <w:uiPriority w:val="99"/>
    <w:rsid w:val="008B679D"/>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8B679D"/>
    <w:pPr>
      <w:widowControl w:val="0"/>
      <w:autoSpaceDE w:val="0"/>
      <w:autoSpaceDN w:val="0"/>
      <w:adjustRightInd w:val="0"/>
      <w:spacing w:after="160" w:line="241" w:lineRule="atLeast"/>
    </w:pPr>
    <w:rPr>
      <w:rFonts w:ascii="Univers" w:eastAsia="SimSun" w:hAnsi="Univers" w:cs="Univers"/>
      <w:lang w:val="en-US"/>
    </w:rPr>
  </w:style>
  <w:style w:type="paragraph" w:styleId="BodyText">
    <w:name w:val="Body Text"/>
    <w:basedOn w:val="Normal"/>
    <w:link w:val="BodyTextChar"/>
    <w:uiPriority w:val="99"/>
    <w:rsid w:val="008B679D"/>
    <w:rPr>
      <w:i/>
      <w:iCs/>
      <w:color w:val="999999"/>
    </w:rPr>
  </w:style>
  <w:style w:type="character" w:customStyle="1" w:styleId="BodyTextChar">
    <w:name w:val="Body Text Char"/>
    <w:basedOn w:val="DefaultParagraphFont"/>
    <w:link w:val="BodyText"/>
    <w:uiPriority w:val="99"/>
    <w:rsid w:val="008B679D"/>
    <w:rPr>
      <w:rFonts w:ascii="Times New Roman" w:eastAsia="Times New Roman" w:hAnsi="Times New Roman" w:cs="Times New Roman"/>
      <w:i/>
      <w:iCs/>
      <w:color w:val="999999"/>
      <w:sz w:val="24"/>
      <w:szCs w:val="24"/>
    </w:rPr>
  </w:style>
  <w:style w:type="character" w:styleId="Hyperlink">
    <w:name w:val="Hyperlink"/>
    <w:basedOn w:val="DefaultParagraphFont"/>
    <w:uiPriority w:val="99"/>
    <w:rsid w:val="008B679D"/>
    <w:rPr>
      <w:rFonts w:cs="Times New Roman"/>
      <w:color w:val="000000"/>
      <w:u w:val="none"/>
    </w:rPr>
  </w:style>
  <w:style w:type="table" w:styleId="TableGrid">
    <w:name w:val="Table Grid"/>
    <w:basedOn w:val="TableNormal"/>
    <w:uiPriority w:val="39"/>
    <w:rsid w:val="008B679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101163"/>
    <w:rPr>
      <w:rFonts w:asciiTheme="minorHAnsi" w:hAnsiTheme="minorHAnsi"/>
      <w:sz w:val="20"/>
      <w:szCs w:val="20"/>
    </w:rPr>
  </w:style>
  <w:style w:type="character" w:customStyle="1" w:styleId="FootnoteTextChar">
    <w:name w:val="Footnote Text Char"/>
    <w:basedOn w:val="DefaultParagraphFont"/>
    <w:link w:val="FootnoteText"/>
    <w:uiPriority w:val="99"/>
    <w:rsid w:val="00101163"/>
    <w:rPr>
      <w:rFonts w:eastAsia="Times New Roman" w:cs="Times New Roman"/>
      <w:sz w:val="20"/>
      <w:szCs w:val="20"/>
    </w:rPr>
  </w:style>
  <w:style w:type="character" w:styleId="FootnoteReference">
    <w:name w:val="footnote reference"/>
    <w:uiPriority w:val="99"/>
    <w:unhideWhenUsed/>
    <w:rsid w:val="006A0290"/>
    <w:rPr>
      <w:rFonts w:asciiTheme="minorHAnsi" w:hAnsiTheme="minorHAnsi"/>
      <w:color w:val="7F7F7F" w:themeColor="text1" w:themeTint="80"/>
      <w:vertAlign w:val="superscript"/>
      <w:lang w:eastAsia="en-AU"/>
    </w:rPr>
  </w:style>
  <w:style w:type="paragraph" w:styleId="Header">
    <w:name w:val="header"/>
    <w:basedOn w:val="Normal"/>
    <w:link w:val="HeaderChar"/>
    <w:uiPriority w:val="99"/>
    <w:unhideWhenUsed/>
    <w:rsid w:val="008B679D"/>
    <w:pPr>
      <w:tabs>
        <w:tab w:val="center" w:pos="4513"/>
        <w:tab w:val="right" w:pos="9026"/>
      </w:tabs>
    </w:pPr>
  </w:style>
  <w:style w:type="character" w:customStyle="1" w:styleId="HeaderChar">
    <w:name w:val="Header Char"/>
    <w:basedOn w:val="DefaultParagraphFont"/>
    <w:link w:val="Header"/>
    <w:uiPriority w:val="99"/>
    <w:rsid w:val="008B6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79D"/>
    <w:pPr>
      <w:tabs>
        <w:tab w:val="center" w:pos="4513"/>
        <w:tab w:val="right" w:pos="9026"/>
      </w:tabs>
    </w:pPr>
  </w:style>
  <w:style w:type="character" w:customStyle="1" w:styleId="FooterChar">
    <w:name w:val="Footer Char"/>
    <w:basedOn w:val="DefaultParagraphFont"/>
    <w:link w:val="Footer"/>
    <w:uiPriority w:val="99"/>
    <w:rsid w:val="008B67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116"/>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5B5CE6"/>
    <w:rPr>
      <w:sz w:val="20"/>
      <w:szCs w:val="20"/>
    </w:rPr>
  </w:style>
  <w:style w:type="character" w:customStyle="1" w:styleId="EndnoteTextChar">
    <w:name w:val="Endnote Text Char"/>
    <w:basedOn w:val="DefaultParagraphFont"/>
    <w:link w:val="EndnoteText"/>
    <w:uiPriority w:val="99"/>
    <w:semiHidden/>
    <w:rsid w:val="005B5C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5CE6"/>
    <w:rPr>
      <w:vertAlign w:val="superscript"/>
    </w:rPr>
  </w:style>
  <w:style w:type="character" w:styleId="CommentReference">
    <w:name w:val="annotation reference"/>
    <w:basedOn w:val="DefaultParagraphFont"/>
    <w:uiPriority w:val="99"/>
    <w:unhideWhenUsed/>
    <w:rsid w:val="0086625E"/>
    <w:rPr>
      <w:sz w:val="16"/>
      <w:szCs w:val="16"/>
    </w:rPr>
  </w:style>
  <w:style w:type="paragraph" w:styleId="CommentText">
    <w:name w:val="annotation text"/>
    <w:basedOn w:val="Normal"/>
    <w:link w:val="CommentTextChar"/>
    <w:uiPriority w:val="99"/>
    <w:unhideWhenUsed/>
    <w:rsid w:val="0086625E"/>
    <w:rPr>
      <w:sz w:val="20"/>
      <w:szCs w:val="20"/>
    </w:rPr>
  </w:style>
  <w:style w:type="character" w:customStyle="1" w:styleId="CommentTextChar">
    <w:name w:val="Comment Text Char"/>
    <w:basedOn w:val="DefaultParagraphFont"/>
    <w:link w:val="CommentText"/>
    <w:uiPriority w:val="99"/>
    <w:rsid w:val="008662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625E"/>
    <w:rPr>
      <w:b/>
      <w:bCs/>
    </w:rPr>
  </w:style>
  <w:style w:type="character" w:customStyle="1" w:styleId="CommentSubjectChar">
    <w:name w:val="Comment Subject Char"/>
    <w:basedOn w:val="CommentTextChar"/>
    <w:link w:val="CommentSubject"/>
    <w:uiPriority w:val="99"/>
    <w:semiHidden/>
    <w:rsid w:val="0086625E"/>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2D0D01"/>
    <w:pPr>
      <w:spacing w:before="100" w:beforeAutospacing="1" w:after="100" w:afterAutospacing="1"/>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uiPriority w:val="10"/>
    <w:rsid w:val="002D0D01"/>
    <w:rPr>
      <w:rFonts w:eastAsiaTheme="majorEastAsia" w:cstheme="majorBidi"/>
      <w:b/>
      <w:spacing w:val="-10"/>
      <w:kern w:val="28"/>
      <w:sz w:val="32"/>
      <w:szCs w:val="56"/>
    </w:rPr>
  </w:style>
  <w:style w:type="paragraph" w:styleId="ListParagraph">
    <w:name w:val="List Paragraph"/>
    <w:aliases w:val="Recommendation,L,List Paragraph1,List Paragraph11,List Paragraph2,Bullet point,NFP GP Bulleted List,bullet point list,1 heading,AR bullet 1,Bullet Point,Bullet points,Content descriptions,Bullet Points,Bulleted Para,Bulletr List Paragraph"/>
    <w:basedOn w:val="Normal"/>
    <w:link w:val="ListParagraphChar"/>
    <w:uiPriority w:val="34"/>
    <w:qFormat/>
    <w:rsid w:val="009339CD"/>
    <w:pPr>
      <w:ind w:left="720"/>
      <w:contextualSpacing/>
    </w:pPr>
  </w:style>
  <w:style w:type="paragraph" w:styleId="ListBullet">
    <w:name w:val="List Bullet"/>
    <w:basedOn w:val="Normal"/>
    <w:uiPriority w:val="99"/>
    <w:unhideWhenUsed/>
    <w:rsid w:val="009339CD"/>
    <w:pPr>
      <w:numPr>
        <w:numId w:val="2"/>
      </w:numPr>
      <w:contextualSpacing/>
    </w:pPr>
    <w:rPr>
      <w:rFonts w:asciiTheme="minorHAnsi" w:hAnsiTheme="minorHAnsi"/>
    </w:rPr>
  </w:style>
  <w:style w:type="character" w:customStyle="1" w:styleId="UnresolvedMention1">
    <w:name w:val="Unresolved Mention1"/>
    <w:basedOn w:val="DefaultParagraphFont"/>
    <w:uiPriority w:val="99"/>
    <w:unhideWhenUsed/>
    <w:rsid w:val="007B268A"/>
    <w:rPr>
      <w:color w:val="605E5C"/>
      <w:shd w:val="clear" w:color="auto" w:fill="E1DFDD"/>
    </w:rPr>
  </w:style>
  <w:style w:type="table" w:styleId="ListTable6Colorful-Accent5">
    <w:name w:val="List Table 6 Colorful Accent 5"/>
    <w:basedOn w:val="TableNormal"/>
    <w:uiPriority w:val="51"/>
    <w:rsid w:val="00862634"/>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Default">
    <w:name w:val="Default"/>
    <w:rsid w:val="00037881"/>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Recommendation Char,L Char,List Paragraph1 Char,List Paragraph11 Char,List Paragraph2 Char,Bullet point Char,NFP GP Bulleted List Char,bullet point list Char,1 heading Char,AR bullet 1 Char,Bullet Point Char,Bullet points Char"/>
    <w:link w:val="ListParagraph"/>
    <w:uiPriority w:val="34"/>
    <w:qFormat/>
    <w:rsid w:val="00BF4B3C"/>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A17A4"/>
    <w:rPr>
      <w:color w:val="800080" w:themeColor="followedHyperlink"/>
      <w:u w:val="single"/>
    </w:rPr>
  </w:style>
  <w:style w:type="character" w:customStyle="1" w:styleId="Mention1">
    <w:name w:val="Mention1"/>
    <w:basedOn w:val="DefaultParagraphFont"/>
    <w:uiPriority w:val="99"/>
    <w:unhideWhenUsed/>
    <w:rsid w:val="00D05E7D"/>
    <w:rPr>
      <w:color w:val="2B579A"/>
      <w:shd w:val="clear" w:color="auto" w:fill="E1DFDD"/>
    </w:rPr>
  </w:style>
  <w:style w:type="table" w:styleId="PlainTable3">
    <w:name w:val="Plain Table 3"/>
    <w:basedOn w:val="TableNormal"/>
    <w:uiPriority w:val="43"/>
    <w:rsid w:val="00DB16C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B16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B16C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1">
    <w:name w:val="Grid Table 4 Accent 1"/>
    <w:basedOn w:val="TableNormal"/>
    <w:uiPriority w:val="49"/>
    <w:rsid w:val="00DB16C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1">
    <w:name w:val="Grid Table 2 Accent 1"/>
    <w:basedOn w:val="TableNormal"/>
    <w:uiPriority w:val="47"/>
    <w:rsid w:val="00714F4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727004"/>
    <w:pPr>
      <w:keepLines/>
      <w:numPr>
        <w:numId w:val="0"/>
      </w:numPr>
      <w:spacing w:before="240" w:line="259" w:lineRule="auto"/>
      <w:jc w:val="left"/>
      <w:outlineLvl w:val="9"/>
    </w:pPr>
    <w:rPr>
      <w:rFonts w:asciiTheme="majorHAnsi" w:eastAsiaTheme="majorEastAsia" w:hAnsiTheme="majorHAnsi" w:cstheme="majorBidi"/>
      <w:i w:val="0"/>
      <w:iCs w:val="0"/>
      <w:color w:val="365F91" w:themeColor="accent1" w:themeShade="BF"/>
      <w:sz w:val="32"/>
      <w:szCs w:val="32"/>
    </w:rPr>
  </w:style>
  <w:style w:type="paragraph" w:styleId="TOC2">
    <w:name w:val="toc 2"/>
    <w:basedOn w:val="Normal"/>
    <w:next w:val="Normal"/>
    <w:autoRedefine/>
    <w:uiPriority w:val="39"/>
    <w:unhideWhenUsed/>
    <w:rsid w:val="00DC7D3E"/>
    <w:pPr>
      <w:tabs>
        <w:tab w:val="left" w:pos="660"/>
        <w:tab w:val="right" w:leader="dot" w:pos="9771"/>
      </w:tabs>
      <w:spacing w:after="100"/>
      <w:ind w:left="240"/>
    </w:pPr>
    <w:rPr>
      <w:rFonts w:asciiTheme="minorHAnsi" w:hAnsiTheme="minorHAnsi"/>
    </w:rPr>
  </w:style>
  <w:style w:type="paragraph" w:styleId="TOC1">
    <w:name w:val="toc 1"/>
    <w:basedOn w:val="Normal"/>
    <w:next w:val="Normal"/>
    <w:autoRedefine/>
    <w:uiPriority w:val="39"/>
    <w:unhideWhenUsed/>
    <w:rsid w:val="00DC7D3E"/>
    <w:pPr>
      <w:tabs>
        <w:tab w:val="left" w:pos="480"/>
        <w:tab w:val="right" w:leader="dot" w:pos="10042"/>
      </w:tabs>
      <w:spacing w:after="100"/>
    </w:pPr>
    <w:rPr>
      <w:rFonts w:asciiTheme="minorHAnsi" w:hAnsiTheme="minorHAnsi"/>
      <w:sz w:val="22"/>
    </w:rPr>
  </w:style>
  <w:style w:type="paragraph" w:styleId="TOC3">
    <w:name w:val="toc 3"/>
    <w:basedOn w:val="Normal"/>
    <w:next w:val="Normal"/>
    <w:autoRedefine/>
    <w:uiPriority w:val="39"/>
    <w:unhideWhenUsed/>
    <w:rsid w:val="00DC7D3E"/>
    <w:pPr>
      <w:spacing w:after="100"/>
      <w:ind w:left="480"/>
    </w:pPr>
    <w:rPr>
      <w:rFonts w:asciiTheme="minorHAnsi" w:hAnsiTheme="minorHAnsi"/>
    </w:rPr>
  </w:style>
  <w:style w:type="paragraph" w:styleId="Revision">
    <w:name w:val="Revision"/>
    <w:hidden/>
    <w:uiPriority w:val="99"/>
    <w:semiHidden/>
    <w:rsid w:val="00205982"/>
    <w:pPr>
      <w:spacing w:after="0" w:line="240" w:lineRule="auto"/>
    </w:pPr>
    <w:rPr>
      <w:rFonts w:ascii="Times New Roman" w:eastAsia="Times New Roman" w:hAnsi="Times New Roman" w:cs="Times New Roman"/>
      <w:sz w:val="24"/>
      <w:szCs w:val="24"/>
    </w:rPr>
  </w:style>
  <w:style w:type="table" w:styleId="ListTable4-Accent1">
    <w:name w:val="List Table 4 Accent 1"/>
    <w:basedOn w:val="TableNormal"/>
    <w:uiPriority w:val="49"/>
    <w:rsid w:val="0048688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BB7141"/>
    <w:pPr>
      <w:spacing w:before="100" w:beforeAutospacing="1" w:after="100" w:afterAutospacing="1"/>
    </w:pPr>
    <w:rPr>
      <w:lang w:eastAsia="en-AU"/>
    </w:rPr>
  </w:style>
  <w:style w:type="character" w:customStyle="1" w:styleId="normaltextrun">
    <w:name w:val="normaltextrun"/>
    <w:basedOn w:val="DefaultParagraphFont"/>
    <w:rsid w:val="00560BE3"/>
  </w:style>
  <w:style w:type="character" w:customStyle="1" w:styleId="eop">
    <w:name w:val="eop"/>
    <w:basedOn w:val="DefaultParagraphFont"/>
    <w:rsid w:val="00560BE3"/>
  </w:style>
  <w:style w:type="numbering" w:customStyle="1" w:styleId="NoList1">
    <w:name w:val="No List1"/>
    <w:next w:val="NoList"/>
    <w:uiPriority w:val="99"/>
    <w:semiHidden/>
    <w:unhideWhenUsed/>
    <w:rsid w:val="000B4E26"/>
  </w:style>
  <w:style w:type="table" w:customStyle="1" w:styleId="TableGrid1">
    <w:name w:val="Table Grid1"/>
    <w:basedOn w:val="TableNormal"/>
    <w:next w:val="TableGrid"/>
    <w:uiPriority w:val="39"/>
    <w:rsid w:val="000B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C518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4">
    <w:name w:val="toc 4"/>
    <w:basedOn w:val="Normal"/>
    <w:next w:val="Normal"/>
    <w:autoRedefine/>
    <w:uiPriority w:val="39"/>
    <w:unhideWhenUsed/>
    <w:rsid w:val="00DC7D3E"/>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DC7D3E"/>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DC7D3E"/>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DC7D3E"/>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DC7D3E"/>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DC7D3E"/>
    <w:pPr>
      <w:spacing w:after="100" w:line="259" w:lineRule="auto"/>
      <w:ind w:left="1760"/>
    </w:pPr>
    <w:rPr>
      <w:rFonts w:asciiTheme="minorHAnsi" w:eastAsiaTheme="minorEastAsia" w:hAnsiTheme="minorHAnsi" w:cstheme="minorBid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8186">
      <w:bodyDiv w:val="1"/>
      <w:marLeft w:val="0"/>
      <w:marRight w:val="0"/>
      <w:marTop w:val="0"/>
      <w:marBottom w:val="0"/>
      <w:divBdr>
        <w:top w:val="none" w:sz="0" w:space="0" w:color="auto"/>
        <w:left w:val="none" w:sz="0" w:space="0" w:color="auto"/>
        <w:bottom w:val="none" w:sz="0" w:space="0" w:color="auto"/>
        <w:right w:val="none" w:sz="0" w:space="0" w:color="auto"/>
      </w:divBdr>
    </w:div>
    <w:div w:id="69618537">
      <w:bodyDiv w:val="1"/>
      <w:marLeft w:val="0"/>
      <w:marRight w:val="0"/>
      <w:marTop w:val="0"/>
      <w:marBottom w:val="0"/>
      <w:divBdr>
        <w:top w:val="none" w:sz="0" w:space="0" w:color="auto"/>
        <w:left w:val="none" w:sz="0" w:space="0" w:color="auto"/>
        <w:bottom w:val="none" w:sz="0" w:space="0" w:color="auto"/>
        <w:right w:val="none" w:sz="0" w:space="0" w:color="auto"/>
      </w:divBdr>
    </w:div>
    <w:div w:id="70935602">
      <w:bodyDiv w:val="1"/>
      <w:marLeft w:val="0"/>
      <w:marRight w:val="0"/>
      <w:marTop w:val="0"/>
      <w:marBottom w:val="0"/>
      <w:divBdr>
        <w:top w:val="none" w:sz="0" w:space="0" w:color="auto"/>
        <w:left w:val="none" w:sz="0" w:space="0" w:color="auto"/>
        <w:bottom w:val="none" w:sz="0" w:space="0" w:color="auto"/>
        <w:right w:val="none" w:sz="0" w:space="0" w:color="auto"/>
      </w:divBdr>
    </w:div>
    <w:div w:id="125316893">
      <w:bodyDiv w:val="1"/>
      <w:marLeft w:val="0"/>
      <w:marRight w:val="0"/>
      <w:marTop w:val="0"/>
      <w:marBottom w:val="0"/>
      <w:divBdr>
        <w:top w:val="none" w:sz="0" w:space="0" w:color="auto"/>
        <w:left w:val="none" w:sz="0" w:space="0" w:color="auto"/>
        <w:bottom w:val="none" w:sz="0" w:space="0" w:color="auto"/>
        <w:right w:val="none" w:sz="0" w:space="0" w:color="auto"/>
      </w:divBdr>
    </w:div>
    <w:div w:id="144973991">
      <w:bodyDiv w:val="1"/>
      <w:marLeft w:val="0"/>
      <w:marRight w:val="0"/>
      <w:marTop w:val="0"/>
      <w:marBottom w:val="0"/>
      <w:divBdr>
        <w:top w:val="none" w:sz="0" w:space="0" w:color="auto"/>
        <w:left w:val="none" w:sz="0" w:space="0" w:color="auto"/>
        <w:bottom w:val="none" w:sz="0" w:space="0" w:color="auto"/>
        <w:right w:val="none" w:sz="0" w:space="0" w:color="auto"/>
      </w:divBdr>
    </w:div>
    <w:div w:id="150370523">
      <w:bodyDiv w:val="1"/>
      <w:marLeft w:val="0"/>
      <w:marRight w:val="0"/>
      <w:marTop w:val="0"/>
      <w:marBottom w:val="0"/>
      <w:divBdr>
        <w:top w:val="none" w:sz="0" w:space="0" w:color="auto"/>
        <w:left w:val="none" w:sz="0" w:space="0" w:color="auto"/>
        <w:bottom w:val="none" w:sz="0" w:space="0" w:color="auto"/>
        <w:right w:val="none" w:sz="0" w:space="0" w:color="auto"/>
      </w:divBdr>
    </w:div>
    <w:div w:id="228619417">
      <w:bodyDiv w:val="1"/>
      <w:marLeft w:val="0"/>
      <w:marRight w:val="0"/>
      <w:marTop w:val="0"/>
      <w:marBottom w:val="0"/>
      <w:divBdr>
        <w:top w:val="none" w:sz="0" w:space="0" w:color="auto"/>
        <w:left w:val="none" w:sz="0" w:space="0" w:color="auto"/>
        <w:bottom w:val="none" w:sz="0" w:space="0" w:color="auto"/>
        <w:right w:val="none" w:sz="0" w:space="0" w:color="auto"/>
      </w:divBdr>
    </w:div>
    <w:div w:id="331029173">
      <w:bodyDiv w:val="1"/>
      <w:marLeft w:val="0"/>
      <w:marRight w:val="0"/>
      <w:marTop w:val="0"/>
      <w:marBottom w:val="0"/>
      <w:divBdr>
        <w:top w:val="none" w:sz="0" w:space="0" w:color="auto"/>
        <w:left w:val="none" w:sz="0" w:space="0" w:color="auto"/>
        <w:bottom w:val="none" w:sz="0" w:space="0" w:color="auto"/>
        <w:right w:val="none" w:sz="0" w:space="0" w:color="auto"/>
      </w:divBdr>
    </w:div>
    <w:div w:id="348262955">
      <w:bodyDiv w:val="1"/>
      <w:marLeft w:val="0"/>
      <w:marRight w:val="0"/>
      <w:marTop w:val="0"/>
      <w:marBottom w:val="0"/>
      <w:divBdr>
        <w:top w:val="none" w:sz="0" w:space="0" w:color="auto"/>
        <w:left w:val="none" w:sz="0" w:space="0" w:color="auto"/>
        <w:bottom w:val="none" w:sz="0" w:space="0" w:color="auto"/>
        <w:right w:val="none" w:sz="0" w:space="0" w:color="auto"/>
      </w:divBdr>
    </w:div>
    <w:div w:id="356349093">
      <w:bodyDiv w:val="1"/>
      <w:marLeft w:val="0"/>
      <w:marRight w:val="0"/>
      <w:marTop w:val="0"/>
      <w:marBottom w:val="0"/>
      <w:divBdr>
        <w:top w:val="none" w:sz="0" w:space="0" w:color="auto"/>
        <w:left w:val="none" w:sz="0" w:space="0" w:color="auto"/>
        <w:bottom w:val="none" w:sz="0" w:space="0" w:color="auto"/>
        <w:right w:val="none" w:sz="0" w:space="0" w:color="auto"/>
      </w:divBdr>
    </w:div>
    <w:div w:id="433792300">
      <w:bodyDiv w:val="1"/>
      <w:marLeft w:val="0"/>
      <w:marRight w:val="0"/>
      <w:marTop w:val="0"/>
      <w:marBottom w:val="0"/>
      <w:divBdr>
        <w:top w:val="none" w:sz="0" w:space="0" w:color="auto"/>
        <w:left w:val="none" w:sz="0" w:space="0" w:color="auto"/>
        <w:bottom w:val="none" w:sz="0" w:space="0" w:color="auto"/>
        <w:right w:val="none" w:sz="0" w:space="0" w:color="auto"/>
      </w:divBdr>
    </w:div>
    <w:div w:id="438985333">
      <w:bodyDiv w:val="1"/>
      <w:marLeft w:val="0"/>
      <w:marRight w:val="0"/>
      <w:marTop w:val="0"/>
      <w:marBottom w:val="0"/>
      <w:divBdr>
        <w:top w:val="none" w:sz="0" w:space="0" w:color="auto"/>
        <w:left w:val="none" w:sz="0" w:space="0" w:color="auto"/>
        <w:bottom w:val="none" w:sz="0" w:space="0" w:color="auto"/>
        <w:right w:val="none" w:sz="0" w:space="0" w:color="auto"/>
      </w:divBdr>
    </w:div>
    <w:div w:id="439838209">
      <w:bodyDiv w:val="1"/>
      <w:marLeft w:val="0"/>
      <w:marRight w:val="0"/>
      <w:marTop w:val="0"/>
      <w:marBottom w:val="0"/>
      <w:divBdr>
        <w:top w:val="none" w:sz="0" w:space="0" w:color="auto"/>
        <w:left w:val="none" w:sz="0" w:space="0" w:color="auto"/>
        <w:bottom w:val="none" w:sz="0" w:space="0" w:color="auto"/>
        <w:right w:val="none" w:sz="0" w:space="0" w:color="auto"/>
      </w:divBdr>
    </w:div>
    <w:div w:id="507211327">
      <w:bodyDiv w:val="1"/>
      <w:marLeft w:val="0"/>
      <w:marRight w:val="0"/>
      <w:marTop w:val="0"/>
      <w:marBottom w:val="0"/>
      <w:divBdr>
        <w:top w:val="none" w:sz="0" w:space="0" w:color="auto"/>
        <w:left w:val="none" w:sz="0" w:space="0" w:color="auto"/>
        <w:bottom w:val="none" w:sz="0" w:space="0" w:color="auto"/>
        <w:right w:val="none" w:sz="0" w:space="0" w:color="auto"/>
      </w:divBdr>
    </w:div>
    <w:div w:id="595670758">
      <w:bodyDiv w:val="1"/>
      <w:marLeft w:val="0"/>
      <w:marRight w:val="0"/>
      <w:marTop w:val="0"/>
      <w:marBottom w:val="0"/>
      <w:divBdr>
        <w:top w:val="none" w:sz="0" w:space="0" w:color="auto"/>
        <w:left w:val="none" w:sz="0" w:space="0" w:color="auto"/>
        <w:bottom w:val="none" w:sz="0" w:space="0" w:color="auto"/>
        <w:right w:val="none" w:sz="0" w:space="0" w:color="auto"/>
      </w:divBdr>
    </w:div>
    <w:div w:id="610091604">
      <w:bodyDiv w:val="1"/>
      <w:marLeft w:val="0"/>
      <w:marRight w:val="0"/>
      <w:marTop w:val="0"/>
      <w:marBottom w:val="0"/>
      <w:divBdr>
        <w:top w:val="none" w:sz="0" w:space="0" w:color="auto"/>
        <w:left w:val="none" w:sz="0" w:space="0" w:color="auto"/>
        <w:bottom w:val="none" w:sz="0" w:space="0" w:color="auto"/>
        <w:right w:val="none" w:sz="0" w:space="0" w:color="auto"/>
      </w:divBdr>
    </w:div>
    <w:div w:id="626397374">
      <w:bodyDiv w:val="1"/>
      <w:marLeft w:val="0"/>
      <w:marRight w:val="0"/>
      <w:marTop w:val="0"/>
      <w:marBottom w:val="0"/>
      <w:divBdr>
        <w:top w:val="none" w:sz="0" w:space="0" w:color="auto"/>
        <w:left w:val="none" w:sz="0" w:space="0" w:color="auto"/>
        <w:bottom w:val="none" w:sz="0" w:space="0" w:color="auto"/>
        <w:right w:val="none" w:sz="0" w:space="0" w:color="auto"/>
      </w:divBdr>
    </w:div>
    <w:div w:id="655383740">
      <w:bodyDiv w:val="1"/>
      <w:marLeft w:val="0"/>
      <w:marRight w:val="0"/>
      <w:marTop w:val="0"/>
      <w:marBottom w:val="0"/>
      <w:divBdr>
        <w:top w:val="none" w:sz="0" w:space="0" w:color="auto"/>
        <w:left w:val="none" w:sz="0" w:space="0" w:color="auto"/>
        <w:bottom w:val="none" w:sz="0" w:space="0" w:color="auto"/>
        <w:right w:val="none" w:sz="0" w:space="0" w:color="auto"/>
      </w:divBdr>
    </w:div>
    <w:div w:id="699740888">
      <w:bodyDiv w:val="1"/>
      <w:marLeft w:val="0"/>
      <w:marRight w:val="0"/>
      <w:marTop w:val="0"/>
      <w:marBottom w:val="0"/>
      <w:divBdr>
        <w:top w:val="none" w:sz="0" w:space="0" w:color="auto"/>
        <w:left w:val="none" w:sz="0" w:space="0" w:color="auto"/>
        <w:bottom w:val="none" w:sz="0" w:space="0" w:color="auto"/>
        <w:right w:val="none" w:sz="0" w:space="0" w:color="auto"/>
      </w:divBdr>
    </w:div>
    <w:div w:id="815950077">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
    <w:div w:id="846138025">
      <w:bodyDiv w:val="1"/>
      <w:marLeft w:val="0"/>
      <w:marRight w:val="0"/>
      <w:marTop w:val="0"/>
      <w:marBottom w:val="0"/>
      <w:divBdr>
        <w:top w:val="none" w:sz="0" w:space="0" w:color="auto"/>
        <w:left w:val="none" w:sz="0" w:space="0" w:color="auto"/>
        <w:bottom w:val="none" w:sz="0" w:space="0" w:color="auto"/>
        <w:right w:val="none" w:sz="0" w:space="0" w:color="auto"/>
      </w:divBdr>
    </w:div>
    <w:div w:id="872577153">
      <w:bodyDiv w:val="1"/>
      <w:marLeft w:val="0"/>
      <w:marRight w:val="0"/>
      <w:marTop w:val="0"/>
      <w:marBottom w:val="0"/>
      <w:divBdr>
        <w:top w:val="none" w:sz="0" w:space="0" w:color="auto"/>
        <w:left w:val="none" w:sz="0" w:space="0" w:color="auto"/>
        <w:bottom w:val="none" w:sz="0" w:space="0" w:color="auto"/>
        <w:right w:val="none" w:sz="0" w:space="0" w:color="auto"/>
      </w:divBdr>
    </w:div>
    <w:div w:id="881527034">
      <w:bodyDiv w:val="1"/>
      <w:marLeft w:val="0"/>
      <w:marRight w:val="0"/>
      <w:marTop w:val="0"/>
      <w:marBottom w:val="0"/>
      <w:divBdr>
        <w:top w:val="none" w:sz="0" w:space="0" w:color="auto"/>
        <w:left w:val="none" w:sz="0" w:space="0" w:color="auto"/>
        <w:bottom w:val="none" w:sz="0" w:space="0" w:color="auto"/>
        <w:right w:val="none" w:sz="0" w:space="0" w:color="auto"/>
      </w:divBdr>
    </w:div>
    <w:div w:id="889462247">
      <w:bodyDiv w:val="1"/>
      <w:marLeft w:val="0"/>
      <w:marRight w:val="0"/>
      <w:marTop w:val="0"/>
      <w:marBottom w:val="0"/>
      <w:divBdr>
        <w:top w:val="none" w:sz="0" w:space="0" w:color="auto"/>
        <w:left w:val="none" w:sz="0" w:space="0" w:color="auto"/>
        <w:bottom w:val="none" w:sz="0" w:space="0" w:color="auto"/>
        <w:right w:val="none" w:sz="0" w:space="0" w:color="auto"/>
      </w:divBdr>
    </w:div>
    <w:div w:id="957564162">
      <w:bodyDiv w:val="1"/>
      <w:marLeft w:val="0"/>
      <w:marRight w:val="0"/>
      <w:marTop w:val="0"/>
      <w:marBottom w:val="0"/>
      <w:divBdr>
        <w:top w:val="none" w:sz="0" w:space="0" w:color="auto"/>
        <w:left w:val="none" w:sz="0" w:space="0" w:color="auto"/>
        <w:bottom w:val="none" w:sz="0" w:space="0" w:color="auto"/>
        <w:right w:val="none" w:sz="0" w:space="0" w:color="auto"/>
      </w:divBdr>
    </w:div>
    <w:div w:id="966357172">
      <w:bodyDiv w:val="1"/>
      <w:marLeft w:val="0"/>
      <w:marRight w:val="0"/>
      <w:marTop w:val="0"/>
      <w:marBottom w:val="0"/>
      <w:divBdr>
        <w:top w:val="none" w:sz="0" w:space="0" w:color="auto"/>
        <w:left w:val="none" w:sz="0" w:space="0" w:color="auto"/>
        <w:bottom w:val="none" w:sz="0" w:space="0" w:color="auto"/>
        <w:right w:val="none" w:sz="0" w:space="0" w:color="auto"/>
      </w:divBdr>
    </w:div>
    <w:div w:id="1043796251">
      <w:bodyDiv w:val="1"/>
      <w:marLeft w:val="0"/>
      <w:marRight w:val="0"/>
      <w:marTop w:val="0"/>
      <w:marBottom w:val="0"/>
      <w:divBdr>
        <w:top w:val="none" w:sz="0" w:space="0" w:color="auto"/>
        <w:left w:val="none" w:sz="0" w:space="0" w:color="auto"/>
        <w:bottom w:val="none" w:sz="0" w:space="0" w:color="auto"/>
        <w:right w:val="none" w:sz="0" w:space="0" w:color="auto"/>
      </w:divBdr>
    </w:div>
    <w:div w:id="1044065134">
      <w:bodyDiv w:val="1"/>
      <w:marLeft w:val="0"/>
      <w:marRight w:val="0"/>
      <w:marTop w:val="0"/>
      <w:marBottom w:val="0"/>
      <w:divBdr>
        <w:top w:val="none" w:sz="0" w:space="0" w:color="auto"/>
        <w:left w:val="none" w:sz="0" w:space="0" w:color="auto"/>
        <w:bottom w:val="none" w:sz="0" w:space="0" w:color="auto"/>
        <w:right w:val="none" w:sz="0" w:space="0" w:color="auto"/>
      </w:divBdr>
    </w:div>
    <w:div w:id="1176115275">
      <w:bodyDiv w:val="1"/>
      <w:marLeft w:val="0"/>
      <w:marRight w:val="0"/>
      <w:marTop w:val="0"/>
      <w:marBottom w:val="0"/>
      <w:divBdr>
        <w:top w:val="none" w:sz="0" w:space="0" w:color="auto"/>
        <w:left w:val="none" w:sz="0" w:space="0" w:color="auto"/>
        <w:bottom w:val="none" w:sz="0" w:space="0" w:color="auto"/>
        <w:right w:val="none" w:sz="0" w:space="0" w:color="auto"/>
      </w:divBdr>
    </w:div>
    <w:div w:id="1177694069">
      <w:bodyDiv w:val="1"/>
      <w:marLeft w:val="0"/>
      <w:marRight w:val="0"/>
      <w:marTop w:val="0"/>
      <w:marBottom w:val="0"/>
      <w:divBdr>
        <w:top w:val="none" w:sz="0" w:space="0" w:color="auto"/>
        <w:left w:val="none" w:sz="0" w:space="0" w:color="auto"/>
        <w:bottom w:val="none" w:sz="0" w:space="0" w:color="auto"/>
        <w:right w:val="none" w:sz="0" w:space="0" w:color="auto"/>
      </w:divBdr>
    </w:div>
    <w:div w:id="1252622067">
      <w:bodyDiv w:val="1"/>
      <w:marLeft w:val="0"/>
      <w:marRight w:val="0"/>
      <w:marTop w:val="0"/>
      <w:marBottom w:val="0"/>
      <w:divBdr>
        <w:top w:val="none" w:sz="0" w:space="0" w:color="auto"/>
        <w:left w:val="none" w:sz="0" w:space="0" w:color="auto"/>
        <w:bottom w:val="none" w:sz="0" w:space="0" w:color="auto"/>
        <w:right w:val="none" w:sz="0" w:space="0" w:color="auto"/>
      </w:divBdr>
    </w:div>
    <w:div w:id="1323117537">
      <w:bodyDiv w:val="1"/>
      <w:marLeft w:val="0"/>
      <w:marRight w:val="0"/>
      <w:marTop w:val="0"/>
      <w:marBottom w:val="0"/>
      <w:divBdr>
        <w:top w:val="none" w:sz="0" w:space="0" w:color="auto"/>
        <w:left w:val="none" w:sz="0" w:space="0" w:color="auto"/>
        <w:bottom w:val="none" w:sz="0" w:space="0" w:color="auto"/>
        <w:right w:val="none" w:sz="0" w:space="0" w:color="auto"/>
      </w:divBdr>
    </w:div>
    <w:div w:id="1323660643">
      <w:bodyDiv w:val="1"/>
      <w:marLeft w:val="0"/>
      <w:marRight w:val="0"/>
      <w:marTop w:val="0"/>
      <w:marBottom w:val="0"/>
      <w:divBdr>
        <w:top w:val="none" w:sz="0" w:space="0" w:color="auto"/>
        <w:left w:val="none" w:sz="0" w:space="0" w:color="auto"/>
        <w:bottom w:val="none" w:sz="0" w:space="0" w:color="auto"/>
        <w:right w:val="none" w:sz="0" w:space="0" w:color="auto"/>
      </w:divBdr>
    </w:div>
    <w:div w:id="1451823781">
      <w:bodyDiv w:val="1"/>
      <w:marLeft w:val="0"/>
      <w:marRight w:val="0"/>
      <w:marTop w:val="0"/>
      <w:marBottom w:val="0"/>
      <w:divBdr>
        <w:top w:val="none" w:sz="0" w:space="0" w:color="auto"/>
        <w:left w:val="none" w:sz="0" w:space="0" w:color="auto"/>
        <w:bottom w:val="none" w:sz="0" w:space="0" w:color="auto"/>
        <w:right w:val="none" w:sz="0" w:space="0" w:color="auto"/>
      </w:divBdr>
    </w:div>
    <w:div w:id="1472016373">
      <w:bodyDiv w:val="1"/>
      <w:marLeft w:val="0"/>
      <w:marRight w:val="0"/>
      <w:marTop w:val="0"/>
      <w:marBottom w:val="0"/>
      <w:divBdr>
        <w:top w:val="none" w:sz="0" w:space="0" w:color="auto"/>
        <w:left w:val="none" w:sz="0" w:space="0" w:color="auto"/>
        <w:bottom w:val="none" w:sz="0" w:space="0" w:color="auto"/>
        <w:right w:val="none" w:sz="0" w:space="0" w:color="auto"/>
      </w:divBdr>
    </w:div>
    <w:div w:id="1497333228">
      <w:bodyDiv w:val="1"/>
      <w:marLeft w:val="0"/>
      <w:marRight w:val="0"/>
      <w:marTop w:val="0"/>
      <w:marBottom w:val="0"/>
      <w:divBdr>
        <w:top w:val="none" w:sz="0" w:space="0" w:color="auto"/>
        <w:left w:val="none" w:sz="0" w:space="0" w:color="auto"/>
        <w:bottom w:val="none" w:sz="0" w:space="0" w:color="auto"/>
        <w:right w:val="none" w:sz="0" w:space="0" w:color="auto"/>
      </w:divBdr>
    </w:div>
    <w:div w:id="1594967801">
      <w:bodyDiv w:val="1"/>
      <w:marLeft w:val="0"/>
      <w:marRight w:val="0"/>
      <w:marTop w:val="0"/>
      <w:marBottom w:val="0"/>
      <w:divBdr>
        <w:top w:val="none" w:sz="0" w:space="0" w:color="auto"/>
        <w:left w:val="none" w:sz="0" w:space="0" w:color="auto"/>
        <w:bottom w:val="none" w:sz="0" w:space="0" w:color="auto"/>
        <w:right w:val="none" w:sz="0" w:space="0" w:color="auto"/>
      </w:divBdr>
    </w:div>
    <w:div w:id="1646933985">
      <w:bodyDiv w:val="1"/>
      <w:marLeft w:val="0"/>
      <w:marRight w:val="0"/>
      <w:marTop w:val="0"/>
      <w:marBottom w:val="0"/>
      <w:divBdr>
        <w:top w:val="none" w:sz="0" w:space="0" w:color="auto"/>
        <w:left w:val="none" w:sz="0" w:space="0" w:color="auto"/>
        <w:bottom w:val="none" w:sz="0" w:space="0" w:color="auto"/>
        <w:right w:val="none" w:sz="0" w:space="0" w:color="auto"/>
      </w:divBdr>
    </w:div>
    <w:div w:id="1683433875">
      <w:bodyDiv w:val="1"/>
      <w:marLeft w:val="0"/>
      <w:marRight w:val="0"/>
      <w:marTop w:val="0"/>
      <w:marBottom w:val="0"/>
      <w:divBdr>
        <w:top w:val="none" w:sz="0" w:space="0" w:color="auto"/>
        <w:left w:val="none" w:sz="0" w:space="0" w:color="auto"/>
        <w:bottom w:val="none" w:sz="0" w:space="0" w:color="auto"/>
        <w:right w:val="none" w:sz="0" w:space="0" w:color="auto"/>
      </w:divBdr>
    </w:div>
    <w:div w:id="1898080633">
      <w:bodyDiv w:val="1"/>
      <w:marLeft w:val="0"/>
      <w:marRight w:val="0"/>
      <w:marTop w:val="0"/>
      <w:marBottom w:val="0"/>
      <w:divBdr>
        <w:top w:val="none" w:sz="0" w:space="0" w:color="auto"/>
        <w:left w:val="none" w:sz="0" w:space="0" w:color="auto"/>
        <w:bottom w:val="none" w:sz="0" w:space="0" w:color="auto"/>
        <w:right w:val="none" w:sz="0" w:space="0" w:color="auto"/>
      </w:divBdr>
    </w:div>
    <w:div w:id="1918324671">
      <w:bodyDiv w:val="1"/>
      <w:marLeft w:val="0"/>
      <w:marRight w:val="0"/>
      <w:marTop w:val="0"/>
      <w:marBottom w:val="0"/>
      <w:divBdr>
        <w:top w:val="none" w:sz="0" w:space="0" w:color="auto"/>
        <w:left w:val="none" w:sz="0" w:space="0" w:color="auto"/>
        <w:bottom w:val="none" w:sz="0" w:space="0" w:color="auto"/>
        <w:right w:val="none" w:sz="0" w:space="0" w:color="auto"/>
      </w:divBdr>
    </w:div>
    <w:div w:id="1953244029">
      <w:bodyDiv w:val="1"/>
      <w:marLeft w:val="0"/>
      <w:marRight w:val="0"/>
      <w:marTop w:val="0"/>
      <w:marBottom w:val="0"/>
      <w:divBdr>
        <w:top w:val="none" w:sz="0" w:space="0" w:color="auto"/>
        <w:left w:val="none" w:sz="0" w:space="0" w:color="auto"/>
        <w:bottom w:val="none" w:sz="0" w:space="0" w:color="auto"/>
        <w:right w:val="none" w:sz="0" w:space="0" w:color="auto"/>
      </w:divBdr>
    </w:div>
    <w:div w:id="2028482633">
      <w:bodyDiv w:val="1"/>
      <w:marLeft w:val="0"/>
      <w:marRight w:val="0"/>
      <w:marTop w:val="0"/>
      <w:marBottom w:val="0"/>
      <w:divBdr>
        <w:top w:val="none" w:sz="0" w:space="0" w:color="auto"/>
        <w:left w:val="none" w:sz="0" w:space="0" w:color="auto"/>
        <w:bottom w:val="none" w:sz="0" w:space="0" w:color="auto"/>
        <w:right w:val="none" w:sz="0" w:space="0" w:color="auto"/>
      </w:divBdr>
    </w:div>
    <w:div w:id="207673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financ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f1f4b233f8ca622d96183520d42797c3">
  <xsd:schema xmlns:xsd="http://www.w3.org/2001/XMLSchema" xmlns:xs="http://www.w3.org/2001/XMLSchema" xmlns:p="http://schemas.microsoft.com/office/2006/metadata/properties" xmlns:ns1="http://schemas.microsoft.com/sharepoint/v3" xmlns:ns2="a36bd50b-1532-4c22-b385-5c082c960938" xmlns:ns3="06a8ef23-3c56-433f-9e1a-931c6bc25665" xmlns:ns4="http://schemas.microsoft.com/sharepoint/v4" targetNamespace="http://schemas.microsoft.com/office/2006/metadata/properties" ma:root="true" ma:fieldsID="73abff4a4201d9c84fddf4fcd4822540" ns1:_="" ns2:_="" ns3:_="" ns4:_="">
    <xsd:import namespace="http://schemas.microsoft.com/sharepoint/v3"/>
    <xsd:import namespace="a36bd50b-1532-4c22-b385-5c082c960938"/>
    <xsd:import namespace="06a8ef23-3c56-433f-9e1a-931c6bc25665"/>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105633c-b4a4-410d-9aa1-03dbcd2659c8}" ma:internalName="TaxCatchAll" ma:showField="CatchAllData" ma:web="06a8ef23-3c56-433f-9e1a-931c6bc2566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9d462c63-7003-4b1e-942d-e9594199c0e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a8ef23-3c56-433f-9e1a-931c6bc2566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etadata xmlns="http://www.objective.com/ecm/document/metadata/2C89A8D7623F46F88A15EF133A706EA0" version="1.0.0">
  <systemFields>
    <field name="Objective-Id">
      <value order="0">A829937</value>
    </field>
    <field name="Objective-Title">
      <value order="0">CRIS - Draft OEI CRIS incorporating DoF and OPC comment - NOPSEMA edit - 24 Feb 2022</value>
    </field>
    <field name="Objective-Description">
      <value order="0"/>
    </field>
    <field name="Objective-CreationStamp">
      <value order="0">2022-02-23T01:53:22Z</value>
    </field>
    <field name="Objective-IsApproved">
      <value order="0">false</value>
    </field>
    <field name="Objective-IsPublished">
      <value order="0">true</value>
    </field>
    <field name="Objective-DatePublished">
      <value order="0">2022-02-25T00:40:36Z</value>
    </field>
    <field name="Objective-ModificationStamp">
      <value order="0">2022-02-25T00:40:36Z</value>
    </field>
    <field name="Objective-Owner">
      <value order="0">Owen Wilson</value>
    </field>
    <field name="Objective-Path">
      <value order="0">Objective Global Folder:File Plan:Strategic Management:Planning:Environmental Management Planning - Previous Years:Offshore Renewables - Cost recovery - 2021</value>
    </field>
    <field name="Objective-Parent">
      <value order="0">Offshore Renewables - Cost recovery - 2021</value>
    </field>
    <field name="Objective-State">
      <value order="0">Published</value>
    </field>
    <field name="Objective-VersionId">
      <value order="0">vA1634793</value>
    </field>
    <field name="Objective-Version">
      <value order="0">2.0</value>
    </field>
    <field name="Objective-VersionNumber">
      <value order="0">3</value>
    </field>
    <field name="Objective-VersionComment">
      <value order="0"/>
    </field>
    <field name="Objective-FileNumber">
      <value order="0">C23964</value>
    </field>
    <field name="Objective-Classification">
      <value order="0">OFFICIAL</value>
    </field>
    <field name="Objective-Caveats">
      <value order="0"/>
    </field>
  </systemFields>
  <catalogues>
    <catalogue name="Document - Outgoing Type Catalogue" type="type" ori="id:cA6">
      <field name="Objective-IMM (prev DLM)">
        <value order="0"/>
      </field>
      <field name="Objective-Internal Author">
        <value order="0">Owen Wilson</value>
      </field>
      <field name="Objective-Addressee">
        <value order="0"/>
      </field>
      <field name="Objective-Date Sent">
        <value order="0"/>
      </field>
      <field name="Objective-Sent By">
        <value order="0"/>
      </field>
      <field name="Objective-Duty Holders and Organisations">
        <value order="0"/>
      </field>
      <field name="Objective-Facility">
        <value order="0"/>
      </field>
      <field name="Objective-RMS ID">
        <value order="0"/>
      </field>
      <field name="Objective-Monthly Injury Summary ID">
        <value order="0"/>
      </field>
      <field name="Objective-Reply To">
        <value order="0"/>
      </field>
      <field name="Objective-External Reference">
        <value order="0"/>
      </field>
      <field name="Objective-RMS Tags">
        <value order="0"/>
      </field>
      <field name="Objective-Regulatory Object">
        <value order="0"/>
      </field>
      <field name="Objective-Regulatory Object RMS ID">
        <value order="0"/>
      </field>
      <field name="Objective-Organisation">
        <value order="0"/>
      </field>
      <field name="Objective-Signature Authorisation Number (SAN)">
        <value order="0"/>
      </field>
      <field name="Objective-Signing Officer">
        <value order="0"/>
      </field>
      <field name="Objective-Date Authorised">
        <value order="0"/>
      </field>
      <field name="Objective-Approved for External Publication">
        <value order="0">No</value>
      </field>
      <field name="Objective-Connect Creator">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a36bd50b-1532-4c22-b385-5c082c960938" xsi:nil="true"/>
    <TaxCatchAll xmlns="a36bd50b-1532-4c22-b385-5c082c960938">
      <Value>28</Value>
      <Value>24</Value>
    </TaxCatchAll>
    <_dlc_DocId xmlns="a36bd50b-1532-4c22-b385-5c082c960938">NOPTANET-976016514-722</_dlc_DocId>
    <_dlc_DocIdUrl xmlns="a36bd50b-1532-4c22-b385-5c082c960938">
      <Url>https://nopta.sharepoint.com/team/LCT/_layouts/15/DocIdRedir.aspx?ID=NOPTANET-976016514-722</Url>
      <Description>NOPTANET-976016514-722</Description>
    </_dlc_DocIdUrl>
    <adb9bed2e36e4a93af574aeb444da63e xmlns="a36bd50b-1532-4c22-b385-5c082c960938">
      <Terms xmlns="http://schemas.microsoft.com/office/infopath/2007/PartnerControls"/>
    </adb9bed2e36e4a93af574aeb444da63e>
    <n99e4c9942c6404eb103464a00e6097b xmlns="a36bd50b-1532-4c22-b385-5c082c960938">
      <Terms xmlns="http://schemas.microsoft.com/office/infopath/2007/PartnerControl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Costings</TermName>
          <TermId>6c8584f4-3827-43ca-b8a1-f6ce5bbc5a0c</TermId>
        </TermInfo>
      </Terms>
    </pe2555c81638466f9eb614edb9ecde52>
    <aa25a1a23adf4c92a153145de6afe324 xmlns="a36bd50b-1532-4c22-b385-5c082c960938">
      <Terms xmlns="http://schemas.microsoft.com/office/infopath/2007/PartnerControls">
        <TermInfo xmlns="http://schemas.microsoft.com/office/infopath/2007/PartnerControls">
          <TermName>OFFICIAL:Sensitive</TermName>
          <TermId>11f6fb0b-52ce-4109-8f7f-521b2a62f692</TermId>
        </TermInfo>
      </Terms>
    </aa25a1a23adf4c92a153145de6afe324>
    <g7bcb40ba23249a78edca7d43a67c1c9 xmlns="a36bd50b-1532-4c22-b385-5c082c960938">
      <Terms xmlns="http://schemas.microsoft.com/office/infopath/2007/PartnerControls"/>
    </g7bcb40ba23249a78edca7d43a67c1c9>
    <Comment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B8B2A-A43D-490B-8C2E-5C732FFF28CF}">
  <ds:schemaRefs>
    <ds:schemaRef ds:uri="http://schemas.microsoft.com/sharepoint/v3/contenttype/forms"/>
  </ds:schemaRefs>
</ds:datastoreItem>
</file>

<file path=customXml/itemProps2.xml><?xml version="1.0" encoding="utf-8"?>
<ds:datastoreItem xmlns:ds="http://schemas.openxmlformats.org/officeDocument/2006/customXml" ds:itemID="{C9FE67BA-603E-4865-AB89-CFC3AD0EA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06a8ef23-3c56-433f-9e1a-931c6bc2566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9D202-CF02-4CCF-89AD-03815CBA9A8A}">
  <ds:schemaRefs>
    <ds:schemaRef ds:uri="http://schemas.microsoft.com/sharepoint/event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itemProps5.xml><?xml version="1.0" encoding="utf-8"?>
<ds:datastoreItem xmlns:ds="http://schemas.openxmlformats.org/officeDocument/2006/customXml" ds:itemID="{1701BFAB-F00C-4331-A22E-19258ADCD839}">
  <ds:schemaRefs>
    <ds:schemaRef ds:uri="http://schemas.microsoft.com/office/2006/metadata/properties"/>
    <ds:schemaRef ds:uri="http://schemas.microsoft.com/office/infopath/2007/PartnerControls"/>
    <ds:schemaRef ds:uri="a36bd50b-1532-4c22-b385-5c082c960938"/>
    <ds:schemaRef ds:uri="http://schemas.microsoft.com/sharepoint/v4"/>
    <ds:schemaRef ds:uri="http://schemas.microsoft.com/sharepoint/v3"/>
  </ds:schemaRefs>
</ds:datastoreItem>
</file>

<file path=customXml/itemProps6.xml><?xml version="1.0" encoding="utf-8"?>
<ds:datastoreItem xmlns:ds="http://schemas.openxmlformats.org/officeDocument/2006/customXml" ds:itemID="{1BE4D728-5EF1-43DB-B9D5-204E2DCD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12336</Words>
  <Characters>70318</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20220118 Draft OEI CRIS_For Review</vt:lpstr>
    </vt:vector>
  </TitlesOfParts>
  <Company>FINANCE</Company>
  <LinksUpToDate>false</LinksUpToDate>
  <CharactersWithSpaces>82490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20220118 Draft OEI CRIS_For Review</dc:title>
  <dc:creator>Department of Finance</dc:creator>
  <cp:keywords/>
  <cp:lastModifiedBy>Simpson, Mark</cp:lastModifiedBy>
  <cp:revision>7</cp:revision>
  <cp:lastPrinted>2022-03-10T05:29:00Z</cp:lastPrinted>
  <dcterms:created xsi:type="dcterms:W3CDTF">2022-03-21T05:16:00Z</dcterms:created>
  <dcterms:modified xsi:type="dcterms:W3CDTF">2022-03-21T05:23:00Z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BusinessFunction">
    <vt:lpwstr>12119</vt:lpwstr>
  </property>
  <property fmtid="{D5CDD505-2E9C-101B-9397-08002B2CF9AE}" pid="4" name="_dlc_DocIdItemGuid">
    <vt:lpwstr>127c6d4c-e690-4a54-b52d-f7de2a6c2de1</vt:lpwstr>
  </property>
  <property fmtid="{D5CDD505-2E9C-101B-9397-08002B2CF9AE}" pid="5" name="TaxKeyword">
    <vt:lpwstr/>
  </property>
  <property fmtid="{D5CDD505-2E9C-101B-9397-08002B2CF9AE}" pid="6" name="Titles">
    <vt:lpwstr/>
  </property>
  <property fmtid="{D5CDD505-2E9C-101B-9397-08002B2CF9AE}" pid="7" name="Title Type">
    <vt:lpwstr/>
  </property>
  <property fmtid="{D5CDD505-2E9C-101B-9397-08002B2CF9AE}" pid="8" name="DocumentType">
    <vt:lpwstr/>
  </property>
  <property fmtid="{D5CDD505-2E9C-101B-9397-08002B2CF9AE}" pid="9" name="Offshore Region">
    <vt:lpwstr/>
  </property>
  <property fmtid="{D5CDD505-2E9C-101B-9397-08002B2CF9AE}" pid="10" name="Application Library">
    <vt:lpwstr/>
  </property>
  <property fmtid="{D5CDD505-2E9C-101B-9397-08002B2CF9AE}" pid="11" name="Team">
    <vt:lpwstr/>
  </property>
  <property fmtid="{D5CDD505-2E9C-101B-9397-08002B2CF9AE}" pid="12" name="ClassificationContentMarkingHeaderShapeIds">
    <vt:lpwstr>1,2,3</vt:lpwstr>
  </property>
  <property fmtid="{D5CDD505-2E9C-101B-9397-08002B2CF9AE}" pid="13" name="ClassificationContentMarkingHeaderFontProps">
    <vt:lpwstr>#ff0000,11,Arial</vt:lpwstr>
  </property>
  <property fmtid="{D5CDD505-2E9C-101B-9397-08002B2CF9AE}" pid="14" name="ClassificationContentMarkingHeaderText">
    <vt:lpwstr>OFFICIAL</vt:lpwstr>
  </property>
  <property fmtid="{D5CDD505-2E9C-101B-9397-08002B2CF9AE}" pid="15" name="ClassificationContentMarkingFooterShapeIds">
    <vt:lpwstr>4,5,6</vt:lpwstr>
  </property>
  <property fmtid="{D5CDD505-2E9C-101B-9397-08002B2CF9AE}" pid="16" name="ClassificationContentMarkingFooterFontProps">
    <vt:lpwstr>#ff0000,11,Arial</vt:lpwstr>
  </property>
  <property fmtid="{D5CDD505-2E9C-101B-9397-08002B2CF9AE}" pid="17" name="ClassificationContentMarkingFooterText">
    <vt:lpwstr>OFFICIAL</vt:lpwstr>
  </property>
  <property fmtid="{D5CDD505-2E9C-101B-9397-08002B2CF9AE}" pid="18" name="MSIP_Label_e1435138-3fd2-487f-a40f-8ee2b61234c9_Enabled">
    <vt:lpwstr>true</vt:lpwstr>
  </property>
  <property fmtid="{D5CDD505-2E9C-101B-9397-08002B2CF9AE}" pid="19" name="MSIP_Label_e1435138-3fd2-487f-a40f-8ee2b61234c9_SetDate">
    <vt:lpwstr>2021-12-14T06:51:41Z</vt:lpwstr>
  </property>
  <property fmtid="{D5CDD505-2E9C-101B-9397-08002B2CF9AE}" pid="20" name="MSIP_Label_e1435138-3fd2-487f-a40f-8ee2b61234c9_Method">
    <vt:lpwstr>Privileged</vt:lpwstr>
  </property>
  <property fmtid="{D5CDD505-2E9C-101B-9397-08002B2CF9AE}" pid="21" name="MSIP_Label_e1435138-3fd2-487f-a40f-8ee2b61234c9_Name">
    <vt:lpwstr>e1435138-3fd2-487f-a40f-8ee2b61234c9</vt:lpwstr>
  </property>
  <property fmtid="{D5CDD505-2E9C-101B-9397-08002B2CF9AE}" pid="22" name="MSIP_Label_e1435138-3fd2-487f-a40f-8ee2b61234c9_SiteId">
    <vt:lpwstr>2940859f-ee86-4ee3-848f-02ac9eba62b2</vt:lpwstr>
  </property>
  <property fmtid="{D5CDD505-2E9C-101B-9397-08002B2CF9AE}" pid="23" name="MSIP_Label_e1435138-3fd2-487f-a40f-8ee2b61234c9_ActionId">
    <vt:lpwstr>bd3ba265-ebaf-4c52-acba-f57e6e07a46d</vt:lpwstr>
  </property>
  <property fmtid="{D5CDD505-2E9C-101B-9397-08002B2CF9AE}" pid="24" name="MSIP_Label_e1435138-3fd2-487f-a40f-8ee2b61234c9_ContentBits">
    <vt:lpwstr>3</vt:lpwstr>
  </property>
  <property fmtid="{D5CDD505-2E9C-101B-9397-08002B2CF9AE}" pid="25" name="TriggerFlowInfo">
    <vt:lpwstr/>
  </property>
  <property fmtid="{D5CDD505-2E9C-101B-9397-08002B2CF9AE}" pid="26" name="_docset_NoMedatataSyncRequired">
    <vt:lpwstr>False</vt:lpwstr>
  </property>
  <property fmtid="{D5CDD505-2E9C-101B-9397-08002B2CF9AE}" pid="27" name="AbtEntity">
    <vt:lpwstr>1;#Department of Finance|fd660e8f-8f31-49bd-92a3-d31d4da31afe</vt:lpwstr>
  </property>
  <property fmtid="{D5CDD505-2E9C-101B-9397-08002B2CF9AE}" pid="28" name="OrgUnit">
    <vt:lpwstr>2;#Charging Policy|cbcf5b89-4aab-4c5d-ba02-041c19cdb5b1</vt:lpwstr>
  </property>
  <property fmtid="{D5CDD505-2E9C-101B-9397-08002B2CF9AE}" pid="29" name="InitiatingEntity">
    <vt:lpwstr>1;#Department of Finance|fd660e8f-8f31-49bd-92a3-d31d4da31afe</vt:lpwstr>
  </property>
  <property fmtid="{D5CDD505-2E9C-101B-9397-08002B2CF9AE}" pid="30" name="Function and Activity">
    <vt:lpwstr/>
  </property>
  <property fmtid="{D5CDD505-2E9C-101B-9397-08002B2CF9AE}" pid="31" name="Objective-Id">
    <vt:lpwstr>A829937</vt:lpwstr>
  </property>
  <property fmtid="{D5CDD505-2E9C-101B-9397-08002B2CF9AE}" pid="32" name="Objective-Title">
    <vt:lpwstr>CRIS - Draft OEI CRIS incorporating DoF and OPC comment - NOPSEMA edit - 24 Feb 2022</vt:lpwstr>
  </property>
  <property fmtid="{D5CDD505-2E9C-101B-9397-08002B2CF9AE}" pid="33" name="Objective-Description">
    <vt:lpwstr/>
  </property>
  <property fmtid="{D5CDD505-2E9C-101B-9397-08002B2CF9AE}" pid="34" name="Objective-CreationStamp">
    <vt:filetime>2022-02-23T01:53:22Z</vt:filetime>
  </property>
  <property fmtid="{D5CDD505-2E9C-101B-9397-08002B2CF9AE}" pid="35" name="Objective-IsApproved">
    <vt:bool>false</vt:bool>
  </property>
  <property fmtid="{D5CDD505-2E9C-101B-9397-08002B2CF9AE}" pid="36" name="Objective-IsPublished">
    <vt:bool>true</vt:bool>
  </property>
  <property fmtid="{D5CDD505-2E9C-101B-9397-08002B2CF9AE}" pid="37" name="Objective-DatePublished">
    <vt:filetime>2022-02-25T00:40:36Z</vt:filetime>
  </property>
  <property fmtid="{D5CDD505-2E9C-101B-9397-08002B2CF9AE}" pid="38" name="Objective-ModificationStamp">
    <vt:filetime>2022-02-25T00:40:36Z</vt:filetime>
  </property>
  <property fmtid="{D5CDD505-2E9C-101B-9397-08002B2CF9AE}" pid="39" name="Objective-Owner">
    <vt:lpwstr>Owen Wilson</vt:lpwstr>
  </property>
  <property fmtid="{D5CDD505-2E9C-101B-9397-08002B2CF9AE}" pid="40" name="Objective-Path">
    <vt:lpwstr>Objective Global Folder:File Plan:Strategic Management:Planning:Environmental Management Planning - Previous Years:Offshore Renewables - Cost recovery - 2021</vt:lpwstr>
  </property>
  <property fmtid="{D5CDD505-2E9C-101B-9397-08002B2CF9AE}" pid="41" name="Objective-Parent">
    <vt:lpwstr>Offshore Renewables - Cost recovery - 2021</vt:lpwstr>
  </property>
  <property fmtid="{D5CDD505-2E9C-101B-9397-08002B2CF9AE}" pid="42" name="Objective-State">
    <vt:lpwstr>Published</vt:lpwstr>
  </property>
  <property fmtid="{D5CDD505-2E9C-101B-9397-08002B2CF9AE}" pid="43" name="Objective-VersionId">
    <vt:lpwstr>vA1634793</vt:lpwstr>
  </property>
  <property fmtid="{D5CDD505-2E9C-101B-9397-08002B2CF9AE}" pid="44" name="Objective-Version">
    <vt:lpwstr>2.0</vt:lpwstr>
  </property>
  <property fmtid="{D5CDD505-2E9C-101B-9397-08002B2CF9AE}" pid="45" name="Objective-VersionNumber">
    <vt:r8>3</vt:r8>
  </property>
  <property fmtid="{D5CDD505-2E9C-101B-9397-08002B2CF9AE}" pid="46" name="Objective-VersionComment">
    <vt:lpwstr/>
  </property>
  <property fmtid="{D5CDD505-2E9C-101B-9397-08002B2CF9AE}" pid="47" name="Objective-FileNumber">
    <vt:lpwstr>C23964</vt:lpwstr>
  </property>
  <property fmtid="{D5CDD505-2E9C-101B-9397-08002B2CF9AE}" pid="48" name="Objective-Classification">
    <vt:lpwstr>OFFICIAL</vt:lpwstr>
  </property>
  <property fmtid="{D5CDD505-2E9C-101B-9397-08002B2CF9AE}" pid="49" name="Objective-Caveats">
    <vt:lpwstr/>
  </property>
  <property fmtid="{D5CDD505-2E9C-101B-9397-08002B2CF9AE}" pid="50" name="Objective-IMM (prev DLM)">
    <vt:lpwstr/>
  </property>
  <property fmtid="{D5CDD505-2E9C-101B-9397-08002B2CF9AE}" pid="51" name="Objective-Internal Author">
    <vt:lpwstr>Owen Wilson</vt:lpwstr>
  </property>
  <property fmtid="{D5CDD505-2E9C-101B-9397-08002B2CF9AE}" pid="52" name="Objective-Addressee">
    <vt:lpwstr/>
  </property>
  <property fmtid="{D5CDD505-2E9C-101B-9397-08002B2CF9AE}" pid="53" name="Objective-Date Sent">
    <vt:lpwstr/>
  </property>
  <property fmtid="{D5CDD505-2E9C-101B-9397-08002B2CF9AE}" pid="54" name="Objective-Sent By">
    <vt:lpwstr/>
  </property>
  <property fmtid="{D5CDD505-2E9C-101B-9397-08002B2CF9AE}" pid="55" name="Objective-Duty Holders and Organisations">
    <vt:lpwstr/>
  </property>
  <property fmtid="{D5CDD505-2E9C-101B-9397-08002B2CF9AE}" pid="56" name="Objective-Facility">
    <vt:lpwstr/>
  </property>
  <property fmtid="{D5CDD505-2E9C-101B-9397-08002B2CF9AE}" pid="57" name="Objective-RMS ID">
    <vt:lpwstr/>
  </property>
  <property fmtid="{D5CDD505-2E9C-101B-9397-08002B2CF9AE}" pid="58" name="Objective-Monthly Injury Summary ID">
    <vt:lpwstr/>
  </property>
  <property fmtid="{D5CDD505-2E9C-101B-9397-08002B2CF9AE}" pid="59" name="Objective-Reply To">
    <vt:lpwstr/>
  </property>
  <property fmtid="{D5CDD505-2E9C-101B-9397-08002B2CF9AE}" pid="60" name="Objective-External Reference">
    <vt:lpwstr/>
  </property>
  <property fmtid="{D5CDD505-2E9C-101B-9397-08002B2CF9AE}" pid="61" name="Objective-RMS Tags">
    <vt:lpwstr/>
  </property>
  <property fmtid="{D5CDD505-2E9C-101B-9397-08002B2CF9AE}" pid="62" name="Objective-Regulatory Object">
    <vt:lpwstr/>
  </property>
  <property fmtid="{D5CDD505-2E9C-101B-9397-08002B2CF9AE}" pid="63" name="Objective-Regulatory Object RMS ID">
    <vt:lpwstr/>
  </property>
  <property fmtid="{D5CDD505-2E9C-101B-9397-08002B2CF9AE}" pid="64" name="Objective-Organisation">
    <vt:lpwstr/>
  </property>
  <property fmtid="{D5CDD505-2E9C-101B-9397-08002B2CF9AE}" pid="65" name="Objective-Signature Authorisation Number (SAN)">
    <vt:lpwstr/>
  </property>
  <property fmtid="{D5CDD505-2E9C-101B-9397-08002B2CF9AE}" pid="66" name="Objective-Signing Officer">
    <vt:lpwstr/>
  </property>
  <property fmtid="{D5CDD505-2E9C-101B-9397-08002B2CF9AE}" pid="67" name="Objective-Date Authorised">
    <vt:lpwstr/>
  </property>
  <property fmtid="{D5CDD505-2E9C-101B-9397-08002B2CF9AE}" pid="68" name="Objective-Approved for External Publication">
    <vt:lpwstr>No</vt:lpwstr>
  </property>
  <property fmtid="{D5CDD505-2E9C-101B-9397-08002B2CF9AE}" pid="69" name="Objective-Connect Creator">
    <vt:lpwstr/>
  </property>
  <property fmtid="{D5CDD505-2E9C-101B-9397-08002B2CF9AE}" pid="70" name="DocHub_DocumentType">
    <vt:lpwstr>28;#Costings|6c8584f4-3827-43ca-b8a1-f6ce5bbc5a0c</vt:lpwstr>
  </property>
  <property fmtid="{D5CDD505-2E9C-101B-9397-08002B2CF9AE}" pid="71" name="DocHub_SecurityClassification">
    <vt:lpwstr>24;#OFFICIAL:Sensitive|11f6fb0b-52ce-4109-8f7f-521b2a62f692</vt:lpwstr>
  </property>
  <property fmtid="{D5CDD505-2E9C-101B-9397-08002B2CF9AE}" pid="72" name="DocHub_WorkActivity">
    <vt:lpwstr/>
  </property>
  <property fmtid="{D5CDD505-2E9C-101B-9397-08002B2CF9AE}" pid="73" name="DocHub_Keywords">
    <vt:lpwstr/>
  </property>
  <property fmtid="{D5CDD505-2E9C-101B-9397-08002B2CF9AE}" pid="74" name="DocHub_Year">
    <vt:lpwstr/>
  </property>
</Properties>
</file>