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CE73D" w14:textId="4BC8BED0" w:rsidR="00A25580" w:rsidRDefault="00F7386F" w:rsidP="00A25580">
      <w:pPr>
        <w:jc w:val="center"/>
      </w:pPr>
      <w:bookmarkStart w:id="0" w:name="_GoBack"/>
      <w:bookmarkEnd w:id="0"/>
      <w:r w:rsidRPr="00552EBA">
        <w:rPr>
          <w:noProof/>
          <w:lang w:eastAsia="en-AU" w:bidi="ar-SA"/>
        </w:rPr>
        <w:drawing>
          <wp:anchor distT="0" distB="0" distL="114300" distR="114300" simplePos="0" relativeHeight="251658240" behindDoc="0" locked="0" layoutInCell="1" allowOverlap="1" wp14:anchorId="4E464E8B" wp14:editId="34FCD5D4">
            <wp:simplePos x="0" y="0"/>
            <wp:positionH relativeFrom="margin">
              <wp:align>center</wp:align>
            </wp:positionH>
            <wp:positionV relativeFrom="margin">
              <wp:align>top</wp:align>
            </wp:positionV>
            <wp:extent cx="6306185" cy="8970010"/>
            <wp:effectExtent l="0" t="0" r="0" b="2540"/>
            <wp:wrapSquare wrapText="bothSides"/>
            <wp:docPr id="14" name="Picture 14" descr="Final Report, 28 February 2022, by Beletich Associates - Clean Energy Consultants" title="Review of GEMS Determinations For Fluorescent ballasts and ELV Lighting Conve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53" t="2506" b="3380"/>
                    <a:stretch/>
                  </pic:blipFill>
                  <pic:spPr bwMode="auto">
                    <a:xfrm>
                      <a:off x="0" y="0"/>
                      <a:ext cx="6306185" cy="897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65D6172" w14:textId="04F5263E" w:rsidR="00A25580" w:rsidRDefault="00A25580" w:rsidP="00623C1C">
      <w:pPr>
        <w:spacing w:before="480"/>
        <w:rPr>
          <w:sz w:val="40"/>
          <w:szCs w:val="40"/>
        </w:rPr>
      </w:pPr>
    </w:p>
    <w:p w14:paraId="4AA43F24" w14:textId="77777777" w:rsidR="00752BFD" w:rsidRPr="004366BE" w:rsidRDefault="00F25774" w:rsidP="00623C1C">
      <w:pPr>
        <w:spacing w:before="9360"/>
        <w:rPr>
          <w:sz w:val="40"/>
          <w:szCs w:val="40"/>
        </w:rPr>
      </w:pPr>
      <w:r w:rsidRPr="004366BE">
        <w:rPr>
          <w:sz w:val="40"/>
          <w:szCs w:val="40"/>
        </w:rPr>
        <w:t>Disclaimer</w:t>
      </w:r>
    </w:p>
    <w:p w14:paraId="07824342" w14:textId="77777777" w:rsidR="00B33FA8" w:rsidRPr="004366BE" w:rsidRDefault="00752BFD" w:rsidP="00192B16">
      <w:pPr>
        <w:pStyle w:val="BodyText"/>
        <w:rPr>
          <w:lang w:val="en-AU"/>
        </w:rPr>
      </w:pPr>
      <w:r w:rsidRPr="004366BE">
        <w:rPr>
          <w:lang w:val="en-AU"/>
        </w:rPr>
        <w:t xml:space="preserve">The views, conclusions and recommendations expressed in this report are those of Beletich Associates. While reasonable efforts have been made to ensure that the contents of this publication are factually correct, Beletich Associates </w:t>
      </w:r>
      <w:r w:rsidR="005039E9">
        <w:rPr>
          <w:lang w:val="en-AU"/>
        </w:rPr>
        <w:t xml:space="preserve">does </w:t>
      </w:r>
      <w:r w:rsidRPr="004366BE">
        <w:rPr>
          <w:lang w:val="en-AU"/>
        </w:rPr>
        <w:t>give a</w:t>
      </w:r>
      <w:r w:rsidR="00F33ABF" w:rsidRPr="004366BE">
        <w:rPr>
          <w:lang w:val="en-AU"/>
        </w:rPr>
        <w:t>ny</w:t>
      </w:r>
      <w:r w:rsidRPr="004366BE">
        <w:rPr>
          <w:lang w:val="en-AU"/>
        </w:rPr>
        <w:t xml:space="preserve"> warranty regarding </w:t>
      </w:r>
      <w:r w:rsidR="00F33ABF" w:rsidRPr="004366BE">
        <w:rPr>
          <w:lang w:val="en-AU"/>
        </w:rPr>
        <w:t>their</w:t>
      </w:r>
      <w:r w:rsidRPr="004366BE">
        <w:rPr>
          <w:lang w:val="en-AU"/>
        </w:rPr>
        <w:t xml:space="preserve"> accuracy, completeness, currency or suitability for any particular purpose and to the extent permitted by law, do not accept any liability for loss or damages incurred as a result of reliance placed upon the content</w:t>
      </w:r>
      <w:r w:rsidR="00F33ABF" w:rsidRPr="004366BE">
        <w:rPr>
          <w:lang w:val="en-AU"/>
        </w:rPr>
        <w:t>s</w:t>
      </w:r>
      <w:r w:rsidRPr="004366BE">
        <w:rPr>
          <w:lang w:val="en-AU"/>
        </w:rPr>
        <w:t xml:space="preserve"> of this publication. This publication is provided on the basis that all persons accessing it undertake responsibility for assessing the relevance and accuracy of its content.</w:t>
      </w:r>
      <w:r w:rsidR="00B33FA8" w:rsidRPr="004366BE">
        <w:rPr>
          <w:sz w:val="40"/>
          <w:szCs w:val="40"/>
          <w:lang w:val="en-AU"/>
        </w:rPr>
        <w:br w:type="page"/>
      </w:r>
    </w:p>
    <w:p w14:paraId="2EC35D95" w14:textId="77777777" w:rsidR="00666308" w:rsidRDefault="00B33FA8" w:rsidP="00D47756">
      <w:pPr>
        <w:pStyle w:val="MELegal1"/>
        <w:numPr>
          <w:ilvl w:val="0"/>
          <w:numId w:val="0"/>
        </w:numPr>
        <w:rPr>
          <w:noProof/>
        </w:rPr>
      </w:pPr>
      <w:bookmarkStart w:id="1" w:name="_Toc81243796"/>
      <w:bookmarkStart w:id="2" w:name="_Toc81243948"/>
      <w:bookmarkStart w:id="3" w:name="_Toc81292733"/>
      <w:bookmarkStart w:id="4" w:name="_Toc81303335"/>
      <w:bookmarkStart w:id="5" w:name="_Toc86391466"/>
      <w:bookmarkStart w:id="6" w:name="_Toc98939419"/>
      <w:r w:rsidRPr="004366BE">
        <w:lastRenderedPageBreak/>
        <w:t>Contents</w:t>
      </w:r>
      <w:bookmarkEnd w:id="1"/>
      <w:bookmarkEnd w:id="2"/>
      <w:bookmarkEnd w:id="3"/>
      <w:bookmarkEnd w:id="4"/>
      <w:bookmarkEnd w:id="5"/>
      <w:bookmarkEnd w:id="6"/>
      <w:r w:rsidR="00BB0B3E" w:rsidRPr="004366BE">
        <w:rPr>
          <w:rFonts w:eastAsiaTheme="majorEastAsia" w:cstheme="minorHAnsi"/>
          <w:color w:val="2F5496" w:themeColor="accent1" w:themeShade="BF"/>
          <w:sz w:val="21"/>
        </w:rPr>
        <w:fldChar w:fldCharType="begin"/>
      </w:r>
      <w:r w:rsidR="00BB0B3E" w:rsidRPr="004366BE">
        <w:instrText xml:space="preserve"> TOC \h \z \t "Heading 4,2,ME Legal 1,1,ME Legal 2,2" </w:instrText>
      </w:r>
      <w:r w:rsidR="00BB0B3E" w:rsidRPr="004366BE">
        <w:rPr>
          <w:rFonts w:eastAsiaTheme="majorEastAsia" w:cstheme="minorHAnsi"/>
          <w:color w:val="2F5496" w:themeColor="accent1" w:themeShade="BF"/>
          <w:sz w:val="21"/>
        </w:rPr>
        <w:fldChar w:fldCharType="separate"/>
      </w:r>
    </w:p>
    <w:p w14:paraId="17E9E97C" w14:textId="77777777" w:rsidR="00666308" w:rsidRDefault="000260C0">
      <w:pPr>
        <w:pStyle w:val="TOC1"/>
        <w:rPr>
          <w:rFonts w:eastAsiaTheme="minorEastAsia" w:cstheme="minorBidi"/>
          <w:color w:val="auto"/>
          <w:szCs w:val="22"/>
          <w:lang w:eastAsia="en-AU" w:bidi="ar-SA"/>
        </w:rPr>
      </w:pPr>
      <w:hyperlink w:anchor="_Toc98939419" w:history="1">
        <w:r w:rsidR="00666308" w:rsidRPr="00CF1663">
          <w:rPr>
            <w:rStyle w:val="Hyperlink"/>
          </w:rPr>
          <w:t>Contents</w:t>
        </w:r>
        <w:r w:rsidR="00666308">
          <w:rPr>
            <w:webHidden/>
          </w:rPr>
          <w:tab/>
        </w:r>
        <w:r w:rsidR="00666308">
          <w:rPr>
            <w:webHidden/>
          </w:rPr>
          <w:fldChar w:fldCharType="begin"/>
        </w:r>
        <w:r w:rsidR="00666308">
          <w:rPr>
            <w:webHidden/>
          </w:rPr>
          <w:instrText xml:space="preserve"> PAGEREF _Toc98939419 \h </w:instrText>
        </w:r>
        <w:r w:rsidR="00666308">
          <w:rPr>
            <w:webHidden/>
          </w:rPr>
        </w:r>
        <w:r w:rsidR="00666308">
          <w:rPr>
            <w:webHidden/>
          </w:rPr>
          <w:fldChar w:fldCharType="separate"/>
        </w:r>
        <w:r w:rsidR="00666308">
          <w:rPr>
            <w:webHidden/>
          </w:rPr>
          <w:t>3</w:t>
        </w:r>
        <w:r w:rsidR="00666308">
          <w:rPr>
            <w:webHidden/>
          </w:rPr>
          <w:fldChar w:fldCharType="end"/>
        </w:r>
      </w:hyperlink>
    </w:p>
    <w:p w14:paraId="03AEF10C" w14:textId="77777777" w:rsidR="00666308" w:rsidRDefault="000260C0">
      <w:pPr>
        <w:pStyle w:val="TOC1"/>
        <w:rPr>
          <w:rFonts w:eastAsiaTheme="minorEastAsia" w:cstheme="minorBidi"/>
          <w:color w:val="auto"/>
          <w:szCs w:val="22"/>
          <w:lang w:eastAsia="en-AU" w:bidi="ar-SA"/>
        </w:rPr>
      </w:pPr>
      <w:hyperlink w:anchor="_Toc98939420" w:history="1">
        <w:r w:rsidR="00666308" w:rsidRPr="00CF1663">
          <w:rPr>
            <w:rStyle w:val="Hyperlink"/>
          </w:rPr>
          <w:t>Figures</w:t>
        </w:r>
        <w:r w:rsidR="00666308">
          <w:rPr>
            <w:webHidden/>
          </w:rPr>
          <w:tab/>
        </w:r>
        <w:r w:rsidR="00666308">
          <w:rPr>
            <w:webHidden/>
          </w:rPr>
          <w:fldChar w:fldCharType="begin"/>
        </w:r>
        <w:r w:rsidR="00666308">
          <w:rPr>
            <w:webHidden/>
          </w:rPr>
          <w:instrText xml:space="preserve"> PAGEREF _Toc98939420 \h </w:instrText>
        </w:r>
        <w:r w:rsidR="00666308">
          <w:rPr>
            <w:webHidden/>
          </w:rPr>
        </w:r>
        <w:r w:rsidR="00666308">
          <w:rPr>
            <w:webHidden/>
          </w:rPr>
          <w:fldChar w:fldCharType="separate"/>
        </w:r>
        <w:r w:rsidR="00666308">
          <w:rPr>
            <w:webHidden/>
          </w:rPr>
          <w:t>3</w:t>
        </w:r>
        <w:r w:rsidR="00666308">
          <w:rPr>
            <w:webHidden/>
          </w:rPr>
          <w:fldChar w:fldCharType="end"/>
        </w:r>
      </w:hyperlink>
    </w:p>
    <w:p w14:paraId="69621945" w14:textId="77777777" w:rsidR="00666308" w:rsidRDefault="000260C0">
      <w:pPr>
        <w:pStyle w:val="TOC1"/>
        <w:rPr>
          <w:rFonts w:eastAsiaTheme="minorEastAsia" w:cstheme="minorBidi"/>
          <w:color w:val="auto"/>
          <w:szCs w:val="22"/>
          <w:lang w:eastAsia="en-AU" w:bidi="ar-SA"/>
        </w:rPr>
      </w:pPr>
      <w:hyperlink w:anchor="_Toc98939421" w:history="1">
        <w:r w:rsidR="00666308" w:rsidRPr="00CF1663">
          <w:rPr>
            <w:rStyle w:val="Hyperlink"/>
          </w:rPr>
          <w:t>1.</w:t>
        </w:r>
        <w:r w:rsidR="00666308">
          <w:rPr>
            <w:rFonts w:eastAsiaTheme="minorEastAsia" w:cstheme="minorBidi"/>
            <w:color w:val="auto"/>
            <w:szCs w:val="22"/>
            <w:lang w:eastAsia="en-AU" w:bidi="ar-SA"/>
          </w:rPr>
          <w:tab/>
        </w:r>
        <w:r w:rsidR="00666308" w:rsidRPr="00CF1663">
          <w:rPr>
            <w:rStyle w:val="Hyperlink"/>
          </w:rPr>
          <w:t>Introduction</w:t>
        </w:r>
        <w:r w:rsidR="00666308">
          <w:rPr>
            <w:webHidden/>
          </w:rPr>
          <w:tab/>
        </w:r>
        <w:r w:rsidR="00666308">
          <w:rPr>
            <w:webHidden/>
          </w:rPr>
          <w:fldChar w:fldCharType="begin"/>
        </w:r>
        <w:r w:rsidR="00666308">
          <w:rPr>
            <w:webHidden/>
          </w:rPr>
          <w:instrText xml:space="preserve"> PAGEREF _Toc98939421 \h </w:instrText>
        </w:r>
        <w:r w:rsidR="00666308">
          <w:rPr>
            <w:webHidden/>
          </w:rPr>
        </w:r>
        <w:r w:rsidR="00666308">
          <w:rPr>
            <w:webHidden/>
          </w:rPr>
          <w:fldChar w:fldCharType="separate"/>
        </w:r>
        <w:r w:rsidR="00666308">
          <w:rPr>
            <w:webHidden/>
          </w:rPr>
          <w:t>1</w:t>
        </w:r>
        <w:r w:rsidR="00666308">
          <w:rPr>
            <w:webHidden/>
          </w:rPr>
          <w:fldChar w:fldCharType="end"/>
        </w:r>
      </w:hyperlink>
    </w:p>
    <w:p w14:paraId="737069F1" w14:textId="77777777" w:rsidR="00666308" w:rsidRDefault="000260C0">
      <w:pPr>
        <w:pStyle w:val="TOC1"/>
        <w:rPr>
          <w:rFonts w:eastAsiaTheme="minorEastAsia" w:cstheme="minorBidi"/>
          <w:color w:val="auto"/>
          <w:szCs w:val="22"/>
          <w:lang w:eastAsia="en-AU" w:bidi="ar-SA"/>
        </w:rPr>
      </w:pPr>
      <w:hyperlink w:anchor="_Toc98939422" w:history="1">
        <w:r w:rsidR="00666308" w:rsidRPr="00CF1663">
          <w:rPr>
            <w:rStyle w:val="Hyperlink"/>
          </w:rPr>
          <w:t>2.</w:t>
        </w:r>
        <w:r w:rsidR="00666308">
          <w:rPr>
            <w:rFonts w:eastAsiaTheme="minorEastAsia" w:cstheme="minorBidi"/>
            <w:color w:val="auto"/>
            <w:szCs w:val="22"/>
            <w:lang w:eastAsia="en-AU" w:bidi="ar-SA"/>
          </w:rPr>
          <w:tab/>
        </w:r>
        <w:r w:rsidR="00666308" w:rsidRPr="00CF1663">
          <w:rPr>
            <w:rStyle w:val="Hyperlink"/>
          </w:rPr>
          <w:t>Ballasts</w:t>
        </w:r>
        <w:r w:rsidR="00666308">
          <w:rPr>
            <w:webHidden/>
          </w:rPr>
          <w:tab/>
        </w:r>
        <w:r w:rsidR="00666308">
          <w:rPr>
            <w:webHidden/>
          </w:rPr>
          <w:fldChar w:fldCharType="begin"/>
        </w:r>
        <w:r w:rsidR="00666308">
          <w:rPr>
            <w:webHidden/>
          </w:rPr>
          <w:instrText xml:space="preserve"> PAGEREF _Toc98939422 \h </w:instrText>
        </w:r>
        <w:r w:rsidR="00666308">
          <w:rPr>
            <w:webHidden/>
          </w:rPr>
        </w:r>
        <w:r w:rsidR="00666308">
          <w:rPr>
            <w:webHidden/>
          </w:rPr>
          <w:fldChar w:fldCharType="separate"/>
        </w:r>
        <w:r w:rsidR="00666308">
          <w:rPr>
            <w:webHidden/>
          </w:rPr>
          <w:t>1</w:t>
        </w:r>
        <w:r w:rsidR="00666308">
          <w:rPr>
            <w:webHidden/>
          </w:rPr>
          <w:fldChar w:fldCharType="end"/>
        </w:r>
      </w:hyperlink>
    </w:p>
    <w:p w14:paraId="3A9D48BF" w14:textId="77777777" w:rsidR="00666308" w:rsidRDefault="000260C0">
      <w:pPr>
        <w:pStyle w:val="TOC2"/>
        <w:rPr>
          <w:rFonts w:eastAsiaTheme="minorEastAsia" w:cstheme="minorBidi"/>
          <w:color w:val="auto"/>
          <w:sz w:val="22"/>
          <w:szCs w:val="22"/>
          <w:lang w:eastAsia="en-AU" w:bidi="ar-SA"/>
        </w:rPr>
      </w:pPr>
      <w:hyperlink w:anchor="_Toc98939423" w:history="1">
        <w:r w:rsidR="00666308" w:rsidRPr="00CF1663">
          <w:rPr>
            <w:rStyle w:val="Hyperlink"/>
          </w:rPr>
          <w:t>2.1</w:t>
        </w:r>
        <w:r w:rsidR="00666308">
          <w:rPr>
            <w:rFonts w:eastAsiaTheme="minorEastAsia" w:cstheme="minorBidi"/>
            <w:color w:val="auto"/>
            <w:sz w:val="22"/>
            <w:szCs w:val="22"/>
            <w:lang w:eastAsia="en-AU" w:bidi="ar-SA"/>
          </w:rPr>
          <w:tab/>
        </w:r>
        <w:r w:rsidR="00666308" w:rsidRPr="00CF1663">
          <w:rPr>
            <w:rStyle w:val="Hyperlink"/>
          </w:rPr>
          <w:t>Background</w:t>
        </w:r>
        <w:r w:rsidR="00666308">
          <w:rPr>
            <w:webHidden/>
          </w:rPr>
          <w:tab/>
        </w:r>
        <w:r w:rsidR="00666308">
          <w:rPr>
            <w:webHidden/>
          </w:rPr>
          <w:fldChar w:fldCharType="begin"/>
        </w:r>
        <w:r w:rsidR="00666308">
          <w:rPr>
            <w:webHidden/>
          </w:rPr>
          <w:instrText xml:space="preserve"> PAGEREF _Toc98939423 \h </w:instrText>
        </w:r>
        <w:r w:rsidR="00666308">
          <w:rPr>
            <w:webHidden/>
          </w:rPr>
        </w:r>
        <w:r w:rsidR="00666308">
          <w:rPr>
            <w:webHidden/>
          </w:rPr>
          <w:fldChar w:fldCharType="separate"/>
        </w:r>
        <w:r w:rsidR="00666308">
          <w:rPr>
            <w:webHidden/>
          </w:rPr>
          <w:t>1</w:t>
        </w:r>
        <w:r w:rsidR="00666308">
          <w:rPr>
            <w:webHidden/>
          </w:rPr>
          <w:fldChar w:fldCharType="end"/>
        </w:r>
      </w:hyperlink>
    </w:p>
    <w:p w14:paraId="3EFCAD84" w14:textId="77777777" w:rsidR="00666308" w:rsidRDefault="000260C0">
      <w:pPr>
        <w:pStyle w:val="TOC2"/>
        <w:rPr>
          <w:rFonts w:eastAsiaTheme="minorEastAsia" w:cstheme="minorBidi"/>
          <w:color w:val="auto"/>
          <w:sz w:val="22"/>
          <w:szCs w:val="22"/>
          <w:lang w:eastAsia="en-AU" w:bidi="ar-SA"/>
        </w:rPr>
      </w:pPr>
      <w:hyperlink w:anchor="_Toc98939424" w:history="1">
        <w:r w:rsidR="00666308" w:rsidRPr="00CF1663">
          <w:rPr>
            <w:rStyle w:val="Hyperlink"/>
          </w:rPr>
          <w:t>2.2</w:t>
        </w:r>
        <w:r w:rsidR="00666308">
          <w:rPr>
            <w:rFonts w:eastAsiaTheme="minorEastAsia" w:cstheme="minorBidi"/>
            <w:color w:val="auto"/>
            <w:sz w:val="22"/>
            <w:szCs w:val="22"/>
            <w:lang w:eastAsia="en-AU" w:bidi="ar-SA"/>
          </w:rPr>
          <w:tab/>
        </w:r>
        <w:r w:rsidR="00666308" w:rsidRPr="00CF1663">
          <w:rPr>
            <w:rStyle w:val="Hyperlink"/>
          </w:rPr>
          <w:t>Ballast Sales</w:t>
        </w:r>
        <w:r w:rsidR="00666308">
          <w:rPr>
            <w:webHidden/>
          </w:rPr>
          <w:tab/>
        </w:r>
        <w:r w:rsidR="00666308">
          <w:rPr>
            <w:webHidden/>
          </w:rPr>
          <w:fldChar w:fldCharType="begin"/>
        </w:r>
        <w:r w:rsidR="00666308">
          <w:rPr>
            <w:webHidden/>
          </w:rPr>
          <w:instrText xml:space="preserve"> PAGEREF _Toc98939424 \h </w:instrText>
        </w:r>
        <w:r w:rsidR="00666308">
          <w:rPr>
            <w:webHidden/>
          </w:rPr>
        </w:r>
        <w:r w:rsidR="00666308">
          <w:rPr>
            <w:webHidden/>
          </w:rPr>
          <w:fldChar w:fldCharType="separate"/>
        </w:r>
        <w:r w:rsidR="00666308">
          <w:rPr>
            <w:webHidden/>
          </w:rPr>
          <w:t>2</w:t>
        </w:r>
        <w:r w:rsidR="00666308">
          <w:rPr>
            <w:webHidden/>
          </w:rPr>
          <w:fldChar w:fldCharType="end"/>
        </w:r>
      </w:hyperlink>
    </w:p>
    <w:p w14:paraId="7E996A87" w14:textId="77777777" w:rsidR="00666308" w:rsidRDefault="000260C0">
      <w:pPr>
        <w:pStyle w:val="TOC2"/>
        <w:rPr>
          <w:rFonts w:eastAsiaTheme="minorEastAsia" w:cstheme="minorBidi"/>
          <w:color w:val="auto"/>
          <w:sz w:val="22"/>
          <w:szCs w:val="22"/>
          <w:lang w:eastAsia="en-AU" w:bidi="ar-SA"/>
        </w:rPr>
      </w:pPr>
      <w:hyperlink w:anchor="_Toc98939425" w:history="1">
        <w:r w:rsidR="00666308" w:rsidRPr="00CF1663">
          <w:rPr>
            <w:rStyle w:val="Hyperlink"/>
          </w:rPr>
          <w:t>2.3</w:t>
        </w:r>
        <w:r w:rsidR="00666308">
          <w:rPr>
            <w:rFonts w:eastAsiaTheme="minorEastAsia" w:cstheme="minorBidi"/>
            <w:color w:val="auto"/>
            <w:sz w:val="22"/>
            <w:szCs w:val="22"/>
            <w:lang w:eastAsia="en-AU" w:bidi="ar-SA"/>
          </w:rPr>
          <w:tab/>
        </w:r>
        <w:r w:rsidR="00666308" w:rsidRPr="00CF1663">
          <w:rPr>
            <w:rStyle w:val="Hyperlink"/>
          </w:rPr>
          <w:t>Analysis</w:t>
        </w:r>
        <w:r w:rsidR="00666308">
          <w:rPr>
            <w:webHidden/>
          </w:rPr>
          <w:tab/>
        </w:r>
        <w:r w:rsidR="00666308">
          <w:rPr>
            <w:webHidden/>
          </w:rPr>
          <w:fldChar w:fldCharType="begin"/>
        </w:r>
        <w:r w:rsidR="00666308">
          <w:rPr>
            <w:webHidden/>
          </w:rPr>
          <w:instrText xml:space="preserve"> PAGEREF _Toc98939425 \h </w:instrText>
        </w:r>
        <w:r w:rsidR="00666308">
          <w:rPr>
            <w:webHidden/>
          </w:rPr>
        </w:r>
        <w:r w:rsidR="00666308">
          <w:rPr>
            <w:webHidden/>
          </w:rPr>
          <w:fldChar w:fldCharType="separate"/>
        </w:r>
        <w:r w:rsidR="00666308">
          <w:rPr>
            <w:webHidden/>
          </w:rPr>
          <w:t>4</w:t>
        </w:r>
        <w:r w:rsidR="00666308">
          <w:rPr>
            <w:webHidden/>
          </w:rPr>
          <w:fldChar w:fldCharType="end"/>
        </w:r>
      </w:hyperlink>
    </w:p>
    <w:p w14:paraId="5E98CB7B" w14:textId="77777777" w:rsidR="00666308" w:rsidRDefault="000260C0">
      <w:pPr>
        <w:pStyle w:val="TOC1"/>
        <w:rPr>
          <w:rFonts w:eastAsiaTheme="minorEastAsia" w:cstheme="minorBidi"/>
          <w:color w:val="auto"/>
          <w:szCs w:val="22"/>
          <w:lang w:eastAsia="en-AU" w:bidi="ar-SA"/>
        </w:rPr>
      </w:pPr>
      <w:hyperlink w:anchor="_Toc98939426" w:history="1">
        <w:r w:rsidR="00666308" w:rsidRPr="00CF1663">
          <w:rPr>
            <w:rStyle w:val="Hyperlink"/>
          </w:rPr>
          <w:t>3.</w:t>
        </w:r>
        <w:r w:rsidR="00666308">
          <w:rPr>
            <w:rFonts w:eastAsiaTheme="minorEastAsia" w:cstheme="minorBidi"/>
            <w:color w:val="auto"/>
            <w:szCs w:val="22"/>
            <w:lang w:eastAsia="en-AU" w:bidi="ar-SA"/>
          </w:rPr>
          <w:tab/>
        </w:r>
        <w:r w:rsidR="00666308" w:rsidRPr="00CF1663">
          <w:rPr>
            <w:rStyle w:val="Hyperlink"/>
          </w:rPr>
          <w:t>ELVCs</w:t>
        </w:r>
        <w:r w:rsidR="00666308">
          <w:rPr>
            <w:webHidden/>
          </w:rPr>
          <w:tab/>
        </w:r>
        <w:r w:rsidR="00666308">
          <w:rPr>
            <w:webHidden/>
          </w:rPr>
          <w:fldChar w:fldCharType="begin"/>
        </w:r>
        <w:r w:rsidR="00666308">
          <w:rPr>
            <w:webHidden/>
          </w:rPr>
          <w:instrText xml:space="preserve"> PAGEREF _Toc98939426 \h </w:instrText>
        </w:r>
        <w:r w:rsidR="00666308">
          <w:rPr>
            <w:webHidden/>
          </w:rPr>
        </w:r>
        <w:r w:rsidR="00666308">
          <w:rPr>
            <w:webHidden/>
          </w:rPr>
          <w:fldChar w:fldCharType="separate"/>
        </w:r>
        <w:r w:rsidR="00666308">
          <w:rPr>
            <w:webHidden/>
          </w:rPr>
          <w:t>6</w:t>
        </w:r>
        <w:r w:rsidR="00666308">
          <w:rPr>
            <w:webHidden/>
          </w:rPr>
          <w:fldChar w:fldCharType="end"/>
        </w:r>
      </w:hyperlink>
    </w:p>
    <w:p w14:paraId="26C31310" w14:textId="77777777" w:rsidR="00666308" w:rsidRDefault="000260C0">
      <w:pPr>
        <w:pStyle w:val="TOC2"/>
        <w:rPr>
          <w:rFonts w:eastAsiaTheme="minorEastAsia" w:cstheme="minorBidi"/>
          <w:color w:val="auto"/>
          <w:sz w:val="22"/>
          <w:szCs w:val="22"/>
          <w:lang w:eastAsia="en-AU" w:bidi="ar-SA"/>
        </w:rPr>
      </w:pPr>
      <w:hyperlink w:anchor="_Toc98939427" w:history="1">
        <w:r w:rsidR="00666308" w:rsidRPr="00CF1663">
          <w:rPr>
            <w:rStyle w:val="Hyperlink"/>
          </w:rPr>
          <w:t>3.1</w:t>
        </w:r>
        <w:r w:rsidR="00666308">
          <w:rPr>
            <w:rFonts w:eastAsiaTheme="minorEastAsia" w:cstheme="minorBidi"/>
            <w:color w:val="auto"/>
            <w:sz w:val="22"/>
            <w:szCs w:val="22"/>
            <w:lang w:eastAsia="en-AU" w:bidi="ar-SA"/>
          </w:rPr>
          <w:tab/>
        </w:r>
        <w:r w:rsidR="00666308" w:rsidRPr="00CF1663">
          <w:rPr>
            <w:rStyle w:val="Hyperlink"/>
          </w:rPr>
          <w:t>Background</w:t>
        </w:r>
        <w:r w:rsidR="00666308">
          <w:rPr>
            <w:webHidden/>
          </w:rPr>
          <w:tab/>
        </w:r>
        <w:r w:rsidR="00666308">
          <w:rPr>
            <w:webHidden/>
          </w:rPr>
          <w:fldChar w:fldCharType="begin"/>
        </w:r>
        <w:r w:rsidR="00666308">
          <w:rPr>
            <w:webHidden/>
          </w:rPr>
          <w:instrText xml:space="preserve"> PAGEREF _Toc98939427 \h </w:instrText>
        </w:r>
        <w:r w:rsidR="00666308">
          <w:rPr>
            <w:webHidden/>
          </w:rPr>
        </w:r>
        <w:r w:rsidR="00666308">
          <w:rPr>
            <w:webHidden/>
          </w:rPr>
          <w:fldChar w:fldCharType="separate"/>
        </w:r>
        <w:r w:rsidR="00666308">
          <w:rPr>
            <w:webHidden/>
          </w:rPr>
          <w:t>6</w:t>
        </w:r>
        <w:r w:rsidR="00666308">
          <w:rPr>
            <w:webHidden/>
          </w:rPr>
          <w:fldChar w:fldCharType="end"/>
        </w:r>
      </w:hyperlink>
    </w:p>
    <w:p w14:paraId="24BF1D70" w14:textId="77777777" w:rsidR="00666308" w:rsidRDefault="000260C0">
      <w:pPr>
        <w:pStyle w:val="TOC2"/>
        <w:rPr>
          <w:rFonts w:eastAsiaTheme="minorEastAsia" w:cstheme="minorBidi"/>
          <w:color w:val="auto"/>
          <w:sz w:val="22"/>
          <w:szCs w:val="22"/>
          <w:lang w:eastAsia="en-AU" w:bidi="ar-SA"/>
        </w:rPr>
      </w:pPr>
      <w:hyperlink w:anchor="_Toc98939428" w:history="1">
        <w:r w:rsidR="00666308" w:rsidRPr="00CF1663">
          <w:rPr>
            <w:rStyle w:val="Hyperlink"/>
          </w:rPr>
          <w:t>3.2</w:t>
        </w:r>
        <w:r w:rsidR="00666308">
          <w:rPr>
            <w:rFonts w:eastAsiaTheme="minorEastAsia" w:cstheme="minorBidi"/>
            <w:color w:val="auto"/>
            <w:sz w:val="22"/>
            <w:szCs w:val="22"/>
            <w:lang w:eastAsia="en-AU" w:bidi="ar-SA"/>
          </w:rPr>
          <w:tab/>
        </w:r>
        <w:r w:rsidR="00666308" w:rsidRPr="00CF1663">
          <w:rPr>
            <w:rStyle w:val="Hyperlink"/>
          </w:rPr>
          <w:t>ELVC Sales</w:t>
        </w:r>
        <w:r w:rsidR="00666308">
          <w:rPr>
            <w:webHidden/>
          </w:rPr>
          <w:tab/>
        </w:r>
        <w:r w:rsidR="00666308">
          <w:rPr>
            <w:webHidden/>
          </w:rPr>
          <w:fldChar w:fldCharType="begin"/>
        </w:r>
        <w:r w:rsidR="00666308">
          <w:rPr>
            <w:webHidden/>
          </w:rPr>
          <w:instrText xml:space="preserve"> PAGEREF _Toc98939428 \h </w:instrText>
        </w:r>
        <w:r w:rsidR="00666308">
          <w:rPr>
            <w:webHidden/>
          </w:rPr>
        </w:r>
        <w:r w:rsidR="00666308">
          <w:rPr>
            <w:webHidden/>
          </w:rPr>
          <w:fldChar w:fldCharType="separate"/>
        </w:r>
        <w:r w:rsidR="00666308">
          <w:rPr>
            <w:webHidden/>
          </w:rPr>
          <w:t>7</w:t>
        </w:r>
        <w:r w:rsidR="00666308">
          <w:rPr>
            <w:webHidden/>
          </w:rPr>
          <w:fldChar w:fldCharType="end"/>
        </w:r>
      </w:hyperlink>
    </w:p>
    <w:p w14:paraId="52D9163F" w14:textId="77777777" w:rsidR="00666308" w:rsidRDefault="000260C0">
      <w:pPr>
        <w:pStyle w:val="TOC2"/>
        <w:rPr>
          <w:rFonts w:eastAsiaTheme="minorEastAsia" w:cstheme="minorBidi"/>
          <w:color w:val="auto"/>
          <w:sz w:val="22"/>
          <w:szCs w:val="22"/>
          <w:lang w:eastAsia="en-AU" w:bidi="ar-SA"/>
        </w:rPr>
      </w:pPr>
      <w:hyperlink w:anchor="_Toc98939429" w:history="1">
        <w:r w:rsidR="00666308" w:rsidRPr="00CF1663">
          <w:rPr>
            <w:rStyle w:val="Hyperlink"/>
          </w:rPr>
          <w:t>3.3</w:t>
        </w:r>
        <w:r w:rsidR="00666308">
          <w:rPr>
            <w:rFonts w:eastAsiaTheme="minorEastAsia" w:cstheme="minorBidi"/>
            <w:color w:val="auto"/>
            <w:sz w:val="22"/>
            <w:szCs w:val="22"/>
            <w:lang w:eastAsia="en-AU" w:bidi="ar-SA"/>
          </w:rPr>
          <w:tab/>
        </w:r>
        <w:r w:rsidR="00666308" w:rsidRPr="00CF1663">
          <w:rPr>
            <w:rStyle w:val="Hyperlink"/>
          </w:rPr>
          <w:t>Analysis</w:t>
        </w:r>
        <w:r w:rsidR="00666308">
          <w:rPr>
            <w:webHidden/>
          </w:rPr>
          <w:tab/>
        </w:r>
        <w:r w:rsidR="00666308">
          <w:rPr>
            <w:webHidden/>
          </w:rPr>
          <w:fldChar w:fldCharType="begin"/>
        </w:r>
        <w:r w:rsidR="00666308">
          <w:rPr>
            <w:webHidden/>
          </w:rPr>
          <w:instrText xml:space="preserve"> PAGEREF _Toc98939429 \h </w:instrText>
        </w:r>
        <w:r w:rsidR="00666308">
          <w:rPr>
            <w:webHidden/>
          </w:rPr>
        </w:r>
        <w:r w:rsidR="00666308">
          <w:rPr>
            <w:webHidden/>
          </w:rPr>
          <w:fldChar w:fldCharType="separate"/>
        </w:r>
        <w:r w:rsidR="00666308">
          <w:rPr>
            <w:webHidden/>
          </w:rPr>
          <w:t>9</w:t>
        </w:r>
        <w:r w:rsidR="00666308">
          <w:rPr>
            <w:webHidden/>
          </w:rPr>
          <w:fldChar w:fldCharType="end"/>
        </w:r>
      </w:hyperlink>
    </w:p>
    <w:p w14:paraId="6D375071" w14:textId="77777777" w:rsidR="00666308" w:rsidRDefault="000260C0">
      <w:pPr>
        <w:pStyle w:val="TOC1"/>
        <w:rPr>
          <w:rFonts w:eastAsiaTheme="minorEastAsia" w:cstheme="minorBidi"/>
          <w:color w:val="auto"/>
          <w:szCs w:val="22"/>
          <w:lang w:eastAsia="en-AU" w:bidi="ar-SA"/>
        </w:rPr>
      </w:pPr>
      <w:hyperlink w:anchor="_Toc98939430" w:history="1">
        <w:r w:rsidR="00666308" w:rsidRPr="00CF1663">
          <w:rPr>
            <w:rStyle w:val="Hyperlink"/>
          </w:rPr>
          <w:t>4.</w:t>
        </w:r>
        <w:r w:rsidR="00666308">
          <w:rPr>
            <w:rFonts w:eastAsiaTheme="minorEastAsia" w:cstheme="minorBidi"/>
            <w:color w:val="auto"/>
            <w:szCs w:val="22"/>
            <w:lang w:eastAsia="en-AU" w:bidi="ar-SA"/>
          </w:rPr>
          <w:tab/>
        </w:r>
        <w:r w:rsidR="00666308" w:rsidRPr="00CF1663">
          <w:rPr>
            <w:rStyle w:val="Hyperlink"/>
          </w:rPr>
          <w:t>Product Suppliers - ELVCs and Ballasts</w:t>
        </w:r>
        <w:r w:rsidR="00666308">
          <w:rPr>
            <w:webHidden/>
          </w:rPr>
          <w:tab/>
        </w:r>
        <w:r w:rsidR="00666308">
          <w:rPr>
            <w:webHidden/>
          </w:rPr>
          <w:fldChar w:fldCharType="begin"/>
        </w:r>
        <w:r w:rsidR="00666308">
          <w:rPr>
            <w:webHidden/>
          </w:rPr>
          <w:instrText xml:space="preserve"> PAGEREF _Toc98939430 \h </w:instrText>
        </w:r>
        <w:r w:rsidR="00666308">
          <w:rPr>
            <w:webHidden/>
          </w:rPr>
        </w:r>
        <w:r w:rsidR="00666308">
          <w:rPr>
            <w:webHidden/>
          </w:rPr>
          <w:fldChar w:fldCharType="separate"/>
        </w:r>
        <w:r w:rsidR="00666308">
          <w:rPr>
            <w:webHidden/>
          </w:rPr>
          <w:t>11</w:t>
        </w:r>
        <w:r w:rsidR="00666308">
          <w:rPr>
            <w:webHidden/>
          </w:rPr>
          <w:fldChar w:fldCharType="end"/>
        </w:r>
      </w:hyperlink>
    </w:p>
    <w:p w14:paraId="7E15EBEB" w14:textId="77777777" w:rsidR="00666308" w:rsidRDefault="000260C0">
      <w:pPr>
        <w:pStyle w:val="TOC1"/>
        <w:rPr>
          <w:rFonts w:eastAsiaTheme="minorEastAsia" w:cstheme="minorBidi"/>
          <w:color w:val="auto"/>
          <w:szCs w:val="22"/>
          <w:lang w:eastAsia="en-AU" w:bidi="ar-SA"/>
        </w:rPr>
      </w:pPr>
      <w:hyperlink w:anchor="_Toc98939431" w:history="1">
        <w:r w:rsidR="00666308" w:rsidRPr="00CF1663">
          <w:rPr>
            <w:rStyle w:val="Hyperlink"/>
          </w:rPr>
          <w:t>5.</w:t>
        </w:r>
        <w:r w:rsidR="00666308">
          <w:rPr>
            <w:rFonts w:eastAsiaTheme="minorEastAsia" w:cstheme="minorBidi"/>
            <w:color w:val="auto"/>
            <w:szCs w:val="22"/>
            <w:lang w:eastAsia="en-AU" w:bidi="ar-SA"/>
          </w:rPr>
          <w:tab/>
        </w:r>
        <w:r w:rsidR="00666308" w:rsidRPr="00CF1663">
          <w:rPr>
            <w:rStyle w:val="Hyperlink"/>
          </w:rPr>
          <w:t>Discussion - ELVCs and Ballasts</w:t>
        </w:r>
        <w:r w:rsidR="00666308">
          <w:rPr>
            <w:webHidden/>
          </w:rPr>
          <w:tab/>
        </w:r>
        <w:r w:rsidR="00666308">
          <w:rPr>
            <w:webHidden/>
          </w:rPr>
          <w:fldChar w:fldCharType="begin"/>
        </w:r>
        <w:r w:rsidR="00666308">
          <w:rPr>
            <w:webHidden/>
          </w:rPr>
          <w:instrText xml:space="preserve"> PAGEREF _Toc98939431 \h </w:instrText>
        </w:r>
        <w:r w:rsidR="00666308">
          <w:rPr>
            <w:webHidden/>
          </w:rPr>
        </w:r>
        <w:r w:rsidR="00666308">
          <w:rPr>
            <w:webHidden/>
          </w:rPr>
          <w:fldChar w:fldCharType="separate"/>
        </w:r>
        <w:r w:rsidR="00666308">
          <w:rPr>
            <w:webHidden/>
          </w:rPr>
          <w:t>11</w:t>
        </w:r>
        <w:r w:rsidR="00666308">
          <w:rPr>
            <w:webHidden/>
          </w:rPr>
          <w:fldChar w:fldCharType="end"/>
        </w:r>
      </w:hyperlink>
    </w:p>
    <w:p w14:paraId="2A0893BA" w14:textId="77777777" w:rsidR="00666308" w:rsidRDefault="000260C0">
      <w:pPr>
        <w:pStyle w:val="TOC1"/>
        <w:rPr>
          <w:rFonts w:eastAsiaTheme="minorEastAsia" w:cstheme="minorBidi"/>
          <w:color w:val="auto"/>
          <w:szCs w:val="22"/>
          <w:lang w:eastAsia="en-AU" w:bidi="ar-SA"/>
        </w:rPr>
      </w:pPr>
      <w:hyperlink w:anchor="_Toc98939432" w:history="1">
        <w:r w:rsidR="00666308" w:rsidRPr="00CF1663">
          <w:rPr>
            <w:rStyle w:val="Hyperlink"/>
          </w:rPr>
          <w:t>6.</w:t>
        </w:r>
        <w:r w:rsidR="00666308">
          <w:rPr>
            <w:rFonts w:eastAsiaTheme="minorEastAsia" w:cstheme="minorBidi"/>
            <w:color w:val="auto"/>
            <w:szCs w:val="22"/>
            <w:lang w:eastAsia="en-AU" w:bidi="ar-SA"/>
          </w:rPr>
          <w:tab/>
        </w:r>
        <w:r w:rsidR="00666308" w:rsidRPr="00CF1663">
          <w:rPr>
            <w:rStyle w:val="Hyperlink"/>
          </w:rPr>
          <w:t>Conclusions and Recommendations</w:t>
        </w:r>
        <w:r w:rsidR="00666308">
          <w:rPr>
            <w:webHidden/>
          </w:rPr>
          <w:tab/>
        </w:r>
        <w:r w:rsidR="00666308">
          <w:rPr>
            <w:webHidden/>
          </w:rPr>
          <w:fldChar w:fldCharType="begin"/>
        </w:r>
        <w:r w:rsidR="00666308">
          <w:rPr>
            <w:webHidden/>
          </w:rPr>
          <w:instrText xml:space="preserve"> PAGEREF _Toc98939432 \h </w:instrText>
        </w:r>
        <w:r w:rsidR="00666308">
          <w:rPr>
            <w:webHidden/>
          </w:rPr>
        </w:r>
        <w:r w:rsidR="00666308">
          <w:rPr>
            <w:webHidden/>
          </w:rPr>
          <w:fldChar w:fldCharType="separate"/>
        </w:r>
        <w:r w:rsidR="00666308">
          <w:rPr>
            <w:webHidden/>
          </w:rPr>
          <w:t>12</w:t>
        </w:r>
        <w:r w:rsidR="00666308">
          <w:rPr>
            <w:webHidden/>
          </w:rPr>
          <w:fldChar w:fldCharType="end"/>
        </w:r>
      </w:hyperlink>
    </w:p>
    <w:p w14:paraId="26181C11" w14:textId="77777777" w:rsidR="00666308" w:rsidRDefault="000260C0">
      <w:pPr>
        <w:pStyle w:val="TOC1"/>
        <w:rPr>
          <w:rFonts w:eastAsiaTheme="minorEastAsia" w:cstheme="minorBidi"/>
          <w:color w:val="auto"/>
          <w:szCs w:val="22"/>
          <w:lang w:eastAsia="en-AU" w:bidi="ar-SA"/>
        </w:rPr>
      </w:pPr>
      <w:hyperlink w:anchor="_Toc98939433" w:history="1">
        <w:r w:rsidR="00666308" w:rsidRPr="00CF1663">
          <w:rPr>
            <w:rStyle w:val="Hyperlink"/>
          </w:rPr>
          <w:t>References</w:t>
        </w:r>
        <w:r w:rsidR="00666308">
          <w:rPr>
            <w:webHidden/>
          </w:rPr>
          <w:tab/>
        </w:r>
        <w:r w:rsidR="00666308">
          <w:rPr>
            <w:webHidden/>
          </w:rPr>
          <w:fldChar w:fldCharType="begin"/>
        </w:r>
        <w:r w:rsidR="00666308">
          <w:rPr>
            <w:webHidden/>
          </w:rPr>
          <w:instrText xml:space="preserve"> PAGEREF _Toc98939433 \h </w:instrText>
        </w:r>
        <w:r w:rsidR="00666308">
          <w:rPr>
            <w:webHidden/>
          </w:rPr>
        </w:r>
        <w:r w:rsidR="00666308">
          <w:rPr>
            <w:webHidden/>
          </w:rPr>
          <w:fldChar w:fldCharType="separate"/>
        </w:r>
        <w:r w:rsidR="00666308">
          <w:rPr>
            <w:webHidden/>
          </w:rPr>
          <w:t>13</w:t>
        </w:r>
        <w:r w:rsidR="00666308">
          <w:rPr>
            <w:webHidden/>
          </w:rPr>
          <w:fldChar w:fldCharType="end"/>
        </w:r>
      </w:hyperlink>
    </w:p>
    <w:p w14:paraId="158B8847" w14:textId="17DC1AD7" w:rsidR="007576F5" w:rsidRPr="004366BE" w:rsidRDefault="00BB0B3E" w:rsidP="007576F5">
      <w:r w:rsidRPr="004366BE">
        <w:rPr>
          <w:rFonts w:cs="Angsana New"/>
          <w:noProof/>
          <w:color w:val="1F3864" w:themeColor="accent1" w:themeShade="80"/>
          <w:szCs w:val="28"/>
        </w:rPr>
        <w:fldChar w:fldCharType="end"/>
      </w:r>
    </w:p>
    <w:p w14:paraId="24F7BAC6" w14:textId="47086F7C" w:rsidR="00B33FA8" w:rsidRPr="004366BE" w:rsidRDefault="00B33FA8" w:rsidP="00D47756">
      <w:pPr>
        <w:pStyle w:val="MELegal1"/>
        <w:numPr>
          <w:ilvl w:val="0"/>
          <w:numId w:val="0"/>
        </w:numPr>
      </w:pPr>
      <w:bookmarkStart w:id="7" w:name="_Toc98939420"/>
      <w:r w:rsidRPr="004366BE">
        <w:t>Figures</w:t>
      </w:r>
      <w:bookmarkEnd w:id="7"/>
    </w:p>
    <w:p w14:paraId="3B225E49" w14:textId="1508A6F5" w:rsidR="00D31C79" w:rsidRDefault="00C60529">
      <w:pPr>
        <w:pStyle w:val="TableofFigures"/>
        <w:rPr>
          <w:rFonts w:cstheme="minorBidi"/>
          <w:color w:val="auto"/>
          <w:sz w:val="24"/>
          <w:szCs w:val="24"/>
          <w:lang w:eastAsia="en-GB"/>
        </w:rPr>
      </w:pPr>
      <w:r w:rsidRPr="004366BE">
        <w:rPr>
          <w:sz w:val="21"/>
          <w:szCs w:val="21"/>
        </w:rPr>
        <w:fldChar w:fldCharType="begin"/>
      </w:r>
      <w:r w:rsidRPr="004366BE">
        <w:rPr>
          <w:sz w:val="21"/>
          <w:szCs w:val="21"/>
        </w:rPr>
        <w:instrText xml:space="preserve"> TOC \h \z \c "Figure" </w:instrText>
      </w:r>
      <w:r w:rsidRPr="004366BE">
        <w:rPr>
          <w:sz w:val="21"/>
          <w:szCs w:val="21"/>
        </w:rPr>
        <w:fldChar w:fldCharType="separate"/>
      </w:r>
      <w:hyperlink w:anchor="_Toc96943920" w:history="1">
        <w:r w:rsidR="00D31C79" w:rsidRPr="00BA6E61">
          <w:rPr>
            <w:rStyle w:val="Hyperlink"/>
            <w:lang w:bidi="th-TH"/>
          </w:rPr>
          <w:t>Figure 1 - Annual linear fluorescent lamp sales in Australia (source: ABS import data)</w:t>
        </w:r>
        <w:r w:rsidR="00D31C79">
          <w:rPr>
            <w:webHidden/>
          </w:rPr>
          <w:tab/>
        </w:r>
        <w:r w:rsidR="00D31C79">
          <w:rPr>
            <w:webHidden/>
          </w:rPr>
          <w:fldChar w:fldCharType="begin"/>
        </w:r>
        <w:r w:rsidR="00D31C79">
          <w:rPr>
            <w:webHidden/>
          </w:rPr>
          <w:instrText xml:space="preserve"> PAGEREF _Toc96943920 \h </w:instrText>
        </w:r>
        <w:r w:rsidR="00D31C79">
          <w:rPr>
            <w:webHidden/>
          </w:rPr>
        </w:r>
        <w:r w:rsidR="00D31C79">
          <w:rPr>
            <w:webHidden/>
          </w:rPr>
          <w:fldChar w:fldCharType="separate"/>
        </w:r>
        <w:r w:rsidR="00666308">
          <w:rPr>
            <w:webHidden/>
          </w:rPr>
          <w:t>2</w:t>
        </w:r>
        <w:r w:rsidR="00D31C79">
          <w:rPr>
            <w:webHidden/>
          </w:rPr>
          <w:fldChar w:fldCharType="end"/>
        </w:r>
      </w:hyperlink>
    </w:p>
    <w:p w14:paraId="3087D8C2" w14:textId="79B16D17" w:rsidR="00D31C79" w:rsidRDefault="000260C0">
      <w:pPr>
        <w:pStyle w:val="TableofFigures"/>
        <w:rPr>
          <w:rFonts w:cstheme="minorBidi"/>
          <w:color w:val="auto"/>
          <w:sz w:val="24"/>
          <w:szCs w:val="24"/>
          <w:lang w:eastAsia="en-GB"/>
        </w:rPr>
      </w:pPr>
      <w:hyperlink w:anchor="_Toc96943921" w:history="1">
        <w:r w:rsidR="00D31C79" w:rsidRPr="00BA6E61">
          <w:rPr>
            <w:rStyle w:val="Hyperlink"/>
            <w:lang w:bidi="th-TH"/>
          </w:rPr>
          <w:t>Figure 2 - Ballast sales in New Zealand (source: aggregated sales data collected by EECA)</w:t>
        </w:r>
        <w:r w:rsidR="00D31C79">
          <w:rPr>
            <w:webHidden/>
          </w:rPr>
          <w:tab/>
        </w:r>
        <w:r w:rsidR="00D31C79">
          <w:rPr>
            <w:webHidden/>
          </w:rPr>
          <w:fldChar w:fldCharType="begin"/>
        </w:r>
        <w:r w:rsidR="00D31C79">
          <w:rPr>
            <w:webHidden/>
          </w:rPr>
          <w:instrText xml:space="preserve"> PAGEREF _Toc96943921 \h </w:instrText>
        </w:r>
        <w:r w:rsidR="00D31C79">
          <w:rPr>
            <w:webHidden/>
          </w:rPr>
        </w:r>
        <w:r w:rsidR="00D31C79">
          <w:rPr>
            <w:webHidden/>
          </w:rPr>
          <w:fldChar w:fldCharType="separate"/>
        </w:r>
        <w:r w:rsidR="00666308">
          <w:rPr>
            <w:webHidden/>
          </w:rPr>
          <w:t>2</w:t>
        </w:r>
        <w:r w:rsidR="00D31C79">
          <w:rPr>
            <w:webHidden/>
          </w:rPr>
          <w:fldChar w:fldCharType="end"/>
        </w:r>
      </w:hyperlink>
    </w:p>
    <w:p w14:paraId="669353D4" w14:textId="2B78DBB6" w:rsidR="00D31C79" w:rsidRDefault="000260C0">
      <w:pPr>
        <w:pStyle w:val="TableofFigures"/>
        <w:rPr>
          <w:rFonts w:cstheme="minorBidi"/>
          <w:color w:val="auto"/>
          <w:sz w:val="24"/>
          <w:szCs w:val="24"/>
          <w:lang w:eastAsia="en-GB"/>
        </w:rPr>
      </w:pPr>
      <w:hyperlink w:anchor="_Toc96943922" w:history="1">
        <w:r w:rsidR="00D31C79" w:rsidRPr="00BA6E61">
          <w:rPr>
            <w:rStyle w:val="Hyperlink"/>
            <w:lang w:bidi="th-TH"/>
          </w:rPr>
          <w:t>Figure 3 - Estimated historical &amp; forecast ballast sales for Australia and NZ (including those incorporated in a luminaire)</w:t>
        </w:r>
        <w:r w:rsidR="00D31C79">
          <w:rPr>
            <w:webHidden/>
          </w:rPr>
          <w:tab/>
        </w:r>
        <w:r w:rsidR="00D31C79">
          <w:rPr>
            <w:webHidden/>
          </w:rPr>
          <w:fldChar w:fldCharType="begin"/>
        </w:r>
        <w:r w:rsidR="00D31C79">
          <w:rPr>
            <w:webHidden/>
          </w:rPr>
          <w:instrText xml:space="preserve"> PAGEREF _Toc96943922 \h </w:instrText>
        </w:r>
        <w:r w:rsidR="00D31C79">
          <w:rPr>
            <w:webHidden/>
          </w:rPr>
        </w:r>
        <w:r w:rsidR="00D31C79">
          <w:rPr>
            <w:webHidden/>
          </w:rPr>
          <w:fldChar w:fldCharType="separate"/>
        </w:r>
        <w:r w:rsidR="00666308">
          <w:rPr>
            <w:webHidden/>
          </w:rPr>
          <w:t>3</w:t>
        </w:r>
        <w:r w:rsidR="00D31C79">
          <w:rPr>
            <w:webHidden/>
          </w:rPr>
          <w:fldChar w:fldCharType="end"/>
        </w:r>
      </w:hyperlink>
    </w:p>
    <w:p w14:paraId="3D03E58D" w14:textId="10EE1BB2" w:rsidR="00D31C79" w:rsidRDefault="000260C0">
      <w:pPr>
        <w:pStyle w:val="TableofFigures"/>
        <w:rPr>
          <w:rFonts w:cstheme="minorBidi"/>
          <w:color w:val="auto"/>
          <w:sz w:val="24"/>
          <w:szCs w:val="24"/>
          <w:lang w:eastAsia="en-GB"/>
        </w:rPr>
      </w:pPr>
      <w:hyperlink w:anchor="_Toc96943923" w:history="1">
        <w:r w:rsidR="00D31C79" w:rsidRPr="00BA6E61">
          <w:rPr>
            <w:rStyle w:val="Hyperlink"/>
            <w:lang w:bidi="th-TH"/>
          </w:rPr>
          <w:t>Figure 4 - Share of magnetic versus electronic ballasted luminaires in Australia (source: CLASP 2014)</w:t>
        </w:r>
        <w:r w:rsidR="00D31C79">
          <w:rPr>
            <w:webHidden/>
          </w:rPr>
          <w:tab/>
        </w:r>
        <w:r w:rsidR="00D31C79">
          <w:rPr>
            <w:webHidden/>
          </w:rPr>
          <w:fldChar w:fldCharType="begin"/>
        </w:r>
        <w:r w:rsidR="00D31C79">
          <w:rPr>
            <w:webHidden/>
          </w:rPr>
          <w:instrText xml:space="preserve"> PAGEREF _Toc96943923 \h </w:instrText>
        </w:r>
        <w:r w:rsidR="00D31C79">
          <w:rPr>
            <w:webHidden/>
          </w:rPr>
        </w:r>
        <w:r w:rsidR="00D31C79">
          <w:rPr>
            <w:webHidden/>
          </w:rPr>
          <w:fldChar w:fldCharType="separate"/>
        </w:r>
        <w:r w:rsidR="00666308">
          <w:rPr>
            <w:webHidden/>
          </w:rPr>
          <w:t>3</w:t>
        </w:r>
        <w:r w:rsidR="00D31C79">
          <w:rPr>
            <w:webHidden/>
          </w:rPr>
          <w:fldChar w:fldCharType="end"/>
        </w:r>
      </w:hyperlink>
    </w:p>
    <w:p w14:paraId="598A1D86" w14:textId="06AC2670" w:rsidR="00D31C79" w:rsidRDefault="000260C0">
      <w:pPr>
        <w:pStyle w:val="TableofFigures"/>
        <w:rPr>
          <w:rFonts w:cstheme="minorBidi"/>
          <w:color w:val="auto"/>
          <w:sz w:val="24"/>
          <w:szCs w:val="24"/>
          <w:lang w:eastAsia="en-GB"/>
        </w:rPr>
      </w:pPr>
      <w:hyperlink w:anchor="_Toc96943924" w:history="1">
        <w:r w:rsidR="00D31C79" w:rsidRPr="00BA6E61">
          <w:rPr>
            <w:rStyle w:val="Hyperlink"/>
            <w:lang w:bidi="th-TH"/>
          </w:rPr>
          <w:t>Figure 5 - Ballast MEPS registrations in Australia (source: GEMS registration database)</w:t>
        </w:r>
        <w:r w:rsidR="00D31C79">
          <w:rPr>
            <w:webHidden/>
          </w:rPr>
          <w:tab/>
        </w:r>
        <w:r w:rsidR="00D31C79">
          <w:rPr>
            <w:webHidden/>
          </w:rPr>
          <w:fldChar w:fldCharType="begin"/>
        </w:r>
        <w:r w:rsidR="00D31C79">
          <w:rPr>
            <w:webHidden/>
          </w:rPr>
          <w:instrText xml:space="preserve"> PAGEREF _Toc96943924 \h </w:instrText>
        </w:r>
        <w:r w:rsidR="00D31C79">
          <w:rPr>
            <w:webHidden/>
          </w:rPr>
        </w:r>
        <w:r w:rsidR="00D31C79">
          <w:rPr>
            <w:webHidden/>
          </w:rPr>
          <w:fldChar w:fldCharType="separate"/>
        </w:r>
        <w:r w:rsidR="00666308">
          <w:rPr>
            <w:webHidden/>
          </w:rPr>
          <w:t>4</w:t>
        </w:r>
        <w:r w:rsidR="00D31C79">
          <w:rPr>
            <w:webHidden/>
          </w:rPr>
          <w:fldChar w:fldCharType="end"/>
        </w:r>
      </w:hyperlink>
    </w:p>
    <w:p w14:paraId="229B8C93" w14:textId="607F2BA9" w:rsidR="00D31C79" w:rsidRDefault="000260C0">
      <w:pPr>
        <w:pStyle w:val="TableofFigures"/>
        <w:rPr>
          <w:rFonts w:cstheme="minorBidi"/>
          <w:color w:val="auto"/>
          <w:sz w:val="24"/>
          <w:szCs w:val="24"/>
          <w:lang w:eastAsia="en-GB"/>
        </w:rPr>
      </w:pPr>
      <w:hyperlink w:anchor="_Toc96943925" w:history="1">
        <w:r w:rsidR="00D31C79" w:rsidRPr="00BA6E61">
          <w:rPr>
            <w:rStyle w:val="Hyperlink"/>
            <w:lang w:bidi="th-TH"/>
          </w:rPr>
          <w:t>Figure 6 - Estimated energy wastage from repeal of ballast regulations</w:t>
        </w:r>
        <w:r w:rsidR="00D31C79">
          <w:rPr>
            <w:webHidden/>
          </w:rPr>
          <w:tab/>
        </w:r>
        <w:r w:rsidR="00D31C79">
          <w:rPr>
            <w:webHidden/>
          </w:rPr>
          <w:fldChar w:fldCharType="begin"/>
        </w:r>
        <w:r w:rsidR="00D31C79">
          <w:rPr>
            <w:webHidden/>
          </w:rPr>
          <w:instrText xml:space="preserve"> PAGEREF _Toc96943925 \h </w:instrText>
        </w:r>
        <w:r w:rsidR="00D31C79">
          <w:rPr>
            <w:webHidden/>
          </w:rPr>
        </w:r>
        <w:r w:rsidR="00D31C79">
          <w:rPr>
            <w:webHidden/>
          </w:rPr>
          <w:fldChar w:fldCharType="separate"/>
        </w:r>
        <w:r w:rsidR="00666308">
          <w:rPr>
            <w:webHidden/>
          </w:rPr>
          <w:t>5</w:t>
        </w:r>
        <w:r w:rsidR="00D31C79">
          <w:rPr>
            <w:webHidden/>
          </w:rPr>
          <w:fldChar w:fldCharType="end"/>
        </w:r>
      </w:hyperlink>
    </w:p>
    <w:p w14:paraId="446CB6A6" w14:textId="242BBFD1" w:rsidR="00D31C79" w:rsidRDefault="000260C0">
      <w:pPr>
        <w:pStyle w:val="TableofFigures"/>
        <w:rPr>
          <w:rFonts w:cstheme="minorBidi"/>
          <w:color w:val="auto"/>
          <w:sz w:val="24"/>
          <w:szCs w:val="24"/>
          <w:lang w:eastAsia="en-GB"/>
        </w:rPr>
      </w:pPr>
      <w:hyperlink w:anchor="_Toc96943926" w:history="1">
        <w:r w:rsidR="00D31C79" w:rsidRPr="00BA6E61">
          <w:rPr>
            <w:rStyle w:val="Hyperlink"/>
            <w:lang w:bidi="th-TH"/>
          </w:rPr>
          <w:t>Figure 7 - Estimated additional GHG emissions from repeal of ballast regulations</w:t>
        </w:r>
        <w:r w:rsidR="00D31C79">
          <w:rPr>
            <w:webHidden/>
          </w:rPr>
          <w:tab/>
        </w:r>
        <w:r w:rsidR="00D31C79">
          <w:rPr>
            <w:webHidden/>
          </w:rPr>
          <w:fldChar w:fldCharType="begin"/>
        </w:r>
        <w:r w:rsidR="00D31C79">
          <w:rPr>
            <w:webHidden/>
          </w:rPr>
          <w:instrText xml:space="preserve"> PAGEREF _Toc96943926 \h </w:instrText>
        </w:r>
        <w:r w:rsidR="00D31C79">
          <w:rPr>
            <w:webHidden/>
          </w:rPr>
        </w:r>
        <w:r w:rsidR="00D31C79">
          <w:rPr>
            <w:webHidden/>
          </w:rPr>
          <w:fldChar w:fldCharType="separate"/>
        </w:r>
        <w:r w:rsidR="00666308">
          <w:rPr>
            <w:webHidden/>
          </w:rPr>
          <w:t>5</w:t>
        </w:r>
        <w:r w:rsidR="00D31C79">
          <w:rPr>
            <w:webHidden/>
          </w:rPr>
          <w:fldChar w:fldCharType="end"/>
        </w:r>
      </w:hyperlink>
    </w:p>
    <w:p w14:paraId="19A7D094" w14:textId="213F8BD9" w:rsidR="00D31C79" w:rsidRDefault="000260C0">
      <w:pPr>
        <w:pStyle w:val="TableofFigures"/>
        <w:rPr>
          <w:rFonts w:cstheme="minorBidi"/>
          <w:color w:val="auto"/>
          <w:sz w:val="24"/>
          <w:szCs w:val="24"/>
          <w:lang w:eastAsia="en-GB"/>
        </w:rPr>
      </w:pPr>
      <w:hyperlink w:anchor="_Toc96943927" w:history="1">
        <w:r w:rsidR="00D31C79" w:rsidRPr="00BA6E61">
          <w:rPr>
            <w:rStyle w:val="Hyperlink"/>
            <w:lang w:bidi="th-TH"/>
          </w:rPr>
          <w:t>Figure 8 - MEPS requirement for ELVCs (Australia)</w:t>
        </w:r>
        <w:r w:rsidR="00D31C79">
          <w:rPr>
            <w:webHidden/>
          </w:rPr>
          <w:tab/>
        </w:r>
        <w:r w:rsidR="00D31C79">
          <w:rPr>
            <w:webHidden/>
          </w:rPr>
          <w:fldChar w:fldCharType="begin"/>
        </w:r>
        <w:r w:rsidR="00D31C79">
          <w:rPr>
            <w:webHidden/>
          </w:rPr>
          <w:instrText xml:space="preserve"> PAGEREF _Toc96943927 \h </w:instrText>
        </w:r>
        <w:r w:rsidR="00D31C79">
          <w:rPr>
            <w:webHidden/>
          </w:rPr>
        </w:r>
        <w:r w:rsidR="00D31C79">
          <w:rPr>
            <w:webHidden/>
          </w:rPr>
          <w:fldChar w:fldCharType="separate"/>
        </w:r>
        <w:r w:rsidR="00666308">
          <w:rPr>
            <w:webHidden/>
          </w:rPr>
          <w:t>6</w:t>
        </w:r>
        <w:r w:rsidR="00D31C79">
          <w:rPr>
            <w:webHidden/>
          </w:rPr>
          <w:fldChar w:fldCharType="end"/>
        </w:r>
      </w:hyperlink>
    </w:p>
    <w:p w14:paraId="55F9822D" w14:textId="436DF1E2" w:rsidR="00D31C79" w:rsidRDefault="000260C0">
      <w:pPr>
        <w:pStyle w:val="TableofFigures"/>
        <w:rPr>
          <w:rFonts w:cstheme="minorBidi"/>
          <w:color w:val="auto"/>
          <w:sz w:val="24"/>
          <w:szCs w:val="24"/>
          <w:lang w:eastAsia="en-GB"/>
        </w:rPr>
      </w:pPr>
      <w:hyperlink w:anchor="_Toc96943928" w:history="1">
        <w:r w:rsidR="00D31C79" w:rsidRPr="00BA6E61">
          <w:rPr>
            <w:rStyle w:val="Hyperlink"/>
            <w:lang w:bidi="th-TH"/>
          </w:rPr>
          <w:t>Figure 9 - ELV halogen lamp sales in Australia (source: ABS import data)</w:t>
        </w:r>
        <w:r w:rsidR="00D31C79">
          <w:rPr>
            <w:webHidden/>
          </w:rPr>
          <w:tab/>
        </w:r>
        <w:r w:rsidR="00D31C79">
          <w:rPr>
            <w:webHidden/>
          </w:rPr>
          <w:fldChar w:fldCharType="begin"/>
        </w:r>
        <w:r w:rsidR="00D31C79">
          <w:rPr>
            <w:webHidden/>
          </w:rPr>
          <w:instrText xml:space="preserve"> PAGEREF _Toc96943928 \h </w:instrText>
        </w:r>
        <w:r w:rsidR="00D31C79">
          <w:rPr>
            <w:webHidden/>
          </w:rPr>
        </w:r>
        <w:r w:rsidR="00D31C79">
          <w:rPr>
            <w:webHidden/>
          </w:rPr>
          <w:fldChar w:fldCharType="separate"/>
        </w:r>
        <w:r w:rsidR="00666308">
          <w:rPr>
            <w:webHidden/>
          </w:rPr>
          <w:t>7</w:t>
        </w:r>
        <w:r w:rsidR="00D31C79">
          <w:rPr>
            <w:webHidden/>
          </w:rPr>
          <w:fldChar w:fldCharType="end"/>
        </w:r>
      </w:hyperlink>
    </w:p>
    <w:p w14:paraId="6003CBF7" w14:textId="62DD7E1B" w:rsidR="00D31C79" w:rsidRDefault="000260C0">
      <w:pPr>
        <w:pStyle w:val="TableofFigures"/>
        <w:rPr>
          <w:rFonts w:cstheme="minorBidi"/>
          <w:color w:val="auto"/>
          <w:sz w:val="24"/>
          <w:szCs w:val="24"/>
          <w:lang w:eastAsia="en-GB"/>
        </w:rPr>
      </w:pPr>
      <w:hyperlink w:anchor="_Toc96943929" w:history="1">
        <w:r w:rsidR="00D31C79" w:rsidRPr="00BA6E61">
          <w:rPr>
            <w:rStyle w:val="Hyperlink"/>
            <w:lang w:bidi="th-TH"/>
          </w:rPr>
          <w:t>Figure 10 - Estimated aggregated sales of ELVCs in New Zealand (source: based on limited sales data collected by EECA)</w:t>
        </w:r>
        <w:r w:rsidR="00D31C79">
          <w:rPr>
            <w:webHidden/>
          </w:rPr>
          <w:tab/>
        </w:r>
        <w:r w:rsidR="00D31C79">
          <w:rPr>
            <w:webHidden/>
          </w:rPr>
          <w:fldChar w:fldCharType="begin"/>
        </w:r>
        <w:r w:rsidR="00D31C79">
          <w:rPr>
            <w:webHidden/>
          </w:rPr>
          <w:instrText xml:space="preserve"> PAGEREF _Toc96943929 \h </w:instrText>
        </w:r>
        <w:r w:rsidR="00D31C79">
          <w:rPr>
            <w:webHidden/>
          </w:rPr>
        </w:r>
        <w:r w:rsidR="00D31C79">
          <w:rPr>
            <w:webHidden/>
          </w:rPr>
          <w:fldChar w:fldCharType="separate"/>
        </w:r>
        <w:r w:rsidR="00666308">
          <w:rPr>
            <w:webHidden/>
          </w:rPr>
          <w:t>7</w:t>
        </w:r>
        <w:r w:rsidR="00D31C79">
          <w:rPr>
            <w:webHidden/>
          </w:rPr>
          <w:fldChar w:fldCharType="end"/>
        </w:r>
      </w:hyperlink>
    </w:p>
    <w:p w14:paraId="0CB4B7D9" w14:textId="735C0A9C" w:rsidR="00D31C79" w:rsidRDefault="000260C0">
      <w:pPr>
        <w:pStyle w:val="TableofFigures"/>
        <w:rPr>
          <w:rFonts w:cstheme="minorBidi"/>
          <w:color w:val="auto"/>
          <w:sz w:val="24"/>
          <w:szCs w:val="24"/>
          <w:lang w:eastAsia="en-GB"/>
        </w:rPr>
      </w:pPr>
      <w:hyperlink w:anchor="_Toc96943930" w:history="1">
        <w:r w:rsidR="00D31C79" w:rsidRPr="00BA6E61">
          <w:rPr>
            <w:rStyle w:val="Hyperlink"/>
            <w:lang w:bidi="th-TH"/>
          </w:rPr>
          <w:t>Figure 11 - Estimated historical and forecast annual ELVC sales in Australia</w:t>
        </w:r>
        <w:r w:rsidR="00D31C79">
          <w:rPr>
            <w:webHidden/>
          </w:rPr>
          <w:tab/>
        </w:r>
        <w:r w:rsidR="00D31C79">
          <w:rPr>
            <w:webHidden/>
          </w:rPr>
          <w:fldChar w:fldCharType="begin"/>
        </w:r>
        <w:r w:rsidR="00D31C79">
          <w:rPr>
            <w:webHidden/>
          </w:rPr>
          <w:instrText xml:space="preserve"> PAGEREF _Toc96943930 \h </w:instrText>
        </w:r>
        <w:r w:rsidR="00D31C79">
          <w:rPr>
            <w:webHidden/>
          </w:rPr>
        </w:r>
        <w:r w:rsidR="00D31C79">
          <w:rPr>
            <w:webHidden/>
          </w:rPr>
          <w:fldChar w:fldCharType="separate"/>
        </w:r>
        <w:r w:rsidR="00666308">
          <w:rPr>
            <w:webHidden/>
          </w:rPr>
          <w:t>8</w:t>
        </w:r>
        <w:r w:rsidR="00D31C79">
          <w:rPr>
            <w:webHidden/>
          </w:rPr>
          <w:fldChar w:fldCharType="end"/>
        </w:r>
      </w:hyperlink>
    </w:p>
    <w:p w14:paraId="0BFDAFA4" w14:textId="13962B8D" w:rsidR="00D31C79" w:rsidRDefault="000260C0">
      <w:pPr>
        <w:pStyle w:val="TableofFigures"/>
        <w:rPr>
          <w:rFonts w:cstheme="minorBidi"/>
          <w:color w:val="auto"/>
          <w:sz w:val="24"/>
          <w:szCs w:val="24"/>
          <w:lang w:eastAsia="en-GB"/>
        </w:rPr>
      </w:pPr>
      <w:hyperlink w:anchor="_Toc96943931" w:history="1">
        <w:r w:rsidR="00D31C79" w:rsidRPr="00BA6E61">
          <w:rPr>
            <w:rStyle w:val="Hyperlink"/>
            <w:lang w:bidi="th-TH"/>
          </w:rPr>
          <w:t>Figure 12 - Numbers of new registrations of ELVCs in Australia</w:t>
        </w:r>
        <w:r w:rsidR="00D31C79">
          <w:rPr>
            <w:webHidden/>
          </w:rPr>
          <w:tab/>
        </w:r>
        <w:r w:rsidR="00D31C79">
          <w:rPr>
            <w:webHidden/>
          </w:rPr>
          <w:fldChar w:fldCharType="begin"/>
        </w:r>
        <w:r w:rsidR="00D31C79">
          <w:rPr>
            <w:webHidden/>
          </w:rPr>
          <w:instrText xml:space="preserve"> PAGEREF _Toc96943931 \h </w:instrText>
        </w:r>
        <w:r w:rsidR="00D31C79">
          <w:rPr>
            <w:webHidden/>
          </w:rPr>
        </w:r>
        <w:r w:rsidR="00D31C79">
          <w:rPr>
            <w:webHidden/>
          </w:rPr>
          <w:fldChar w:fldCharType="separate"/>
        </w:r>
        <w:r w:rsidR="00666308">
          <w:rPr>
            <w:webHidden/>
          </w:rPr>
          <w:t>9</w:t>
        </w:r>
        <w:r w:rsidR="00D31C79">
          <w:rPr>
            <w:webHidden/>
          </w:rPr>
          <w:fldChar w:fldCharType="end"/>
        </w:r>
      </w:hyperlink>
    </w:p>
    <w:p w14:paraId="1E47D5B6" w14:textId="2173014F" w:rsidR="00D31C79" w:rsidRDefault="000260C0">
      <w:pPr>
        <w:pStyle w:val="TableofFigures"/>
        <w:rPr>
          <w:rFonts w:cstheme="minorBidi"/>
          <w:color w:val="auto"/>
          <w:sz w:val="24"/>
          <w:szCs w:val="24"/>
          <w:lang w:eastAsia="en-GB"/>
        </w:rPr>
      </w:pPr>
      <w:hyperlink w:anchor="_Toc96943932" w:history="1">
        <w:r w:rsidR="00D31C79" w:rsidRPr="00BA6E61">
          <w:rPr>
            <w:rStyle w:val="Hyperlink"/>
            <w:lang w:bidi="th-TH"/>
          </w:rPr>
          <w:t>Figure 13 -  Estimated energy wastage from repeal of ELVC regulations</w:t>
        </w:r>
        <w:r w:rsidR="00D31C79">
          <w:rPr>
            <w:webHidden/>
          </w:rPr>
          <w:tab/>
        </w:r>
        <w:r w:rsidR="00D31C79">
          <w:rPr>
            <w:webHidden/>
          </w:rPr>
          <w:fldChar w:fldCharType="begin"/>
        </w:r>
        <w:r w:rsidR="00D31C79">
          <w:rPr>
            <w:webHidden/>
          </w:rPr>
          <w:instrText xml:space="preserve"> PAGEREF _Toc96943932 \h </w:instrText>
        </w:r>
        <w:r w:rsidR="00D31C79">
          <w:rPr>
            <w:webHidden/>
          </w:rPr>
        </w:r>
        <w:r w:rsidR="00D31C79">
          <w:rPr>
            <w:webHidden/>
          </w:rPr>
          <w:fldChar w:fldCharType="separate"/>
        </w:r>
        <w:r w:rsidR="00666308">
          <w:rPr>
            <w:webHidden/>
          </w:rPr>
          <w:t>10</w:t>
        </w:r>
        <w:r w:rsidR="00D31C79">
          <w:rPr>
            <w:webHidden/>
          </w:rPr>
          <w:fldChar w:fldCharType="end"/>
        </w:r>
      </w:hyperlink>
    </w:p>
    <w:p w14:paraId="44DE6442" w14:textId="532C5B05" w:rsidR="00D31C79" w:rsidRDefault="000260C0">
      <w:pPr>
        <w:pStyle w:val="TableofFigures"/>
        <w:rPr>
          <w:rFonts w:cstheme="minorBidi"/>
          <w:color w:val="auto"/>
          <w:sz w:val="24"/>
          <w:szCs w:val="24"/>
          <w:lang w:eastAsia="en-GB"/>
        </w:rPr>
      </w:pPr>
      <w:hyperlink w:anchor="_Toc96943933" w:history="1">
        <w:r w:rsidR="00D31C79" w:rsidRPr="00BA6E61">
          <w:rPr>
            <w:rStyle w:val="Hyperlink"/>
            <w:lang w:bidi="th-TH"/>
          </w:rPr>
          <w:t>Figure 14 - Estimated additional GHG emissions from repeal of ELVC regulations</w:t>
        </w:r>
        <w:r w:rsidR="00D31C79">
          <w:rPr>
            <w:webHidden/>
          </w:rPr>
          <w:tab/>
        </w:r>
        <w:r w:rsidR="00D31C79">
          <w:rPr>
            <w:webHidden/>
          </w:rPr>
          <w:fldChar w:fldCharType="begin"/>
        </w:r>
        <w:r w:rsidR="00D31C79">
          <w:rPr>
            <w:webHidden/>
          </w:rPr>
          <w:instrText xml:space="preserve"> PAGEREF _Toc96943933 \h </w:instrText>
        </w:r>
        <w:r w:rsidR="00D31C79">
          <w:rPr>
            <w:webHidden/>
          </w:rPr>
        </w:r>
        <w:r w:rsidR="00D31C79">
          <w:rPr>
            <w:webHidden/>
          </w:rPr>
          <w:fldChar w:fldCharType="separate"/>
        </w:r>
        <w:r w:rsidR="00666308">
          <w:rPr>
            <w:webHidden/>
          </w:rPr>
          <w:t>10</w:t>
        </w:r>
        <w:r w:rsidR="00D31C79">
          <w:rPr>
            <w:webHidden/>
          </w:rPr>
          <w:fldChar w:fldCharType="end"/>
        </w:r>
      </w:hyperlink>
    </w:p>
    <w:p w14:paraId="22B91A36" w14:textId="3882E1E1" w:rsidR="00D31C79" w:rsidRDefault="000260C0">
      <w:pPr>
        <w:pStyle w:val="TableofFigures"/>
        <w:rPr>
          <w:rFonts w:cstheme="minorBidi"/>
          <w:color w:val="auto"/>
          <w:sz w:val="24"/>
          <w:szCs w:val="24"/>
          <w:lang w:eastAsia="en-GB"/>
        </w:rPr>
      </w:pPr>
      <w:hyperlink w:anchor="_Toc96943934" w:history="1">
        <w:r w:rsidR="00D31C79" w:rsidRPr="00BA6E61">
          <w:rPr>
            <w:rStyle w:val="Hyperlink"/>
            <w:lang w:bidi="th-TH"/>
          </w:rPr>
          <w:t>Figure 15 - Historical copper price (source: macrotrends.net)</w:t>
        </w:r>
        <w:r w:rsidR="00D31C79">
          <w:rPr>
            <w:webHidden/>
          </w:rPr>
          <w:tab/>
        </w:r>
        <w:r w:rsidR="00D31C79">
          <w:rPr>
            <w:webHidden/>
          </w:rPr>
          <w:fldChar w:fldCharType="begin"/>
        </w:r>
        <w:r w:rsidR="00D31C79">
          <w:rPr>
            <w:webHidden/>
          </w:rPr>
          <w:instrText xml:space="preserve"> PAGEREF _Toc96943934 \h </w:instrText>
        </w:r>
        <w:r w:rsidR="00D31C79">
          <w:rPr>
            <w:webHidden/>
          </w:rPr>
        </w:r>
        <w:r w:rsidR="00D31C79">
          <w:rPr>
            <w:webHidden/>
          </w:rPr>
          <w:fldChar w:fldCharType="separate"/>
        </w:r>
        <w:r w:rsidR="00666308">
          <w:rPr>
            <w:webHidden/>
          </w:rPr>
          <w:t>11</w:t>
        </w:r>
        <w:r w:rsidR="00D31C79">
          <w:rPr>
            <w:webHidden/>
          </w:rPr>
          <w:fldChar w:fldCharType="end"/>
        </w:r>
      </w:hyperlink>
    </w:p>
    <w:p w14:paraId="2376C907" w14:textId="322F421D" w:rsidR="00B33FA8" w:rsidRPr="004366BE" w:rsidRDefault="00C60529" w:rsidP="00B33FA8">
      <w:pPr>
        <w:sectPr w:rsidR="00B33FA8" w:rsidRPr="004366BE" w:rsidSect="00752BFD">
          <w:footerReference w:type="even" r:id="rId13"/>
          <w:pgSz w:w="11900" w:h="16840"/>
          <w:pgMar w:top="1134" w:right="1418" w:bottom="851" w:left="1418" w:header="709" w:footer="567" w:gutter="0"/>
          <w:cols w:space="708"/>
          <w:docGrid w:linePitch="360"/>
        </w:sectPr>
      </w:pPr>
      <w:r w:rsidRPr="004366BE">
        <w:rPr>
          <w:sz w:val="21"/>
          <w:szCs w:val="21"/>
        </w:rPr>
        <w:fldChar w:fldCharType="end"/>
      </w:r>
    </w:p>
    <w:p w14:paraId="1F0AE1A5" w14:textId="77777777" w:rsidR="006960BA" w:rsidRPr="004366BE" w:rsidRDefault="006960BA" w:rsidP="008F624C">
      <w:pPr>
        <w:pStyle w:val="MELegal1"/>
      </w:pPr>
      <w:bookmarkStart w:id="8" w:name="_Toc98939421"/>
      <w:r w:rsidRPr="004366BE">
        <w:lastRenderedPageBreak/>
        <w:t>Introduction</w:t>
      </w:r>
      <w:bookmarkEnd w:id="8"/>
    </w:p>
    <w:p w14:paraId="7F7F3115" w14:textId="77777777" w:rsidR="00D76068" w:rsidRPr="004366BE" w:rsidRDefault="00D76068" w:rsidP="00D76068">
      <w:pPr>
        <w:pStyle w:val="BodyText"/>
        <w:rPr>
          <w:lang w:val="en-AU"/>
        </w:rPr>
      </w:pPr>
      <w:r w:rsidRPr="004366BE">
        <w:rPr>
          <w:lang w:val="en-AU"/>
        </w:rPr>
        <w:t>The purpose of this review is to conclude if the GEMS Determinations for fluorescent ballasts and extra low voltage (ELV) lighting converters a</w:t>
      </w:r>
      <w:r w:rsidR="008E4D42">
        <w:rPr>
          <w:lang w:val="en-AU"/>
        </w:rPr>
        <w:t>re still efficient and effective</w:t>
      </w:r>
      <w:r w:rsidRPr="004366BE">
        <w:rPr>
          <w:lang w:val="en-AU"/>
        </w:rPr>
        <w:t>.  The following criteria are used in making th</w:t>
      </w:r>
      <w:r w:rsidR="00997987" w:rsidRPr="004366BE">
        <w:rPr>
          <w:lang w:val="en-AU"/>
        </w:rPr>
        <w:t>is</w:t>
      </w:r>
      <w:r w:rsidRPr="004366BE">
        <w:rPr>
          <w:lang w:val="en-AU"/>
        </w:rPr>
        <w:t xml:space="preserve"> conclusion</w:t>
      </w:r>
      <w:r w:rsidR="00997987" w:rsidRPr="004366BE">
        <w:rPr>
          <w:lang w:val="en-AU"/>
        </w:rPr>
        <w:t xml:space="preserve"> for each </w:t>
      </w:r>
      <w:r w:rsidR="004C2474" w:rsidRPr="004366BE">
        <w:rPr>
          <w:lang w:val="en-AU"/>
        </w:rPr>
        <w:t xml:space="preserve">of these </w:t>
      </w:r>
      <w:r w:rsidR="00997987" w:rsidRPr="004366BE">
        <w:rPr>
          <w:lang w:val="en-AU"/>
        </w:rPr>
        <w:t>product</w:t>
      </w:r>
      <w:r w:rsidR="004C2474" w:rsidRPr="004366BE">
        <w:rPr>
          <w:lang w:val="en-AU"/>
        </w:rPr>
        <w:t>s</w:t>
      </w:r>
      <w:r w:rsidRPr="004366BE">
        <w:rPr>
          <w:lang w:val="en-AU"/>
        </w:rPr>
        <w:t>:</w:t>
      </w:r>
    </w:p>
    <w:p w14:paraId="4D8AF108" w14:textId="77777777" w:rsidR="00D76068" w:rsidRPr="004366BE" w:rsidRDefault="00D76068" w:rsidP="00D76068">
      <w:pPr>
        <w:pStyle w:val="BodyText"/>
        <w:numPr>
          <w:ilvl w:val="0"/>
          <w:numId w:val="19"/>
        </w:numPr>
        <w:rPr>
          <w:lang w:val="en-AU"/>
        </w:rPr>
      </w:pPr>
      <w:r w:rsidRPr="004366BE">
        <w:rPr>
          <w:lang w:val="en-AU"/>
        </w:rPr>
        <w:t>Has there been a significant change in registration numbers and sales</w:t>
      </w:r>
      <w:r w:rsidR="004C2474" w:rsidRPr="004366BE">
        <w:rPr>
          <w:lang w:val="en-AU"/>
        </w:rPr>
        <w:t xml:space="preserve"> quantities</w:t>
      </w:r>
      <w:r w:rsidRPr="004366BE">
        <w:rPr>
          <w:lang w:val="en-AU"/>
        </w:rPr>
        <w:t>?</w:t>
      </w:r>
    </w:p>
    <w:p w14:paraId="664DAA3A" w14:textId="77777777" w:rsidR="00D76068" w:rsidRPr="004366BE" w:rsidRDefault="00D76068" w:rsidP="00D76068">
      <w:pPr>
        <w:pStyle w:val="BodyText"/>
        <w:numPr>
          <w:ilvl w:val="1"/>
          <w:numId w:val="19"/>
        </w:numPr>
        <w:rPr>
          <w:lang w:val="en-AU"/>
        </w:rPr>
      </w:pPr>
      <w:r w:rsidRPr="004366BE">
        <w:rPr>
          <w:lang w:val="en-AU"/>
        </w:rPr>
        <w:t>This can provide information on shifts in the market over time and whether the product</w:t>
      </w:r>
      <w:r w:rsidR="00B10ACC" w:rsidRPr="004366BE">
        <w:rPr>
          <w:lang w:val="en-AU"/>
        </w:rPr>
        <w:t>s</w:t>
      </w:r>
      <w:r w:rsidRPr="004366BE">
        <w:rPr>
          <w:lang w:val="en-AU"/>
        </w:rPr>
        <w:t xml:space="preserve"> </w:t>
      </w:r>
      <w:r w:rsidR="00B10ACC" w:rsidRPr="004366BE">
        <w:rPr>
          <w:lang w:val="en-AU"/>
        </w:rPr>
        <w:t>are</w:t>
      </w:r>
      <w:r w:rsidRPr="004366BE">
        <w:rPr>
          <w:lang w:val="en-AU"/>
        </w:rPr>
        <w:t xml:space="preserve"> becoming obsolete.</w:t>
      </w:r>
    </w:p>
    <w:p w14:paraId="4C88699B" w14:textId="77777777" w:rsidR="00D76068" w:rsidRPr="004366BE" w:rsidRDefault="00B10ACC" w:rsidP="00D76068">
      <w:pPr>
        <w:pStyle w:val="BodyText"/>
        <w:numPr>
          <w:ilvl w:val="0"/>
          <w:numId w:val="19"/>
        </w:numPr>
        <w:rPr>
          <w:lang w:val="en-AU"/>
        </w:rPr>
      </w:pPr>
      <w:r w:rsidRPr="004366BE">
        <w:rPr>
          <w:lang w:val="en-AU"/>
        </w:rPr>
        <w:t xml:space="preserve">Are </w:t>
      </w:r>
      <w:r w:rsidR="00D76068" w:rsidRPr="004366BE">
        <w:rPr>
          <w:lang w:val="en-AU"/>
        </w:rPr>
        <w:t>the determination</w:t>
      </w:r>
      <w:r w:rsidRPr="004366BE">
        <w:rPr>
          <w:lang w:val="en-AU"/>
        </w:rPr>
        <w:t>s</w:t>
      </w:r>
      <w:r w:rsidR="00D76068" w:rsidRPr="004366BE">
        <w:rPr>
          <w:lang w:val="en-AU"/>
        </w:rPr>
        <w:t xml:space="preserve"> still reducing energy use and greenhouse gas emissions?</w:t>
      </w:r>
    </w:p>
    <w:p w14:paraId="284846C9" w14:textId="77777777" w:rsidR="00D76068" w:rsidRPr="004366BE" w:rsidRDefault="00D76068" w:rsidP="00D76068">
      <w:pPr>
        <w:pStyle w:val="BodyText"/>
        <w:numPr>
          <w:ilvl w:val="0"/>
          <w:numId w:val="19"/>
        </w:numPr>
        <w:rPr>
          <w:lang w:val="en-AU"/>
        </w:rPr>
      </w:pPr>
      <w:r w:rsidRPr="004366BE">
        <w:rPr>
          <w:lang w:val="en-AU"/>
        </w:rPr>
        <w:t>Are the financial benefits higher than the regulatory costs of the determination</w:t>
      </w:r>
      <w:r w:rsidR="00B10ACC" w:rsidRPr="004366BE">
        <w:rPr>
          <w:lang w:val="en-AU"/>
        </w:rPr>
        <w:t>s</w:t>
      </w:r>
      <w:r w:rsidRPr="004366BE">
        <w:rPr>
          <w:lang w:val="en-AU"/>
        </w:rPr>
        <w:t>?</w:t>
      </w:r>
    </w:p>
    <w:p w14:paraId="77D060F0" w14:textId="77777777" w:rsidR="00D76068" w:rsidRDefault="00D76068" w:rsidP="00D76068">
      <w:pPr>
        <w:pStyle w:val="BodyText"/>
        <w:numPr>
          <w:ilvl w:val="0"/>
          <w:numId w:val="19"/>
        </w:numPr>
        <w:rPr>
          <w:lang w:val="en-AU"/>
        </w:rPr>
      </w:pPr>
      <w:r w:rsidRPr="004366BE">
        <w:rPr>
          <w:lang w:val="en-AU"/>
        </w:rPr>
        <w:t>If the determination is repealed, is there a risk that imports with lower energy efficiency will enter the market?</w:t>
      </w:r>
    </w:p>
    <w:p w14:paraId="1023C1D0" w14:textId="79EEE942" w:rsidR="00A10573" w:rsidRPr="004366BE" w:rsidRDefault="00A10573" w:rsidP="00D76068">
      <w:pPr>
        <w:pStyle w:val="BodyText"/>
        <w:numPr>
          <w:ilvl w:val="0"/>
          <w:numId w:val="19"/>
        </w:numPr>
        <w:rPr>
          <w:lang w:val="en-AU"/>
        </w:rPr>
      </w:pPr>
      <w:r>
        <w:rPr>
          <w:lang w:val="en-AU"/>
        </w:rPr>
        <w:t xml:space="preserve">Could the </w:t>
      </w:r>
      <w:r w:rsidR="009D3766">
        <w:rPr>
          <w:lang w:val="en-AU"/>
        </w:rPr>
        <w:t>d</w:t>
      </w:r>
      <w:r>
        <w:rPr>
          <w:lang w:val="en-AU"/>
        </w:rPr>
        <w:t xml:space="preserve">etermination be </w:t>
      </w:r>
      <w:r w:rsidRPr="00A10573">
        <w:rPr>
          <w:lang w:val="en-AU"/>
        </w:rPr>
        <w:t>changed to expand the scope and increase the minimum energy performance standards</w:t>
      </w:r>
      <w:r>
        <w:rPr>
          <w:lang w:val="en-AU"/>
        </w:rPr>
        <w:t>?</w:t>
      </w:r>
    </w:p>
    <w:p w14:paraId="46CF0E52" w14:textId="77777777" w:rsidR="00942C96" w:rsidRPr="004366BE" w:rsidRDefault="004C2474">
      <w:pPr>
        <w:spacing w:after="0"/>
      </w:pPr>
      <w:r w:rsidRPr="004366BE">
        <w:t>These criteria and associated issues are addressed in the following sections.</w:t>
      </w:r>
    </w:p>
    <w:p w14:paraId="10653DC1" w14:textId="77777777" w:rsidR="00762EC0" w:rsidRPr="004366BE" w:rsidRDefault="00F74ED9" w:rsidP="00762EC0">
      <w:pPr>
        <w:pStyle w:val="MELegal1"/>
      </w:pPr>
      <w:bookmarkStart w:id="9" w:name="_Toc98939422"/>
      <w:r w:rsidRPr="004366BE">
        <w:t>Ballasts</w:t>
      </w:r>
      <w:bookmarkEnd w:id="9"/>
    </w:p>
    <w:p w14:paraId="16FEC00D" w14:textId="77777777" w:rsidR="0089127D" w:rsidRPr="004366BE" w:rsidRDefault="0089127D" w:rsidP="00D939D9">
      <w:pPr>
        <w:pStyle w:val="MELegal2"/>
      </w:pPr>
      <w:bookmarkStart w:id="10" w:name="_Toc98939423"/>
      <w:r w:rsidRPr="004366BE">
        <w:t>Background</w:t>
      </w:r>
      <w:bookmarkEnd w:id="10"/>
    </w:p>
    <w:p w14:paraId="461A6945" w14:textId="77777777" w:rsidR="002746AA" w:rsidRPr="004366BE" w:rsidRDefault="002746AA" w:rsidP="0089127D">
      <w:r w:rsidRPr="004366BE">
        <w:t xml:space="preserve">A ballast is required to </w:t>
      </w:r>
      <w:r w:rsidR="004E2606" w:rsidRPr="004366BE">
        <w:t xml:space="preserve">operate a fluorescent lamp, limiting the electrical current flowing to the lamp.  </w:t>
      </w:r>
      <w:r w:rsidRPr="004366BE">
        <w:t xml:space="preserve">Magnetic ballasts </w:t>
      </w:r>
      <w:r w:rsidR="004E2606" w:rsidRPr="004366BE">
        <w:t xml:space="preserve">(class D, C, B2 and B1) </w:t>
      </w:r>
      <w:r w:rsidRPr="004366BE">
        <w:t xml:space="preserve">have </w:t>
      </w:r>
      <w:r w:rsidR="004E2606" w:rsidRPr="004366BE">
        <w:t xml:space="preserve">much higher electrical </w:t>
      </w:r>
      <w:r w:rsidRPr="004366BE">
        <w:t>power loss</w:t>
      </w:r>
      <w:r w:rsidR="004E2606" w:rsidRPr="004366BE">
        <w:t xml:space="preserve">es than electronic ballasts (class A3, A2, A1).  </w:t>
      </w:r>
      <w:r w:rsidR="005858D4" w:rsidRPr="004366BE">
        <w:t>MEPS was introduced in Australia and New Zealand in 200</w:t>
      </w:r>
      <w:r w:rsidR="0047787A" w:rsidRPr="004366BE">
        <w:t>3 in order to eliminate the sales of the le</w:t>
      </w:r>
      <w:r w:rsidR="003013BB" w:rsidRPr="004366BE">
        <w:t>ast</w:t>
      </w:r>
      <w:r w:rsidR="0047787A" w:rsidRPr="004366BE">
        <w:t xml:space="preserve"> efficient magnetic ballast classes (D and C) in favour of more efficient magnetic ballasts (B2 and B1</w:t>
      </w:r>
      <w:r w:rsidR="00A10573">
        <w:t xml:space="preserve"> in Australia and B1 in New Zealand</w:t>
      </w:r>
      <w:r w:rsidR="0047787A" w:rsidRPr="004366BE">
        <w:t>) as well as electronic ballasts (A3, A2, A1).</w:t>
      </w:r>
    </w:p>
    <w:p w14:paraId="7E455EE5" w14:textId="55935E31" w:rsidR="003013BB" w:rsidRPr="004366BE" w:rsidRDefault="003D0F03" w:rsidP="00E10C77">
      <w:pPr>
        <w:spacing w:after="240"/>
      </w:pPr>
      <w:r w:rsidRPr="004366BE">
        <w:t xml:space="preserve">Over the past decade, fluorescent lighting systems </w:t>
      </w:r>
      <w:r w:rsidR="001975A9" w:rsidRPr="004366BE">
        <w:t xml:space="preserve">have been in decline.  </w:t>
      </w:r>
      <w:r w:rsidR="0098793E" w:rsidRPr="004366BE">
        <w:t xml:space="preserve">Discussions with lighting suppliers reveal that new commercial lighting installations are now almost universally LED.  </w:t>
      </w:r>
      <w:r w:rsidR="00FA38A1" w:rsidRPr="004366BE">
        <w:t>We have excellent data for linear fluorescent lamp sales, and this indicate</w:t>
      </w:r>
      <w:r w:rsidR="003013BB" w:rsidRPr="004366BE">
        <w:t>s</w:t>
      </w:r>
      <w:r w:rsidR="00FA38A1" w:rsidRPr="004366BE">
        <w:t xml:space="preserve"> the remaining prevalence of fluorescent lighting systems (i.e. whose lamps are still being replaced with fluorescent lamps when </w:t>
      </w:r>
      <w:r w:rsidR="003013BB" w:rsidRPr="004366BE">
        <w:t xml:space="preserve">the </w:t>
      </w:r>
      <w:r w:rsidR="004C2474" w:rsidRPr="004366BE">
        <w:t xml:space="preserve">existing </w:t>
      </w:r>
      <w:r w:rsidR="00FA38A1" w:rsidRPr="004366BE">
        <w:t>lamp</w:t>
      </w:r>
      <w:r w:rsidR="003013BB" w:rsidRPr="004366BE">
        <w:t>s</w:t>
      </w:r>
      <w:r w:rsidR="00FA38A1" w:rsidRPr="004366BE">
        <w:t xml:space="preserve"> fail</w:t>
      </w:r>
      <w:r w:rsidR="004C2474" w:rsidRPr="004366BE">
        <w:t>, noting that LED tubular lamps can also be installed into most fluorescent luminaires</w:t>
      </w:r>
      <w:r w:rsidR="00FA38A1" w:rsidRPr="004366BE">
        <w:t xml:space="preserve">).  </w:t>
      </w:r>
      <w:r w:rsidRPr="004366BE">
        <w:fldChar w:fldCharType="begin"/>
      </w:r>
      <w:r w:rsidRPr="004366BE">
        <w:instrText xml:space="preserve"> REF _Ref88729811 \h </w:instrText>
      </w:r>
      <w:r w:rsidRPr="004366BE">
        <w:fldChar w:fldCharType="separate"/>
      </w:r>
      <w:r w:rsidR="00666308" w:rsidRPr="004366BE">
        <w:t xml:space="preserve">Figure </w:t>
      </w:r>
      <w:r w:rsidR="00666308">
        <w:rPr>
          <w:noProof/>
        </w:rPr>
        <w:t>1</w:t>
      </w:r>
      <w:r w:rsidRPr="004366BE">
        <w:fldChar w:fldCharType="end"/>
      </w:r>
      <w:r w:rsidRPr="004366BE">
        <w:t xml:space="preserve"> plots ABS lamp import data </w:t>
      </w:r>
      <w:r w:rsidR="003013BB" w:rsidRPr="004366BE">
        <w:t xml:space="preserve">for </w:t>
      </w:r>
      <w:r w:rsidRPr="004366BE">
        <w:t>linear fluorescent lamps in Australia</w:t>
      </w:r>
      <w:r w:rsidR="00FA38A1" w:rsidRPr="004366BE">
        <w:t>, which is a proxy for sales</w:t>
      </w:r>
      <w:r w:rsidR="004C2474" w:rsidRPr="004366BE">
        <w:t xml:space="preserve"> as Australian manufacture of lamps ceased in 2004</w:t>
      </w:r>
      <w:r w:rsidRPr="004366BE">
        <w:t xml:space="preserve">.  </w:t>
      </w:r>
      <w:r w:rsidR="003013BB" w:rsidRPr="004366BE">
        <w:t xml:space="preserve">Imports </w:t>
      </w:r>
      <w:r w:rsidRPr="004366BE">
        <w:t>declined 8</w:t>
      </w:r>
      <w:r w:rsidR="00BE3762">
        <w:t>0</w:t>
      </w:r>
      <w:r w:rsidRPr="004366BE">
        <w:t>% from 2010 to 202</w:t>
      </w:r>
      <w:r w:rsidR="00B96D33">
        <w:t>1</w:t>
      </w:r>
      <w:r w:rsidR="004C2474" w:rsidRPr="004366BE">
        <w:t>.  T</w:t>
      </w:r>
      <w:r w:rsidRPr="004366BE">
        <w:t xml:space="preserve">his is a result of increased lamp life (due to electronic ballasts) </w:t>
      </w:r>
      <w:r w:rsidR="003013BB" w:rsidRPr="004366BE">
        <w:t xml:space="preserve">but more so </w:t>
      </w:r>
      <w:r w:rsidRPr="004366BE">
        <w:t>the increas</w:t>
      </w:r>
      <w:r w:rsidR="003013BB" w:rsidRPr="004366BE">
        <w:t>e in</w:t>
      </w:r>
      <w:r w:rsidRPr="004366BE">
        <w:t xml:space="preserve"> popularity of LED lighting systems</w:t>
      </w:r>
      <w:r w:rsidR="003013BB" w:rsidRPr="004366BE">
        <w:t xml:space="preserve"> over the past decade</w:t>
      </w:r>
      <w:r w:rsidRPr="004366BE">
        <w:t>.</w:t>
      </w:r>
    </w:p>
    <w:p w14:paraId="7BCAEB0E" w14:textId="43F13A3F" w:rsidR="003D0F03" w:rsidRPr="004366BE" w:rsidRDefault="003D0F03" w:rsidP="003D0F03">
      <w:pPr>
        <w:pStyle w:val="Caption"/>
        <w:keepNext/>
      </w:pPr>
      <w:bookmarkStart w:id="11" w:name="_Ref88729811"/>
      <w:bookmarkStart w:id="12" w:name="_Toc96943920"/>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1</w:t>
      </w:r>
      <w:r w:rsidR="00932D7A">
        <w:rPr>
          <w:noProof/>
        </w:rPr>
        <w:fldChar w:fldCharType="end"/>
      </w:r>
      <w:bookmarkEnd w:id="11"/>
      <w:r w:rsidRPr="004366BE">
        <w:t xml:space="preserve"> - </w:t>
      </w:r>
      <w:r w:rsidR="00E12D30" w:rsidRPr="004366BE">
        <w:t>Annual l</w:t>
      </w:r>
      <w:r w:rsidRPr="004366BE">
        <w:t>inear fluorescent lamp sales in Australia (source: ABS import data)</w:t>
      </w:r>
      <w:bookmarkEnd w:id="12"/>
    </w:p>
    <w:p w14:paraId="32A88135" w14:textId="6CECA303" w:rsidR="003D0F03" w:rsidRPr="004366BE" w:rsidRDefault="00280353" w:rsidP="003D0F03">
      <w:r>
        <w:rPr>
          <w:noProof/>
          <w:lang w:eastAsia="en-AU" w:bidi="ar-SA"/>
        </w:rPr>
        <w:drawing>
          <wp:inline distT="0" distB="0" distL="0" distR="0" wp14:anchorId="4D368953" wp14:editId="5267B323">
            <wp:extent cx="5040000" cy="2875314"/>
            <wp:effectExtent l="0" t="0" r="8255" b="1270"/>
            <wp:docPr id="2" name="Picture 2" descr="Sales have decreased from over 20 million in 2006 to less than 5 million in 2021" title="Figure 1 - Annual linear fluorescent lamp sales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875314"/>
                    </a:xfrm>
                    <a:prstGeom prst="rect">
                      <a:avLst/>
                    </a:prstGeom>
                  </pic:spPr>
                </pic:pic>
              </a:graphicData>
            </a:graphic>
          </wp:inline>
        </w:drawing>
      </w:r>
    </w:p>
    <w:p w14:paraId="05719152" w14:textId="77777777" w:rsidR="0089127D" w:rsidRPr="004366BE" w:rsidRDefault="0089127D" w:rsidP="0089127D"/>
    <w:p w14:paraId="70E099B4" w14:textId="77777777" w:rsidR="00D939D9" w:rsidRPr="004366BE" w:rsidRDefault="000D5738" w:rsidP="00D939D9">
      <w:pPr>
        <w:pStyle w:val="MELegal2"/>
      </w:pPr>
      <w:bookmarkStart w:id="13" w:name="_Toc98939424"/>
      <w:r w:rsidRPr="004366BE">
        <w:t xml:space="preserve">Ballast </w:t>
      </w:r>
      <w:r w:rsidR="00D939D9" w:rsidRPr="004366BE">
        <w:t>Sales</w:t>
      </w:r>
      <w:bookmarkEnd w:id="13"/>
    </w:p>
    <w:p w14:paraId="737580F4" w14:textId="245270BD" w:rsidR="000A5B06" w:rsidRPr="004366BE" w:rsidRDefault="00300C8A" w:rsidP="00F74ED9">
      <w:r w:rsidRPr="004366BE">
        <w:t xml:space="preserve">Ballast sales </w:t>
      </w:r>
      <w:r w:rsidR="000D5738" w:rsidRPr="004366BE">
        <w:t xml:space="preserve">data </w:t>
      </w:r>
      <w:r w:rsidRPr="004366BE">
        <w:t xml:space="preserve">have been collected from a number of sources.  </w:t>
      </w:r>
      <w:r w:rsidR="000A5B06" w:rsidRPr="004366BE">
        <w:t xml:space="preserve">Ballast sales (including those incorporated into luminaires) for New Zealand can be seen in </w:t>
      </w:r>
      <w:r w:rsidR="000A5B06" w:rsidRPr="004366BE">
        <w:fldChar w:fldCharType="begin"/>
      </w:r>
      <w:r w:rsidR="000A5B06" w:rsidRPr="004366BE">
        <w:instrText xml:space="preserve"> REF _Ref88730152 \h </w:instrText>
      </w:r>
      <w:r w:rsidR="000A5B06" w:rsidRPr="004366BE">
        <w:fldChar w:fldCharType="separate"/>
      </w:r>
      <w:r w:rsidR="00666308" w:rsidRPr="004366BE">
        <w:t xml:space="preserve">Figure </w:t>
      </w:r>
      <w:r w:rsidR="00666308">
        <w:rPr>
          <w:noProof/>
        </w:rPr>
        <w:t>2</w:t>
      </w:r>
      <w:r w:rsidR="000A5B06" w:rsidRPr="004366BE">
        <w:fldChar w:fldCharType="end"/>
      </w:r>
      <w:r w:rsidR="000A5B06" w:rsidRPr="004366BE">
        <w:t>.</w:t>
      </w:r>
    </w:p>
    <w:p w14:paraId="7DE10680" w14:textId="4777FB2B" w:rsidR="00600BFF" w:rsidRPr="004366BE" w:rsidRDefault="00600BFF" w:rsidP="00600BFF">
      <w:pPr>
        <w:pStyle w:val="Caption"/>
      </w:pPr>
      <w:bookmarkStart w:id="14" w:name="_Ref88730152"/>
      <w:bookmarkStart w:id="15" w:name="_Toc96943921"/>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2</w:t>
      </w:r>
      <w:r w:rsidR="00932D7A">
        <w:rPr>
          <w:noProof/>
        </w:rPr>
        <w:fldChar w:fldCharType="end"/>
      </w:r>
      <w:bookmarkEnd w:id="14"/>
      <w:r w:rsidRPr="004366BE">
        <w:t xml:space="preserve"> - Ballast sales in New Zealand (source: </w:t>
      </w:r>
      <w:r w:rsidR="00840361">
        <w:t xml:space="preserve">aggregated </w:t>
      </w:r>
      <w:r w:rsidR="000A5B06" w:rsidRPr="004366BE">
        <w:t xml:space="preserve">sales data collected by </w:t>
      </w:r>
      <w:r w:rsidRPr="004366BE">
        <w:t>EECA)</w:t>
      </w:r>
      <w:bookmarkEnd w:id="15"/>
    </w:p>
    <w:p w14:paraId="3CC35210" w14:textId="0C9E9A5C" w:rsidR="001358FA" w:rsidRPr="004366BE" w:rsidRDefault="00525911" w:rsidP="00F74ED9">
      <w:r>
        <w:rPr>
          <w:noProof/>
          <w:lang w:eastAsia="en-AU" w:bidi="ar-SA"/>
        </w:rPr>
        <w:drawing>
          <wp:inline distT="0" distB="0" distL="0" distR="0" wp14:anchorId="3B94611D" wp14:editId="047D6B27">
            <wp:extent cx="5041900" cy="2847340"/>
            <wp:effectExtent l="0" t="0" r="6350" b="0"/>
            <wp:docPr id="7" name="Picture 7" descr="Decrease in sales from over 800,000 in 2004 to under 200,000 in 2014" title="Figure 2 - Ballast sales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0" cy="2847340"/>
                    </a:xfrm>
                    <a:prstGeom prst="rect">
                      <a:avLst/>
                    </a:prstGeom>
                    <a:noFill/>
                  </pic:spPr>
                </pic:pic>
              </a:graphicData>
            </a:graphic>
          </wp:inline>
        </w:drawing>
      </w:r>
    </w:p>
    <w:p w14:paraId="2C300981" w14:textId="5D7E578F" w:rsidR="000A5B06" w:rsidRPr="004366BE" w:rsidRDefault="000A5B06" w:rsidP="00F74ED9">
      <w:r w:rsidRPr="004366BE">
        <w:t xml:space="preserve">Ballast sales for Australia have been </w:t>
      </w:r>
      <w:r w:rsidR="00300C8A" w:rsidRPr="004366BE">
        <w:t xml:space="preserve">estimated using </w:t>
      </w:r>
      <w:r w:rsidRPr="004366BE">
        <w:t xml:space="preserve">a number of </w:t>
      </w:r>
      <w:r w:rsidR="00300C8A" w:rsidRPr="004366BE">
        <w:t>datasets</w:t>
      </w:r>
      <w:r w:rsidRPr="004366BE">
        <w:t>: the 2001 RIS for ballast MEPS, ABS import data, and applying a 5x multiplier to the New Zealand data</w:t>
      </w:r>
      <w:r w:rsidR="00300C8A" w:rsidRPr="004366BE">
        <w:t xml:space="preserve"> (population pro-rata)</w:t>
      </w:r>
      <w:r w:rsidRPr="004366BE">
        <w:t xml:space="preserve">.  </w:t>
      </w:r>
      <w:r w:rsidR="00EB756D" w:rsidRPr="004366BE">
        <w:fldChar w:fldCharType="begin"/>
      </w:r>
      <w:r w:rsidR="00EB756D" w:rsidRPr="004366BE">
        <w:instrText xml:space="preserve"> REF _Ref88730300 \h </w:instrText>
      </w:r>
      <w:r w:rsidR="00EB756D" w:rsidRPr="004366BE">
        <w:fldChar w:fldCharType="separate"/>
      </w:r>
      <w:r w:rsidR="00666308" w:rsidRPr="004366BE">
        <w:t xml:space="preserve">Figure </w:t>
      </w:r>
      <w:r w:rsidR="00666308">
        <w:rPr>
          <w:noProof/>
        </w:rPr>
        <w:t>3</w:t>
      </w:r>
      <w:r w:rsidR="00EB756D" w:rsidRPr="004366BE">
        <w:fldChar w:fldCharType="end"/>
      </w:r>
      <w:r w:rsidR="00EB756D" w:rsidRPr="004366BE">
        <w:t xml:space="preserve"> shows estimates of ballast sales in Australia, including a predicted forecast based on a curve fit</w:t>
      </w:r>
      <w:r w:rsidR="00300C8A" w:rsidRPr="004366BE">
        <w:t>ted</w:t>
      </w:r>
      <w:r w:rsidR="00EB756D" w:rsidRPr="004366BE">
        <w:t xml:space="preserve"> to </w:t>
      </w:r>
      <w:r w:rsidR="00126CB0" w:rsidRPr="004366BE">
        <w:t xml:space="preserve">the </w:t>
      </w:r>
      <w:r w:rsidR="00EB756D" w:rsidRPr="004366BE">
        <w:t xml:space="preserve">historical </w:t>
      </w:r>
      <w:r w:rsidR="00126CB0" w:rsidRPr="004366BE">
        <w:t>figures</w:t>
      </w:r>
      <w:r w:rsidR="00EB756D" w:rsidRPr="004366BE">
        <w:t xml:space="preserve">.  </w:t>
      </w:r>
      <w:r w:rsidR="00A53F1E" w:rsidRPr="004366BE">
        <w:t xml:space="preserve">From this we can see that </w:t>
      </w:r>
      <w:r w:rsidR="008D379E" w:rsidRPr="004366BE">
        <w:t xml:space="preserve">Australian </w:t>
      </w:r>
      <w:r w:rsidR="00A53F1E" w:rsidRPr="004366BE">
        <w:t xml:space="preserve">ballast sales are currently around 250,000 per annum, declining to </w:t>
      </w:r>
      <w:r w:rsidR="00866043" w:rsidRPr="004366BE">
        <w:t xml:space="preserve">an estimated </w:t>
      </w:r>
      <w:r w:rsidR="00A53F1E" w:rsidRPr="004366BE">
        <w:t xml:space="preserve">50,000 per annum by 2030.  </w:t>
      </w:r>
      <w:r w:rsidR="008D379E" w:rsidRPr="004366BE">
        <w:t xml:space="preserve">For New Zealand </w:t>
      </w:r>
      <w:r w:rsidR="00300C8A" w:rsidRPr="004366BE">
        <w:t xml:space="preserve">this is likely to be around </w:t>
      </w:r>
      <w:r w:rsidR="008D379E" w:rsidRPr="004366BE">
        <w:t>50,000 declining to 10,000 per annum</w:t>
      </w:r>
      <w:r w:rsidR="00126CB0" w:rsidRPr="004366BE">
        <w:t xml:space="preserve"> by 2030.</w:t>
      </w:r>
    </w:p>
    <w:p w14:paraId="72A102DF" w14:textId="7A2AD978" w:rsidR="00EB756D" w:rsidRPr="004366BE" w:rsidRDefault="00EB756D" w:rsidP="00EB756D">
      <w:pPr>
        <w:pStyle w:val="Caption"/>
        <w:keepNext/>
      </w:pPr>
      <w:bookmarkStart w:id="16" w:name="_Ref88730300"/>
      <w:bookmarkStart w:id="17" w:name="_Toc96943922"/>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3</w:t>
      </w:r>
      <w:r w:rsidR="00932D7A">
        <w:rPr>
          <w:noProof/>
        </w:rPr>
        <w:fldChar w:fldCharType="end"/>
      </w:r>
      <w:bookmarkEnd w:id="16"/>
      <w:r w:rsidR="003745C1" w:rsidRPr="004366BE">
        <w:t xml:space="preserve"> - Estimated </w:t>
      </w:r>
      <w:r w:rsidR="00A776E1" w:rsidRPr="004366BE">
        <w:t xml:space="preserve">historical </w:t>
      </w:r>
      <w:r w:rsidR="00E07D3A" w:rsidRPr="004366BE">
        <w:t>&amp;</w:t>
      </w:r>
      <w:r w:rsidR="00A776E1" w:rsidRPr="004366BE">
        <w:t xml:space="preserve"> forecast </w:t>
      </w:r>
      <w:r w:rsidR="003745C1" w:rsidRPr="004366BE">
        <w:t xml:space="preserve">ballast sales </w:t>
      </w:r>
      <w:r w:rsidR="00FE4678" w:rsidRPr="004366BE">
        <w:t>for</w:t>
      </w:r>
      <w:r w:rsidR="003745C1" w:rsidRPr="004366BE">
        <w:t xml:space="preserve"> Australia</w:t>
      </w:r>
      <w:r w:rsidR="00861113" w:rsidRPr="004366BE">
        <w:t xml:space="preserve"> and NZ</w:t>
      </w:r>
      <w:r w:rsidR="00E07D3A" w:rsidRPr="004366BE">
        <w:t xml:space="preserve"> (including those incorporated in a luminaire)</w:t>
      </w:r>
      <w:bookmarkEnd w:id="17"/>
    </w:p>
    <w:p w14:paraId="25F8091E" w14:textId="199A51D3" w:rsidR="00063D1B" w:rsidRPr="004366BE" w:rsidRDefault="009D3766" w:rsidP="00F74ED9">
      <w:r>
        <w:rPr>
          <w:noProof/>
          <w:lang w:eastAsia="en-AU" w:bidi="ar-SA"/>
        </w:rPr>
        <w:drawing>
          <wp:inline distT="0" distB="0" distL="0" distR="0" wp14:anchorId="6A8AE9D5" wp14:editId="26D31C3A">
            <wp:extent cx="5041900" cy="3841115"/>
            <wp:effectExtent l="0" t="0" r="6350" b="6985"/>
            <wp:docPr id="5" name="Picture 5" descr="Decrease in sales in Australia from 6 million in 2000 to less than 1 million in 2030" title="Figure 3 - Estimated historical &amp; forecast ballast sales for Australia and NZ (including those incorporated in a lumi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0" cy="3841115"/>
                    </a:xfrm>
                    <a:prstGeom prst="rect">
                      <a:avLst/>
                    </a:prstGeom>
                    <a:noFill/>
                  </pic:spPr>
                </pic:pic>
              </a:graphicData>
            </a:graphic>
          </wp:inline>
        </w:drawing>
      </w:r>
    </w:p>
    <w:p w14:paraId="37829126" w14:textId="77777777" w:rsidR="00F74ED9" w:rsidRPr="004366BE" w:rsidRDefault="00F74ED9" w:rsidP="00F74ED9"/>
    <w:p w14:paraId="27074310" w14:textId="65D4C82B" w:rsidR="00F74ED9" w:rsidRPr="004366BE" w:rsidRDefault="00BB2AE8" w:rsidP="00F74ED9">
      <w:r w:rsidRPr="004366BE">
        <w:fldChar w:fldCharType="begin"/>
      </w:r>
      <w:r w:rsidRPr="004366BE">
        <w:instrText xml:space="preserve"> REF _Ref258669843 \h </w:instrText>
      </w:r>
      <w:r w:rsidRPr="004366BE">
        <w:fldChar w:fldCharType="separate"/>
      </w:r>
      <w:r w:rsidR="00666308" w:rsidRPr="004366BE">
        <w:t xml:space="preserve">Figure </w:t>
      </w:r>
      <w:r w:rsidR="00666308">
        <w:rPr>
          <w:noProof/>
        </w:rPr>
        <w:t>4</w:t>
      </w:r>
      <w:r w:rsidRPr="004366BE">
        <w:fldChar w:fldCharType="end"/>
      </w:r>
      <w:r w:rsidRPr="004366BE">
        <w:t xml:space="preserve"> shows historical estimates of the shares of magnetic </w:t>
      </w:r>
      <w:r w:rsidR="00300C8A" w:rsidRPr="004366BE">
        <w:t>versus</w:t>
      </w:r>
      <w:r w:rsidRPr="004366BE">
        <w:t xml:space="preserve"> electronic ballasts in Australia.</w:t>
      </w:r>
    </w:p>
    <w:p w14:paraId="5CA471A3" w14:textId="20231D46" w:rsidR="00BF1EB8" w:rsidRPr="004366BE" w:rsidRDefault="00BF1EB8" w:rsidP="00F342CB">
      <w:pPr>
        <w:pStyle w:val="Caption"/>
        <w:keepNext/>
      </w:pPr>
      <w:bookmarkStart w:id="18" w:name="_Ref258669843"/>
      <w:bookmarkStart w:id="19" w:name="_Toc259086789"/>
      <w:bookmarkStart w:id="20" w:name="_Toc96943923"/>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4</w:t>
      </w:r>
      <w:r w:rsidR="00932D7A">
        <w:rPr>
          <w:noProof/>
        </w:rPr>
        <w:fldChar w:fldCharType="end"/>
      </w:r>
      <w:bookmarkEnd w:id="18"/>
      <w:r w:rsidRPr="004366BE">
        <w:t xml:space="preserve"> - Share of magnetic versus electronic ballasted luminaires in Australia (</w:t>
      </w:r>
      <w:r w:rsidR="00301217" w:rsidRPr="004366BE">
        <w:t xml:space="preserve">source: </w:t>
      </w:r>
      <w:r w:rsidRPr="004366BE">
        <w:t>CLASP 2014)</w:t>
      </w:r>
      <w:bookmarkEnd w:id="19"/>
      <w:bookmarkEnd w:id="20"/>
    </w:p>
    <w:p w14:paraId="2BA8563A" w14:textId="77777777" w:rsidR="00BF1EB8" w:rsidRPr="004366BE" w:rsidRDefault="00BF1EB8" w:rsidP="00D95568">
      <w:pPr>
        <w:pStyle w:val="BodyText"/>
        <w:rPr>
          <w:lang w:val="en-AU"/>
        </w:rPr>
      </w:pPr>
      <w:r w:rsidRPr="004366BE">
        <w:rPr>
          <w:noProof/>
          <w:lang w:val="en-AU" w:eastAsia="en-AU"/>
        </w:rPr>
        <w:drawing>
          <wp:inline distT="0" distB="0" distL="0" distR="0" wp14:anchorId="3CEE6D73" wp14:editId="0BEEB710">
            <wp:extent cx="5040000" cy="3271936"/>
            <wp:effectExtent l="0" t="0" r="8255" b="5080"/>
            <wp:docPr id="9" name="Picture 2" descr="In 2009, Magnetic Ballasts and Electronic Ballasts had equal (50%) share of the market. In 2013, this had changed to Magnetic Ballasts having 20% and Electronic Ballasts having 80% market share." title="Figure 4 - Share of magnetic versus electronic ballasted luminair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3271936"/>
                    </a:xfrm>
                    <a:prstGeom prst="rect">
                      <a:avLst/>
                    </a:prstGeom>
                    <a:noFill/>
                    <a:ln>
                      <a:noFill/>
                    </a:ln>
                  </pic:spPr>
                </pic:pic>
              </a:graphicData>
            </a:graphic>
          </wp:inline>
        </w:drawing>
      </w:r>
    </w:p>
    <w:p w14:paraId="41F8A3A8" w14:textId="77777777" w:rsidR="00E10C77" w:rsidRDefault="00063808" w:rsidP="00E10C77">
      <w:pPr>
        <w:pStyle w:val="BodyText"/>
        <w:spacing w:after="720"/>
        <w:rPr>
          <w:lang w:val="en-AU"/>
        </w:rPr>
      </w:pPr>
      <w:r>
        <w:rPr>
          <w:lang w:val="en-AU"/>
        </w:rPr>
        <w:t xml:space="preserve">At least one </w:t>
      </w:r>
      <w:r w:rsidR="00064BC1" w:rsidRPr="004366BE">
        <w:rPr>
          <w:lang w:val="en-AU"/>
        </w:rPr>
        <w:t xml:space="preserve">Australian ballast supplier </w:t>
      </w:r>
      <w:r>
        <w:rPr>
          <w:lang w:val="en-AU"/>
        </w:rPr>
        <w:t xml:space="preserve">reported that they </w:t>
      </w:r>
      <w:r w:rsidR="00E46941" w:rsidRPr="004366BE">
        <w:rPr>
          <w:lang w:val="en-AU"/>
        </w:rPr>
        <w:t xml:space="preserve">no longer </w:t>
      </w:r>
      <w:r>
        <w:rPr>
          <w:lang w:val="en-AU"/>
        </w:rPr>
        <w:t>supply</w:t>
      </w:r>
      <w:r w:rsidRPr="004366BE">
        <w:rPr>
          <w:lang w:val="en-AU"/>
        </w:rPr>
        <w:t xml:space="preserve"> </w:t>
      </w:r>
      <w:r w:rsidR="00E46941" w:rsidRPr="004366BE">
        <w:rPr>
          <w:lang w:val="en-AU"/>
        </w:rPr>
        <w:t xml:space="preserve">magnetic ballasts into the Australian market.  </w:t>
      </w:r>
      <w:r>
        <w:rPr>
          <w:lang w:val="en-AU"/>
        </w:rPr>
        <w:t xml:space="preserve">Similarly in </w:t>
      </w:r>
      <w:r w:rsidR="00064BC1" w:rsidRPr="004366BE">
        <w:rPr>
          <w:lang w:val="en-AU"/>
        </w:rPr>
        <w:t>New Zealand</w:t>
      </w:r>
      <w:r>
        <w:rPr>
          <w:lang w:val="en-AU"/>
        </w:rPr>
        <w:t xml:space="preserve"> a supplier reported </w:t>
      </w:r>
      <w:r w:rsidR="00064BC1" w:rsidRPr="004366BE">
        <w:rPr>
          <w:lang w:val="en-AU"/>
        </w:rPr>
        <w:t xml:space="preserve">magnetic ballast sales share dropping from 58% in 2015, to </w:t>
      </w:r>
      <w:r w:rsidR="006D0CC0" w:rsidRPr="004366BE">
        <w:rPr>
          <w:lang w:val="en-AU"/>
        </w:rPr>
        <w:t>7</w:t>
      </w:r>
      <w:r w:rsidR="00064BC1" w:rsidRPr="004366BE">
        <w:rPr>
          <w:lang w:val="en-AU"/>
        </w:rPr>
        <w:t>% in 202</w:t>
      </w:r>
      <w:r w:rsidR="006D0CC0" w:rsidRPr="004366BE">
        <w:rPr>
          <w:lang w:val="en-AU"/>
        </w:rPr>
        <w:t>1.</w:t>
      </w:r>
    </w:p>
    <w:p w14:paraId="76A7C089" w14:textId="58AE0736" w:rsidR="008156B1" w:rsidRPr="004366BE" w:rsidRDefault="008156B1" w:rsidP="00BF1EB8">
      <w:pPr>
        <w:pStyle w:val="BodyText"/>
        <w:rPr>
          <w:lang w:val="en-AU"/>
        </w:rPr>
      </w:pPr>
      <w:r w:rsidRPr="004366BE">
        <w:rPr>
          <w:lang w:val="en-AU"/>
        </w:rPr>
        <w:fldChar w:fldCharType="begin"/>
      </w:r>
      <w:r w:rsidRPr="004366BE">
        <w:rPr>
          <w:lang w:val="en-AU"/>
        </w:rPr>
        <w:instrText xml:space="preserve"> REF _Ref89245542 \h </w:instrText>
      </w:r>
      <w:r w:rsidRPr="004366BE">
        <w:rPr>
          <w:lang w:val="en-AU"/>
        </w:rPr>
      </w:r>
      <w:r w:rsidRPr="004366BE">
        <w:rPr>
          <w:lang w:val="en-AU"/>
        </w:rPr>
        <w:fldChar w:fldCharType="separate"/>
      </w:r>
      <w:r w:rsidR="00666308" w:rsidRPr="004366BE">
        <w:t xml:space="preserve">Figure </w:t>
      </w:r>
      <w:r w:rsidR="00666308">
        <w:rPr>
          <w:noProof/>
        </w:rPr>
        <w:t>5</w:t>
      </w:r>
      <w:r w:rsidRPr="004366BE">
        <w:rPr>
          <w:lang w:val="en-AU"/>
        </w:rPr>
        <w:fldChar w:fldCharType="end"/>
      </w:r>
      <w:r w:rsidRPr="004366BE">
        <w:rPr>
          <w:lang w:val="en-AU"/>
        </w:rPr>
        <w:t xml:space="preserve"> shows the </w:t>
      </w:r>
      <w:r w:rsidR="009A70CC" w:rsidRPr="004366BE">
        <w:rPr>
          <w:lang w:val="en-AU"/>
        </w:rPr>
        <w:t xml:space="preserve">number of GEMS </w:t>
      </w:r>
      <w:r w:rsidRPr="004366BE">
        <w:rPr>
          <w:lang w:val="en-AU"/>
        </w:rPr>
        <w:t xml:space="preserve">registrations of ballasts </w:t>
      </w:r>
      <w:r w:rsidR="009A70CC" w:rsidRPr="004366BE">
        <w:rPr>
          <w:lang w:val="en-AU"/>
        </w:rPr>
        <w:t xml:space="preserve">per </w:t>
      </w:r>
      <w:r w:rsidRPr="004366BE">
        <w:rPr>
          <w:lang w:val="en-AU"/>
        </w:rPr>
        <w:t>year</w:t>
      </w:r>
      <w:r w:rsidR="00421D28" w:rsidRPr="004366BE">
        <w:rPr>
          <w:lang w:val="en-AU"/>
        </w:rPr>
        <w:t xml:space="preserve"> (</w:t>
      </w:r>
      <w:r w:rsidRPr="004366BE">
        <w:rPr>
          <w:lang w:val="en-AU"/>
        </w:rPr>
        <w:t>where registration data was available</w:t>
      </w:r>
      <w:r w:rsidR="00421D28" w:rsidRPr="004366BE">
        <w:rPr>
          <w:lang w:val="en-AU"/>
        </w:rPr>
        <w:t>)</w:t>
      </w:r>
      <w:r w:rsidRPr="004366BE">
        <w:rPr>
          <w:lang w:val="en-AU"/>
        </w:rPr>
        <w:t>.  From this we can see that few magnetic ballasts have been registered in recent years.   The registration database shows that, of the 50 currently registered and available ballast models, 11 are magnetic</w:t>
      </w:r>
      <w:r w:rsidR="002F61B6" w:rsidRPr="004366BE">
        <w:rPr>
          <w:lang w:val="en-AU"/>
        </w:rPr>
        <w:t xml:space="preserve"> type.  </w:t>
      </w:r>
    </w:p>
    <w:p w14:paraId="1C923F95" w14:textId="68FC83AB" w:rsidR="008156B1" w:rsidRPr="004366BE" w:rsidRDefault="008156B1" w:rsidP="008156B1">
      <w:pPr>
        <w:pStyle w:val="Caption"/>
        <w:keepNext/>
        <w:jc w:val="both"/>
      </w:pPr>
      <w:bookmarkStart w:id="21" w:name="_Ref89245542"/>
      <w:bookmarkStart w:id="22" w:name="_Toc96943924"/>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5</w:t>
      </w:r>
      <w:r w:rsidR="00932D7A">
        <w:rPr>
          <w:noProof/>
        </w:rPr>
        <w:fldChar w:fldCharType="end"/>
      </w:r>
      <w:bookmarkEnd w:id="21"/>
      <w:r w:rsidRPr="004366BE">
        <w:t xml:space="preserve"> - Ballast MEPS registrations in Australia (source: GEMS registration database)</w:t>
      </w:r>
      <w:bookmarkEnd w:id="22"/>
    </w:p>
    <w:p w14:paraId="319DFBB1" w14:textId="77777777" w:rsidR="008156B1" w:rsidRPr="004366BE" w:rsidRDefault="00885AA7" w:rsidP="00BF1EB8">
      <w:pPr>
        <w:pStyle w:val="BodyText"/>
        <w:rPr>
          <w:lang w:val="en-AU"/>
        </w:rPr>
      </w:pPr>
      <w:r w:rsidRPr="004366BE">
        <w:rPr>
          <w:noProof/>
          <w:lang w:val="en-AU" w:eastAsia="en-AU"/>
        </w:rPr>
        <w:drawing>
          <wp:inline distT="0" distB="0" distL="0" distR="0" wp14:anchorId="425356BF" wp14:editId="6A5954F6">
            <wp:extent cx="5040000" cy="3794457"/>
            <wp:effectExtent l="0" t="0" r="8255" b="0"/>
            <wp:docPr id="13" name="Picture 13" descr="The registrations for Magnetic and Electronic ballasts have decreased with less than 5 in 2020 and none in 2021" title="Figure 5 - Ballast MEPS registrations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3794457"/>
                    </a:xfrm>
                    <a:prstGeom prst="rect">
                      <a:avLst/>
                    </a:prstGeom>
                  </pic:spPr>
                </pic:pic>
              </a:graphicData>
            </a:graphic>
          </wp:inline>
        </w:drawing>
      </w:r>
    </w:p>
    <w:p w14:paraId="14CD707F" w14:textId="77777777" w:rsidR="00EB62E3" w:rsidRPr="004366BE" w:rsidRDefault="00EB62E3" w:rsidP="00BF1EB8">
      <w:pPr>
        <w:pStyle w:val="BodyText"/>
        <w:rPr>
          <w:lang w:val="en-AU"/>
        </w:rPr>
      </w:pPr>
    </w:p>
    <w:p w14:paraId="28617EA5" w14:textId="77777777" w:rsidR="00D939D9" w:rsidRPr="004366BE" w:rsidRDefault="00D939D9" w:rsidP="00D939D9">
      <w:pPr>
        <w:pStyle w:val="MELegal2"/>
      </w:pPr>
      <w:bookmarkStart w:id="23" w:name="_Toc98939425"/>
      <w:r w:rsidRPr="004366BE">
        <w:t>Anal</w:t>
      </w:r>
      <w:r w:rsidR="00E93AA2" w:rsidRPr="004366BE">
        <w:t>y</w:t>
      </w:r>
      <w:r w:rsidRPr="004366BE">
        <w:t>sis</w:t>
      </w:r>
      <w:bookmarkEnd w:id="23"/>
    </w:p>
    <w:p w14:paraId="3F4456DC" w14:textId="77777777" w:rsidR="00D939D9" w:rsidRPr="004366BE" w:rsidRDefault="000B53C6" w:rsidP="00D939D9">
      <w:r w:rsidRPr="004366BE">
        <w:t xml:space="preserve">MEPS regulations in Australia and New Zealand allow the sale of both magnetic and electronic ballasts, provided that magnetic units are class B2 or </w:t>
      </w:r>
      <w:r w:rsidR="003D0243" w:rsidRPr="004366BE">
        <w:t>B1</w:t>
      </w:r>
      <w:r w:rsidRPr="004366BE">
        <w:t xml:space="preserve">.  However, the vast majority of ballasts sold are now electronic.  This means that the impact that the regulations are having has been significantly reduced - the market has </w:t>
      </w:r>
      <w:r w:rsidR="0034078D" w:rsidRPr="004366BE">
        <w:t xml:space="preserve">essentially </w:t>
      </w:r>
      <w:r w:rsidRPr="004366BE">
        <w:t xml:space="preserve">‘leapfrogged’ magnetic ballasts in favour of electronic.  </w:t>
      </w:r>
    </w:p>
    <w:p w14:paraId="3BC5045F" w14:textId="77777777" w:rsidR="000B53C6" w:rsidRPr="004366BE" w:rsidRDefault="000B53C6" w:rsidP="00D939D9">
      <w:r w:rsidRPr="004366BE">
        <w:t>The analysis undertaken in this section attempts to estimate the impact (</w:t>
      </w:r>
      <w:r w:rsidR="00FC3D3C" w:rsidRPr="004366BE">
        <w:t xml:space="preserve">the </w:t>
      </w:r>
      <w:r w:rsidRPr="004366BE">
        <w:t xml:space="preserve">energy </w:t>
      </w:r>
      <w:r w:rsidR="0034078D" w:rsidRPr="004366BE">
        <w:t>‘</w:t>
      </w:r>
      <w:r w:rsidRPr="004366BE">
        <w:t>wasted</w:t>
      </w:r>
      <w:r w:rsidR="0034078D" w:rsidRPr="004366BE">
        <w:t>’</w:t>
      </w:r>
      <w:r w:rsidRPr="004366BE">
        <w:t xml:space="preserve"> and subsequent greenhouse gas emissions) if ballast regulations were repealed in Australia and New Zealand</w:t>
      </w:r>
      <w:r w:rsidR="0034078D" w:rsidRPr="004366BE">
        <w:t>,</w:t>
      </w:r>
      <w:r w:rsidRPr="004366BE">
        <w:t xml:space="preserve"> in 2023.  In order to do this, the following assumptions are made:</w:t>
      </w:r>
    </w:p>
    <w:p w14:paraId="1045912C" w14:textId="77777777" w:rsidR="000B53C6" w:rsidRPr="004366BE" w:rsidRDefault="000B53C6" w:rsidP="000B53C6">
      <w:pPr>
        <w:pStyle w:val="ListParagraph"/>
        <w:numPr>
          <w:ilvl w:val="0"/>
          <w:numId w:val="21"/>
        </w:numPr>
      </w:pPr>
      <w:r w:rsidRPr="004366BE">
        <w:t xml:space="preserve">The repeal of the regulations has no impact on the sale of electronic ballasts, as these have already leapfrogged the minimum regulation requirement of a B2 </w:t>
      </w:r>
      <w:r w:rsidR="00CE7E7A" w:rsidRPr="004366BE">
        <w:t xml:space="preserve">or B1 </w:t>
      </w:r>
      <w:r w:rsidRPr="004366BE">
        <w:t xml:space="preserve">class </w:t>
      </w:r>
      <w:r w:rsidR="00CA5CCF" w:rsidRPr="004366BE">
        <w:t>(</w:t>
      </w:r>
      <w:r w:rsidRPr="004366BE">
        <w:t>magnetic</w:t>
      </w:r>
      <w:r w:rsidR="00CA5CCF" w:rsidRPr="004366BE">
        <w:t>)</w:t>
      </w:r>
      <w:r w:rsidRPr="004366BE">
        <w:t xml:space="preserve"> ballast. </w:t>
      </w:r>
    </w:p>
    <w:p w14:paraId="57DF0499" w14:textId="5CDA4AAC" w:rsidR="000B53C6" w:rsidRPr="004366BE" w:rsidRDefault="000B53C6" w:rsidP="000B53C6">
      <w:pPr>
        <w:pStyle w:val="ListParagraph"/>
        <w:numPr>
          <w:ilvl w:val="0"/>
          <w:numId w:val="21"/>
        </w:numPr>
      </w:pPr>
      <w:r w:rsidRPr="004366BE">
        <w:t xml:space="preserve">Total ballast sales follow the estimation curves shown in </w:t>
      </w:r>
      <w:r w:rsidRPr="004366BE">
        <w:fldChar w:fldCharType="begin"/>
      </w:r>
      <w:r w:rsidRPr="004366BE">
        <w:instrText xml:space="preserve"> REF _Ref88730300 \h </w:instrText>
      </w:r>
      <w:r w:rsidRPr="004366BE">
        <w:fldChar w:fldCharType="separate"/>
      </w:r>
      <w:r w:rsidR="00666308" w:rsidRPr="004366BE">
        <w:t xml:space="preserve">Figure </w:t>
      </w:r>
      <w:r w:rsidR="00666308">
        <w:rPr>
          <w:noProof/>
        </w:rPr>
        <w:t>3</w:t>
      </w:r>
      <w:r w:rsidRPr="004366BE">
        <w:fldChar w:fldCharType="end"/>
      </w:r>
      <w:r w:rsidRPr="004366BE">
        <w:t>.</w:t>
      </w:r>
    </w:p>
    <w:p w14:paraId="21C04397" w14:textId="21852D26" w:rsidR="000B53C6" w:rsidRPr="004366BE" w:rsidRDefault="000B53C6" w:rsidP="000B53C6">
      <w:pPr>
        <w:pStyle w:val="ListParagraph"/>
        <w:numPr>
          <w:ilvl w:val="0"/>
          <w:numId w:val="21"/>
        </w:numPr>
      </w:pPr>
      <w:r w:rsidRPr="004366BE">
        <w:t xml:space="preserve">The share of magnetic ballasts </w:t>
      </w:r>
      <w:r w:rsidR="00DE6ACF">
        <w:t xml:space="preserve">set </w:t>
      </w:r>
      <w:r w:rsidRPr="004366BE">
        <w:t>at 10% for 2023 onwards.</w:t>
      </w:r>
    </w:p>
    <w:p w14:paraId="67EDC1CF" w14:textId="77777777" w:rsidR="00CA5CCF" w:rsidRPr="004366BE" w:rsidRDefault="000B53C6" w:rsidP="000B53C6">
      <w:pPr>
        <w:pStyle w:val="ListParagraph"/>
        <w:numPr>
          <w:ilvl w:val="0"/>
          <w:numId w:val="21"/>
        </w:numPr>
      </w:pPr>
      <w:r w:rsidRPr="004366BE">
        <w:t xml:space="preserve">The repeal of the regulations results in 30% of these magnetic ballasts </w:t>
      </w:r>
      <w:r w:rsidR="00CB37E2" w:rsidRPr="004366BE">
        <w:t xml:space="preserve">(currently B2 or B1) </w:t>
      </w:r>
      <w:r w:rsidR="005B44B1" w:rsidRPr="004366BE">
        <w:t>reverting to a C or D class magnetic ballast</w:t>
      </w:r>
      <w:r w:rsidR="00CA5CCF" w:rsidRPr="004366BE">
        <w:t>.</w:t>
      </w:r>
      <w:r w:rsidR="00AC2798">
        <w:t xml:space="preserve">  </w:t>
      </w:r>
      <w:r w:rsidR="00B1039B">
        <w:t xml:space="preserve">In the opinion of the author, this is a reasonable estimate, erring on the side of pessimistic.  </w:t>
      </w:r>
    </w:p>
    <w:p w14:paraId="273106C1" w14:textId="0DB301CC" w:rsidR="000B53C6" w:rsidRPr="004366BE" w:rsidRDefault="00CA5CCF" w:rsidP="000B53C6">
      <w:pPr>
        <w:pStyle w:val="ListParagraph"/>
        <w:numPr>
          <w:ilvl w:val="0"/>
          <w:numId w:val="21"/>
        </w:numPr>
      </w:pPr>
      <w:r w:rsidRPr="004366BE">
        <w:t xml:space="preserve">As per </w:t>
      </w:r>
      <w:r w:rsidR="005B44B1" w:rsidRPr="004366BE">
        <w:t>the AS/NZS MEPS standard</w:t>
      </w:r>
      <w:r w:rsidR="0034078D" w:rsidRPr="004366BE">
        <w:t xml:space="preserve"> for ballast MEPS (AS/NZS 4783.2),</w:t>
      </w:r>
      <w:r w:rsidRPr="004366BE">
        <w:t xml:space="preserve"> </w:t>
      </w:r>
      <w:r w:rsidR="005B44B1" w:rsidRPr="004366BE">
        <w:t>C and D class ballasts use around 2W more p</w:t>
      </w:r>
      <w:r w:rsidR="00E10C77">
        <w:t>ower than a B2 class ballast).</w:t>
      </w:r>
    </w:p>
    <w:p w14:paraId="1EDCEAD0" w14:textId="77777777" w:rsidR="0080129C" w:rsidRPr="004366BE" w:rsidRDefault="0080129C" w:rsidP="000B53C6">
      <w:pPr>
        <w:pStyle w:val="ListParagraph"/>
        <w:numPr>
          <w:ilvl w:val="0"/>
          <w:numId w:val="21"/>
        </w:numPr>
      </w:pPr>
      <w:r w:rsidRPr="004366BE">
        <w:t>Lights are operated 3000 hours p.a.</w:t>
      </w:r>
      <w:r w:rsidR="004F29D8" w:rsidRPr="004366BE">
        <w:t xml:space="preserve"> on aver</w:t>
      </w:r>
      <w:r w:rsidR="00E969DA" w:rsidRPr="004366BE">
        <w:t>a</w:t>
      </w:r>
      <w:r w:rsidR="004F29D8" w:rsidRPr="004366BE">
        <w:t>ge</w:t>
      </w:r>
      <w:r w:rsidR="00FA66F8" w:rsidRPr="004366BE">
        <w:t xml:space="preserve"> (typical commercial building).</w:t>
      </w:r>
    </w:p>
    <w:p w14:paraId="1C28F918" w14:textId="7BFE5B2E" w:rsidR="0080129C" w:rsidRPr="004366BE" w:rsidRDefault="00120E26" w:rsidP="0080129C">
      <w:r w:rsidRPr="004366BE">
        <w:t xml:space="preserve">The resulting energy ‘wastage’ is shown in </w:t>
      </w:r>
      <w:r w:rsidRPr="004366BE">
        <w:fldChar w:fldCharType="begin"/>
      </w:r>
      <w:r w:rsidRPr="004366BE">
        <w:instrText xml:space="preserve"> REF _Ref88734444 \h </w:instrText>
      </w:r>
      <w:r w:rsidRPr="004366BE">
        <w:fldChar w:fldCharType="separate"/>
      </w:r>
      <w:r w:rsidR="00666308" w:rsidRPr="004366BE">
        <w:t xml:space="preserve">Figure </w:t>
      </w:r>
      <w:r w:rsidR="00666308">
        <w:rPr>
          <w:noProof/>
        </w:rPr>
        <w:t>6</w:t>
      </w:r>
      <w:r w:rsidRPr="004366BE">
        <w:fldChar w:fldCharType="end"/>
      </w:r>
      <w:r w:rsidRPr="004366BE">
        <w:t xml:space="preserve"> and </w:t>
      </w:r>
      <w:r w:rsidR="00CB37E2" w:rsidRPr="004366BE">
        <w:t xml:space="preserve">the </w:t>
      </w:r>
      <w:r w:rsidR="00FA66F8" w:rsidRPr="004366BE">
        <w:t xml:space="preserve">subsequent </w:t>
      </w:r>
      <w:r w:rsidRPr="004366BE">
        <w:t xml:space="preserve">additional </w:t>
      </w:r>
      <w:r w:rsidR="00CB37E2" w:rsidRPr="004366BE">
        <w:t xml:space="preserve">greenhouse gas </w:t>
      </w:r>
      <w:r w:rsidRPr="004366BE">
        <w:t xml:space="preserve">emissions </w:t>
      </w:r>
      <w:r w:rsidR="00CB37E2" w:rsidRPr="004366BE">
        <w:t xml:space="preserve">are shown in </w:t>
      </w:r>
      <w:r w:rsidRPr="004366BE">
        <w:fldChar w:fldCharType="begin"/>
      </w:r>
      <w:r w:rsidRPr="004366BE">
        <w:instrText xml:space="preserve"> REF _Ref88734446 \h </w:instrText>
      </w:r>
      <w:r w:rsidRPr="004366BE">
        <w:fldChar w:fldCharType="separate"/>
      </w:r>
      <w:r w:rsidR="00666308" w:rsidRPr="004366BE">
        <w:t xml:space="preserve">Figure </w:t>
      </w:r>
      <w:r w:rsidR="00666308">
        <w:rPr>
          <w:noProof/>
        </w:rPr>
        <w:t>7</w:t>
      </w:r>
      <w:r w:rsidRPr="004366BE">
        <w:fldChar w:fldCharType="end"/>
      </w:r>
      <w:r w:rsidR="000A28C7" w:rsidRPr="004366BE">
        <w:t xml:space="preserve"> (using greenhouse gas intensities of 0.53 kg/kWh for Australia and 0.09 for New Zealand)</w:t>
      </w:r>
      <w:r w:rsidRPr="004366BE">
        <w:t>.</w:t>
      </w:r>
      <w:r w:rsidR="004056E1">
        <w:t xml:space="preserve">  </w:t>
      </w:r>
      <w:r w:rsidR="00AF3E4D">
        <w:t xml:space="preserve">For Australia, these greenhouse gas savings represent the equivalent of removing 21 cars from the road by 2030 (1 </w:t>
      </w:r>
      <w:r w:rsidR="00970305">
        <w:t xml:space="preserve">car </w:t>
      </w:r>
      <w:r w:rsidR="00AF3E4D">
        <w:t xml:space="preserve">for New Zealand).  </w:t>
      </w:r>
    </w:p>
    <w:p w14:paraId="6AE8C4CA" w14:textId="09FEB880" w:rsidR="004439B0" w:rsidRPr="004366BE" w:rsidRDefault="004439B0" w:rsidP="004439B0">
      <w:pPr>
        <w:pStyle w:val="Caption"/>
        <w:keepNext/>
      </w:pPr>
      <w:bookmarkStart w:id="24" w:name="_Ref88734444"/>
      <w:bookmarkStart w:id="25" w:name="_Toc96943925"/>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6</w:t>
      </w:r>
      <w:r w:rsidR="00932D7A">
        <w:rPr>
          <w:noProof/>
        </w:rPr>
        <w:fldChar w:fldCharType="end"/>
      </w:r>
      <w:bookmarkEnd w:id="24"/>
      <w:r w:rsidR="00B41D0D" w:rsidRPr="004366BE">
        <w:t xml:space="preserve"> - Estimated energy wastage from repeal of ballast regulations</w:t>
      </w:r>
      <w:bookmarkEnd w:id="25"/>
    </w:p>
    <w:p w14:paraId="7ED266A0" w14:textId="77777777" w:rsidR="0080129C" w:rsidRPr="004366BE" w:rsidRDefault="004439B0" w:rsidP="0080129C">
      <w:r w:rsidRPr="004366BE">
        <w:rPr>
          <w:noProof/>
          <w:lang w:eastAsia="en-AU" w:bidi="ar-SA"/>
        </w:rPr>
        <w:drawing>
          <wp:inline distT="0" distB="0" distL="0" distR="0" wp14:anchorId="64AFE1C0" wp14:editId="42A77469">
            <wp:extent cx="5040000" cy="3839497"/>
            <wp:effectExtent l="0" t="0" r="8255" b="8890"/>
            <wp:docPr id="8" name="Picture 8" descr="Estimated energy wastage was around 30 MWh p.a in Australia and around 10 MWh p.a in NZ in 2023. This increases to 160 MWh p.a in Australia and around 30 MWh p.a in NZ by 2030." title="Figure 6 - Estimated energy wastage from repeal of ballast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3839497"/>
                    </a:xfrm>
                    <a:prstGeom prst="rect">
                      <a:avLst/>
                    </a:prstGeom>
                  </pic:spPr>
                </pic:pic>
              </a:graphicData>
            </a:graphic>
          </wp:inline>
        </w:drawing>
      </w:r>
    </w:p>
    <w:p w14:paraId="68B80208" w14:textId="77777777" w:rsidR="00E93AA2" w:rsidRPr="004366BE" w:rsidRDefault="00E93AA2" w:rsidP="00D939D9"/>
    <w:p w14:paraId="7632DB1F" w14:textId="14DFCFDC" w:rsidR="0037112F" w:rsidRPr="004366BE" w:rsidRDefault="0037112F" w:rsidP="0037112F">
      <w:pPr>
        <w:pStyle w:val="Caption"/>
        <w:keepNext/>
      </w:pPr>
      <w:bookmarkStart w:id="26" w:name="_Ref88734446"/>
      <w:bookmarkStart w:id="27" w:name="_Toc96943926"/>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7</w:t>
      </w:r>
      <w:r w:rsidR="00932D7A">
        <w:rPr>
          <w:noProof/>
        </w:rPr>
        <w:fldChar w:fldCharType="end"/>
      </w:r>
      <w:bookmarkEnd w:id="26"/>
      <w:r w:rsidRPr="004366BE">
        <w:t xml:space="preserve"> - Estimated additional GHG emissions from repeal of ballast regulations</w:t>
      </w:r>
      <w:bookmarkEnd w:id="27"/>
    </w:p>
    <w:p w14:paraId="180D3BE2" w14:textId="77777777" w:rsidR="00D939D9" w:rsidRPr="004366BE" w:rsidRDefault="0037112F" w:rsidP="00D939D9">
      <w:r w:rsidRPr="004366BE">
        <w:rPr>
          <w:noProof/>
          <w:lang w:eastAsia="en-AU" w:bidi="ar-SA"/>
        </w:rPr>
        <w:drawing>
          <wp:inline distT="0" distB="0" distL="0" distR="0" wp14:anchorId="6EE56972" wp14:editId="39E205D0">
            <wp:extent cx="5040000" cy="3839497"/>
            <wp:effectExtent l="0" t="0" r="8255" b="8890"/>
            <wp:docPr id="10" name="Picture 10" descr="Estimated GHG Emissions in Australia rise from under 20 tCO2ep.a in 2023 to over 80 tCO2ep.a in 2030. Estimated GHG Emissions in New Zealand rise from around 1 tCO2ep.a in 2023 to around 3tCO2ep.a in 2030" title="Figure 7 - Estimated additional GHG emissions from repeal of ballast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3839497"/>
                    </a:xfrm>
                    <a:prstGeom prst="rect">
                      <a:avLst/>
                    </a:prstGeom>
                  </pic:spPr>
                </pic:pic>
              </a:graphicData>
            </a:graphic>
          </wp:inline>
        </w:drawing>
      </w:r>
    </w:p>
    <w:p w14:paraId="4EBF1E40" w14:textId="77777777" w:rsidR="009E6254" w:rsidRPr="004366BE" w:rsidRDefault="009E6254" w:rsidP="00BF1EB8">
      <w:pPr>
        <w:pStyle w:val="BodyText"/>
        <w:rPr>
          <w:lang w:val="en-AU"/>
        </w:rPr>
      </w:pPr>
    </w:p>
    <w:p w14:paraId="14F84C3A" w14:textId="77777777" w:rsidR="008B04D1" w:rsidRPr="004366BE" w:rsidRDefault="008B04D1" w:rsidP="00B6247F">
      <w:pPr>
        <w:pStyle w:val="BodyText"/>
        <w:rPr>
          <w:lang w:val="en-AU"/>
        </w:rPr>
      </w:pPr>
      <w:r w:rsidRPr="004366BE">
        <w:rPr>
          <w:lang w:val="en-AU"/>
        </w:rPr>
        <w:t xml:space="preserve">Using </w:t>
      </w:r>
      <w:r w:rsidR="004424FD" w:rsidRPr="004366BE">
        <w:rPr>
          <w:lang w:val="en-AU"/>
        </w:rPr>
        <w:t xml:space="preserve">a </w:t>
      </w:r>
      <w:r w:rsidRPr="004366BE">
        <w:rPr>
          <w:lang w:val="en-AU"/>
        </w:rPr>
        <w:t>commercial electricity tariff of $0.203</w:t>
      </w:r>
      <w:r w:rsidR="005264B2" w:rsidRPr="004366BE">
        <w:rPr>
          <w:lang w:val="en-AU"/>
        </w:rPr>
        <w:t>/kWh</w:t>
      </w:r>
      <w:r w:rsidRPr="004366BE">
        <w:rPr>
          <w:lang w:val="en-AU"/>
        </w:rPr>
        <w:t xml:space="preserve"> for Australia and $0.166 for New Zealand, the total increased energy cost over the period 2023-2030 would be around $170,000 for Australia and around $30,000 for New Zealand</w:t>
      </w:r>
      <w:r w:rsidR="00B1039B">
        <w:rPr>
          <w:lang w:val="en-AU"/>
        </w:rPr>
        <w:t xml:space="preserve"> (total cumulative cost over 8 years)</w:t>
      </w:r>
      <w:r w:rsidRPr="004366BE">
        <w:rPr>
          <w:lang w:val="en-AU"/>
        </w:rPr>
        <w:t xml:space="preserve">.  </w:t>
      </w:r>
    </w:p>
    <w:p w14:paraId="149111C8" w14:textId="77777777" w:rsidR="00F74ED9" w:rsidRPr="004366BE" w:rsidRDefault="00F74ED9" w:rsidP="00F74ED9">
      <w:pPr>
        <w:pStyle w:val="MELegal1"/>
      </w:pPr>
      <w:bookmarkStart w:id="28" w:name="_Toc98939426"/>
      <w:r w:rsidRPr="004366BE">
        <w:t>ELVCs</w:t>
      </w:r>
      <w:bookmarkEnd w:id="28"/>
    </w:p>
    <w:p w14:paraId="1C63EECA" w14:textId="77777777" w:rsidR="00967727" w:rsidRPr="004366BE" w:rsidRDefault="00967727" w:rsidP="00967727">
      <w:pPr>
        <w:pStyle w:val="MELegal2"/>
      </w:pPr>
      <w:bookmarkStart w:id="29" w:name="_Toc98939427"/>
      <w:r w:rsidRPr="004366BE">
        <w:t>Background</w:t>
      </w:r>
      <w:bookmarkEnd w:id="29"/>
    </w:p>
    <w:p w14:paraId="40CC79A6" w14:textId="1FE85EEA" w:rsidR="00DD4846" w:rsidRPr="004366BE" w:rsidRDefault="00DD4846" w:rsidP="00967727">
      <w:r w:rsidRPr="004366BE">
        <w:t>MEPS for ELVCs came into effect in 2010 in Australia</w:t>
      </w:r>
      <w:r w:rsidR="00F31C5C" w:rsidRPr="004366BE">
        <w:t xml:space="preserve">, however these </w:t>
      </w:r>
      <w:r w:rsidR="00265245" w:rsidRPr="004366BE">
        <w:t xml:space="preserve">products have not been </w:t>
      </w:r>
      <w:r w:rsidRPr="004366BE">
        <w:t xml:space="preserve">regulated in New Zealand.  </w:t>
      </w:r>
      <w:r w:rsidR="00F31C5C" w:rsidRPr="004366BE">
        <w:t>The Australian regulation consist</w:t>
      </w:r>
      <w:r w:rsidR="00557813" w:rsidRPr="004366BE">
        <w:t>s</w:t>
      </w:r>
      <w:r w:rsidR="00F31C5C" w:rsidRPr="004366BE">
        <w:t xml:space="preserve"> of </w:t>
      </w:r>
      <w:r w:rsidRPr="004366BE">
        <w:t xml:space="preserve">a mandatory standard </w:t>
      </w:r>
      <w:r w:rsidR="00F31C5C" w:rsidRPr="004366BE">
        <w:t xml:space="preserve">that </w:t>
      </w:r>
      <w:r w:rsidRPr="004366BE">
        <w:t xml:space="preserve">specifies MEPS in terms of minimum full load efficiency.  The required efficiency is graphed in </w:t>
      </w:r>
      <w:r w:rsidRPr="004366BE">
        <w:fldChar w:fldCharType="begin"/>
      </w:r>
      <w:r w:rsidRPr="004366BE">
        <w:instrText xml:space="preserve"> REF _Ref89251449 \h </w:instrText>
      </w:r>
      <w:r w:rsidRPr="004366BE">
        <w:fldChar w:fldCharType="separate"/>
      </w:r>
      <w:r w:rsidR="00666308" w:rsidRPr="004366BE">
        <w:t xml:space="preserve">Figure </w:t>
      </w:r>
      <w:r w:rsidR="00666308">
        <w:rPr>
          <w:noProof/>
        </w:rPr>
        <w:t>8</w:t>
      </w:r>
      <w:r w:rsidRPr="004366BE">
        <w:fldChar w:fldCharType="end"/>
      </w:r>
      <w:r w:rsidRPr="004366BE">
        <w:t xml:space="preserve">. </w:t>
      </w:r>
      <w:r w:rsidR="004121D9" w:rsidRPr="004366BE">
        <w:t xml:space="preserve"> The MEPS limit allows for only </w:t>
      </w:r>
      <w:r w:rsidR="003217C8" w:rsidRPr="004366BE">
        <w:t xml:space="preserve">the most </w:t>
      </w:r>
      <w:r w:rsidR="004121D9" w:rsidRPr="004366BE">
        <w:t>efficien</w:t>
      </w:r>
      <w:r w:rsidR="003217C8" w:rsidRPr="004366BE">
        <w:t>t</w:t>
      </w:r>
      <w:r w:rsidR="004121D9" w:rsidRPr="004366BE">
        <w:t xml:space="preserve"> magnetic units to be sold, as well as electronic units</w:t>
      </w:r>
      <w:r w:rsidR="00F31C5C" w:rsidRPr="004366BE">
        <w:t xml:space="preserve"> (which are significantly more efficient).</w:t>
      </w:r>
    </w:p>
    <w:p w14:paraId="7F63ACF8" w14:textId="60E06810" w:rsidR="00632A7C" w:rsidRPr="004366BE" w:rsidRDefault="00632A7C" w:rsidP="00632A7C">
      <w:pPr>
        <w:pStyle w:val="Caption"/>
        <w:keepNext/>
      </w:pPr>
      <w:bookmarkStart w:id="30" w:name="_Ref89251449"/>
      <w:bookmarkStart w:id="31" w:name="_Toc96943927"/>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8</w:t>
      </w:r>
      <w:r w:rsidR="00932D7A">
        <w:rPr>
          <w:noProof/>
        </w:rPr>
        <w:fldChar w:fldCharType="end"/>
      </w:r>
      <w:bookmarkEnd w:id="30"/>
      <w:r w:rsidR="00DD4846" w:rsidRPr="004366BE">
        <w:t xml:space="preserve"> - MEPS requirement for ELVCs (Australia)</w:t>
      </w:r>
      <w:bookmarkEnd w:id="31"/>
    </w:p>
    <w:p w14:paraId="2DEF93DD" w14:textId="77777777" w:rsidR="00CF4DE4" w:rsidRPr="004366BE" w:rsidRDefault="00CF4DE4" w:rsidP="00967727">
      <w:r w:rsidRPr="004366BE">
        <w:rPr>
          <w:noProof/>
          <w:lang w:eastAsia="en-AU" w:bidi="ar-SA"/>
        </w:rPr>
        <w:drawing>
          <wp:inline distT="0" distB="0" distL="0" distR="0" wp14:anchorId="30D5139A" wp14:editId="499AFA2D">
            <wp:extent cx="5040000" cy="3034582"/>
            <wp:effectExtent l="0" t="0" r="8255" b="0"/>
            <wp:docPr id="15" name="Picture 15" descr="graph showing Max Power Rating against Efficency at full load" title="Figure 8 - MEPS requirement for ELVC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3034582"/>
                    </a:xfrm>
                    <a:prstGeom prst="rect">
                      <a:avLst/>
                    </a:prstGeom>
                    <a:noFill/>
                    <a:ln>
                      <a:noFill/>
                    </a:ln>
                  </pic:spPr>
                </pic:pic>
              </a:graphicData>
            </a:graphic>
          </wp:inline>
        </w:drawing>
      </w:r>
    </w:p>
    <w:p w14:paraId="5B08632B" w14:textId="77777777" w:rsidR="00967727" w:rsidRPr="004366BE" w:rsidRDefault="00967727" w:rsidP="00967727"/>
    <w:p w14:paraId="6BD15950" w14:textId="1847C664" w:rsidR="000C0C35" w:rsidRPr="004366BE" w:rsidRDefault="00AC3D9F" w:rsidP="00967727">
      <w:r w:rsidRPr="004366BE">
        <w:t xml:space="preserve">As is the case with fluorescent lighting, halogen downlight lighting systems are in </w:t>
      </w:r>
      <w:r w:rsidR="00210DD7" w:rsidRPr="004366BE">
        <w:t xml:space="preserve">rapid </w:t>
      </w:r>
      <w:r w:rsidRPr="004366BE">
        <w:t xml:space="preserve">decline in Australia, and indeed worldwide, in favour of LED downlights.  This can be seen in </w:t>
      </w:r>
      <w:r w:rsidRPr="004366BE">
        <w:fldChar w:fldCharType="begin"/>
      </w:r>
      <w:r w:rsidRPr="004366BE">
        <w:instrText xml:space="preserve"> REF _Ref89251542 \h </w:instrText>
      </w:r>
      <w:r w:rsidRPr="004366BE">
        <w:fldChar w:fldCharType="separate"/>
      </w:r>
      <w:r w:rsidR="00666308" w:rsidRPr="004366BE">
        <w:t xml:space="preserve">Figure </w:t>
      </w:r>
      <w:r w:rsidR="00666308">
        <w:rPr>
          <w:noProof/>
        </w:rPr>
        <w:t>9</w:t>
      </w:r>
      <w:r w:rsidRPr="004366BE">
        <w:fldChar w:fldCharType="end"/>
      </w:r>
      <w:r w:rsidRPr="004366BE">
        <w:t xml:space="preserve"> which graphs the sales of ELV halogen lamps, revealing a decline of 93% since 2010.  </w:t>
      </w:r>
    </w:p>
    <w:p w14:paraId="595C3318" w14:textId="0807AC07" w:rsidR="000C0C35" w:rsidRPr="004366BE" w:rsidRDefault="000C0C35" w:rsidP="000C0C35">
      <w:pPr>
        <w:pStyle w:val="Caption"/>
        <w:keepNext/>
      </w:pPr>
      <w:bookmarkStart w:id="32" w:name="_Ref89251542"/>
      <w:bookmarkStart w:id="33" w:name="_Toc96943928"/>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9</w:t>
      </w:r>
      <w:r w:rsidR="00932D7A">
        <w:rPr>
          <w:noProof/>
        </w:rPr>
        <w:fldChar w:fldCharType="end"/>
      </w:r>
      <w:bookmarkEnd w:id="32"/>
      <w:r w:rsidRPr="004366BE">
        <w:t xml:space="preserve"> - ELV halogen lamp sales in Australia (source: ABS import data)</w:t>
      </w:r>
      <w:bookmarkEnd w:id="33"/>
    </w:p>
    <w:p w14:paraId="41210240" w14:textId="26C4188E" w:rsidR="000C0C35" w:rsidRPr="004366BE" w:rsidRDefault="000E5E4E" w:rsidP="00967727">
      <w:r>
        <w:rPr>
          <w:noProof/>
          <w:lang w:eastAsia="en-AU" w:bidi="ar-SA"/>
        </w:rPr>
        <w:drawing>
          <wp:inline distT="0" distB="0" distL="0" distR="0" wp14:anchorId="4BEEB8C1" wp14:editId="71DDE556">
            <wp:extent cx="5040000" cy="2875313"/>
            <wp:effectExtent l="0" t="0" r="8255" b="1270"/>
            <wp:docPr id="6" name="Picture 6" descr="Lamp sales have declined in Australia from over 16 million in 2006 to under 2 million in 2021" title="Figure 9 - ELV halogen lamp sal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2875313"/>
                    </a:xfrm>
                    <a:prstGeom prst="rect">
                      <a:avLst/>
                    </a:prstGeom>
                  </pic:spPr>
                </pic:pic>
              </a:graphicData>
            </a:graphic>
          </wp:inline>
        </w:drawing>
      </w:r>
    </w:p>
    <w:p w14:paraId="2A60259F" w14:textId="77777777" w:rsidR="000C0C35" w:rsidRPr="004366BE" w:rsidRDefault="000C0C35" w:rsidP="00967727"/>
    <w:p w14:paraId="45900C78" w14:textId="77777777" w:rsidR="00F74ED9" w:rsidRPr="004366BE" w:rsidRDefault="000D5738" w:rsidP="00E54C57">
      <w:pPr>
        <w:pStyle w:val="MELegal2"/>
      </w:pPr>
      <w:bookmarkStart w:id="34" w:name="_Toc98939428"/>
      <w:r w:rsidRPr="004366BE">
        <w:t xml:space="preserve">ELVC </w:t>
      </w:r>
      <w:r w:rsidR="00E54C57" w:rsidRPr="004366BE">
        <w:t>Sales</w:t>
      </w:r>
      <w:bookmarkEnd w:id="34"/>
    </w:p>
    <w:p w14:paraId="423B2AEA" w14:textId="24E7D1C9" w:rsidR="00D66F97" w:rsidRPr="004366BE" w:rsidRDefault="005134B1" w:rsidP="00F74ED9">
      <w:r w:rsidRPr="004366BE">
        <w:t>Sales volumes for ELVCs are more difficult to estimate than for ballast</w:t>
      </w:r>
      <w:r w:rsidR="00FA7A86" w:rsidRPr="004366BE">
        <w:t>s</w:t>
      </w:r>
      <w:r w:rsidRPr="004366BE">
        <w:t xml:space="preserve">, because </w:t>
      </w:r>
      <w:r w:rsidR="003808E2" w:rsidRPr="004366BE">
        <w:t xml:space="preserve">the </w:t>
      </w:r>
      <w:r w:rsidRPr="004366BE">
        <w:t xml:space="preserve">ABS import codes do not identify lighting transformers/converters separately from all </w:t>
      </w:r>
      <w:r w:rsidR="003808E2" w:rsidRPr="004366BE">
        <w:t xml:space="preserve">types of </w:t>
      </w:r>
      <w:r w:rsidRPr="004366BE">
        <w:t xml:space="preserve">electrical transformers.  </w:t>
      </w:r>
      <w:r w:rsidR="00E06B6D" w:rsidRPr="004366BE">
        <w:t xml:space="preserve">However, </w:t>
      </w:r>
      <w:r w:rsidR="00031758" w:rsidRPr="004366BE">
        <w:t xml:space="preserve">New Zealand presents an interesting case study, as it does not regulate </w:t>
      </w:r>
      <w:r w:rsidR="00E06B6D" w:rsidRPr="004366BE">
        <w:t xml:space="preserve">the efficiency of </w:t>
      </w:r>
      <w:r w:rsidR="00031758" w:rsidRPr="004366BE">
        <w:t>ELVCs, meaning that to some extent it might reflect what would happen in Australia in the absence of MEPS</w:t>
      </w:r>
      <w:r w:rsidR="00503FA2" w:rsidRPr="004366BE">
        <w:t xml:space="preserve"> for ELVCs</w:t>
      </w:r>
      <w:r w:rsidR="00031758" w:rsidRPr="004366BE">
        <w:t xml:space="preserve">.  </w:t>
      </w:r>
      <w:r w:rsidR="004278E7" w:rsidRPr="004366BE">
        <w:t xml:space="preserve">We can see in </w:t>
      </w:r>
      <w:r w:rsidR="004278E7" w:rsidRPr="004366BE">
        <w:fldChar w:fldCharType="begin"/>
      </w:r>
      <w:r w:rsidR="004278E7" w:rsidRPr="004366BE">
        <w:instrText xml:space="preserve"> REF _Ref89251856 \h </w:instrText>
      </w:r>
      <w:r w:rsidR="004278E7" w:rsidRPr="004366BE">
        <w:fldChar w:fldCharType="separate"/>
      </w:r>
      <w:r w:rsidR="00666308" w:rsidRPr="004366BE">
        <w:t xml:space="preserve">Figure </w:t>
      </w:r>
      <w:r w:rsidR="00666308">
        <w:rPr>
          <w:noProof/>
        </w:rPr>
        <w:t>10</w:t>
      </w:r>
      <w:r w:rsidR="004278E7" w:rsidRPr="004366BE">
        <w:fldChar w:fldCharType="end"/>
      </w:r>
      <w:r w:rsidR="004278E7" w:rsidRPr="004366BE">
        <w:t xml:space="preserve"> that total sales of ELVCs have declined rapidly</w:t>
      </w:r>
      <w:r w:rsidR="00503FA2" w:rsidRPr="004366BE">
        <w:t xml:space="preserve"> in New Zealand</w:t>
      </w:r>
      <w:r w:rsidR="004278E7" w:rsidRPr="004366BE">
        <w:t xml:space="preserve">, with magnetic units sales almost insignificant at around </w:t>
      </w:r>
      <w:r w:rsidR="001D3B75">
        <w:t>1-</w:t>
      </w:r>
      <w:r w:rsidR="004278E7" w:rsidRPr="004366BE">
        <w:t>2%</w:t>
      </w:r>
      <w:r w:rsidR="00E34F3D" w:rsidRPr="004366BE">
        <w:t xml:space="preserve"> (almost indistinguishable on the graph)</w:t>
      </w:r>
      <w:r w:rsidR="004278E7" w:rsidRPr="004366BE">
        <w:t xml:space="preserve">.  </w:t>
      </w:r>
    </w:p>
    <w:p w14:paraId="72EA2C3F" w14:textId="0B02313C" w:rsidR="00031758" w:rsidRPr="004366BE" w:rsidRDefault="00031758" w:rsidP="00031758">
      <w:pPr>
        <w:pStyle w:val="Caption"/>
        <w:keepNext/>
      </w:pPr>
      <w:bookmarkStart w:id="35" w:name="_Ref89251856"/>
      <w:bookmarkStart w:id="36" w:name="_Toc96943929"/>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10</w:t>
      </w:r>
      <w:r w:rsidR="00932D7A">
        <w:rPr>
          <w:noProof/>
        </w:rPr>
        <w:fldChar w:fldCharType="end"/>
      </w:r>
      <w:bookmarkEnd w:id="35"/>
      <w:r w:rsidRPr="004366BE">
        <w:t xml:space="preserve"> - Estimated </w:t>
      </w:r>
      <w:r w:rsidR="005D0D5B">
        <w:t xml:space="preserve">aggregated </w:t>
      </w:r>
      <w:r w:rsidRPr="004366BE">
        <w:t>sales of ELVC</w:t>
      </w:r>
      <w:r w:rsidR="008B4EBF">
        <w:t>s</w:t>
      </w:r>
      <w:r w:rsidRPr="004366BE">
        <w:t xml:space="preserve"> in New Zealand (source: </w:t>
      </w:r>
      <w:r w:rsidR="0020798D">
        <w:t xml:space="preserve">based on </w:t>
      </w:r>
      <w:r w:rsidR="00D47C70">
        <w:t xml:space="preserve">limited </w:t>
      </w:r>
      <w:r w:rsidRPr="004366BE">
        <w:t>sales data collected by EECA)</w:t>
      </w:r>
      <w:bookmarkEnd w:id="36"/>
    </w:p>
    <w:p w14:paraId="1CB0538A" w14:textId="69225435" w:rsidR="0082759D" w:rsidRPr="004366BE" w:rsidRDefault="00A42D44" w:rsidP="00F74ED9">
      <w:r>
        <w:rPr>
          <w:noProof/>
          <w:lang w:eastAsia="en-AU" w:bidi="ar-SA"/>
        </w:rPr>
        <w:drawing>
          <wp:inline distT="0" distB="0" distL="0" distR="0" wp14:anchorId="65057574" wp14:editId="6EA2FF52">
            <wp:extent cx="5040000" cy="3635428"/>
            <wp:effectExtent l="0" t="0" r="8255" b="3175"/>
            <wp:docPr id="16" name="Picture 16" descr="The sales of ELVCs have declined rapidly in New Zealand from 180,000 in 2010, to 40,000 (forcast) in 2025. Magnetic unit sales around 1-2%." title="Figure 10 - Estimated aggregated sales of ELVC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0000" cy="3635428"/>
                    </a:xfrm>
                    <a:prstGeom prst="rect">
                      <a:avLst/>
                    </a:prstGeom>
                  </pic:spPr>
                </pic:pic>
              </a:graphicData>
            </a:graphic>
          </wp:inline>
        </w:drawing>
      </w:r>
    </w:p>
    <w:p w14:paraId="3381A947" w14:textId="77777777" w:rsidR="0082759D" w:rsidRPr="004366BE" w:rsidRDefault="0082759D" w:rsidP="00F74ED9"/>
    <w:p w14:paraId="1047E1F6" w14:textId="4B8F17A5" w:rsidR="00DD0386" w:rsidRPr="004366BE" w:rsidRDefault="00DD0386" w:rsidP="00DD0386">
      <w:r w:rsidRPr="004366BE">
        <w:t xml:space="preserve">ELVCs sales for Australia have been estimated by applying a 5x multiplier to the New Zealand data (population pro-rata).  </w:t>
      </w:r>
      <w:r w:rsidRPr="004366BE">
        <w:fldChar w:fldCharType="begin"/>
      </w:r>
      <w:r w:rsidRPr="004366BE">
        <w:instrText xml:space="preserve"> REF _Ref89251988 \h </w:instrText>
      </w:r>
      <w:r w:rsidRPr="004366BE">
        <w:fldChar w:fldCharType="separate"/>
      </w:r>
      <w:r w:rsidR="00666308" w:rsidRPr="004366BE">
        <w:t xml:space="preserve">Figure </w:t>
      </w:r>
      <w:r w:rsidR="00666308">
        <w:rPr>
          <w:noProof/>
        </w:rPr>
        <w:t>11</w:t>
      </w:r>
      <w:r w:rsidRPr="004366BE">
        <w:fldChar w:fldCharType="end"/>
      </w:r>
      <w:r w:rsidRPr="004366BE">
        <w:t xml:space="preserve"> shows estimates of </w:t>
      </w:r>
      <w:r w:rsidR="00F0526C" w:rsidRPr="004366BE">
        <w:t xml:space="preserve">ELVC </w:t>
      </w:r>
      <w:r w:rsidRPr="004366BE">
        <w:t xml:space="preserve">sales in Australia, including a predicted forecast based on a curve fit.  From this we can see that Australian ELVC sales </w:t>
      </w:r>
      <w:r w:rsidR="00F41D28" w:rsidRPr="004366BE">
        <w:t xml:space="preserve">are </w:t>
      </w:r>
      <w:r w:rsidRPr="004366BE">
        <w:t xml:space="preserve">currently estimated at around </w:t>
      </w:r>
      <w:r w:rsidR="007C6324">
        <w:t>3</w:t>
      </w:r>
      <w:r w:rsidRPr="004366BE">
        <w:t>00,000 per annum, declining to around 1</w:t>
      </w:r>
      <w:r w:rsidR="007C6324">
        <w:t>5</w:t>
      </w:r>
      <w:r w:rsidRPr="004366BE">
        <w:t>0,000 per annum by 2030</w:t>
      </w:r>
      <w:r w:rsidR="00F41D28" w:rsidRPr="004366BE">
        <w:t xml:space="preserve">.  </w:t>
      </w:r>
      <w:r w:rsidR="00B2767B">
        <w:t xml:space="preserve">Note that the 2030 prediction is based on an exponential curve fit - a more linear curve would suggest that ELVC sales could decline to zero before 2030.  For the purpose of conservatism, we have </w:t>
      </w:r>
      <w:r w:rsidR="009B0CEB">
        <w:t xml:space="preserve">assumed </w:t>
      </w:r>
      <w:r w:rsidR="00B2767B">
        <w:t xml:space="preserve">the exponential curve, which will tend to over-estimate the energy consumed by ELVCs.  </w:t>
      </w:r>
    </w:p>
    <w:p w14:paraId="30B453B0" w14:textId="0A2904CF" w:rsidR="00DD0386" w:rsidRPr="004366BE" w:rsidRDefault="00DD0386" w:rsidP="00DD0386">
      <w:pPr>
        <w:pStyle w:val="Caption"/>
        <w:keepNext/>
      </w:pPr>
      <w:bookmarkStart w:id="37" w:name="_Ref89251988"/>
      <w:bookmarkStart w:id="38" w:name="_Toc96943930"/>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11</w:t>
      </w:r>
      <w:r w:rsidR="00932D7A">
        <w:rPr>
          <w:noProof/>
        </w:rPr>
        <w:fldChar w:fldCharType="end"/>
      </w:r>
      <w:bookmarkEnd w:id="37"/>
      <w:r w:rsidRPr="004366BE">
        <w:t xml:space="preserve"> - Estimated historical and forecast annual ELVC sales in Australia</w:t>
      </w:r>
      <w:bookmarkEnd w:id="38"/>
    </w:p>
    <w:p w14:paraId="10FB5F0E" w14:textId="50603987" w:rsidR="0082759D" w:rsidRPr="004366BE" w:rsidRDefault="007C6324" w:rsidP="00F74ED9">
      <w:r>
        <w:rPr>
          <w:noProof/>
          <w:lang w:eastAsia="en-AU" w:bidi="ar-SA"/>
        </w:rPr>
        <w:drawing>
          <wp:inline distT="0" distB="0" distL="0" distR="0" wp14:anchorId="168BC9D0" wp14:editId="74C3FF67">
            <wp:extent cx="5040000" cy="3839497"/>
            <wp:effectExtent l="0" t="0" r="8255" b="8890"/>
            <wp:docPr id="1" name="Picture 1" descr="Sales in Australia of ELVCs have declined from over 900,000 in 2010, to 150,000 (forcast) in 2030." title="Figure 11 - Estimated historical and forecast annual ELVC sal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000" cy="3839497"/>
                    </a:xfrm>
                    <a:prstGeom prst="rect">
                      <a:avLst/>
                    </a:prstGeom>
                  </pic:spPr>
                </pic:pic>
              </a:graphicData>
            </a:graphic>
          </wp:inline>
        </w:drawing>
      </w:r>
    </w:p>
    <w:p w14:paraId="167A66F1" w14:textId="77777777" w:rsidR="00DD0386" w:rsidRPr="004366BE" w:rsidRDefault="00DD0386" w:rsidP="00F74ED9"/>
    <w:p w14:paraId="70CBF0A2" w14:textId="57995D2A" w:rsidR="00B3584A" w:rsidRPr="004366BE" w:rsidRDefault="00B3584A" w:rsidP="00F74ED9">
      <w:r w:rsidRPr="004366BE">
        <w:fldChar w:fldCharType="begin"/>
      </w:r>
      <w:r w:rsidRPr="004366BE">
        <w:instrText xml:space="preserve"> REF _Ref89252240 \h </w:instrText>
      </w:r>
      <w:r w:rsidRPr="004366BE">
        <w:fldChar w:fldCharType="separate"/>
      </w:r>
      <w:r w:rsidR="00666308" w:rsidRPr="004366BE">
        <w:t xml:space="preserve">Figure </w:t>
      </w:r>
      <w:r w:rsidR="00666308">
        <w:rPr>
          <w:noProof/>
        </w:rPr>
        <w:t>12</w:t>
      </w:r>
      <w:r w:rsidRPr="004366BE">
        <w:fldChar w:fldCharType="end"/>
      </w:r>
      <w:r w:rsidRPr="004366BE">
        <w:t xml:space="preserve"> shows ELVC </w:t>
      </w:r>
      <w:r w:rsidR="005C7831" w:rsidRPr="004366BE">
        <w:t xml:space="preserve">product </w:t>
      </w:r>
      <w:r w:rsidRPr="004366BE">
        <w:t>registrations for Australia, over time.  Currently, there are only 8 models of ELVC registered and available.  Three of these are high</w:t>
      </w:r>
      <w:r w:rsidR="005C7831" w:rsidRPr="004366BE">
        <w:t>er</w:t>
      </w:r>
      <w:r w:rsidRPr="004366BE">
        <w:t xml:space="preserve"> wattage magnetic transformers (105-200W) used for garden lighting</w:t>
      </w:r>
      <w:r w:rsidR="007E562D" w:rsidRPr="004366BE">
        <w:t xml:space="preserve"> (noting i</w:t>
      </w:r>
      <w:r w:rsidRPr="004366BE">
        <w:t xml:space="preserve">t is possible for higher wattage transformers to be magnetic and still meet the MEPS level </w:t>
      </w:r>
      <w:r w:rsidR="007E562D" w:rsidRPr="004366BE">
        <w:t xml:space="preserve">- </w:t>
      </w:r>
      <w:r w:rsidRPr="004366BE">
        <w:t xml:space="preserve">refer </w:t>
      </w:r>
      <w:r w:rsidRPr="004366BE">
        <w:fldChar w:fldCharType="begin"/>
      </w:r>
      <w:r w:rsidRPr="004366BE">
        <w:instrText xml:space="preserve"> REF _Ref89251449 \h </w:instrText>
      </w:r>
      <w:r w:rsidRPr="004366BE">
        <w:fldChar w:fldCharType="separate"/>
      </w:r>
      <w:r w:rsidR="00666308" w:rsidRPr="004366BE">
        <w:t xml:space="preserve">Figure </w:t>
      </w:r>
      <w:r w:rsidR="00666308">
        <w:rPr>
          <w:noProof/>
        </w:rPr>
        <w:t>8</w:t>
      </w:r>
      <w:r w:rsidRPr="004366BE">
        <w:fldChar w:fldCharType="end"/>
      </w:r>
      <w:r w:rsidRPr="004366BE">
        <w:t xml:space="preserve">).  The other 5 are typical electronic converters for use with halogen downlights.  </w:t>
      </w:r>
      <w:r w:rsidR="007E562D" w:rsidRPr="004366BE">
        <w:t xml:space="preserve">Thus, interestingly, in Australia there are no magnetic ELVCs registered that would supply indoor halogen downlights. </w:t>
      </w:r>
    </w:p>
    <w:p w14:paraId="5ADB62D2" w14:textId="27C267E7" w:rsidR="007458A8" w:rsidRPr="004366BE" w:rsidRDefault="007458A8" w:rsidP="007458A8">
      <w:pPr>
        <w:pStyle w:val="Caption"/>
        <w:keepNext/>
      </w:pPr>
      <w:bookmarkStart w:id="39" w:name="_Ref89252240"/>
      <w:bookmarkStart w:id="40" w:name="_Toc96943931"/>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12</w:t>
      </w:r>
      <w:r w:rsidR="00932D7A">
        <w:rPr>
          <w:noProof/>
        </w:rPr>
        <w:fldChar w:fldCharType="end"/>
      </w:r>
      <w:bookmarkEnd w:id="39"/>
      <w:r w:rsidRPr="004366BE">
        <w:t xml:space="preserve"> - Number</w:t>
      </w:r>
      <w:r w:rsidR="008F518D" w:rsidRPr="004366BE">
        <w:t>s</w:t>
      </w:r>
      <w:r w:rsidRPr="004366BE">
        <w:t xml:space="preserve"> of new registrations of ELVCs in Australia</w:t>
      </w:r>
      <w:bookmarkEnd w:id="40"/>
      <w:r w:rsidRPr="004366BE">
        <w:t xml:space="preserve"> </w:t>
      </w:r>
    </w:p>
    <w:p w14:paraId="2D6B08C1" w14:textId="77777777" w:rsidR="007458A8" w:rsidRPr="004366BE" w:rsidRDefault="007458A8" w:rsidP="00F74ED9">
      <w:r w:rsidRPr="004366BE">
        <w:rPr>
          <w:noProof/>
          <w:lang w:eastAsia="en-AU" w:bidi="ar-SA"/>
        </w:rPr>
        <w:drawing>
          <wp:inline distT="0" distB="0" distL="0" distR="0" wp14:anchorId="274FB3A1" wp14:editId="616E413A">
            <wp:extent cx="5040000" cy="3019329"/>
            <wp:effectExtent l="0" t="0" r="8255" b="0"/>
            <wp:docPr id="11" name="Picture 11" descr=" Decline in registerations of ELVCs in Australia. From 17 before 2010 and 1 in 2020." title="Figure 12 - Numbers of new registrations of ELVC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3019329"/>
                    </a:xfrm>
                    <a:prstGeom prst="rect">
                      <a:avLst/>
                    </a:prstGeom>
                  </pic:spPr>
                </pic:pic>
              </a:graphicData>
            </a:graphic>
          </wp:inline>
        </w:drawing>
      </w:r>
    </w:p>
    <w:p w14:paraId="58D04DC6" w14:textId="77777777" w:rsidR="003F7F09" w:rsidRPr="004366BE" w:rsidRDefault="003F7F09" w:rsidP="00F74ED9"/>
    <w:p w14:paraId="4A449B77" w14:textId="77777777" w:rsidR="00E54C57" w:rsidRPr="004366BE" w:rsidRDefault="00E54C57" w:rsidP="00E54C57">
      <w:pPr>
        <w:pStyle w:val="MELegal2"/>
      </w:pPr>
      <w:bookmarkStart w:id="41" w:name="_Toc98939429"/>
      <w:r w:rsidRPr="004366BE">
        <w:t>Analysis</w:t>
      </w:r>
      <w:bookmarkEnd w:id="41"/>
    </w:p>
    <w:p w14:paraId="450D0BB5" w14:textId="77777777" w:rsidR="00FB1F58" w:rsidRPr="004366BE" w:rsidRDefault="00FB1F58" w:rsidP="00FB1F58">
      <w:r w:rsidRPr="004366BE">
        <w:t xml:space="preserve">MEPS regulations in Australia allow the sale of both magnetic and electronic </w:t>
      </w:r>
      <w:r w:rsidR="00121C11" w:rsidRPr="004366BE">
        <w:t>ELVCs</w:t>
      </w:r>
      <w:r w:rsidRPr="004366BE">
        <w:t xml:space="preserve">, provided that magnetic units are high efficiency.  However, the vast majority of ELVCs sold are now electronic.  </w:t>
      </w:r>
      <w:r w:rsidR="0053207C" w:rsidRPr="004366BE">
        <w:br/>
        <w:t xml:space="preserve">As mentioned above, in Australia there are no magnetic ELVCs registered that would supply indoor halogen downlights. </w:t>
      </w:r>
    </w:p>
    <w:p w14:paraId="2086F2AD" w14:textId="77777777" w:rsidR="00FB1F58" w:rsidRPr="004366BE" w:rsidRDefault="00FB1F58" w:rsidP="00FB1F58">
      <w:r w:rsidRPr="004366BE">
        <w:t xml:space="preserve">The analysis undertaken in this section attempts to estimate the impact (the energy wasted and subsequent greenhouse gas emissions) if </w:t>
      </w:r>
      <w:r w:rsidR="00121C11" w:rsidRPr="004366BE">
        <w:t xml:space="preserve">ELVC </w:t>
      </w:r>
      <w:r w:rsidRPr="004366BE">
        <w:t>regulations were repealed in Australia in 2023.  In order to do this, the following assumptions are made:</w:t>
      </w:r>
    </w:p>
    <w:p w14:paraId="74189B1B" w14:textId="06F37DB4" w:rsidR="000F55A9" w:rsidRPr="004366BE" w:rsidRDefault="000F55A9" w:rsidP="000F55A9">
      <w:pPr>
        <w:pStyle w:val="ListParagraph"/>
        <w:numPr>
          <w:ilvl w:val="0"/>
          <w:numId w:val="21"/>
        </w:numPr>
      </w:pPr>
      <w:r w:rsidRPr="004366BE">
        <w:t xml:space="preserve">Total ELVC sales follow the estimation curves shown in </w:t>
      </w:r>
      <w:r w:rsidRPr="004366BE">
        <w:fldChar w:fldCharType="begin"/>
      </w:r>
      <w:r w:rsidRPr="004366BE">
        <w:instrText xml:space="preserve"> REF _Ref89251988 \h </w:instrText>
      </w:r>
      <w:r w:rsidRPr="004366BE">
        <w:fldChar w:fldCharType="separate"/>
      </w:r>
      <w:r w:rsidR="00666308" w:rsidRPr="004366BE">
        <w:t xml:space="preserve">Figure </w:t>
      </w:r>
      <w:r w:rsidR="00666308">
        <w:rPr>
          <w:noProof/>
        </w:rPr>
        <w:t>11</w:t>
      </w:r>
      <w:r w:rsidRPr="004366BE">
        <w:fldChar w:fldCharType="end"/>
      </w:r>
      <w:r w:rsidRPr="004366BE">
        <w:t>.</w:t>
      </w:r>
    </w:p>
    <w:p w14:paraId="6F0346DA" w14:textId="0AFF5E7C" w:rsidR="00786AD0" w:rsidRPr="004366BE" w:rsidRDefault="00786AD0" w:rsidP="00FB1F58">
      <w:pPr>
        <w:pStyle w:val="ListParagraph"/>
        <w:numPr>
          <w:ilvl w:val="0"/>
          <w:numId w:val="21"/>
        </w:numPr>
      </w:pPr>
      <w:r w:rsidRPr="004366BE">
        <w:t xml:space="preserve">The ELVCs </w:t>
      </w:r>
      <w:r w:rsidR="00304F8D" w:rsidRPr="004366BE">
        <w:t xml:space="preserve">that revert from electronic to magnetic </w:t>
      </w:r>
      <w:r w:rsidRPr="004366BE">
        <w:t xml:space="preserve">is assumed to be </w:t>
      </w:r>
      <w:r w:rsidR="00304F8D" w:rsidRPr="004366BE">
        <w:t>5</w:t>
      </w:r>
      <w:r w:rsidRPr="004366BE">
        <w:t>% for 2023 onwards</w:t>
      </w:r>
      <w:r w:rsidR="00892283" w:rsidRPr="004366BE">
        <w:t xml:space="preserve">.  This is </w:t>
      </w:r>
      <w:r w:rsidR="008F1A0D" w:rsidRPr="004366BE">
        <w:t xml:space="preserve">worse than </w:t>
      </w:r>
      <w:r w:rsidRPr="004366BE">
        <w:t xml:space="preserve">current NZ </w:t>
      </w:r>
      <w:r w:rsidR="008F1A0D" w:rsidRPr="004366BE">
        <w:t xml:space="preserve">estimate </w:t>
      </w:r>
      <w:r w:rsidRPr="004366BE">
        <w:t>of 2%</w:t>
      </w:r>
      <w:r w:rsidR="00892283" w:rsidRPr="004366BE">
        <w:t>.  Note that registrations currently indicate that sales of magnetic transformers for use with indoor halogen downlights i</w:t>
      </w:r>
      <w:r w:rsidR="000E5BA6">
        <w:t>s</w:t>
      </w:r>
      <w:r w:rsidR="00892283" w:rsidRPr="004366BE">
        <w:t xml:space="preserve"> currently 0%.</w:t>
      </w:r>
    </w:p>
    <w:p w14:paraId="6BC216B3" w14:textId="44128CCF" w:rsidR="00FB1F58" w:rsidRPr="004366BE" w:rsidRDefault="00304F8D" w:rsidP="002A0301">
      <w:pPr>
        <w:pStyle w:val="ListParagraph"/>
        <w:numPr>
          <w:ilvl w:val="0"/>
          <w:numId w:val="21"/>
        </w:numPr>
      </w:pPr>
      <w:r w:rsidRPr="004366BE">
        <w:t>M</w:t>
      </w:r>
      <w:r w:rsidR="007621CF" w:rsidRPr="004366BE">
        <w:t xml:space="preserve">agnetic ELVCs are </w:t>
      </w:r>
      <w:r w:rsidRPr="004366BE">
        <w:t>80</w:t>
      </w:r>
      <w:r w:rsidR="007621CF" w:rsidRPr="004366BE">
        <w:t xml:space="preserve">% efficient </w:t>
      </w:r>
      <w:r w:rsidRPr="004366BE">
        <w:t xml:space="preserve">and </w:t>
      </w:r>
      <w:r w:rsidR="007621CF" w:rsidRPr="004366BE">
        <w:t xml:space="preserve">electronic units </w:t>
      </w:r>
      <w:r w:rsidRPr="004366BE">
        <w:t xml:space="preserve">95% efficient </w:t>
      </w:r>
      <w:r w:rsidR="007621CF" w:rsidRPr="004366BE">
        <w:t xml:space="preserve">(refer </w:t>
      </w:r>
      <w:r w:rsidR="007621CF" w:rsidRPr="004366BE">
        <w:fldChar w:fldCharType="begin"/>
      </w:r>
      <w:r w:rsidR="007621CF" w:rsidRPr="004366BE">
        <w:instrText xml:space="preserve"> REF _Ref89251449 \h </w:instrText>
      </w:r>
      <w:r w:rsidR="007621CF" w:rsidRPr="004366BE">
        <w:fldChar w:fldCharType="separate"/>
      </w:r>
      <w:r w:rsidR="00666308" w:rsidRPr="004366BE">
        <w:t xml:space="preserve">Figure </w:t>
      </w:r>
      <w:r w:rsidR="00666308">
        <w:rPr>
          <w:noProof/>
        </w:rPr>
        <w:t>8</w:t>
      </w:r>
      <w:r w:rsidR="007621CF" w:rsidRPr="004366BE">
        <w:fldChar w:fldCharType="end"/>
      </w:r>
      <w:r w:rsidR="007621CF" w:rsidRPr="004366BE">
        <w:t>)</w:t>
      </w:r>
      <w:r w:rsidRPr="004366BE">
        <w:t xml:space="preserve">.  ELVCs </w:t>
      </w:r>
      <w:r w:rsidR="007621CF" w:rsidRPr="004366BE">
        <w:t xml:space="preserve">operate a 35W halogen lamp, resulting in wasted energy of </w:t>
      </w:r>
      <w:r w:rsidRPr="004366BE">
        <w:t>7</w:t>
      </w:r>
      <w:r w:rsidR="007621CF" w:rsidRPr="004366BE">
        <w:t xml:space="preserve"> watts per unit.  </w:t>
      </w:r>
    </w:p>
    <w:p w14:paraId="0FEDB476" w14:textId="77777777" w:rsidR="00FB1F58" w:rsidRPr="004366BE" w:rsidRDefault="00FB1F58" w:rsidP="00FB1F58">
      <w:pPr>
        <w:pStyle w:val="ListParagraph"/>
        <w:numPr>
          <w:ilvl w:val="0"/>
          <w:numId w:val="21"/>
        </w:numPr>
      </w:pPr>
      <w:r w:rsidRPr="004366BE">
        <w:t xml:space="preserve">Lights are operated </w:t>
      </w:r>
      <w:r w:rsidR="00304F8D" w:rsidRPr="004366BE">
        <w:t>2 hours per day</w:t>
      </w:r>
      <w:r w:rsidRPr="004366BE">
        <w:t xml:space="preserve"> on average</w:t>
      </w:r>
      <w:r w:rsidR="00304F8D" w:rsidRPr="004366BE">
        <w:t xml:space="preserve"> (i.e. residential)</w:t>
      </w:r>
      <w:r w:rsidRPr="004366BE">
        <w:t xml:space="preserve">.  </w:t>
      </w:r>
    </w:p>
    <w:p w14:paraId="2D30C7D8" w14:textId="05241E6F" w:rsidR="00E54C57" w:rsidRPr="004366BE" w:rsidRDefault="00FB1F58" w:rsidP="00F74ED9">
      <w:r w:rsidRPr="004366BE">
        <w:t xml:space="preserve">The resulting energy ‘wastage’ is shown in </w:t>
      </w:r>
      <w:r w:rsidR="00946BAC" w:rsidRPr="004366BE">
        <w:fldChar w:fldCharType="begin"/>
      </w:r>
      <w:r w:rsidR="00946BAC" w:rsidRPr="004366BE">
        <w:instrText xml:space="preserve"> REF _Ref89253485 \h </w:instrText>
      </w:r>
      <w:r w:rsidR="00946BAC" w:rsidRPr="004366BE">
        <w:fldChar w:fldCharType="separate"/>
      </w:r>
      <w:r w:rsidR="00666308" w:rsidRPr="004366BE">
        <w:t xml:space="preserve">Figure </w:t>
      </w:r>
      <w:r w:rsidR="00666308">
        <w:rPr>
          <w:noProof/>
        </w:rPr>
        <w:t>13</w:t>
      </w:r>
      <w:r w:rsidR="00946BAC" w:rsidRPr="004366BE">
        <w:fldChar w:fldCharType="end"/>
      </w:r>
      <w:r w:rsidR="00946BAC" w:rsidRPr="004366BE">
        <w:t xml:space="preserve"> </w:t>
      </w:r>
      <w:r w:rsidRPr="004366BE">
        <w:t xml:space="preserve">and additional GHG emissions in </w:t>
      </w:r>
      <w:r w:rsidR="00247D59" w:rsidRPr="004366BE">
        <w:fldChar w:fldCharType="begin"/>
      </w:r>
      <w:r w:rsidR="00247D59" w:rsidRPr="004366BE">
        <w:instrText xml:space="preserve"> REF _Ref89253548 \h </w:instrText>
      </w:r>
      <w:r w:rsidR="00247D59" w:rsidRPr="004366BE">
        <w:fldChar w:fldCharType="separate"/>
      </w:r>
      <w:r w:rsidR="00666308" w:rsidRPr="004366BE">
        <w:t xml:space="preserve">Figure </w:t>
      </w:r>
      <w:r w:rsidR="00666308">
        <w:rPr>
          <w:noProof/>
        </w:rPr>
        <w:t>14</w:t>
      </w:r>
      <w:r w:rsidR="00247D59" w:rsidRPr="004366BE">
        <w:fldChar w:fldCharType="end"/>
      </w:r>
      <w:r w:rsidRPr="004366BE">
        <w:t>.</w:t>
      </w:r>
      <w:r w:rsidR="00332D58">
        <w:t xml:space="preserve">  These greenhouse gas savings represent the equivalent of removing </w:t>
      </w:r>
      <w:r w:rsidR="0045626E">
        <w:t>58</w:t>
      </w:r>
      <w:r w:rsidR="00332D58">
        <w:t xml:space="preserve"> </w:t>
      </w:r>
      <w:r w:rsidR="00FE337C">
        <w:t xml:space="preserve">petrol-powered </w:t>
      </w:r>
      <w:r w:rsidR="00332D58">
        <w:t xml:space="preserve">cars from the road by 2030.  </w:t>
      </w:r>
    </w:p>
    <w:p w14:paraId="436F6D0E" w14:textId="5CAFA910" w:rsidR="00D62300" w:rsidRPr="004366BE" w:rsidRDefault="00D62300" w:rsidP="00D62300">
      <w:pPr>
        <w:pStyle w:val="Caption"/>
        <w:keepNext/>
      </w:pPr>
      <w:bookmarkStart w:id="42" w:name="_Ref89253485"/>
      <w:bookmarkStart w:id="43" w:name="_Toc96943932"/>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13</w:t>
      </w:r>
      <w:r w:rsidR="00932D7A">
        <w:rPr>
          <w:noProof/>
        </w:rPr>
        <w:fldChar w:fldCharType="end"/>
      </w:r>
      <w:bookmarkEnd w:id="42"/>
      <w:r w:rsidRPr="004366BE">
        <w:t xml:space="preserve"> - </w:t>
      </w:r>
      <w:r w:rsidR="003F4399" w:rsidRPr="004366BE">
        <w:t xml:space="preserve"> Estimated energy wastage from repeal of ELVC regulations</w:t>
      </w:r>
      <w:bookmarkEnd w:id="43"/>
    </w:p>
    <w:p w14:paraId="24B785C8" w14:textId="6D53E1E1" w:rsidR="00D62300" w:rsidRPr="004366BE" w:rsidRDefault="00924FF2" w:rsidP="00F74ED9">
      <w:r>
        <w:rPr>
          <w:noProof/>
          <w:lang w:eastAsia="en-AU" w:bidi="ar-SA"/>
        </w:rPr>
        <w:drawing>
          <wp:inline distT="0" distB="0" distL="0" distR="0" wp14:anchorId="460D6BA6" wp14:editId="65CD7271">
            <wp:extent cx="5040000" cy="3792233"/>
            <wp:effectExtent l="0" t="0" r="8255" b="0"/>
            <wp:docPr id="18" name="Picture 18" descr="The estimated energy wasted if the regulations are repealed increases from around 75 MWh p.a. in 2023 to almost 450 MWH p.a. in 2030" title="Figure 13 -  Estimated energy wastage from repeal of ELVC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000" cy="3792233"/>
                    </a:xfrm>
                    <a:prstGeom prst="rect">
                      <a:avLst/>
                    </a:prstGeom>
                  </pic:spPr>
                </pic:pic>
              </a:graphicData>
            </a:graphic>
          </wp:inline>
        </w:drawing>
      </w:r>
    </w:p>
    <w:p w14:paraId="2F941F60" w14:textId="77777777" w:rsidR="00304F8D" w:rsidRPr="004366BE" w:rsidRDefault="00304F8D" w:rsidP="00F74ED9"/>
    <w:p w14:paraId="608477EB" w14:textId="0B76F46F" w:rsidR="00247D59" w:rsidRPr="004366BE" w:rsidRDefault="00247D59" w:rsidP="00247D59">
      <w:pPr>
        <w:pStyle w:val="Caption"/>
        <w:keepNext/>
      </w:pPr>
      <w:bookmarkStart w:id="44" w:name="_Ref89253548"/>
      <w:bookmarkStart w:id="45" w:name="_Toc96943933"/>
      <w:r w:rsidRPr="004366BE">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14</w:t>
      </w:r>
      <w:r w:rsidR="00932D7A">
        <w:rPr>
          <w:noProof/>
        </w:rPr>
        <w:fldChar w:fldCharType="end"/>
      </w:r>
      <w:bookmarkEnd w:id="44"/>
      <w:r w:rsidRPr="004366BE">
        <w:t xml:space="preserve"> - </w:t>
      </w:r>
      <w:r w:rsidR="003F4399" w:rsidRPr="004366BE">
        <w:t>Estimated additional GHG emissions from repeal of ELVC regulations</w:t>
      </w:r>
      <w:bookmarkEnd w:id="45"/>
    </w:p>
    <w:p w14:paraId="54F96E9A" w14:textId="5372D990" w:rsidR="008C209E" w:rsidRPr="004366BE" w:rsidRDefault="00F74B88" w:rsidP="00F74ED9">
      <w:r>
        <w:rPr>
          <w:noProof/>
          <w:lang w:eastAsia="en-AU" w:bidi="ar-SA"/>
        </w:rPr>
        <w:drawing>
          <wp:inline distT="0" distB="0" distL="0" distR="0" wp14:anchorId="78114339" wp14:editId="083621A8">
            <wp:extent cx="5040000" cy="3139991"/>
            <wp:effectExtent l="0" t="0" r="8255" b="3810"/>
            <wp:docPr id="23" name="Picture 23" descr="Estimated greenhouse gas emissions (tonnes CO2e p.a) if the regulations are repealed increases from almost 50 in 2023 to around 240 in 2030" title="Figure 14 - Estimated additional GHG emissions from repeal of ELVC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3139991"/>
                    </a:xfrm>
                    <a:prstGeom prst="rect">
                      <a:avLst/>
                    </a:prstGeom>
                  </pic:spPr>
                </pic:pic>
              </a:graphicData>
            </a:graphic>
          </wp:inline>
        </w:drawing>
      </w:r>
    </w:p>
    <w:p w14:paraId="0014E9EF" w14:textId="77777777" w:rsidR="008C209E" w:rsidRPr="004366BE" w:rsidRDefault="008C209E" w:rsidP="00F74ED9"/>
    <w:p w14:paraId="3D5F1D16" w14:textId="65FBBB3D" w:rsidR="00F046C2" w:rsidRDefault="00F046C2" w:rsidP="00784365">
      <w:pPr>
        <w:pStyle w:val="BodyText"/>
        <w:rPr>
          <w:lang w:val="en-AU"/>
        </w:rPr>
      </w:pPr>
      <w:r w:rsidRPr="004366BE">
        <w:rPr>
          <w:lang w:val="en-AU"/>
        </w:rPr>
        <w:t>Using a residential electricity tariffs of $0.29 for Australia, the total increased energy cost over the period 2023-2030 would be around $600,000 for Australia</w:t>
      </w:r>
      <w:r w:rsidR="00D16CB6">
        <w:rPr>
          <w:lang w:val="en-AU"/>
        </w:rPr>
        <w:t xml:space="preserve"> (total cumulative cost over 8 years)</w:t>
      </w:r>
      <w:r w:rsidRPr="004366BE">
        <w:rPr>
          <w:lang w:val="en-AU"/>
        </w:rPr>
        <w:t>.</w:t>
      </w:r>
    </w:p>
    <w:p w14:paraId="054B0EB9" w14:textId="2B80707A" w:rsidR="00F9646D" w:rsidRDefault="00F9646D" w:rsidP="00784365">
      <w:pPr>
        <w:pStyle w:val="BodyText"/>
        <w:rPr>
          <w:lang w:val="en-AU"/>
        </w:rPr>
      </w:pPr>
    </w:p>
    <w:p w14:paraId="7967C4AB" w14:textId="77777777" w:rsidR="00F9646D" w:rsidRPr="004366BE" w:rsidRDefault="00F9646D" w:rsidP="00784365">
      <w:pPr>
        <w:pStyle w:val="BodyText"/>
        <w:rPr>
          <w:lang w:val="en-AU"/>
        </w:rPr>
      </w:pPr>
    </w:p>
    <w:p w14:paraId="04EBB5BB" w14:textId="77777777" w:rsidR="00397FB5" w:rsidRPr="004366BE" w:rsidRDefault="00000309" w:rsidP="00F74ED9">
      <w:pPr>
        <w:pStyle w:val="MELegal1"/>
      </w:pPr>
      <w:bookmarkStart w:id="46" w:name="_Toc98939430"/>
      <w:r w:rsidRPr="004366BE">
        <w:t>Product Suppliers</w:t>
      </w:r>
      <w:r w:rsidR="00AF5E2E">
        <w:t xml:space="preserve"> - </w:t>
      </w:r>
      <w:r w:rsidR="006A7D41">
        <w:t>ELVC</w:t>
      </w:r>
      <w:r w:rsidR="00F568E2">
        <w:t xml:space="preserve">s </w:t>
      </w:r>
      <w:r w:rsidR="006A7D41">
        <w:t>and Ballasts</w:t>
      </w:r>
      <w:bookmarkEnd w:id="46"/>
    </w:p>
    <w:p w14:paraId="61A774CA" w14:textId="77777777" w:rsidR="00000309" w:rsidRPr="004366BE" w:rsidRDefault="00000309" w:rsidP="00000309">
      <w:r w:rsidRPr="004366BE">
        <w:t xml:space="preserve">Informal discussions held with Lighting Council Australia </w:t>
      </w:r>
      <w:r w:rsidR="00F57212">
        <w:t xml:space="preserve">(LCA) </w:t>
      </w:r>
      <w:r w:rsidRPr="004366BE">
        <w:t xml:space="preserve">revealed that the market for ballasts and ELVCs is now very small and on a trajectory towards zero, although the tail end of the market may be long and thin.  No product development is occurring in this field and the market has been very stable in terms of brands/models over the past decade.  </w:t>
      </w:r>
      <w:r w:rsidR="00F57212">
        <w:t>LCA state that s</w:t>
      </w:r>
      <w:r w:rsidRPr="004366BE">
        <w:t xml:space="preserve">ales have reduced considerably, especially over recent years as LEDs have dominated. </w:t>
      </w:r>
      <w:r w:rsidR="00F57212">
        <w:t xml:space="preserve"> </w:t>
      </w:r>
      <w:r w:rsidRPr="004366BE">
        <w:t>Hence these products are only used for maintenance of existing installations and not for new installations.  Electrical contractors are also constantly prompting building owners to update to LED for energy and maintenance savings.</w:t>
      </w:r>
    </w:p>
    <w:p w14:paraId="6F442897" w14:textId="4E05E6CE" w:rsidR="00377449" w:rsidRPr="004366BE" w:rsidRDefault="00377449">
      <w:pPr>
        <w:spacing w:after="0"/>
      </w:pPr>
    </w:p>
    <w:p w14:paraId="24D6247D" w14:textId="77777777" w:rsidR="00571686" w:rsidRPr="004366BE" w:rsidRDefault="0037102F" w:rsidP="00571686">
      <w:pPr>
        <w:pStyle w:val="MELegal1"/>
      </w:pPr>
      <w:bookmarkStart w:id="47" w:name="_Toc98939431"/>
      <w:r>
        <w:t>Discussion</w:t>
      </w:r>
      <w:r w:rsidR="00AF5E2E">
        <w:t xml:space="preserve"> </w:t>
      </w:r>
      <w:r w:rsidR="006A7D41">
        <w:t>- ELVC</w:t>
      </w:r>
      <w:r w:rsidR="008330CD">
        <w:t>s</w:t>
      </w:r>
      <w:r w:rsidR="006A7D41">
        <w:t xml:space="preserve"> and Ballasts</w:t>
      </w:r>
      <w:bookmarkEnd w:id="47"/>
    </w:p>
    <w:p w14:paraId="46429E29" w14:textId="44B7FEE9" w:rsidR="00377449" w:rsidRPr="004366BE" w:rsidRDefault="00DA0BCF" w:rsidP="00DA0BCF">
      <w:pPr>
        <w:pStyle w:val="BodyText"/>
        <w:rPr>
          <w:lang w:val="en-AU"/>
        </w:rPr>
      </w:pPr>
      <w:r w:rsidRPr="004366BE">
        <w:rPr>
          <w:lang w:val="en-AU"/>
        </w:rPr>
        <w:t xml:space="preserve">Fluorescent and halogen lighting systems are becoming obsolete.  There are still legacy systems </w:t>
      </w:r>
      <w:r w:rsidR="0053632E" w:rsidRPr="004366BE">
        <w:rPr>
          <w:lang w:val="en-AU"/>
        </w:rPr>
        <w:t>in operation</w:t>
      </w:r>
      <w:r w:rsidRPr="004366BE">
        <w:rPr>
          <w:lang w:val="en-AU"/>
        </w:rPr>
        <w:t xml:space="preserve">, but the numbers of new installations of these systems </w:t>
      </w:r>
      <w:r w:rsidR="00556825">
        <w:rPr>
          <w:lang w:val="en-AU"/>
        </w:rPr>
        <w:t xml:space="preserve">is </w:t>
      </w:r>
      <w:r w:rsidR="009A4372">
        <w:rPr>
          <w:lang w:val="en-AU"/>
        </w:rPr>
        <w:t xml:space="preserve">now </w:t>
      </w:r>
      <w:r w:rsidRPr="004366BE">
        <w:rPr>
          <w:lang w:val="en-AU"/>
        </w:rPr>
        <w:t xml:space="preserve">very small.  Ballast and ELVC sales (used for new lighting systems and where a ballast or ELVC </w:t>
      </w:r>
      <w:r w:rsidR="00C76542">
        <w:rPr>
          <w:lang w:val="en-AU"/>
        </w:rPr>
        <w:t xml:space="preserve">has </w:t>
      </w:r>
      <w:r w:rsidRPr="004366BE">
        <w:rPr>
          <w:lang w:val="en-AU"/>
        </w:rPr>
        <w:t>fail</w:t>
      </w:r>
      <w:r w:rsidR="00C76542">
        <w:rPr>
          <w:lang w:val="en-AU"/>
        </w:rPr>
        <w:t>ed</w:t>
      </w:r>
      <w:r w:rsidRPr="004366BE">
        <w:rPr>
          <w:lang w:val="en-AU"/>
        </w:rPr>
        <w:t xml:space="preserve">) </w:t>
      </w:r>
      <w:r w:rsidR="00CA5E02">
        <w:rPr>
          <w:lang w:val="en-AU"/>
        </w:rPr>
        <w:t xml:space="preserve">are estimated to </w:t>
      </w:r>
      <w:r w:rsidRPr="004366BE">
        <w:rPr>
          <w:lang w:val="en-AU"/>
        </w:rPr>
        <w:t xml:space="preserve">have dropped by </w:t>
      </w:r>
      <w:r w:rsidR="006B754E">
        <w:rPr>
          <w:lang w:val="en-AU"/>
        </w:rPr>
        <w:t>80-</w:t>
      </w:r>
      <w:r w:rsidRPr="004366BE">
        <w:rPr>
          <w:lang w:val="en-AU"/>
        </w:rPr>
        <w:t xml:space="preserve">90% </w:t>
      </w:r>
      <w:r w:rsidR="00E85A8E">
        <w:rPr>
          <w:lang w:val="en-AU"/>
        </w:rPr>
        <w:t>over</w:t>
      </w:r>
      <w:r w:rsidRPr="004366BE">
        <w:rPr>
          <w:lang w:val="en-AU"/>
        </w:rPr>
        <w:t xml:space="preserve"> the past decade.  </w:t>
      </w:r>
    </w:p>
    <w:p w14:paraId="04BA6111" w14:textId="77777777" w:rsidR="007E14C7" w:rsidRPr="004366BE" w:rsidRDefault="001913CA" w:rsidP="00DA0BCF">
      <w:pPr>
        <w:pStyle w:val="BodyText"/>
        <w:rPr>
          <w:lang w:val="en-AU"/>
        </w:rPr>
      </w:pPr>
      <w:r w:rsidRPr="004366BE">
        <w:rPr>
          <w:lang w:val="en-AU"/>
        </w:rPr>
        <w:t xml:space="preserve">For the ballasts and ELVCs </w:t>
      </w:r>
      <w:r w:rsidR="002D72F9">
        <w:rPr>
          <w:lang w:val="en-AU"/>
        </w:rPr>
        <w:t xml:space="preserve">that are </w:t>
      </w:r>
      <w:r w:rsidRPr="004366BE">
        <w:rPr>
          <w:lang w:val="en-AU"/>
        </w:rPr>
        <w:t xml:space="preserve">still being installed, the number of magnetic units being installed is </w:t>
      </w:r>
      <w:r w:rsidR="00CA5E02">
        <w:rPr>
          <w:lang w:val="en-AU"/>
        </w:rPr>
        <w:t xml:space="preserve">estimated to be </w:t>
      </w:r>
      <w:r w:rsidRPr="004366BE">
        <w:rPr>
          <w:lang w:val="en-AU"/>
        </w:rPr>
        <w:t xml:space="preserve">very low - </w:t>
      </w:r>
      <w:r w:rsidR="007E14C7" w:rsidRPr="004366BE">
        <w:rPr>
          <w:lang w:val="en-AU"/>
        </w:rPr>
        <w:t xml:space="preserve">less than 10% for ballasts (Australia/NZ) and </w:t>
      </w:r>
      <w:r w:rsidRPr="004366BE">
        <w:rPr>
          <w:lang w:val="en-AU"/>
        </w:rPr>
        <w:t xml:space="preserve">effectively 0% for ELVCs </w:t>
      </w:r>
      <w:r w:rsidR="007E14C7" w:rsidRPr="004366BE">
        <w:rPr>
          <w:lang w:val="en-AU"/>
        </w:rPr>
        <w:t>(Australia).</w:t>
      </w:r>
    </w:p>
    <w:p w14:paraId="7D2A784D" w14:textId="77777777" w:rsidR="007E14C7" w:rsidRPr="004366BE" w:rsidRDefault="004366BE" w:rsidP="00DA0BCF">
      <w:pPr>
        <w:pStyle w:val="BodyText"/>
        <w:rPr>
          <w:lang w:val="en-AU"/>
        </w:rPr>
      </w:pPr>
      <w:r w:rsidRPr="004366BE">
        <w:rPr>
          <w:lang w:val="en-AU"/>
        </w:rPr>
        <w:t xml:space="preserve">Removal of MEPS regulations for ballasts and ELVCs is unlikely to </w:t>
      </w:r>
      <w:r w:rsidR="00556825">
        <w:rPr>
          <w:lang w:val="en-AU"/>
        </w:rPr>
        <w:t xml:space="preserve">result in </w:t>
      </w:r>
      <w:r w:rsidRPr="004366BE">
        <w:rPr>
          <w:lang w:val="en-AU"/>
        </w:rPr>
        <w:t>a significant reversion to inefficient magnetic units</w:t>
      </w:r>
      <w:r w:rsidR="004E7AE2">
        <w:rPr>
          <w:lang w:val="en-AU"/>
        </w:rPr>
        <w:t>, for the following reasons:</w:t>
      </w:r>
    </w:p>
    <w:p w14:paraId="61562BD7" w14:textId="77777777" w:rsidR="004366BE" w:rsidRPr="004366BE" w:rsidRDefault="004366BE" w:rsidP="002171BC">
      <w:pPr>
        <w:pStyle w:val="BodyText"/>
        <w:numPr>
          <w:ilvl w:val="0"/>
          <w:numId w:val="22"/>
        </w:numPr>
        <w:jc w:val="left"/>
        <w:rPr>
          <w:lang w:val="en-AU"/>
        </w:rPr>
      </w:pPr>
      <w:r w:rsidRPr="004366BE">
        <w:rPr>
          <w:lang w:val="en-AU"/>
        </w:rPr>
        <w:t>For ballasts, magnetic units are still able to be sold, however they must be relatively efficient models.  Despite this, sales of electronic ballasts dominate - the market has</w:t>
      </w:r>
      <w:r w:rsidR="00556825">
        <w:rPr>
          <w:lang w:val="en-AU"/>
        </w:rPr>
        <w:t xml:space="preserve"> effectively </w:t>
      </w:r>
      <w:r w:rsidRPr="004366BE">
        <w:rPr>
          <w:lang w:val="en-AU"/>
        </w:rPr>
        <w:t xml:space="preserve"> ‘leapfrogged’ magnetic ballasts in favour of  electronic.</w:t>
      </w:r>
    </w:p>
    <w:p w14:paraId="41DCB956" w14:textId="77777777" w:rsidR="004E2B27" w:rsidRDefault="004E2B27" w:rsidP="002171BC">
      <w:pPr>
        <w:pStyle w:val="BodyText"/>
        <w:numPr>
          <w:ilvl w:val="0"/>
          <w:numId w:val="22"/>
        </w:numPr>
        <w:jc w:val="left"/>
        <w:rPr>
          <w:lang w:val="en-AU"/>
        </w:rPr>
      </w:pPr>
      <w:r>
        <w:rPr>
          <w:lang w:val="en-AU"/>
        </w:rPr>
        <w:t xml:space="preserve">New Zealand, which does not have </w:t>
      </w:r>
      <w:r w:rsidR="00556825">
        <w:rPr>
          <w:lang w:val="en-AU"/>
        </w:rPr>
        <w:t xml:space="preserve">any </w:t>
      </w:r>
      <w:r>
        <w:rPr>
          <w:lang w:val="en-AU"/>
        </w:rPr>
        <w:t xml:space="preserve">MEPS </w:t>
      </w:r>
      <w:r w:rsidR="00556825">
        <w:rPr>
          <w:lang w:val="en-AU"/>
        </w:rPr>
        <w:t xml:space="preserve">in place </w:t>
      </w:r>
      <w:r>
        <w:rPr>
          <w:lang w:val="en-AU"/>
        </w:rPr>
        <w:t xml:space="preserve">for ELVCs, has sales of magnetic ELVCs of around 2%.  </w:t>
      </w:r>
    </w:p>
    <w:p w14:paraId="4BBEF71A" w14:textId="74A62FF3" w:rsidR="00F834E8" w:rsidRDefault="00F834E8" w:rsidP="002171BC">
      <w:pPr>
        <w:pStyle w:val="BodyText"/>
        <w:numPr>
          <w:ilvl w:val="0"/>
          <w:numId w:val="22"/>
        </w:numPr>
        <w:jc w:val="left"/>
        <w:rPr>
          <w:lang w:val="en-AU"/>
        </w:rPr>
      </w:pPr>
      <w:r>
        <w:rPr>
          <w:lang w:val="en-AU"/>
        </w:rPr>
        <w:t xml:space="preserve">Magnetic ballasts and ELVCs use significant amounts of copper </w:t>
      </w:r>
      <w:r w:rsidR="00267E74">
        <w:rPr>
          <w:lang w:val="en-AU"/>
        </w:rPr>
        <w:t xml:space="preserve">in their windings.  The price of copper has risen significantly in the past 20 years (refer </w:t>
      </w:r>
      <w:r w:rsidR="00267E74">
        <w:rPr>
          <w:lang w:val="en-AU"/>
        </w:rPr>
        <w:fldChar w:fldCharType="begin"/>
      </w:r>
      <w:r w:rsidR="00267E74">
        <w:rPr>
          <w:lang w:val="en-AU"/>
        </w:rPr>
        <w:instrText xml:space="preserve"> REF _Ref89418304 \h </w:instrText>
      </w:r>
      <w:r w:rsidR="00267E74">
        <w:rPr>
          <w:lang w:val="en-AU"/>
        </w:rPr>
      </w:r>
      <w:r w:rsidR="00267E74">
        <w:rPr>
          <w:lang w:val="en-AU"/>
        </w:rPr>
        <w:fldChar w:fldCharType="separate"/>
      </w:r>
      <w:r w:rsidR="00666308">
        <w:t xml:space="preserve">Figure </w:t>
      </w:r>
      <w:r w:rsidR="00666308">
        <w:rPr>
          <w:noProof/>
        </w:rPr>
        <w:t>15</w:t>
      </w:r>
      <w:r w:rsidR="00267E74">
        <w:rPr>
          <w:lang w:val="en-AU"/>
        </w:rPr>
        <w:fldChar w:fldCharType="end"/>
      </w:r>
      <w:r w:rsidR="00267E74">
        <w:rPr>
          <w:lang w:val="en-AU"/>
        </w:rPr>
        <w:t xml:space="preserve">) </w:t>
      </w:r>
      <w:r w:rsidR="002171BC">
        <w:rPr>
          <w:lang w:val="en-AU"/>
        </w:rPr>
        <w:t>whilst</w:t>
      </w:r>
      <w:r w:rsidR="00267E74">
        <w:rPr>
          <w:lang w:val="en-AU"/>
        </w:rPr>
        <w:t xml:space="preserve"> the cost of electronics has declined</w:t>
      </w:r>
      <w:r w:rsidR="006B509E">
        <w:rPr>
          <w:lang w:val="en-AU"/>
        </w:rPr>
        <w:t xml:space="preserve">.  For example an electronic ELVC can </w:t>
      </w:r>
      <w:r w:rsidR="00556825">
        <w:rPr>
          <w:lang w:val="en-AU"/>
        </w:rPr>
        <w:t xml:space="preserve">now </w:t>
      </w:r>
      <w:r w:rsidR="006B509E">
        <w:rPr>
          <w:lang w:val="en-AU"/>
        </w:rPr>
        <w:t>be purchased for around AUD $12</w:t>
      </w:r>
      <w:r w:rsidR="00556825">
        <w:rPr>
          <w:lang w:val="en-AU"/>
        </w:rPr>
        <w:t xml:space="preserve"> (retail incl GST)</w:t>
      </w:r>
      <w:r w:rsidR="006B509E">
        <w:rPr>
          <w:lang w:val="en-AU"/>
        </w:rPr>
        <w:t xml:space="preserve">.  </w:t>
      </w:r>
      <w:r w:rsidR="00267E74">
        <w:rPr>
          <w:lang w:val="en-AU"/>
        </w:rPr>
        <w:t xml:space="preserve"> Thus a </w:t>
      </w:r>
      <w:r w:rsidR="00372205">
        <w:rPr>
          <w:lang w:val="en-AU"/>
        </w:rPr>
        <w:t xml:space="preserve">significant </w:t>
      </w:r>
      <w:r w:rsidR="00267E74">
        <w:rPr>
          <w:lang w:val="en-AU"/>
        </w:rPr>
        <w:t>reversion to magnetic technology seems unlikely.</w:t>
      </w:r>
      <w:r w:rsidR="006B509E">
        <w:rPr>
          <w:lang w:val="en-AU"/>
        </w:rPr>
        <w:t xml:space="preserve">  </w:t>
      </w:r>
    </w:p>
    <w:p w14:paraId="781A78A2" w14:textId="2FCF6881" w:rsidR="004E7AE2" w:rsidRDefault="004E7AE2" w:rsidP="004E7AE2">
      <w:pPr>
        <w:pStyle w:val="Caption"/>
        <w:keepNext/>
        <w:jc w:val="both"/>
      </w:pPr>
      <w:bookmarkStart w:id="48" w:name="_Ref89418304"/>
      <w:bookmarkStart w:id="49" w:name="_Toc96943934"/>
      <w:r>
        <w:t xml:space="preserve">Figure </w:t>
      </w:r>
      <w:r w:rsidR="00932D7A">
        <w:rPr>
          <w:noProof/>
        </w:rPr>
        <w:fldChar w:fldCharType="begin"/>
      </w:r>
      <w:r w:rsidR="00932D7A">
        <w:rPr>
          <w:noProof/>
        </w:rPr>
        <w:instrText xml:space="preserve"> SEQ Figure \* ARABIC </w:instrText>
      </w:r>
      <w:r w:rsidR="00932D7A">
        <w:rPr>
          <w:noProof/>
        </w:rPr>
        <w:fldChar w:fldCharType="separate"/>
      </w:r>
      <w:r w:rsidR="00666308">
        <w:rPr>
          <w:noProof/>
        </w:rPr>
        <w:t>15</w:t>
      </w:r>
      <w:r w:rsidR="00932D7A">
        <w:rPr>
          <w:noProof/>
        </w:rPr>
        <w:fldChar w:fldCharType="end"/>
      </w:r>
      <w:bookmarkEnd w:id="48"/>
      <w:r>
        <w:t xml:space="preserve"> - Historical copper price (source: macrotrends.net)</w:t>
      </w:r>
      <w:bookmarkEnd w:id="49"/>
    </w:p>
    <w:p w14:paraId="2A92D70A" w14:textId="77777777" w:rsidR="00377449" w:rsidRPr="004366BE" w:rsidRDefault="004E7AE2" w:rsidP="00DA0BCF">
      <w:pPr>
        <w:pStyle w:val="BodyText"/>
        <w:rPr>
          <w:lang w:val="en-AU"/>
        </w:rPr>
      </w:pPr>
      <w:r>
        <w:rPr>
          <w:noProof/>
          <w:lang w:val="en-AU" w:eastAsia="en-AU"/>
        </w:rPr>
        <w:drawing>
          <wp:inline distT="0" distB="0" distL="0" distR="0" wp14:anchorId="1AF97E01" wp14:editId="7063A708">
            <wp:extent cx="5040701" cy="3178800"/>
            <wp:effectExtent l="0" t="0" r="1270" b="0"/>
            <wp:docPr id="22" name="Picture 2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040701" cy="3178800"/>
                    </a:xfrm>
                    <a:prstGeom prst="rect">
                      <a:avLst/>
                    </a:prstGeom>
                  </pic:spPr>
                </pic:pic>
              </a:graphicData>
            </a:graphic>
          </wp:inline>
        </w:drawing>
      </w:r>
    </w:p>
    <w:p w14:paraId="5E505B98" w14:textId="77777777" w:rsidR="00377449" w:rsidRDefault="00377449" w:rsidP="00DA0BCF">
      <w:pPr>
        <w:pStyle w:val="BodyText"/>
        <w:rPr>
          <w:lang w:val="en-AU"/>
        </w:rPr>
      </w:pPr>
    </w:p>
    <w:p w14:paraId="4BD6C291" w14:textId="77777777" w:rsidR="0079035D" w:rsidRDefault="0079035D" w:rsidP="00DA0BCF">
      <w:pPr>
        <w:pStyle w:val="BodyText"/>
        <w:rPr>
          <w:lang w:val="en-AU"/>
        </w:rPr>
      </w:pPr>
      <w:r>
        <w:rPr>
          <w:lang w:val="en-AU"/>
        </w:rPr>
        <w:t xml:space="preserve">There is a risk that the removal of the MEPS regulations will change the economics discussed above, such that very cheap, very inefficient magnetic units are dumped into the AUS/NZS market, and these are able to compete with electronic units on price.  Given that this has not occurred in New Zealand for ELVCs (no MEPS in place) and that ELVCs and ballasts are quite similar in terms of the materials used, this seems unlikely.  </w:t>
      </w:r>
    </w:p>
    <w:p w14:paraId="08F3012E" w14:textId="77777777" w:rsidR="0037102F" w:rsidRDefault="002D72F9" w:rsidP="0037102F">
      <w:pPr>
        <w:pStyle w:val="BodyText"/>
        <w:rPr>
          <w:lang w:val="en-AU"/>
        </w:rPr>
      </w:pPr>
      <w:r>
        <w:rPr>
          <w:lang w:val="en-AU"/>
        </w:rPr>
        <w:t>Even though the r</w:t>
      </w:r>
      <w:r w:rsidR="0037102F">
        <w:rPr>
          <w:lang w:val="en-AU"/>
        </w:rPr>
        <w:t xml:space="preserve">emoval of MEPS is unlikely to result in a </w:t>
      </w:r>
      <w:r w:rsidR="0037102F" w:rsidRPr="004366BE">
        <w:rPr>
          <w:lang w:val="en-AU"/>
        </w:rPr>
        <w:t>significant reversion to magnetic units</w:t>
      </w:r>
      <w:r w:rsidR="0037102F">
        <w:rPr>
          <w:lang w:val="en-AU"/>
        </w:rPr>
        <w:t xml:space="preserve">, a reduction in the efficiency of electronic units should </w:t>
      </w:r>
      <w:r w:rsidR="00556825">
        <w:rPr>
          <w:lang w:val="en-AU"/>
        </w:rPr>
        <w:t xml:space="preserve">also </w:t>
      </w:r>
      <w:r w:rsidR="0037102F">
        <w:rPr>
          <w:lang w:val="en-AU"/>
        </w:rPr>
        <w:t xml:space="preserve">be examined.  </w:t>
      </w:r>
      <w:r w:rsidR="00556825">
        <w:rPr>
          <w:lang w:val="en-AU"/>
        </w:rPr>
        <w:t>T</w:t>
      </w:r>
      <w:r w:rsidR="0037102F">
        <w:rPr>
          <w:lang w:val="en-AU"/>
        </w:rPr>
        <w:t xml:space="preserve">his is not </w:t>
      </w:r>
      <w:r w:rsidR="00C76542">
        <w:rPr>
          <w:lang w:val="en-AU"/>
        </w:rPr>
        <w:t xml:space="preserve">considered </w:t>
      </w:r>
      <w:r w:rsidR="0037102F">
        <w:rPr>
          <w:lang w:val="en-AU"/>
        </w:rPr>
        <w:t xml:space="preserve">likely, as the electronic ballasts and ELVCs have efficiencies </w:t>
      </w:r>
      <w:r>
        <w:rPr>
          <w:lang w:val="en-AU"/>
        </w:rPr>
        <w:t xml:space="preserve">that </w:t>
      </w:r>
      <w:r w:rsidR="0037102F">
        <w:rPr>
          <w:lang w:val="en-AU"/>
        </w:rPr>
        <w:t xml:space="preserve">are already well above the </w:t>
      </w:r>
      <w:r w:rsidR="00C76542">
        <w:rPr>
          <w:lang w:val="en-AU"/>
        </w:rPr>
        <w:t xml:space="preserve">current </w:t>
      </w:r>
      <w:r w:rsidR="0037102F">
        <w:rPr>
          <w:lang w:val="en-AU"/>
        </w:rPr>
        <w:t>MEPS limit</w:t>
      </w:r>
      <w:r w:rsidR="00C76542">
        <w:rPr>
          <w:lang w:val="en-AU"/>
        </w:rPr>
        <w:t>s, t</w:t>
      </w:r>
      <w:r w:rsidR="0037102F">
        <w:rPr>
          <w:lang w:val="en-AU"/>
        </w:rPr>
        <w:t>hus removal of the MEPS limit</w:t>
      </w:r>
      <w:r>
        <w:rPr>
          <w:lang w:val="en-AU"/>
        </w:rPr>
        <w:t>s</w:t>
      </w:r>
      <w:r w:rsidR="0037102F">
        <w:rPr>
          <w:lang w:val="en-AU"/>
        </w:rPr>
        <w:t xml:space="preserve"> should have no impact</w:t>
      </w:r>
      <w:r w:rsidR="00C76542">
        <w:rPr>
          <w:lang w:val="en-AU"/>
        </w:rPr>
        <w:t xml:space="preserve"> on the efficiency of electronic ballasts and ELVCs.</w:t>
      </w:r>
    </w:p>
    <w:p w14:paraId="09E8C5FB" w14:textId="736252EF" w:rsidR="002E72E3" w:rsidRDefault="00EA6F24" w:rsidP="0037102F">
      <w:pPr>
        <w:pStyle w:val="BodyText"/>
        <w:rPr>
          <w:lang w:val="en-AU"/>
        </w:rPr>
      </w:pPr>
      <w:r>
        <w:rPr>
          <w:lang w:val="en-AU"/>
        </w:rPr>
        <w:t xml:space="preserve">There may be some niche applications for which magnetic ballasts and ELVCs are preferred over electronic units.  </w:t>
      </w:r>
      <w:r w:rsidR="00556825">
        <w:rPr>
          <w:lang w:val="en-AU"/>
        </w:rPr>
        <w:t>H</w:t>
      </w:r>
      <w:r>
        <w:rPr>
          <w:lang w:val="en-AU"/>
        </w:rPr>
        <w:t xml:space="preserve">igher efficiency magnetic ballasts and ELVCs are currently </w:t>
      </w:r>
      <w:r w:rsidR="002D72F9">
        <w:rPr>
          <w:lang w:val="en-AU"/>
        </w:rPr>
        <w:t>available</w:t>
      </w:r>
      <w:r w:rsidR="00556825">
        <w:rPr>
          <w:lang w:val="en-AU"/>
        </w:rPr>
        <w:t xml:space="preserve"> under current MEPS regulations.  Thus these </w:t>
      </w:r>
      <w:r w:rsidR="002D72F9">
        <w:rPr>
          <w:lang w:val="en-AU"/>
        </w:rPr>
        <w:t xml:space="preserve">can be </w:t>
      </w:r>
      <w:r>
        <w:rPr>
          <w:lang w:val="en-AU"/>
        </w:rPr>
        <w:t>installed into these niche applications</w:t>
      </w:r>
      <w:r w:rsidR="00556825">
        <w:rPr>
          <w:lang w:val="en-AU"/>
        </w:rPr>
        <w:t>.  Hence it is suggested that any sales of magnetic units into niche applications</w:t>
      </w:r>
      <w:r w:rsidR="00853CEF">
        <w:rPr>
          <w:lang w:val="en-AU"/>
        </w:rPr>
        <w:t xml:space="preserve"> </w:t>
      </w:r>
      <w:r w:rsidR="003A5481">
        <w:rPr>
          <w:lang w:val="en-AU"/>
        </w:rPr>
        <w:t xml:space="preserve">is </w:t>
      </w:r>
      <w:r w:rsidR="00853CEF">
        <w:rPr>
          <w:lang w:val="en-AU"/>
        </w:rPr>
        <w:t xml:space="preserve">already reflected in the </w:t>
      </w:r>
      <w:r w:rsidR="00556825">
        <w:rPr>
          <w:lang w:val="en-AU"/>
        </w:rPr>
        <w:t xml:space="preserve">current </w:t>
      </w:r>
      <w:r w:rsidR="00853CEF">
        <w:rPr>
          <w:lang w:val="en-AU"/>
        </w:rPr>
        <w:t xml:space="preserve">sales quantities of magnetic ballasts and ELVCs.  </w:t>
      </w:r>
    </w:p>
    <w:p w14:paraId="41FFE029" w14:textId="77777777" w:rsidR="002E72E3" w:rsidRDefault="002E72E3" w:rsidP="0037102F">
      <w:pPr>
        <w:pStyle w:val="BodyText"/>
        <w:rPr>
          <w:lang w:val="en-AU"/>
        </w:rPr>
      </w:pPr>
      <w:r>
        <w:rPr>
          <w:lang w:val="en-AU"/>
        </w:rPr>
        <w:t xml:space="preserve">Note about the data: there may be some </w:t>
      </w:r>
      <w:r w:rsidR="00F57853">
        <w:rPr>
          <w:lang w:val="en-AU"/>
        </w:rPr>
        <w:t>overestimation of coverage of the regulated products</w:t>
      </w:r>
      <w:r>
        <w:rPr>
          <w:lang w:val="en-AU"/>
        </w:rPr>
        <w:t xml:space="preserve"> where:</w:t>
      </w:r>
    </w:p>
    <w:p w14:paraId="104764A8" w14:textId="77777777" w:rsidR="002E72E3" w:rsidRDefault="00F57853" w:rsidP="00F44E88">
      <w:pPr>
        <w:pStyle w:val="BodyText"/>
        <w:numPr>
          <w:ilvl w:val="0"/>
          <w:numId w:val="25"/>
        </w:numPr>
        <w:ind w:left="426"/>
        <w:rPr>
          <w:lang w:val="en-AU"/>
        </w:rPr>
      </w:pPr>
      <w:r>
        <w:rPr>
          <w:lang w:val="en-AU"/>
        </w:rPr>
        <w:t xml:space="preserve">Import figures for </w:t>
      </w:r>
      <w:r w:rsidR="002E72E3">
        <w:rPr>
          <w:lang w:val="en-AU"/>
        </w:rPr>
        <w:t>magnetic ballasts may</w:t>
      </w:r>
      <w:r>
        <w:rPr>
          <w:lang w:val="en-AU"/>
        </w:rPr>
        <w:t xml:space="preserve"> also include data for sulphur and </w:t>
      </w:r>
      <w:r w:rsidR="002E72E3">
        <w:rPr>
          <w:lang w:val="en-AU"/>
        </w:rPr>
        <w:t xml:space="preserve">mercury </w:t>
      </w:r>
      <w:r w:rsidR="00A10573">
        <w:rPr>
          <w:lang w:val="en-AU"/>
        </w:rPr>
        <w:t>vapour</w:t>
      </w:r>
      <w:r>
        <w:rPr>
          <w:lang w:val="en-AU"/>
        </w:rPr>
        <w:t xml:space="preserve"> l</w:t>
      </w:r>
      <w:r w:rsidR="002E72E3">
        <w:rPr>
          <w:lang w:val="en-AU"/>
        </w:rPr>
        <w:t>amps (</w:t>
      </w:r>
      <w:r>
        <w:rPr>
          <w:lang w:val="en-AU"/>
        </w:rPr>
        <w:t>which have</w:t>
      </w:r>
      <w:r w:rsidR="002E72E3">
        <w:rPr>
          <w:lang w:val="en-AU"/>
        </w:rPr>
        <w:t xml:space="preserve"> niche industries they service: arena lighting, mining and excavation sites etc).  </w:t>
      </w:r>
    </w:p>
    <w:p w14:paraId="1DED39C1" w14:textId="77777777" w:rsidR="002E72E3" w:rsidRDefault="002E72E3" w:rsidP="00F44E88">
      <w:pPr>
        <w:pStyle w:val="BodyText"/>
        <w:numPr>
          <w:ilvl w:val="0"/>
          <w:numId w:val="25"/>
        </w:numPr>
        <w:ind w:left="426"/>
        <w:rPr>
          <w:lang w:val="en-AU"/>
        </w:rPr>
      </w:pPr>
      <w:r>
        <w:rPr>
          <w:lang w:val="en-AU"/>
        </w:rPr>
        <w:t>LED drivers may be included in the data for ELVCs (as per EECA’s advice to the Department)</w:t>
      </w:r>
    </w:p>
    <w:p w14:paraId="30CD67D9" w14:textId="77777777" w:rsidR="002E72E3" w:rsidRDefault="002E72E3" w:rsidP="00F44E88">
      <w:pPr>
        <w:pStyle w:val="BodyText"/>
        <w:ind w:left="66"/>
        <w:rPr>
          <w:lang w:val="en-AU"/>
        </w:rPr>
      </w:pPr>
      <w:r>
        <w:rPr>
          <w:lang w:val="en-AU"/>
        </w:rPr>
        <w:t>Consultations with stakeholders may resolve some of this uncertainty</w:t>
      </w:r>
      <w:r w:rsidR="00F44E88">
        <w:rPr>
          <w:lang w:val="en-AU"/>
        </w:rPr>
        <w:t>.</w:t>
      </w:r>
    </w:p>
    <w:p w14:paraId="5315B54A" w14:textId="77777777" w:rsidR="002E72E3" w:rsidRPr="004366BE" w:rsidRDefault="002E72E3" w:rsidP="002E72E3">
      <w:pPr>
        <w:pStyle w:val="BodyText"/>
        <w:rPr>
          <w:lang w:val="en-AU"/>
        </w:rPr>
      </w:pPr>
    </w:p>
    <w:p w14:paraId="02D8C056" w14:textId="77777777" w:rsidR="0037102F" w:rsidRPr="004366BE" w:rsidRDefault="0037102F" w:rsidP="0037102F">
      <w:pPr>
        <w:pStyle w:val="MELegal1"/>
      </w:pPr>
      <w:bookmarkStart w:id="50" w:name="_Toc98939432"/>
      <w:r>
        <w:t>Conclusions</w:t>
      </w:r>
      <w:r w:rsidR="00F3273F">
        <w:t xml:space="preserve"> and Recommendations</w:t>
      </w:r>
      <w:bookmarkEnd w:id="50"/>
    </w:p>
    <w:p w14:paraId="50575EA9" w14:textId="77777777" w:rsidR="00C54CCA" w:rsidRPr="004366BE" w:rsidRDefault="00C54CCA" w:rsidP="00DA0BCF">
      <w:pPr>
        <w:pStyle w:val="BodyText"/>
        <w:rPr>
          <w:lang w:val="en-AU"/>
        </w:rPr>
      </w:pPr>
      <w:r w:rsidRPr="004366BE">
        <w:rPr>
          <w:lang w:val="en-AU"/>
        </w:rPr>
        <w:t xml:space="preserve">The purpose of this review </w:t>
      </w:r>
      <w:r w:rsidR="00000309" w:rsidRPr="004366BE">
        <w:rPr>
          <w:lang w:val="en-AU"/>
        </w:rPr>
        <w:t xml:space="preserve">was </w:t>
      </w:r>
      <w:r w:rsidRPr="004366BE">
        <w:rPr>
          <w:lang w:val="en-AU"/>
        </w:rPr>
        <w:t>to conclude if the GEMS Determinations for fluorescent ballasts and ELV</w:t>
      </w:r>
      <w:r w:rsidR="00000309" w:rsidRPr="004366BE">
        <w:rPr>
          <w:lang w:val="en-AU"/>
        </w:rPr>
        <w:t xml:space="preserve">Cs </w:t>
      </w:r>
      <w:r w:rsidRPr="004366BE">
        <w:rPr>
          <w:lang w:val="en-AU"/>
        </w:rPr>
        <w:t xml:space="preserve">are still efficient and effective.  </w:t>
      </w:r>
      <w:r w:rsidR="00B40015">
        <w:rPr>
          <w:lang w:val="en-AU"/>
        </w:rPr>
        <w:t>Listed below are t</w:t>
      </w:r>
      <w:r w:rsidRPr="004366BE">
        <w:rPr>
          <w:lang w:val="en-AU"/>
        </w:rPr>
        <w:t xml:space="preserve">he criteria used in making </w:t>
      </w:r>
      <w:r w:rsidR="00B40015">
        <w:rPr>
          <w:lang w:val="en-AU"/>
        </w:rPr>
        <w:t xml:space="preserve">a </w:t>
      </w:r>
      <w:r w:rsidRPr="004366BE">
        <w:rPr>
          <w:lang w:val="en-AU"/>
        </w:rPr>
        <w:t>conclusion for each product</w:t>
      </w:r>
      <w:r w:rsidR="00B40015">
        <w:rPr>
          <w:lang w:val="en-AU"/>
        </w:rPr>
        <w:t xml:space="preserve">, along with the logic </w:t>
      </w:r>
      <w:r w:rsidR="00B4797E">
        <w:rPr>
          <w:lang w:val="en-AU"/>
        </w:rPr>
        <w:t xml:space="preserve">used to assess </w:t>
      </w:r>
      <w:r w:rsidR="00B40015">
        <w:rPr>
          <w:lang w:val="en-AU"/>
        </w:rPr>
        <w:t xml:space="preserve">each </w:t>
      </w:r>
      <w:r w:rsidR="00B4797E" w:rsidRPr="004366BE">
        <w:rPr>
          <w:lang w:val="en-AU"/>
        </w:rPr>
        <w:t>criteria</w:t>
      </w:r>
      <w:r w:rsidR="00B40015">
        <w:rPr>
          <w:lang w:val="en-AU"/>
        </w:rPr>
        <w:t>.</w:t>
      </w:r>
    </w:p>
    <w:p w14:paraId="42D754CF" w14:textId="77777777" w:rsidR="00C54CCA" w:rsidRPr="004366BE" w:rsidRDefault="00C54CCA" w:rsidP="00C54CCA">
      <w:pPr>
        <w:pStyle w:val="BodyText"/>
        <w:numPr>
          <w:ilvl w:val="0"/>
          <w:numId w:val="19"/>
        </w:numPr>
        <w:rPr>
          <w:lang w:val="en-AU"/>
        </w:rPr>
      </w:pPr>
      <w:r w:rsidRPr="004366BE">
        <w:rPr>
          <w:lang w:val="en-AU"/>
        </w:rPr>
        <w:t>Has there been a significant change in registration numbers and sales</w:t>
      </w:r>
      <w:r w:rsidR="004C2474" w:rsidRPr="004366BE">
        <w:rPr>
          <w:lang w:val="en-AU"/>
        </w:rPr>
        <w:t xml:space="preserve"> quantities</w:t>
      </w:r>
      <w:r w:rsidRPr="004366BE">
        <w:rPr>
          <w:lang w:val="en-AU"/>
        </w:rPr>
        <w:t>?</w:t>
      </w:r>
    </w:p>
    <w:p w14:paraId="59DD6AC1" w14:textId="3D14C021" w:rsidR="00C54CCA" w:rsidRPr="004366BE" w:rsidRDefault="00B40015" w:rsidP="00C54CCA">
      <w:pPr>
        <w:pStyle w:val="BodyText"/>
        <w:numPr>
          <w:ilvl w:val="1"/>
          <w:numId w:val="19"/>
        </w:numPr>
        <w:rPr>
          <w:lang w:val="en-AU"/>
        </w:rPr>
      </w:pPr>
      <w:r>
        <w:rPr>
          <w:lang w:val="en-AU"/>
        </w:rPr>
        <w:t xml:space="preserve">Yes.  </w:t>
      </w:r>
      <w:r w:rsidR="00000309" w:rsidRPr="004366BE">
        <w:rPr>
          <w:lang w:val="en-AU"/>
        </w:rPr>
        <w:t xml:space="preserve">Sales </w:t>
      </w:r>
      <w:r w:rsidR="0037102F">
        <w:rPr>
          <w:lang w:val="en-AU"/>
        </w:rPr>
        <w:t xml:space="preserve">quantities </w:t>
      </w:r>
      <w:r w:rsidR="00000309" w:rsidRPr="004366BE">
        <w:rPr>
          <w:lang w:val="en-AU"/>
        </w:rPr>
        <w:t xml:space="preserve">and registrations have declined markedly for both ballasts and ELVCs.  </w:t>
      </w:r>
      <w:r w:rsidR="00C96A67" w:rsidRPr="004366BE">
        <w:rPr>
          <w:lang w:val="en-AU"/>
        </w:rPr>
        <w:t>Sales</w:t>
      </w:r>
      <w:r w:rsidR="00CA5E02">
        <w:rPr>
          <w:lang w:val="en-AU"/>
        </w:rPr>
        <w:t xml:space="preserve"> are estimated to</w:t>
      </w:r>
      <w:r w:rsidR="00C96A67" w:rsidRPr="004366BE">
        <w:rPr>
          <w:lang w:val="en-AU"/>
        </w:rPr>
        <w:t xml:space="preserve"> have declined </w:t>
      </w:r>
      <w:r w:rsidR="00C87983">
        <w:rPr>
          <w:lang w:val="en-AU"/>
        </w:rPr>
        <w:t>80-</w:t>
      </w:r>
      <w:r w:rsidR="00C96A67" w:rsidRPr="004366BE">
        <w:rPr>
          <w:lang w:val="en-AU"/>
        </w:rPr>
        <w:t>9</w:t>
      </w:r>
      <w:r w:rsidR="0037102F">
        <w:rPr>
          <w:lang w:val="en-AU"/>
        </w:rPr>
        <w:t>0</w:t>
      </w:r>
      <w:r w:rsidR="00C96A67" w:rsidRPr="004366BE">
        <w:rPr>
          <w:lang w:val="en-AU"/>
        </w:rPr>
        <w:t xml:space="preserve">% since the time regulations were introduced.  </w:t>
      </w:r>
    </w:p>
    <w:p w14:paraId="1E555AFD" w14:textId="77777777" w:rsidR="00C54CCA" w:rsidRPr="004366BE" w:rsidRDefault="00C54CCA" w:rsidP="00C54CCA">
      <w:pPr>
        <w:pStyle w:val="BodyText"/>
        <w:numPr>
          <w:ilvl w:val="0"/>
          <w:numId w:val="19"/>
        </w:numPr>
        <w:rPr>
          <w:lang w:val="en-AU"/>
        </w:rPr>
      </w:pPr>
      <w:r w:rsidRPr="004366BE">
        <w:rPr>
          <w:lang w:val="en-AU"/>
        </w:rPr>
        <w:t>Are the determinations still reducing energy use and greenhouse gas emissions?</w:t>
      </w:r>
    </w:p>
    <w:p w14:paraId="4B904C77" w14:textId="5F5E2D44" w:rsidR="00C54CCA" w:rsidRDefault="00C96A67" w:rsidP="00C54CCA">
      <w:pPr>
        <w:pStyle w:val="BodyText"/>
        <w:numPr>
          <w:ilvl w:val="1"/>
          <w:numId w:val="19"/>
        </w:numPr>
        <w:rPr>
          <w:lang w:val="en-AU"/>
        </w:rPr>
      </w:pPr>
      <w:r w:rsidRPr="004366BE">
        <w:rPr>
          <w:lang w:val="en-AU"/>
        </w:rPr>
        <w:t xml:space="preserve">The estimated </w:t>
      </w:r>
      <w:r w:rsidR="00B40015">
        <w:rPr>
          <w:lang w:val="en-AU"/>
        </w:rPr>
        <w:t xml:space="preserve">increases </w:t>
      </w:r>
      <w:r w:rsidRPr="004366BE">
        <w:rPr>
          <w:lang w:val="en-AU"/>
        </w:rPr>
        <w:t>in energy and greenhouse gas emissions</w:t>
      </w:r>
      <w:r w:rsidR="00B40015">
        <w:rPr>
          <w:lang w:val="en-AU"/>
        </w:rPr>
        <w:t xml:space="preserve">, from removing the regulations, can be seen in </w:t>
      </w:r>
      <w:r w:rsidRPr="004366BE">
        <w:rPr>
          <w:lang w:val="en-AU"/>
        </w:rPr>
        <w:fldChar w:fldCharType="begin"/>
      </w:r>
      <w:r w:rsidRPr="004366BE">
        <w:rPr>
          <w:lang w:val="en-AU"/>
        </w:rPr>
        <w:instrText xml:space="preserve"> REF _Ref88734444 \h </w:instrText>
      </w:r>
      <w:r w:rsidRPr="004366BE">
        <w:rPr>
          <w:lang w:val="en-AU"/>
        </w:rPr>
      </w:r>
      <w:r w:rsidRPr="004366BE">
        <w:rPr>
          <w:lang w:val="en-AU"/>
        </w:rPr>
        <w:fldChar w:fldCharType="separate"/>
      </w:r>
      <w:r w:rsidR="00666308" w:rsidRPr="004366BE">
        <w:t xml:space="preserve">Figure </w:t>
      </w:r>
      <w:r w:rsidR="00666308">
        <w:rPr>
          <w:noProof/>
        </w:rPr>
        <w:t>6</w:t>
      </w:r>
      <w:r w:rsidRPr="004366BE">
        <w:rPr>
          <w:lang w:val="en-AU"/>
        </w:rPr>
        <w:fldChar w:fldCharType="end"/>
      </w:r>
      <w:r w:rsidRPr="004366BE">
        <w:rPr>
          <w:lang w:val="en-AU"/>
        </w:rPr>
        <w:t xml:space="preserve">, </w:t>
      </w:r>
      <w:r w:rsidRPr="004366BE">
        <w:rPr>
          <w:lang w:val="en-AU"/>
        </w:rPr>
        <w:fldChar w:fldCharType="begin"/>
      </w:r>
      <w:r w:rsidRPr="004366BE">
        <w:rPr>
          <w:lang w:val="en-AU"/>
        </w:rPr>
        <w:instrText xml:space="preserve"> REF _Ref88734446 \h </w:instrText>
      </w:r>
      <w:r w:rsidRPr="004366BE">
        <w:rPr>
          <w:lang w:val="en-AU"/>
        </w:rPr>
      </w:r>
      <w:r w:rsidRPr="004366BE">
        <w:rPr>
          <w:lang w:val="en-AU"/>
        </w:rPr>
        <w:fldChar w:fldCharType="separate"/>
      </w:r>
      <w:r w:rsidR="00666308" w:rsidRPr="004366BE">
        <w:t xml:space="preserve">Figure </w:t>
      </w:r>
      <w:r w:rsidR="00666308">
        <w:rPr>
          <w:noProof/>
        </w:rPr>
        <w:t>7</w:t>
      </w:r>
      <w:r w:rsidRPr="004366BE">
        <w:rPr>
          <w:lang w:val="en-AU"/>
        </w:rPr>
        <w:fldChar w:fldCharType="end"/>
      </w:r>
      <w:r w:rsidR="00C87983">
        <w:rPr>
          <w:lang w:val="en-AU"/>
        </w:rPr>
        <w:t xml:space="preserve">, </w:t>
      </w:r>
      <w:r w:rsidRPr="004366BE">
        <w:rPr>
          <w:lang w:val="en-AU"/>
        </w:rPr>
        <w:fldChar w:fldCharType="begin"/>
      </w:r>
      <w:r w:rsidRPr="004366BE">
        <w:rPr>
          <w:lang w:val="en-AU"/>
        </w:rPr>
        <w:instrText xml:space="preserve"> REF _Ref89253485 \h </w:instrText>
      </w:r>
      <w:r w:rsidRPr="004366BE">
        <w:rPr>
          <w:lang w:val="en-AU"/>
        </w:rPr>
      </w:r>
      <w:r w:rsidRPr="004366BE">
        <w:rPr>
          <w:lang w:val="en-AU"/>
        </w:rPr>
        <w:fldChar w:fldCharType="separate"/>
      </w:r>
      <w:r w:rsidR="00666308" w:rsidRPr="004366BE">
        <w:t xml:space="preserve">Figure </w:t>
      </w:r>
      <w:r w:rsidR="00666308">
        <w:rPr>
          <w:noProof/>
        </w:rPr>
        <w:t>13</w:t>
      </w:r>
      <w:r w:rsidRPr="004366BE">
        <w:rPr>
          <w:lang w:val="en-AU"/>
        </w:rPr>
        <w:fldChar w:fldCharType="end"/>
      </w:r>
      <w:r w:rsidR="00981547">
        <w:rPr>
          <w:lang w:val="en-AU"/>
        </w:rPr>
        <w:t xml:space="preserve"> </w:t>
      </w:r>
      <w:r w:rsidRPr="004366BE">
        <w:rPr>
          <w:lang w:val="en-AU"/>
        </w:rPr>
        <w:t xml:space="preserve">and </w:t>
      </w:r>
      <w:r w:rsidRPr="004366BE">
        <w:rPr>
          <w:lang w:val="en-AU"/>
        </w:rPr>
        <w:fldChar w:fldCharType="begin"/>
      </w:r>
      <w:r w:rsidRPr="004366BE">
        <w:rPr>
          <w:lang w:val="en-AU"/>
        </w:rPr>
        <w:instrText xml:space="preserve"> REF _Ref89253548 \h </w:instrText>
      </w:r>
      <w:r w:rsidRPr="004366BE">
        <w:rPr>
          <w:lang w:val="en-AU"/>
        </w:rPr>
      </w:r>
      <w:r w:rsidRPr="004366BE">
        <w:rPr>
          <w:lang w:val="en-AU"/>
        </w:rPr>
        <w:fldChar w:fldCharType="separate"/>
      </w:r>
      <w:r w:rsidR="00666308" w:rsidRPr="004366BE">
        <w:t xml:space="preserve">Figure </w:t>
      </w:r>
      <w:r w:rsidR="00666308">
        <w:rPr>
          <w:noProof/>
        </w:rPr>
        <w:t>14</w:t>
      </w:r>
      <w:r w:rsidRPr="004366BE">
        <w:rPr>
          <w:lang w:val="en-AU"/>
        </w:rPr>
        <w:fldChar w:fldCharType="end"/>
      </w:r>
      <w:r w:rsidRPr="004366BE">
        <w:rPr>
          <w:lang w:val="en-AU"/>
        </w:rPr>
        <w:t xml:space="preserve">.  </w:t>
      </w:r>
      <w:r w:rsidR="00B40015">
        <w:rPr>
          <w:lang w:val="en-AU"/>
        </w:rPr>
        <w:t xml:space="preserve"> For ballasts, a total </w:t>
      </w:r>
      <w:r w:rsidR="00B40015" w:rsidRPr="004A6CCF">
        <w:rPr>
          <w:u w:val="single"/>
          <w:lang w:val="en-AU"/>
        </w:rPr>
        <w:t>cumulative</w:t>
      </w:r>
      <w:r w:rsidR="00B40015">
        <w:rPr>
          <w:lang w:val="en-AU"/>
        </w:rPr>
        <w:t xml:space="preserve"> energy increase of around 1 GWh could be expected over the period 2023-2030</w:t>
      </w:r>
      <w:r w:rsidR="00A74099">
        <w:rPr>
          <w:lang w:val="en-AU"/>
        </w:rPr>
        <w:t xml:space="preserve"> (</w:t>
      </w:r>
      <w:r w:rsidR="00F41A21">
        <w:rPr>
          <w:lang w:val="en-AU"/>
        </w:rPr>
        <w:t xml:space="preserve">0.85 GWh for </w:t>
      </w:r>
      <w:r w:rsidR="00A74099">
        <w:rPr>
          <w:lang w:val="en-AU"/>
        </w:rPr>
        <w:t xml:space="preserve">Australia and </w:t>
      </w:r>
      <w:r w:rsidR="00F41A21">
        <w:rPr>
          <w:lang w:val="en-AU"/>
        </w:rPr>
        <w:t xml:space="preserve">0.15 GWh for </w:t>
      </w:r>
      <w:r w:rsidR="00A74099">
        <w:rPr>
          <w:lang w:val="en-AU"/>
        </w:rPr>
        <w:t>NZ)</w:t>
      </w:r>
      <w:r w:rsidR="00B40015">
        <w:rPr>
          <w:lang w:val="en-AU"/>
        </w:rPr>
        <w:t xml:space="preserve">.  For ELVCs (Australia only) this figure is </w:t>
      </w:r>
      <w:r w:rsidR="00694947">
        <w:rPr>
          <w:lang w:val="en-AU"/>
        </w:rPr>
        <w:t xml:space="preserve">around </w:t>
      </w:r>
      <w:r w:rsidR="00B40015">
        <w:rPr>
          <w:lang w:val="en-AU"/>
        </w:rPr>
        <w:t xml:space="preserve">2 GWh.  </w:t>
      </w:r>
    </w:p>
    <w:p w14:paraId="79D23FAD" w14:textId="77777777" w:rsidR="009E3B27" w:rsidRPr="004366BE" w:rsidRDefault="006A0A70" w:rsidP="00F44E88">
      <w:pPr>
        <w:pStyle w:val="BodyText"/>
        <w:numPr>
          <w:ilvl w:val="2"/>
          <w:numId w:val="19"/>
        </w:numPr>
        <w:rPr>
          <w:lang w:val="en-AU"/>
        </w:rPr>
      </w:pPr>
      <w:r>
        <w:rPr>
          <w:lang w:val="en-AU"/>
        </w:rPr>
        <w:t>If the ballasts Determination was retained, t</w:t>
      </w:r>
      <w:r w:rsidR="009E3B27">
        <w:rPr>
          <w:lang w:val="en-AU"/>
        </w:rPr>
        <w:t xml:space="preserve">here may be a case to </w:t>
      </w:r>
      <w:r>
        <w:rPr>
          <w:lang w:val="en-AU"/>
        </w:rPr>
        <w:t>increase the stringency of the</w:t>
      </w:r>
      <w:r w:rsidR="009E3B27">
        <w:rPr>
          <w:lang w:val="en-AU"/>
        </w:rPr>
        <w:t xml:space="preserve"> Australian MEPS for Ballasts to align with NZ MEPS (removing B2</w:t>
      </w:r>
      <w:r>
        <w:rPr>
          <w:lang w:val="en-AU"/>
        </w:rPr>
        <w:t>)</w:t>
      </w:r>
      <w:r w:rsidR="009E3B27">
        <w:rPr>
          <w:lang w:val="en-AU"/>
        </w:rPr>
        <w:t xml:space="preserve"> and possibly further reduce energy use and greenhouse gas emissions</w:t>
      </w:r>
      <w:r>
        <w:rPr>
          <w:lang w:val="en-AU"/>
        </w:rPr>
        <w:t xml:space="preserve"> by aligning with EU requirements.</w:t>
      </w:r>
      <w:r w:rsidR="002475C1">
        <w:rPr>
          <w:lang w:val="en-AU"/>
        </w:rPr>
        <w:t xml:space="preserve"> Note that </w:t>
      </w:r>
      <w:r w:rsidR="00D92E17">
        <w:rPr>
          <w:lang w:val="en-AU"/>
        </w:rPr>
        <w:t xml:space="preserve">it is expected </w:t>
      </w:r>
      <w:r w:rsidR="002475C1">
        <w:rPr>
          <w:rFonts w:eastAsiaTheme="minorHAnsi" w:cstheme="minorBidi"/>
        </w:rPr>
        <w:t>the decline in the overall market would make any gains from such revision minimal.</w:t>
      </w:r>
    </w:p>
    <w:p w14:paraId="11E1D6DF" w14:textId="77777777" w:rsidR="00C54CCA" w:rsidRPr="004366BE" w:rsidRDefault="00C54CCA" w:rsidP="00C54CCA">
      <w:pPr>
        <w:pStyle w:val="BodyText"/>
        <w:numPr>
          <w:ilvl w:val="0"/>
          <w:numId w:val="19"/>
        </w:numPr>
        <w:rPr>
          <w:lang w:val="en-AU"/>
        </w:rPr>
      </w:pPr>
      <w:r w:rsidRPr="004366BE">
        <w:rPr>
          <w:lang w:val="en-AU"/>
        </w:rPr>
        <w:t>Are the financial benefits higher than the regulatory costs of the determinations?</w:t>
      </w:r>
    </w:p>
    <w:p w14:paraId="1FFCE8C7" w14:textId="77777777" w:rsidR="008E4D42" w:rsidRDefault="00A5134A" w:rsidP="008E4D42">
      <w:pPr>
        <w:pStyle w:val="BodyText"/>
        <w:numPr>
          <w:ilvl w:val="1"/>
          <w:numId w:val="19"/>
        </w:numPr>
        <w:rPr>
          <w:lang w:val="en-AU"/>
        </w:rPr>
      </w:pPr>
      <w:r w:rsidRPr="004366BE">
        <w:rPr>
          <w:lang w:val="en-AU"/>
        </w:rPr>
        <w:t xml:space="preserve">For ballasts, the estimated </w:t>
      </w:r>
      <w:r w:rsidR="004A6CCF" w:rsidRPr="004A6CCF">
        <w:rPr>
          <w:u w:val="single"/>
          <w:lang w:val="en-AU"/>
        </w:rPr>
        <w:t>cumulative</w:t>
      </w:r>
      <w:r w:rsidR="004A6CCF" w:rsidRPr="004366BE">
        <w:rPr>
          <w:lang w:val="en-AU"/>
        </w:rPr>
        <w:t xml:space="preserve"> </w:t>
      </w:r>
      <w:r w:rsidRPr="004366BE">
        <w:rPr>
          <w:lang w:val="en-AU"/>
        </w:rPr>
        <w:t xml:space="preserve">financial benefits of the regulations over the period 2023-2030 is around $170,000 for Australia and around $30,000 for New Zealand. </w:t>
      </w:r>
    </w:p>
    <w:p w14:paraId="447AE3DF" w14:textId="77777777" w:rsidR="00A5134A" w:rsidRPr="008E4D42" w:rsidRDefault="00A5134A" w:rsidP="008E4D42">
      <w:pPr>
        <w:pStyle w:val="BodyText"/>
        <w:numPr>
          <w:ilvl w:val="1"/>
          <w:numId w:val="19"/>
        </w:numPr>
        <w:rPr>
          <w:lang w:val="en-AU"/>
        </w:rPr>
      </w:pPr>
      <w:r w:rsidRPr="008E4D42">
        <w:rPr>
          <w:lang w:val="en-AU"/>
        </w:rPr>
        <w:t xml:space="preserve">For ELVCs, the estimated </w:t>
      </w:r>
      <w:r w:rsidR="004A6CCF" w:rsidRPr="008E4D42">
        <w:rPr>
          <w:u w:val="single"/>
          <w:lang w:val="en-AU"/>
        </w:rPr>
        <w:t>cumulative</w:t>
      </w:r>
      <w:r w:rsidR="004A6CCF" w:rsidRPr="008E4D42">
        <w:rPr>
          <w:lang w:val="en-AU"/>
        </w:rPr>
        <w:t xml:space="preserve"> </w:t>
      </w:r>
      <w:r w:rsidRPr="008E4D42">
        <w:rPr>
          <w:lang w:val="en-AU"/>
        </w:rPr>
        <w:t>financial benefits of the regulations over the period 2023-2030 is around $600,000 for Australia.</w:t>
      </w:r>
    </w:p>
    <w:p w14:paraId="3984CA16" w14:textId="77777777" w:rsidR="00A10573" w:rsidRPr="004366BE" w:rsidRDefault="00A10573" w:rsidP="00A10573">
      <w:pPr>
        <w:pStyle w:val="BodyText"/>
        <w:numPr>
          <w:ilvl w:val="0"/>
          <w:numId w:val="19"/>
        </w:numPr>
        <w:rPr>
          <w:lang w:val="en-AU"/>
        </w:rPr>
      </w:pPr>
      <w:r>
        <w:rPr>
          <w:lang w:val="en-AU"/>
        </w:rPr>
        <w:t>Could the Determination</w:t>
      </w:r>
      <w:r w:rsidR="00D92E17">
        <w:rPr>
          <w:lang w:val="en-AU"/>
        </w:rPr>
        <w:t>s</w:t>
      </w:r>
      <w:r>
        <w:rPr>
          <w:lang w:val="en-AU"/>
        </w:rPr>
        <w:t xml:space="preserve"> be </w:t>
      </w:r>
      <w:r w:rsidRPr="00A10573">
        <w:rPr>
          <w:lang w:val="en-AU"/>
        </w:rPr>
        <w:t>changed to expand the scope and increase the minimum energy performance standards</w:t>
      </w:r>
      <w:r>
        <w:rPr>
          <w:lang w:val="en-AU"/>
        </w:rPr>
        <w:t>?</w:t>
      </w:r>
    </w:p>
    <w:p w14:paraId="3649934C" w14:textId="77777777" w:rsidR="001B7EFB" w:rsidRDefault="001B7EFB" w:rsidP="008E4D42">
      <w:pPr>
        <w:pStyle w:val="BodyText"/>
        <w:numPr>
          <w:ilvl w:val="1"/>
          <w:numId w:val="19"/>
        </w:numPr>
        <w:rPr>
          <w:lang w:val="en-AU"/>
        </w:rPr>
      </w:pPr>
      <w:r>
        <w:rPr>
          <w:lang w:val="en-AU"/>
        </w:rPr>
        <w:t>Ballasts: increasing</w:t>
      </w:r>
      <w:r w:rsidRPr="006A0A70">
        <w:rPr>
          <w:lang w:val="en-AU"/>
        </w:rPr>
        <w:t xml:space="preserve"> the stringency of the Australian MEPS for Ballasts to align with NZ MEPS (removing B2) and possibly further reduce energy use and greenhouse gas emissions by aligning with EU require</w:t>
      </w:r>
      <w:r w:rsidR="00213028">
        <w:rPr>
          <w:lang w:val="en-AU"/>
        </w:rPr>
        <w:t>ments could be explored.</w:t>
      </w:r>
    </w:p>
    <w:p w14:paraId="3FA49444" w14:textId="77777777" w:rsidR="001B7EFB" w:rsidRDefault="00213028" w:rsidP="008E4D42">
      <w:pPr>
        <w:pStyle w:val="BodyText"/>
        <w:numPr>
          <w:ilvl w:val="1"/>
          <w:numId w:val="19"/>
        </w:numPr>
        <w:rPr>
          <w:lang w:val="en-AU"/>
        </w:rPr>
      </w:pPr>
      <w:r>
        <w:rPr>
          <w:lang w:val="en-AU"/>
        </w:rPr>
        <w:t>EL</w:t>
      </w:r>
      <w:r w:rsidR="009F08B7">
        <w:rPr>
          <w:lang w:val="en-AU"/>
        </w:rPr>
        <w:t>V</w:t>
      </w:r>
      <w:r>
        <w:rPr>
          <w:lang w:val="en-AU"/>
        </w:rPr>
        <w:t xml:space="preserve">C: </w:t>
      </w:r>
      <w:r w:rsidR="00A10573" w:rsidRPr="00A10573">
        <w:rPr>
          <w:lang w:val="en-AU"/>
        </w:rPr>
        <w:t xml:space="preserve">While the </w:t>
      </w:r>
      <w:r w:rsidR="00A10573">
        <w:rPr>
          <w:lang w:val="en-AU"/>
        </w:rPr>
        <w:t xml:space="preserve">ELVC </w:t>
      </w:r>
      <w:r w:rsidR="00A10573" w:rsidRPr="00A10573">
        <w:rPr>
          <w:lang w:val="en-AU"/>
        </w:rPr>
        <w:t>products currently within scope are becoming obsolete, controllers for extra low voltage LED lighting are present in the market and are regulated for energy efficiency in other markets such as the European Union.</w:t>
      </w:r>
      <w:r w:rsidR="006A0A70">
        <w:rPr>
          <w:lang w:val="en-AU"/>
        </w:rPr>
        <w:t xml:space="preserve"> </w:t>
      </w:r>
      <w:r w:rsidR="003856C2" w:rsidRPr="00A10573">
        <w:rPr>
          <w:lang w:val="en-AU"/>
        </w:rPr>
        <w:t xml:space="preserve">There may be a viable case for </w:t>
      </w:r>
      <w:r w:rsidR="006A0A70">
        <w:rPr>
          <w:lang w:val="en-AU"/>
        </w:rPr>
        <w:t>sunset</w:t>
      </w:r>
      <w:r w:rsidR="001B7EFB">
        <w:rPr>
          <w:lang w:val="en-AU"/>
        </w:rPr>
        <w:t>ting</w:t>
      </w:r>
      <w:r w:rsidR="006A0A70">
        <w:rPr>
          <w:lang w:val="en-AU"/>
        </w:rPr>
        <w:t xml:space="preserve"> this Determination and evaluate the need for development of a Determination for LED controllers</w:t>
      </w:r>
    </w:p>
    <w:p w14:paraId="27D8BD63" w14:textId="3E9D399D" w:rsidR="003856C2" w:rsidRPr="00A10573" w:rsidRDefault="009E3B27" w:rsidP="001B7EFB">
      <w:pPr>
        <w:pStyle w:val="BodyText"/>
        <w:numPr>
          <w:ilvl w:val="2"/>
          <w:numId w:val="19"/>
        </w:numPr>
        <w:rPr>
          <w:lang w:val="en-AU"/>
        </w:rPr>
      </w:pPr>
      <w:r w:rsidRPr="00A10573">
        <w:rPr>
          <w:lang w:val="en-AU"/>
        </w:rPr>
        <w:t xml:space="preserve"> </w:t>
      </w:r>
      <w:r w:rsidR="00B019BB">
        <w:rPr>
          <w:lang w:val="en-AU"/>
        </w:rPr>
        <w:t>T</w:t>
      </w:r>
      <w:r w:rsidR="001B7EFB">
        <w:rPr>
          <w:lang w:val="en-AU"/>
        </w:rPr>
        <w:t xml:space="preserve">his has already been identified as an area of </w:t>
      </w:r>
      <w:r w:rsidR="00123309">
        <w:rPr>
          <w:lang w:val="en-AU"/>
        </w:rPr>
        <w:t xml:space="preserve">possible </w:t>
      </w:r>
      <w:r w:rsidR="001B7EFB">
        <w:rPr>
          <w:lang w:val="en-AU"/>
        </w:rPr>
        <w:t xml:space="preserve">future regulation in the E3 prioritisation plan, and </w:t>
      </w:r>
      <w:r w:rsidRPr="00A10573">
        <w:rPr>
          <w:lang w:val="en-AU"/>
        </w:rPr>
        <w:t>could be tested in the initial public consultation process</w:t>
      </w:r>
      <w:r w:rsidR="00890E32">
        <w:rPr>
          <w:lang w:val="en-AU"/>
        </w:rPr>
        <w:t>.</w:t>
      </w:r>
    </w:p>
    <w:p w14:paraId="40E639C9" w14:textId="77777777" w:rsidR="00C54CCA" w:rsidRPr="004366BE" w:rsidRDefault="00C54CCA" w:rsidP="00C54CCA">
      <w:pPr>
        <w:pStyle w:val="BodyText"/>
        <w:numPr>
          <w:ilvl w:val="0"/>
          <w:numId w:val="19"/>
        </w:numPr>
        <w:rPr>
          <w:lang w:val="en-AU"/>
        </w:rPr>
      </w:pPr>
      <w:r w:rsidRPr="004366BE">
        <w:rPr>
          <w:lang w:val="en-AU"/>
        </w:rPr>
        <w:t>If the determination is repealed, is there a risk that imports with lower energy efficiency will enter the market?</w:t>
      </w:r>
    </w:p>
    <w:p w14:paraId="5B439E0C" w14:textId="53F453BB" w:rsidR="00A65A92" w:rsidRDefault="009D475D" w:rsidP="00A65A92">
      <w:pPr>
        <w:pStyle w:val="BodyText"/>
        <w:numPr>
          <w:ilvl w:val="1"/>
          <w:numId w:val="19"/>
        </w:numPr>
        <w:rPr>
          <w:lang w:val="en-AU"/>
        </w:rPr>
      </w:pPr>
      <w:r w:rsidRPr="004366BE">
        <w:rPr>
          <w:lang w:val="en-AU"/>
        </w:rPr>
        <w:t xml:space="preserve">For </w:t>
      </w:r>
      <w:r w:rsidR="00213028">
        <w:rPr>
          <w:lang w:val="en-AU"/>
        </w:rPr>
        <w:t xml:space="preserve">both </w:t>
      </w:r>
      <w:r w:rsidRPr="004366BE">
        <w:rPr>
          <w:lang w:val="en-AU"/>
        </w:rPr>
        <w:t xml:space="preserve">ballasts and ELVCs, there is a </w:t>
      </w:r>
      <w:r w:rsidR="006B509E">
        <w:rPr>
          <w:lang w:val="en-AU"/>
        </w:rPr>
        <w:t xml:space="preserve">low </w:t>
      </w:r>
      <w:r w:rsidRPr="004366BE">
        <w:rPr>
          <w:lang w:val="en-AU"/>
        </w:rPr>
        <w:t xml:space="preserve">risk that this will occur.  </w:t>
      </w:r>
      <w:r w:rsidR="006B509E">
        <w:rPr>
          <w:lang w:val="en-AU"/>
        </w:rPr>
        <w:t xml:space="preserve">This is largely because electronic units are now preferred by the market over magnetic units, even though MEPS still allows (higher efficiency) magnetic units to be sold.  </w:t>
      </w:r>
      <w:r w:rsidR="00EE272C">
        <w:rPr>
          <w:lang w:val="en-AU"/>
        </w:rPr>
        <w:t>T</w:t>
      </w:r>
      <w:r w:rsidR="00372205">
        <w:rPr>
          <w:lang w:val="en-AU"/>
        </w:rPr>
        <w:t xml:space="preserve">he risk of a reversion has been quantified in this report, in terms of </w:t>
      </w:r>
      <w:r w:rsidR="00E2052E">
        <w:rPr>
          <w:lang w:val="en-AU"/>
        </w:rPr>
        <w:t xml:space="preserve">potential </w:t>
      </w:r>
      <w:r w:rsidR="00372205">
        <w:rPr>
          <w:lang w:val="en-AU"/>
        </w:rPr>
        <w:t>increase</w:t>
      </w:r>
      <w:r w:rsidR="001A5F58">
        <w:rPr>
          <w:lang w:val="en-AU"/>
        </w:rPr>
        <w:t>s in</w:t>
      </w:r>
      <w:r w:rsidR="00372205">
        <w:rPr>
          <w:lang w:val="en-AU"/>
        </w:rPr>
        <w:t xml:space="preserve"> energy consumption, greenhouse gas emissions and consumer energy costs.</w:t>
      </w:r>
    </w:p>
    <w:p w14:paraId="4C131DE2" w14:textId="77777777" w:rsidR="00035C69" w:rsidRDefault="00035C69" w:rsidP="00372205">
      <w:pPr>
        <w:pStyle w:val="BodyText"/>
        <w:rPr>
          <w:lang w:val="en-AU"/>
        </w:rPr>
      </w:pPr>
      <w:r>
        <w:rPr>
          <w:lang w:val="en-AU"/>
        </w:rPr>
        <w:t xml:space="preserve">It is recommended that </w:t>
      </w:r>
      <w:r w:rsidR="003856C2">
        <w:rPr>
          <w:lang w:val="en-AU"/>
        </w:rPr>
        <w:t>E3</w:t>
      </w:r>
      <w:r>
        <w:rPr>
          <w:lang w:val="en-AU"/>
        </w:rPr>
        <w:t>:</w:t>
      </w:r>
    </w:p>
    <w:p w14:paraId="146E33AE" w14:textId="77777777" w:rsidR="003856C2" w:rsidRDefault="003856C2" w:rsidP="003856C2">
      <w:pPr>
        <w:pStyle w:val="BodyText"/>
        <w:numPr>
          <w:ilvl w:val="0"/>
          <w:numId w:val="23"/>
        </w:numPr>
        <w:rPr>
          <w:lang w:val="en-AU"/>
        </w:rPr>
      </w:pPr>
      <w:r>
        <w:rPr>
          <w:lang w:val="en-AU"/>
        </w:rPr>
        <w:t>Allow consultation to occur on the Determinations (refer relevant consultation papers prepared by the Department of Industry, Science and Resources).</w:t>
      </w:r>
    </w:p>
    <w:p w14:paraId="62C1661D" w14:textId="77777777" w:rsidR="00213028" w:rsidRDefault="00213028" w:rsidP="00213028">
      <w:pPr>
        <w:pStyle w:val="BodyText"/>
        <w:numPr>
          <w:ilvl w:val="0"/>
          <w:numId w:val="23"/>
        </w:numPr>
        <w:rPr>
          <w:lang w:val="en-AU"/>
        </w:rPr>
      </w:pPr>
      <w:r>
        <w:rPr>
          <w:lang w:val="en-AU"/>
        </w:rPr>
        <w:t>Consider the quantified potential for increased energy consumption, greenhouse gas emissions and consumer energy costs calculated in this report if the regulations were removed, and weigh these against the costs of continuing to regulate these products.</w:t>
      </w:r>
    </w:p>
    <w:p w14:paraId="30774073" w14:textId="77777777" w:rsidR="003856C2" w:rsidRDefault="00213028" w:rsidP="00213028">
      <w:pPr>
        <w:pStyle w:val="BodyText"/>
        <w:numPr>
          <w:ilvl w:val="1"/>
          <w:numId w:val="23"/>
        </w:numPr>
        <w:rPr>
          <w:lang w:val="en-AU"/>
        </w:rPr>
      </w:pPr>
      <w:r>
        <w:rPr>
          <w:lang w:val="en-AU"/>
        </w:rPr>
        <w:t xml:space="preserve">Ballasts: </w:t>
      </w:r>
      <w:r w:rsidR="006A0A70">
        <w:rPr>
          <w:lang w:val="en-AU"/>
        </w:rPr>
        <w:t>If the ballasts Determination was retained, c</w:t>
      </w:r>
      <w:r w:rsidR="003856C2">
        <w:rPr>
          <w:lang w:val="en-AU"/>
        </w:rPr>
        <w:t xml:space="preserve">onsider the benefits of </w:t>
      </w:r>
      <w:r w:rsidR="006A0A70">
        <w:rPr>
          <w:lang w:val="en-AU"/>
        </w:rPr>
        <w:t>increasing</w:t>
      </w:r>
      <w:r w:rsidR="006A0A70" w:rsidRPr="006A0A70">
        <w:rPr>
          <w:lang w:val="en-AU"/>
        </w:rPr>
        <w:t xml:space="preserve"> the stringency of the Australian MEPS for Ballasts to align with NZ MEPS (removing B2) and possibly further reduce energy use and greenhouse gas emissions by aligning with EU requirements)</w:t>
      </w:r>
      <w:r w:rsidR="002475C1">
        <w:rPr>
          <w:lang w:val="en-AU"/>
        </w:rPr>
        <w:t>.</w:t>
      </w:r>
    </w:p>
    <w:p w14:paraId="69F0546A" w14:textId="77777777" w:rsidR="008F66C6" w:rsidRDefault="008F66C6" w:rsidP="008F66C6">
      <w:pPr>
        <w:pStyle w:val="BodyText"/>
        <w:numPr>
          <w:ilvl w:val="2"/>
          <w:numId w:val="23"/>
        </w:numPr>
        <w:rPr>
          <w:lang w:val="en-AU"/>
        </w:rPr>
      </w:pPr>
      <w:r>
        <w:rPr>
          <w:lang w:val="en-AU"/>
        </w:rPr>
        <w:t xml:space="preserve">Analysis to date suggests that </w:t>
      </w:r>
      <w:r w:rsidRPr="00D46614">
        <w:rPr>
          <w:lang w:val="en-AU"/>
        </w:rPr>
        <w:t>the decline in the overall market would make any gains from such revision minimal</w:t>
      </w:r>
      <w:r>
        <w:rPr>
          <w:lang w:val="en-AU"/>
        </w:rPr>
        <w:t xml:space="preserve"> and this is not the recommended approach in the discussion paper</w:t>
      </w:r>
      <w:r w:rsidRPr="00D46614">
        <w:rPr>
          <w:lang w:val="en-AU"/>
        </w:rPr>
        <w:t>.</w:t>
      </w:r>
    </w:p>
    <w:p w14:paraId="43E36224" w14:textId="77777777" w:rsidR="001B7EFB" w:rsidRDefault="001B7EFB" w:rsidP="00213028">
      <w:pPr>
        <w:pStyle w:val="BodyText"/>
        <w:numPr>
          <w:ilvl w:val="2"/>
          <w:numId w:val="23"/>
        </w:numPr>
        <w:rPr>
          <w:lang w:val="en-AU"/>
        </w:rPr>
      </w:pPr>
      <w:r>
        <w:rPr>
          <w:lang w:val="en-AU"/>
        </w:rPr>
        <w:t>The Department w</w:t>
      </w:r>
      <w:r w:rsidR="001E3454">
        <w:rPr>
          <w:lang w:val="en-AU"/>
        </w:rPr>
        <w:t>ould</w:t>
      </w:r>
      <w:r>
        <w:rPr>
          <w:lang w:val="en-AU"/>
        </w:rPr>
        <w:t xml:space="preserve"> need to seek advice from the Office of Best Practice Regulation (OPBR) on whether this will be a simple technical update or require a RIS.</w:t>
      </w:r>
    </w:p>
    <w:p w14:paraId="6F375470" w14:textId="3851C3D7" w:rsidR="008E4D42" w:rsidRPr="00DD6013" w:rsidRDefault="00213028" w:rsidP="008E4D42">
      <w:pPr>
        <w:pStyle w:val="BodyText"/>
        <w:numPr>
          <w:ilvl w:val="1"/>
          <w:numId w:val="23"/>
        </w:numPr>
        <w:rPr>
          <w:lang w:val="en-AU"/>
        </w:rPr>
      </w:pPr>
      <w:r>
        <w:rPr>
          <w:lang w:val="en-AU"/>
        </w:rPr>
        <w:t xml:space="preserve">ELVCs: </w:t>
      </w:r>
      <w:r w:rsidR="003856C2">
        <w:rPr>
          <w:lang w:val="en-AU"/>
        </w:rPr>
        <w:t xml:space="preserve">Consider the benefits of </w:t>
      </w:r>
      <w:r w:rsidR="006A0A70">
        <w:rPr>
          <w:lang w:val="en-AU"/>
        </w:rPr>
        <w:t>sunset</w:t>
      </w:r>
      <w:r w:rsidR="001B7EFB">
        <w:rPr>
          <w:lang w:val="en-AU"/>
        </w:rPr>
        <w:t>ting</w:t>
      </w:r>
      <w:r w:rsidR="006A0A70">
        <w:rPr>
          <w:lang w:val="en-AU"/>
        </w:rPr>
        <w:t xml:space="preserve"> this Determination and evaluate the need for development of a new Determination for LED controllers.</w:t>
      </w:r>
    </w:p>
    <w:p w14:paraId="7D2F72B0" w14:textId="1EFF57F6" w:rsidR="00FB6FF0" w:rsidRDefault="008E4D42" w:rsidP="008E4D42">
      <w:pPr>
        <w:pStyle w:val="BodyText"/>
        <w:rPr>
          <w:lang w:val="en-AU"/>
        </w:rPr>
      </w:pPr>
      <w:r>
        <w:rPr>
          <w:lang w:val="en-AU"/>
        </w:rPr>
        <w:t xml:space="preserve">NOTE: </w:t>
      </w:r>
      <w:r w:rsidR="00945D1D">
        <w:rPr>
          <w:lang w:val="en-AU"/>
        </w:rPr>
        <w:t xml:space="preserve">If </w:t>
      </w:r>
      <w:r w:rsidR="003856C2">
        <w:rPr>
          <w:lang w:val="en-AU"/>
        </w:rPr>
        <w:t xml:space="preserve">E3 </w:t>
      </w:r>
      <w:r>
        <w:rPr>
          <w:lang w:val="en-AU"/>
        </w:rPr>
        <w:t xml:space="preserve">recommends </w:t>
      </w:r>
      <w:r w:rsidR="00F1482B">
        <w:rPr>
          <w:lang w:val="en-AU"/>
        </w:rPr>
        <w:t>to remove the regulations for these products,</w:t>
      </w:r>
      <w:r>
        <w:rPr>
          <w:lang w:val="en-AU"/>
        </w:rPr>
        <w:t xml:space="preserve"> the Department will</w:t>
      </w:r>
      <w:r w:rsidR="00F1482B">
        <w:rPr>
          <w:lang w:val="en-AU"/>
        </w:rPr>
        <w:t xml:space="preserve"> continue to monitor sales and efficiencies of products sold, to assess </w:t>
      </w:r>
      <w:r w:rsidR="00D7007C">
        <w:rPr>
          <w:lang w:val="en-AU"/>
        </w:rPr>
        <w:t>any reversion to magnetic products.</w:t>
      </w:r>
    </w:p>
    <w:p w14:paraId="7BA8A212" w14:textId="77777777" w:rsidR="007F7699" w:rsidRPr="004366BE" w:rsidRDefault="007F7699" w:rsidP="007F7699">
      <w:pPr>
        <w:pStyle w:val="MELegal1"/>
        <w:numPr>
          <w:ilvl w:val="0"/>
          <w:numId w:val="0"/>
        </w:numPr>
      </w:pPr>
      <w:bookmarkStart w:id="51" w:name="_Toc98939433"/>
      <w:r w:rsidRPr="004366BE">
        <w:t>References</w:t>
      </w:r>
      <w:bookmarkEnd w:id="51"/>
    </w:p>
    <w:p w14:paraId="0F5E907E" w14:textId="77777777" w:rsidR="007F7699" w:rsidRDefault="007F7699" w:rsidP="00D7007C">
      <w:r w:rsidRPr="004366BE">
        <w:t>CLASP 2014</w:t>
      </w:r>
      <w:r w:rsidR="00D7007C">
        <w:t>, Mapping of Linear Fluorescent Lighting, Prepared by Beletich Associates for CLASP, 2014.</w:t>
      </w:r>
    </w:p>
    <w:sectPr w:rsidR="007F7699" w:rsidSect="00D242EC">
      <w:footerReference w:type="default" r:id="rId29"/>
      <w:footerReference w:type="first" r:id="rId30"/>
      <w:pgSz w:w="11900" w:h="16840"/>
      <w:pgMar w:top="851" w:right="1418"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8B8DC" w14:textId="77777777" w:rsidR="0027504B" w:rsidRDefault="0027504B" w:rsidP="00D404B2">
      <w:pPr>
        <w:spacing w:after="0"/>
      </w:pPr>
      <w:r>
        <w:separator/>
      </w:r>
    </w:p>
  </w:endnote>
  <w:endnote w:type="continuationSeparator" w:id="0">
    <w:p w14:paraId="6327B80C" w14:textId="77777777" w:rsidR="0027504B" w:rsidRDefault="0027504B" w:rsidP="00D404B2">
      <w:pPr>
        <w:spacing w:after="0"/>
      </w:pPr>
      <w:r>
        <w:continuationSeparator/>
      </w:r>
    </w:p>
  </w:endnote>
  <w:endnote w:type="continuationNotice" w:id="1">
    <w:p w14:paraId="11853708" w14:textId="77777777" w:rsidR="0027504B" w:rsidRDefault="002750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FooterChar"/>
      </w:rPr>
      <w:id w:val="1681935222"/>
      <w:docPartObj>
        <w:docPartGallery w:val="Page Numbers (Bottom of Page)"/>
        <w:docPartUnique/>
      </w:docPartObj>
    </w:sdtPr>
    <w:sdtEndPr>
      <w:rPr>
        <w:rStyle w:val="FooterChar"/>
      </w:rPr>
    </w:sdtEndPr>
    <w:sdtContent>
      <w:p w14:paraId="163FCEC8" w14:textId="77777777" w:rsidR="002A0301" w:rsidRDefault="002A0301" w:rsidP="007576F5">
        <w:pPr>
          <w:pStyle w:val="E3Title"/>
          <w:framePr w:wrap="none" w:vAnchor="text" w:hAnchor="margin" w:xAlign="right" w:y="1"/>
          <w:rPr>
            <w:rStyle w:val="FooterChar"/>
          </w:rPr>
        </w:pPr>
        <w:r>
          <w:rPr>
            <w:rStyle w:val="FooterChar"/>
          </w:rPr>
          <w:fldChar w:fldCharType="begin"/>
        </w:r>
        <w:r>
          <w:rPr>
            <w:rStyle w:val="FooterChar"/>
          </w:rPr>
          <w:instrText xml:space="preserve"> PAGE </w:instrText>
        </w:r>
        <w:r>
          <w:rPr>
            <w:rStyle w:val="FooterChar"/>
          </w:rPr>
          <w:fldChar w:fldCharType="end"/>
        </w:r>
      </w:p>
    </w:sdtContent>
  </w:sdt>
  <w:p w14:paraId="28EC91A5" w14:textId="77777777" w:rsidR="002A0301" w:rsidRDefault="002A0301" w:rsidP="00336D86">
    <w:pPr>
      <w:pStyle w:val="E3Tit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FooterChar"/>
        <w:rFonts w:asciiTheme="minorHAnsi" w:hAnsiTheme="minorHAnsi" w:cstheme="minorHAnsi"/>
        <w:b w:val="0"/>
        <w:bCs/>
        <w:color w:val="1F3864" w:themeColor="accent1" w:themeShade="80"/>
        <w:sz w:val="21"/>
        <w:szCs w:val="24"/>
      </w:rPr>
      <w:id w:val="114646810"/>
      <w:docPartObj>
        <w:docPartGallery w:val="Page Numbers (Bottom of Page)"/>
        <w:docPartUnique/>
      </w:docPartObj>
    </w:sdtPr>
    <w:sdtEndPr>
      <w:rPr>
        <w:rStyle w:val="FooterChar"/>
      </w:rPr>
    </w:sdtEndPr>
    <w:sdtContent>
      <w:p w14:paraId="7FE772EF" w14:textId="77777777" w:rsidR="002A0301" w:rsidRPr="00DE2B20" w:rsidRDefault="002A0301" w:rsidP="00A93DDF">
        <w:pPr>
          <w:pStyle w:val="E3Title"/>
          <w:framePr w:w="340" w:wrap="none" w:vAnchor="text" w:hAnchor="page" w:x="10152" w:y="289"/>
          <w:rPr>
            <w:rStyle w:val="FooterChar"/>
            <w:rFonts w:asciiTheme="minorHAnsi" w:hAnsiTheme="minorHAnsi" w:cstheme="minorHAnsi"/>
            <w:b w:val="0"/>
            <w:bCs/>
            <w:color w:val="1F3864" w:themeColor="accent1" w:themeShade="80"/>
            <w:sz w:val="21"/>
            <w:szCs w:val="24"/>
          </w:rPr>
        </w:pPr>
        <w:r w:rsidRPr="00DE2B20">
          <w:rPr>
            <w:rStyle w:val="FooterChar"/>
            <w:rFonts w:asciiTheme="minorHAnsi" w:hAnsiTheme="minorHAnsi" w:cstheme="minorHAnsi"/>
            <w:b w:val="0"/>
            <w:bCs/>
            <w:color w:val="1F3864" w:themeColor="accent1" w:themeShade="80"/>
            <w:sz w:val="21"/>
            <w:szCs w:val="24"/>
          </w:rPr>
          <w:fldChar w:fldCharType="begin"/>
        </w:r>
        <w:r w:rsidRPr="00DE2B20">
          <w:rPr>
            <w:rStyle w:val="FooterChar"/>
            <w:rFonts w:asciiTheme="minorHAnsi" w:hAnsiTheme="minorHAnsi" w:cstheme="minorHAnsi"/>
            <w:b w:val="0"/>
            <w:bCs/>
            <w:color w:val="1F3864" w:themeColor="accent1" w:themeShade="80"/>
            <w:sz w:val="21"/>
            <w:szCs w:val="24"/>
          </w:rPr>
          <w:instrText xml:space="preserve"> PAGE </w:instrText>
        </w:r>
        <w:r w:rsidRPr="00DE2B20">
          <w:rPr>
            <w:rStyle w:val="FooterChar"/>
            <w:rFonts w:asciiTheme="minorHAnsi" w:hAnsiTheme="minorHAnsi" w:cstheme="minorHAnsi"/>
            <w:b w:val="0"/>
            <w:bCs/>
            <w:color w:val="1F3864" w:themeColor="accent1" w:themeShade="80"/>
            <w:sz w:val="21"/>
            <w:szCs w:val="24"/>
          </w:rPr>
          <w:fldChar w:fldCharType="separate"/>
        </w:r>
        <w:r w:rsidR="000260C0">
          <w:rPr>
            <w:rStyle w:val="FooterChar"/>
            <w:rFonts w:asciiTheme="minorHAnsi" w:hAnsiTheme="minorHAnsi" w:cstheme="minorHAnsi"/>
            <w:b w:val="0"/>
            <w:bCs/>
            <w:noProof/>
            <w:color w:val="1F3864" w:themeColor="accent1" w:themeShade="80"/>
            <w:sz w:val="21"/>
            <w:szCs w:val="24"/>
          </w:rPr>
          <w:t>13</w:t>
        </w:r>
        <w:r w:rsidRPr="00DE2B20">
          <w:rPr>
            <w:rStyle w:val="FooterChar"/>
            <w:rFonts w:asciiTheme="minorHAnsi" w:hAnsiTheme="minorHAnsi" w:cstheme="minorHAnsi"/>
            <w:b w:val="0"/>
            <w:bCs/>
            <w:color w:val="1F3864" w:themeColor="accent1" w:themeShade="80"/>
            <w:sz w:val="21"/>
            <w:szCs w:val="24"/>
          </w:rPr>
          <w:fldChar w:fldCharType="end"/>
        </w:r>
      </w:p>
    </w:sdtContent>
  </w:sdt>
  <w:p w14:paraId="6D31303C" w14:textId="77777777" w:rsidR="002A0301" w:rsidRPr="00212951" w:rsidRDefault="002A0301" w:rsidP="0030318B">
    <w:pPr>
      <w:pStyle w:val="E3Title"/>
      <w:pBdr>
        <w:top w:val="single" w:sz="4" w:space="6" w:color="1F3864" w:themeColor="accent1" w:themeShade="80"/>
      </w:pBdr>
      <w:spacing w:before="240" w:after="0" w:line="240" w:lineRule="auto"/>
      <w:ind w:right="357"/>
      <w:rPr>
        <w:rFonts w:asciiTheme="minorHAnsi" w:hAnsiTheme="minorHAnsi"/>
        <w:b w:val="0"/>
        <w:smallCaps/>
        <w:color w:val="1F3864" w:themeColor="accent1" w:themeShade="80"/>
        <w:sz w:val="20"/>
        <w:szCs w:val="20"/>
      </w:rPr>
    </w:pPr>
    <w:r w:rsidRPr="00193918">
      <w:rPr>
        <w:rFonts w:asciiTheme="minorHAnsi" w:hAnsiTheme="minorHAnsi"/>
        <w:b w:val="0"/>
        <w:smallCaps/>
        <w:color w:val="1F3864" w:themeColor="accent1" w:themeShade="80"/>
        <w:sz w:val="20"/>
        <w:szCs w:val="20"/>
      </w:rPr>
      <w:t>Review of GEMS Determinations</w:t>
    </w:r>
    <w:r>
      <w:rPr>
        <w:rFonts w:asciiTheme="minorHAnsi" w:hAnsiTheme="minorHAnsi"/>
        <w:b w:val="0"/>
        <w:smallCaps/>
        <w:color w:val="1F3864" w:themeColor="accent1" w:themeShade="80"/>
        <w:sz w:val="20"/>
        <w:szCs w:val="20"/>
      </w:rPr>
      <w:t xml:space="preserve"> f</w:t>
    </w:r>
    <w:r w:rsidRPr="00193918">
      <w:rPr>
        <w:rFonts w:asciiTheme="minorHAnsi" w:hAnsiTheme="minorHAnsi"/>
        <w:b w:val="0"/>
        <w:smallCaps/>
        <w:color w:val="1F3864" w:themeColor="accent1" w:themeShade="80"/>
        <w:sz w:val="20"/>
        <w:szCs w:val="20"/>
      </w:rPr>
      <w:t>or Fluorescent Ballasts</w:t>
    </w:r>
    <w:r>
      <w:rPr>
        <w:rFonts w:asciiTheme="minorHAnsi" w:hAnsiTheme="minorHAnsi"/>
        <w:b w:val="0"/>
        <w:smallCaps/>
        <w:color w:val="1F3864" w:themeColor="accent1" w:themeShade="80"/>
        <w:sz w:val="20"/>
        <w:szCs w:val="20"/>
      </w:rPr>
      <w:t xml:space="preserve"> </w:t>
    </w:r>
    <w:r w:rsidRPr="00193918">
      <w:rPr>
        <w:rFonts w:asciiTheme="minorHAnsi" w:hAnsiTheme="minorHAnsi"/>
        <w:b w:val="0"/>
        <w:smallCaps/>
        <w:color w:val="1F3864" w:themeColor="accent1" w:themeShade="80"/>
        <w:sz w:val="20"/>
        <w:szCs w:val="20"/>
      </w:rPr>
      <w:t>and ELV</w:t>
    </w:r>
    <w:r>
      <w:rPr>
        <w:rFonts w:asciiTheme="minorHAnsi" w:hAnsiTheme="minorHAnsi"/>
        <w:b w:val="0"/>
        <w:smallCaps/>
        <w:color w:val="1F3864" w:themeColor="accent1" w:themeShade="80"/>
        <w:sz w:val="20"/>
        <w:szCs w:val="20"/>
      </w:rPr>
      <w:t>Cs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FooterChar"/>
        <w:rFonts w:asciiTheme="minorHAnsi" w:hAnsiTheme="minorHAnsi" w:cstheme="minorHAnsi"/>
        <w:b w:val="0"/>
        <w:bCs/>
        <w:color w:val="1F3864" w:themeColor="accent1" w:themeShade="80"/>
        <w:sz w:val="21"/>
        <w:szCs w:val="24"/>
      </w:rPr>
      <w:id w:val="-1733454303"/>
      <w:docPartObj>
        <w:docPartGallery w:val="Page Numbers (Bottom of Page)"/>
        <w:docPartUnique/>
      </w:docPartObj>
    </w:sdtPr>
    <w:sdtEndPr>
      <w:rPr>
        <w:rStyle w:val="FooterChar"/>
      </w:rPr>
    </w:sdtEndPr>
    <w:sdtContent>
      <w:p w14:paraId="0FB06010" w14:textId="77777777" w:rsidR="002A0301" w:rsidRPr="00D57084" w:rsidRDefault="002A0301" w:rsidP="007576F5">
        <w:pPr>
          <w:pStyle w:val="E3Title"/>
          <w:framePr w:wrap="none" w:vAnchor="text" w:hAnchor="page" w:x="10448" w:y="232"/>
          <w:rPr>
            <w:rStyle w:val="FooterChar"/>
            <w:rFonts w:asciiTheme="minorHAnsi" w:hAnsiTheme="minorHAnsi" w:cstheme="minorHAnsi"/>
            <w:b w:val="0"/>
            <w:bCs/>
            <w:color w:val="1F3864" w:themeColor="accent1" w:themeShade="80"/>
            <w:sz w:val="21"/>
            <w:szCs w:val="24"/>
          </w:rPr>
        </w:pPr>
        <w:r w:rsidRPr="00D57084">
          <w:rPr>
            <w:rStyle w:val="FooterChar"/>
            <w:rFonts w:asciiTheme="minorHAnsi" w:hAnsiTheme="minorHAnsi" w:cstheme="minorHAnsi"/>
            <w:b w:val="0"/>
            <w:bCs/>
            <w:color w:val="1F3864" w:themeColor="accent1" w:themeShade="80"/>
            <w:sz w:val="21"/>
            <w:szCs w:val="24"/>
          </w:rPr>
          <w:fldChar w:fldCharType="begin"/>
        </w:r>
        <w:r w:rsidRPr="00D57084">
          <w:rPr>
            <w:rStyle w:val="FooterChar"/>
            <w:rFonts w:asciiTheme="minorHAnsi" w:hAnsiTheme="minorHAnsi" w:cstheme="minorHAnsi"/>
            <w:b w:val="0"/>
            <w:bCs/>
            <w:color w:val="1F3864" w:themeColor="accent1" w:themeShade="80"/>
            <w:sz w:val="21"/>
            <w:szCs w:val="24"/>
          </w:rPr>
          <w:instrText xml:space="preserve"> PAGE </w:instrText>
        </w:r>
        <w:r w:rsidRPr="00D57084">
          <w:rPr>
            <w:rStyle w:val="FooterChar"/>
            <w:rFonts w:asciiTheme="minorHAnsi" w:hAnsiTheme="minorHAnsi" w:cstheme="minorHAnsi"/>
            <w:b w:val="0"/>
            <w:bCs/>
            <w:color w:val="1F3864" w:themeColor="accent1" w:themeShade="80"/>
            <w:sz w:val="21"/>
            <w:szCs w:val="24"/>
          </w:rPr>
          <w:fldChar w:fldCharType="separate"/>
        </w:r>
        <w:r w:rsidR="000260C0">
          <w:rPr>
            <w:rStyle w:val="FooterChar"/>
            <w:rFonts w:asciiTheme="minorHAnsi" w:hAnsiTheme="minorHAnsi" w:cstheme="minorHAnsi"/>
            <w:b w:val="0"/>
            <w:bCs/>
            <w:noProof/>
            <w:color w:val="1F3864" w:themeColor="accent1" w:themeShade="80"/>
            <w:sz w:val="21"/>
            <w:szCs w:val="24"/>
          </w:rPr>
          <w:t>1</w:t>
        </w:r>
        <w:r w:rsidRPr="00D57084">
          <w:rPr>
            <w:rStyle w:val="FooterChar"/>
            <w:rFonts w:asciiTheme="minorHAnsi" w:hAnsiTheme="minorHAnsi" w:cstheme="minorHAnsi"/>
            <w:b w:val="0"/>
            <w:bCs/>
            <w:color w:val="1F3864" w:themeColor="accent1" w:themeShade="80"/>
            <w:sz w:val="21"/>
            <w:szCs w:val="24"/>
          </w:rPr>
          <w:fldChar w:fldCharType="end"/>
        </w:r>
      </w:p>
    </w:sdtContent>
  </w:sdt>
  <w:p w14:paraId="7C62074C" w14:textId="77777777" w:rsidR="002A0301" w:rsidRPr="004170FA" w:rsidRDefault="002A0301" w:rsidP="00193918">
    <w:pPr>
      <w:pStyle w:val="E3Title"/>
      <w:pBdr>
        <w:top w:val="single" w:sz="4" w:space="6" w:color="1F3864" w:themeColor="accent1" w:themeShade="80"/>
      </w:pBdr>
      <w:spacing w:before="240"/>
      <w:ind w:right="360"/>
      <w:rPr>
        <w:rFonts w:asciiTheme="minorHAnsi" w:hAnsiTheme="minorHAnsi"/>
        <w:b w:val="0"/>
        <w:smallCaps/>
        <w:color w:val="1F3864" w:themeColor="accent1" w:themeShade="80"/>
        <w:sz w:val="20"/>
        <w:szCs w:val="20"/>
      </w:rPr>
    </w:pPr>
    <w:r w:rsidRPr="00193918">
      <w:rPr>
        <w:rFonts w:asciiTheme="minorHAnsi" w:hAnsiTheme="minorHAnsi"/>
        <w:b w:val="0"/>
        <w:smallCaps/>
        <w:color w:val="1F3864" w:themeColor="accent1" w:themeShade="80"/>
        <w:sz w:val="20"/>
        <w:szCs w:val="20"/>
      </w:rPr>
      <w:t>Review of GEMS Determinations</w:t>
    </w:r>
    <w:r>
      <w:rPr>
        <w:rFonts w:asciiTheme="minorHAnsi" w:hAnsiTheme="minorHAnsi"/>
        <w:b w:val="0"/>
        <w:smallCaps/>
        <w:color w:val="1F3864" w:themeColor="accent1" w:themeShade="80"/>
        <w:sz w:val="20"/>
        <w:szCs w:val="20"/>
      </w:rPr>
      <w:t xml:space="preserve"> f</w:t>
    </w:r>
    <w:r w:rsidRPr="00193918">
      <w:rPr>
        <w:rFonts w:asciiTheme="minorHAnsi" w:hAnsiTheme="minorHAnsi"/>
        <w:b w:val="0"/>
        <w:smallCaps/>
        <w:color w:val="1F3864" w:themeColor="accent1" w:themeShade="80"/>
        <w:sz w:val="20"/>
        <w:szCs w:val="20"/>
      </w:rPr>
      <w:t>or Fluorescent Ballasts</w:t>
    </w:r>
    <w:r>
      <w:rPr>
        <w:rFonts w:asciiTheme="minorHAnsi" w:hAnsiTheme="minorHAnsi"/>
        <w:b w:val="0"/>
        <w:smallCaps/>
        <w:color w:val="1F3864" w:themeColor="accent1" w:themeShade="80"/>
        <w:sz w:val="20"/>
        <w:szCs w:val="20"/>
      </w:rPr>
      <w:t xml:space="preserve"> </w:t>
    </w:r>
    <w:r w:rsidRPr="00193918">
      <w:rPr>
        <w:rFonts w:asciiTheme="minorHAnsi" w:hAnsiTheme="minorHAnsi"/>
        <w:b w:val="0"/>
        <w:smallCaps/>
        <w:color w:val="1F3864" w:themeColor="accent1" w:themeShade="80"/>
        <w:sz w:val="20"/>
        <w:szCs w:val="20"/>
      </w:rPr>
      <w:t>and ELV</w:t>
    </w:r>
    <w:r>
      <w:rPr>
        <w:rFonts w:asciiTheme="minorHAnsi" w:hAnsiTheme="minorHAnsi"/>
        <w:b w:val="0"/>
        <w:smallCaps/>
        <w:color w:val="1F3864" w:themeColor="accent1" w:themeShade="80"/>
        <w:sz w:val="20"/>
        <w:szCs w:val="20"/>
      </w:rPr>
      <w:t>Cs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2FDF9" w14:textId="77777777" w:rsidR="0027504B" w:rsidRDefault="0027504B" w:rsidP="00D404B2">
      <w:pPr>
        <w:spacing w:after="0"/>
      </w:pPr>
      <w:r>
        <w:separator/>
      </w:r>
    </w:p>
  </w:footnote>
  <w:footnote w:type="continuationSeparator" w:id="0">
    <w:p w14:paraId="772911D2" w14:textId="77777777" w:rsidR="0027504B" w:rsidRDefault="0027504B" w:rsidP="00D404B2">
      <w:pPr>
        <w:spacing w:after="0"/>
      </w:pPr>
      <w:r>
        <w:continuationSeparator/>
      </w:r>
    </w:p>
  </w:footnote>
  <w:footnote w:type="continuationNotice" w:id="1">
    <w:p w14:paraId="20C94837" w14:textId="77777777" w:rsidR="0027504B" w:rsidRDefault="0027504B">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3EF6E74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0C090001"/>
    <w:lvl w:ilvl="0">
      <w:start w:val="1"/>
      <w:numFmt w:val="bullet"/>
      <w:lvlText w:val=""/>
      <w:lvlJc w:val="left"/>
      <w:pPr>
        <w:ind w:left="786" w:hanging="360"/>
      </w:pPr>
      <w:rPr>
        <w:rFonts w:ascii="Symbol" w:hAnsi="Symbol" w:hint="default"/>
        <w:color w:val="auto"/>
      </w:rPr>
    </w:lvl>
  </w:abstractNum>
  <w:abstractNum w:abstractNumId="2" w15:restartNumberingAfterBreak="0">
    <w:nsid w:val="0332394C"/>
    <w:multiLevelType w:val="hybridMultilevel"/>
    <w:tmpl w:val="AF1A12F6"/>
    <w:lvl w:ilvl="0" w:tplc="08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3" w15:restartNumberingAfterBreak="0">
    <w:nsid w:val="03DA7B4D"/>
    <w:multiLevelType w:val="hybridMultilevel"/>
    <w:tmpl w:val="0E58C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03504D"/>
    <w:multiLevelType w:val="hybridMultilevel"/>
    <w:tmpl w:val="E42E3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E6D5A"/>
    <w:multiLevelType w:val="hybridMultilevel"/>
    <w:tmpl w:val="B5446F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955197"/>
    <w:multiLevelType w:val="hybridMultilevel"/>
    <w:tmpl w:val="C960DE2A"/>
    <w:lvl w:ilvl="0" w:tplc="A0D46B40">
      <w:numFmt w:val="bullet"/>
      <w:lvlText w:val="·"/>
      <w:lvlJc w:val="left"/>
      <w:pPr>
        <w:ind w:left="860" w:hanging="500"/>
      </w:pPr>
      <w:rPr>
        <w:rFonts w:ascii="Calibri" w:eastAsia="Times New Roman" w:hAnsi="Calibri" w:cs="Calibri" w:hint="default"/>
      </w:rPr>
    </w:lvl>
    <w:lvl w:ilvl="1" w:tplc="AD4A5CAE">
      <w:numFmt w:val="bullet"/>
      <w:lvlText w:val=""/>
      <w:lvlJc w:val="left"/>
      <w:pPr>
        <w:ind w:left="1480" w:hanging="400"/>
      </w:pPr>
      <w:rPr>
        <w:rFonts w:ascii="Symbol" w:eastAsia="Times New Roman"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5149F"/>
    <w:multiLevelType w:val="multilevel"/>
    <w:tmpl w:val="B468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2430E"/>
    <w:multiLevelType w:val="hybridMultilevel"/>
    <w:tmpl w:val="562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686D02"/>
    <w:multiLevelType w:val="hybridMultilevel"/>
    <w:tmpl w:val="C6C27F2C"/>
    <w:lvl w:ilvl="0" w:tplc="2FCE7E80">
      <w:start w:val="1"/>
      <w:numFmt w:val="bullet"/>
      <w:lvlText w:val=""/>
      <w:lvlJc w:val="left"/>
      <w:pPr>
        <w:ind w:left="6" w:hanging="360"/>
      </w:pPr>
      <w:rPr>
        <w:rFonts w:ascii="Wingdings" w:hAnsi="Wingdings" w:hint="default"/>
        <w:color w:val="4472C4" w:themeColor="accent1"/>
      </w:rPr>
    </w:lvl>
    <w:lvl w:ilvl="1" w:tplc="08090003">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10" w15:restartNumberingAfterBreak="0">
    <w:nsid w:val="2DE84C20"/>
    <w:multiLevelType w:val="hybridMultilevel"/>
    <w:tmpl w:val="5582E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B42020"/>
    <w:multiLevelType w:val="hybridMultilevel"/>
    <w:tmpl w:val="29F4F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F46D1D"/>
    <w:multiLevelType w:val="hybridMultilevel"/>
    <w:tmpl w:val="83B8C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8B1214"/>
    <w:multiLevelType w:val="hybridMultilevel"/>
    <w:tmpl w:val="59F6B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366812"/>
    <w:multiLevelType w:val="multilevel"/>
    <w:tmpl w:val="10306F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9951CB6"/>
    <w:multiLevelType w:val="hybridMultilevel"/>
    <w:tmpl w:val="642EA09E"/>
    <w:lvl w:ilvl="0" w:tplc="08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6" w15:restartNumberingAfterBreak="0">
    <w:nsid w:val="4A740E0E"/>
    <w:multiLevelType w:val="multilevel"/>
    <w:tmpl w:val="E04C54F0"/>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130"/>
        </w:tabs>
        <w:ind w:left="130" w:hanging="680"/>
      </w:pPr>
      <w:rPr>
        <w:rFonts w:hint="default"/>
      </w:rPr>
    </w:lvl>
    <w:lvl w:ilvl="2">
      <w:start w:val="1"/>
      <w:numFmt w:val="lowerLetter"/>
      <w:pStyle w:val="MELegal3"/>
      <w:lvlText w:val="(%3)"/>
      <w:lvlJc w:val="left"/>
      <w:pPr>
        <w:tabs>
          <w:tab w:val="num" w:pos="699"/>
        </w:tabs>
        <w:ind w:left="699" w:hanging="681"/>
      </w:pPr>
      <w:rPr>
        <w:rFonts w:hint="default"/>
        <w:b w:val="0"/>
        <w:bCs w:val="0"/>
        <w:i w:val="0"/>
        <w:iCs w:val="0"/>
      </w:rPr>
    </w:lvl>
    <w:lvl w:ilvl="3">
      <w:start w:val="1"/>
      <w:numFmt w:val="lowerRoman"/>
      <w:pStyle w:val="MELegal4"/>
      <w:lvlText w:val="(%4)"/>
      <w:lvlJc w:val="left"/>
      <w:pPr>
        <w:tabs>
          <w:tab w:val="num" w:pos="1491"/>
        </w:tabs>
        <w:ind w:left="1491" w:hanging="680"/>
      </w:pPr>
      <w:rPr>
        <w:rFonts w:hint="default"/>
      </w:rPr>
    </w:lvl>
    <w:lvl w:ilvl="4">
      <w:start w:val="1"/>
      <w:numFmt w:val="upperLetter"/>
      <w:pStyle w:val="MELegal5"/>
      <w:lvlText w:val="(%5)"/>
      <w:lvlJc w:val="left"/>
      <w:pPr>
        <w:tabs>
          <w:tab w:val="num" w:pos="2172"/>
        </w:tabs>
        <w:ind w:left="2172" w:hanging="681"/>
      </w:pPr>
      <w:rPr>
        <w:rFonts w:hint="default"/>
      </w:rPr>
    </w:lvl>
    <w:lvl w:ilvl="5">
      <w:start w:val="1"/>
      <w:numFmt w:val="upperRoman"/>
      <w:pStyle w:val="MELegal6"/>
      <w:lvlText w:val="(%6)"/>
      <w:lvlJc w:val="left"/>
      <w:pPr>
        <w:tabs>
          <w:tab w:val="num" w:pos="2852"/>
        </w:tabs>
        <w:ind w:left="2852" w:hanging="680"/>
      </w:pPr>
      <w:rPr>
        <w:rFonts w:hint="default"/>
      </w:rPr>
    </w:lvl>
    <w:lvl w:ilvl="6">
      <w:start w:val="1"/>
      <w:numFmt w:val="none"/>
      <w:lvlText w:val="%7"/>
      <w:lvlJc w:val="left"/>
      <w:pPr>
        <w:tabs>
          <w:tab w:val="num" w:pos="4553"/>
        </w:tabs>
        <w:ind w:left="4553" w:hanging="850"/>
      </w:pPr>
      <w:rPr>
        <w:rFonts w:hint="default"/>
      </w:rPr>
    </w:lvl>
    <w:lvl w:ilvl="7">
      <w:start w:val="1"/>
      <w:numFmt w:val="none"/>
      <w:suff w:val="nothing"/>
      <w:lvlText w:val="%8"/>
      <w:lvlJc w:val="left"/>
      <w:pPr>
        <w:ind w:left="-550" w:firstLine="0"/>
      </w:pPr>
      <w:rPr>
        <w:rFonts w:hint="default"/>
      </w:rPr>
    </w:lvl>
    <w:lvl w:ilvl="8">
      <w:start w:val="1"/>
      <w:numFmt w:val="none"/>
      <w:suff w:val="nothing"/>
      <w:lvlText w:val="%9"/>
      <w:lvlJc w:val="left"/>
      <w:pPr>
        <w:ind w:left="-550" w:firstLine="0"/>
      </w:pPr>
      <w:rPr>
        <w:rFonts w:hint="default"/>
      </w:rPr>
    </w:lvl>
  </w:abstractNum>
  <w:abstractNum w:abstractNumId="17" w15:restartNumberingAfterBreak="0">
    <w:nsid w:val="6B490CBE"/>
    <w:multiLevelType w:val="multilevel"/>
    <w:tmpl w:val="DBF85F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EA92002"/>
    <w:multiLevelType w:val="hybridMultilevel"/>
    <w:tmpl w:val="46C8EAF6"/>
    <w:lvl w:ilvl="0" w:tplc="08090005">
      <w:start w:val="1"/>
      <w:numFmt w:val="bullet"/>
      <w:lvlText w:val=""/>
      <w:lvlJc w:val="left"/>
      <w:pPr>
        <w:ind w:left="1853" w:hanging="360"/>
      </w:pPr>
      <w:rPr>
        <w:rFonts w:ascii="Wingdings" w:hAnsi="Wingdings"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9" w15:restartNumberingAfterBreak="0">
    <w:nsid w:val="77C2129E"/>
    <w:multiLevelType w:val="hybridMultilevel"/>
    <w:tmpl w:val="D77EB90C"/>
    <w:lvl w:ilvl="0" w:tplc="B0FEB3DA">
      <w:start w:val="1"/>
      <w:numFmt w:val="bullet"/>
      <w:pStyle w:val="ListParagraph"/>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377EA1"/>
    <w:multiLevelType w:val="hybridMultilevel"/>
    <w:tmpl w:val="54781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B041490"/>
    <w:multiLevelType w:val="hybridMultilevel"/>
    <w:tmpl w:val="03DECF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DE474C"/>
    <w:multiLevelType w:val="hybridMultilevel"/>
    <w:tmpl w:val="E82E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0B7F25"/>
    <w:multiLevelType w:val="multilevel"/>
    <w:tmpl w:val="B4C214D6"/>
    <w:lvl w:ilvl="0">
      <w:start w:val="1"/>
      <w:numFmt w:val="decimal"/>
      <w:pStyle w:val="ScheduleHeading"/>
      <w:lvlText w:val="Schedule %1"/>
      <w:lvlJc w:val="left"/>
      <w:pPr>
        <w:tabs>
          <w:tab w:val="num" w:pos="2695"/>
        </w:tabs>
        <w:ind w:left="2695" w:hanging="1418"/>
      </w:pPr>
      <w:rPr>
        <w:rFonts w:hint="default"/>
      </w:rPr>
    </w:lvl>
    <w:lvl w:ilvl="1">
      <w:start w:val="1"/>
      <w:numFmt w:val="upperLetter"/>
      <w:pStyle w:val="ScheduleLevel1"/>
      <w:lvlText w:val="%2."/>
      <w:lvlJc w:val="left"/>
      <w:pPr>
        <w:tabs>
          <w:tab w:val="num" w:pos="1134"/>
        </w:tabs>
        <w:ind w:left="1134" w:hanging="1134"/>
      </w:pPr>
      <w:rPr>
        <w:rFonts w:hint="default"/>
      </w:rPr>
    </w:lvl>
    <w:lvl w:ilvl="2">
      <w:start w:val="1"/>
      <w:numFmt w:val="decimal"/>
      <w:pStyle w:val="ScheduleLevel2"/>
      <w:lvlText w:val="%2.%3."/>
      <w:lvlJc w:val="left"/>
      <w:pPr>
        <w:tabs>
          <w:tab w:val="num" w:pos="1418"/>
        </w:tabs>
        <w:ind w:left="1418" w:hanging="1134"/>
      </w:pPr>
      <w:rPr>
        <w:rFonts w:hint="default"/>
        <w:color w:val="auto"/>
      </w:rPr>
    </w:lvl>
    <w:lvl w:ilvl="3">
      <w:start w:val="1"/>
      <w:numFmt w:val="decimal"/>
      <w:pStyle w:val="ScheduleLevel3"/>
      <w:lvlText w:val="%2.%3.%4."/>
      <w:lvlJc w:val="left"/>
      <w:pPr>
        <w:tabs>
          <w:tab w:val="num" w:pos="1134"/>
        </w:tabs>
        <w:ind w:left="1134" w:hanging="1134"/>
      </w:pPr>
      <w:rPr>
        <w:rFonts w:hint="default"/>
      </w:rPr>
    </w:lvl>
    <w:lvl w:ilvl="4">
      <w:start w:val="1"/>
      <w:numFmt w:val="lowerLetter"/>
      <w:pStyle w:val="ScheduleHeading"/>
      <w:lvlText w:val="%5."/>
      <w:lvlJc w:val="left"/>
      <w:pPr>
        <w:tabs>
          <w:tab w:val="num" w:pos="1559"/>
        </w:tabs>
        <w:ind w:left="1559" w:hanging="425"/>
      </w:pPr>
      <w:rPr>
        <w:rFonts w:hint="default"/>
      </w:rPr>
    </w:lvl>
    <w:lvl w:ilvl="5">
      <w:start w:val="1"/>
      <w:numFmt w:val="lowerRoman"/>
      <w:pStyle w:val="ScheduleLevel1"/>
      <w:lvlText w:val="%6."/>
      <w:lvlJc w:val="left"/>
      <w:pPr>
        <w:tabs>
          <w:tab w:val="num" w:pos="1985"/>
        </w:tabs>
        <w:ind w:left="1985" w:hanging="426"/>
      </w:pPr>
      <w:rPr>
        <w:rFonts w:hint="default"/>
      </w:rPr>
    </w:lvl>
    <w:lvl w:ilvl="6">
      <w:start w:val="1"/>
      <w:numFmt w:val="upperLetter"/>
      <w:pStyle w:val="ScheduleLevel2"/>
      <w:lvlText w:val="%7."/>
      <w:lvlJc w:val="left"/>
      <w:pPr>
        <w:tabs>
          <w:tab w:val="num" w:pos="2410"/>
        </w:tabs>
        <w:ind w:left="2410" w:hanging="425"/>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4" w15:restartNumberingAfterBreak="0">
    <w:nsid w:val="7C1C19F9"/>
    <w:multiLevelType w:val="hybridMultilevel"/>
    <w:tmpl w:val="3146D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3"/>
  </w:num>
  <w:num w:numId="4">
    <w:abstractNumId w:val="19"/>
  </w:num>
  <w:num w:numId="5">
    <w:abstractNumId w:val="14"/>
  </w:num>
  <w:num w:numId="6">
    <w:abstractNumId w:val="21"/>
  </w:num>
  <w:num w:numId="7">
    <w:abstractNumId w:val="10"/>
  </w:num>
  <w:num w:numId="8">
    <w:abstractNumId w:val="3"/>
  </w:num>
  <w:num w:numId="9">
    <w:abstractNumId w:val="7"/>
  </w:num>
  <w:num w:numId="10">
    <w:abstractNumId w:val="11"/>
  </w:num>
  <w:num w:numId="11">
    <w:abstractNumId w:val="1"/>
  </w:num>
  <w:num w:numId="12">
    <w:abstractNumId w:val="9"/>
  </w:num>
  <w:num w:numId="13">
    <w:abstractNumId w:val="24"/>
  </w:num>
  <w:num w:numId="14">
    <w:abstractNumId w:val="4"/>
  </w:num>
  <w:num w:numId="15">
    <w:abstractNumId w:val="13"/>
  </w:num>
  <w:num w:numId="16">
    <w:abstractNumId w:val="8"/>
  </w:num>
  <w:num w:numId="17">
    <w:abstractNumId w:val="22"/>
  </w:num>
  <w:num w:numId="18">
    <w:abstractNumId w:val="6"/>
  </w:num>
  <w:num w:numId="19">
    <w:abstractNumId w:val="5"/>
  </w:num>
  <w:num w:numId="20">
    <w:abstractNumId w:val="0"/>
  </w:num>
  <w:num w:numId="21">
    <w:abstractNumId w:val="20"/>
  </w:num>
  <w:num w:numId="22">
    <w:abstractNumId w:val="12"/>
  </w:num>
  <w:num w:numId="23">
    <w:abstractNumId w:val="15"/>
  </w:num>
  <w:num w:numId="24">
    <w:abstractNumId w:val="2"/>
  </w:num>
  <w:num w:numId="25">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D03"/>
    <w:rsid w:val="0000004C"/>
    <w:rsid w:val="00000309"/>
    <w:rsid w:val="00000977"/>
    <w:rsid w:val="00003DC8"/>
    <w:rsid w:val="0000432C"/>
    <w:rsid w:val="00005636"/>
    <w:rsid w:val="00006671"/>
    <w:rsid w:val="00007C1F"/>
    <w:rsid w:val="00012A02"/>
    <w:rsid w:val="00013137"/>
    <w:rsid w:val="00015431"/>
    <w:rsid w:val="00017A3A"/>
    <w:rsid w:val="00017A8D"/>
    <w:rsid w:val="00021372"/>
    <w:rsid w:val="000260C0"/>
    <w:rsid w:val="0002695D"/>
    <w:rsid w:val="00027223"/>
    <w:rsid w:val="00027DB6"/>
    <w:rsid w:val="00030A21"/>
    <w:rsid w:val="00031669"/>
    <w:rsid w:val="00031758"/>
    <w:rsid w:val="000340C0"/>
    <w:rsid w:val="00035C69"/>
    <w:rsid w:val="000364E0"/>
    <w:rsid w:val="000404F6"/>
    <w:rsid w:val="00044BEA"/>
    <w:rsid w:val="00045397"/>
    <w:rsid w:val="000459B0"/>
    <w:rsid w:val="00045CFE"/>
    <w:rsid w:val="00046AEF"/>
    <w:rsid w:val="00046CE7"/>
    <w:rsid w:val="00047D7E"/>
    <w:rsid w:val="000520DA"/>
    <w:rsid w:val="00060E04"/>
    <w:rsid w:val="00063808"/>
    <w:rsid w:val="00063D1B"/>
    <w:rsid w:val="00064BC1"/>
    <w:rsid w:val="000651E0"/>
    <w:rsid w:val="00065691"/>
    <w:rsid w:val="00070C56"/>
    <w:rsid w:val="00072239"/>
    <w:rsid w:val="000754D7"/>
    <w:rsid w:val="0007653A"/>
    <w:rsid w:val="00077F55"/>
    <w:rsid w:val="00080BF2"/>
    <w:rsid w:val="00081321"/>
    <w:rsid w:val="00081B05"/>
    <w:rsid w:val="00083DE7"/>
    <w:rsid w:val="000843C5"/>
    <w:rsid w:val="000846D3"/>
    <w:rsid w:val="000872A9"/>
    <w:rsid w:val="00087396"/>
    <w:rsid w:val="00087C45"/>
    <w:rsid w:val="00092360"/>
    <w:rsid w:val="00097CE1"/>
    <w:rsid w:val="000A10FA"/>
    <w:rsid w:val="000A28C7"/>
    <w:rsid w:val="000A5B06"/>
    <w:rsid w:val="000B0F2D"/>
    <w:rsid w:val="000B1FAA"/>
    <w:rsid w:val="000B53C6"/>
    <w:rsid w:val="000B5F79"/>
    <w:rsid w:val="000B776B"/>
    <w:rsid w:val="000C0C35"/>
    <w:rsid w:val="000C151F"/>
    <w:rsid w:val="000C3118"/>
    <w:rsid w:val="000C36E2"/>
    <w:rsid w:val="000C7E81"/>
    <w:rsid w:val="000D5738"/>
    <w:rsid w:val="000E0B31"/>
    <w:rsid w:val="000E2358"/>
    <w:rsid w:val="000E343E"/>
    <w:rsid w:val="000E3688"/>
    <w:rsid w:val="000E472D"/>
    <w:rsid w:val="000E5BA6"/>
    <w:rsid w:val="000E5E4E"/>
    <w:rsid w:val="000E620A"/>
    <w:rsid w:val="000E6D65"/>
    <w:rsid w:val="000E7CAA"/>
    <w:rsid w:val="000F3651"/>
    <w:rsid w:val="000F55A9"/>
    <w:rsid w:val="000F69CA"/>
    <w:rsid w:val="000F71CE"/>
    <w:rsid w:val="0010229A"/>
    <w:rsid w:val="00110788"/>
    <w:rsid w:val="00111F5F"/>
    <w:rsid w:val="0011439A"/>
    <w:rsid w:val="00114752"/>
    <w:rsid w:val="00116372"/>
    <w:rsid w:val="00117F59"/>
    <w:rsid w:val="001203AE"/>
    <w:rsid w:val="00120CEE"/>
    <w:rsid w:val="00120E26"/>
    <w:rsid w:val="0012173E"/>
    <w:rsid w:val="00121C11"/>
    <w:rsid w:val="00123309"/>
    <w:rsid w:val="001247FA"/>
    <w:rsid w:val="00125013"/>
    <w:rsid w:val="00126CB0"/>
    <w:rsid w:val="001278FF"/>
    <w:rsid w:val="00130083"/>
    <w:rsid w:val="001309AE"/>
    <w:rsid w:val="00130A06"/>
    <w:rsid w:val="00133428"/>
    <w:rsid w:val="001358FA"/>
    <w:rsid w:val="00137621"/>
    <w:rsid w:val="00137CA5"/>
    <w:rsid w:val="001431EB"/>
    <w:rsid w:val="00144467"/>
    <w:rsid w:val="00144E48"/>
    <w:rsid w:val="0014642F"/>
    <w:rsid w:val="00150C40"/>
    <w:rsid w:val="00150C8F"/>
    <w:rsid w:val="00153ED0"/>
    <w:rsid w:val="00154E2C"/>
    <w:rsid w:val="001572E8"/>
    <w:rsid w:val="001612B1"/>
    <w:rsid w:val="00164A78"/>
    <w:rsid w:val="001651E1"/>
    <w:rsid w:val="0016557C"/>
    <w:rsid w:val="0016701D"/>
    <w:rsid w:val="00173D24"/>
    <w:rsid w:val="0017499D"/>
    <w:rsid w:val="00175E52"/>
    <w:rsid w:val="00181DFF"/>
    <w:rsid w:val="0018464A"/>
    <w:rsid w:val="00184659"/>
    <w:rsid w:val="00187028"/>
    <w:rsid w:val="001913CA"/>
    <w:rsid w:val="00192B16"/>
    <w:rsid w:val="00192BAA"/>
    <w:rsid w:val="00193918"/>
    <w:rsid w:val="00193DFC"/>
    <w:rsid w:val="001975A9"/>
    <w:rsid w:val="001978A3"/>
    <w:rsid w:val="001A557A"/>
    <w:rsid w:val="001A5F58"/>
    <w:rsid w:val="001A6244"/>
    <w:rsid w:val="001B1490"/>
    <w:rsid w:val="001B5713"/>
    <w:rsid w:val="001B712C"/>
    <w:rsid w:val="001B7EFB"/>
    <w:rsid w:val="001C09AA"/>
    <w:rsid w:val="001C6DB5"/>
    <w:rsid w:val="001D112F"/>
    <w:rsid w:val="001D3B75"/>
    <w:rsid w:val="001D3BAF"/>
    <w:rsid w:val="001D591D"/>
    <w:rsid w:val="001D597F"/>
    <w:rsid w:val="001D7DF4"/>
    <w:rsid w:val="001E3454"/>
    <w:rsid w:val="001E38F6"/>
    <w:rsid w:val="001E3963"/>
    <w:rsid w:val="001E5AD2"/>
    <w:rsid w:val="001E717B"/>
    <w:rsid w:val="001E7188"/>
    <w:rsid w:val="001E7E25"/>
    <w:rsid w:val="001F2751"/>
    <w:rsid w:val="001F34ED"/>
    <w:rsid w:val="001F435D"/>
    <w:rsid w:val="001F458B"/>
    <w:rsid w:val="001F4754"/>
    <w:rsid w:val="0020426F"/>
    <w:rsid w:val="00205DA2"/>
    <w:rsid w:val="0020798D"/>
    <w:rsid w:val="00210923"/>
    <w:rsid w:val="00210DD7"/>
    <w:rsid w:val="00212951"/>
    <w:rsid w:val="00213028"/>
    <w:rsid w:val="002131B7"/>
    <w:rsid w:val="00213B96"/>
    <w:rsid w:val="002171BC"/>
    <w:rsid w:val="00221561"/>
    <w:rsid w:val="002227EB"/>
    <w:rsid w:val="00222B11"/>
    <w:rsid w:val="00223998"/>
    <w:rsid w:val="00224365"/>
    <w:rsid w:val="002252DB"/>
    <w:rsid w:val="00225B3A"/>
    <w:rsid w:val="00226139"/>
    <w:rsid w:val="0022685C"/>
    <w:rsid w:val="00232401"/>
    <w:rsid w:val="002333C7"/>
    <w:rsid w:val="002340A5"/>
    <w:rsid w:val="00241057"/>
    <w:rsid w:val="002475C1"/>
    <w:rsid w:val="00247D59"/>
    <w:rsid w:val="00252436"/>
    <w:rsid w:val="00255568"/>
    <w:rsid w:val="00261F78"/>
    <w:rsid w:val="00262BE5"/>
    <w:rsid w:val="00265245"/>
    <w:rsid w:val="002678C1"/>
    <w:rsid w:val="00267E74"/>
    <w:rsid w:val="0027110D"/>
    <w:rsid w:val="0027170B"/>
    <w:rsid w:val="00271976"/>
    <w:rsid w:val="002746AA"/>
    <w:rsid w:val="002749D6"/>
    <w:rsid w:val="0027504B"/>
    <w:rsid w:val="00280353"/>
    <w:rsid w:val="00281514"/>
    <w:rsid w:val="002816EF"/>
    <w:rsid w:val="002838B2"/>
    <w:rsid w:val="00284452"/>
    <w:rsid w:val="00285871"/>
    <w:rsid w:val="0029127D"/>
    <w:rsid w:val="00294AD2"/>
    <w:rsid w:val="00294F6D"/>
    <w:rsid w:val="002A0301"/>
    <w:rsid w:val="002A1927"/>
    <w:rsid w:val="002A371D"/>
    <w:rsid w:val="002A7A04"/>
    <w:rsid w:val="002B1396"/>
    <w:rsid w:val="002B4D54"/>
    <w:rsid w:val="002C0399"/>
    <w:rsid w:val="002C2953"/>
    <w:rsid w:val="002C29E8"/>
    <w:rsid w:val="002C34C5"/>
    <w:rsid w:val="002C4F38"/>
    <w:rsid w:val="002C54E2"/>
    <w:rsid w:val="002D2ECE"/>
    <w:rsid w:val="002D5269"/>
    <w:rsid w:val="002D72F9"/>
    <w:rsid w:val="002D75BC"/>
    <w:rsid w:val="002E0B3B"/>
    <w:rsid w:val="002E17D3"/>
    <w:rsid w:val="002E1A33"/>
    <w:rsid w:val="002E2CF1"/>
    <w:rsid w:val="002E41CD"/>
    <w:rsid w:val="002E460A"/>
    <w:rsid w:val="002E4D7F"/>
    <w:rsid w:val="002E577C"/>
    <w:rsid w:val="002E5EB0"/>
    <w:rsid w:val="002E72E3"/>
    <w:rsid w:val="002F103D"/>
    <w:rsid w:val="002F5D6B"/>
    <w:rsid w:val="002F61B6"/>
    <w:rsid w:val="002F703E"/>
    <w:rsid w:val="002F7A25"/>
    <w:rsid w:val="00300C8A"/>
    <w:rsid w:val="00301217"/>
    <w:rsid w:val="003013BB"/>
    <w:rsid w:val="00302AF1"/>
    <w:rsid w:val="0030318B"/>
    <w:rsid w:val="00304DFC"/>
    <w:rsid w:val="00304F8D"/>
    <w:rsid w:val="00306488"/>
    <w:rsid w:val="00306CCB"/>
    <w:rsid w:val="003100E3"/>
    <w:rsid w:val="0031170E"/>
    <w:rsid w:val="0031186A"/>
    <w:rsid w:val="0031472E"/>
    <w:rsid w:val="00315932"/>
    <w:rsid w:val="003173F1"/>
    <w:rsid w:val="0031794F"/>
    <w:rsid w:val="003217C8"/>
    <w:rsid w:val="003218BF"/>
    <w:rsid w:val="00321CA8"/>
    <w:rsid w:val="00324A08"/>
    <w:rsid w:val="003253A0"/>
    <w:rsid w:val="00326290"/>
    <w:rsid w:val="00327051"/>
    <w:rsid w:val="00331314"/>
    <w:rsid w:val="00332D58"/>
    <w:rsid w:val="0033436D"/>
    <w:rsid w:val="00336D86"/>
    <w:rsid w:val="0034078D"/>
    <w:rsid w:val="00340F53"/>
    <w:rsid w:val="00341E79"/>
    <w:rsid w:val="00347B33"/>
    <w:rsid w:val="003506F4"/>
    <w:rsid w:val="00352BD8"/>
    <w:rsid w:val="003539F8"/>
    <w:rsid w:val="0035462E"/>
    <w:rsid w:val="0035479B"/>
    <w:rsid w:val="003601FE"/>
    <w:rsid w:val="00361493"/>
    <w:rsid w:val="00362F33"/>
    <w:rsid w:val="00363344"/>
    <w:rsid w:val="00364DB6"/>
    <w:rsid w:val="0036513F"/>
    <w:rsid w:val="00365F3B"/>
    <w:rsid w:val="0037048D"/>
    <w:rsid w:val="003708D1"/>
    <w:rsid w:val="0037102F"/>
    <w:rsid w:val="0037112F"/>
    <w:rsid w:val="003718FD"/>
    <w:rsid w:val="00372205"/>
    <w:rsid w:val="003744CA"/>
    <w:rsid w:val="003745C1"/>
    <w:rsid w:val="003748A7"/>
    <w:rsid w:val="00374C49"/>
    <w:rsid w:val="00375016"/>
    <w:rsid w:val="00377449"/>
    <w:rsid w:val="003808E2"/>
    <w:rsid w:val="00380CE8"/>
    <w:rsid w:val="003832AD"/>
    <w:rsid w:val="00384239"/>
    <w:rsid w:val="00384EC4"/>
    <w:rsid w:val="003856C2"/>
    <w:rsid w:val="00387C8B"/>
    <w:rsid w:val="0039089D"/>
    <w:rsid w:val="00397FB5"/>
    <w:rsid w:val="003A03F8"/>
    <w:rsid w:val="003A20CA"/>
    <w:rsid w:val="003A28BA"/>
    <w:rsid w:val="003A5481"/>
    <w:rsid w:val="003A57E8"/>
    <w:rsid w:val="003A6668"/>
    <w:rsid w:val="003B1D6B"/>
    <w:rsid w:val="003B2F93"/>
    <w:rsid w:val="003B6BBA"/>
    <w:rsid w:val="003B7DFA"/>
    <w:rsid w:val="003C112A"/>
    <w:rsid w:val="003C2363"/>
    <w:rsid w:val="003C25AB"/>
    <w:rsid w:val="003C2960"/>
    <w:rsid w:val="003C31E7"/>
    <w:rsid w:val="003C6EBC"/>
    <w:rsid w:val="003D0243"/>
    <w:rsid w:val="003D0F03"/>
    <w:rsid w:val="003D1AC0"/>
    <w:rsid w:val="003D730A"/>
    <w:rsid w:val="003E32C9"/>
    <w:rsid w:val="003E601C"/>
    <w:rsid w:val="003E6E77"/>
    <w:rsid w:val="003F048B"/>
    <w:rsid w:val="003F4399"/>
    <w:rsid w:val="003F4BC4"/>
    <w:rsid w:val="003F52AC"/>
    <w:rsid w:val="003F6025"/>
    <w:rsid w:val="003F7F09"/>
    <w:rsid w:val="0040136B"/>
    <w:rsid w:val="004056E1"/>
    <w:rsid w:val="00406134"/>
    <w:rsid w:val="004064D7"/>
    <w:rsid w:val="00407DA3"/>
    <w:rsid w:val="004117DD"/>
    <w:rsid w:val="00411873"/>
    <w:rsid w:val="004119ED"/>
    <w:rsid w:val="00411BE2"/>
    <w:rsid w:val="004121D9"/>
    <w:rsid w:val="00412E8D"/>
    <w:rsid w:val="0041368B"/>
    <w:rsid w:val="00413790"/>
    <w:rsid w:val="00414297"/>
    <w:rsid w:val="004162E5"/>
    <w:rsid w:val="004170FA"/>
    <w:rsid w:val="00420944"/>
    <w:rsid w:val="00421134"/>
    <w:rsid w:val="00421D28"/>
    <w:rsid w:val="00422860"/>
    <w:rsid w:val="004243FE"/>
    <w:rsid w:val="00426FD4"/>
    <w:rsid w:val="004278E7"/>
    <w:rsid w:val="0043254F"/>
    <w:rsid w:val="00434BEF"/>
    <w:rsid w:val="00434CCD"/>
    <w:rsid w:val="00435920"/>
    <w:rsid w:val="004366BE"/>
    <w:rsid w:val="00440EBF"/>
    <w:rsid w:val="004413DC"/>
    <w:rsid w:val="004424FD"/>
    <w:rsid w:val="00443472"/>
    <w:rsid w:val="004439B0"/>
    <w:rsid w:val="00444A3E"/>
    <w:rsid w:val="00455065"/>
    <w:rsid w:val="0045626E"/>
    <w:rsid w:val="0046440A"/>
    <w:rsid w:val="00465327"/>
    <w:rsid w:val="004674BB"/>
    <w:rsid w:val="00467523"/>
    <w:rsid w:val="00475146"/>
    <w:rsid w:val="0047787A"/>
    <w:rsid w:val="00481626"/>
    <w:rsid w:val="00481981"/>
    <w:rsid w:val="004820C1"/>
    <w:rsid w:val="00482D29"/>
    <w:rsid w:val="004848BC"/>
    <w:rsid w:val="00484FA9"/>
    <w:rsid w:val="00486EB2"/>
    <w:rsid w:val="004918CC"/>
    <w:rsid w:val="004954F2"/>
    <w:rsid w:val="0049679C"/>
    <w:rsid w:val="00496CDC"/>
    <w:rsid w:val="00496CEC"/>
    <w:rsid w:val="004976D4"/>
    <w:rsid w:val="004A00A9"/>
    <w:rsid w:val="004A0552"/>
    <w:rsid w:val="004A0B4C"/>
    <w:rsid w:val="004A0DAB"/>
    <w:rsid w:val="004A12D3"/>
    <w:rsid w:val="004A2C90"/>
    <w:rsid w:val="004A3D65"/>
    <w:rsid w:val="004A47C1"/>
    <w:rsid w:val="004A61D7"/>
    <w:rsid w:val="004A685E"/>
    <w:rsid w:val="004A6CCF"/>
    <w:rsid w:val="004B162C"/>
    <w:rsid w:val="004B1CCC"/>
    <w:rsid w:val="004B2BC3"/>
    <w:rsid w:val="004B3821"/>
    <w:rsid w:val="004B5707"/>
    <w:rsid w:val="004B5A6F"/>
    <w:rsid w:val="004C12A5"/>
    <w:rsid w:val="004C2130"/>
    <w:rsid w:val="004C2474"/>
    <w:rsid w:val="004C2938"/>
    <w:rsid w:val="004C4922"/>
    <w:rsid w:val="004C5311"/>
    <w:rsid w:val="004C6901"/>
    <w:rsid w:val="004C694A"/>
    <w:rsid w:val="004D09C5"/>
    <w:rsid w:val="004D1510"/>
    <w:rsid w:val="004D56C3"/>
    <w:rsid w:val="004D6F27"/>
    <w:rsid w:val="004D7DDA"/>
    <w:rsid w:val="004E0592"/>
    <w:rsid w:val="004E2606"/>
    <w:rsid w:val="004E2B27"/>
    <w:rsid w:val="004E2B3B"/>
    <w:rsid w:val="004E7AE2"/>
    <w:rsid w:val="004F2642"/>
    <w:rsid w:val="004F29D8"/>
    <w:rsid w:val="004F2D98"/>
    <w:rsid w:val="004F36AA"/>
    <w:rsid w:val="004F4911"/>
    <w:rsid w:val="00500895"/>
    <w:rsid w:val="0050262B"/>
    <w:rsid w:val="005039E9"/>
    <w:rsid w:val="00503BD9"/>
    <w:rsid w:val="00503E45"/>
    <w:rsid w:val="00503FA2"/>
    <w:rsid w:val="005063FD"/>
    <w:rsid w:val="00506FE5"/>
    <w:rsid w:val="00507BF8"/>
    <w:rsid w:val="005114AD"/>
    <w:rsid w:val="005122C4"/>
    <w:rsid w:val="005134B1"/>
    <w:rsid w:val="00513BCF"/>
    <w:rsid w:val="00513D7C"/>
    <w:rsid w:val="0051476D"/>
    <w:rsid w:val="005161C7"/>
    <w:rsid w:val="00522414"/>
    <w:rsid w:val="0052376F"/>
    <w:rsid w:val="00525911"/>
    <w:rsid w:val="005264B2"/>
    <w:rsid w:val="00530327"/>
    <w:rsid w:val="005310B7"/>
    <w:rsid w:val="0053207C"/>
    <w:rsid w:val="00532DBE"/>
    <w:rsid w:val="00533222"/>
    <w:rsid w:val="00534157"/>
    <w:rsid w:val="005349B3"/>
    <w:rsid w:val="00535016"/>
    <w:rsid w:val="0053593D"/>
    <w:rsid w:val="0053632E"/>
    <w:rsid w:val="00537545"/>
    <w:rsid w:val="00540175"/>
    <w:rsid w:val="00540291"/>
    <w:rsid w:val="00542B7A"/>
    <w:rsid w:val="00544252"/>
    <w:rsid w:val="005449D5"/>
    <w:rsid w:val="0054704C"/>
    <w:rsid w:val="0055133D"/>
    <w:rsid w:val="00555F55"/>
    <w:rsid w:val="00556825"/>
    <w:rsid w:val="00556A0D"/>
    <w:rsid w:val="00557813"/>
    <w:rsid w:val="0056009A"/>
    <w:rsid w:val="0056182F"/>
    <w:rsid w:val="0056367C"/>
    <w:rsid w:val="00565341"/>
    <w:rsid w:val="00566414"/>
    <w:rsid w:val="00566DDE"/>
    <w:rsid w:val="005675F3"/>
    <w:rsid w:val="00567F0B"/>
    <w:rsid w:val="00571686"/>
    <w:rsid w:val="00574BD3"/>
    <w:rsid w:val="00574EC8"/>
    <w:rsid w:val="0057711D"/>
    <w:rsid w:val="0057755A"/>
    <w:rsid w:val="00577CCC"/>
    <w:rsid w:val="00582E8F"/>
    <w:rsid w:val="005858D4"/>
    <w:rsid w:val="00586797"/>
    <w:rsid w:val="00594BBA"/>
    <w:rsid w:val="00595BF1"/>
    <w:rsid w:val="005978B1"/>
    <w:rsid w:val="005A26D4"/>
    <w:rsid w:val="005A379E"/>
    <w:rsid w:val="005A494D"/>
    <w:rsid w:val="005A4C7C"/>
    <w:rsid w:val="005B06F1"/>
    <w:rsid w:val="005B1CC3"/>
    <w:rsid w:val="005B20C9"/>
    <w:rsid w:val="005B372E"/>
    <w:rsid w:val="005B3A65"/>
    <w:rsid w:val="005B44B1"/>
    <w:rsid w:val="005B5B53"/>
    <w:rsid w:val="005C2126"/>
    <w:rsid w:val="005C54BB"/>
    <w:rsid w:val="005C6C92"/>
    <w:rsid w:val="005C6E90"/>
    <w:rsid w:val="005C7831"/>
    <w:rsid w:val="005D01B0"/>
    <w:rsid w:val="005D0329"/>
    <w:rsid w:val="005D05E8"/>
    <w:rsid w:val="005D0D5B"/>
    <w:rsid w:val="005D2031"/>
    <w:rsid w:val="005D25BF"/>
    <w:rsid w:val="005D3929"/>
    <w:rsid w:val="005D3B18"/>
    <w:rsid w:val="005D638D"/>
    <w:rsid w:val="005E0B17"/>
    <w:rsid w:val="005E1E14"/>
    <w:rsid w:val="005E4394"/>
    <w:rsid w:val="005E4817"/>
    <w:rsid w:val="005F093C"/>
    <w:rsid w:val="005F1F27"/>
    <w:rsid w:val="005F3A6A"/>
    <w:rsid w:val="005F5A3E"/>
    <w:rsid w:val="00600BFF"/>
    <w:rsid w:val="00604162"/>
    <w:rsid w:val="0060439C"/>
    <w:rsid w:val="00604E7F"/>
    <w:rsid w:val="006140BB"/>
    <w:rsid w:val="00614B23"/>
    <w:rsid w:val="0061500D"/>
    <w:rsid w:val="006160F6"/>
    <w:rsid w:val="00622542"/>
    <w:rsid w:val="00623C1C"/>
    <w:rsid w:val="00623CCE"/>
    <w:rsid w:val="00624AE1"/>
    <w:rsid w:val="00625B20"/>
    <w:rsid w:val="006306CB"/>
    <w:rsid w:val="0063157D"/>
    <w:rsid w:val="00632A7C"/>
    <w:rsid w:val="00633689"/>
    <w:rsid w:val="00633A07"/>
    <w:rsid w:val="00633AF5"/>
    <w:rsid w:val="00633F97"/>
    <w:rsid w:val="00635E24"/>
    <w:rsid w:val="006372DF"/>
    <w:rsid w:val="00637BF2"/>
    <w:rsid w:val="00641E9D"/>
    <w:rsid w:val="00642F81"/>
    <w:rsid w:val="00651D74"/>
    <w:rsid w:val="00653328"/>
    <w:rsid w:val="00656122"/>
    <w:rsid w:val="00664410"/>
    <w:rsid w:val="00666308"/>
    <w:rsid w:val="00666E7D"/>
    <w:rsid w:val="0066711C"/>
    <w:rsid w:val="00667EB8"/>
    <w:rsid w:val="006701E3"/>
    <w:rsid w:val="00670BAA"/>
    <w:rsid w:val="00672F6F"/>
    <w:rsid w:val="00675C33"/>
    <w:rsid w:val="00680617"/>
    <w:rsid w:val="00681668"/>
    <w:rsid w:val="00684EAC"/>
    <w:rsid w:val="00685C0E"/>
    <w:rsid w:val="006872BD"/>
    <w:rsid w:val="006878D1"/>
    <w:rsid w:val="00687FCB"/>
    <w:rsid w:val="00692C9C"/>
    <w:rsid w:val="00692D8B"/>
    <w:rsid w:val="006931E1"/>
    <w:rsid w:val="006948D3"/>
    <w:rsid w:val="00694947"/>
    <w:rsid w:val="00695B10"/>
    <w:rsid w:val="00695BB2"/>
    <w:rsid w:val="006960BA"/>
    <w:rsid w:val="00697D4A"/>
    <w:rsid w:val="006A0157"/>
    <w:rsid w:val="006A0A70"/>
    <w:rsid w:val="006A3FF8"/>
    <w:rsid w:val="006A7728"/>
    <w:rsid w:val="006A7AD7"/>
    <w:rsid w:val="006A7D41"/>
    <w:rsid w:val="006B00E0"/>
    <w:rsid w:val="006B0A6E"/>
    <w:rsid w:val="006B3A78"/>
    <w:rsid w:val="006B509E"/>
    <w:rsid w:val="006B52B3"/>
    <w:rsid w:val="006B754E"/>
    <w:rsid w:val="006B7E15"/>
    <w:rsid w:val="006C0281"/>
    <w:rsid w:val="006C04B0"/>
    <w:rsid w:val="006C06EA"/>
    <w:rsid w:val="006C518F"/>
    <w:rsid w:val="006C6788"/>
    <w:rsid w:val="006C71B7"/>
    <w:rsid w:val="006D0CC0"/>
    <w:rsid w:val="006E23F5"/>
    <w:rsid w:val="006E40FD"/>
    <w:rsid w:val="006E4679"/>
    <w:rsid w:val="006E5B14"/>
    <w:rsid w:val="006F126F"/>
    <w:rsid w:val="006F2344"/>
    <w:rsid w:val="006F38C5"/>
    <w:rsid w:val="00703FFC"/>
    <w:rsid w:val="0070696E"/>
    <w:rsid w:val="007069AF"/>
    <w:rsid w:val="0071223D"/>
    <w:rsid w:val="007134F3"/>
    <w:rsid w:val="007145D8"/>
    <w:rsid w:val="007165D9"/>
    <w:rsid w:val="007200FE"/>
    <w:rsid w:val="0072607A"/>
    <w:rsid w:val="00726189"/>
    <w:rsid w:val="00727E88"/>
    <w:rsid w:val="00731F5A"/>
    <w:rsid w:val="00732B03"/>
    <w:rsid w:val="00732E57"/>
    <w:rsid w:val="0073427D"/>
    <w:rsid w:val="0073481C"/>
    <w:rsid w:val="00734B68"/>
    <w:rsid w:val="0073720F"/>
    <w:rsid w:val="00744880"/>
    <w:rsid w:val="0074508E"/>
    <w:rsid w:val="007458A8"/>
    <w:rsid w:val="007478FC"/>
    <w:rsid w:val="007528CD"/>
    <w:rsid w:val="00752BFD"/>
    <w:rsid w:val="00752C4E"/>
    <w:rsid w:val="007549C9"/>
    <w:rsid w:val="007576F5"/>
    <w:rsid w:val="007606CD"/>
    <w:rsid w:val="00760AC5"/>
    <w:rsid w:val="007621CF"/>
    <w:rsid w:val="00762D2A"/>
    <w:rsid w:val="00762EC0"/>
    <w:rsid w:val="00764007"/>
    <w:rsid w:val="00765384"/>
    <w:rsid w:val="007669CD"/>
    <w:rsid w:val="00774067"/>
    <w:rsid w:val="00774FF3"/>
    <w:rsid w:val="00776F28"/>
    <w:rsid w:val="007820ED"/>
    <w:rsid w:val="007830E1"/>
    <w:rsid w:val="00784365"/>
    <w:rsid w:val="00786AD0"/>
    <w:rsid w:val="0079035D"/>
    <w:rsid w:val="0079369D"/>
    <w:rsid w:val="00796275"/>
    <w:rsid w:val="007A10F4"/>
    <w:rsid w:val="007A11F6"/>
    <w:rsid w:val="007A2794"/>
    <w:rsid w:val="007A2E36"/>
    <w:rsid w:val="007A6023"/>
    <w:rsid w:val="007A6EEC"/>
    <w:rsid w:val="007B29E9"/>
    <w:rsid w:val="007B3712"/>
    <w:rsid w:val="007B5691"/>
    <w:rsid w:val="007B7238"/>
    <w:rsid w:val="007B741E"/>
    <w:rsid w:val="007C0555"/>
    <w:rsid w:val="007C0E69"/>
    <w:rsid w:val="007C1058"/>
    <w:rsid w:val="007C49F2"/>
    <w:rsid w:val="007C51D6"/>
    <w:rsid w:val="007C5361"/>
    <w:rsid w:val="007C5F64"/>
    <w:rsid w:val="007C61A2"/>
    <w:rsid w:val="007C6324"/>
    <w:rsid w:val="007D0325"/>
    <w:rsid w:val="007D1509"/>
    <w:rsid w:val="007D3EFF"/>
    <w:rsid w:val="007D537C"/>
    <w:rsid w:val="007D6AAD"/>
    <w:rsid w:val="007D7D03"/>
    <w:rsid w:val="007E14C7"/>
    <w:rsid w:val="007E4F2E"/>
    <w:rsid w:val="007E4F5C"/>
    <w:rsid w:val="007E52A8"/>
    <w:rsid w:val="007E562D"/>
    <w:rsid w:val="007E6932"/>
    <w:rsid w:val="007E72B1"/>
    <w:rsid w:val="007F0195"/>
    <w:rsid w:val="007F1279"/>
    <w:rsid w:val="007F60C9"/>
    <w:rsid w:val="007F7699"/>
    <w:rsid w:val="0080129C"/>
    <w:rsid w:val="00801FF7"/>
    <w:rsid w:val="008058DA"/>
    <w:rsid w:val="0080615B"/>
    <w:rsid w:val="008063D4"/>
    <w:rsid w:val="00807764"/>
    <w:rsid w:val="0081225C"/>
    <w:rsid w:val="008156B1"/>
    <w:rsid w:val="00815DAC"/>
    <w:rsid w:val="00820C8F"/>
    <w:rsid w:val="008227B0"/>
    <w:rsid w:val="0082308C"/>
    <w:rsid w:val="00824E72"/>
    <w:rsid w:val="0082759D"/>
    <w:rsid w:val="008317A2"/>
    <w:rsid w:val="00832B44"/>
    <w:rsid w:val="008330CD"/>
    <w:rsid w:val="00834B39"/>
    <w:rsid w:val="00840361"/>
    <w:rsid w:val="008462D6"/>
    <w:rsid w:val="00852C6D"/>
    <w:rsid w:val="00853CEF"/>
    <w:rsid w:val="00854086"/>
    <w:rsid w:val="00855047"/>
    <w:rsid w:val="008601C1"/>
    <w:rsid w:val="00861113"/>
    <w:rsid w:val="00862044"/>
    <w:rsid w:val="00862493"/>
    <w:rsid w:val="00863FFB"/>
    <w:rsid w:val="00864ABC"/>
    <w:rsid w:val="008651CD"/>
    <w:rsid w:val="00865AA2"/>
    <w:rsid w:val="00866043"/>
    <w:rsid w:val="008701C1"/>
    <w:rsid w:val="008713DA"/>
    <w:rsid w:val="00871465"/>
    <w:rsid w:val="00871C7B"/>
    <w:rsid w:val="00871E18"/>
    <w:rsid w:val="008739EC"/>
    <w:rsid w:val="008747D7"/>
    <w:rsid w:val="00875996"/>
    <w:rsid w:val="0088041D"/>
    <w:rsid w:val="0088044E"/>
    <w:rsid w:val="00881F02"/>
    <w:rsid w:val="00883AC0"/>
    <w:rsid w:val="00885AA7"/>
    <w:rsid w:val="00887710"/>
    <w:rsid w:val="00890E32"/>
    <w:rsid w:val="0089127D"/>
    <w:rsid w:val="00892283"/>
    <w:rsid w:val="00896CA3"/>
    <w:rsid w:val="0089716B"/>
    <w:rsid w:val="008974A7"/>
    <w:rsid w:val="00897DDE"/>
    <w:rsid w:val="008A0C4A"/>
    <w:rsid w:val="008A399A"/>
    <w:rsid w:val="008A3F2E"/>
    <w:rsid w:val="008A3FA8"/>
    <w:rsid w:val="008A7ED2"/>
    <w:rsid w:val="008B0364"/>
    <w:rsid w:val="008B04D1"/>
    <w:rsid w:val="008B44F7"/>
    <w:rsid w:val="008B4EBF"/>
    <w:rsid w:val="008B6A36"/>
    <w:rsid w:val="008C1975"/>
    <w:rsid w:val="008C1A70"/>
    <w:rsid w:val="008C209E"/>
    <w:rsid w:val="008C24F2"/>
    <w:rsid w:val="008C4E3D"/>
    <w:rsid w:val="008C55F7"/>
    <w:rsid w:val="008C6ED8"/>
    <w:rsid w:val="008C7218"/>
    <w:rsid w:val="008D0D51"/>
    <w:rsid w:val="008D27BF"/>
    <w:rsid w:val="008D379E"/>
    <w:rsid w:val="008D4AB1"/>
    <w:rsid w:val="008D69CD"/>
    <w:rsid w:val="008D70D7"/>
    <w:rsid w:val="008E4A41"/>
    <w:rsid w:val="008E4D42"/>
    <w:rsid w:val="008E6535"/>
    <w:rsid w:val="008E7B31"/>
    <w:rsid w:val="008F0AAF"/>
    <w:rsid w:val="008F1A0D"/>
    <w:rsid w:val="008F2CE4"/>
    <w:rsid w:val="008F3603"/>
    <w:rsid w:val="008F518D"/>
    <w:rsid w:val="008F553F"/>
    <w:rsid w:val="008F5F2A"/>
    <w:rsid w:val="008F604A"/>
    <w:rsid w:val="008F624C"/>
    <w:rsid w:val="008F66C6"/>
    <w:rsid w:val="008F72E9"/>
    <w:rsid w:val="00901BCC"/>
    <w:rsid w:val="00901BE2"/>
    <w:rsid w:val="009025B7"/>
    <w:rsid w:val="00903185"/>
    <w:rsid w:val="00905D02"/>
    <w:rsid w:val="00906ED3"/>
    <w:rsid w:val="00907933"/>
    <w:rsid w:val="00911086"/>
    <w:rsid w:val="00916418"/>
    <w:rsid w:val="0091776A"/>
    <w:rsid w:val="00917E05"/>
    <w:rsid w:val="009212B0"/>
    <w:rsid w:val="00922DE6"/>
    <w:rsid w:val="00923B4B"/>
    <w:rsid w:val="00923D21"/>
    <w:rsid w:val="00924FF2"/>
    <w:rsid w:val="00930D0F"/>
    <w:rsid w:val="00930EDB"/>
    <w:rsid w:val="009322A1"/>
    <w:rsid w:val="00932D7A"/>
    <w:rsid w:val="0093312E"/>
    <w:rsid w:val="00936627"/>
    <w:rsid w:val="00942C96"/>
    <w:rsid w:val="00943D1A"/>
    <w:rsid w:val="00944A0F"/>
    <w:rsid w:val="00944DCB"/>
    <w:rsid w:val="00945D1D"/>
    <w:rsid w:val="00946BAC"/>
    <w:rsid w:val="00946D0A"/>
    <w:rsid w:val="0095066B"/>
    <w:rsid w:val="009518D1"/>
    <w:rsid w:val="00952638"/>
    <w:rsid w:val="00952C17"/>
    <w:rsid w:val="00952E29"/>
    <w:rsid w:val="0095405C"/>
    <w:rsid w:val="00957191"/>
    <w:rsid w:val="00960DDC"/>
    <w:rsid w:val="009614A9"/>
    <w:rsid w:val="009616FE"/>
    <w:rsid w:val="00967727"/>
    <w:rsid w:val="00967F64"/>
    <w:rsid w:val="00970305"/>
    <w:rsid w:val="0097083C"/>
    <w:rsid w:val="00970CCB"/>
    <w:rsid w:val="00972273"/>
    <w:rsid w:val="00972D86"/>
    <w:rsid w:val="0097493E"/>
    <w:rsid w:val="00974CDA"/>
    <w:rsid w:val="00981547"/>
    <w:rsid w:val="009819CD"/>
    <w:rsid w:val="009876F5"/>
    <w:rsid w:val="0098793E"/>
    <w:rsid w:val="009915D3"/>
    <w:rsid w:val="009916A5"/>
    <w:rsid w:val="00991C47"/>
    <w:rsid w:val="00997987"/>
    <w:rsid w:val="009A0395"/>
    <w:rsid w:val="009A0B84"/>
    <w:rsid w:val="009A2748"/>
    <w:rsid w:val="009A4042"/>
    <w:rsid w:val="009A4372"/>
    <w:rsid w:val="009A4BBE"/>
    <w:rsid w:val="009A5E68"/>
    <w:rsid w:val="009A6BC7"/>
    <w:rsid w:val="009A70CC"/>
    <w:rsid w:val="009B0CEB"/>
    <w:rsid w:val="009B3EBC"/>
    <w:rsid w:val="009C031E"/>
    <w:rsid w:val="009C4860"/>
    <w:rsid w:val="009C53F4"/>
    <w:rsid w:val="009C5F0A"/>
    <w:rsid w:val="009C70DE"/>
    <w:rsid w:val="009D0F8F"/>
    <w:rsid w:val="009D2404"/>
    <w:rsid w:val="009D309B"/>
    <w:rsid w:val="009D3766"/>
    <w:rsid w:val="009D3E33"/>
    <w:rsid w:val="009D475D"/>
    <w:rsid w:val="009D57D7"/>
    <w:rsid w:val="009D57EA"/>
    <w:rsid w:val="009D7E9B"/>
    <w:rsid w:val="009E34C8"/>
    <w:rsid w:val="009E3B27"/>
    <w:rsid w:val="009E4459"/>
    <w:rsid w:val="009E4C2F"/>
    <w:rsid w:val="009E6254"/>
    <w:rsid w:val="009F08B7"/>
    <w:rsid w:val="009F7245"/>
    <w:rsid w:val="009F7EEB"/>
    <w:rsid w:val="00A02703"/>
    <w:rsid w:val="00A10573"/>
    <w:rsid w:val="00A14326"/>
    <w:rsid w:val="00A1644B"/>
    <w:rsid w:val="00A16FE6"/>
    <w:rsid w:val="00A17FAC"/>
    <w:rsid w:val="00A20100"/>
    <w:rsid w:val="00A216AE"/>
    <w:rsid w:val="00A25580"/>
    <w:rsid w:val="00A25A69"/>
    <w:rsid w:val="00A300FF"/>
    <w:rsid w:val="00A30E4F"/>
    <w:rsid w:val="00A33326"/>
    <w:rsid w:val="00A41C92"/>
    <w:rsid w:val="00A42D44"/>
    <w:rsid w:val="00A44EDA"/>
    <w:rsid w:val="00A45FCF"/>
    <w:rsid w:val="00A5134A"/>
    <w:rsid w:val="00A53EB8"/>
    <w:rsid w:val="00A53F1E"/>
    <w:rsid w:val="00A55E30"/>
    <w:rsid w:val="00A5752E"/>
    <w:rsid w:val="00A65A92"/>
    <w:rsid w:val="00A65C23"/>
    <w:rsid w:val="00A66FB1"/>
    <w:rsid w:val="00A672EF"/>
    <w:rsid w:val="00A67D16"/>
    <w:rsid w:val="00A73938"/>
    <w:rsid w:val="00A74099"/>
    <w:rsid w:val="00A7606D"/>
    <w:rsid w:val="00A7627C"/>
    <w:rsid w:val="00A77193"/>
    <w:rsid w:val="00A776E1"/>
    <w:rsid w:val="00A77CA6"/>
    <w:rsid w:val="00A81CF8"/>
    <w:rsid w:val="00A84783"/>
    <w:rsid w:val="00A86352"/>
    <w:rsid w:val="00A86562"/>
    <w:rsid w:val="00A873B9"/>
    <w:rsid w:val="00A875A4"/>
    <w:rsid w:val="00A878DF"/>
    <w:rsid w:val="00A9161D"/>
    <w:rsid w:val="00A93DDF"/>
    <w:rsid w:val="00A971D5"/>
    <w:rsid w:val="00A975CE"/>
    <w:rsid w:val="00A97727"/>
    <w:rsid w:val="00AA0223"/>
    <w:rsid w:val="00AA36B6"/>
    <w:rsid w:val="00AA6A34"/>
    <w:rsid w:val="00AB10EB"/>
    <w:rsid w:val="00AB3840"/>
    <w:rsid w:val="00AB3C95"/>
    <w:rsid w:val="00AC0932"/>
    <w:rsid w:val="00AC2798"/>
    <w:rsid w:val="00AC3497"/>
    <w:rsid w:val="00AC380E"/>
    <w:rsid w:val="00AC3D9F"/>
    <w:rsid w:val="00AC424D"/>
    <w:rsid w:val="00AC44CF"/>
    <w:rsid w:val="00AC79FD"/>
    <w:rsid w:val="00AD0352"/>
    <w:rsid w:val="00AD10D9"/>
    <w:rsid w:val="00AD28EE"/>
    <w:rsid w:val="00AD4351"/>
    <w:rsid w:val="00AD62CA"/>
    <w:rsid w:val="00AD7254"/>
    <w:rsid w:val="00AD73D5"/>
    <w:rsid w:val="00AE20E5"/>
    <w:rsid w:val="00AE2F5A"/>
    <w:rsid w:val="00AE597C"/>
    <w:rsid w:val="00AE6934"/>
    <w:rsid w:val="00AE7C56"/>
    <w:rsid w:val="00AF1341"/>
    <w:rsid w:val="00AF1A81"/>
    <w:rsid w:val="00AF1C06"/>
    <w:rsid w:val="00AF3369"/>
    <w:rsid w:val="00AF3E04"/>
    <w:rsid w:val="00AF3E4D"/>
    <w:rsid w:val="00AF517B"/>
    <w:rsid w:val="00AF5794"/>
    <w:rsid w:val="00AF5A63"/>
    <w:rsid w:val="00AF5CA4"/>
    <w:rsid w:val="00AF5E2E"/>
    <w:rsid w:val="00AF6BAA"/>
    <w:rsid w:val="00B005D1"/>
    <w:rsid w:val="00B019BB"/>
    <w:rsid w:val="00B041CE"/>
    <w:rsid w:val="00B04F4F"/>
    <w:rsid w:val="00B1039B"/>
    <w:rsid w:val="00B10ACC"/>
    <w:rsid w:val="00B1627D"/>
    <w:rsid w:val="00B218C5"/>
    <w:rsid w:val="00B24790"/>
    <w:rsid w:val="00B25C06"/>
    <w:rsid w:val="00B2767B"/>
    <w:rsid w:val="00B306B8"/>
    <w:rsid w:val="00B33FA8"/>
    <w:rsid w:val="00B3584A"/>
    <w:rsid w:val="00B40015"/>
    <w:rsid w:val="00B41B17"/>
    <w:rsid w:val="00B41D0D"/>
    <w:rsid w:val="00B42A38"/>
    <w:rsid w:val="00B43756"/>
    <w:rsid w:val="00B43B54"/>
    <w:rsid w:val="00B44292"/>
    <w:rsid w:val="00B454BB"/>
    <w:rsid w:val="00B46754"/>
    <w:rsid w:val="00B4797E"/>
    <w:rsid w:val="00B50D10"/>
    <w:rsid w:val="00B51F3C"/>
    <w:rsid w:val="00B604AE"/>
    <w:rsid w:val="00B61592"/>
    <w:rsid w:val="00B61AFC"/>
    <w:rsid w:val="00B6247F"/>
    <w:rsid w:val="00B6350F"/>
    <w:rsid w:val="00B648F2"/>
    <w:rsid w:val="00B6730A"/>
    <w:rsid w:val="00B67870"/>
    <w:rsid w:val="00B70A71"/>
    <w:rsid w:val="00B82736"/>
    <w:rsid w:val="00B912F6"/>
    <w:rsid w:val="00B91391"/>
    <w:rsid w:val="00B92C57"/>
    <w:rsid w:val="00B9454F"/>
    <w:rsid w:val="00B96D33"/>
    <w:rsid w:val="00BA050A"/>
    <w:rsid w:val="00BA1AB0"/>
    <w:rsid w:val="00BA29A6"/>
    <w:rsid w:val="00BA4366"/>
    <w:rsid w:val="00BB0B3E"/>
    <w:rsid w:val="00BB2AE8"/>
    <w:rsid w:val="00BB2C41"/>
    <w:rsid w:val="00BB681E"/>
    <w:rsid w:val="00BC15CA"/>
    <w:rsid w:val="00BC3058"/>
    <w:rsid w:val="00BC39C5"/>
    <w:rsid w:val="00BC3E0C"/>
    <w:rsid w:val="00BC588D"/>
    <w:rsid w:val="00BD1752"/>
    <w:rsid w:val="00BD3D1C"/>
    <w:rsid w:val="00BD52B8"/>
    <w:rsid w:val="00BD6815"/>
    <w:rsid w:val="00BE076E"/>
    <w:rsid w:val="00BE0C1A"/>
    <w:rsid w:val="00BE0CBC"/>
    <w:rsid w:val="00BE3762"/>
    <w:rsid w:val="00BE4474"/>
    <w:rsid w:val="00BE505B"/>
    <w:rsid w:val="00BE54C8"/>
    <w:rsid w:val="00BE6446"/>
    <w:rsid w:val="00BE71D9"/>
    <w:rsid w:val="00BE721E"/>
    <w:rsid w:val="00BE7C1C"/>
    <w:rsid w:val="00BF0983"/>
    <w:rsid w:val="00BF1EB8"/>
    <w:rsid w:val="00BF53FC"/>
    <w:rsid w:val="00C003C0"/>
    <w:rsid w:val="00C00783"/>
    <w:rsid w:val="00C021A2"/>
    <w:rsid w:val="00C021EB"/>
    <w:rsid w:val="00C05D13"/>
    <w:rsid w:val="00C06AFE"/>
    <w:rsid w:val="00C07594"/>
    <w:rsid w:val="00C11A4E"/>
    <w:rsid w:val="00C15CAD"/>
    <w:rsid w:val="00C16799"/>
    <w:rsid w:val="00C17331"/>
    <w:rsid w:val="00C2060C"/>
    <w:rsid w:val="00C215ED"/>
    <w:rsid w:val="00C22374"/>
    <w:rsid w:val="00C2315F"/>
    <w:rsid w:val="00C2466F"/>
    <w:rsid w:val="00C25B66"/>
    <w:rsid w:val="00C3148E"/>
    <w:rsid w:val="00C32A66"/>
    <w:rsid w:val="00C33836"/>
    <w:rsid w:val="00C4098E"/>
    <w:rsid w:val="00C41171"/>
    <w:rsid w:val="00C41CB5"/>
    <w:rsid w:val="00C44862"/>
    <w:rsid w:val="00C455B1"/>
    <w:rsid w:val="00C46BAF"/>
    <w:rsid w:val="00C46E7D"/>
    <w:rsid w:val="00C51CEA"/>
    <w:rsid w:val="00C54CCA"/>
    <w:rsid w:val="00C559F0"/>
    <w:rsid w:val="00C56134"/>
    <w:rsid w:val="00C60529"/>
    <w:rsid w:val="00C66F98"/>
    <w:rsid w:val="00C70618"/>
    <w:rsid w:val="00C7276A"/>
    <w:rsid w:val="00C76542"/>
    <w:rsid w:val="00C81654"/>
    <w:rsid w:val="00C83EF3"/>
    <w:rsid w:val="00C87983"/>
    <w:rsid w:val="00C90E8D"/>
    <w:rsid w:val="00C911D8"/>
    <w:rsid w:val="00C9315B"/>
    <w:rsid w:val="00C96A67"/>
    <w:rsid w:val="00C97AAE"/>
    <w:rsid w:val="00CA28E0"/>
    <w:rsid w:val="00CA3E67"/>
    <w:rsid w:val="00CA4659"/>
    <w:rsid w:val="00CA5CCF"/>
    <w:rsid w:val="00CA5E02"/>
    <w:rsid w:val="00CA6398"/>
    <w:rsid w:val="00CA713B"/>
    <w:rsid w:val="00CA7942"/>
    <w:rsid w:val="00CB1CD9"/>
    <w:rsid w:val="00CB37E2"/>
    <w:rsid w:val="00CB5414"/>
    <w:rsid w:val="00CC08AD"/>
    <w:rsid w:val="00CC6E8B"/>
    <w:rsid w:val="00CC798E"/>
    <w:rsid w:val="00CD3E63"/>
    <w:rsid w:val="00CD5799"/>
    <w:rsid w:val="00CD7293"/>
    <w:rsid w:val="00CD744D"/>
    <w:rsid w:val="00CE0DD9"/>
    <w:rsid w:val="00CE1E7B"/>
    <w:rsid w:val="00CE3134"/>
    <w:rsid w:val="00CE7E7A"/>
    <w:rsid w:val="00CF4127"/>
    <w:rsid w:val="00CF4343"/>
    <w:rsid w:val="00CF48D0"/>
    <w:rsid w:val="00CF4DE4"/>
    <w:rsid w:val="00D05902"/>
    <w:rsid w:val="00D05EA1"/>
    <w:rsid w:val="00D11728"/>
    <w:rsid w:val="00D12804"/>
    <w:rsid w:val="00D13E0F"/>
    <w:rsid w:val="00D16CB6"/>
    <w:rsid w:val="00D242EC"/>
    <w:rsid w:val="00D31774"/>
    <w:rsid w:val="00D31C79"/>
    <w:rsid w:val="00D31CF8"/>
    <w:rsid w:val="00D33D7B"/>
    <w:rsid w:val="00D345EC"/>
    <w:rsid w:val="00D34E79"/>
    <w:rsid w:val="00D404B2"/>
    <w:rsid w:val="00D40A50"/>
    <w:rsid w:val="00D45001"/>
    <w:rsid w:val="00D46614"/>
    <w:rsid w:val="00D4710A"/>
    <w:rsid w:val="00D47756"/>
    <w:rsid w:val="00D47C70"/>
    <w:rsid w:val="00D50873"/>
    <w:rsid w:val="00D57084"/>
    <w:rsid w:val="00D57E41"/>
    <w:rsid w:val="00D617D8"/>
    <w:rsid w:val="00D61A09"/>
    <w:rsid w:val="00D62300"/>
    <w:rsid w:val="00D64C49"/>
    <w:rsid w:val="00D6610C"/>
    <w:rsid w:val="00D66F97"/>
    <w:rsid w:val="00D67332"/>
    <w:rsid w:val="00D67BFC"/>
    <w:rsid w:val="00D67C88"/>
    <w:rsid w:val="00D7007C"/>
    <w:rsid w:val="00D72867"/>
    <w:rsid w:val="00D76068"/>
    <w:rsid w:val="00D766E2"/>
    <w:rsid w:val="00D76C22"/>
    <w:rsid w:val="00D84E96"/>
    <w:rsid w:val="00D864A9"/>
    <w:rsid w:val="00D8734C"/>
    <w:rsid w:val="00D87858"/>
    <w:rsid w:val="00D903B6"/>
    <w:rsid w:val="00D90B89"/>
    <w:rsid w:val="00D92D0F"/>
    <w:rsid w:val="00D92E17"/>
    <w:rsid w:val="00D939D9"/>
    <w:rsid w:val="00D95568"/>
    <w:rsid w:val="00D962D0"/>
    <w:rsid w:val="00D96A85"/>
    <w:rsid w:val="00D973AD"/>
    <w:rsid w:val="00DA0BCF"/>
    <w:rsid w:val="00DA4F02"/>
    <w:rsid w:val="00DA5143"/>
    <w:rsid w:val="00DA5230"/>
    <w:rsid w:val="00DA667A"/>
    <w:rsid w:val="00DB54E6"/>
    <w:rsid w:val="00DB58D4"/>
    <w:rsid w:val="00DB5B17"/>
    <w:rsid w:val="00DC026F"/>
    <w:rsid w:val="00DC32E5"/>
    <w:rsid w:val="00DC358B"/>
    <w:rsid w:val="00DC6159"/>
    <w:rsid w:val="00DD0386"/>
    <w:rsid w:val="00DD3B0A"/>
    <w:rsid w:val="00DD4846"/>
    <w:rsid w:val="00DD6013"/>
    <w:rsid w:val="00DE0397"/>
    <w:rsid w:val="00DE0BF8"/>
    <w:rsid w:val="00DE2B20"/>
    <w:rsid w:val="00DE3954"/>
    <w:rsid w:val="00DE6ACF"/>
    <w:rsid w:val="00DE7C4E"/>
    <w:rsid w:val="00DE7D85"/>
    <w:rsid w:val="00DF2FD5"/>
    <w:rsid w:val="00DF4548"/>
    <w:rsid w:val="00DF67C5"/>
    <w:rsid w:val="00E01F73"/>
    <w:rsid w:val="00E05AF7"/>
    <w:rsid w:val="00E06B6D"/>
    <w:rsid w:val="00E074A4"/>
    <w:rsid w:val="00E07D3A"/>
    <w:rsid w:val="00E10C77"/>
    <w:rsid w:val="00E12D30"/>
    <w:rsid w:val="00E13D64"/>
    <w:rsid w:val="00E14BEE"/>
    <w:rsid w:val="00E2052E"/>
    <w:rsid w:val="00E22124"/>
    <w:rsid w:val="00E24CF6"/>
    <w:rsid w:val="00E25AEC"/>
    <w:rsid w:val="00E25F2D"/>
    <w:rsid w:val="00E2694B"/>
    <w:rsid w:val="00E274F1"/>
    <w:rsid w:val="00E3059E"/>
    <w:rsid w:val="00E31AF3"/>
    <w:rsid w:val="00E32313"/>
    <w:rsid w:val="00E34F3D"/>
    <w:rsid w:val="00E354D7"/>
    <w:rsid w:val="00E36A89"/>
    <w:rsid w:val="00E4120E"/>
    <w:rsid w:val="00E46941"/>
    <w:rsid w:val="00E46985"/>
    <w:rsid w:val="00E46C39"/>
    <w:rsid w:val="00E54C57"/>
    <w:rsid w:val="00E571CC"/>
    <w:rsid w:val="00E578E5"/>
    <w:rsid w:val="00E57A13"/>
    <w:rsid w:val="00E61B93"/>
    <w:rsid w:val="00E64447"/>
    <w:rsid w:val="00E67849"/>
    <w:rsid w:val="00E7032B"/>
    <w:rsid w:val="00E72AAC"/>
    <w:rsid w:val="00E72D56"/>
    <w:rsid w:val="00E74964"/>
    <w:rsid w:val="00E751C8"/>
    <w:rsid w:val="00E75F37"/>
    <w:rsid w:val="00E76D4B"/>
    <w:rsid w:val="00E840F8"/>
    <w:rsid w:val="00E85A8E"/>
    <w:rsid w:val="00E86CEE"/>
    <w:rsid w:val="00E901B8"/>
    <w:rsid w:val="00E915F1"/>
    <w:rsid w:val="00E93AA2"/>
    <w:rsid w:val="00E963B0"/>
    <w:rsid w:val="00E969DA"/>
    <w:rsid w:val="00E972E8"/>
    <w:rsid w:val="00E97668"/>
    <w:rsid w:val="00EA2313"/>
    <w:rsid w:val="00EA2B52"/>
    <w:rsid w:val="00EA3CC8"/>
    <w:rsid w:val="00EA519B"/>
    <w:rsid w:val="00EA51DC"/>
    <w:rsid w:val="00EA6F24"/>
    <w:rsid w:val="00EA766F"/>
    <w:rsid w:val="00EB19FA"/>
    <w:rsid w:val="00EB2D6A"/>
    <w:rsid w:val="00EB39F1"/>
    <w:rsid w:val="00EB5F47"/>
    <w:rsid w:val="00EB62E3"/>
    <w:rsid w:val="00EB756D"/>
    <w:rsid w:val="00EC06BC"/>
    <w:rsid w:val="00EC0F8E"/>
    <w:rsid w:val="00EC613A"/>
    <w:rsid w:val="00ED2B92"/>
    <w:rsid w:val="00ED5BA8"/>
    <w:rsid w:val="00EE00DB"/>
    <w:rsid w:val="00EE272C"/>
    <w:rsid w:val="00EE2740"/>
    <w:rsid w:val="00EE3801"/>
    <w:rsid w:val="00EE45E2"/>
    <w:rsid w:val="00EE465D"/>
    <w:rsid w:val="00EE765B"/>
    <w:rsid w:val="00EE7E07"/>
    <w:rsid w:val="00EF07FF"/>
    <w:rsid w:val="00EF5A09"/>
    <w:rsid w:val="00EF5CA8"/>
    <w:rsid w:val="00EF7E1E"/>
    <w:rsid w:val="00F01075"/>
    <w:rsid w:val="00F029C9"/>
    <w:rsid w:val="00F03885"/>
    <w:rsid w:val="00F046C2"/>
    <w:rsid w:val="00F0526C"/>
    <w:rsid w:val="00F05CC9"/>
    <w:rsid w:val="00F066EC"/>
    <w:rsid w:val="00F10A96"/>
    <w:rsid w:val="00F127DC"/>
    <w:rsid w:val="00F1482B"/>
    <w:rsid w:val="00F157BD"/>
    <w:rsid w:val="00F21FE4"/>
    <w:rsid w:val="00F22B85"/>
    <w:rsid w:val="00F2481D"/>
    <w:rsid w:val="00F25774"/>
    <w:rsid w:val="00F31C5C"/>
    <w:rsid w:val="00F31EAD"/>
    <w:rsid w:val="00F3273F"/>
    <w:rsid w:val="00F33ABF"/>
    <w:rsid w:val="00F342CB"/>
    <w:rsid w:val="00F34815"/>
    <w:rsid w:val="00F358DC"/>
    <w:rsid w:val="00F3647B"/>
    <w:rsid w:val="00F373B6"/>
    <w:rsid w:val="00F37AD9"/>
    <w:rsid w:val="00F419D7"/>
    <w:rsid w:val="00F41A21"/>
    <w:rsid w:val="00F41D28"/>
    <w:rsid w:val="00F420C2"/>
    <w:rsid w:val="00F44E88"/>
    <w:rsid w:val="00F450BC"/>
    <w:rsid w:val="00F566B2"/>
    <w:rsid w:val="00F568E2"/>
    <w:rsid w:val="00F56A6F"/>
    <w:rsid w:val="00F57212"/>
    <w:rsid w:val="00F57456"/>
    <w:rsid w:val="00F57853"/>
    <w:rsid w:val="00F60C7B"/>
    <w:rsid w:val="00F62556"/>
    <w:rsid w:val="00F70DC6"/>
    <w:rsid w:val="00F7142C"/>
    <w:rsid w:val="00F71BCF"/>
    <w:rsid w:val="00F7386F"/>
    <w:rsid w:val="00F74B88"/>
    <w:rsid w:val="00F74ED9"/>
    <w:rsid w:val="00F75842"/>
    <w:rsid w:val="00F766ED"/>
    <w:rsid w:val="00F829DC"/>
    <w:rsid w:val="00F834E8"/>
    <w:rsid w:val="00F93725"/>
    <w:rsid w:val="00F95C88"/>
    <w:rsid w:val="00F9646D"/>
    <w:rsid w:val="00F97251"/>
    <w:rsid w:val="00FA08E5"/>
    <w:rsid w:val="00FA38A1"/>
    <w:rsid w:val="00FA3CD9"/>
    <w:rsid w:val="00FA66F8"/>
    <w:rsid w:val="00FA764A"/>
    <w:rsid w:val="00FA7A86"/>
    <w:rsid w:val="00FB1F58"/>
    <w:rsid w:val="00FB48C4"/>
    <w:rsid w:val="00FB4E8C"/>
    <w:rsid w:val="00FB65EC"/>
    <w:rsid w:val="00FB6FF0"/>
    <w:rsid w:val="00FB7D31"/>
    <w:rsid w:val="00FC3D3C"/>
    <w:rsid w:val="00FC6EAC"/>
    <w:rsid w:val="00FD194D"/>
    <w:rsid w:val="00FD1D15"/>
    <w:rsid w:val="00FD22D9"/>
    <w:rsid w:val="00FD2B87"/>
    <w:rsid w:val="00FD2C3C"/>
    <w:rsid w:val="00FD6F7F"/>
    <w:rsid w:val="00FD7F5C"/>
    <w:rsid w:val="00FE127F"/>
    <w:rsid w:val="00FE3012"/>
    <w:rsid w:val="00FE337C"/>
    <w:rsid w:val="00FE4678"/>
    <w:rsid w:val="00FE504C"/>
    <w:rsid w:val="00FE5B0A"/>
    <w:rsid w:val="00FE5E6D"/>
    <w:rsid w:val="00FE6791"/>
    <w:rsid w:val="00FF0B45"/>
    <w:rsid w:val="00FF12FC"/>
    <w:rsid w:val="00FF2672"/>
    <w:rsid w:val="00FF3FB3"/>
    <w:rsid w:val="00FF7F5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15602"/>
  <w15:chartTrackingRefBased/>
  <w15:docId w15:val="{8D926503-F1C1-F84A-A050-E5831887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4CA"/>
    <w:pPr>
      <w:spacing w:after="120"/>
    </w:pPr>
    <w:rPr>
      <w:sz w:val="22"/>
      <w:szCs w:val="22"/>
      <w:lang w:eastAsia="zh-CN" w:bidi="th-TH"/>
    </w:rPr>
  </w:style>
  <w:style w:type="paragraph" w:styleId="Heading1">
    <w:name w:val="heading 1"/>
    <w:aliases w:val="Char1"/>
    <w:basedOn w:val="Normal"/>
    <w:next w:val="Normal"/>
    <w:link w:val="Heading1Char"/>
    <w:uiPriority w:val="9"/>
    <w:qFormat/>
    <w:rsid w:val="00960DDC"/>
    <w:pPr>
      <w:keepNext/>
      <w:widowControl w:val="0"/>
      <w:numPr>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jc w:val="both"/>
      <w:outlineLvl w:val="0"/>
    </w:pPr>
    <w:rPr>
      <w:rFonts w:eastAsia="Times New Roman" w:cs="Arial"/>
      <w:b/>
      <w:bCs/>
      <w:color w:val="0070C0"/>
      <w:kern w:val="32"/>
      <w:sz w:val="28"/>
      <w:szCs w:val="32"/>
      <w:lang w:val="en-GB" w:eastAsia="en-US" w:bidi="ar-SA"/>
    </w:rPr>
  </w:style>
  <w:style w:type="paragraph" w:styleId="Heading2">
    <w:name w:val="heading 2"/>
    <w:basedOn w:val="Normal"/>
    <w:next w:val="Normal"/>
    <w:link w:val="Heading2Char"/>
    <w:uiPriority w:val="9"/>
    <w:qFormat/>
    <w:rsid w:val="00960DDC"/>
    <w:pPr>
      <w:widowControl w:val="0"/>
      <w:numPr>
        <w:ilvl w:val="1"/>
        <w:numId w:val="5"/>
      </w:numPr>
      <w:spacing w:before="120" w:after="60"/>
      <w:outlineLvl w:val="1"/>
    </w:pPr>
    <w:rPr>
      <w:bCs/>
      <w:iCs/>
      <w:color w:val="0070C0"/>
      <w:sz w:val="28"/>
      <w:szCs w:val="28"/>
      <w:lang w:val="en-US" w:eastAsia="en-US" w:bidi="ar-SA"/>
    </w:rPr>
  </w:style>
  <w:style w:type="paragraph" w:styleId="Heading3">
    <w:name w:val="heading 3"/>
    <w:basedOn w:val="Normal"/>
    <w:next w:val="Normal"/>
    <w:link w:val="Heading3Char"/>
    <w:uiPriority w:val="9"/>
    <w:qFormat/>
    <w:rsid w:val="007549C9"/>
    <w:pPr>
      <w:keepNext/>
      <w:widowControl w:val="0"/>
      <w:numPr>
        <w:ilvl w:val="2"/>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2"/>
    </w:pPr>
    <w:rPr>
      <w:rFonts w:ascii="Arial" w:eastAsia="Times New Roman" w:hAnsi="Arial" w:cs="Arial"/>
      <w:b/>
      <w:bCs/>
      <w:lang w:val="en-GB" w:eastAsia="en-US" w:bidi="ar-SA"/>
    </w:rPr>
  </w:style>
  <w:style w:type="paragraph" w:styleId="Heading4">
    <w:name w:val="heading 4"/>
    <w:basedOn w:val="Normal"/>
    <w:next w:val="Normal"/>
    <w:link w:val="Heading4Char"/>
    <w:uiPriority w:val="9"/>
    <w:unhideWhenUsed/>
    <w:qFormat/>
    <w:rsid w:val="00AB10EB"/>
    <w:pPr>
      <w:keepNext/>
      <w:keepLines/>
      <w:spacing w:before="40"/>
      <w:outlineLvl w:val="3"/>
    </w:pPr>
    <w:rPr>
      <w:rFonts w:eastAsiaTheme="majorEastAsia" w:cstheme="minorHAnsi"/>
      <w:color w:val="2F5496" w:themeColor="accent1" w:themeShade="BF"/>
      <w:sz w:val="36"/>
      <w:szCs w:val="44"/>
    </w:rPr>
  </w:style>
  <w:style w:type="paragraph" w:styleId="Heading5">
    <w:name w:val="heading 5"/>
    <w:basedOn w:val="Normal"/>
    <w:next w:val="Normal"/>
    <w:link w:val="Heading5Char"/>
    <w:uiPriority w:val="9"/>
    <w:unhideWhenUsed/>
    <w:qFormat/>
    <w:rsid w:val="00AB10EB"/>
    <w:pPr>
      <w:keepNext/>
      <w:keepLines/>
      <w:spacing w:before="120"/>
      <w:outlineLvl w:val="4"/>
    </w:pPr>
    <w:rPr>
      <w:rFonts w:asciiTheme="majorHAnsi" w:eastAsiaTheme="majorEastAsia" w:hAnsiTheme="majorHAnsi" w:cs="Angsana New"/>
      <w:b/>
      <w:bCs/>
      <w:color w:val="2F5496" w:themeColor="accent1" w:themeShade="BF"/>
      <w:szCs w:val="28"/>
    </w:rPr>
  </w:style>
  <w:style w:type="paragraph" w:styleId="Heading6">
    <w:name w:val="heading 6"/>
    <w:basedOn w:val="Normal"/>
    <w:next w:val="Normal"/>
    <w:link w:val="Heading6Char"/>
    <w:uiPriority w:val="9"/>
    <w:semiHidden/>
    <w:unhideWhenUsed/>
    <w:qFormat/>
    <w:rsid w:val="00960DDC"/>
    <w:pPr>
      <w:keepNext/>
      <w:keepLines/>
      <w:spacing w:before="40" w:after="0"/>
      <w:ind w:left="1152" w:hanging="1152"/>
      <w:outlineLvl w:val="5"/>
    </w:pPr>
    <w:rPr>
      <w:rFonts w:asciiTheme="majorHAnsi" w:eastAsiaTheme="majorEastAsia" w:hAnsiTheme="majorHAnsi" w:cstheme="majorBidi"/>
      <w:color w:val="1F3763" w:themeColor="accent1" w:themeShade="7F"/>
      <w:sz w:val="24"/>
      <w:szCs w:val="24"/>
      <w:lang w:eastAsia="en-GB" w:bidi="ar-SA"/>
    </w:rPr>
  </w:style>
  <w:style w:type="paragraph" w:styleId="Heading7">
    <w:name w:val="heading 7"/>
    <w:basedOn w:val="Normal"/>
    <w:next w:val="Normal"/>
    <w:link w:val="Heading7Char"/>
    <w:uiPriority w:val="9"/>
    <w:semiHidden/>
    <w:unhideWhenUsed/>
    <w:qFormat/>
    <w:rsid w:val="00960DDC"/>
    <w:pPr>
      <w:keepNext/>
      <w:keepLines/>
      <w:spacing w:before="40" w:after="0"/>
      <w:ind w:left="1296" w:hanging="1296"/>
      <w:outlineLvl w:val="6"/>
    </w:pPr>
    <w:rPr>
      <w:rFonts w:asciiTheme="majorHAnsi" w:eastAsiaTheme="majorEastAsia" w:hAnsiTheme="majorHAnsi" w:cstheme="majorBidi"/>
      <w:i/>
      <w:iCs/>
      <w:color w:val="1F3763" w:themeColor="accent1" w:themeShade="7F"/>
      <w:sz w:val="24"/>
      <w:szCs w:val="24"/>
      <w:lang w:eastAsia="en-GB" w:bidi="ar-SA"/>
    </w:rPr>
  </w:style>
  <w:style w:type="paragraph" w:styleId="Heading8">
    <w:name w:val="heading 8"/>
    <w:basedOn w:val="Normal"/>
    <w:next w:val="Normal"/>
    <w:link w:val="Heading8Char"/>
    <w:uiPriority w:val="9"/>
    <w:semiHidden/>
    <w:unhideWhenUsed/>
    <w:qFormat/>
    <w:rsid w:val="00960DDC"/>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eastAsia="en-GB" w:bidi="ar-SA"/>
    </w:rPr>
  </w:style>
  <w:style w:type="paragraph" w:styleId="Heading9">
    <w:name w:val="heading 9"/>
    <w:basedOn w:val="Normal"/>
    <w:next w:val="Normal"/>
    <w:link w:val="Heading9Char"/>
    <w:uiPriority w:val="9"/>
    <w:semiHidden/>
    <w:unhideWhenUsed/>
    <w:qFormat/>
    <w:rsid w:val="00960DD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1 Char"/>
    <w:basedOn w:val="DefaultParagraphFont"/>
    <w:link w:val="Heading1"/>
    <w:uiPriority w:val="9"/>
    <w:rsid w:val="00960DDC"/>
    <w:rPr>
      <w:rFonts w:eastAsia="Times New Roman" w:cs="Arial"/>
      <w:b/>
      <w:bCs/>
      <w:color w:val="0070C0"/>
      <w:kern w:val="32"/>
      <w:sz w:val="28"/>
      <w:szCs w:val="32"/>
      <w:lang w:val="en-GB"/>
    </w:rPr>
  </w:style>
  <w:style w:type="character" w:customStyle="1" w:styleId="Heading2Char">
    <w:name w:val="Heading 2 Char"/>
    <w:basedOn w:val="DefaultParagraphFont"/>
    <w:link w:val="Heading2"/>
    <w:uiPriority w:val="9"/>
    <w:rsid w:val="00960DDC"/>
    <w:rPr>
      <w:bCs/>
      <w:iCs/>
      <w:color w:val="0070C0"/>
      <w:sz w:val="28"/>
      <w:szCs w:val="28"/>
      <w:lang w:val="en-US"/>
    </w:rPr>
  </w:style>
  <w:style w:type="character" w:customStyle="1" w:styleId="Heading3Char">
    <w:name w:val="Heading 3 Char"/>
    <w:basedOn w:val="DefaultParagraphFont"/>
    <w:link w:val="Heading3"/>
    <w:uiPriority w:val="9"/>
    <w:rsid w:val="007549C9"/>
    <w:rPr>
      <w:rFonts w:ascii="Arial" w:eastAsia="Times New Roman" w:hAnsi="Arial" w:cs="Arial"/>
      <w:b/>
      <w:bCs/>
      <w:sz w:val="22"/>
      <w:szCs w:val="22"/>
      <w:lang w:val="en-GB"/>
    </w:rPr>
  </w:style>
  <w:style w:type="character" w:customStyle="1" w:styleId="Heading4Char">
    <w:name w:val="Heading 4 Char"/>
    <w:basedOn w:val="DefaultParagraphFont"/>
    <w:link w:val="Heading4"/>
    <w:uiPriority w:val="9"/>
    <w:rsid w:val="00AB10EB"/>
    <w:rPr>
      <w:rFonts w:eastAsiaTheme="majorEastAsia" w:cstheme="minorHAnsi"/>
      <w:color w:val="2F5496" w:themeColor="accent1" w:themeShade="BF"/>
      <w:sz w:val="36"/>
      <w:szCs w:val="44"/>
      <w:lang w:eastAsia="zh-CN" w:bidi="th-TH"/>
    </w:rPr>
  </w:style>
  <w:style w:type="character" w:customStyle="1" w:styleId="Heading5Char">
    <w:name w:val="Heading 5 Char"/>
    <w:basedOn w:val="DefaultParagraphFont"/>
    <w:link w:val="Heading5"/>
    <w:uiPriority w:val="9"/>
    <w:rsid w:val="00AB10EB"/>
    <w:rPr>
      <w:rFonts w:asciiTheme="majorHAnsi" w:eastAsiaTheme="majorEastAsia" w:hAnsiTheme="majorHAnsi" w:cs="Angsana New"/>
      <w:b/>
      <w:bCs/>
      <w:color w:val="2F5496" w:themeColor="accent1" w:themeShade="BF"/>
      <w:sz w:val="22"/>
      <w:szCs w:val="28"/>
      <w:lang w:eastAsia="zh-CN" w:bidi="th-TH"/>
    </w:rPr>
  </w:style>
  <w:style w:type="character" w:customStyle="1" w:styleId="Heading6Char">
    <w:name w:val="Heading 6 Char"/>
    <w:basedOn w:val="DefaultParagraphFont"/>
    <w:link w:val="Heading6"/>
    <w:uiPriority w:val="9"/>
    <w:semiHidden/>
    <w:rsid w:val="00960DDC"/>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960DDC"/>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960DDC"/>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960DDC"/>
    <w:rPr>
      <w:rFonts w:asciiTheme="majorHAnsi" w:eastAsiaTheme="majorEastAsia" w:hAnsiTheme="majorHAnsi" w:cstheme="majorBidi"/>
      <w:i/>
      <w:iCs/>
      <w:color w:val="272727" w:themeColor="text1" w:themeTint="D8"/>
      <w:sz w:val="21"/>
      <w:szCs w:val="21"/>
      <w:lang w:eastAsia="en-GB"/>
    </w:rPr>
  </w:style>
  <w:style w:type="paragraph" w:styleId="Subtitle">
    <w:name w:val="Subtitle"/>
    <w:basedOn w:val="Normal"/>
    <w:next w:val="Normal"/>
    <w:link w:val="SubtitleChar"/>
    <w:qFormat/>
    <w:rsid w:val="00991C47"/>
    <w:pPr>
      <w:numPr>
        <w:ilvl w:val="1"/>
      </w:numPr>
      <w:spacing w:after="160"/>
    </w:pPr>
    <w:rPr>
      <w:rFonts w:eastAsiaTheme="minorEastAsia"/>
      <w:color w:val="5A5A5A" w:themeColor="text1" w:themeTint="A5"/>
      <w:spacing w:val="15"/>
      <w:lang w:eastAsia="en-GB"/>
    </w:rPr>
  </w:style>
  <w:style w:type="character" w:customStyle="1" w:styleId="SubtitleChar">
    <w:name w:val="Subtitle Char"/>
    <w:basedOn w:val="DefaultParagraphFont"/>
    <w:link w:val="Subtitle"/>
    <w:rsid w:val="00991C47"/>
    <w:rPr>
      <w:rFonts w:eastAsiaTheme="minorEastAsia"/>
      <w:color w:val="5A5A5A" w:themeColor="text1" w:themeTint="A5"/>
      <w:spacing w:val="15"/>
      <w:sz w:val="22"/>
      <w:szCs w:val="22"/>
      <w:lang w:eastAsia="en-GB"/>
    </w:rPr>
  </w:style>
  <w:style w:type="paragraph" w:styleId="ListParagraph">
    <w:name w:val="List Paragraph"/>
    <w:basedOn w:val="Normal"/>
    <w:uiPriority w:val="34"/>
    <w:qFormat/>
    <w:rsid w:val="00070C56"/>
    <w:pPr>
      <w:numPr>
        <w:numId w:val="4"/>
      </w:numPr>
      <w:ind w:left="357" w:hanging="357"/>
    </w:pPr>
    <w:rPr>
      <w:rFonts w:eastAsia="Times New Roman" w:cstheme="minorHAnsi"/>
      <w:szCs w:val="28"/>
    </w:rPr>
  </w:style>
  <w:style w:type="paragraph" w:customStyle="1" w:styleId="MELegal1">
    <w:name w:val="ME Legal 1"/>
    <w:aliases w:val="l1,RFTLevel1,ME Legal 11"/>
    <w:basedOn w:val="Normal"/>
    <w:next w:val="Normal"/>
    <w:qFormat/>
    <w:rsid w:val="002E17D3"/>
    <w:pPr>
      <w:keepNext/>
      <w:numPr>
        <w:numId w:val="1"/>
      </w:numPr>
      <w:spacing w:before="280" w:after="140" w:line="280" w:lineRule="atLeast"/>
      <w:outlineLvl w:val="0"/>
    </w:pPr>
    <w:rPr>
      <w:rFonts w:ascii="Arial" w:eastAsia="Times New Roman" w:hAnsi="Arial" w:cs="Angsana New"/>
      <w:spacing w:val="-10"/>
      <w:w w:val="95"/>
      <w:sz w:val="32"/>
      <w:szCs w:val="32"/>
    </w:rPr>
  </w:style>
  <w:style w:type="paragraph" w:customStyle="1" w:styleId="MELegal2">
    <w:name w:val="ME Legal 2"/>
    <w:aliases w:val="l2,RFTLevel2"/>
    <w:basedOn w:val="Normal"/>
    <w:next w:val="Normal"/>
    <w:qFormat/>
    <w:rsid w:val="00901BE2"/>
    <w:pPr>
      <w:keepNext/>
      <w:numPr>
        <w:ilvl w:val="1"/>
        <w:numId w:val="1"/>
      </w:numPr>
      <w:tabs>
        <w:tab w:val="clear" w:pos="130"/>
      </w:tabs>
      <w:spacing w:before="60" w:line="280" w:lineRule="atLeast"/>
      <w:ind w:left="709" w:hanging="709"/>
      <w:outlineLvl w:val="1"/>
    </w:pPr>
    <w:rPr>
      <w:rFonts w:ascii="Arial" w:eastAsia="Times New Roman" w:hAnsi="Arial" w:cs="Angsana New"/>
      <w:b/>
      <w:bCs/>
      <w:w w:val="95"/>
      <w:sz w:val="24"/>
      <w:szCs w:val="24"/>
    </w:rPr>
  </w:style>
  <w:style w:type="paragraph" w:customStyle="1" w:styleId="MELegal3">
    <w:name w:val="ME Legal 3"/>
    <w:aliases w:val="l3,ME Legal 31"/>
    <w:basedOn w:val="Normal"/>
    <w:qFormat/>
    <w:rsid w:val="007D7D03"/>
    <w:pPr>
      <w:numPr>
        <w:ilvl w:val="2"/>
        <w:numId w:val="1"/>
      </w:numPr>
      <w:spacing w:after="140" w:line="280" w:lineRule="atLeast"/>
      <w:outlineLvl w:val="2"/>
    </w:pPr>
    <w:rPr>
      <w:rFonts w:ascii="Times New Roman" w:eastAsia="Times New Roman" w:hAnsi="Times New Roman" w:cs="Angsana New"/>
    </w:rPr>
  </w:style>
  <w:style w:type="paragraph" w:customStyle="1" w:styleId="MELegal4">
    <w:name w:val="ME Legal 4"/>
    <w:aliases w:val="l4,ME Legal 41"/>
    <w:basedOn w:val="Normal"/>
    <w:qFormat/>
    <w:rsid w:val="007D7D03"/>
    <w:pPr>
      <w:numPr>
        <w:ilvl w:val="3"/>
        <w:numId w:val="1"/>
      </w:numPr>
      <w:spacing w:after="140" w:line="280" w:lineRule="atLeast"/>
      <w:outlineLvl w:val="3"/>
    </w:pPr>
    <w:rPr>
      <w:rFonts w:ascii="Times New Roman" w:eastAsia="Times New Roman" w:hAnsi="Times New Roman" w:cs="Angsana New"/>
    </w:rPr>
  </w:style>
  <w:style w:type="paragraph" w:customStyle="1" w:styleId="MELegal5">
    <w:name w:val="ME Legal 5"/>
    <w:aliases w:val="l5"/>
    <w:basedOn w:val="Normal"/>
    <w:qFormat/>
    <w:rsid w:val="007D7D03"/>
    <w:pPr>
      <w:numPr>
        <w:ilvl w:val="4"/>
        <w:numId w:val="1"/>
      </w:numPr>
      <w:spacing w:after="140" w:line="280" w:lineRule="atLeast"/>
      <w:outlineLvl w:val="4"/>
    </w:pPr>
    <w:rPr>
      <w:rFonts w:ascii="Times New Roman" w:eastAsia="Times New Roman" w:hAnsi="Times New Roman" w:cs="Angsana New"/>
    </w:rPr>
  </w:style>
  <w:style w:type="paragraph" w:customStyle="1" w:styleId="MELegal6">
    <w:name w:val="ME Legal 6"/>
    <w:basedOn w:val="Normal"/>
    <w:qFormat/>
    <w:rsid w:val="007D7D03"/>
    <w:pPr>
      <w:numPr>
        <w:ilvl w:val="5"/>
        <w:numId w:val="1"/>
      </w:numPr>
      <w:spacing w:after="140" w:line="280" w:lineRule="atLeast"/>
      <w:outlineLvl w:val="5"/>
    </w:pPr>
    <w:rPr>
      <w:rFonts w:ascii="Times New Roman" w:eastAsia="Times New Roman" w:hAnsi="Times New Roman" w:cs="Angsana New"/>
    </w:rPr>
  </w:style>
  <w:style w:type="paragraph" w:styleId="NormalWeb">
    <w:name w:val="Normal (Web)"/>
    <w:basedOn w:val="Normal"/>
    <w:uiPriority w:val="99"/>
    <w:unhideWhenUsed/>
    <w:rsid w:val="002D2ECE"/>
    <w:pPr>
      <w:spacing w:before="100" w:beforeAutospacing="1" w:after="100" w:afterAutospacing="1"/>
    </w:pPr>
    <w:rPr>
      <w:rFonts w:ascii="Times New Roman" w:eastAsia="Times New Roman" w:hAnsi="Times New Roman" w:cs="Times New Roman"/>
      <w:lang w:eastAsia="en-GB"/>
    </w:rPr>
  </w:style>
  <w:style w:type="paragraph" w:styleId="CommentText">
    <w:name w:val="annotation text"/>
    <w:basedOn w:val="Normal"/>
    <w:link w:val="CommentTextChar"/>
    <w:uiPriority w:val="99"/>
    <w:unhideWhenUsed/>
    <w:qFormat/>
    <w:rsid w:val="002131B7"/>
    <w:pPr>
      <w:widowControl w:val="0"/>
      <w:autoSpaceDE w:val="0"/>
      <w:autoSpaceDN w:val="0"/>
      <w:jc w:val="center"/>
    </w:pPr>
    <w:rPr>
      <w:rFonts w:ascii="Calibri" w:eastAsia="Calibri" w:hAnsi="Calibri" w:cs="Calibri"/>
      <w:i/>
      <w:sz w:val="18"/>
      <w:szCs w:val="20"/>
      <w:lang w:eastAsia="en-GB" w:bidi="en-GB"/>
    </w:rPr>
  </w:style>
  <w:style w:type="character" w:customStyle="1" w:styleId="CommentTextChar">
    <w:name w:val="Comment Text Char"/>
    <w:basedOn w:val="DefaultParagraphFont"/>
    <w:link w:val="CommentText"/>
    <w:uiPriority w:val="99"/>
    <w:rsid w:val="002131B7"/>
    <w:rPr>
      <w:rFonts w:ascii="Calibri" w:eastAsia="Calibri" w:hAnsi="Calibri" w:cs="Calibri"/>
      <w:i/>
      <w:sz w:val="18"/>
      <w:szCs w:val="20"/>
      <w:lang w:val="en-GB" w:eastAsia="en-GB" w:bidi="en-GB"/>
    </w:rPr>
  </w:style>
  <w:style w:type="table" w:styleId="TableGrid">
    <w:name w:val="Table Grid"/>
    <w:basedOn w:val="TableNormal"/>
    <w:uiPriority w:val="39"/>
    <w:rsid w:val="00081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404B2"/>
    <w:pPr>
      <w:spacing w:after="0"/>
    </w:pPr>
    <w:rPr>
      <w:rFonts w:cs="Angsana New"/>
      <w:sz w:val="20"/>
      <w:szCs w:val="25"/>
    </w:rPr>
  </w:style>
  <w:style w:type="character" w:customStyle="1" w:styleId="FootnoteTextChar">
    <w:name w:val="Footnote Text Char"/>
    <w:basedOn w:val="DefaultParagraphFont"/>
    <w:link w:val="FootnoteText"/>
    <w:uiPriority w:val="99"/>
    <w:semiHidden/>
    <w:rsid w:val="00D404B2"/>
    <w:rPr>
      <w:rFonts w:cs="Angsana New"/>
      <w:sz w:val="20"/>
      <w:szCs w:val="25"/>
      <w:lang w:eastAsia="zh-CN" w:bidi="th-TH"/>
    </w:rPr>
  </w:style>
  <w:style w:type="character" w:styleId="FootnoteReference">
    <w:name w:val="footnote reference"/>
    <w:basedOn w:val="DefaultParagraphFont"/>
    <w:uiPriority w:val="99"/>
    <w:semiHidden/>
    <w:unhideWhenUsed/>
    <w:rsid w:val="00D404B2"/>
    <w:rPr>
      <w:vertAlign w:val="superscript"/>
    </w:rPr>
  </w:style>
  <w:style w:type="paragraph" w:styleId="Caption">
    <w:name w:val="caption"/>
    <w:basedOn w:val="Normal"/>
    <w:next w:val="Normal"/>
    <w:uiPriority w:val="99"/>
    <w:unhideWhenUsed/>
    <w:qFormat/>
    <w:rsid w:val="00760AC5"/>
    <w:pPr>
      <w:spacing w:after="200"/>
    </w:pPr>
    <w:rPr>
      <w:rFonts w:cs="Angsana New"/>
      <w:i/>
      <w:iCs/>
      <w:color w:val="0070C0"/>
      <w:sz w:val="18"/>
    </w:rPr>
  </w:style>
  <w:style w:type="paragraph" w:customStyle="1" w:styleId="E3Title">
    <w:name w:val="E3 Title"/>
    <w:basedOn w:val="Normal"/>
    <w:uiPriority w:val="99"/>
    <w:rsid w:val="0053593D"/>
    <w:pPr>
      <w:spacing w:after="113" w:line="278" w:lineRule="auto"/>
    </w:pPr>
    <w:rPr>
      <w:rFonts w:ascii="Helvetica" w:eastAsia="Calibri" w:hAnsi="Helvetica" w:cs="Times New Roman"/>
      <w:b/>
      <w:color w:val="F2F2F2"/>
      <w:sz w:val="60"/>
      <w:szCs w:val="24"/>
      <w:lang w:eastAsia="en-US" w:bidi="ar-SA"/>
    </w:rPr>
  </w:style>
  <w:style w:type="character" w:styleId="Strong">
    <w:name w:val="Strong"/>
    <w:basedOn w:val="DefaultParagraphFont"/>
    <w:uiPriority w:val="22"/>
    <w:qFormat/>
    <w:rsid w:val="00E840F8"/>
    <w:rPr>
      <w:b/>
      <w:bCs/>
    </w:rPr>
  </w:style>
  <w:style w:type="paragraph" w:customStyle="1" w:styleId="TitleL2">
    <w:name w:val="Title L2"/>
    <w:basedOn w:val="Title"/>
    <w:qFormat/>
    <w:rsid w:val="00E840F8"/>
    <w:pPr>
      <w:spacing w:after="480"/>
    </w:pPr>
    <w:rPr>
      <w:rFonts w:eastAsia="Times New Roman" w:cs="Arial"/>
      <w:spacing w:val="0"/>
      <w:sz w:val="40"/>
      <w:szCs w:val="40"/>
      <w:lang w:eastAsia="en-AU" w:bidi="ar-SA"/>
    </w:rPr>
  </w:style>
  <w:style w:type="paragraph" w:styleId="Title">
    <w:name w:val="Title"/>
    <w:basedOn w:val="Normal"/>
    <w:next w:val="Normal"/>
    <w:link w:val="TitleChar"/>
    <w:uiPriority w:val="10"/>
    <w:qFormat/>
    <w:rsid w:val="00B33FA8"/>
    <w:pPr>
      <w:spacing w:after="0"/>
      <w:contextualSpacing/>
    </w:pPr>
    <w:rPr>
      <w:rFonts w:asciiTheme="majorHAnsi" w:eastAsiaTheme="majorEastAsia" w:hAnsiTheme="majorHAnsi" w:cs="Angsana New"/>
      <w:color w:val="1F3864" w:themeColor="accent1" w:themeShade="80"/>
      <w:spacing w:val="-10"/>
      <w:kern w:val="28"/>
      <w:sz w:val="56"/>
      <w:szCs w:val="71"/>
    </w:rPr>
  </w:style>
  <w:style w:type="character" w:customStyle="1" w:styleId="TitleChar">
    <w:name w:val="Title Char"/>
    <w:basedOn w:val="DefaultParagraphFont"/>
    <w:link w:val="Title"/>
    <w:rsid w:val="00B33FA8"/>
    <w:rPr>
      <w:rFonts w:asciiTheme="majorHAnsi" w:eastAsiaTheme="majorEastAsia" w:hAnsiTheme="majorHAnsi" w:cs="Angsana New"/>
      <w:color w:val="1F3864" w:themeColor="accent1" w:themeShade="80"/>
      <w:spacing w:val="-10"/>
      <w:kern w:val="28"/>
      <w:sz w:val="56"/>
      <w:szCs w:val="71"/>
      <w:lang w:eastAsia="zh-CN" w:bidi="th-TH"/>
    </w:rPr>
  </w:style>
  <w:style w:type="character" w:styleId="Hyperlink">
    <w:name w:val="Hyperlink"/>
    <w:basedOn w:val="DefaultParagraphFont"/>
    <w:uiPriority w:val="99"/>
    <w:unhideWhenUsed/>
    <w:rsid w:val="00BE7C1C"/>
    <w:rPr>
      <w:color w:val="0563C1" w:themeColor="hyperlink"/>
      <w:u w:val="single"/>
    </w:rPr>
  </w:style>
  <w:style w:type="character" w:customStyle="1" w:styleId="UnresolvedMention1">
    <w:name w:val="Unresolved Mention1"/>
    <w:basedOn w:val="DefaultParagraphFont"/>
    <w:uiPriority w:val="99"/>
    <w:semiHidden/>
    <w:unhideWhenUsed/>
    <w:rsid w:val="00BE7C1C"/>
    <w:rPr>
      <w:color w:val="605E5C"/>
      <w:shd w:val="clear" w:color="auto" w:fill="E1DFDD"/>
    </w:rPr>
  </w:style>
  <w:style w:type="paragraph" w:styleId="Header">
    <w:name w:val="header"/>
    <w:basedOn w:val="Normal"/>
    <w:link w:val="HeaderChar"/>
    <w:uiPriority w:val="99"/>
    <w:unhideWhenUsed/>
    <w:rsid w:val="00137621"/>
    <w:pPr>
      <w:tabs>
        <w:tab w:val="center" w:pos="4680"/>
        <w:tab w:val="right" w:pos="9360"/>
      </w:tabs>
      <w:spacing w:after="0"/>
    </w:pPr>
    <w:rPr>
      <w:rFonts w:cs="Angsana New"/>
      <w:szCs w:val="28"/>
    </w:rPr>
  </w:style>
  <w:style w:type="character" w:customStyle="1" w:styleId="HeaderChar">
    <w:name w:val="Header Char"/>
    <w:basedOn w:val="DefaultParagraphFont"/>
    <w:link w:val="Header"/>
    <w:uiPriority w:val="99"/>
    <w:rsid w:val="00137621"/>
    <w:rPr>
      <w:rFonts w:cs="Angsana New"/>
      <w:sz w:val="22"/>
      <w:szCs w:val="28"/>
      <w:lang w:eastAsia="zh-CN" w:bidi="th-TH"/>
    </w:rPr>
  </w:style>
  <w:style w:type="paragraph" w:styleId="Footer">
    <w:name w:val="footer"/>
    <w:basedOn w:val="Normal"/>
    <w:link w:val="FooterChar"/>
    <w:uiPriority w:val="99"/>
    <w:unhideWhenUsed/>
    <w:rsid w:val="00137621"/>
    <w:pPr>
      <w:tabs>
        <w:tab w:val="center" w:pos="4680"/>
        <w:tab w:val="right" w:pos="9360"/>
      </w:tabs>
      <w:spacing w:after="0"/>
    </w:pPr>
    <w:rPr>
      <w:rFonts w:cs="Angsana New"/>
      <w:szCs w:val="28"/>
    </w:rPr>
  </w:style>
  <w:style w:type="character" w:customStyle="1" w:styleId="FooterChar">
    <w:name w:val="Footer Char"/>
    <w:basedOn w:val="DefaultParagraphFont"/>
    <w:link w:val="Footer"/>
    <w:uiPriority w:val="99"/>
    <w:rsid w:val="00137621"/>
    <w:rPr>
      <w:rFonts w:cs="Angsana New"/>
      <w:sz w:val="22"/>
      <w:szCs w:val="28"/>
      <w:lang w:eastAsia="zh-CN" w:bidi="th-TH"/>
    </w:rPr>
  </w:style>
  <w:style w:type="paragraph" w:styleId="BodyText">
    <w:name w:val="Body Text"/>
    <w:basedOn w:val="Normal"/>
    <w:link w:val="BodyTextChar"/>
    <w:qFormat/>
    <w:rsid w:val="00BA050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eastAsia="Times New Roman" w:cs="Arial"/>
      <w:bCs/>
      <w:lang w:val="en-US" w:eastAsia="en-US" w:bidi="ar-SA"/>
    </w:rPr>
  </w:style>
  <w:style w:type="character" w:customStyle="1" w:styleId="BodyTextChar">
    <w:name w:val="Body Text Char"/>
    <w:basedOn w:val="DefaultParagraphFont"/>
    <w:link w:val="BodyText"/>
    <w:rsid w:val="00BA050A"/>
    <w:rPr>
      <w:rFonts w:eastAsia="Times New Roman" w:cs="Arial"/>
      <w:bCs/>
      <w:sz w:val="22"/>
      <w:szCs w:val="22"/>
      <w:lang w:val="en-US"/>
    </w:rPr>
  </w:style>
  <w:style w:type="table" w:styleId="GridTable4-Accent3">
    <w:name w:val="Grid Table 4 Accent 3"/>
    <w:basedOn w:val="TableNormal"/>
    <w:uiPriority w:val="49"/>
    <w:rsid w:val="00BA050A"/>
    <w:rPr>
      <w:lang w:val="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4F2D98"/>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PageNumber">
    <w:name w:val="page number"/>
    <w:basedOn w:val="DefaultParagraphFont"/>
    <w:uiPriority w:val="99"/>
    <w:semiHidden/>
    <w:unhideWhenUsed/>
    <w:rsid w:val="00336D86"/>
  </w:style>
  <w:style w:type="paragraph" w:customStyle="1" w:styleId="Default">
    <w:name w:val="Default"/>
    <w:rsid w:val="00D13E0F"/>
    <w:pPr>
      <w:autoSpaceDE w:val="0"/>
      <w:autoSpaceDN w:val="0"/>
      <w:adjustRightInd w:val="0"/>
    </w:pPr>
    <w:rPr>
      <w:rFonts w:ascii="Calibri Light" w:hAnsi="Calibri Light" w:cs="Calibri Light"/>
      <w:color w:val="000000"/>
      <w:lang w:val="en-GB"/>
    </w:rPr>
  </w:style>
  <w:style w:type="paragraph" w:styleId="TableofFigures">
    <w:name w:val="table of figures"/>
    <w:basedOn w:val="Normal"/>
    <w:next w:val="Normal"/>
    <w:uiPriority w:val="99"/>
    <w:unhideWhenUsed/>
    <w:rsid w:val="00C60529"/>
    <w:pPr>
      <w:tabs>
        <w:tab w:val="right" w:leader="dot" w:pos="9010"/>
      </w:tabs>
    </w:pPr>
    <w:rPr>
      <w:rFonts w:eastAsiaTheme="minorEastAsia" w:cstheme="minorHAnsi"/>
      <w:noProof/>
      <w:color w:val="1F3864" w:themeColor="accent1" w:themeShade="80"/>
      <w:lang w:eastAsia="en-US" w:bidi="ar-SA"/>
    </w:rPr>
  </w:style>
  <w:style w:type="paragraph" w:customStyle="1" w:styleId="ScheduleHeading">
    <w:name w:val="Schedule Heading"/>
    <w:next w:val="ScheduleLevel1"/>
    <w:rsid w:val="009D57D7"/>
    <w:pPr>
      <w:keepNext/>
      <w:pageBreakBefore/>
      <w:numPr>
        <w:numId w:val="3"/>
      </w:numPr>
      <w:shd w:val="clear" w:color="auto" w:fill="000000"/>
      <w:tabs>
        <w:tab w:val="clear" w:pos="2695"/>
        <w:tab w:val="num" w:pos="1418"/>
      </w:tabs>
      <w:spacing w:after="140" w:line="280" w:lineRule="atLeast"/>
      <w:ind w:left="1418"/>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9D57D7"/>
    <w:pPr>
      <w:keepNext/>
      <w:numPr>
        <w:ilvl w:val="1"/>
        <w:numId w:val="3"/>
      </w:numPr>
      <w:pBdr>
        <w:bottom w:val="single" w:sz="2" w:space="1" w:color="auto"/>
      </w:pBdr>
      <w:spacing w:before="20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9D57D7"/>
    <w:pPr>
      <w:numPr>
        <w:ilvl w:val="2"/>
        <w:numId w:val="3"/>
      </w:numPr>
      <w:spacing w:before="200" w:line="280" w:lineRule="atLeast"/>
      <w:outlineLvl w:val="2"/>
    </w:pPr>
    <w:rPr>
      <w:rFonts w:ascii="Arial" w:eastAsia="Times New Roman" w:hAnsi="Arial" w:cs="Arial"/>
      <w:b/>
      <w:sz w:val="22"/>
      <w:szCs w:val="22"/>
      <w:lang w:eastAsia="en-AU"/>
    </w:rPr>
  </w:style>
  <w:style w:type="paragraph" w:customStyle="1" w:styleId="ScheduleLevel3">
    <w:name w:val="Schedule Level 3"/>
    <w:rsid w:val="009D57D7"/>
    <w:pPr>
      <w:numPr>
        <w:ilvl w:val="3"/>
        <w:numId w:val="3"/>
      </w:numPr>
      <w:spacing w:before="140" w:after="140" w:line="280" w:lineRule="atLeast"/>
      <w:outlineLvl w:val="3"/>
    </w:pPr>
    <w:rPr>
      <w:rFonts w:ascii="Arial" w:eastAsia="Times New Roman" w:hAnsi="Arial" w:cs="Arial"/>
      <w:sz w:val="22"/>
      <w:szCs w:val="22"/>
      <w:lang w:eastAsia="en-AU"/>
    </w:rPr>
  </w:style>
  <w:style w:type="paragraph" w:customStyle="1" w:styleId="ScheduleLevel4">
    <w:name w:val="Schedule Level 4"/>
    <w:rsid w:val="009D57D7"/>
    <w:pPr>
      <w:tabs>
        <w:tab w:val="num" w:pos="1559"/>
      </w:tabs>
      <w:spacing w:after="140" w:line="280" w:lineRule="atLeast"/>
      <w:ind w:left="1559" w:hanging="425"/>
    </w:pPr>
    <w:rPr>
      <w:rFonts w:ascii="Arial" w:eastAsia="Times New Roman" w:hAnsi="Arial" w:cs="Arial"/>
      <w:sz w:val="22"/>
      <w:szCs w:val="22"/>
      <w:lang w:eastAsia="en-AU"/>
    </w:rPr>
  </w:style>
  <w:style w:type="paragraph" w:customStyle="1" w:styleId="ScheduleLevel5">
    <w:name w:val="Schedule Level 5"/>
    <w:rsid w:val="009D57D7"/>
    <w:pPr>
      <w:tabs>
        <w:tab w:val="num" w:pos="1985"/>
      </w:tabs>
      <w:spacing w:after="140" w:line="280" w:lineRule="atLeast"/>
      <w:ind w:left="1985" w:hanging="426"/>
    </w:pPr>
    <w:rPr>
      <w:rFonts w:ascii="Arial" w:eastAsia="Times New Roman" w:hAnsi="Arial" w:cs="Arial"/>
      <w:sz w:val="22"/>
      <w:szCs w:val="22"/>
      <w:lang w:eastAsia="en-AU"/>
    </w:rPr>
  </w:style>
  <w:style w:type="paragraph" w:customStyle="1" w:styleId="ScheduleLevel6">
    <w:name w:val="Schedule Level 6"/>
    <w:rsid w:val="009D57D7"/>
    <w:pPr>
      <w:tabs>
        <w:tab w:val="num" w:pos="2410"/>
      </w:tabs>
      <w:spacing w:after="140" w:line="280" w:lineRule="atLeast"/>
      <w:ind w:left="2410" w:hanging="425"/>
    </w:pPr>
    <w:rPr>
      <w:rFonts w:ascii="Arial" w:eastAsia="Times New Roman" w:hAnsi="Arial" w:cs="Arial"/>
      <w:sz w:val="22"/>
      <w:szCs w:val="22"/>
      <w:lang w:eastAsia="en-AU"/>
    </w:rPr>
  </w:style>
  <w:style w:type="paragraph" w:styleId="Quote">
    <w:name w:val="Quote"/>
    <w:basedOn w:val="Normal"/>
    <w:next w:val="Normal"/>
    <w:link w:val="QuoteChar"/>
    <w:uiPriority w:val="29"/>
    <w:qFormat/>
    <w:rsid w:val="0031186A"/>
    <w:pPr>
      <w:tabs>
        <w:tab w:val="left" w:pos="1134"/>
        <w:tab w:val="left" w:pos="3402"/>
        <w:tab w:val="left" w:pos="6379"/>
      </w:tabs>
      <w:spacing w:before="120" w:after="240"/>
      <w:ind w:right="-6"/>
      <w:jc w:val="both"/>
    </w:pPr>
    <w:rPr>
      <w:rFonts w:cs="Angsana New"/>
      <w:i/>
      <w:iCs/>
      <w:color w:val="0070C0"/>
      <w:sz w:val="20"/>
    </w:rPr>
  </w:style>
  <w:style w:type="character" w:customStyle="1" w:styleId="QuoteChar">
    <w:name w:val="Quote Char"/>
    <w:basedOn w:val="DefaultParagraphFont"/>
    <w:link w:val="Quote"/>
    <w:uiPriority w:val="29"/>
    <w:rsid w:val="0031186A"/>
    <w:rPr>
      <w:rFonts w:cs="Angsana New"/>
      <w:i/>
      <w:iCs/>
      <w:color w:val="0070C0"/>
      <w:sz w:val="20"/>
      <w:szCs w:val="22"/>
      <w:lang w:eastAsia="zh-CN" w:bidi="th-TH"/>
    </w:rPr>
  </w:style>
  <w:style w:type="paragraph" w:styleId="TOC1">
    <w:name w:val="toc 1"/>
    <w:basedOn w:val="Normal"/>
    <w:next w:val="Normal"/>
    <w:autoRedefine/>
    <w:uiPriority w:val="39"/>
    <w:unhideWhenUsed/>
    <w:rsid w:val="00D47756"/>
    <w:pPr>
      <w:tabs>
        <w:tab w:val="left" w:pos="480"/>
        <w:tab w:val="right" w:leader="dot" w:pos="9010"/>
      </w:tabs>
      <w:spacing w:before="120" w:after="100"/>
    </w:pPr>
    <w:rPr>
      <w:rFonts w:cs="Angsana New"/>
      <w:noProof/>
      <w:color w:val="1F3864" w:themeColor="accent1" w:themeShade="80"/>
      <w:szCs w:val="28"/>
    </w:rPr>
  </w:style>
  <w:style w:type="paragraph" w:styleId="TOC2">
    <w:name w:val="toc 2"/>
    <w:basedOn w:val="Normal"/>
    <w:next w:val="Normal"/>
    <w:autoRedefine/>
    <w:uiPriority w:val="39"/>
    <w:unhideWhenUsed/>
    <w:rsid w:val="00D47756"/>
    <w:pPr>
      <w:tabs>
        <w:tab w:val="left" w:pos="960"/>
        <w:tab w:val="right" w:leader="dot" w:pos="9010"/>
      </w:tabs>
      <w:spacing w:after="100"/>
      <w:ind w:left="220"/>
    </w:pPr>
    <w:rPr>
      <w:rFonts w:cs="Angsana New"/>
      <w:noProof/>
      <w:color w:val="1F3864" w:themeColor="accent1" w:themeShade="80"/>
      <w:sz w:val="21"/>
      <w:szCs w:val="24"/>
    </w:rPr>
  </w:style>
  <w:style w:type="character" w:styleId="CommentReference">
    <w:name w:val="annotation reference"/>
    <w:basedOn w:val="DefaultParagraphFont"/>
    <w:uiPriority w:val="99"/>
    <w:semiHidden/>
    <w:unhideWhenUsed/>
    <w:rsid w:val="00F10A96"/>
    <w:rPr>
      <w:sz w:val="16"/>
      <w:szCs w:val="16"/>
    </w:rPr>
  </w:style>
  <w:style w:type="paragraph" w:styleId="CommentSubject">
    <w:name w:val="annotation subject"/>
    <w:basedOn w:val="CommentText"/>
    <w:next w:val="CommentText"/>
    <w:link w:val="CommentSubjectChar"/>
    <w:uiPriority w:val="99"/>
    <w:semiHidden/>
    <w:unhideWhenUsed/>
    <w:rsid w:val="00F10A96"/>
    <w:pPr>
      <w:widowControl/>
      <w:autoSpaceDE/>
      <w:autoSpaceDN/>
      <w:jc w:val="left"/>
    </w:pPr>
    <w:rPr>
      <w:rFonts w:asciiTheme="minorHAnsi" w:eastAsiaTheme="minorHAnsi" w:hAnsiTheme="minorHAnsi" w:cs="Angsana New"/>
      <w:b/>
      <w:bCs/>
      <w:i w:val="0"/>
      <w:sz w:val="20"/>
      <w:szCs w:val="25"/>
      <w:lang w:eastAsia="zh-CN" w:bidi="th-TH"/>
    </w:rPr>
  </w:style>
  <w:style w:type="character" w:customStyle="1" w:styleId="CommentSubjectChar">
    <w:name w:val="Comment Subject Char"/>
    <w:basedOn w:val="CommentTextChar"/>
    <w:link w:val="CommentSubject"/>
    <w:uiPriority w:val="99"/>
    <w:semiHidden/>
    <w:rsid w:val="00F10A96"/>
    <w:rPr>
      <w:rFonts w:ascii="Calibri" w:eastAsia="Calibri" w:hAnsi="Calibri" w:cs="Angsana New"/>
      <w:b/>
      <w:bCs/>
      <w:i w:val="0"/>
      <w:sz w:val="20"/>
      <w:szCs w:val="25"/>
      <w:lang w:val="en-GB" w:eastAsia="zh-CN" w:bidi="th-TH"/>
    </w:rPr>
  </w:style>
  <w:style w:type="character" w:styleId="FollowedHyperlink">
    <w:name w:val="FollowedHyperlink"/>
    <w:basedOn w:val="DefaultParagraphFont"/>
    <w:uiPriority w:val="99"/>
    <w:semiHidden/>
    <w:unhideWhenUsed/>
    <w:rsid w:val="00944A0F"/>
    <w:rPr>
      <w:color w:val="954F72" w:themeColor="followedHyperlink"/>
      <w:u w:val="single"/>
    </w:rPr>
  </w:style>
  <w:style w:type="paragraph" w:styleId="TOC3">
    <w:name w:val="toc 3"/>
    <w:basedOn w:val="Normal"/>
    <w:next w:val="Normal"/>
    <w:autoRedefine/>
    <w:uiPriority w:val="39"/>
    <w:unhideWhenUsed/>
    <w:rsid w:val="00193DFC"/>
    <w:pPr>
      <w:spacing w:after="100"/>
      <w:ind w:left="440"/>
    </w:pPr>
    <w:rPr>
      <w:rFonts w:cs="Angsana New"/>
      <w:szCs w:val="28"/>
    </w:rPr>
  </w:style>
  <w:style w:type="paragraph" w:customStyle="1" w:styleId="partstart01">
    <w:name w:val="part_start01"/>
    <w:basedOn w:val="Normal"/>
    <w:rsid w:val="00960DDC"/>
    <w:pPr>
      <w:spacing w:before="100" w:beforeAutospacing="1" w:after="100" w:afterAutospacing="1"/>
    </w:pPr>
    <w:rPr>
      <w:rFonts w:ascii="Times New Roman" w:eastAsia="Times New Roman" w:hAnsi="Times New Roman" w:cs="Times New Roman"/>
      <w:sz w:val="24"/>
      <w:szCs w:val="24"/>
      <w:lang w:eastAsia="en-GB" w:bidi="ar-SA"/>
    </w:rPr>
  </w:style>
  <w:style w:type="paragraph" w:customStyle="1" w:styleId="hisli">
    <w:name w:val="his_li"/>
    <w:basedOn w:val="Normal"/>
    <w:rsid w:val="00960DDC"/>
    <w:pPr>
      <w:spacing w:before="100" w:beforeAutospacing="1" w:after="100" w:afterAutospacing="1"/>
    </w:pPr>
    <w:rPr>
      <w:rFonts w:ascii="Times New Roman" w:eastAsia="Times New Roman" w:hAnsi="Times New Roman" w:cs="Times New Roman"/>
      <w:sz w:val="24"/>
      <w:szCs w:val="24"/>
      <w:lang w:eastAsia="en-GB" w:bidi="ar-SA"/>
    </w:rPr>
  </w:style>
  <w:style w:type="paragraph" w:customStyle="1" w:styleId="bgcolor">
    <w:name w:val="bg_color"/>
    <w:basedOn w:val="Normal"/>
    <w:rsid w:val="00960DDC"/>
    <w:pPr>
      <w:spacing w:before="100" w:beforeAutospacing="1" w:after="100" w:afterAutospacing="1"/>
    </w:pPr>
    <w:rPr>
      <w:rFonts w:ascii="Times New Roman" w:eastAsia="Times New Roman" w:hAnsi="Times New Roman" w:cs="Times New Roman"/>
      <w:sz w:val="24"/>
      <w:szCs w:val="24"/>
      <w:lang w:eastAsia="en-GB" w:bidi="ar-SA"/>
    </w:rPr>
  </w:style>
  <w:style w:type="paragraph" w:customStyle="1" w:styleId="preflex">
    <w:name w:val="preflex"/>
    <w:basedOn w:val="Normal"/>
    <w:rsid w:val="00960DDC"/>
    <w:pPr>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text-sm">
    <w:name w:val="text-sm"/>
    <w:basedOn w:val="DefaultParagraphFont"/>
    <w:rsid w:val="00960DDC"/>
  </w:style>
  <w:style w:type="character" w:customStyle="1" w:styleId="nx-h1">
    <w:name w:val="nx-h1"/>
    <w:basedOn w:val="DefaultParagraphFont"/>
    <w:rsid w:val="00960DDC"/>
  </w:style>
  <w:style w:type="paragraph" w:customStyle="1" w:styleId="CM1">
    <w:name w:val="CM1"/>
    <w:basedOn w:val="Default"/>
    <w:next w:val="Default"/>
    <w:uiPriority w:val="99"/>
    <w:rsid w:val="00960DDC"/>
    <w:rPr>
      <w:rFonts w:ascii="Times New Roman" w:hAnsi="Times New Roman" w:cs="Times New Roman"/>
      <w:color w:val="auto"/>
    </w:rPr>
  </w:style>
  <w:style w:type="paragraph" w:customStyle="1" w:styleId="CM3">
    <w:name w:val="CM3"/>
    <w:basedOn w:val="Default"/>
    <w:next w:val="Default"/>
    <w:uiPriority w:val="99"/>
    <w:rsid w:val="00960DDC"/>
    <w:rPr>
      <w:rFonts w:ascii="Times New Roman" w:hAnsi="Times New Roman" w:cs="Times New Roman"/>
      <w:color w:val="auto"/>
    </w:rPr>
  </w:style>
  <w:style w:type="paragraph" w:customStyle="1" w:styleId="u-breadcrumb-item">
    <w:name w:val="u-breadcrumb-item"/>
    <w:basedOn w:val="Normal"/>
    <w:rsid w:val="00960DDC"/>
    <w:pPr>
      <w:spacing w:before="100" w:beforeAutospacing="1" w:after="100" w:afterAutospacing="1"/>
    </w:pPr>
    <w:rPr>
      <w:rFonts w:ascii="Times New Roman" w:eastAsia="Times New Roman" w:hAnsi="Times New Roman" w:cs="Times New Roman"/>
      <w:sz w:val="24"/>
      <w:szCs w:val="24"/>
      <w:lang w:eastAsia="en-GB" w:bidi="ar-SA"/>
    </w:rPr>
  </w:style>
  <w:style w:type="paragraph" w:customStyle="1" w:styleId="arsd-mainitemchild">
    <w:name w:val="arsd-mainitemchild"/>
    <w:basedOn w:val="Normal"/>
    <w:rsid w:val="00960DDC"/>
    <w:pPr>
      <w:spacing w:before="100" w:beforeAutospacing="1" w:after="100" w:afterAutospacing="1"/>
    </w:pPr>
    <w:rPr>
      <w:rFonts w:ascii="Times New Roman" w:eastAsia="Times New Roman" w:hAnsi="Times New Roman" w:cs="Times New Roman"/>
      <w:sz w:val="24"/>
      <w:szCs w:val="24"/>
      <w:lang w:eastAsia="en-GB" w:bidi="ar-SA"/>
    </w:rPr>
  </w:style>
  <w:style w:type="paragraph" w:customStyle="1" w:styleId="shbtns-sharetext">
    <w:name w:val="shbtns-sharetext"/>
    <w:basedOn w:val="Normal"/>
    <w:rsid w:val="00960DDC"/>
    <w:pPr>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at4-visually-hidden">
    <w:name w:val="at4-visually-hidden"/>
    <w:basedOn w:val="DefaultParagraphFont"/>
    <w:rsid w:val="00960DDC"/>
  </w:style>
  <w:style w:type="paragraph" w:customStyle="1" w:styleId="heroad">
    <w:name w:val="hero_ad"/>
    <w:basedOn w:val="Normal"/>
    <w:rsid w:val="00960DDC"/>
    <w:pPr>
      <w:spacing w:before="100" w:beforeAutospacing="1" w:after="100" w:afterAutospacing="1"/>
    </w:pPr>
    <w:rPr>
      <w:rFonts w:ascii="Times New Roman" w:eastAsia="Times New Roman" w:hAnsi="Times New Roman" w:cs="Times New Roman"/>
      <w:sz w:val="24"/>
      <w:szCs w:val="24"/>
      <w:lang w:eastAsia="en-GB" w:bidi="ar-SA"/>
    </w:rPr>
  </w:style>
  <w:style w:type="paragraph" w:styleId="Revision">
    <w:name w:val="Revision"/>
    <w:hidden/>
    <w:uiPriority w:val="99"/>
    <w:semiHidden/>
    <w:rsid w:val="004A47C1"/>
    <w:rPr>
      <w:rFonts w:cs="Angsana New"/>
      <w:sz w:val="22"/>
      <w:szCs w:val="28"/>
      <w:lang w:eastAsia="zh-CN" w:bidi="th-TH"/>
    </w:rPr>
  </w:style>
  <w:style w:type="paragraph" w:customStyle="1" w:styleId="Header-Details">
    <w:name w:val="Header - Details"/>
    <w:basedOn w:val="Normal"/>
    <w:rsid w:val="00752BFD"/>
    <w:pPr>
      <w:spacing w:after="0" w:line="288" w:lineRule="auto"/>
    </w:pPr>
    <w:rPr>
      <w:rFonts w:eastAsiaTheme="minorEastAsia"/>
      <w:color w:val="FFFFFF" w:themeColor="background1"/>
      <w:sz w:val="16"/>
      <w:szCs w:val="16"/>
      <w:lang w:val="en-US" w:eastAsia="en-US" w:bidi="ar-SA"/>
    </w:rPr>
  </w:style>
  <w:style w:type="table" w:customStyle="1" w:styleId="CoverTable">
    <w:name w:val="Cover Table"/>
    <w:basedOn w:val="TableNormal"/>
    <w:rsid w:val="00752BFD"/>
    <w:rPr>
      <w:rFonts w:eastAsiaTheme="minorEastAsia"/>
      <w:sz w:val="22"/>
      <w:szCs w:val="22"/>
      <w:lang w:val="en-US"/>
    </w:rPr>
    <w:tblPr>
      <w:tblStyleRowBandSize w:val="1"/>
      <w:jc w:val="center"/>
      <w:tblCellMar>
        <w:left w:w="0" w:type="dxa"/>
        <w:right w:w="0" w:type="dxa"/>
      </w:tblCellMar>
    </w:tblPr>
    <w:trPr>
      <w:jc w:val="center"/>
    </w:trPr>
    <w:tcPr>
      <w:shd w:val="clear" w:color="auto" w:fill="44546A" w:themeFill="text2"/>
    </w:tcPr>
    <w:tblStylePr w:type="firstRow">
      <w:tblPr/>
      <w:tcPr>
        <w:shd w:val="clear" w:color="auto" w:fill="E7E6E6" w:themeFill="background2"/>
      </w:tcPr>
    </w:tblStylePr>
    <w:tblStylePr w:type="lastRow">
      <w:tblPr/>
      <w:tcPr>
        <w:shd w:val="clear" w:color="auto" w:fill="595959" w:themeFill="text1" w:themeFillTint="A6"/>
      </w:tcPr>
    </w:tblStylePr>
    <w:tblStylePr w:type="band1Horz">
      <w:tblPr/>
      <w:tcPr>
        <w:shd w:val="clear" w:color="auto" w:fill="4472C4" w:themeFill="accent1"/>
      </w:tcPr>
    </w:tblStylePr>
    <w:tblStylePr w:type="band2Horz">
      <w:tblPr/>
      <w:tcPr>
        <w:shd w:val="clear" w:color="auto" w:fill="595959" w:themeFill="text1" w:themeFillTint="A6"/>
      </w:tcPr>
    </w:tblStylePr>
  </w:style>
  <w:style w:type="paragraph" w:styleId="Date">
    <w:name w:val="Date"/>
    <w:basedOn w:val="Normal"/>
    <w:next w:val="Normal"/>
    <w:link w:val="DateChar"/>
    <w:rsid w:val="00752BFD"/>
    <w:pPr>
      <w:spacing w:after="0" w:line="1000" w:lineRule="exact"/>
      <w:jc w:val="right"/>
    </w:pPr>
    <w:rPr>
      <w:rFonts w:eastAsiaTheme="minorEastAsia"/>
      <w:color w:val="4472C4" w:themeColor="accent1"/>
      <w:sz w:val="20"/>
      <w:lang w:val="en-US" w:eastAsia="en-US" w:bidi="ar-SA"/>
    </w:rPr>
  </w:style>
  <w:style w:type="character" w:customStyle="1" w:styleId="DateChar">
    <w:name w:val="Date Char"/>
    <w:basedOn w:val="DefaultParagraphFont"/>
    <w:link w:val="Date"/>
    <w:rsid w:val="00752BFD"/>
    <w:rPr>
      <w:rFonts w:eastAsiaTheme="minorEastAsia"/>
      <w:color w:val="4472C4" w:themeColor="accent1"/>
      <w:sz w:val="20"/>
      <w:szCs w:val="22"/>
      <w:lang w:val="en-US"/>
    </w:rPr>
  </w:style>
  <w:style w:type="table" w:customStyle="1" w:styleId="CoverCenter">
    <w:name w:val="Cover Center"/>
    <w:basedOn w:val="TableNormal"/>
    <w:rsid w:val="00752BFD"/>
    <w:rPr>
      <w:rFonts w:eastAsiaTheme="minorEastAsia"/>
      <w:sz w:val="22"/>
      <w:szCs w:val="22"/>
      <w:lang w:val="en-US"/>
    </w:rPr>
    <w:tblPr>
      <w:jc w:val="center"/>
      <w:tblCellMar>
        <w:top w:w="432" w:type="dxa"/>
        <w:left w:w="432" w:type="dxa"/>
        <w:bottom w:w="432" w:type="dxa"/>
        <w:right w:w="432" w:type="dxa"/>
      </w:tblCellMar>
    </w:tblPr>
    <w:trPr>
      <w:jc w:val="center"/>
    </w:trPr>
  </w:style>
  <w:style w:type="character" w:customStyle="1" w:styleId="atowb">
    <w:name w:val="atowb"/>
    <w:basedOn w:val="DefaultParagraphFont"/>
    <w:rsid w:val="0039089D"/>
  </w:style>
  <w:style w:type="character" w:customStyle="1" w:styleId="markedcontent">
    <w:name w:val="markedcontent"/>
    <w:basedOn w:val="DefaultParagraphFont"/>
    <w:rsid w:val="00A14326"/>
  </w:style>
  <w:style w:type="paragraph" w:styleId="ListBullet">
    <w:name w:val="List Bullet"/>
    <w:basedOn w:val="BodyText"/>
    <w:rsid w:val="00BF1EB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360"/>
      </w:tabs>
      <w:autoSpaceDE/>
      <w:autoSpaceDN/>
      <w:adjustRightInd/>
      <w:spacing w:before="120"/>
      <w:ind w:left="360" w:hanging="360"/>
      <w:jc w:val="left"/>
    </w:pPr>
    <w:rPr>
      <w:rFonts w:ascii="Cambria" w:eastAsiaTheme="minorEastAsia" w:hAnsi="Cambria" w:cstheme="minorBidi"/>
      <w:bCs w:val="0"/>
      <w:color w:val="262626" w:themeColor="text1" w:themeTint="D9"/>
      <w:sz w:val="24"/>
      <w:szCs w:val="20"/>
    </w:rPr>
  </w:style>
  <w:style w:type="paragraph" w:styleId="ListBullet3">
    <w:name w:val="List Bullet 3"/>
    <w:basedOn w:val="Normal"/>
    <w:semiHidden/>
    <w:unhideWhenUsed/>
    <w:rsid w:val="00BF1EB8"/>
    <w:pPr>
      <w:numPr>
        <w:numId w:val="20"/>
      </w:numPr>
      <w:spacing w:before="40" w:after="40"/>
      <w:contextualSpacing/>
    </w:pPr>
    <w:rPr>
      <w:rFonts w:ascii="Cambria" w:eastAsiaTheme="minorEastAsia" w:hAnsi="Cambria"/>
      <w:sz w:val="20"/>
      <w:lang w:val="en-US" w:eastAsia="en-US" w:bidi="ar-SA"/>
    </w:rPr>
  </w:style>
  <w:style w:type="character" w:customStyle="1" w:styleId="apple-converted-space">
    <w:name w:val="apple-converted-space"/>
    <w:basedOn w:val="DefaultParagraphFont"/>
    <w:rsid w:val="00942C96"/>
  </w:style>
  <w:style w:type="paragraph" w:styleId="BalloonText">
    <w:name w:val="Balloon Text"/>
    <w:basedOn w:val="Normal"/>
    <w:link w:val="BalloonTextChar"/>
    <w:uiPriority w:val="99"/>
    <w:semiHidden/>
    <w:unhideWhenUsed/>
    <w:rsid w:val="007145D8"/>
    <w:pPr>
      <w:spacing w:after="0"/>
    </w:pPr>
    <w:rPr>
      <w:rFonts w:ascii="Segoe UI" w:hAnsi="Segoe UI" w:cs="Angsana New"/>
      <w:sz w:val="18"/>
    </w:rPr>
  </w:style>
  <w:style w:type="character" w:customStyle="1" w:styleId="BalloonTextChar">
    <w:name w:val="Balloon Text Char"/>
    <w:basedOn w:val="DefaultParagraphFont"/>
    <w:link w:val="BalloonText"/>
    <w:uiPriority w:val="99"/>
    <w:semiHidden/>
    <w:rsid w:val="007145D8"/>
    <w:rPr>
      <w:rFonts w:ascii="Segoe UI" w:hAnsi="Segoe UI" w:cs="Angsana New"/>
      <w:sz w:val="18"/>
      <w:szCs w:val="22"/>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75722">
      <w:bodyDiv w:val="1"/>
      <w:marLeft w:val="0"/>
      <w:marRight w:val="0"/>
      <w:marTop w:val="0"/>
      <w:marBottom w:val="0"/>
      <w:divBdr>
        <w:top w:val="none" w:sz="0" w:space="0" w:color="auto"/>
        <w:left w:val="none" w:sz="0" w:space="0" w:color="auto"/>
        <w:bottom w:val="none" w:sz="0" w:space="0" w:color="auto"/>
        <w:right w:val="none" w:sz="0" w:space="0" w:color="auto"/>
      </w:divBdr>
    </w:div>
    <w:div w:id="81224414">
      <w:bodyDiv w:val="1"/>
      <w:marLeft w:val="0"/>
      <w:marRight w:val="0"/>
      <w:marTop w:val="0"/>
      <w:marBottom w:val="0"/>
      <w:divBdr>
        <w:top w:val="none" w:sz="0" w:space="0" w:color="auto"/>
        <w:left w:val="none" w:sz="0" w:space="0" w:color="auto"/>
        <w:bottom w:val="none" w:sz="0" w:space="0" w:color="auto"/>
        <w:right w:val="none" w:sz="0" w:space="0" w:color="auto"/>
      </w:divBdr>
    </w:div>
    <w:div w:id="83651765">
      <w:bodyDiv w:val="1"/>
      <w:marLeft w:val="0"/>
      <w:marRight w:val="0"/>
      <w:marTop w:val="0"/>
      <w:marBottom w:val="0"/>
      <w:divBdr>
        <w:top w:val="none" w:sz="0" w:space="0" w:color="auto"/>
        <w:left w:val="none" w:sz="0" w:space="0" w:color="auto"/>
        <w:bottom w:val="none" w:sz="0" w:space="0" w:color="auto"/>
        <w:right w:val="none" w:sz="0" w:space="0" w:color="auto"/>
      </w:divBdr>
    </w:div>
    <w:div w:id="101612360">
      <w:bodyDiv w:val="1"/>
      <w:marLeft w:val="0"/>
      <w:marRight w:val="0"/>
      <w:marTop w:val="0"/>
      <w:marBottom w:val="0"/>
      <w:divBdr>
        <w:top w:val="none" w:sz="0" w:space="0" w:color="auto"/>
        <w:left w:val="none" w:sz="0" w:space="0" w:color="auto"/>
        <w:bottom w:val="none" w:sz="0" w:space="0" w:color="auto"/>
        <w:right w:val="none" w:sz="0" w:space="0" w:color="auto"/>
      </w:divBdr>
    </w:div>
    <w:div w:id="102501242">
      <w:bodyDiv w:val="1"/>
      <w:marLeft w:val="0"/>
      <w:marRight w:val="0"/>
      <w:marTop w:val="0"/>
      <w:marBottom w:val="0"/>
      <w:divBdr>
        <w:top w:val="none" w:sz="0" w:space="0" w:color="auto"/>
        <w:left w:val="none" w:sz="0" w:space="0" w:color="auto"/>
        <w:bottom w:val="none" w:sz="0" w:space="0" w:color="auto"/>
        <w:right w:val="none" w:sz="0" w:space="0" w:color="auto"/>
      </w:divBdr>
      <w:divsChild>
        <w:div w:id="2075546586">
          <w:marLeft w:val="0"/>
          <w:marRight w:val="0"/>
          <w:marTop w:val="0"/>
          <w:marBottom w:val="0"/>
          <w:divBdr>
            <w:top w:val="none" w:sz="0" w:space="0" w:color="auto"/>
            <w:left w:val="none" w:sz="0" w:space="0" w:color="auto"/>
            <w:bottom w:val="none" w:sz="0" w:space="0" w:color="auto"/>
            <w:right w:val="none" w:sz="0" w:space="0" w:color="auto"/>
          </w:divBdr>
          <w:divsChild>
            <w:div w:id="164170599">
              <w:marLeft w:val="0"/>
              <w:marRight w:val="0"/>
              <w:marTop w:val="0"/>
              <w:marBottom w:val="0"/>
              <w:divBdr>
                <w:top w:val="none" w:sz="0" w:space="0" w:color="auto"/>
                <w:left w:val="none" w:sz="0" w:space="0" w:color="auto"/>
                <w:bottom w:val="none" w:sz="0" w:space="0" w:color="auto"/>
                <w:right w:val="none" w:sz="0" w:space="0" w:color="auto"/>
              </w:divBdr>
              <w:divsChild>
                <w:div w:id="14606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2896">
      <w:bodyDiv w:val="1"/>
      <w:marLeft w:val="0"/>
      <w:marRight w:val="0"/>
      <w:marTop w:val="0"/>
      <w:marBottom w:val="0"/>
      <w:divBdr>
        <w:top w:val="none" w:sz="0" w:space="0" w:color="auto"/>
        <w:left w:val="none" w:sz="0" w:space="0" w:color="auto"/>
        <w:bottom w:val="none" w:sz="0" w:space="0" w:color="auto"/>
        <w:right w:val="none" w:sz="0" w:space="0" w:color="auto"/>
      </w:divBdr>
      <w:divsChild>
        <w:div w:id="1139375845">
          <w:marLeft w:val="0"/>
          <w:marRight w:val="0"/>
          <w:marTop w:val="0"/>
          <w:marBottom w:val="0"/>
          <w:divBdr>
            <w:top w:val="none" w:sz="0" w:space="0" w:color="auto"/>
            <w:left w:val="none" w:sz="0" w:space="0" w:color="auto"/>
            <w:bottom w:val="none" w:sz="0" w:space="0" w:color="auto"/>
            <w:right w:val="none" w:sz="0" w:space="0" w:color="auto"/>
          </w:divBdr>
          <w:divsChild>
            <w:div w:id="545680811">
              <w:marLeft w:val="0"/>
              <w:marRight w:val="0"/>
              <w:marTop w:val="0"/>
              <w:marBottom w:val="0"/>
              <w:divBdr>
                <w:top w:val="none" w:sz="0" w:space="0" w:color="auto"/>
                <w:left w:val="none" w:sz="0" w:space="0" w:color="auto"/>
                <w:bottom w:val="none" w:sz="0" w:space="0" w:color="auto"/>
                <w:right w:val="none" w:sz="0" w:space="0" w:color="auto"/>
              </w:divBdr>
              <w:divsChild>
                <w:div w:id="69472144">
                  <w:marLeft w:val="0"/>
                  <w:marRight w:val="0"/>
                  <w:marTop w:val="0"/>
                  <w:marBottom w:val="0"/>
                  <w:divBdr>
                    <w:top w:val="none" w:sz="0" w:space="0" w:color="auto"/>
                    <w:left w:val="none" w:sz="0" w:space="0" w:color="auto"/>
                    <w:bottom w:val="none" w:sz="0" w:space="0" w:color="auto"/>
                    <w:right w:val="none" w:sz="0" w:space="0" w:color="auto"/>
                  </w:divBdr>
                </w:div>
              </w:divsChild>
            </w:div>
            <w:div w:id="392773016">
              <w:marLeft w:val="0"/>
              <w:marRight w:val="0"/>
              <w:marTop w:val="0"/>
              <w:marBottom w:val="0"/>
              <w:divBdr>
                <w:top w:val="none" w:sz="0" w:space="0" w:color="auto"/>
                <w:left w:val="none" w:sz="0" w:space="0" w:color="auto"/>
                <w:bottom w:val="none" w:sz="0" w:space="0" w:color="auto"/>
                <w:right w:val="none" w:sz="0" w:space="0" w:color="auto"/>
              </w:divBdr>
              <w:divsChild>
                <w:div w:id="1788425190">
                  <w:marLeft w:val="0"/>
                  <w:marRight w:val="0"/>
                  <w:marTop w:val="0"/>
                  <w:marBottom w:val="0"/>
                  <w:divBdr>
                    <w:top w:val="none" w:sz="0" w:space="0" w:color="auto"/>
                    <w:left w:val="none" w:sz="0" w:space="0" w:color="auto"/>
                    <w:bottom w:val="none" w:sz="0" w:space="0" w:color="auto"/>
                    <w:right w:val="none" w:sz="0" w:space="0" w:color="auto"/>
                  </w:divBdr>
                </w:div>
              </w:divsChild>
            </w:div>
            <w:div w:id="479659500">
              <w:marLeft w:val="0"/>
              <w:marRight w:val="0"/>
              <w:marTop w:val="0"/>
              <w:marBottom w:val="0"/>
              <w:divBdr>
                <w:top w:val="none" w:sz="0" w:space="0" w:color="auto"/>
                <w:left w:val="none" w:sz="0" w:space="0" w:color="auto"/>
                <w:bottom w:val="none" w:sz="0" w:space="0" w:color="auto"/>
                <w:right w:val="none" w:sz="0" w:space="0" w:color="auto"/>
              </w:divBdr>
              <w:divsChild>
                <w:div w:id="181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5165">
          <w:marLeft w:val="0"/>
          <w:marRight w:val="0"/>
          <w:marTop w:val="0"/>
          <w:marBottom w:val="0"/>
          <w:divBdr>
            <w:top w:val="none" w:sz="0" w:space="0" w:color="auto"/>
            <w:left w:val="none" w:sz="0" w:space="0" w:color="auto"/>
            <w:bottom w:val="none" w:sz="0" w:space="0" w:color="auto"/>
            <w:right w:val="none" w:sz="0" w:space="0" w:color="auto"/>
          </w:divBdr>
          <w:divsChild>
            <w:div w:id="602223838">
              <w:marLeft w:val="0"/>
              <w:marRight w:val="0"/>
              <w:marTop w:val="0"/>
              <w:marBottom w:val="0"/>
              <w:divBdr>
                <w:top w:val="none" w:sz="0" w:space="0" w:color="auto"/>
                <w:left w:val="none" w:sz="0" w:space="0" w:color="auto"/>
                <w:bottom w:val="none" w:sz="0" w:space="0" w:color="auto"/>
                <w:right w:val="none" w:sz="0" w:space="0" w:color="auto"/>
              </w:divBdr>
              <w:divsChild>
                <w:div w:id="6825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8708">
      <w:bodyDiv w:val="1"/>
      <w:marLeft w:val="0"/>
      <w:marRight w:val="0"/>
      <w:marTop w:val="0"/>
      <w:marBottom w:val="0"/>
      <w:divBdr>
        <w:top w:val="none" w:sz="0" w:space="0" w:color="auto"/>
        <w:left w:val="none" w:sz="0" w:space="0" w:color="auto"/>
        <w:bottom w:val="none" w:sz="0" w:space="0" w:color="auto"/>
        <w:right w:val="none" w:sz="0" w:space="0" w:color="auto"/>
      </w:divBdr>
    </w:div>
    <w:div w:id="175466580">
      <w:bodyDiv w:val="1"/>
      <w:marLeft w:val="0"/>
      <w:marRight w:val="0"/>
      <w:marTop w:val="0"/>
      <w:marBottom w:val="0"/>
      <w:divBdr>
        <w:top w:val="none" w:sz="0" w:space="0" w:color="auto"/>
        <w:left w:val="none" w:sz="0" w:space="0" w:color="auto"/>
        <w:bottom w:val="none" w:sz="0" w:space="0" w:color="auto"/>
        <w:right w:val="none" w:sz="0" w:space="0" w:color="auto"/>
      </w:divBdr>
      <w:divsChild>
        <w:div w:id="1950428694">
          <w:marLeft w:val="0"/>
          <w:marRight w:val="0"/>
          <w:marTop w:val="0"/>
          <w:marBottom w:val="0"/>
          <w:divBdr>
            <w:top w:val="none" w:sz="0" w:space="0" w:color="auto"/>
            <w:left w:val="none" w:sz="0" w:space="0" w:color="auto"/>
            <w:bottom w:val="none" w:sz="0" w:space="0" w:color="auto"/>
            <w:right w:val="none" w:sz="0" w:space="0" w:color="auto"/>
          </w:divBdr>
          <w:divsChild>
            <w:div w:id="1450472602">
              <w:marLeft w:val="0"/>
              <w:marRight w:val="0"/>
              <w:marTop w:val="0"/>
              <w:marBottom w:val="0"/>
              <w:divBdr>
                <w:top w:val="none" w:sz="0" w:space="0" w:color="auto"/>
                <w:left w:val="none" w:sz="0" w:space="0" w:color="auto"/>
                <w:bottom w:val="none" w:sz="0" w:space="0" w:color="auto"/>
                <w:right w:val="none" w:sz="0" w:space="0" w:color="auto"/>
              </w:divBdr>
              <w:divsChild>
                <w:div w:id="2124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5090">
      <w:bodyDiv w:val="1"/>
      <w:marLeft w:val="0"/>
      <w:marRight w:val="0"/>
      <w:marTop w:val="0"/>
      <w:marBottom w:val="0"/>
      <w:divBdr>
        <w:top w:val="none" w:sz="0" w:space="0" w:color="auto"/>
        <w:left w:val="none" w:sz="0" w:space="0" w:color="auto"/>
        <w:bottom w:val="none" w:sz="0" w:space="0" w:color="auto"/>
        <w:right w:val="none" w:sz="0" w:space="0" w:color="auto"/>
      </w:divBdr>
      <w:divsChild>
        <w:div w:id="1561402177">
          <w:marLeft w:val="0"/>
          <w:marRight w:val="0"/>
          <w:marTop w:val="0"/>
          <w:marBottom w:val="0"/>
          <w:divBdr>
            <w:top w:val="none" w:sz="0" w:space="0" w:color="auto"/>
            <w:left w:val="none" w:sz="0" w:space="0" w:color="auto"/>
            <w:bottom w:val="none" w:sz="0" w:space="0" w:color="auto"/>
            <w:right w:val="none" w:sz="0" w:space="0" w:color="auto"/>
          </w:divBdr>
          <w:divsChild>
            <w:div w:id="808089938">
              <w:marLeft w:val="0"/>
              <w:marRight w:val="0"/>
              <w:marTop w:val="0"/>
              <w:marBottom w:val="0"/>
              <w:divBdr>
                <w:top w:val="none" w:sz="0" w:space="0" w:color="auto"/>
                <w:left w:val="none" w:sz="0" w:space="0" w:color="auto"/>
                <w:bottom w:val="none" w:sz="0" w:space="0" w:color="auto"/>
                <w:right w:val="none" w:sz="0" w:space="0" w:color="auto"/>
              </w:divBdr>
              <w:divsChild>
                <w:div w:id="1557741907">
                  <w:marLeft w:val="0"/>
                  <w:marRight w:val="0"/>
                  <w:marTop w:val="0"/>
                  <w:marBottom w:val="0"/>
                  <w:divBdr>
                    <w:top w:val="none" w:sz="0" w:space="0" w:color="auto"/>
                    <w:left w:val="none" w:sz="0" w:space="0" w:color="auto"/>
                    <w:bottom w:val="none" w:sz="0" w:space="0" w:color="auto"/>
                    <w:right w:val="none" w:sz="0" w:space="0" w:color="auto"/>
                  </w:divBdr>
                  <w:divsChild>
                    <w:div w:id="17259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255072">
      <w:bodyDiv w:val="1"/>
      <w:marLeft w:val="0"/>
      <w:marRight w:val="0"/>
      <w:marTop w:val="0"/>
      <w:marBottom w:val="0"/>
      <w:divBdr>
        <w:top w:val="none" w:sz="0" w:space="0" w:color="auto"/>
        <w:left w:val="none" w:sz="0" w:space="0" w:color="auto"/>
        <w:bottom w:val="none" w:sz="0" w:space="0" w:color="auto"/>
        <w:right w:val="none" w:sz="0" w:space="0" w:color="auto"/>
      </w:divBdr>
    </w:div>
    <w:div w:id="276260245">
      <w:bodyDiv w:val="1"/>
      <w:marLeft w:val="0"/>
      <w:marRight w:val="0"/>
      <w:marTop w:val="0"/>
      <w:marBottom w:val="0"/>
      <w:divBdr>
        <w:top w:val="none" w:sz="0" w:space="0" w:color="auto"/>
        <w:left w:val="none" w:sz="0" w:space="0" w:color="auto"/>
        <w:bottom w:val="none" w:sz="0" w:space="0" w:color="auto"/>
        <w:right w:val="none" w:sz="0" w:space="0" w:color="auto"/>
      </w:divBdr>
      <w:divsChild>
        <w:div w:id="135269394">
          <w:marLeft w:val="0"/>
          <w:marRight w:val="0"/>
          <w:marTop w:val="0"/>
          <w:marBottom w:val="0"/>
          <w:divBdr>
            <w:top w:val="none" w:sz="0" w:space="0" w:color="auto"/>
            <w:left w:val="none" w:sz="0" w:space="0" w:color="auto"/>
            <w:bottom w:val="none" w:sz="0" w:space="0" w:color="auto"/>
            <w:right w:val="none" w:sz="0" w:space="0" w:color="auto"/>
          </w:divBdr>
          <w:divsChild>
            <w:div w:id="848107338">
              <w:marLeft w:val="0"/>
              <w:marRight w:val="0"/>
              <w:marTop w:val="0"/>
              <w:marBottom w:val="0"/>
              <w:divBdr>
                <w:top w:val="none" w:sz="0" w:space="0" w:color="auto"/>
                <w:left w:val="none" w:sz="0" w:space="0" w:color="auto"/>
                <w:bottom w:val="none" w:sz="0" w:space="0" w:color="auto"/>
                <w:right w:val="none" w:sz="0" w:space="0" w:color="auto"/>
              </w:divBdr>
              <w:divsChild>
                <w:div w:id="828402063">
                  <w:marLeft w:val="0"/>
                  <w:marRight w:val="0"/>
                  <w:marTop w:val="0"/>
                  <w:marBottom w:val="0"/>
                  <w:divBdr>
                    <w:top w:val="none" w:sz="0" w:space="0" w:color="auto"/>
                    <w:left w:val="none" w:sz="0" w:space="0" w:color="auto"/>
                    <w:bottom w:val="none" w:sz="0" w:space="0" w:color="auto"/>
                    <w:right w:val="none" w:sz="0" w:space="0" w:color="auto"/>
                  </w:divBdr>
                  <w:divsChild>
                    <w:div w:id="21237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8580">
      <w:bodyDiv w:val="1"/>
      <w:marLeft w:val="0"/>
      <w:marRight w:val="0"/>
      <w:marTop w:val="0"/>
      <w:marBottom w:val="0"/>
      <w:divBdr>
        <w:top w:val="none" w:sz="0" w:space="0" w:color="auto"/>
        <w:left w:val="none" w:sz="0" w:space="0" w:color="auto"/>
        <w:bottom w:val="none" w:sz="0" w:space="0" w:color="auto"/>
        <w:right w:val="none" w:sz="0" w:space="0" w:color="auto"/>
      </w:divBdr>
    </w:div>
    <w:div w:id="335235235">
      <w:bodyDiv w:val="1"/>
      <w:marLeft w:val="0"/>
      <w:marRight w:val="0"/>
      <w:marTop w:val="0"/>
      <w:marBottom w:val="0"/>
      <w:divBdr>
        <w:top w:val="none" w:sz="0" w:space="0" w:color="auto"/>
        <w:left w:val="none" w:sz="0" w:space="0" w:color="auto"/>
        <w:bottom w:val="none" w:sz="0" w:space="0" w:color="auto"/>
        <w:right w:val="none" w:sz="0" w:space="0" w:color="auto"/>
      </w:divBdr>
      <w:divsChild>
        <w:div w:id="1633319411">
          <w:marLeft w:val="0"/>
          <w:marRight w:val="0"/>
          <w:marTop w:val="0"/>
          <w:marBottom w:val="0"/>
          <w:divBdr>
            <w:top w:val="none" w:sz="0" w:space="0" w:color="auto"/>
            <w:left w:val="none" w:sz="0" w:space="0" w:color="auto"/>
            <w:bottom w:val="none" w:sz="0" w:space="0" w:color="auto"/>
            <w:right w:val="none" w:sz="0" w:space="0" w:color="auto"/>
          </w:divBdr>
          <w:divsChild>
            <w:div w:id="189223300">
              <w:marLeft w:val="0"/>
              <w:marRight w:val="0"/>
              <w:marTop w:val="0"/>
              <w:marBottom w:val="0"/>
              <w:divBdr>
                <w:top w:val="none" w:sz="0" w:space="0" w:color="auto"/>
                <w:left w:val="none" w:sz="0" w:space="0" w:color="auto"/>
                <w:bottom w:val="none" w:sz="0" w:space="0" w:color="auto"/>
                <w:right w:val="none" w:sz="0" w:space="0" w:color="auto"/>
              </w:divBdr>
              <w:divsChild>
                <w:div w:id="4043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27180">
      <w:bodyDiv w:val="1"/>
      <w:marLeft w:val="0"/>
      <w:marRight w:val="0"/>
      <w:marTop w:val="0"/>
      <w:marBottom w:val="0"/>
      <w:divBdr>
        <w:top w:val="none" w:sz="0" w:space="0" w:color="auto"/>
        <w:left w:val="none" w:sz="0" w:space="0" w:color="auto"/>
        <w:bottom w:val="none" w:sz="0" w:space="0" w:color="auto"/>
        <w:right w:val="none" w:sz="0" w:space="0" w:color="auto"/>
      </w:divBdr>
    </w:div>
    <w:div w:id="463961531">
      <w:bodyDiv w:val="1"/>
      <w:marLeft w:val="0"/>
      <w:marRight w:val="0"/>
      <w:marTop w:val="0"/>
      <w:marBottom w:val="0"/>
      <w:divBdr>
        <w:top w:val="none" w:sz="0" w:space="0" w:color="auto"/>
        <w:left w:val="none" w:sz="0" w:space="0" w:color="auto"/>
        <w:bottom w:val="none" w:sz="0" w:space="0" w:color="auto"/>
        <w:right w:val="none" w:sz="0" w:space="0" w:color="auto"/>
      </w:divBdr>
      <w:divsChild>
        <w:div w:id="1741443729">
          <w:marLeft w:val="0"/>
          <w:marRight w:val="0"/>
          <w:marTop w:val="0"/>
          <w:marBottom w:val="0"/>
          <w:divBdr>
            <w:top w:val="none" w:sz="0" w:space="0" w:color="auto"/>
            <w:left w:val="none" w:sz="0" w:space="0" w:color="auto"/>
            <w:bottom w:val="none" w:sz="0" w:space="0" w:color="auto"/>
            <w:right w:val="none" w:sz="0" w:space="0" w:color="auto"/>
          </w:divBdr>
          <w:divsChild>
            <w:div w:id="1941984184">
              <w:marLeft w:val="0"/>
              <w:marRight w:val="0"/>
              <w:marTop w:val="0"/>
              <w:marBottom w:val="0"/>
              <w:divBdr>
                <w:top w:val="none" w:sz="0" w:space="0" w:color="auto"/>
                <w:left w:val="none" w:sz="0" w:space="0" w:color="auto"/>
                <w:bottom w:val="none" w:sz="0" w:space="0" w:color="auto"/>
                <w:right w:val="none" w:sz="0" w:space="0" w:color="auto"/>
              </w:divBdr>
              <w:divsChild>
                <w:div w:id="485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38736">
      <w:bodyDiv w:val="1"/>
      <w:marLeft w:val="0"/>
      <w:marRight w:val="0"/>
      <w:marTop w:val="0"/>
      <w:marBottom w:val="0"/>
      <w:divBdr>
        <w:top w:val="none" w:sz="0" w:space="0" w:color="auto"/>
        <w:left w:val="none" w:sz="0" w:space="0" w:color="auto"/>
        <w:bottom w:val="none" w:sz="0" w:space="0" w:color="auto"/>
        <w:right w:val="none" w:sz="0" w:space="0" w:color="auto"/>
      </w:divBdr>
      <w:divsChild>
        <w:div w:id="719204716">
          <w:marLeft w:val="0"/>
          <w:marRight w:val="0"/>
          <w:marTop w:val="0"/>
          <w:marBottom w:val="0"/>
          <w:divBdr>
            <w:top w:val="none" w:sz="0" w:space="0" w:color="auto"/>
            <w:left w:val="none" w:sz="0" w:space="0" w:color="auto"/>
            <w:bottom w:val="none" w:sz="0" w:space="0" w:color="auto"/>
            <w:right w:val="none" w:sz="0" w:space="0" w:color="auto"/>
          </w:divBdr>
          <w:divsChild>
            <w:div w:id="1609586318">
              <w:marLeft w:val="0"/>
              <w:marRight w:val="0"/>
              <w:marTop w:val="0"/>
              <w:marBottom w:val="0"/>
              <w:divBdr>
                <w:top w:val="none" w:sz="0" w:space="0" w:color="auto"/>
                <w:left w:val="none" w:sz="0" w:space="0" w:color="auto"/>
                <w:bottom w:val="none" w:sz="0" w:space="0" w:color="auto"/>
                <w:right w:val="none" w:sz="0" w:space="0" w:color="auto"/>
              </w:divBdr>
              <w:divsChild>
                <w:div w:id="4325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7365">
      <w:bodyDiv w:val="1"/>
      <w:marLeft w:val="0"/>
      <w:marRight w:val="0"/>
      <w:marTop w:val="0"/>
      <w:marBottom w:val="0"/>
      <w:divBdr>
        <w:top w:val="none" w:sz="0" w:space="0" w:color="auto"/>
        <w:left w:val="none" w:sz="0" w:space="0" w:color="auto"/>
        <w:bottom w:val="none" w:sz="0" w:space="0" w:color="auto"/>
        <w:right w:val="none" w:sz="0" w:space="0" w:color="auto"/>
      </w:divBdr>
    </w:div>
    <w:div w:id="597561042">
      <w:bodyDiv w:val="1"/>
      <w:marLeft w:val="0"/>
      <w:marRight w:val="0"/>
      <w:marTop w:val="0"/>
      <w:marBottom w:val="0"/>
      <w:divBdr>
        <w:top w:val="none" w:sz="0" w:space="0" w:color="auto"/>
        <w:left w:val="none" w:sz="0" w:space="0" w:color="auto"/>
        <w:bottom w:val="none" w:sz="0" w:space="0" w:color="auto"/>
        <w:right w:val="none" w:sz="0" w:space="0" w:color="auto"/>
      </w:divBdr>
    </w:div>
    <w:div w:id="659163826">
      <w:bodyDiv w:val="1"/>
      <w:marLeft w:val="0"/>
      <w:marRight w:val="0"/>
      <w:marTop w:val="0"/>
      <w:marBottom w:val="0"/>
      <w:divBdr>
        <w:top w:val="none" w:sz="0" w:space="0" w:color="auto"/>
        <w:left w:val="none" w:sz="0" w:space="0" w:color="auto"/>
        <w:bottom w:val="none" w:sz="0" w:space="0" w:color="auto"/>
        <w:right w:val="none" w:sz="0" w:space="0" w:color="auto"/>
      </w:divBdr>
      <w:divsChild>
        <w:div w:id="810367878">
          <w:marLeft w:val="0"/>
          <w:marRight w:val="0"/>
          <w:marTop w:val="0"/>
          <w:marBottom w:val="0"/>
          <w:divBdr>
            <w:top w:val="none" w:sz="0" w:space="0" w:color="auto"/>
            <w:left w:val="none" w:sz="0" w:space="0" w:color="auto"/>
            <w:bottom w:val="none" w:sz="0" w:space="0" w:color="auto"/>
            <w:right w:val="none" w:sz="0" w:space="0" w:color="auto"/>
          </w:divBdr>
          <w:divsChild>
            <w:div w:id="2028018137">
              <w:marLeft w:val="0"/>
              <w:marRight w:val="0"/>
              <w:marTop w:val="0"/>
              <w:marBottom w:val="0"/>
              <w:divBdr>
                <w:top w:val="none" w:sz="0" w:space="0" w:color="auto"/>
                <w:left w:val="none" w:sz="0" w:space="0" w:color="auto"/>
                <w:bottom w:val="none" w:sz="0" w:space="0" w:color="auto"/>
                <w:right w:val="none" w:sz="0" w:space="0" w:color="auto"/>
              </w:divBdr>
              <w:divsChild>
                <w:div w:id="827526184">
                  <w:marLeft w:val="0"/>
                  <w:marRight w:val="0"/>
                  <w:marTop w:val="0"/>
                  <w:marBottom w:val="0"/>
                  <w:divBdr>
                    <w:top w:val="none" w:sz="0" w:space="0" w:color="auto"/>
                    <w:left w:val="none" w:sz="0" w:space="0" w:color="auto"/>
                    <w:bottom w:val="none" w:sz="0" w:space="0" w:color="auto"/>
                    <w:right w:val="none" w:sz="0" w:space="0" w:color="auto"/>
                  </w:divBdr>
                  <w:divsChild>
                    <w:div w:id="668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292516">
      <w:bodyDiv w:val="1"/>
      <w:marLeft w:val="0"/>
      <w:marRight w:val="0"/>
      <w:marTop w:val="0"/>
      <w:marBottom w:val="0"/>
      <w:divBdr>
        <w:top w:val="none" w:sz="0" w:space="0" w:color="auto"/>
        <w:left w:val="none" w:sz="0" w:space="0" w:color="auto"/>
        <w:bottom w:val="none" w:sz="0" w:space="0" w:color="auto"/>
        <w:right w:val="none" w:sz="0" w:space="0" w:color="auto"/>
      </w:divBdr>
    </w:div>
    <w:div w:id="704059165">
      <w:bodyDiv w:val="1"/>
      <w:marLeft w:val="0"/>
      <w:marRight w:val="0"/>
      <w:marTop w:val="0"/>
      <w:marBottom w:val="0"/>
      <w:divBdr>
        <w:top w:val="none" w:sz="0" w:space="0" w:color="auto"/>
        <w:left w:val="none" w:sz="0" w:space="0" w:color="auto"/>
        <w:bottom w:val="none" w:sz="0" w:space="0" w:color="auto"/>
        <w:right w:val="none" w:sz="0" w:space="0" w:color="auto"/>
      </w:divBdr>
      <w:divsChild>
        <w:div w:id="1115750981">
          <w:marLeft w:val="0"/>
          <w:marRight w:val="0"/>
          <w:marTop w:val="0"/>
          <w:marBottom w:val="0"/>
          <w:divBdr>
            <w:top w:val="none" w:sz="0" w:space="0" w:color="auto"/>
            <w:left w:val="none" w:sz="0" w:space="0" w:color="auto"/>
            <w:bottom w:val="none" w:sz="0" w:space="0" w:color="auto"/>
            <w:right w:val="none" w:sz="0" w:space="0" w:color="auto"/>
          </w:divBdr>
          <w:divsChild>
            <w:div w:id="1844319392">
              <w:marLeft w:val="0"/>
              <w:marRight w:val="0"/>
              <w:marTop w:val="0"/>
              <w:marBottom w:val="0"/>
              <w:divBdr>
                <w:top w:val="none" w:sz="0" w:space="0" w:color="auto"/>
                <w:left w:val="none" w:sz="0" w:space="0" w:color="auto"/>
                <w:bottom w:val="none" w:sz="0" w:space="0" w:color="auto"/>
                <w:right w:val="none" w:sz="0" w:space="0" w:color="auto"/>
              </w:divBdr>
              <w:divsChild>
                <w:div w:id="11848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96627">
      <w:bodyDiv w:val="1"/>
      <w:marLeft w:val="0"/>
      <w:marRight w:val="0"/>
      <w:marTop w:val="0"/>
      <w:marBottom w:val="0"/>
      <w:divBdr>
        <w:top w:val="none" w:sz="0" w:space="0" w:color="auto"/>
        <w:left w:val="none" w:sz="0" w:space="0" w:color="auto"/>
        <w:bottom w:val="none" w:sz="0" w:space="0" w:color="auto"/>
        <w:right w:val="none" w:sz="0" w:space="0" w:color="auto"/>
      </w:divBdr>
      <w:divsChild>
        <w:div w:id="2143573970">
          <w:marLeft w:val="0"/>
          <w:marRight w:val="0"/>
          <w:marTop w:val="0"/>
          <w:marBottom w:val="0"/>
          <w:divBdr>
            <w:top w:val="none" w:sz="0" w:space="0" w:color="auto"/>
            <w:left w:val="none" w:sz="0" w:space="0" w:color="auto"/>
            <w:bottom w:val="none" w:sz="0" w:space="0" w:color="auto"/>
            <w:right w:val="none" w:sz="0" w:space="0" w:color="auto"/>
          </w:divBdr>
          <w:divsChild>
            <w:div w:id="394359112">
              <w:marLeft w:val="0"/>
              <w:marRight w:val="0"/>
              <w:marTop w:val="0"/>
              <w:marBottom w:val="0"/>
              <w:divBdr>
                <w:top w:val="none" w:sz="0" w:space="0" w:color="auto"/>
                <w:left w:val="none" w:sz="0" w:space="0" w:color="auto"/>
                <w:bottom w:val="none" w:sz="0" w:space="0" w:color="auto"/>
                <w:right w:val="none" w:sz="0" w:space="0" w:color="auto"/>
              </w:divBdr>
              <w:divsChild>
                <w:div w:id="16631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07129">
      <w:bodyDiv w:val="1"/>
      <w:marLeft w:val="0"/>
      <w:marRight w:val="0"/>
      <w:marTop w:val="0"/>
      <w:marBottom w:val="0"/>
      <w:divBdr>
        <w:top w:val="none" w:sz="0" w:space="0" w:color="auto"/>
        <w:left w:val="none" w:sz="0" w:space="0" w:color="auto"/>
        <w:bottom w:val="none" w:sz="0" w:space="0" w:color="auto"/>
        <w:right w:val="none" w:sz="0" w:space="0" w:color="auto"/>
      </w:divBdr>
      <w:divsChild>
        <w:div w:id="1352336215">
          <w:marLeft w:val="0"/>
          <w:marRight w:val="0"/>
          <w:marTop w:val="0"/>
          <w:marBottom w:val="0"/>
          <w:divBdr>
            <w:top w:val="none" w:sz="0" w:space="0" w:color="auto"/>
            <w:left w:val="none" w:sz="0" w:space="0" w:color="auto"/>
            <w:bottom w:val="none" w:sz="0" w:space="0" w:color="auto"/>
            <w:right w:val="none" w:sz="0" w:space="0" w:color="auto"/>
          </w:divBdr>
          <w:divsChild>
            <w:div w:id="425004502">
              <w:marLeft w:val="0"/>
              <w:marRight w:val="0"/>
              <w:marTop w:val="0"/>
              <w:marBottom w:val="0"/>
              <w:divBdr>
                <w:top w:val="none" w:sz="0" w:space="0" w:color="auto"/>
                <w:left w:val="none" w:sz="0" w:space="0" w:color="auto"/>
                <w:bottom w:val="none" w:sz="0" w:space="0" w:color="auto"/>
                <w:right w:val="none" w:sz="0" w:space="0" w:color="auto"/>
              </w:divBdr>
              <w:divsChild>
                <w:div w:id="2779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3706">
      <w:bodyDiv w:val="1"/>
      <w:marLeft w:val="0"/>
      <w:marRight w:val="0"/>
      <w:marTop w:val="0"/>
      <w:marBottom w:val="0"/>
      <w:divBdr>
        <w:top w:val="none" w:sz="0" w:space="0" w:color="auto"/>
        <w:left w:val="none" w:sz="0" w:space="0" w:color="auto"/>
        <w:bottom w:val="none" w:sz="0" w:space="0" w:color="auto"/>
        <w:right w:val="none" w:sz="0" w:space="0" w:color="auto"/>
      </w:divBdr>
      <w:divsChild>
        <w:div w:id="1026102405">
          <w:marLeft w:val="0"/>
          <w:marRight w:val="0"/>
          <w:marTop w:val="0"/>
          <w:marBottom w:val="0"/>
          <w:divBdr>
            <w:top w:val="none" w:sz="0" w:space="0" w:color="auto"/>
            <w:left w:val="none" w:sz="0" w:space="0" w:color="auto"/>
            <w:bottom w:val="none" w:sz="0" w:space="0" w:color="auto"/>
            <w:right w:val="none" w:sz="0" w:space="0" w:color="auto"/>
          </w:divBdr>
          <w:divsChild>
            <w:div w:id="471873872">
              <w:marLeft w:val="0"/>
              <w:marRight w:val="0"/>
              <w:marTop w:val="0"/>
              <w:marBottom w:val="0"/>
              <w:divBdr>
                <w:top w:val="none" w:sz="0" w:space="0" w:color="auto"/>
                <w:left w:val="none" w:sz="0" w:space="0" w:color="auto"/>
                <w:bottom w:val="none" w:sz="0" w:space="0" w:color="auto"/>
                <w:right w:val="none" w:sz="0" w:space="0" w:color="auto"/>
              </w:divBdr>
              <w:divsChild>
                <w:div w:id="1847598032">
                  <w:marLeft w:val="0"/>
                  <w:marRight w:val="0"/>
                  <w:marTop w:val="0"/>
                  <w:marBottom w:val="0"/>
                  <w:divBdr>
                    <w:top w:val="none" w:sz="0" w:space="0" w:color="auto"/>
                    <w:left w:val="none" w:sz="0" w:space="0" w:color="auto"/>
                    <w:bottom w:val="none" w:sz="0" w:space="0" w:color="auto"/>
                    <w:right w:val="none" w:sz="0" w:space="0" w:color="auto"/>
                  </w:divBdr>
                  <w:divsChild>
                    <w:div w:id="575865249">
                      <w:marLeft w:val="0"/>
                      <w:marRight w:val="0"/>
                      <w:marTop w:val="0"/>
                      <w:marBottom w:val="0"/>
                      <w:divBdr>
                        <w:top w:val="none" w:sz="0" w:space="0" w:color="auto"/>
                        <w:left w:val="none" w:sz="0" w:space="0" w:color="auto"/>
                        <w:bottom w:val="none" w:sz="0" w:space="0" w:color="auto"/>
                        <w:right w:val="none" w:sz="0" w:space="0" w:color="auto"/>
                      </w:divBdr>
                    </w:div>
                    <w:div w:id="2136557152">
                      <w:marLeft w:val="0"/>
                      <w:marRight w:val="0"/>
                      <w:marTop w:val="0"/>
                      <w:marBottom w:val="0"/>
                      <w:divBdr>
                        <w:top w:val="none" w:sz="0" w:space="0" w:color="auto"/>
                        <w:left w:val="none" w:sz="0" w:space="0" w:color="auto"/>
                        <w:bottom w:val="none" w:sz="0" w:space="0" w:color="auto"/>
                        <w:right w:val="none" w:sz="0" w:space="0" w:color="auto"/>
                      </w:divBdr>
                    </w:div>
                  </w:divsChild>
                </w:div>
                <w:div w:id="2083525991">
                  <w:marLeft w:val="0"/>
                  <w:marRight w:val="0"/>
                  <w:marTop w:val="0"/>
                  <w:marBottom w:val="0"/>
                  <w:divBdr>
                    <w:top w:val="none" w:sz="0" w:space="0" w:color="auto"/>
                    <w:left w:val="none" w:sz="0" w:space="0" w:color="auto"/>
                    <w:bottom w:val="none" w:sz="0" w:space="0" w:color="auto"/>
                    <w:right w:val="none" w:sz="0" w:space="0" w:color="auto"/>
                  </w:divBdr>
                  <w:divsChild>
                    <w:div w:id="2051148004">
                      <w:marLeft w:val="0"/>
                      <w:marRight w:val="0"/>
                      <w:marTop w:val="0"/>
                      <w:marBottom w:val="0"/>
                      <w:divBdr>
                        <w:top w:val="none" w:sz="0" w:space="0" w:color="auto"/>
                        <w:left w:val="none" w:sz="0" w:space="0" w:color="auto"/>
                        <w:bottom w:val="none" w:sz="0" w:space="0" w:color="auto"/>
                        <w:right w:val="none" w:sz="0" w:space="0" w:color="auto"/>
                      </w:divBdr>
                    </w:div>
                    <w:div w:id="28366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09177">
      <w:bodyDiv w:val="1"/>
      <w:marLeft w:val="0"/>
      <w:marRight w:val="0"/>
      <w:marTop w:val="0"/>
      <w:marBottom w:val="0"/>
      <w:divBdr>
        <w:top w:val="none" w:sz="0" w:space="0" w:color="auto"/>
        <w:left w:val="none" w:sz="0" w:space="0" w:color="auto"/>
        <w:bottom w:val="none" w:sz="0" w:space="0" w:color="auto"/>
        <w:right w:val="none" w:sz="0" w:space="0" w:color="auto"/>
      </w:divBdr>
    </w:div>
    <w:div w:id="977030934">
      <w:bodyDiv w:val="1"/>
      <w:marLeft w:val="0"/>
      <w:marRight w:val="0"/>
      <w:marTop w:val="0"/>
      <w:marBottom w:val="0"/>
      <w:divBdr>
        <w:top w:val="none" w:sz="0" w:space="0" w:color="auto"/>
        <w:left w:val="none" w:sz="0" w:space="0" w:color="auto"/>
        <w:bottom w:val="none" w:sz="0" w:space="0" w:color="auto"/>
        <w:right w:val="none" w:sz="0" w:space="0" w:color="auto"/>
      </w:divBdr>
    </w:div>
    <w:div w:id="1011565041">
      <w:bodyDiv w:val="1"/>
      <w:marLeft w:val="0"/>
      <w:marRight w:val="0"/>
      <w:marTop w:val="0"/>
      <w:marBottom w:val="0"/>
      <w:divBdr>
        <w:top w:val="none" w:sz="0" w:space="0" w:color="auto"/>
        <w:left w:val="none" w:sz="0" w:space="0" w:color="auto"/>
        <w:bottom w:val="none" w:sz="0" w:space="0" w:color="auto"/>
        <w:right w:val="none" w:sz="0" w:space="0" w:color="auto"/>
      </w:divBdr>
    </w:div>
    <w:div w:id="1046027637">
      <w:bodyDiv w:val="1"/>
      <w:marLeft w:val="0"/>
      <w:marRight w:val="0"/>
      <w:marTop w:val="0"/>
      <w:marBottom w:val="0"/>
      <w:divBdr>
        <w:top w:val="none" w:sz="0" w:space="0" w:color="auto"/>
        <w:left w:val="none" w:sz="0" w:space="0" w:color="auto"/>
        <w:bottom w:val="none" w:sz="0" w:space="0" w:color="auto"/>
        <w:right w:val="none" w:sz="0" w:space="0" w:color="auto"/>
      </w:divBdr>
    </w:div>
    <w:div w:id="1206452854">
      <w:bodyDiv w:val="1"/>
      <w:marLeft w:val="0"/>
      <w:marRight w:val="0"/>
      <w:marTop w:val="0"/>
      <w:marBottom w:val="0"/>
      <w:divBdr>
        <w:top w:val="none" w:sz="0" w:space="0" w:color="auto"/>
        <w:left w:val="none" w:sz="0" w:space="0" w:color="auto"/>
        <w:bottom w:val="none" w:sz="0" w:space="0" w:color="auto"/>
        <w:right w:val="none" w:sz="0" w:space="0" w:color="auto"/>
      </w:divBdr>
    </w:div>
    <w:div w:id="1274827170">
      <w:bodyDiv w:val="1"/>
      <w:marLeft w:val="0"/>
      <w:marRight w:val="0"/>
      <w:marTop w:val="0"/>
      <w:marBottom w:val="0"/>
      <w:divBdr>
        <w:top w:val="none" w:sz="0" w:space="0" w:color="auto"/>
        <w:left w:val="none" w:sz="0" w:space="0" w:color="auto"/>
        <w:bottom w:val="none" w:sz="0" w:space="0" w:color="auto"/>
        <w:right w:val="none" w:sz="0" w:space="0" w:color="auto"/>
      </w:divBdr>
      <w:divsChild>
        <w:div w:id="79912545">
          <w:marLeft w:val="0"/>
          <w:marRight w:val="0"/>
          <w:marTop w:val="0"/>
          <w:marBottom w:val="0"/>
          <w:divBdr>
            <w:top w:val="none" w:sz="0" w:space="0" w:color="auto"/>
            <w:left w:val="none" w:sz="0" w:space="0" w:color="auto"/>
            <w:bottom w:val="none" w:sz="0" w:space="0" w:color="auto"/>
            <w:right w:val="none" w:sz="0" w:space="0" w:color="auto"/>
          </w:divBdr>
          <w:divsChild>
            <w:div w:id="1507671865">
              <w:marLeft w:val="0"/>
              <w:marRight w:val="0"/>
              <w:marTop w:val="0"/>
              <w:marBottom w:val="0"/>
              <w:divBdr>
                <w:top w:val="none" w:sz="0" w:space="0" w:color="auto"/>
                <w:left w:val="none" w:sz="0" w:space="0" w:color="auto"/>
                <w:bottom w:val="none" w:sz="0" w:space="0" w:color="auto"/>
                <w:right w:val="none" w:sz="0" w:space="0" w:color="auto"/>
              </w:divBdr>
              <w:divsChild>
                <w:div w:id="2581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3186">
      <w:bodyDiv w:val="1"/>
      <w:marLeft w:val="0"/>
      <w:marRight w:val="0"/>
      <w:marTop w:val="0"/>
      <w:marBottom w:val="0"/>
      <w:divBdr>
        <w:top w:val="none" w:sz="0" w:space="0" w:color="auto"/>
        <w:left w:val="none" w:sz="0" w:space="0" w:color="auto"/>
        <w:bottom w:val="none" w:sz="0" w:space="0" w:color="auto"/>
        <w:right w:val="none" w:sz="0" w:space="0" w:color="auto"/>
      </w:divBdr>
    </w:div>
    <w:div w:id="1388068950">
      <w:bodyDiv w:val="1"/>
      <w:marLeft w:val="0"/>
      <w:marRight w:val="0"/>
      <w:marTop w:val="0"/>
      <w:marBottom w:val="0"/>
      <w:divBdr>
        <w:top w:val="none" w:sz="0" w:space="0" w:color="auto"/>
        <w:left w:val="none" w:sz="0" w:space="0" w:color="auto"/>
        <w:bottom w:val="none" w:sz="0" w:space="0" w:color="auto"/>
        <w:right w:val="none" w:sz="0" w:space="0" w:color="auto"/>
      </w:divBdr>
      <w:divsChild>
        <w:div w:id="100808003">
          <w:marLeft w:val="0"/>
          <w:marRight w:val="0"/>
          <w:marTop w:val="0"/>
          <w:marBottom w:val="0"/>
          <w:divBdr>
            <w:top w:val="none" w:sz="0" w:space="0" w:color="auto"/>
            <w:left w:val="none" w:sz="0" w:space="0" w:color="auto"/>
            <w:bottom w:val="none" w:sz="0" w:space="0" w:color="auto"/>
            <w:right w:val="none" w:sz="0" w:space="0" w:color="auto"/>
          </w:divBdr>
          <w:divsChild>
            <w:div w:id="1192767601">
              <w:marLeft w:val="0"/>
              <w:marRight w:val="0"/>
              <w:marTop w:val="0"/>
              <w:marBottom w:val="0"/>
              <w:divBdr>
                <w:top w:val="none" w:sz="0" w:space="0" w:color="auto"/>
                <w:left w:val="none" w:sz="0" w:space="0" w:color="auto"/>
                <w:bottom w:val="none" w:sz="0" w:space="0" w:color="auto"/>
                <w:right w:val="none" w:sz="0" w:space="0" w:color="auto"/>
              </w:divBdr>
              <w:divsChild>
                <w:div w:id="1061563767">
                  <w:marLeft w:val="0"/>
                  <w:marRight w:val="0"/>
                  <w:marTop w:val="0"/>
                  <w:marBottom w:val="0"/>
                  <w:divBdr>
                    <w:top w:val="none" w:sz="0" w:space="0" w:color="auto"/>
                    <w:left w:val="none" w:sz="0" w:space="0" w:color="auto"/>
                    <w:bottom w:val="none" w:sz="0" w:space="0" w:color="auto"/>
                    <w:right w:val="none" w:sz="0" w:space="0" w:color="auto"/>
                  </w:divBdr>
                  <w:divsChild>
                    <w:div w:id="20287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421817">
      <w:bodyDiv w:val="1"/>
      <w:marLeft w:val="0"/>
      <w:marRight w:val="0"/>
      <w:marTop w:val="0"/>
      <w:marBottom w:val="0"/>
      <w:divBdr>
        <w:top w:val="none" w:sz="0" w:space="0" w:color="auto"/>
        <w:left w:val="none" w:sz="0" w:space="0" w:color="auto"/>
        <w:bottom w:val="none" w:sz="0" w:space="0" w:color="auto"/>
        <w:right w:val="none" w:sz="0" w:space="0" w:color="auto"/>
      </w:divBdr>
    </w:div>
    <w:div w:id="1430195964">
      <w:bodyDiv w:val="1"/>
      <w:marLeft w:val="0"/>
      <w:marRight w:val="0"/>
      <w:marTop w:val="0"/>
      <w:marBottom w:val="0"/>
      <w:divBdr>
        <w:top w:val="none" w:sz="0" w:space="0" w:color="auto"/>
        <w:left w:val="none" w:sz="0" w:space="0" w:color="auto"/>
        <w:bottom w:val="none" w:sz="0" w:space="0" w:color="auto"/>
        <w:right w:val="none" w:sz="0" w:space="0" w:color="auto"/>
      </w:divBdr>
    </w:div>
    <w:div w:id="1544367010">
      <w:bodyDiv w:val="1"/>
      <w:marLeft w:val="0"/>
      <w:marRight w:val="0"/>
      <w:marTop w:val="0"/>
      <w:marBottom w:val="0"/>
      <w:divBdr>
        <w:top w:val="none" w:sz="0" w:space="0" w:color="auto"/>
        <w:left w:val="none" w:sz="0" w:space="0" w:color="auto"/>
        <w:bottom w:val="none" w:sz="0" w:space="0" w:color="auto"/>
        <w:right w:val="none" w:sz="0" w:space="0" w:color="auto"/>
      </w:divBdr>
    </w:div>
    <w:div w:id="1566795821">
      <w:bodyDiv w:val="1"/>
      <w:marLeft w:val="0"/>
      <w:marRight w:val="0"/>
      <w:marTop w:val="0"/>
      <w:marBottom w:val="0"/>
      <w:divBdr>
        <w:top w:val="none" w:sz="0" w:space="0" w:color="auto"/>
        <w:left w:val="none" w:sz="0" w:space="0" w:color="auto"/>
        <w:bottom w:val="none" w:sz="0" w:space="0" w:color="auto"/>
        <w:right w:val="none" w:sz="0" w:space="0" w:color="auto"/>
      </w:divBdr>
      <w:divsChild>
        <w:div w:id="141628056">
          <w:marLeft w:val="0"/>
          <w:marRight w:val="0"/>
          <w:marTop w:val="0"/>
          <w:marBottom w:val="0"/>
          <w:divBdr>
            <w:top w:val="none" w:sz="0" w:space="0" w:color="auto"/>
            <w:left w:val="none" w:sz="0" w:space="0" w:color="auto"/>
            <w:bottom w:val="none" w:sz="0" w:space="0" w:color="auto"/>
            <w:right w:val="none" w:sz="0" w:space="0" w:color="auto"/>
          </w:divBdr>
          <w:divsChild>
            <w:div w:id="1267538165">
              <w:marLeft w:val="0"/>
              <w:marRight w:val="0"/>
              <w:marTop w:val="0"/>
              <w:marBottom w:val="0"/>
              <w:divBdr>
                <w:top w:val="none" w:sz="0" w:space="0" w:color="auto"/>
                <w:left w:val="none" w:sz="0" w:space="0" w:color="auto"/>
                <w:bottom w:val="none" w:sz="0" w:space="0" w:color="auto"/>
                <w:right w:val="none" w:sz="0" w:space="0" w:color="auto"/>
              </w:divBdr>
              <w:divsChild>
                <w:div w:id="3419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07432">
      <w:bodyDiv w:val="1"/>
      <w:marLeft w:val="0"/>
      <w:marRight w:val="0"/>
      <w:marTop w:val="0"/>
      <w:marBottom w:val="0"/>
      <w:divBdr>
        <w:top w:val="none" w:sz="0" w:space="0" w:color="auto"/>
        <w:left w:val="none" w:sz="0" w:space="0" w:color="auto"/>
        <w:bottom w:val="none" w:sz="0" w:space="0" w:color="auto"/>
        <w:right w:val="none" w:sz="0" w:space="0" w:color="auto"/>
      </w:divBdr>
    </w:div>
    <w:div w:id="1625112608">
      <w:bodyDiv w:val="1"/>
      <w:marLeft w:val="0"/>
      <w:marRight w:val="0"/>
      <w:marTop w:val="0"/>
      <w:marBottom w:val="0"/>
      <w:divBdr>
        <w:top w:val="none" w:sz="0" w:space="0" w:color="auto"/>
        <w:left w:val="none" w:sz="0" w:space="0" w:color="auto"/>
        <w:bottom w:val="none" w:sz="0" w:space="0" w:color="auto"/>
        <w:right w:val="none" w:sz="0" w:space="0" w:color="auto"/>
      </w:divBdr>
    </w:div>
    <w:div w:id="1625765809">
      <w:bodyDiv w:val="1"/>
      <w:marLeft w:val="0"/>
      <w:marRight w:val="0"/>
      <w:marTop w:val="0"/>
      <w:marBottom w:val="0"/>
      <w:divBdr>
        <w:top w:val="none" w:sz="0" w:space="0" w:color="auto"/>
        <w:left w:val="none" w:sz="0" w:space="0" w:color="auto"/>
        <w:bottom w:val="none" w:sz="0" w:space="0" w:color="auto"/>
        <w:right w:val="none" w:sz="0" w:space="0" w:color="auto"/>
      </w:divBdr>
    </w:div>
    <w:div w:id="1718580744">
      <w:bodyDiv w:val="1"/>
      <w:marLeft w:val="0"/>
      <w:marRight w:val="0"/>
      <w:marTop w:val="0"/>
      <w:marBottom w:val="0"/>
      <w:divBdr>
        <w:top w:val="none" w:sz="0" w:space="0" w:color="auto"/>
        <w:left w:val="none" w:sz="0" w:space="0" w:color="auto"/>
        <w:bottom w:val="none" w:sz="0" w:space="0" w:color="auto"/>
        <w:right w:val="none" w:sz="0" w:space="0" w:color="auto"/>
      </w:divBdr>
    </w:div>
    <w:div w:id="1727795510">
      <w:bodyDiv w:val="1"/>
      <w:marLeft w:val="0"/>
      <w:marRight w:val="0"/>
      <w:marTop w:val="0"/>
      <w:marBottom w:val="0"/>
      <w:divBdr>
        <w:top w:val="none" w:sz="0" w:space="0" w:color="auto"/>
        <w:left w:val="none" w:sz="0" w:space="0" w:color="auto"/>
        <w:bottom w:val="none" w:sz="0" w:space="0" w:color="auto"/>
        <w:right w:val="none" w:sz="0" w:space="0" w:color="auto"/>
      </w:divBdr>
    </w:div>
    <w:div w:id="1799180868">
      <w:bodyDiv w:val="1"/>
      <w:marLeft w:val="0"/>
      <w:marRight w:val="0"/>
      <w:marTop w:val="0"/>
      <w:marBottom w:val="0"/>
      <w:divBdr>
        <w:top w:val="none" w:sz="0" w:space="0" w:color="auto"/>
        <w:left w:val="none" w:sz="0" w:space="0" w:color="auto"/>
        <w:bottom w:val="none" w:sz="0" w:space="0" w:color="auto"/>
        <w:right w:val="none" w:sz="0" w:space="0" w:color="auto"/>
      </w:divBdr>
    </w:div>
    <w:div w:id="1804686932">
      <w:bodyDiv w:val="1"/>
      <w:marLeft w:val="0"/>
      <w:marRight w:val="0"/>
      <w:marTop w:val="0"/>
      <w:marBottom w:val="0"/>
      <w:divBdr>
        <w:top w:val="none" w:sz="0" w:space="0" w:color="auto"/>
        <w:left w:val="none" w:sz="0" w:space="0" w:color="auto"/>
        <w:bottom w:val="none" w:sz="0" w:space="0" w:color="auto"/>
        <w:right w:val="none" w:sz="0" w:space="0" w:color="auto"/>
      </w:divBdr>
      <w:divsChild>
        <w:div w:id="557784486">
          <w:marLeft w:val="0"/>
          <w:marRight w:val="0"/>
          <w:marTop w:val="0"/>
          <w:marBottom w:val="0"/>
          <w:divBdr>
            <w:top w:val="none" w:sz="0" w:space="0" w:color="auto"/>
            <w:left w:val="none" w:sz="0" w:space="0" w:color="auto"/>
            <w:bottom w:val="none" w:sz="0" w:space="0" w:color="auto"/>
            <w:right w:val="none" w:sz="0" w:space="0" w:color="auto"/>
          </w:divBdr>
          <w:divsChild>
            <w:div w:id="415440115">
              <w:marLeft w:val="0"/>
              <w:marRight w:val="0"/>
              <w:marTop w:val="0"/>
              <w:marBottom w:val="0"/>
              <w:divBdr>
                <w:top w:val="none" w:sz="0" w:space="0" w:color="auto"/>
                <w:left w:val="none" w:sz="0" w:space="0" w:color="auto"/>
                <w:bottom w:val="none" w:sz="0" w:space="0" w:color="auto"/>
                <w:right w:val="none" w:sz="0" w:space="0" w:color="auto"/>
              </w:divBdr>
              <w:divsChild>
                <w:div w:id="20754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03958">
      <w:bodyDiv w:val="1"/>
      <w:marLeft w:val="0"/>
      <w:marRight w:val="0"/>
      <w:marTop w:val="0"/>
      <w:marBottom w:val="0"/>
      <w:divBdr>
        <w:top w:val="none" w:sz="0" w:space="0" w:color="auto"/>
        <w:left w:val="none" w:sz="0" w:space="0" w:color="auto"/>
        <w:bottom w:val="none" w:sz="0" w:space="0" w:color="auto"/>
        <w:right w:val="none" w:sz="0" w:space="0" w:color="auto"/>
      </w:divBdr>
    </w:div>
    <w:div w:id="1879510159">
      <w:bodyDiv w:val="1"/>
      <w:marLeft w:val="0"/>
      <w:marRight w:val="0"/>
      <w:marTop w:val="0"/>
      <w:marBottom w:val="0"/>
      <w:divBdr>
        <w:top w:val="none" w:sz="0" w:space="0" w:color="auto"/>
        <w:left w:val="none" w:sz="0" w:space="0" w:color="auto"/>
        <w:bottom w:val="none" w:sz="0" w:space="0" w:color="auto"/>
        <w:right w:val="none" w:sz="0" w:space="0" w:color="auto"/>
      </w:divBdr>
      <w:divsChild>
        <w:div w:id="1267083390">
          <w:marLeft w:val="0"/>
          <w:marRight w:val="0"/>
          <w:marTop w:val="0"/>
          <w:marBottom w:val="0"/>
          <w:divBdr>
            <w:top w:val="none" w:sz="0" w:space="0" w:color="auto"/>
            <w:left w:val="none" w:sz="0" w:space="0" w:color="auto"/>
            <w:bottom w:val="none" w:sz="0" w:space="0" w:color="auto"/>
            <w:right w:val="none" w:sz="0" w:space="0" w:color="auto"/>
          </w:divBdr>
        </w:div>
      </w:divsChild>
    </w:div>
    <w:div w:id="1902325918">
      <w:bodyDiv w:val="1"/>
      <w:marLeft w:val="0"/>
      <w:marRight w:val="0"/>
      <w:marTop w:val="0"/>
      <w:marBottom w:val="0"/>
      <w:divBdr>
        <w:top w:val="none" w:sz="0" w:space="0" w:color="auto"/>
        <w:left w:val="none" w:sz="0" w:space="0" w:color="auto"/>
        <w:bottom w:val="none" w:sz="0" w:space="0" w:color="auto"/>
        <w:right w:val="none" w:sz="0" w:space="0" w:color="auto"/>
      </w:divBdr>
      <w:divsChild>
        <w:div w:id="1506901377">
          <w:marLeft w:val="0"/>
          <w:marRight w:val="0"/>
          <w:marTop w:val="0"/>
          <w:marBottom w:val="0"/>
          <w:divBdr>
            <w:top w:val="none" w:sz="0" w:space="0" w:color="auto"/>
            <w:left w:val="none" w:sz="0" w:space="0" w:color="auto"/>
            <w:bottom w:val="none" w:sz="0" w:space="0" w:color="auto"/>
            <w:right w:val="none" w:sz="0" w:space="0" w:color="auto"/>
          </w:divBdr>
          <w:divsChild>
            <w:div w:id="1718359421">
              <w:marLeft w:val="0"/>
              <w:marRight w:val="0"/>
              <w:marTop w:val="0"/>
              <w:marBottom w:val="0"/>
              <w:divBdr>
                <w:top w:val="none" w:sz="0" w:space="0" w:color="auto"/>
                <w:left w:val="none" w:sz="0" w:space="0" w:color="auto"/>
                <w:bottom w:val="none" w:sz="0" w:space="0" w:color="auto"/>
                <w:right w:val="none" w:sz="0" w:space="0" w:color="auto"/>
              </w:divBdr>
              <w:divsChild>
                <w:div w:id="1726444298">
                  <w:marLeft w:val="0"/>
                  <w:marRight w:val="0"/>
                  <w:marTop w:val="0"/>
                  <w:marBottom w:val="0"/>
                  <w:divBdr>
                    <w:top w:val="none" w:sz="0" w:space="0" w:color="auto"/>
                    <w:left w:val="none" w:sz="0" w:space="0" w:color="auto"/>
                    <w:bottom w:val="none" w:sz="0" w:space="0" w:color="auto"/>
                    <w:right w:val="none" w:sz="0" w:space="0" w:color="auto"/>
                  </w:divBdr>
                  <w:divsChild>
                    <w:div w:id="7508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49016">
      <w:bodyDiv w:val="1"/>
      <w:marLeft w:val="0"/>
      <w:marRight w:val="0"/>
      <w:marTop w:val="0"/>
      <w:marBottom w:val="0"/>
      <w:divBdr>
        <w:top w:val="none" w:sz="0" w:space="0" w:color="auto"/>
        <w:left w:val="none" w:sz="0" w:space="0" w:color="auto"/>
        <w:bottom w:val="none" w:sz="0" w:space="0" w:color="auto"/>
        <w:right w:val="none" w:sz="0" w:space="0" w:color="auto"/>
      </w:divBdr>
      <w:divsChild>
        <w:div w:id="498424848">
          <w:marLeft w:val="0"/>
          <w:marRight w:val="0"/>
          <w:marTop w:val="0"/>
          <w:marBottom w:val="0"/>
          <w:divBdr>
            <w:top w:val="none" w:sz="0" w:space="0" w:color="auto"/>
            <w:left w:val="none" w:sz="0" w:space="0" w:color="auto"/>
            <w:bottom w:val="none" w:sz="0" w:space="0" w:color="auto"/>
            <w:right w:val="none" w:sz="0" w:space="0" w:color="auto"/>
          </w:divBdr>
        </w:div>
      </w:divsChild>
    </w:div>
    <w:div w:id="2027828672">
      <w:bodyDiv w:val="1"/>
      <w:marLeft w:val="0"/>
      <w:marRight w:val="0"/>
      <w:marTop w:val="0"/>
      <w:marBottom w:val="0"/>
      <w:divBdr>
        <w:top w:val="none" w:sz="0" w:space="0" w:color="auto"/>
        <w:left w:val="none" w:sz="0" w:space="0" w:color="auto"/>
        <w:bottom w:val="none" w:sz="0" w:space="0" w:color="auto"/>
        <w:right w:val="none" w:sz="0" w:space="0" w:color="auto"/>
      </w:divBdr>
    </w:div>
    <w:div w:id="2084255838">
      <w:bodyDiv w:val="1"/>
      <w:marLeft w:val="0"/>
      <w:marRight w:val="0"/>
      <w:marTop w:val="0"/>
      <w:marBottom w:val="0"/>
      <w:divBdr>
        <w:top w:val="none" w:sz="0" w:space="0" w:color="auto"/>
        <w:left w:val="none" w:sz="0" w:space="0" w:color="auto"/>
        <w:bottom w:val="none" w:sz="0" w:space="0" w:color="auto"/>
        <w:right w:val="none" w:sz="0" w:space="0" w:color="auto"/>
      </w:divBdr>
      <w:divsChild>
        <w:div w:id="691806794">
          <w:marLeft w:val="0"/>
          <w:marRight w:val="0"/>
          <w:marTop w:val="0"/>
          <w:marBottom w:val="0"/>
          <w:divBdr>
            <w:top w:val="none" w:sz="0" w:space="0" w:color="auto"/>
            <w:left w:val="none" w:sz="0" w:space="0" w:color="auto"/>
            <w:bottom w:val="none" w:sz="0" w:space="0" w:color="auto"/>
            <w:right w:val="none" w:sz="0" w:space="0" w:color="auto"/>
          </w:divBdr>
          <w:divsChild>
            <w:div w:id="946691089">
              <w:marLeft w:val="0"/>
              <w:marRight w:val="0"/>
              <w:marTop w:val="0"/>
              <w:marBottom w:val="0"/>
              <w:divBdr>
                <w:top w:val="none" w:sz="0" w:space="0" w:color="auto"/>
                <w:left w:val="none" w:sz="0" w:space="0" w:color="auto"/>
                <w:bottom w:val="none" w:sz="0" w:space="0" w:color="auto"/>
                <w:right w:val="none" w:sz="0" w:space="0" w:color="auto"/>
              </w:divBdr>
              <w:divsChild>
                <w:div w:id="10563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21" ma:contentTypeDescription="Create a new document." ma:contentTypeScope="" ma:versionID="6612dd64b3ca4deef73209f2210693cf">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7494688dd2142d3ac922c821c8476fcb"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d959b245ae7347a9bb899583b2761f43" minOccurs="0"/>
                <xsd:element ref="ns3:SharedWithUsers" minOccurs="0"/>
                <xsd:element ref="ns3:d8e408ae2551469fa177069ace196e9c" minOccurs="0"/>
                <xsd:element ref="ns3:leb4c332ed06408dafad04730a3b9e00"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d959b245ae7347a9bb899583b2761f43" ma:index="24" nillable="true" ma:taxonomy="true" ma:internalName="d959b245ae7347a9bb899583b2761f43" ma:taxonomyFieldName="DocHub_GemsPolicyWorkTopic" ma:displayName="Work Topic" ma:indexed="true" ma:default="" ma:fieldId="{d959b245-ae73-47a9-bb89-9583b2761f43}" ma:sspId="fb0313f7-9433-48c0-866e-9e0bbee59a50" ma:termSetId="5bce6a8f-e6af-49e8-884e-ab24cad2d901" ma:anchorId="63aa08f8-3af4-4e20-bf8b-47a137170358" ma:open="tru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8e408ae2551469fa177069ace196e9c" ma:index="27" nillable="true" ma:taxonomy="true" ma:internalName="d8e408ae2551469fa177069ace196e9c" ma:taxonomyFieldName="DocHub_RegionCountry" ma:displayName="Region / Country" ma:indexed="true" ma:fieldId="{d8e408ae-2551-469f-a177-069ace196e9c}" ma:sspId="fb0313f7-9433-48c0-866e-9e0bbee59a50" ma:termSetId="dfb3c815-0d58-4d79-855d-8ebb6c91cf6d" ma:anchorId="00000000-0000-0000-0000-000000000000" ma:open="false" ma:isKeyword="false">
      <xsd:complexType>
        <xsd:sequence>
          <xsd:element ref="pc:Terms" minOccurs="0" maxOccurs="1"/>
        </xsd:sequence>
      </xsd:complexType>
    </xsd:element>
    <xsd:element name="leb4c332ed06408dafad04730a3b9e00" ma:index="29" nillable="true" ma:taxonomy="true" ma:internalName="leb4c332ed06408dafad04730a3b9e00" ma:taxonomyFieldName="DocHub_GemsPolicyProducts" ma:displayName="Product" ma:indexed="true" ma:default="" ma:fieldId="{5eb4c332-ed06-408d-afad-04730a3b9e00}" ma:sspId="fb0313f7-9433-48c0-866e-9e0bbee59a50" ma:termSetId="5bce6a8f-e6af-49e8-884e-ab24cad2d901" ma:anchorId="45bd36b5-9df9-4b44-b525-b6eabdc90c7b"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Regulation</TermName>
          <TermId>eee83ec6-32eb-4fac-a4b5-adca21636045</TermId>
        </TermInfo>
        <TermInfo xmlns="http://schemas.microsoft.com/office/infopath/2007/PartnerControls">
          <TermName>Sunsetting Determinations</TermName>
          <TermId>1ca08395-f1cc-4e1a-9cc5-319ac310327b</TermId>
        </TermInfo>
      </Terms>
    </adb9bed2e36e4a93af574aeb444da63e>
    <n99e4c9942c6404eb103464a00e6097b xmlns="a36bd50b-1532-4c22-b385-5c082c960938">
      <Terms xmlns="http://schemas.microsoft.com/office/infopath/2007/PartnerControls">
        <TermInfo xmlns="http://schemas.microsoft.com/office/infopath/2007/PartnerControls">
          <TermName>2021</TermName>
          <TermId>712d5b50-1b62-44de-9d3e-74234783b265</TermId>
        </TermInfo>
      </Terms>
    </n99e4c9942c6404eb103464a00e6097b>
    <d8e408ae2551469fa177069ace196e9c xmlns="d92934b5-032c-4da3-958e-788fdb9771c1">
      <Terms xmlns="http://schemas.microsoft.com/office/infopath/2007/PartnerControls"/>
    </d8e408ae2551469fa177069ace196e9c>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Analysis</TermName>
          <TermId>48c54089-4c01-49cb-b266-0173afb66157</TermId>
        </TermInfo>
      </Terms>
    </pe2555c81638466f9eb614edb9ecde52>
    <aa25a1a23adf4c92a153145de6afe324 xmlns="a36bd50b-1532-4c22-b385-5c082c960938">
      <Terms xmlns="http://schemas.microsoft.com/office/infopath/2007/PartnerControls">
        <TermInfo xmlns="http://schemas.microsoft.com/office/infopath/2007/PartnerControls">
          <TermName>OFFICIAL</TermName>
          <TermId>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Policy Research</TermName>
          <TermId>e37dcd1c-eb92-4942-9b42-d64910ae459a</TermId>
        </TermInfo>
      </Terms>
    </g7bcb40ba23249a78edca7d43a67c1c9>
    <TaxCatchAll xmlns="a36bd50b-1532-4c22-b385-5c082c960938">
      <Value>815</Value>
      <Value>491</Value>
      <Value>2921</Value>
      <Value>3161</Value>
      <Value>62</Value>
      <Value>1640</Value>
      <Value>1639</Value>
      <Value>1</Value>
    </TaxCatchAll>
    <Comments xmlns="http://schemas.microsoft.com/sharepoint/v3" xsi:nil="true"/>
    <leb4c332ed06408dafad04730a3b9e00 xmlns="d92934b5-032c-4da3-958e-788fdb9771c1">
      <Terms xmlns="http://schemas.microsoft.com/office/infopath/2007/PartnerControls">
        <TermInfo xmlns="http://schemas.microsoft.com/office/infopath/2007/PartnerControls">
          <TermName xmlns="http://schemas.microsoft.com/office/infopath/2007/PartnerControls">Lighting</TermName>
          <TermId xmlns="http://schemas.microsoft.com/office/infopath/2007/PartnerControls">3b749f01-adb7-4047-84fc-b26881bf31b0</TermId>
        </TermInfo>
      </Terms>
    </leb4c332ed06408dafad04730a3b9e00>
    <d959b245ae7347a9bb899583b2761f43 xmlns="d92934b5-032c-4da3-958e-788fdb9771c1">
      <Terms xmlns="http://schemas.microsoft.com/office/infopath/2007/PartnerControls">
        <TermInfo xmlns="http://schemas.microsoft.com/office/infopath/2007/PartnerControls">
          <TermName xmlns="http://schemas.microsoft.com/office/infopath/2007/PartnerControls">Sunsetting Determinations</TermName>
          <TermId xmlns="http://schemas.microsoft.com/office/infopath/2007/PartnerControls">545b94c5-2b76-403f-89ff-531bab1de569</TermId>
        </TermInfo>
      </Terms>
    </d959b245ae7347a9bb899583b2761f43>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6D110-A30D-418E-A0CF-E53A92E38A29}">
  <ds:schemaRefs>
    <ds:schemaRef ds:uri="http://schemas.microsoft.com/sharepoint/v3/contenttype/forms"/>
  </ds:schemaRefs>
</ds:datastoreItem>
</file>

<file path=customXml/itemProps2.xml><?xml version="1.0" encoding="utf-8"?>
<ds:datastoreItem xmlns:ds="http://schemas.openxmlformats.org/officeDocument/2006/customXml" ds:itemID="{C738F1E3-9391-4D1E-9E77-EF49640BE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9B060-36C8-411F-8976-C9E7B3DD4985}">
  <ds:schemaRefs>
    <ds:schemaRef ds:uri="http://schemas.microsoft.com/sharepoint/events"/>
  </ds:schemaRefs>
</ds:datastoreItem>
</file>

<file path=customXml/itemProps4.xml><?xml version="1.0" encoding="utf-8"?>
<ds:datastoreItem xmlns:ds="http://schemas.openxmlformats.org/officeDocument/2006/customXml" ds:itemID="{5BA1B327-C0D7-4E2F-80C3-A31F69931A15}">
  <ds:schemaRefs>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d92934b5-032c-4da3-958e-788fdb9771c1"/>
    <ds:schemaRef ds:uri="http://purl.org/dc/elements/1.1/"/>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E832CB0C-B778-4882-B97A-CD848C7EA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3757</Words>
  <Characters>21269</Characters>
  <Application>Microsoft Office Word</Application>
  <DocSecurity>0</DocSecurity>
  <Lines>462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Ellis</dc:creator>
  <cp:keywords/>
  <dc:description/>
  <cp:lastModifiedBy>Ruth, Jodie</cp:lastModifiedBy>
  <cp:revision>2</cp:revision>
  <cp:lastPrinted>2022-03-23T03:46:00Z</cp:lastPrinted>
  <dcterms:created xsi:type="dcterms:W3CDTF">2022-04-01T02:46:00Z</dcterms:created>
  <dcterms:modified xsi:type="dcterms:W3CDTF">2022-04-01T02:46:00Z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LightingPolicyStakeholders">
    <vt:lpwstr/>
  </property>
  <property fmtid="{D5CDD505-2E9C-101B-9397-08002B2CF9AE}" pid="4" name="DocHub_Year">
    <vt:lpwstr>491;#2021|712d5b50-1b62-44de-9d3e-74234783b265</vt:lpwstr>
  </property>
  <property fmtid="{D5CDD505-2E9C-101B-9397-08002B2CF9AE}" pid="5" name="DocHub_RegionCountry">
    <vt:lpwstr/>
  </property>
  <property fmtid="{D5CDD505-2E9C-101B-9397-08002B2CF9AE}" pid="6" name="DocHub_WorkActivity">
    <vt:lpwstr>815;#Policy Research|e37dcd1c-eb92-4942-9b42-d64910ae459a</vt:lpwstr>
  </property>
  <property fmtid="{D5CDD505-2E9C-101B-9397-08002B2CF9AE}" pid="7" name="DocHub_DocumentType">
    <vt:lpwstr>62;#Analysis|48c54089-4c01-49cb-b266-0173afb66157</vt:lpwstr>
  </property>
  <property fmtid="{D5CDD505-2E9C-101B-9397-08002B2CF9AE}" pid="8" name="DocHub_SecurityClassification">
    <vt:lpwstr>1;#OFFICIAL|6106d03b-a1a0-4e30-9d91-d5e9fb4314f9</vt:lpwstr>
  </property>
  <property fmtid="{D5CDD505-2E9C-101B-9397-08002B2CF9AE}" pid="9" name="DocHub_LightingPolicyCommittees">
    <vt:lpwstr/>
  </property>
  <property fmtid="{D5CDD505-2E9C-101B-9397-08002B2CF9AE}" pid="10" name="DocHub_LightingPolicyProduct">
    <vt:lpwstr/>
  </property>
  <property fmtid="{D5CDD505-2E9C-101B-9397-08002B2CF9AE}" pid="11" name="DocHub_Keywords">
    <vt:lpwstr>2921;#Regulation|eee83ec6-32eb-4fac-a4b5-adca21636045;#1640;#Sunsetting Determinations|1ca08395-f1cc-4e1a-9cc5-319ac310327b</vt:lpwstr>
  </property>
  <property fmtid="{D5CDD505-2E9C-101B-9397-08002B2CF9AE}" pid="12" name="DocHub_GemsPolicyWorkTopic">
    <vt:lpwstr>1639;#Sunsetting Determinations|545b94c5-2b76-403f-89ff-531bab1de569</vt:lpwstr>
  </property>
  <property fmtid="{D5CDD505-2E9C-101B-9397-08002B2CF9AE}" pid="13" name="DocHub_GemsPolicyProducts">
    <vt:lpwstr>3161;#Lighting|3b749f01-adb7-4047-84fc-b26881bf31b0</vt:lpwstr>
  </property>
</Properties>
</file>